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25DB6">
      <w:pPr>
        <w:spacing w:line="240" w:lineRule="auto"/>
        <w:jc w:val="center"/>
        <w:rPr>
          <w:rFonts w:hint="default" w:ascii="Times New Roman" w:hAnsi="Times New Roman" w:cs="Times New Roman"/>
          <w:b/>
          <w:bCs/>
          <w:sz w:val="44"/>
          <w:szCs w:val="20"/>
        </w:rPr>
      </w:pPr>
    </w:p>
    <w:p w14:paraId="7DF079E2">
      <w:pPr>
        <w:snapToGrid w:val="0"/>
        <w:spacing w:line="360" w:lineRule="auto"/>
        <w:jc w:val="center"/>
        <w:rPr>
          <w:rFonts w:hint="default" w:ascii="Times New Roman" w:hAnsi="Times New Roman" w:cs="Times New Roman"/>
          <w:b/>
          <w:snapToGrid w:val="0"/>
          <w:sz w:val="36"/>
          <w:szCs w:val="36"/>
          <w:lang w:val="en-US" w:eastAsia="zh-CN"/>
        </w:rPr>
      </w:pPr>
      <w:r>
        <w:rPr>
          <w:rFonts w:hint="default" w:ascii="Times New Roman" w:hAnsi="Times New Roman" w:cs="Times New Roman"/>
          <w:b/>
          <w:snapToGrid w:val="0"/>
          <w:sz w:val="36"/>
          <w:szCs w:val="36"/>
          <w:lang w:val="en-US" w:eastAsia="zh-CN"/>
        </w:rPr>
        <w:t>胡杨河市鑫驰农牧有限责任公司育肥牛养殖</w:t>
      </w:r>
    </w:p>
    <w:p w14:paraId="055DA5B3">
      <w:pPr>
        <w:snapToGrid w:val="0"/>
        <w:spacing w:line="360" w:lineRule="auto"/>
        <w:jc w:val="center"/>
        <w:rPr>
          <w:rFonts w:hint="default" w:ascii="Times New Roman" w:hAnsi="Times New Roman" w:cs="Times New Roman"/>
          <w:b/>
          <w:snapToGrid w:val="0"/>
          <w:sz w:val="36"/>
          <w:szCs w:val="36"/>
          <w:lang w:val="en-US" w:eastAsia="zh-CN"/>
        </w:rPr>
      </w:pPr>
      <w:r>
        <w:rPr>
          <w:rFonts w:hint="default" w:ascii="Times New Roman" w:hAnsi="Times New Roman" w:cs="Times New Roman"/>
          <w:b/>
          <w:snapToGrid w:val="0"/>
          <w:sz w:val="36"/>
          <w:szCs w:val="36"/>
          <w:lang w:val="en-US" w:eastAsia="zh-CN"/>
        </w:rPr>
        <w:t>改扩建建设项目</w:t>
      </w:r>
    </w:p>
    <w:p w14:paraId="5AB2751F">
      <w:pPr>
        <w:snapToGrid w:val="0"/>
        <w:spacing w:line="360" w:lineRule="auto"/>
        <w:jc w:val="center"/>
        <w:rPr>
          <w:rFonts w:hint="default" w:ascii="Times New Roman" w:hAnsi="Times New Roman" w:cs="Times New Roman"/>
          <w:b/>
          <w:snapToGrid w:val="0"/>
          <w:sz w:val="36"/>
          <w:szCs w:val="36"/>
          <w:lang w:eastAsia="zh-CN"/>
        </w:rPr>
      </w:pPr>
    </w:p>
    <w:p w14:paraId="56A52964">
      <w:pPr>
        <w:snapToGrid w:val="0"/>
        <w:spacing w:line="288" w:lineRule="auto"/>
        <w:jc w:val="center"/>
        <w:rPr>
          <w:rFonts w:hint="default" w:ascii="Times New Roman" w:hAnsi="Times New Roman" w:cs="Times New Roman"/>
          <w:b/>
          <w:snapToGrid w:val="0"/>
          <w:sz w:val="44"/>
          <w:szCs w:val="44"/>
        </w:rPr>
      </w:pPr>
    </w:p>
    <w:p w14:paraId="0B6E8513">
      <w:pPr>
        <w:snapToGrid w:val="0"/>
        <w:spacing w:line="288" w:lineRule="auto"/>
        <w:jc w:val="both"/>
        <w:rPr>
          <w:rFonts w:hint="default" w:ascii="Times New Roman" w:hAnsi="Times New Roman" w:cs="Times New Roman"/>
          <w:b/>
          <w:snapToGrid w:val="0"/>
          <w:spacing w:val="-2"/>
          <w:sz w:val="44"/>
          <w:szCs w:val="44"/>
        </w:rPr>
      </w:pPr>
    </w:p>
    <w:p w14:paraId="4A056CBA">
      <w:pPr>
        <w:snapToGrid w:val="0"/>
        <w:spacing w:line="288" w:lineRule="auto"/>
        <w:jc w:val="center"/>
        <w:rPr>
          <w:rFonts w:hint="default" w:ascii="Times New Roman" w:hAnsi="Times New Roman" w:cs="Times New Roman"/>
          <w:b/>
          <w:snapToGrid w:val="0"/>
          <w:spacing w:val="-2"/>
          <w:sz w:val="44"/>
          <w:szCs w:val="44"/>
        </w:rPr>
      </w:pPr>
    </w:p>
    <w:p w14:paraId="51F64BD1">
      <w:pPr>
        <w:snapToGrid w:val="0"/>
        <w:spacing w:line="288" w:lineRule="auto"/>
        <w:jc w:val="center"/>
        <w:rPr>
          <w:rFonts w:hint="default" w:ascii="Times New Roman" w:hAnsi="Times New Roman" w:cs="Times New Roman"/>
          <w:b/>
          <w:snapToGrid w:val="0"/>
          <w:spacing w:val="-2"/>
          <w:sz w:val="44"/>
          <w:szCs w:val="44"/>
        </w:rPr>
      </w:pPr>
    </w:p>
    <w:p w14:paraId="029013D3">
      <w:pPr>
        <w:spacing w:line="480" w:lineRule="auto"/>
        <w:jc w:val="center"/>
        <w:rPr>
          <w:rFonts w:hint="default" w:ascii="Times New Roman" w:hAnsi="Times New Roman" w:cs="Times New Roman"/>
          <w:b/>
          <w:spacing w:val="20"/>
          <w:sz w:val="72"/>
          <w:szCs w:val="72"/>
        </w:rPr>
      </w:pPr>
      <w:r>
        <w:rPr>
          <w:rFonts w:hint="default" w:ascii="Times New Roman" w:hAnsi="Times New Roman" w:cs="Times New Roman"/>
          <w:b/>
          <w:spacing w:val="20"/>
          <w:sz w:val="72"/>
          <w:szCs w:val="72"/>
        </w:rPr>
        <w:t>环境影响报告书</w:t>
      </w:r>
    </w:p>
    <w:p w14:paraId="312D70F4">
      <w:pPr>
        <w:spacing w:line="240" w:lineRule="auto"/>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cs="宋体"/>
          <w:sz w:val="32"/>
          <w:szCs w:val="32"/>
          <w:lang w:val="en-US" w:eastAsia="zh-CN"/>
        </w:rPr>
        <w:t>送审</w:t>
      </w:r>
      <w:r>
        <w:rPr>
          <w:rFonts w:hint="eastAsia" w:ascii="宋体" w:hAnsi="宋体" w:eastAsia="宋体" w:cs="宋体"/>
          <w:sz w:val="32"/>
          <w:szCs w:val="32"/>
          <w:lang w:val="en-US" w:eastAsia="zh-CN"/>
        </w:rPr>
        <w:t>稿）</w:t>
      </w:r>
    </w:p>
    <w:p w14:paraId="1DE28CE7">
      <w:pPr>
        <w:jc w:val="center"/>
        <w:rPr>
          <w:rFonts w:hint="default" w:ascii="Times New Roman" w:hAnsi="Times New Roman" w:cs="Times New Roman"/>
          <w:sz w:val="52"/>
        </w:rPr>
      </w:pPr>
    </w:p>
    <w:p w14:paraId="1E4123AD">
      <w:pPr>
        <w:jc w:val="center"/>
        <w:rPr>
          <w:rFonts w:hint="default" w:ascii="Times New Roman" w:hAnsi="Times New Roman" w:cs="Times New Roman"/>
          <w:sz w:val="24"/>
          <w:szCs w:val="24"/>
        </w:rPr>
      </w:pPr>
    </w:p>
    <w:p w14:paraId="3D53D0A8">
      <w:pPr>
        <w:jc w:val="center"/>
        <w:rPr>
          <w:rFonts w:hint="default" w:ascii="Times New Roman" w:hAnsi="Times New Roman" w:cs="Times New Roman"/>
          <w:sz w:val="24"/>
          <w:szCs w:val="24"/>
        </w:rPr>
      </w:pPr>
    </w:p>
    <w:p w14:paraId="7C51B2E0">
      <w:pPr>
        <w:widowControl w:val="0"/>
        <w:tabs>
          <w:tab w:val="left" w:pos="1845"/>
        </w:tabs>
        <w:autoSpaceDE w:val="0"/>
        <w:autoSpaceDN w:val="0"/>
        <w:adjustRightInd w:val="0"/>
        <w:snapToGrid w:val="0"/>
        <w:spacing w:line="240" w:lineRule="auto"/>
        <w:ind w:firstLine="0" w:firstLineChars="0"/>
        <w:jc w:val="center"/>
        <w:rPr>
          <w:rFonts w:hint="default" w:ascii="Times New Roman" w:hAnsi="Times New Roman" w:eastAsia="宋体" w:cs="Times New Roman"/>
          <w:b/>
          <w:color w:val="000000"/>
          <w:kern w:val="2"/>
          <w:sz w:val="24"/>
          <w:szCs w:val="24"/>
          <w:lang w:val="en-US" w:eastAsia="zh-CN" w:bidi="ar-SA"/>
        </w:rPr>
      </w:pPr>
    </w:p>
    <w:p w14:paraId="5F453584">
      <w:pPr>
        <w:widowControl w:val="0"/>
        <w:adjustRightInd w:val="0"/>
        <w:spacing w:line="240" w:lineRule="atLeast"/>
        <w:jc w:val="both"/>
        <w:textAlignment w:val="baseline"/>
        <w:rPr>
          <w:rFonts w:hint="default" w:ascii="Times New Roman" w:hAnsi="Times New Roman" w:eastAsia="宋体" w:cs="Times New Roman"/>
          <w:kern w:val="0"/>
          <w:sz w:val="28"/>
          <w:szCs w:val="20"/>
          <w:lang w:val="en-US" w:eastAsia="zh-CN" w:bidi="ar-SA"/>
        </w:rPr>
      </w:pPr>
    </w:p>
    <w:p w14:paraId="0613BC7C">
      <w:pPr>
        <w:widowControl w:val="0"/>
        <w:adjustRightInd w:val="0"/>
        <w:spacing w:line="240" w:lineRule="atLeast"/>
        <w:jc w:val="both"/>
        <w:textAlignment w:val="baseline"/>
        <w:rPr>
          <w:rFonts w:hint="default" w:ascii="Times New Roman" w:hAnsi="Times New Roman" w:eastAsia="宋体" w:cs="Times New Roman"/>
          <w:kern w:val="0"/>
          <w:sz w:val="28"/>
          <w:szCs w:val="20"/>
          <w:lang w:val="en-US" w:eastAsia="zh-CN" w:bidi="ar-SA"/>
        </w:rPr>
      </w:pPr>
    </w:p>
    <w:p w14:paraId="5D575C6A">
      <w:pPr>
        <w:widowControl w:val="0"/>
        <w:adjustRightInd w:val="0"/>
        <w:spacing w:line="240" w:lineRule="atLeast"/>
        <w:jc w:val="both"/>
        <w:textAlignment w:val="baseline"/>
        <w:rPr>
          <w:rFonts w:hint="default" w:ascii="Times New Roman" w:hAnsi="Times New Roman" w:eastAsia="宋体" w:cs="Times New Roman"/>
          <w:kern w:val="0"/>
          <w:sz w:val="28"/>
          <w:szCs w:val="20"/>
          <w:lang w:val="en-US" w:eastAsia="zh-CN" w:bidi="ar-SA"/>
        </w:rPr>
      </w:pPr>
    </w:p>
    <w:p w14:paraId="42175475">
      <w:pPr>
        <w:widowControl w:val="0"/>
        <w:adjustRightInd w:val="0"/>
        <w:spacing w:line="240" w:lineRule="atLeast"/>
        <w:jc w:val="both"/>
        <w:textAlignment w:val="baseline"/>
        <w:rPr>
          <w:rFonts w:hint="default" w:ascii="Times New Roman" w:hAnsi="Times New Roman" w:eastAsia="宋体" w:cs="Times New Roman"/>
          <w:kern w:val="0"/>
          <w:sz w:val="28"/>
          <w:szCs w:val="20"/>
          <w:lang w:val="en-US" w:eastAsia="zh-CN" w:bidi="ar-SA"/>
        </w:rPr>
      </w:pPr>
    </w:p>
    <w:p w14:paraId="6E8BB411">
      <w:pPr>
        <w:widowControl w:val="0"/>
        <w:adjustRightInd w:val="0"/>
        <w:spacing w:line="240" w:lineRule="atLeast"/>
        <w:jc w:val="both"/>
        <w:textAlignment w:val="baseline"/>
        <w:rPr>
          <w:rFonts w:hint="default" w:ascii="Times New Roman" w:hAnsi="Times New Roman" w:eastAsia="宋体" w:cs="Times New Roman"/>
          <w:kern w:val="0"/>
          <w:sz w:val="28"/>
          <w:szCs w:val="20"/>
          <w:lang w:val="en-US" w:eastAsia="zh-CN" w:bidi="ar-SA"/>
        </w:rPr>
      </w:pPr>
    </w:p>
    <w:p w14:paraId="39B028BD">
      <w:pPr>
        <w:jc w:val="center"/>
        <w:rPr>
          <w:rFonts w:hint="default" w:ascii="Times New Roman" w:hAnsi="Times New Roman" w:cs="Times New Roman"/>
          <w:sz w:val="24"/>
          <w:szCs w:val="24"/>
        </w:rPr>
      </w:pPr>
    </w:p>
    <w:p w14:paraId="4F52339F">
      <w:pPr>
        <w:spacing w:line="240" w:lineRule="auto"/>
        <w:jc w:val="center"/>
        <w:rPr>
          <w:rFonts w:hint="default" w:ascii="Times New Roman" w:hAnsi="Times New Roman" w:cs="Times New Roman"/>
          <w:bCs/>
          <w:sz w:val="32"/>
          <w:szCs w:val="20"/>
          <w:lang w:val="en-US" w:eastAsia="zh-CN"/>
        </w:rPr>
      </w:pPr>
      <w:r>
        <w:rPr>
          <w:rFonts w:hint="default" w:ascii="Times New Roman" w:hAnsi="Times New Roman" w:cs="Times New Roman"/>
          <w:bCs/>
          <w:sz w:val="32"/>
          <w:szCs w:val="20"/>
        </w:rPr>
        <w:t>建设单位</w:t>
      </w:r>
      <w:r>
        <w:rPr>
          <w:rFonts w:hint="default" w:ascii="Times New Roman" w:hAnsi="Times New Roman" w:cs="Times New Roman"/>
          <w:bCs/>
          <w:sz w:val="32"/>
          <w:szCs w:val="20"/>
          <w:lang w:eastAsia="zh-CN"/>
        </w:rPr>
        <w:t>：</w:t>
      </w:r>
      <w:r>
        <w:rPr>
          <w:rFonts w:hint="default" w:ascii="Times New Roman" w:hAnsi="Times New Roman" w:cs="Times New Roman"/>
          <w:bCs/>
          <w:sz w:val="32"/>
          <w:szCs w:val="20"/>
          <w:lang w:val="en-US" w:eastAsia="zh-CN"/>
        </w:rPr>
        <w:t>胡杨河市鑫驰农牧有限责任公司</w:t>
      </w:r>
    </w:p>
    <w:p w14:paraId="44DFAD20">
      <w:pPr>
        <w:spacing w:line="240" w:lineRule="auto"/>
        <w:jc w:val="center"/>
        <w:rPr>
          <w:rFonts w:hint="default" w:ascii="Times New Roman" w:hAnsi="Times New Roman" w:cs="Times New Roman"/>
          <w:bCs/>
          <w:sz w:val="32"/>
          <w:szCs w:val="20"/>
          <w:lang w:val="en-US" w:eastAsia="zh-CN"/>
        </w:rPr>
      </w:pPr>
      <w:r>
        <w:rPr>
          <w:rFonts w:hint="eastAsia" w:cs="Times New Roman"/>
          <w:bCs/>
          <w:sz w:val="32"/>
          <w:szCs w:val="20"/>
          <w:lang w:val="en-US" w:eastAsia="zh-CN"/>
        </w:rPr>
        <w:t>编制单位：乌鲁木齐汇翔达工程咨询服务有限公司</w:t>
      </w:r>
    </w:p>
    <w:p w14:paraId="6EDFCBF2">
      <w:pPr>
        <w:spacing w:line="240" w:lineRule="auto"/>
        <w:jc w:val="center"/>
        <w:rPr>
          <w:rFonts w:hint="eastAsia" w:ascii="宋体" w:hAnsi="宋体" w:eastAsia="宋体" w:cs="宋体"/>
          <w:sz w:val="32"/>
          <w:szCs w:val="32"/>
          <w:lang w:eastAsia="zh-CN"/>
        </w:rPr>
        <w:sectPr>
          <w:pgSz w:w="11906" w:h="16838"/>
          <w:pgMar w:top="1440" w:right="1797" w:bottom="1440" w:left="1797" w:header="851" w:footer="1026" w:gutter="0"/>
          <w:pgBorders>
            <w:top w:val="none" w:sz="0" w:space="0"/>
            <w:left w:val="none" w:sz="0" w:space="0"/>
            <w:bottom w:val="none" w:sz="0" w:space="0"/>
            <w:right w:val="none" w:sz="0" w:space="0"/>
          </w:pgBorders>
          <w:pgNumType w:fmt="numberInDash" w:start="1"/>
          <w:cols w:space="720" w:num="1"/>
          <w:docGrid w:type="linesAndChars" w:linePitch="312" w:charSpace="0"/>
        </w:sectPr>
      </w:pPr>
      <w:r>
        <w:rPr>
          <w:rFonts w:hint="eastAsia" w:ascii="宋体" w:hAnsi="宋体" w:cs="宋体"/>
          <w:sz w:val="32"/>
          <w:szCs w:val="32"/>
          <w:lang w:val="en-US" w:eastAsia="zh-CN"/>
        </w:rPr>
        <w:t>二〇二六年八</w:t>
      </w:r>
      <w:r>
        <w:rPr>
          <w:rFonts w:hint="eastAsia" w:ascii="宋体" w:hAnsi="宋体" w:eastAsia="宋体" w:cs="宋体"/>
          <w:sz w:val="32"/>
          <w:szCs w:val="32"/>
          <w:lang w:eastAsia="zh-CN"/>
        </w:rPr>
        <w:t>月</w:t>
      </w:r>
    </w:p>
    <w:p w14:paraId="7F506978">
      <w:pPr>
        <w:spacing w:line="240" w:lineRule="auto"/>
        <w:jc w:val="center"/>
        <w:rPr>
          <w:rFonts w:hint="eastAsia" w:ascii="宋体" w:hAnsi="宋体" w:cs="宋体"/>
          <w:sz w:val="32"/>
          <w:szCs w:val="32"/>
          <w:lang w:val="en-US" w:eastAsia="zh-CN"/>
        </w:rPr>
        <w:sectPr>
          <w:pgSz w:w="11906" w:h="16838"/>
          <w:pgMar w:top="1440" w:right="1797" w:bottom="1440" w:left="1797" w:header="851" w:footer="1026" w:gutter="0"/>
          <w:pgBorders>
            <w:top w:val="none" w:sz="0" w:space="0"/>
            <w:left w:val="none" w:sz="0" w:space="0"/>
            <w:bottom w:val="none" w:sz="0" w:space="0"/>
            <w:right w:val="none" w:sz="0" w:space="0"/>
          </w:pgBorders>
          <w:pgNumType w:fmt="numberInDash" w:start="1"/>
          <w:cols w:space="720" w:num="1"/>
          <w:docGrid w:type="linesAndChars" w:linePitch="312" w:charSpace="0"/>
        </w:sectPr>
      </w:pPr>
      <w:r>
        <w:rPr>
          <w:rFonts w:hint="eastAsia"/>
          <w:lang w:eastAsia="zh-CN"/>
        </w:rPr>
        <w:drawing>
          <wp:inline distT="0" distB="0" distL="114300" distR="114300">
            <wp:extent cx="5275580" cy="7141845"/>
            <wp:effectExtent l="0" t="0" r="1270" b="1905"/>
            <wp:docPr id="5" name="图片 5" descr="90c1fc9a-8bdb-43f1-98c6-9455cb6ae9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0c1fc9a-8bdb-43f1-98c6-9455cb6ae9a7"/>
                    <pic:cNvPicPr>
                      <a:picLocks noChangeAspect="1"/>
                    </pic:cNvPicPr>
                  </pic:nvPicPr>
                  <pic:blipFill>
                    <a:blip r:embed="rId14"/>
                    <a:stretch>
                      <a:fillRect/>
                    </a:stretch>
                  </pic:blipFill>
                  <pic:spPr>
                    <a:xfrm>
                      <a:off x="0" y="0"/>
                      <a:ext cx="5275580" cy="7141845"/>
                    </a:xfrm>
                    <a:prstGeom prst="rect">
                      <a:avLst/>
                    </a:prstGeom>
                  </pic:spPr>
                </pic:pic>
              </a:graphicData>
            </a:graphic>
          </wp:inline>
        </w:drawing>
      </w:r>
    </w:p>
    <w:tbl>
      <w:tblPr>
        <w:tblStyle w:val="21"/>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0"/>
        <w:gridCol w:w="4162"/>
      </w:tblGrid>
      <w:tr w14:paraId="797C5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7" w:hRule="atLeast"/>
          <w:jc w:val="center"/>
        </w:trPr>
        <w:tc>
          <w:tcPr>
            <w:tcW w:w="4360" w:type="dxa"/>
            <w:tcBorders>
              <w:tl2br w:val="nil"/>
              <w:tr2bl w:val="nil"/>
            </w:tcBorders>
            <w:vAlign w:val="center"/>
          </w:tcPr>
          <w:p w14:paraId="3D88DBD5">
            <w:pPr>
              <w:rPr>
                <w:rFonts w:hint="default" w:ascii="Times New Roman" w:hAnsi="Times New Roman" w:eastAsia="宋体" w:cs="Times New Roman"/>
                <w:b/>
                <w:kern w:val="1"/>
                <w:sz w:val="32"/>
                <w:szCs w:val="32"/>
                <w:lang w:eastAsia="zh-CN"/>
              </w:rPr>
            </w:pPr>
            <w:r>
              <w:rPr>
                <w:rFonts w:hint="default" w:ascii="Times New Roman" w:hAnsi="Times New Roman" w:eastAsia="宋体" w:cs="Times New Roman"/>
                <w:b/>
                <w:kern w:val="1"/>
                <w:sz w:val="32"/>
                <w:szCs w:val="32"/>
                <w:lang w:eastAsia="zh-CN"/>
              </w:rPr>
              <w:drawing>
                <wp:inline distT="0" distB="0" distL="114300" distR="114300">
                  <wp:extent cx="2880995" cy="2160270"/>
                  <wp:effectExtent l="0" t="0" r="14605" b="11430"/>
                  <wp:docPr id="43" name="图片 43" descr="0de1e12ccc878acee340e6cfcdc3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0de1e12ccc878acee340e6cfcdc33910"/>
                          <pic:cNvPicPr>
                            <a:picLocks noChangeAspect="1"/>
                          </pic:cNvPicPr>
                        </pic:nvPicPr>
                        <pic:blipFill>
                          <a:blip r:embed="rId15"/>
                          <a:stretch>
                            <a:fillRect/>
                          </a:stretch>
                        </pic:blipFill>
                        <pic:spPr>
                          <a:xfrm>
                            <a:off x="0" y="0"/>
                            <a:ext cx="2880995" cy="2160270"/>
                          </a:xfrm>
                          <a:prstGeom prst="rect">
                            <a:avLst/>
                          </a:prstGeom>
                        </pic:spPr>
                      </pic:pic>
                    </a:graphicData>
                  </a:graphic>
                </wp:inline>
              </w:drawing>
            </w:r>
          </w:p>
        </w:tc>
        <w:tc>
          <w:tcPr>
            <w:tcW w:w="4162" w:type="dxa"/>
            <w:tcBorders>
              <w:tl2br w:val="nil"/>
              <w:tr2bl w:val="nil"/>
            </w:tcBorders>
            <w:vAlign w:val="center"/>
          </w:tcPr>
          <w:p w14:paraId="5330CB1A">
            <w:pPr>
              <w:rPr>
                <w:rFonts w:hint="default" w:ascii="Times New Roman" w:hAnsi="Times New Roman" w:eastAsia="宋体" w:cs="Times New Roman"/>
                <w:b/>
                <w:kern w:val="1"/>
                <w:sz w:val="32"/>
                <w:szCs w:val="32"/>
                <w:lang w:eastAsia="zh-CN"/>
              </w:rPr>
            </w:pPr>
            <w:r>
              <w:rPr>
                <w:rFonts w:hint="default" w:ascii="Times New Roman" w:hAnsi="Times New Roman" w:eastAsia="宋体" w:cs="Times New Roman"/>
                <w:b/>
                <w:kern w:val="1"/>
                <w:sz w:val="32"/>
                <w:szCs w:val="32"/>
                <w:lang w:eastAsia="zh-CN"/>
              </w:rPr>
              <w:drawing>
                <wp:inline distT="0" distB="0" distL="114300" distR="114300">
                  <wp:extent cx="2880360" cy="2160270"/>
                  <wp:effectExtent l="0" t="0" r="15240" b="11430"/>
                  <wp:docPr id="41" name="图片 41" descr="ed98e71d423145d99a3e46e90800bc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ed98e71d423145d99a3e46e90800bc1f"/>
                          <pic:cNvPicPr>
                            <a:picLocks noChangeAspect="1"/>
                          </pic:cNvPicPr>
                        </pic:nvPicPr>
                        <pic:blipFill>
                          <a:blip r:embed="rId16"/>
                          <a:stretch>
                            <a:fillRect/>
                          </a:stretch>
                        </pic:blipFill>
                        <pic:spPr>
                          <a:xfrm>
                            <a:off x="0" y="0"/>
                            <a:ext cx="2880360" cy="2160270"/>
                          </a:xfrm>
                          <a:prstGeom prst="rect">
                            <a:avLst/>
                          </a:prstGeom>
                        </pic:spPr>
                      </pic:pic>
                    </a:graphicData>
                  </a:graphic>
                </wp:inline>
              </w:drawing>
            </w:r>
          </w:p>
        </w:tc>
      </w:tr>
      <w:tr w14:paraId="25D6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60" w:type="dxa"/>
            <w:tcBorders>
              <w:tl2br w:val="nil"/>
              <w:tr2bl w:val="nil"/>
            </w:tcBorders>
            <w:vAlign w:val="center"/>
          </w:tcPr>
          <w:p w14:paraId="412309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Cs/>
                <w:kern w:val="1"/>
                <w:sz w:val="28"/>
                <w:szCs w:val="28"/>
                <w:lang w:eastAsia="zh-CN"/>
              </w:rPr>
            </w:pPr>
            <w:r>
              <w:rPr>
                <w:rFonts w:hint="default" w:ascii="Times New Roman" w:hAnsi="Times New Roman" w:cs="Times New Roman"/>
                <w:bCs/>
                <w:kern w:val="1"/>
                <w:sz w:val="28"/>
                <w:szCs w:val="28"/>
                <w:lang w:eastAsia="zh-CN"/>
              </w:rPr>
              <w:t>项目区以东</w:t>
            </w:r>
          </w:p>
        </w:tc>
        <w:tc>
          <w:tcPr>
            <w:tcW w:w="4162" w:type="dxa"/>
            <w:tcBorders>
              <w:tl2br w:val="nil"/>
              <w:tr2bl w:val="nil"/>
            </w:tcBorders>
            <w:vAlign w:val="center"/>
          </w:tcPr>
          <w:p w14:paraId="33DD0E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Cs/>
                <w:kern w:val="1"/>
                <w:sz w:val="28"/>
                <w:szCs w:val="28"/>
                <w:lang w:val="en-US" w:eastAsia="zh-CN"/>
              </w:rPr>
            </w:pPr>
            <w:r>
              <w:rPr>
                <w:rFonts w:hint="default" w:ascii="Times New Roman" w:hAnsi="Times New Roman" w:cs="Times New Roman"/>
                <w:bCs/>
                <w:kern w:val="1"/>
                <w:sz w:val="28"/>
                <w:szCs w:val="28"/>
                <w:lang w:eastAsia="zh-CN"/>
              </w:rPr>
              <w:t>项目区以</w:t>
            </w:r>
            <w:r>
              <w:rPr>
                <w:rFonts w:hint="default" w:ascii="Times New Roman" w:hAnsi="Times New Roman" w:cs="Times New Roman"/>
                <w:bCs/>
                <w:kern w:val="1"/>
                <w:sz w:val="28"/>
                <w:szCs w:val="28"/>
                <w:lang w:val="en-US" w:eastAsia="zh-CN"/>
              </w:rPr>
              <w:t>西</w:t>
            </w:r>
          </w:p>
        </w:tc>
      </w:tr>
      <w:tr w14:paraId="358C8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3" w:hRule="atLeast"/>
          <w:jc w:val="center"/>
        </w:trPr>
        <w:tc>
          <w:tcPr>
            <w:tcW w:w="4360" w:type="dxa"/>
            <w:tcBorders>
              <w:tl2br w:val="nil"/>
              <w:tr2bl w:val="nil"/>
            </w:tcBorders>
            <w:vAlign w:val="center"/>
          </w:tcPr>
          <w:p w14:paraId="008970DC">
            <w:pPr>
              <w:rPr>
                <w:rFonts w:hint="default" w:ascii="Times New Roman" w:hAnsi="Times New Roman" w:eastAsia="宋体" w:cs="Times New Roman"/>
                <w:bCs/>
                <w:kern w:val="1"/>
                <w:sz w:val="28"/>
                <w:szCs w:val="28"/>
                <w:lang w:eastAsia="zh-CN"/>
              </w:rPr>
            </w:pPr>
            <w:r>
              <w:rPr>
                <w:rFonts w:hint="default" w:ascii="Times New Roman" w:hAnsi="Times New Roman" w:eastAsia="宋体" w:cs="Times New Roman"/>
                <w:bCs/>
                <w:kern w:val="1"/>
                <w:sz w:val="28"/>
                <w:szCs w:val="28"/>
                <w:lang w:eastAsia="zh-CN"/>
              </w:rPr>
              <w:drawing>
                <wp:inline distT="0" distB="0" distL="114300" distR="114300">
                  <wp:extent cx="2880995" cy="2160270"/>
                  <wp:effectExtent l="0" t="0" r="14605" b="11430"/>
                  <wp:docPr id="44" name="图片 44" descr="93c5f183c7078fb6c8c9a803eeb0c7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93c5f183c7078fb6c8c9a803eeb0c7c6"/>
                          <pic:cNvPicPr>
                            <a:picLocks noChangeAspect="1"/>
                          </pic:cNvPicPr>
                        </pic:nvPicPr>
                        <pic:blipFill>
                          <a:blip r:embed="rId17"/>
                          <a:stretch>
                            <a:fillRect/>
                          </a:stretch>
                        </pic:blipFill>
                        <pic:spPr>
                          <a:xfrm>
                            <a:off x="0" y="0"/>
                            <a:ext cx="2880995" cy="2160270"/>
                          </a:xfrm>
                          <a:prstGeom prst="rect">
                            <a:avLst/>
                          </a:prstGeom>
                        </pic:spPr>
                      </pic:pic>
                    </a:graphicData>
                  </a:graphic>
                </wp:inline>
              </w:drawing>
            </w:r>
          </w:p>
        </w:tc>
        <w:tc>
          <w:tcPr>
            <w:tcW w:w="4162" w:type="dxa"/>
            <w:tcBorders>
              <w:tl2br w:val="nil"/>
              <w:tr2bl w:val="nil"/>
            </w:tcBorders>
            <w:vAlign w:val="center"/>
          </w:tcPr>
          <w:p w14:paraId="4DF74001">
            <w:pPr>
              <w:rPr>
                <w:rFonts w:hint="default" w:ascii="Times New Roman" w:hAnsi="Times New Roman" w:eastAsia="宋体" w:cs="Times New Roman"/>
                <w:bCs/>
                <w:kern w:val="1"/>
                <w:sz w:val="28"/>
                <w:szCs w:val="28"/>
                <w:lang w:eastAsia="zh-CN"/>
              </w:rPr>
            </w:pPr>
            <w:r>
              <w:rPr>
                <w:rFonts w:hint="default" w:ascii="Times New Roman" w:hAnsi="Times New Roman" w:eastAsia="宋体" w:cs="Times New Roman"/>
                <w:bCs/>
                <w:kern w:val="1"/>
                <w:sz w:val="28"/>
                <w:szCs w:val="28"/>
                <w:lang w:eastAsia="zh-CN"/>
              </w:rPr>
              <w:drawing>
                <wp:inline distT="0" distB="0" distL="114300" distR="114300">
                  <wp:extent cx="2880360" cy="2160270"/>
                  <wp:effectExtent l="0" t="0" r="15240" b="11430"/>
                  <wp:docPr id="42" name="图片 42" descr="fd753a2fe8088883bd8fbe5a49034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fd753a2fe8088883bd8fbe5a49034e49"/>
                          <pic:cNvPicPr>
                            <a:picLocks noChangeAspect="1"/>
                          </pic:cNvPicPr>
                        </pic:nvPicPr>
                        <pic:blipFill>
                          <a:blip r:embed="rId18"/>
                          <a:stretch>
                            <a:fillRect/>
                          </a:stretch>
                        </pic:blipFill>
                        <pic:spPr>
                          <a:xfrm>
                            <a:off x="0" y="0"/>
                            <a:ext cx="2880360" cy="2160270"/>
                          </a:xfrm>
                          <a:prstGeom prst="rect">
                            <a:avLst/>
                          </a:prstGeom>
                        </pic:spPr>
                      </pic:pic>
                    </a:graphicData>
                  </a:graphic>
                </wp:inline>
              </w:drawing>
            </w:r>
          </w:p>
        </w:tc>
      </w:tr>
      <w:tr w14:paraId="29793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60" w:type="dxa"/>
            <w:tcBorders>
              <w:tl2br w:val="nil"/>
              <w:tr2bl w:val="nil"/>
            </w:tcBorders>
            <w:vAlign w:val="center"/>
          </w:tcPr>
          <w:p w14:paraId="0BE68C6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Cs/>
                <w:kern w:val="1"/>
                <w:sz w:val="28"/>
                <w:szCs w:val="28"/>
                <w:lang w:val="en-US" w:eastAsia="zh-CN"/>
              </w:rPr>
            </w:pPr>
            <w:r>
              <w:rPr>
                <w:rFonts w:hint="default" w:ascii="Times New Roman" w:hAnsi="Times New Roman" w:cs="Times New Roman"/>
                <w:bCs/>
                <w:kern w:val="1"/>
                <w:sz w:val="28"/>
                <w:szCs w:val="28"/>
                <w:lang w:eastAsia="zh-CN"/>
              </w:rPr>
              <w:t>项目区以</w:t>
            </w:r>
            <w:r>
              <w:rPr>
                <w:rFonts w:hint="default" w:ascii="Times New Roman" w:hAnsi="Times New Roman" w:cs="Times New Roman"/>
                <w:bCs/>
                <w:kern w:val="1"/>
                <w:sz w:val="28"/>
                <w:szCs w:val="28"/>
                <w:lang w:val="en-US" w:eastAsia="zh-CN"/>
              </w:rPr>
              <w:t>南</w:t>
            </w:r>
          </w:p>
        </w:tc>
        <w:tc>
          <w:tcPr>
            <w:tcW w:w="4162" w:type="dxa"/>
            <w:tcBorders>
              <w:tl2br w:val="nil"/>
              <w:tr2bl w:val="nil"/>
            </w:tcBorders>
            <w:vAlign w:val="center"/>
          </w:tcPr>
          <w:p w14:paraId="70970C6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Cs/>
                <w:kern w:val="1"/>
                <w:sz w:val="28"/>
                <w:szCs w:val="28"/>
                <w:lang w:eastAsia="zh-CN"/>
              </w:rPr>
            </w:pPr>
            <w:r>
              <w:rPr>
                <w:rFonts w:hint="default" w:ascii="Times New Roman" w:hAnsi="Times New Roman" w:cs="Times New Roman"/>
                <w:bCs/>
                <w:kern w:val="1"/>
                <w:sz w:val="28"/>
                <w:szCs w:val="28"/>
                <w:lang w:eastAsia="zh-CN"/>
              </w:rPr>
              <w:t>项目区</w:t>
            </w:r>
            <w:r>
              <w:rPr>
                <w:rFonts w:hint="eastAsia" w:cs="Times New Roman"/>
                <w:bCs/>
                <w:kern w:val="1"/>
                <w:sz w:val="28"/>
                <w:szCs w:val="28"/>
                <w:lang w:val="en-US" w:eastAsia="zh-CN"/>
              </w:rPr>
              <w:t>北侧</w:t>
            </w:r>
          </w:p>
        </w:tc>
      </w:tr>
      <w:tr w14:paraId="4FB05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8" w:hRule="atLeast"/>
          <w:jc w:val="center"/>
        </w:trPr>
        <w:tc>
          <w:tcPr>
            <w:tcW w:w="4360" w:type="dxa"/>
            <w:tcBorders>
              <w:tl2br w:val="nil"/>
              <w:tr2bl w:val="nil"/>
            </w:tcBorders>
            <w:vAlign w:val="center"/>
          </w:tcPr>
          <w:p w14:paraId="0D5A2D34">
            <w:pPr>
              <w:rPr>
                <w:rFonts w:hint="default" w:ascii="Times New Roman" w:hAnsi="Times New Roman" w:eastAsia="宋体" w:cs="Times New Roman"/>
                <w:bCs/>
                <w:kern w:val="1"/>
                <w:sz w:val="28"/>
                <w:szCs w:val="28"/>
                <w:lang w:eastAsia="zh-CN"/>
              </w:rPr>
            </w:pPr>
            <w:r>
              <w:rPr>
                <w:rFonts w:hint="default" w:ascii="Times New Roman" w:hAnsi="Times New Roman" w:eastAsia="宋体" w:cs="Times New Roman"/>
                <w:bCs/>
                <w:kern w:val="1"/>
                <w:sz w:val="28"/>
                <w:szCs w:val="28"/>
                <w:lang w:eastAsia="zh-CN"/>
              </w:rPr>
              <w:drawing>
                <wp:inline distT="0" distB="0" distL="114300" distR="114300">
                  <wp:extent cx="2880995" cy="2160270"/>
                  <wp:effectExtent l="0" t="0" r="14605" b="11430"/>
                  <wp:docPr id="45" name="图片 45" descr="6c356bcb8af0f8541ecdf11bc4d3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6c356bcb8af0f8541ecdf11bc4d34468"/>
                          <pic:cNvPicPr>
                            <a:picLocks noChangeAspect="1"/>
                          </pic:cNvPicPr>
                        </pic:nvPicPr>
                        <pic:blipFill>
                          <a:blip r:embed="rId19"/>
                          <a:stretch>
                            <a:fillRect/>
                          </a:stretch>
                        </pic:blipFill>
                        <pic:spPr>
                          <a:xfrm>
                            <a:off x="0" y="0"/>
                            <a:ext cx="2880995" cy="2160270"/>
                          </a:xfrm>
                          <a:prstGeom prst="rect">
                            <a:avLst/>
                          </a:prstGeom>
                        </pic:spPr>
                      </pic:pic>
                    </a:graphicData>
                  </a:graphic>
                </wp:inline>
              </w:drawing>
            </w:r>
          </w:p>
        </w:tc>
        <w:tc>
          <w:tcPr>
            <w:tcW w:w="4162" w:type="dxa"/>
            <w:tcBorders>
              <w:tl2br w:val="nil"/>
              <w:tr2bl w:val="nil"/>
            </w:tcBorders>
            <w:vAlign w:val="center"/>
          </w:tcPr>
          <w:p w14:paraId="08DDA261">
            <w:pPr>
              <w:rPr>
                <w:rFonts w:hint="default" w:ascii="Times New Roman" w:hAnsi="Times New Roman" w:eastAsia="宋体" w:cs="Times New Roman"/>
                <w:bCs/>
                <w:kern w:val="1"/>
                <w:sz w:val="28"/>
                <w:szCs w:val="28"/>
                <w:lang w:eastAsia="zh-CN"/>
              </w:rPr>
            </w:pPr>
            <w:r>
              <w:rPr>
                <w:rFonts w:hint="default" w:ascii="Times New Roman" w:hAnsi="Times New Roman" w:eastAsia="宋体" w:cs="Times New Roman"/>
                <w:bCs/>
                <w:kern w:val="1"/>
                <w:sz w:val="28"/>
                <w:szCs w:val="28"/>
                <w:lang w:eastAsia="zh-CN"/>
              </w:rPr>
              <w:drawing>
                <wp:inline distT="0" distB="0" distL="114300" distR="114300">
                  <wp:extent cx="2880360" cy="2160270"/>
                  <wp:effectExtent l="0" t="0" r="15240" b="11430"/>
                  <wp:docPr id="46" name="图片 46" descr="762440375d74b69ceb00b67f991fb9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762440375d74b69ceb00b67f991fb9e3"/>
                          <pic:cNvPicPr>
                            <a:picLocks noChangeAspect="1"/>
                          </pic:cNvPicPr>
                        </pic:nvPicPr>
                        <pic:blipFill>
                          <a:blip r:embed="rId20"/>
                          <a:stretch>
                            <a:fillRect/>
                          </a:stretch>
                        </pic:blipFill>
                        <pic:spPr>
                          <a:xfrm>
                            <a:off x="0" y="0"/>
                            <a:ext cx="2880360" cy="2160270"/>
                          </a:xfrm>
                          <a:prstGeom prst="rect">
                            <a:avLst/>
                          </a:prstGeom>
                        </pic:spPr>
                      </pic:pic>
                    </a:graphicData>
                  </a:graphic>
                </wp:inline>
              </w:drawing>
            </w:r>
          </w:p>
        </w:tc>
      </w:tr>
      <w:tr w14:paraId="7F9C1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60" w:type="dxa"/>
            <w:tcBorders>
              <w:tl2br w:val="nil"/>
              <w:tr2bl w:val="nil"/>
            </w:tcBorders>
            <w:vAlign w:val="center"/>
          </w:tcPr>
          <w:p w14:paraId="0D5FF0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Cs/>
                <w:kern w:val="1"/>
                <w:sz w:val="28"/>
                <w:szCs w:val="28"/>
                <w:lang w:val="en-US"/>
              </w:rPr>
            </w:pPr>
            <w:r>
              <w:rPr>
                <w:rFonts w:hint="default" w:ascii="Times New Roman" w:hAnsi="Times New Roman" w:cs="Times New Roman"/>
                <w:bCs/>
                <w:kern w:val="1"/>
                <w:sz w:val="28"/>
                <w:szCs w:val="28"/>
                <w:lang w:eastAsia="zh-CN"/>
              </w:rPr>
              <w:t>项目区</w:t>
            </w:r>
            <w:r>
              <w:rPr>
                <w:rFonts w:hint="eastAsia" w:cs="Times New Roman"/>
                <w:bCs/>
                <w:kern w:val="1"/>
                <w:sz w:val="28"/>
                <w:szCs w:val="28"/>
                <w:lang w:val="en-US" w:eastAsia="zh-CN"/>
              </w:rPr>
              <w:t>现状</w:t>
            </w:r>
          </w:p>
        </w:tc>
        <w:tc>
          <w:tcPr>
            <w:tcW w:w="4162" w:type="dxa"/>
            <w:tcBorders>
              <w:tl2br w:val="nil"/>
              <w:tr2bl w:val="nil"/>
            </w:tcBorders>
            <w:vAlign w:val="center"/>
          </w:tcPr>
          <w:p w14:paraId="78FDA8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Cs/>
                <w:kern w:val="1"/>
                <w:sz w:val="28"/>
                <w:szCs w:val="28"/>
                <w:lang w:val="en-US"/>
              </w:rPr>
            </w:pPr>
            <w:r>
              <w:rPr>
                <w:rFonts w:hint="default" w:ascii="Times New Roman" w:hAnsi="Times New Roman" w:cs="Times New Roman"/>
                <w:bCs/>
                <w:kern w:val="1"/>
                <w:sz w:val="28"/>
                <w:szCs w:val="28"/>
                <w:lang w:eastAsia="zh-CN"/>
              </w:rPr>
              <w:t>项目区</w:t>
            </w:r>
            <w:r>
              <w:rPr>
                <w:rFonts w:hint="eastAsia" w:cs="Times New Roman"/>
                <w:bCs/>
                <w:kern w:val="1"/>
                <w:sz w:val="28"/>
                <w:szCs w:val="28"/>
                <w:lang w:val="en-US" w:eastAsia="zh-CN"/>
              </w:rPr>
              <w:t>现状</w:t>
            </w:r>
          </w:p>
        </w:tc>
      </w:tr>
    </w:tbl>
    <w:p w14:paraId="50477EAE"/>
    <w:p w14:paraId="5588CC2A">
      <w:pPr>
        <w:bidi w:val="0"/>
        <w:rPr>
          <w:rFonts w:ascii="Times New Roman" w:hAnsi="Times New Roman" w:eastAsia="宋体" w:cs="Times New Roman"/>
          <w:kern w:val="2"/>
          <w:sz w:val="21"/>
          <w:szCs w:val="24"/>
          <w:lang w:val="en-US" w:eastAsia="zh-CN" w:bidi="ar-SA"/>
        </w:rPr>
      </w:pPr>
    </w:p>
    <w:p w14:paraId="04D995F1">
      <w:pPr>
        <w:tabs>
          <w:tab w:val="left" w:pos="2181"/>
        </w:tabs>
        <w:bidi w:val="0"/>
        <w:jc w:val="left"/>
        <w:rPr>
          <w:rFonts w:hint="eastAsia"/>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Times New Roman" w:eastAsia="宋体"/>
          <w:lang w:val="en-US" w:eastAsia="zh-CN"/>
        </w:rPr>
        <w:tab/>
      </w:r>
    </w:p>
    <w:sdt>
      <w:sdtPr>
        <w:rPr>
          <w:rFonts w:ascii="宋体" w:hAnsi="宋体" w:eastAsia="宋体" w:cs="Times New Roman"/>
          <w:kern w:val="2"/>
          <w:sz w:val="21"/>
          <w:szCs w:val="24"/>
          <w:lang w:val="en-US" w:eastAsia="zh-CN" w:bidi="ar-SA"/>
        </w:rPr>
        <w:id w:val="147482113"/>
        <w15:color w:val="DBDBDB"/>
        <w:docPartObj>
          <w:docPartGallery w:val="Table of Contents"/>
          <w:docPartUnique/>
        </w:docPartObj>
      </w:sdtPr>
      <w:sdtEndPr>
        <w:rPr>
          <w:rFonts w:hint="default" w:ascii="Times New Roman" w:hAnsi="Times New Roman" w:eastAsia="宋体" w:cs="Times New Roman"/>
          <w:b/>
          <w:bCs w:val="0"/>
          <w:kern w:val="44"/>
          <w:sz w:val="32"/>
          <w:szCs w:val="32"/>
          <w:lang w:val="en-US" w:eastAsia="zh-CN" w:bidi="ar-SA"/>
        </w:rPr>
      </w:sdtEndPr>
      <w:sdtContent>
        <w:p w14:paraId="48E7DE36">
          <w:pPr>
            <w:spacing w:before="0" w:beforeLines="0" w:after="0" w:afterLines="0" w:line="360" w:lineRule="auto"/>
            <w:ind w:left="0" w:leftChars="0" w:right="0" w:rightChars="0" w:firstLine="0" w:firstLineChars="0"/>
            <w:jc w:val="center"/>
            <w:rPr>
              <w:sz w:val="30"/>
              <w:szCs w:val="30"/>
            </w:rPr>
          </w:pPr>
          <w:r>
            <w:rPr>
              <w:rFonts w:ascii="宋体" w:hAnsi="宋体" w:eastAsia="宋体"/>
              <w:sz w:val="30"/>
              <w:szCs w:val="30"/>
            </w:rPr>
            <w:t>目录</w:t>
          </w:r>
        </w:p>
        <w:p w14:paraId="68F89ED6">
          <w:pPr>
            <w:pStyle w:val="15"/>
            <w:tabs>
              <w:tab w:val="right" w:leader="dot" w:pos="8312"/>
            </w:tabs>
            <w:spacing w:line="360" w:lineRule="auto"/>
            <w:rPr>
              <w:sz w:val="24"/>
              <w:szCs w:val="24"/>
            </w:rPr>
          </w:pPr>
          <w:r>
            <w:rPr>
              <w:rFonts w:hint="default" w:ascii="Times New Roman" w:hAnsi="Times New Roman" w:eastAsia="宋体" w:cs="Times New Roman"/>
              <w:b/>
              <w:bCs w:val="0"/>
              <w:kern w:val="44"/>
              <w:sz w:val="24"/>
              <w:szCs w:val="24"/>
              <w:lang w:val="en-US" w:eastAsia="zh-CN" w:bidi="ar-SA"/>
            </w:rPr>
            <w:fldChar w:fldCharType="begin"/>
          </w:r>
          <w:r>
            <w:rPr>
              <w:rFonts w:hint="default" w:ascii="Times New Roman" w:hAnsi="Times New Roman" w:eastAsia="宋体" w:cs="Times New Roman"/>
              <w:b/>
              <w:bCs w:val="0"/>
              <w:kern w:val="44"/>
              <w:sz w:val="24"/>
              <w:szCs w:val="24"/>
              <w:lang w:val="en-US" w:eastAsia="zh-CN" w:bidi="ar-SA"/>
            </w:rPr>
            <w:instrText xml:space="preserve">TOC \o "1-2" \h \u </w:instrText>
          </w:r>
          <w:r>
            <w:rPr>
              <w:rFonts w:hint="default" w:ascii="Times New Roman" w:hAnsi="Times New Roman" w:eastAsia="宋体" w:cs="Times New Roman"/>
              <w:b/>
              <w:bCs w:val="0"/>
              <w:kern w:val="44"/>
              <w:sz w:val="24"/>
              <w:szCs w:val="24"/>
              <w:lang w:val="en-US" w:eastAsia="zh-CN" w:bidi="ar-SA"/>
            </w:rPr>
            <w:fldChar w:fldCharType="separate"/>
          </w: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_Toc2589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val="0"/>
              <w:kern w:val="44"/>
              <w:sz w:val="24"/>
              <w:szCs w:val="24"/>
              <w:lang w:val="en-US" w:eastAsia="zh-CN" w:bidi="ar-SA"/>
            </w:rPr>
            <w:t>1、概述</w:t>
          </w:r>
          <w:r>
            <w:rPr>
              <w:sz w:val="24"/>
              <w:szCs w:val="24"/>
            </w:rPr>
            <w:tab/>
          </w:r>
          <w:r>
            <w:rPr>
              <w:sz w:val="24"/>
              <w:szCs w:val="24"/>
            </w:rPr>
            <w:fldChar w:fldCharType="begin"/>
          </w:r>
          <w:r>
            <w:rPr>
              <w:sz w:val="24"/>
              <w:szCs w:val="24"/>
            </w:rPr>
            <w:instrText xml:space="preserve"> PAGEREF _Toc2589 \h </w:instrText>
          </w:r>
          <w:r>
            <w:rPr>
              <w:sz w:val="24"/>
              <w:szCs w:val="24"/>
            </w:rPr>
            <w:fldChar w:fldCharType="separate"/>
          </w:r>
          <w:r>
            <w:rPr>
              <w:sz w:val="24"/>
              <w:szCs w:val="24"/>
            </w:rPr>
            <w:t>- 1 -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61079535">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_Toc25187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1.1项目实施背景</w:t>
          </w:r>
          <w:r>
            <w:rPr>
              <w:sz w:val="24"/>
              <w:szCs w:val="24"/>
            </w:rPr>
            <w:tab/>
          </w:r>
          <w:r>
            <w:rPr>
              <w:sz w:val="24"/>
              <w:szCs w:val="24"/>
            </w:rPr>
            <w:fldChar w:fldCharType="begin"/>
          </w:r>
          <w:r>
            <w:rPr>
              <w:sz w:val="24"/>
              <w:szCs w:val="24"/>
            </w:rPr>
            <w:instrText xml:space="preserve"> PAGEREF _Toc25187 \h </w:instrText>
          </w:r>
          <w:r>
            <w:rPr>
              <w:sz w:val="24"/>
              <w:szCs w:val="24"/>
            </w:rPr>
            <w:fldChar w:fldCharType="separate"/>
          </w:r>
          <w:r>
            <w:rPr>
              <w:sz w:val="24"/>
              <w:szCs w:val="24"/>
            </w:rPr>
            <w:t>- 1 -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694E1A2">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_Toc25245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1.2</w:t>
          </w:r>
          <w:r>
            <w:rPr>
              <w:rFonts w:hint="default" w:ascii="Times New Roman" w:hAnsi="Times New Roman" w:eastAsia="宋体" w:cs="Times New Roman"/>
              <w:bCs/>
              <w:kern w:val="2"/>
              <w:sz w:val="24"/>
              <w:szCs w:val="24"/>
              <w:lang w:val="en-US" w:eastAsia="zh-CN" w:bidi="ar-SA"/>
            </w:rPr>
            <w:t>项目特点</w:t>
          </w:r>
          <w:r>
            <w:rPr>
              <w:sz w:val="24"/>
              <w:szCs w:val="24"/>
            </w:rPr>
            <w:tab/>
          </w:r>
          <w:r>
            <w:rPr>
              <w:sz w:val="24"/>
              <w:szCs w:val="24"/>
            </w:rPr>
            <w:fldChar w:fldCharType="begin"/>
          </w:r>
          <w:r>
            <w:rPr>
              <w:sz w:val="24"/>
              <w:szCs w:val="24"/>
            </w:rPr>
            <w:instrText xml:space="preserve"> PAGEREF _Toc25245 \h </w:instrText>
          </w:r>
          <w:r>
            <w:rPr>
              <w:sz w:val="24"/>
              <w:szCs w:val="24"/>
            </w:rPr>
            <w:fldChar w:fldCharType="separate"/>
          </w:r>
          <w:r>
            <w:rPr>
              <w:sz w:val="24"/>
              <w:szCs w:val="24"/>
            </w:rPr>
            <w:t>- 2 -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43358A21">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_Toc15679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1.</w:t>
          </w:r>
          <w:r>
            <w:rPr>
              <w:rFonts w:hint="eastAsia"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环境影响评价工作过程</w:t>
          </w:r>
          <w:r>
            <w:rPr>
              <w:sz w:val="24"/>
              <w:szCs w:val="24"/>
            </w:rPr>
            <w:tab/>
          </w:r>
          <w:r>
            <w:rPr>
              <w:sz w:val="24"/>
              <w:szCs w:val="24"/>
            </w:rPr>
            <w:fldChar w:fldCharType="begin"/>
          </w:r>
          <w:r>
            <w:rPr>
              <w:sz w:val="24"/>
              <w:szCs w:val="24"/>
            </w:rPr>
            <w:instrText xml:space="preserve"> PAGEREF _Toc15679 \h </w:instrText>
          </w:r>
          <w:r>
            <w:rPr>
              <w:sz w:val="24"/>
              <w:szCs w:val="24"/>
            </w:rPr>
            <w:fldChar w:fldCharType="separate"/>
          </w:r>
          <w:r>
            <w:rPr>
              <w:sz w:val="24"/>
              <w:szCs w:val="24"/>
            </w:rPr>
            <w:t>- 3 -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464CCF9">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_Toc30747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1.4分析判断相关情况</w:t>
          </w:r>
          <w:r>
            <w:rPr>
              <w:sz w:val="24"/>
              <w:szCs w:val="24"/>
            </w:rPr>
            <w:tab/>
          </w:r>
          <w:r>
            <w:rPr>
              <w:sz w:val="24"/>
              <w:szCs w:val="24"/>
            </w:rPr>
            <w:fldChar w:fldCharType="begin"/>
          </w:r>
          <w:r>
            <w:rPr>
              <w:sz w:val="24"/>
              <w:szCs w:val="24"/>
            </w:rPr>
            <w:instrText xml:space="preserve"> PAGEREF _Toc30747 \h </w:instrText>
          </w:r>
          <w:r>
            <w:rPr>
              <w:sz w:val="24"/>
              <w:szCs w:val="24"/>
            </w:rPr>
            <w:fldChar w:fldCharType="separate"/>
          </w:r>
          <w:r>
            <w:rPr>
              <w:sz w:val="24"/>
              <w:szCs w:val="24"/>
            </w:rPr>
            <w:t>- 5 -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F1DC123">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_Toc4402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1.</w:t>
          </w:r>
          <w:r>
            <w:rPr>
              <w:rFonts w:hint="eastAsia" w:ascii="Times New Roman" w:hAnsi="Times New Roman" w:eastAsia="宋体" w:cs="Times New Roman"/>
              <w:bCs/>
              <w:kern w:val="2"/>
              <w:sz w:val="24"/>
              <w:szCs w:val="24"/>
              <w:lang w:val="en-US" w:eastAsia="zh-CN" w:bidi="ar-SA"/>
            </w:rPr>
            <w:t>5</w:t>
          </w:r>
          <w:r>
            <w:rPr>
              <w:rFonts w:hint="default" w:ascii="Times New Roman" w:hAnsi="Times New Roman" w:eastAsia="宋体" w:cs="Times New Roman"/>
              <w:bCs/>
              <w:kern w:val="2"/>
              <w:sz w:val="24"/>
              <w:szCs w:val="24"/>
              <w:lang w:val="en-US" w:eastAsia="zh-CN" w:bidi="ar-SA"/>
            </w:rPr>
            <w:t>关注的主要环境问题</w:t>
          </w:r>
          <w:r>
            <w:rPr>
              <w:rFonts w:hint="eastAsia" w:ascii="Times New Roman" w:hAnsi="Times New Roman" w:eastAsia="宋体" w:cs="Times New Roman"/>
              <w:bCs/>
              <w:kern w:val="2"/>
              <w:sz w:val="24"/>
              <w:szCs w:val="24"/>
              <w:lang w:val="en-US" w:eastAsia="zh-CN" w:bidi="ar-SA"/>
            </w:rPr>
            <w:t>及环境影响</w:t>
          </w:r>
          <w:r>
            <w:rPr>
              <w:sz w:val="24"/>
              <w:szCs w:val="24"/>
            </w:rPr>
            <w:tab/>
          </w:r>
          <w:r>
            <w:rPr>
              <w:sz w:val="24"/>
              <w:szCs w:val="24"/>
            </w:rPr>
            <w:fldChar w:fldCharType="begin"/>
          </w:r>
          <w:r>
            <w:rPr>
              <w:sz w:val="24"/>
              <w:szCs w:val="24"/>
            </w:rPr>
            <w:instrText xml:space="preserve"> PAGEREF _Toc4402 \h </w:instrText>
          </w:r>
          <w:r>
            <w:rPr>
              <w:sz w:val="24"/>
              <w:szCs w:val="24"/>
            </w:rPr>
            <w:fldChar w:fldCharType="separate"/>
          </w:r>
          <w:r>
            <w:rPr>
              <w:sz w:val="24"/>
              <w:szCs w:val="24"/>
            </w:rPr>
            <w:t>- 47 -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215D60AD">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_Toc11036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1.</w:t>
          </w:r>
          <w:r>
            <w:rPr>
              <w:rFonts w:hint="eastAsia" w:cs="Times New Roman"/>
              <w:bCs/>
              <w:kern w:val="2"/>
              <w:sz w:val="24"/>
              <w:szCs w:val="24"/>
              <w:lang w:val="en-US" w:eastAsia="zh-CN" w:bidi="ar-SA"/>
            </w:rPr>
            <w:t>6</w:t>
          </w:r>
          <w:r>
            <w:rPr>
              <w:rFonts w:hint="default" w:ascii="Times New Roman" w:hAnsi="Times New Roman" w:eastAsia="宋体" w:cs="Times New Roman"/>
              <w:bCs/>
              <w:kern w:val="2"/>
              <w:sz w:val="24"/>
              <w:szCs w:val="24"/>
              <w:lang w:val="en-US" w:eastAsia="zh-CN" w:bidi="ar-SA"/>
            </w:rPr>
            <w:t>环评报告书的主要结论</w:t>
          </w:r>
          <w:r>
            <w:rPr>
              <w:sz w:val="24"/>
              <w:szCs w:val="24"/>
            </w:rPr>
            <w:tab/>
          </w:r>
          <w:r>
            <w:rPr>
              <w:sz w:val="24"/>
              <w:szCs w:val="24"/>
            </w:rPr>
            <w:fldChar w:fldCharType="begin"/>
          </w:r>
          <w:r>
            <w:rPr>
              <w:sz w:val="24"/>
              <w:szCs w:val="24"/>
            </w:rPr>
            <w:instrText xml:space="preserve"> PAGEREF _Toc11036 \h </w:instrText>
          </w:r>
          <w:r>
            <w:rPr>
              <w:sz w:val="24"/>
              <w:szCs w:val="24"/>
            </w:rPr>
            <w:fldChar w:fldCharType="separate"/>
          </w:r>
          <w:r>
            <w:rPr>
              <w:sz w:val="24"/>
              <w:szCs w:val="24"/>
            </w:rPr>
            <w:t>- 47 -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999A43B">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_Toc10045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val="0"/>
              <w:kern w:val="44"/>
              <w:sz w:val="24"/>
              <w:szCs w:val="24"/>
              <w:lang w:val="en-US" w:eastAsia="zh-CN" w:bidi="ar-SA"/>
            </w:rPr>
            <w:t>2、总则</w:t>
          </w:r>
          <w:r>
            <w:rPr>
              <w:sz w:val="24"/>
              <w:szCs w:val="24"/>
            </w:rPr>
            <w:tab/>
          </w:r>
          <w:r>
            <w:rPr>
              <w:sz w:val="24"/>
              <w:szCs w:val="24"/>
            </w:rPr>
            <w:fldChar w:fldCharType="begin"/>
          </w:r>
          <w:r>
            <w:rPr>
              <w:sz w:val="24"/>
              <w:szCs w:val="24"/>
            </w:rPr>
            <w:instrText xml:space="preserve"> PAGEREF _Toc10045 \h </w:instrText>
          </w:r>
          <w:r>
            <w:rPr>
              <w:sz w:val="24"/>
              <w:szCs w:val="24"/>
            </w:rPr>
            <w:fldChar w:fldCharType="separate"/>
          </w:r>
          <w:r>
            <w:rPr>
              <w:sz w:val="24"/>
              <w:szCs w:val="24"/>
            </w:rPr>
            <w:t>- 49 -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1CB64EC5">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_Toc10471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2.1编制依据</w:t>
          </w:r>
          <w:r>
            <w:rPr>
              <w:sz w:val="24"/>
              <w:szCs w:val="24"/>
            </w:rPr>
            <w:tab/>
          </w:r>
          <w:r>
            <w:rPr>
              <w:sz w:val="24"/>
              <w:szCs w:val="24"/>
            </w:rPr>
            <w:fldChar w:fldCharType="begin"/>
          </w:r>
          <w:r>
            <w:rPr>
              <w:sz w:val="24"/>
              <w:szCs w:val="24"/>
            </w:rPr>
            <w:instrText xml:space="preserve"> PAGEREF _Toc10471 \h </w:instrText>
          </w:r>
          <w:r>
            <w:rPr>
              <w:sz w:val="24"/>
              <w:szCs w:val="24"/>
            </w:rPr>
            <w:fldChar w:fldCharType="separate"/>
          </w:r>
          <w:r>
            <w:rPr>
              <w:sz w:val="24"/>
              <w:szCs w:val="24"/>
            </w:rPr>
            <w:t>- 49 -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1C1CD003">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_Toc1715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2.2评价目的和工作原则</w:t>
          </w:r>
          <w:r>
            <w:rPr>
              <w:sz w:val="24"/>
              <w:szCs w:val="24"/>
            </w:rPr>
            <w:tab/>
          </w:r>
          <w:r>
            <w:rPr>
              <w:sz w:val="24"/>
              <w:szCs w:val="24"/>
            </w:rPr>
            <w:fldChar w:fldCharType="begin"/>
          </w:r>
          <w:r>
            <w:rPr>
              <w:sz w:val="24"/>
              <w:szCs w:val="24"/>
            </w:rPr>
            <w:instrText xml:space="preserve"> PAGEREF _Toc1715 \h </w:instrText>
          </w:r>
          <w:r>
            <w:rPr>
              <w:sz w:val="24"/>
              <w:szCs w:val="24"/>
            </w:rPr>
            <w:fldChar w:fldCharType="separate"/>
          </w:r>
          <w:r>
            <w:rPr>
              <w:sz w:val="24"/>
              <w:szCs w:val="24"/>
            </w:rPr>
            <w:t>- 54 -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7D0A8556">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_Toc13856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2.3评价因子识别与筛选</w:t>
          </w:r>
          <w:r>
            <w:rPr>
              <w:sz w:val="24"/>
              <w:szCs w:val="24"/>
            </w:rPr>
            <w:tab/>
          </w:r>
          <w:r>
            <w:rPr>
              <w:sz w:val="24"/>
              <w:szCs w:val="24"/>
            </w:rPr>
            <w:fldChar w:fldCharType="begin"/>
          </w:r>
          <w:r>
            <w:rPr>
              <w:sz w:val="24"/>
              <w:szCs w:val="24"/>
            </w:rPr>
            <w:instrText xml:space="preserve"> PAGEREF _Toc13856 \h </w:instrText>
          </w:r>
          <w:r>
            <w:rPr>
              <w:sz w:val="24"/>
              <w:szCs w:val="24"/>
            </w:rPr>
            <w:fldChar w:fldCharType="separate"/>
          </w:r>
          <w:r>
            <w:rPr>
              <w:sz w:val="24"/>
              <w:szCs w:val="24"/>
            </w:rPr>
            <w:t>- 54 -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767CCCA">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_Toc14809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w:t>
          </w:r>
          <w:r>
            <w:rPr>
              <w:rFonts w:hint="eastAsia" w:cs="Times New Roman"/>
              <w:bCs/>
              <w:kern w:val="2"/>
              <w:sz w:val="24"/>
              <w:szCs w:val="24"/>
              <w:lang w:val="en-US" w:eastAsia="zh-CN" w:bidi="ar-SA"/>
            </w:rPr>
            <w:t>4</w:t>
          </w:r>
          <w:r>
            <w:rPr>
              <w:rFonts w:hint="default" w:ascii="Times New Roman" w:hAnsi="Times New Roman" w:eastAsia="宋体" w:cs="Times New Roman"/>
              <w:bCs/>
              <w:kern w:val="2"/>
              <w:sz w:val="24"/>
              <w:szCs w:val="24"/>
              <w:lang w:val="en-US" w:eastAsia="zh-CN" w:bidi="ar-SA"/>
            </w:rPr>
            <w:t>环境功能区划</w:t>
          </w:r>
          <w:r>
            <w:rPr>
              <w:sz w:val="24"/>
              <w:szCs w:val="24"/>
            </w:rPr>
            <w:tab/>
          </w:r>
          <w:r>
            <w:rPr>
              <w:sz w:val="24"/>
              <w:szCs w:val="24"/>
            </w:rPr>
            <w:fldChar w:fldCharType="begin"/>
          </w:r>
          <w:r>
            <w:rPr>
              <w:sz w:val="24"/>
              <w:szCs w:val="24"/>
            </w:rPr>
            <w:instrText xml:space="preserve"> PAGEREF _Toc14809 \h </w:instrText>
          </w:r>
          <w:r>
            <w:rPr>
              <w:sz w:val="24"/>
              <w:szCs w:val="24"/>
            </w:rPr>
            <w:fldChar w:fldCharType="separate"/>
          </w:r>
          <w:r>
            <w:rPr>
              <w:sz w:val="24"/>
              <w:szCs w:val="24"/>
            </w:rPr>
            <w:t>- 57 -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4202E6C5">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_Toc29538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w:t>
          </w:r>
          <w:r>
            <w:rPr>
              <w:rFonts w:hint="eastAsia" w:cs="Times New Roman"/>
              <w:bCs/>
              <w:kern w:val="2"/>
              <w:sz w:val="24"/>
              <w:szCs w:val="24"/>
              <w:lang w:val="en-US" w:eastAsia="zh-CN" w:bidi="ar-SA"/>
            </w:rPr>
            <w:t>5</w:t>
          </w:r>
          <w:r>
            <w:rPr>
              <w:rFonts w:hint="default" w:ascii="Times New Roman" w:hAnsi="Times New Roman" w:eastAsia="宋体" w:cs="Times New Roman"/>
              <w:bCs/>
              <w:kern w:val="2"/>
              <w:sz w:val="24"/>
              <w:szCs w:val="24"/>
              <w:lang w:val="en-US" w:eastAsia="zh-CN" w:bidi="ar-SA"/>
            </w:rPr>
            <w:t>评价标准</w:t>
          </w:r>
          <w:r>
            <w:rPr>
              <w:sz w:val="24"/>
              <w:szCs w:val="24"/>
            </w:rPr>
            <w:tab/>
          </w:r>
          <w:r>
            <w:rPr>
              <w:sz w:val="24"/>
              <w:szCs w:val="24"/>
            </w:rPr>
            <w:fldChar w:fldCharType="begin"/>
          </w:r>
          <w:r>
            <w:rPr>
              <w:sz w:val="24"/>
              <w:szCs w:val="24"/>
            </w:rPr>
            <w:instrText xml:space="preserve"> PAGEREF _Toc29538 \h </w:instrText>
          </w:r>
          <w:r>
            <w:rPr>
              <w:sz w:val="24"/>
              <w:szCs w:val="24"/>
            </w:rPr>
            <w:fldChar w:fldCharType="separate"/>
          </w:r>
          <w:r>
            <w:rPr>
              <w:sz w:val="24"/>
              <w:szCs w:val="24"/>
            </w:rPr>
            <w:t>- 58 -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4C9678C0">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_Toc18589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w:t>
          </w:r>
          <w:r>
            <w:rPr>
              <w:rFonts w:hint="eastAsia" w:cs="Times New Roman"/>
              <w:bCs/>
              <w:kern w:val="2"/>
              <w:sz w:val="24"/>
              <w:szCs w:val="24"/>
              <w:lang w:val="en-US" w:eastAsia="zh-CN" w:bidi="ar-SA"/>
            </w:rPr>
            <w:t>6</w:t>
          </w:r>
          <w:r>
            <w:rPr>
              <w:rFonts w:hint="default" w:ascii="Times New Roman" w:hAnsi="Times New Roman" w:eastAsia="宋体" w:cs="Times New Roman"/>
              <w:bCs/>
              <w:kern w:val="2"/>
              <w:sz w:val="24"/>
              <w:szCs w:val="24"/>
              <w:lang w:val="en-US" w:eastAsia="zh-CN" w:bidi="ar-SA"/>
            </w:rPr>
            <w:t>评价等级及评价重点</w:t>
          </w:r>
          <w:r>
            <w:rPr>
              <w:sz w:val="24"/>
              <w:szCs w:val="24"/>
            </w:rPr>
            <w:tab/>
          </w:r>
          <w:r>
            <w:rPr>
              <w:sz w:val="24"/>
              <w:szCs w:val="24"/>
            </w:rPr>
            <w:fldChar w:fldCharType="begin"/>
          </w:r>
          <w:r>
            <w:rPr>
              <w:sz w:val="24"/>
              <w:szCs w:val="24"/>
            </w:rPr>
            <w:instrText xml:space="preserve"> PAGEREF _Toc18589 \h </w:instrText>
          </w:r>
          <w:r>
            <w:rPr>
              <w:sz w:val="24"/>
              <w:szCs w:val="24"/>
            </w:rPr>
            <w:fldChar w:fldCharType="separate"/>
          </w:r>
          <w:r>
            <w:rPr>
              <w:sz w:val="24"/>
              <w:szCs w:val="24"/>
            </w:rPr>
            <w:t>- 65 -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0F6C637">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_Toc5017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w:t>
          </w:r>
          <w:r>
            <w:rPr>
              <w:rFonts w:hint="eastAsia" w:cs="Times New Roman"/>
              <w:bCs/>
              <w:kern w:val="2"/>
              <w:sz w:val="24"/>
              <w:szCs w:val="24"/>
              <w:lang w:val="en-US" w:eastAsia="zh-CN" w:bidi="ar-SA"/>
            </w:rPr>
            <w:t>7</w:t>
          </w:r>
          <w:r>
            <w:rPr>
              <w:rFonts w:hint="default" w:ascii="Times New Roman" w:hAnsi="Times New Roman" w:eastAsia="宋体" w:cs="Times New Roman"/>
              <w:bCs/>
              <w:kern w:val="2"/>
              <w:sz w:val="24"/>
              <w:szCs w:val="24"/>
              <w:lang w:val="en-US" w:eastAsia="zh-CN" w:bidi="ar-SA"/>
            </w:rPr>
            <w:t>评价范围及环境敏感目标</w:t>
          </w:r>
          <w:r>
            <w:rPr>
              <w:sz w:val="24"/>
              <w:szCs w:val="24"/>
            </w:rPr>
            <w:tab/>
          </w:r>
          <w:r>
            <w:rPr>
              <w:sz w:val="24"/>
              <w:szCs w:val="24"/>
            </w:rPr>
            <w:fldChar w:fldCharType="begin"/>
          </w:r>
          <w:r>
            <w:rPr>
              <w:sz w:val="24"/>
              <w:szCs w:val="24"/>
            </w:rPr>
            <w:instrText xml:space="preserve"> PAGEREF _Toc5017 \h </w:instrText>
          </w:r>
          <w:r>
            <w:rPr>
              <w:sz w:val="24"/>
              <w:szCs w:val="24"/>
            </w:rPr>
            <w:fldChar w:fldCharType="separate"/>
          </w:r>
          <w:r>
            <w:rPr>
              <w:sz w:val="24"/>
              <w:szCs w:val="24"/>
            </w:rPr>
            <w:t>- 76 -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3F15EF65">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_Toc8719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2.</w:t>
          </w:r>
          <w:r>
            <w:rPr>
              <w:rFonts w:hint="eastAsia" w:ascii="Times New Roman" w:hAnsi="Times New Roman" w:eastAsia="宋体" w:cs="Times New Roman"/>
              <w:bCs/>
              <w:kern w:val="2"/>
              <w:sz w:val="24"/>
              <w:szCs w:val="24"/>
              <w:lang w:val="en-US" w:eastAsia="zh-CN" w:bidi="ar-SA"/>
            </w:rPr>
            <w:t>8</w:t>
          </w:r>
          <w:r>
            <w:rPr>
              <w:rFonts w:hint="default" w:ascii="Times New Roman" w:hAnsi="Times New Roman" w:eastAsia="宋体" w:cs="Times New Roman"/>
              <w:bCs/>
              <w:kern w:val="2"/>
              <w:sz w:val="24"/>
              <w:szCs w:val="24"/>
              <w:lang w:val="en-US" w:eastAsia="zh-CN" w:bidi="ar-SA"/>
            </w:rPr>
            <w:t>选址合理性分析</w:t>
          </w:r>
          <w:r>
            <w:rPr>
              <w:sz w:val="24"/>
              <w:szCs w:val="24"/>
            </w:rPr>
            <w:tab/>
          </w:r>
          <w:r>
            <w:rPr>
              <w:sz w:val="24"/>
              <w:szCs w:val="24"/>
            </w:rPr>
            <w:fldChar w:fldCharType="begin"/>
          </w:r>
          <w:r>
            <w:rPr>
              <w:sz w:val="24"/>
              <w:szCs w:val="24"/>
            </w:rPr>
            <w:instrText xml:space="preserve"> PAGEREF _Toc8719 \h </w:instrText>
          </w:r>
          <w:r>
            <w:rPr>
              <w:sz w:val="24"/>
              <w:szCs w:val="24"/>
            </w:rPr>
            <w:fldChar w:fldCharType="separate"/>
          </w:r>
          <w:r>
            <w:rPr>
              <w:sz w:val="24"/>
              <w:szCs w:val="24"/>
            </w:rPr>
            <w:t>- 78 -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1113A91E">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_Toc31266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kern w:val="44"/>
              <w:sz w:val="24"/>
              <w:szCs w:val="24"/>
              <w:lang w:val="en-US" w:eastAsia="zh-CN" w:bidi="ar-SA"/>
            </w:rPr>
            <w:t>3、建设项目工程分析</w:t>
          </w:r>
          <w:r>
            <w:rPr>
              <w:sz w:val="24"/>
              <w:szCs w:val="24"/>
            </w:rPr>
            <w:tab/>
          </w:r>
          <w:r>
            <w:rPr>
              <w:sz w:val="24"/>
              <w:szCs w:val="24"/>
            </w:rPr>
            <w:fldChar w:fldCharType="begin"/>
          </w:r>
          <w:r>
            <w:rPr>
              <w:sz w:val="24"/>
              <w:szCs w:val="24"/>
            </w:rPr>
            <w:instrText xml:space="preserve"> PAGEREF _Toc31266 \h </w:instrText>
          </w:r>
          <w:r>
            <w:rPr>
              <w:sz w:val="24"/>
              <w:szCs w:val="24"/>
            </w:rPr>
            <w:fldChar w:fldCharType="separate"/>
          </w:r>
          <w:r>
            <w:rPr>
              <w:sz w:val="24"/>
              <w:szCs w:val="24"/>
            </w:rPr>
            <w:t>- 84 -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E15E40E">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_Toc12917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3.1现有工程回顾性调查及评价</w:t>
          </w:r>
          <w:r>
            <w:rPr>
              <w:sz w:val="24"/>
              <w:szCs w:val="24"/>
            </w:rPr>
            <w:tab/>
          </w:r>
          <w:r>
            <w:rPr>
              <w:sz w:val="24"/>
              <w:szCs w:val="24"/>
            </w:rPr>
            <w:fldChar w:fldCharType="begin"/>
          </w:r>
          <w:r>
            <w:rPr>
              <w:sz w:val="24"/>
              <w:szCs w:val="24"/>
            </w:rPr>
            <w:instrText xml:space="preserve"> PAGEREF _Toc12917 \h </w:instrText>
          </w:r>
          <w:r>
            <w:rPr>
              <w:sz w:val="24"/>
              <w:szCs w:val="24"/>
            </w:rPr>
            <w:fldChar w:fldCharType="separate"/>
          </w:r>
          <w:r>
            <w:rPr>
              <w:sz w:val="24"/>
              <w:szCs w:val="24"/>
            </w:rPr>
            <w:t>- 84 -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4026297">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_Toc9987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3.</w:t>
          </w:r>
          <w:r>
            <w:rPr>
              <w:rFonts w:hint="eastAsia" w:cs="Times New Roman"/>
              <w:bCs/>
              <w:kern w:val="2"/>
              <w:sz w:val="24"/>
              <w:szCs w:val="24"/>
              <w:lang w:val="en-US" w:eastAsia="zh-CN" w:bidi="ar-SA"/>
            </w:rPr>
            <w:t>2</w:t>
          </w:r>
          <w:r>
            <w:rPr>
              <w:rFonts w:hint="default" w:ascii="Times New Roman" w:hAnsi="Times New Roman" w:eastAsia="宋体" w:cs="Times New Roman"/>
              <w:bCs/>
              <w:kern w:val="2"/>
              <w:sz w:val="24"/>
              <w:szCs w:val="24"/>
              <w:lang w:val="en-US" w:eastAsia="zh-CN" w:bidi="ar-SA"/>
            </w:rPr>
            <w:t>工程概况</w:t>
          </w:r>
          <w:r>
            <w:rPr>
              <w:sz w:val="24"/>
              <w:szCs w:val="24"/>
            </w:rPr>
            <w:tab/>
          </w:r>
          <w:r>
            <w:rPr>
              <w:sz w:val="24"/>
              <w:szCs w:val="24"/>
            </w:rPr>
            <w:fldChar w:fldCharType="begin"/>
          </w:r>
          <w:r>
            <w:rPr>
              <w:sz w:val="24"/>
              <w:szCs w:val="24"/>
            </w:rPr>
            <w:instrText xml:space="preserve"> PAGEREF _Toc9987 \h </w:instrText>
          </w:r>
          <w:r>
            <w:rPr>
              <w:sz w:val="24"/>
              <w:szCs w:val="24"/>
            </w:rPr>
            <w:fldChar w:fldCharType="separate"/>
          </w:r>
          <w:r>
            <w:rPr>
              <w:sz w:val="24"/>
              <w:szCs w:val="24"/>
            </w:rPr>
            <w:t>- 106 -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291317E0">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_Toc4919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zh-CN" w:eastAsia="zh-CN" w:bidi="ar-SA"/>
            </w:rPr>
            <w:t>3.</w:t>
          </w:r>
          <w:r>
            <w:rPr>
              <w:rFonts w:hint="eastAsia" w:cs="Times New Roman"/>
              <w:bCs/>
              <w:kern w:val="2"/>
              <w:sz w:val="24"/>
              <w:szCs w:val="24"/>
              <w:lang w:val="en-US" w:eastAsia="zh-CN" w:bidi="ar-SA"/>
            </w:rPr>
            <w:t>3</w:t>
          </w:r>
          <w:r>
            <w:rPr>
              <w:rFonts w:hint="default" w:ascii="Times New Roman" w:hAnsi="Times New Roman" w:eastAsia="宋体" w:cs="Times New Roman"/>
              <w:bCs/>
              <w:kern w:val="2"/>
              <w:sz w:val="24"/>
              <w:szCs w:val="24"/>
              <w:lang w:val="zh-CN" w:eastAsia="zh-CN" w:bidi="ar-SA"/>
            </w:rPr>
            <w:t>工艺流程</w:t>
          </w:r>
          <w:r>
            <w:rPr>
              <w:sz w:val="24"/>
              <w:szCs w:val="24"/>
            </w:rPr>
            <w:tab/>
          </w:r>
          <w:r>
            <w:rPr>
              <w:sz w:val="24"/>
              <w:szCs w:val="24"/>
            </w:rPr>
            <w:fldChar w:fldCharType="begin"/>
          </w:r>
          <w:r>
            <w:rPr>
              <w:sz w:val="24"/>
              <w:szCs w:val="24"/>
            </w:rPr>
            <w:instrText xml:space="preserve"> PAGEREF _Toc4919 \h </w:instrText>
          </w:r>
          <w:r>
            <w:rPr>
              <w:sz w:val="24"/>
              <w:szCs w:val="24"/>
            </w:rPr>
            <w:fldChar w:fldCharType="separate"/>
          </w:r>
          <w:r>
            <w:rPr>
              <w:sz w:val="24"/>
              <w:szCs w:val="24"/>
            </w:rPr>
            <w:t>- 115 -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FB6CF54">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_Toc18864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3.</w:t>
          </w:r>
          <w:r>
            <w:rPr>
              <w:rFonts w:hint="eastAsia" w:cs="Times New Roman"/>
              <w:bCs/>
              <w:kern w:val="2"/>
              <w:sz w:val="24"/>
              <w:szCs w:val="24"/>
              <w:lang w:val="en-US" w:eastAsia="zh-CN" w:bidi="ar-SA"/>
            </w:rPr>
            <w:t>4</w:t>
          </w:r>
          <w:r>
            <w:rPr>
              <w:rFonts w:hint="default" w:ascii="Times New Roman" w:hAnsi="Times New Roman" w:eastAsia="宋体" w:cs="Times New Roman"/>
              <w:bCs/>
              <w:kern w:val="2"/>
              <w:sz w:val="24"/>
              <w:szCs w:val="24"/>
              <w:lang w:val="en-US" w:eastAsia="zh-CN" w:bidi="ar-SA"/>
            </w:rPr>
            <w:t>污染源分析</w:t>
          </w:r>
          <w:r>
            <w:rPr>
              <w:sz w:val="24"/>
              <w:szCs w:val="24"/>
            </w:rPr>
            <w:tab/>
          </w:r>
          <w:r>
            <w:rPr>
              <w:sz w:val="24"/>
              <w:szCs w:val="24"/>
            </w:rPr>
            <w:fldChar w:fldCharType="begin"/>
          </w:r>
          <w:r>
            <w:rPr>
              <w:sz w:val="24"/>
              <w:szCs w:val="24"/>
            </w:rPr>
            <w:instrText xml:space="preserve"> PAGEREF _Toc18864 \h </w:instrText>
          </w:r>
          <w:r>
            <w:rPr>
              <w:sz w:val="24"/>
              <w:szCs w:val="24"/>
            </w:rPr>
            <w:fldChar w:fldCharType="separate"/>
          </w:r>
          <w:r>
            <w:rPr>
              <w:sz w:val="24"/>
              <w:szCs w:val="24"/>
            </w:rPr>
            <w:t>- 133 -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13EFD88">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_Toc27383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3.</w:t>
          </w:r>
          <w:r>
            <w:rPr>
              <w:rFonts w:hint="eastAsia" w:cs="Times New Roman"/>
              <w:bCs/>
              <w:kern w:val="2"/>
              <w:sz w:val="24"/>
              <w:szCs w:val="24"/>
              <w:lang w:val="en-US" w:eastAsia="zh-CN" w:bidi="ar-SA"/>
            </w:rPr>
            <w:t>5</w:t>
          </w:r>
          <w:r>
            <w:rPr>
              <w:rFonts w:hint="default" w:ascii="Times New Roman" w:hAnsi="Times New Roman" w:eastAsia="宋体" w:cs="Times New Roman"/>
              <w:bCs/>
              <w:kern w:val="2"/>
              <w:sz w:val="24"/>
              <w:szCs w:val="24"/>
              <w:lang w:val="en-US" w:eastAsia="zh-CN" w:bidi="ar-SA"/>
            </w:rPr>
            <w:t>污染物排放汇总表</w:t>
          </w:r>
          <w:r>
            <w:rPr>
              <w:sz w:val="24"/>
              <w:szCs w:val="24"/>
            </w:rPr>
            <w:tab/>
          </w:r>
          <w:r>
            <w:rPr>
              <w:sz w:val="24"/>
              <w:szCs w:val="24"/>
            </w:rPr>
            <w:fldChar w:fldCharType="begin"/>
          </w:r>
          <w:r>
            <w:rPr>
              <w:sz w:val="24"/>
              <w:szCs w:val="24"/>
            </w:rPr>
            <w:instrText xml:space="preserve"> PAGEREF _Toc27383 \h </w:instrText>
          </w:r>
          <w:r>
            <w:rPr>
              <w:sz w:val="24"/>
              <w:szCs w:val="24"/>
            </w:rPr>
            <w:fldChar w:fldCharType="separate"/>
          </w:r>
          <w:r>
            <w:rPr>
              <w:sz w:val="24"/>
              <w:szCs w:val="24"/>
            </w:rPr>
            <w:t>- 155 -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854A50A">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_Toc22333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楷体_GB2312"/>
              <w:bCs/>
              <w:kern w:val="2"/>
              <w:sz w:val="24"/>
              <w:szCs w:val="24"/>
              <w:lang w:val="en-US" w:eastAsia="zh-CN" w:bidi="ar-SA"/>
            </w:rPr>
            <w:t>3.</w:t>
          </w:r>
          <w:r>
            <w:rPr>
              <w:rFonts w:hint="eastAsia" w:cs="楷体_GB2312"/>
              <w:bCs/>
              <w:kern w:val="2"/>
              <w:sz w:val="24"/>
              <w:szCs w:val="24"/>
              <w:lang w:val="en-US" w:eastAsia="zh-CN" w:bidi="ar-SA"/>
            </w:rPr>
            <w:t>6</w:t>
          </w:r>
          <w:r>
            <w:rPr>
              <w:rFonts w:hint="default" w:ascii="Times New Roman" w:hAnsi="Times New Roman" w:eastAsia="宋体" w:cs="楷体_GB2312"/>
              <w:bCs/>
              <w:kern w:val="2"/>
              <w:sz w:val="24"/>
              <w:szCs w:val="24"/>
              <w:lang w:val="en-US" w:eastAsia="zh-CN" w:bidi="ar-SA"/>
            </w:rPr>
            <w:t>清洁生产与循环经济分析</w:t>
          </w:r>
          <w:r>
            <w:rPr>
              <w:sz w:val="24"/>
              <w:szCs w:val="24"/>
            </w:rPr>
            <w:tab/>
          </w:r>
          <w:r>
            <w:rPr>
              <w:sz w:val="24"/>
              <w:szCs w:val="24"/>
            </w:rPr>
            <w:fldChar w:fldCharType="begin"/>
          </w:r>
          <w:r>
            <w:rPr>
              <w:sz w:val="24"/>
              <w:szCs w:val="24"/>
            </w:rPr>
            <w:instrText xml:space="preserve"> PAGEREF _Toc22333 \h </w:instrText>
          </w:r>
          <w:r>
            <w:rPr>
              <w:sz w:val="24"/>
              <w:szCs w:val="24"/>
            </w:rPr>
            <w:fldChar w:fldCharType="separate"/>
          </w:r>
          <w:r>
            <w:rPr>
              <w:sz w:val="24"/>
              <w:szCs w:val="24"/>
            </w:rPr>
            <w:t>- 157 -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7DE4B025">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_Toc1930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44"/>
              <w:sz w:val="24"/>
              <w:szCs w:val="24"/>
              <w:lang w:val="en-US" w:eastAsia="zh-CN" w:bidi="ar-SA"/>
            </w:rPr>
            <w:t>4、环境现状调查与评价</w:t>
          </w:r>
          <w:r>
            <w:rPr>
              <w:sz w:val="24"/>
              <w:szCs w:val="24"/>
            </w:rPr>
            <w:tab/>
          </w:r>
          <w:r>
            <w:rPr>
              <w:sz w:val="24"/>
              <w:szCs w:val="24"/>
            </w:rPr>
            <w:fldChar w:fldCharType="begin"/>
          </w:r>
          <w:r>
            <w:rPr>
              <w:sz w:val="24"/>
              <w:szCs w:val="24"/>
            </w:rPr>
            <w:instrText xml:space="preserve"> PAGEREF _Toc1930 \h </w:instrText>
          </w:r>
          <w:r>
            <w:rPr>
              <w:sz w:val="24"/>
              <w:szCs w:val="24"/>
            </w:rPr>
            <w:fldChar w:fldCharType="separate"/>
          </w:r>
          <w:r>
            <w:rPr>
              <w:sz w:val="24"/>
              <w:szCs w:val="24"/>
            </w:rPr>
            <w:t>- 164 -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311E3B3">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_Toc9972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0"/>
              <w:sz w:val="24"/>
              <w:szCs w:val="24"/>
              <w:lang w:val="en-US" w:eastAsia="zh-CN" w:bidi="ar-SA"/>
            </w:rPr>
            <w:t>4.1自然环境概况</w:t>
          </w:r>
          <w:r>
            <w:rPr>
              <w:sz w:val="24"/>
              <w:szCs w:val="24"/>
            </w:rPr>
            <w:tab/>
          </w:r>
          <w:r>
            <w:rPr>
              <w:sz w:val="24"/>
              <w:szCs w:val="24"/>
            </w:rPr>
            <w:fldChar w:fldCharType="begin"/>
          </w:r>
          <w:r>
            <w:rPr>
              <w:sz w:val="24"/>
              <w:szCs w:val="24"/>
            </w:rPr>
            <w:instrText xml:space="preserve"> PAGEREF _Toc9972 \h </w:instrText>
          </w:r>
          <w:r>
            <w:rPr>
              <w:sz w:val="24"/>
              <w:szCs w:val="24"/>
            </w:rPr>
            <w:fldChar w:fldCharType="separate"/>
          </w:r>
          <w:r>
            <w:rPr>
              <w:sz w:val="24"/>
              <w:szCs w:val="24"/>
            </w:rPr>
            <w:t>- 164 -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F1B3E78">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_Toc18615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0"/>
              <w:sz w:val="24"/>
              <w:szCs w:val="24"/>
              <w:lang w:val="en-US" w:eastAsia="zh-CN" w:bidi="ar-SA"/>
            </w:rPr>
            <w:t>4.</w:t>
          </w:r>
          <w:r>
            <w:rPr>
              <w:rFonts w:hint="eastAsia" w:eastAsia="宋体" w:cs="Times New Roman"/>
              <w:bCs/>
              <w:kern w:val="0"/>
              <w:sz w:val="24"/>
              <w:szCs w:val="24"/>
              <w:lang w:val="en-US" w:eastAsia="zh-CN" w:bidi="ar-SA"/>
            </w:rPr>
            <w:t>2</w:t>
          </w:r>
          <w:r>
            <w:rPr>
              <w:rFonts w:hint="default" w:ascii="Times New Roman" w:hAnsi="Times New Roman" w:eastAsia="宋体" w:cs="Times New Roman"/>
              <w:bCs/>
              <w:kern w:val="0"/>
              <w:sz w:val="24"/>
              <w:szCs w:val="24"/>
              <w:lang w:val="en-US" w:eastAsia="zh-CN" w:bidi="ar-SA"/>
            </w:rPr>
            <w:t>环境质量现状调查及评价</w:t>
          </w:r>
          <w:r>
            <w:rPr>
              <w:sz w:val="24"/>
              <w:szCs w:val="24"/>
            </w:rPr>
            <w:tab/>
          </w:r>
          <w:r>
            <w:rPr>
              <w:sz w:val="24"/>
              <w:szCs w:val="24"/>
            </w:rPr>
            <w:fldChar w:fldCharType="begin"/>
          </w:r>
          <w:r>
            <w:rPr>
              <w:sz w:val="24"/>
              <w:szCs w:val="24"/>
            </w:rPr>
            <w:instrText xml:space="preserve"> PAGEREF _Toc18615 \h </w:instrText>
          </w:r>
          <w:r>
            <w:rPr>
              <w:sz w:val="24"/>
              <w:szCs w:val="24"/>
            </w:rPr>
            <w:fldChar w:fldCharType="separate"/>
          </w:r>
          <w:r>
            <w:rPr>
              <w:sz w:val="24"/>
              <w:szCs w:val="24"/>
            </w:rPr>
            <w:t>- 168 -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393B682C">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_Toc28825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kern w:val="44"/>
              <w:sz w:val="24"/>
              <w:szCs w:val="24"/>
              <w:lang w:val="en-US" w:eastAsia="zh-CN" w:bidi="ar-SA"/>
            </w:rPr>
            <w:t>5、环境影响预测与评价</w:t>
          </w:r>
          <w:r>
            <w:rPr>
              <w:sz w:val="24"/>
              <w:szCs w:val="24"/>
            </w:rPr>
            <w:tab/>
          </w:r>
          <w:r>
            <w:rPr>
              <w:sz w:val="24"/>
              <w:szCs w:val="24"/>
            </w:rPr>
            <w:fldChar w:fldCharType="begin"/>
          </w:r>
          <w:r>
            <w:rPr>
              <w:sz w:val="24"/>
              <w:szCs w:val="24"/>
            </w:rPr>
            <w:instrText xml:space="preserve"> PAGEREF _Toc28825 \h </w:instrText>
          </w:r>
          <w:r>
            <w:rPr>
              <w:sz w:val="24"/>
              <w:szCs w:val="24"/>
            </w:rPr>
            <w:fldChar w:fldCharType="separate"/>
          </w:r>
          <w:r>
            <w:rPr>
              <w:sz w:val="24"/>
              <w:szCs w:val="24"/>
            </w:rPr>
            <w:t>- 182 -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E7F258E">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_Toc27106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sz w:val="24"/>
              <w:szCs w:val="24"/>
              <w:lang w:val="en-US" w:eastAsia="zh-CN" w:bidi="ar-SA"/>
            </w:rPr>
            <w:t>5.1施工期环境影响分析</w:t>
          </w:r>
          <w:r>
            <w:rPr>
              <w:sz w:val="24"/>
              <w:szCs w:val="24"/>
            </w:rPr>
            <w:tab/>
          </w:r>
          <w:r>
            <w:rPr>
              <w:sz w:val="24"/>
              <w:szCs w:val="24"/>
            </w:rPr>
            <w:fldChar w:fldCharType="begin"/>
          </w:r>
          <w:r>
            <w:rPr>
              <w:sz w:val="24"/>
              <w:szCs w:val="24"/>
            </w:rPr>
            <w:instrText xml:space="preserve"> PAGEREF _Toc27106 \h </w:instrText>
          </w:r>
          <w:r>
            <w:rPr>
              <w:sz w:val="24"/>
              <w:szCs w:val="24"/>
            </w:rPr>
            <w:fldChar w:fldCharType="separate"/>
          </w:r>
          <w:r>
            <w:rPr>
              <w:sz w:val="24"/>
              <w:szCs w:val="24"/>
            </w:rPr>
            <w:t>- 182 -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363C2B7E">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_Toc8685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sz w:val="24"/>
              <w:szCs w:val="24"/>
              <w:lang w:val="en-US" w:eastAsia="zh-CN" w:bidi="ar-SA"/>
            </w:rPr>
            <w:t>5.2</w:t>
          </w:r>
          <w:r>
            <w:rPr>
              <w:rFonts w:hint="eastAsia" w:ascii="Times New Roman" w:hAnsi="Times New Roman" w:eastAsia="宋体" w:cs="Times New Roman"/>
              <w:bCs/>
              <w:sz w:val="24"/>
              <w:szCs w:val="24"/>
              <w:lang w:val="en-US" w:eastAsia="zh-CN" w:bidi="ar-SA"/>
            </w:rPr>
            <w:t>运营期</w:t>
          </w:r>
          <w:r>
            <w:rPr>
              <w:rFonts w:hint="default" w:ascii="Times New Roman" w:hAnsi="Times New Roman" w:eastAsia="宋体" w:cs="Times New Roman"/>
              <w:bCs/>
              <w:sz w:val="24"/>
              <w:szCs w:val="24"/>
              <w:lang w:val="en-US" w:eastAsia="zh-CN" w:bidi="ar-SA"/>
            </w:rPr>
            <w:t>环境影响预测及评价</w:t>
          </w:r>
          <w:r>
            <w:rPr>
              <w:sz w:val="24"/>
              <w:szCs w:val="24"/>
            </w:rPr>
            <w:tab/>
          </w:r>
          <w:r>
            <w:rPr>
              <w:sz w:val="24"/>
              <w:szCs w:val="24"/>
            </w:rPr>
            <w:fldChar w:fldCharType="begin"/>
          </w:r>
          <w:r>
            <w:rPr>
              <w:sz w:val="24"/>
              <w:szCs w:val="24"/>
            </w:rPr>
            <w:instrText xml:space="preserve"> PAGEREF _Toc8685 \h </w:instrText>
          </w:r>
          <w:r>
            <w:rPr>
              <w:sz w:val="24"/>
              <w:szCs w:val="24"/>
            </w:rPr>
            <w:fldChar w:fldCharType="separate"/>
          </w:r>
          <w:r>
            <w:rPr>
              <w:sz w:val="24"/>
              <w:szCs w:val="24"/>
            </w:rPr>
            <w:t>- 187 -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26EA4F4D">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_Toc27144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6、环境风险评价</w:t>
          </w:r>
          <w:r>
            <w:rPr>
              <w:sz w:val="24"/>
              <w:szCs w:val="24"/>
            </w:rPr>
            <w:tab/>
          </w:r>
          <w:r>
            <w:rPr>
              <w:sz w:val="24"/>
              <w:szCs w:val="24"/>
            </w:rPr>
            <w:fldChar w:fldCharType="begin"/>
          </w:r>
          <w:r>
            <w:rPr>
              <w:sz w:val="24"/>
              <w:szCs w:val="24"/>
            </w:rPr>
            <w:instrText xml:space="preserve"> PAGEREF _Toc27144 \h </w:instrText>
          </w:r>
          <w:r>
            <w:rPr>
              <w:sz w:val="24"/>
              <w:szCs w:val="24"/>
            </w:rPr>
            <w:fldChar w:fldCharType="separate"/>
          </w:r>
          <w:r>
            <w:rPr>
              <w:sz w:val="24"/>
              <w:szCs w:val="24"/>
            </w:rPr>
            <w:t>- 255 -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8F7DE75">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_Toc27952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6.1风险评价目的</w:t>
          </w:r>
          <w:r>
            <w:rPr>
              <w:sz w:val="24"/>
              <w:szCs w:val="24"/>
            </w:rPr>
            <w:tab/>
          </w:r>
          <w:r>
            <w:rPr>
              <w:sz w:val="24"/>
              <w:szCs w:val="24"/>
            </w:rPr>
            <w:fldChar w:fldCharType="begin"/>
          </w:r>
          <w:r>
            <w:rPr>
              <w:sz w:val="24"/>
              <w:szCs w:val="24"/>
            </w:rPr>
            <w:instrText xml:space="preserve"> PAGEREF _Toc27952 \h </w:instrText>
          </w:r>
          <w:r>
            <w:rPr>
              <w:sz w:val="24"/>
              <w:szCs w:val="24"/>
            </w:rPr>
            <w:fldChar w:fldCharType="separate"/>
          </w:r>
          <w:r>
            <w:rPr>
              <w:sz w:val="24"/>
              <w:szCs w:val="24"/>
            </w:rPr>
            <w:t>- 255 -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758EA415">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_Toc3265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6.2风险识别及分析</w:t>
          </w:r>
          <w:r>
            <w:rPr>
              <w:sz w:val="24"/>
              <w:szCs w:val="24"/>
            </w:rPr>
            <w:tab/>
          </w:r>
          <w:r>
            <w:rPr>
              <w:sz w:val="24"/>
              <w:szCs w:val="24"/>
            </w:rPr>
            <w:fldChar w:fldCharType="begin"/>
          </w:r>
          <w:r>
            <w:rPr>
              <w:sz w:val="24"/>
              <w:szCs w:val="24"/>
            </w:rPr>
            <w:instrText xml:space="preserve"> PAGEREF _Toc3265 \h </w:instrText>
          </w:r>
          <w:r>
            <w:rPr>
              <w:sz w:val="24"/>
              <w:szCs w:val="24"/>
            </w:rPr>
            <w:fldChar w:fldCharType="separate"/>
          </w:r>
          <w:r>
            <w:rPr>
              <w:sz w:val="24"/>
              <w:szCs w:val="24"/>
            </w:rPr>
            <w:t>- 258 -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6BDD1ACD">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_Toc16550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6.3社会环境影响分析</w:t>
          </w:r>
          <w:r>
            <w:rPr>
              <w:sz w:val="24"/>
              <w:szCs w:val="24"/>
            </w:rPr>
            <w:tab/>
          </w:r>
          <w:r>
            <w:rPr>
              <w:sz w:val="24"/>
              <w:szCs w:val="24"/>
            </w:rPr>
            <w:fldChar w:fldCharType="begin"/>
          </w:r>
          <w:r>
            <w:rPr>
              <w:sz w:val="24"/>
              <w:szCs w:val="24"/>
            </w:rPr>
            <w:instrText xml:space="preserve"> PAGEREF _Toc16550 \h </w:instrText>
          </w:r>
          <w:r>
            <w:rPr>
              <w:sz w:val="24"/>
              <w:szCs w:val="24"/>
            </w:rPr>
            <w:fldChar w:fldCharType="separate"/>
          </w:r>
          <w:r>
            <w:rPr>
              <w:sz w:val="24"/>
              <w:szCs w:val="24"/>
            </w:rPr>
            <w:t>- 261 -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390CA0AD">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_Toc1053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6.4风险事故防范措施</w:t>
          </w:r>
          <w:r>
            <w:rPr>
              <w:sz w:val="24"/>
              <w:szCs w:val="24"/>
            </w:rPr>
            <w:tab/>
          </w:r>
          <w:r>
            <w:rPr>
              <w:sz w:val="24"/>
              <w:szCs w:val="24"/>
            </w:rPr>
            <w:fldChar w:fldCharType="begin"/>
          </w:r>
          <w:r>
            <w:rPr>
              <w:sz w:val="24"/>
              <w:szCs w:val="24"/>
            </w:rPr>
            <w:instrText xml:space="preserve"> PAGEREF _Toc1053 \h </w:instrText>
          </w:r>
          <w:r>
            <w:rPr>
              <w:sz w:val="24"/>
              <w:szCs w:val="24"/>
            </w:rPr>
            <w:fldChar w:fldCharType="separate"/>
          </w:r>
          <w:r>
            <w:rPr>
              <w:sz w:val="24"/>
              <w:szCs w:val="24"/>
            </w:rPr>
            <w:t>- 265 -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2C7ED80D">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_Toc6008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6.5应急预案</w:t>
          </w:r>
          <w:r>
            <w:rPr>
              <w:sz w:val="24"/>
              <w:szCs w:val="24"/>
            </w:rPr>
            <w:tab/>
          </w:r>
          <w:r>
            <w:rPr>
              <w:sz w:val="24"/>
              <w:szCs w:val="24"/>
            </w:rPr>
            <w:fldChar w:fldCharType="begin"/>
          </w:r>
          <w:r>
            <w:rPr>
              <w:sz w:val="24"/>
              <w:szCs w:val="24"/>
            </w:rPr>
            <w:instrText xml:space="preserve"> PAGEREF _Toc6008 \h </w:instrText>
          </w:r>
          <w:r>
            <w:rPr>
              <w:sz w:val="24"/>
              <w:szCs w:val="24"/>
            </w:rPr>
            <w:fldChar w:fldCharType="separate"/>
          </w:r>
          <w:r>
            <w:rPr>
              <w:sz w:val="24"/>
              <w:szCs w:val="24"/>
            </w:rPr>
            <w:t>- 271 -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24A9BDDE">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_Toc4757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kern w:val="2"/>
              <w:sz w:val="24"/>
              <w:szCs w:val="24"/>
              <w:lang w:val="en-US" w:eastAsia="zh-CN" w:bidi="ar-SA"/>
            </w:rPr>
            <w:t>6.6风险评价结论</w:t>
          </w:r>
          <w:r>
            <w:rPr>
              <w:sz w:val="24"/>
              <w:szCs w:val="24"/>
            </w:rPr>
            <w:tab/>
          </w:r>
          <w:r>
            <w:rPr>
              <w:sz w:val="24"/>
              <w:szCs w:val="24"/>
            </w:rPr>
            <w:fldChar w:fldCharType="begin"/>
          </w:r>
          <w:r>
            <w:rPr>
              <w:sz w:val="24"/>
              <w:szCs w:val="24"/>
            </w:rPr>
            <w:instrText xml:space="preserve"> PAGEREF _Toc4757 \h </w:instrText>
          </w:r>
          <w:r>
            <w:rPr>
              <w:sz w:val="24"/>
              <w:szCs w:val="24"/>
            </w:rPr>
            <w:fldChar w:fldCharType="separate"/>
          </w:r>
          <w:r>
            <w:rPr>
              <w:sz w:val="24"/>
              <w:szCs w:val="24"/>
            </w:rPr>
            <w:t>- 273 -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1CE7D07B">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_Toc22117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7、环境保护措施及其可行性分析</w:t>
          </w:r>
          <w:r>
            <w:rPr>
              <w:sz w:val="24"/>
              <w:szCs w:val="24"/>
            </w:rPr>
            <w:tab/>
          </w:r>
          <w:r>
            <w:rPr>
              <w:sz w:val="24"/>
              <w:szCs w:val="24"/>
            </w:rPr>
            <w:fldChar w:fldCharType="begin"/>
          </w:r>
          <w:r>
            <w:rPr>
              <w:sz w:val="24"/>
              <w:szCs w:val="24"/>
            </w:rPr>
            <w:instrText xml:space="preserve"> PAGEREF _Toc22117 \h </w:instrText>
          </w:r>
          <w:r>
            <w:rPr>
              <w:sz w:val="24"/>
              <w:szCs w:val="24"/>
            </w:rPr>
            <w:fldChar w:fldCharType="separate"/>
          </w:r>
          <w:r>
            <w:rPr>
              <w:sz w:val="24"/>
              <w:szCs w:val="24"/>
            </w:rPr>
            <w:t>- 275 -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776E71C">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_Toc11630 </w:instrText>
          </w:r>
          <w:r>
            <w:rPr>
              <w:rFonts w:hint="default" w:ascii="Times New Roman" w:hAnsi="Times New Roman" w:eastAsia="宋体" w:cs="Times New Roman"/>
              <w:bCs w:val="0"/>
              <w:kern w:val="44"/>
              <w:sz w:val="24"/>
              <w:szCs w:val="24"/>
              <w:lang w:val="en-US" w:eastAsia="zh-CN" w:bidi="ar-SA"/>
            </w:rPr>
            <w:fldChar w:fldCharType="separate"/>
          </w:r>
          <w:r>
            <w:rPr>
              <w:rFonts w:hint="default" w:ascii="Times New Roman" w:hAnsi="Times New Roman" w:eastAsia="宋体" w:cs="Times New Roman"/>
              <w:bCs/>
              <w:sz w:val="24"/>
              <w:szCs w:val="24"/>
              <w:lang w:val="en-US" w:eastAsia="zh-CN" w:bidi="ar-SA"/>
            </w:rPr>
            <w:t>7.1施工期污染防治措施分析</w:t>
          </w:r>
          <w:r>
            <w:rPr>
              <w:sz w:val="24"/>
              <w:szCs w:val="24"/>
            </w:rPr>
            <w:tab/>
          </w:r>
          <w:r>
            <w:rPr>
              <w:sz w:val="24"/>
              <w:szCs w:val="24"/>
            </w:rPr>
            <w:fldChar w:fldCharType="begin"/>
          </w:r>
          <w:r>
            <w:rPr>
              <w:sz w:val="24"/>
              <w:szCs w:val="24"/>
            </w:rPr>
            <w:instrText xml:space="preserve"> PAGEREF _Toc11630 \h </w:instrText>
          </w:r>
          <w:r>
            <w:rPr>
              <w:sz w:val="24"/>
              <w:szCs w:val="24"/>
            </w:rPr>
            <w:fldChar w:fldCharType="separate"/>
          </w:r>
          <w:r>
            <w:rPr>
              <w:sz w:val="24"/>
              <w:szCs w:val="24"/>
            </w:rPr>
            <w:t>- 275 -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6BDEBAA4">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_Toc15128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7</w:t>
          </w:r>
          <w:r>
            <w:rPr>
              <w:rFonts w:hint="default" w:ascii="Times New Roman" w:hAnsi="Times New Roman" w:eastAsia="宋体" w:cs="Times New Roman"/>
              <w:bCs/>
              <w:kern w:val="2"/>
              <w:sz w:val="24"/>
              <w:szCs w:val="24"/>
              <w:lang w:val="en-US" w:eastAsia="zh-CN" w:bidi="ar-SA"/>
            </w:rPr>
            <w:t>.2运营期的环境保护措施</w:t>
          </w:r>
          <w:r>
            <w:rPr>
              <w:sz w:val="24"/>
              <w:szCs w:val="24"/>
            </w:rPr>
            <w:tab/>
          </w:r>
          <w:r>
            <w:rPr>
              <w:sz w:val="24"/>
              <w:szCs w:val="24"/>
            </w:rPr>
            <w:fldChar w:fldCharType="begin"/>
          </w:r>
          <w:r>
            <w:rPr>
              <w:sz w:val="24"/>
              <w:szCs w:val="24"/>
            </w:rPr>
            <w:instrText xml:space="preserve"> PAGEREF _Toc15128 \h </w:instrText>
          </w:r>
          <w:r>
            <w:rPr>
              <w:sz w:val="24"/>
              <w:szCs w:val="24"/>
            </w:rPr>
            <w:fldChar w:fldCharType="separate"/>
          </w:r>
          <w:r>
            <w:rPr>
              <w:sz w:val="24"/>
              <w:szCs w:val="24"/>
            </w:rPr>
            <w:t>- 279 -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11AF22DB">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_Toc11066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kern w:val="44"/>
              <w:sz w:val="24"/>
              <w:szCs w:val="24"/>
              <w:lang w:val="en-US" w:eastAsia="zh-CN" w:bidi="ar-SA"/>
            </w:rPr>
            <w:t>8</w:t>
          </w:r>
          <w:r>
            <w:rPr>
              <w:rFonts w:hint="default" w:ascii="Times New Roman" w:hAnsi="Times New Roman" w:eastAsia="宋体" w:cs="Times New Roman"/>
              <w:kern w:val="44"/>
              <w:sz w:val="24"/>
              <w:szCs w:val="24"/>
              <w:lang w:val="en-US" w:eastAsia="zh-CN" w:bidi="ar-SA"/>
            </w:rPr>
            <w:t>、环境</w:t>
          </w:r>
          <w:r>
            <w:rPr>
              <w:rFonts w:hint="eastAsia" w:ascii="Times New Roman" w:hAnsi="Times New Roman" w:eastAsia="宋体" w:cs="Times New Roman"/>
              <w:kern w:val="44"/>
              <w:sz w:val="24"/>
              <w:szCs w:val="24"/>
              <w:lang w:val="en-US" w:eastAsia="zh-CN" w:bidi="ar-SA"/>
            </w:rPr>
            <w:t>影响</w:t>
          </w:r>
          <w:r>
            <w:rPr>
              <w:rFonts w:hint="default" w:ascii="Times New Roman" w:hAnsi="Times New Roman" w:eastAsia="宋体" w:cs="Times New Roman"/>
              <w:kern w:val="44"/>
              <w:sz w:val="24"/>
              <w:szCs w:val="24"/>
              <w:lang w:val="en-US" w:eastAsia="zh-CN" w:bidi="ar-SA"/>
            </w:rPr>
            <w:t>经济损益分析</w:t>
          </w:r>
          <w:r>
            <w:rPr>
              <w:sz w:val="24"/>
              <w:szCs w:val="24"/>
            </w:rPr>
            <w:tab/>
          </w:r>
          <w:r>
            <w:rPr>
              <w:sz w:val="24"/>
              <w:szCs w:val="24"/>
            </w:rPr>
            <w:fldChar w:fldCharType="begin"/>
          </w:r>
          <w:r>
            <w:rPr>
              <w:sz w:val="24"/>
              <w:szCs w:val="24"/>
            </w:rPr>
            <w:instrText xml:space="preserve"> PAGEREF _Toc11066 \h </w:instrText>
          </w:r>
          <w:r>
            <w:rPr>
              <w:sz w:val="24"/>
              <w:szCs w:val="24"/>
            </w:rPr>
            <w:fldChar w:fldCharType="separate"/>
          </w:r>
          <w:r>
            <w:rPr>
              <w:sz w:val="24"/>
              <w:szCs w:val="24"/>
            </w:rPr>
            <w:t>- 326 -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6A509F4F">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_Toc23333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8.1分析方法</w:t>
          </w:r>
          <w:r>
            <w:rPr>
              <w:sz w:val="24"/>
              <w:szCs w:val="24"/>
            </w:rPr>
            <w:tab/>
          </w:r>
          <w:r>
            <w:rPr>
              <w:sz w:val="24"/>
              <w:szCs w:val="24"/>
            </w:rPr>
            <w:fldChar w:fldCharType="begin"/>
          </w:r>
          <w:r>
            <w:rPr>
              <w:sz w:val="24"/>
              <w:szCs w:val="24"/>
            </w:rPr>
            <w:instrText xml:space="preserve"> PAGEREF _Toc23333 \h </w:instrText>
          </w:r>
          <w:r>
            <w:rPr>
              <w:sz w:val="24"/>
              <w:szCs w:val="24"/>
            </w:rPr>
            <w:fldChar w:fldCharType="separate"/>
          </w:r>
          <w:r>
            <w:rPr>
              <w:sz w:val="24"/>
              <w:szCs w:val="24"/>
            </w:rPr>
            <w:t>- 326 -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13F5080D">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_Toc10077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8</w:t>
          </w:r>
          <w:r>
            <w:rPr>
              <w:rFonts w:hint="default"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bCs/>
              <w:kern w:val="2"/>
              <w:sz w:val="24"/>
              <w:szCs w:val="24"/>
              <w:lang w:val="en-US" w:eastAsia="zh-CN" w:bidi="ar-SA"/>
            </w:rPr>
            <w:t>2经济效益分析</w:t>
          </w:r>
          <w:r>
            <w:rPr>
              <w:sz w:val="24"/>
              <w:szCs w:val="24"/>
            </w:rPr>
            <w:tab/>
          </w:r>
          <w:r>
            <w:rPr>
              <w:sz w:val="24"/>
              <w:szCs w:val="24"/>
            </w:rPr>
            <w:fldChar w:fldCharType="begin"/>
          </w:r>
          <w:r>
            <w:rPr>
              <w:sz w:val="24"/>
              <w:szCs w:val="24"/>
            </w:rPr>
            <w:instrText xml:space="preserve"> PAGEREF _Toc10077 \h </w:instrText>
          </w:r>
          <w:r>
            <w:rPr>
              <w:sz w:val="24"/>
              <w:szCs w:val="24"/>
            </w:rPr>
            <w:fldChar w:fldCharType="separate"/>
          </w:r>
          <w:r>
            <w:rPr>
              <w:sz w:val="24"/>
              <w:szCs w:val="24"/>
            </w:rPr>
            <w:t>- 326 -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0A5FB99">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_Toc22522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8.3社会效益分析</w:t>
          </w:r>
          <w:r>
            <w:rPr>
              <w:sz w:val="24"/>
              <w:szCs w:val="24"/>
            </w:rPr>
            <w:tab/>
          </w:r>
          <w:r>
            <w:rPr>
              <w:sz w:val="24"/>
              <w:szCs w:val="24"/>
            </w:rPr>
            <w:fldChar w:fldCharType="begin"/>
          </w:r>
          <w:r>
            <w:rPr>
              <w:sz w:val="24"/>
              <w:szCs w:val="24"/>
            </w:rPr>
            <w:instrText xml:space="preserve"> PAGEREF _Toc22522 \h </w:instrText>
          </w:r>
          <w:r>
            <w:rPr>
              <w:sz w:val="24"/>
              <w:szCs w:val="24"/>
            </w:rPr>
            <w:fldChar w:fldCharType="separate"/>
          </w:r>
          <w:r>
            <w:rPr>
              <w:sz w:val="24"/>
              <w:szCs w:val="24"/>
            </w:rPr>
            <w:t>- 326 -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33858438">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_Toc19137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8.4环境经济损益分析</w:t>
          </w:r>
          <w:r>
            <w:rPr>
              <w:sz w:val="24"/>
              <w:szCs w:val="24"/>
            </w:rPr>
            <w:tab/>
          </w:r>
          <w:r>
            <w:rPr>
              <w:sz w:val="24"/>
              <w:szCs w:val="24"/>
            </w:rPr>
            <w:fldChar w:fldCharType="begin"/>
          </w:r>
          <w:r>
            <w:rPr>
              <w:sz w:val="24"/>
              <w:szCs w:val="24"/>
            </w:rPr>
            <w:instrText xml:space="preserve"> PAGEREF _Toc19137 \h </w:instrText>
          </w:r>
          <w:r>
            <w:rPr>
              <w:sz w:val="24"/>
              <w:szCs w:val="24"/>
            </w:rPr>
            <w:fldChar w:fldCharType="separate"/>
          </w:r>
          <w:r>
            <w:rPr>
              <w:sz w:val="24"/>
              <w:szCs w:val="24"/>
            </w:rPr>
            <w:t>- 327 -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0BF73349">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_Toc22342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kern w:val="44"/>
              <w:sz w:val="24"/>
              <w:szCs w:val="24"/>
              <w:lang w:val="en-US" w:eastAsia="zh-CN" w:bidi="ar-SA"/>
            </w:rPr>
            <w:t>9</w:t>
          </w:r>
          <w:r>
            <w:rPr>
              <w:rFonts w:hint="default" w:ascii="Times New Roman" w:hAnsi="Times New Roman" w:eastAsia="宋体" w:cs="Times New Roman"/>
              <w:kern w:val="44"/>
              <w:sz w:val="24"/>
              <w:szCs w:val="24"/>
              <w:lang w:val="en-US" w:eastAsia="zh-CN" w:bidi="ar-SA"/>
            </w:rPr>
            <w:t>、环境管理</w:t>
          </w:r>
          <w:r>
            <w:rPr>
              <w:rFonts w:hint="eastAsia" w:ascii="Times New Roman" w:hAnsi="Times New Roman" w:eastAsia="宋体" w:cs="Times New Roman"/>
              <w:kern w:val="44"/>
              <w:sz w:val="24"/>
              <w:szCs w:val="24"/>
              <w:lang w:val="en-US" w:eastAsia="zh-CN" w:bidi="ar-SA"/>
            </w:rPr>
            <w:t>与</w:t>
          </w:r>
          <w:r>
            <w:rPr>
              <w:rFonts w:hint="default" w:ascii="Times New Roman" w:hAnsi="Times New Roman" w:eastAsia="宋体" w:cs="Times New Roman"/>
              <w:kern w:val="44"/>
              <w:sz w:val="24"/>
              <w:szCs w:val="24"/>
              <w:lang w:val="en-US" w:eastAsia="zh-CN" w:bidi="ar-SA"/>
            </w:rPr>
            <w:t>监测计划</w:t>
          </w:r>
          <w:r>
            <w:rPr>
              <w:sz w:val="24"/>
              <w:szCs w:val="24"/>
            </w:rPr>
            <w:tab/>
          </w:r>
          <w:r>
            <w:rPr>
              <w:sz w:val="24"/>
              <w:szCs w:val="24"/>
            </w:rPr>
            <w:fldChar w:fldCharType="begin"/>
          </w:r>
          <w:r>
            <w:rPr>
              <w:sz w:val="24"/>
              <w:szCs w:val="24"/>
            </w:rPr>
            <w:instrText xml:space="preserve"> PAGEREF _Toc22342 \h </w:instrText>
          </w:r>
          <w:r>
            <w:rPr>
              <w:sz w:val="24"/>
              <w:szCs w:val="24"/>
            </w:rPr>
            <w:fldChar w:fldCharType="separate"/>
          </w:r>
          <w:r>
            <w:rPr>
              <w:sz w:val="24"/>
              <w:szCs w:val="24"/>
            </w:rPr>
            <w:t>- 330 -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693D3640">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_Toc27418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9</w:t>
          </w:r>
          <w:r>
            <w:rPr>
              <w:rFonts w:hint="default" w:ascii="Times New Roman" w:hAnsi="Times New Roman" w:eastAsia="宋体" w:cs="Times New Roman"/>
              <w:bCs/>
              <w:kern w:val="2"/>
              <w:sz w:val="24"/>
              <w:szCs w:val="24"/>
              <w:lang w:val="en-US" w:eastAsia="zh-CN" w:bidi="ar-SA"/>
            </w:rPr>
            <w:t>.1环境管理、机构设置</w:t>
          </w:r>
          <w:r>
            <w:rPr>
              <w:sz w:val="24"/>
              <w:szCs w:val="24"/>
            </w:rPr>
            <w:tab/>
          </w:r>
          <w:r>
            <w:rPr>
              <w:sz w:val="24"/>
              <w:szCs w:val="24"/>
            </w:rPr>
            <w:fldChar w:fldCharType="begin"/>
          </w:r>
          <w:r>
            <w:rPr>
              <w:sz w:val="24"/>
              <w:szCs w:val="24"/>
            </w:rPr>
            <w:instrText xml:space="preserve"> PAGEREF _Toc27418 \h </w:instrText>
          </w:r>
          <w:r>
            <w:rPr>
              <w:sz w:val="24"/>
              <w:szCs w:val="24"/>
            </w:rPr>
            <w:fldChar w:fldCharType="separate"/>
          </w:r>
          <w:r>
            <w:rPr>
              <w:sz w:val="24"/>
              <w:szCs w:val="24"/>
            </w:rPr>
            <w:t>- 330 -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12730328">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_Toc2978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9</w:t>
          </w:r>
          <w:r>
            <w:rPr>
              <w:rFonts w:hint="default" w:ascii="Times New Roman" w:hAnsi="Times New Roman" w:eastAsia="宋体" w:cs="Times New Roman"/>
              <w:bCs/>
              <w:kern w:val="2"/>
              <w:sz w:val="24"/>
              <w:szCs w:val="24"/>
              <w:lang w:val="en-US" w:eastAsia="zh-CN" w:bidi="ar-SA"/>
            </w:rPr>
            <w:t>.2环境管理制度制定</w:t>
          </w:r>
          <w:r>
            <w:rPr>
              <w:sz w:val="24"/>
              <w:szCs w:val="24"/>
            </w:rPr>
            <w:tab/>
          </w:r>
          <w:r>
            <w:rPr>
              <w:sz w:val="24"/>
              <w:szCs w:val="24"/>
            </w:rPr>
            <w:fldChar w:fldCharType="begin"/>
          </w:r>
          <w:r>
            <w:rPr>
              <w:sz w:val="24"/>
              <w:szCs w:val="24"/>
            </w:rPr>
            <w:instrText xml:space="preserve"> PAGEREF _Toc2978 \h </w:instrText>
          </w:r>
          <w:r>
            <w:rPr>
              <w:sz w:val="24"/>
              <w:szCs w:val="24"/>
            </w:rPr>
            <w:fldChar w:fldCharType="separate"/>
          </w:r>
          <w:r>
            <w:rPr>
              <w:sz w:val="24"/>
              <w:szCs w:val="24"/>
            </w:rPr>
            <w:t>- 337 -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28DBC7C7">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_Toc15728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9</w:t>
          </w:r>
          <w:r>
            <w:rPr>
              <w:rFonts w:hint="default" w:ascii="Times New Roman" w:hAnsi="Times New Roman" w:eastAsia="宋体" w:cs="Times New Roman"/>
              <w:bCs/>
              <w:kern w:val="2"/>
              <w:sz w:val="24"/>
              <w:szCs w:val="24"/>
              <w:lang w:val="en-US" w:eastAsia="zh-CN" w:bidi="ar-SA"/>
            </w:rPr>
            <w:t>.3环境监测制度</w:t>
          </w:r>
          <w:r>
            <w:rPr>
              <w:sz w:val="24"/>
              <w:szCs w:val="24"/>
            </w:rPr>
            <w:tab/>
          </w:r>
          <w:r>
            <w:rPr>
              <w:sz w:val="24"/>
              <w:szCs w:val="24"/>
            </w:rPr>
            <w:fldChar w:fldCharType="begin"/>
          </w:r>
          <w:r>
            <w:rPr>
              <w:sz w:val="24"/>
              <w:szCs w:val="24"/>
            </w:rPr>
            <w:instrText xml:space="preserve"> PAGEREF _Toc15728 \h </w:instrText>
          </w:r>
          <w:r>
            <w:rPr>
              <w:sz w:val="24"/>
              <w:szCs w:val="24"/>
            </w:rPr>
            <w:fldChar w:fldCharType="separate"/>
          </w:r>
          <w:r>
            <w:rPr>
              <w:sz w:val="24"/>
              <w:szCs w:val="24"/>
            </w:rPr>
            <w:t>- 338 -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38D4920D">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_Toc14212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9</w:t>
          </w:r>
          <w:r>
            <w:rPr>
              <w:rFonts w:hint="default" w:ascii="Times New Roman" w:hAnsi="Times New Roman" w:eastAsia="宋体" w:cs="Times New Roman"/>
              <w:bCs/>
              <w:kern w:val="2"/>
              <w:sz w:val="24"/>
              <w:szCs w:val="24"/>
              <w:lang w:val="en-US" w:eastAsia="zh-CN" w:bidi="ar-SA"/>
            </w:rPr>
            <w:t>.4竣工验收计划</w:t>
          </w:r>
          <w:r>
            <w:rPr>
              <w:sz w:val="24"/>
              <w:szCs w:val="24"/>
            </w:rPr>
            <w:tab/>
          </w:r>
          <w:r>
            <w:rPr>
              <w:sz w:val="24"/>
              <w:szCs w:val="24"/>
            </w:rPr>
            <w:fldChar w:fldCharType="begin"/>
          </w:r>
          <w:r>
            <w:rPr>
              <w:sz w:val="24"/>
              <w:szCs w:val="24"/>
            </w:rPr>
            <w:instrText xml:space="preserve"> PAGEREF _Toc14212 \h </w:instrText>
          </w:r>
          <w:r>
            <w:rPr>
              <w:sz w:val="24"/>
              <w:szCs w:val="24"/>
            </w:rPr>
            <w:fldChar w:fldCharType="separate"/>
          </w:r>
          <w:r>
            <w:rPr>
              <w:sz w:val="24"/>
              <w:szCs w:val="24"/>
            </w:rPr>
            <w:t>- 340 -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69AE6A83">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_Toc32196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sz w:val="24"/>
              <w:szCs w:val="24"/>
              <w:lang w:val="en-US" w:eastAsia="zh-CN" w:bidi="ar-SA"/>
            </w:rPr>
            <w:t>9.5</w:t>
          </w:r>
          <w:r>
            <w:rPr>
              <w:rFonts w:hint="default" w:ascii="Times New Roman" w:hAnsi="Times New Roman" w:eastAsia="宋体" w:cs="Times New Roman"/>
              <w:bCs/>
              <w:sz w:val="24"/>
              <w:szCs w:val="24"/>
              <w:lang w:val="en-US" w:eastAsia="zh-CN" w:bidi="ar-SA"/>
            </w:rPr>
            <w:t>总量控制</w:t>
          </w:r>
          <w:r>
            <w:rPr>
              <w:sz w:val="24"/>
              <w:szCs w:val="24"/>
            </w:rPr>
            <w:tab/>
          </w:r>
          <w:r>
            <w:rPr>
              <w:sz w:val="24"/>
              <w:szCs w:val="24"/>
            </w:rPr>
            <w:fldChar w:fldCharType="begin"/>
          </w:r>
          <w:r>
            <w:rPr>
              <w:sz w:val="24"/>
              <w:szCs w:val="24"/>
            </w:rPr>
            <w:instrText xml:space="preserve"> PAGEREF _Toc32196 \h </w:instrText>
          </w:r>
          <w:r>
            <w:rPr>
              <w:sz w:val="24"/>
              <w:szCs w:val="24"/>
            </w:rPr>
            <w:fldChar w:fldCharType="separate"/>
          </w:r>
          <w:r>
            <w:rPr>
              <w:sz w:val="24"/>
              <w:szCs w:val="24"/>
            </w:rPr>
            <w:t>- 343 -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5B12AB8A">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_Toc9407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楷体_GB2312"/>
              <w:bCs/>
              <w:kern w:val="2"/>
              <w:sz w:val="24"/>
              <w:szCs w:val="24"/>
              <w:lang w:val="en-US" w:eastAsia="zh-CN" w:bidi="ar-SA"/>
            </w:rPr>
            <w:t>9.6</w:t>
          </w:r>
          <w:r>
            <w:rPr>
              <w:rFonts w:hint="default" w:ascii="Times New Roman" w:hAnsi="Times New Roman" w:eastAsia="宋体" w:cs="楷体_GB2312"/>
              <w:bCs/>
              <w:kern w:val="2"/>
              <w:sz w:val="24"/>
              <w:szCs w:val="24"/>
              <w:lang w:val="en-US" w:eastAsia="zh-CN" w:bidi="ar-SA"/>
            </w:rPr>
            <w:t>排污许可证</w:t>
          </w:r>
          <w:r>
            <w:rPr>
              <w:sz w:val="24"/>
              <w:szCs w:val="24"/>
            </w:rPr>
            <w:tab/>
          </w:r>
          <w:r>
            <w:rPr>
              <w:sz w:val="24"/>
              <w:szCs w:val="24"/>
            </w:rPr>
            <w:fldChar w:fldCharType="begin"/>
          </w:r>
          <w:r>
            <w:rPr>
              <w:sz w:val="24"/>
              <w:szCs w:val="24"/>
            </w:rPr>
            <w:instrText xml:space="preserve"> PAGEREF _Toc9407 \h </w:instrText>
          </w:r>
          <w:r>
            <w:rPr>
              <w:sz w:val="24"/>
              <w:szCs w:val="24"/>
            </w:rPr>
            <w:fldChar w:fldCharType="separate"/>
          </w:r>
          <w:r>
            <w:rPr>
              <w:sz w:val="24"/>
              <w:szCs w:val="24"/>
            </w:rPr>
            <w:t>- 343 -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4B626486">
          <w:pPr>
            <w:pStyle w:val="15"/>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_Toc15625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kern w:val="44"/>
              <w:sz w:val="24"/>
              <w:szCs w:val="24"/>
              <w:lang w:val="en-US" w:eastAsia="zh-CN" w:bidi="ar-SA"/>
            </w:rPr>
            <w:t>10</w:t>
          </w:r>
          <w:r>
            <w:rPr>
              <w:rFonts w:hint="default" w:ascii="Times New Roman" w:hAnsi="Times New Roman" w:eastAsia="宋体" w:cs="Times New Roman"/>
              <w:kern w:val="44"/>
              <w:sz w:val="24"/>
              <w:szCs w:val="24"/>
              <w:lang w:val="en-US" w:eastAsia="zh-CN" w:bidi="ar-SA"/>
            </w:rPr>
            <w:t>、</w:t>
          </w:r>
          <w:r>
            <w:rPr>
              <w:rFonts w:hint="eastAsia" w:ascii="Times New Roman" w:hAnsi="Times New Roman" w:eastAsia="宋体" w:cs="Times New Roman"/>
              <w:kern w:val="44"/>
              <w:sz w:val="24"/>
              <w:szCs w:val="24"/>
              <w:lang w:val="en-US" w:eastAsia="zh-CN" w:bidi="ar-SA"/>
            </w:rPr>
            <w:t>环境影响评价结论</w:t>
          </w:r>
          <w:r>
            <w:rPr>
              <w:sz w:val="24"/>
              <w:szCs w:val="24"/>
            </w:rPr>
            <w:tab/>
          </w:r>
          <w:r>
            <w:rPr>
              <w:sz w:val="24"/>
              <w:szCs w:val="24"/>
            </w:rPr>
            <w:fldChar w:fldCharType="begin"/>
          </w:r>
          <w:r>
            <w:rPr>
              <w:sz w:val="24"/>
              <w:szCs w:val="24"/>
            </w:rPr>
            <w:instrText xml:space="preserve"> PAGEREF _Toc15625 \h </w:instrText>
          </w:r>
          <w:r>
            <w:rPr>
              <w:sz w:val="24"/>
              <w:szCs w:val="24"/>
            </w:rPr>
            <w:fldChar w:fldCharType="separate"/>
          </w:r>
          <w:r>
            <w:rPr>
              <w:sz w:val="24"/>
              <w:szCs w:val="24"/>
            </w:rPr>
            <w:t>- 345 -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459FAB51">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_Toc7462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10</w:t>
          </w:r>
          <w:r>
            <w:rPr>
              <w:rFonts w:hint="default" w:ascii="Times New Roman" w:hAnsi="Times New Roman" w:eastAsia="宋体" w:cs="Times New Roman"/>
              <w:bCs/>
              <w:kern w:val="2"/>
              <w:sz w:val="24"/>
              <w:szCs w:val="24"/>
              <w:lang w:val="en-US" w:eastAsia="zh-CN" w:bidi="ar-SA"/>
            </w:rPr>
            <w:t>.1评价结论</w:t>
          </w:r>
          <w:r>
            <w:rPr>
              <w:sz w:val="24"/>
              <w:szCs w:val="24"/>
            </w:rPr>
            <w:tab/>
          </w:r>
          <w:r>
            <w:rPr>
              <w:sz w:val="24"/>
              <w:szCs w:val="24"/>
            </w:rPr>
            <w:fldChar w:fldCharType="begin"/>
          </w:r>
          <w:r>
            <w:rPr>
              <w:sz w:val="24"/>
              <w:szCs w:val="24"/>
            </w:rPr>
            <w:instrText xml:space="preserve"> PAGEREF _Toc7462 \h </w:instrText>
          </w:r>
          <w:r>
            <w:rPr>
              <w:sz w:val="24"/>
              <w:szCs w:val="24"/>
            </w:rPr>
            <w:fldChar w:fldCharType="separate"/>
          </w:r>
          <w:r>
            <w:rPr>
              <w:sz w:val="24"/>
              <w:szCs w:val="24"/>
            </w:rPr>
            <w:t>- 345 -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2D474F87">
          <w:pPr>
            <w:pStyle w:val="16"/>
            <w:tabs>
              <w:tab w:val="right" w:leader="dot" w:pos="8312"/>
            </w:tabs>
            <w:spacing w:line="360" w:lineRule="auto"/>
            <w:rPr>
              <w:sz w:val="24"/>
              <w:szCs w:val="24"/>
            </w:rPr>
          </w:pPr>
          <w:r>
            <w:rPr>
              <w:rFonts w:hint="default" w:ascii="Times New Roman" w:hAnsi="Times New Roman" w:eastAsia="宋体" w:cs="Times New Roman"/>
              <w:bCs w:val="0"/>
              <w:kern w:val="44"/>
              <w:sz w:val="24"/>
              <w:szCs w:val="24"/>
              <w:lang w:val="en-US" w:eastAsia="zh-CN" w:bidi="ar-SA"/>
            </w:rPr>
            <w:fldChar w:fldCharType="begin"/>
          </w:r>
          <w:r>
            <w:rPr>
              <w:rFonts w:hint="default" w:ascii="Times New Roman" w:hAnsi="Times New Roman" w:eastAsia="宋体" w:cs="Times New Roman"/>
              <w:bCs w:val="0"/>
              <w:kern w:val="44"/>
              <w:sz w:val="24"/>
              <w:szCs w:val="24"/>
              <w:lang w:val="en-US" w:eastAsia="zh-CN" w:bidi="ar-SA"/>
            </w:rPr>
            <w:instrText xml:space="preserve"> HYPERLINK \l _Toc20433 </w:instrText>
          </w:r>
          <w:r>
            <w:rPr>
              <w:rFonts w:hint="default" w:ascii="Times New Roman" w:hAnsi="Times New Roman" w:eastAsia="宋体" w:cs="Times New Roman"/>
              <w:bCs w:val="0"/>
              <w:kern w:val="44"/>
              <w:sz w:val="24"/>
              <w:szCs w:val="24"/>
              <w:lang w:val="en-US" w:eastAsia="zh-CN" w:bidi="ar-SA"/>
            </w:rPr>
            <w:fldChar w:fldCharType="separate"/>
          </w:r>
          <w:r>
            <w:rPr>
              <w:rFonts w:hint="eastAsia" w:ascii="Times New Roman" w:hAnsi="Times New Roman" w:eastAsia="宋体" w:cs="Times New Roman"/>
              <w:bCs/>
              <w:kern w:val="2"/>
              <w:sz w:val="24"/>
              <w:szCs w:val="24"/>
              <w:lang w:val="en-US" w:eastAsia="zh-CN" w:bidi="ar-SA"/>
            </w:rPr>
            <w:t>10</w:t>
          </w:r>
          <w:r>
            <w:rPr>
              <w:rFonts w:hint="default" w:ascii="Times New Roman" w:hAnsi="Times New Roman" w:eastAsia="宋体" w:cs="Times New Roman"/>
              <w:bCs/>
              <w:kern w:val="2"/>
              <w:sz w:val="24"/>
              <w:szCs w:val="24"/>
              <w:lang w:val="en-US" w:eastAsia="zh-CN" w:bidi="ar-SA"/>
            </w:rPr>
            <w:t>.2建议</w:t>
          </w:r>
          <w:r>
            <w:rPr>
              <w:sz w:val="24"/>
              <w:szCs w:val="24"/>
            </w:rPr>
            <w:tab/>
          </w:r>
          <w:r>
            <w:rPr>
              <w:sz w:val="24"/>
              <w:szCs w:val="24"/>
            </w:rPr>
            <w:fldChar w:fldCharType="begin"/>
          </w:r>
          <w:r>
            <w:rPr>
              <w:sz w:val="24"/>
              <w:szCs w:val="24"/>
            </w:rPr>
            <w:instrText xml:space="preserve"> PAGEREF _Toc20433 \h </w:instrText>
          </w:r>
          <w:r>
            <w:rPr>
              <w:sz w:val="24"/>
              <w:szCs w:val="24"/>
            </w:rPr>
            <w:fldChar w:fldCharType="separate"/>
          </w:r>
          <w:r>
            <w:rPr>
              <w:sz w:val="24"/>
              <w:szCs w:val="24"/>
            </w:rPr>
            <w:t>- 350 -</w:t>
          </w:r>
          <w:r>
            <w:rPr>
              <w:sz w:val="24"/>
              <w:szCs w:val="24"/>
            </w:rPr>
            <w:fldChar w:fldCharType="end"/>
          </w:r>
          <w:r>
            <w:rPr>
              <w:rFonts w:hint="default" w:ascii="Times New Roman" w:hAnsi="Times New Roman" w:eastAsia="宋体" w:cs="Times New Roman"/>
              <w:bCs w:val="0"/>
              <w:kern w:val="44"/>
              <w:sz w:val="24"/>
              <w:szCs w:val="24"/>
              <w:lang w:val="en-US" w:eastAsia="zh-CN" w:bidi="ar-SA"/>
            </w:rPr>
            <w:fldChar w:fldCharType="end"/>
          </w:r>
        </w:p>
        <w:p w14:paraId="779902C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宋体" w:cs="Times New Roman"/>
              <w:b/>
              <w:bCs w:val="0"/>
              <w:kern w:val="44"/>
              <w:lang w:val="en-US" w:eastAsia="zh-CN"/>
            </w:rPr>
            <w:sectPr>
              <w:headerReference r:id="rId4" w:type="default"/>
              <w:footerReference r:id="rId5" w:type="default"/>
              <w:pgSz w:w="11906" w:h="16838"/>
              <w:pgMar w:top="1440" w:right="1797" w:bottom="1440" w:left="1797" w:header="851" w:footer="1026" w:gutter="0"/>
              <w:pgBorders>
                <w:top w:val="none" w:sz="0" w:space="0"/>
                <w:left w:val="none" w:sz="0" w:space="0"/>
                <w:bottom w:val="none" w:sz="0" w:space="0"/>
                <w:right w:val="none" w:sz="0" w:space="0"/>
              </w:pgBorders>
              <w:pgNumType w:fmt="numberInDash" w:start="1"/>
              <w:cols w:space="720" w:num="1"/>
              <w:docGrid w:type="linesAndChars" w:linePitch="312" w:charSpace="0"/>
            </w:sectPr>
          </w:pPr>
          <w:r>
            <w:rPr>
              <w:rFonts w:hint="default" w:ascii="Times New Roman" w:hAnsi="Times New Roman" w:eastAsia="宋体" w:cs="Times New Roman"/>
              <w:bCs w:val="0"/>
              <w:kern w:val="44"/>
              <w:sz w:val="24"/>
              <w:szCs w:val="24"/>
              <w:lang w:val="en-US" w:eastAsia="zh-CN" w:bidi="ar-SA"/>
            </w:rPr>
            <w:fldChar w:fldCharType="end"/>
          </w:r>
        </w:p>
      </w:sdtContent>
    </w:sdt>
    <w:p w14:paraId="4B36531C">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宋体" w:cs="Times New Roman"/>
          <w:b/>
          <w:bCs w:val="0"/>
          <w:kern w:val="44"/>
          <w:sz w:val="32"/>
          <w:szCs w:val="32"/>
          <w:lang w:val="en-US" w:eastAsia="zh-CN" w:bidi="ar-SA"/>
        </w:rPr>
      </w:pPr>
      <w:bookmarkStart w:id="0" w:name="_Toc2589"/>
      <w:r>
        <w:rPr>
          <w:rFonts w:hint="default" w:ascii="Times New Roman" w:hAnsi="Times New Roman" w:eastAsia="宋体" w:cs="Times New Roman"/>
          <w:b/>
          <w:bCs w:val="0"/>
          <w:kern w:val="44"/>
          <w:sz w:val="32"/>
          <w:szCs w:val="32"/>
          <w:lang w:val="en-US" w:eastAsia="zh-CN" w:bidi="ar-SA"/>
        </w:rPr>
        <w:t>1、概述</w:t>
      </w:r>
      <w:bookmarkEnd w:id="0"/>
    </w:p>
    <w:p w14:paraId="09A7BD47">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1" w:name="_Toc23500"/>
      <w:bookmarkStart w:id="2" w:name="_Toc32098"/>
      <w:bookmarkStart w:id="3" w:name="_Toc25187"/>
      <w:bookmarkStart w:id="4" w:name="_Toc38885378"/>
      <w:bookmarkStart w:id="5" w:name="_Toc12761"/>
      <w:bookmarkStart w:id="6" w:name="_Toc14202"/>
      <w:r>
        <w:rPr>
          <w:rFonts w:hint="default" w:ascii="Times New Roman" w:hAnsi="Times New Roman" w:eastAsia="宋体" w:cs="Times New Roman"/>
          <w:b/>
          <w:bCs/>
          <w:kern w:val="2"/>
          <w:sz w:val="30"/>
          <w:szCs w:val="30"/>
          <w:lang w:val="en-US" w:eastAsia="zh-CN" w:bidi="ar-SA"/>
        </w:rPr>
        <w:t>1.1项目实施背景</w:t>
      </w:r>
      <w:bookmarkEnd w:id="1"/>
      <w:bookmarkEnd w:id="2"/>
      <w:bookmarkEnd w:id="3"/>
      <w:bookmarkEnd w:id="4"/>
      <w:bookmarkEnd w:id="5"/>
      <w:bookmarkEnd w:id="6"/>
    </w:p>
    <w:p w14:paraId="2FC299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新疆作为我国主要牧区之一，近年来畜牧业生产发展很快，产奶、产肉量、牲畜出栏率、商品率连年都有较大幅度的提高。在我国，养牛业的社会意义、经济意义和生态意义都非常明显。牛肉是我国居民的主要肉类食品，对改善人民膳食结构，建设</w:t>
      </w:r>
      <w:r>
        <w:rPr>
          <w:rFonts w:hint="eastAsia" w:cs="Times New Roman"/>
          <w:bCs/>
          <w:kern w:val="2"/>
          <w:sz w:val="24"/>
          <w:szCs w:val="24"/>
          <w:lang w:val="en-US" w:eastAsia="zh-CN" w:bidi="ar-SA"/>
        </w:rPr>
        <w:t>“</w:t>
      </w:r>
      <w:r>
        <w:rPr>
          <w:rFonts w:hint="default" w:ascii="Times New Roman" w:hAnsi="Times New Roman" w:eastAsia="宋体" w:cs="Times New Roman"/>
          <w:bCs/>
          <w:kern w:val="2"/>
          <w:sz w:val="24"/>
          <w:szCs w:val="24"/>
          <w:lang w:val="en-US" w:eastAsia="zh-CN" w:bidi="ar-SA"/>
        </w:rPr>
        <w:t>菜篮子</w:t>
      </w:r>
      <w:r>
        <w:rPr>
          <w:rFonts w:hint="eastAsia" w:cs="Times New Roman"/>
          <w:bCs/>
          <w:kern w:val="2"/>
          <w:sz w:val="24"/>
          <w:szCs w:val="24"/>
          <w:lang w:val="en-US" w:eastAsia="zh-CN" w:bidi="ar-SA"/>
        </w:rPr>
        <w:t>”</w:t>
      </w:r>
      <w:r>
        <w:rPr>
          <w:rFonts w:hint="default" w:ascii="Times New Roman" w:hAnsi="Times New Roman" w:eastAsia="宋体" w:cs="Times New Roman"/>
          <w:bCs/>
          <w:kern w:val="2"/>
          <w:sz w:val="24"/>
          <w:szCs w:val="24"/>
          <w:lang w:val="en-US" w:eastAsia="zh-CN" w:bidi="ar-SA"/>
        </w:rPr>
        <w:t>项目具有重要意义。养牛业及种植业能够吸纳大量农村劳动力，为解决农村就业提供重要途径。种植业的产品或副产品可作为养牛业的原料，养牛业又可为种植业提供有机肥料，使种植业获取高产、优质的产品，并能降低生产成本。牛粪通过发酵后可以生产优质的有机复合肥，既可促进农作物的生产，又可提高土壤肥力。大力发展养牛业，对于增强农业发展后劲，促进农民增收，满足人们消费需求，增强人民体质具有重要的意义。</w:t>
      </w:r>
    </w:p>
    <w:p w14:paraId="76418D63">
      <w:pPr>
        <w:spacing w:line="360" w:lineRule="auto"/>
        <w:ind w:firstLine="480" w:firstLineChars="200"/>
        <w:rPr>
          <w:rFonts w:hint="default" w:eastAsia="宋体" w:cs="Times New Roman"/>
          <w:color w:val="000000"/>
          <w:sz w:val="24"/>
          <w:highlight w:val="none"/>
          <w:lang w:val="en-US" w:eastAsia="zh-CN"/>
        </w:rPr>
      </w:pPr>
      <w:r>
        <w:rPr>
          <w:rFonts w:hint="eastAsia" w:eastAsia="宋体" w:cs="Times New Roman"/>
          <w:color w:val="000000"/>
          <w:sz w:val="24"/>
          <w:highlight w:val="none"/>
          <w:lang w:val="en-US" w:eastAsia="zh-CN"/>
        </w:rPr>
        <w:t>第七师胡杨河市</w:t>
      </w:r>
      <w:r>
        <w:rPr>
          <w:rFonts w:hint="default" w:eastAsia="宋体" w:cs="Times New Roman"/>
          <w:color w:val="000000"/>
          <w:sz w:val="24"/>
          <w:highlight w:val="none"/>
          <w:lang w:val="en-US" w:eastAsia="zh-CN"/>
        </w:rPr>
        <w:t>把</w:t>
      </w:r>
      <w:r>
        <w:rPr>
          <w:rFonts w:hint="eastAsia" w:cs="Times New Roman"/>
          <w:color w:val="000000"/>
          <w:sz w:val="24"/>
          <w:highlight w:val="none"/>
          <w:lang w:val="en-US" w:eastAsia="zh-CN"/>
        </w:rPr>
        <w:t>“</w:t>
      </w:r>
      <w:r>
        <w:rPr>
          <w:rFonts w:hint="default" w:eastAsia="宋体" w:cs="Times New Roman"/>
          <w:color w:val="000000"/>
          <w:sz w:val="24"/>
          <w:highlight w:val="none"/>
          <w:lang w:val="en-US" w:eastAsia="zh-CN"/>
        </w:rPr>
        <w:t>三农</w:t>
      </w:r>
      <w:r>
        <w:rPr>
          <w:rFonts w:hint="eastAsia" w:cs="Times New Roman"/>
          <w:color w:val="000000"/>
          <w:sz w:val="24"/>
          <w:highlight w:val="none"/>
          <w:lang w:val="en-US" w:eastAsia="zh-CN"/>
        </w:rPr>
        <w:t>”</w:t>
      </w:r>
      <w:r>
        <w:rPr>
          <w:rFonts w:hint="default" w:eastAsia="宋体" w:cs="Times New Roman"/>
          <w:color w:val="000000"/>
          <w:sz w:val="24"/>
          <w:highlight w:val="none"/>
          <w:lang w:val="en-US" w:eastAsia="zh-CN"/>
        </w:rPr>
        <w:t>摆在优先发展的位置，实施乡村振兴战略，推动美丽乡村建设，大力发展农业产业化，加快实现农业农村现代化。近年来，七师畜牧养殖业正在以养殖规模化，品种优良化，生产标准化为发展方向，七师胡杨河市不断调整畜牧业发展结构，规模养殖场和专业养殖合作社已成为师市畜牧业生产主体，带动了畜牧业整体生产水平和经济效益的提升，进一步助力实现畜牧业高质量发展，助推乡村振兴。</w:t>
      </w:r>
      <w:r>
        <w:rPr>
          <w:rFonts w:hint="eastAsia" w:eastAsia="宋体" w:cs="Times New Roman"/>
          <w:color w:val="000000"/>
          <w:sz w:val="24"/>
          <w:highlight w:val="none"/>
          <w:lang w:val="en-US" w:eastAsia="zh-CN"/>
        </w:rPr>
        <w:t>当前，师市畜牧养殖业紧紧围绕生猪扩量提质、奶业振兴、肉牛增产和肉羊提效、家禽及特色养殖发展</w:t>
      </w:r>
      <w:r>
        <w:rPr>
          <w:rFonts w:hint="eastAsia" w:cs="Times New Roman"/>
          <w:color w:val="000000"/>
          <w:sz w:val="24"/>
          <w:highlight w:val="none"/>
          <w:lang w:val="en-US" w:eastAsia="zh-CN"/>
        </w:rPr>
        <w:t>“</w:t>
      </w:r>
      <w:r>
        <w:rPr>
          <w:rFonts w:hint="eastAsia" w:eastAsia="宋体" w:cs="Times New Roman"/>
          <w:color w:val="000000"/>
          <w:sz w:val="24"/>
          <w:highlight w:val="none"/>
          <w:lang w:val="en-US" w:eastAsia="zh-CN"/>
        </w:rPr>
        <w:t>四大振兴</w:t>
      </w:r>
      <w:r>
        <w:rPr>
          <w:rFonts w:hint="eastAsia" w:cs="Times New Roman"/>
          <w:color w:val="000000"/>
          <w:sz w:val="24"/>
          <w:highlight w:val="none"/>
          <w:lang w:val="en-US" w:eastAsia="zh-CN"/>
        </w:rPr>
        <w:t>”</w:t>
      </w:r>
      <w:r>
        <w:rPr>
          <w:rFonts w:hint="eastAsia" w:eastAsia="宋体" w:cs="Times New Roman"/>
          <w:color w:val="000000"/>
          <w:sz w:val="24"/>
          <w:highlight w:val="none"/>
          <w:lang w:val="en-US" w:eastAsia="zh-CN"/>
        </w:rPr>
        <w:t>行动，以养殖规模化、品种优良化、生产标准化为发展方向，力争全年畜牧业产值在一产占比达到30%。</w:t>
      </w:r>
    </w:p>
    <w:p w14:paraId="1B3711F3">
      <w:pPr>
        <w:spacing w:line="360" w:lineRule="auto"/>
        <w:ind w:firstLine="480" w:firstLineChars="200"/>
        <w:rPr>
          <w:rFonts w:hint="default" w:cs="Times New Roman"/>
          <w:kern w:val="2"/>
          <w:sz w:val="24"/>
          <w:szCs w:val="24"/>
          <w:lang w:val="en-US" w:eastAsia="zh-CN"/>
        </w:rPr>
      </w:pPr>
      <w:r>
        <w:rPr>
          <w:rFonts w:hint="eastAsia" w:cs="Times New Roman"/>
          <w:color w:val="000000"/>
          <w:sz w:val="24"/>
          <w:highlight w:val="none"/>
          <w:lang w:val="en-US" w:eastAsia="zh-CN"/>
        </w:rPr>
        <w:t>胡杨河市鑫驰农牧有限责任公司成立于2025年10月，于2025年12月15日与胡杨河市月辰农牧有限责任公司共同租赁第七师一二五团鑫鹏源养殖农民专业合作社牛场</w:t>
      </w:r>
      <w:r>
        <w:rPr>
          <w:rFonts w:hint="eastAsia" w:cs="Times New Roman"/>
          <w:color w:val="000000"/>
          <w:sz w:val="24"/>
          <w:lang w:val="en-US" w:eastAsia="zh-CN"/>
        </w:rPr>
        <w:t>已建</w:t>
      </w:r>
      <w:r>
        <w:rPr>
          <w:rFonts w:hint="eastAsia" w:cs="Times New Roman"/>
          <w:kern w:val="2"/>
          <w:sz w:val="24"/>
          <w:szCs w:val="24"/>
          <w:lang w:val="en-US" w:eastAsia="zh-CN"/>
        </w:rPr>
        <w:t>占地面积共</w:t>
      </w:r>
      <w:r>
        <w:rPr>
          <w:rFonts w:hint="eastAsia" w:cs="Times New Roman"/>
          <w:kern w:val="2"/>
          <w:sz w:val="24"/>
          <w:szCs w:val="24"/>
          <w:highlight w:val="none"/>
          <w:lang w:val="en-US" w:eastAsia="zh-CN"/>
        </w:rPr>
        <w:t>5600</w:t>
      </w:r>
      <w:r>
        <w:rPr>
          <w:rFonts w:hint="eastAsia" w:cs="Times New Roman"/>
          <w:kern w:val="2"/>
          <w:sz w:val="24"/>
          <w:szCs w:val="24"/>
          <w:lang w:val="en-US" w:eastAsia="zh-CN"/>
        </w:rPr>
        <w:t>平方米</w:t>
      </w:r>
      <w:r>
        <w:rPr>
          <w:rFonts w:hint="eastAsia" w:ascii="Times New Roman" w:hAnsi="Times New Roman" w:eastAsia="宋体" w:cs="Times New Roman"/>
          <w:kern w:val="2"/>
          <w:sz w:val="24"/>
          <w:szCs w:val="24"/>
          <w:lang w:val="en-US" w:eastAsia="zh-CN" w:bidi="ar-SA"/>
        </w:rPr>
        <w:t>牛舍</w:t>
      </w:r>
      <w:r>
        <w:rPr>
          <w:rFonts w:hint="eastAsia" w:cs="Times New Roman"/>
          <w:color w:val="000000"/>
          <w:sz w:val="24"/>
          <w:lang w:val="en-US" w:eastAsia="zh-CN"/>
        </w:rPr>
        <w:t>8栋（其中北侧4座牛舍为</w:t>
      </w:r>
      <w:r>
        <w:rPr>
          <w:rFonts w:hint="eastAsia" w:cs="Times New Roman"/>
          <w:color w:val="000000"/>
          <w:sz w:val="24"/>
          <w:highlight w:val="none"/>
          <w:lang w:val="en-US" w:eastAsia="zh-CN"/>
        </w:rPr>
        <w:t>胡杨河市鑫驰农牧有限责任公司租赁牛舍，占地面积共计2800平方米；南侧4座为胡杨河市月辰农牧有限责任公司租赁牛舍，占地面积共计2800平方米</w:t>
      </w:r>
      <w:r>
        <w:rPr>
          <w:rFonts w:hint="eastAsia" w:cs="Times New Roman"/>
          <w:color w:val="000000"/>
          <w:sz w:val="24"/>
          <w:lang w:val="en-US" w:eastAsia="zh-CN"/>
        </w:rPr>
        <w:t>）、</w:t>
      </w:r>
      <w:r>
        <w:rPr>
          <w:rFonts w:hint="eastAsia" w:cs="Times New Roman"/>
          <w:color w:val="auto"/>
          <w:sz w:val="24"/>
          <w:highlight w:val="none"/>
          <w:lang w:val="en-US" w:eastAsia="zh-CN"/>
        </w:rPr>
        <w:t>占地面积共32900m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运动场16座、占地面积共3780m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饲喂凉棚6座、租赁占地面积350m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TMR搅拌站1座等主体工程；配套占地面积280m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办公室1座以及占地面积18m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消毒室一座等辅助工程；</w:t>
      </w:r>
      <w:r>
        <w:rPr>
          <w:rFonts w:hint="eastAsia" w:cs="Times New Roman"/>
          <w:color w:val="auto"/>
          <w:sz w:val="24"/>
          <w:highlight w:val="none"/>
          <w:lang w:val="en-US" w:eastAsia="zh-CN"/>
        </w:rPr>
        <w:t>配套占地面积分别为280m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饲喂通道4座、</w:t>
      </w:r>
      <w:r>
        <w:rPr>
          <w:rFonts w:hint="eastAsia" w:cs="Times New Roman"/>
          <w:color w:val="auto"/>
          <w:sz w:val="24"/>
          <w:highlight w:val="none"/>
          <w:vertAlign w:val="baseline"/>
          <w:lang w:val="en-US" w:eastAsia="zh-CN"/>
        </w:rPr>
        <w:t>占地4500m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饲草料堆放场地1座、占地面积350m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饲料库房1座、占地面积280m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精饲料库房1座等储运工程；在</w:t>
      </w:r>
      <w:r>
        <w:rPr>
          <w:rFonts w:hint="eastAsia" w:cs="Times New Roman"/>
          <w:color w:val="000000"/>
          <w:sz w:val="24"/>
          <w:highlight w:val="none"/>
          <w:lang w:val="en-US" w:eastAsia="zh-CN"/>
        </w:rPr>
        <w:t>第七师一二五团鑫鹏源养殖农民专业合作社牛场租赁内容基础上</w:t>
      </w:r>
      <w:r>
        <w:rPr>
          <w:rFonts w:hint="eastAsia" w:cs="Times New Roman"/>
          <w:color w:val="auto"/>
          <w:sz w:val="24"/>
          <w:highlight w:val="none"/>
          <w:vertAlign w:val="baseline"/>
          <w:lang w:val="en-US" w:eastAsia="zh-CN"/>
        </w:rPr>
        <w:t>增设4座运动场占地面积共4500m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；增设</w:t>
      </w:r>
      <w:r>
        <w:rPr>
          <w:rFonts w:hint="eastAsia" w:cs="Times New Roman"/>
          <w:color w:val="auto"/>
          <w:kern w:val="44"/>
          <w:sz w:val="24"/>
          <w:szCs w:val="24"/>
          <w:highlight w:val="none"/>
          <w:lang w:val="en-US" w:eastAsia="zh-CN"/>
        </w:rPr>
        <w:t>牛圈占地面积分别600m</w:t>
      </w:r>
      <w:r>
        <w:rPr>
          <w:rFonts w:hint="eastAsia" w:cs="Times New Roman"/>
          <w:color w:val="auto"/>
          <w:kern w:val="44"/>
          <w:sz w:val="24"/>
          <w:szCs w:val="24"/>
          <w:highlight w:val="none"/>
          <w:vertAlign w:val="superscript"/>
          <w:lang w:val="en-US" w:eastAsia="zh-CN"/>
        </w:rPr>
        <w:t>2</w:t>
      </w:r>
      <w:r>
        <w:rPr>
          <w:rFonts w:hint="eastAsia" w:cs="Times New Roman"/>
          <w:color w:val="auto"/>
          <w:kern w:val="44"/>
          <w:sz w:val="24"/>
          <w:szCs w:val="24"/>
          <w:highlight w:val="none"/>
          <w:lang w:val="en-US" w:eastAsia="zh-CN"/>
        </w:rPr>
        <w:t>4座</w:t>
      </w:r>
      <w:r>
        <w:rPr>
          <w:rFonts w:hint="eastAsia" w:cs="Times New Roman"/>
          <w:color w:val="auto"/>
          <w:sz w:val="24"/>
          <w:highlight w:val="none"/>
          <w:vertAlign w:val="baseline"/>
          <w:lang w:val="en-US" w:eastAsia="zh-CN"/>
        </w:rPr>
        <w:t>；配套</w:t>
      </w:r>
      <w:r>
        <w:rPr>
          <w:rFonts w:hint="eastAsia" w:cs="Times New Roman"/>
          <w:color w:val="auto"/>
          <w:sz w:val="24"/>
          <w:highlight w:val="none"/>
          <w:lang w:val="en-US" w:eastAsia="zh-CN"/>
        </w:rPr>
        <w:t>供水、供电、供热系统等公用工程，建成后</w:t>
      </w:r>
      <w:r>
        <w:rPr>
          <w:rFonts w:hint="eastAsia" w:cs="Times New Roman"/>
          <w:color w:val="000000"/>
          <w:sz w:val="24"/>
          <w:highlight w:val="none"/>
          <w:lang w:val="en-US" w:eastAsia="zh-CN"/>
        </w:rPr>
        <w:t>胡杨河市鑫驰农牧有限责任公司</w:t>
      </w:r>
      <w:r>
        <w:rPr>
          <w:rFonts w:hint="eastAsia" w:cs="Times New Roman"/>
          <w:color w:val="auto"/>
          <w:sz w:val="24"/>
          <w:highlight w:val="none"/>
          <w:lang w:val="en-US" w:eastAsia="zh-CN"/>
        </w:rPr>
        <w:t>存栏419头育肥牛（以下简称“现有工程”）。</w:t>
      </w:r>
    </w:p>
    <w:p w14:paraId="5E538076">
      <w:pPr>
        <w:spacing w:line="360" w:lineRule="auto"/>
        <w:ind w:firstLine="480" w:firstLineChars="200"/>
        <w:rPr>
          <w:rFonts w:hint="default" w:cs="Times New Roman"/>
          <w:color w:val="auto"/>
          <w:sz w:val="24"/>
          <w:highlight w:val="none"/>
          <w:lang w:val="en-US" w:eastAsia="zh-CN"/>
        </w:rPr>
      </w:pPr>
      <w:r>
        <w:rPr>
          <w:rFonts w:hint="eastAsia" w:cs="Times New Roman"/>
          <w:kern w:val="2"/>
          <w:sz w:val="24"/>
          <w:szCs w:val="24"/>
          <w:lang w:val="en-US" w:eastAsia="zh-CN"/>
        </w:rPr>
        <w:t>2026年，</w:t>
      </w:r>
      <w:r>
        <w:rPr>
          <w:rFonts w:hint="eastAsia" w:cs="Times New Roman"/>
          <w:color w:val="000000"/>
          <w:sz w:val="24"/>
          <w:highlight w:val="none"/>
          <w:lang w:val="en-US" w:eastAsia="zh-CN"/>
        </w:rPr>
        <w:t>胡杨河市鑫驰农牧有限责任公司计划投资</w:t>
      </w:r>
      <w:r>
        <w:rPr>
          <w:rFonts w:hint="eastAsia" w:cs="Times New Roman"/>
          <w:snapToGrid w:val="0"/>
          <w:color w:val="auto"/>
          <w:kern w:val="2"/>
          <w:sz w:val="24"/>
          <w:szCs w:val="24"/>
          <w:lang w:val="en-US" w:eastAsia="zh-CN" w:bidi="ar-SA"/>
        </w:rPr>
        <w:t>655.8</w:t>
      </w:r>
      <w:r>
        <w:rPr>
          <w:rFonts w:hint="eastAsia" w:ascii="Times New Roman" w:hAnsi="Times New Roman" w:eastAsia="宋体" w:cs="Times New Roman"/>
          <w:snapToGrid w:val="0"/>
          <w:color w:val="auto"/>
          <w:kern w:val="2"/>
          <w:sz w:val="24"/>
          <w:szCs w:val="24"/>
          <w:lang w:val="en-US" w:eastAsia="zh-CN" w:bidi="ar-SA"/>
        </w:rPr>
        <w:t>万元</w:t>
      </w:r>
      <w:r>
        <w:rPr>
          <w:rFonts w:hint="eastAsia" w:cs="Times New Roman"/>
          <w:kern w:val="2"/>
          <w:sz w:val="24"/>
          <w:szCs w:val="24"/>
          <w:lang w:val="en-US" w:eastAsia="zh-CN"/>
        </w:rPr>
        <w:t>；</w:t>
      </w:r>
      <w:r>
        <w:rPr>
          <w:rFonts w:hint="eastAsia" w:cs="Times New Roman"/>
          <w:color w:val="auto"/>
          <w:sz w:val="24"/>
          <w:highlight w:val="none"/>
          <w:lang w:val="en-US" w:eastAsia="zh-CN"/>
        </w:rPr>
        <w:t>养殖区依托现有工程占地面积共2800m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牛舍4座、占地面积共32900m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运动场16座、占地面积共980m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饲喂凉棚2座，改建现有工程4座700m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饲喂凉棚为牛舍，新建</w:t>
      </w:r>
      <w:r>
        <w:rPr>
          <w:rFonts w:hint="eastAsia" w:cs="Times New Roman"/>
          <w:color w:val="auto"/>
          <w:kern w:val="44"/>
          <w:sz w:val="24"/>
          <w:szCs w:val="24"/>
          <w:highlight w:val="none"/>
          <w:lang w:val="en-US" w:eastAsia="zh-CN"/>
        </w:rPr>
        <w:t>占地面积分别1125m</w:t>
      </w:r>
      <w:r>
        <w:rPr>
          <w:rFonts w:hint="eastAsia" w:cs="Times New Roman"/>
          <w:color w:val="auto"/>
          <w:kern w:val="44"/>
          <w:sz w:val="24"/>
          <w:szCs w:val="24"/>
          <w:highlight w:val="none"/>
          <w:vertAlign w:val="superscript"/>
          <w:lang w:val="en-US" w:eastAsia="zh-CN"/>
        </w:rPr>
        <w:t>2</w:t>
      </w:r>
      <w:r>
        <w:rPr>
          <w:rFonts w:hint="eastAsia" w:cs="Times New Roman"/>
          <w:color w:val="auto"/>
          <w:kern w:val="44"/>
          <w:sz w:val="24"/>
          <w:szCs w:val="24"/>
          <w:highlight w:val="none"/>
          <w:lang w:val="en-US" w:eastAsia="zh-CN"/>
        </w:rPr>
        <w:t>运动场4座等主体工程</w:t>
      </w:r>
      <w:r>
        <w:rPr>
          <w:rFonts w:hint="eastAsia" w:cs="Times New Roman"/>
          <w:color w:val="auto"/>
          <w:sz w:val="24"/>
          <w:highlight w:val="none"/>
          <w:lang w:val="en-US" w:eastAsia="zh-CN"/>
        </w:rPr>
        <w:t>；饲料加工区依托现有工程占地面积350m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TMR搅拌站1座，新增固定式TMR饲料搅拌设备、撒料车等设备，依托现有工程占地面积280m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办公室1座以及占地面积18m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消毒室一座，新建占地面积共120m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员工宿舍6座，占地面积100m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隔离圈1座等辅助工程。依托现有工程</w:t>
      </w:r>
      <w:r>
        <w:rPr>
          <w:rFonts w:hint="eastAsia" w:cs="Times New Roman"/>
          <w:color w:val="auto"/>
          <w:sz w:val="24"/>
          <w:highlight w:val="none"/>
          <w:lang w:val="en-US" w:eastAsia="zh-CN"/>
        </w:rPr>
        <w:t>占地面积分别为280m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饲喂通道4座、</w:t>
      </w:r>
      <w:r>
        <w:rPr>
          <w:rFonts w:hint="eastAsia" w:cs="Times New Roman"/>
          <w:color w:val="auto"/>
          <w:sz w:val="24"/>
          <w:highlight w:val="none"/>
          <w:vertAlign w:val="baseline"/>
          <w:lang w:val="en-US" w:eastAsia="zh-CN"/>
        </w:rPr>
        <w:t>占地4500m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饲草料堆放场地1座、占地面积350m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饲料库房1座、占地面积280m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精饲料库房1座，新建</w:t>
      </w:r>
      <w:r>
        <w:rPr>
          <w:rFonts w:hint="eastAsia" w:cs="Times New Roman"/>
          <w:color w:val="auto"/>
          <w:sz w:val="24"/>
          <w:highlight w:val="none"/>
          <w:lang w:val="en-US" w:eastAsia="zh-CN"/>
        </w:rPr>
        <w:t>占地面积分别为280m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饲喂通道7座、</w:t>
      </w:r>
      <w:r>
        <w:rPr>
          <w:rFonts w:hint="eastAsia" w:cs="Times New Roman"/>
          <w:color w:val="auto"/>
          <w:sz w:val="24"/>
          <w:highlight w:val="none"/>
          <w:vertAlign w:val="baseline"/>
          <w:lang w:val="en-US" w:eastAsia="zh-CN"/>
        </w:rPr>
        <w:t>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库房1座以及占地面积18m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防疫药品库房1座等储运工程。依托现有工程</w:t>
      </w:r>
      <w:r>
        <w:rPr>
          <w:rFonts w:hint="eastAsia" w:cs="Times New Roman"/>
          <w:color w:val="auto"/>
          <w:sz w:val="24"/>
          <w:highlight w:val="none"/>
          <w:lang w:val="en-US" w:eastAsia="zh-CN"/>
        </w:rPr>
        <w:t>供水、供电、供热系统等公用工程，建成后存栏育肥牛3000头，全厂存栏共计3419头育肥牛。</w:t>
      </w:r>
    </w:p>
    <w:p w14:paraId="60757319">
      <w:pPr>
        <w:spacing w:line="360" w:lineRule="auto"/>
        <w:ind w:firstLine="480" w:firstLineChars="200"/>
        <w:rPr>
          <w:rFonts w:hint="default" w:ascii="Times New Roman" w:hAnsi="Times New Roman" w:cs="Times New Roman"/>
          <w:color w:val="000000"/>
          <w:sz w:val="24"/>
          <w:lang w:eastAsia="zh-CN"/>
        </w:rPr>
      </w:pPr>
      <w:r>
        <w:rPr>
          <w:rFonts w:hint="eastAsia" w:cs="Times New Roman"/>
          <w:color w:val="000000"/>
          <w:sz w:val="24"/>
          <w:lang w:val="en-US" w:eastAsia="zh-CN"/>
        </w:rPr>
        <w:t>本项目已于2026年5月15日在</w:t>
      </w:r>
      <w:r>
        <w:rPr>
          <w:rFonts w:hint="eastAsia" w:cs="Times New Roman"/>
          <w:sz w:val="24"/>
          <w:szCs w:val="24"/>
          <w:vertAlign w:val="baseline"/>
          <w:lang w:val="en-US" w:eastAsia="zh-CN" w:bidi="ar-SA"/>
        </w:rPr>
        <w:t>新疆生产建设兵团第七师一二五团经济发展办公室取得新疆生产建设兵团投资项目备案证（经发办备</w:t>
      </w:r>
      <w:r>
        <w:rPr>
          <w:rFonts w:hint="eastAsia" w:ascii="Times New Roman" w:hAnsi="Times New Roman" w:eastAsia="宋体" w:cs="Times New Roman"/>
          <w:color w:val="auto"/>
          <w:sz w:val="24"/>
          <w:szCs w:val="24"/>
          <w:highlight w:val="none"/>
          <w:lang w:val="en-US" w:eastAsia="zh-CN" w:bidi="ar-SA"/>
        </w:rPr>
        <w:t>〔20</w:t>
      </w:r>
      <w:r>
        <w:rPr>
          <w:rFonts w:hint="eastAsia" w:eastAsia="宋体" w:cs="Times New Roman"/>
          <w:color w:val="auto"/>
          <w:sz w:val="24"/>
          <w:szCs w:val="24"/>
          <w:highlight w:val="none"/>
          <w:lang w:val="en-US" w:eastAsia="zh-CN" w:bidi="ar-SA"/>
        </w:rPr>
        <w:t>26</w:t>
      </w:r>
      <w:r>
        <w:rPr>
          <w:rFonts w:hint="eastAsia" w:ascii="Times New Roman" w:hAnsi="Times New Roman" w:eastAsia="宋体" w:cs="Times New Roman"/>
          <w:color w:val="auto"/>
          <w:sz w:val="24"/>
          <w:szCs w:val="24"/>
          <w:highlight w:val="none"/>
          <w:lang w:val="en-US" w:eastAsia="zh-CN" w:bidi="ar-SA"/>
        </w:rPr>
        <w:t>〕</w:t>
      </w:r>
      <w:r>
        <w:rPr>
          <w:rFonts w:hint="eastAsia" w:eastAsia="宋体" w:cs="Times New Roman"/>
          <w:color w:val="auto"/>
          <w:sz w:val="24"/>
          <w:szCs w:val="24"/>
          <w:highlight w:val="none"/>
          <w:lang w:val="en-US" w:eastAsia="zh-CN" w:bidi="ar-SA"/>
        </w:rPr>
        <w:t>010号</w:t>
      </w:r>
      <w:r>
        <w:rPr>
          <w:rFonts w:hint="eastAsia" w:cs="Times New Roman"/>
          <w:sz w:val="24"/>
          <w:szCs w:val="24"/>
          <w:vertAlign w:val="baseline"/>
          <w:lang w:val="en-US" w:eastAsia="zh-CN" w:bidi="ar-SA"/>
        </w:rPr>
        <w:t>），项目代码为2605-660703-04-01-624621</w:t>
      </w:r>
      <w:r>
        <w:rPr>
          <w:rFonts w:hint="default" w:ascii="Times New Roman" w:hAnsi="Times New Roman" w:cs="Times New Roman"/>
          <w:color w:val="000000"/>
          <w:sz w:val="24"/>
          <w:lang w:val="en-US" w:eastAsia="zh-CN"/>
        </w:rPr>
        <w:t>，</w:t>
      </w:r>
      <w:r>
        <w:rPr>
          <w:rFonts w:hint="default" w:ascii="Times New Roman" w:hAnsi="Times New Roman" w:cs="Times New Roman"/>
          <w:color w:val="000000"/>
          <w:sz w:val="24"/>
          <w:lang w:eastAsia="zh-CN"/>
        </w:rPr>
        <w:t>项目建设后将</w:t>
      </w:r>
      <w:r>
        <w:rPr>
          <w:rFonts w:hint="eastAsia" w:cs="Times New Roman"/>
          <w:color w:val="000000"/>
          <w:sz w:val="24"/>
          <w:lang w:val="en-US" w:eastAsia="zh-CN"/>
        </w:rPr>
        <w:t>形成</w:t>
      </w:r>
      <w:r>
        <w:rPr>
          <w:rFonts w:hint="eastAsia" w:cs="Times New Roman"/>
          <w:color w:val="000000"/>
          <w:sz w:val="24"/>
          <w:lang w:eastAsia="zh-CN"/>
        </w:rPr>
        <w:t>“</w:t>
      </w:r>
      <w:r>
        <w:rPr>
          <w:rFonts w:hint="default" w:ascii="Times New Roman" w:hAnsi="Times New Roman" w:cs="Times New Roman"/>
          <w:color w:val="000000"/>
          <w:sz w:val="24"/>
          <w:lang w:eastAsia="zh-CN"/>
        </w:rPr>
        <w:t>饲草种植—养殖—粪污利用</w:t>
      </w:r>
      <w:r>
        <w:rPr>
          <w:rFonts w:hint="eastAsia" w:cs="Times New Roman"/>
          <w:color w:val="000000"/>
          <w:sz w:val="24"/>
          <w:lang w:eastAsia="zh-CN"/>
        </w:rPr>
        <w:t>”</w:t>
      </w:r>
      <w:r>
        <w:rPr>
          <w:rFonts w:hint="default" w:ascii="Times New Roman" w:hAnsi="Times New Roman" w:cs="Times New Roman"/>
          <w:color w:val="000000"/>
          <w:sz w:val="24"/>
          <w:lang w:eastAsia="zh-CN"/>
        </w:rPr>
        <w:t>闭环模式；打造新疆</w:t>
      </w:r>
      <w:r>
        <w:rPr>
          <w:rFonts w:hint="eastAsia" w:cs="Times New Roman"/>
          <w:color w:val="000000"/>
          <w:sz w:val="24"/>
          <w:lang w:val="en-US" w:eastAsia="zh-CN"/>
        </w:rPr>
        <w:t>褐牛、西门塔尔杂交牛、西门塔尔牛</w:t>
      </w:r>
      <w:r>
        <w:rPr>
          <w:rFonts w:hint="default" w:ascii="Times New Roman" w:hAnsi="Times New Roman" w:cs="Times New Roman"/>
          <w:color w:val="000000"/>
          <w:sz w:val="24"/>
          <w:lang w:eastAsia="zh-CN"/>
        </w:rPr>
        <w:t>等优势品牌，打造高标准现代畜牧业产业示范区。</w:t>
      </w:r>
    </w:p>
    <w:p w14:paraId="795ABF51">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7" w:name="_Toc27388"/>
      <w:bookmarkStart w:id="8" w:name="_Toc25245"/>
      <w:bookmarkStart w:id="9" w:name="_Toc95826145"/>
      <w:bookmarkStart w:id="10" w:name="_Toc14929"/>
      <w:bookmarkStart w:id="11" w:name="_Toc9542"/>
      <w:bookmarkStart w:id="12" w:name="_Toc11377"/>
      <w:bookmarkStart w:id="13" w:name="_Toc7543"/>
      <w:r>
        <w:rPr>
          <w:rFonts w:hint="eastAsia" w:ascii="Times New Roman" w:hAnsi="Times New Roman" w:eastAsia="宋体" w:cs="Times New Roman"/>
          <w:b/>
          <w:bCs/>
          <w:kern w:val="2"/>
          <w:sz w:val="30"/>
          <w:szCs w:val="30"/>
          <w:lang w:val="en-US" w:eastAsia="zh-CN" w:bidi="ar-SA"/>
        </w:rPr>
        <w:t>1.2</w:t>
      </w:r>
      <w:r>
        <w:rPr>
          <w:rFonts w:hint="default" w:ascii="Times New Roman" w:hAnsi="Times New Roman" w:eastAsia="宋体" w:cs="Times New Roman"/>
          <w:b/>
          <w:bCs/>
          <w:kern w:val="2"/>
          <w:sz w:val="30"/>
          <w:szCs w:val="30"/>
          <w:lang w:val="en-US" w:eastAsia="zh-CN" w:bidi="ar-SA"/>
        </w:rPr>
        <w:t>项目特点</w:t>
      </w:r>
      <w:bookmarkEnd w:id="7"/>
      <w:bookmarkEnd w:id="8"/>
    </w:p>
    <w:p w14:paraId="234AA52B">
      <w:pPr>
        <w:autoSpaceDE/>
        <w:autoSpaceDN/>
        <w:adjustRightInd/>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本项目为</w:t>
      </w:r>
      <w:r>
        <w:rPr>
          <w:rFonts w:hint="eastAsia" w:ascii="Times New Roman" w:hAnsi="Times New Roman" w:eastAsia="宋体" w:cs="Times New Roman"/>
          <w:sz w:val="24"/>
          <w:szCs w:val="24"/>
          <w:lang w:val="en-US" w:eastAsia="zh-CN"/>
        </w:rPr>
        <w:t>畜禽养殖</w:t>
      </w:r>
      <w:r>
        <w:rPr>
          <w:rFonts w:hint="default" w:ascii="Times New Roman" w:hAnsi="Times New Roman" w:eastAsia="宋体" w:cs="Times New Roman"/>
          <w:sz w:val="24"/>
          <w:szCs w:val="24"/>
        </w:rPr>
        <w:t>项目，建设性质为</w:t>
      </w:r>
      <w:r>
        <w:rPr>
          <w:rFonts w:hint="eastAsia" w:cs="Times New Roman"/>
          <w:sz w:val="24"/>
          <w:szCs w:val="24"/>
          <w:lang w:val="en-US" w:eastAsia="zh-CN"/>
        </w:rPr>
        <w:t>新建</w:t>
      </w:r>
      <w:r>
        <w:rPr>
          <w:rFonts w:hint="default" w:ascii="Times New Roman" w:hAnsi="Times New Roman" w:eastAsia="宋体" w:cs="Times New Roman"/>
          <w:sz w:val="24"/>
          <w:szCs w:val="24"/>
          <w:lang w:eastAsia="zh-CN"/>
        </w:rPr>
        <w:t>，位于</w:t>
      </w:r>
      <w:r>
        <w:rPr>
          <w:rFonts w:hint="eastAsia" w:cs="Times New Roman"/>
          <w:color w:val="000000"/>
          <w:kern w:val="2"/>
          <w:sz w:val="24"/>
          <w:szCs w:val="24"/>
          <w:lang w:val="en-US" w:eastAsia="zh-CN" w:bidi="ar-SA"/>
        </w:rPr>
        <w:t>第七师胡杨河市一二五团</w:t>
      </w:r>
      <w:r>
        <w:rPr>
          <w:rFonts w:hint="default" w:ascii="Times New Roman" w:hAnsi="Times New Roman" w:eastAsia="宋体" w:cs="Times New Roman"/>
          <w:sz w:val="24"/>
          <w:szCs w:val="24"/>
        </w:rPr>
        <w:t>，行业类别为</w:t>
      </w:r>
      <w:r>
        <w:rPr>
          <w:rFonts w:hint="eastAsia" w:ascii="Times New Roman" w:hAnsi="Times New Roman" w:eastAsia="宋体" w:cs="Times New Roman"/>
          <w:sz w:val="24"/>
          <w:szCs w:val="24"/>
          <w:lang w:val="en-US" w:eastAsia="zh-CN"/>
        </w:rPr>
        <w:t>牛的饲养</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A</w:t>
      </w:r>
      <w:r>
        <w:rPr>
          <w:rFonts w:hint="default" w:ascii="Times New Roman" w:hAnsi="Times New Roman" w:eastAsia="宋体" w:cs="Times New Roman"/>
          <w:sz w:val="24"/>
          <w:szCs w:val="24"/>
        </w:rPr>
        <w:t>0311）。</w:t>
      </w:r>
      <w:r>
        <w:rPr>
          <w:rFonts w:hint="default" w:ascii="Times New Roman" w:hAnsi="Times New Roman" w:eastAsia="宋体" w:cs="Times New Roman"/>
          <w:sz w:val="24"/>
          <w:lang w:val="en-US" w:eastAsia="zh-CN"/>
        </w:rPr>
        <w:t>项目具有以下特点：</w:t>
      </w:r>
    </w:p>
    <w:p w14:paraId="540D228E">
      <w:pPr>
        <w:autoSpaceDE/>
        <w:autoSpaceDN/>
        <w:adjustRightInd/>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本项目</w:t>
      </w:r>
      <w:r>
        <w:rPr>
          <w:rFonts w:hint="eastAsia" w:ascii="Times New Roman" w:hAnsi="Times New Roman" w:eastAsia="宋体" w:cs="Times New Roman"/>
          <w:sz w:val="24"/>
          <w:szCs w:val="24"/>
          <w:lang w:val="en-US" w:eastAsia="zh-CN"/>
        </w:rPr>
        <w:t>养殖工艺为</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引进良种、科学育肥、封闭管理、</w:t>
      </w:r>
      <w:r>
        <w:rPr>
          <w:rFonts w:hint="default" w:ascii="Times New Roman" w:hAnsi="Times New Roman" w:eastAsia="宋体" w:cs="Times New Roman"/>
          <w:kern w:val="2"/>
          <w:sz w:val="24"/>
          <w:szCs w:val="24"/>
          <w:highlight w:val="none"/>
          <w:lang w:val="en-US" w:eastAsia="zh-CN"/>
        </w:rPr>
        <w:t>全进全出</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的生态标准养殖模式</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计划养殖育肥牛</w:t>
      </w:r>
      <w:r>
        <w:rPr>
          <w:rFonts w:hint="eastAsia" w:cs="Times New Roman"/>
          <w:kern w:val="2"/>
          <w:sz w:val="24"/>
          <w:szCs w:val="24"/>
          <w:lang w:val="en-US" w:eastAsia="zh-CN"/>
        </w:rPr>
        <w:t>3</w:t>
      </w:r>
      <w:r>
        <w:rPr>
          <w:rFonts w:hint="default" w:ascii="Times New Roman" w:hAnsi="Times New Roman" w:eastAsia="宋体" w:cs="Times New Roman"/>
          <w:kern w:val="2"/>
          <w:sz w:val="24"/>
          <w:szCs w:val="24"/>
          <w:lang w:val="en-US" w:eastAsia="zh-CN"/>
        </w:rPr>
        <w:t>000头</w:t>
      </w:r>
      <w:r>
        <w:rPr>
          <w:rFonts w:hint="default" w:ascii="Times New Roman" w:hAnsi="Times New Roman" w:eastAsia="宋体" w:cs="Times New Roman"/>
          <w:sz w:val="24"/>
          <w:szCs w:val="24"/>
        </w:rPr>
        <w:t>。</w:t>
      </w:r>
    </w:p>
    <w:p w14:paraId="11628BAE">
      <w:pPr>
        <w:autoSpaceDE/>
        <w:autoSpaceDN/>
        <w:adjustRightInd/>
        <w:spacing w:line="360" w:lineRule="auto"/>
        <w:ind w:firstLine="480" w:firstLineChars="20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项目运营期的</w:t>
      </w:r>
      <w:r>
        <w:rPr>
          <w:rFonts w:hint="eastAsia" w:ascii="Times New Roman" w:hAnsi="Times New Roman" w:eastAsia="宋体" w:cs="Times New Roman"/>
          <w:sz w:val="24"/>
          <w:szCs w:val="24"/>
          <w:lang w:val="en-US" w:eastAsia="zh-CN"/>
        </w:rPr>
        <w:t>大气</w:t>
      </w:r>
      <w:r>
        <w:rPr>
          <w:rFonts w:hint="default" w:ascii="Times New Roman" w:hAnsi="Times New Roman" w:eastAsia="宋体" w:cs="Times New Roman"/>
          <w:sz w:val="24"/>
          <w:szCs w:val="24"/>
        </w:rPr>
        <w:t>环境影响主要体现在</w:t>
      </w:r>
      <w:r>
        <w:rPr>
          <w:rFonts w:hint="default" w:ascii="Times New Roman" w:hAnsi="Times New Roman" w:eastAsia="宋体" w:cs="Times New Roman"/>
          <w:sz w:val="24"/>
          <w:szCs w:val="24"/>
          <w:lang w:val="en-US" w:eastAsia="zh-CN"/>
        </w:rPr>
        <w:t>养殖</w:t>
      </w:r>
      <w:r>
        <w:rPr>
          <w:rFonts w:hint="default" w:ascii="Times New Roman" w:hAnsi="Times New Roman" w:eastAsia="宋体" w:cs="Times New Roman"/>
          <w:sz w:val="24"/>
          <w:szCs w:val="24"/>
          <w:lang w:eastAsia="zh-CN"/>
        </w:rPr>
        <w:t>恶臭</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color w:val="auto"/>
          <w:sz w:val="24"/>
          <w:szCs w:val="24"/>
          <w:highlight w:val="none"/>
          <w:lang w:val="en-US" w:eastAsia="zh-CN"/>
        </w:rPr>
        <w:t>饲料粉碎粉尘</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饲料搅拌粉尘、堆肥废气</w:t>
      </w:r>
      <w:r>
        <w:rPr>
          <w:rFonts w:hint="eastAsia" w:ascii="Times New Roman" w:hAnsi="Times New Roman" w:eastAsia="宋体" w:cs="Times New Roman"/>
          <w:sz w:val="24"/>
          <w:szCs w:val="24"/>
          <w:lang w:val="en-US" w:eastAsia="zh-CN"/>
        </w:rPr>
        <w:t>以及</w:t>
      </w:r>
      <w:r>
        <w:rPr>
          <w:rFonts w:hint="default" w:ascii="Times New Roman" w:hAnsi="Times New Roman" w:eastAsia="宋体" w:cs="Times New Roman"/>
          <w:sz w:val="24"/>
          <w:szCs w:val="24"/>
          <w:lang w:val="en-US" w:eastAsia="zh-CN"/>
        </w:rPr>
        <w:t>移动源尾气</w:t>
      </w:r>
      <w:r>
        <w:rPr>
          <w:rFonts w:hint="default" w:ascii="Times New Roman" w:hAnsi="Times New Roman" w:eastAsia="宋体" w:cs="Times New Roman"/>
          <w:sz w:val="24"/>
          <w:szCs w:val="24"/>
        </w:rPr>
        <w:t>等对区域大气环境的影响</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其中养殖恶臭</w:t>
      </w:r>
      <w:r>
        <w:rPr>
          <w:rFonts w:hint="default" w:ascii="Times New Roman" w:hAnsi="Times New Roman" w:eastAsia="宋体" w:cs="Times New Roman"/>
          <w:sz w:val="24"/>
          <w:lang w:val="en-US" w:eastAsia="zh-CN"/>
        </w:rPr>
        <w:t>在评价过程中重点分析，</w:t>
      </w:r>
      <w:r>
        <w:rPr>
          <w:rFonts w:hint="default" w:ascii="Times New Roman" w:hAnsi="Times New Roman" w:eastAsia="宋体" w:cs="Times New Roman"/>
          <w:color w:val="000000"/>
          <w:kern w:val="2"/>
          <w:sz w:val="24"/>
          <w:szCs w:val="22"/>
          <w:highlight w:val="none"/>
          <w:lang w:val="en-US" w:eastAsia="zh-CN" w:bidi="ar-SA"/>
        </w:rPr>
        <w:t>针对主要不利影响提出可行的减缓措施</w:t>
      </w:r>
      <w:r>
        <w:rPr>
          <w:rFonts w:hint="eastAsia" w:ascii="Times New Roman" w:hAnsi="Times New Roman" w:eastAsia="宋体" w:cs="Times New Roman"/>
          <w:color w:val="000000"/>
          <w:kern w:val="2"/>
          <w:sz w:val="24"/>
          <w:szCs w:val="22"/>
          <w:highlight w:val="none"/>
          <w:lang w:val="en-US" w:eastAsia="zh-CN" w:bidi="ar-SA"/>
        </w:rPr>
        <w:t>。</w:t>
      </w:r>
    </w:p>
    <w:p w14:paraId="7BBFD021">
      <w:pPr>
        <w:autoSpaceDE/>
        <w:autoSpaceDN/>
        <w:adjustRightInd/>
        <w:spacing w:line="360" w:lineRule="auto"/>
        <w:ind w:firstLine="480" w:firstLineChars="20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color w:val="000000"/>
          <w:kern w:val="2"/>
          <w:sz w:val="24"/>
          <w:szCs w:val="22"/>
          <w:highlight w:val="none"/>
          <w:lang w:val="en-US" w:eastAsia="zh-CN" w:bidi="ar-SA"/>
        </w:rPr>
        <w:t>项目主要关注</w:t>
      </w:r>
      <w:r>
        <w:rPr>
          <w:rFonts w:hint="eastAsia" w:cs="Times New Roman"/>
          <w:color w:val="000000"/>
          <w:kern w:val="2"/>
          <w:sz w:val="24"/>
          <w:szCs w:val="22"/>
          <w:highlight w:val="none"/>
          <w:lang w:val="en-US" w:eastAsia="zh-CN" w:bidi="ar-SA"/>
        </w:rPr>
        <w:t>养殖恶臭对大气环境的影响，</w:t>
      </w:r>
      <w:r>
        <w:rPr>
          <w:rFonts w:hint="eastAsia" w:ascii="Times New Roman" w:hAnsi="Times New Roman" w:eastAsia="宋体" w:cs="Times New Roman"/>
          <w:sz w:val="24"/>
          <w:szCs w:val="24"/>
          <w:lang w:val="en-US" w:eastAsia="zh-CN"/>
        </w:rPr>
        <w:t>养殖粪污</w:t>
      </w:r>
      <w:r>
        <w:rPr>
          <w:rFonts w:hint="default" w:ascii="Times New Roman" w:hAnsi="Times New Roman" w:eastAsia="宋体" w:cs="Times New Roman"/>
          <w:sz w:val="24"/>
          <w:szCs w:val="24"/>
        </w:rPr>
        <w:t>对地下水、土壤环境的影响</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项目占地对生态环境</w:t>
      </w:r>
      <w:r>
        <w:rPr>
          <w:rFonts w:hint="eastAsia" w:ascii="Times New Roman" w:hAnsi="Times New Roman" w:eastAsia="宋体" w:cs="Times New Roman"/>
          <w:sz w:val="24"/>
          <w:szCs w:val="24"/>
          <w:lang w:val="en-US" w:eastAsia="zh-CN"/>
        </w:rPr>
        <w:t>以及项目对环境风险</w:t>
      </w:r>
      <w:r>
        <w:rPr>
          <w:rFonts w:hint="default" w:ascii="Times New Roman" w:hAnsi="Times New Roman" w:eastAsia="宋体" w:cs="Times New Roman"/>
          <w:sz w:val="24"/>
          <w:szCs w:val="24"/>
        </w:rPr>
        <w:t>的影响等。</w:t>
      </w:r>
    </w:p>
    <w:bookmarkEnd w:id="9"/>
    <w:bookmarkEnd w:id="10"/>
    <w:p w14:paraId="1222207F">
      <w:pPr>
        <w:keepNext w:val="0"/>
        <w:keepLines w:val="0"/>
        <w:widowControl w:val="0"/>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14" w:name="_Toc15679"/>
      <w:r>
        <w:rPr>
          <w:rFonts w:hint="default" w:ascii="Times New Roman" w:hAnsi="Times New Roman" w:eastAsia="宋体" w:cs="Times New Roman"/>
          <w:b/>
          <w:bCs/>
          <w:kern w:val="2"/>
          <w:sz w:val="30"/>
          <w:szCs w:val="30"/>
          <w:lang w:val="en-US" w:eastAsia="zh-CN" w:bidi="ar-SA"/>
        </w:rPr>
        <w:t>1.</w:t>
      </w:r>
      <w:r>
        <w:rPr>
          <w:rFonts w:hint="eastAsia" w:cs="Times New Roman"/>
          <w:b/>
          <w:bCs/>
          <w:kern w:val="2"/>
          <w:sz w:val="30"/>
          <w:szCs w:val="30"/>
          <w:lang w:val="en-US" w:eastAsia="zh-CN" w:bidi="ar-SA"/>
        </w:rPr>
        <w:t>3</w:t>
      </w:r>
      <w:r>
        <w:rPr>
          <w:rFonts w:hint="default" w:ascii="Times New Roman" w:hAnsi="Times New Roman" w:eastAsia="宋体" w:cs="Times New Roman"/>
          <w:b/>
          <w:bCs/>
          <w:kern w:val="2"/>
          <w:sz w:val="30"/>
          <w:szCs w:val="30"/>
          <w:lang w:val="en-US" w:eastAsia="zh-CN" w:bidi="ar-SA"/>
        </w:rPr>
        <w:t>环境影响评价工作过程</w:t>
      </w:r>
      <w:bookmarkEnd w:id="11"/>
      <w:bookmarkEnd w:id="12"/>
      <w:bookmarkEnd w:id="13"/>
      <w:bookmarkEnd w:id="14"/>
    </w:p>
    <w:p w14:paraId="4B8BFF9D">
      <w:pPr>
        <w:widowControl/>
        <w:spacing w:after="0" w:line="360" w:lineRule="auto"/>
        <w:ind w:firstLine="48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根据《中华人民共和国环境影响评价法》及《建设项目环境保护管理条例</w:t>
      </w:r>
      <w:r>
        <w:rPr>
          <w:rFonts w:hint="eastAsia" w:cs="Times New Roman"/>
          <w:kern w:val="2"/>
          <w:sz w:val="24"/>
          <w:szCs w:val="24"/>
          <w:lang w:val="en-US" w:eastAsia="zh-CN" w:bidi="ar-SA"/>
        </w:rPr>
        <w:t>》等</w:t>
      </w:r>
      <w:r>
        <w:rPr>
          <w:rFonts w:hint="default" w:ascii="Times New Roman" w:hAnsi="Times New Roman" w:eastAsia="宋体" w:cs="Times New Roman"/>
          <w:kern w:val="2"/>
          <w:sz w:val="24"/>
          <w:szCs w:val="24"/>
          <w:lang w:val="en-US" w:eastAsia="zh-CN" w:bidi="ar-SA"/>
        </w:rPr>
        <w:t>规定及有关环境保护政策法规的要求，胡杨河市鑫驰农牧有限责任公司委托</w:t>
      </w:r>
      <w:r>
        <w:rPr>
          <w:rFonts w:hint="eastAsia" w:ascii="Times New Roman" w:hAnsi="Times New Roman" w:eastAsia="宋体" w:cs="Times New Roman"/>
          <w:kern w:val="2"/>
          <w:sz w:val="24"/>
          <w:szCs w:val="24"/>
          <w:lang w:val="en-US" w:eastAsia="zh-CN" w:bidi="ar-SA"/>
        </w:rPr>
        <w:t>我单位</w:t>
      </w:r>
      <w:r>
        <w:rPr>
          <w:rFonts w:hint="default" w:ascii="Times New Roman" w:hAnsi="Times New Roman" w:eastAsia="宋体" w:cs="Times New Roman"/>
          <w:kern w:val="2"/>
          <w:sz w:val="24"/>
          <w:szCs w:val="24"/>
          <w:lang w:val="en-US" w:eastAsia="zh-CN" w:bidi="ar-SA"/>
        </w:rPr>
        <w:t>进行胡杨河市鑫驰农牧有限责任公司育肥牛养殖改扩建建设项目的环境影响评价工作。</w:t>
      </w:r>
    </w:p>
    <w:p w14:paraId="664D4756">
      <w:pPr>
        <w:widowControl/>
        <w:spacing w:after="0" w:line="360" w:lineRule="auto"/>
        <w:ind w:left="0" w:leftChars="0" w:firstLine="480" w:firstLineChars="200"/>
        <w:jc w:val="left"/>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根据《产业结构调整指导目录</w:t>
      </w:r>
      <w:r>
        <w:rPr>
          <w:rFonts w:hint="eastAsia" w:ascii="Times New Roman" w:hAnsi="Times New Roman" w:eastAsia="宋体" w:cs="Times New Roman"/>
          <w:color w:val="000000"/>
          <w:kern w:val="2"/>
          <w:sz w:val="24"/>
          <w:szCs w:val="24"/>
          <w:lang w:val="en-US" w:eastAsia="zh-CN" w:bidi="ar-SA"/>
        </w:rPr>
        <w:t>（2024</w:t>
      </w:r>
      <w:r>
        <w:rPr>
          <w:rFonts w:hint="default" w:ascii="Times New Roman" w:hAnsi="Times New Roman" w:eastAsia="宋体" w:cs="Times New Roman"/>
          <w:color w:val="000000"/>
          <w:kern w:val="2"/>
          <w:sz w:val="24"/>
          <w:szCs w:val="24"/>
          <w:lang w:val="en-US" w:eastAsia="zh-CN" w:bidi="ar-SA"/>
        </w:rPr>
        <w:t>年本</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》，本项目</w:t>
      </w:r>
      <w:r>
        <w:rPr>
          <w:rFonts w:hint="eastAsia" w:cs="Times New Roman"/>
          <w:color w:val="000000"/>
          <w:kern w:val="2"/>
          <w:sz w:val="24"/>
          <w:szCs w:val="24"/>
          <w:lang w:val="en-US" w:eastAsia="zh-CN" w:bidi="ar-SA"/>
        </w:rPr>
        <w:t>肉牛养殖</w:t>
      </w:r>
      <w:r>
        <w:rPr>
          <w:rFonts w:hint="default" w:ascii="Times New Roman" w:hAnsi="Times New Roman" w:eastAsia="宋体" w:cs="Times New Roman"/>
          <w:color w:val="000000"/>
          <w:kern w:val="2"/>
          <w:sz w:val="24"/>
          <w:szCs w:val="24"/>
          <w:lang w:val="en-US" w:eastAsia="zh-CN" w:bidi="ar-SA"/>
        </w:rPr>
        <w:t>属于鼓励类的</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第一类鼓励类</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一、农林牧渔业</w:t>
      </w:r>
      <w:r>
        <w:rPr>
          <w:rFonts w:hint="eastAsia" w:ascii="Times New Roman" w:hAnsi="Times New Roman" w:eastAsia="宋体" w:cs="Times New Roman"/>
          <w:kern w:val="2"/>
          <w:sz w:val="24"/>
          <w:szCs w:val="24"/>
          <w:lang w:val="en-US" w:eastAsia="zh-CN" w:bidi="ar-SA"/>
        </w:rPr>
        <w:t>；14、现代畜牧业及水产生态健康养殖：畜禽标准化规模养殖技术开发与应用</w:t>
      </w:r>
      <w:r>
        <w:rPr>
          <w:rFonts w:hint="eastAsia" w:cs="Times New Roman"/>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根据《中华人民共和国环境保护法》和《中华人民共和国环境影响评价法》等法律有关规定，对新建或改扩建项目需进行环境影</w:t>
      </w:r>
      <w:r>
        <w:rPr>
          <w:rFonts w:hint="default" w:ascii="Times New Roman" w:hAnsi="Times New Roman" w:eastAsia="宋体" w:cs="Times New Roman"/>
          <w:color w:val="auto"/>
          <w:kern w:val="2"/>
          <w:sz w:val="24"/>
          <w:szCs w:val="24"/>
          <w:lang w:val="en-US" w:eastAsia="zh-CN" w:bidi="ar-SA"/>
        </w:rPr>
        <w:t>响评价。</w:t>
      </w:r>
    </w:p>
    <w:p w14:paraId="36F69250">
      <w:pPr>
        <w:widowControl/>
        <w:spacing w:after="0" w:line="360" w:lineRule="auto"/>
        <w:ind w:left="0" w:leftChars="0" w:firstLine="480" w:firstLineChars="200"/>
        <w:jc w:val="left"/>
        <w:rPr>
          <w:rFonts w:hint="default" w:ascii="Times New Roman" w:hAnsi="Times New Roman" w:eastAsia="宋体" w:cs="Times New Roman"/>
          <w:kern w:val="2"/>
          <w:sz w:val="24"/>
          <w:szCs w:val="24"/>
          <w:lang w:val="en-US" w:eastAsia="zh-CN" w:bidi="ar-SA"/>
        </w:rPr>
      </w:pPr>
      <w:r>
        <w:rPr>
          <w:rFonts w:hint="eastAsia" w:cs="Times New Roman"/>
          <w:color w:val="auto"/>
          <w:kern w:val="2"/>
          <w:sz w:val="24"/>
          <w:szCs w:val="24"/>
          <w:lang w:val="en-US" w:eastAsia="zh-CN" w:bidi="ar-SA"/>
        </w:rPr>
        <w:t>根据</w:t>
      </w:r>
      <w:r>
        <w:rPr>
          <w:rFonts w:hint="default" w:ascii="Times New Roman" w:hAnsi="Times New Roman" w:eastAsia="宋体" w:cs="Times New Roman"/>
          <w:color w:val="auto"/>
          <w:kern w:val="2"/>
          <w:sz w:val="24"/>
          <w:szCs w:val="24"/>
          <w:lang w:val="en-US" w:eastAsia="zh-CN" w:bidi="ar-SA"/>
        </w:rPr>
        <w:t>《建设项目环境影响评价分类管理名录</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2021年</w:t>
      </w:r>
      <w:r>
        <w:rPr>
          <w:rFonts w:hint="default" w:ascii="Times New Roman" w:hAnsi="Times New Roman" w:eastAsia="宋体" w:cs="Times New Roman"/>
          <w:color w:val="auto"/>
          <w:kern w:val="2"/>
          <w:sz w:val="24"/>
          <w:szCs w:val="24"/>
          <w:lang w:val="en-US" w:eastAsia="zh-CN" w:bidi="ar-SA"/>
        </w:rPr>
        <w:t>版</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二</w:t>
      </w:r>
      <w:r>
        <w:rPr>
          <w:rFonts w:hint="default" w:ascii="Times New Roman" w:hAnsi="Times New Roman" w:eastAsia="宋体" w:cs="Times New Roman"/>
          <w:color w:val="auto"/>
          <w:kern w:val="2"/>
          <w:sz w:val="24"/>
          <w:szCs w:val="24"/>
          <w:lang w:val="en-US" w:eastAsia="zh-CN" w:bidi="ar-SA"/>
        </w:rPr>
        <w:t>、畜牧业，</w:t>
      </w:r>
      <w:r>
        <w:rPr>
          <w:rFonts w:hint="eastAsia" w:ascii="Times New Roman" w:hAnsi="Times New Roman" w:eastAsia="宋体" w:cs="Times New Roman"/>
          <w:color w:val="auto"/>
          <w:kern w:val="2"/>
          <w:sz w:val="24"/>
          <w:szCs w:val="24"/>
          <w:lang w:val="en-US" w:eastAsia="zh-CN" w:bidi="ar-SA"/>
        </w:rPr>
        <w:t>3、牲畜养殖031；年出栏生猪5000头（其他畜禽种类折合猪的养殖量）及以上的规模化畜禽养殖；存栏生猪2500头（其他畜禽种类折合猪的养殖规模）及以上无出栏量的规模化畜禽养殖；涉及环境敏感区的规模化畜禽养殖</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，根据《畜禽养殖业污染物排放标准》（GB18596-2001），对具有不同畜禽种类的养殖场和养殖区，其规模可将鸡、牛的养殖量换算成猪的养殖量，换算比例为1头肉牛折算成5头猪，</w:t>
      </w:r>
      <w:r>
        <w:rPr>
          <w:rFonts w:hint="eastAsia" w:ascii="Times New Roman" w:hAnsi="Times New Roman" w:eastAsia="宋体" w:cs="Times New Roman"/>
          <w:color w:val="auto"/>
          <w:kern w:val="2"/>
          <w:sz w:val="24"/>
          <w:szCs w:val="24"/>
          <w:highlight w:val="none"/>
          <w:lang w:val="en-US" w:eastAsia="zh-CN" w:bidi="ar-SA"/>
        </w:rPr>
        <w:t>因此本项目</w:t>
      </w:r>
      <w:r>
        <w:rPr>
          <w:rFonts w:hint="eastAsia" w:cs="Times New Roman"/>
          <w:color w:val="auto"/>
          <w:kern w:val="2"/>
          <w:sz w:val="24"/>
          <w:szCs w:val="24"/>
          <w:highlight w:val="none"/>
          <w:lang w:val="en-US" w:eastAsia="zh-CN" w:bidi="ar-SA"/>
        </w:rPr>
        <w:t>建成后</w:t>
      </w:r>
      <w:r>
        <w:rPr>
          <w:rFonts w:hint="eastAsia" w:ascii="Times New Roman" w:hAnsi="Times New Roman" w:eastAsia="宋体" w:cs="Times New Roman"/>
          <w:color w:val="auto"/>
          <w:kern w:val="2"/>
          <w:sz w:val="24"/>
          <w:szCs w:val="24"/>
          <w:highlight w:val="none"/>
          <w:lang w:val="en-US" w:eastAsia="zh-CN" w:bidi="ar-SA"/>
        </w:rPr>
        <w:t>年存栏</w:t>
      </w:r>
      <w:r>
        <w:rPr>
          <w:rFonts w:hint="eastAsia" w:cs="Times New Roman"/>
          <w:color w:val="auto"/>
          <w:kern w:val="2"/>
          <w:sz w:val="24"/>
          <w:szCs w:val="24"/>
          <w:highlight w:val="none"/>
          <w:lang w:val="en-US" w:eastAsia="zh-CN" w:bidi="ar-SA"/>
        </w:rPr>
        <w:t>育肥牛共3000</w:t>
      </w:r>
      <w:r>
        <w:rPr>
          <w:rFonts w:hint="eastAsia" w:ascii="Times New Roman" w:hAnsi="Times New Roman" w:eastAsia="宋体" w:cs="Times New Roman"/>
          <w:color w:val="auto"/>
          <w:kern w:val="2"/>
          <w:sz w:val="24"/>
          <w:szCs w:val="24"/>
          <w:highlight w:val="none"/>
          <w:lang w:val="en-US" w:eastAsia="zh-CN" w:bidi="ar-SA"/>
        </w:rPr>
        <w:t>头，折算年存栏生猪</w:t>
      </w:r>
      <w:r>
        <w:rPr>
          <w:rFonts w:hint="eastAsia" w:cs="Times New Roman"/>
          <w:color w:val="auto"/>
          <w:kern w:val="2"/>
          <w:sz w:val="24"/>
          <w:szCs w:val="24"/>
          <w:highlight w:val="none"/>
          <w:lang w:val="en-US" w:eastAsia="zh-CN" w:bidi="ar-SA"/>
        </w:rPr>
        <w:t>15</w:t>
      </w:r>
      <w:r>
        <w:rPr>
          <w:rFonts w:hint="eastAsia" w:ascii="Times New Roman" w:hAnsi="Times New Roman" w:eastAsia="宋体" w:cs="Times New Roman"/>
          <w:color w:val="auto"/>
          <w:kern w:val="2"/>
          <w:sz w:val="24"/>
          <w:szCs w:val="24"/>
          <w:highlight w:val="none"/>
          <w:lang w:val="en-US" w:eastAsia="zh-CN" w:bidi="ar-SA"/>
        </w:rPr>
        <w:t>00</w:t>
      </w:r>
      <w:r>
        <w:rPr>
          <w:rFonts w:hint="eastAsia" w:cs="Times New Roman"/>
          <w:color w:val="auto"/>
          <w:kern w:val="2"/>
          <w:sz w:val="24"/>
          <w:szCs w:val="24"/>
          <w:highlight w:val="none"/>
          <w:lang w:val="en-US" w:eastAsia="zh-CN" w:bidi="ar-SA"/>
        </w:rPr>
        <w:t>0</w:t>
      </w:r>
      <w:r>
        <w:rPr>
          <w:rFonts w:hint="eastAsia" w:ascii="Times New Roman" w:hAnsi="Times New Roman" w:eastAsia="宋体" w:cs="Times New Roman"/>
          <w:color w:val="auto"/>
          <w:kern w:val="2"/>
          <w:sz w:val="24"/>
          <w:szCs w:val="24"/>
          <w:highlight w:val="none"/>
          <w:lang w:val="en-US" w:eastAsia="zh-CN" w:bidi="ar-SA"/>
        </w:rPr>
        <w:t>头，</w:t>
      </w:r>
      <w:r>
        <w:rPr>
          <w:rFonts w:hint="default" w:ascii="Times New Roman" w:hAnsi="Times New Roman" w:eastAsia="宋体" w:cs="Times New Roman"/>
          <w:color w:val="auto"/>
          <w:kern w:val="2"/>
          <w:sz w:val="24"/>
          <w:szCs w:val="24"/>
          <w:highlight w:val="none"/>
          <w:lang w:val="en-US" w:eastAsia="zh-CN" w:bidi="ar-SA"/>
        </w:rPr>
        <w:t>应当编制环境影响报告书。</w:t>
      </w:r>
    </w:p>
    <w:p w14:paraId="46A15C14">
      <w:pPr>
        <w:widowControl/>
        <w:spacing w:after="0" w:line="360" w:lineRule="auto"/>
        <w:ind w:firstLine="480" w:firstLineChars="20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4"/>
          <w:szCs w:val="24"/>
          <w:lang w:val="zh-CN" w:eastAsia="zh-CN" w:bidi="ar-SA"/>
        </w:rPr>
        <w:t>本次环境影响评价工作分三个阶段完成，即前期准备、调研和工作方案阶段，分析论证和预测评价阶段，环境影响文件编制阶段。</w:t>
      </w:r>
      <w:r>
        <w:rPr>
          <w:rFonts w:hint="default" w:ascii="Times New Roman" w:hAnsi="Times New Roman" w:eastAsia="宋体" w:cs="Times New Roman"/>
          <w:kern w:val="2"/>
          <w:sz w:val="24"/>
          <w:szCs w:val="24"/>
          <w:lang w:val="en-US" w:eastAsia="zh-CN" w:bidi="ar-SA"/>
        </w:rPr>
        <w:t>接受委托后，</w:t>
      </w:r>
      <w:r>
        <w:rPr>
          <w:rFonts w:hint="default" w:ascii="Times New Roman" w:hAnsi="Times New Roman" w:eastAsia="宋体" w:cs="Times New Roman"/>
          <w:kern w:val="2"/>
          <w:sz w:val="24"/>
          <w:szCs w:val="24"/>
          <w:lang w:val="zh-CN" w:eastAsia="zh-CN" w:bidi="ar-SA"/>
        </w:rPr>
        <w:t>根据建设单位提供的相关文件和技术资料，</w:t>
      </w:r>
      <w:r>
        <w:rPr>
          <w:rFonts w:hint="default" w:ascii="Times New Roman" w:hAnsi="Times New Roman" w:eastAsia="宋体" w:cs="Times New Roman"/>
          <w:kern w:val="2"/>
          <w:sz w:val="24"/>
          <w:szCs w:val="24"/>
          <w:lang w:val="en-US" w:eastAsia="zh-CN" w:bidi="ar-SA"/>
        </w:rPr>
        <w:t>评价单位组织有关环评人员赴现场进行实地踏勘，对评价区范围的自然环境、工业企业及人口分布情况进行了调查，收集了当地水文、地质、气象以及环境现状等资料，协助建设单位</w:t>
      </w:r>
      <w:r>
        <w:rPr>
          <w:rFonts w:hint="default" w:ascii="Times New Roman" w:hAnsi="Times New Roman" w:eastAsia="宋体" w:cs="Times New Roman"/>
          <w:kern w:val="2"/>
          <w:sz w:val="24"/>
          <w:szCs w:val="24"/>
          <w:lang w:val="zh-CN" w:eastAsia="zh-CN" w:bidi="ar-SA"/>
        </w:rPr>
        <w:t>开展公众参与调查和公示，根据公众意见和建议，提出了相关的污染治理措施，对建设项目进行了认真细致的工程分析，根据各环境要素的评价等级筛选及其相应评价等级要求，对各环境要素进行了环境影响预测和评价，提出了相应的环境保护措施并进行了技术经济论证，在此基础上</w:t>
      </w:r>
      <w:r>
        <w:rPr>
          <w:rFonts w:hint="default" w:ascii="Times New Roman" w:hAnsi="Times New Roman" w:eastAsia="宋体" w:cs="Times New Roman"/>
          <w:kern w:val="2"/>
          <w:sz w:val="24"/>
          <w:szCs w:val="24"/>
          <w:lang w:val="en-US" w:eastAsia="zh-CN" w:bidi="ar-SA"/>
        </w:rPr>
        <w:t>编制完成了《胡杨河市鑫驰农牧有限责任公司育肥牛养殖改扩建建设项目环</w:t>
      </w:r>
      <w:r>
        <w:rPr>
          <w:rFonts w:hint="default" w:ascii="Times New Roman" w:hAnsi="Times New Roman" w:eastAsia="宋体" w:cs="Times New Roman"/>
          <w:snapToGrid w:val="0"/>
          <w:kern w:val="2"/>
          <w:sz w:val="24"/>
          <w:szCs w:val="24"/>
          <w:lang w:val="en-US" w:eastAsia="zh-CN" w:bidi="ar-SA"/>
        </w:rPr>
        <w:t>境影响报告书</w:t>
      </w:r>
      <w:r>
        <w:rPr>
          <w:rFonts w:hint="default" w:ascii="Times New Roman" w:hAnsi="Times New Roman" w:eastAsia="宋体" w:cs="Times New Roman"/>
          <w:kern w:val="2"/>
          <w:sz w:val="24"/>
          <w:szCs w:val="24"/>
          <w:lang w:val="en-US" w:eastAsia="zh-CN" w:bidi="ar-SA"/>
        </w:rPr>
        <w:t>》。环境影响报告书编制工作程序如图1.</w:t>
      </w:r>
      <w:r>
        <w:rPr>
          <w:rFonts w:hint="eastAsia" w:cs="Times New Roman"/>
          <w:kern w:val="2"/>
          <w:sz w:val="24"/>
          <w:szCs w:val="24"/>
          <w:lang w:val="en-US" w:eastAsia="zh-CN" w:bidi="ar-SA"/>
        </w:rPr>
        <w:t>3</w:t>
      </w:r>
      <w:r>
        <w:rPr>
          <w:rFonts w:hint="default" w:ascii="Times New Roman" w:hAnsi="Times New Roman" w:eastAsia="宋体" w:cs="Times New Roman"/>
          <w:kern w:val="2"/>
          <w:sz w:val="24"/>
          <w:szCs w:val="24"/>
          <w:lang w:val="en-US" w:eastAsia="zh-CN" w:bidi="ar-SA"/>
        </w:rPr>
        <w:t>-1所示。</w:t>
      </w:r>
    </w:p>
    <w:p w14:paraId="13840DF1">
      <w:pPr>
        <w:widowControl/>
        <w:spacing w:after="0" w:line="360" w:lineRule="auto"/>
        <w:ind w:left="0" w:leftChars="0" w:firstLine="0" w:firstLineChars="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eastAsiaTheme="minorEastAsia"/>
          <w:kern w:val="0"/>
          <w:sz w:val="24"/>
          <w:szCs w:val="24"/>
          <w:lang w:val="en-US" w:eastAsia="zh-CN" w:bidi="en-US"/>
        </w:rPr>
        <w:drawing>
          <wp:inline distT="0" distB="0" distL="114300" distR="114300">
            <wp:extent cx="5266690" cy="4961890"/>
            <wp:effectExtent l="0" t="0" r="10160" b="10160"/>
            <wp:docPr id="18" name="图片 18" descr="70073829-1b87-4470-908a-025fd028d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0073829-1b87-4470-908a-025fd028d172"/>
                    <pic:cNvPicPr>
                      <a:picLocks noChangeAspect="1"/>
                    </pic:cNvPicPr>
                  </pic:nvPicPr>
                  <pic:blipFill>
                    <a:blip r:embed="rId21"/>
                    <a:stretch>
                      <a:fillRect/>
                    </a:stretch>
                  </pic:blipFill>
                  <pic:spPr>
                    <a:xfrm>
                      <a:off x="0" y="0"/>
                      <a:ext cx="5266690" cy="4961890"/>
                    </a:xfrm>
                    <a:prstGeom prst="rect">
                      <a:avLst/>
                    </a:prstGeom>
                  </pic:spPr>
                </pic:pic>
              </a:graphicData>
            </a:graphic>
          </wp:inline>
        </w:drawing>
      </w:r>
    </w:p>
    <w:p w14:paraId="2AA084EB">
      <w:pPr>
        <w:snapToGrid w:val="0"/>
        <w:ind w:firstLine="482"/>
        <w:jc w:val="center"/>
        <w:rPr>
          <w:rFonts w:hint="default" w:ascii="Times New Roman" w:hAnsi="Times New Roman" w:eastAsia="宋体" w:cs="Times New Roman"/>
          <w:lang w:eastAsia="zh-CN"/>
        </w:rPr>
      </w:pPr>
      <w:r>
        <w:rPr>
          <w:rFonts w:hint="default" w:ascii="Times New Roman" w:hAnsi="Times New Roman" w:eastAsia="宋体" w:cs="Times New Roman"/>
          <w:b/>
          <w:bCs w:val="0"/>
          <w:sz w:val="24"/>
          <w:szCs w:val="24"/>
          <w:lang w:eastAsia="zh-CN"/>
        </w:rPr>
        <w:t>图</w:t>
      </w:r>
      <w:r>
        <w:rPr>
          <w:rFonts w:hint="default" w:ascii="Times New Roman" w:hAnsi="Times New Roman" w:eastAsia="宋体" w:cs="Times New Roman"/>
          <w:b/>
          <w:bCs w:val="0"/>
          <w:sz w:val="24"/>
          <w:szCs w:val="24"/>
          <w:lang w:val="en-US" w:eastAsia="zh-CN"/>
        </w:rPr>
        <w:t>1.</w:t>
      </w:r>
      <w:r>
        <w:rPr>
          <w:rFonts w:hint="eastAsia" w:cs="Times New Roman"/>
          <w:b/>
          <w:bCs w:val="0"/>
          <w:sz w:val="24"/>
          <w:szCs w:val="24"/>
          <w:lang w:val="en-US" w:eastAsia="zh-CN"/>
        </w:rPr>
        <w:t>3</w:t>
      </w:r>
      <w:r>
        <w:rPr>
          <w:rFonts w:hint="default" w:ascii="Times New Roman" w:hAnsi="Times New Roman" w:eastAsia="宋体" w:cs="Times New Roman"/>
          <w:b/>
          <w:bCs w:val="0"/>
          <w:sz w:val="24"/>
          <w:szCs w:val="24"/>
          <w:lang w:val="en-US" w:eastAsia="zh-CN"/>
        </w:rPr>
        <w:t>-1</w:t>
      </w:r>
      <w:r>
        <w:rPr>
          <w:rFonts w:hint="default" w:ascii="Times New Roman" w:hAnsi="Times New Roman" w:eastAsia="宋体" w:cs="Times New Roman"/>
          <w:b/>
          <w:bCs w:val="0"/>
          <w:sz w:val="24"/>
          <w:szCs w:val="24"/>
        </w:rPr>
        <w:t>环境影响评价工作程序</w:t>
      </w:r>
      <w:r>
        <w:rPr>
          <w:rFonts w:hint="default" w:ascii="Times New Roman" w:hAnsi="Times New Roman" w:eastAsia="宋体" w:cs="Times New Roman"/>
          <w:b/>
          <w:bCs w:val="0"/>
          <w:sz w:val="24"/>
          <w:szCs w:val="24"/>
          <w:lang w:eastAsia="zh-CN"/>
        </w:rPr>
        <w:t>图</w:t>
      </w:r>
    </w:p>
    <w:p w14:paraId="1E74A619">
      <w:pPr>
        <w:keepNext w:val="0"/>
        <w:keepLines w:val="0"/>
        <w:pageBreakBefore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b/>
          <w:kern w:val="0"/>
          <w:sz w:val="24"/>
          <w:szCs w:val="24"/>
        </w:rPr>
      </w:pPr>
      <w:bookmarkStart w:id="15" w:name="_Toc38885380"/>
      <w:bookmarkStart w:id="16" w:name="_Toc21032"/>
      <w:bookmarkStart w:id="17" w:name="_Toc25189"/>
      <w:bookmarkStart w:id="18" w:name="_Toc28568"/>
      <w:r>
        <w:rPr>
          <w:rFonts w:hint="default" w:ascii="Times New Roman" w:hAnsi="Times New Roman" w:eastAsia="宋体" w:cs="Times New Roman"/>
          <w:b/>
          <w:kern w:val="0"/>
          <w:sz w:val="24"/>
          <w:szCs w:val="24"/>
        </w:rPr>
        <w:t>编制过程说明：</w:t>
      </w:r>
    </w:p>
    <w:p w14:paraId="4AFB600A">
      <w:pPr>
        <w:keepNext w:val="0"/>
        <w:keepLines w:val="0"/>
        <w:pageBreakBefore w:val="0"/>
        <w:widowControl/>
        <w:kinsoku/>
        <w:wordWrap/>
        <w:overflowPunct/>
        <w:topLinePunct w:val="0"/>
        <w:autoSpaceDE/>
        <w:autoSpaceDN/>
        <w:bidi w:val="0"/>
        <w:adjustRightInd/>
        <w:snapToGrid/>
        <w:spacing w:after="0" w:afterLines="0" w:line="360" w:lineRule="auto"/>
        <w:ind w:firstLine="480" w:firstLineChars="200"/>
        <w:jc w:val="left"/>
        <w:textAlignment w:val="auto"/>
        <w:rPr>
          <w:rFonts w:hint="default" w:ascii="Times New Roman" w:hAnsi="Times New Roman" w:eastAsia="宋体" w:cs="Times New Roman"/>
          <w:kern w:val="0"/>
          <w:sz w:val="24"/>
          <w:szCs w:val="24"/>
          <w:lang w:val="en-US" w:eastAsia="en-US" w:bidi="en-US"/>
        </w:rPr>
      </w:pPr>
      <w:r>
        <w:rPr>
          <w:rFonts w:hint="default" w:ascii="Times New Roman" w:hAnsi="Times New Roman" w:eastAsia="宋体" w:cs="Times New Roman"/>
          <w:kern w:val="0"/>
          <w:sz w:val="24"/>
          <w:szCs w:val="24"/>
          <w:lang w:val="en-US" w:eastAsia="en-US" w:bidi="en-US"/>
        </w:rPr>
        <w:t>评价单位</w:t>
      </w:r>
      <w:r>
        <w:rPr>
          <w:rFonts w:hint="eastAsia" w:ascii="Times New Roman" w:hAnsi="Times New Roman" w:eastAsia="宋体" w:cs="Times New Roman"/>
          <w:kern w:val="0"/>
          <w:sz w:val="24"/>
          <w:szCs w:val="24"/>
          <w:lang w:val="en-US" w:eastAsia="zh-CN" w:bidi="en-US"/>
        </w:rPr>
        <w:t>于2026年</w:t>
      </w:r>
      <w:r>
        <w:rPr>
          <w:rFonts w:hint="eastAsia" w:cs="Times New Roman"/>
          <w:kern w:val="0"/>
          <w:sz w:val="24"/>
          <w:szCs w:val="24"/>
          <w:lang w:val="en-US" w:eastAsia="zh-CN" w:bidi="en-US"/>
        </w:rPr>
        <w:t>6</w:t>
      </w:r>
      <w:r>
        <w:rPr>
          <w:rFonts w:hint="eastAsia" w:ascii="Times New Roman" w:hAnsi="Times New Roman" w:eastAsia="宋体" w:cs="Times New Roman"/>
          <w:kern w:val="0"/>
          <w:sz w:val="24"/>
          <w:szCs w:val="24"/>
          <w:lang w:val="en-US" w:eastAsia="zh-CN" w:bidi="en-US"/>
        </w:rPr>
        <w:t>月</w:t>
      </w:r>
      <w:r>
        <w:rPr>
          <w:rFonts w:hint="eastAsia" w:cs="Times New Roman"/>
          <w:kern w:val="0"/>
          <w:sz w:val="24"/>
          <w:szCs w:val="24"/>
          <w:highlight w:val="none"/>
          <w:lang w:val="en-US" w:eastAsia="zh-CN" w:bidi="en-US"/>
        </w:rPr>
        <w:t>23</w:t>
      </w:r>
      <w:r>
        <w:rPr>
          <w:rFonts w:hint="eastAsia" w:ascii="Times New Roman" w:hAnsi="Times New Roman" w:eastAsia="宋体" w:cs="Times New Roman"/>
          <w:kern w:val="0"/>
          <w:sz w:val="24"/>
          <w:szCs w:val="24"/>
          <w:highlight w:val="none"/>
          <w:lang w:val="en-US" w:eastAsia="zh-CN" w:bidi="en-US"/>
        </w:rPr>
        <w:t>日</w:t>
      </w:r>
      <w:r>
        <w:rPr>
          <w:rFonts w:hint="default" w:ascii="Times New Roman" w:hAnsi="Times New Roman" w:eastAsia="宋体" w:cs="Times New Roman"/>
          <w:kern w:val="0"/>
          <w:sz w:val="24"/>
          <w:szCs w:val="24"/>
          <w:lang w:val="en-US" w:eastAsia="en-US" w:bidi="en-US"/>
        </w:rPr>
        <w:t>承接本建设项目环评任务后</w:t>
      </w:r>
      <w:r>
        <w:rPr>
          <w:rFonts w:hint="eastAsia" w:ascii="Times New Roman" w:hAnsi="Times New Roman" w:eastAsia="宋体" w:cs="Times New Roman"/>
          <w:kern w:val="0"/>
          <w:sz w:val="24"/>
          <w:szCs w:val="24"/>
          <w:lang w:val="en-US" w:eastAsia="zh-CN" w:bidi="en-US"/>
        </w:rPr>
        <w:t>，</w:t>
      </w:r>
      <w:r>
        <w:rPr>
          <w:rFonts w:hint="eastAsia" w:ascii="Times New Roman" w:hAnsi="Times New Roman" w:eastAsia="宋体" w:cs="Times New Roman"/>
          <w:kern w:val="0"/>
          <w:sz w:val="24"/>
          <w:szCs w:val="24"/>
          <w:highlight w:val="none"/>
          <w:lang w:val="en-US" w:eastAsia="zh-CN" w:bidi="en-US"/>
        </w:rPr>
        <w:t>于2026年</w:t>
      </w:r>
      <w:r>
        <w:rPr>
          <w:rFonts w:hint="eastAsia" w:cs="Times New Roman"/>
          <w:kern w:val="0"/>
          <w:sz w:val="24"/>
          <w:szCs w:val="24"/>
          <w:highlight w:val="none"/>
          <w:lang w:val="en-US" w:eastAsia="zh-CN" w:bidi="en-US"/>
        </w:rPr>
        <w:t>6</w:t>
      </w:r>
      <w:r>
        <w:rPr>
          <w:rFonts w:hint="eastAsia" w:ascii="Times New Roman" w:hAnsi="Times New Roman" w:eastAsia="宋体" w:cs="Times New Roman"/>
          <w:kern w:val="0"/>
          <w:sz w:val="24"/>
          <w:szCs w:val="24"/>
          <w:highlight w:val="none"/>
          <w:lang w:val="en-US" w:eastAsia="zh-CN" w:bidi="en-US"/>
        </w:rPr>
        <w:t>月</w:t>
      </w:r>
      <w:r>
        <w:rPr>
          <w:rFonts w:hint="eastAsia" w:cs="Times New Roman"/>
          <w:kern w:val="0"/>
          <w:sz w:val="24"/>
          <w:szCs w:val="24"/>
          <w:highlight w:val="none"/>
          <w:lang w:val="en-US" w:eastAsia="zh-CN" w:bidi="en-US"/>
        </w:rPr>
        <w:t>23</w:t>
      </w:r>
      <w:r>
        <w:rPr>
          <w:rFonts w:hint="eastAsia" w:ascii="Times New Roman" w:hAnsi="Times New Roman" w:eastAsia="宋体" w:cs="Times New Roman"/>
          <w:kern w:val="0"/>
          <w:sz w:val="24"/>
          <w:szCs w:val="24"/>
          <w:highlight w:val="none"/>
          <w:lang w:val="en-US" w:eastAsia="zh-CN" w:bidi="en-US"/>
        </w:rPr>
        <w:t>日当日在</w:t>
      </w:r>
      <w:r>
        <w:rPr>
          <w:rFonts w:hint="eastAsia" w:cs="Times New Roman"/>
          <w:kern w:val="0"/>
          <w:sz w:val="24"/>
          <w:szCs w:val="24"/>
          <w:highlight w:val="none"/>
          <w:lang w:val="en-US" w:eastAsia="zh-CN" w:bidi="en-US"/>
        </w:rPr>
        <w:t>第七师胡杨河市政府网</w:t>
      </w:r>
      <w:r>
        <w:rPr>
          <w:rFonts w:hint="eastAsia" w:ascii="Times New Roman" w:hAnsi="Times New Roman" w:eastAsia="宋体" w:cs="Times New Roman"/>
          <w:kern w:val="0"/>
          <w:sz w:val="24"/>
          <w:szCs w:val="24"/>
          <w:highlight w:val="none"/>
          <w:lang w:val="en-US" w:eastAsia="zh-CN" w:bidi="en-US"/>
        </w:rPr>
        <w:t>发布第一次公示</w:t>
      </w:r>
      <w:r>
        <w:rPr>
          <w:rFonts w:hint="default" w:ascii="Times New Roman" w:hAnsi="Times New Roman" w:eastAsia="宋体" w:cs="Times New Roman"/>
          <w:kern w:val="0"/>
          <w:sz w:val="24"/>
          <w:szCs w:val="24"/>
          <w:highlight w:val="none"/>
          <w:lang w:val="en-US" w:eastAsia="en-US" w:bidi="en-US"/>
        </w:rPr>
        <w:t>，</w:t>
      </w:r>
      <w:r>
        <w:rPr>
          <w:rFonts w:hint="eastAsia" w:ascii="Times New Roman" w:hAnsi="Times New Roman" w:eastAsia="宋体" w:cs="Times New Roman"/>
          <w:kern w:val="0"/>
          <w:sz w:val="24"/>
          <w:szCs w:val="24"/>
          <w:lang w:val="en-US" w:eastAsia="zh-CN" w:bidi="en-US"/>
        </w:rPr>
        <w:t>在对已</w:t>
      </w:r>
      <w:r>
        <w:rPr>
          <w:rFonts w:hint="default" w:ascii="Times New Roman" w:hAnsi="Times New Roman" w:eastAsia="宋体" w:cs="Times New Roman"/>
          <w:kern w:val="0"/>
          <w:sz w:val="24"/>
          <w:szCs w:val="24"/>
          <w:lang w:val="en-US" w:eastAsia="en-US" w:bidi="en-US"/>
        </w:rPr>
        <w:t>搜集技术文件资料进行初步分析</w:t>
      </w:r>
      <w:r>
        <w:rPr>
          <w:rFonts w:hint="eastAsia" w:ascii="Times New Roman" w:hAnsi="Times New Roman" w:eastAsia="宋体" w:cs="Times New Roman"/>
          <w:kern w:val="0"/>
          <w:sz w:val="24"/>
          <w:szCs w:val="24"/>
          <w:lang w:val="en-US" w:eastAsia="zh-CN" w:bidi="en-US"/>
        </w:rPr>
        <w:t>后</w:t>
      </w:r>
      <w:r>
        <w:rPr>
          <w:rFonts w:hint="default" w:ascii="Times New Roman" w:hAnsi="Times New Roman" w:eastAsia="宋体" w:cs="Times New Roman"/>
          <w:kern w:val="0"/>
          <w:sz w:val="24"/>
          <w:szCs w:val="24"/>
          <w:lang w:val="en-US" w:eastAsia="en-US" w:bidi="en-US"/>
        </w:rPr>
        <w:t>，委派环评人员奔赴现场勘查开展逐步的环境现状调查，在此基础上进行环境影响识别和评价因子筛选，明确评价重点和环境保护目标，确定工作等级、评价范围和评价标准，完成第一阶段制定工作方案的工作；接下来开展第二阶段工作，完成工程分析、项目环境现状调查、监测与评价；第三阶段工作在前期工作成果基础上，提出环境保护措施，核算统计污染物排放清单，综合分析得出建设项目环境影响评价结论。汇集以上工作成果编制完成环境影响报告书后</w:t>
      </w:r>
      <w:r>
        <w:rPr>
          <w:rFonts w:hint="eastAsia" w:ascii="Times New Roman" w:hAnsi="Times New Roman" w:eastAsia="宋体" w:cs="Times New Roman"/>
          <w:kern w:val="0"/>
          <w:sz w:val="24"/>
          <w:szCs w:val="24"/>
          <w:lang w:val="en-US" w:eastAsia="zh-CN" w:bidi="en-US"/>
        </w:rPr>
        <w:t>于</w:t>
      </w:r>
      <w:r>
        <w:rPr>
          <w:rFonts w:hint="eastAsia" w:ascii="Times New Roman" w:hAnsi="Times New Roman" w:eastAsia="宋体" w:cs="Times New Roman"/>
          <w:color w:val="auto"/>
          <w:kern w:val="0"/>
          <w:sz w:val="24"/>
          <w:szCs w:val="24"/>
          <w:lang w:val="en-US" w:eastAsia="zh-CN" w:bidi="en-US"/>
        </w:rPr>
        <w:t>2026年</w:t>
      </w:r>
      <w:r>
        <w:rPr>
          <w:rFonts w:hint="eastAsia" w:cs="Times New Roman"/>
          <w:color w:val="auto"/>
          <w:kern w:val="0"/>
          <w:sz w:val="24"/>
          <w:szCs w:val="24"/>
          <w:lang w:val="en-US" w:eastAsia="zh-CN" w:bidi="en-US"/>
        </w:rPr>
        <w:t>7</w:t>
      </w:r>
      <w:r>
        <w:rPr>
          <w:rFonts w:hint="eastAsia" w:ascii="Times New Roman" w:hAnsi="Times New Roman" w:eastAsia="宋体" w:cs="Times New Roman"/>
          <w:color w:val="auto"/>
          <w:kern w:val="0"/>
          <w:sz w:val="24"/>
          <w:szCs w:val="24"/>
          <w:lang w:val="en-US" w:eastAsia="zh-CN" w:bidi="en-US"/>
        </w:rPr>
        <w:t>月</w:t>
      </w:r>
      <w:r>
        <w:rPr>
          <w:rFonts w:hint="eastAsia" w:cs="Times New Roman"/>
          <w:color w:val="auto"/>
          <w:kern w:val="0"/>
          <w:sz w:val="24"/>
          <w:szCs w:val="24"/>
          <w:lang w:val="en-US" w:eastAsia="zh-CN" w:bidi="en-US"/>
        </w:rPr>
        <w:t>9</w:t>
      </w:r>
      <w:r>
        <w:rPr>
          <w:rFonts w:hint="eastAsia" w:ascii="Times New Roman" w:hAnsi="Times New Roman" w:eastAsia="宋体" w:cs="Times New Roman"/>
          <w:color w:val="auto"/>
          <w:kern w:val="0"/>
          <w:sz w:val="24"/>
          <w:szCs w:val="24"/>
          <w:lang w:val="en-US" w:eastAsia="zh-CN" w:bidi="en-US"/>
        </w:rPr>
        <w:t>日在第七师胡杨河市政府网、项目周边的公告栏刊登了项目第二次公众参与公示信息，于2026年</w:t>
      </w:r>
      <w:r>
        <w:rPr>
          <w:rFonts w:hint="eastAsia" w:cs="Times New Roman"/>
          <w:color w:val="auto"/>
          <w:kern w:val="0"/>
          <w:sz w:val="24"/>
          <w:szCs w:val="24"/>
          <w:lang w:val="en-US" w:eastAsia="zh-CN" w:bidi="en-US"/>
        </w:rPr>
        <w:t>7</w:t>
      </w:r>
      <w:r>
        <w:rPr>
          <w:rFonts w:hint="eastAsia" w:ascii="Times New Roman" w:hAnsi="Times New Roman" w:eastAsia="宋体" w:cs="Times New Roman"/>
          <w:color w:val="auto"/>
          <w:kern w:val="0"/>
          <w:sz w:val="24"/>
          <w:szCs w:val="24"/>
          <w:lang w:val="en-US" w:eastAsia="zh-CN" w:bidi="en-US"/>
        </w:rPr>
        <w:t>月14日及2026年</w:t>
      </w:r>
      <w:r>
        <w:rPr>
          <w:rFonts w:hint="eastAsia" w:cs="Times New Roman"/>
          <w:color w:val="auto"/>
          <w:kern w:val="0"/>
          <w:sz w:val="24"/>
          <w:szCs w:val="24"/>
          <w:lang w:val="en-US" w:eastAsia="zh-CN" w:bidi="en-US"/>
        </w:rPr>
        <w:t>7</w:t>
      </w:r>
      <w:r>
        <w:rPr>
          <w:rFonts w:hint="eastAsia" w:ascii="Times New Roman" w:hAnsi="Times New Roman" w:eastAsia="宋体" w:cs="Times New Roman"/>
          <w:color w:val="auto"/>
          <w:kern w:val="0"/>
          <w:sz w:val="24"/>
          <w:szCs w:val="24"/>
          <w:lang w:val="en-US" w:eastAsia="zh-CN" w:bidi="en-US"/>
        </w:rPr>
        <w:t>月15日，在新疆法制报上刊登对项目的环境影响评价信息；于</w:t>
      </w:r>
      <w:r>
        <w:rPr>
          <w:rFonts w:hint="eastAsia" w:ascii="Times New Roman" w:hAnsi="Times New Roman" w:eastAsia="宋体" w:cs="Times New Roman"/>
          <w:color w:val="auto"/>
          <w:kern w:val="0"/>
          <w:sz w:val="24"/>
          <w:szCs w:val="24"/>
          <w:highlight w:val="none"/>
          <w:lang w:val="en-US" w:eastAsia="zh-CN" w:bidi="en-US"/>
        </w:rPr>
        <w:t>2026年</w:t>
      </w:r>
      <w:r>
        <w:rPr>
          <w:rFonts w:hint="eastAsia" w:cs="Times New Roman"/>
          <w:color w:val="auto"/>
          <w:kern w:val="0"/>
          <w:sz w:val="24"/>
          <w:szCs w:val="24"/>
          <w:highlight w:val="none"/>
          <w:lang w:val="en-US" w:eastAsia="zh-CN" w:bidi="en-US"/>
        </w:rPr>
        <w:t>7</w:t>
      </w:r>
      <w:r>
        <w:rPr>
          <w:rFonts w:hint="eastAsia" w:ascii="Times New Roman" w:hAnsi="Times New Roman" w:eastAsia="宋体" w:cs="Times New Roman"/>
          <w:color w:val="auto"/>
          <w:kern w:val="0"/>
          <w:sz w:val="24"/>
          <w:szCs w:val="24"/>
          <w:highlight w:val="none"/>
          <w:lang w:val="en-US" w:eastAsia="zh-CN" w:bidi="en-US"/>
        </w:rPr>
        <w:t>月</w:t>
      </w:r>
      <w:r>
        <w:rPr>
          <w:rFonts w:hint="eastAsia" w:cs="Times New Roman"/>
          <w:color w:val="auto"/>
          <w:kern w:val="0"/>
          <w:sz w:val="24"/>
          <w:szCs w:val="24"/>
          <w:highlight w:val="none"/>
          <w:lang w:val="en-US" w:eastAsia="zh-CN" w:bidi="en-US"/>
        </w:rPr>
        <w:t>30</w:t>
      </w:r>
      <w:r>
        <w:rPr>
          <w:rFonts w:hint="eastAsia" w:ascii="Times New Roman" w:hAnsi="Times New Roman" w:eastAsia="宋体" w:cs="Times New Roman"/>
          <w:color w:val="auto"/>
          <w:kern w:val="0"/>
          <w:sz w:val="24"/>
          <w:szCs w:val="24"/>
          <w:highlight w:val="none"/>
          <w:lang w:val="en-US" w:eastAsia="zh-CN" w:bidi="en-US"/>
        </w:rPr>
        <w:t>日</w:t>
      </w:r>
      <w:r>
        <w:rPr>
          <w:rFonts w:hint="eastAsia" w:ascii="Times New Roman" w:hAnsi="Times New Roman" w:eastAsia="宋体" w:cs="Times New Roman"/>
          <w:color w:val="auto"/>
          <w:kern w:val="0"/>
          <w:sz w:val="24"/>
          <w:szCs w:val="24"/>
          <w:lang w:val="en-US" w:eastAsia="zh-CN" w:bidi="en-US"/>
        </w:rPr>
        <w:t>在环境影响评价信息公示平台刊登了项目拟报批公众参与公示信息，</w:t>
      </w:r>
      <w:r>
        <w:rPr>
          <w:rFonts w:hint="eastAsia" w:ascii="Times New Roman" w:hAnsi="Times New Roman" w:eastAsia="宋体" w:cs="Times New Roman"/>
          <w:kern w:val="0"/>
          <w:sz w:val="24"/>
          <w:szCs w:val="24"/>
          <w:lang w:val="en-US" w:eastAsia="zh-CN" w:bidi="en-US"/>
        </w:rPr>
        <w:t>在完成三次公示后</w:t>
      </w:r>
      <w:r>
        <w:rPr>
          <w:rFonts w:hint="default" w:ascii="Times New Roman" w:hAnsi="Times New Roman" w:eastAsia="宋体" w:cs="Times New Roman"/>
          <w:kern w:val="0"/>
          <w:sz w:val="24"/>
          <w:szCs w:val="24"/>
          <w:lang w:val="en-US" w:eastAsia="en-US" w:bidi="en-US"/>
        </w:rPr>
        <w:t>提交技术评估、分级主管部门预审，最终报送</w:t>
      </w:r>
      <w:r>
        <w:rPr>
          <w:rFonts w:hint="default" w:ascii="Times New Roman" w:hAnsi="Times New Roman" w:eastAsia="宋体" w:cs="Times New Roman"/>
          <w:kern w:val="0"/>
          <w:sz w:val="24"/>
          <w:szCs w:val="24"/>
          <w:lang w:val="en-US" w:eastAsia="zh-CN" w:bidi="en-US"/>
        </w:rPr>
        <w:t>生态</w:t>
      </w:r>
      <w:r>
        <w:rPr>
          <w:rFonts w:hint="default" w:ascii="Times New Roman" w:hAnsi="Times New Roman" w:eastAsia="宋体" w:cs="Times New Roman"/>
          <w:kern w:val="0"/>
          <w:sz w:val="24"/>
          <w:szCs w:val="24"/>
          <w:lang w:val="en-US" w:eastAsia="en-US" w:bidi="en-US"/>
        </w:rPr>
        <w:t>环境主管部门审批。</w:t>
      </w:r>
    </w:p>
    <w:bookmarkEnd w:id="15"/>
    <w:bookmarkEnd w:id="16"/>
    <w:bookmarkEnd w:id="17"/>
    <w:bookmarkEnd w:id="18"/>
    <w:p w14:paraId="3FE25859">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19" w:name="_Toc38885381"/>
      <w:bookmarkStart w:id="20" w:name="_Toc30747"/>
      <w:bookmarkStart w:id="21" w:name="_Toc15782"/>
      <w:bookmarkStart w:id="22" w:name="_Toc6606"/>
      <w:bookmarkStart w:id="23" w:name="_Toc13978"/>
      <w:bookmarkStart w:id="24" w:name="_Toc18595"/>
      <w:r>
        <w:rPr>
          <w:rFonts w:hint="default" w:ascii="Times New Roman" w:hAnsi="Times New Roman" w:eastAsia="宋体" w:cs="Times New Roman"/>
          <w:b/>
          <w:bCs/>
          <w:kern w:val="2"/>
          <w:sz w:val="30"/>
          <w:szCs w:val="30"/>
          <w:lang w:val="en-US" w:eastAsia="zh-CN" w:bidi="ar-SA"/>
        </w:rPr>
        <w:t>1.4分析判断相关情况</w:t>
      </w:r>
      <w:bookmarkEnd w:id="19"/>
      <w:bookmarkEnd w:id="20"/>
      <w:bookmarkEnd w:id="21"/>
      <w:bookmarkEnd w:id="22"/>
      <w:bookmarkEnd w:id="23"/>
      <w:bookmarkEnd w:id="24"/>
    </w:p>
    <w:p w14:paraId="1CFB9C49">
      <w:pPr>
        <w:keepNext w:val="0"/>
        <w:keepLines w:val="0"/>
        <w:widowControl w:val="0"/>
        <w:spacing w:before="0" w:after="0" w:line="360" w:lineRule="auto"/>
        <w:jc w:val="both"/>
        <w:outlineLvl w:val="2"/>
        <w:rPr>
          <w:rFonts w:hint="default" w:ascii="Times New Roman" w:hAnsi="Times New Roman" w:eastAsia="宋体" w:cs="Times New Roman"/>
          <w:b/>
          <w:bCs/>
          <w:snapToGrid w:val="0"/>
          <w:kern w:val="2"/>
          <w:sz w:val="28"/>
          <w:szCs w:val="28"/>
          <w:lang w:val="en-US" w:eastAsia="zh-CN" w:bidi="ar-SA"/>
        </w:rPr>
      </w:pPr>
      <w:bookmarkStart w:id="25" w:name="_Toc20705"/>
      <w:bookmarkStart w:id="26" w:name="_Toc1739"/>
      <w:r>
        <w:rPr>
          <w:rFonts w:hint="default" w:ascii="Times New Roman" w:hAnsi="Times New Roman" w:eastAsia="宋体" w:cs="Times New Roman"/>
          <w:b/>
          <w:bCs/>
          <w:snapToGrid w:val="0"/>
          <w:kern w:val="2"/>
          <w:sz w:val="28"/>
          <w:szCs w:val="28"/>
          <w:lang w:val="en-US" w:eastAsia="zh-CN" w:bidi="ar-SA"/>
        </w:rPr>
        <w:t>1.</w:t>
      </w:r>
      <w:r>
        <w:rPr>
          <w:rFonts w:hint="eastAsia" w:ascii="Times New Roman" w:hAnsi="Times New Roman" w:eastAsia="宋体" w:cs="Times New Roman"/>
          <w:b/>
          <w:bCs/>
          <w:snapToGrid w:val="0"/>
          <w:kern w:val="2"/>
          <w:sz w:val="28"/>
          <w:szCs w:val="28"/>
          <w:lang w:val="en-US" w:eastAsia="zh-CN" w:bidi="ar-SA"/>
        </w:rPr>
        <w:t>4</w:t>
      </w:r>
      <w:r>
        <w:rPr>
          <w:rFonts w:hint="default" w:ascii="Times New Roman" w:hAnsi="Times New Roman" w:eastAsia="宋体" w:cs="Times New Roman"/>
          <w:b/>
          <w:bCs/>
          <w:snapToGrid w:val="0"/>
          <w:kern w:val="2"/>
          <w:sz w:val="28"/>
          <w:szCs w:val="28"/>
          <w:lang w:val="en-US" w:eastAsia="zh-CN" w:bidi="ar-SA"/>
        </w:rPr>
        <w:t>.</w:t>
      </w:r>
      <w:r>
        <w:rPr>
          <w:rFonts w:hint="eastAsia" w:ascii="Times New Roman" w:hAnsi="Times New Roman" w:eastAsia="宋体" w:cs="Times New Roman"/>
          <w:b/>
          <w:bCs/>
          <w:snapToGrid w:val="0"/>
          <w:kern w:val="2"/>
          <w:sz w:val="28"/>
          <w:szCs w:val="28"/>
          <w:lang w:val="en-US" w:eastAsia="zh-CN" w:bidi="ar-SA"/>
        </w:rPr>
        <w:t>1</w:t>
      </w:r>
      <w:r>
        <w:rPr>
          <w:rFonts w:hint="default" w:ascii="Times New Roman" w:hAnsi="Times New Roman" w:eastAsia="宋体" w:cs="Times New Roman"/>
          <w:b/>
          <w:bCs/>
          <w:snapToGrid w:val="0"/>
          <w:kern w:val="2"/>
          <w:sz w:val="28"/>
          <w:szCs w:val="28"/>
          <w:lang w:val="en-US" w:eastAsia="zh-CN" w:bidi="ar-SA"/>
        </w:rPr>
        <w:t>区域环境敏感性分析</w:t>
      </w:r>
      <w:bookmarkEnd w:id="25"/>
      <w:bookmarkEnd w:id="26"/>
    </w:p>
    <w:p w14:paraId="7F97F426">
      <w:pPr>
        <w:widowControl/>
        <w:spacing w:after="0" w:line="360" w:lineRule="auto"/>
        <w:ind w:firstLine="48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①本项目</w:t>
      </w:r>
      <w:r>
        <w:rPr>
          <w:rFonts w:hint="eastAsia" w:cs="Times New Roman"/>
          <w:kern w:val="2"/>
          <w:sz w:val="24"/>
          <w:szCs w:val="24"/>
          <w:lang w:val="en-US" w:eastAsia="zh-CN" w:bidi="ar-SA"/>
        </w:rPr>
        <w:t>养殖废水不外排，生活污水定期拉运至污水处理厂</w:t>
      </w:r>
      <w:r>
        <w:rPr>
          <w:rFonts w:hint="default" w:ascii="Times New Roman" w:hAnsi="Times New Roman" w:eastAsia="宋体" w:cs="Times New Roman"/>
          <w:kern w:val="2"/>
          <w:sz w:val="24"/>
          <w:szCs w:val="24"/>
          <w:lang w:val="en-US" w:eastAsia="zh-CN" w:bidi="ar-SA"/>
        </w:rPr>
        <w:t>，不与地表水体产生水力联系，且项目选址未选在水环境敏感区。</w:t>
      </w:r>
    </w:p>
    <w:p w14:paraId="4BF55772">
      <w:pPr>
        <w:widowControl/>
        <w:spacing w:after="0" w:line="360" w:lineRule="auto"/>
        <w:ind w:firstLine="48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②评价区域内无风景名胜区、历史遗迹等敏感保护区，亦无特殊自然观赏价值较高的景观，</w:t>
      </w:r>
      <w:r>
        <w:rPr>
          <w:rFonts w:hint="eastAsia" w:cs="Times New Roman"/>
          <w:kern w:val="2"/>
          <w:sz w:val="24"/>
          <w:szCs w:val="24"/>
          <w:lang w:val="en-US" w:eastAsia="zh-CN" w:bidi="ar-SA"/>
        </w:rPr>
        <w:t>本项目用地面积12公顷，均为设施农用地，</w:t>
      </w:r>
      <w:r>
        <w:rPr>
          <w:rFonts w:hint="eastAsia" w:eastAsia="宋体" w:cs="宋体"/>
          <w:color w:val="auto"/>
          <w:kern w:val="0"/>
          <w:sz w:val="24"/>
          <w:szCs w:val="22"/>
          <w:highlight w:val="none"/>
          <w:lang w:val="en-US" w:eastAsia="zh-CN" w:bidi="ar-SA"/>
        </w:rPr>
        <w:t>不占用耕地以及</w:t>
      </w:r>
      <w:r>
        <w:rPr>
          <w:rFonts w:hint="default" w:eastAsia="宋体" w:cs="宋体"/>
          <w:color w:val="auto"/>
          <w:kern w:val="0"/>
          <w:sz w:val="24"/>
          <w:szCs w:val="22"/>
          <w:highlight w:val="none"/>
          <w:lang w:val="en-US" w:eastAsia="zh-CN" w:bidi="ar-SA"/>
        </w:rPr>
        <w:t>永久基本农田</w:t>
      </w:r>
      <w:r>
        <w:rPr>
          <w:rFonts w:hint="default" w:ascii="Times New Roman" w:hAnsi="Times New Roman" w:eastAsia="宋体" w:cs="Times New Roman"/>
          <w:kern w:val="2"/>
          <w:sz w:val="24"/>
          <w:szCs w:val="24"/>
          <w:lang w:val="en-US" w:eastAsia="zh-CN" w:bidi="ar-SA"/>
        </w:rPr>
        <w:t>。</w:t>
      </w:r>
    </w:p>
    <w:p w14:paraId="0BF5BAD3">
      <w:pPr>
        <w:widowControl/>
        <w:spacing w:after="0" w:line="360" w:lineRule="auto"/>
        <w:ind w:firstLine="48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③</w:t>
      </w:r>
      <w:r>
        <w:rPr>
          <w:rFonts w:hint="default" w:ascii="Times New Roman" w:hAnsi="Times New Roman" w:eastAsia="宋体" w:cs="Times New Roman"/>
          <w:color w:val="auto"/>
          <w:sz w:val="24"/>
          <w:szCs w:val="24"/>
          <w:lang w:val="en-US" w:eastAsia="zh-CN" w:bidi="ar-SA"/>
        </w:rPr>
        <w:t>本项目大气评价范围内存在</w:t>
      </w:r>
      <w:r>
        <w:rPr>
          <w:rFonts w:hint="eastAsia" w:cs="Times New Roman"/>
          <w:color w:val="auto"/>
          <w:sz w:val="24"/>
          <w:szCs w:val="24"/>
          <w:highlight w:val="none"/>
          <w:lang w:val="en-US" w:eastAsia="zh-CN" w:bidi="ar-SA"/>
        </w:rPr>
        <w:t>125团14连</w:t>
      </w:r>
      <w:r>
        <w:rPr>
          <w:rFonts w:hint="eastAsia" w:ascii="Times New Roman" w:hAnsi="Times New Roman" w:cs="Times New Roman"/>
          <w:color w:val="auto"/>
          <w:sz w:val="24"/>
          <w:szCs w:val="24"/>
          <w:lang w:val="en-US" w:eastAsia="zh-CN" w:bidi="ar-SA"/>
        </w:rPr>
        <w:t>等</w:t>
      </w:r>
      <w:r>
        <w:rPr>
          <w:rFonts w:hint="default" w:ascii="Times New Roman" w:hAnsi="Times New Roman" w:eastAsia="宋体" w:cs="Times New Roman"/>
          <w:color w:val="auto"/>
          <w:sz w:val="24"/>
          <w:szCs w:val="24"/>
          <w:lang w:val="en-US" w:eastAsia="zh-CN" w:bidi="ar-SA"/>
        </w:rPr>
        <w:t>大气环境敏感目标，经估算，项目大气污染物</w:t>
      </w:r>
      <w:r>
        <w:rPr>
          <w:rFonts w:hint="eastAsia" w:cs="Times New Roman"/>
          <w:color w:val="auto"/>
          <w:sz w:val="24"/>
          <w:szCs w:val="24"/>
          <w:lang w:val="en-US" w:eastAsia="zh-CN" w:bidi="ar-SA"/>
        </w:rPr>
        <w:t>颗粒物</w:t>
      </w:r>
      <w:r>
        <w:rPr>
          <w:rFonts w:hint="default" w:ascii="Times New Roman" w:hAnsi="Times New Roman" w:eastAsia="宋体" w:cs="Times New Roman"/>
          <w:color w:val="auto"/>
          <w:sz w:val="24"/>
          <w:szCs w:val="24"/>
          <w:highlight w:val="none"/>
          <w:lang w:val="en-US" w:eastAsia="zh-CN" w:bidi="ar-SA"/>
        </w:rPr>
        <w:t>、硫化氢以及氨</w:t>
      </w:r>
      <w:r>
        <w:rPr>
          <w:rFonts w:hint="default" w:ascii="Times New Roman" w:hAnsi="Times New Roman" w:eastAsia="宋体" w:cs="Times New Roman"/>
          <w:color w:val="auto"/>
          <w:sz w:val="24"/>
          <w:szCs w:val="24"/>
          <w:lang w:val="en-US" w:eastAsia="zh-CN" w:bidi="ar-SA"/>
        </w:rPr>
        <w:t>的最大落地浓度均满足相应质量标准。</w:t>
      </w:r>
      <w:r>
        <w:rPr>
          <w:rFonts w:hint="eastAsia" w:ascii="Times New Roman" w:hAnsi="Times New Roman" w:eastAsia="宋体" w:cs="Times New Roman"/>
          <w:kern w:val="2"/>
          <w:sz w:val="24"/>
          <w:szCs w:val="24"/>
          <w:lang w:val="en-US" w:eastAsia="zh-CN" w:bidi="ar-SA"/>
        </w:rPr>
        <w:t>养殖场</w:t>
      </w:r>
      <w:r>
        <w:rPr>
          <w:rFonts w:hint="default" w:ascii="Times New Roman" w:hAnsi="Times New Roman" w:eastAsia="宋体" w:cs="Times New Roman"/>
          <w:kern w:val="2"/>
          <w:sz w:val="24"/>
          <w:szCs w:val="24"/>
          <w:lang w:val="en-US" w:eastAsia="zh-CN" w:bidi="ar-SA"/>
        </w:rPr>
        <w:t>距离环境敏感目标距离符合卫生防护距离要求。项目区地形平坦开阔，大风天气较多，有利于大气污染物的输送和扩散，对周围环境影响较小。</w:t>
      </w:r>
    </w:p>
    <w:p w14:paraId="62F95B75">
      <w:pPr>
        <w:widowControl/>
        <w:spacing w:after="0" w:line="360" w:lineRule="auto"/>
        <w:ind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④本项目牛圈、</w:t>
      </w:r>
      <w:r>
        <w:rPr>
          <w:rFonts w:hint="eastAsia" w:ascii="Times New Roman" w:hAnsi="Times New Roman" w:eastAsia="宋体" w:cs="Times New Roman"/>
          <w:color w:val="000000"/>
          <w:kern w:val="2"/>
          <w:sz w:val="24"/>
          <w:szCs w:val="24"/>
          <w:highlight w:val="none"/>
          <w:lang w:val="en-US" w:eastAsia="zh-CN" w:bidi="ar-SA"/>
        </w:rPr>
        <w:t>地埋废水输送管道、收集池、堆肥间发酵槽、医疗废物暂存间、隔离圈、病死牛暂存间</w:t>
      </w:r>
      <w:r>
        <w:rPr>
          <w:rFonts w:hint="eastAsia" w:cs="Times New Roman"/>
          <w:color w:val="000000"/>
          <w:kern w:val="2"/>
          <w:sz w:val="24"/>
          <w:szCs w:val="24"/>
          <w:highlight w:val="none"/>
          <w:lang w:val="en-US" w:eastAsia="zh-CN" w:bidi="ar-SA"/>
        </w:rPr>
        <w:t>、</w:t>
      </w:r>
      <w:r>
        <w:rPr>
          <w:rFonts w:hint="eastAsia" w:ascii="Times New Roman" w:cs="Times New Roman"/>
          <w:color w:val="000000"/>
          <w:kern w:val="2"/>
          <w:sz w:val="24"/>
          <w:szCs w:val="24"/>
          <w:highlight w:val="none"/>
          <w:lang w:val="en-US" w:eastAsia="zh-CN" w:bidi="ar-SA"/>
        </w:rPr>
        <w:t>危险废物贮存库</w:t>
      </w:r>
      <w:r>
        <w:rPr>
          <w:rFonts w:hint="default" w:ascii="Times New Roman" w:hAnsi="Times New Roman" w:eastAsia="宋体" w:cs="Times New Roman"/>
          <w:color w:val="auto"/>
          <w:kern w:val="2"/>
          <w:sz w:val="24"/>
          <w:szCs w:val="24"/>
          <w:lang w:val="en-US" w:eastAsia="zh-CN" w:bidi="ar-SA"/>
        </w:rPr>
        <w:t>等区域均做</w:t>
      </w:r>
      <w:r>
        <w:rPr>
          <w:rFonts w:hint="eastAsia" w:ascii="Times New Roman" w:hAnsi="Times New Roman" w:eastAsia="宋体" w:cs="Times New Roman"/>
          <w:color w:val="auto"/>
          <w:kern w:val="2"/>
          <w:sz w:val="24"/>
          <w:szCs w:val="24"/>
          <w:lang w:val="en-US" w:eastAsia="zh-CN" w:bidi="ar-SA"/>
        </w:rPr>
        <w:t>重点</w:t>
      </w:r>
      <w:r>
        <w:rPr>
          <w:rFonts w:hint="default" w:ascii="Times New Roman" w:hAnsi="Times New Roman" w:eastAsia="宋体" w:cs="Times New Roman"/>
          <w:color w:val="auto"/>
          <w:kern w:val="2"/>
          <w:sz w:val="24"/>
          <w:szCs w:val="24"/>
          <w:lang w:val="en-US" w:eastAsia="zh-CN" w:bidi="ar-SA"/>
        </w:rPr>
        <w:t>防渗处理，防渗系数小于10</w:t>
      </w:r>
      <w:r>
        <w:rPr>
          <w:rFonts w:hint="default" w:ascii="Times New Roman" w:hAnsi="Times New Roman" w:eastAsia="宋体" w:cs="Times New Roman"/>
          <w:color w:val="auto"/>
          <w:kern w:val="2"/>
          <w:sz w:val="24"/>
          <w:szCs w:val="24"/>
          <w:vertAlign w:val="superscript"/>
          <w:lang w:val="en-US" w:eastAsia="zh-CN" w:bidi="ar-SA"/>
        </w:rPr>
        <w:t>-7</w:t>
      </w:r>
      <w:r>
        <w:rPr>
          <w:rFonts w:hint="default" w:ascii="Times New Roman" w:hAnsi="Times New Roman" w:eastAsia="宋体" w:cs="Times New Roman"/>
          <w:color w:val="auto"/>
          <w:kern w:val="2"/>
          <w:sz w:val="24"/>
          <w:szCs w:val="24"/>
          <w:lang w:val="en-US" w:eastAsia="zh-CN" w:bidi="ar-SA"/>
        </w:rPr>
        <w:t>cm/s</w:t>
      </w:r>
      <w:r>
        <w:rPr>
          <w:rFonts w:hint="eastAsia" w:ascii="Times New Roman" w:hAnsi="Times New Roman" w:eastAsia="宋体" w:cs="Times New Roman"/>
          <w:color w:val="auto"/>
          <w:kern w:val="2"/>
          <w:sz w:val="24"/>
          <w:szCs w:val="24"/>
          <w:lang w:val="en-US" w:eastAsia="zh-CN" w:bidi="ar-SA"/>
        </w:rPr>
        <w:t>，因此生产对场区及周边的地下水环境及土壤环境影响较小。</w:t>
      </w:r>
    </w:p>
    <w:p w14:paraId="69F5EC38">
      <w:pPr>
        <w:widowControl/>
        <w:spacing w:after="0" w:line="360" w:lineRule="auto"/>
        <w:ind w:left="0" w:leftChars="0" w:firstLine="480" w:firstLineChars="200"/>
        <w:jc w:val="left"/>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⑤项目位于二类声功能区，周边200m范围内不存在声环境敏感目标，项目周边声环境不敏感。</w:t>
      </w:r>
    </w:p>
    <w:p w14:paraId="6D3C4254">
      <w:pPr>
        <w:widowControl/>
        <w:spacing w:after="0" w:line="360" w:lineRule="auto"/>
        <w:ind w:firstLine="48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综上所述，按</w:t>
      </w:r>
      <w:r>
        <w:rPr>
          <w:rFonts w:hint="default" w:ascii="Times New Roman" w:hAnsi="Times New Roman" w:eastAsia="宋体" w:cs="Times New Roman"/>
          <w:color w:val="auto"/>
          <w:kern w:val="2"/>
          <w:sz w:val="24"/>
          <w:szCs w:val="24"/>
          <w:lang w:val="en-US" w:eastAsia="zh-CN" w:bidi="ar-SA"/>
        </w:rPr>
        <w:t>《建设项目环境影响评价分类管理名录</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2021年</w:t>
      </w:r>
      <w:r>
        <w:rPr>
          <w:rFonts w:hint="default" w:ascii="Times New Roman" w:hAnsi="Times New Roman" w:eastAsia="宋体" w:cs="Times New Roman"/>
          <w:color w:val="auto"/>
          <w:kern w:val="2"/>
          <w:sz w:val="24"/>
          <w:szCs w:val="24"/>
          <w:lang w:val="en-US" w:eastAsia="zh-CN" w:bidi="ar-SA"/>
        </w:rPr>
        <w:t>版</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中关于环境敏感因素的界定原则，经调查建设项目选址地区不属于特殊保护地区、社会关注区和特殊地貌景观区，也无重点保护生态品种及濒危生物物种，文物古迹等，区域环境敏感因素较少。</w:t>
      </w:r>
    </w:p>
    <w:p w14:paraId="64559245">
      <w:pPr>
        <w:keepNext w:val="0"/>
        <w:keepLines w:val="0"/>
        <w:widowControl w:val="0"/>
        <w:spacing w:before="0" w:after="0" w:line="360" w:lineRule="auto"/>
        <w:jc w:val="both"/>
        <w:outlineLvl w:val="2"/>
        <w:rPr>
          <w:rFonts w:hint="default" w:ascii="Times New Roman" w:hAnsi="Times New Roman" w:eastAsia="宋体" w:cs="Times New Roman"/>
          <w:b/>
          <w:bCs/>
          <w:snapToGrid w:val="0"/>
          <w:kern w:val="2"/>
          <w:sz w:val="28"/>
          <w:szCs w:val="28"/>
          <w:lang w:val="en-US" w:eastAsia="zh-CN" w:bidi="ar-SA"/>
        </w:rPr>
      </w:pPr>
      <w:bookmarkStart w:id="27" w:name="_Toc3297"/>
      <w:bookmarkStart w:id="28" w:name="_Toc25274"/>
      <w:r>
        <w:rPr>
          <w:rFonts w:hint="default" w:ascii="Times New Roman" w:hAnsi="Times New Roman" w:eastAsia="宋体" w:cs="Times New Roman"/>
          <w:b/>
          <w:bCs/>
          <w:snapToGrid w:val="0"/>
          <w:kern w:val="2"/>
          <w:sz w:val="28"/>
          <w:szCs w:val="28"/>
          <w:lang w:val="en-US" w:eastAsia="zh-CN" w:bidi="ar-SA"/>
        </w:rPr>
        <w:t>1.</w:t>
      </w:r>
      <w:r>
        <w:rPr>
          <w:rFonts w:hint="eastAsia" w:ascii="Times New Roman" w:hAnsi="Times New Roman" w:eastAsia="宋体" w:cs="Times New Roman"/>
          <w:b/>
          <w:bCs/>
          <w:snapToGrid w:val="0"/>
          <w:kern w:val="2"/>
          <w:sz w:val="28"/>
          <w:szCs w:val="28"/>
          <w:lang w:val="en-US" w:eastAsia="zh-CN" w:bidi="ar-SA"/>
        </w:rPr>
        <w:t>4</w:t>
      </w:r>
      <w:r>
        <w:rPr>
          <w:rFonts w:hint="default" w:ascii="Times New Roman" w:hAnsi="Times New Roman" w:eastAsia="宋体" w:cs="Times New Roman"/>
          <w:b/>
          <w:bCs/>
          <w:snapToGrid w:val="0"/>
          <w:kern w:val="2"/>
          <w:sz w:val="28"/>
          <w:szCs w:val="28"/>
          <w:lang w:val="en-US" w:eastAsia="zh-CN" w:bidi="ar-SA"/>
        </w:rPr>
        <w:t>.</w:t>
      </w:r>
      <w:r>
        <w:rPr>
          <w:rFonts w:hint="eastAsia" w:ascii="Times New Roman" w:hAnsi="Times New Roman" w:eastAsia="宋体" w:cs="Times New Roman"/>
          <w:b/>
          <w:bCs/>
          <w:snapToGrid w:val="0"/>
          <w:kern w:val="2"/>
          <w:sz w:val="28"/>
          <w:szCs w:val="28"/>
          <w:lang w:val="en-US" w:eastAsia="zh-CN" w:bidi="ar-SA"/>
        </w:rPr>
        <w:t>2</w:t>
      </w:r>
      <w:r>
        <w:rPr>
          <w:rFonts w:hint="default" w:ascii="Times New Roman" w:hAnsi="Times New Roman" w:eastAsia="宋体" w:cs="Times New Roman"/>
          <w:b/>
          <w:bCs/>
          <w:snapToGrid w:val="0"/>
          <w:kern w:val="2"/>
          <w:sz w:val="28"/>
          <w:szCs w:val="28"/>
          <w:lang w:val="en-US" w:eastAsia="zh-CN" w:bidi="ar-SA"/>
        </w:rPr>
        <w:t>区域环境承载力分析</w:t>
      </w:r>
      <w:bookmarkEnd w:id="27"/>
      <w:bookmarkEnd w:id="28"/>
    </w:p>
    <w:p w14:paraId="0F4A62A6">
      <w:pPr>
        <w:widowControl/>
        <w:spacing w:after="0" w:line="360" w:lineRule="auto"/>
        <w:ind w:left="0" w:leftChars="0" w:firstLine="48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本项目</w:t>
      </w:r>
      <w:r>
        <w:rPr>
          <w:rFonts w:hint="eastAsia" w:cs="Times New Roman"/>
          <w:kern w:val="2"/>
          <w:sz w:val="24"/>
          <w:szCs w:val="24"/>
          <w:lang w:val="en-US" w:eastAsia="zh-CN" w:bidi="ar-SA"/>
        </w:rPr>
        <w:t>运营</w:t>
      </w:r>
      <w:r>
        <w:rPr>
          <w:rFonts w:hint="default" w:ascii="Times New Roman" w:hAnsi="Times New Roman" w:eastAsia="宋体" w:cs="Times New Roman"/>
          <w:kern w:val="2"/>
          <w:sz w:val="24"/>
          <w:szCs w:val="24"/>
          <w:lang w:val="en-US" w:eastAsia="zh-CN" w:bidi="ar-SA"/>
        </w:rPr>
        <w:t>后，</w:t>
      </w:r>
      <w:r>
        <w:rPr>
          <w:rFonts w:hint="eastAsia" w:ascii="Times New Roman" w:hAnsi="Times New Roman" w:eastAsia="宋体" w:cs="Times New Roman"/>
          <w:color w:val="000000"/>
          <w:kern w:val="2"/>
          <w:sz w:val="24"/>
          <w:szCs w:val="24"/>
          <w:lang w:val="en-US" w:eastAsia="zh-CN" w:bidi="ar-SA"/>
        </w:rPr>
        <w:t>经预测大气污染物对大气环境的贡献值较小</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生活污水经防渗化粪池收集，定期拉运至污水处理厂处置；</w:t>
      </w:r>
      <w:r>
        <w:rPr>
          <w:rFonts w:hint="eastAsia" w:ascii="Times New Roman" w:hAnsi="Times New Roman" w:eastAsia="宋体" w:cs="Times New Roman"/>
          <w:kern w:val="2"/>
          <w:sz w:val="24"/>
          <w:szCs w:val="24"/>
          <w:lang w:val="en-US" w:eastAsia="zh-CN" w:bidi="ar-SA"/>
        </w:rPr>
        <w:t>牛粪及废发酵</w:t>
      </w:r>
      <w:r>
        <w:rPr>
          <w:rFonts w:hint="eastAsia" w:cs="Times New Roman"/>
          <w:kern w:val="2"/>
          <w:sz w:val="24"/>
          <w:szCs w:val="24"/>
          <w:lang w:val="en-US" w:eastAsia="zh-CN" w:bidi="ar-SA"/>
        </w:rPr>
        <w:t>垫料</w:t>
      </w:r>
      <w:r>
        <w:rPr>
          <w:rFonts w:hint="eastAsia" w:ascii="Times New Roman" w:hAnsi="Times New Roman" w:eastAsia="宋体" w:cs="Times New Roman"/>
          <w:kern w:val="2"/>
          <w:sz w:val="24"/>
          <w:szCs w:val="24"/>
          <w:lang w:val="en-US" w:eastAsia="zh-CN" w:bidi="ar-SA"/>
        </w:rPr>
        <w:t>经</w:t>
      </w:r>
      <w:r>
        <w:rPr>
          <w:rFonts w:hint="eastAsia" w:cs="Times New Roman"/>
          <w:kern w:val="2"/>
          <w:sz w:val="24"/>
          <w:szCs w:val="24"/>
          <w:lang w:val="en-US" w:eastAsia="zh-CN" w:bidi="ar-SA"/>
        </w:rPr>
        <w:t>堆肥后还田</w:t>
      </w:r>
      <w:r>
        <w:rPr>
          <w:rFonts w:hint="eastAsia"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highlight w:val="none"/>
          <w:lang w:val="en-US" w:eastAsia="zh-CN" w:bidi="ar-SA"/>
        </w:rPr>
        <w:t>病死牛</w:t>
      </w:r>
      <w:r>
        <w:rPr>
          <w:rFonts w:hint="eastAsia" w:cs="Times New Roman"/>
          <w:kern w:val="2"/>
          <w:sz w:val="24"/>
          <w:szCs w:val="24"/>
          <w:highlight w:val="none"/>
          <w:lang w:val="en-US" w:eastAsia="zh-CN" w:bidi="ar-SA"/>
        </w:rPr>
        <w:t>暂存于厂区内的病死牛暂存间并委托无害化处置单位进行无害化处置</w:t>
      </w:r>
      <w:r>
        <w:rPr>
          <w:rFonts w:hint="eastAsia" w:ascii="Times New Roman" w:hAnsi="Times New Roman" w:eastAsia="宋体" w:cs="Times New Roman"/>
          <w:kern w:val="2"/>
          <w:sz w:val="24"/>
          <w:szCs w:val="24"/>
          <w:lang w:val="en-US" w:eastAsia="zh-CN" w:bidi="ar-SA"/>
        </w:rPr>
        <w:t>；医疗废物暂存至厂区内的医疗废物暂存间并</w:t>
      </w:r>
      <w:r>
        <w:rPr>
          <w:rFonts w:hint="eastAsia" w:cs="Times New Roman"/>
          <w:kern w:val="2"/>
          <w:sz w:val="24"/>
          <w:szCs w:val="24"/>
          <w:lang w:val="en-US" w:eastAsia="zh-CN" w:bidi="ar-SA"/>
        </w:rPr>
        <w:t>定期</w:t>
      </w:r>
      <w:r>
        <w:rPr>
          <w:rFonts w:hint="eastAsia" w:ascii="Times New Roman" w:hAnsi="Times New Roman" w:eastAsia="宋体" w:cs="Times New Roman"/>
          <w:kern w:val="2"/>
          <w:sz w:val="24"/>
          <w:szCs w:val="24"/>
          <w:lang w:val="en-US" w:eastAsia="zh-CN" w:bidi="ar-SA"/>
        </w:rPr>
        <w:t>委托有资质的单位</w:t>
      </w:r>
      <w:r>
        <w:rPr>
          <w:rFonts w:hint="eastAsia" w:cs="Times New Roman"/>
          <w:kern w:val="2"/>
          <w:sz w:val="24"/>
          <w:szCs w:val="24"/>
          <w:lang w:val="en-US" w:eastAsia="zh-CN" w:bidi="ar-SA"/>
        </w:rPr>
        <w:t>运输</w:t>
      </w:r>
      <w:r>
        <w:rPr>
          <w:rFonts w:hint="eastAsia" w:ascii="Times New Roman" w:hAnsi="Times New Roman" w:eastAsia="宋体" w:cs="Times New Roman"/>
          <w:kern w:val="2"/>
          <w:sz w:val="24"/>
          <w:szCs w:val="24"/>
          <w:lang w:val="en-US" w:eastAsia="zh-CN" w:bidi="ar-SA"/>
        </w:rPr>
        <w:t>处置</w:t>
      </w:r>
      <w:r>
        <w:rPr>
          <w:rFonts w:hint="eastAsia" w:cs="Times New Roman"/>
          <w:kern w:val="2"/>
          <w:sz w:val="24"/>
          <w:szCs w:val="24"/>
          <w:lang w:val="en-US" w:eastAsia="zh-CN" w:bidi="ar-SA"/>
        </w:rPr>
        <w:t>，其他固废均合理处置，危险废物贮存于危险废物贮存库并定期委托有资质的单位运输处置</w:t>
      </w:r>
      <w:r>
        <w:rPr>
          <w:rFonts w:hint="default"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各类污染物处置方向明确，</w:t>
      </w:r>
      <w:r>
        <w:rPr>
          <w:rFonts w:hint="default" w:ascii="Times New Roman" w:hAnsi="Times New Roman" w:eastAsia="宋体" w:cs="Times New Roman"/>
          <w:kern w:val="2"/>
          <w:sz w:val="24"/>
          <w:szCs w:val="24"/>
          <w:lang w:val="en-US" w:eastAsia="zh-CN" w:bidi="ar-SA"/>
        </w:rPr>
        <w:t>对区域环境影响不大，区域环境仍可保持现有功能水平。因此，项目从环境容量角度分析可行。</w:t>
      </w:r>
    </w:p>
    <w:p w14:paraId="7BD1A2DC">
      <w:pPr>
        <w:keepNext w:val="0"/>
        <w:keepLines w:val="0"/>
        <w:widowControl w:val="0"/>
        <w:spacing w:before="0" w:after="0" w:line="360" w:lineRule="auto"/>
        <w:jc w:val="both"/>
        <w:outlineLvl w:val="2"/>
        <w:rPr>
          <w:rFonts w:hint="default" w:ascii="Times New Roman" w:hAnsi="Times New Roman" w:eastAsia="宋体" w:cs="Times New Roman"/>
          <w:b/>
          <w:bCs/>
          <w:snapToGrid w:val="0"/>
          <w:kern w:val="2"/>
          <w:sz w:val="28"/>
          <w:szCs w:val="28"/>
          <w:lang w:val="en-US" w:eastAsia="zh-CN" w:bidi="ar-SA"/>
        </w:rPr>
      </w:pPr>
      <w:bookmarkStart w:id="29" w:name="_Toc31531"/>
      <w:bookmarkStart w:id="30" w:name="_Toc25460"/>
      <w:bookmarkStart w:id="31" w:name="_Toc6126"/>
      <w:bookmarkStart w:id="32" w:name="_Toc38885391"/>
      <w:bookmarkStart w:id="33" w:name="_Toc1959"/>
      <w:r>
        <w:rPr>
          <w:rFonts w:hint="eastAsia" w:ascii="Times New Roman" w:hAnsi="Times New Roman" w:eastAsia="宋体" w:cs="Times New Roman"/>
          <w:b/>
          <w:bCs/>
          <w:snapToGrid w:val="0"/>
          <w:kern w:val="2"/>
          <w:sz w:val="28"/>
          <w:szCs w:val="28"/>
          <w:lang w:val="en-US" w:eastAsia="zh-CN" w:bidi="ar-SA"/>
        </w:rPr>
        <w:t>1.4.3</w:t>
      </w:r>
      <w:r>
        <w:rPr>
          <w:rFonts w:hint="default" w:ascii="Times New Roman" w:hAnsi="Times New Roman" w:eastAsia="宋体" w:cs="Times New Roman"/>
          <w:b/>
          <w:bCs/>
          <w:snapToGrid w:val="0"/>
          <w:kern w:val="2"/>
          <w:sz w:val="28"/>
          <w:szCs w:val="28"/>
          <w:lang w:val="en-US" w:eastAsia="zh-CN" w:bidi="ar-SA"/>
        </w:rPr>
        <w:t>产业政策和规划</w:t>
      </w:r>
      <w:r>
        <w:rPr>
          <w:rFonts w:hint="eastAsia" w:ascii="Times New Roman" w:hAnsi="Times New Roman" w:eastAsia="宋体" w:cs="Times New Roman"/>
          <w:b/>
          <w:bCs/>
          <w:snapToGrid w:val="0"/>
          <w:kern w:val="2"/>
          <w:sz w:val="28"/>
          <w:szCs w:val="28"/>
          <w:lang w:val="en-US" w:eastAsia="zh-CN" w:bidi="ar-SA"/>
        </w:rPr>
        <w:t>符合性</w:t>
      </w:r>
      <w:r>
        <w:rPr>
          <w:rFonts w:hint="default" w:ascii="Times New Roman" w:hAnsi="Times New Roman" w:eastAsia="宋体" w:cs="Times New Roman"/>
          <w:b/>
          <w:bCs/>
          <w:snapToGrid w:val="0"/>
          <w:kern w:val="2"/>
          <w:sz w:val="28"/>
          <w:szCs w:val="28"/>
          <w:lang w:val="en-US" w:eastAsia="zh-CN" w:bidi="ar-SA"/>
        </w:rPr>
        <w:t>分析</w:t>
      </w:r>
      <w:bookmarkEnd w:id="29"/>
      <w:bookmarkEnd w:id="30"/>
      <w:bookmarkEnd w:id="31"/>
      <w:bookmarkEnd w:id="32"/>
      <w:bookmarkEnd w:id="33"/>
    </w:p>
    <w:p w14:paraId="4FCDF729">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bookmarkStart w:id="34" w:name="_Toc27774"/>
      <w:bookmarkStart w:id="35" w:name="_Toc20170"/>
      <w:bookmarkStart w:id="36" w:name="_Toc19317"/>
      <w:r>
        <w:rPr>
          <w:rFonts w:hint="eastAsia" w:ascii="Times New Roman" w:hAnsi="Times New Roman" w:eastAsia="宋体" w:cs="Times New Roman"/>
          <w:b/>
          <w:kern w:val="2"/>
          <w:sz w:val="24"/>
          <w:szCs w:val="24"/>
          <w:lang w:val="en-US" w:eastAsia="zh-CN" w:bidi="ar-SA"/>
        </w:rPr>
        <w:t>1.4.3.1</w:t>
      </w:r>
      <w:r>
        <w:rPr>
          <w:rFonts w:hint="default" w:ascii="Times New Roman" w:hAnsi="Times New Roman" w:eastAsia="宋体" w:cs="Times New Roman"/>
          <w:b/>
          <w:kern w:val="2"/>
          <w:sz w:val="24"/>
          <w:szCs w:val="24"/>
          <w:lang w:val="en-US" w:eastAsia="zh-CN" w:bidi="ar-SA"/>
        </w:rPr>
        <w:t>产业政策</w:t>
      </w:r>
      <w:r>
        <w:rPr>
          <w:rFonts w:hint="eastAsia" w:ascii="Times New Roman" w:hAnsi="Times New Roman" w:eastAsia="宋体" w:cs="Times New Roman"/>
          <w:b/>
          <w:kern w:val="2"/>
          <w:sz w:val="24"/>
          <w:szCs w:val="24"/>
          <w:lang w:val="en-US" w:eastAsia="zh-CN" w:bidi="ar-SA"/>
        </w:rPr>
        <w:t>符合性</w:t>
      </w:r>
      <w:r>
        <w:rPr>
          <w:rFonts w:hint="default" w:ascii="Times New Roman" w:hAnsi="Times New Roman" w:eastAsia="宋体" w:cs="Times New Roman"/>
          <w:b/>
          <w:kern w:val="2"/>
          <w:sz w:val="24"/>
          <w:szCs w:val="24"/>
          <w:lang w:val="en-US" w:eastAsia="zh-CN" w:bidi="ar-SA"/>
        </w:rPr>
        <w:t>分析</w:t>
      </w:r>
      <w:bookmarkEnd w:id="34"/>
      <w:bookmarkEnd w:id="35"/>
      <w:bookmarkEnd w:id="36"/>
    </w:p>
    <w:p w14:paraId="25DCC4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本项目规模化</w:t>
      </w:r>
      <w:r>
        <w:rPr>
          <w:rFonts w:hint="eastAsia" w:ascii="Times New Roman" w:hAnsi="Times New Roman" w:eastAsia="宋体" w:cs="Times New Roman"/>
          <w:bCs/>
          <w:kern w:val="2"/>
          <w:sz w:val="24"/>
          <w:szCs w:val="24"/>
          <w:lang w:val="en-US" w:eastAsia="zh-CN" w:bidi="ar-SA"/>
        </w:rPr>
        <w:t>育肥牛</w:t>
      </w:r>
      <w:r>
        <w:rPr>
          <w:rFonts w:hint="default" w:ascii="Times New Roman" w:hAnsi="Times New Roman" w:eastAsia="宋体" w:cs="Times New Roman"/>
          <w:bCs/>
          <w:kern w:val="2"/>
          <w:sz w:val="24"/>
          <w:szCs w:val="24"/>
          <w:lang w:val="en-US" w:eastAsia="zh-CN" w:bidi="ar-SA"/>
        </w:rPr>
        <w:t>养殖，</w:t>
      </w:r>
      <w:r>
        <w:rPr>
          <w:rFonts w:hint="default" w:ascii="Times New Roman" w:hAnsi="Times New Roman" w:eastAsia="宋体" w:cs="Times New Roman"/>
          <w:kern w:val="2"/>
          <w:sz w:val="24"/>
          <w:szCs w:val="24"/>
          <w:lang w:val="en-US" w:eastAsia="zh-CN" w:bidi="ar-SA"/>
        </w:rPr>
        <w:t>对照《产业结构调整指导目录（</w:t>
      </w:r>
      <w:r>
        <w:rPr>
          <w:rFonts w:hint="eastAsia" w:ascii="Times New Roman" w:hAnsi="Times New Roman" w:eastAsia="宋体" w:cs="Times New Roman"/>
          <w:kern w:val="2"/>
          <w:sz w:val="24"/>
          <w:szCs w:val="24"/>
          <w:lang w:val="en-US" w:eastAsia="zh-CN" w:bidi="ar-SA"/>
        </w:rPr>
        <w:t>2024</w:t>
      </w:r>
      <w:r>
        <w:rPr>
          <w:rFonts w:hint="default" w:ascii="Times New Roman" w:hAnsi="Times New Roman" w:eastAsia="宋体" w:cs="Times New Roman"/>
          <w:kern w:val="2"/>
          <w:sz w:val="24"/>
          <w:szCs w:val="24"/>
          <w:lang w:val="en-US" w:eastAsia="zh-CN" w:bidi="ar-SA"/>
        </w:rPr>
        <w:t>年版）》，属于</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第一类鼓励类</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一、农林牧渔业</w:t>
      </w:r>
      <w:r>
        <w:rPr>
          <w:rFonts w:hint="eastAsia" w:ascii="Times New Roman" w:hAnsi="Times New Roman" w:eastAsia="宋体" w:cs="Times New Roman"/>
          <w:kern w:val="2"/>
          <w:sz w:val="24"/>
          <w:szCs w:val="24"/>
          <w:lang w:val="en-US" w:eastAsia="zh-CN" w:bidi="ar-SA"/>
        </w:rPr>
        <w:t>；14、现代畜牧业及水产生态健康养殖：畜禽标准化规模养殖技术开发与应用</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，属于鼓励类。</w:t>
      </w:r>
    </w:p>
    <w:p w14:paraId="46FC66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因此，项目建设符合国家产业政策。</w:t>
      </w:r>
    </w:p>
    <w:p w14:paraId="5B32719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bookmarkStart w:id="37" w:name="_Toc370052945"/>
      <w:bookmarkStart w:id="38" w:name="_Toc12961"/>
      <w:bookmarkStart w:id="39" w:name="_Toc19912"/>
      <w:bookmarkStart w:id="40" w:name="_Toc293932914"/>
      <w:bookmarkStart w:id="41" w:name="_Toc16930"/>
      <w:bookmarkStart w:id="42" w:name="_Toc213568908"/>
      <w:r>
        <w:rPr>
          <w:rFonts w:hint="eastAsia" w:ascii="Times New Roman" w:hAnsi="Times New Roman" w:eastAsia="宋体" w:cs="Times New Roman"/>
          <w:b/>
          <w:kern w:val="2"/>
          <w:sz w:val="24"/>
          <w:szCs w:val="24"/>
          <w:lang w:val="en-US" w:eastAsia="zh-CN" w:bidi="ar-SA"/>
        </w:rPr>
        <w:t>1.4.3</w:t>
      </w:r>
      <w:r>
        <w:rPr>
          <w:rFonts w:hint="default" w:ascii="Times New Roman" w:hAnsi="Times New Roman" w:eastAsia="宋体" w:cs="Times New Roman"/>
          <w:b/>
          <w:kern w:val="2"/>
          <w:sz w:val="24"/>
          <w:szCs w:val="24"/>
          <w:lang w:val="en-US" w:eastAsia="zh-CN" w:bidi="ar-SA"/>
        </w:rPr>
        <w:t>.2与国家及地方政策</w:t>
      </w:r>
      <w:r>
        <w:rPr>
          <w:rFonts w:hint="eastAsia" w:ascii="Times New Roman" w:hAnsi="Times New Roman" w:eastAsia="宋体" w:cs="Times New Roman"/>
          <w:b/>
          <w:kern w:val="2"/>
          <w:sz w:val="24"/>
          <w:szCs w:val="24"/>
          <w:lang w:val="en-US" w:eastAsia="zh-CN" w:bidi="ar-SA"/>
        </w:rPr>
        <w:t>符合性</w:t>
      </w:r>
      <w:r>
        <w:rPr>
          <w:rFonts w:hint="default" w:ascii="Times New Roman" w:hAnsi="Times New Roman" w:eastAsia="宋体" w:cs="Times New Roman"/>
          <w:b/>
          <w:kern w:val="2"/>
          <w:sz w:val="24"/>
          <w:szCs w:val="24"/>
          <w:lang w:val="en-US" w:eastAsia="zh-CN" w:bidi="ar-SA"/>
        </w:rPr>
        <w:t>分析</w:t>
      </w:r>
      <w:bookmarkEnd w:id="37"/>
      <w:bookmarkEnd w:id="38"/>
      <w:bookmarkEnd w:id="39"/>
      <w:bookmarkEnd w:id="40"/>
      <w:bookmarkEnd w:id="41"/>
      <w:bookmarkEnd w:id="42"/>
    </w:p>
    <w:p w14:paraId="4F334ECB">
      <w:pPr>
        <w:widowControl w:val="0"/>
        <w:numPr>
          <w:ilvl w:val="0"/>
          <w:numId w:val="3"/>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bookmarkStart w:id="43" w:name="_Toc26419"/>
      <w:bookmarkStart w:id="44" w:name="_Toc23922"/>
      <w:bookmarkStart w:id="45" w:name="_Toc9835"/>
      <w:r>
        <w:rPr>
          <w:rFonts w:hint="eastAsia" w:ascii="Times New Roman" w:hAnsi="Times New Roman" w:eastAsia="宋体" w:cs="Times New Roman"/>
          <w:kern w:val="2"/>
          <w:sz w:val="24"/>
          <w:szCs w:val="24"/>
          <w:lang w:val="en-US" w:eastAsia="zh-CN" w:bidi="ar-SA"/>
        </w:rPr>
        <w:t>与《畜禽规模养殖污染防治条例》（中华人民共和国国务院令第643号）符合性分析</w:t>
      </w:r>
    </w:p>
    <w:p w14:paraId="1B0979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禁止在下列区域内建设畜禽养殖场、养殖小区：</w:t>
      </w:r>
    </w:p>
    <w:p w14:paraId="464EF6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（一）饮用水水源保护区，风景名胜区；（二）自然保护区的核心区和缓冲区；（三）城镇居民区、文化教育科学研究区等人口集中区域；（四）法律、法规规定的其他禁止养殖区域。</w:t>
      </w:r>
    </w:p>
    <w:p w14:paraId="4AD23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畜禽养殖场、养殖小区应当根据养殖规模和污染防治需要，建设相应的畜禽粪便、污水与雨水分流设施，畜禽粪便、污水的贮存设施，粪污厌氧消化和堆沤、有机肥加工、制取沼气、沼渣沼液分离和输送、污水处理、畜禽尸体处理等综合利用和无害化处理设施。已经委托他人对畜禽养殖废弃物代为综合利用和无害化处理的，可以不自行建设综合利用和无害化处理设施。</w:t>
      </w:r>
    </w:p>
    <w:p w14:paraId="228AEA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国家鼓励和支持采取粪肥还田、制取沼气、制造有机肥等方法，对畜禽养殖废弃物进行综合利用。国家鼓励和支持采取种植和养殖相结合的方式消纳利用畜禽养殖废弃物，促进畜禽粪便、污水等废弃物就地就近利用。国家鼓励和支持沼气制取、有机肥生产等废弃物综合利用以及沼渣沼液输送和施用、沼气发电等相关配套设施建设。将畜禽粪便、污水、沼渣、沼液等用作肥料的，应当与土地的消纳能力相适应，并采取有效措施，消除可能引起传染病的微生物，防止污染环境和传播疫病。</w:t>
      </w:r>
    </w:p>
    <w:p w14:paraId="6D2B01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从事畜禽养殖活动和畜禽养殖废弃物处理活动，应当及时对畜禽粪便、畜禽尸体、污水等进行收集、贮存、清运，防止恶臭和畜禽养殖废弃物渗出、泄漏。向环境排放经过处理的畜禽养殖废弃物，应当符合国家和地方规定的污染物排放标准和总量控制指标。畜禽养殖废弃物未经处理，不得直接向环境排放。</w:t>
      </w:r>
    </w:p>
    <w:p w14:paraId="17C1E0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染疫畜禽以及染疫畜禽排泄物、染疫畜禽产品、病死或者死因不明的畜禽尸体等病害畜禽养殖废弃物，应当按照有关法律、法规和国务院农牧主管部门的规定，进行深埋、化制、焚烧等无害化处理，不得随意处置。</w:t>
      </w:r>
    </w:p>
    <w:p w14:paraId="4D5D2D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kern w:val="2"/>
          <w:sz w:val="24"/>
          <w:szCs w:val="24"/>
          <w:highlight w:val="yellow"/>
          <w:lang w:val="en-US" w:eastAsia="zh-CN" w:bidi="ar-SA"/>
        </w:rPr>
      </w:pPr>
      <w:r>
        <w:rPr>
          <w:rFonts w:hint="eastAsia" w:ascii="Times New Roman" w:hAnsi="Times New Roman" w:eastAsia="宋体" w:cs="Times New Roman"/>
          <w:bCs/>
          <w:kern w:val="2"/>
          <w:sz w:val="24"/>
          <w:szCs w:val="24"/>
          <w:lang w:val="en-US" w:eastAsia="zh-CN" w:bidi="ar-SA"/>
        </w:rPr>
        <w:t>本项目畜禽养殖场周边不涉及饮用水水源保护区，风景名胜区、自然保护区的核心区和缓冲区；</w:t>
      </w:r>
      <w:r>
        <w:rPr>
          <w:rFonts w:hint="eastAsia" w:ascii="Times New Roman" w:hAnsi="Times New Roman" w:eastAsia="宋体" w:cs="Times New Roman"/>
          <w:bCs/>
          <w:kern w:val="2"/>
          <w:sz w:val="24"/>
          <w:szCs w:val="24"/>
          <w:highlight w:val="none"/>
          <w:lang w:val="en-US" w:eastAsia="zh-CN" w:bidi="ar-SA"/>
        </w:rPr>
        <w:t>距离最近的居民区</w:t>
      </w:r>
      <w:r>
        <w:rPr>
          <w:rFonts w:hint="eastAsia" w:cs="Times New Roman"/>
          <w:color w:val="auto"/>
          <w:sz w:val="24"/>
          <w:szCs w:val="24"/>
          <w:highlight w:val="none"/>
          <w:lang w:val="en-US" w:eastAsia="zh-CN" w:bidi="ar-SA"/>
        </w:rPr>
        <w:t>14连</w:t>
      </w:r>
      <w:r>
        <w:rPr>
          <w:rFonts w:hint="eastAsia" w:cs="Times New Roman"/>
          <w:bCs/>
          <w:kern w:val="2"/>
          <w:sz w:val="24"/>
          <w:szCs w:val="24"/>
          <w:highlight w:val="none"/>
          <w:lang w:val="en-US" w:eastAsia="zh-CN" w:bidi="ar-SA"/>
        </w:rPr>
        <w:t>520m</w:t>
      </w:r>
      <w:r>
        <w:rPr>
          <w:rFonts w:hint="eastAsia" w:ascii="Times New Roman" w:hAnsi="Times New Roman" w:eastAsia="宋体" w:cs="Times New Roman"/>
          <w:bCs/>
          <w:kern w:val="2"/>
          <w:sz w:val="24"/>
          <w:szCs w:val="24"/>
          <w:highlight w:val="none"/>
          <w:lang w:val="en-US" w:eastAsia="zh-CN" w:bidi="ar-SA"/>
        </w:rPr>
        <w:t>，周边</w:t>
      </w:r>
      <w:r>
        <w:rPr>
          <w:rFonts w:hint="eastAsia" w:cs="Times New Roman"/>
          <w:bCs/>
          <w:kern w:val="2"/>
          <w:sz w:val="24"/>
          <w:szCs w:val="24"/>
          <w:highlight w:val="none"/>
          <w:lang w:val="en-US" w:eastAsia="zh-CN" w:bidi="ar-SA"/>
        </w:rPr>
        <w:t>2.5</w:t>
      </w:r>
      <w:r>
        <w:rPr>
          <w:rFonts w:hint="eastAsia" w:ascii="Times New Roman" w:hAnsi="Times New Roman" w:eastAsia="宋体" w:cs="Times New Roman"/>
          <w:bCs/>
          <w:kern w:val="2"/>
          <w:sz w:val="24"/>
          <w:szCs w:val="24"/>
          <w:highlight w:val="none"/>
          <w:lang w:val="en-US" w:eastAsia="zh-CN" w:bidi="ar-SA"/>
        </w:rPr>
        <w:t>km范围内无文化教育科学研究区，不属于禁止建设区。</w:t>
      </w:r>
    </w:p>
    <w:p w14:paraId="3F611A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本项目</w:t>
      </w:r>
      <w:r>
        <w:rPr>
          <w:rFonts w:hint="eastAsia" w:cs="Times New Roman"/>
          <w:bCs/>
          <w:kern w:val="2"/>
          <w:sz w:val="24"/>
          <w:szCs w:val="24"/>
          <w:lang w:val="en-US" w:eastAsia="zh-CN" w:bidi="ar-SA"/>
        </w:rPr>
        <w:t>牛舍、牛圈、运动场以及凉棚均</w:t>
      </w:r>
      <w:r>
        <w:rPr>
          <w:rFonts w:hint="eastAsia" w:ascii="Times New Roman" w:hAnsi="Times New Roman" w:eastAsia="宋体" w:cs="Times New Roman"/>
          <w:bCs/>
          <w:kern w:val="2"/>
          <w:sz w:val="24"/>
          <w:szCs w:val="24"/>
          <w:lang w:val="en-US" w:eastAsia="zh-CN" w:bidi="ar-SA"/>
        </w:rPr>
        <w:t>采用</w:t>
      </w:r>
      <w:r>
        <w:rPr>
          <w:rFonts w:hint="eastAsia" w:cs="Times New Roman"/>
          <w:bCs/>
          <w:kern w:val="2"/>
          <w:sz w:val="24"/>
          <w:szCs w:val="24"/>
          <w:lang w:val="en-US" w:eastAsia="zh-CN" w:bidi="ar-SA"/>
        </w:rPr>
        <w:t>原位发酵</w:t>
      </w:r>
      <w:r>
        <w:rPr>
          <w:rFonts w:hint="eastAsia" w:ascii="Times New Roman" w:hAnsi="Times New Roman" w:eastAsia="宋体" w:cs="Times New Roman"/>
          <w:bCs/>
          <w:kern w:val="2"/>
          <w:sz w:val="24"/>
          <w:szCs w:val="24"/>
          <w:lang w:val="en-US" w:eastAsia="zh-CN" w:bidi="ar-SA"/>
        </w:rPr>
        <w:t>工艺，畜禽养殖雨污分流，</w:t>
      </w:r>
      <w:r>
        <w:rPr>
          <w:rFonts w:hint="eastAsia" w:cs="Times New Roman"/>
          <w:bCs/>
          <w:kern w:val="2"/>
          <w:sz w:val="24"/>
          <w:szCs w:val="24"/>
          <w:lang w:val="en-US" w:eastAsia="zh-CN" w:bidi="ar-SA"/>
        </w:rPr>
        <w:t>无害化处理后</w:t>
      </w:r>
      <w:r>
        <w:rPr>
          <w:rFonts w:hint="eastAsia" w:ascii="Times New Roman" w:hAnsi="Times New Roman" w:eastAsia="宋体" w:cs="Times New Roman"/>
          <w:bCs/>
          <w:kern w:val="2"/>
          <w:sz w:val="24"/>
          <w:szCs w:val="24"/>
          <w:lang w:val="en-US" w:eastAsia="zh-CN" w:bidi="ar-SA"/>
        </w:rPr>
        <w:t>的</w:t>
      </w:r>
      <w:r>
        <w:rPr>
          <w:rFonts w:hint="eastAsia" w:cs="Times New Roman"/>
          <w:bCs/>
          <w:kern w:val="2"/>
          <w:sz w:val="24"/>
          <w:szCs w:val="24"/>
          <w:lang w:val="en-US" w:eastAsia="zh-CN" w:bidi="ar-SA"/>
        </w:rPr>
        <w:t>粪污和发酵垫料</w:t>
      </w:r>
      <w:r>
        <w:rPr>
          <w:rFonts w:hint="eastAsia" w:ascii="Times New Roman" w:hAnsi="Times New Roman" w:eastAsia="宋体" w:cs="Times New Roman"/>
          <w:bCs/>
          <w:kern w:val="2"/>
          <w:sz w:val="24"/>
          <w:szCs w:val="24"/>
          <w:lang w:val="en-US" w:eastAsia="zh-CN" w:bidi="ar-SA"/>
        </w:rPr>
        <w:t>均作为肥料还田，不直接向环境排放。</w:t>
      </w:r>
      <w:r>
        <w:rPr>
          <w:rFonts w:hint="eastAsia" w:ascii="Times New Roman" w:hAnsi="Times New Roman" w:eastAsia="宋体" w:cs="Times New Roman"/>
          <w:bCs/>
          <w:kern w:val="2"/>
          <w:sz w:val="24"/>
          <w:szCs w:val="24"/>
          <w:highlight w:val="none"/>
          <w:lang w:val="en-US" w:eastAsia="zh-CN" w:bidi="ar-SA"/>
        </w:rPr>
        <w:t>本项目病死牛根据</w:t>
      </w:r>
      <w:r>
        <w:rPr>
          <w:rFonts w:hint="default" w:ascii="Times New Roman" w:hAnsi="Times New Roman" w:eastAsia="宋体" w:cs="Times New Roman"/>
          <w:color w:val="auto"/>
          <w:kern w:val="2"/>
          <w:sz w:val="24"/>
          <w:szCs w:val="24"/>
          <w:highlight w:val="none"/>
          <w:lang w:val="en-US" w:eastAsia="zh-CN" w:bidi="ar-SA"/>
        </w:rPr>
        <w:t>《畜禽养殖业污染防治技术规范》（HJ/T81-2001）</w:t>
      </w:r>
      <w:r>
        <w:rPr>
          <w:rFonts w:hint="eastAsia" w:cs="Times New Roman"/>
          <w:color w:val="auto"/>
          <w:kern w:val="2"/>
          <w:sz w:val="24"/>
          <w:szCs w:val="24"/>
          <w:highlight w:val="none"/>
          <w:lang w:val="en-US" w:eastAsia="zh-CN" w:bidi="ar-SA"/>
        </w:rPr>
        <w:t>委托无害化处理单位进行无害化处理，由无害化处理单位配套的病死畜禽专用运输车辆运输</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lang w:val="en-US" w:eastAsia="zh-CN" w:bidi="ar-SA"/>
        </w:rPr>
        <w:t>符合</w:t>
      </w:r>
      <w:r>
        <w:rPr>
          <w:rFonts w:hint="eastAsia" w:ascii="Times New Roman" w:hAnsi="Times New Roman" w:eastAsia="宋体" w:cs="Times New Roman"/>
          <w:kern w:val="2"/>
          <w:sz w:val="24"/>
          <w:szCs w:val="24"/>
          <w:lang w:val="en-US" w:eastAsia="zh-CN" w:bidi="ar-SA"/>
        </w:rPr>
        <w:t>《畜禽规模养殖污染防治条例》（中华人民共和国国务院令第643号）相关要求。</w:t>
      </w:r>
    </w:p>
    <w:p w14:paraId="238CF9A5">
      <w:pPr>
        <w:widowControl w:val="0"/>
        <w:numPr>
          <w:ilvl w:val="0"/>
          <w:numId w:val="3"/>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与《国务院办公厅关于加快推进畜禽养殖废弃物资源化利用的意见》（国办发</w:t>
      </w:r>
      <w:r>
        <w:rPr>
          <w:rFonts w:hint="eastAsia" w:cs="Times New Roman"/>
          <w:kern w:val="2"/>
          <w:sz w:val="24"/>
          <w:szCs w:val="24"/>
          <w:lang w:val="en-US" w:eastAsia="zh-CN" w:bidi="ar-SA"/>
        </w:rPr>
        <w:t>〔2017〕48号</w:t>
      </w:r>
      <w:r>
        <w:rPr>
          <w:rFonts w:hint="eastAsia" w:ascii="Times New Roman" w:hAnsi="Times New Roman" w:eastAsia="宋体" w:cs="Times New Roman"/>
          <w:kern w:val="2"/>
          <w:sz w:val="24"/>
          <w:szCs w:val="24"/>
          <w:lang w:val="en-US" w:eastAsia="zh-CN" w:bidi="ar-SA"/>
        </w:rPr>
        <w:t>）符合性分析</w:t>
      </w:r>
    </w:p>
    <w:p w14:paraId="3E7412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加快畜牧业转型升级。大力发展标准化规模养殖，建设自动喂料、自动饮水、环境控制等现代化装备，推广节水、节料等清洁养殖工艺和干清粪、微生物发酵等实用技术，实现源头减量。加强规模养殖场精细化管理，推行标准化、规范化饲养，推广散装饲料和精准配方，提高饲料转化效率。加快畜禽品种遗传改良进程，提升母畜繁殖性能，提高综合生产能力。落实畜禽疫病综合防控措施，降低发病率和死亡率。以畜牧大县为重点，支持规模养殖场圈舍标准化改造和设备更新，配套建设粪污资源化利用设施。以生态养殖场为重点，继续开展畜禽养殖标准化示范创建。   </w:t>
      </w:r>
    </w:p>
    <w:p w14:paraId="66C549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加强科技及装备支撑。组织开展畜禽粪污资源化利用先进工艺、技术和装备研发，制修订相关标准，提高资源转化利用效率。开发安全、高效、环保新型饲料产品，引导矿物元素类饲料添加剂减量使用。加强畜禽粪污资源化利用技术集成，根据不同资源条件、不同畜种、不同规模，推广粪污全量收集还田利用、专业化能源利用、固体粪便肥料化利用、异位发酵床、粪便垫料回用、污水肥料化利用、污水达标排放等经济实用技术模式。集成推广应用有机肥、水肥一体化等关键技术。以畜牧大县为重点，加大技术培训力度，加强示范引领，提升养殖场粪污资源化利用水平。  </w:t>
      </w:r>
    </w:p>
    <w:p w14:paraId="1042DB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本项目建设规模养殖场，根据育肥牛生长阶段科学配比饲料，建设自动喂料、自动引水现代化设备，</w:t>
      </w:r>
      <w:r>
        <w:rPr>
          <w:rFonts w:hint="eastAsia" w:cs="Times New Roman"/>
          <w:bCs/>
          <w:kern w:val="2"/>
          <w:sz w:val="24"/>
          <w:szCs w:val="24"/>
          <w:lang w:val="en-US" w:eastAsia="zh-CN" w:bidi="ar-SA"/>
        </w:rPr>
        <w:t>牛圈</w:t>
      </w:r>
      <w:r>
        <w:rPr>
          <w:rFonts w:hint="eastAsia" w:ascii="Times New Roman" w:hAnsi="Times New Roman" w:eastAsia="宋体" w:cs="Times New Roman"/>
          <w:bCs/>
          <w:kern w:val="2"/>
          <w:sz w:val="24"/>
          <w:szCs w:val="24"/>
          <w:lang w:val="en-US" w:eastAsia="zh-CN" w:bidi="ar-SA"/>
        </w:rPr>
        <w:t>采用干清粪工艺</w:t>
      </w:r>
      <w:r>
        <w:rPr>
          <w:rFonts w:hint="eastAsia" w:cs="Times New Roman"/>
          <w:bCs/>
          <w:kern w:val="2"/>
          <w:sz w:val="24"/>
          <w:szCs w:val="24"/>
          <w:lang w:val="en-US" w:eastAsia="zh-CN" w:bidi="ar-SA"/>
        </w:rPr>
        <w:t>以及</w:t>
      </w:r>
      <w:r>
        <w:rPr>
          <w:rFonts w:hint="eastAsia" w:ascii="Times New Roman" w:hAnsi="Times New Roman" w:eastAsia="宋体" w:cs="Times New Roman"/>
          <w:bCs/>
          <w:kern w:val="2"/>
          <w:sz w:val="24"/>
          <w:szCs w:val="24"/>
          <w:lang w:val="en-US" w:eastAsia="zh-CN" w:bidi="ar-SA"/>
        </w:rPr>
        <w:t>微生物原位发酵技术，有效降低水资源使用量，同时实现污染物源头减量；配套粪污收集、贮存、处理设施，实现</w:t>
      </w:r>
      <w:r>
        <w:rPr>
          <w:rFonts w:hint="eastAsia" w:cs="Times New Roman"/>
          <w:bCs/>
          <w:kern w:val="2"/>
          <w:sz w:val="24"/>
          <w:szCs w:val="24"/>
          <w:lang w:val="en-US" w:eastAsia="zh-CN" w:bidi="ar-SA"/>
        </w:rPr>
        <w:t>粪污、发酵垫料无害化处理后还田，实现粪污的</w:t>
      </w:r>
      <w:r>
        <w:rPr>
          <w:rFonts w:hint="eastAsia" w:ascii="Times New Roman" w:hAnsi="Times New Roman" w:eastAsia="宋体" w:cs="Times New Roman"/>
          <w:bCs/>
          <w:kern w:val="2"/>
          <w:sz w:val="24"/>
          <w:szCs w:val="24"/>
          <w:lang w:val="en-US" w:eastAsia="zh-CN" w:bidi="ar-SA"/>
        </w:rPr>
        <w:t>肥料化利用，因此本项目符合</w:t>
      </w:r>
      <w:r>
        <w:rPr>
          <w:rFonts w:hint="eastAsia" w:ascii="Times New Roman" w:hAnsi="Times New Roman" w:eastAsia="宋体" w:cs="Times New Roman"/>
          <w:kern w:val="2"/>
          <w:sz w:val="24"/>
          <w:szCs w:val="24"/>
          <w:lang w:val="en-US" w:eastAsia="zh-CN" w:bidi="ar-SA"/>
        </w:rPr>
        <w:t>《国务院办公厅关于加快推进畜禽养殖废弃物资源化利用的意见》（国办发</w:t>
      </w:r>
      <w:r>
        <w:rPr>
          <w:rFonts w:hint="eastAsia" w:cs="Times New Roman"/>
          <w:kern w:val="2"/>
          <w:sz w:val="24"/>
          <w:szCs w:val="24"/>
          <w:lang w:val="en-US" w:eastAsia="zh-CN" w:bidi="ar-SA"/>
        </w:rPr>
        <w:t>〔2017〕48号</w:t>
      </w:r>
      <w:r>
        <w:rPr>
          <w:rFonts w:hint="eastAsia" w:ascii="Times New Roman" w:hAnsi="Times New Roman" w:eastAsia="宋体" w:cs="Times New Roman"/>
          <w:kern w:val="2"/>
          <w:sz w:val="24"/>
          <w:szCs w:val="24"/>
          <w:lang w:val="en-US" w:eastAsia="zh-CN" w:bidi="ar-SA"/>
        </w:rPr>
        <w:t>）相关要求。</w:t>
      </w:r>
    </w:p>
    <w:p w14:paraId="70AACBC0">
      <w:pPr>
        <w:widowControl w:val="0"/>
        <w:numPr>
          <w:ilvl w:val="0"/>
          <w:numId w:val="3"/>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与《畜禽养殖污染防治管理办法》（国家环境保护总局令第9号）符合性分析</w:t>
      </w:r>
    </w:p>
    <w:p w14:paraId="5B2160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禁止在下列区域内建设畜禽养殖场：</w:t>
      </w:r>
    </w:p>
    <w:p w14:paraId="5984B5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一）生活饮用水水源保护区、风景名胜区、自然保护区的核心区及缓冲区；（二）城市和城镇中居民区、文教科研区、医疗区等人口集中地区；（三）县级人民政府依法划定的禁养区域；（四）国家或地方法律、法规规定需特殊保护的其他区域。</w:t>
      </w:r>
    </w:p>
    <w:p w14:paraId="078E80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畜禽养殖场污染防治设施必须与主体工程同时设计、同时施工、同时使用；畜禽废渣综合利用措施必须在畜禽养殖场投入运营的同时予以落实。环境保护行政主管部门在对畜禽养殖场污染防治设施进行竣工验收时，其验收内容中应包括畜禽废渣综合利用措施的落实情况。</w:t>
      </w:r>
    </w:p>
    <w:p w14:paraId="172566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畜禽养殖场必须设置畜禽废渣的储存设施和场所，采取对储存场所地面进行水泥硬化等措施，防止畜禽废渣渗漏、散落、溢流、雨水淋失、恶臭气味等对周围环境造成污染和危害。畜禽养殖场应当保持环境整洁，采取清污分流和粪尿的干湿分离等措施，实现清洁养殖。</w:t>
      </w:r>
    </w:p>
    <w:p w14:paraId="29D6E1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畜禽养殖场应采取将畜禽废渣还田、生产沼气、制造有机肥料、制造再生饲料等方法进行综合利用。用于直接还田利用的畜禽粪便，应当经处理达到规定的无害化标准，防止病菌传播。</w:t>
      </w:r>
    </w:p>
    <w:p w14:paraId="67F889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bCs/>
          <w:kern w:val="2"/>
          <w:sz w:val="24"/>
          <w:szCs w:val="24"/>
          <w:lang w:val="en-US" w:eastAsia="zh-CN" w:bidi="ar-SA"/>
        </w:rPr>
        <w:t>本项目畜禽养殖场</w:t>
      </w:r>
      <w:r>
        <w:rPr>
          <w:rFonts w:hint="eastAsia" w:cs="Times New Roman"/>
          <w:bCs/>
          <w:kern w:val="2"/>
          <w:sz w:val="24"/>
          <w:szCs w:val="24"/>
          <w:lang w:val="en-US" w:eastAsia="zh-CN" w:bidi="ar-SA"/>
        </w:rPr>
        <w:t>占地范围内</w:t>
      </w:r>
      <w:r>
        <w:rPr>
          <w:rFonts w:hint="eastAsia" w:ascii="Times New Roman" w:hAnsi="Times New Roman" w:eastAsia="宋体" w:cs="Times New Roman"/>
          <w:bCs/>
          <w:kern w:val="2"/>
          <w:sz w:val="24"/>
          <w:szCs w:val="24"/>
          <w:lang w:val="en-US" w:eastAsia="zh-CN" w:bidi="ar-SA"/>
        </w:rPr>
        <w:t>不涉及饮用水水源保护区，风景名胜区、自然保护区的核心区和缓冲区；</w:t>
      </w:r>
      <w:r>
        <w:rPr>
          <w:rFonts w:hint="eastAsia" w:ascii="Times New Roman" w:hAnsi="Times New Roman" w:eastAsia="宋体" w:cs="Times New Roman"/>
          <w:bCs/>
          <w:kern w:val="2"/>
          <w:sz w:val="24"/>
          <w:szCs w:val="24"/>
          <w:highlight w:val="none"/>
          <w:lang w:val="en-US" w:eastAsia="zh-CN" w:bidi="ar-SA"/>
        </w:rPr>
        <w:t>距离最近的居民区</w:t>
      </w:r>
      <w:r>
        <w:rPr>
          <w:rFonts w:hint="eastAsia" w:cs="Times New Roman"/>
          <w:color w:val="auto"/>
          <w:sz w:val="24"/>
          <w:szCs w:val="24"/>
          <w:lang w:val="en-US" w:eastAsia="zh-CN" w:bidi="ar-SA"/>
        </w:rPr>
        <w:t>125团14连520m</w:t>
      </w:r>
      <w:r>
        <w:rPr>
          <w:rFonts w:hint="eastAsia" w:ascii="Times New Roman" w:hAnsi="Times New Roman" w:eastAsia="宋体" w:cs="Times New Roman"/>
          <w:bCs/>
          <w:kern w:val="2"/>
          <w:sz w:val="24"/>
          <w:szCs w:val="24"/>
          <w:lang w:val="en-US" w:eastAsia="zh-CN" w:bidi="ar-SA"/>
        </w:rPr>
        <w:t>，周边无</w:t>
      </w:r>
      <w:r>
        <w:rPr>
          <w:rFonts w:hint="eastAsia" w:cs="Times New Roman"/>
          <w:bCs/>
          <w:kern w:val="2"/>
          <w:sz w:val="24"/>
          <w:szCs w:val="24"/>
          <w:lang w:val="en-US" w:eastAsia="zh-CN" w:bidi="ar-SA"/>
        </w:rPr>
        <w:t>第七师胡杨河市划定的禁养区</w:t>
      </w:r>
      <w:r>
        <w:rPr>
          <w:rFonts w:hint="eastAsia" w:ascii="Times New Roman" w:hAnsi="Times New Roman" w:eastAsia="宋体" w:cs="Times New Roman"/>
          <w:bCs/>
          <w:kern w:val="2"/>
          <w:sz w:val="24"/>
          <w:szCs w:val="24"/>
          <w:lang w:val="en-US" w:eastAsia="zh-CN" w:bidi="ar-SA"/>
        </w:rPr>
        <w:t>。</w:t>
      </w:r>
      <w:r>
        <w:rPr>
          <w:rFonts w:hint="eastAsia" w:cs="Times New Roman"/>
          <w:color w:val="auto"/>
          <w:kern w:val="0"/>
          <w:sz w:val="24"/>
          <w:szCs w:val="24"/>
          <w:lang w:val="en-US" w:eastAsia="zh-CN" w:bidi="ar-SA"/>
        </w:rPr>
        <w:t>本项目粪污经无害化处理后还田于周边农田，实现畜禽粪便资源化利用。</w:t>
      </w:r>
      <w:r>
        <w:rPr>
          <w:rFonts w:hint="eastAsia" w:ascii="Times New Roman" w:hAnsi="Times New Roman" w:eastAsia="宋体" w:cs="Times New Roman"/>
          <w:color w:val="auto"/>
          <w:kern w:val="0"/>
          <w:sz w:val="24"/>
          <w:szCs w:val="24"/>
          <w:lang w:val="en-US" w:eastAsia="zh-CN" w:bidi="ar-SA"/>
        </w:rPr>
        <w:t>畜禽养殖场污染防治设施</w:t>
      </w:r>
      <w:r>
        <w:rPr>
          <w:rFonts w:hint="eastAsia" w:cs="Times New Roman"/>
          <w:color w:val="auto"/>
          <w:kern w:val="0"/>
          <w:sz w:val="24"/>
          <w:szCs w:val="24"/>
          <w:lang w:val="en-US" w:eastAsia="zh-CN" w:bidi="ar-SA"/>
        </w:rPr>
        <w:t>建设完成后应与主体工程一同进行竣工环境保护验收。</w:t>
      </w:r>
      <w:r>
        <w:rPr>
          <w:rFonts w:hint="eastAsia" w:ascii="Times New Roman" w:hAnsi="Times New Roman" w:eastAsia="宋体" w:cs="Times New Roman"/>
          <w:color w:val="auto"/>
          <w:kern w:val="0"/>
          <w:sz w:val="24"/>
          <w:szCs w:val="24"/>
          <w:lang w:val="en-US" w:eastAsia="zh-CN" w:bidi="ar-SA"/>
        </w:rPr>
        <w:t>因此本项目符合</w:t>
      </w:r>
      <w:r>
        <w:rPr>
          <w:rFonts w:hint="eastAsia" w:ascii="Times New Roman" w:hAnsi="Times New Roman" w:eastAsia="宋体" w:cs="Times New Roman"/>
          <w:kern w:val="2"/>
          <w:sz w:val="24"/>
          <w:szCs w:val="24"/>
          <w:lang w:val="en-US" w:eastAsia="zh-CN" w:bidi="ar-SA"/>
        </w:rPr>
        <w:t>《畜禽养殖污染防治管理办法》（国家环境保护总局令第9号）相关要求。</w:t>
      </w:r>
    </w:p>
    <w:p w14:paraId="3B26072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与《病死畜禽和病害畜禽产品无害化处理管理办法》（中华人民共和国农业农村部令2022年第3号）符合性分析</w:t>
      </w:r>
    </w:p>
    <w:p w14:paraId="16072D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发生重大动物疫情时，应当根据动物疫病防控要求开展病死畜禽和病害畜禽产品无害化处理。 </w:t>
      </w:r>
    </w:p>
    <w:p w14:paraId="06D37C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下列畜禽和畜禽产品应当进行无害化处理： （一）染疫或者疑似染疫死亡、因病死亡或者死因不明的；（二）经检疫、检验可能危害人体或者动物健康的；（三）因自然灾害、应激反应、物理挤压等因素死亡的；（四）屠宰过程中经肉品品质检验确认为不可食用的；（五）死胎、木乃伊胎等；（六）因动物疫病防控需要被扑杀或销毁的；（七）其他应当进行无害化处理的。 </w:t>
      </w:r>
    </w:p>
    <w:p w14:paraId="439748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从事畜禽饲养、屠宰、经营、隔离等活动的单位和个人，应当承担主体责任，按照本办法对病死畜禽和病害畜禽产品进行无害化处理，或者委托病死畜禽无害化处理场处理。</w:t>
      </w:r>
      <w:r>
        <w:rPr>
          <w:rFonts w:hint="default" w:ascii="Times New Roman" w:hAnsi="Times New Roman" w:eastAsia="宋体" w:cs="Times New Roman"/>
          <w:kern w:val="2"/>
          <w:sz w:val="24"/>
          <w:szCs w:val="24"/>
          <w:lang w:val="en-US" w:eastAsia="zh-CN" w:bidi="ar-SA"/>
        </w:rPr>
        <w:t> </w:t>
      </w:r>
    </w:p>
    <w:p w14:paraId="5AFECE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运输过程中发生畜禽死亡或者因检疫不合格需要进行无害化处理的，承运人应当立即通知货主，配合做好无害化处理，不得擅自弃置和处理。</w:t>
      </w:r>
    </w:p>
    <w:p w14:paraId="6BF011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畜禽养殖场、养殖户、屠宰厂（场）、隔离场应当及时对病死畜禽和病害畜禽产品进行贮存和清运。</w:t>
      </w:r>
      <w:r>
        <w:rPr>
          <w:rFonts w:hint="default" w:ascii="Times New Roman" w:hAnsi="Times New Roman" w:eastAsia="宋体" w:cs="Times New Roman"/>
          <w:kern w:val="2"/>
          <w:sz w:val="24"/>
          <w:szCs w:val="24"/>
          <w:lang w:val="en-US" w:eastAsia="zh-CN" w:bidi="ar-SA"/>
        </w:rPr>
        <w:t> </w:t>
      </w:r>
    </w:p>
    <w:p w14:paraId="506053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kern w:val="2"/>
          <w:sz w:val="24"/>
          <w:szCs w:val="24"/>
          <w:lang w:val="en-US" w:eastAsia="zh-CN" w:bidi="ar-SA"/>
        </w:rPr>
      </w:pPr>
      <w:r>
        <w:rPr>
          <w:rFonts w:hint="default" w:ascii="Times New Roman" w:hAnsi="Times New Roman" w:eastAsia="宋体" w:cs="Times New Roman"/>
          <w:kern w:val="2"/>
          <w:sz w:val="24"/>
          <w:szCs w:val="24"/>
          <w:lang w:val="en-US" w:eastAsia="zh-CN" w:bidi="ar-SA"/>
        </w:rPr>
        <w:t>畜禽养殖场、屠宰厂（场）、隔离场委托病死畜禽无害化处理场处理的，应当符合以下要求：</w:t>
      </w:r>
      <w:r>
        <w:rPr>
          <w:rFonts w:hint="default" w:ascii="宋体" w:hAnsi="宋体" w:eastAsia="宋体" w:cs="宋体"/>
          <w:color w:val="000000"/>
          <w:kern w:val="2"/>
          <w:sz w:val="24"/>
          <w:szCs w:val="24"/>
          <w:lang w:val="en-US" w:eastAsia="zh-CN" w:bidi="ar-SA"/>
        </w:rPr>
        <w:t>（一）采取必要的冷藏冷冻、清洗消毒等措施；（二）具有病死畜禽和病害畜禽产品输出通道；（三）及时通知病死畜禽无害化处理场进行收集，或自行送至指定地点。</w:t>
      </w:r>
      <w:r>
        <w:rPr>
          <w:rFonts w:hint="eastAsia" w:ascii="宋体" w:hAnsi="宋体" w:eastAsia="宋体" w:cs="宋体"/>
          <w:color w:val="000000"/>
          <w:kern w:val="2"/>
          <w:sz w:val="24"/>
          <w:szCs w:val="24"/>
          <w:lang w:val="en-US" w:eastAsia="zh-CN" w:bidi="ar-SA"/>
        </w:rPr>
        <w:t>禽养殖场、屠宰厂（场）、隔离场在本场（厂）内自行处理病死畜禽和病害畜禽产品的，应当符合无害化处理场所的动物防疫条件，不得处理本场（厂）外的病死畜禽和病害畜禽产品。</w:t>
      </w:r>
      <w:r>
        <w:rPr>
          <w:rFonts w:hint="default" w:ascii="宋体" w:hAnsi="宋体" w:eastAsia="宋体" w:cs="宋体"/>
          <w:color w:val="000000"/>
          <w:kern w:val="2"/>
          <w:sz w:val="24"/>
          <w:szCs w:val="24"/>
          <w:lang w:val="en-US" w:eastAsia="zh-CN" w:bidi="ar-SA"/>
        </w:rPr>
        <w:t>畜禽养殖场、屠宰厂（场）、隔离场在本场（厂）外自行处理的，应当建设病死畜禽无害化处理场。 </w:t>
      </w:r>
    </w:p>
    <w:p w14:paraId="240C9C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本项目委托病死畜禽无害化处置单位</w:t>
      </w:r>
      <w:r>
        <w:rPr>
          <w:rFonts w:hint="eastAsia" w:cs="Times New Roman"/>
          <w:color w:val="auto"/>
          <w:sz w:val="24"/>
          <w:szCs w:val="24"/>
          <w:lang w:val="en-US" w:eastAsia="zh-CN"/>
        </w:rPr>
        <w:t>处置本项目病死牛，场区内设置</w:t>
      </w:r>
      <w:r>
        <w:rPr>
          <w:rFonts w:hint="default" w:ascii="宋体" w:hAnsi="宋体" w:eastAsia="宋体" w:cs="宋体"/>
          <w:color w:val="000000"/>
          <w:kern w:val="2"/>
          <w:sz w:val="24"/>
          <w:szCs w:val="24"/>
          <w:lang w:val="en-US" w:eastAsia="zh-CN" w:bidi="ar-SA"/>
        </w:rPr>
        <w:t>病死</w:t>
      </w:r>
      <w:r>
        <w:rPr>
          <w:rFonts w:hint="eastAsia" w:ascii="宋体" w:hAnsi="宋体" w:eastAsia="宋体" w:cs="宋体"/>
          <w:color w:val="000000"/>
          <w:kern w:val="2"/>
          <w:sz w:val="24"/>
          <w:szCs w:val="24"/>
          <w:lang w:val="en-US" w:eastAsia="zh-CN" w:bidi="ar-SA"/>
        </w:rPr>
        <w:t>牛专用</w:t>
      </w:r>
      <w:r>
        <w:rPr>
          <w:rFonts w:hint="default" w:ascii="宋体" w:hAnsi="宋体" w:eastAsia="宋体" w:cs="宋体"/>
          <w:color w:val="000000"/>
          <w:kern w:val="2"/>
          <w:sz w:val="24"/>
          <w:szCs w:val="24"/>
          <w:lang w:val="en-US" w:eastAsia="zh-CN" w:bidi="ar-SA"/>
        </w:rPr>
        <w:t>输出通道</w:t>
      </w:r>
      <w:r>
        <w:rPr>
          <w:rFonts w:hint="eastAsia" w:ascii="宋体" w:hAnsi="宋体" w:eastAsia="宋体" w:cs="宋体"/>
          <w:color w:val="000000"/>
          <w:kern w:val="2"/>
          <w:sz w:val="24"/>
          <w:szCs w:val="24"/>
          <w:lang w:val="en-US" w:eastAsia="zh-CN" w:bidi="ar-SA"/>
        </w:rPr>
        <w:t>，避开生活区以及生产区</w:t>
      </w:r>
      <w:r>
        <w:rPr>
          <w:rFonts w:hint="eastAsia" w:cs="Times New Roman"/>
          <w:color w:val="auto"/>
          <w:sz w:val="24"/>
          <w:szCs w:val="24"/>
          <w:lang w:val="en-US" w:eastAsia="zh-CN"/>
        </w:rPr>
        <w:t>。病死牛产生后在项目区病死牛暂存间暂存，通知</w:t>
      </w:r>
      <w:r>
        <w:rPr>
          <w:rFonts w:hint="eastAsia" w:cs="Times New Roman"/>
          <w:kern w:val="2"/>
          <w:sz w:val="24"/>
          <w:szCs w:val="24"/>
          <w:lang w:val="en-US" w:eastAsia="zh-CN" w:bidi="ar-SA"/>
        </w:rPr>
        <w:t>病死畜禽无害化处置单位</w:t>
      </w:r>
      <w:r>
        <w:rPr>
          <w:rFonts w:hint="eastAsia" w:cs="Times New Roman"/>
          <w:color w:val="auto"/>
          <w:sz w:val="24"/>
          <w:szCs w:val="24"/>
          <w:lang w:val="en-US" w:eastAsia="zh-CN"/>
        </w:rPr>
        <w:t>当日完成转运，不在场区内自行</w:t>
      </w:r>
      <w:r>
        <w:rPr>
          <w:rFonts w:hint="eastAsia" w:ascii="宋体" w:hAnsi="宋体" w:eastAsia="宋体" w:cs="宋体"/>
          <w:color w:val="000000"/>
          <w:kern w:val="2"/>
          <w:sz w:val="24"/>
          <w:szCs w:val="24"/>
          <w:lang w:val="en-US" w:eastAsia="zh-CN" w:bidi="ar-SA"/>
        </w:rPr>
        <w:t>处理病死牛和病害牛产品</w:t>
      </w:r>
      <w:r>
        <w:rPr>
          <w:rFonts w:hint="eastAsia" w:cs="Times New Roman"/>
          <w:color w:val="auto"/>
          <w:sz w:val="24"/>
          <w:szCs w:val="24"/>
          <w:lang w:val="en-US" w:eastAsia="zh-CN"/>
        </w:rPr>
        <w:t>，由</w:t>
      </w:r>
      <w:r>
        <w:rPr>
          <w:rFonts w:hint="eastAsia" w:cs="Times New Roman"/>
          <w:kern w:val="2"/>
          <w:sz w:val="24"/>
          <w:szCs w:val="24"/>
          <w:lang w:val="en-US" w:eastAsia="zh-CN" w:bidi="ar-SA"/>
        </w:rPr>
        <w:t>病死畜禽无害化处置单位</w:t>
      </w:r>
      <w:r>
        <w:rPr>
          <w:rFonts w:hint="eastAsia" w:cs="Times New Roman"/>
          <w:color w:val="auto"/>
          <w:sz w:val="24"/>
          <w:szCs w:val="24"/>
          <w:lang w:val="en-US" w:eastAsia="zh-CN"/>
        </w:rPr>
        <w:t>病死畜禽专用运输车辆运输，运输过程中</w:t>
      </w:r>
      <w:r>
        <w:rPr>
          <w:rFonts w:hint="default" w:ascii="Times New Roman" w:hAnsi="Times New Roman" w:eastAsia="宋体" w:cs="Times New Roman"/>
          <w:kern w:val="2"/>
          <w:sz w:val="24"/>
          <w:szCs w:val="24"/>
          <w:lang w:val="en-US" w:eastAsia="zh-CN" w:bidi="ar-SA"/>
        </w:rPr>
        <w:t>不得擅自弃置和处理</w:t>
      </w:r>
      <w:r>
        <w:rPr>
          <w:rFonts w:hint="eastAsia" w:cs="Times New Roman"/>
          <w:color w:val="auto"/>
          <w:sz w:val="24"/>
          <w:szCs w:val="24"/>
          <w:lang w:val="en-US" w:eastAsia="zh-CN"/>
        </w:rPr>
        <w:t>。转运后，对隔离圈、病死牛暂存间、输出通道进行消毒。</w:t>
      </w:r>
      <w:r>
        <w:rPr>
          <w:rFonts w:hint="eastAsia" w:ascii="Times New Roman" w:hAnsi="Times New Roman" w:eastAsia="宋体" w:cs="Times New Roman"/>
          <w:kern w:val="2"/>
          <w:sz w:val="24"/>
          <w:szCs w:val="24"/>
          <w:lang w:val="en-US" w:eastAsia="zh-CN" w:bidi="ar-SA"/>
        </w:rPr>
        <w:t>因此符合《病死畜禽和病害畜禽产品无害化处理管理办法》（中华人民共和国农业农村部令2022年第3号）相关要求。</w:t>
      </w:r>
    </w:p>
    <w:p w14:paraId="1FF6BC23">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（5）与《关于加快推进新疆畜牧业高质量发展的通知》（新政办发</w:t>
      </w:r>
      <w:r>
        <w:rPr>
          <w:rFonts w:hint="eastAsia" w:cs="Times New Roman"/>
          <w:kern w:val="2"/>
          <w:sz w:val="24"/>
          <w:szCs w:val="24"/>
          <w:lang w:val="en-US" w:eastAsia="zh-CN" w:bidi="ar-SA"/>
        </w:rPr>
        <w:t>〔2020〕82号</w:t>
      </w:r>
      <w:r>
        <w:rPr>
          <w:rFonts w:hint="eastAsia" w:ascii="Times New Roman" w:hAnsi="Times New Roman" w:eastAsia="宋体" w:cs="Times New Roman"/>
          <w:kern w:val="2"/>
          <w:sz w:val="24"/>
          <w:szCs w:val="24"/>
          <w:lang w:val="en-US" w:eastAsia="zh-CN" w:bidi="ar-SA"/>
        </w:rPr>
        <w:t>）符合性分析</w:t>
      </w:r>
    </w:p>
    <w:p w14:paraId="73F2CA7B">
      <w:pPr>
        <w:widowControl w:val="0"/>
        <w:numPr>
          <w:ilvl w:val="0"/>
          <w:numId w:val="0"/>
        </w:numPr>
        <w:spacing w:after="120" w:afterLines="0" w:line="360" w:lineRule="auto"/>
        <w:ind w:firstLine="465"/>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加快构建现代养殖体系。以畜禽种业发展为关键，建立政府统筹指导、育种企业主导发展、科研单位支撑引领的畜禽种业发展新机制，突出优势畜种</w:t>
      </w:r>
      <w:r>
        <w:rPr>
          <w:rFonts w:hint="eastAsia" w:ascii="宋体"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持续推进肉牛肉羊、奶业、猪禽种业提升计划，抓好抓实育种和良种推广工作。坚持规模化发展方向，抓龙头、建基地、带农户，充分发挥地方政府和畜牧业生产经营主体的作用，加快推进自治区肉羊增产、奶业振兴、肉牛增产、生猪产业转型升级、家禽及特色产业发展</w:t>
      </w:r>
      <w:r>
        <w:rPr>
          <w:rFonts w:hint="eastAsia" w:ascii="宋体"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五大振兴行动</w:t>
      </w:r>
      <w:r>
        <w:rPr>
          <w:rFonts w:hint="eastAsia" w:ascii="宋体"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发挥龙头企业引领带动作用，实施好新型经营主体培育工程，采取多种形式建立健全企农利益联结机制，加快推进畜禽标准化规模养殖。提升饲草料供给保障能力，统筹畜牧业发展与生态环境保护的关系，落实草原保护建设制度，按照农牧结合、草畜配套的要求统筹推进饲草业和饲料业发展；加大种植业结构调整力度，大力推广优质饲草料品种和高产栽培技术；利用好各类农作物秸秆和农副产品资源；推进饲草料专业化生产，加快饲草料加工、流通、配送体系建设。强化畜牧业科技支撑，认真落实自治区党委组织部、自治区财政厅等五家单位联合印发的《关于激发科研机构和科研人员创新活力促进科技成果转化的若干政策》，建立健全畜牧业科技成果转化应用新机制；加快饲草种植、育种繁殖、疫病防控、动物营养等技术组装配套应用和示范推广；落实农机购置补贴政策，提高畜牧业机械化装备水平。加强畜牧业信息化建设，健全完善自治区畜牧兽医大数据平台，延伸平台功能，拓宽服务范围，实现草料种植、种畜生产、品种改良、养殖备案、动物防疫、检疫出证、质量安全追溯等全程信息化闭环管理。</w:t>
      </w:r>
    </w:p>
    <w:p w14:paraId="6C332077">
      <w:pPr>
        <w:widowControl w:val="0"/>
        <w:numPr>
          <w:ilvl w:val="0"/>
          <w:numId w:val="0"/>
        </w:numPr>
        <w:spacing w:after="120" w:afterLines="0" w:line="360" w:lineRule="auto"/>
        <w:ind w:firstLine="465"/>
        <w:jc w:val="both"/>
        <w:rPr>
          <w:rFonts w:hint="default"/>
          <w:lang w:val="en-US" w:eastAsia="zh-CN"/>
        </w:rPr>
      </w:pPr>
      <w:r>
        <w:rPr>
          <w:rFonts w:hint="eastAsia" w:ascii="宋体" w:hAnsi="宋体" w:eastAsia="宋体" w:cs="宋体"/>
          <w:color w:val="000000"/>
          <w:kern w:val="2"/>
          <w:sz w:val="24"/>
          <w:szCs w:val="24"/>
          <w:lang w:val="en-US" w:eastAsia="zh-CN" w:bidi="ar-SA"/>
        </w:rPr>
        <w:t>本项目建设规模化肉牛育肥基地，推动肉牛产业实现规范化、标准化、产业化发展，建立机械化养殖基地，积极响应肉羊增产、奶业振兴、肉牛增产、生猪产业转型升级、家禽及特色产业发展</w:t>
      </w:r>
      <w:r>
        <w:rPr>
          <w:rFonts w:hint="eastAsia" w:ascii="宋体"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五大振兴行动</w:t>
      </w:r>
      <w:r>
        <w:rPr>
          <w:rFonts w:hint="eastAsia" w:ascii="宋体"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；本项目利用</w:t>
      </w:r>
      <w:r>
        <w:rPr>
          <w:rFonts w:hint="eastAsia" w:ascii="宋体" w:hAnsi="宋体" w:cs="宋体"/>
          <w:color w:val="000000"/>
          <w:kern w:val="2"/>
          <w:sz w:val="24"/>
          <w:szCs w:val="24"/>
          <w:lang w:val="en-US" w:eastAsia="zh-CN" w:bidi="ar-SA"/>
        </w:rPr>
        <w:t>玉米</w:t>
      </w:r>
      <w:r>
        <w:rPr>
          <w:rFonts w:hint="eastAsia" w:ascii="宋体" w:hAnsi="宋体" w:eastAsia="宋体" w:cs="宋体"/>
          <w:color w:val="000000"/>
          <w:kern w:val="2"/>
          <w:sz w:val="24"/>
          <w:szCs w:val="24"/>
          <w:lang w:val="en-US" w:eastAsia="zh-CN" w:bidi="ar-SA"/>
        </w:rPr>
        <w:t>秸秆青</w:t>
      </w:r>
      <w:r>
        <w:rPr>
          <w:rFonts w:hint="eastAsia" w:ascii="宋体" w:hAnsi="宋体" w:cs="宋体"/>
          <w:color w:val="000000"/>
          <w:kern w:val="2"/>
          <w:sz w:val="24"/>
          <w:szCs w:val="24"/>
          <w:lang w:val="en-US" w:eastAsia="zh-CN" w:bidi="ar-SA"/>
        </w:rPr>
        <w:t>储</w:t>
      </w:r>
      <w:r>
        <w:rPr>
          <w:rFonts w:hint="eastAsia" w:ascii="宋体" w:hAnsi="宋体" w:eastAsia="宋体" w:cs="宋体"/>
          <w:color w:val="000000"/>
          <w:kern w:val="2"/>
          <w:sz w:val="24"/>
          <w:szCs w:val="24"/>
          <w:lang w:val="en-US" w:eastAsia="zh-CN" w:bidi="ar-SA"/>
        </w:rPr>
        <w:t>作为肉牛饲料，有效利用农作物秸秆资源，提高农作物秸秆资源化转换效率；</w:t>
      </w:r>
      <w:r>
        <w:rPr>
          <w:rFonts w:hint="eastAsia" w:ascii="宋体" w:hAnsi="宋体" w:cs="宋体"/>
          <w:color w:val="000000"/>
          <w:kern w:val="2"/>
          <w:sz w:val="24"/>
          <w:szCs w:val="24"/>
          <w:lang w:val="en-US" w:eastAsia="zh-CN" w:bidi="ar-SA"/>
        </w:rPr>
        <w:t>粪污以及发酵垫料等经无害化处理后还田于周边农田，实现粪污的资源化利用</w:t>
      </w:r>
      <w:r>
        <w:rPr>
          <w:rFonts w:hint="eastAsia" w:ascii="宋体" w:hAnsi="宋体" w:eastAsia="宋体" w:cs="宋体"/>
          <w:color w:val="000000"/>
          <w:kern w:val="2"/>
          <w:sz w:val="24"/>
          <w:szCs w:val="24"/>
          <w:lang w:val="en-US" w:eastAsia="zh-CN" w:bidi="ar-SA"/>
        </w:rPr>
        <w:t>。因此本项目满足</w:t>
      </w:r>
      <w:r>
        <w:rPr>
          <w:rFonts w:hint="eastAsia" w:ascii="Times New Roman" w:hAnsi="Times New Roman" w:eastAsia="宋体" w:cs="Times New Roman"/>
          <w:kern w:val="2"/>
          <w:sz w:val="24"/>
          <w:szCs w:val="24"/>
          <w:lang w:val="en-US" w:eastAsia="zh-CN" w:bidi="ar-SA"/>
        </w:rPr>
        <w:t>《关于加快推进新疆畜牧业高质量发展的通知》（新政办发</w:t>
      </w:r>
      <w:r>
        <w:rPr>
          <w:rFonts w:hint="eastAsia" w:cs="Times New Roman"/>
          <w:kern w:val="2"/>
          <w:sz w:val="24"/>
          <w:szCs w:val="24"/>
          <w:lang w:val="en-US" w:eastAsia="zh-CN" w:bidi="ar-SA"/>
        </w:rPr>
        <w:t>〔2020〕82号</w:t>
      </w:r>
      <w:r>
        <w:rPr>
          <w:rFonts w:hint="eastAsia" w:ascii="Times New Roman" w:hAnsi="Times New Roman" w:eastAsia="宋体" w:cs="Times New Roman"/>
          <w:kern w:val="2"/>
          <w:sz w:val="24"/>
          <w:szCs w:val="24"/>
          <w:lang w:val="en-US" w:eastAsia="zh-CN" w:bidi="ar-SA"/>
        </w:rPr>
        <w:t>）相关要求。</w:t>
      </w:r>
    </w:p>
    <w:p w14:paraId="144F7FD8">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6</w:t>
      </w:r>
      <w:r>
        <w:rPr>
          <w:rFonts w:hint="eastAsia" w:ascii="Times New Roman" w:hAnsi="Times New Roman" w:eastAsia="宋体" w:cs="Times New Roman"/>
          <w:kern w:val="2"/>
          <w:sz w:val="24"/>
          <w:szCs w:val="24"/>
          <w:lang w:val="en-US" w:eastAsia="zh-CN" w:bidi="ar-SA"/>
        </w:rPr>
        <w:t>）与《兵团办公厅印发</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关于促进兵团畜牧业高质量发展的意见</w:t>
      </w:r>
      <w:r>
        <w:rPr>
          <w:rFonts w:hint="eastAsia" w:cs="Times New Roman"/>
          <w:kern w:val="2"/>
          <w:sz w:val="24"/>
          <w:szCs w:val="24"/>
          <w:lang w:val="en-US" w:eastAsia="zh-CN" w:bidi="ar-SA"/>
        </w:rPr>
        <w:t>〉的通知》</w:t>
      </w:r>
      <w:r>
        <w:rPr>
          <w:rFonts w:hint="eastAsia" w:ascii="Times New Roman" w:hAnsi="Times New Roman" w:eastAsia="宋体" w:cs="Times New Roman"/>
          <w:kern w:val="2"/>
          <w:sz w:val="24"/>
          <w:szCs w:val="24"/>
          <w:lang w:val="en-US" w:eastAsia="zh-CN" w:bidi="ar-SA"/>
        </w:rPr>
        <w:t>（新兵办发</w:t>
      </w:r>
      <w:r>
        <w:rPr>
          <w:rFonts w:hint="eastAsia" w:cs="Times New Roman"/>
          <w:kern w:val="2"/>
          <w:sz w:val="24"/>
          <w:szCs w:val="24"/>
          <w:lang w:val="en-US" w:eastAsia="zh-CN" w:bidi="ar-SA"/>
        </w:rPr>
        <w:t>〔2021〕</w:t>
      </w:r>
      <w:r>
        <w:rPr>
          <w:rFonts w:hint="eastAsia" w:ascii="Times New Roman" w:hAnsi="Times New Roman" w:eastAsia="宋体" w:cs="Times New Roman"/>
          <w:kern w:val="2"/>
          <w:sz w:val="24"/>
          <w:szCs w:val="24"/>
          <w:lang w:val="en-US" w:eastAsia="zh-CN" w:bidi="ar-SA"/>
        </w:rPr>
        <w:t>25号）</w:t>
      </w:r>
    </w:p>
    <w:p w14:paraId="6EC1C0A5">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实施肉牛增产和肉羊提效行动。大力促进农区奶牛、肉牛融合发展，通过奶牛、乳肉兼用牛及肉牛适度杂交，加快建立农区自繁自育生产体系，进一步扩大养殖规模，适度发展牧区肉牛养殖。进一步扩大养殖规模，面向高端市场培育品牌，通过牛肉精深加工，实现增产增效。以新疆褐牛、安格斯、西门塔尔、夏洛莱为主，在北疆第四、五、六、七、八、九、十师建设高端肉牛生产基地；以西门塔尔、地方良种为主，在南疆第一、二、三、十四师建设自繁自育生产基地。到2025年，新增15万头出栏肉牛生产能力。</w:t>
      </w:r>
    </w:p>
    <w:p w14:paraId="4DE7B937">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加强畜禽良种繁育体系建设。实施畜禽遗传改良计划和现代种业提升工程。开展肉牛肉羊地方品种选育与新品种（系）培育，以企业为主体，建立健全产学研联合育种机制，加速推进育繁推一体化进程。加强品种资源保护与合理开发利用。加快荷斯坦奶牛、褐牛、西门塔尔牛、夏洛莱牛、良种肉羊及优良地方品种选育推广进程。强化畜禽品种改良和良种引进扩繁，对企业引进良种畜禽实行财政补贴政策，加快提升畜禽良种化水平。实施生猪、奶牛、肉牛、肉羊联合育种计划，不断扩大优良品种覆盖范围。到2025年，力争畜禽自主供种率达到80%以上。</w:t>
      </w:r>
    </w:p>
    <w:p w14:paraId="49ED46A1">
      <w:pPr>
        <w:widowControl w:val="0"/>
        <w:numPr>
          <w:ilvl w:val="0"/>
          <w:numId w:val="0"/>
        </w:numPr>
        <w:spacing w:after="120"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大力发展标准化规模养殖。研究制定新建、改扩建标准化规模养殖场补贴办法，加快现有标准化规模场设施装备改造升级，完善圈舍、饲喂、挤奶、环境控制、粪污处理、病死畜无害化处理等基础设施和设施设备，加强设施装备集成配套，提升畜牧业机械化、集约化、自动化、智能化水平。按照分段饲养、精准饲喂、环境控制、生物安全等生产标准和养殖技术，大力提高养殖规模、质量和效益。到2025年，创建100个以标准化、现代化生产为核心，生产高效、环境友好、产品安全、管理先进，具有示范引领作用的畜禽规模养殖场高质量标准化示范场，畜禽养殖规模化率达到80%以上。</w:t>
      </w:r>
    </w:p>
    <w:p w14:paraId="7CC04AB5">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本项目位于</w:t>
      </w:r>
      <w:r>
        <w:rPr>
          <w:rFonts w:hint="eastAsia" w:cs="Times New Roman"/>
          <w:kern w:val="2"/>
          <w:sz w:val="24"/>
          <w:szCs w:val="24"/>
          <w:lang w:val="en-US" w:eastAsia="zh-CN" w:bidi="ar-SA"/>
        </w:rPr>
        <w:t>第七师125团</w:t>
      </w:r>
      <w:r>
        <w:rPr>
          <w:rFonts w:hint="eastAsia" w:ascii="Times New Roman" w:hAnsi="Times New Roman" w:eastAsia="宋体" w:cs="Times New Roman"/>
          <w:kern w:val="2"/>
          <w:sz w:val="24"/>
          <w:szCs w:val="24"/>
          <w:lang w:val="en-US" w:eastAsia="zh-CN" w:bidi="ar-SA"/>
        </w:rPr>
        <w:t>，坚持绿色生态发展方向，走规模化养殖、标准化生产、产业化经营的可持续发展道路，引进优质西门塔尔牛</w:t>
      </w:r>
      <w:r>
        <w:rPr>
          <w:rFonts w:hint="eastAsia" w:cs="Times New Roman"/>
          <w:kern w:val="2"/>
          <w:sz w:val="24"/>
          <w:szCs w:val="24"/>
          <w:lang w:val="en-US" w:eastAsia="zh-CN" w:bidi="ar-SA"/>
        </w:rPr>
        <w:t>、西门塔尔杂交牛以及褐牛等优质牛</w:t>
      </w:r>
      <w:r>
        <w:rPr>
          <w:rFonts w:hint="eastAsia" w:ascii="Times New Roman" w:hAnsi="Times New Roman" w:eastAsia="宋体" w:cs="Times New Roman"/>
          <w:kern w:val="2"/>
          <w:sz w:val="24"/>
          <w:szCs w:val="24"/>
          <w:lang w:val="en-US" w:eastAsia="zh-CN" w:bidi="ar-SA"/>
        </w:rPr>
        <w:t>，建设标准化规模化肉牛养殖场，年存栏肉牛</w:t>
      </w:r>
      <w:r>
        <w:rPr>
          <w:rFonts w:hint="eastAsia" w:cs="Times New Roman"/>
          <w:kern w:val="2"/>
          <w:sz w:val="24"/>
          <w:szCs w:val="24"/>
          <w:lang w:val="en-US" w:eastAsia="zh-CN" w:bidi="ar-SA"/>
        </w:rPr>
        <w:t>3</w:t>
      </w:r>
      <w:r>
        <w:rPr>
          <w:rFonts w:hint="eastAsia" w:ascii="Times New Roman" w:hAnsi="Times New Roman" w:eastAsia="宋体" w:cs="Times New Roman"/>
          <w:kern w:val="2"/>
          <w:sz w:val="24"/>
          <w:szCs w:val="24"/>
          <w:lang w:val="en-US" w:eastAsia="zh-CN" w:bidi="ar-SA"/>
        </w:rPr>
        <w:t>000头，分段科学饲养，配套完善圈舍、饲喂、环境控制、粪污处理</w:t>
      </w:r>
      <w:r>
        <w:rPr>
          <w:rFonts w:hint="eastAsia" w:cs="Times New Roman"/>
          <w:kern w:val="2"/>
          <w:sz w:val="24"/>
          <w:szCs w:val="24"/>
          <w:lang w:val="en-US" w:eastAsia="zh-CN" w:bidi="ar-SA"/>
        </w:rPr>
        <w:t>、有机肥生产</w:t>
      </w:r>
      <w:r>
        <w:rPr>
          <w:rFonts w:hint="eastAsia" w:ascii="Times New Roman" w:hAnsi="Times New Roman" w:eastAsia="宋体" w:cs="Times New Roman"/>
          <w:kern w:val="2"/>
          <w:sz w:val="24"/>
          <w:szCs w:val="24"/>
          <w:lang w:val="en-US" w:eastAsia="zh-CN" w:bidi="ar-SA"/>
        </w:rPr>
        <w:t>、病死畜无害化</w:t>
      </w:r>
      <w:r>
        <w:rPr>
          <w:rFonts w:hint="eastAsia" w:cs="Times New Roman"/>
          <w:kern w:val="2"/>
          <w:sz w:val="24"/>
          <w:szCs w:val="24"/>
          <w:lang w:val="en-US" w:eastAsia="zh-CN" w:bidi="ar-SA"/>
        </w:rPr>
        <w:t>暂存</w:t>
      </w:r>
      <w:r>
        <w:rPr>
          <w:rFonts w:hint="eastAsia" w:ascii="Times New Roman" w:hAnsi="Times New Roman" w:eastAsia="宋体" w:cs="Times New Roman"/>
          <w:kern w:val="2"/>
          <w:sz w:val="24"/>
          <w:szCs w:val="24"/>
          <w:lang w:val="en-US" w:eastAsia="zh-CN" w:bidi="ar-SA"/>
        </w:rPr>
        <w:t>等基础设施和设施设备。因此符合《兵团办公厅印发</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关于促进兵团畜牧业高质量发展的意见</w:t>
      </w:r>
      <w:r>
        <w:rPr>
          <w:rFonts w:hint="eastAsia" w:cs="Times New Roman"/>
          <w:kern w:val="2"/>
          <w:sz w:val="24"/>
          <w:szCs w:val="24"/>
          <w:lang w:val="en-US" w:eastAsia="zh-CN" w:bidi="ar-SA"/>
        </w:rPr>
        <w:t>〉的通知》</w:t>
      </w:r>
      <w:r>
        <w:rPr>
          <w:rFonts w:hint="eastAsia" w:ascii="Times New Roman" w:hAnsi="Times New Roman" w:eastAsia="宋体" w:cs="Times New Roman"/>
          <w:kern w:val="2"/>
          <w:sz w:val="24"/>
          <w:szCs w:val="24"/>
          <w:lang w:val="en-US" w:eastAsia="zh-CN" w:bidi="ar-SA"/>
        </w:rPr>
        <w:t>（新兵办发</w:t>
      </w:r>
      <w:r>
        <w:rPr>
          <w:rFonts w:hint="eastAsia" w:cs="Times New Roman"/>
          <w:kern w:val="2"/>
          <w:sz w:val="24"/>
          <w:szCs w:val="24"/>
          <w:lang w:val="en-US" w:eastAsia="zh-CN" w:bidi="ar-SA"/>
        </w:rPr>
        <w:t>〔2021〕</w:t>
      </w:r>
      <w:r>
        <w:rPr>
          <w:rFonts w:hint="eastAsia" w:ascii="Times New Roman" w:hAnsi="Times New Roman" w:eastAsia="宋体" w:cs="Times New Roman"/>
          <w:kern w:val="2"/>
          <w:sz w:val="24"/>
          <w:szCs w:val="24"/>
          <w:lang w:val="en-US" w:eastAsia="zh-CN" w:bidi="ar-SA"/>
        </w:rPr>
        <w:t>25号）相关要求。</w:t>
      </w:r>
    </w:p>
    <w:p w14:paraId="5C4CBFF2">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7）</w:t>
      </w:r>
      <w:r>
        <w:rPr>
          <w:rFonts w:hint="eastAsia" w:eastAsia="宋体" w:cs="Times New Roman"/>
          <w:kern w:val="2"/>
          <w:sz w:val="24"/>
          <w:szCs w:val="24"/>
          <w:lang w:val="en-US" w:eastAsia="zh-CN" w:bidi="ar-SA"/>
        </w:rPr>
        <w:t>与</w:t>
      </w:r>
      <w:r>
        <w:rPr>
          <w:rFonts w:hint="eastAsia" w:ascii="Times New Roman" w:hAnsi="Times New Roman" w:eastAsia="宋体" w:cs="Times New Roman"/>
          <w:kern w:val="2"/>
          <w:sz w:val="24"/>
          <w:szCs w:val="24"/>
          <w:lang w:val="en-US" w:eastAsia="zh-CN" w:bidi="ar-SA"/>
        </w:rPr>
        <w:t>《新疆维吾尔自治区环境保护条例》符合性分析</w:t>
      </w:r>
    </w:p>
    <w:p w14:paraId="54683037">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eastAsia="宋体" w:cs="宋体"/>
          <w:color w:val="auto"/>
          <w:kern w:val="0"/>
          <w:sz w:val="24"/>
          <w:szCs w:val="24"/>
          <w:highlight w:val="none"/>
          <w:lang w:val="en-US" w:eastAsia="zh-CN"/>
        </w:rPr>
        <w:t>各级人民政府应当采取措施，调整能源结构，淘汰落后产能，加强煤炭清洁高效利用，实施燃煤电厂超低排放和节能改造，鼓励开发利用低污染、无污染的清洁能源。</w:t>
      </w:r>
    </w:p>
    <w:p w14:paraId="7C60A818">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eastAsia="宋体" w:cs="宋体"/>
          <w:color w:val="auto"/>
          <w:kern w:val="0"/>
          <w:sz w:val="24"/>
          <w:szCs w:val="24"/>
          <w:highlight w:val="none"/>
          <w:lang w:val="en-US" w:eastAsia="zh-CN"/>
        </w:rPr>
        <w:t>各级人民政府应当优先保护饮用水水源，加强重点流域、区域、近岸水域水污染防治和湖泊生态环境保护，严格控制缺水地区、水污染严重区域和敏感区域高耗水、高污染行业发展，改善水环境质量。</w:t>
      </w:r>
    </w:p>
    <w:p w14:paraId="5DD8E187">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eastAsia="宋体" w:cs="宋体"/>
          <w:color w:val="auto"/>
          <w:kern w:val="0"/>
          <w:sz w:val="24"/>
          <w:szCs w:val="24"/>
          <w:highlight w:val="none"/>
          <w:lang w:val="en-US" w:eastAsia="zh-CN"/>
        </w:rPr>
        <w:t>畜禽养殖场、养殖小区应当根据养殖规模和污染防治需要，建设相应的畜禽粪便、污水贮存、污水处理和畜禽尸体处理等综合利用和无害化处理设施</w:t>
      </w:r>
      <w:r>
        <w:rPr>
          <w:rFonts w:hint="eastAsia" w:eastAsia="宋体" w:cs="宋体"/>
          <w:color w:val="auto"/>
          <w:kern w:val="0"/>
          <w:sz w:val="24"/>
          <w:szCs w:val="24"/>
          <w:highlight w:val="none"/>
          <w:lang w:val="en-US" w:eastAsia="zh-CN"/>
        </w:rPr>
        <w:t>；</w:t>
      </w:r>
      <w:r>
        <w:rPr>
          <w:rFonts w:hint="eastAsia" w:ascii="Times New Roman" w:hAnsi="Times New Roman" w:eastAsia="宋体" w:cs="宋体"/>
          <w:color w:val="auto"/>
          <w:kern w:val="0"/>
          <w:sz w:val="24"/>
          <w:szCs w:val="24"/>
          <w:highlight w:val="none"/>
          <w:lang w:val="en-US" w:eastAsia="zh-CN"/>
        </w:rPr>
        <w:t>采取科学饲养方式和废弃物处理工艺等有效措施，防止环境污染。</w:t>
      </w:r>
    </w:p>
    <w:p w14:paraId="5462A9C4">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eastAsia="宋体" w:cs="宋体"/>
          <w:color w:val="auto"/>
          <w:kern w:val="0"/>
          <w:sz w:val="24"/>
          <w:szCs w:val="24"/>
          <w:highlight w:val="none"/>
          <w:lang w:val="en-US" w:eastAsia="zh-CN"/>
        </w:rPr>
        <w:t>禁止在饮用水水源保护区、风景名胜区、自然保护区的核心区和缓冲区、城镇居民区、文化教育科学研究区等人口集中区域以及法律、法规规定的其他禁止养殖区域建设畜禽养殖场、养殖小区。</w:t>
      </w:r>
    </w:p>
    <w:p w14:paraId="4423E726">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eastAsia="宋体" w:cs="宋体"/>
          <w:color w:val="auto"/>
          <w:kern w:val="0"/>
          <w:sz w:val="24"/>
          <w:szCs w:val="24"/>
          <w:highlight w:val="none"/>
          <w:lang w:val="en-US" w:eastAsia="zh-CN"/>
        </w:rPr>
        <w:t>本项目生产仅使用电能，不消耗燃煤，本项目不属于高耗水、高污染行业；本项目</w:t>
      </w:r>
      <w:r>
        <w:rPr>
          <w:rFonts w:hint="eastAsia" w:eastAsia="宋体" w:cs="宋体"/>
          <w:color w:val="auto"/>
          <w:kern w:val="0"/>
          <w:sz w:val="24"/>
          <w:szCs w:val="24"/>
          <w:highlight w:val="none"/>
          <w:lang w:val="en-US" w:eastAsia="zh-CN"/>
        </w:rPr>
        <w:t>不涉及饮用水水源，本项目</w:t>
      </w:r>
      <w:r>
        <w:rPr>
          <w:rFonts w:hint="eastAsia" w:cs="宋体"/>
          <w:color w:val="auto"/>
          <w:kern w:val="0"/>
          <w:sz w:val="24"/>
          <w:szCs w:val="24"/>
          <w:highlight w:val="none"/>
          <w:lang w:val="en-US" w:eastAsia="zh-CN"/>
        </w:rPr>
        <w:t>养殖废水不外排，</w:t>
      </w:r>
      <w:r>
        <w:rPr>
          <w:rFonts w:hint="eastAsia" w:eastAsia="宋体" w:cs="宋体"/>
          <w:color w:val="auto"/>
          <w:kern w:val="0"/>
          <w:sz w:val="24"/>
          <w:szCs w:val="24"/>
          <w:highlight w:val="none"/>
          <w:lang w:val="en-US" w:eastAsia="zh-CN"/>
        </w:rPr>
        <w:t>粪便</w:t>
      </w:r>
      <w:r>
        <w:rPr>
          <w:rFonts w:hint="eastAsia" w:cs="宋体"/>
          <w:color w:val="auto"/>
          <w:kern w:val="0"/>
          <w:sz w:val="24"/>
          <w:szCs w:val="24"/>
          <w:highlight w:val="none"/>
          <w:lang w:val="en-US" w:eastAsia="zh-CN"/>
        </w:rPr>
        <w:t>还田于周边农田</w:t>
      </w:r>
      <w:r>
        <w:rPr>
          <w:rFonts w:hint="eastAsia" w:ascii="Times New Roman" w:hAnsi="Times New Roman" w:eastAsia="宋体" w:cs="宋体"/>
          <w:color w:val="auto"/>
          <w:kern w:val="0"/>
          <w:sz w:val="24"/>
          <w:szCs w:val="24"/>
          <w:highlight w:val="none"/>
          <w:lang w:val="en-US" w:eastAsia="zh-CN"/>
        </w:rPr>
        <w:t>，</w:t>
      </w:r>
      <w:r>
        <w:rPr>
          <w:rFonts w:hint="eastAsia" w:eastAsia="宋体" w:cs="宋体"/>
          <w:color w:val="auto"/>
          <w:kern w:val="0"/>
          <w:sz w:val="24"/>
          <w:szCs w:val="24"/>
          <w:highlight w:val="none"/>
          <w:lang w:val="en-US" w:eastAsia="zh-CN"/>
        </w:rPr>
        <w:t>与区域地表水无水力联系，对区域地表水环境无影响</w:t>
      </w:r>
      <w:r>
        <w:rPr>
          <w:rFonts w:hint="eastAsia" w:ascii="Times New Roman" w:hAnsi="Times New Roman" w:eastAsia="宋体" w:cs="宋体"/>
          <w:color w:val="auto"/>
          <w:kern w:val="0"/>
          <w:sz w:val="24"/>
          <w:szCs w:val="24"/>
          <w:highlight w:val="none"/>
          <w:lang w:val="en-US" w:eastAsia="zh-CN"/>
        </w:rPr>
        <w:t>；</w:t>
      </w:r>
      <w:r>
        <w:rPr>
          <w:rFonts w:hint="eastAsia" w:eastAsia="宋体" w:cs="宋体"/>
          <w:snapToGrid w:val="0"/>
          <w:color w:val="auto"/>
          <w:kern w:val="0"/>
          <w:sz w:val="24"/>
          <w:szCs w:val="21"/>
          <w:highlight w:val="none"/>
          <w:lang w:val="en-US" w:eastAsia="zh-CN" w:bidi="ar-SA"/>
        </w:rPr>
        <w:t>项目不属于</w:t>
      </w:r>
      <w:r>
        <w:rPr>
          <w:rFonts w:hint="eastAsia" w:ascii="Times New Roman" w:hAnsi="Times New Roman" w:eastAsia="宋体" w:cs="宋体"/>
          <w:color w:val="auto"/>
          <w:kern w:val="0"/>
          <w:sz w:val="24"/>
          <w:szCs w:val="24"/>
          <w:highlight w:val="none"/>
          <w:lang w:val="en-US" w:eastAsia="zh-CN"/>
        </w:rPr>
        <w:t>饮用水水源保护区、风景名胜区、自然保护区的核心区和缓冲区、城镇居民区、文化教育科学研究区等人口集中区域以及</w:t>
      </w:r>
      <w:r>
        <w:rPr>
          <w:rFonts w:hint="eastAsia" w:cs="宋体"/>
          <w:color w:val="auto"/>
          <w:kern w:val="0"/>
          <w:sz w:val="24"/>
          <w:szCs w:val="24"/>
          <w:highlight w:val="none"/>
          <w:lang w:val="en-US" w:eastAsia="zh-CN"/>
        </w:rPr>
        <w:t>法律法规</w:t>
      </w:r>
      <w:r>
        <w:rPr>
          <w:rFonts w:hint="eastAsia" w:ascii="Times New Roman" w:hAnsi="Times New Roman" w:eastAsia="宋体" w:cs="宋体"/>
          <w:color w:val="auto"/>
          <w:kern w:val="0"/>
          <w:sz w:val="24"/>
          <w:szCs w:val="24"/>
          <w:highlight w:val="none"/>
          <w:lang w:val="en-US" w:eastAsia="zh-CN"/>
        </w:rPr>
        <w:t>规定的其他禁止养殖区域</w:t>
      </w:r>
      <w:r>
        <w:rPr>
          <w:rFonts w:hint="eastAsia" w:eastAsia="宋体" w:cs="宋体"/>
          <w:color w:val="auto"/>
          <w:kern w:val="0"/>
          <w:sz w:val="24"/>
          <w:szCs w:val="24"/>
          <w:highlight w:val="none"/>
          <w:lang w:val="en-US" w:eastAsia="zh-CN"/>
        </w:rPr>
        <w:t>，</w:t>
      </w:r>
      <w:r>
        <w:rPr>
          <w:rFonts w:hint="eastAsia" w:eastAsia="宋体" w:cs="宋体"/>
          <w:snapToGrid w:val="0"/>
          <w:color w:val="auto"/>
          <w:kern w:val="0"/>
          <w:sz w:val="24"/>
          <w:szCs w:val="21"/>
          <w:highlight w:val="none"/>
          <w:lang w:val="en-US" w:eastAsia="zh-CN" w:bidi="ar-SA"/>
        </w:rPr>
        <w:t>配套</w:t>
      </w:r>
      <w:r>
        <w:rPr>
          <w:rFonts w:hint="eastAsia" w:ascii="Times New Roman" w:hAnsi="Times New Roman" w:eastAsia="宋体" w:cs="宋体"/>
          <w:color w:val="auto"/>
          <w:kern w:val="0"/>
          <w:sz w:val="24"/>
          <w:szCs w:val="24"/>
          <w:highlight w:val="none"/>
          <w:lang w:val="en-US" w:eastAsia="zh-CN"/>
        </w:rPr>
        <w:t>畜禽粪污贮存、处理</w:t>
      </w:r>
      <w:r>
        <w:rPr>
          <w:rFonts w:hint="eastAsia" w:cs="宋体"/>
          <w:color w:val="auto"/>
          <w:kern w:val="0"/>
          <w:sz w:val="24"/>
          <w:szCs w:val="24"/>
          <w:highlight w:val="none"/>
          <w:lang w:val="en-US" w:eastAsia="zh-CN"/>
        </w:rPr>
        <w:t>设施</w:t>
      </w:r>
      <w:r>
        <w:rPr>
          <w:rFonts w:hint="eastAsia" w:eastAsia="宋体" w:cs="宋体"/>
          <w:color w:val="auto"/>
          <w:kern w:val="0"/>
          <w:sz w:val="24"/>
          <w:szCs w:val="24"/>
          <w:highlight w:val="none"/>
          <w:lang w:val="en-US" w:eastAsia="zh-CN"/>
        </w:rPr>
        <w:t>，对区域环境影响较小</w:t>
      </w:r>
      <w:r>
        <w:rPr>
          <w:rFonts w:hint="eastAsia" w:ascii="Times New Roman" w:hAnsi="Times New Roman" w:eastAsia="宋体" w:cs="宋体"/>
          <w:snapToGrid w:val="0"/>
          <w:color w:val="auto"/>
          <w:kern w:val="0"/>
          <w:sz w:val="24"/>
          <w:szCs w:val="21"/>
          <w:highlight w:val="none"/>
          <w:lang w:val="en-US" w:eastAsia="zh-CN" w:bidi="ar-SA"/>
        </w:rPr>
        <w:t>，</w:t>
      </w:r>
      <w:r>
        <w:rPr>
          <w:rFonts w:hint="eastAsia" w:ascii="Times New Roman" w:hAnsi="Times New Roman" w:eastAsia="宋体" w:cs="宋体"/>
          <w:color w:val="auto"/>
          <w:kern w:val="0"/>
          <w:sz w:val="24"/>
          <w:szCs w:val="24"/>
          <w:highlight w:val="none"/>
          <w:lang w:val="en-US" w:eastAsia="zh-CN"/>
        </w:rPr>
        <w:t>符合《新疆维吾尔自治区环境保护条例》相关要求。</w:t>
      </w:r>
    </w:p>
    <w:p w14:paraId="78B95B2E">
      <w:pPr>
        <w:widowControl w:val="0"/>
        <w:numPr>
          <w:ilvl w:val="0"/>
          <w:numId w:val="0"/>
        </w:numPr>
        <w:spacing w:after="120"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eastAsia" w:eastAsia="宋体" w:cs="Times New Roman"/>
          <w:kern w:val="2"/>
          <w:sz w:val="24"/>
          <w:szCs w:val="24"/>
          <w:lang w:val="en-US" w:eastAsia="zh-CN" w:bidi="ar-SA"/>
        </w:rPr>
        <w:t>（</w:t>
      </w:r>
      <w:r>
        <w:rPr>
          <w:rFonts w:hint="eastAsia" w:cs="Times New Roman"/>
          <w:kern w:val="2"/>
          <w:sz w:val="24"/>
          <w:szCs w:val="24"/>
          <w:lang w:val="en-US" w:eastAsia="zh-CN" w:bidi="ar-SA"/>
        </w:rPr>
        <w:t>8</w:t>
      </w:r>
      <w:r>
        <w:rPr>
          <w:rFonts w:hint="eastAsia"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与《新疆维吾尔自治区大气污染防治条例》符合性分析</w:t>
      </w:r>
    </w:p>
    <w:p w14:paraId="73DB81C3">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 xml:space="preserve">禁止在自治区行政区域内引进能（水）耗不符合相关国家标准中准入值要求且污染物排放和环境风险防控不符合国家（地方）标准及有关产业准入条件的高污染（排放）、高能（水）耗、高环境风险的工业项目。 </w:t>
      </w:r>
    </w:p>
    <w:p w14:paraId="1EAE4D5D">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禁止新建、改建、扩建列入淘汰类目录的高污染工业项目。禁止使用列入淘汰类目录的工艺、设备、产品。</w:t>
      </w:r>
    </w:p>
    <w:p w14:paraId="5DE32958">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县（市、区）人民政府应当加强对畜禽养殖废弃物综合利用和无害化处理的宣传，建设畜禽粪便和尸体无害化集中处理设施，引导规模以下畜禽养殖者集中处置养殖废弃物，防止排放恶臭气体。</w:t>
      </w:r>
    </w:p>
    <w:p w14:paraId="73A54406">
      <w:pPr>
        <w:widowControl w:val="0"/>
        <w:numPr>
          <w:ilvl w:val="0"/>
          <w:numId w:val="0"/>
        </w:numPr>
        <w:spacing w:after="120" w:line="360" w:lineRule="auto"/>
        <w:ind w:firstLine="480" w:firstLineChars="200"/>
        <w:jc w:val="both"/>
        <w:rPr>
          <w:rFonts w:hint="eastAsia" w:ascii="Times New Roman" w:hAnsi="Times New Roman" w:eastAsia="宋体" w:cs="宋体"/>
          <w:color w:val="auto"/>
          <w:kern w:val="0"/>
          <w:sz w:val="24"/>
          <w:szCs w:val="22"/>
          <w:lang w:val="en-US" w:eastAsia="zh-CN"/>
        </w:rPr>
      </w:pPr>
      <w:r>
        <w:rPr>
          <w:rFonts w:hint="eastAsia" w:eastAsia="宋体" w:cs="宋体"/>
          <w:color w:val="auto"/>
          <w:kern w:val="0"/>
          <w:sz w:val="24"/>
          <w:szCs w:val="22"/>
          <w:highlight w:val="none"/>
          <w:lang w:val="en-US" w:eastAsia="zh-CN" w:bidi="ar-SA"/>
        </w:rPr>
        <w:t>项目用电由市政电网供应，生活污水</w:t>
      </w:r>
      <w:r>
        <w:rPr>
          <w:rFonts w:hint="eastAsia" w:cs="宋体"/>
          <w:color w:val="auto"/>
          <w:kern w:val="0"/>
          <w:sz w:val="24"/>
          <w:szCs w:val="22"/>
          <w:highlight w:val="none"/>
          <w:lang w:val="en-US" w:eastAsia="zh-CN" w:bidi="ar-SA"/>
        </w:rPr>
        <w:t>定期拉运至污水处理厂处置</w:t>
      </w:r>
      <w:r>
        <w:rPr>
          <w:rFonts w:ascii="Times New Roman" w:hAnsi="宋体" w:eastAsia="宋体" w:cs="Times New Roman"/>
          <w:color w:val="auto"/>
          <w:sz w:val="24"/>
          <w:szCs w:val="24"/>
          <w:highlight w:val="none"/>
        </w:rPr>
        <w:t>，</w:t>
      </w:r>
      <w:r>
        <w:rPr>
          <w:rFonts w:hint="eastAsia" w:hAnsi="宋体" w:cs="Times New Roman"/>
          <w:color w:val="auto"/>
          <w:sz w:val="24"/>
          <w:szCs w:val="24"/>
          <w:highlight w:val="none"/>
          <w:lang w:val="en-US" w:eastAsia="zh-CN"/>
        </w:rPr>
        <w:t>牛尿均被发酵垫料吸收，牛粪及发酵垫料</w:t>
      </w:r>
      <w:r>
        <w:rPr>
          <w:rFonts w:hint="eastAsia" w:ascii="Times New Roman" w:hAnsi="宋体" w:eastAsia="宋体" w:cs="Times New Roman"/>
          <w:color w:val="auto"/>
          <w:sz w:val="24"/>
          <w:szCs w:val="24"/>
          <w:lang w:val="en-US" w:eastAsia="zh-CN"/>
        </w:rPr>
        <w:t>还田于</w:t>
      </w:r>
      <w:r>
        <w:rPr>
          <w:rFonts w:hint="eastAsia" w:ascii="宋体" w:hAnsi="宋体" w:cs="宋体"/>
          <w:color w:val="000000"/>
          <w:kern w:val="2"/>
          <w:sz w:val="24"/>
          <w:szCs w:val="24"/>
          <w:lang w:val="en-US" w:eastAsia="zh-CN" w:bidi="ar-SA"/>
        </w:rPr>
        <w:t>本项目周边农田</w:t>
      </w:r>
      <w:r>
        <w:rPr>
          <w:rFonts w:hint="eastAsia" w:eastAsia="宋体" w:cs="宋体"/>
          <w:color w:val="auto"/>
          <w:kern w:val="0"/>
          <w:sz w:val="24"/>
          <w:szCs w:val="22"/>
          <w:highlight w:val="none"/>
          <w:lang w:val="en-US" w:eastAsia="zh-CN" w:bidi="ar-SA"/>
        </w:rPr>
        <w:t>；</w:t>
      </w:r>
      <w:r>
        <w:rPr>
          <w:rFonts w:hint="eastAsia" w:cs="宋体"/>
          <w:color w:val="auto"/>
          <w:kern w:val="0"/>
          <w:sz w:val="24"/>
          <w:szCs w:val="22"/>
          <w:highlight w:val="none"/>
          <w:lang w:val="en-US" w:eastAsia="zh-CN" w:bidi="ar-SA"/>
        </w:rPr>
        <w:t>养殖饲料搅拌粉尘设置封闭式作业+润湿搅拌工艺控制，饲料加工粉尘经袋式除尘处理后经15m排气筒</w:t>
      </w:r>
      <w:r>
        <w:rPr>
          <w:rFonts w:hint="eastAsia" w:eastAsia="宋体" w:cs="宋体"/>
          <w:color w:val="auto"/>
          <w:kern w:val="0"/>
          <w:sz w:val="24"/>
          <w:szCs w:val="22"/>
          <w:highlight w:val="none"/>
          <w:lang w:val="en-US" w:eastAsia="zh-CN" w:bidi="ar-SA"/>
        </w:rPr>
        <w:t>排放</w:t>
      </w:r>
      <w:r>
        <w:rPr>
          <w:rFonts w:hint="eastAsia" w:cs="宋体"/>
          <w:color w:val="auto"/>
          <w:kern w:val="0"/>
          <w:sz w:val="24"/>
          <w:szCs w:val="22"/>
          <w:highlight w:val="none"/>
          <w:lang w:val="en-US" w:eastAsia="zh-CN" w:bidi="ar-SA"/>
        </w:rPr>
        <w:t>，堆肥废气</w:t>
      </w:r>
      <w:r>
        <w:rPr>
          <w:rFonts w:hint="eastAsia" w:eastAsia="宋体" w:cs="宋体"/>
          <w:color w:val="auto"/>
          <w:kern w:val="0"/>
          <w:sz w:val="24"/>
          <w:szCs w:val="22"/>
          <w:highlight w:val="none"/>
          <w:lang w:val="en-US" w:eastAsia="zh-CN" w:bidi="ar-SA"/>
        </w:rPr>
        <w:t>经布袋除尘</w:t>
      </w:r>
      <w:r>
        <w:rPr>
          <w:rFonts w:hint="eastAsia" w:cs="宋体"/>
          <w:color w:val="auto"/>
          <w:kern w:val="0"/>
          <w:sz w:val="24"/>
          <w:szCs w:val="22"/>
          <w:highlight w:val="none"/>
          <w:lang w:val="en-US" w:eastAsia="zh-CN" w:bidi="ar-SA"/>
        </w:rPr>
        <w:t>+生物除臭（滴滤法）</w:t>
      </w:r>
      <w:r>
        <w:rPr>
          <w:rFonts w:hint="eastAsia" w:eastAsia="宋体" w:cs="宋体"/>
          <w:color w:val="auto"/>
          <w:kern w:val="0"/>
          <w:sz w:val="24"/>
          <w:szCs w:val="22"/>
          <w:highlight w:val="none"/>
          <w:lang w:val="en-US" w:eastAsia="zh-CN" w:bidi="ar-SA"/>
        </w:rPr>
        <w:t>处理后</w:t>
      </w:r>
      <w:r>
        <w:rPr>
          <w:rFonts w:hint="eastAsia" w:cs="宋体"/>
          <w:color w:val="auto"/>
          <w:kern w:val="0"/>
          <w:sz w:val="24"/>
          <w:szCs w:val="22"/>
          <w:highlight w:val="none"/>
          <w:lang w:val="en-US" w:eastAsia="zh-CN" w:bidi="ar-SA"/>
        </w:rPr>
        <w:t>经15m排气筒</w:t>
      </w:r>
      <w:r>
        <w:rPr>
          <w:rFonts w:hint="eastAsia" w:eastAsia="宋体" w:cs="宋体"/>
          <w:color w:val="auto"/>
          <w:kern w:val="0"/>
          <w:sz w:val="24"/>
          <w:szCs w:val="22"/>
          <w:highlight w:val="none"/>
          <w:lang w:val="en-US" w:eastAsia="zh-CN" w:bidi="ar-SA"/>
        </w:rPr>
        <w:t>排放</w:t>
      </w:r>
      <w:r>
        <w:rPr>
          <w:rFonts w:hint="eastAsia" w:cs="宋体"/>
          <w:color w:val="auto"/>
          <w:kern w:val="0"/>
          <w:sz w:val="24"/>
          <w:szCs w:val="22"/>
          <w:highlight w:val="none"/>
          <w:lang w:val="en-US" w:eastAsia="zh-CN" w:bidi="ar-SA"/>
        </w:rPr>
        <w:t>；养殖</w:t>
      </w:r>
      <w:r>
        <w:rPr>
          <w:rFonts w:hint="eastAsia" w:ascii="Times New Roman" w:hAnsi="Times New Roman" w:eastAsia="宋体" w:cs="宋体"/>
          <w:snapToGrid w:val="0"/>
          <w:color w:val="auto"/>
          <w:kern w:val="0"/>
          <w:sz w:val="24"/>
          <w:szCs w:val="21"/>
          <w:highlight w:val="none"/>
          <w:lang w:val="en-US" w:eastAsia="zh-CN" w:bidi="ar-SA"/>
        </w:rPr>
        <w:t>产生的恶臭污染物氨、硫化氢</w:t>
      </w:r>
      <w:r>
        <w:rPr>
          <w:rFonts w:hint="eastAsia" w:cs="宋体"/>
          <w:color w:val="auto"/>
          <w:kern w:val="0"/>
          <w:sz w:val="24"/>
          <w:szCs w:val="22"/>
          <w:highlight w:val="none"/>
          <w:lang w:val="en-US" w:eastAsia="zh-CN" w:bidi="ar-SA"/>
        </w:rPr>
        <w:t>通过控制饲养密度+及时清理粪污+场区绿化+喷洒生物除臭剂控制，堆肥间未被收集的硫化氢、氨通过加强封闭式作业控制，</w:t>
      </w:r>
      <w:r>
        <w:rPr>
          <w:rFonts w:hint="eastAsia" w:cs="宋体"/>
          <w:snapToGrid w:val="0"/>
          <w:color w:val="auto"/>
          <w:kern w:val="0"/>
          <w:sz w:val="24"/>
          <w:szCs w:val="21"/>
          <w:highlight w:val="none"/>
          <w:lang w:val="en-US" w:eastAsia="zh-CN" w:bidi="ar-SA"/>
        </w:rPr>
        <w:t>均</w:t>
      </w:r>
      <w:r>
        <w:rPr>
          <w:rFonts w:hint="eastAsia" w:ascii="Times New Roman" w:hAnsi="Times New Roman" w:eastAsia="宋体" w:cs="宋体"/>
          <w:snapToGrid w:val="0"/>
          <w:color w:val="auto"/>
          <w:kern w:val="0"/>
          <w:sz w:val="24"/>
          <w:szCs w:val="21"/>
          <w:highlight w:val="none"/>
          <w:lang w:val="en-US" w:eastAsia="zh-CN" w:bidi="ar-SA"/>
        </w:rPr>
        <w:t>能够满足《恶臭污染物排放标准》（GB14554-1993）排放限值</w:t>
      </w:r>
      <w:r>
        <w:rPr>
          <w:rFonts w:hint="eastAsia" w:eastAsia="宋体" w:cs="宋体"/>
          <w:color w:val="auto"/>
          <w:kern w:val="0"/>
          <w:sz w:val="24"/>
          <w:szCs w:val="22"/>
          <w:highlight w:val="none"/>
          <w:lang w:val="en-US" w:eastAsia="zh-CN" w:bidi="ar-SA"/>
        </w:rPr>
        <w:t>，污染物排放量较小，不属于高污染、高能耗、高环境风险的项目。本项目</w:t>
      </w:r>
      <w:r>
        <w:rPr>
          <w:rFonts w:hint="eastAsia" w:cs="宋体"/>
          <w:color w:val="auto"/>
          <w:kern w:val="0"/>
          <w:sz w:val="24"/>
          <w:szCs w:val="22"/>
          <w:highlight w:val="none"/>
          <w:lang w:val="en-US" w:eastAsia="zh-CN" w:bidi="ar-SA"/>
        </w:rPr>
        <w:t>属于鼓励类产业，符合国家产业政策</w:t>
      </w:r>
      <w:r>
        <w:rPr>
          <w:rFonts w:hint="eastAsia" w:eastAsia="宋体" w:cs="宋体"/>
          <w:color w:val="auto"/>
          <w:kern w:val="0"/>
          <w:sz w:val="24"/>
          <w:szCs w:val="22"/>
          <w:highlight w:val="none"/>
          <w:lang w:val="en-US" w:eastAsia="zh-CN" w:bidi="ar-SA"/>
        </w:rPr>
        <w:t>。</w:t>
      </w:r>
      <w:r>
        <w:rPr>
          <w:rFonts w:hint="eastAsia" w:ascii="Times New Roman" w:hAnsi="Times New Roman" w:eastAsia="宋体" w:cs="宋体"/>
          <w:color w:val="auto"/>
          <w:kern w:val="0"/>
          <w:sz w:val="24"/>
          <w:szCs w:val="22"/>
          <w:lang w:val="en-US" w:eastAsia="zh-CN"/>
        </w:rPr>
        <w:t>因此本项目符合《新疆维吾尔自治区大气污染防治条例》相关要求。</w:t>
      </w:r>
    </w:p>
    <w:p w14:paraId="12FBD92A">
      <w:pPr>
        <w:numPr>
          <w:ilvl w:val="0"/>
          <w:numId w:val="4"/>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与《关于印发</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新疆生产建设兵团土地管理规定（试行）</w:t>
      </w:r>
      <w:r>
        <w:rPr>
          <w:rFonts w:hint="eastAsia" w:cs="宋体"/>
          <w:color w:val="auto"/>
          <w:kern w:val="0"/>
          <w:sz w:val="24"/>
          <w:szCs w:val="22"/>
          <w:lang w:val="en-US" w:eastAsia="zh-CN"/>
        </w:rPr>
        <w:t>〉的通知》</w:t>
      </w:r>
      <w:r>
        <w:rPr>
          <w:rFonts w:hint="eastAsia" w:ascii="Times New Roman" w:hAnsi="Times New Roman" w:eastAsia="宋体" w:cs="宋体"/>
          <w:color w:val="auto"/>
          <w:kern w:val="0"/>
          <w:sz w:val="24"/>
          <w:szCs w:val="22"/>
          <w:lang w:val="en-US" w:eastAsia="zh-CN"/>
        </w:rPr>
        <w:t>（新兵发</w:t>
      </w:r>
      <w:r>
        <w:rPr>
          <w:rFonts w:hint="eastAsia" w:cs="Times New Roman"/>
          <w:kern w:val="2"/>
          <w:sz w:val="24"/>
          <w:szCs w:val="24"/>
          <w:lang w:val="en-US" w:eastAsia="zh-CN" w:bidi="ar-SA"/>
        </w:rPr>
        <w:t>〔2023〕</w:t>
      </w:r>
      <w:r>
        <w:rPr>
          <w:rFonts w:hint="eastAsia" w:ascii="Times New Roman" w:hAnsi="Times New Roman" w:eastAsia="宋体" w:cs="宋体"/>
          <w:color w:val="auto"/>
          <w:kern w:val="0"/>
          <w:sz w:val="24"/>
          <w:szCs w:val="22"/>
          <w:lang w:val="en-US" w:eastAsia="zh-CN"/>
        </w:rPr>
        <w:t>12号）符合性分析</w:t>
      </w:r>
    </w:p>
    <w:p w14:paraId="35D43BBF">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严格落实永久基本农田特殊保护制度。永久基本农田不得转为林地、草地、园地等其他农用地及农业设施建设用地。</w:t>
      </w:r>
    </w:p>
    <w:p w14:paraId="31A2EE9C">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禁止占用永久基本农田从事下列行为：</w:t>
      </w:r>
    </w:p>
    <w:p w14:paraId="6DF4AB6A">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（一）发展林果业和挖塘养鱼或者进行其他水产养殖设施建设；</w:t>
      </w:r>
    </w:p>
    <w:p w14:paraId="64EDBFDA">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（二）扩大自然保护地范围；</w:t>
      </w:r>
    </w:p>
    <w:p w14:paraId="1987A2CF">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（三）种植苗木、草皮等用于绿化装饰以及其他破坏耕作层的植物；</w:t>
      </w:r>
    </w:p>
    <w:p w14:paraId="1F4A01A2">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（四）挖湖造景、建设绿化带；</w:t>
      </w:r>
    </w:p>
    <w:p w14:paraId="25CCDDFB">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（五）建设畜禽养殖设施和破坏耕作层的种植业设施；</w:t>
      </w:r>
    </w:p>
    <w:p w14:paraId="3C36C5B7">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（六）法律、法规和国家有关规定禁止的其他行为。</w:t>
      </w:r>
    </w:p>
    <w:p w14:paraId="0FB90554">
      <w:pPr>
        <w:widowControl w:val="0"/>
        <w:numPr>
          <w:ilvl w:val="0"/>
          <w:numId w:val="0"/>
        </w:numPr>
        <w:spacing w:after="120" w:line="360" w:lineRule="auto"/>
        <w:ind w:firstLine="480" w:firstLineChars="200"/>
        <w:jc w:val="both"/>
        <w:rPr>
          <w:rFonts w:hint="eastAsia" w:eastAsia="宋体" w:cs="宋体"/>
          <w:color w:val="auto"/>
          <w:kern w:val="0"/>
          <w:sz w:val="24"/>
          <w:szCs w:val="22"/>
          <w:highlight w:val="none"/>
          <w:lang w:val="en-US" w:eastAsia="zh-CN" w:bidi="ar-SA"/>
        </w:rPr>
      </w:pPr>
      <w:r>
        <w:rPr>
          <w:rFonts w:hint="eastAsia" w:eastAsia="宋体" w:cs="宋体"/>
          <w:color w:val="auto"/>
          <w:kern w:val="0"/>
          <w:sz w:val="24"/>
          <w:szCs w:val="22"/>
          <w:highlight w:val="none"/>
          <w:lang w:val="en-US" w:eastAsia="zh-CN" w:bidi="ar-SA"/>
        </w:rPr>
        <w:t>根据建设项目与第七师125团签订的设施农用地使用协议以及与125团</w:t>
      </w:r>
      <w:r>
        <w:rPr>
          <w:rFonts w:hint="eastAsia" w:cs="宋体"/>
          <w:color w:val="auto"/>
          <w:kern w:val="0"/>
          <w:sz w:val="24"/>
          <w:szCs w:val="22"/>
          <w:highlight w:val="none"/>
          <w:lang w:val="en-US" w:eastAsia="zh-CN" w:bidi="ar-SA"/>
        </w:rPr>
        <w:t>14</w:t>
      </w:r>
      <w:r>
        <w:rPr>
          <w:rFonts w:hint="eastAsia" w:eastAsia="宋体" w:cs="宋体"/>
          <w:color w:val="auto"/>
          <w:kern w:val="0"/>
          <w:sz w:val="24"/>
          <w:szCs w:val="22"/>
          <w:highlight w:val="none"/>
          <w:lang w:val="en-US" w:eastAsia="zh-CN" w:bidi="ar-SA"/>
        </w:rPr>
        <w:t>连签订的设施农用地代建协议，明确用地面积共计12公顷，用作设施农用地，不占用耕地以及</w:t>
      </w:r>
      <w:r>
        <w:rPr>
          <w:rFonts w:hint="default" w:eastAsia="宋体" w:cs="宋体"/>
          <w:color w:val="auto"/>
          <w:kern w:val="0"/>
          <w:sz w:val="24"/>
          <w:szCs w:val="22"/>
          <w:highlight w:val="none"/>
          <w:lang w:val="en-US" w:eastAsia="zh-CN" w:bidi="ar-SA"/>
        </w:rPr>
        <w:t>永久基本农田</w:t>
      </w:r>
      <w:r>
        <w:rPr>
          <w:rFonts w:hint="eastAsia" w:eastAsia="宋体" w:cs="宋体"/>
          <w:color w:val="auto"/>
          <w:kern w:val="0"/>
          <w:sz w:val="24"/>
          <w:szCs w:val="22"/>
          <w:highlight w:val="none"/>
          <w:lang w:val="en-US" w:eastAsia="zh-CN" w:bidi="ar-SA"/>
        </w:rPr>
        <w:t>。因此本项目工程符合《关于印发</w:t>
      </w:r>
      <w:r>
        <w:rPr>
          <w:rFonts w:hint="eastAsia" w:cs="宋体"/>
          <w:color w:val="auto"/>
          <w:kern w:val="0"/>
          <w:sz w:val="24"/>
          <w:szCs w:val="22"/>
          <w:highlight w:val="none"/>
          <w:lang w:val="en-US" w:eastAsia="zh-CN" w:bidi="ar-SA"/>
        </w:rPr>
        <w:t>〈</w:t>
      </w:r>
      <w:r>
        <w:rPr>
          <w:rFonts w:hint="eastAsia" w:eastAsia="宋体" w:cs="宋体"/>
          <w:color w:val="auto"/>
          <w:kern w:val="0"/>
          <w:sz w:val="24"/>
          <w:szCs w:val="22"/>
          <w:highlight w:val="none"/>
          <w:lang w:val="en-US" w:eastAsia="zh-CN" w:bidi="ar-SA"/>
        </w:rPr>
        <w:t>新疆生产建设兵团土地管理规定（试行）</w:t>
      </w:r>
      <w:r>
        <w:rPr>
          <w:rFonts w:hint="eastAsia" w:cs="宋体"/>
          <w:color w:val="auto"/>
          <w:kern w:val="0"/>
          <w:sz w:val="24"/>
          <w:szCs w:val="22"/>
          <w:highlight w:val="none"/>
          <w:lang w:val="en-US" w:eastAsia="zh-CN" w:bidi="ar-SA"/>
        </w:rPr>
        <w:t>〉的通知》</w:t>
      </w:r>
      <w:r>
        <w:rPr>
          <w:rFonts w:hint="eastAsia" w:eastAsia="宋体" w:cs="宋体"/>
          <w:color w:val="auto"/>
          <w:kern w:val="0"/>
          <w:sz w:val="24"/>
          <w:szCs w:val="22"/>
          <w:highlight w:val="none"/>
          <w:lang w:val="en-US" w:eastAsia="zh-CN" w:bidi="ar-SA"/>
        </w:rPr>
        <w:t>（新兵发</w:t>
      </w:r>
      <w:r>
        <w:rPr>
          <w:rFonts w:hint="eastAsia" w:cs="Times New Roman"/>
          <w:kern w:val="2"/>
          <w:sz w:val="24"/>
          <w:szCs w:val="24"/>
          <w:lang w:val="en-US" w:eastAsia="zh-CN" w:bidi="ar-SA"/>
        </w:rPr>
        <w:t>〔2023〕</w:t>
      </w:r>
      <w:r>
        <w:rPr>
          <w:rFonts w:hint="eastAsia" w:eastAsia="宋体" w:cs="宋体"/>
          <w:color w:val="auto"/>
          <w:kern w:val="0"/>
          <w:sz w:val="24"/>
          <w:szCs w:val="22"/>
          <w:highlight w:val="none"/>
          <w:lang w:val="en-US" w:eastAsia="zh-CN" w:bidi="ar-SA"/>
        </w:rPr>
        <w:t>12号）要求。</w:t>
      </w:r>
    </w:p>
    <w:p w14:paraId="3FA4820B">
      <w:pPr>
        <w:numPr>
          <w:ilvl w:val="0"/>
          <w:numId w:val="4"/>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与《关于印发新疆生产建设兵团水污染防治工作方案的通知》（ 新兵发</w:t>
      </w:r>
      <w:r>
        <w:rPr>
          <w:rFonts w:hint="eastAsia" w:cs="Times New Roman"/>
          <w:kern w:val="2"/>
          <w:sz w:val="24"/>
          <w:szCs w:val="24"/>
          <w:lang w:val="en-US" w:eastAsia="zh-CN" w:bidi="ar-SA"/>
        </w:rPr>
        <w:t>〔2016〕</w:t>
      </w:r>
      <w:r>
        <w:rPr>
          <w:rFonts w:hint="eastAsia" w:ascii="Times New Roman" w:hAnsi="Times New Roman" w:eastAsia="宋体" w:cs="宋体"/>
          <w:color w:val="auto"/>
          <w:kern w:val="0"/>
          <w:sz w:val="24"/>
          <w:szCs w:val="22"/>
          <w:lang w:val="en-US" w:eastAsia="zh-CN"/>
        </w:rPr>
        <w:t>39号）符合性分析</w:t>
      </w:r>
    </w:p>
    <w:p w14:paraId="40978FD6">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推进农业团场连队污染防治。防治畜禽养殖污染。2016年底前，各师（市）统筹考虑环境承载能力及畜禽养殖污染防治要求，完成畜禽养殖禁养区划定，按照农牧结合、种养平衡的原则，科学规划布局畜禽养殖。2017年底前，依法关闭或搬迁禁养区内的畜禽养殖场（小区）和养殖专业户。现有规模化畜禽养殖场（小区）要根据污染防治需要，配套建设粪便污水贮存、处理、利用设施。散养密集区要实行畜禽粪便污水分户收集、集中处理利用。自2016年起，新建、改建、扩建规模化畜禽养殖场（小区）要实施干湿分流、粪便污水资源化利用。到2020年规模化养殖场配套建设粪污处理设施比例达到75%以上，畜禽粪便污水基本实现资源化利用。</w:t>
      </w:r>
    </w:p>
    <w:p w14:paraId="05CB13DD">
      <w:pPr>
        <w:widowControl w:val="0"/>
        <w:numPr>
          <w:ilvl w:val="0"/>
          <w:numId w:val="0"/>
        </w:numPr>
        <w:spacing w:after="120" w:line="360" w:lineRule="auto"/>
        <w:ind w:firstLine="480" w:firstLineChars="200"/>
        <w:jc w:val="both"/>
        <w:rPr>
          <w:rFonts w:hint="default" w:eastAsia="宋体" w:cs="宋体"/>
          <w:color w:val="auto"/>
          <w:kern w:val="0"/>
          <w:sz w:val="24"/>
          <w:szCs w:val="22"/>
          <w:highlight w:val="none"/>
          <w:lang w:val="en-US" w:eastAsia="zh-CN" w:bidi="ar-SA"/>
        </w:rPr>
      </w:pPr>
      <w:r>
        <w:rPr>
          <w:rFonts w:hint="default" w:eastAsia="宋体" w:cs="宋体"/>
          <w:color w:val="auto"/>
          <w:kern w:val="0"/>
          <w:sz w:val="24"/>
          <w:szCs w:val="22"/>
          <w:highlight w:val="none"/>
          <w:lang w:val="en-US" w:eastAsia="zh-CN" w:bidi="ar-SA"/>
        </w:rPr>
        <w:t>优化空间布局。合理确定发展布局、结构和规模。充分考虑水资源、水环境承载能力，以水定城、以水定地、以水定人、以水定产，引导生产力要素合理布局。严格保护冰川，对自然保护区、饮用水水源保护区、水源涵养区等重要生态敏感区依法实施强制性保护。重大项目原则上布局在重点开发区，并符合城乡规划和土地利用总体规划。鼓励发展节水高效现代农业、低耗水高新技术产业以及生态保护型旅游业，严格控制缺水地区、水污染严重地区和敏感区域高耗水、高污染行业发展，新建、改建、扩建重点行业建设项目实行主要污染物排放减量置换。伊犁河流域、额尔齐斯河流域、额敏河流域沿岸，要严格控制石油加工、煤化工、化学原料和化学制品制造、医药制造、化学纤维制造、有色金属冶炼、纺织印染等项目环境风险，合理布局生产装置及危险化学品仓储等设施。</w:t>
      </w:r>
    </w:p>
    <w:p w14:paraId="403BF410">
      <w:pPr>
        <w:widowControl w:val="0"/>
        <w:numPr>
          <w:ilvl w:val="0"/>
          <w:numId w:val="0"/>
        </w:numPr>
        <w:spacing w:after="120" w:line="360" w:lineRule="auto"/>
        <w:ind w:firstLine="480" w:firstLineChars="200"/>
        <w:jc w:val="both"/>
        <w:rPr>
          <w:rFonts w:hint="eastAsia" w:cs="宋体"/>
          <w:color w:val="auto"/>
          <w:kern w:val="0"/>
          <w:sz w:val="24"/>
          <w:szCs w:val="22"/>
          <w:highlight w:val="none"/>
          <w:lang w:val="en-US" w:eastAsia="zh-CN" w:bidi="ar-SA"/>
        </w:rPr>
      </w:pPr>
      <w:r>
        <w:rPr>
          <w:rFonts w:hint="eastAsia" w:eastAsia="宋体" w:cs="宋体"/>
          <w:color w:val="auto"/>
          <w:kern w:val="0"/>
          <w:sz w:val="24"/>
          <w:szCs w:val="22"/>
          <w:highlight w:val="none"/>
          <w:lang w:val="en-US" w:eastAsia="zh-CN" w:bidi="ar-SA"/>
        </w:rPr>
        <w:t>本项目不涉及</w:t>
      </w:r>
      <w:r>
        <w:rPr>
          <w:rFonts w:hint="default" w:eastAsia="宋体" w:cs="宋体"/>
          <w:color w:val="auto"/>
          <w:kern w:val="0"/>
          <w:sz w:val="24"/>
          <w:szCs w:val="22"/>
          <w:highlight w:val="none"/>
          <w:lang w:val="en-US" w:eastAsia="zh-CN" w:bidi="ar-SA"/>
        </w:rPr>
        <w:t>冰川</w:t>
      </w:r>
      <w:r>
        <w:rPr>
          <w:rFonts w:hint="eastAsia" w:eastAsia="宋体" w:cs="宋体"/>
          <w:color w:val="auto"/>
          <w:kern w:val="0"/>
          <w:sz w:val="24"/>
          <w:szCs w:val="22"/>
          <w:highlight w:val="none"/>
          <w:lang w:val="en-US" w:eastAsia="zh-CN" w:bidi="ar-SA"/>
        </w:rPr>
        <w:t>、</w:t>
      </w:r>
      <w:r>
        <w:rPr>
          <w:rFonts w:hint="default" w:eastAsia="宋体" w:cs="宋体"/>
          <w:color w:val="auto"/>
          <w:kern w:val="0"/>
          <w:sz w:val="24"/>
          <w:szCs w:val="22"/>
          <w:highlight w:val="none"/>
          <w:lang w:val="en-US" w:eastAsia="zh-CN" w:bidi="ar-SA"/>
        </w:rPr>
        <w:t>自然保护区、饮用水水源保护区、水源涵养区</w:t>
      </w:r>
      <w:r>
        <w:rPr>
          <w:rFonts w:hint="eastAsia" w:eastAsia="宋体" w:cs="宋体"/>
          <w:color w:val="auto"/>
          <w:kern w:val="0"/>
          <w:sz w:val="24"/>
          <w:szCs w:val="22"/>
          <w:highlight w:val="none"/>
          <w:lang w:val="en-US" w:eastAsia="zh-CN" w:bidi="ar-SA"/>
        </w:rPr>
        <w:t>，所在地不属于缺水地区、水污染严重地区和敏感区，本项目</w:t>
      </w:r>
      <w:r>
        <w:rPr>
          <w:rFonts w:hint="eastAsia" w:cs="宋体"/>
          <w:color w:val="auto"/>
          <w:kern w:val="0"/>
          <w:sz w:val="24"/>
          <w:szCs w:val="22"/>
          <w:highlight w:val="none"/>
          <w:lang w:val="en-US" w:eastAsia="zh-CN" w:bidi="ar-SA"/>
        </w:rPr>
        <w:t>不涉及伊犁河流域、额尔齐斯河流域、额敏河流域沿岸</w:t>
      </w:r>
      <w:r>
        <w:rPr>
          <w:rFonts w:hint="eastAsia" w:eastAsia="宋体" w:cs="宋体"/>
          <w:color w:val="auto"/>
          <w:kern w:val="0"/>
          <w:sz w:val="24"/>
          <w:szCs w:val="22"/>
          <w:highlight w:val="none"/>
          <w:lang w:val="en-US" w:eastAsia="zh-CN" w:bidi="ar-SA"/>
        </w:rPr>
        <w:t>，本项目属于规模化畜禽养殖，不属于石油加工、煤化工、医药制造、化学纤维制造、有色金属冶炼、纺织印染等项目</w:t>
      </w:r>
      <w:r>
        <w:rPr>
          <w:rFonts w:hint="eastAsia" w:cs="宋体"/>
          <w:color w:val="auto"/>
          <w:kern w:val="0"/>
          <w:sz w:val="24"/>
          <w:szCs w:val="22"/>
          <w:highlight w:val="none"/>
          <w:lang w:val="en-US" w:eastAsia="zh-CN" w:bidi="ar-SA"/>
        </w:rPr>
        <w:t>，本项目有机肥生产不涉及危险化学品仓储等设施。</w:t>
      </w:r>
    </w:p>
    <w:p w14:paraId="2021A753">
      <w:pPr>
        <w:widowControl w:val="0"/>
        <w:numPr>
          <w:ilvl w:val="0"/>
          <w:numId w:val="0"/>
        </w:numPr>
        <w:spacing w:after="120" w:line="360" w:lineRule="auto"/>
        <w:ind w:firstLine="480" w:firstLineChars="200"/>
        <w:jc w:val="both"/>
        <w:rPr>
          <w:rFonts w:hint="eastAsia" w:eastAsia="宋体" w:cs="宋体"/>
          <w:color w:val="auto"/>
          <w:kern w:val="0"/>
          <w:sz w:val="24"/>
          <w:szCs w:val="22"/>
          <w:lang w:val="en-US" w:eastAsia="zh-CN"/>
        </w:rPr>
      </w:pPr>
      <w:r>
        <w:rPr>
          <w:rFonts w:hint="eastAsia" w:eastAsia="宋体" w:cs="宋体"/>
          <w:color w:val="auto"/>
          <w:kern w:val="0"/>
          <w:sz w:val="24"/>
          <w:szCs w:val="22"/>
          <w:highlight w:val="none"/>
          <w:lang w:val="en-US" w:eastAsia="zh-CN" w:bidi="ar-SA"/>
        </w:rPr>
        <w:t>本项目不位于</w:t>
      </w:r>
      <w:r>
        <w:rPr>
          <w:rFonts w:hint="eastAsia" w:cs="宋体"/>
          <w:color w:val="auto"/>
          <w:kern w:val="0"/>
          <w:sz w:val="24"/>
          <w:szCs w:val="22"/>
          <w:highlight w:val="none"/>
          <w:lang w:val="en-US" w:eastAsia="zh-CN" w:bidi="ar-SA"/>
        </w:rPr>
        <w:t>第七师胡杨河市</w:t>
      </w:r>
      <w:r>
        <w:rPr>
          <w:rFonts w:hint="eastAsia" w:eastAsia="宋体" w:cs="宋体"/>
          <w:color w:val="auto"/>
          <w:kern w:val="0"/>
          <w:sz w:val="24"/>
          <w:szCs w:val="22"/>
          <w:highlight w:val="none"/>
          <w:lang w:val="en-US" w:eastAsia="zh-CN" w:bidi="ar-SA"/>
        </w:rPr>
        <w:t>划定的禁养区、限养区范围内，配套</w:t>
      </w:r>
      <w:r>
        <w:rPr>
          <w:rFonts w:hint="default" w:eastAsia="宋体" w:cs="宋体"/>
          <w:color w:val="auto"/>
          <w:kern w:val="0"/>
          <w:sz w:val="24"/>
          <w:szCs w:val="22"/>
          <w:highlight w:val="none"/>
          <w:lang w:val="en-US" w:eastAsia="zh-CN" w:bidi="ar-SA"/>
        </w:rPr>
        <w:t>粪便污水贮存、处理、利用设施</w:t>
      </w:r>
      <w:r>
        <w:rPr>
          <w:rFonts w:hint="eastAsia" w:eastAsia="宋体" w:cs="宋体"/>
          <w:color w:val="auto"/>
          <w:kern w:val="0"/>
          <w:sz w:val="24"/>
          <w:szCs w:val="22"/>
          <w:highlight w:val="none"/>
          <w:lang w:val="en-US" w:eastAsia="zh-CN" w:bidi="ar-SA"/>
        </w:rPr>
        <w:t>，能够实现粪污干湿分离、粪便资源化利用</w:t>
      </w:r>
      <w:r>
        <w:rPr>
          <w:rFonts w:hint="default" w:eastAsia="宋体" w:cs="宋体"/>
          <w:color w:val="auto"/>
          <w:kern w:val="0"/>
          <w:sz w:val="24"/>
          <w:szCs w:val="22"/>
          <w:highlight w:val="none"/>
          <w:lang w:val="en-US" w:eastAsia="zh-CN" w:bidi="ar-SA"/>
        </w:rPr>
        <w:t>。</w:t>
      </w:r>
      <w:r>
        <w:rPr>
          <w:rFonts w:hint="eastAsia" w:eastAsia="宋体" w:cs="宋体"/>
          <w:color w:val="auto"/>
          <w:kern w:val="0"/>
          <w:sz w:val="24"/>
          <w:szCs w:val="22"/>
          <w:highlight w:val="none"/>
          <w:lang w:val="en-US" w:eastAsia="zh-CN" w:bidi="ar-SA"/>
        </w:rPr>
        <w:t>因此本项目符合</w:t>
      </w:r>
      <w:r>
        <w:rPr>
          <w:rFonts w:hint="eastAsia" w:ascii="Times New Roman" w:hAnsi="Times New Roman" w:eastAsia="宋体" w:cs="宋体"/>
          <w:color w:val="auto"/>
          <w:kern w:val="0"/>
          <w:sz w:val="24"/>
          <w:szCs w:val="22"/>
          <w:lang w:val="en-US" w:eastAsia="zh-CN"/>
        </w:rPr>
        <w:t>《关于印发新疆生产建设兵团水污染防治工作方案的通知》（ 新兵发</w:t>
      </w:r>
      <w:r>
        <w:rPr>
          <w:rFonts w:hint="eastAsia" w:cs="宋体"/>
          <w:color w:val="auto"/>
          <w:kern w:val="0"/>
          <w:sz w:val="24"/>
          <w:szCs w:val="22"/>
          <w:lang w:val="en-US" w:eastAsia="zh-CN"/>
        </w:rPr>
        <w:t>〔2016〕39号</w:t>
      </w:r>
      <w:r>
        <w:rPr>
          <w:rFonts w:hint="eastAsia" w:ascii="Times New Roman" w:hAnsi="Times New Roman" w:eastAsia="宋体" w:cs="宋体"/>
          <w:color w:val="auto"/>
          <w:kern w:val="0"/>
          <w:sz w:val="24"/>
          <w:szCs w:val="22"/>
          <w:lang w:val="en-US" w:eastAsia="zh-CN"/>
        </w:rPr>
        <w:t>）</w:t>
      </w:r>
      <w:r>
        <w:rPr>
          <w:rFonts w:hint="eastAsia" w:eastAsia="宋体" w:cs="宋体"/>
          <w:color w:val="auto"/>
          <w:kern w:val="0"/>
          <w:sz w:val="24"/>
          <w:szCs w:val="22"/>
          <w:lang w:val="en-US" w:eastAsia="zh-CN"/>
        </w:rPr>
        <w:t>相关要求。</w:t>
      </w:r>
    </w:p>
    <w:p w14:paraId="08734A69">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1.4.3.3与相关规划符合性分析</w:t>
      </w:r>
    </w:p>
    <w:p w14:paraId="341C78B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de-DE" w:eastAsia="zh-CN" w:bidi="ar-SA"/>
        </w:rPr>
      </w:pPr>
      <w:bookmarkStart w:id="46" w:name="_Toc483733042"/>
      <w:r>
        <w:rPr>
          <w:rFonts w:hint="eastAsia" w:cs="Times New Roman"/>
          <w:kern w:val="2"/>
          <w:sz w:val="24"/>
          <w:szCs w:val="24"/>
          <w:lang w:val="en-US" w:eastAsia="zh-CN" w:bidi="ar-SA"/>
        </w:rPr>
        <w:t>与《新疆生产建设兵团国民经济和社会发展第十四个五年规划和2035年远景目标纲要》符合性分析</w:t>
      </w:r>
    </w:p>
    <w:p w14:paraId="28D712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jc w:val="left"/>
        <w:textAlignment w:val="auto"/>
        <w:rPr>
          <w:rFonts w:hint="eastAsia" w:cs="Times New Roman"/>
          <w:sz w:val="24"/>
          <w:szCs w:val="24"/>
          <w:lang w:val="de-DE" w:eastAsia="zh-CN"/>
        </w:rPr>
      </w:pPr>
      <w:r>
        <w:rPr>
          <w:rFonts w:hint="default" w:ascii="Times New Roman" w:hAnsi="Times New Roman" w:eastAsia="宋体" w:cs="Times New Roman"/>
          <w:sz w:val="24"/>
          <w:szCs w:val="24"/>
          <w:lang w:val="de-DE" w:eastAsia="zh-CN"/>
        </w:rPr>
        <w:t>大力发展畜牧业。坚持农牧结合，调整优化农区畜牧业，适度发展草原畜牧业。加快提升畜牧业综合生产能力，大力发展肉类和乳制品精深加工，加快标准化规模养殖基地建设，建设一批高标准现代畜牧业产业示范区。大力发展生猪、肉牛产业，实施奶业振兴行动，稳步推进肉羊增产，支持特色家禽养殖，因地制宜发展马、驴、兔、鹿等特色养殖。到2025年，力争标准化规模化养殖场比例达到80%</w:t>
      </w:r>
      <w:r>
        <w:rPr>
          <w:rFonts w:hint="eastAsia" w:cs="Times New Roman"/>
          <w:sz w:val="24"/>
          <w:szCs w:val="24"/>
          <w:lang w:val="de-DE" w:eastAsia="zh-CN"/>
        </w:rPr>
        <w:t>。</w:t>
      </w:r>
    </w:p>
    <w:p w14:paraId="71DB7E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sz w:val="24"/>
          <w:szCs w:val="24"/>
          <w:lang w:val="de-DE" w:eastAsia="zh-CN"/>
        </w:rPr>
      </w:pPr>
      <w:r>
        <w:rPr>
          <w:rFonts w:hint="default" w:ascii="Times New Roman" w:hAnsi="Times New Roman" w:eastAsia="宋体" w:cs="Times New Roman"/>
          <w:sz w:val="24"/>
          <w:szCs w:val="24"/>
          <w:lang w:val="de-DE" w:eastAsia="zh-CN"/>
        </w:rPr>
        <w:t>统筹推进化肥农药减量增效、畜禽养殖废弃物资源化利用、果菜有机肥替代化肥、秸秆农膜综合利用等农业绿色发展行动。建立农业面源污染监测点，开展土壤污染防治和</w:t>
      </w:r>
      <w:r>
        <w:rPr>
          <w:rFonts w:hint="eastAsia" w:cs="Times New Roman"/>
          <w:sz w:val="24"/>
          <w:szCs w:val="24"/>
          <w:lang w:val="de-DE" w:eastAsia="zh-CN"/>
        </w:rPr>
        <w:t>“</w:t>
      </w:r>
      <w:r>
        <w:rPr>
          <w:rFonts w:hint="default" w:ascii="Times New Roman" w:hAnsi="Times New Roman" w:eastAsia="宋体" w:cs="Times New Roman"/>
          <w:sz w:val="24"/>
          <w:szCs w:val="24"/>
          <w:lang w:val="de-DE" w:eastAsia="zh-CN"/>
        </w:rPr>
        <w:t>白色污染</w:t>
      </w:r>
      <w:r>
        <w:rPr>
          <w:rFonts w:hint="eastAsia" w:cs="Times New Roman"/>
          <w:sz w:val="24"/>
          <w:szCs w:val="24"/>
          <w:lang w:val="de-DE" w:eastAsia="zh-CN"/>
        </w:rPr>
        <w:t>”</w:t>
      </w:r>
      <w:r>
        <w:rPr>
          <w:rFonts w:hint="default" w:ascii="Times New Roman" w:hAnsi="Times New Roman" w:eastAsia="宋体" w:cs="Times New Roman"/>
          <w:sz w:val="24"/>
          <w:szCs w:val="24"/>
          <w:lang w:val="de-DE" w:eastAsia="zh-CN"/>
        </w:rPr>
        <w:t>治理，保</w:t>
      </w:r>
      <w:r>
        <w:rPr>
          <w:rFonts w:hint="eastAsia" w:cs="Times New Roman"/>
          <w:sz w:val="24"/>
          <w:szCs w:val="24"/>
          <w:lang w:val="de-DE" w:eastAsia="zh-CN"/>
        </w:rPr>
        <w:t>护和</w:t>
      </w:r>
      <w:r>
        <w:rPr>
          <w:rFonts w:hint="default" w:ascii="Times New Roman" w:hAnsi="Times New Roman" w:eastAsia="宋体" w:cs="Times New Roman"/>
          <w:sz w:val="24"/>
          <w:szCs w:val="24"/>
          <w:lang w:val="de-DE" w:eastAsia="zh-CN"/>
        </w:rPr>
        <w:t>提升耕地质量。坚持源头治理，建立长效监管机制，健全农产品质量安全监管体系、监测体系、追溯体系，提升农产品质量安全监测能力，推进农产品质量安全团（镇）创建，实现农产品质量追溯和产地准出基本覆盖，全面提升农产品质量安全水平</w:t>
      </w:r>
      <w:r>
        <w:rPr>
          <w:rFonts w:hint="eastAsia" w:cs="Times New Roman"/>
          <w:sz w:val="24"/>
          <w:szCs w:val="24"/>
          <w:lang w:val="de-DE" w:eastAsia="zh-CN"/>
        </w:rPr>
        <w:t>。</w:t>
      </w:r>
    </w:p>
    <w:p w14:paraId="546A84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lang w:val="de-DE" w:eastAsia="zh-CN"/>
        </w:rPr>
      </w:pPr>
      <w:r>
        <w:rPr>
          <w:rFonts w:hint="default" w:ascii="Times New Roman" w:hAnsi="Times New Roman" w:eastAsia="宋体" w:cs="Times New Roman"/>
          <w:kern w:val="2"/>
          <w:sz w:val="24"/>
          <w:szCs w:val="24"/>
          <w:lang w:val="en-US" w:eastAsia="zh-CN" w:bidi="ar-SA"/>
        </w:rPr>
        <w:t>本项目位于</w:t>
      </w:r>
      <w:r>
        <w:rPr>
          <w:rFonts w:hint="eastAsia" w:cs="Times New Roman"/>
          <w:kern w:val="2"/>
          <w:sz w:val="24"/>
          <w:szCs w:val="24"/>
          <w:highlight w:val="none"/>
          <w:lang w:val="en-US" w:eastAsia="zh-CN" w:bidi="ar-SA"/>
        </w:rPr>
        <w:t>第七师胡杨河市125团14连</w:t>
      </w:r>
      <w:r>
        <w:rPr>
          <w:rFonts w:hint="eastAsia" w:ascii="Times New Roman" w:hAnsi="Times New Roman" w:eastAsia="宋体" w:cs="Times New Roman"/>
          <w:kern w:val="2"/>
          <w:sz w:val="24"/>
          <w:szCs w:val="24"/>
          <w:lang w:val="en-US" w:eastAsia="zh-CN" w:bidi="ar-SA"/>
        </w:rPr>
        <w:t>，建设规模化养殖基地，引进优良西门塔尔牛</w:t>
      </w:r>
      <w:r>
        <w:rPr>
          <w:rFonts w:hint="eastAsia" w:cs="Times New Roman"/>
          <w:kern w:val="2"/>
          <w:sz w:val="24"/>
          <w:szCs w:val="24"/>
          <w:lang w:val="en-US" w:eastAsia="zh-CN" w:bidi="ar-SA"/>
        </w:rPr>
        <w:t>、西门塔尔杂交牛以及褐牛</w:t>
      </w:r>
      <w:r>
        <w:rPr>
          <w:rFonts w:hint="eastAsia" w:ascii="Times New Roman" w:hAnsi="Times New Roman" w:eastAsia="宋体" w:cs="Times New Roman"/>
          <w:kern w:val="2"/>
          <w:sz w:val="24"/>
          <w:szCs w:val="24"/>
          <w:lang w:val="en-US" w:eastAsia="zh-CN" w:bidi="ar-SA"/>
        </w:rPr>
        <w:t>进行规模化育肥，</w:t>
      </w:r>
      <w:r>
        <w:rPr>
          <w:rFonts w:hint="eastAsia" w:cs="Times New Roman"/>
          <w:kern w:val="2"/>
          <w:sz w:val="24"/>
          <w:szCs w:val="24"/>
          <w:lang w:val="en-US" w:eastAsia="zh-CN" w:bidi="ar-SA"/>
        </w:rPr>
        <w:t>推进肉牛产业发展</w:t>
      </w:r>
      <w:r>
        <w:rPr>
          <w:rFonts w:hint="eastAsia" w:ascii="Times New Roman" w:hAnsi="Times New Roman" w:eastAsia="宋体" w:cs="Times New Roman"/>
          <w:kern w:val="2"/>
          <w:sz w:val="24"/>
          <w:szCs w:val="24"/>
          <w:lang w:val="en-US" w:eastAsia="zh-CN" w:bidi="ar-SA"/>
        </w:rPr>
        <w:t>；本项目</w:t>
      </w:r>
      <w:r>
        <w:rPr>
          <w:rFonts w:hint="default" w:ascii="Times New Roman" w:hAnsi="Times New Roman" w:eastAsia="宋体" w:cs="Times New Roman"/>
          <w:kern w:val="2"/>
          <w:sz w:val="24"/>
          <w:szCs w:val="24"/>
        </w:rPr>
        <w:t>饲料以</w:t>
      </w:r>
      <w:r>
        <w:rPr>
          <w:rFonts w:hint="eastAsia" w:cs="Times New Roman"/>
          <w:kern w:val="2"/>
          <w:sz w:val="24"/>
          <w:szCs w:val="24"/>
          <w:lang w:val="en-US" w:eastAsia="zh-CN"/>
        </w:rPr>
        <w:t>青储料为</w:t>
      </w:r>
      <w:r>
        <w:rPr>
          <w:rFonts w:hint="default" w:ascii="Times New Roman" w:hAnsi="Times New Roman" w:eastAsia="宋体" w:cs="Times New Roman"/>
          <w:kern w:val="2"/>
          <w:sz w:val="24"/>
          <w:szCs w:val="24"/>
        </w:rPr>
        <w:t>主</w:t>
      </w:r>
      <w:r>
        <w:rPr>
          <w:rFonts w:hint="eastAsia" w:cs="Times New Roman"/>
          <w:kern w:val="2"/>
          <w:sz w:val="24"/>
          <w:szCs w:val="24"/>
          <w:lang w:eastAsia="zh-CN"/>
        </w:rPr>
        <w:t>，</w:t>
      </w:r>
      <w:r>
        <w:rPr>
          <w:rFonts w:hint="eastAsia" w:cs="Times New Roman"/>
          <w:kern w:val="2"/>
          <w:sz w:val="24"/>
          <w:szCs w:val="24"/>
          <w:lang w:val="en-US" w:eastAsia="zh-CN"/>
        </w:rPr>
        <w:t>搭配粗饲料以及精饲料，根据不同育肥阶段需求更换日粮搭配方案，科学喂养。青储料选用</w:t>
      </w:r>
      <w:r>
        <w:rPr>
          <w:rFonts w:hint="default" w:ascii="Times New Roman" w:hAnsi="Times New Roman" w:eastAsia="宋体" w:cs="Times New Roman"/>
          <w:color w:val="auto"/>
          <w:kern w:val="0"/>
          <w:sz w:val="24"/>
          <w:szCs w:val="24"/>
          <w:lang w:val="en-US" w:eastAsia="zh-CN"/>
        </w:rPr>
        <w:t>玉米</w:t>
      </w:r>
      <w:r>
        <w:rPr>
          <w:rFonts w:hint="eastAsia" w:cs="Times New Roman"/>
          <w:color w:val="auto"/>
          <w:kern w:val="0"/>
          <w:sz w:val="24"/>
          <w:szCs w:val="24"/>
          <w:lang w:val="en-US" w:eastAsia="zh-CN"/>
        </w:rPr>
        <w:t>秸秆，能够提高农作物秸秆资源化利用效率。</w:t>
      </w:r>
      <w:r>
        <w:rPr>
          <w:rFonts w:hint="default" w:ascii="Times New Roman" w:hAnsi="Times New Roman" w:eastAsia="宋体" w:cs="Times New Roman"/>
          <w:kern w:val="2"/>
          <w:sz w:val="24"/>
          <w:szCs w:val="24"/>
          <w:lang w:val="en-US" w:eastAsia="zh-CN" w:bidi="ar-SA"/>
        </w:rPr>
        <w:t>本项目的建设可有效提升集约化养殖规模和水平</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color w:val="000000"/>
          <w:sz w:val="24"/>
          <w:szCs w:val="24"/>
          <w:lang w:val="en-US" w:eastAsia="zh-CN"/>
        </w:rPr>
        <w:t>采用</w:t>
      </w:r>
      <w:r>
        <w:rPr>
          <w:rFonts w:hint="eastAsia" w:cs="Times New Roman"/>
          <w:color w:val="000000"/>
          <w:sz w:val="24"/>
          <w:szCs w:val="24"/>
          <w:lang w:eastAsia="zh-CN"/>
        </w:rPr>
        <w:t>“</w:t>
      </w:r>
      <w:r>
        <w:rPr>
          <w:rFonts w:hint="default" w:ascii="Times New Roman" w:hAnsi="Times New Roman" w:cs="Times New Roman"/>
          <w:color w:val="000000"/>
          <w:sz w:val="24"/>
          <w:szCs w:val="24"/>
          <w:lang w:val="en-US" w:eastAsia="zh-CN"/>
        </w:rPr>
        <w:t>原位发酵</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模式，</w:t>
      </w:r>
      <w:r>
        <w:rPr>
          <w:rFonts w:hint="default" w:ascii="Times New Roman" w:hAnsi="Times New Roman" w:eastAsia="宋体" w:cs="Times New Roman"/>
          <w:color w:val="auto"/>
          <w:sz w:val="24"/>
          <w:szCs w:val="24"/>
          <w:lang w:val="en-US" w:eastAsia="zh-CN"/>
        </w:rPr>
        <w:t>定期更换的发酵垫料</w:t>
      </w:r>
      <w:r>
        <w:rPr>
          <w:rFonts w:hint="default" w:ascii="Times New Roman" w:hAnsi="Times New Roman" w:cs="Times New Roman"/>
          <w:color w:val="auto"/>
          <w:sz w:val="24"/>
          <w:szCs w:val="24"/>
          <w:lang w:val="en-US" w:eastAsia="zh-CN"/>
        </w:rPr>
        <w:t>以及牛粪</w:t>
      </w:r>
      <w:r>
        <w:rPr>
          <w:rFonts w:hint="default" w:ascii="Times New Roman" w:hAnsi="Times New Roman" w:eastAsia="宋体" w:cs="Times New Roman"/>
          <w:color w:val="auto"/>
          <w:sz w:val="24"/>
          <w:szCs w:val="24"/>
        </w:rPr>
        <w:t>按规范要求无害化处置后</w:t>
      </w:r>
      <w:r>
        <w:rPr>
          <w:rFonts w:hint="default" w:ascii="Times New Roman" w:hAnsi="Times New Roman" w:cs="Times New Roman"/>
          <w:color w:val="auto"/>
          <w:sz w:val="24"/>
          <w:szCs w:val="24"/>
          <w:lang w:val="en-US" w:eastAsia="zh-CN"/>
        </w:rPr>
        <w:t>还田</w:t>
      </w:r>
      <w:r>
        <w:rPr>
          <w:rFonts w:ascii="Times New Roman" w:hAnsi="宋体" w:eastAsia="宋体" w:cs="Times New Roman"/>
          <w:color w:val="auto"/>
          <w:sz w:val="24"/>
          <w:szCs w:val="24"/>
        </w:rPr>
        <w:t>。因此，本项目能够形成</w:t>
      </w:r>
      <w:r>
        <w:rPr>
          <w:rFonts w:hint="eastAsia" w:hAnsi="宋体" w:cs="Times New Roman"/>
          <w:color w:val="auto"/>
          <w:sz w:val="24"/>
          <w:szCs w:val="24"/>
          <w:lang w:eastAsia="zh-CN"/>
        </w:rPr>
        <w:t>“</w:t>
      </w:r>
      <w:r>
        <w:rPr>
          <w:rFonts w:ascii="Times New Roman" w:hAnsi="宋体" w:eastAsia="宋体" w:cs="Times New Roman"/>
          <w:color w:val="auto"/>
          <w:sz w:val="24"/>
          <w:szCs w:val="24"/>
        </w:rPr>
        <w:t>畜禽</w:t>
      </w:r>
      <w:r>
        <w:rPr>
          <w:rFonts w:hint="eastAsia" w:hAnsi="宋体" w:cs="Times New Roman"/>
          <w:color w:val="auto"/>
          <w:sz w:val="24"/>
          <w:szCs w:val="24"/>
          <w:lang w:eastAsia="zh-CN"/>
        </w:rPr>
        <w:t>－</w:t>
      </w:r>
      <w:r>
        <w:rPr>
          <w:rFonts w:ascii="Times New Roman" w:hAnsi="宋体" w:eastAsia="宋体" w:cs="Times New Roman"/>
          <w:color w:val="auto"/>
          <w:sz w:val="24"/>
          <w:szCs w:val="24"/>
        </w:rPr>
        <w:t>粪便</w:t>
      </w:r>
      <w:r>
        <w:rPr>
          <w:rFonts w:hint="eastAsia" w:hAnsi="宋体" w:cs="Times New Roman"/>
          <w:color w:val="auto"/>
          <w:sz w:val="24"/>
          <w:szCs w:val="24"/>
          <w:lang w:eastAsia="zh-CN"/>
        </w:rPr>
        <w:t>－</w:t>
      </w:r>
      <w:r>
        <w:rPr>
          <w:rFonts w:ascii="Times New Roman" w:hAnsi="宋体" w:eastAsia="宋体" w:cs="Times New Roman"/>
          <w:color w:val="auto"/>
          <w:sz w:val="24"/>
          <w:szCs w:val="24"/>
        </w:rPr>
        <w:t>肥料</w:t>
      </w:r>
      <w:r>
        <w:rPr>
          <w:rFonts w:hint="eastAsia" w:hAnsi="宋体" w:cs="Times New Roman"/>
          <w:color w:val="auto"/>
          <w:sz w:val="24"/>
          <w:szCs w:val="24"/>
          <w:lang w:eastAsia="zh-CN"/>
        </w:rPr>
        <w:t>－</w:t>
      </w:r>
      <w:r>
        <w:rPr>
          <w:rFonts w:hint="eastAsia" w:ascii="宋体" w:hAnsi="宋体" w:cs="宋体"/>
          <w:color w:val="000000"/>
          <w:kern w:val="2"/>
          <w:sz w:val="24"/>
          <w:szCs w:val="24"/>
          <w:lang w:val="en-US" w:eastAsia="zh-CN" w:bidi="ar-SA"/>
        </w:rPr>
        <w:t>农田</w:t>
      </w:r>
      <w:r>
        <w:rPr>
          <w:rFonts w:hint="eastAsia" w:hAnsi="宋体" w:cs="Times New Roman"/>
          <w:color w:val="auto"/>
          <w:sz w:val="24"/>
          <w:szCs w:val="24"/>
          <w:lang w:eastAsia="zh-CN"/>
        </w:rPr>
        <w:t>”</w:t>
      </w:r>
      <w:r>
        <w:rPr>
          <w:rFonts w:ascii="Times New Roman" w:hAnsi="宋体" w:eastAsia="宋体" w:cs="Times New Roman"/>
          <w:color w:val="auto"/>
          <w:sz w:val="24"/>
          <w:szCs w:val="24"/>
        </w:rPr>
        <w:t>的良性循环</w:t>
      </w:r>
      <w:r>
        <w:rPr>
          <w:rFonts w:hint="default" w:ascii="Times New Roman" w:hAnsi="Times New Roman" w:eastAsia="宋体" w:cs="Times New Roman"/>
          <w:kern w:val="2"/>
          <w:sz w:val="24"/>
          <w:szCs w:val="24"/>
          <w:lang w:val="en-US" w:eastAsia="zh-CN" w:bidi="ar-SA"/>
        </w:rPr>
        <w:t>，符合</w:t>
      </w:r>
      <w:r>
        <w:rPr>
          <w:rFonts w:hint="eastAsia" w:cs="Times New Roman"/>
          <w:kern w:val="2"/>
          <w:sz w:val="24"/>
          <w:szCs w:val="24"/>
          <w:lang w:val="en-US" w:eastAsia="zh-CN" w:bidi="ar-SA"/>
        </w:rPr>
        <w:t>《新疆生产建设兵团国民经济和社会发展第十四个五年规划和2035年远景目标纲要》</w:t>
      </w:r>
      <w:r>
        <w:rPr>
          <w:rFonts w:hint="default" w:ascii="Times New Roman" w:hAnsi="Times New Roman" w:eastAsia="宋体" w:cs="Times New Roman"/>
          <w:kern w:val="2"/>
          <w:sz w:val="24"/>
          <w:szCs w:val="24"/>
          <w:lang w:val="en-US" w:eastAsia="zh-CN" w:bidi="ar-SA"/>
        </w:rPr>
        <w:t>相关要求</w:t>
      </w:r>
      <w:r>
        <w:rPr>
          <w:rFonts w:hint="eastAsia" w:ascii="Times New Roman" w:hAnsi="Times New Roman" w:eastAsia="宋体" w:cs="Times New Roman"/>
          <w:kern w:val="2"/>
          <w:sz w:val="24"/>
          <w:szCs w:val="24"/>
          <w:lang w:val="en-US" w:eastAsia="zh-CN" w:bidi="ar-SA"/>
        </w:rPr>
        <w:t>。</w:t>
      </w:r>
    </w:p>
    <w:p w14:paraId="7F92F84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与《 关于印发</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新疆生产建设兵团</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十四五</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生态环境保护规划</w:t>
      </w:r>
      <w:r>
        <w:rPr>
          <w:rFonts w:hint="eastAsia" w:cs="Times New Roman"/>
          <w:kern w:val="2"/>
          <w:sz w:val="24"/>
          <w:szCs w:val="24"/>
          <w:lang w:val="en-US" w:eastAsia="zh-CN" w:bidi="ar-SA"/>
        </w:rPr>
        <w:t>〉的通知》（新兵发〔2021〕36号）</w:t>
      </w:r>
      <w:r>
        <w:rPr>
          <w:rFonts w:hint="eastAsia" w:ascii="Times New Roman" w:hAnsi="Times New Roman" w:eastAsia="宋体" w:cs="Times New Roman"/>
          <w:kern w:val="2"/>
          <w:sz w:val="24"/>
          <w:szCs w:val="24"/>
          <w:lang w:val="en-US" w:eastAsia="zh-CN" w:bidi="ar-SA"/>
        </w:rPr>
        <w:t>符合性分析</w:t>
      </w:r>
    </w:p>
    <w:p w14:paraId="49C2DE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加大燃煤锅炉、工业炉窑综合整治力度。严把锅炉市场准入，进一步提高新建燃煤锅炉准入门槛。新建燃煤锅炉效率不低于85%，燃气锅炉效率不低于95%，</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乌—昌—石</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和</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奎—独—乌</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区域内师市淘汰每小时35蒸吨及以下燃煤锅炉，每小时65蒸吨及以上燃煤锅炉完成节能和超低排放改造，燃气锅炉完成低氮燃烧改造。供热供气管网不能覆盖的地区，改用电、新能源或洁净煤，推广应用高效节能环保型锅炉。深化工业炉窑大气污染综合治理，推进工业炉窑全面达标排放，加强无组织排放管理，开展升级改造、清洁能源替代燃煤等工作。</w:t>
      </w:r>
    </w:p>
    <w:p w14:paraId="77FBF2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强化面源污染防控。加强城市扬尘综合防控，积极推进</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智慧工地</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建设，建筑工地扬尘防控标准化管理全覆盖。控制道路交通扬尘污染，加强城市道路清扫保洁和洒水抑尘，提高机械化作业水平。到2025年，兵团现有城市建成区道路机械化清扫率达到80%以上，涉及</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乌—昌—石</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和</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奎—独—乌</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区域的师市达到90%以上。加强矿山粉尘治理，充分运用新型、高效的防尘、降尘、除尘技术，全面加强矿山开采各环节粉尘防控措施。全面推进秸秆实现资源化利用，推进农业大气氨污染防治，加强种植业氨排放控制，调整氮肥结构，加速挥发性氮肥产品的应用。</w:t>
      </w:r>
    </w:p>
    <w:p w14:paraId="3B181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加强恶臭、有毒有害大气污染物防控。加强工业臭气异味治理，开展无异味企业建设，加强垃圾处理、污水处理各环节和畜禽养殖场臭气异味控制，提升恶臭治理水平。严格控制餐饮油烟，加大超标排放处罚力度。探索建立有毒有害大气污染物管理体系和工作机制。</w:t>
      </w:r>
    </w:p>
    <w:p w14:paraId="1D2AA1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推进养殖业清洁化和生态化发展。推广节水、节料等清洁养殖工艺和干清粪、微生物发酵等实用技术，实现畜禽粪污源头减量。严格规范兽药、饲料及饲料添加剂的生产和使用，严厉打击兽药生产企业违法违规生产禁用兽用药物行为。大力推进畜禽养殖废弃物资源化利用，推动规模化养殖场粪污处理基础设施设备配套建设。鼓励和引导社会资本参与畜禽粪污资源化利用，推动建立病死畜禽无害化集中处理体系。到2025年，畜禽粪污综合利用率达到80%以上。</w:t>
      </w:r>
    </w:p>
    <w:p w14:paraId="684501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w:t>
      </w:r>
      <w:r>
        <w:rPr>
          <w:rFonts w:hint="eastAsia" w:cs="Times New Roman"/>
          <w:kern w:val="2"/>
          <w:sz w:val="24"/>
          <w:szCs w:val="24"/>
          <w:lang w:val="en-US" w:eastAsia="zh-CN" w:bidi="ar-SA"/>
        </w:rPr>
        <w:t>生产不使用燃煤锅炉，采用电采暖设备供热，施工期采用篷布遮盖、洒水降尘等措施控制施工扬尘。本项目利用玉米秸秆青储作为饲料，能够有效资源化利用秸秆。运营期通过加强封闭式作业控制无组织颗粒物排放；</w:t>
      </w:r>
      <w:r>
        <w:rPr>
          <w:rFonts w:hint="eastAsia" w:ascii="Times New Roman" w:hAnsi="Times New Roman" w:eastAsia="宋体" w:cs="Times New Roman"/>
          <w:kern w:val="2"/>
          <w:sz w:val="24"/>
          <w:szCs w:val="24"/>
          <w:lang w:val="en-US" w:eastAsia="zh-CN" w:bidi="ar-SA"/>
        </w:rPr>
        <w:t>采用科学配比饲料、投加除臭剂、</w:t>
      </w:r>
      <w:r>
        <w:rPr>
          <w:rFonts w:hint="eastAsia" w:cs="Times New Roman"/>
          <w:kern w:val="2"/>
          <w:sz w:val="24"/>
          <w:szCs w:val="24"/>
          <w:lang w:val="en-US" w:eastAsia="zh-CN" w:bidi="ar-SA"/>
        </w:rPr>
        <w:t>封闭式作业</w:t>
      </w:r>
      <w:r>
        <w:rPr>
          <w:rFonts w:hint="eastAsia" w:ascii="Times New Roman" w:hAnsi="Times New Roman" w:eastAsia="宋体" w:cs="Times New Roman"/>
          <w:kern w:val="2"/>
          <w:sz w:val="24"/>
          <w:szCs w:val="24"/>
          <w:lang w:val="en-US" w:eastAsia="zh-CN" w:bidi="ar-SA"/>
        </w:rPr>
        <w:t>等措施有效控制恶臭污染物排放；</w:t>
      </w:r>
      <w:r>
        <w:rPr>
          <w:rFonts w:hint="eastAsia" w:cs="Times New Roman"/>
          <w:kern w:val="2"/>
          <w:sz w:val="24"/>
          <w:szCs w:val="24"/>
          <w:lang w:val="en-US" w:eastAsia="zh-CN" w:bidi="ar-SA"/>
        </w:rPr>
        <w:t>牛圈、牛舍、饲喂凉棚、运动场均</w:t>
      </w:r>
      <w:r>
        <w:rPr>
          <w:rFonts w:hint="eastAsia" w:ascii="Times New Roman" w:hAnsi="Times New Roman" w:eastAsia="宋体" w:cs="Times New Roman"/>
          <w:kern w:val="2"/>
          <w:sz w:val="24"/>
          <w:szCs w:val="24"/>
          <w:lang w:val="en-US" w:eastAsia="zh-CN" w:bidi="ar-SA"/>
        </w:rPr>
        <w:t>采用</w:t>
      </w:r>
      <w:r>
        <w:rPr>
          <w:rFonts w:hint="eastAsia" w:cs="Times New Roman"/>
          <w:kern w:val="2"/>
          <w:sz w:val="24"/>
          <w:szCs w:val="24"/>
          <w:lang w:val="en-US" w:eastAsia="zh-CN" w:bidi="ar-SA"/>
        </w:rPr>
        <w:t>原位发酵</w:t>
      </w:r>
      <w:r>
        <w:rPr>
          <w:rFonts w:hint="eastAsia" w:ascii="Times New Roman" w:hAnsi="Times New Roman" w:eastAsia="宋体" w:cs="Times New Roman"/>
          <w:kern w:val="2"/>
          <w:sz w:val="24"/>
          <w:szCs w:val="24"/>
          <w:lang w:val="en-US" w:eastAsia="zh-CN" w:bidi="ar-SA"/>
        </w:rPr>
        <w:t>工艺，能够有效降低水资源使用量，采取因地制宜，集中处置的方式，</w:t>
      </w:r>
      <w:r>
        <w:rPr>
          <w:rFonts w:hint="eastAsia" w:cs="Times New Roman"/>
          <w:kern w:val="2"/>
          <w:sz w:val="24"/>
          <w:szCs w:val="24"/>
          <w:lang w:val="en-US" w:eastAsia="zh-CN" w:bidi="ar-SA"/>
        </w:rPr>
        <w:t>粪污经无害化处理后还田，</w:t>
      </w:r>
      <w:r>
        <w:rPr>
          <w:rFonts w:hint="eastAsia" w:ascii="Times New Roman" w:hAnsi="Times New Roman" w:eastAsia="宋体" w:cs="Times New Roman"/>
          <w:kern w:val="2"/>
          <w:sz w:val="24"/>
          <w:szCs w:val="24"/>
          <w:lang w:val="en-US" w:eastAsia="zh-CN" w:bidi="ar-SA"/>
        </w:rPr>
        <w:t>实现粪污资源化利用。因此满足《 关于印发</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新疆生产建设兵团</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十四五</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生态环境保护规划</w:t>
      </w:r>
      <w:r>
        <w:rPr>
          <w:rFonts w:hint="eastAsia" w:cs="Times New Roman"/>
          <w:kern w:val="2"/>
          <w:sz w:val="24"/>
          <w:szCs w:val="24"/>
          <w:lang w:val="en-US" w:eastAsia="zh-CN" w:bidi="ar-SA"/>
        </w:rPr>
        <w:t>〉的通知》</w:t>
      </w:r>
      <w:r>
        <w:rPr>
          <w:rFonts w:hint="eastAsia" w:ascii="Times New Roman" w:hAnsi="Times New Roman" w:eastAsia="宋体" w:cs="Times New Roman"/>
          <w:kern w:val="2"/>
          <w:sz w:val="24"/>
          <w:szCs w:val="24"/>
          <w:lang w:val="en-US" w:eastAsia="zh-CN" w:bidi="ar-SA"/>
        </w:rPr>
        <w:t>（新兵发</w:t>
      </w:r>
      <w:r>
        <w:rPr>
          <w:rFonts w:hint="eastAsia" w:cs="Times New Roman"/>
          <w:kern w:val="2"/>
          <w:sz w:val="24"/>
          <w:szCs w:val="24"/>
          <w:lang w:val="en-US" w:eastAsia="zh-CN" w:bidi="ar-SA"/>
        </w:rPr>
        <w:t>〔2021〕</w:t>
      </w:r>
      <w:r>
        <w:rPr>
          <w:rFonts w:hint="eastAsia" w:ascii="Times New Roman" w:hAnsi="Times New Roman" w:eastAsia="宋体" w:cs="Times New Roman"/>
          <w:kern w:val="2"/>
          <w:sz w:val="24"/>
          <w:szCs w:val="24"/>
          <w:lang w:val="en-US" w:eastAsia="zh-CN" w:bidi="ar-SA"/>
        </w:rPr>
        <w:t>36号）相关要求。</w:t>
      </w:r>
    </w:p>
    <w:p w14:paraId="427D364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de-DE" w:eastAsia="zh-CN" w:bidi="ar-SA"/>
        </w:rPr>
      </w:pPr>
      <w:r>
        <w:rPr>
          <w:rFonts w:hint="default" w:ascii="Times New Roman" w:hAnsi="Times New Roman" w:eastAsia="宋体" w:cs="Times New Roman"/>
          <w:kern w:val="2"/>
          <w:sz w:val="24"/>
          <w:szCs w:val="24"/>
          <w:lang w:val="de-DE" w:eastAsia="zh-CN" w:bidi="ar-SA"/>
        </w:rPr>
        <w:t>《新疆维吾尔自治区畜牧业</w:t>
      </w:r>
      <w:r>
        <w:rPr>
          <w:rFonts w:hint="eastAsia"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十四五</w:t>
      </w:r>
      <w:r>
        <w:rPr>
          <w:rFonts w:hint="eastAsia"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 xml:space="preserve">发展规划》的符合性分析 </w:t>
      </w:r>
    </w:p>
    <w:p w14:paraId="22A8BF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坚持农牧结合、牧繁农育</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着力健全肉牛自繁自育生产体系。北疆以新疆褐牛、安格斯牛为主推品种，面向中高端市场培育知名品牌</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大力发展优质牛肉精深加工和休闲食品</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实现增产增效</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南疆和东疆以西门塔尔牛为主推品种</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加快群体生产性能改良</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提高个体单产水平</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发展标准化适度规模养殖到2025年，肉牛饲养量达1500万头</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存栏达800万头</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规模养殖比例达50%以上</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牛肉产量达90万吨</w:t>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兵团系统2025年牛饲养量目标达到100万头。</w:t>
      </w:r>
    </w:p>
    <w:p w14:paraId="5E22ED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实施</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肉羊增产、奶业振兴、肉牛增产、生猪转型、家禽及特色产业增效</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畜牧业五大振</w:t>
      </w:r>
      <w:r>
        <w:rPr>
          <w:rFonts w:hint="eastAsia" w:ascii="Times New Roman" w:hAnsi="Times New Roman" w:eastAsia="宋体" w:cs="Times New Roman"/>
          <w:kern w:val="2"/>
          <w:sz w:val="24"/>
          <w:szCs w:val="24"/>
          <w:lang w:val="en-US" w:eastAsia="zh-CN" w:bidi="ar-SA"/>
        </w:rPr>
        <w:t>兴行动。</w:t>
      </w:r>
    </w:p>
    <w:p w14:paraId="1E9971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大力推广农作物秸秆和非常规饲料综合利用技术。支持农作物秸秆综合加工利用企业发展</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推广秸秆青贮、微贮、压块、粉碎等技术</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提高农作物秸秆利用率。加强饲喂技术装备研发和饲料营养价值评价</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推广草料结合、秸秆为基的全混合日粮和商品饲料产品着力提高本地农作物</w:t>
      </w:r>
      <w:r>
        <w:rPr>
          <w:rFonts w:hint="eastAsia" w:ascii="Times New Roman" w:hAnsi="Times New Roman" w:eastAsia="宋体" w:cs="Times New Roman"/>
          <w:kern w:val="2"/>
          <w:sz w:val="24"/>
          <w:szCs w:val="24"/>
          <w:lang w:val="en-US" w:eastAsia="zh-CN" w:bidi="ar-SA"/>
        </w:rPr>
        <w:t>秸秆</w:t>
      </w:r>
      <w:r>
        <w:rPr>
          <w:rFonts w:hint="default" w:ascii="Times New Roman" w:hAnsi="Times New Roman" w:eastAsia="宋体" w:cs="Times New Roman"/>
          <w:kern w:val="2"/>
          <w:sz w:val="24"/>
          <w:szCs w:val="24"/>
          <w:lang w:val="en-US" w:eastAsia="zh-CN" w:bidi="ar-SA"/>
        </w:rPr>
        <w:t>资源转化利用率支持开发电转草、集装箱种草等新技术</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减少种草对水土资源的依赖</w:t>
      </w:r>
      <w:r>
        <w:rPr>
          <w:rFonts w:hint="eastAsia" w:ascii="Times New Roman" w:hAnsi="Times New Roman" w:eastAsia="宋体" w:cs="Times New Roman"/>
          <w:kern w:val="2"/>
          <w:sz w:val="24"/>
          <w:szCs w:val="24"/>
          <w:lang w:val="en-US" w:eastAsia="zh-CN" w:bidi="ar-SA"/>
        </w:rPr>
        <w:t>。</w:t>
      </w:r>
    </w:p>
    <w:p w14:paraId="0D348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持续推进畜禽</w:t>
      </w:r>
      <w:r>
        <w:rPr>
          <w:rFonts w:hint="eastAsia" w:ascii="Times New Roman" w:hAnsi="Times New Roman" w:eastAsia="宋体" w:cs="Times New Roman"/>
          <w:kern w:val="2"/>
          <w:sz w:val="24"/>
          <w:szCs w:val="24"/>
          <w:lang w:val="en-US" w:eastAsia="zh-CN" w:bidi="ar-SA"/>
        </w:rPr>
        <w:t>粪污</w:t>
      </w:r>
      <w:r>
        <w:rPr>
          <w:rFonts w:hint="default" w:ascii="Times New Roman" w:hAnsi="Times New Roman" w:eastAsia="宋体" w:cs="Times New Roman"/>
          <w:kern w:val="2"/>
          <w:sz w:val="24"/>
          <w:szCs w:val="24"/>
          <w:lang w:val="en-US" w:eastAsia="zh-CN" w:bidi="ar-SA"/>
        </w:rPr>
        <w:t>资源化利用。落实有机肥加工企业用地、用电、有机肥使用补贴及畜禽</w:t>
      </w:r>
      <w:r>
        <w:rPr>
          <w:rFonts w:hint="eastAsia" w:ascii="Times New Roman" w:hAnsi="Times New Roman" w:eastAsia="宋体" w:cs="Times New Roman"/>
          <w:kern w:val="2"/>
          <w:sz w:val="24"/>
          <w:szCs w:val="24"/>
          <w:lang w:val="en-US" w:eastAsia="zh-CN" w:bidi="ar-SA"/>
        </w:rPr>
        <w:t>粪污</w:t>
      </w:r>
      <w:r>
        <w:rPr>
          <w:rFonts w:hint="default" w:ascii="Times New Roman" w:hAnsi="Times New Roman" w:eastAsia="宋体" w:cs="Times New Roman"/>
          <w:kern w:val="2"/>
          <w:sz w:val="24"/>
          <w:szCs w:val="24"/>
          <w:lang w:val="en-US" w:eastAsia="zh-CN" w:bidi="ar-SA"/>
        </w:rPr>
        <w:t>资源化利用机具纳入农机购置补贴等优惠政策</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构建畜禽</w:t>
      </w:r>
      <w:r>
        <w:rPr>
          <w:rFonts w:hint="eastAsia" w:ascii="Times New Roman" w:hAnsi="Times New Roman" w:eastAsia="宋体" w:cs="Times New Roman"/>
          <w:kern w:val="2"/>
          <w:sz w:val="24"/>
          <w:szCs w:val="24"/>
          <w:lang w:val="en-US" w:eastAsia="zh-CN" w:bidi="ar-SA"/>
        </w:rPr>
        <w:t>粪肥</w:t>
      </w:r>
      <w:r>
        <w:rPr>
          <w:rFonts w:hint="default" w:ascii="Times New Roman" w:hAnsi="Times New Roman" w:eastAsia="宋体" w:cs="Times New Roman"/>
          <w:kern w:val="2"/>
          <w:sz w:val="24"/>
          <w:szCs w:val="24"/>
          <w:lang w:val="en-US" w:eastAsia="zh-CN" w:bidi="ar-SA"/>
        </w:rPr>
        <w:t>还田利用全产业链</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形成养殖、种植、</w:t>
      </w:r>
      <w:r>
        <w:rPr>
          <w:rFonts w:hint="eastAsia" w:ascii="Times New Roman" w:hAnsi="Times New Roman" w:eastAsia="宋体" w:cs="Times New Roman"/>
          <w:kern w:val="2"/>
          <w:sz w:val="24"/>
          <w:szCs w:val="24"/>
          <w:lang w:val="en-US" w:eastAsia="zh-CN" w:bidi="ar-SA"/>
        </w:rPr>
        <w:t>粪肥</w:t>
      </w:r>
      <w:r>
        <w:rPr>
          <w:rFonts w:hint="default" w:ascii="Times New Roman" w:hAnsi="Times New Roman" w:eastAsia="宋体" w:cs="Times New Roman"/>
          <w:kern w:val="2"/>
          <w:sz w:val="24"/>
          <w:szCs w:val="24"/>
          <w:lang w:val="en-US" w:eastAsia="zh-CN" w:bidi="ar-SA"/>
        </w:rPr>
        <w:t>加工企业等多方共赢的市场化机制。重点支持规模养殖场开展</w:t>
      </w:r>
      <w:r>
        <w:rPr>
          <w:rFonts w:hint="eastAsia" w:ascii="Times New Roman" w:hAnsi="Times New Roman" w:eastAsia="宋体" w:cs="Times New Roman"/>
          <w:kern w:val="2"/>
          <w:sz w:val="24"/>
          <w:szCs w:val="24"/>
          <w:lang w:val="en-US" w:eastAsia="zh-CN" w:bidi="ar-SA"/>
        </w:rPr>
        <w:t>粪污</w:t>
      </w:r>
      <w:r>
        <w:rPr>
          <w:rFonts w:hint="default" w:ascii="Times New Roman" w:hAnsi="Times New Roman" w:eastAsia="宋体" w:cs="Times New Roman"/>
          <w:kern w:val="2"/>
          <w:sz w:val="24"/>
          <w:szCs w:val="24"/>
          <w:lang w:val="en-US" w:eastAsia="zh-CN" w:bidi="ar-SA"/>
        </w:rPr>
        <w:t>全量收集还田、固体</w:t>
      </w:r>
      <w:r>
        <w:rPr>
          <w:rFonts w:hint="eastAsia" w:ascii="Times New Roman" w:hAnsi="Times New Roman" w:eastAsia="宋体" w:cs="Times New Roman"/>
          <w:kern w:val="2"/>
          <w:sz w:val="24"/>
          <w:szCs w:val="24"/>
          <w:lang w:val="en-US" w:eastAsia="zh-CN" w:bidi="ar-SA"/>
        </w:rPr>
        <w:t>粪便</w:t>
      </w:r>
      <w:r>
        <w:rPr>
          <w:rFonts w:hint="default" w:ascii="Times New Roman" w:hAnsi="Times New Roman" w:eastAsia="宋体" w:cs="Times New Roman"/>
          <w:kern w:val="2"/>
          <w:sz w:val="24"/>
          <w:szCs w:val="24"/>
          <w:lang w:val="en-US" w:eastAsia="zh-CN" w:bidi="ar-SA"/>
        </w:rPr>
        <w:t>堆肥还田、液体</w:t>
      </w:r>
      <w:r>
        <w:rPr>
          <w:rFonts w:hint="eastAsia" w:ascii="Times New Roman" w:hAnsi="Times New Roman" w:eastAsia="宋体" w:cs="Times New Roman"/>
          <w:kern w:val="2"/>
          <w:sz w:val="24"/>
          <w:szCs w:val="24"/>
          <w:lang w:val="en-US" w:eastAsia="zh-CN" w:bidi="ar-SA"/>
        </w:rPr>
        <w:t>粪污</w:t>
      </w:r>
      <w:r>
        <w:rPr>
          <w:rFonts w:hint="default" w:ascii="Times New Roman" w:hAnsi="Times New Roman" w:eastAsia="宋体" w:cs="Times New Roman"/>
          <w:kern w:val="2"/>
          <w:sz w:val="24"/>
          <w:szCs w:val="24"/>
          <w:lang w:val="en-US" w:eastAsia="zh-CN" w:bidi="ar-SA"/>
        </w:rPr>
        <w:t>肥料化和生物质能源开发利用</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确保全区畜禽</w:t>
      </w:r>
      <w:r>
        <w:rPr>
          <w:rFonts w:hint="eastAsia" w:ascii="Times New Roman" w:hAnsi="Times New Roman" w:eastAsia="宋体" w:cs="Times New Roman"/>
          <w:kern w:val="2"/>
          <w:sz w:val="24"/>
          <w:szCs w:val="24"/>
          <w:lang w:val="en-US" w:eastAsia="zh-CN" w:bidi="ar-SA"/>
        </w:rPr>
        <w:t>粪污</w:t>
      </w:r>
      <w:r>
        <w:rPr>
          <w:rFonts w:hint="default" w:ascii="Times New Roman" w:hAnsi="Times New Roman" w:eastAsia="宋体" w:cs="Times New Roman"/>
          <w:kern w:val="2"/>
          <w:sz w:val="24"/>
          <w:szCs w:val="24"/>
          <w:lang w:val="en-US" w:eastAsia="zh-CN" w:bidi="ar-SA"/>
        </w:rPr>
        <w:t>综合利用率达到国家要求</w:t>
      </w:r>
      <w:r>
        <w:rPr>
          <w:rFonts w:hint="eastAsia" w:ascii="Times New Roman" w:hAnsi="Times New Roman" w:eastAsia="宋体" w:cs="Times New Roman"/>
          <w:kern w:val="2"/>
          <w:sz w:val="24"/>
          <w:szCs w:val="24"/>
          <w:lang w:val="en-US" w:eastAsia="zh-CN" w:bidi="ar-SA"/>
        </w:rPr>
        <w:t>。</w:t>
      </w:r>
    </w:p>
    <w:p w14:paraId="333033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本项目位于</w:t>
      </w:r>
      <w:r>
        <w:rPr>
          <w:rFonts w:hint="eastAsia" w:cs="Times New Roman"/>
          <w:kern w:val="2"/>
          <w:sz w:val="24"/>
          <w:szCs w:val="24"/>
          <w:lang w:val="en-US" w:eastAsia="zh-CN" w:bidi="ar-SA"/>
        </w:rPr>
        <w:t>第七师胡杨河市125团14连，属于兵团系统</w:t>
      </w:r>
      <w:r>
        <w:rPr>
          <w:rFonts w:hint="eastAsia" w:ascii="Times New Roman" w:hAnsi="Times New Roman" w:eastAsia="宋体" w:cs="Times New Roman"/>
          <w:kern w:val="2"/>
          <w:sz w:val="24"/>
          <w:szCs w:val="24"/>
          <w:lang w:val="en-US" w:eastAsia="zh-CN" w:bidi="ar-SA"/>
        </w:rPr>
        <w:t>，建设规模化养殖基地，引进优良西门塔尔牛</w:t>
      </w:r>
      <w:r>
        <w:rPr>
          <w:rFonts w:hint="eastAsia" w:cs="Times New Roman"/>
          <w:kern w:val="2"/>
          <w:sz w:val="24"/>
          <w:szCs w:val="24"/>
          <w:lang w:val="en-US" w:eastAsia="zh-CN" w:bidi="ar-SA"/>
        </w:rPr>
        <w:t>、西门塔尔杂交牛以及褐牛</w:t>
      </w:r>
      <w:r>
        <w:rPr>
          <w:rFonts w:hint="eastAsia" w:ascii="Times New Roman" w:hAnsi="Times New Roman" w:eastAsia="宋体" w:cs="Times New Roman"/>
          <w:kern w:val="2"/>
          <w:sz w:val="24"/>
          <w:szCs w:val="24"/>
          <w:lang w:val="en-US" w:eastAsia="zh-CN" w:bidi="ar-SA"/>
        </w:rPr>
        <w:t>进行规模化育肥，</w:t>
      </w:r>
      <w:r>
        <w:rPr>
          <w:rFonts w:hint="eastAsia" w:cs="Times New Roman"/>
          <w:kern w:val="2"/>
          <w:sz w:val="24"/>
          <w:szCs w:val="24"/>
          <w:lang w:val="en-US" w:eastAsia="zh-CN" w:bidi="ar-SA"/>
        </w:rPr>
        <w:t>计划年存栏育肥牛3000头，在</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de-DE" w:eastAsia="zh-CN" w:bidi="ar-SA"/>
        </w:rPr>
        <w:t>新疆维吾尔自治区畜牧业</w:t>
      </w:r>
      <w:r>
        <w:rPr>
          <w:rFonts w:hint="eastAsia"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十四五</w:t>
      </w:r>
      <w:r>
        <w:rPr>
          <w:rFonts w:hint="eastAsia"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发展规划》</w:t>
      </w:r>
      <w:r>
        <w:rPr>
          <w:rFonts w:hint="eastAsia" w:cs="Times New Roman"/>
          <w:kern w:val="2"/>
          <w:sz w:val="24"/>
          <w:szCs w:val="24"/>
          <w:lang w:val="en-US" w:eastAsia="zh-CN" w:bidi="ar-SA"/>
        </w:rPr>
        <w:t>兵团系统发展目标范围内</w:t>
      </w:r>
      <w:r>
        <w:rPr>
          <w:rFonts w:hint="eastAsia" w:ascii="Times New Roman" w:hAnsi="Times New Roman" w:eastAsia="宋体" w:cs="Times New Roman"/>
          <w:kern w:val="2"/>
          <w:sz w:val="24"/>
          <w:szCs w:val="24"/>
          <w:lang w:val="en-US" w:eastAsia="zh-CN" w:bidi="ar-SA"/>
        </w:rPr>
        <w:t>；本项目</w:t>
      </w:r>
      <w:r>
        <w:rPr>
          <w:rFonts w:hint="default" w:ascii="Times New Roman" w:hAnsi="Times New Roman" w:eastAsia="宋体" w:cs="Times New Roman"/>
          <w:kern w:val="2"/>
          <w:sz w:val="24"/>
          <w:szCs w:val="24"/>
        </w:rPr>
        <w:t>饲料以</w:t>
      </w:r>
      <w:r>
        <w:rPr>
          <w:rFonts w:hint="eastAsia" w:cs="Times New Roman"/>
          <w:kern w:val="2"/>
          <w:sz w:val="24"/>
          <w:szCs w:val="24"/>
          <w:lang w:val="en-US" w:eastAsia="zh-CN"/>
        </w:rPr>
        <w:t>青储料为</w:t>
      </w:r>
      <w:r>
        <w:rPr>
          <w:rFonts w:hint="default" w:ascii="Times New Roman" w:hAnsi="Times New Roman" w:eastAsia="宋体" w:cs="Times New Roman"/>
          <w:kern w:val="2"/>
          <w:sz w:val="24"/>
          <w:szCs w:val="24"/>
        </w:rPr>
        <w:t>主</w:t>
      </w:r>
      <w:r>
        <w:rPr>
          <w:rFonts w:hint="eastAsia" w:eastAsia="宋体" w:cs="Times New Roman"/>
          <w:kern w:val="2"/>
          <w:sz w:val="24"/>
          <w:szCs w:val="24"/>
          <w:lang w:eastAsia="zh-CN"/>
        </w:rPr>
        <w:t>，</w:t>
      </w:r>
      <w:r>
        <w:rPr>
          <w:rFonts w:hint="eastAsia" w:eastAsia="宋体" w:cs="Times New Roman"/>
          <w:kern w:val="2"/>
          <w:sz w:val="24"/>
          <w:szCs w:val="24"/>
          <w:lang w:val="en-US" w:eastAsia="zh-CN"/>
        </w:rPr>
        <w:t>搭配粗饲料以及精饲料，根据不同育肥阶段需求更换日粮搭配方案，科学喂养。</w:t>
      </w:r>
      <w:r>
        <w:rPr>
          <w:rFonts w:hint="eastAsia" w:cs="Times New Roman"/>
          <w:kern w:val="2"/>
          <w:sz w:val="24"/>
          <w:szCs w:val="24"/>
          <w:lang w:val="en-US" w:eastAsia="zh-CN"/>
        </w:rPr>
        <w:t>青储料</w:t>
      </w:r>
      <w:r>
        <w:rPr>
          <w:rFonts w:hint="eastAsia" w:eastAsia="宋体" w:cs="Times New Roman"/>
          <w:kern w:val="2"/>
          <w:sz w:val="24"/>
          <w:szCs w:val="24"/>
          <w:lang w:val="en-US" w:eastAsia="zh-CN"/>
        </w:rPr>
        <w:t>选用</w:t>
      </w:r>
      <w:r>
        <w:rPr>
          <w:rFonts w:hint="default" w:ascii="Times New Roman" w:hAnsi="Times New Roman" w:eastAsia="宋体" w:cs="Times New Roman"/>
          <w:color w:val="auto"/>
          <w:kern w:val="0"/>
          <w:sz w:val="24"/>
          <w:szCs w:val="24"/>
          <w:lang w:val="en-US" w:eastAsia="zh-CN"/>
        </w:rPr>
        <w:t>玉米</w:t>
      </w:r>
      <w:r>
        <w:rPr>
          <w:rFonts w:hint="eastAsia" w:cs="Times New Roman"/>
          <w:color w:val="auto"/>
          <w:kern w:val="0"/>
          <w:sz w:val="24"/>
          <w:szCs w:val="24"/>
          <w:lang w:val="en-US" w:eastAsia="zh-CN"/>
        </w:rPr>
        <w:t>秸秆</w:t>
      </w:r>
      <w:r>
        <w:rPr>
          <w:rFonts w:hint="eastAsia" w:eastAsia="宋体" w:cs="Times New Roman"/>
          <w:color w:val="auto"/>
          <w:kern w:val="0"/>
          <w:sz w:val="24"/>
          <w:szCs w:val="24"/>
          <w:lang w:val="en-US" w:eastAsia="zh-CN"/>
        </w:rPr>
        <w:t>，能够提高农作物秸秆资源化利用效率。</w:t>
      </w:r>
      <w:r>
        <w:rPr>
          <w:rFonts w:hint="default" w:ascii="Times New Roman" w:hAnsi="Times New Roman" w:eastAsia="宋体" w:cs="Times New Roman"/>
          <w:kern w:val="2"/>
          <w:sz w:val="24"/>
          <w:szCs w:val="24"/>
          <w:lang w:val="en-US" w:eastAsia="zh-CN" w:bidi="ar-SA"/>
        </w:rPr>
        <w:t>本项目的建设可有效提升集约化养殖规模和水平，</w:t>
      </w:r>
      <w:r>
        <w:rPr>
          <w:rFonts w:hint="default" w:ascii="Times New Roman" w:hAnsi="Times New Roman" w:eastAsia="宋体" w:cs="Times New Roman"/>
          <w:color w:val="000000"/>
          <w:sz w:val="24"/>
          <w:szCs w:val="24"/>
          <w:lang w:val="en-US" w:eastAsia="zh-CN"/>
        </w:rPr>
        <w:t>采用</w:t>
      </w:r>
      <w:r>
        <w:rPr>
          <w:rFonts w:hint="eastAsia" w:cs="Times New Roman"/>
          <w:color w:val="000000"/>
          <w:sz w:val="24"/>
          <w:szCs w:val="24"/>
          <w:lang w:eastAsia="zh-CN"/>
        </w:rPr>
        <w:t>“</w:t>
      </w:r>
      <w:r>
        <w:rPr>
          <w:rFonts w:hint="default" w:ascii="Times New Roman" w:hAnsi="Times New Roman" w:cs="Times New Roman"/>
          <w:color w:val="000000"/>
          <w:sz w:val="24"/>
          <w:szCs w:val="24"/>
          <w:lang w:val="en-US" w:eastAsia="zh-CN"/>
        </w:rPr>
        <w:t>原位发酵</w:t>
      </w:r>
      <w:r>
        <w:rPr>
          <w:rFonts w:hint="eastAsia" w:cs="Times New Roman"/>
          <w:color w:val="000000"/>
          <w:sz w:val="24"/>
          <w:szCs w:val="24"/>
          <w:lang w:eastAsia="zh-CN"/>
        </w:rPr>
        <w:t>”</w:t>
      </w:r>
      <w:r>
        <w:rPr>
          <w:rFonts w:hint="default" w:ascii="Times New Roman" w:hAnsi="Times New Roman" w:eastAsia="宋体" w:cs="Times New Roman"/>
          <w:color w:val="000000"/>
          <w:sz w:val="24"/>
          <w:szCs w:val="24"/>
        </w:rPr>
        <w:t>模式，</w:t>
      </w:r>
      <w:r>
        <w:rPr>
          <w:rFonts w:hint="default" w:ascii="Times New Roman" w:hAnsi="Times New Roman" w:cs="Times New Roman"/>
          <w:color w:val="000000"/>
          <w:sz w:val="24"/>
          <w:szCs w:val="24"/>
          <w:lang w:val="en-US" w:eastAsia="zh-CN"/>
        </w:rPr>
        <w:t>牛圈</w:t>
      </w:r>
      <w:r>
        <w:rPr>
          <w:rFonts w:hint="default" w:ascii="Times New Roman" w:hAnsi="Times New Roman" w:eastAsia="宋体" w:cs="Times New Roman"/>
          <w:color w:val="auto"/>
          <w:sz w:val="24"/>
          <w:szCs w:val="24"/>
          <w:lang w:val="en-US" w:eastAsia="zh-CN"/>
        </w:rPr>
        <w:t>定期更换的发酵垫料</w:t>
      </w:r>
      <w:r>
        <w:rPr>
          <w:rFonts w:hint="default" w:ascii="Times New Roman" w:hAnsi="Times New Roman" w:cs="Times New Roman"/>
          <w:color w:val="auto"/>
          <w:sz w:val="24"/>
          <w:szCs w:val="24"/>
          <w:lang w:val="en-US" w:eastAsia="zh-CN"/>
        </w:rPr>
        <w:t>以及牛粪</w:t>
      </w:r>
      <w:r>
        <w:rPr>
          <w:rFonts w:hint="default" w:ascii="Times New Roman" w:hAnsi="Times New Roman" w:eastAsia="宋体" w:cs="Times New Roman"/>
          <w:color w:val="auto"/>
          <w:sz w:val="24"/>
          <w:szCs w:val="24"/>
        </w:rPr>
        <w:t>按规范要求无害化处置后</w:t>
      </w:r>
      <w:r>
        <w:rPr>
          <w:rFonts w:hint="default" w:ascii="Times New Roman" w:hAnsi="Times New Roman" w:cs="Times New Roman"/>
          <w:color w:val="auto"/>
          <w:sz w:val="24"/>
          <w:szCs w:val="24"/>
          <w:lang w:val="en-US" w:eastAsia="zh-CN"/>
        </w:rPr>
        <w:t>还田</w:t>
      </w:r>
      <w:r>
        <w:rPr>
          <w:rFonts w:hint="default" w:ascii="Times New Roman" w:hAnsi="Times New Roman" w:eastAsia="宋体" w:cs="Times New Roman"/>
          <w:color w:val="auto"/>
          <w:sz w:val="24"/>
          <w:szCs w:val="24"/>
        </w:rPr>
        <w:t>。因此，本项目能够形成</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畜禽</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粪便</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肥料</w:t>
      </w:r>
      <w:r>
        <w:rPr>
          <w:rFonts w:hint="eastAsia" w:cs="Times New Roman"/>
          <w:color w:val="auto"/>
          <w:sz w:val="24"/>
          <w:szCs w:val="24"/>
          <w:lang w:eastAsia="zh-CN"/>
        </w:rPr>
        <w:t>－</w:t>
      </w:r>
      <w:r>
        <w:rPr>
          <w:rFonts w:hint="default" w:ascii="Times New Roman" w:hAnsi="Times New Roman" w:cs="Times New Roman"/>
          <w:color w:val="auto"/>
          <w:sz w:val="24"/>
          <w:szCs w:val="24"/>
          <w:lang w:val="en-US" w:eastAsia="zh-CN"/>
        </w:rPr>
        <w:t>农田</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的良性循环</w:t>
      </w:r>
      <w:r>
        <w:rPr>
          <w:rFonts w:hint="default" w:ascii="Times New Roman" w:hAnsi="Times New Roman" w:eastAsia="宋体" w:cs="Times New Roman"/>
          <w:kern w:val="2"/>
          <w:sz w:val="24"/>
          <w:szCs w:val="24"/>
          <w:lang w:val="en-US" w:eastAsia="zh-CN" w:bidi="ar-SA"/>
        </w:rPr>
        <w:t>，符合</w:t>
      </w:r>
      <w:r>
        <w:rPr>
          <w:rFonts w:hint="default" w:ascii="Times New Roman" w:hAnsi="Times New Roman" w:eastAsia="宋体" w:cs="Times New Roman"/>
          <w:kern w:val="2"/>
          <w:sz w:val="24"/>
          <w:szCs w:val="24"/>
          <w:lang w:val="de-DE" w:eastAsia="zh-CN" w:bidi="ar-SA"/>
        </w:rPr>
        <w:t>《新疆维吾尔自治区畜牧业</w:t>
      </w:r>
      <w:r>
        <w:rPr>
          <w:rFonts w:hint="eastAsia"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十四五</w:t>
      </w:r>
      <w:r>
        <w:rPr>
          <w:rFonts w:hint="eastAsia"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发展规划》</w:t>
      </w:r>
      <w:r>
        <w:rPr>
          <w:rFonts w:hint="default" w:ascii="Times New Roman" w:hAnsi="Times New Roman" w:eastAsia="宋体" w:cs="Times New Roman"/>
          <w:kern w:val="2"/>
          <w:sz w:val="24"/>
          <w:szCs w:val="24"/>
          <w:lang w:val="en-US" w:eastAsia="zh-CN" w:bidi="ar-SA"/>
        </w:rPr>
        <w:t>相关要求</w:t>
      </w:r>
      <w:r>
        <w:rPr>
          <w:rFonts w:hint="eastAsia" w:ascii="Times New Roman" w:hAnsi="Times New Roman" w:eastAsia="宋体" w:cs="Times New Roman"/>
          <w:kern w:val="2"/>
          <w:sz w:val="24"/>
          <w:szCs w:val="24"/>
          <w:lang w:val="en-US" w:eastAsia="zh-CN" w:bidi="ar-SA"/>
        </w:rPr>
        <w:t>。</w:t>
      </w:r>
    </w:p>
    <w:p w14:paraId="44B7CC3F">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（4）与《第七师关于划定畜禽养殖禁养区和限养区的方案》符合性分析</w:t>
      </w:r>
    </w:p>
    <w:p w14:paraId="00EA6EA2">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（一）禁养区域</w:t>
      </w:r>
    </w:p>
    <w:p w14:paraId="3A0043FF">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七师依法划定的禁养区分为4大类，共计20个禁养区；</w:t>
      </w:r>
    </w:p>
    <w:p w14:paraId="5F097F46">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第一类饮用水水源保护区。包括饮用水水源一级保护区和二级保护区的陆域范围。第二类自然保护区。包括奎屯河湿地自然保护区的核心区、缓冲区和实验区。第三类城镇居规划区外延500米以内的区域。第四类法律法规规定的其他禁止建设养殖场的区域。</w:t>
      </w:r>
    </w:p>
    <w:p w14:paraId="493FA4F5">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1.饮用水源保护区</w:t>
      </w:r>
    </w:p>
    <w:p w14:paraId="17E7A70D">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依据《饮用水水源保护区划分技术规范》（HJ/T 338-2007）要求划分。其中，饮水水源保护一级保护区内禁止建设养殖场。饮用水水源二级保护区禁止建设有污染物排放的养殖场</w:t>
      </w:r>
      <w:r>
        <w:rPr>
          <w:rFonts w:hint="eastAsia"/>
          <w:kern w:val="1"/>
          <w:sz w:val="24"/>
          <w:lang w:eastAsia="zh-CN"/>
        </w:rPr>
        <w:t>（</w:t>
      </w:r>
      <w:r>
        <w:rPr>
          <w:rFonts w:hint="eastAsia" w:ascii="Times New Roman" w:hAnsi="Times New Roman"/>
          <w:kern w:val="1"/>
          <w:sz w:val="24"/>
        </w:rPr>
        <w:t>注：畜禽粪便、养殖废水、沼渣、沼液等经过无害化处理用作肥料还田，符合法律法规要求以及国家和地方相关标准不造成环境污染的，不属于排放污染物</w:t>
      </w:r>
      <w:r>
        <w:rPr>
          <w:rFonts w:hint="eastAsia"/>
          <w:kern w:val="1"/>
          <w:sz w:val="24"/>
          <w:lang w:eastAsia="zh-CN"/>
        </w:rPr>
        <w:t>）</w:t>
      </w:r>
      <w:r>
        <w:rPr>
          <w:rFonts w:hint="eastAsia" w:ascii="Times New Roman" w:hAnsi="Times New Roman"/>
          <w:kern w:val="1"/>
          <w:sz w:val="24"/>
        </w:rPr>
        <w:t>。</w:t>
      </w:r>
    </w:p>
    <w:p w14:paraId="1FF3FF78">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七师饮用水水源地保护区划分2个禁养区，一是125团达子庙水源地，约11.7平方千米；二是124团高泉饮用水水源地，约0.027平方千米。</w:t>
      </w:r>
    </w:p>
    <w:p w14:paraId="0D6F6A13">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2.自然保护区</w:t>
      </w:r>
    </w:p>
    <w:p w14:paraId="65A57747">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按照各级人民政府公布的自然保护区范围执行，自然保护区核心区和缓冲区、实验区范围内，禁止建设养殖场。</w:t>
      </w:r>
    </w:p>
    <w:p w14:paraId="745FBCC2">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七师奎屯河湿地自然保护区范围为禁养区范围。</w:t>
      </w:r>
    </w:p>
    <w:p w14:paraId="486B0A1F">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3.城镇居民区</w:t>
      </w:r>
    </w:p>
    <w:p w14:paraId="6C4A5DB9">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结合七师天北新区城镇总体规划（2004</w:t>
      </w:r>
      <w:r>
        <w:rPr>
          <w:rFonts w:hint="eastAsia"/>
          <w:kern w:val="1"/>
          <w:sz w:val="24"/>
          <w:lang w:eastAsia="zh-CN"/>
        </w:rPr>
        <w:t>—</w:t>
      </w:r>
      <w:r>
        <w:rPr>
          <w:rFonts w:hint="eastAsia" w:ascii="Times New Roman" w:hAnsi="Times New Roman"/>
          <w:kern w:val="1"/>
          <w:sz w:val="24"/>
        </w:rPr>
        <w:t>2030年）和123团、124团、125团、126团、127团、128团、129团、胡杨河市、137团、1团共10个团场的城镇总体规划，确定七师城镇居民区禁养区总面积约145.295平方千米，其中天北新区38平方千米、123团11.59平方千米、124团2.37平方千米、125团8.84平方千米、126团3.87平方千米、127团2.82平方千米、128团2.36平方千米、129团3.045平方千米、胡杨河市57.15平方千米、137团3.25平方千米、1团12.0平方千米。</w:t>
      </w:r>
    </w:p>
    <w:p w14:paraId="7737D175">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4.法律法规规定的其他禁止建设养殖场的区域</w:t>
      </w:r>
    </w:p>
    <w:p w14:paraId="232F826A">
      <w:pPr>
        <w:adjustRightInd w:val="0"/>
        <w:snapToGrid w:val="0"/>
        <w:spacing w:line="360" w:lineRule="auto"/>
        <w:ind w:firstLine="480" w:firstLineChars="200"/>
        <w:rPr>
          <w:rFonts w:hint="eastAsia" w:ascii="Times New Roman" w:hAnsi="Times New Roman"/>
          <w:kern w:val="1"/>
          <w:sz w:val="24"/>
        </w:rPr>
      </w:pPr>
      <w:r>
        <w:rPr>
          <w:rFonts w:hint="eastAsia"/>
          <w:kern w:val="1"/>
          <w:sz w:val="24"/>
          <w:lang w:eastAsia="zh-CN"/>
        </w:rPr>
        <w:t>途经</w:t>
      </w:r>
      <w:r>
        <w:rPr>
          <w:rFonts w:hint="eastAsia" w:ascii="Times New Roman" w:hAnsi="Times New Roman"/>
          <w:kern w:val="1"/>
          <w:sz w:val="24"/>
        </w:rPr>
        <w:t>七师各团场城镇居民区范围的省级以上道路</w:t>
      </w:r>
      <w:r>
        <w:rPr>
          <w:rFonts w:hint="eastAsia"/>
          <w:kern w:val="1"/>
          <w:sz w:val="24"/>
          <w:lang w:eastAsia="zh-CN"/>
        </w:rPr>
        <w:t>：</w:t>
      </w:r>
      <w:r>
        <w:rPr>
          <w:rFonts w:hint="eastAsia" w:ascii="Times New Roman" w:hAnsi="Times New Roman"/>
          <w:kern w:val="1"/>
          <w:sz w:val="24"/>
        </w:rPr>
        <w:t>217国道、312国道、314国道、青北公路、前高公路、奎伊铁路等道路两侧外延500米范围均为禁养区。</w:t>
      </w:r>
    </w:p>
    <w:p w14:paraId="5AA0D6F8">
      <w:pPr>
        <w:adjustRightInd w:val="0"/>
        <w:snapToGrid w:val="0"/>
        <w:spacing w:line="360" w:lineRule="auto"/>
        <w:ind w:firstLine="480" w:firstLineChars="200"/>
        <w:rPr>
          <w:rFonts w:hint="eastAsia" w:ascii="Times New Roman" w:hAnsi="Times New Roman"/>
          <w:kern w:val="1"/>
          <w:sz w:val="24"/>
        </w:rPr>
      </w:pPr>
      <w:r>
        <w:rPr>
          <w:rFonts w:hint="eastAsia" w:ascii="Times New Roman" w:hAnsi="Times New Roman"/>
          <w:kern w:val="1"/>
          <w:sz w:val="24"/>
        </w:rPr>
        <w:t>（二）限养区域</w:t>
      </w:r>
    </w:p>
    <w:p w14:paraId="4B8FFC1D">
      <w:pPr>
        <w:adjustRightInd w:val="0"/>
        <w:snapToGrid w:val="0"/>
        <w:spacing w:line="360" w:lineRule="auto"/>
        <w:ind w:firstLine="480" w:firstLineChars="200"/>
        <w:rPr>
          <w:rFonts w:hint="eastAsia" w:ascii="Times New Roman" w:hAnsi="Times New Roman" w:eastAsia="宋体" w:cs="宋体"/>
          <w:color w:val="auto"/>
          <w:kern w:val="0"/>
          <w:sz w:val="24"/>
          <w:szCs w:val="22"/>
          <w:lang w:val="en-US" w:eastAsia="zh-CN"/>
        </w:rPr>
      </w:pPr>
      <w:r>
        <w:rPr>
          <w:rFonts w:hint="eastAsia" w:ascii="Times New Roman" w:hAnsi="Times New Roman"/>
          <w:kern w:val="1"/>
          <w:sz w:val="24"/>
        </w:rPr>
        <w:t xml:space="preserve"> 将七师123团、124团、125团、126团、127团、128团、129团、胡杨河市、137团、1团共10个城镇居民区禁养区外延500米范围内的区域划为限养区。</w:t>
      </w:r>
    </w:p>
    <w:p w14:paraId="6FB60E6A">
      <w:pPr>
        <w:adjustRightInd w:val="0"/>
        <w:snapToGrid w:val="0"/>
        <w:spacing w:line="360" w:lineRule="auto"/>
        <w:ind w:firstLine="480" w:firstLineChars="200"/>
        <w:rPr>
          <w:rFonts w:hint="eastAsia" w:cs="Times New Roman"/>
          <w:sz w:val="24"/>
          <w:szCs w:val="24"/>
          <w:highlight w:val="none"/>
          <w:lang w:val="en-US" w:eastAsia="zh-CN"/>
        </w:rPr>
      </w:pPr>
      <w:r>
        <w:rPr>
          <w:rFonts w:hint="eastAsia" w:ascii="Times New Roman" w:hAnsi="Times New Roman"/>
          <w:kern w:val="1"/>
          <w:sz w:val="24"/>
          <w:lang w:val="en-US" w:eastAsia="zh-CN"/>
        </w:rPr>
        <w:t>本项目距离125团达子庙饮用水水源地保护区18km，距离124团高泉饮用水水源地保护区54km，距离奎屯河7km，距离最近的城镇居民区125团城镇居民区1.7km，项目距离最近的省级主要道路217国道24km，距离前高公路1.8km，</w:t>
      </w:r>
      <w:r>
        <w:rPr>
          <w:rFonts w:hint="eastAsia" w:cs="Times New Roman"/>
          <w:sz w:val="24"/>
          <w:szCs w:val="24"/>
          <w:highlight w:val="none"/>
          <w:lang w:val="en-US" w:eastAsia="zh-CN"/>
        </w:rPr>
        <w:t>因此本项目不在</w:t>
      </w:r>
      <w:r>
        <w:rPr>
          <w:rFonts w:hint="eastAsia" w:cs="Times New Roman"/>
          <w:kern w:val="2"/>
          <w:sz w:val="24"/>
          <w:szCs w:val="24"/>
          <w:lang w:val="en-US" w:eastAsia="zh-CN" w:bidi="ar-SA"/>
        </w:rPr>
        <w:t>第七师胡杨河市划定的畜禽养殖</w:t>
      </w:r>
      <w:r>
        <w:rPr>
          <w:rFonts w:hint="eastAsia" w:cs="Times New Roman"/>
          <w:sz w:val="24"/>
          <w:szCs w:val="24"/>
          <w:highlight w:val="none"/>
          <w:lang w:val="en-US" w:eastAsia="zh-CN"/>
        </w:rPr>
        <w:t>禁养区、限养区范围内。项目设置500m</w:t>
      </w:r>
      <w:r>
        <w:rPr>
          <w:rFonts w:hint="default" w:ascii="Times New Roman" w:hAnsi="Times New Roman" w:eastAsia="宋体" w:cs="Times New Roman"/>
          <w:sz w:val="24"/>
          <w:szCs w:val="24"/>
          <w:highlight w:val="none"/>
          <w:lang w:val="en-US" w:eastAsia="zh-CN"/>
        </w:rPr>
        <w:t>卫生防护距离</w:t>
      </w:r>
      <w:r>
        <w:rPr>
          <w:rFonts w:hint="eastAsia" w:cs="Times New Roman"/>
          <w:sz w:val="24"/>
          <w:szCs w:val="24"/>
          <w:highlight w:val="none"/>
          <w:lang w:val="en-US" w:eastAsia="zh-CN"/>
        </w:rPr>
        <w:t>，项目区500m范围内无</w:t>
      </w:r>
      <w:r>
        <w:rPr>
          <w:rFonts w:hint="default" w:ascii="Times New Roman" w:hAnsi="Times New Roman" w:eastAsia="宋体" w:cs="Times New Roman"/>
          <w:sz w:val="24"/>
          <w:szCs w:val="24"/>
          <w:highlight w:val="none"/>
          <w:lang w:val="en-US" w:eastAsia="zh-CN"/>
        </w:rPr>
        <w:t>乡镇街道居民区、文教科研区、自然保护区、医疗区等人口集中地区</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lang w:val="en-US" w:eastAsia="zh-CN"/>
        </w:rPr>
        <w:t>城市和城镇中心城区</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lang w:val="en-US" w:eastAsia="zh-CN"/>
        </w:rPr>
        <w:t>集镇规划区、学校、医院等公共场所划定区域</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lang w:val="en-US" w:eastAsia="zh-CN"/>
        </w:rPr>
        <w:t>行政村、自然村人口聚集区及规划区</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lang w:val="en-US" w:eastAsia="zh-CN"/>
        </w:rPr>
        <w:t>风景名胜区、旅游度假区、文物历史遗迹保护区范围</w:t>
      </w:r>
      <w:r>
        <w:rPr>
          <w:rFonts w:hint="eastAsia" w:cs="Times New Roman"/>
          <w:sz w:val="24"/>
          <w:szCs w:val="24"/>
          <w:highlight w:val="none"/>
          <w:lang w:val="en-US" w:eastAsia="zh-CN"/>
        </w:rPr>
        <w:t>；无第七师胡杨河市</w:t>
      </w:r>
      <w:r>
        <w:rPr>
          <w:rFonts w:hint="default" w:ascii="Times New Roman" w:hAnsi="Times New Roman" w:eastAsia="宋体" w:cs="Times New Roman"/>
          <w:sz w:val="24"/>
          <w:szCs w:val="24"/>
          <w:highlight w:val="none"/>
          <w:lang w:val="en-US" w:eastAsia="zh-CN"/>
        </w:rPr>
        <w:t>已划定的基本草场</w:t>
      </w:r>
      <w:r>
        <w:rPr>
          <w:rFonts w:hint="eastAsia" w:cs="Times New Roman"/>
          <w:sz w:val="24"/>
          <w:szCs w:val="24"/>
          <w:highlight w:val="none"/>
          <w:lang w:val="en-US" w:eastAsia="zh-CN"/>
        </w:rPr>
        <w:t>、基本农田以及公益林；无</w:t>
      </w:r>
      <w:r>
        <w:rPr>
          <w:rFonts w:hint="default" w:ascii="Times New Roman" w:hAnsi="Times New Roman" w:eastAsia="宋体" w:cs="Times New Roman"/>
          <w:sz w:val="24"/>
          <w:szCs w:val="24"/>
          <w:highlight w:val="none"/>
          <w:lang w:val="en-US" w:eastAsia="zh-CN"/>
        </w:rPr>
        <w:t>水源地、农村饮用水水源地等一级、二级保护区等</w:t>
      </w:r>
      <w:r>
        <w:rPr>
          <w:rFonts w:hint="eastAsia" w:ascii="Times New Roman" w:hAnsi="Times New Roman" w:eastAsia="宋体" w:cs="Times New Roman"/>
          <w:sz w:val="24"/>
          <w:szCs w:val="24"/>
          <w:highlight w:val="none"/>
          <w:lang w:val="en-US" w:eastAsia="zh-CN"/>
        </w:rPr>
        <w:t>环境保护目标</w:t>
      </w:r>
      <w:r>
        <w:rPr>
          <w:rFonts w:hint="eastAsia" w:cs="Times New Roman"/>
          <w:sz w:val="24"/>
          <w:szCs w:val="24"/>
          <w:highlight w:val="none"/>
          <w:lang w:val="en-US" w:eastAsia="zh-CN"/>
        </w:rPr>
        <w:t>；</w:t>
      </w:r>
    </w:p>
    <w:p w14:paraId="725ACEF6">
      <w:pPr>
        <w:adjustRightInd w:val="0"/>
        <w:snapToGrid w:val="0"/>
        <w:spacing w:line="360" w:lineRule="auto"/>
        <w:ind w:firstLine="480" w:firstLineChars="200"/>
        <w:rPr>
          <w:rFonts w:hint="default" w:ascii="Times New Roman" w:hAnsi="Times New Roman"/>
          <w:kern w:val="1"/>
          <w:sz w:val="24"/>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eastAsia" w:cs="Times New Roman"/>
          <w:sz w:val="24"/>
          <w:szCs w:val="24"/>
          <w:highlight w:val="none"/>
          <w:lang w:val="en-US" w:eastAsia="zh-CN"/>
        </w:rPr>
        <w:t>项目建设规模化养殖基地，不采用牧养方式，不影响区域生态平衡，符合</w:t>
      </w:r>
      <w:r>
        <w:rPr>
          <w:rFonts w:hint="default" w:ascii="Times New Roman" w:hAnsi="Times New Roman" w:eastAsia="宋体" w:cs="Times New Roman"/>
          <w:sz w:val="24"/>
          <w:szCs w:val="24"/>
          <w:highlight w:val="none"/>
          <w:lang w:val="en-US" w:eastAsia="zh-CN"/>
        </w:rPr>
        <w:t>《中华人民共和国动物防疫法</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中华人民共和国环境保护法</w:t>
      </w:r>
      <w:r>
        <w:rPr>
          <w:rFonts w:hint="eastAsia" w:cs="Times New Roman"/>
          <w:sz w:val="24"/>
          <w:szCs w:val="24"/>
          <w:highlight w:val="none"/>
          <w:lang w:val="en-US" w:eastAsia="zh-CN"/>
        </w:rPr>
        <w:t>》等各项要求，</w:t>
      </w:r>
      <w:r>
        <w:rPr>
          <w:rFonts w:hint="eastAsia" w:ascii="Times New Roman" w:hAnsi="Times New Roman" w:eastAsia="宋体" w:cs="Times New Roman"/>
          <w:bCs/>
          <w:kern w:val="2"/>
          <w:sz w:val="24"/>
          <w:szCs w:val="24"/>
          <w:lang w:val="en-US" w:eastAsia="zh-CN" w:bidi="ar-SA"/>
        </w:rPr>
        <w:t>本项目</w:t>
      </w:r>
      <w:r>
        <w:rPr>
          <w:rFonts w:hint="eastAsia" w:cs="Times New Roman"/>
          <w:bCs/>
          <w:kern w:val="2"/>
          <w:sz w:val="24"/>
          <w:szCs w:val="24"/>
          <w:lang w:val="en-US" w:eastAsia="zh-CN" w:bidi="ar-SA"/>
        </w:rPr>
        <w:t>牛舍、运动场、牛圈、饲喂凉棚等均</w:t>
      </w:r>
      <w:r>
        <w:rPr>
          <w:rFonts w:hint="eastAsia" w:ascii="Times New Roman" w:hAnsi="Times New Roman" w:eastAsia="宋体" w:cs="Times New Roman"/>
          <w:bCs/>
          <w:kern w:val="2"/>
          <w:sz w:val="24"/>
          <w:szCs w:val="24"/>
          <w:lang w:val="en-US" w:eastAsia="zh-CN" w:bidi="ar-SA"/>
        </w:rPr>
        <w:t>采用</w:t>
      </w:r>
      <w:r>
        <w:rPr>
          <w:rFonts w:hint="eastAsia" w:cs="Times New Roman"/>
          <w:bCs/>
          <w:kern w:val="2"/>
          <w:sz w:val="24"/>
          <w:szCs w:val="24"/>
          <w:lang w:val="en-US" w:eastAsia="zh-CN" w:bidi="ar-SA"/>
        </w:rPr>
        <w:t>原位发酵</w:t>
      </w:r>
      <w:r>
        <w:rPr>
          <w:rFonts w:hint="eastAsia" w:ascii="Times New Roman" w:hAnsi="Times New Roman" w:eastAsia="宋体" w:cs="Times New Roman"/>
          <w:bCs/>
          <w:kern w:val="2"/>
          <w:sz w:val="24"/>
          <w:szCs w:val="24"/>
          <w:lang w:val="en-US" w:eastAsia="zh-CN" w:bidi="ar-SA"/>
        </w:rPr>
        <w:t>工艺，畜禽养殖雨污分流，</w:t>
      </w:r>
      <w:r>
        <w:rPr>
          <w:rFonts w:hint="eastAsia" w:cs="Times New Roman"/>
          <w:bCs/>
          <w:kern w:val="2"/>
          <w:sz w:val="24"/>
          <w:szCs w:val="24"/>
          <w:lang w:val="en-US" w:eastAsia="zh-CN" w:bidi="ar-SA"/>
        </w:rPr>
        <w:t>无害化处理后</w:t>
      </w:r>
      <w:r>
        <w:rPr>
          <w:rFonts w:hint="eastAsia" w:ascii="Times New Roman" w:hAnsi="Times New Roman" w:eastAsia="宋体" w:cs="Times New Roman"/>
          <w:bCs/>
          <w:kern w:val="2"/>
          <w:sz w:val="24"/>
          <w:szCs w:val="24"/>
          <w:lang w:val="en-US" w:eastAsia="zh-CN" w:bidi="ar-SA"/>
        </w:rPr>
        <w:t>的</w:t>
      </w:r>
      <w:r>
        <w:rPr>
          <w:rFonts w:hint="eastAsia" w:cs="Times New Roman"/>
          <w:bCs/>
          <w:kern w:val="2"/>
          <w:sz w:val="24"/>
          <w:szCs w:val="24"/>
          <w:lang w:val="en-US" w:eastAsia="zh-CN" w:bidi="ar-SA"/>
        </w:rPr>
        <w:t>粪污和发酵垫料</w:t>
      </w:r>
      <w:r>
        <w:rPr>
          <w:rFonts w:hint="eastAsia" w:ascii="Times New Roman" w:hAnsi="Times New Roman" w:eastAsia="宋体" w:cs="Times New Roman"/>
          <w:bCs/>
          <w:kern w:val="2"/>
          <w:sz w:val="24"/>
          <w:szCs w:val="24"/>
          <w:lang w:val="en-US" w:eastAsia="zh-CN" w:bidi="ar-SA"/>
        </w:rPr>
        <w:t>均作为肥料还田，不直接向环境排放。</w:t>
      </w:r>
      <w:r>
        <w:rPr>
          <w:rFonts w:hint="eastAsia" w:ascii="Times New Roman" w:hAnsi="Times New Roman" w:eastAsia="宋体" w:cs="Times New Roman"/>
          <w:bCs/>
          <w:kern w:val="2"/>
          <w:sz w:val="24"/>
          <w:szCs w:val="24"/>
          <w:highlight w:val="none"/>
          <w:lang w:val="en-US" w:eastAsia="zh-CN" w:bidi="ar-SA"/>
        </w:rPr>
        <w:t>本项目病死牛根据</w:t>
      </w:r>
      <w:r>
        <w:rPr>
          <w:rFonts w:hint="default" w:ascii="Times New Roman" w:hAnsi="Times New Roman" w:eastAsia="宋体" w:cs="Times New Roman"/>
          <w:color w:val="auto"/>
          <w:kern w:val="2"/>
          <w:sz w:val="24"/>
          <w:szCs w:val="24"/>
          <w:highlight w:val="none"/>
          <w:lang w:val="en-US" w:eastAsia="zh-CN" w:bidi="ar-SA"/>
        </w:rPr>
        <w:t>《畜禽养殖业污染防治技术规范》（HJ/T81-2001）</w:t>
      </w:r>
      <w:r>
        <w:rPr>
          <w:rFonts w:hint="eastAsia" w:cs="Times New Roman"/>
          <w:color w:val="auto"/>
          <w:kern w:val="2"/>
          <w:sz w:val="24"/>
          <w:szCs w:val="24"/>
          <w:highlight w:val="none"/>
          <w:lang w:val="en-US" w:eastAsia="zh-CN" w:bidi="ar-SA"/>
        </w:rPr>
        <w:t>委托无害化处理单位进行无害化处理，由无害化处理单位配套的病死畜禽专用运输车辆运输</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lang w:val="en-US" w:eastAsia="zh-CN" w:bidi="ar-SA"/>
        </w:rPr>
        <w:t>符合《第七师关于划定畜禽养殖禁养区和限养区的方案》</w:t>
      </w:r>
      <w:r>
        <w:rPr>
          <w:rFonts w:hint="eastAsia" w:ascii="Times New Roman" w:hAnsi="Times New Roman" w:eastAsia="宋体" w:cs="Times New Roman"/>
          <w:kern w:val="2"/>
          <w:sz w:val="24"/>
          <w:szCs w:val="24"/>
          <w:lang w:val="en-US" w:eastAsia="zh-CN" w:bidi="ar-SA"/>
        </w:rPr>
        <w:t>相关要求。</w:t>
      </w:r>
    </w:p>
    <w:p w14:paraId="193939E5">
      <w:pPr>
        <w:spacing w:line="360" w:lineRule="auto"/>
        <w:ind w:firstLine="482" w:firstLineChars="200"/>
        <w:jc w:val="center"/>
        <w:rPr>
          <w:rFonts w:ascii="Times New Roman" w:hAnsi="Times New Roman" w:eastAsia="宋体" w:cs="Times New Roman"/>
          <w:b/>
          <w:sz w:val="24"/>
          <w:szCs w:val="24"/>
        </w:rPr>
      </w:pPr>
      <w:r>
        <w:rPr>
          <w:rFonts w:ascii="Times New Roman" w:hAnsi="宋体" w:eastAsia="宋体" w:cs="Times New Roman"/>
          <w:b/>
          <w:sz w:val="24"/>
          <w:szCs w:val="24"/>
        </w:rPr>
        <w:t>表</w:t>
      </w:r>
      <w:r>
        <w:rPr>
          <w:rFonts w:hint="eastAsia" w:ascii="Times New Roman" w:hAnsi="Times New Roman" w:eastAsia="宋体" w:cs="Times New Roman"/>
          <w:b/>
          <w:sz w:val="24"/>
          <w:szCs w:val="24"/>
          <w:lang w:val="en-US" w:eastAsia="zh-CN"/>
        </w:rPr>
        <w:t>1.4-1第七师畜禽养殖禁养区和限养区划定表</w:t>
      </w:r>
    </w:p>
    <w:tbl>
      <w:tblPr>
        <w:tblStyle w:val="20"/>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0"/>
        <w:gridCol w:w="370"/>
        <w:gridCol w:w="650"/>
        <w:gridCol w:w="720"/>
        <w:gridCol w:w="2115"/>
        <w:gridCol w:w="660"/>
        <w:gridCol w:w="975"/>
        <w:gridCol w:w="2475"/>
        <w:gridCol w:w="3930"/>
        <w:gridCol w:w="669"/>
        <w:gridCol w:w="909"/>
      </w:tblGrid>
      <w:tr w14:paraId="26086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243" w:type="pct"/>
            <w:tcBorders>
              <w:tl2br w:val="nil"/>
              <w:tr2bl w:val="nil"/>
            </w:tcBorders>
            <w:noWrap w:val="0"/>
            <w:vAlign w:val="center"/>
          </w:tcPr>
          <w:p w14:paraId="5838A7A7">
            <w:pPr>
              <w:widowControl/>
              <w:adjustRightInd w:val="0"/>
              <w:snapToGrid w:val="0"/>
              <w:jc w:val="center"/>
              <w:rPr>
                <w:rFonts w:ascii="Times New Roman" w:hAnsi="Times New Roman" w:eastAsia="宋体" w:cs="Times New Roman"/>
                <w:b/>
                <w:bCs w:val="0"/>
                <w:kern w:val="0"/>
                <w:sz w:val="21"/>
                <w:szCs w:val="21"/>
              </w:rPr>
            </w:pPr>
            <w:r>
              <w:rPr>
                <w:rFonts w:ascii="Times New Roman" w:hAnsi="宋体" w:eastAsia="宋体" w:cs="Times New Roman"/>
                <w:b/>
                <w:bCs w:val="0"/>
                <w:kern w:val="0"/>
                <w:sz w:val="21"/>
                <w:szCs w:val="21"/>
              </w:rPr>
              <w:t>分类序号</w:t>
            </w:r>
          </w:p>
        </w:tc>
        <w:tc>
          <w:tcPr>
            <w:tcW w:w="130" w:type="pct"/>
            <w:tcBorders>
              <w:tl2br w:val="nil"/>
              <w:tr2bl w:val="nil"/>
            </w:tcBorders>
            <w:noWrap w:val="0"/>
            <w:vAlign w:val="center"/>
          </w:tcPr>
          <w:p w14:paraId="692E4671">
            <w:pPr>
              <w:widowControl/>
              <w:adjustRightInd w:val="0"/>
              <w:snapToGrid w:val="0"/>
              <w:jc w:val="center"/>
              <w:rPr>
                <w:rFonts w:ascii="Times New Roman" w:hAnsi="Times New Roman" w:eastAsia="宋体" w:cs="Times New Roman"/>
                <w:b/>
                <w:bCs w:val="0"/>
                <w:kern w:val="0"/>
                <w:sz w:val="21"/>
                <w:szCs w:val="21"/>
              </w:rPr>
            </w:pPr>
            <w:r>
              <w:rPr>
                <w:rFonts w:ascii="Times New Roman" w:hAnsi="宋体" w:eastAsia="宋体" w:cs="Times New Roman"/>
                <w:b/>
                <w:bCs w:val="0"/>
                <w:kern w:val="0"/>
                <w:sz w:val="21"/>
                <w:szCs w:val="21"/>
              </w:rPr>
              <w:t>分类</w:t>
            </w:r>
          </w:p>
        </w:tc>
        <w:tc>
          <w:tcPr>
            <w:tcW w:w="229" w:type="pct"/>
            <w:tcBorders>
              <w:tl2br w:val="nil"/>
              <w:tr2bl w:val="nil"/>
            </w:tcBorders>
            <w:noWrap w:val="0"/>
            <w:vAlign w:val="center"/>
          </w:tcPr>
          <w:p w14:paraId="0EBF3CF4">
            <w:pPr>
              <w:widowControl/>
              <w:adjustRightInd w:val="0"/>
              <w:snapToGrid w:val="0"/>
              <w:jc w:val="center"/>
              <w:rPr>
                <w:rFonts w:ascii="Times New Roman" w:hAnsi="Times New Roman" w:eastAsia="宋体" w:cs="Times New Roman"/>
                <w:b/>
                <w:bCs w:val="0"/>
                <w:kern w:val="0"/>
                <w:sz w:val="21"/>
                <w:szCs w:val="21"/>
              </w:rPr>
            </w:pPr>
            <w:r>
              <w:rPr>
                <w:rFonts w:ascii="Times New Roman" w:hAnsi="宋体" w:eastAsia="宋体" w:cs="Times New Roman"/>
                <w:b/>
                <w:bCs w:val="0"/>
                <w:kern w:val="0"/>
                <w:sz w:val="21"/>
                <w:szCs w:val="21"/>
              </w:rPr>
              <w:t>禁养区序号</w:t>
            </w:r>
          </w:p>
        </w:tc>
        <w:tc>
          <w:tcPr>
            <w:tcW w:w="254" w:type="pct"/>
            <w:tcBorders>
              <w:tl2br w:val="nil"/>
              <w:tr2bl w:val="nil"/>
            </w:tcBorders>
            <w:noWrap w:val="0"/>
            <w:vAlign w:val="center"/>
          </w:tcPr>
          <w:p w14:paraId="4D80FEE9">
            <w:pPr>
              <w:widowControl/>
              <w:adjustRightInd w:val="0"/>
              <w:snapToGrid w:val="0"/>
              <w:jc w:val="center"/>
              <w:rPr>
                <w:rFonts w:ascii="Times New Roman" w:hAnsi="Times New Roman" w:eastAsia="宋体" w:cs="Times New Roman"/>
                <w:b/>
                <w:bCs w:val="0"/>
                <w:kern w:val="0"/>
                <w:sz w:val="21"/>
                <w:szCs w:val="21"/>
              </w:rPr>
            </w:pPr>
            <w:r>
              <w:rPr>
                <w:rFonts w:ascii="Times New Roman" w:hAnsi="宋体" w:eastAsia="宋体" w:cs="Times New Roman"/>
                <w:b/>
                <w:bCs w:val="0"/>
                <w:kern w:val="0"/>
                <w:sz w:val="21"/>
                <w:szCs w:val="21"/>
              </w:rPr>
              <w:t>禁养区名称</w:t>
            </w:r>
          </w:p>
        </w:tc>
        <w:tc>
          <w:tcPr>
            <w:tcW w:w="746" w:type="pct"/>
            <w:tcBorders>
              <w:tl2br w:val="nil"/>
              <w:tr2bl w:val="nil"/>
            </w:tcBorders>
            <w:noWrap w:val="0"/>
            <w:vAlign w:val="center"/>
          </w:tcPr>
          <w:p w14:paraId="6FF436A6">
            <w:pPr>
              <w:widowControl/>
              <w:adjustRightInd w:val="0"/>
              <w:snapToGrid w:val="0"/>
              <w:jc w:val="center"/>
              <w:rPr>
                <w:rFonts w:hint="default" w:ascii="Times New Roman" w:hAnsi="Times New Roman" w:eastAsia="宋体" w:cs="Times New Roman"/>
                <w:b/>
                <w:bCs w:val="0"/>
                <w:kern w:val="0"/>
                <w:sz w:val="21"/>
                <w:szCs w:val="21"/>
                <w:lang w:val="en-US" w:eastAsia="zh-CN"/>
              </w:rPr>
            </w:pPr>
            <w:r>
              <w:rPr>
                <w:rFonts w:hint="eastAsia" w:hAnsi="宋体" w:cs="Times New Roman"/>
                <w:b/>
                <w:bCs w:val="0"/>
                <w:kern w:val="0"/>
                <w:sz w:val="21"/>
                <w:szCs w:val="21"/>
                <w:lang w:val="en-US" w:eastAsia="zh-CN"/>
              </w:rPr>
              <w:t>规划区界限</w:t>
            </w:r>
          </w:p>
        </w:tc>
        <w:tc>
          <w:tcPr>
            <w:tcW w:w="233" w:type="pct"/>
            <w:tcBorders>
              <w:tl2br w:val="nil"/>
              <w:tr2bl w:val="nil"/>
            </w:tcBorders>
            <w:noWrap w:val="0"/>
            <w:vAlign w:val="center"/>
          </w:tcPr>
          <w:p w14:paraId="10DB1E05">
            <w:pPr>
              <w:widowControl/>
              <w:adjustRightInd w:val="0"/>
              <w:snapToGrid w:val="0"/>
              <w:jc w:val="center"/>
              <w:rPr>
                <w:rFonts w:hint="eastAsia" w:ascii="Times New Roman" w:hAnsi="宋体" w:eastAsia="宋体" w:cs="Times New Roman"/>
                <w:b/>
                <w:bCs w:val="0"/>
                <w:kern w:val="0"/>
                <w:sz w:val="21"/>
                <w:szCs w:val="21"/>
                <w:lang w:val="en-US" w:eastAsia="zh-CN"/>
              </w:rPr>
            </w:pPr>
            <w:r>
              <w:rPr>
                <w:rFonts w:hint="eastAsia" w:hAnsi="宋体" w:cs="Times New Roman"/>
                <w:b/>
                <w:bCs w:val="0"/>
                <w:kern w:val="0"/>
                <w:sz w:val="21"/>
                <w:szCs w:val="21"/>
                <w:lang w:val="en-US" w:eastAsia="zh-CN"/>
              </w:rPr>
              <w:t>规划期限</w:t>
            </w:r>
          </w:p>
        </w:tc>
        <w:tc>
          <w:tcPr>
            <w:tcW w:w="344" w:type="pct"/>
            <w:tcBorders>
              <w:tl2br w:val="nil"/>
              <w:tr2bl w:val="nil"/>
            </w:tcBorders>
            <w:noWrap w:val="0"/>
            <w:vAlign w:val="center"/>
          </w:tcPr>
          <w:p w14:paraId="4AC8DE5F">
            <w:pPr>
              <w:widowControl/>
              <w:adjustRightInd w:val="0"/>
              <w:snapToGrid w:val="0"/>
              <w:jc w:val="center"/>
              <w:rPr>
                <w:rFonts w:hint="default" w:hAnsi="宋体" w:cs="Times New Roman"/>
                <w:b/>
                <w:bCs w:val="0"/>
                <w:kern w:val="0"/>
                <w:sz w:val="21"/>
                <w:szCs w:val="21"/>
                <w:lang w:val="en-US" w:eastAsia="zh-CN"/>
              </w:rPr>
            </w:pPr>
            <w:r>
              <w:rPr>
                <w:rFonts w:hint="eastAsia" w:hAnsi="宋体" w:cs="Times New Roman"/>
                <w:b/>
                <w:bCs w:val="0"/>
                <w:kern w:val="0"/>
                <w:sz w:val="21"/>
                <w:szCs w:val="21"/>
                <w:lang w:val="en-US" w:eastAsia="zh-CN"/>
              </w:rPr>
              <w:t>批复依据</w:t>
            </w:r>
          </w:p>
        </w:tc>
        <w:tc>
          <w:tcPr>
            <w:tcW w:w="873" w:type="pct"/>
            <w:tcBorders>
              <w:tl2br w:val="nil"/>
              <w:tr2bl w:val="nil"/>
            </w:tcBorders>
            <w:noWrap w:val="0"/>
            <w:vAlign w:val="center"/>
          </w:tcPr>
          <w:p w14:paraId="12506B0C">
            <w:pPr>
              <w:widowControl/>
              <w:adjustRightInd w:val="0"/>
              <w:snapToGrid w:val="0"/>
              <w:jc w:val="center"/>
              <w:rPr>
                <w:rFonts w:hint="eastAsia" w:ascii="Times New Roman" w:hAnsi="Times New Roman" w:eastAsia="宋体" w:cs="Times New Roman"/>
                <w:b/>
                <w:bCs w:val="0"/>
                <w:kern w:val="0"/>
                <w:sz w:val="21"/>
                <w:szCs w:val="21"/>
                <w:lang w:eastAsia="zh-CN"/>
              </w:rPr>
            </w:pPr>
            <w:r>
              <w:rPr>
                <w:rFonts w:ascii="Times New Roman" w:hAnsi="宋体" w:eastAsia="宋体" w:cs="Times New Roman"/>
                <w:b/>
                <w:bCs w:val="0"/>
                <w:kern w:val="0"/>
                <w:sz w:val="21"/>
                <w:szCs w:val="21"/>
              </w:rPr>
              <w:t>禁养区</w:t>
            </w:r>
            <w:r>
              <w:rPr>
                <w:rFonts w:hint="eastAsia" w:hAnsi="宋体" w:cs="Times New Roman"/>
                <w:b/>
                <w:bCs w:val="0"/>
                <w:kern w:val="0"/>
                <w:sz w:val="21"/>
                <w:szCs w:val="21"/>
                <w:lang w:val="en-US" w:eastAsia="zh-CN"/>
              </w:rPr>
              <w:t>位置</w:t>
            </w:r>
          </w:p>
        </w:tc>
        <w:tc>
          <w:tcPr>
            <w:tcW w:w="1387" w:type="pct"/>
            <w:tcBorders>
              <w:tl2br w:val="nil"/>
              <w:tr2bl w:val="nil"/>
            </w:tcBorders>
            <w:noWrap w:val="0"/>
            <w:vAlign w:val="center"/>
          </w:tcPr>
          <w:p w14:paraId="6D361E93">
            <w:pPr>
              <w:widowControl/>
              <w:adjustRightInd w:val="0"/>
              <w:snapToGrid w:val="0"/>
              <w:jc w:val="center"/>
              <w:rPr>
                <w:rFonts w:hint="default" w:ascii="Times New Roman" w:hAnsi="宋体" w:eastAsia="宋体" w:cs="Times New Roman"/>
                <w:b/>
                <w:bCs w:val="0"/>
                <w:kern w:val="0"/>
                <w:sz w:val="21"/>
                <w:szCs w:val="21"/>
                <w:lang w:val="en-US" w:eastAsia="zh-CN"/>
              </w:rPr>
            </w:pPr>
            <w:r>
              <w:rPr>
                <w:rFonts w:hint="eastAsia" w:hAnsi="宋体" w:cs="Times New Roman"/>
                <w:b/>
                <w:bCs w:val="0"/>
                <w:kern w:val="0"/>
                <w:sz w:val="21"/>
                <w:szCs w:val="21"/>
                <w:lang w:val="en-US" w:eastAsia="zh-CN"/>
              </w:rPr>
              <w:t>禁养区四至坐标</w:t>
            </w:r>
          </w:p>
        </w:tc>
        <w:tc>
          <w:tcPr>
            <w:tcW w:w="236" w:type="pct"/>
            <w:tcBorders>
              <w:tl2br w:val="nil"/>
              <w:tr2bl w:val="nil"/>
            </w:tcBorders>
            <w:noWrap w:val="0"/>
            <w:vAlign w:val="center"/>
          </w:tcPr>
          <w:p w14:paraId="67ED7394">
            <w:pPr>
              <w:widowControl/>
              <w:adjustRightInd w:val="0"/>
              <w:snapToGrid w:val="0"/>
              <w:jc w:val="center"/>
              <w:rPr>
                <w:rFonts w:hint="default" w:ascii="Times New Roman" w:hAnsi="宋体" w:eastAsia="宋体" w:cs="Times New Roman"/>
                <w:b/>
                <w:bCs w:val="0"/>
                <w:kern w:val="0"/>
                <w:sz w:val="21"/>
                <w:szCs w:val="21"/>
                <w:lang w:val="en-US" w:eastAsia="zh-CN"/>
              </w:rPr>
            </w:pPr>
            <w:r>
              <w:rPr>
                <w:rFonts w:hint="eastAsia" w:hAnsi="宋体" w:cs="Times New Roman"/>
                <w:b/>
                <w:bCs w:val="0"/>
                <w:kern w:val="0"/>
                <w:sz w:val="21"/>
                <w:szCs w:val="21"/>
                <w:lang w:val="en-US" w:eastAsia="zh-CN"/>
              </w:rPr>
              <w:t>限养区序号</w:t>
            </w:r>
          </w:p>
        </w:tc>
        <w:tc>
          <w:tcPr>
            <w:tcW w:w="320" w:type="pct"/>
            <w:tcBorders>
              <w:tl2br w:val="nil"/>
              <w:tr2bl w:val="nil"/>
            </w:tcBorders>
            <w:noWrap w:val="0"/>
            <w:vAlign w:val="center"/>
          </w:tcPr>
          <w:p w14:paraId="74082C69">
            <w:pPr>
              <w:widowControl/>
              <w:adjustRightInd w:val="0"/>
              <w:snapToGrid w:val="0"/>
              <w:jc w:val="center"/>
              <w:rPr>
                <w:rFonts w:ascii="Times New Roman" w:hAnsi="Times New Roman" w:eastAsia="宋体" w:cs="Times New Roman"/>
                <w:b/>
                <w:bCs w:val="0"/>
                <w:kern w:val="0"/>
                <w:sz w:val="21"/>
                <w:szCs w:val="21"/>
              </w:rPr>
            </w:pPr>
            <w:r>
              <w:rPr>
                <w:rFonts w:ascii="Times New Roman" w:hAnsi="宋体" w:eastAsia="宋体" w:cs="Times New Roman"/>
                <w:b/>
                <w:bCs w:val="0"/>
                <w:kern w:val="0"/>
                <w:sz w:val="21"/>
                <w:szCs w:val="21"/>
              </w:rPr>
              <w:t>限养区</w:t>
            </w:r>
            <w:r>
              <w:rPr>
                <w:rFonts w:hint="eastAsia" w:ascii="Times New Roman" w:hAnsi="宋体" w:eastAsia="宋体" w:cs="Times New Roman"/>
                <w:b/>
                <w:bCs w:val="0"/>
                <w:kern w:val="0"/>
                <w:sz w:val="21"/>
                <w:szCs w:val="21"/>
              </w:rPr>
              <w:t>范围</w:t>
            </w:r>
          </w:p>
        </w:tc>
      </w:tr>
      <w:tr w14:paraId="4EEBED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blHeader/>
          <w:jc w:val="center"/>
        </w:trPr>
        <w:tc>
          <w:tcPr>
            <w:tcW w:w="243" w:type="pct"/>
            <w:vMerge w:val="restart"/>
            <w:tcBorders>
              <w:tl2br w:val="nil"/>
              <w:tr2bl w:val="nil"/>
            </w:tcBorders>
            <w:noWrap/>
            <w:vAlign w:val="center"/>
          </w:tcPr>
          <w:p w14:paraId="6B3CF550">
            <w:pPr>
              <w:adjustRightInd w:val="0"/>
              <w:snapToGrid w:val="0"/>
              <w:jc w:val="center"/>
              <w:rPr>
                <w:rFonts w:hint="eastAsia" w:ascii="Times New Roman" w:hAnsi="Times New Roman" w:eastAsia="宋体" w:cs="Times New Roman"/>
                <w:kern w:val="0"/>
                <w:sz w:val="21"/>
                <w:szCs w:val="21"/>
              </w:rPr>
            </w:pPr>
            <w:r>
              <w:rPr>
                <w:rFonts w:hint="eastAsia" w:ascii="Times New Roman" w:hAnsi="宋体" w:eastAsia="宋体" w:cs="Times New Roman"/>
                <w:kern w:val="0"/>
                <w:sz w:val="21"/>
                <w:szCs w:val="21"/>
              </w:rPr>
              <w:t>一</w:t>
            </w:r>
            <w:r>
              <w:rPr>
                <w:rFonts w:ascii="Times New Roman" w:hAnsi="宋体" w:eastAsia="宋体" w:cs="Times New Roman"/>
                <w:kern w:val="0"/>
                <w:sz w:val="21"/>
                <w:szCs w:val="21"/>
              </w:rPr>
              <w:t>类</w:t>
            </w:r>
          </w:p>
        </w:tc>
        <w:tc>
          <w:tcPr>
            <w:tcW w:w="130" w:type="pct"/>
            <w:vMerge w:val="restart"/>
            <w:tcBorders>
              <w:tl2br w:val="nil"/>
              <w:tr2bl w:val="nil"/>
            </w:tcBorders>
            <w:noWrap w:val="0"/>
            <w:vAlign w:val="center"/>
          </w:tcPr>
          <w:p w14:paraId="61E9E107">
            <w:pPr>
              <w:adjustRightInd w:val="0"/>
              <w:snapToGrid w:val="0"/>
              <w:jc w:val="center"/>
              <w:rPr>
                <w:rFonts w:hint="eastAsia" w:ascii="Times New Roman" w:hAnsi="Times New Roman" w:eastAsia="宋体" w:cs="Times New Roman"/>
                <w:kern w:val="0"/>
                <w:sz w:val="21"/>
                <w:szCs w:val="21"/>
                <w:lang w:eastAsia="zh-CN"/>
              </w:rPr>
            </w:pPr>
            <w:r>
              <w:rPr>
                <w:rFonts w:hint="eastAsia" w:hAnsi="宋体" w:cs="Times New Roman"/>
                <w:kern w:val="0"/>
                <w:sz w:val="21"/>
                <w:szCs w:val="21"/>
                <w:lang w:val="en-US" w:eastAsia="zh-CN"/>
              </w:rPr>
              <w:t>饮用水源地</w:t>
            </w:r>
          </w:p>
        </w:tc>
        <w:tc>
          <w:tcPr>
            <w:tcW w:w="229" w:type="pct"/>
            <w:tcBorders>
              <w:tl2br w:val="nil"/>
              <w:tr2bl w:val="nil"/>
            </w:tcBorders>
            <w:noWrap w:val="0"/>
            <w:vAlign w:val="center"/>
          </w:tcPr>
          <w:p w14:paraId="315C3E69">
            <w:pPr>
              <w:widowControl/>
              <w:adjustRightInd w:val="0"/>
              <w:snapToGrid w:val="0"/>
              <w:jc w:val="center"/>
              <w:rPr>
                <w:rFonts w:ascii="Times New Roman" w:hAnsi="Times New Roman" w:eastAsia="宋体" w:cs="Times New Roman"/>
                <w:bCs/>
                <w:kern w:val="0"/>
                <w:sz w:val="21"/>
                <w:szCs w:val="21"/>
              </w:rPr>
            </w:pPr>
            <w:r>
              <w:rPr>
                <w:rFonts w:ascii="Times New Roman" w:hAnsi="Times New Roman" w:eastAsia="宋体" w:cs="Times New Roman"/>
                <w:bCs/>
                <w:kern w:val="0"/>
                <w:sz w:val="21"/>
                <w:szCs w:val="21"/>
              </w:rPr>
              <w:t>1</w:t>
            </w:r>
          </w:p>
        </w:tc>
        <w:tc>
          <w:tcPr>
            <w:tcW w:w="254" w:type="pct"/>
            <w:tcBorders>
              <w:tl2br w:val="nil"/>
              <w:tr2bl w:val="nil"/>
            </w:tcBorders>
            <w:noWrap w:val="0"/>
            <w:vAlign w:val="center"/>
          </w:tcPr>
          <w:p w14:paraId="3FE2D776">
            <w:pPr>
              <w:widowControl/>
              <w:adjustRightInd w:val="0"/>
              <w:snapToGrid w:val="0"/>
              <w:jc w:val="center"/>
              <w:rPr>
                <w:rFonts w:hint="eastAsia" w:ascii="Times New Roman" w:hAnsi="宋体" w:eastAsia="宋体" w:cs="Times New Roman"/>
                <w:sz w:val="21"/>
                <w:szCs w:val="21"/>
              </w:rPr>
            </w:pPr>
            <w:r>
              <w:rPr>
                <w:rFonts w:hint="eastAsia" w:ascii="Times New Roman" w:hAnsi="宋体" w:eastAsia="宋体" w:cs="Times New Roman"/>
                <w:sz w:val="21"/>
                <w:szCs w:val="21"/>
                <w:lang w:val="en-US" w:eastAsia="zh-CN"/>
              </w:rPr>
              <w:t>125团达子庙饮用水水源地保护区</w:t>
            </w:r>
          </w:p>
        </w:tc>
        <w:tc>
          <w:tcPr>
            <w:tcW w:w="746" w:type="pct"/>
            <w:tcBorders>
              <w:tl2br w:val="nil"/>
              <w:tr2bl w:val="nil"/>
            </w:tcBorders>
            <w:noWrap w:val="0"/>
            <w:vAlign w:val="center"/>
          </w:tcPr>
          <w:p w14:paraId="686CF4E6">
            <w:pPr>
              <w:widowControl/>
              <w:adjustRightInd w:val="0"/>
              <w:snapToGrid w:val="0"/>
              <w:rPr>
                <w:rFonts w:ascii="Times New Roman" w:hAnsi="Times New Roman" w:eastAsia="宋体" w:cs="Times New Roman"/>
                <w:kern w:val="0"/>
                <w:sz w:val="21"/>
                <w:szCs w:val="21"/>
                <w:highlight w:val="yellow"/>
              </w:rPr>
            </w:pPr>
          </w:p>
        </w:tc>
        <w:tc>
          <w:tcPr>
            <w:tcW w:w="233" w:type="pct"/>
            <w:tcBorders>
              <w:tl2br w:val="nil"/>
              <w:tr2bl w:val="nil"/>
            </w:tcBorders>
            <w:noWrap w:val="0"/>
            <w:vAlign w:val="center"/>
          </w:tcPr>
          <w:p w14:paraId="06B3C926">
            <w:pPr>
              <w:adjustRightInd w:val="0"/>
              <w:snapToGrid w:val="0"/>
              <w:jc w:val="left"/>
              <w:rPr>
                <w:rFonts w:hint="eastAsia" w:ascii="Times New Roman" w:hAnsi="宋体" w:eastAsia="宋体" w:cs="Times New Roman"/>
                <w:sz w:val="21"/>
                <w:szCs w:val="21"/>
              </w:rPr>
            </w:pPr>
          </w:p>
        </w:tc>
        <w:tc>
          <w:tcPr>
            <w:tcW w:w="344" w:type="pct"/>
            <w:tcBorders>
              <w:tl2br w:val="nil"/>
              <w:tr2bl w:val="nil"/>
            </w:tcBorders>
            <w:noWrap w:val="0"/>
            <w:vAlign w:val="center"/>
          </w:tcPr>
          <w:p w14:paraId="7197FAB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新兵函〔2017〕36号</w:t>
            </w:r>
          </w:p>
        </w:tc>
        <w:tc>
          <w:tcPr>
            <w:tcW w:w="873" w:type="pct"/>
            <w:tcBorders>
              <w:tl2br w:val="nil"/>
              <w:tr2bl w:val="nil"/>
            </w:tcBorders>
            <w:noWrap w:val="0"/>
            <w:vAlign w:val="center"/>
          </w:tcPr>
          <w:p w14:paraId="2C2D192D">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水源地保护区范围11.7km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6DB9D568">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西北角N44°34′43″，E84°28′25″；</w:t>
            </w:r>
          </w:p>
          <w:p w14:paraId="4D764E91">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西南角N44°30′59″</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E84°27′27″；</w:t>
            </w:r>
          </w:p>
          <w:p w14:paraId="32B3F8C7">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东北角N44°34′38″</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E84°29′26″；</w:t>
            </w:r>
          </w:p>
          <w:p w14:paraId="6B6DE1DA">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东南角N44°31′43″</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E84°29′12″。</w:t>
            </w:r>
          </w:p>
        </w:tc>
        <w:tc>
          <w:tcPr>
            <w:tcW w:w="236" w:type="pct"/>
            <w:tcBorders>
              <w:tl2br w:val="nil"/>
              <w:tr2bl w:val="nil"/>
            </w:tcBorders>
            <w:noWrap w:val="0"/>
            <w:vAlign w:val="center"/>
          </w:tcPr>
          <w:p w14:paraId="2080A5FF">
            <w:pPr>
              <w:widowControl/>
              <w:adjustRightInd w:val="0"/>
              <w:snapToGrid w:val="0"/>
              <w:jc w:val="center"/>
              <w:rPr>
                <w:rFonts w:hint="eastAsia" w:ascii="Times New Roman" w:hAnsi="宋体" w:eastAsia="宋体" w:cs="Times New Roman"/>
                <w:sz w:val="21"/>
                <w:szCs w:val="21"/>
                <w:lang w:val="en-US" w:eastAsia="zh-CN"/>
              </w:rPr>
            </w:pPr>
          </w:p>
        </w:tc>
        <w:tc>
          <w:tcPr>
            <w:tcW w:w="320" w:type="pct"/>
            <w:tcBorders>
              <w:tl2br w:val="nil"/>
              <w:tr2bl w:val="nil"/>
            </w:tcBorders>
            <w:noWrap w:val="0"/>
            <w:vAlign w:val="center"/>
          </w:tcPr>
          <w:p w14:paraId="1EF77D5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76258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37E0531A">
            <w:pPr>
              <w:adjustRightInd w:val="0"/>
              <w:snapToGrid w:val="0"/>
              <w:jc w:val="center"/>
              <w:rPr>
                <w:rFonts w:ascii="Times New Roman" w:hAnsi="宋体" w:eastAsia="宋体" w:cs="Times New Roman"/>
                <w:kern w:val="0"/>
                <w:sz w:val="21"/>
                <w:szCs w:val="21"/>
              </w:rPr>
            </w:pPr>
          </w:p>
        </w:tc>
        <w:tc>
          <w:tcPr>
            <w:tcW w:w="130" w:type="pct"/>
            <w:vMerge w:val="continue"/>
            <w:tcBorders>
              <w:tl2br w:val="nil"/>
              <w:tr2bl w:val="nil"/>
            </w:tcBorders>
            <w:noWrap w:val="0"/>
            <w:vAlign w:val="center"/>
          </w:tcPr>
          <w:p w14:paraId="4DA71A2B">
            <w:pPr>
              <w:adjustRightInd w:val="0"/>
              <w:snapToGrid w:val="0"/>
              <w:jc w:val="center"/>
              <w:rPr>
                <w:rFonts w:ascii="Times New Roman" w:hAnsi="宋体" w:eastAsia="宋体" w:cs="Times New Roman"/>
                <w:kern w:val="0"/>
                <w:sz w:val="21"/>
                <w:szCs w:val="21"/>
              </w:rPr>
            </w:pPr>
          </w:p>
        </w:tc>
        <w:tc>
          <w:tcPr>
            <w:tcW w:w="229" w:type="pct"/>
            <w:tcBorders>
              <w:tl2br w:val="nil"/>
              <w:tr2bl w:val="nil"/>
            </w:tcBorders>
            <w:noWrap w:val="0"/>
            <w:vAlign w:val="center"/>
          </w:tcPr>
          <w:p w14:paraId="2516FB13">
            <w:pPr>
              <w:widowControl/>
              <w:adjustRightInd w:val="0"/>
              <w:snapToGrid w:val="0"/>
              <w:jc w:val="center"/>
              <w:rPr>
                <w:rFonts w:ascii="Times New Roman" w:hAnsi="Times New Roman" w:eastAsia="宋体" w:cs="Times New Roman"/>
                <w:bCs/>
                <w:kern w:val="0"/>
                <w:sz w:val="21"/>
                <w:szCs w:val="21"/>
              </w:rPr>
            </w:pPr>
            <w:r>
              <w:rPr>
                <w:rFonts w:ascii="Times New Roman" w:hAnsi="Times New Roman" w:eastAsia="宋体" w:cs="Times New Roman"/>
                <w:bCs/>
                <w:kern w:val="0"/>
                <w:sz w:val="21"/>
                <w:szCs w:val="21"/>
              </w:rPr>
              <w:t>2</w:t>
            </w:r>
          </w:p>
        </w:tc>
        <w:tc>
          <w:tcPr>
            <w:tcW w:w="254" w:type="pct"/>
            <w:tcBorders>
              <w:tl2br w:val="nil"/>
              <w:tr2bl w:val="nil"/>
            </w:tcBorders>
            <w:noWrap w:val="0"/>
            <w:vAlign w:val="center"/>
          </w:tcPr>
          <w:p w14:paraId="7F210F5A">
            <w:pPr>
              <w:widowControl/>
              <w:adjustRightInd w:val="0"/>
              <w:snapToGrid w:val="0"/>
              <w:jc w:val="center"/>
              <w:rPr>
                <w:rFonts w:hint="eastAsia" w:ascii="Times New Roman" w:hAnsi="宋体" w:eastAsia="宋体" w:cs="Times New Roman"/>
                <w:sz w:val="21"/>
                <w:szCs w:val="21"/>
              </w:rPr>
            </w:pPr>
            <w:r>
              <w:rPr>
                <w:rFonts w:hint="eastAsia" w:ascii="Times New Roman" w:hAnsi="宋体" w:eastAsia="宋体" w:cs="Times New Roman"/>
                <w:sz w:val="21"/>
                <w:szCs w:val="21"/>
                <w:lang w:val="en-US" w:eastAsia="zh-CN"/>
              </w:rPr>
              <w:t>124团高泉饮用水水源地保护区</w:t>
            </w:r>
          </w:p>
        </w:tc>
        <w:tc>
          <w:tcPr>
            <w:tcW w:w="746" w:type="pct"/>
            <w:tcBorders>
              <w:tl2br w:val="nil"/>
              <w:tr2bl w:val="nil"/>
            </w:tcBorders>
            <w:noWrap w:val="0"/>
            <w:vAlign w:val="center"/>
          </w:tcPr>
          <w:p w14:paraId="2FB5DB75">
            <w:pPr>
              <w:widowControl/>
              <w:adjustRightInd w:val="0"/>
              <w:snapToGrid w:val="0"/>
              <w:rPr>
                <w:rFonts w:ascii="Times New Roman" w:hAnsi="Times New Roman" w:eastAsia="宋体" w:cs="Times New Roman"/>
                <w:kern w:val="0"/>
                <w:sz w:val="21"/>
                <w:szCs w:val="21"/>
                <w:highlight w:val="yellow"/>
              </w:rPr>
            </w:pPr>
          </w:p>
        </w:tc>
        <w:tc>
          <w:tcPr>
            <w:tcW w:w="233" w:type="pct"/>
            <w:tcBorders>
              <w:tl2br w:val="nil"/>
              <w:tr2bl w:val="nil"/>
            </w:tcBorders>
            <w:noWrap w:val="0"/>
            <w:vAlign w:val="center"/>
          </w:tcPr>
          <w:p w14:paraId="6081495F">
            <w:pPr>
              <w:adjustRightInd w:val="0"/>
              <w:snapToGrid w:val="0"/>
              <w:jc w:val="left"/>
              <w:rPr>
                <w:rFonts w:hint="eastAsia" w:ascii="Times New Roman" w:hAnsi="宋体" w:eastAsia="宋体" w:cs="Times New Roman"/>
                <w:sz w:val="21"/>
                <w:szCs w:val="21"/>
              </w:rPr>
            </w:pPr>
          </w:p>
        </w:tc>
        <w:tc>
          <w:tcPr>
            <w:tcW w:w="344" w:type="pct"/>
            <w:tcBorders>
              <w:tl2br w:val="nil"/>
              <w:tr2bl w:val="nil"/>
            </w:tcBorders>
            <w:noWrap w:val="0"/>
            <w:vAlign w:val="center"/>
          </w:tcPr>
          <w:p w14:paraId="76DFC5AA">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新兵函〔2017〕36号</w:t>
            </w:r>
          </w:p>
        </w:tc>
        <w:tc>
          <w:tcPr>
            <w:tcW w:w="873" w:type="pct"/>
            <w:tcBorders>
              <w:tl2br w:val="nil"/>
              <w:tr2bl w:val="nil"/>
            </w:tcBorders>
            <w:noWrap w:val="0"/>
            <w:vAlign w:val="center"/>
          </w:tcPr>
          <w:p w14:paraId="412BE83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水源地保护区范围0.027km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5B635D98">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西北角N44°20′34″，E84°5′41″；</w:t>
            </w:r>
          </w:p>
          <w:p w14:paraId="44489EEC">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西南角N44°20′28″</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E84°5′36″；</w:t>
            </w:r>
          </w:p>
          <w:p w14:paraId="152B068D">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东北角N44°20′32″</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E84°5′45″；</w:t>
            </w:r>
          </w:p>
          <w:p w14:paraId="4C68F563">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东南角N44°20′25″</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E84°5′45″。</w:t>
            </w:r>
          </w:p>
        </w:tc>
        <w:tc>
          <w:tcPr>
            <w:tcW w:w="236" w:type="pct"/>
            <w:tcBorders>
              <w:tl2br w:val="nil"/>
              <w:tr2bl w:val="nil"/>
            </w:tcBorders>
            <w:noWrap w:val="0"/>
            <w:vAlign w:val="center"/>
          </w:tcPr>
          <w:p w14:paraId="5254C107">
            <w:pPr>
              <w:widowControl/>
              <w:adjustRightInd w:val="0"/>
              <w:snapToGrid w:val="0"/>
              <w:jc w:val="center"/>
              <w:rPr>
                <w:rFonts w:hint="eastAsia" w:ascii="Times New Roman" w:hAnsi="宋体" w:eastAsia="宋体" w:cs="Times New Roman"/>
                <w:sz w:val="21"/>
                <w:szCs w:val="21"/>
                <w:lang w:val="en-US" w:eastAsia="zh-CN"/>
              </w:rPr>
            </w:pPr>
          </w:p>
        </w:tc>
        <w:tc>
          <w:tcPr>
            <w:tcW w:w="320" w:type="pct"/>
            <w:tcBorders>
              <w:tl2br w:val="nil"/>
              <w:tr2bl w:val="nil"/>
            </w:tcBorders>
            <w:noWrap w:val="0"/>
            <w:vAlign w:val="center"/>
          </w:tcPr>
          <w:p w14:paraId="1B87D5D2">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0C4B9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tcBorders>
              <w:tl2br w:val="nil"/>
              <w:tr2bl w:val="nil"/>
            </w:tcBorders>
            <w:noWrap/>
            <w:vAlign w:val="center"/>
          </w:tcPr>
          <w:p w14:paraId="4F1DE0A6">
            <w:pPr>
              <w:adjustRightInd w:val="0"/>
              <w:snapToGrid w:val="0"/>
              <w:jc w:val="center"/>
              <w:rPr>
                <w:rFonts w:hint="eastAsia" w:ascii="Times New Roman" w:hAnsi="宋体" w:eastAsia="宋体" w:cs="Times New Roman"/>
                <w:kern w:val="0"/>
                <w:sz w:val="21"/>
                <w:szCs w:val="21"/>
                <w:lang w:val="en-US" w:eastAsia="zh-CN"/>
              </w:rPr>
            </w:pPr>
            <w:r>
              <w:rPr>
                <w:rFonts w:hint="eastAsia" w:hAnsi="宋体" w:cs="Times New Roman"/>
                <w:kern w:val="0"/>
                <w:sz w:val="21"/>
                <w:szCs w:val="21"/>
                <w:lang w:val="en-US" w:eastAsia="zh-CN"/>
              </w:rPr>
              <w:t>二类</w:t>
            </w:r>
          </w:p>
        </w:tc>
        <w:tc>
          <w:tcPr>
            <w:tcW w:w="130" w:type="pct"/>
            <w:tcBorders>
              <w:tl2br w:val="nil"/>
              <w:tr2bl w:val="nil"/>
            </w:tcBorders>
            <w:noWrap w:val="0"/>
            <w:vAlign w:val="center"/>
          </w:tcPr>
          <w:p w14:paraId="6CF5F899">
            <w:pPr>
              <w:adjustRightInd w:val="0"/>
              <w:snapToGrid w:val="0"/>
              <w:jc w:val="center"/>
              <w:rPr>
                <w:rFonts w:hint="eastAsia" w:ascii="Times New Roman" w:hAnsi="宋体" w:eastAsia="宋体" w:cs="Times New Roman"/>
                <w:kern w:val="0"/>
                <w:sz w:val="21"/>
                <w:szCs w:val="21"/>
                <w:lang w:val="en-US" w:eastAsia="zh-CN"/>
              </w:rPr>
            </w:pPr>
            <w:r>
              <w:rPr>
                <w:rFonts w:hint="eastAsia" w:hAnsi="宋体" w:cs="Times New Roman"/>
                <w:kern w:val="0"/>
                <w:sz w:val="21"/>
                <w:szCs w:val="21"/>
                <w:lang w:val="en-US" w:eastAsia="zh-CN"/>
              </w:rPr>
              <w:t>自然保护区</w:t>
            </w:r>
          </w:p>
        </w:tc>
        <w:tc>
          <w:tcPr>
            <w:tcW w:w="229" w:type="pct"/>
            <w:tcBorders>
              <w:tl2br w:val="nil"/>
              <w:tr2bl w:val="nil"/>
            </w:tcBorders>
            <w:noWrap w:val="0"/>
            <w:vAlign w:val="center"/>
          </w:tcPr>
          <w:p w14:paraId="2BC5646D">
            <w:pPr>
              <w:widowControl/>
              <w:adjustRightInd w:val="0"/>
              <w:snapToGrid w:val="0"/>
              <w:jc w:val="center"/>
              <w:rPr>
                <w:rFonts w:hint="eastAsia"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3</w:t>
            </w:r>
          </w:p>
        </w:tc>
        <w:tc>
          <w:tcPr>
            <w:tcW w:w="254" w:type="pct"/>
            <w:tcBorders>
              <w:tl2br w:val="nil"/>
              <w:tr2bl w:val="nil"/>
            </w:tcBorders>
            <w:noWrap w:val="0"/>
            <w:vAlign w:val="center"/>
          </w:tcPr>
          <w:p w14:paraId="11ADBFBE">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奎屯河湿地自然保护区</w:t>
            </w:r>
          </w:p>
        </w:tc>
        <w:tc>
          <w:tcPr>
            <w:tcW w:w="746" w:type="pct"/>
            <w:tcBorders>
              <w:tl2br w:val="nil"/>
              <w:tr2bl w:val="nil"/>
            </w:tcBorders>
            <w:noWrap w:val="0"/>
            <w:vAlign w:val="center"/>
          </w:tcPr>
          <w:p w14:paraId="5B7A5426">
            <w:pPr>
              <w:widowControl/>
              <w:adjustRightInd w:val="0"/>
              <w:snapToGrid w:val="0"/>
              <w:jc w:val="center"/>
              <w:rPr>
                <w:rFonts w:hint="eastAsia" w:ascii="Times New Roman" w:hAnsi="宋体" w:eastAsia="宋体" w:cs="Times New Roman"/>
                <w:sz w:val="21"/>
                <w:szCs w:val="21"/>
                <w:lang w:val="en-US" w:eastAsia="zh-CN"/>
              </w:rPr>
            </w:pPr>
          </w:p>
        </w:tc>
        <w:tc>
          <w:tcPr>
            <w:tcW w:w="233" w:type="pct"/>
            <w:tcBorders>
              <w:tl2br w:val="nil"/>
              <w:tr2bl w:val="nil"/>
            </w:tcBorders>
            <w:noWrap w:val="0"/>
            <w:vAlign w:val="center"/>
          </w:tcPr>
          <w:p w14:paraId="767AAE15">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3A2C2CC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正在划定</w:t>
            </w:r>
          </w:p>
        </w:tc>
        <w:tc>
          <w:tcPr>
            <w:tcW w:w="873" w:type="pct"/>
            <w:tcBorders>
              <w:tl2br w:val="nil"/>
              <w:tr2bl w:val="nil"/>
            </w:tcBorders>
            <w:noWrap w:val="0"/>
            <w:vAlign w:val="center"/>
          </w:tcPr>
          <w:p w14:paraId="4BB2F3DD">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保护区范围（包括核心区、缓冲区、实验区）内的区域。</w:t>
            </w:r>
          </w:p>
        </w:tc>
        <w:tc>
          <w:tcPr>
            <w:tcW w:w="1387" w:type="pct"/>
            <w:tcBorders>
              <w:tl2br w:val="nil"/>
              <w:tr2bl w:val="nil"/>
            </w:tcBorders>
            <w:noWrap w:val="0"/>
            <w:vAlign w:val="center"/>
          </w:tcPr>
          <w:p w14:paraId="578AFBFF">
            <w:pPr>
              <w:widowControl/>
              <w:adjustRightInd w:val="0"/>
              <w:snapToGrid w:val="0"/>
              <w:jc w:val="center"/>
              <w:rPr>
                <w:rFonts w:hint="eastAsia" w:ascii="Times New Roman" w:hAnsi="宋体" w:eastAsia="宋体" w:cs="Times New Roman"/>
                <w:sz w:val="21"/>
                <w:szCs w:val="21"/>
                <w:lang w:val="en-US" w:eastAsia="zh-CN"/>
              </w:rPr>
            </w:pPr>
          </w:p>
        </w:tc>
        <w:tc>
          <w:tcPr>
            <w:tcW w:w="236" w:type="pct"/>
            <w:tcBorders>
              <w:tl2br w:val="nil"/>
              <w:tr2bl w:val="nil"/>
            </w:tcBorders>
            <w:noWrap w:val="0"/>
            <w:vAlign w:val="center"/>
          </w:tcPr>
          <w:p w14:paraId="0E20AA81">
            <w:pPr>
              <w:widowControl/>
              <w:adjustRightInd w:val="0"/>
              <w:snapToGrid w:val="0"/>
              <w:jc w:val="center"/>
              <w:rPr>
                <w:rFonts w:hint="eastAsia" w:ascii="Times New Roman" w:hAnsi="宋体" w:eastAsia="宋体" w:cs="Times New Roman"/>
                <w:sz w:val="21"/>
                <w:szCs w:val="21"/>
                <w:lang w:val="en-US" w:eastAsia="zh-CN"/>
              </w:rPr>
            </w:pPr>
          </w:p>
        </w:tc>
        <w:tc>
          <w:tcPr>
            <w:tcW w:w="320" w:type="pct"/>
            <w:tcBorders>
              <w:tl2br w:val="nil"/>
              <w:tr2bl w:val="nil"/>
            </w:tcBorders>
            <w:noWrap w:val="0"/>
            <w:vAlign w:val="center"/>
          </w:tcPr>
          <w:p w14:paraId="0419484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2C12D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restart"/>
            <w:tcBorders>
              <w:tl2br w:val="nil"/>
              <w:tr2bl w:val="nil"/>
            </w:tcBorders>
            <w:noWrap/>
            <w:vAlign w:val="center"/>
          </w:tcPr>
          <w:p w14:paraId="6241FCB1">
            <w:pPr>
              <w:adjustRightInd w:val="0"/>
              <w:snapToGrid w:val="0"/>
              <w:jc w:val="center"/>
              <w:rPr>
                <w:rFonts w:hint="default" w:hAnsi="宋体" w:cs="Times New Roman"/>
                <w:kern w:val="0"/>
                <w:sz w:val="21"/>
                <w:szCs w:val="21"/>
                <w:lang w:val="en-US" w:eastAsia="zh-CN"/>
              </w:rPr>
            </w:pPr>
            <w:r>
              <w:rPr>
                <w:rFonts w:hint="eastAsia" w:hAnsi="宋体" w:cs="Times New Roman"/>
                <w:kern w:val="0"/>
                <w:sz w:val="21"/>
                <w:szCs w:val="21"/>
                <w:lang w:val="en-US" w:eastAsia="zh-CN"/>
              </w:rPr>
              <w:t>三类</w:t>
            </w:r>
          </w:p>
        </w:tc>
        <w:tc>
          <w:tcPr>
            <w:tcW w:w="130" w:type="pct"/>
            <w:vMerge w:val="restart"/>
            <w:tcBorders>
              <w:tl2br w:val="nil"/>
              <w:tr2bl w:val="nil"/>
            </w:tcBorders>
            <w:noWrap w:val="0"/>
            <w:vAlign w:val="center"/>
          </w:tcPr>
          <w:p w14:paraId="09D5CFBD">
            <w:pPr>
              <w:adjustRightInd w:val="0"/>
              <w:snapToGrid w:val="0"/>
              <w:jc w:val="center"/>
              <w:rPr>
                <w:rFonts w:hint="default" w:hAnsi="宋体" w:cs="Times New Roman"/>
                <w:kern w:val="0"/>
                <w:sz w:val="21"/>
                <w:szCs w:val="21"/>
                <w:lang w:val="en-US" w:eastAsia="zh-CN"/>
              </w:rPr>
            </w:pPr>
            <w:r>
              <w:rPr>
                <w:rFonts w:hint="eastAsia" w:hAnsi="宋体" w:cs="Times New Roman"/>
                <w:kern w:val="0"/>
                <w:sz w:val="21"/>
                <w:szCs w:val="21"/>
                <w:lang w:val="en-US" w:eastAsia="zh-CN"/>
              </w:rPr>
              <w:t>城镇居民区</w:t>
            </w:r>
          </w:p>
        </w:tc>
        <w:tc>
          <w:tcPr>
            <w:tcW w:w="229" w:type="pct"/>
            <w:tcBorders>
              <w:tl2br w:val="nil"/>
              <w:tr2bl w:val="nil"/>
            </w:tcBorders>
            <w:noWrap w:val="0"/>
            <w:vAlign w:val="center"/>
          </w:tcPr>
          <w:p w14:paraId="5437D141">
            <w:pPr>
              <w:widowControl/>
              <w:adjustRightInd w:val="0"/>
              <w:snapToGrid w:val="0"/>
              <w:jc w:val="center"/>
              <w:rPr>
                <w:rFonts w:hint="eastAsia"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4</w:t>
            </w:r>
          </w:p>
        </w:tc>
        <w:tc>
          <w:tcPr>
            <w:tcW w:w="254" w:type="pct"/>
            <w:tcBorders>
              <w:tl2br w:val="nil"/>
              <w:tr2bl w:val="nil"/>
            </w:tcBorders>
            <w:noWrap w:val="0"/>
            <w:vAlign w:val="center"/>
          </w:tcPr>
          <w:p w14:paraId="58F9EC74">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123团城镇居民区</w:t>
            </w:r>
          </w:p>
        </w:tc>
        <w:tc>
          <w:tcPr>
            <w:tcW w:w="746" w:type="pct"/>
            <w:tcBorders>
              <w:tl2br w:val="nil"/>
              <w:tr2bl w:val="nil"/>
            </w:tcBorders>
            <w:noWrap w:val="0"/>
            <w:vAlign w:val="center"/>
          </w:tcPr>
          <w:p w14:paraId="75F24BC7">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北至车北路，南至青北公路，西至西环路，东至东干渠。</w:t>
            </w:r>
          </w:p>
        </w:tc>
        <w:tc>
          <w:tcPr>
            <w:tcW w:w="233" w:type="pct"/>
            <w:tcBorders>
              <w:tl2br w:val="nil"/>
              <w:tr2bl w:val="nil"/>
            </w:tcBorders>
            <w:noWrap w:val="0"/>
            <w:vAlign w:val="center"/>
          </w:tcPr>
          <w:p w14:paraId="5CBCDF8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2012-2030</w:t>
            </w:r>
          </w:p>
        </w:tc>
        <w:tc>
          <w:tcPr>
            <w:tcW w:w="344" w:type="pct"/>
            <w:tcBorders>
              <w:tl2br w:val="nil"/>
              <w:tr2bl w:val="nil"/>
            </w:tcBorders>
            <w:noWrap w:val="0"/>
            <w:vAlign w:val="center"/>
          </w:tcPr>
          <w:p w14:paraId="48B33EE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师建发〔2013〕124号</w:t>
            </w:r>
          </w:p>
        </w:tc>
        <w:tc>
          <w:tcPr>
            <w:tcW w:w="873" w:type="pct"/>
            <w:tcBorders>
              <w:tl2br w:val="nil"/>
              <w:tr2bl w:val="nil"/>
            </w:tcBorders>
            <w:noWrap w:val="0"/>
            <w:vAlign w:val="center"/>
          </w:tcPr>
          <w:p w14:paraId="1F60CE1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团部北至车北路南侧，南至青北公路北侧，西至西环路东侧，东至东干渠西岸的区域。禁养区面积11.57.km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43C91715">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西北角N44°59′04.139″，E84°29′00.856″；西南角N44°57′14.100″，E84°28′56.153″；东北角N44°57′20.484″，E84°31′32.590″；东南角N44°56′23.921″，E84°31′30.560″。</w:t>
            </w:r>
          </w:p>
        </w:tc>
        <w:tc>
          <w:tcPr>
            <w:tcW w:w="236" w:type="pct"/>
            <w:tcBorders>
              <w:tl2br w:val="nil"/>
              <w:tr2bl w:val="nil"/>
            </w:tcBorders>
            <w:noWrap w:val="0"/>
            <w:vAlign w:val="center"/>
          </w:tcPr>
          <w:p w14:paraId="3D8A9E7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w:t>
            </w:r>
          </w:p>
        </w:tc>
        <w:tc>
          <w:tcPr>
            <w:tcW w:w="320" w:type="pct"/>
            <w:tcBorders>
              <w:tl2br w:val="nil"/>
              <w:tr2bl w:val="nil"/>
            </w:tcBorders>
            <w:noWrap w:val="0"/>
            <w:vAlign w:val="center"/>
          </w:tcPr>
          <w:p w14:paraId="2CE0F15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0F181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088D287C">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03E889FA">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41FE8E92">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5</w:t>
            </w:r>
          </w:p>
        </w:tc>
        <w:tc>
          <w:tcPr>
            <w:tcW w:w="254" w:type="pct"/>
            <w:tcBorders>
              <w:tl2br w:val="nil"/>
              <w:tr2bl w:val="nil"/>
            </w:tcBorders>
            <w:noWrap w:val="0"/>
            <w:vAlign w:val="center"/>
          </w:tcPr>
          <w:p w14:paraId="77B1628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124团城镇居民区</w:t>
            </w:r>
          </w:p>
        </w:tc>
        <w:tc>
          <w:tcPr>
            <w:tcW w:w="746" w:type="pct"/>
            <w:tcBorders>
              <w:tl2br w:val="nil"/>
              <w:tr2bl w:val="nil"/>
            </w:tcBorders>
            <w:noWrap w:val="0"/>
            <w:vAlign w:val="center"/>
          </w:tcPr>
          <w:p w14:paraId="00639186">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北至青年路，东至健康路，西至园艺路，南至奎赛高等级公路以南。</w:t>
            </w:r>
          </w:p>
        </w:tc>
        <w:tc>
          <w:tcPr>
            <w:tcW w:w="233" w:type="pct"/>
            <w:tcBorders>
              <w:tl2br w:val="nil"/>
              <w:tr2bl w:val="nil"/>
            </w:tcBorders>
            <w:noWrap w:val="0"/>
            <w:vAlign w:val="center"/>
          </w:tcPr>
          <w:p w14:paraId="2658D8A2">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2012-2030</w:t>
            </w:r>
          </w:p>
        </w:tc>
        <w:tc>
          <w:tcPr>
            <w:tcW w:w="344" w:type="pct"/>
            <w:tcBorders>
              <w:tl2br w:val="nil"/>
              <w:tr2bl w:val="nil"/>
            </w:tcBorders>
            <w:noWrap w:val="0"/>
            <w:vAlign w:val="center"/>
          </w:tcPr>
          <w:p w14:paraId="676AF53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师建发〔2013〕126号</w:t>
            </w:r>
          </w:p>
        </w:tc>
        <w:tc>
          <w:tcPr>
            <w:tcW w:w="873" w:type="pct"/>
            <w:tcBorders>
              <w:tl2br w:val="nil"/>
              <w:tr2bl w:val="nil"/>
            </w:tcBorders>
            <w:noWrap w:val="0"/>
            <w:vAlign w:val="center"/>
          </w:tcPr>
          <w:p w14:paraId="4E42DC5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团部北至北环路以北600米处以内，东至东风路西侧，西至园艺路东侧，南至老312国道北侧以内的区域。禁养区面积2.37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670694FD">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西北角N44°23′35.347″，E84°05′47.778″；西南角N44°22′44.846″，E84°05′40.235″；东北角N44°23′28.453″，E84°07′17.393″；东南角N44°22′23.087″，E84°07′54.757″。</w:t>
            </w:r>
          </w:p>
        </w:tc>
        <w:tc>
          <w:tcPr>
            <w:tcW w:w="236" w:type="pct"/>
            <w:tcBorders>
              <w:tl2br w:val="nil"/>
              <w:tr2bl w:val="nil"/>
            </w:tcBorders>
            <w:noWrap w:val="0"/>
            <w:vAlign w:val="center"/>
          </w:tcPr>
          <w:p w14:paraId="0FC683B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w:t>
            </w:r>
          </w:p>
        </w:tc>
        <w:tc>
          <w:tcPr>
            <w:tcW w:w="320" w:type="pct"/>
            <w:tcBorders>
              <w:tl2br w:val="nil"/>
              <w:tr2bl w:val="nil"/>
            </w:tcBorders>
            <w:noWrap w:val="0"/>
            <w:vAlign w:val="center"/>
          </w:tcPr>
          <w:p w14:paraId="0DFFA7C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511FE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253D58B9">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09EEC739">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25BCB03E">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6</w:t>
            </w:r>
          </w:p>
        </w:tc>
        <w:tc>
          <w:tcPr>
            <w:tcW w:w="254" w:type="pct"/>
            <w:tcBorders>
              <w:tl2br w:val="nil"/>
              <w:tr2bl w:val="nil"/>
            </w:tcBorders>
            <w:noWrap w:val="0"/>
            <w:vAlign w:val="center"/>
          </w:tcPr>
          <w:p w14:paraId="59366E87">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125团城镇居民区</w:t>
            </w:r>
          </w:p>
        </w:tc>
        <w:tc>
          <w:tcPr>
            <w:tcW w:w="746" w:type="pct"/>
            <w:tcBorders>
              <w:tl2br w:val="nil"/>
              <w:tr2bl w:val="nil"/>
            </w:tcBorders>
            <w:noWrap w:val="0"/>
            <w:vAlign w:val="center"/>
          </w:tcPr>
          <w:p w14:paraId="77B67947">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东至东环路，南至现状轧花厂370米处，西至十二连职工点小康路，北至氧化塘以北420米处。</w:t>
            </w:r>
          </w:p>
        </w:tc>
        <w:tc>
          <w:tcPr>
            <w:tcW w:w="233" w:type="pct"/>
            <w:tcBorders>
              <w:tl2br w:val="nil"/>
              <w:tr2bl w:val="nil"/>
            </w:tcBorders>
            <w:noWrap w:val="0"/>
            <w:vAlign w:val="center"/>
          </w:tcPr>
          <w:p w14:paraId="07B5653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2011-2030</w:t>
            </w:r>
          </w:p>
        </w:tc>
        <w:tc>
          <w:tcPr>
            <w:tcW w:w="344" w:type="pct"/>
            <w:tcBorders>
              <w:tl2br w:val="nil"/>
              <w:tr2bl w:val="nil"/>
            </w:tcBorders>
            <w:noWrap w:val="0"/>
            <w:vAlign w:val="center"/>
          </w:tcPr>
          <w:p w14:paraId="67966A4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师建发〔2014〕101号</w:t>
            </w:r>
          </w:p>
        </w:tc>
        <w:tc>
          <w:tcPr>
            <w:tcW w:w="873" w:type="pct"/>
            <w:tcBorders>
              <w:tl2br w:val="nil"/>
              <w:tr2bl w:val="nil"/>
            </w:tcBorders>
            <w:noWrap w:val="0"/>
            <w:vAlign w:val="center"/>
          </w:tcPr>
          <w:p w14:paraId="73AD4DAD">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团部东至东环路西侧，南至现状轧花厂370米处，西至十二连职工点小康路东侧，北至氧化塘以北420米处。禁养区面积8.84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642B0387">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西北角N44°48′26.060″，E84°30′21.036″；西南角N44°45′41.490″，E84°30′24.236″；东北角N44°48′28.453″，E84°30′17.260″；东南角N44°48′26.060″，E84°30′21.036″。</w:t>
            </w:r>
          </w:p>
        </w:tc>
        <w:tc>
          <w:tcPr>
            <w:tcW w:w="236" w:type="pct"/>
            <w:tcBorders>
              <w:tl2br w:val="nil"/>
              <w:tr2bl w:val="nil"/>
            </w:tcBorders>
            <w:noWrap w:val="0"/>
            <w:vAlign w:val="center"/>
          </w:tcPr>
          <w:p w14:paraId="4C5DD722">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3</w:t>
            </w:r>
          </w:p>
        </w:tc>
        <w:tc>
          <w:tcPr>
            <w:tcW w:w="320" w:type="pct"/>
            <w:tcBorders>
              <w:tl2br w:val="nil"/>
              <w:tr2bl w:val="nil"/>
            </w:tcBorders>
            <w:noWrap w:val="0"/>
            <w:vAlign w:val="center"/>
          </w:tcPr>
          <w:p w14:paraId="253EF2C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78B53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39EB12B9">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388C9397">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3FD0527C">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7</w:t>
            </w:r>
          </w:p>
        </w:tc>
        <w:tc>
          <w:tcPr>
            <w:tcW w:w="254" w:type="pct"/>
            <w:tcBorders>
              <w:tl2br w:val="nil"/>
              <w:tr2bl w:val="nil"/>
            </w:tcBorders>
            <w:noWrap w:val="0"/>
            <w:vAlign w:val="center"/>
          </w:tcPr>
          <w:p w14:paraId="3BE1D71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126团城镇居民区</w:t>
            </w:r>
          </w:p>
        </w:tc>
        <w:tc>
          <w:tcPr>
            <w:tcW w:w="746" w:type="pct"/>
            <w:tcBorders>
              <w:tl2br w:val="nil"/>
              <w:tr2bl w:val="nil"/>
            </w:tcBorders>
            <w:noWrap w:val="0"/>
            <w:vAlign w:val="center"/>
          </w:tcPr>
          <w:p w14:paraId="28EE1615">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团部规划用地西至团部中学，南至公共绿地以南500米，北至公共绿地以北1300米，东至公共绿地以东800米。</w:t>
            </w:r>
          </w:p>
        </w:tc>
        <w:tc>
          <w:tcPr>
            <w:tcW w:w="233" w:type="pct"/>
            <w:tcBorders>
              <w:tl2br w:val="nil"/>
              <w:tr2bl w:val="nil"/>
            </w:tcBorders>
            <w:noWrap w:val="0"/>
            <w:vAlign w:val="center"/>
          </w:tcPr>
          <w:p w14:paraId="71087B9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2012-2030</w:t>
            </w:r>
          </w:p>
        </w:tc>
        <w:tc>
          <w:tcPr>
            <w:tcW w:w="344" w:type="pct"/>
            <w:tcBorders>
              <w:tl2br w:val="nil"/>
              <w:tr2bl w:val="nil"/>
            </w:tcBorders>
            <w:noWrap w:val="0"/>
            <w:vAlign w:val="center"/>
          </w:tcPr>
          <w:p w14:paraId="59967F0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师建发〔2013〕111号</w:t>
            </w:r>
          </w:p>
        </w:tc>
        <w:tc>
          <w:tcPr>
            <w:tcW w:w="873" w:type="pct"/>
            <w:tcBorders>
              <w:tl2br w:val="nil"/>
              <w:tr2bl w:val="nil"/>
            </w:tcBorders>
            <w:noWrap w:val="0"/>
            <w:vAlign w:val="center"/>
          </w:tcPr>
          <w:p w14:paraId="5895A22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团部西至团部中学西侧，南至公共绿地以南500米处，北至公共绿地以北1300米处，东至公共绿地以东800米处以内区域。禁养区面积3.87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273920DF">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西北角N44°54′37.760″，E84°16′54.344″；西南角N44°53′30.613″，E84°15′31.706″；东北角N44°54′16.222″，E84°17′28.911″；东南角N44°53′09.075″，E84°16′06.252″。</w:t>
            </w:r>
          </w:p>
        </w:tc>
        <w:tc>
          <w:tcPr>
            <w:tcW w:w="236" w:type="pct"/>
            <w:tcBorders>
              <w:tl2br w:val="nil"/>
              <w:tr2bl w:val="nil"/>
            </w:tcBorders>
            <w:noWrap w:val="0"/>
            <w:vAlign w:val="center"/>
          </w:tcPr>
          <w:p w14:paraId="1E9118FE">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4</w:t>
            </w:r>
          </w:p>
        </w:tc>
        <w:tc>
          <w:tcPr>
            <w:tcW w:w="320" w:type="pct"/>
            <w:tcBorders>
              <w:tl2br w:val="nil"/>
              <w:tr2bl w:val="nil"/>
            </w:tcBorders>
            <w:noWrap w:val="0"/>
            <w:vAlign w:val="center"/>
          </w:tcPr>
          <w:p w14:paraId="7DA47EE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17823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53E22175">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5C5AC61F">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39987936">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8</w:t>
            </w:r>
          </w:p>
        </w:tc>
        <w:tc>
          <w:tcPr>
            <w:tcW w:w="254" w:type="pct"/>
            <w:tcBorders>
              <w:tl2br w:val="nil"/>
              <w:tr2bl w:val="nil"/>
            </w:tcBorders>
            <w:noWrap w:val="0"/>
            <w:vAlign w:val="center"/>
          </w:tcPr>
          <w:p w14:paraId="2054A23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127团城镇居民区</w:t>
            </w:r>
          </w:p>
        </w:tc>
        <w:tc>
          <w:tcPr>
            <w:tcW w:w="746" w:type="pct"/>
            <w:tcBorders>
              <w:tl2br w:val="nil"/>
              <w:tr2bl w:val="nil"/>
            </w:tcBorders>
            <w:noWrap w:val="0"/>
            <w:vAlign w:val="center"/>
          </w:tcPr>
          <w:p w14:paraId="068F8D9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北至团结街，南至青北公路，东至经三路，西至晨光路。</w:t>
            </w:r>
          </w:p>
        </w:tc>
        <w:tc>
          <w:tcPr>
            <w:tcW w:w="233" w:type="pct"/>
            <w:tcBorders>
              <w:tl2br w:val="nil"/>
              <w:tr2bl w:val="nil"/>
            </w:tcBorders>
            <w:noWrap w:val="0"/>
            <w:vAlign w:val="center"/>
          </w:tcPr>
          <w:p w14:paraId="1A8B873D">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2012-2030</w:t>
            </w:r>
          </w:p>
        </w:tc>
        <w:tc>
          <w:tcPr>
            <w:tcW w:w="344" w:type="pct"/>
            <w:tcBorders>
              <w:tl2br w:val="nil"/>
              <w:tr2bl w:val="nil"/>
            </w:tcBorders>
            <w:noWrap w:val="0"/>
            <w:vAlign w:val="center"/>
          </w:tcPr>
          <w:p w14:paraId="6CEAEA6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师建发〔2013〕118号</w:t>
            </w:r>
          </w:p>
        </w:tc>
        <w:tc>
          <w:tcPr>
            <w:tcW w:w="873" w:type="pct"/>
            <w:tcBorders>
              <w:tl2br w:val="nil"/>
              <w:tr2bl w:val="nil"/>
            </w:tcBorders>
            <w:noWrap w:val="0"/>
            <w:vAlign w:val="center"/>
          </w:tcPr>
          <w:p w14:paraId="44C90F74">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团部北至团结街南侧，南至青北公路北侧，东至经三路西侧，西至晨光路东侧的区域。禁养区面积2.82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33FB1009">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西北角N45°03′04.973″，E84°23′26.248″；西南角N45°02′39.345″，E84°22′53.074″；东北角N45°02′17.452″，E84°24′42.730″；东南角N45°01′51.846″，E84°24′11.075″。</w:t>
            </w:r>
          </w:p>
        </w:tc>
        <w:tc>
          <w:tcPr>
            <w:tcW w:w="236" w:type="pct"/>
            <w:tcBorders>
              <w:tl2br w:val="nil"/>
              <w:tr2bl w:val="nil"/>
            </w:tcBorders>
            <w:noWrap w:val="0"/>
            <w:vAlign w:val="center"/>
          </w:tcPr>
          <w:p w14:paraId="085A7D34">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5</w:t>
            </w:r>
          </w:p>
        </w:tc>
        <w:tc>
          <w:tcPr>
            <w:tcW w:w="320" w:type="pct"/>
            <w:tcBorders>
              <w:tl2br w:val="nil"/>
              <w:tr2bl w:val="nil"/>
            </w:tcBorders>
            <w:noWrap w:val="0"/>
            <w:vAlign w:val="center"/>
          </w:tcPr>
          <w:p w14:paraId="599EF85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5855A5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501BD82F">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243880B0">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6A750BEF">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9</w:t>
            </w:r>
          </w:p>
        </w:tc>
        <w:tc>
          <w:tcPr>
            <w:tcW w:w="254" w:type="pct"/>
            <w:tcBorders>
              <w:tl2br w:val="nil"/>
              <w:tr2bl w:val="nil"/>
            </w:tcBorders>
            <w:noWrap w:val="0"/>
            <w:vAlign w:val="center"/>
          </w:tcPr>
          <w:p w14:paraId="2707B875">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128团城镇居民区</w:t>
            </w:r>
          </w:p>
        </w:tc>
        <w:tc>
          <w:tcPr>
            <w:tcW w:w="746" w:type="pct"/>
            <w:tcBorders>
              <w:tl2br w:val="nil"/>
              <w:tr2bl w:val="nil"/>
            </w:tcBorders>
            <w:noWrap w:val="0"/>
            <w:vAlign w:val="center"/>
          </w:tcPr>
          <w:p w14:paraId="38F6257D">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北至北环路，南至前高公路，西至西环路，东至东环路以内的区域。</w:t>
            </w:r>
          </w:p>
        </w:tc>
        <w:tc>
          <w:tcPr>
            <w:tcW w:w="233" w:type="pct"/>
            <w:tcBorders>
              <w:tl2br w:val="nil"/>
              <w:tr2bl w:val="nil"/>
            </w:tcBorders>
            <w:noWrap w:val="0"/>
            <w:vAlign w:val="center"/>
          </w:tcPr>
          <w:p w14:paraId="67CFF26C">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2012-2030</w:t>
            </w:r>
          </w:p>
        </w:tc>
        <w:tc>
          <w:tcPr>
            <w:tcW w:w="344" w:type="pct"/>
            <w:tcBorders>
              <w:tl2br w:val="nil"/>
              <w:tr2bl w:val="nil"/>
            </w:tcBorders>
            <w:noWrap w:val="0"/>
            <w:vAlign w:val="center"/>
          </w:tcPr>
          <w:p w14:paraId="443C0D1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师建发〔2013〕130号</w:t>
            </w:r>
          </w:p>
        </w:tc>
        <w:tc>
          <w:tcPr>
            <w:tcW w:w="873" w:type="pct"/>
            <w:tcBorders>
              <w:tl2br w:val="nil"/>
              <w:tr2bl w:val="nil"/>
            </w:tcBorders>
            <w:noWrap w:val="0"/>
            <w:vAlign w:val="center"/>
          </w:tcPr>
          <w:p w14:paraId="5C091C54">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北至北环路南侧，南至前高公路北侧，西至西环路东侧，东至东环路西侧以内的区域。禁养区面积2.36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71341B16">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西北角N45°01′40.177″，E84°35′16.455″；西南角N45°01′05.276″，E84°35′12.044″；东北角N45°01′48.255″，E84°36′47.951″；东南角N45°01′10.614″，E84°37′08.153″。</w:t>
            </w:r>
          </w:p>
        </w:tc>
        <w:tc>
          <w:tcPr>
            <w:tcW w:w="236" w:type="pct"/>
            <w:tcBorders>
              <w:tl2br w:val="nil"/>
              <w:tr2bl w:val="nil"/>
            </w:tcBorders>
            <w:noWrap w:val="0"/>
            <w:vAlign w:val="center"/>
          </w:tcPr>
          <w:p w14:paraId="60DB756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6</w:t>
            </w:r>
          </w:p>
        </w:tc>
        <w:tc>
          <w:tcPr>
            <w:tcW w:w="320" w:type="pct"/>
            <w:tcBorders>
              <w:tl2br w:val="nil"/>
              <w:tr2bl w:val="nil"/>
            </w:tcBorders>
            <w:noWrap w:val="0"/>
            <w:vAlign w:val="center"/>
          </w:tcPr>
          <w:p w14:paraId="1363960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57202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235568CC">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4EEE61CA">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35A8B64A">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10</w:t>
            </w:r>
          </w:p>
        </w:tc>
        <w:tc>
          <w:tcPr>
            <w:tcW w:w="254" w:type="pct"/>
            <w:tcBorders>
              <w:tl2br w:val="nil"/>
              <w:tr2bl w:val="nil"/>
            </w:tcBorders>
            <w:noWrap w:val="0"/>
            <w:vAlign w:val="center"/>
          </w:tcPr>
          <w:p w14:paraId="10326CD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129团城镇居民区</w:t>
            </w:r>
          </w:p>
        </w:tc>
        <w:tc>
          <w:tcPr>
            <w:tcW w:w="746" w:type="pct"/>
            <w:tcBorders>
              <w:tl2br w:val="nil"/>
              <w:tr2bl w:val="nil"/>
            </w:tcBorders>
            <w:noWrap w:val="0"/>
            <w:vAlign w:val="center"/>
          </w:tcPr>
          <w:p w14:paraId="2DEE425A">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北起幸福里，南至明星里，西起217国道，东至奎北铁路。</w:t>
            </w:r>
          </w:p>
        </w:tc>
        <w:tc>
          <w:tcPr>
            <w:tcW w:w="233" w:type="pct"/>
            <w:tcBorders>
              <w:tl2br w:val="nil"/>
              <w:tr2bl w:val="nil"/>
            </w:tcBorders>
            <w:noWrap w:val="0"/>
            <w:vAlign w:val="center"/>
          </w:tcPr>
          <w:p w14:paraId="7EC52DA6">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2012-2030</w:t>
            </w:r>
          </w:p>
        </w:tc>
        <w:tc>
          <w:tcPr>
            <w:tcW w:w="344" w:type="pct"/>
            <w:tcBorders>
              <w:tl2br w:val="nil"/>
              <w:tr2bl w:val="nil"/>
            </w:tcBorders>
            <w:noWrap w:val="0"/>
            <w:vAlign w:val="center"/>
          </w:tcPr>
          <w:p w14:paraId="6B9A29A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师建发〔2014〕102号</w:t>
            </w:r>
          </w:p>
        </w:tc>
        <w:tc>
          <w:tcPr>
            <w:tcW w:w="873" w:type="pct"/>
            <w:tcBorders>
              <w:tl2br w:val="nil"/>
              <w:tr2bl w:val="nil"/>
            </w:tcBorders>
            <w:noWrap w:val="0"/>
            <w:vAlign w:val="center"/>
          </w:tcPr>
          <w:p w14:paraId="7D54CE6F">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北起幸福里北侧，南至明星里南侧，西起217国道东侧，东至奎北铁路西侧的区域。禁养区面积3.045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229494EE">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西北角N44°52′21.241″，E84°46′47.233″；西南角N44°52′09.055″，E84°47′12.978″；东北角N44°51′13.417″，E84°18′51.701″；东南角N44°51′08.225″，E84°48′55.266″。</w:t>
            </w:r>
          </w:p>
        </w:tc>
        <w:tc>
          <w:tcPr>
            <w:tcW w:w="236" w:type="pct"/>
            <w:tcBorders>
              <w:tl2br w:val="nil"/>
              <w:tr2bl w:val="nil"/>
            </w:tcBorders>
            <w:noWrap w:val="0"/>
            <w:vAlign w:val="center"/>
          </w:tcPr>
          <w:p w14:paraId="65E99E8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7</w:t>
            </w:r>
          </w:p>
        </w:tc>
        <w:tc>
          <w:tcPr>
            <w:tcW w:w="320" w:type="pct"/>
            <w:tcBorders>
              <w:tl2br w:val="nil"/>
              <w:tr2bl w:val="nil"/>
            </w:tcBorders>
            <w:noWrap w:val="0"/>
            <w:vAlign w:val="center"/>
          </w:tcPr>
          <w:p w14:paraId="0F718C3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1DE18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2EEDC616">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27F8345F">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4A46C788">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11</w:t>
            </w:r>
          </w:p>
        </w:tc>
        <w:tc>
          <w:tcPr>
            <w:tcW w:w="254" w:type="pct"/>
            <w:tcBorders>
              <w:tl2br w:val="nil"/>
              <w:tr2bl w:val="nil"/>
            </w:tcBorders>
            <w:noWrap w:val="0"/>
            <w:vAlign w:val="center"/>
          </w:tcPr>
          <w:p w14:paraId="01BAC5DC">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胡杨河市居民区</w:t>
            </w:r>
          </w:p>
        </w:tc>
        <w:tc>
          <w:tcPr>
            <w:tcW w:w="746" w:type="pct"/>
            <w:tcBorders>
              <w:tl2br w:val="nil"/>
              <w:tr2bl w:val="nil"/>
            </w:tcBorders>
            <w:noWrap w:val="0"/>
            <w:vAlign w:val="center"/>
          </w:tcPr>
          <w:p w14:paraId="3DB07EF5">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东至奎克</w:t>
            </w:r>
            <w:r>
              <w:rPr>
                <w:rFonts w:hint="eastAsia" w:hAnsi="宋体" w:cs="Times New Roman"/>
                <w:sz w:val="21"/>
                <w:szCs w:val="21"/>
                <w:lang w:val="en-US" w:eastAsia="zh-CN"/>
              </w:rPr>
              <w:t>（</w:t>
            </w:r>
            <w:r>
              <w:rPr>
                <w:rFonts w:hint="eastAsia" w:ascii="Times New Roman" w:hAnsi="宋体" w:eastAsia="宋体" w:cs="Times New Roman"/>
                <w:sz w:val="21"/>
                <w:szCs w:val="21"/>
                <w:lang w:val="en-US" w:eastAsia="zh-CN"/>
              </w:rPr>
              <w:t>奎阿</w:t>
            </w:r>
            <w:r>
              <w:rPr>
                <w:rFonts w:hint="eastAsia" w:hAnsi="宋体" w:cs="Times New Roman"/>
                <w:sz w:val="21"/>
                <w:szCs w:val="21"/>
                <w:lang w:val="en-US" w:eastAsia="zh-CN"/>
              </w:rPr>
              <w:t>）</w:t>
            </w:r>
            <w:r>
              <w:rPr>
                <w:rFonts w:hint="eastAsia" w:ascii="Times New Roman" w:hAnsi="宋体" w:eastAsia="宋体" w:cs="Times New Roman"/>
                <w:sz w:val="21"/>
                <w:szCs w:val="21"/>
                <w:lang w:val="en-US" w:eastAsia="zh-CN"/>
              </w:rPr>
              <w:t>高速公路，南至130团11连，西至奎屯河，北至拟建天北第二通道公路。</w:t>
            </w:r>
          </w:p>
        </w:tc>
        <w:tc>
          <w:tcPr>
            <w:tcW w:w="233" w:type="pct"/>
            <w:tcBorders>
              <w:tl2br w:val="nil"/>
              <w:tr2bl w:val="nil"/>
            </w:tcBorders>
            <w:noWrap w:val="0"/>
            <w:vAlign w:val="center"/>
          </w:tcPr>
          <w:p w14:paraId="161E537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2013-2030</w:t>
            </w:r>
          </w:p>
        </w:tc>
        <w:tc>
          <w:tcPr>
            <w:tcW w:w="344" w:type="pct"/>
            <w:tcBorders>
              <w:tl2br w:val="nil"/>
              <w:tr2bl w:val="nil"/>
            </w:tcBorders>
            <w:noWrap w:val="0"/>
            <w:vAlign w:val="center"/>
          </w:tcPr>
          <w:p w14:paraId="0B4EEE2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兵建规发〔2015〕35号</w:t>
            </w:r>
          </w:p>
        </w:tc>
        <w:tc>
          <w:tcPr>
            <w:tcW w:w="873" w:type="pct"/>
            <w:tcBorders>
              <w:tl2br w:val="nil"/>
              <w:tr2bl w:val="nil"/>
            </w:tcBorders>
            <w:noWrap w:val="0"/>
            <w:vAlign w:val="center"/>
          </w:tcPr>
          <w:p w14:paraId="5C35D80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团部东至奎克高速公路西侧，南至130团11连居民区北侧，西至奎屯河东岸，北至9连居民区南侧以内的区域。禁养区面积57.15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207B03DE">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西北角N44°42′30.245″，E84°47′29.581″；西南角N44°41′04.618″，E81°48′49.102″；东北角N44°43′57.043″，E84°51′07.779″；东南角N44°41′05.456″，E84°56′57.561″。</w:t>
            </w:r>
          </w:p>
        </w:tc>
        <w:tc>
          <w:tcPr>
            <w:tcW w:w="236" w:type="pct"/>
            <w:tcBorders>
              <w:tl2br w:val="nil"/>
              <w:tr2bl w:val="nil"/>
            </w:tcBorders>
            <w:noWrap w:val="0"/>
            <w:vAlign w:val="center"/>
          </w:tcPr>
          <w:p w14:paraId="7AC19787">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8</w:t>
            </w:r>
          </w:p>
        </w:tc>
        <w:tc>
          <w:tcPr>
            <w:tcW w:w="320" w:type="pct"/>
            <w:tcBorders>
              <w:tl2br w:val="nil"/>
              <w:tr2bl w:val="nil"/>
            </w:tcBorders>
            <w:noWrap w:val="0"/>
            <w:vAlign w:val="center"/>
          </w:tcPr>
          <w:p w14:paraId="27F943D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5900D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255B589A">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548E508C">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213D2AD7">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12</w:t>
            </w:r>
          </w:p>
        </w:tc>
        <w:tc>
          <w:tcPr>
            <w:tcW w:w="254" w:type="pct"/>
            <w:tcBorders>
              <w:tl2br w:val="nil"/>
              <w:tr2bl w:val="nil"/>
            </w:tcBorders>
            <w:noWrap w:val="0"/>
            <w:vAlign w:val="center"/>
          </w:tcPr>
          <w:p w14:paraId="4A8613F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137团城镇居民区</w:t>
            </w:r>
          </w:p>
        </w:tc>
        <w:tc>
          <w:tcPr>
            <w:tcW w:w="746" w:type="pct"/>
            <w:tcBorders>
              <w:tl2br w:val="nil"/>
              <w:tr2bl w:val="nil"/>
            </w:tcBorders>
            <w:noWrap w:val="0"/>
            <w:vAlign w:val="center"/>
          </w:tcPr>
          <w:p w14:paraId="376022C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北至北环路，南至一连居住区，东至七连居民区，西至217国道。</w:t>
            </w:r>
          </w:p>
        </w:tc>
        <w:tc>
          <w:tcPr>
            <w:tcW w:w="233" w:type="pct"/>
            <w:tcBorders>
              <w:tl2br w:val="nil"/>
              <w:tr2bl w:val="nil"/>
            </w:tcBorders>
            <w:noWrap w:val="0"/>
            <w:vAlign w:val="center"/>
          </w:tcPr>
          <w:p w14:paraId="71CE647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2012-2030</w:t>
            </w:r>
          </w:p>
        </w:tc>
        <w:tc>
          <w:tcPr>
            <w:tcW w:w="344" w:type="pct"/>
            <w:tcBorders>
              <w:tl2br w:val="nil"/>
              <w:tr2bl w:val="nil"/>
            </w:tcBorders>
            <w:noWrap w:val="0"/>
            <w:vAlign w:val="center"/>
          </w:tcPr>
          <w:p w14:paraId="164A0D32">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师建发〔2013〕121号</w:t>
            </w:r>
          </w:p>
        </w:tc>
        <w:tc>
          <w:tcPr>
            <w:tcW w:w="873" w:type="pct"/>
            <w:tcBorders>
              <w:tl2br w:val="nil"/>
              <w:tr2bl w:val="nil"/>
            </w:tcBorders>
            <w:noWrap w:val="0"/>
            <w:vAlign w:val="center"/>
          </w:tcPr>
          <w:p w14:paraId="2F005A86">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团部北至北环路南侧，南至137团辖段白杨河道南侧500米处，东至七连120号耕地（东）往变电所沿线处，西至217国道以东的区域。禁养区面积3.25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247DD83C">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西北角N46°05′09.521″，E85°38′56.802″；西南角N46°03′45.131″，E85°40′54.110″；东北角N46°05′49.335″，E85°41′40.837″；东南角N46°05′36.343″，E85°42′46.035″。</w:t>
            </w:r>
          </w:p>
        </w:tc>
        <w:tc>
          <w:tcPr>
            <w:tcW w:w="236" w:type="pct"/>
            <w:tcBorders>
              <w:tl2br w:val="nil"/>
              <w:tr2bl w:val="nil"/>
            </w:tcBorders>
            <w:noWrap w:val="0"/>
            <w:vAlign w:val="center"/>
          </w:tcPr>
          <w:p w14:paraId="017A8EC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9</w:t>
            </w:r>
          </w:p>
        </w:tc>
        <w:tc>
          <w:tcPr>
            <w:tcW w:w="320" w:type="pct"/>
            <w:tcBorders>
              <w:tl2br w:val="nil"/>
              <w:tr2bl w:val="nil"/>
            </w:tcBorders>
            <w:noWrap w:val="0"/>
            <w:vAlign w:val="center"/>
          </w:tcPr>
          <w:p w14:paraId="2004F48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r w14:paraId="013F3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0339CD17">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4E830687">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302B4DE9">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13</w:t>
            </w:r>
          </w:p>
        </w:tc>
        <w:tc>
          <w:tcPr>
            <w:tcW w:w="254" w:type="pct"/>
            <w:tcBorders>
              <w:tl2br w:val="nil"/>
              <w:tr2bl w:val="nil"/>
            </w:tcBorders>
            <w:noWrap w:val="0"/>
            <w:vAlign w:val="center"/>
          </w:tcPr>
          <w:p w14:paraId="63653F6E">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金银川镇城镇居民区</w:t>
            </w:r>
          </w:p>
        </w:tc>
        <w:tc>
          <w:tcPr>
            <w:tcW w:w="746" w:type="pct"/>
            <w:tcBorders>
              <w:tl2br w:val="nil"/>
              <w:tr2bl w:val="nil"/>
            </w:tcBorders>
            <w:noWrap w:val="0"/>
            <w:vAlign w:val="center"/>
          </w:tcPr>
          <w:p w14:paraId="419AAC5D">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金银川镇中心镇区第一师一团部</w:t>
            </w:r>
          </w:p>
        </w:tc>
        <w:tc>
          <w:tcPr>
            <w:tcW w:w="233" w:type="pct"/>
            <w:tcBorders>
              <w:tl2br w:val="nil"/>
              <w:tr2bl w:val="nil"/>
            </w:tcBorders>
            <w:noWrap w:val="0"/>
            <w:vAlign w:val="center"/>
          </w:tcPr>
          <w:p w14:paraId="26BF8AC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2011-2030</w:t>
            </w:r>
          </w:p>
        </w:tc>
        <w:tc>
          <w:tcPr>
            <w:tcW w:w="344" w:type="pct"/>
            <w:tcBorders>
              <w:tl2br w:val="nil"/>
              <w:tr2bl w:val="nil"/>
            </w:tcBorders>
            <w:noWrap w:val="0"/>
            <w:vAlign w:val="center"/>
          </w:tcPr>
          <w:p w14:paraId="50EA2537">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兵建规发〔2013〕70号</w:t>
            </w:r>
          </w:p>
        </w:tc>
        <w:tc>
          <w:tcPr>
            <w:tcW w:w="873" w:type="pct"/>
            <w:tcBorders>
              <w:tl2br w:val="nil"/>
              <w:tr2bl w:val="nil"/>
            </w:tcBorders>
            <w:noWrap w:val="0"/>
            <w:vAlign w:val="center"/>
          </w:tcPr>
          <w:p w14:paraId="480CB456">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金银川镇中心镇区第一师一团团部的全部区域。禁养区面积12.0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3E570DD1">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北至N40°41′49.6″，E70°54′46.2″；</w:t>
            </w:r>
          </w:p>
          <w:p w14:paraId="201BB984">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南至N40°39′48.9″，E79°52′45.4″；</w:t>
            </w:r>
          </w:p>
          <w:p w14:paraId="245A13A8">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西至N40°41′21.0″，E79°51′59.3″；</w:t>
            </w:r>
          </w:p>
          <w:p w14:paraId="6510AFBA">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东至N40°40′20.1″，E79°45′10.2″。</w:t>
            </w:r>
          </w:p>
        </w:tc>
        <w:tc>
          <w:tcPr>
            <w:tcW w:w="236" w:type="pct"/>
            <w:tcBorders>
              <w:tl2br w:val="nil"/>
              <w:tr2bl w:val="nil"/>
            </w:tcBorders>
            <w:noWrap w:val="0"/>
            <w:vAlign w:val="center"/>
          </w:tcPr>
          <w:p w14:paraId="2FAA244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10</w:t>
            </w:r>
          </w:p>
        </w:tc>
        <w:tc>
          <w:tcPr>
            <w:tcW w:w="320" w:type="pct"/>
            <w:tcBorders>
              <w:tl2br w:val="nil"/>
              <w:tr2bl w:val="nil"/>
            </w:tcBorders>
            <w:noWrap w:val="0"/>
            <w:vAlign w:val="center"/>
          </w:tcPr>
          <w:p w14:paraId="415F2D05">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禁养区外延500米以内的区域。</w:t>
            </w:r>
          </w:p>
        </w:tc>
      </w:tr>
    </w:tbl>
    <w:p w14:paraId="62C95B11">
      <w:pPr>
        <w:adjustRightInd w:val="0"/>
        <w:snapToGrid w:val="0"/>
        <w:jc w:val="center"/>
        <w:rPr>
          <w:rFonts w:hint="eastAsia" w:hAnsi="宋体" w:cs="Times New Roman"/>
          <w:kern w:val="0"/>
          <w:sz w:val="21"/>
          <w:szCs w:val="21"/>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tbl>
      <w:tblPr>
        <w:tblStyle w:val="20"/>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0"/>
        <w:gridCol w:w="370"/>
        <w:gridCol w:w="650"/>
        <w:gridCol w:w="720"/>
        <w:gridCol w:w="2115"/>
        <w:gridCol w:w="660"/>
        <w:gridCol w:w="975"/>
        <w:gridCol w:w="2475"/>
        <w:gridCol w:w="3930"/>
        <w:gridCol w:w="669"/>
        <w:gridCol w:w="909"/>
      </w:tblGrid>
      <w:tr w14:paraId="3E6DF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tcBorders>
              <w:tl2br w:val="nil"/>
              <w:tr2bl w:val="nil"/>
            </w:tcBorders>
            <w:noWrap/>
            <w:vAlign w:val="center"/>
          </w:tcPr>
          <w:p w14:paraId="49DF04BE">
            <w:pPr>
              <w:pStyle w:val="2"/>
              <w:rPr>
                <w:rFonts w:hint="eastAsia"/>
                <w:lang w:val="en-US" w:eastAsia="zh-CN"/>
              </w:rPr>
            </w:pPr>
          </w:p>
        </w:tc>
        <w:tc>
          <w:tcPr>
            <w:tcW w:w="130" w:type="pct"/>
            <w:tcBorders>
              <w:tl2br w:val="nil"/>
              <w:tr2bl w:val="nil"/>
            </w:tcBorders>
            <w:noWrap w:val="0"/>
            <w:vAlign w:val="center"/>
          </w:tcPr>
          <w:p w14:paraId="5352425E">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3133C5A1">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14</w:t>
            </w:r>
          </w:p>
        </w:tc>
        <w:tc>
          <w:tcPr>
            <w:tcW w:w="254" w:type="pct"/>
            <w:tcBorders>
              <w:tl2br w:val="nil"/>
              <w:tr2bl w:val="nil"/>
            </w:tcBorders>
            <w:noWrap w:val="0"/>
            <w:vAlign w:val="center"/>
          </w:tcPr>
          <w:p w14:paraId="2B05E1D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天北新区城镇居民区</w:t>
            </w:r>
          </w:p>
        </w:tc>
        <w:tc>
          <w:tcPr>
            <w:tcW w:w="746" w:type="pct"/>
            <w:tcBorders>
              <w:tl2br w:val="nil"/>
              <w:tr2bl w:val="nil"/>
            </w:tcBorders>
            <w:noWrap w:val="0"/>
            <w:vAlign w:val="center"/>
          </w:tcPr>
          <w:p w14:paraId="65F5BA7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西起217国道，向东经乌鲁木齐路，北拐托里路至伊犁路，向东至玛纳斯路，北拐清泉路，向东至131团8连居民点，北至泉沟水库东坝线，沿坝线至北堤角，并沿水库公路向南接老引水渠，向西至217国道131团1连。</w:t>
            </w:r>
          </w:p>
        </w:tc>
        <w:tc>
          <w:tcPr>
            <w:tcW w:w="233" w:type="pct"/>
            <w:tcBorders>
              <w:tl2br w:val="nil"/>
              <w:tr2bl w:val="nil"/>
            </w:tcBorders>
            <w:noWrap w:val="0"/>
            <w:vAlign w:val="center"/>
          </w:tcPr>
          <w:p w14:paraId="797F945C">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13ECE274">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伊州党发〔2002〕34号</w:t>
            </w:r>
          </w:p>
        </w:tc>
        <w:tc>
          <w:tcPr>
            <w:tcW w:w="873" w:type="pct"/>
            <w:tcBorders>
              <w:tl2br w:val="nil"/>
              <w:tr2bl w:val="nil"/>
            </w:tcBorders>
            <w:noWrap w:val="0"/>
            <w:vAlign w:val="center"/>
          </w:tcPr>
          <w:p w14:paraId="2289046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北至冬青路南侧、南至伊犁路北侧，西至217国道东侧，东至一三一八连居民区西侧以内的区域。禁养区面积38 km</w:t>
            </w:r>
            <w:r>
              <w:rPr>
                <w:rFonts w:hint="eastAsia" w:hAnsi="宋体" w:cs="Times New Roman"/>
                <w:sz w:val="21"/>
                <w:szCs w:val="21"/>
                <w:vertAlign w:val="superscript"/>
                <w:lang w:val="en-US" w:eastAsia="zh-CN"/>
              </w:rPr>
              <w:t>2</w:t>
            </w:r>
            <w:r>
              <w:rPr>
                <w:rFonts w:hint="eastAsia" w:ascii="Times New Roman" w:hAnsi="宋体" w:eastAsia="宋体" w:cs="Times New Roman"/>
                <w:sz w:val="21"/>
                <w:szCs w:val="21"/>
                <w:lang w:val="en-US" w:eastAsia="zh-CN"/>
              </w:rPr>
              <w:t>。</w:t>
            </w:r>
          </w:p>
        </w:tc>
        <w:tc>
          <w:tcPr>
            <w:tcW w:w="1387" w:type="pct"/>
            <w:tcBorders>
              <w:tl2br w:val="nil"/>
              <w:tr2bl w:val="nil"/>
            </w:tcBorders>
            <w:noWrap w:val="0"/>
            <w:vAlign w:val="center"/>
          </w:tcPr>
          <w:p w14:paraId="7D698747">
            <w:pPr>
              <w:widowControl/>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西北角X=4927206.556</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Y=560511.543；西南角X=4923120.548</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Y=559030.748；东北角X=4926766.361</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Y=569154.616；东南角X=4922785.619</w:t>
            </w: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Y=569003.048。</w:t>
            </w:r>
          </w:p>
        </w:tc>
        <w:tc>
          <w:tcPr>
            <w:tcW w:w="236" w:type="pct"/>
            <w:tcBorders>
              <w:tl2br w:val="nil"/>
              <w:tr2bl w:val="nil"/>
            </w:tcBorders>
            <w:noWrap w:val="0"/>
            <w:vAlign w:val="center"/>
          </w:tcPr>
          <w:p w14:paraId="6648DE27">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c>
          <w:tcPr>
            <w:tcW w:w="320" w:type="pct"/>
            <w:tcBorders>
              <w:tl2br w:val="nil"/>
              <w:tr2bl w:val="nil"/>
            </w:tcBorders>
            <w:noWrap w:val="0"/>
            <w:vAlign w:val="center"/>
          </w:tcPr>
          <w:p w14:paraId="3CC0B90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438B2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restart"/>
            <w:tcBorders>
              <w:tl2br w:val="nil"/>
              <w:tr2bl w:val="nil"/>
            </w:tcBorders>
            <w:noWrap/>
            <w:vAlign w:val="center"/>
          </w:tcPr>
          <w:p w14:paraId="723332BE">
            <w:pPr>
              <w:adjustRightInd w:val="0"/>
              <w:snapToGrid w:val="0"/>
              <w:jc w:val="center"/>
              <w:rPr>
                <w:rFonts w:hint="default" w:hAnsi="宋体" w:cs="Times New Roman"/>
                <w:kern w:val="0"/>
                <w:sz w:val="21"/>
                <w:szCs w:val="21"/>
                <w:lang w:val="en-US" w:eastAsia="zh-CN"/>
              </w:rPr>
            </w:pPr>
            <w:r>
              <w:rPr>
                <w:rFonts w:hint="eastAsia" w:hAnsi="宋体" w:cs="Times New Roman"/>
                <w:kern w:val="0"/>
                <w:sz w:val="21"/>
                <w:szCs w:val="21"/>
                <w:lang w:val="en-US" w:eastAsia="zh-CN"/>
              </w:rPr>
              <w:t>四类</w:t>
            </w:r>
          </w:p>
        </w:tc>
        <w:tc>
          <w:tcPr>
            <w:tcW w:w="130" w:type="pct"/>
            <w:vMerge w:val="restart"/>
            <w:tcBorders>
              <w:tl2br w:val="nil"/>
              <w:tr2bl w:val="nil"/>
            </w:tcBorders>
            <w:noWrap w:val="0"/>
            <w:vAlign w:val="center"/>
          </w:tcPr>
          <w:p w14:paraId="0CAC6E3C">
            <w:pPr>
              <w:adjustRightInd w:val="0"/>
              <w:snapToGrid w:val="0"/>
              <w:jc w:val="center"/>
              <w:rPr>
                <w:rFonts w:hint="default" w:hAnsi="宋体" w:cs="Times New Roman"/>
                <w:kern w:val="0"/>
                <w:sz w:val="21"/>
                <w:szCs w:val="21"/>
                <w:lang w:val="en-US" w:eastAsia="zh-CN"/>
              </w:rPr>
            </w:pPr>
            <w:r>
              <w:rPr>
                <w:rFonts w:hint="eastAsia" w:hAnsi="宋体" w:cs="Times New Roman"/>
                <w:kern w:val="0"/>
                <w:sz w:val="21"/>
                <w:szCs w:val="21"/>
                <w:lang w:val="en-US" w:eastAsia="zh-CN"/>
              </w:rPr>
              <w:t>省级主要道路</w:t>
            </w:r>
          </w:p>
        </w:tc>
        <w:tc>
          <w:tcPr>
            <w:tcW w:w="229" w:type="pct"/>
            <w:tcBorders>
              <w:tl2br w:val="nil"/>
              <w:tr2bl w:val="nil"/>
            </w:tcBorders>
            <w:noWrap w:val="0"/>
            <w:vAlign w:val="center"/>
          </w:tcPr>
          <w:p w14:paraId="40AFCE0D">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15</w:t>
            </w:r>
          </w:p>
        </w:tc>
        <w:tc>
          <w:tcPr>
            <w:tcW w:w="254" w:type="pct"/>
            <w:vMerge w:val="restart"/>
            <w:tcBorders>
              <w:tl2br w:val="nil"/>
              <w:tr2bl w:val="nil"/>
            </w:tcBorders>
            <w:noWrap w:val="0"/>
            <w:vAlign w:val="center"/>
          </w:tcPr>
          <w:p w14:paraId="18922D2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主要交通干线</w:t>
            </w:r>
          </w:p>
        </w:tc>
        <w:tc>
          <w:tcPr>
            <w:tcW w:w="746" w:type="pct"/>
            <w:tcBorders>
              <w:tl2br w:val="nil"/>
              <w:tr2bl w:val="nil"/>
            </w:tcBorders>
            <w:noWrap w:val="0"/>
            <w:vAlign w:val="center"/>
          </w:tcPr>
          <w:p w14:paraId="4210D2F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217国道</w:t>
            </w:r>
          </w:p>
        </w:tc>
        <w:tc>
          <w:tcPr>
            <w:tcW w:w="233" w:type="pct"/>
            <w:tcBorders>
              <w:tl2br w:val="nil"/>
              <w:tr2bl w:val="nil"/>
            </w:tcBorders>
            <w:noWrap w:val="0"/>
            <w:vAlign w:val="center"/>
          </w:tcPr>
          <w:p w14:paraId="7A861FEA">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3E40CACB">
            <w:pPr>
              <w:widowControl/>
              <w:adjustRightInd w:val="0"/>
              <w:snapToGrid w:val="0"/>
              <w:jc w:val="center"/>
              <w:rPr>
                <w:rFonts w:hint="eastAsia" w:ascii="Times New Roman" w:hAnsi="宋体" w:eastAsia="宋体" w:cs="Times New Roman"/>
                <w:sz w:val="21"/>
                <w:szCs w:val="21"/>
                <w:lang w:val="en-US" w:eastAsia="zh-CN"/>
              </w:rPr>
            </w:pPr>
          </w:p>
        </w:tc>
        <w:tc>
          <w:tcPr>
            <w:tcW w:w="873" w:type="pct"/>
            <w:tcBorders>
              <w:tl2br w:val="nil"/>
              <w:tr2bl w:val="nil"/>
            </w:tcBorders>
            <w:noWrap w:val="0"/>
            <w:vAlign w:val="center"/>
          </w:tcPr>
          <w:p w14:paraId="0C89FDF6">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途经129团和130团团部路段两侧500米范围内的区域。</w:t>
            </w:r>
          </w:p>
        </w:tc>
        <w:tc>
          <w:tcPr>
            <w:tcW w:w="1387" w:type="pct"/>
            <w:tcBorders>
              <w:tl2br w:val="nil"/>
              <w:tr2bl w:val="nil"/>
            </w:tcBorders>
            <w:noWrap w:val="0"/>
            <w:vAlign w:val="center"/>
          </w:tcPr>
          <w:p w14:paraId="17946E01">
            <w:pPr>
              <w:widowControl/>
              <w:adjustRightInd w:val="0"/>
              <w:snapToGrid w:val="0"/>
              <w:jc w:val="center"/>
              <w:rPr>
                <w:rFonts w:hint="eastAsia" w:ascii="Times New Roman" w:hAnsi="宋体" w:eastAsia="宋体" w:cs="Times New Roman"/>
                <w:sz w:val="21"/>
                <w:szCs w:val="21"/>
                <w:lang w:val="en-US" w:eastAsia="zh-CN"/>
              </w:rPr>
            </w:pPr>
          </w:p>
        </w:tc>
        <w:tc>
          <w:tcPr>
            <w:tcW w:w="236" w:type="pct"/>
            <w:tcBorders>
              <w:tl2br w:val="nil"/>
              <w:tr2bl w:val="nil"/>
            </w:tcBorders>
            <w:noWrap w:val="0"/>
            <w:vAlign w:val="center"/>
          </w:tcPr>
          <w:p w14:paraId="147D968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c>
          <w:tcPr>
            <w:tcW w:w="320" w:type="pct"/>
            <w:tcBorders>
              <w:tl2br w:val="nil"/>
              <w:tr2bl w:val="nil"/>
            </w:tcBorders>
            <w:noWrap w:val="0"/>
            <w:vAlign w:val="center"/>
          </w:tcPr>
          <w:p w14:paraId="2C7634B6">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6D002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7548B793">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6A77DC92">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7639906F">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16</w:t>
            </w:r>
          </w:p>
        </w:tc>
        <w:tc>
          <w:tcPr>
            <w:tcW w:w="254" w:type="pct"/>
            <w:vMerge w:val="continue"/>
            <w:tcBorders>
              <w:tl2br w:val="nil"/>
              <w:tr2bl w:val="nil"/>
            </w:tcBorders>
            <w:noWrap w:val="0"/>
            <w:vAlign w:val="center"/>
          </w:tcPr>
          <w:p w14:paraId="57553255">
            <w:pPr>
              <w:widowControl/>
              <w:adjustRightInd w:val="0"/>
              <w:snapToGrid w:val="0"/>
              <w:jc w:val="center"/>
              <w:rPr>
                <w:rFonts w:hint="eastAsia" w:ascii="Times New Roman" w:hAnsi="Times New Roman" w:eastAsia="宋体" w:cs="Times New Roman"/>
                <w:kern w:val="0"/>
                <w:sz w:val="21"/>
                <w:szCs w:val="21"/>
              </w:rPr>
            </w:pPr>
          </w:p>
        </w:tc>
        <w:tc>
          <w:tcPr>
            <w:tcW w:w="746" w:type="pct"/>
            <w:tcBorders>
              <w:tl2br w:val="nil"/>
              <w:tr2bl w:val="nil"/>
            </w:tcBorders>
            <w:noWrap w:val="0"/>
            <w:vAlign w:val="center"/>
          </w:tcPr>
          <w:p w14:paraId="19C2C2A5">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312国道</w:t>
            </w:r>
          </w:p>
        </w:tc>
        <w:tc>
          <w:tcPr>
            <w:tcW w:w="233" w:type="pct"/>
            <w:tcBorders>
              <w:tl2br w:val="nil"/>
              <w:tr2bl w:val="nil"/>
            </w:tcBorders>
            <w:noWrap w:val="0"/>
            <w:vAlign w:val="center"/>
          </w:tcPr>
          <w:p w14:paraId="3ABD35D1">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1CDCC646">
            <w:pPr>
              <w:widowControl/>
              <w:adjustRightInd w:val="0"/>
              <w:snapToGrid w:val="0"/>
              <w:jc w:val="center"/>
              <w:rPr>
                <w:rFonts w:hint="eastAsia" w:ascii="Times New Roman" w:hAnsi="宋体" w:eastAsia="宋体" w:cs="Times New Roman"/>
                <w:sz w:val="21"/>
                <w:szCs w:val="21"/>
                <w:lang w:val="en-US" w:eastAsia="zh-CN"/>
              </w:rPr>
            </w:pPr>
          </w:p>
        </w:tc>
        <w:tc>
          <w:tcPr>
            <w:tcW w:w="873" w:type="pct"/>
            <w:tcBorders>
              <w:tl2br w:val="nil"/>
              <w:tr2bl w:val="nil"/>
            </w:tcBorders>
            <w:noWrap w:val="0"/>
            <w:vAlign w:val="center"/>
          </w:tcPr>
          <w:p w14:paraId="6A92809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途经124团团部路段两侧500米范围内的区域。</w:t>
            </w:r>
          </w:p>
        </w:tc>
        <w:tc>
          <w:tcPr>
            <w:tcW w:w="1387" w:type="pct"/>
            <w:tcBorders>
              <w:tl2br w:val="nil"/>
              <w:tr2bl w:val="nil"/>
            </w:tcBorders>
            <w:noWrap w:val="0"/>
            <w:vAlign w:val="center"/>
          </w:tcPr>
          <w:p w14:paraId="77358265">
            <w:pPr>
              <w:widowControl/>
              <w:adjustRightInd w:val="0"/>
              <w:snapToGrid w:val="0"/>
              <w:jc w:val="center"/>
              <w:rPr>
                <w:rFonts w:hint="eastAsia" w:ascii="Times New Roman" w:hAnsi="宋体" w:eastAsia="宋体" w:cs="Times New Roman"/>
                <w:sz w:val="21"/>
                <w:szCs w:val="21"/>
                <w:lang w:val="en-US" w:eastAsia="zh-CN"/>
              </w:rPr>
            </w:pPr>
          </w:p>
        </w:tc>
        <w:tc>
          <w:tcPr>
            <w:tcW w:w="236" w:type="pct"/>
            <w:tcBorders>
              <w:tl2br w:val="nil"/>
              <w:tr2bl w:val="nil"/>
            </w:tcBorders>
            <w:noWrap w:val="0"/>
            <w:vAlign w:val="center"/>
          </w:tcPr>
          <w:p w14:paraId="0881540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c>
          <w:tcPr>
            <w:tcW w:w="320" w:type="pct"/>
            <w:tcBorders>
              <w:tl2br w:val="nil"/>
              <w:tr2bl w:val="nil"/>
            </w:tcBorders>
            <w:noWrap w:val="0"/>
            <w:vAlign w:val="center"/>
          </w:tcPr>
          <w:p w14:paraId="0F92877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65A7D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2A2AC36E">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0CB04E07">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4961C32C">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17</w:t>
            </w:r>
          </w:p>
        </w:tc>
        <w:tc>
          <w:tcPr>
            <w:tcW w:w="254" w:type="pct"/>
            <w:vMerge w:val="continue"/>
            <w:tcBorders>
              <w:tl2br w:val="nil"/>
              <w:tr2bl w:val="nil"/>
            </w:tcBorders>
            <w:noWrap w:val="0"/>
            <w:vAlign w:val="center"/>
          </w:tcPr>
          <w:p w14:paraId="2735B0DC">
            <w:pPr>
              <w:widowControl/>
              <w:adjustRightInd w:val="0"/>
              <w:snapToGrid w:val="0"/>
              <w:jc w:val="center"/>
              <w:rPr>
                <w:rFonts w:hint="eastAsia" w:ascii="Times New Roman" w:hAnsi="Times New Roman" w:eastAsia="宋体" w:cs="Times New Roman"/>
                <w:kern w:val="0"/>
                <w:sz w:val="21"/>
                <w:szCs w:val="21"/>
              </w:rPr>
            </w:pPr>
          </w:p>
        </w:tc>
        <w:tc>
          <w:tcPr>
            <w:tcW w:w="746" w:type="pct"/>
            <w:tcBorders>
              <w:tl2br w:val="nil"/>
              <w:tr2bl w:val="nil"/>
            </w:tcBorders>
            <w:noWrap w:val="0"/>
            <w:vAlign w:val="center"/>
          </w:tcPr>
          <w:p w14:paraId="1EF18A01">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314国道</w:t>
            </w:r>
          </w:p>
        </w:tc>
        <w:tc>
          <w:tcPr>
            <w:tcW w:w="233" w:type="pct"/>
            <w:tcBorders>
              <w:tl2br w:val="nil"/>
              <w:tr2bl w:val="nil"/>
            </w:tcBorders>
            <w:noWrap w:val="0"/>
            <w:vAlign w:val="center"/>
          </w:tcPr>
          <w:p w14:paraId="7E8ACB00">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68DAD805">
            <w:pPr>
              <w:widowControl/>
              <w:adjustRightInd w:val="0"/>
              <w:snapToGrid w:val="0"/>
              <w:jc w:val="center"/>
              <w:rPr>
                <w:rFonts w:hint="eastAsia" w:ascii="Times New Roman" w:hAnsi="宋体" w:eastAsia="宋体" w:cs="Times New Roman"/>
                <w:sz w:val="21"/>
                <w:szCs w:val="21"/>
                <w:lang w:val="en-US" w:eastAsia="zh-CN"/>
              </w:rPr>
            </w:pPr>
          </w:p>
        </w:tc>
        <w:tc>
          <w:tcPr>
            <w:tcW w:w="873" w:type="pct"/>
            <w:tcBorders>
              <w:tl2br w:val="nil"/>
              <w:tr2bl w:val="nil"/>
            </w:tcBorders>
            <w:noWrap w:val="0"/>
            <w:vAlign w:val="center"/>
          </w:tcPr>
          <w:p w14:paraId="529F8E8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途经1团团部路段两侧500米范围内的区域。</w:t>
            </w:r>
          </w:p>
        </w:tc>
        <w:tc>
          <w:tcPr>
            <w:tcW w:w="1387" w:type="pct"/>
            <w:tcBorders>
              <w:tl2br w:val="nil"/>
              <w:tr2bl w:val="nil"/>
            </w:tcBorders>
            <w:noWrap w:val="0"/>
            <w:vAlign w:val="center"/>
          </w:tcPr>
          <w:p w14:paraId="4811BDBA">
            <w:pPr>
              <w:widowControl/>
              <w:adjustRightInd w:val="0"/>
              <w:snapToGrid w:val="0"/>
              <w:jc w:val="center"/>
              <w:rPr>
                <w:rFonts w:hint="eastAsia" w:ascii="Times New Roman" w:hAnsi="宋体" w:eastAsia="宋体" w:cs="Times New Roman"/>
                <w:sz w:val="21"/>
                <w:szCs w:val="21"/>
                <w:lang w:val="en-US" w:eastAsia="zh-CN"/>
              </w:rPr>
            </w:pPr>
          </w:p>
        </w:tc>
        <w:tc>
          <w:tcPr>
            <w:tcW w:w="236" w:type="pct"/>
            <w:tcBorders>
              <w:tl2br w:val="nil"/>
              <w:tr2bl w:val="nil"/>
            </w:tcBorders>
            <w:noWrap w:val="0"/>
            <w:vAlign w:val="center"/>
          </w:tcPr>
          <w:p w14:paraId="4A940405">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c>
          <w:tcPr>
            <w:tcW w:w="320" w:type="pct"/>
            <w:tcBorders>
              <w:tl2br w:val="nil"/>
              <w:tr2bl w:val="nil"/>
            </w:tcBorders>
            <w:noWrap w:val="0"/>
            <w:vAlign w:val="center"/>
          </w:tcPr>
          <w:p w14:paraId="7824E5DC">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2818C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32E55D3D">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1B66EA92">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57D940FD">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18</w:t>
            </w:r>
          </w:p>
        </w:tc>
        <w:tc>
          <w:tcPr>
            <w:tcW w:w="254" w:type="pct"/>
            <w:vMerge w:val="continue"/>
            <w:tcBorders>
              <w:tl2br w:val="nil"/>
              <w:tr2bl w:val="nil"/>
            </w:tcBorders>
            <w:noWrap w:val="0"/>
            <w:vAlign w:val="center"/>
          </w:tcPr>
          <w:p w14:paraId="330DFBD3">
            <w:pPr>
              <w:widowControl/>
              <w:adjustRightInd w:val="0"/>
              <w:snapToGrid w:val="0"/>
              <w:jc w:val="center"/>
              <w:rPr>
                <w:rFonts w:hint="eastAsia" w:ascii="Times New Roman" w:hAnsi="Times New Roman" w:eastAsia="宋体" w:cs="Times New Roman"/>
                <w:kern w:val="0"/>
                <w:sz w:val="21"/>
                <w:szCs w:val="21"/>
              </w:rPr>
            </w:pPr>
          </w:p>
        </w:tc>
        <w:tc>
          <w:tcPr>
            <w:tcW w:w="746" w:type="pct"/>
            <w:tcBorders>
              <w:tl2br w:val="nil"/>
              <w:tr2bl w:val="nil"/>
            </w:tcBorders>
            <w:noWrap w:val="0"/>
            <w:vAlign w:val="center"/>
          </w:tcPr>
          <w:p w14:paraId="1B1C37A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奎伊铁路</w:t>
            </w:r>
          </w:p>
        </w:tc>
        <w:tc>
          <w:tcPr>
            <w:tcW w:w="233" w:type="pct"/>
            <w:tcBorders>
              <w:tl2br w:val="nil"/>
              <w:tr2bl w:val="nil"/>
            </w:tcBorders>
            <w:noWrap w:val="0"/>
            <w:vAlign w:val="center"/>
          </w:tcPr>
          <w:p w14:paraId="0EE49133">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58064207">
            <w:pPr>
              <w:widowControl/>
              <w:adjustRightInd w:val="0"/>
              <w:snapToGrid w:val="0"/>
              <w:jc w:val="center"/>
              <w:rPr>
                <w:rFonts w:hint="eastAsia" w:ascii="Times New Roman" w:hAnsi="宋体" w:eastAsia="宋体" w:cs="Times New Roman"/>
                <w:sz w:val="21"/>
                <w:szCs w:val="21"/>
                <w:lang w:val="en-US" w:eastAsia="zh-CN"/>
              </w:rPr>
            </w:pPr>
          </w:p>
        </w:tc>
        <w:tc>
          <w:tcPr>
            <w:tcW w:w="873" w:type="pct"/>
            <w:tcBorders>
              <w:tl2br w:val="nil"/>
              <w:tr2bl w:val="nil"/>
            </w:tcBorders>
            <w:noWrap w:val="0"/>
            <w:vAlign w:val="center"/>
          </w:tcPr>
          <w:p w14:paraId="11CE7BD7">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途经124团团部路段两侧500米范围内的区域。</w:t>
            </w:r>
          </w:p>
        </w:tc>
        <w:tc>
          <w:tcPr>
            <w:tcW w:w="1387" w:type="pct"/>
            <w:tcBorders>
              <w:tl2br w:val="nil"/>
              <w:tr2bl w:val="nil"/>
            </w:tcBorders>
            <w:noWrap w:val="0"/>
            <w:vAlign w:val="center"/>
          </w:tcPr>
          <w:p w14:paraId="39162CFE">
            <w:pPr>
              <w:widowControl/>
              <w:adjustRightInd w:val="0"/>
              <w:snapToGrid w:val="0"/>
              <w:jc w:val="center"/>
              <w:rPr>
                <w:rFonts w:hint="eastAsia" w:ascii="Times New Roman" w:hAnsi="宋体" w:eastAsia="宋体" w:cs="Times New Roman"/>
                <w:sz w:val="21"/>
                <w:szCs w:val="21"/>
                <w:lang w:val="en-US" w:eastAsia="zh-CN"/>
              </w:rPr>
            </w:pPr>
          </w:p>
        </w:tc>
        <w:tc>
          <w:tcPr>
            <w:tcW w:w="236" w:type="pct"/>
            <w:tcBorders>
              <w:tl2br w:val="nil"/>
              <w:tr2bl w:val="nil"/>
            </w:tcBorders>
            <w:noWrap w:val="0"/>
            <w:vAlign w:val="center"/>
          </w:tcPr>
          <w:p w14:paraId="39EE4B0D">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c>
          <w:tcPr>
            <w:tcW w:w="320" w:type="pct"/>
            <w:tcBorders>
              <w:tl2br w:val="nil"/>
              <w:tr2bl w:val="nil"/>
            </w:tcBorders>
            <w:noWrap w:val="0"/>
            <w:vAlign w:val="center"/>
          </w:tcPr>
          <w:p w14:paraId="418C1F68">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459E2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vMerge w:val="continue"/>
            <w:tcBorders>
              <w:tl2br w:val="nil"/>
              <w:tr2bl w:val="nil"/>
            </w:tcBorders>
            <w:noWrap/>
            <w:vAlign w:val="center"/>
          </w:tcPr>
          <w:p w14:paraId="34EC110E">
            <w:pPr>
              <w:adjustRightInd w:val="0"/>
              <w:snapToGrid w:val="0"/>
              <w:jc w:val="center"/>
              <w:rPr>
                <w:rFonts w:hint="eastAsia" w:hAnsi="宋体" w:cs="Times New Roman"/>
                <w:kern w:val="0"/>
                <w:sz w:val="21"/>
                <w:szCs w:val="21"/>
                <w:lang w:val="en-US" w:eastAsia="zh-CN"/>
              </w:rPr>
            </w:pPr>
          </w:p>
        </w:tc>
        <w:tc>
          <w:tcPr>
            <w:tcW w:w="130" w:type="pct"/>
            <w:vMerge w:val="continue"/>
            <w:tcBorders>
              <w:tl2br w:val="nil"/>
              <w:tr2bl w:val="nil"/>
            </w:tcBorders>
            <w:noWrap w:val="0"/>
            <w:vAlign w:val="center"/>
          </w:tcPr>
          <w:p w14:paraId="03227EAF">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7898BDE6">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19</w:t>
            </w:r>
          </w:p>
        </w:tc>
        <w:tc>
          <w:tcPr>
            <w:tcW w:w="254" w:type="pct"/>
            <w:vMerge w:val="continue"/>
            <w:tcBorders>
              <w:tl2br w:val="nil"/>
              <w:tr2bl w:val="nil"/>
            </w:tcBorders>
            <w:noWrap w:val="0"/>
            <w:vAlign w:val="center"/>
          </w:tcPr>
          <w:p w14:paraId="119F468B">
            <w:pPr>
              <w:widowControl/>
              <w:adjustRightInd w:val="0"/>
              <w:snapToGrid w:val="0"/>
              <w:jc w:val="center"/>
              <w:rPr>
                <w:rFonts w:hint="eastAsia" w:ascii="Times New Roman" w:hAnsi="Times New Roman" w:eastAsia="宋体" w:cs="Times New Roman"/>
                <w:kern w:val="0"/>
                <w:sz w:val="21"/>
                <w:szCs w:val="21"/>
              </w:rPr>
            </w:pPr>
          </w:p>
        </w:tc>
        <w:tc>
          <w:tcPr>
            <w:tcW w:w="746" w:type="pct"/>
            <w:tcBorders>
              <w:tl2br w:val="nil"/>
              <w:tr2bl w:val="nil"/>
            </w:tcBorders>
            <w:noWrap w:val="0"/>
            <w:vAlign w:val="center"/>
          </w:tcPr>
          <w:p w14:paraId="08605CDB">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青北公路</w:t>
            </w:r>
          </w:p>
        </w:tc>
        <w:tc>
          <w:tcPr>
            <w:tcW w:w="233" w:type="pct"/>
            <w:tcBorders>
              <w:tl2br w:val="nil"/>
              <w:tr2bl w:val="nil"/>
            </w:tcBorders>
            <w:noWrap w:val="0"/>
            <w:vAlign w:val="center"/>
          </w:tcPr>
          <w:p w14:paraId="55819071">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46656A0A">
            <w:pPr>
              <w:widowControl/>
              <w:adjustRightInd w:val="0"/>
              <w:snapToGrid w:val="0"/>
              <w:jc w:val="center"/>
              <w:rPr>
                <w:rFonts w:hint="eastAsia" w:ascii="Times New Roman" w:hAnsi="宋体" w:eastAsia="宋体" w:cs="Times New Roman"/>
                <w:sz w:val="21"/>
                <w:szCs w:val="21"/>
                <w:lang w:val="en-US" w:eastAsia="zh-CN"/>
              </w:rPr>
            </w:pPr>
          </w:p>
        </w:tc>
        <w:tc>
          <w:tcPr>
            <w:tcW w:w="873" w:type="pct"/>
            <w:tcBorders>
              <w:tl2br w:val="nil"/>
              <w:tr2bl w:val="nil"/>
            </w:tcBorders>
            <w:noWrap w:val="0"/>
            <w:vAlign w:val="center"/>
          </w:tcPr>
          <w:p w14:paraId="73DC6959">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途经123团、127团、126团团部路段两侧500米范围内的区域。</w:t>
            </w:r>
          </w:p>
        </w:tc>
        <w:tc>
          <w:tcPr>
            <w:tcW w:w="1387" w:type="pct"/>
            <w:tcBorders>
              <w:tl2br w:val="nil"/>
              <w:tr2bl w:val="nil"/>
            </w:tcBorders>
            <w:noWrap w:val="0"/>
            <w:vAlign w:val="center"/>
          </w:tcPr>
          <w:p w14:paraId="0E776644">
            <w:pPr>
              <w:widowControl/>
              <w:adjustRightInd w:val="0"/>
              <w:snapToGrid w:val="0"/>
              <w:jc w:val="center"/>
              <w:rPr>
                <w:rFonts w:hint="eastAsia" w:ascii="Times New Roman" w:hAnsi="宋体" w:eastAsia="宋体" w:cs="Times New Roman"/>
                <w:sz w:val="21"/>
                <w:szCs w:val="21"/>
                <w:lang w:val="en-US" w:eastAsia="zh-CN"/>
              </w:rPr>
            </w:pPr>
          </w:p>
        </w:tc>
        <w:tc>
          <w:tcPr>
            <w:tcW w:w="236" w:type="pct"/>
            <w:tcBorders>
              <w:tl2br w:val="nil"/>
              <w:tr2bl w:val="nil"/>
            </w:tcBorders>
            <w:noWrap w:val="0"/>
            <w:vAlign w:val="center"/>
          </w:tcPr>
          <w:p w14:paraId="4B28499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c>
          <w:tcPr>
            <w:tcW w:w="320" w:type="pct"/>
            <w:tcBorders>
              <w:tl2br w:val="nil"/>
              <w:tr2bl w:val="nil"/>
            </w:tcBorders>
            <w:noWrap w:val="0"/>
            <w:vAlign w:val="center"/>
          </w:tcPr>
          <w:p w14:paraId="36BDAC86">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r w14:paraId="27D65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243" w:type="pct"/>
            <w:tcBorders>
              <w:tl2br w:val="nil"/>
              <w:tr2bl w:val="nil"/>
            </w:tcBorders>
            <w:noWrap/>
            <w:vAlign w:val="center"/>
          </w:tcPr>
          <w:p w14:paraId="20DCCD6B">
            <w:pPr>
              <w:adjustRightInd w:val="0"/>
              <w:snapToGrid w:val="0"/>
              <w:jc w:val="center"/>
              <w:rPr>
                <w:rFonts w:hint="eastAsia" w:hAnsi="宋体" w:cs="Times New Roman"/>
                <w:kern w:val="0"/>
                <w:sz w:val="21"/>
                <w:szCs w:val="21"/>
                <w:lang w:val="en-US" w:eastAsia="zh-CN"/>
              </w:rPr>
            </w:pPr>
          </w:p>
        </w:tc>
        <w:tc>
          <w:tcPr>
            <w:tcW w:w="130" w:type="pct"/>
            <w:tcBorders>
              <w:tl2br w:val="nil"/>
              <w:tr2bl w:val="nil"/>
            </w:tcBorders>
            <w:noWrap w:val="0"/>
            <w:vAlign w:val="center"/>
          </w:tcPr>
          <w:p w14:paraId="647D491F">
            <w:pPr>
              <w:adjustRightInd w:val="0"/>
              <w:snapToGrid w:val="0"/>
              <w:jc w:val="center"/>
              <w:rPr>
                <w:rFonts w:hint="eastAsia" w:hAnsi="宋体" w:cs="Times New Roman"/>
                <w:kern w:val="0"/>
                <w:sz w:val="21"/>
                <w:szCs w:val="21"/>
                <w:lang w:val="en-US" w:eastAsia="zh-CN"/>
              </w:rPr>
            </w:pPr>
          </w:p>
        </w:tc>
        <w:tc>
          <w:tcPr>
            <w:tcW w:w="229" w:type="pct"/>
            <w:tcBorders>
              <w:tl2br w:val="nil"/>
              <w:tr2bl w:val="nil"/>
            </w:tcBorders>
            <w:noWrap w:val="0"/>
            <w:vAlign w:val="center"/>
          </w:tcPr>
          <w:p w14:paraId="69D4D190">
            <w:pPr>
              <w:widowControl/>
              <w:adjustRightInd w:val="0"/>
              <w:snapToGrid w:val="0"/>
              <w:jc w:val="center"/>
              <w:rPr>
                <w:rFonts w:hint="default" w:cs="Times New Roman"/>
                <w:bCs/>
                <w:kern w:val="0"/>
                <w:sz w:val="21"/>
                <w:szCs w:val="21"/>
                <w:lang w:val="en-US" w:eastAsia="zh-CN"/>
              </w:rPr>
            </w:pPr>
            <w:r>
              <w:rPr>
                <w:rFonts w:hint="eastAsia" w:cs="Times New Roman"/>
                <w:bCs/>
                <w:kern w:val="0"/>
                <w:sz w:val="21"/>
                <w:szCs w:val="21"/>
                <w:lang w:val="en-US" w:eastAsia="zh-CN"/>
              </w:rPr>
              <w:t>20</w:t>
            </w:r>
          </w:p>
        </w:tc>
        <w:tc>
          <w:tcPr>
            <w:tcW w:w="254" w:type="pct"/>
            <w:tcBorders>
              <w:tl2br w:val="nil"/>
              <w:tr2bl w:val="nil"/>
            </w:tcBorders>
            <w:noWrap w:val="0"/>
            <w:vAlign w:val="center"/>
          </w:tcPr>
          <w:p w14:paraId="57BEA205">
            <w:pPr>
              <w:widowControl/>
              <w:adjustRightInd w:val="0"/>
              <w:snapToGrid w:val="0"/>
              <w:jc w:val="center"/>
              <w:rPr>
                <w:rFonts w:hint="eastAsia" w:ascii="Times New Roman" w:hAnsi="Times New Roman" w:eastAsia="宋体" w:cs="Times New Roman"/>
                <w:kern w:val="0"/>
                <w:sz w:val="21"/>
                <w:szCs w:val="21"/>
              </w:rPr>
            </w:pPr>
          </w:p>
        </w:tc>
        <w:tc>
          <w:tcPr>
            <w:tcW w:w="746" w:type="pct"/>
            <w:tcBorders>
              <w:tl2br w:val="nil"/>
              <w:tr2bl w:val="nil"/>
            </w:tcBorders>
            <w:noWrap w:val="0"/>
            <w:vAlign w:val="center"/>
          </w:tcPr>
          <w:p w14:paraId="4832EEC3">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前高公路</w:t>
            </w:r>
          </w:p>
        </w:tc>
        <w:tc>
          <w:tcPr>
            <w:tcW w:w="233" w:type="pct"/>
            <w:tcBorders>
              <w:tl2br w:val="nil"/>
              <w:tr2bl w:val="nil"/>
            </w:tcBorders>
            <w:noWrap w:val="0"/>
            <w:vAlign w:val="center"/>
          </w:tcPr>
          <w:p w14:paraId="5A4B8C2D">
            <w:pPr>
              <w:widowControl/>
              <w:adjustRightInd w:val="0"/>
              <w:snapToGrid w:val="0"/>
              <w:jc w:val="center"/>
              <w:rPr>
                <w:rFonts w:hint="eastAsia" w:ascii="Times New Roman" w:hAnsi="宋体" w:eastAsia="宋体" w:cs="Times New Roman"/>
                <w:sz w:val="21"/>
                <w:szCs w:val="21"/>
                <w:lang w:val="en-US" w:eastAsia="zh-CN"/>
              </w:rPr>
            </w:pPr>
          </w:p>
        </w:tc>
        <w:tc>
          <w:tcPr>
            <w:tcW w:w="344" w:type="pct"/>
            <w:tcBorders>
              <w:tl2br w:val="nil"/>
              <w:tr2bl w:val="nil"/>
            </w:tcBorders>
            <w:noWrap w:val="0"/>
            <w:vAlign w:val="center"/>
          </w:tcPr>
          <w:p w14:paraId="2A79FF04">
            <w:pPr>
              <w:widowControl/>
              <w:adjustRightInd w:val="0"/>
              <w:snapToGrid w:val="0"/>
              <w:jc w:val="center"/>
              <w:rPr>
                <w:rFonts w:hint="eastAsia" w:ascii="Times New Roman" w:hAnsi="宋体" w:eastAsia="宋体" w:cs="Times New Roman"/>
                <w:sz w:val="21"/>
                <w:szCs w:val="21"/>
                <w:lang w:val="en-US" w:eastAsia="zh-CN"/>
              </w:rPr>
            </w:pPr>
          </w:p>
        </w:tc>
        <w:tc>
          <w:tcPr>
            <w:tcW w:w="873" w:type="pct"/>
            <w:tcBorders>
              <w:tl2br w:val="nil"/>
              <w:tr2bl w:val="nil"/>
            </w:tcBorders>
            <w:noWrap w:val="0"/>
            <w:vAlign w:val="center"/>
          </w:tcPr>
          <w:p w14:paraId="475E1E94">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途经123团、124团、125团、128团团部路段两侧500米范围内的区域。</w:t>
            </w:r>
          </w:p>
        </w:tc>
        <w:tc>
          <w:tcPr>
            <w:tcW w:w="1387" w:type="pct"/>
            <w:tcBorders>
              <w:tl2br w:val="nil"/>
              <w:tr2bl w:val="nil"/>
            </w:tcBorders>
            <w:noWrap w:val="0"/>
            <w:vAlign w:val="center"/>
          </w:tcPr>
          <w:p w14:paraId="5ABFD76E">
            <w:pPr>
              <w:widowControl/>
              <w:adjustRightInd w:val="0"/>
              <w:snapToGrid w:val="0"/>
              <w:jc w:val="center"/>
              <w:rPr>
                <w:rFonts w:hint="eastAsia" w:ascii="Times New Roman" w:hAnsi="宋体" w:eastAsia="宋体" w:cs="Times New Roman"/>
                <w:sz w:val="21"/>
                <w:szCs w:val="21"/>
                <w:lang w:val="en-US" w:eastAsia="zh-CN"/>
              </w:rPr>
            </w:pPr>
          </w:p>
        </w:tc>
        <w:tc>
          <w:tcPr>
            <w:tcW w:w="236" w:type="pct"/>
            <w:tcBorders>
              <w:tl2br w:val="nil"/>
              <w:tr2bl w:val="nil"/>
            </w:tcBorders>
            <w:noWrap w:val="0"/>
            <w:vAlign w:val="center"/>
          </w:tcPr>
          <w:p w14:paraId="05A81D62">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c>
          <w:tcPr>
            <w:tcW w:w="320" w:type="pct"/>
            <w:tcBorders>
              <w:tl2br w:val="nil"/>
              <w:tr2bl w:val="nil"/>
            </w:tcBorders>
            <w:noWrap w:val="0"/>
            <w:vAlign w:val="center"/>
          </w:tcPr>
          <w:p w14:paraId="30083E80">
            <w:pPr>
              <w:widowControl/>
              <w:adjustRightInd w:val="0"/>
              <w:snapToGrid w:val="0"/>
              <w:jc w:val="center"/>
              <w:rPr>
                <w:rFonts w:hint="eastAsia" w:ascii="Times New Roman" w:hAnsi="宋体" w:eastAsia="宋体" w:cs="Times New Roman"/>
                <w:sz w:val="21"/>
                <w:szCs w:val="21"/>
                <w:lang w:val="en-US" w:eastAsia="zh-CN"/>
              </w:rPr>
            </w:pPr>
            <w:r>
              <w:rPr>
                <w:rFonts w:hint="eastAsia" w:ascii="Times New Roman" w:hAnsi="宋体" w:eastAsia="宋体" w:cs="Times New Roman"/>
                <w:sz w:val="21"/>
                <w:szCs w:val="21"/>
                <w:lang w:val="en-US" w:eastAsia="zh-CN"/>
              </w:rPr>
              <w:t>无</w:t>
            </w:r>
          </w:p>
        </w:tc>
      </w:tr>
    </w:tbl>
    <w:p w14:paraId="339030DE">
      <w:pPr>
        <w:widowControl w:val="0"/>
        <w:numPr>
          <w:ilvl w:val="0"/>
          <w:numId w:val="0"/>
        </w:numPr>
        <w:spacing w:after="120" w:line="360" w:lineRule="auto"/>
        <w:ind w:firstLine="480" w:firstLineChars="200"/>
        <w:jc w:val="both"/>
        <w:rPr>
          <w:rFonts w:hint="eastAsia" w:ascii="Times New Roman" w:hAnsi="Times New Roman" w:eastAsia="宋体" w:cs="宋体"/>
          <w:color w:val="auto"/>
          <w:kern w:val="0"/>
          <w:sz w:val="24"/>
          <w:szCs w:val="22"/>
          <w:lang w:val="en-US" w:eastAsia="zh-CN"/>
        </w:rPr>
        <w:sectPr>
          <w:footerReference r:id="rId8"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5C4FAF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（5）《新疆生产建设兵团第七师胡杨河市国土空间总体规划</w:t>
      </w:r>
      <w:r>
        <w:rPr>
          <w:rFonts w:hint="default" w:ascii="Times New Roman" w:hAnsi="Times New Roman" w:eastAsia="宋体" w:cs="Times New Roman"/>
          <w:kern w:val="2"/>
          <w:sz w:val="24"/>
          <w:szCs w:val="24"/>
          <w:highlight w:val="none"/>
          <w:lang w:val="en-US" w:eastAsia="zh-CN" w:bidi="ar-SA"/>
        </w:rPr>
        <w:t>（2021—2035年）</w:t>
      </w:r>
      <w:r>
        <w:rPr>
          <w:rFonts w:hint="default" w:ascii="Times New Roman" w:hAnsi="Times New Roman" w:eastAsia="宋体" w:cs="Times New Roman"/>
          <w:kern w:val="2"/>
          <w:sz w:val="24"/>
          <w:szCs w:val="24"/>
          <w:lang w:val="en-US" w:eastAsia="zh-CN" w:bidi="ar-SA"/>
        </w:rPr>
        <w:t>》符合性分析</w:t>
      </w:r>
    </w:p>
    <w:p w14:paraId="7BB1AB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坚持走以生态优先、绿色发展为导向的高质量发展新路子，确立与资源环境承载力相适应、与地区生态综合格局相协调的发展理念和行动策略，平衡保护与开发的关系，提升服务水平、优化城市环境，为居民提供高品质生活，建设</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生态美</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文化美</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生活美</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的现代化军垦新城。</w:t>
      </w:r>
    </w:p>
    <w:p w14:paraId="625DC9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落实兵团</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3+4</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主体功能分区，依据资源环境承载力和国土开发适宜性评价，按照保障国家粮食安全为基础、完善重点生态功能区划定、推动师市高质量发展的要求，精准优化第七师主体功能分区。</w:t>
      </w:r>
    </w:p>
    <w:p w14:paraId="4A5CBC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①三个分区</w:t>
      </w:r>
    </w:p>
    <w:p w14:paraId="7318DD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ascii="宋体" w:hAnsi="宋体" w:eastAsia="宋体" w:cs="宋体"/>
          <w:sz w:val="24"/>
          <w:szCs w:val="24"/>
        </w:rPr>
        <w:t>农产品主产区</w:t>
      </w:r>
      <w:r>
        <w:rPr>
          <w:rFonts w:hint="eastAsia" w:ascii="宋体" w:hAnsi="宋体" w:eastAsia="宋体" w:cs="宋体"/>
          <w:sz w:val="24"/>
          <w:szCs w:val="24"/>
          <w:lang w:eastAsia="zh-CN"/>
        </w:rPr>
        <w:t>、</w:t>
      </w:r>
      <w:r>
        <w:rPr>
          <w:rFonts w:ascii="宋体" w:hAnsi="宋体" w:eastAsia="宋体" w:cs="宋体"/>
          <w:sz w:val="24"/>
          <w:szCs w:val="24"/>
        </w:rPr>
        <w:t>重点生态功能区</w:t>
      </w:r>
      <w:r>
        <w:rPr>
          <w:rFonts w:hint="eastAsia" w:ascii="宋体" w:hAnsi="宋体" w:eastAsia="宋体" w:cs="宋体"/>
          <w:sz w:val="24"/>
          <w:szCs w:val="24"/>
          <w:lang w:eastAsia="zh-CN"/>
        </w:rPr>
        <w:t>、</w:t>
      </w:r>
      <w:r>
        <w:rPr>
          <w:rFonts w:ascii="宋体" w:hAnsi="宋体" w:eastAsia="宋体" w:cs="宋体"/>
          <w:sz w:val="24"/>
          <w:szCs w:val="24"/>
        </w:rPr>
        <w:t>城镇化发展区</w:t>
      </w:r>
      <w:r>
        <w:rPr>
          <w:rFonts w:hint="eastAsia" w:ascii="Times New Roman" w:hAnsi="Times New Roman" w:eastAsia="宋体" w:cs="Times New Roman"/>
          <w:kern w:val="2"/>
          <w:sz w:val="24"/>
          <w:szCs w:val="24"/>
          <w:lang w:val="en-US" w:eastAsia="zh-CN" w:bidi="ar-SA"/>
        </w:rPr>
        <w:t>； </w:t>
      </w:r>
    </w:p>
    <w:p w14:paraId="4FF548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②4个名录 </w:t>
      </w:r>
    </w:p>
    <w:p w14:paraId="1BB0E1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ascii="宋体" w:hAnsi="宋体" w:eastAsia="宋体" w:cs="宋体"/>
          <w:sz w:val="24"/>
          <w:szCs w:val="24"/>
        </w:rPr>
        <w:t>边境节点团镇名录</w:t>
      </w:r>
      <w:r>
        <w:rPr>
          <w:rFonts w:hint="eastAsia" w:ascii="宋体" w:hAnsi="宋体" w:eastAsia="宋体" w:cs="宋体"/>
          <w:sz w:val="24"/>
          <w:szCs w:val="24"/>
          <w:lang w:eastAsia="zh-CN"/>
        </w:rPr>
        <w:t>、</w:t>
      </w:r>
      <w:r>
        <w:rPr>
          <w:rFonts w:ascii="宋体" w:hAnsi="宋体" w:eastAsia="宋体" w:cs="宋体"/>
          <w:sz w:val="24"/>
          <w:szCs w:val="24"/>
        </w:rPr>
        <w:t>战略性矿产保障区名录</w:t>
      </w:r>
      <w:r>
        <w:rPr>
          <w:rFonts w:hint="eastAsia" w:ascii="宋体" w:hAnsi="宋体" w:eastAsia="宋体" w:cs="宋体"/>
          <w:sz w:val="24"/>
          <w:szCs w:val="24"/>
          <w:lang w:eastAsia="zh-CN"/>
        </w:rPr>
        <w:t>、</w:t>
      </w:r>
      <w:r>
        <w:rPr>
          <w:rFonts w:ascii="宋体" w:hAnsi="宋体" w:eastAsia="宋体" w:cs="宋体"/>
          <w:sz w:val="24"/>
          <w:szCs w:val="24"/>
        </w:rPr>
        <w:t>自然保护地名录</w:t>
      </w:r>
      <w:r>
        <w:rPr>
          <w:rFonts w:hint="eastAsia" w:ascii="宋体" w:hAnsi="宋体" w:eastAsia="宋体" w:cs="宋体"/>
          <w:sz w:val="24"/>
          <w:szCs w:val="24"/>
          <w:lang w:eastAsia="zh-CN"/>
        </w:rPr>
        <w:t>、</w:t>
      </w:r>
      <w:r>
        <w:rPr>
          <w:rFonts w:ascii="宋体" w:hAnsi="宋体" w:eastAsia="宋体" w:cs="宋体"/>
          <w:sz w:val="24"/>
          <w:szCs w:val="24"/>
        </w:rPr>
        <w:t>历史文化保护名录</w:t>
      </w:r>
      <w:r>
        <w:rPr>
          <w:rFonts w:hint="eastAsia" w:ascii="Times New Roman" w:hAnsi="Times New Roman" w:eastAsia="宋体" w:cs="Times New Roman"/>
          <w:kern w:val="2"/>
          <w:sz w:val="24"/>
          <w:szCs w:val="24"/>
          <w:lang w:val="en-US" w:eastAsia="zh-CN" w:bidi="ar-SA"/>
        </w:rPr>
        <w:t>。</w:t>
      </w:r>
    </w:p>
    <w:p w14:paraId="0220CD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以重点生态功能区为基底，构建“三屏五廊”保护格局</w:t>
      </w:r>
    </w:p>
    <w:p w14:paraId="73BD73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屏，是指阿吾斯奇牧场生态屏障、古尔班通古特大沙漠生态防护屏障、天山北麓草原生态屏障，自然恢复为主，因地制宜、分类施策，推进生态修复。五廊，是指奎屯河、四棵树河、古尔图河、黄沟、柳干渠等河流、渠道，重点开展水资源保护、水污染防治、水环境治理、水生态修复、水安全保障。</w:t>
      </w:r>
    </w:p>
    <w:p w14:paraId="76DE2A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完善“一主一副、三心三轴”城镇格局</w:t>
      </w:r>
    </w:p>
    <w:p w14:paraId="0B7DCF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一主</w:t>
      </w:r>
      <w:r>
        <w:rPr>
          <w:rFonts w:hint="eastAsia" w:ascii="宋体" w:hAnsi="宋体" w:eastAsia="宋体" w:cs="宋体"/>
          <w:sz w:val="24"/>
          <w:szCs w:val="24"/>
          <w:lang w:eastAsia="zh-CN"/>
        </w:rPr>
        <w:t>：</w:t>
      </w:r>
      <w:r>
        <w:rPr>
          <w:rFonts w:hint="eastAsia" w:ascii="宋体" w:hAnsi="宋体" w:eastAsia="宋体" w:cs="宋体"/>
          <w:sz w:val="24"/>
          <w:szCs w:val="24"/>
        </w:rPr>
        <w:t>胡杨河市中心城区</w:t>
      </w:r>
      <w:r>
        <w:rPr>
          <w:rFonts w:hint="eastAsia" w:ascii="宋体" w:hAnsi="宋体" w:eastAsia="宋体" w:cs="宋体"/>
          <w:sz w:val="24"/>
          <w:szCs w:val="24"/>
          <w:lang w:eastAsia="zh-CN"/>
        </w:rPr>
        <w:t>；</w:t>
      </w:r>
    </w:p>
    <w:p w14:paraId="3D7D81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一副</w:t>
      </w:r>
      <w:r>
        <w:rPr>
          <w:rFonts w:hint="eastAsia" w:ascii="宋体" w:hAnsi="宋体" w:eastAsia="宋体" w:cs="宋体"/>
          <w:sz w:val="24"/>
          <w:szCs w:val="24"/>
          <w:lang w:eastAsia="zh-CN"/>
        </w:rPr>
        <w:t>：</w:t>
      </w:r>
      <w:r>
        <w:rPr>
          <w:rFonts w:hint="eastAsia" w:ascii="宋体" w:hAnsi="宋体" w:eastAsia="宋体" w:cs="宋体"/>
          <w:sz w:val="24"/>
          <w:szCs w:val="24"/>
        </w:rPr>
        <w:t>一三一团，以产城融合、兵地融合的天北经济技术开发区为重点</w:t>
      </w:r>
      <w:r>
        <w:rPr>
          <w:rFonts w:hint="eastAsia" w:ascii="宋体" w:hAnsi="宋体" w:eastAsia="宋体" w:cs="宋体"/>
          <w:sz w:val="24"/>
          <w:szCs w:val="24"/>
          <w:lang w:eastAsia="zh-CN"/>
        </w:rPr>
        <w:t>；</w:t>
      </w:r>
    </w:p>
    <w:p w14:paraId="508406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三心</w:t>
      </w:r>
      <w:r>
        <w:rPr>
          <w:rFonts w:hint="eastAsia" w:ascii="宋体" w:hAnsi="宋体" w:eastAsia="宋体" w:cs="宋体"/>
          <w:sz w:val="24"/>
          <w:szCs w:val="24"/>
          <w:lang w:eastAsia="zh-CN"/>
        </w:rPr>
        <w:t>：</w:t>
      </w:r>
      <w:r>
        <w:rPr>
          <w:rFonts w:hint="eastAsia" w:ascii="宋体" w:hAnsi="宋体" w:eastAsia="宋体" w:cs="宋体"/>
          <w:sz w:val="24"/>
          <w:szCs w:val="24"/>
        </w:rPr>
        <w:t>一二三团、一二五团、一二九团三个重点团场</w:t>
      </w:r>
      <w:r>
        <w:rPr>
          <w:rFonts w:hint="eastAsia" w:ascii="宋体" w:hAnsi="宋体" w:eastAsia="宋体" w:cs="宋体"/>
          <w:sz w:val="24"/>
          <w:szCs w:val="24"/>
          <w:lang w:eastAsia="zh-CN"/>
        </w:rPr>
        <w:t>；</w:t>
      </w:r>
    </w:p>
    <w:p w14:paraId="0492D6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hint="eastAsia" w:ascii="宋体" w:hAnsi="宋体" w:eastAsia="宋体" w:cs="宋体"/>
          <w:sz w:val="24"/>
          <w:szCs w:val="24"/>
        </w:rPr>
        <w:t>三轴</w:t>
      </w:r>
      <w:r>
        <w:rPr>
          <w:rFonts w:hint="eastAsia" w:ascii="宋体" w:hAnsi="宋体" w:eastAsia="宋体" w:cs="宋体"/>
          <w:sz w:val="24"/>
          <w:szCs w:val="24"/>
          <w:lang w:eastAsia="zh-CN"/>
        </w:rPr>
        <w:t>：</w:t>
      </w:r>
      <w:r>
        <w:rPr>
          <w:rFonts w:hint="eastAsia" w:ascii="宋体" w:hAnsi="宋体" w:eastAsia="宋体" w:cs="宋体"/>
          <w:sz w:val="24"/>
          <w:szCs w:val="24"/>
        </w:rPr>
        <w:t>天山北坡经济带城镇发展轴、奎阿城镇发展轴、天山北坡垦区城镇发展轴。</w:t>
      </w:r>
    </w:p>
    <w:p w14:paraId="5DEADF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做优特色农业</w:t>
      </w:r>
      <w:r>
        <w:rPr>
          <w:rFonts w:hint="eastAsia" w:ascii="宋体" w:hAnsi="宋体" w:eastAsia="宋体" w:cs="宋体"/>
          <w:sz w:val="24"/>
          <w:szCs w:val="24"/>
          <w:lang w:eastAsia="zh-CN"/>
        </w:rPr>
        <w:t>：</w:t>
      </w:r>
      <w:r>
        <w:rPr>
          <w:rFonts w:ascii="宋体" w:hAnsi="宋体" w:eastAsia="宋体" w:cs="宋体"/>
          <w:sz w:val="24"/>
          <w:szCs w:val="24"/>
        </w:rPr>
        <w:t>按照“稳粮、优棉、精果、强畜、兴特色”的结构调整方向 优化农业结构，形成以粮食生产、棉花生产、特色林果生产、 畜禽养殖、奶业、设施农业、中药材生产七大基地为支撑。</w:t>
      </w:r>
    </w:p>
    <w:p w14:paraId="235D83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hint="eastAsia" w:ascii="宋体" w:hAnsi="宋体" w:eastAsia="宋体" w:cs="宋体"/>
          <w:sz w:val="24"/>
          <w:szCs w:val="24"/>
        </w:rPr>
        <w:t>按照永久基本农田、生态保护红线、城镇开发边界的顺序，在国土空间规划中统筹划定落实三条控制线，做到现状耕地应保尽保、应划尽划，确保三条控制线不交叉不重叠不冲突</w:t>
      </w:r>
      <w:r>
        <w:rPr>
          <w:rFonts w:hint="eastAsia" w:ascii="Times New Roman" w:hAnsi="Times New Roman" w:eastAsia="宋体" w:cs="Times New Roman"/>
          <w:kern w:val="2"/>
          <w:sz w:val="24"/>
          <w:szCs w:val="24"/>
          <w:lang w:val="en-US" w:eastAsia="zh-CN" w:bidi="ar-SA"/>
        </w:rPr>
        <w:t>。</w:t>
      </w:r>
    </w:p>
    <w:p w14:paraId="5183F5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根据《新疆生产建设兵团第七师胡杨河市国土空间总体规划</w:t>
      </w:r>
      <w:r>
        <w:rPr>
          <w:rFonts w:hint="default" w:ascii="Times New Roman" w:hAnsi="Times New Roman" w:eastAsia="宋体" w:cs="Times New Roman"/>
          <w:kern w:val="2"/>
          <w:sz w:val="24"/>
          <w:szCs w:val="24"/>
          <w:highlight w:val="none"/>
          <w:lang w:val="en-US" w:eastAsia="zh-CN" w:bidi="ar-SA"/>
        </w:rPr>
        <w:t>（2021—2035年）</w:t>
      </w:r>
      <w:r>
        <w:rPr>
          <w:rFonts w:hint="default" w:ascii="Times New Roman" w:hAnsi="Times New Roman" w:eastAsia="宋体" w:cs="Times New Roman"/>
          <w:kern w:val="2"/>
          <w:sz w:val="24"/>
          <w:szCs w:val="24"/>
          <w:lang w:val="en-US" w:eastAsia="zh-CN" w:bidi="ar-SA"/>
        </w:rPr>
        <w:t>》，本项目位于</w:t>
      </w:r>
      <w:r>
        <w:rPr>
          <w:rFonts w:hint="default" w:ascii="Times New Roman" w:hAnsi="Times New Roman" w:eastAsia="宋体" w:cs="Times New Roman"/>
          <w:sz w:val="24"/>
          <w:szCs w:val="24"/>
        </w:rPr>
        <w:t>天山北坡垦区城镇发展轴</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125团重点团场</w:t>
      </w:r>
      <w:r>
        <w:rPr>
          <w:rFonts w:hint="eastAsia" w:ascii="Times New Roman" w:hAnsi="Times New Roman" w:eastAsia="宋体" w:cs="Times New Roman"/>
          <w:sz w:val="24"/>
          <w:szCs w:val="24"/>
          <w:lang w:val="en-US" w:eastAsia="zh-CN"/>
        </w:rPr>
        <w:t>，位于</w:t>
      </w:r>
      <w:r>
        <w:rPr>
          <w:rFonts w:ascii="宋体" w:hAnsi="宋体" w:eastAsia="宋体" w:cs="宋体"/>
          <w:sz w:val="24"/>
          <w:szCs w:val="24"/>
        </w:rPr>
        <w:t>农产品主产区</w:t>
      </w:r>
      <w:r>
        <w:rPr>
          <w:rFonts w:hint="eastAsia" w:ascii="Times New Roman" w:hAnsi="Times New Roman" w:eastAsia="宋体" w:cs="Times New Roman"/>
          <w:kern w:val="2"/>
          <w:sz w:val="24"/>
          <w:szCs w:val="24"/>
          <w:lang w:val="en-US" w:eastAsia="zh-CN" w:bidi="ar-SA"/>
        </w:rPr>
        <w:t>，不涉及</w:t>
      </w:r>
      <w:r>
        <w:rPr>
          <w:rFonts w:ascii="宋体" w:hAnsi="宋体" w:eastAsia="宋体" w:cs="宋体"/>
          <w:sz w:val="24"/>
          <w:szCs w:val="24"/>
        </w:rPr>
        <w:t>边境节点团镇名录</w:t>
      </w:r>
      <w:r>
        <w:rPr>
          <w:rFonts w:hint="eastAsia" w:ascii="宋体" w:hAnsi="宋体" w:eastAsia="宋体" w:cs="宋体"/>
          <w:sz w:val="24"/>
          <w:szCs w:val="24"/>
          <w:lang w:eastAsia="zh-CN"/>
        </w:rPr>
        <w:t>、</w:t>
      </w:r>
      <w:r>
        <w:rPr>
          <w:rFonts w:ascii="宋体" w:hAnsi="宋体" w:eastAsia="宋体" w:cs="宋体"/>
          <w:sz w:val="24"/>
          <w:szCs w:val="24"/>
        </w:rPr>
        <w:t>战略性矿产保障区名录</w:t>
      </w:r>
      <w:r>
        <w:rPr>
          <w:rFonts w:hint="eastAsia" w:ascii="宋体" w:hAnsi="宋体" w:eastAsia="宋体" w:cs="宋体"/>
          <w:sz w:val="24"/>
          <w:szCs w:val="24"/>
          <w:lang w:eastAsia="zh-CN"/>
        </w:rPr>
        <w:t>、</w:t>
      </w:r>
      <w:r>
        <w:rPr>
          <w:rFonts w:ascii="宋体" w:hAnsi="宋体" w:eastAsia="宋体" w:cs="宋体"/>
          <w:sz w:val="24"/>
          <w:szCs w:val="24"/>
        </w:rPr>
        <w:t>自然保护地名录</w:t>
      </w:r>
      <w:r>
        <w:rPr>
          <w:rFonts w:hint="eastAsia" w:ascii="宋体" w:hAnsi="宋体" w:eastAsia="宋体" w:cs="宋体"/>
          <w:sz w:val="24"/>
          <w:szCs w:val="24"/>
          <w:lang w:eastAsia="zh-CN"/>
        </w:rPr>
        <w:t>、</w:t>
      </w:r>
      <w:r>
        <w:rPr>
          <w:rFonts w:ascii="宋体" w:hAnsi="宋体" w:eastAsia="宋体" w:cs="宋体"/>
          <w:sz w:val="24"/>
          <w:szCs w:val="24"/>
        </w:rPr>
        <w:t>历史文化保护名录</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不涉及阿吾斯奇牧场生态屏障、古尔班通古特大沙漠生态防护屏障、天山北麓草原生态屏障，本项目距离</w:t>
      </w:r>
      <w:r>
        <w:rPr>
          <w:rFonts w:hint="eastAsia" w:ascii="宋体" w:hAnsi="宋体" w:eastAsia="宋体" w:cs="宋体"/>
          <w:sz w:val="24"/>
          <w:szCs w:val="24"/>
        </w:rPr>
        <w:t>柳干渠</w:t>
      </w:r>
      <w:r>
        <w:rPr>
          <w:rFonts w:hint="default" w:ascii="Times New Roman" w:hAnsi="Times New Roman" w:eastAsia="宋体" w:cs="Times New Roman"/>
          <w:sz w:val="24"/>
          <w:szCs w:val="24"/>
          <w:lang w:val="en-US" w:eastAsia="zh-CN"/>
        </w:rPr>
        <w:t>1.6km，距离排干渠4k</w:t>
      </w:r>
      <w:r>
        <w:rPr>
          <w:rFonts w:hint="eastAsia" w:ascii="Times New Roman" w:hAnsi="Times New Roman" w:eastAsia="宋体" w:cs="Times New Roman"/>
          <w:sz w:val="24"/>
          <w:szCs w:val="24"/>
          <w:lang w:val="en-US" w:eastAsia="zh-CN"/>
        </w:rPr>
        <w:t>m，距离</w:t>
      </w:r>
      <w:r>
        <w:rPr>
          <w:rFonts w:hint="eastAsia" w:ascii="Times New Roman" w:hAnsi="Times New Roman"/>
          <w:kern w:val="1"/>
          <w:sz w:val="24"/>
          <w:lang w:val="en-US" w:eastAsia="zh-CN"/>
        </w:rPr>
        <w:t>奎屯河7km</w:t>
      </w:r>
      <w:r>
        <w:rPr>
          <w:rFonts w:hint="eastAsia"/>
          <w:kern w:val="1"/>
          <w:sz w:val="24"/>
          <w:lang w:val="en-US" w:eastAsia="zh-CN"/>
        </w:rPr>
        <w:t>，本项目水系图见图1.4-1</w:t>
      </w:r>
      <w:r>
        <w:rPr>
          <w:rFonts w:hint="default"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本项目用地不属于城镇规划区范围内</w:t>
      </w:r>
      <w:r>
        <w:rPr>
          <w:rFonts w:hint="default" w:ascii="Times New Roman" w:hAnsi="Times New Roman" w:eastAsia="宋体" w:cs="Times New Roman"/>
          <w:kern w:val="2"/>
          <w:sz w:val="24"/>
          <w:szCs w:val="24"/>
          <w:lang w:val="en-US" w:eastAsia="zh-CN" w:bidi="ar-SA"/>
        </w:rPr>
        <w:t>，用地不涉及永久基本农田以及生态保护红线。</w:t>
      </w:r>
      <w:r>
        <w:rPr>
          <w:rFonts w:hint="eastAsia" w:ascii="Times New Roman" w:hAnsi="Times New Roman" w:eastAsia="宋体" w:cs="Times New Roman"/>
          <w:kern w:val="2"/>
          <w:sz w:val="24"/>
          <w:szCs w:val="24"/>
          <w:lang w:val="en-US" w:eastAsia="zh-CN" w:bidi="ar-SA"/>
        </w:rPr>
        <w:t>项目属于畜禽养殖项目</w:t>
      </w:r>
      <w:r>
        <w:rPr>
          <w:rFonts w:hint="eastAsia" w:cs="Times New Roman"/>
          <w:kern w:val="2"/>
          <w:sz w:val="24"/>
          <w:szCs w:val="24"/>
          <w:lang w:val="en-US" w:eastAsia="zh-CN" w:bidi="ar-SA"/>
        </w:rPr>
        <w:t>，符合</w:t>
      </w:r>
      <w:r>
        <w:rPr>
          <w:rFonts w:hint="default" w:ascii="Times New Roman" w:hAnsi="Times New Roman" w:eastAsia="宋体" w:cs="Times New Roman"/>
          <w:kern w:val="2"/>
          <w:sz w:val="24"/>
          <w:szCs w:val="24"/>
          <w:lang w:val="en-US" w:eastAsia="zh-CN" w:bidi="ar-SA"/>
        </w:rPr>
        <w:t>第七师胡杨河市</w:t>
      </w:r>
      <w:r>
        <w:rPr>
          <w:rFonts w:ascii="宋体" w:hAnsi="宋体" w:eastAsia="宋体" w:cs="宋体"/>
          <w:sz w:val="24"/>
          <w:szCs w:val="24"/>
        </w:rPr>
        <w:t>特色农业</w:t>
      </w:r>
      <w:r>
        <w:rPr>
          <w:rFonts w:hint="eastAsia" w:ascii="宋体" w:hAnsi="宋体" w:cs="宋体"/>
          <w:sz w:val="24"/>
          <w:szCs w:val="24"/>
          <w:lang w:val="en-US" w:eastAsia="zh-CN"/>
        </w:rPr>
        <w:t>产业规划</w:t>
      </w:r>
      <w:r>
        <w:rPr>
          <w:rFonts w:hint="eastAsia" w:ascii="Times New Roman" w:hAnsi="Times New Roman" w:eastAsia="宋体" w:cs="Times New Roman"/>
          <w:kern w:val="2"/>
          <w:sz w:val="24"/>
          <w:szCs w:val="24"/>
          <w:lang w:val="en-US" w:eastAsia="zh-CN" w:bidi="ar-SA"/>
        </w:rPr>
        <w:t>，本项目用地面积</w:t>
      </w:r>
      <w:r>
        <w:rPr>
          <w:rFonts w:hint="eastAsia" w:cs="Times New Roman"/>
          <w:kern w:val="2"/>
          <w:sz w:val="24"/>
          <w:szCs w:val="24"/>
          <w:lang w:val="en-US" w:eastAsia="zh-CN" w:bidi="ar-SA"/>
        </w:rPr>
        <w:t>12</w:t>
      </w:r>
      <w:r>
        <w:rPr>
          <w:rFonts w:hint="eastAsia" w:ascii="Times New Roman" w:hAnsi="Times New Roman" w:eastAsia="宋体" w:cs="Times New Roman"/>
          <w:kern w:val="2"/>
          <w:sz w:val="24"/>
          <w:szCs w:val="24"/>
          <w:lang w:val="en-US" w:eastAsia="zh-CN" w:bidi="ar-SA"/>
        </w:rPr>
        <w:t>公顷</w:t>
      </w:r>
      <w:r>
        <w:rPr>
          <w:rFonts w:hint="eastAsia" w:cs="Times New Roman"/>
          <w:kern w:val="2"/>
          <w:sz w:val="24"/>
          <w:szCs w:val="24"/>
          <w:lang w:val="en-US" w:eastAsia="zh-CN" w:bidi="ar-SA"/>
        </w:rPr>
        <w:t>，均</w:t>
      </w:r>
      <w:r>
        <w:rPr>
          <w:rFonts w:hint="eastAsia" w:ascii="Times New Roman" w:hAnsi="Times New Roman" w:eastAsia="宋体" w:cs="Times New Roman"/>
          <w:kern w:val="2"/>
          <w:sz w:val="24"/>
          <w:szCs w:val="24"/>
          <w:lang w:val="en-US" w:eastAsia="zh-CN" w:bidi="ar-SA"/>
        </w:rPr>
        <w:t>为设施农用地，</w:t>
      </w:r>
      <w:r>
        <w:rPr>
          <w:rFonts w:hint="eastAsia" w:ascii="Times New Roman" w:hAnsi="Times New Roman" w:eastAsia="宋体" w:cs="宋体"/>
          <w:color w:val="auto"/>
          <w:kern w:val="0"/>
          <w:sz w:val="24"/>
          <w:szCs w:val="22"/>
          <w:highlight w:val="none"/>
          <w:lang w:val="en-US" w:eastAsia="zh-CN" w:bidi="ar-SA"/>
        </w:rPr>
        <w:t>不占用耕地以及</w:t>
      </w:r>
      <w:r>
        <w:rPr>
          <w:rFonts w:hint="default" w:ascii="Times New Roman" w:hAnsi="Times New Roman" w:eastAsia="宋体" w:cs="宋体"/>
          <w:color w:val="auto"/>
          <w:kern w:val="0"/>
          <w:sz w:val="24"/>
          <w:szCs w:val="22"/>
          <w:highlight w:val="none"/>
          <w:lang w:val="en-US" w:eastAsia="zh-CN" w:bidi="ar-SA"/>
        </w:rPr>
        <w:t>永久基本农田</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用地符合国土空间规划和用途管制要求。</w:t>
      </w:r>
      <w:r>
        <w:rPr>
          <w:rFonts w:hint="eastAsia" w:ascii="Times New Roman" w:hAnsi="Times New Roman" w:eastAsia="宋体" w:cs="Times New Roman"/>
          <w:kern w:val="2"/>
          <w:sz w:val="24"/>
          <w:szCs w:val="24"/>
          <w:lang w:val="en-US" w:eastAsia="zh-CN" w:bidi="ar-SA"/>
        </w:rPr>
        <w:t>因此满足</w:t>
      </w:r>
      <w:r>
        <w:rPr>
          <w:rFonts w:hint="default" w:ascii="Times New Roman" w:hAnsi="Times New Roman" w:eastAsia="宋体" w:cs="Times New Roman"/>
          <w:kern w:val="2"/>
          <w:sz w:val="24"/>
          <w:szCs w:val="24"/>
          <w:lang w:val="en-US" w:eastAsia="zh-CN" w:bidi="ar-SA"/>
        </w:rPr>
        <w:t>《新疆生产建设兵团第七师胡杨河市国土空间总体规划</w:t>
      </w:r>
      <w:r>
        <w:rPr>
          <w:rFonts w:hint="default" w:ascii="Times New Roman" w:hAnsi="Times New Roman" w:eastAsia="宋体" w:cs="Times New Roman"/>
          <w:kern w:val="2"/>
          <w:sz w:val="24"/>
          <w:szCs w:val="24"/>
          <w:highlight w:val="none"/>
          <w:lang w:val="en-US" w:eastAsia="zh-CN" w:bidi="ar-SA"/>
        </w:rPr>
        <w:t>（2021—2035年）</w:t>
      </w:r>
      <w:r>
        <w:rPr>
          <w:rFonts w:hint="default"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要求。</w:t>
      </w:r>
    </w:p>
    <w:bookmarkEnd w:id="46"/>
    <w:p w14:paraId="28F7A357">
      <w:pPr>
        <w:spacing w:line="360" w:lineRule="auto"/>
        <w:ind w:firstLine="480" w:firstLineChars="200"/>
        <w:rPr>
          <w:rFonts w:hint="default" w:ascii="Times New Roman" w:hAnsi="Times New Roman" w:eastAsia="宋体" w:cs="Times New Roman"/>
          <w:snapToGrid w:val="0"/>
          <w:color w:val="auto"/>
          <w:kern w:val="0"/>
          <w:sz w:val="24"/>
          <w:szCs w:val="24"/>
          <w:lang w:val="en-US" w:eastAsia="zh-CN" w:bidi="ar-SA"/>
        </w:rPr>
      </w:pPr>
      <w:r>
        <w:rPr>
          <w:rFonts w:hint="eastAsia" w:ascii="Times New Roman" w:hAnsi="Times New Roman" w:eastAsia="宋体" w:cs="Times New Roman"/>
          <w:snapToGrid w:val="0"/>
          <w:color w:val="auto"/>
          <w:kern w:val="0"/>
          <w:sz w:val="24"/>
          <w:szCs w:val="24"/>
          <w:lang w:val="en-US" w:eastAsia="zh-CN" w:bidi="ar-SA"/>
        </w:rPr>
        <w:t>（</w:t>
      </w:r>
      <w:r>
        <w:rPr>
          <w:rFonts w:hint="eastAsia" w:cs="Times New Roman"/>
          <w:snapToGrid w:val="0"/>
          <w:color w:val="auto"/>
          <w:kern w:val="0"/>
          <w:sz w:val="24"/>
          <w:szCs w:val="24"/>
          <w:lang w:val="en-US" w:eastAsia="zh-CN" w:bidi="ar-SA"/>
        </w:rPr>
        <w:t>6</w:t>
      </w:r>
      <w:r>
        <w:rPr>
          <w:rFonts w:hint="eastAsia" w:ascii="Times New Roman" w:hAnsi="Times New Roman" w:eastAsia="宋体" w:cs="Times New Roman"/>
          <w:snapToGrid w:val="0"/>
          <w:color w:val="auto"/>
          <w:kern w:val="0"/>
          <w:sz w:val="24"/>
          <w:szCs w:val="24"/>
          <w:lang w:val="en-US" w:eastAsia="zh-CN" w:bidi="ar-SA"/>
        </w:rPr>
        <w:t>）《关于印发奎屯－独山子－乌苏区域大气污染联防联控工作方案的通知》（新环发〔2015〕280号）符合性分析</w:t>
      </w:r>
    </w:p>
    <w:p w14:paraId="7A6E843C">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eastAsia="宋体" w:cs="宋体"/>
          <w:color w:val="auto"/>
          <w:kern w:val="0"/>
          <w:sz w:val="24"/>
          <w:szCs w:val="24"/>
          <w:highlight w:val="none"/>
          <w:lang w:val="en-US" w:eastAsia="zh-CN"/>
        </w:rPr>
        <w:t>提高清洁能源消费比例。优化能源结构，大力发展天然气与可再生能源，实现清洁能源供应和消费多元化。按照</w:t>
      </w:r>
      <w:r>
        <w:rPr>
          <w:rFonts w:hint="eastAsia" w:cs="宋体"/>
          <w:color w:val="auto"/>
          <w:kern w:val="0"/>
          <w:sz w:val="24"/>
          <w:szCs w:val="24"/>
          <w:highlight w:val="none"/>
          <w:lang w:val="en-US" w:eastAsia="zh-CN"/>
        </w:rPr>
        <w:t>“</w:t>
      </w:r>
      <w:r>
        <w:rPr>
          <w:rFonts w:hint="eastAsia" w:ascii="Times New Roman" w:hAnsi="Times New Roman" w:eastAsia="宋体" w:cs="宋体"/>
          <w:color w:val="auto"/>
          <w:kern w:val="0"/>
          <w:sz w:val="24"/>
          <w:szCs w:val="24"/>
          <w:highlight w:val="none"/>
          <w:lang w:val="en-US" w:eastAsia="zh-CN"/>
        </w:rPr>
        <w:t>优先发展城市燃气，积极调整工业燃料结构</w:t>
      </w:r>
      <w:r>
        <w:rPr>
          <w:rFonts w:hint="eastAsia" w:cs="宋体"/>
          <w:color w:val="auto"/>
          <w:kern w:val="0"/>
          <w:sz w:val="24"/>
          <w:szCs w:val="24"/>
          <w:highlight w:val="none"/>
          <w:lang w:val="en-US" w:eastAsia="zh-CN"/>
        </w:rPr>
        <w:t>”</w:t>
      </w:r>
      <w:r>
        <w:rPr>
          <w:rFonts w:hint="eastAsia" w:ascii="Times New Roman" w:hAnsi="Times New Roman" w:eastAsia="宋体" w:cs="宋体"/>
          <w:color w:val="auto"/>
          <w:kern w:val="0"/>
          <w:sz w:val="24"/>
          <w:szCs w:val="24"/>
          <w:highlight w:val="none"/>
          <w:lang w:val="en-US" w:eastAsia="zh-CN"/>
        </w:rPr>
        <w:t>的原则，优化配置使用天然气。降低煤炭在一次能源消费结构中的比重，同时提高清洁能源在一次能源消费结构中的比重。其中，</w:t>
      </w:r>
      <w:r>
        <w:rPr>
          <w:rFonts w:hint="eastAsia" w:cs="宋体"/>
          <w:color w:val="auto"/>
          <w:kern w:val="0"/>
          <w:sz w:val="24"/>
          <w:szCs w:val="24"/>
          <w:highlight w:val="none"/>
          <w:lang w:val="en-US" w:eastAsia="zh-CN"/>
        </w:rPr>
        <w:t>“</w:t>
      </w:r>
      <w:r>
        <w:rPr>
          <w:rFonts w:hint="eastAsia" w:ascii="Times New Roman" w:hAnsi="Times New Roman" w:eastAsia="宋体" w:cs="宋体"/>
          <w:color w:val="auto"/>
          <w:kern w:val="0"/>
          <w:sz w:val="24"/>
          <w:szCs w:val="24"/>
          <w:highlight w:val="none"/>
          <w:lang w:val="en-US" w:eastAsia="zh-CN"/>
        </w:rPr>
        <w:t>奎-独-乌</w:t>
      </w:r>
      <w:r>
        <w:rPr>
          <w:rFonts w:hint="eastAsia" w:cs="宋体"/>
          <w:color w:val="auto"/>
          <w:kern w:val="0"/>
          <w:sz w:val="24"/>
          <w:szCs w:val="24"/>
          <w:highlight w:val="none"/>
          <w:lang w:val="en-US" w:eastAsia="zh-CN"/>
        </w:rPr>
        <w:t>”</w:t>
      </w:r>
      <w:r>
        <w:rPr>
          <w:rFonts w:hint="eastAsia" w:ascii="Times New Roman" w:hAnsi="Times New Roman" w:eastAsia="宋体" w:cs="宋体"/>
          <w:color w:val="auto"/>
          <w:kern w:val="0"/>
          <w:sz w:val="24"/>
          <w:szCs w:val="24"/>
          <w:highlight w:val="none"/>
          <w:lang w:val="en-US" w:eastAsia="zh-CN"/>
        </w:rPr>
        <w:t>区域煤炭在一次能源消费结构中的比重降低到70%以下，清洁能源在一次能源消费结构中的比重提高到11.2%以上。</w:t>
      </w:r>
    </w:p>
    <w:p w14:paraId="60C1A4E9">
      <w:pPr>
        <w:numPr>
          <w:ilvl w:val="0"/>
          <w:numId w:val="0"/>
        </w:numPr>
        <w:overflowPunct w:val="0"/>
        <w:autoSpaceDE w:val="0"/>
        <w:autoSpaceDN w:val="0"/>
        <w:adjustRightInd w:val="0"/>
        <w:snapToGrid w:val="0"/>
        <w:spacing w:before="0" w:after="0" w:line="360" w:lineRule="auto"/>
        <w:ind w:left="0" w:right="0" w:rightChars="0" w:firstLine="480" w:firstLineChars="200"/>
        <w:jc w:val="both"/>
        <w:rPr>
          <w:rFonts w:ascii="仿宋_GB2312" w:hAnsi="Times New Roman" w:eastAsia="仿宋_GB2312" w:cs="宋体"/>
          <w:color w:val="auto"/>
          <w:kern w:val="0"/>
          <w:sz w:val="28"/>
          <w:szCs w:val="28"/>
          <w:highlight w:val="none"/>
        </w:rPr>
      </w:pPr>
      <w:r>
        <w:rPr>
          <w:rFonts w:hint="eastAsia" w:ascii="Times New Roman" w:hAnsi="Times New Roman" w:eastAsia="宋体" w:cs="宋体"/>
          <w:color w:val="auto"/>
          <w:kern w:val="0"/>
          <w:sz w:val="24"/>
          <w:szCs w:val="24"/>
          <w:highlight w:val="none"/>
          <w:lang w:val="en-US" w:eastAsia="zh-CN"/>
        </w:rPr>
        <w:t>重点控制区内工业企业大气污染物排放浓度应低于国家重点控制区或地方排放标准限值；有相应行业特别排放限值的，执行特别排放限值。</w:t>
      </w:r>
    </w:p>
    <w:p w14:paraId="433C7C17">
      <w:pPr>
        <w:widowControl w:val="0"/>
        <w:overflowPunct/>
        <w:autoSpaceDE/>
        <w:autoSpaceDN/>
        <w:adjustRightInd/>
        <w:snapToGrid/>
        <w:spacing w:after="120" w:afterLines="0" w:line="360" w:lineRule="auto"/>
        <w:ind w:firstLine="480" w:firstLineChars="200"/>
        <w:jc w:val="both"/>
        <w:rPr>
          <w:rFonts w:hint="eastAsia" w:ascii="Times New Roman" w:hAnsi="Times New Roman" w:eastAsia="宋体" w:cs="宋体"/>
          <w:color w:val="auto"/>
          <w:kern w:val="0"/>
          <w:sz w:val="24"/>
          <w:szCs w:val="22"/>
          <w:highlight w:val="none"/>
          <w:lang w:val="en-US" w:eastAsia="zh-CN" w:bidi="ar-SA"/>
        </w:rPr>
      </w:pPr>
      <w:r>
        <w:rPr>
          <w:rFonts w:hint="eastAsia" w:ascii="Times New Roman" w:hAnsi="Times New Roman" w:eastAsia="宋体" w:cs="宋体"/>
          <w:color w:val="auto"/>
          <w:kern w:val="0"/>
          <w:sz w:val="24"/>
          <w:szCs w:val="22"/>
          <w:highlight w:val="none"/>
          <w:lang w:val="en-US" w:eastAsia="zh-CN" w:bidi="ar-SA"/>
        </w:rPr>
        <w:t>突出重点与全面推进相配合。以环境敏感区、重点行业和主要污染物为重点，以点带面，集中整治，分阶段解决制约经济发展和群众反应强烈的突出环境问题，着力改善冬季大气污染和恶臭污染。</w:t>
      </w:r>
    </w:p>
    <w:p w14:paraId="4E3F0955">
      <w:pPr>
        <w:widowControl w:val="0"/>
        <w:overflowPunct/>
        <w:autoSpaceDE/>
        <w:autoSpaceDN/>
        <w:adjustRightInd/>
        <w:snapToGrid/>
        <w:spacing w:after="120" w:afterLines="0" w:line="360" w:lineRule="auto"/>
        <w:ind w:firstLine="480" w:firstLineChars="200"/>
        <w:jc w:val="both"/>
        <w:rPr>
          <w:rFonts w:hint="eastAsia" w:ascii="Times New Roman" w:hAnsi="Times New Roman" w:eastAsia="宋体" w:cs="宋体"/>
          <w:snapToGrid w:val="0"/>
          <w:color w:val="auto"/>
          <w:kern w:val="0"/>
          <w:sz w:val="24"/>
          <w:szCs w:val="21"/>
          <w:lang w:val="en-US" w:eastAsia="zh-CN" w:bidi="ar-SA"/>
        </w:rPr>
      </w:pPr>
      <w:r>
        <w:rPr>
          <w:rFonts w:hint="eastAsia" w:ascii="Times New Roman" w:hAnsi="Times New Roman" w:eastAsia="宋体" w:cs="宋体"/>
          <w:color w:val="auto"/>
          <w:kern w:val="0"/>
          <w:sz w:val="24"/>
          <w:szCs w:val="22"/>
          <w:highlight w:val="none"/>
          <w:lang w:val="en-US" w:eastAsia="zh-CN" w:bidi="ar-SA"/>
        </w:rPr>
        <w:t>本项目位于</w:t>
      </w:r>
      <w:r>
        <w:rPr>
          <w:rFonts w:hint="eastAsia" w:cs="宋体"/>
          <w:color w:val="auto"/>
          <w:kern w:val="0"/>
          <w:sz w:val="24"/>
          <w:szCs w:val="24"/>
          <w:highlight w:val="none"/>
          <w:lang w:val="en-US" w:eastAsia="zh-CN" w:bidi="ar-SA"/>
        </w:rPr>
        <w:t>“</w:t>
      </w:r>
      <w:r>
        <w:rPr>
          <w:rFonts w:hint="eastAsia" w:ascii="Times New Roman" w:hAnsi="Times New Roman" w:eastAsia="宋体" w:cs="宋体"/>
          <w:color w:val="auto"/>
          <w:kern w:val="0"/>
          <w:sz w:val="24"/>
          <w:szCs w:val="24"/>
          <w:highlight w:val="none"/>
          <w:lang w:val="en-US" w:eastAsia="zh-CN" w:bidi="ar-SA"/>
        </w:rPr>
        <w:t>奎-独-乌</w:t>
      </w:r>
      <w:r>
        <w:rPr>
          <w:rFonts w:hint="eastAsia" w:cs="宋体"/>
          <w:color w:val="auto"/>
          <w:kern w:val="0"/>
          <w:sz w:val="24"/>
          <w:szCs w:val="24"/>
          <w:highlight w:val="none"/>
          <w:lang w:val="en-US" w:eastAsia="zh-CN" w:bidi="ar-SA"/>
        </w:rPr>
        <w:t>”</w:t>
      </w:r>
      <w:r>
        <w:rPr>
          <w:rFonts w:hint="eastAsia" w:ascii="Times New Roman" w:hAnsi="Times New Roman" w:eastAsia="宋体" w:cs="宋体"/>
          <w:color w:val="auto"/>
          <w:kern w:val="0"/>
          <w:sz w:val="24"/>
          <w:szCs w:val="24"/>
          <w:highlight w:val="none"/>
          <w:lang w:val="en-US" w:eastAsia="zh-CN" w:bidi="ar-SA"/>
        </w:rPr>
        <w:t>联防联控区</w:t>
      </w:r>
      <w:r>
        <w:rPr>
          <w:rFonts w:hint="eastAsia" w:cs="宋体"/>
          <w:color w:val="auto"/>
          <w:kern w:val="0"/>
          <w:sz w:val="24"/>
          <w:szCs w:val="24"/>
          <w:highlight w:val="none"/>
          <w:lang w:val="en-US" w:eastAsia="zh-CN" w:bidi="ar-SA"/>
        </w:rPr>
        <w:t>一般</w:t>
      </w:r>
      <w:r>
        <w:rPr>
          <w:rFonts w:hint="eastAsia" w:ascii="Times New Roman" w:hAnsi="Times New Roman" w:eastAsia="宋体" w:cs="宋体"/>
          <w:color w:val="auto"/>
          <w:kern w:val="0"/>
          <w:sz w:val="24"/>
          <w:szCs w:val="24"/>
          <w:highlight w:val="none"/>
          <w:lang w:val="en-US" w:eastAsia="zh-CN" w:bidi="ar-SA"/>
        </w:rPr>
        <w:t>控制区，本项目在</w:t>
      </w:r>
      <w:r>
        <w:rPr>
          <w:rFonts w:hint="eastAsia" w:cs="宋体"/>
          <w:color w:val="auto"/>
          <w:kern w:val="0"/>
          <w:sz w:val="24"/>
          <w:szCs w:val="24"/>
          <w:highlight w:val="none"/>
          <w:lang w:val="en-US" w:eastAsia="zh-CN" w:bidi="ar-SA"/>
        </w:rPr>
        <w:t>“</w:t>
      </w:r>
      <w:r>
        <w:rPr>
          <w:rFonts w:hint="eastAsia" w:ascii="Times New Roman" w:hAnsi="Times New Roman" w:eastAsia="宋体" w:cs="宋体"/>
          <w:color w:val="auto"/>
          <w:kern w:val="0"/>
          <w:sz w:val="24"/>
          <w:szCs w:val="24"/>
          <w:highlight w:val="none"/>
          <w:lang w:val="en-US" w:eastAsia="zh-CN" w:bidi="ar-SA"/>
        </w:rPr>
        <w:t>奎-独-乌</w:t>
      </w:r>
      <w:r>
        <w:rPr>
          <w:rFonts w:hint="eastAsia" w:cs="宋体"/>
          <w:color w:val="auto"/>
          <w:kern w:val="0"/>
          <w:sz w:val="24"/>
          <w:szCs w:val="24"/>
          <w:highlight w:val="none"/>
          <w:lang w:val="en-US" w:eastAsia="zh-CN" w:bidi="ar-SA"/>
        </w:rPr>
        <w:t>”</w:t>
      </w:r>
      <w:r>
        <w:rPr>
          <w:rFonts w:hint="eastAsia" w:ascii="Times New Roman" w:hAnsi="Times New Roman" w:eastAsia="宋体" w:cs="宋体"/>
          <w:color w:val="auto"/>
          <w:kern w:val="0"/>
          <w:sz w:val="24"/>
          <w:szCs w:val="24"/>
          <w:highlight w:val="none"/>
          <w:lang w:val="en-US" w:eastAsia="zh-CN" w:bidi="ar-SA"/>
        </w:rPr>
        <w:t>联防联控区位置见图1.</w:t>
      </w:r>
      <w:r>
        <w:rPr>
          <w:rFonts w:hint="eastAsia" w:cs="宋体"/>
          <w:color w:val="auto"/>
          <w:kern w:val="0"/>
          <w:sz w:val="24"/>
          <w:szCs w:val="24"/>
          <w:highlight w:val="none"/>
          <w:lang w:val="en-US" w:eastAsia="zh-CN" w:bidi="ar-SA"/>
        </w:rPr>
        <w:t>4</w:t>
      </w:r>
      <w:r>
        <w:rPr>
          <w:rFonts w:hint="eastAsia" w:ascii="Times New Roman" w:hAnsi="Times New Roman" w:eastAsia="宋体" w:cs="宋体"/>
          <w:color w:val="auto"/>
          <w:kern w:val="0"/>
          <w:sz w:val="24"/>
          <w:szCs w:val="24"/>
          <w:highlight w:val="none"/>
          <w:lang w:val="en-US" w:eastAsia="zh-CN" w:bidi="ar-SA"/>
        </w:rPr>
        <w:t>-</w:t>
      </w:r>
      <w:r>
        <w:rPr>
          <w:rFonts w:hint="eastAsia" w:cs="宋体"/>
          <w:color w:val="auto"/>
          <w:kern w:val="0"/>
          <w:sz w:val="24"/>
          <w:szCs w:val="24"/>
          <w:highlight w:val="none"/>
          <w:lang w:val="en-US" w:eastAsia="zh-CN" w:bidi="ar-SA"/>
        </w:rPr>
        <w:t>2</w:t>
      </w:r>
      <w:r>
        <w:rPr>
          <w:rFonts w:hint="eastAsia" w:ascii="Times New Roman" w:hAnsi="Times New Roman" w:eastAsia="宋体" w:cs="宋体"/>
          <w:color w:val="auto"/>
          <w:kern w:val="0"/>
          <w:sz w:val="24"/>
          <w:szCs w:val="24"/>
          <w:highlight w:val="none"/>
          <w:lang w:val="en-US" w:eastAsia="zh-CN" w:bidi="ar-SA"/>
        </w:rPr>
        <w:t>，</w:t>
      </w:r>
      <w:r>
        <w:rPr>
          <w:rFonts w:hint="eastAsia" w:ascii="Times New Roman" w:hAnsi="Times New Roman" w:eastAsia="宋体" w:cs="宋体"/>
          <w:color w:val="auto"/>
          <w:kern w:val="0"/>
          <w:sz w:val="24"/>
          <w:szCs w:val="22"/>
          <w:highlight w:val="none"/>
          <w:vertAlign w:val="baseline"/>
          <w:lang w:val="en-US" w:eastAsia="zh-CN" w:bidi="ar-SA"/>
        </w:rPr>
        <w:t>本项目生产</w:t>
      </w:r>
      <w:r>
        <w:rPr>
          <w:rFonts w:hint="eastAsia" w:cs="宋体"/>
          <w:color w:val="auto"/>
          <w:kern w:val="0"/>
          <w:sz w:val="24"/>
          <w:szCs w:val="22"/>
          <w:highlight w:val="none"/>
          <w:vertAlign w:val="baseline"/>
          <w:lang w:val="en-US" w:eastAsia="zh-CN" w:bidi="ar-SA"/>
        </w:rPr>
        <w:t>无需供热，生活</w:t>
      </w:r>
      <w:r>
        <w:rPr>
          <w:rFonts w:hint="eastAsia" w:ascii="Times New Roman" w:hAnsi="Times New Roman" w:eastAsia="宋体" w:cs="宋体"/>
          <w:color w:val="auto"/>
          <w:kern w:val="0"/>
          <w:sz w:val="24"/>
          <w:szCs w:val="22"/>
          <w:highlight w:val="none"/>
          <w:vertAlign w:val="baseline"/>
          <w:lang w:val="en-US" w:eastAsia="zh-CN" w:bidi="ar-SA"/>
        </w:rPr>
        <w:t>供热均使用电加热，不使用高污染燃料，本项目</w:t>
      </w:r>
      <w:r>
        <w:rPr>
          <w:rFonts w:hint="eastAsia" w:cs="宋体"/>
          <w:color w:val="auto"/>
          <w:kern w:val="0"/>
          <w:sz w:val="24"/>
          <w:szCs w:val="22"/>
          <w:highlight w:val="none"/>
          <w:lang w:val="en-US" w:eastAsia="zh-CN" w:bidi="ar-SA"/>
        </w:rPr>
        <w:t>养殖饲料搅拌粉尘设置封闭式作业+润湿搅拌工艺控制，饲料加工粉尘经袋式除尘处理后经15m排气筒</w:t>
      </w:r>
      <w:r>
        <w:rPr>
          <w:rFonts w:hint="eastAsia" w:eastAsia="宋体" w:cs="宋体"/>
          <w:color w:val="auto"/>
          <w:kern w:val="0"/>
          <w:sz w:val="24"/>
          <w:szCs w:val="22"/>
          <w:highlight w:val="none"/>
          <w:lang w:val="en-US" w:eastAsia="zh-CN" w:bidi="ar-SA"/>
        </w:rPr>
        <w:t>排放</w:t>
      </w:r>
      <w:r>
        <w:rPr>
          <w:rFonts w:hint="eastAsia" w:cs="宋体"/>
          <w:color w:val="auto"/>
          <w:kern w:val="0"/>
          <w:sz w:val="24"/>
          <w:szCs w:val="22"/>
          <w:highlight w:val="none"/>
          <w:lang w:val="en-US" w:eastAsia="zh-CN" w:bidi="ar-SA"/>
        </w:rPr>
        <w:t>，堆肥废气</w:t>
      </w:r>
      <w:r>
        <w:rPr>
          <w:rFonts w:hint="eastAsia" w:eastAsia="宋体" w:cs="宋体"/>
          <w:color w:val="auto"/>
          <w:kern w:val="0"/>
          <w:sz w:val="24"/>
          <w:szCs w:val="22"/>
          <w:highlight w:val="none"/>
          <w:lang w:val="en-US" w:eastAsia="zh-CN" w:bidi="ar-SA"/>
        </w:rPr>
        <w:t>经布袋除尘</w:t>
      </w:r>
      <w:r>
        <w:rPr>
          <w:rFonts w:hint="eastAsia" w:cs="宋体"/>
          <w:color w:val="auto"/>
          <w:kern w:val="0"/>
          <w:sz w:val="24"/>
          <w:szCs w:val="22"/>
          <w:highlight w:val="none"/>
          <w:lang w:val="en-US" w:eastAsia="zh-CN" w:bidi="ar-SA"/>
        </w:rPr>
        <w:t>+生物除臭（滴滤法）</w:t>
      </w:r>
      <w:r>
        <w:rPr>
          <w:rFonts w:hint="eastAsia" w:eastAsia="宋体" w:cs="宋体"/>
          <w:color w:val="auto"/>
          <w:kern w:val="0"/>
          <w:sz w:val="24"/>
          <w:szCs w:val="22"/>
          <w:highlight w:val="none"/>
          <w:lang w:val="en-US" w:eastAsia="zh-CN" w:bidi="ar-SA"/>
        </w:rPr>
        <w:t>处理后</w:t>
      </w:r>
      <w:r>
        <w:rPr>
          <w:rFonts w:hint="eastAsia" w:cs="宋体"/>
          <w:color w:val="auto"/>
          <w:kern w:val="0"/>
          <w:sz w:val="24"/>
          <w:szCs w:val="22"/>
          <w:highlight w:val="none"/>
          <w:lang w:val="en-US" w:eastAsia="zh-CN" w:bidi="ar-SA"/>
        </w:rPr>
        <w:t>经15m排气筒</w:t>
      </w:r>
      <w:r>
        <w:rPr>
          <w:rFonts w:hint="eastAsia" w:eastAsia="宋体" w:cs="宋体"/>
          <w:color w:val="auto"/>
          <w:kern w:val="0"/>
          <w:sz w:val="24"/>
          <w:szCs w:val="22"/>
          <w:highlight w:val="none"/>
          <w:lang w:val="en-US" w:eastAsia="zh-CN" w:bidi="ar-SA"/>
        </w:rPr>
        <w:t>排放</w:t>
      </w:r>
      <w:r>
        <w:rPr>
          <w:rFonts w:hint="eastAsia" w:cs="宋体"/>
          <w:color w:val="auto"/>
          <w:kern w:val="0"/>
          <w:sz w:val="24"/>
          <w:szCs w:val="22"/>
          <w:highlight w:val="none"/>
          <w:lang w:val="en-US" w:eastAsia="zh-CN" w:bidi="ar-SA"/>
        </w:rPr>
        <w:t>；养殖</w:t>
      </w:r>
      <w:r>
        <w:rPr>
          <w:rFonts w:hint="eastAsia" w:ascii="Times New Roman" w:hAnsi="Times New Roman" w:eastAsia="宋体" w:cs="宋体"/>
          <w:snapToGrid w:val="0"/>
          <w:color w:val="auto"/>
          <w:kern w:val="0"/>
          <w:sz w:val="24"/>
          <w:szCs w:val="21"/>
          <w:highlight w:val="none"/>
          <w:lang w:val="en-US" w:eastAsia="zh-CN" w:bidi="ar-SA"/>
        </w:rPr>
        <w:t>产生的恶臭污染物氨、硫化氢</w:t>
      </w:r>
      <w:r>
        <w:rPr>
          <w:rFonts w:hint="eastAsia" w:cs="宋体"/>
          <w:color w:val="auto"/>
          <w:kern w:val="0"/>
          <w:sz w:val="24"/>
          <w:szCs w:val="22"/>
          <w:highlight w:val="none"/>
          <w:lang w:val="en-US" w:eastAsia="zh-CN" w:bidi="ar-SA"/>
        </w:rPr>
        <w:t>通过控制饲养密度+及时清理粪污+场区绿化+喷洒生物除臭剂控制，堆肥间未被收集的硫化氢、氨通过加强封闭式作业控制</w:t>
      </w:r>
      <w:r>
        <w:rPr>
          <w:rFonts w:hint="eastAsia" w:ascii="Times New Roman" w:hAnsi="Times New Roman" w:eastAsia="宋体" w:cs="宋体"/>
          <w:color w:val="auto"/>
          <w:kern w:val="0"/>
          <w:sz w:val="24"/>
          <w:szCs w:val="22"/>
          <w:highlight w:val="none"/>
          <w:vertAlign w:val="baseline"/>
          <w:lang w:val="en-US" w:eastAsia="zh-CN" w:bidi="ar-SA"/>
        </w:rPr>
        <w:t>，通过估算结果，对周边大气环境影响较小，厂界满足均能够满足《恶臭污染物排放标准》（GB14554-1993）排放限值</w:t>
      </w:r>
      <w:r>
        <w:rPr>
          <w:rFonts w:hint="eastAsia" w:ascii="Times New Roman" w:hAnsi="Times New Roman" w:eastAsia="宋体" w:cs="宋体"/>
          <w:color w:val="auto"/>
          <w:kern w:val="0"/>
          <w:sz w:val="24"/>
          <w:szCs w:val="22"/>
          <w:highlight w:val="none"/>
          <w:lang w:val="en-US" w:eastAsia="zh-CN" w:bidi="ar-SA"/>
        </w:rPr>
        <w:t>。因此符合《关于奎屯－独山子－乌苏区域大气污染联防联控工作方案的批复》（新政函〔2015〕99号）相关要求。</w:t>
      </w:r>
    </w:p>
    <w:p w14:paraId="2A149115">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1.4.3</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与行业技术规范符合性分析</w:t>
      </w:r>
    </w:p>
    <w:p w14:paraId="7DF71BE8">
      <w:pPr>
        <w:widowControl w:val="0"/>
        <w:numPr>
          <w:ilvl w:val="0"/>
          <w:numId w:val="0"/>
        </w:numPr>
        <w:spacing w:after="120" w:line="360" w:lineRule="auto"/>
        <w:ind w:firstLine="480" w:firstLineChars="200"/>
        <w:jc w:val="both"/>
        <w:rPr>
          <w:rFonts w:hint="default" w:ascii="Times New Roman" w:hAnsi="Times New Roman" w:eastAsia="宋体" w:cs="Times New Roman"/>
          <w:kern w:val="2"/>
          <w:sz w:val="24"/>
          <w:szCs w:val="24"/>
          <w:lang w:val="de-DE" w:eastAsia="zh-CN" w:bidi="ar-SA"/>
        </w:rPr>
      </w:pPr>
      <w:r>
        <w:rPr>
          <w:rFonts w:hint="eastAsia"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与《</w:t>
      </w:r>
      <w:r>
        <w:rPr>
          <w:rFonts w:hint="eastAsia" w:ascii="Times New Roman" w:hAnsi="Times New Roman" w:eastAsia="宋体" w:cs="Times New Roman"/>
          <w:kern w:val="2"/>
          <w:sz w:val="24"/>
          <w:szCs w:val="24"/>
          <w:lang w:val="de-DE" w:eastAsia="zh-CN" w:bidi="ar-SA"/>
        </w:rPr>
        <w:t>关于做好畜禽规模养殖项目环境影响评价管理工作的通知</w:t>
      </w:r>
      <w:r>
        <w:rPr>
          <w:rFonts w:hint="default"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de-DE" w:eastAsia="zh-CN" w:bidi="ar-SA"/>
        </w:rPr>
        <w:t>（环办环评</w:t>
      </w:r>
      <w:r>
        <w:rPr>
          <w:rFonts w:hint="eastAsia" w:cs="Times New Roman"/>
          <w:kern w:val="2"/>
          <w:sz w:val="24"/>
          <w:szCs w:val="24"/>
          <w:lang w:val="de-DE" w:eastAsia="zh-CN" w:bidi="ar-SA"/>
        </w:rPr>
        <w:t>〔2018〕31号</w:t>
      </w:r>
      <w:r>
        <w:rPr>
          <w:rFonts w:hint="eastAsia" w:ascii="Times New Roman" w:hAnsi="Times New Roman" w:eastAsia="宋体" w:cs="Times New Roman"/>
          <w:kern w:val="2"/>
          <w:sz w:val="24"/>
          <w:szCs w:val="24"/>
          <w:lang w:val="de-DE" w:eastAsia="zh-CN" w:bidi="ar-SA"/>
        </w:rPr>
        <w:t>）</w:t>
      </w:r>
      <w:r>
        <w:rPr>
          <w:rFonts w:hint="default" w:ascii="Times New Roman" w:hAnsi="Times New Roman" w:eastAsia="宋体" w:cs="Times New Roman"/>
          <w:kern w:val="2"/>
          <w:sz w:val="24"/>
          <w:szCs w:val="24"/>
          <w:lang w:val="de-DE" w:eastAsia="zh-CN" w:bidi="ar-SA"/>
        </w:rPr>
        <w:t>的相符性</w:t>
      </w:r>
    </w:p>
    <w:p w14:paraId="353F0410">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zh-CN" w:eastAsia="zh-CN" w:bidi="ar-SA"/>
        </w:rPr>
        <w:t>本项目与</w:t>
      </w:r>
      <w:r>
        <w:rPr>
          <w:rFonts w:hint="default"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de-DE" w:eastAsia="zh-CN" w:bidi="ar-SA"/>
        </w:rPr>
        <w:t>关于做好畜禽规模养殖项目环境影响评价管理工作的通知</w:t>
      </w:r>
      <w:r>
        <w:rPr>
          <w:rFonts w:hint="default"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de-DE" w:eastAsia="zh-CN" w:bidi="ar-SA"/>
        </w:rPr>
        <w:t>（环办环评</w:t>
      </w:r>
      <w:r>
        <w:rPr>
          <w:rFonts w:hint="eastAsia" w:cs="Times New Roman"/>
          <w:kern w:val="2"/>
          <w:sz w:val="24"/>
          <w:szCs w:val="24"/>
          <w:lang w:val="de-DE" w:eastAsia="zh-CN" w:bidi="ar-SA"/>
        </w:rPr>
        <w:t>〔2018〕31号</w:t>
      </w:r>
      <w:r>
        <w:rPr>
          <w:rFonts w:hint="eastAsia"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zh-CN" w:eastAsia="zh-CN" w:bidi="ar-SA"/>
        </w:rPr>
        <w:t>的相符性</w:t>
      </w:r>
      <w:r>
        <w:rPr>
          <w:rFonts w:hint="eastAsia" w:ascii="Times New Roman" w:hAnsi="Times New Roman" w:eastAsia="宋体" w:cs="Times New Roman"/>
          <w:kern w:val="2"/>
          <w:sz w:val="24"/>
          <w:szCs w:val="24"/>
          <w:lang w:val="en-US" w:eastAsia="zh-CN" w:bidi="ar-SA"/>
        </w:rPr>
        <w:t>分析详见表1.4-1。</w:t>
      </w:r>
    </w:p>
    <w:p w14:paraId="721C8B4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宋体" w:cs="Times New Roman"/>
          <w:b/>
          <w:color w:val="000000"/>
          <w:sz w:val="24"/>
          <w:szCs w:val="24"/>
          <w:lang w:bidi="ar"/>
        </w:rPr>
      </w:pPr>
      <w:r>
        <w:rPr>
          <w:rFonts w:hint="default" w:ascii="Times New Roman" w:hAnsi="Times New Roman" w:eastAsia="宋体" w:cs="Times New Roman"/>
          <w:b/>
          <w:color w:val="000000"/>
          <w:sz w:val="24"/>
          <w:szCs w:val="24"/>
          <w:lang w:bidi="ar"/>
        </w:rPr>
        <w:t>表</w:t>
      </w:r>
      <w:r>
        <w:rPr>
          <w:rFonts w:hint="eastAsia" w:ascii="Times New Roman" w:hAnsi="Times New Roman" w:eastAsia="宋体" w:cs="Times New Roman"/>
          <w:b/>
          <w:color w:val="000000"/>
          <w:sz w:val="24"/>
          <w:szCs w:val="24"/>
          <w:lang w:val="en-US" w:eastAsia="zh-CN" w:bidi="ar"/>
        </w:rPr>
        <w:t>1.4-</w:t>
      </w:r>
      <w:r>
        <w:rPr>
          <w:rFonts w:hint="eastAsia" w:cs="Times New Roman"/>
          <w:b/>
          <w:color w:val="000000"/>
          <w:sz w:val="24"/>
          <w:szCs w:val="24"/>
          <w:lang w:val="en-US" w:eastAsia="zh-CN" w:bidi="ar"/>
        </w:rPr>
        <w:t>1</w:t>
      </w:r>
      <w:r>
        <w:rPr>
          <w:rFonts w:hint="eastAsia" w:ascii="Times New Roman" w:hAnsi="Times New Roman" w:eastAsia="宋体" w:cs="Times New Roman"/>
          <w:b/>
          <w:color w:val="000000"/>
          <w:sz w:val="24"/>
          <w:szCs w:val="24"/>
          <w:lang w:eastAsia="zh-CN" w:bidi="ar"/>
        </w:rPr>
        <w:t>本项目</w:t>
      </w:r>
      <w:r>
        <w:rPr>
          <w:rFonts w:hint="default" w:ascii="Times New Roman" w:hAnsi="Times New Roman" w:eastAsia="宋体" w:cs="Times New Roman"/>
          <w:b/>
          <w:color w:val="000000"/>
          <w:sz w:val="24"/>
          <w:szCs w:val="24"/>
          <w:lang w:val="zh-CN" w:bidi="ar"/>
        </w:rPr>
        <w:t>与《关于做好畜禽规模养殖项目环境影响评价管理工作的通知》的相符性</w:t>
      </w:r>
      <w:r>
        <w:rPr>
          <w:rFonts w:hint="default" w:ascii="Times New Roman" w:hAnsi="Times New Roman" w:eastAsia="宋体" w:cs="Times New Roman"/>
          <w:b/>
          <w:color w:val="000000"/>
          <w:sz w:val="24"/>
          <w:szCs w:val="24"/>
          <w:lang w:bidi="ar"/>
        </w:rPr>
        <w:t>分析</w:t>
      </w:r>
    </w:p>
    <w:tbl>
      <w:tblPr>
        <w:tblStyle w:val="20"/>
        <w:tblW w:w="85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95"/>
        <w:gridCol w:w="4420"/>
        <w:gridCol w:w="2280"/>
        <w:gridCol w:w="935"/>
      </w:tblGrid>
      <w:tr w14:paraId="3BCB3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0" w:hRule="atLeast"/>
          <w:jc w:val="center"/>
        </w:trPr>
        <w:tc>
          <w:tcPr>
            <w:tcW w:w="895" w:type="dxa"/>
            <w:tcBorders>
              <w:tl2br w:val="nil"/>
              <w:tr2bl w:val="nil"/>
            </w:tcBorders>
            <w:noWrap w:val="0"/>
            <w:vAlign w:val="center"/>
          </w:tcPr>
          <w:p w14:paraId="07918016">
            <w:pPr>
              <w:adjustRightInd w:val="0"/>
              <w:snapToGrid w:val="0"/>
              <w:spacing w:after="0" w:line="240" w:lineRule="auto"/>
              <w:ind w:left="0" w:right="0" w:firstLine="0"/>
              <w:jc w:val="center"/>
              <w:rPr>
                <w:rFonts w:hint="eastAsia" w:ascii="Times New Roman" w:hAnsi="Times New Roman" w:eastAsia="宋体" w:cs="Times New Roman"/>
                <w:b/>
                <w:bCs/>
                <w:color w:val="000000"/>
                <w:sz w:val="21"/>
                <w:szCs w:val="21"/>
                <w:lang w:val="en-US" w:eastAsia="zh-CN"/>
              </w:rPr>
            </w:pPr>
            <w:r>
              <w:rPr>
                <w:rFonts w:hint="eastAsia" w:cs="Times New Roman"/>
                <w:b/>
                <w:bCs/>
                <w:color w:val="000000"/>
                <w:sz w:val="21"/>
                <w:szCs w:val="21"/>
                <w:lang w:val="en-US" w:eastAsia="zh-CN"/>
              </w:rPr>
              <w:t>类别</w:t>
            </w:r>
          </w:p>
        </w:tc>
        <w:tc>
          <w:tcPr>
            <w:tcW w:w="4420" w:type="dxa"/>
            <w:tcBorders>
              <w:tl2br w:val="nil"/>
              <w:tr2bl w:val="nil"/>
            </w:tcBorders>
            <w:noWrap w:val="0"/>
            <w:vAlign w:val="center"/>
          </w:tcPr>
          <w:p w14:paraId="1EF1AE86">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具体规定与要求</w:t>
            </w:r>
          </w:p>
        </w:tc>
        <w:tc>
          <w:tcPr>
            <w:tcW w:w="2280" w:type="dxa"/>
            <w:tcBorders>
              <w:tl2br w:val="nil"/>
              <w:tr2bl w:val="nil"/>
            </w:tcBorders>
            <w:noWrap w:val="0"/>
            <w:vAlign w:val="center"/>
          </w:tcPr>
          <w:p w14:paraId="7DC65392">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本项目实际情况</w:t>
            </w:r>
          </w:p>
        </w:tc>
        <w:tc>
          <w:tcPr>
            <w:tcW w:w="935" w:type="dxa"/>
            <w:tcBorders>
              <w:tl2br w:val="nil"/>
              <w:tr2bl w:val="nil"/>
            </w:tcBorders>
            <w:noWrap w:val="0"/>
            <w:vAlign w:val="center"/>
          </w:tcPr>
          <w:p w14:paraId="39BC841E">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符合性分析</w:t>
            </w:r>
          </w:p>
        </w:tc>
      </w:tr>
      <w:tr w14:paraId="4AB5C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378FD947">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优化项目选址，合理布置养殖场区</w:t>
            </w:r>
          </w:p>
        </w:tc>
        <w:tc>
          <w:tcPr>
            <w:tcW w:w="4420" w:type="dxa"/>
            <w:tcBorders>
              <w:tl2br w:val="nil"/>
              <w:tr2bl w:val="nil"/>
            </w:tcBorders>
            <w:noWrap w:val="0"/>
            <w:vAlign w:val="center"/>
          </w:tcPr>
          <w:p w14:paraId="5D66B385">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项目环评应充分论证选址的环境合理性，选址应避开当地划定的禁止养殖区域，并与区域主体功能区规划、环境功能区划、土地利用规划、城乡规划、畜牧业发展规划、畜禽养殖污染防治规划等规划相协调。当地未划定禁止养殖区域的，应避开饮用水水源保护区、风景名胜区、自然保护区的核心区和缓冲区、村镇人口集中区域，以及法律、法规规定的禁止养殖区域</w:t>
            </w:r>
          </w:p>
        </w:tc>
        <w:tc>
          <w:tcPr>
            <w:tcW w:w="2280" w:type="dxa"/>
            <w:tcBorders>
              <w:tl2br w:val="nil"/>
              <w:tr2bl w:val="nil"/>
            </w:tcBorders>
            <w:noWrap w:val="0"/>
            <w:vAlign w:val="center"/>
          </w:tcPr>
          <w:p w14:paraId="15B8C679">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eastAsia="zh-CN"/>
              </w:rPr>
              <w:t>本项目位于</w:t>
            </w:r>
            <w:r>
              <w:rPr>
                <w:rFonts w:hint="eastAsia" w:cs="Times New Roman"/>
                <w:color w:val="000000"/>
                <w:sz w:val="21"/>
                <w:szCs w:val="21"/>
                <w:lang w:val="en-US" w:eastAsia="zh-CN"/>
              </w:rPr>
              <w:t>第七师胡杨河市125团14连</w:t>
            </w:r>
            <w:r>
              <w:rPr>
                <w:rFonts w:hint="eastAsia" w:ascii="Times New Roman" w:hAnsi="Times New Roman" w:eastAsia="宋体" w:cs="Times New Roman"/>
                <w:color w:val="000000"/>
                <w:sz w:val="21"/>
                <w:szCs w:val="21"/>
                <w:lang w:eastAsia="zh-CN"/>
              </w:rPr>
              <w:t>，不属于保护区核心区及缓冲区，不在人口集中地区，不在</w:t>
            </w:r>
            <w:r>
              <w:rPr>
                <w:rFonts w:hint="eastAsia" w:cs="Times New Roman"/>
                <w:color w:val="000000"/>
                <w:sz w:val="21"/>
                <w:szCs w:val="21"/>
                <w:lang w:val="en-US" w:eastAsia="zh-CN"/>
              </w:rPr>
              <w:t>第七师胡杨河市</w:t>
            </w:r>
            <w:r>
              <w:rPr>
                <w:rFonts w:hint="eastAsia" w:ascii="Times New Roman" w:hAnsi="Times New Roman" w:eastAsia="宋体" w:cs="Times New Roman"/>
                <w:color w:val="000000"/>
                <w:sz w:val="21"/>
                <w:szCs w:val="21"/>
                <w:lang w:val="en-US" w:eastAsia="zh-CN"/>
              </w:rPr>
              <w:t>划定的</w:t>
            </w:r>
            <w:r>
              <w:rPr>
                <w:rFonts w:hint="eastAsia" w:ascii="Times New Roman" w:hAnsi="Times New Roman" w:eastAsia="宋体" w:cs="Times New Roman"/>
                <w:color w:val="000000"/>
                <w:sz w:val="21"/>
                <w:szCs w:val="21"/>
                <w:lang w:eastAsia="zh-CN"/>
              </w:rPr>
              <w:t>禁养区、</w:t>
            </w:r>
            <w:r>
              <w:rPr>
                <w:rFonts w:hint="eastAsia" w:ascii="Times New Roman" w:hAnsi="Times New Roman" w:eastAsia="宋体" w:cs="Times New Roman"/>
                <w:color w:val="000000"/>
                <w:sz w:val="21"/>
                <w:szCs w:val="21"/>
                <w:lang w:val="en-US" w:eastAsia="zh-CN"/>
              </w:rPr>
              <w:t>限养区</w:t>
            </w:r>
            <w:r>
              <w:rPr>
                <w:rFonts w:hint="eastAsia" w:ascii="Times New Roman" w:hAnsi="Times New Roman" w:eastAsia="宋体" w:cs="Times New Roman"/>
                <w:color w:val="000000"/>
                <w:sz w:val="21"/>
                <w:szCs w:val="21"/>
                <w:lang w:eastAsia="zh-CN"/>
              </w:rPr>
              <w:t>及其他需要特殊保护区域</w:t>
            </w:r>
            <w:r>
              <w:rPr>
                <w:rFonts w:hint="eastAsia" w:cs="Times New Roman"/>
                <w:color w:val="000000"/>
                <w:sz w:val="21"/>
                <w:szCs w:val="21"/>
                <w:lang w:eastAsia="zh-CN"/>
              </w:rPr>
              <w:t>，</w:t>
            </w:r>
            <w:r>
              <w:rPr>
                <w:rFonts w:hint="eastAsia" w:cs="Times New Roman"/>
                <w:color w:val="000000"/>
                <w:sz w:val="21"/>
                <w:szCs w:val="21"/>
                <w:lang w:val="en-US" w:eastAsia="zh-CN"/>
              </w:rPr>
              <w:t>选址符合《新疆生产建设兵团第七师胡杨河市国土空间总体规划（2021—2035年）》、《新疆维吾尔自治区畜牧业“十四五”发展规划》要求</w:t>
            </w:r>
          </w:p>
        </w:tc>
        <w:tc>
          <w:tcPr>
            <w:tcW w:w="935" w:type="dxa"/>
            <w:tcBorders>
              <w:tl2br w:val="nil"/>
              <w:tr2bl w:val="nil"/>
            </w:tcBorders>
            <w:noWrap w:val="0"/>
            <w:vAlign w:val="center"/>
          </w:tcPr>
          <w:p w14:paraId="7CAD7C07">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36645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728773F6">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420" w:type="dxa"/>
            <w:tcBorders>
              <w:tl2br w:val="nil"/>
              <w:tr2bl w:val="nil"/>
            </w:tcBorders>
            <w:noWrap w:val="0"/>
            <w:vAlign w:val="center"/>
          </w:tcPr>
          <w:p w14:paraId="7FA1DA6D">
            <w:pPr>
              <w:adjustRightInd w:val="0"/>
              <w:snapToGrid w:val="0"/>
              <w:spacing w:after="0" w:line="240" w:lineRule="auto"/>
              <w:ind w:left="0" w:leftChars="0" w:right="0" w:rightChars="0" w:firstLine="0" w:firstLineChars="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项目环评应结合环境保护要求优化养殖场区内部布置。畜禽养殖区及畜禽粪污贮存、处理和畜禽尸体无害化处理等产生恶臭影响的设施，应位于养殖场区主导风向的下风向位置，并尽量远离周边环境保护目标。参照《畜禽养殖业污染防治技术规范》，并根据恶臭污染物无组织排放源强，以及当地的环境及气象等因素，按照《环境影响评价技术导则 大气环境》要求计算大气环境防护距离，作为养殖场选址以及周边规划控制的依据，减轻对周围环境保护目标的不利影响</w:t>
            </w:r>
          </w:p>
        </w:tc>
        <w:tc>
          <w:tcPr>
            <w:tcW w:w="2280" w:type="dxa"/>
            <w:tcBorders>
              <w:tl2br w:val="nil"/>
              <w:tr2bl w:val="nil"/>
            </w:tcBorders>
            <w:noWrap w:val="0"/>
            <w:vAlign w:val="center"/>
          </w:tcPr>
          <w:p w14:paraId="1EE39FB4">
            <w:pPr>
              <w:adjustRightInd w:val="0"/>
              <w:snapToGrid w:val="0"/>
              <w:spacing w:after="0" w:line="240" w:lineRule="auto"/>
              <w:ind w:left="0" w:right="0" w:firstLine="0"/>
              <w:jc w:val="center"/>
              <w:rPr>
                <w:rFonts w:hint="default" w:ascii="Times New Roman" w:hAnsi="Times New Roman" w:eastAsia="宋体" w:cs="Times New Roman"/>
                <w:bCs/>
                <w:color w:val="000000"/>
                <w:sz w:val="21"/>
                <w:szCs w:val="21"/>
                <w:lang w:val="en-US" w:eastAsia="zh-CN"/>
              </w:rPr>
            </w:pPr>
            <w:r>
              <w:rPr>
                <w:rFonts w:hint="eastAsia" w:ascii="Times New Roman" w:hAnsi="Times New Roman" w:eastAsia="宋体" w:cs="Times New Roman"/>
                <w:bCs/>
                <w:color w:val="000000"/>
                <w:sz w:val="21"/>
                <w:szCs w:val="21"/>
                <w:lang w:eastAsia="zh-CN"/>
              </w:rPr>
              <w:t>本项目</w:t>
            </w:r>
            <w:r>
              <w:rPr>
                <w:rFonts w:hint="eastAsia" w:cs="Times New Roman"/>
                <w:bCs/>
                <w:color w:val="000000"/>
                <w:sz w:val="21"/>
                <w:szCs w:val="21"/>
                <w:lang w:val="en-US" w:eastAsia="zh-CN"/>
              </w:rPr>
              <w:t>不涉及畜禽尸体无害化处理，</w:t>
            </w:r>
            <w:r>
              <w:rPr>
                <w:rFonts w:hint="eastAsia" w:ascii="Times New Roman" w:hAnsi="Times New Roman" w:eastAsia="宋体" w:cs="Times New Roman"/>
                <w:bCs/>
                <w:color w:val="000000"/>
                <w:sz w:val="21"/>
                <w:szCs w:val="21"/>
                <w:lang w:eastAsia="zh-CN"/>
              </w:rPr>
              <w:t>粪便</w:t>
            </w:r>
            <w:r>
              <w:rPr>
                <w:rFonts w:hint="eastAsia" w:ascii="Times New Roman" w:hAnsi="Times New Roman" w:eastAsia="宋体" w:cs="Times New Roman"/>
                <w:bCs/>
                <w:color w:val="000000"/>
                <w:sz w:val="21"/>
                <w:szCs w:val="21"/>
                <w:lang w:val="en-US" w:eastAsia="zh-CN"/>
              </w:rPr>
              <w:t>处理</w:t>
            </w:r>
            <w:r>
              <w:rPr>
                <w:rFonts w:hint="eastAsia" w:ascii="Times New Roman" w:hAnsi="Times New Roman" w:eastAsia="宋体" w:cs="Times New Roman"/>
                <w:bCs/>
                <w:color w:val="000000"/>
                <w:sz w:val="21"/>
                <w:szCs w:val="21"/>
                <w:lang w:eastAsia="zh-CN"/>
              </w:rPr>
              <w:t>设施等产生恶臭影响的设施</w:t>
            </w:r>
            <w:r>
              <w:rPr>
                <w:rFonts w:hint="eastAsia" w:cs="Times New Roman"/>
                <w:bCs/>
                <w:color w:val="000000"/>
                <w:sz w:val="21"/>
                <w:szCs w:val="21"/>
                <w:lang w:val="en-US" w:eastAsia="zh-CN"/>
              </w:rPr>
              <w:t>均</w:t>
            </w:r>
            <w:r>
              <w:rPr>
                <w:rFonts w:hint="eastAsia" w:ascii="Times New Roman" w:hAnsi="Times New Roman" w:eastAsia="宋体" w:cs="Times New Roman"/>
                <w:bCs/>
                <w:color w:val="000000"/>
                <w:sz w:val="21"/>
                <w:szCs w:val="21"/>
                <w:lang w:eastAsia="zh-CN"/>
              </w:rPr>
              <w:t>位于养殖场区主导风向的</w:t>
            </w:r>
            <w:r>
              <w:rPr>
                <w:rFonts w:hint="eastAsia" w:cs="Times New Roman"/>
                <w:bCs/>
                <w:color w:val="000000"/>
                <w:sz w:val="21"/>
                <w:szCs w:val="21"/>
                <w:lang w:val="en-US" w:eastAsia="zh-CN"/>
              </w:rPr>
              <w:t>侧风向</w:t>
            </w:r>
            <w:r>
              <w:rPr>
                <w:rFonts w:hint="eastAsia" w:ascii="Times New Roman" w:hAnsi="Times New Roman" w:eastAsia="宋体" w:cs="Times New Roman"/>
                <w:bCs/>
                <w:color w:val="000000"/>
                <w:sz w:val="21"/>
                <w:szCs w:val="21"/>
                <w:lang w:eastAsia="zh-CN"/>
              </w:rPr>
              <w:t>位置，并远离周边环境保护目标</w:t>
            </w:r>
            <w:r>
              <w:rPr>
                <w:rFonts w:hint="eastAsia" w:cs="Times New Roman"/>
                <w:bCs/>
                <w:color w:val="000000"/>
                <w:sz w:val="21"/>
                <w:szCs w:val="21"/>
                <w:lang w:eastAsia="zh-CN"/>
              </w:rPr>
              <w:t>，</w:t>
            </w:r>
            <w:r>
              <w:rPr>
                <w:rFonts w:hint="eastAsia" w:cs="Times New Roman"/>
                <w:bCs/>
                <w:color w:val="000000"/>
                <w:sz w:val="21"/>
                <w:szCs w:val="21"/>
                <w:lang w:val="en-US" w:eastAsia="zh-CN"/>
              </w:rPr>
              <w:t>本项目不设置大气环境防护距离，设置500m范围的卫生防护距离，500m范围内无环境保护目标。</w:t>
            </w:r>
          </w:p>
        </w:tc>
        <w:tc>
          <w:tcPr>
            <w:tcW w:w="935" w:type="dxa"/>
            <w:tcBorders>
              <w:tl2br w:val="nil"/>
              <w:tr2bl w:val="nil"/>
            </w:tcBorders>
            <w:noWrap w:val="0"/>
            <w:vAlign w:val="center"/>
          </w:tcPr>
          <w:p w14:paraId="6493D1D3">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45FB7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2CBBB11F">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加强粪污减量控制，促进畜禽养殖粪污资源化利用</w:t>
            </w:r>
          </w:p>
        </w:tc>
        <w:tc>
          <w:tcPr>
            <w:tcW w:w="4420" w:type="dxa"/>
            <w:tcBorders>
              <w:tl2br w:val="nil"/>
              <w:tr2bl w:val="nil"/>
            </w:tcBorders>
            <w:noWrap w:val="0"/>
            <w:vAlign w:val="center"/>
          </w:tcPr>
          <w:p w14:paraId="0F3B0372">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项目环评应以农业绿色发展为导向，优化工艺，通过采取优化饲料配方、提高饲养技术等措施，从源头减少粪污的产生量。鼓励采取干清粪方式，采取水泡粪工艺的应最大限度降低用水量。场区应采取雨污分离措施，防止雨水进入粪污收集系统</w:t>
            </w:r>
          </w:p>
        </w:tc>
        <w:tc>
          <w:tcPr>
            <w:tcW w:w="2280" w:type="dxa"/>
            <w:tcBorders>
              <w:tl2br w:val="nil"/>
              <w:tr2bl w:val="nil"/>
            </w:tcBorders>
            <w:noWrap w:val="0"/>
            <w:vAlign w:val="center"/>
          </w:tcPr>
          <w:p w14:paraId="6720E9B0">
            <w:pPr>
              <w:adjustRightInd w:val="0"/>
              <w:snapToGrid w:val="0"/>
              <w:spacing w:after="0" w:line="240" w:lineRule="auto"/>
              <w:ind w:left="0" w:right="0" w:firstLine="0"/>
              <w:jc w:val="center"/>
              <w:rPr>
                <w:rFonts w:ascii="Times New Roman" w:hAnsi="Times New Roman" w:eastAsia="宋体" w:cs="Times New Roman"/>
                <w:color w:val="000000"/>
                <w:sz w:val="21"/>
                <w:szCs w:val="21"/>
                <w:highlight w:val="none"/>
              </w:rPr>
            </w:pPr>
            <w:r>
              <w:rPr>
                <w:rFonts w:hint="eastAsia" w:cs="Times New Roman"/>
                <w:color w:val="000000"/>
                <w:sz w:val="21"/>
                <w:szCs w:val="21"/>
                <w:lang w:val="en-US" w:eastAsia="zh-CN"/>
              </w:rPr>
              <w:t>本项目科学配比饲料，从源头减少粪污产量；采取原位发酵床技术，清粪采取干清粪方式，不涉及水泡粪工艺，从源头减少粪污产生量</w:t>
            </w:r>
            <w:r>
              <w:rPr>
                <w:rFonts w:hint="eastAsia" w:ascii="Times New Roman" w:hAnsi="Times New Roman" w:eastAsia="宋体" w:cs="Times New Roman"/>
                <w:color w:val="000000"/>
                <w:sz w:val="21"/>
                <w:szCs w:val="21"/>
                <w:lang w:eastAsia="zh-CN"/>
              </w:rPr>
              <w:t>，场区采取雨污分离措施</w:t>
            </w:r>
          </w:p>
        </w:tc>
        <w:tc>
          <w:tcPr>
            <w:tcW w:w="935" w:type="dxa"/>
            <w:tcBorders>
              <w:tl2br w:val="nil"/>
              <w:tr2bl w:val="nil"/>
            </w:tcBorders>
            <w:noWrap w:val="0"/>
            <w:vAlign w:val="center"/>
          </w:tcPr>
          <w:p w14:paraId="2A3A487B">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3ACF6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4C13B27A">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420" w:type="dxa"/>
            <w:tcBorders>
              <w:tl2br w:val="nil"/>
              <w:tr2bl w:val="nil"/>
            </w:tcBorders>
            <w:noWrap w:val="0"/>
            <w:vAlign w:val="center"/>
          </w:tcPr>
          <w:p w14:paraId="43B98881">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项目环评应结合地域、畜种、规模等特点以及地方相关部门制定的畜禽粪污综合利用目标等要求，加强畜禽养殖粪污资源化利用，因地制宜选择经济高效适用的处理利用模式，采取粪污全量收集还田利用、污水肥料化利用、粪便垫料回用、异位发酵床、粪污专业化能源利用等模式处理利用畜禽粪污，促进畜禽规模养殖项目</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种养结合</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绿色发展</w:t>
            </w:r>
          </w:p>
        </w:tc>
        <w:tc>
          <w:tcPr>
            <w:tcW w:w="2280" w:type="dxa"/>
            <w:tcBorders>
              <w:tl2br w:val="nil"/>
              <w:tr2bl w:val="nil"/>
            </w:tcBorders>
            <w:noWrap w:val="0"/>
            <w:vAlign w:val="center"/>
          </w:tcPr>
          <w:p w14:paraId="5FA892D8">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bCs/>
                <w:color w:val="000000"/>
                <w:sz w:val="21"/>
                <w:szCs w:val="21"/>
                <w:lang w:eastAsia="zh-CN"/>
              </w:rPr>
              <w:t>本项目采取因地制宜，集中处置的方式</w:t>
            </w:r>
            <w:r>
              <w:rPr>
                <w:rFonts w:hint="eastAsia" w:cs="Times New Roman"/>
                <w:bCs/>
                <w:color w:val="000000"/>
                <w:sz w:val="21"/>
                <w:szCs w:val="21"/>
                <w:lang w:eastAsia="zh-CN"/>
              </w:rPr>
              <w:t>，</w:t>
            </w:r>
            <w:r>
              <w:rPr>
                <w:rFonts w:hint="eastAsia" w:cs="Times New Roman"/>
                <w:bCs/>
                <w:color w:val="000000"/>
                <w:sz w:val="21"/>
                <w:szCs w:val="21"/>
                <w:lang w:val="en-US" w:eastAsia="zh-CN"/>
              </w:rPr>
              <w:t>本项目采用原位发酵床模式</w:t>
            </w:r>
            <w:r>
              <w:rPr>
                <w:rFonts w:hint="eastAsia" w:ascii="Times New Roman" w:hAnsi="Times New Roman" w:eastAsia="宋体" w:cs="Times New Roman"/>
                <w:bCs/>
                <w:color w:val="000000"/>
                <w:sz w:val="21"/>
                <w:szCs w:val="21"/>
                <w:lang w:eastAsia="zh-CN"/>
              </w:rPr>
              <w:t>，</w:t>
            </w:r>
            <w:r>
              <w:rPr>
                <w:rFonts w:hint="eastAsia" w:cs="Times New Roman"/>
                <w:bCs/>
                <w:color w:val="000000"/>
                <w:sz w:val="21"/>
                <w:szCs w:val="21"/>
                <w:lang w:val="en-US" w:eastAsia="zh-CN"/>
              </w:rPr>
              <w:t>粪污经无害化</w:t>
            </w:r>
            <w:r>
              <w:rPr>
                <w:rFonts w:hint="eastAsia" w:ascii="Times New Roman" w:hAnsi="Times New Roman" w:eastAsia="宋体" w:cs="Times New Roman"/>
                <w:bCs/>
                <w:color w:val="000000"/>
                <w:sz w:val="21"/>
                <w:szCs w:val="21"/>
                <w:lang w:val="en-US" w:eastAsia="zh-CN"/>
              </w:rPr>
              <w:t>处理后还田于本项目</w:t>
            </w:r>
            <w:r>
              <w:rPr>
                <w:rFonts w:hint="eastAsia" w:cs="Times New Roman"/>
                <w:bCs/>
                <w:color w:val="000000"/>
                <w:sz w:val="21"/>
                <w:szCs w:val="21"/>
                <w:lang w:val="en-US" w:eastAsia="zh-CN"/>
              </w:rPr>
              <w:t>周边农田，实现粪污肥料化利用，配套足量农田还田，能够有效</w:t>
            </w:r>
            <w:r>
              <w:rPr>
                <w:rFonts w:hint="eastAsia" w:ascii="Times New Roman" w:hAnsi="Times New Roman" w:eastAsia="宋体" w:cs="Times New Roman"/>
                <w:color w:val="000000"/>
                <w:sz w:val="21"/>
                <w:szCs w:val="21"/>
                <w:lang w:eastAsia="zh-CN"/>
              </w:rPr>
              <w:t>促进畜禽规模养殖项目“种养结合”绿色发展</w:t>
            </w:r>
          </w:p>
        </w:tc>
        <w:tc>
          <w:tcPr>
            <w:tcW w:w="935" w:type="dxa"/>
            <w:tcBorders>
              <w:tl2br w:val="nil"/>
              <w:tr2bl w:val="nil"/>
            </w:tcBorders>
            <w:noWrap w:val="0"/>
            <w:vAlign w:val="center"/>
          </w:tcPr>
          <w:p w14:paraId="517C81C5">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0A56C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206CDB68">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420" w:type="dxa"/>
            <w:tcBorders>
              <w:tl2br w:val="nil"/>
              <w:tr2bl w:val="nil"/>
            </w:tcBorders>
            <w:noWrap w:val="0"/>
            <w:vAlign w:val="center"/>
          </w:tcPr>
          <w:p w14:paraId="48023C87">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鼓励根据土地承载能力确定畜禽养殖场的适宜养殖规模，土地承载能力可采用农业农村主管部门发布的测算技术方法确定。耕地面积大、土地消纳能力相对较高的区域，畜禽养殖场产生的粪污应力争实现全部就地就近资源化利用或委托第三方处理；当土地消纳能力不足时，应进一步提高资源化利用能力或适当减少养殖规模。鼓励依托符合环保要求的专业化粪污处理利用企业，提高畜禽养殖粪污集中收集利用能力。环评应明确畜禽养殖粪污资源化利用的主体，严格落实利用渠道或途径，确保资源化利用有效实施</w:t>
            </w:r>
          </w:p>
        </w:tc>
        <w:tc>
          <w:tcPr>
            <w:tcW w:w="2280" w:type="dxa"/>
            <w:tcBorders>
              <w:tl2br w:val="nil"/>
              <w:tr2bl w:val="nil"/>
            </w:tcBorders>
            <w:noWrap w:val="0"/>
            <w:vAlign w:val="center"/>
          </w:tcPr>
          <w:p w14:paraId="7AE5F622">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rPr>
            </w:pPr>
            <w:r>
              <w:rPr>
                <w:rFonts w:hint="eastAsia" w:cs="Times New Roman"/>
                <w:bCs/>
                <w:color w:val="000000"/>
                <w:sz w:val="21"/>
                <w:szCs w:val="21"/>
                <w:highlight w:val="none"/>
                <w:lang w:val="en-US" w:eastAsia="zh-CN"/>
              </w:rPr>
              <w:t>粪污</w:t>
            </w:r>
            <w:r>
              <w:rPr>
                <w:rFonts w:hint="eastAsia" w:ascii="Times New Roman" w:hAnsi="Times New Roman" w:eastAsia="宋体" w:cs="Times New Roman"/>
                <w:bCs/>
                <w:color w:val="000000"/>
                <w:sz w:val="21"/>
                <w:szCs w:val="21"/>
                <w:highlight w:val="none"/>
                <w:lang w:val="en-US" w:eastAsia="zh-CN"/>
              </w:rPr>
              <w:t>处理后还田于本项目</w:t>
            </w:r>
            <w:r>
              <w:rPr>
                <w:rFonts w:hint="eastAsia" w:cs="Times New Roman"/>
                <w:bCs/>
                <w:color w:val="000000"/>
                <w:sz w:val="21"/>
                <w:szCs w:val="21"/>
                <w:highlight w:val="none"/>
                <w:lang w:val="en-US" w:eastAsia="zh-CN"/>
              </w:rPr>
              <w:t>周边农田，根据《畜禽粪肥还田技术规范》（GB/T25246—2025）</w:t>
            </w:r>
            <w:r>
              <w:rPr>
                <w:rFonts w:hint="eastAsia" w:ascii="Times New Roman" w:hAnsi="Times New Roman" w:eastAsia="宋体" w:cs="Times New Roman"/>
                <w:color w:val="000000"/>
                <w:sz w:val="21"/>
                <w:szCs w:val="21"/>
                <w:lang w:eastAsia="zh-CN"/>
              </w:rPr>
              <w:t>土地承载能力</w:t>
            </w:r>
            <w:r>
              <w:rPr>
                <w:rFonts w:hint="eastAsia" w:cs="Times New Roman"/>
                <w:color w:val="000000"/>
                <w:sz w:val="21"/>
                <w:szCs w:val="21"/>
                <w:lang w:val="en-US" w:eastAsia="zh-CN"/>
              </w:rPr>
              <w:t>测算，本项目签订的消纳农田</w:t>
            </w:r>
            <w:r>
              <w:rPr>
                <w:rFonts w:hint="eastAsia" w:cs="Times New Roman"/>
                <w:bCs/>
                <w:color w:val="000000"/>
                <w:sz w:val="21"/>
                <w:szCs w:val="21"/>
                <w:highlight w:val="none"/>
                <w:lang w:val="en-US" w:eastAsia="zh-CN"/>
              </w:rPr>
              <w:t>能够有效消纳本项目粪污，并设置土地轮作施肥制度，能够</w:t>
            </w:r>
            <w:r>
              <w:rPr>
                <w:rFonts w:hint="eastAsia" w:ascii="Times New Roman" w:hAnsi="Times New Roman" w:eastAsia="宋体" w:cs="Times New Roman"/>
                <w:color w:val="000000"/>
                <w:sz w:val="21"/>
                <w:szCs w:val="21"/>
                <w:lang w:eastAsia="zh-CN"/>
              </w:rPr>
              <w:t>确保资源化利用有效实施</w:t>
            </w:r>
          </w:p>
        </w:tc>
        <w:tc>
          <w:tcPr>
            <w:tcW w:w="935" w:type="dxa"/>
            <w:tcBorders>
              <w:tl2br w:val="nil"/>
              <w:tr2bl w:val="nil"/>
            </w:tcBorders>
            <w:noWrap w:val="0"/>
            <w:vAlign w:val="center"/>
          </w:tcPr>
          <w:p w14:paraId="2E1A79EE">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4E035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3E72BC5E">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强化粪污治理措施，做好污染防治</w:t>
            </w:r>
          </w:p>
        </w:tc>
        <w:tc>
          <w:tcPr>
            <w:tcW w:w="4420" w:type="dxa"/>
            <w:tcBorders>
              <w:tl2br w:val="nil"/>
              <w:tr2bl w:val="nil"/>
            </w:tcBorders>
            <w:noWrap w:val="0"/>
            <w:vAlign w:val="center"/>
          </w:tcPr>
          <w:p w14:paraId="639D240B">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项目环评应强化对粪污的治理措施，加强畜禽养殖粪污资源化利用过程中的污染控制，推进粪污资源的良性利用，</w:t>
            </w:r>
            <w:r>
              <w:rPr>
                <w:rFonts w:hint="eastAsia" w:cs="Times New Roman"/>
                <w:color w:val="000000"/>
                <w:sz w:val="21"/>
                <w:szCs w:val="21"/>
                <w:lang w:eastAsia="zh-CN"/>
              </w:rPr>
              <w:t>对</w:t>
            </w:r>
            <w:r>
              <w:rPr>
                <w:rFonts w:hint="eastAsia" w:ascii="Times New Roman" w:hAnsi="Times New Roman" w:eastAsia="宋体" w:cs="Times New Roman"/>
                <w:color w:val="000000"/>
                <w:sz w:val="21"/>
                <w:szCs w:val="21"/>
                <w:lang w:eastAsia="zh-CN"/>
              </w:rPr>
              <w:t>无法资源化利用的粪污采取治理措施确保达标排放。畜禽规模养殖项目应配套建设与养殖规模相匹配的雨污分离设施，以及粪污贮存、处理和利用设施等，委托满足相关环保要求的第三方代为利用或者处理的，可不自行建设粪污处理或利用设施</w:t>
            </w:r>
          </w:p>
        </w:tc>
        <w:tc>
          <w:tcPr>
            <w:tcW w:w="2280" w:type="dxa"/>
            <w:tcBorders>
              <w:tl2br w:val="nil"/>
              <w:tr2bl w:val="nil"/>
            </w:tcBorders>
            <w:noWrap w:val="0"/>
            <w:vAlign w:val="center"/>
          </w:tcPr>
          <w:p w14:paraId="3B347777">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bCs/>
                <w:color w:val="000000"/>
                <w:sz w:val="21"/>
                <w:szCs w:val="21"/>
                <w:lang w:eastAsia="zh-CN"/>
              </w:rPr>
              <w:t>本项目</w:t>
            </w:r>
            <w:r>
              <w:rPr>
                <w:rFonts w:hint="eastAsia" w:cs="Times New Roman"/>
                <w:bCs/>
                <w:color w:val="000000"/>
                <w:sz w:val="21"/>
                <w:szCs w:val="21"/>
                <w:lang w:val="en-US" w:eastAsia="zh-CN"/>
              </w:rPr>
              <w:t>粪污</w:t>
            </w:r>
            <w:r>
              <w:rPr>
                <w:rFonts w:hint="eastAsia" w:ascii="Times New Roman" w:hAnsi="Times New Roman" w:eastAsia="宋体" w:cs="Times New Roman"/>
                <w:bCs/>
                <w:color w:val="000000"/>
                <w:sz w:val="21"/>
                <w:szCs w:val="21"/>
                <w:lang w:val="en-US" w:eastAsia="zh-CN"/>
              </w:rPr>
              <w:t>处理后还田于</w:t>
            </w:r>
            <w:r>
              <w:rPr>
                <w:rFonts w:hint="eastAsia" w:cs="Times New Roman"/>
                <w:bCs/>
                <w:color w:val="000000"/>
                <w:sz w:val="21"/>
                <w:szCs w:val="21"/>
                <w:lang w:val="en-US" w:eastAsia="zh-CN"/>
              </w:rPr>
              <w:t>本项目周边农田，粪污均能资源化利用，并配套建设雨污分离设施，以及粪污处理设施等；本项目粪便在非还田期贮存在原位发酵床内，配套堆肥间等粪污处理设施。</w:t>
            </w:r>
          </w:p>
        </w:tc>
        <w:tc>
          <w:tcPr>
            <w:tcW w:w="935" w:type="dxa"/>
            <w:tcBorders>
              <w:tl2br w:val="nil"/>
              <w:tr2bl w:val="nil"/>
            </w:tcBorders>
            <w:noWrap w:val="0"/>
            <w:vAlign w:val="center"/>
          </w:tcPr>
          <w:p w14:paraId="60BEBF18">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522882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2341ED63">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420" w:type="dxa"/>
            <w:tcBorders>
              <w:tl2br w:val="nil"/>
              <w:tr2bl w:val="nil"/>
            </w:tcBorders>
            <w:noWrap w:val="0"/>
            <w:vAlign w:val="center"/>
          </w:tcPr>
          <w:p w14:paraId="1FD21BE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项目环评应明确畜禽粪污贮存、处理和利用措施。贮存池应采取有效的防雨、防渗和防溢流措施，防止畜禽粪污污染地下水。贮存池总有效容积应根据贮存期确定。进行资源化利用的畜禽粪污须处理并达到畜禽粪便还田、无害化处理等技术规范要求。畜禽规模养殖项目配套建设沼气工程的，应充分考虑沼气制备及贮存过程中的环境风险，制定环境风险防范措施及应急预案</w:t>
            </w:r>
          </w:p>
        </w:tc>
        <w:tc>
          <w:tcPr>
            <w:tcW w:w="2280" w:type="dxa"/>
            <w:tcBorders>
              <w:tl2br w:val="nil"/>
              <w:tr2bl w:val="nil"/>
            </w:tcBorders>
            <w:noWrap w:val="0"/>
            <w:vAlign w:val="center"/>
          </w:tcPr>
          <w:p w14:paraId="61AC3B48">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eastAsia="zh-CN"/>
              </w:rPr>
              <w:t>本项目建设粪便</w:t>
            </w:r>
            <w:r>
              <w:rPr>
                <w:rFonts w:hint="eastAsia" w:cs="Times New Roman"/>
                <w:color w:val="000000"/>
                <w:sz w:val="21"/>
                <w:szCs w:val="21"/>
                <w:lang w:val="en-US" w:eastAsia="zh-CN"/>
              </w:rPr>
              <w:t>贮存、处理设施均设置防雨、防渗、防溢流措施；</w:t>
            </w:r>
            <w:r>
              <w:rPr>
                <w:rFonts w:hint="eastAsia" w:cs="Times New Roman"/>
                <w:bCs/>
                <w:color w:val="000000"/>
                <w:sz w:val="21"/>
                <w:szCs w:val="21"/>
                <w:lang w:val="en-US" w:eastAsia="zh-CN"/>
              </w:rPr>
              <w:t>本项目粪便在非还田期贮存在原位发酵床内，不单独建设贮存池，原位发酵床能够完全容纳非还田期产生的粪污。本项目不涉及沼气工程，</w:t>
            </w:r>
            <w:r>
              <w:rPr>
                <w:rFonts w:hint="eastAsia" w:cs="Times New Roman"/>
                <w:color w:val="000000"/>
                <w:sz w:val="21"/>
                <w:szCs w:val="21"/>
                <w:lang w:val="en-US" w:eastAsia="zh-CN"/>
              </w:rPr>
              <w:t>制定环境风险防范措施并及时编制突发环境事件应急预案，报第七师胡杨河市生态环境局备案</w:t>
            </w:r>
          </w:p>
        </w:tc>
        <w:tc>
          <w:tcPr>
            <w:tcW w:w="935" w:type="dxa"/>
            <w:tcBorders>
              <w:tl2br w:val="nil"/>
              <w:tr2bl w:val="nil"/>
            </w:tcBorders>
            <w:noWrap w:val="0"/>
            <w:vAlign w:val="center"/>
          </w:tcPr>
          <w:p w14:paraId="18A308B2">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258A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7B42D824">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420" w:type="dxa"/>
            <w:tcBorders>
              <w:tl2br w:val="nil"/>
              <w:tr2bl w:val="nil"/>
            </w:tcBorders>
            <w:noWrap w:val="0"/>
            <w:vAlign w:val="center"/>
          </w:tcPr>
          <w:p w14:paraId="08401A3A">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粪污作为肥料还田利用的，应明确畜禽养殖场与还田利用的林地、农田之间的输送系统及环境管理措施，严格控制肥水输送沿途的弃、撒和跑冒滴漏，防止进入外部水体。对无法采取资源化利用的畜禽养殖废水应明确处理措施及工艺，确保达标排放或消毒回用，排放去向应符合国家和地方的有关规定，不得排入敏感水域和有特殊功能的水域</w:t>
            </w:r>
          </w:p>
        </w:tc>
        <w:tc>
          <w:tcPr>
            <w:tcW w:w="2280" w:type="dxa"/>
            <w:tcBorders>
              <w:tl2br w:val="nil"/>
              <w:tr2bl w:val="nil"/>
            </w:tcBorders>
            <w:noWrap w:val="0"/>
            <w:vAlign w:val="center"/>
          </w:tcPr>
          <w:p w14:paraId="568966A3">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本项目</w:t>
            </w:r>
            <w:r>
              <w:rPr>
                <w:rFonts w:hint="eastAsia" w:cs="Times New Roman"/>
                <w:color w:val="000000"/>
                <w:sz w:val="21"/>
                <w:szCs w:val="21"/>
                <w:lang w:val="en-US" w:eastAsia="zh-CN"/>
              </w:rPr>
              <w:t>粪污经原位发酵床发酵</w:t>
            </w:r>
            <w:r>
              <w:rPr>
                <w:rFonts w:hint="eastAsia" w:ascii="Times New Roman" w:hAnsi="Times New Roman" w:eastAsia="宋体" w:cs="Times New Roman"/>
                <w:color w:val="000000"/>
                <w:sz w:val="21"/>
                <w:szCs w:val="21"/>
                <w:lang w:val="en-US" w:eastAsia="zh-CN"/>
              </w:rPr>
              <w:t>处理后，无害化处置</w:t>
            </w:r>
            <w:r>
              <w:rPr>
                <w:rFonts w:hint="eastAsia" w:cs="Times New Roman"/>
                <w:color w:val="000000"/>
                <w:sz w:val="21"/>
                <w:szCs w:val="21"/>
                <w:lang w:val="en-US" w:eastAsia="zh-CN"/>
              </w:rPr>
              <w:t>后还田</w:t>
            </w:r>
            <w:r>
              <w:rPr>
                <w:rFonts w:hint="eastAsia" w:ascii="Times New Roman" w:hAnsi="Times New Roman" w:eastAsia="宋体" w:cs="Times New Roman"/>
                <w:color w:val="000000"/>
                <w:sz w:val="21"/>
                <w:szCs w:val="21"/>
                <w:lang w:val="en-US" w:eastAsia="zh-CN"/>
              </w:rPr>
              <w:t>。本项目</w:t>
            </w:r>
            <w:r>
              <w:rPr>
                <w:rFonts w:hint="eastAsia" w:cs="Times New Roman"/>
                <w:color w:val="000000"/>
                <w:sz w:val="21"/>
                <w:szCs w:val="21"/>
                <w:lang w:val="en-US" w:eastAsia="zh-CN"/>
              </w:rPr>
              <w:t>粪污</w:t>
            </w:r>
            <w:r>
              <w:rPr>
                <w:rFonts w:hint="eastAsia" w:ascii="Times New Roman" w:hAnsi="Times New Roman" w:eastAsia="宋体" w:cs="Times New Roman"/>
                <w:color w:val="000000"/>
                <w:sz w:val="21"/>
                <w:szCs w:val="21"/>
                <w:lang w:val="en-US" w:eastAsia="zh-CN"/>
              </w:rPr>
              <w:t>全部资源化利用</w:t>
            </w:r>
            <w:r>
              <w:rPr>
                <w:rFonts w:hint="eastAsia" w:cs="Times New Roman"/>
                <w:color w:val="000000"/>
                <w:sz w:val="21"/>
                <w:szCs w:val="21"/>
                <w:lang w:val="en-US" w:eastAsia="zh-CN"/>
              </w:rPr>
              <w:t>；本项目厂界距离场直二支渠150m，但粪污处理设施堆肥场、堆肥间等设施距离场直二支渠850m，经过无害化处理后的牛粪及非发酵垫料还田，均为固态肥还田，无肥水还田。</w:t>
            </w:r>
          </w:p>
        </w:tc>
        <w:tc>
          <w:tcPr>
            <w:tcW w:w="935" w:type="dxa"/>
            <w:tcBorders>
              <w:tl2br w:val="nil"/>
              <w:tr2bl w:val="nil"/>
            </w:tcBorders>
            <w:noWrap w:val="0"/>
            <w:vAlign w:val="center"/>
          </w:tcPr>
          <w:p w14:paraId="75A501AF">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满足要求</w:t>
            </w:r>
          </w:p>
        </w:tc>
      </w:tr>
      <w:tr w14:paraId="47353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466E86DB">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420" w:type="dxa"/>
            <w:tcBorders>
              <w:tl2br w:val="nil"/>
              <w:tr2bl w:val="nil"/>
            </w:tcBorders>
            <w:noWrap w:val="0"/>
            <w:vAlign w:val="center"/>
          </w:tcPr>
          <w:p w14:paraId="3971B531">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依据相关法律法规和技术规范，制定明确的病死畜禽处理、处置方案，及时处理病死畜禽。针对畜禽规模养殖项目的恶臭影响，可采取控制饲养密度、改善舍内通风、及时清粪、采用除臭剂、集中收集处理等措施，确保项目恶臭污染物达标排放</w:t>
            </w:r>
          </w:p>
        </w:tc>
        <w:tc>
          <w:tcPr>
            <w:tcW w:w="2280" w:type="dxa"/>
            <w:tcBorders>
              <w:tl2br w:val="nil"/>
              <w:tr2bl w:val="nil"/>
            </w:tcBorders>
            <w:noWrap w:val="0"/>
            <w:vAlign w:val="center"/>
          </w:tcPr>
          <w:p w14:paraId="53028466">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eastAsia="zh-CN"/>
              </w:rPr>
              <w:t>本项目病死</w:t>
            </w:r>
            <w:r>
              <w:rPr>
                <w:rFonts w:hint="eastAsia" w:cs="Times New Roman"/>
                <w:color w:val="000000"/>
                <w:sz w:val="21"/>
                <w:szCs w:val="21"/>
                <w:lang w:val="en-US" w:eastAsia="zh-CN"/>
              </w:rPr>
              <w:t>牛委托病死畜禽无害化处置单位进行无害化处置</w:t>
            </w:r>
            <w:r>
              <w:rPr>
                <w:rFonts w:hint="eastAsia" w:cs="Times New Roman"/>
                <w:color w:val="000000"/>
                <w:sz w:val="21"/>
                <w:szCs w:val="21"/>
                <w:lang w:eastAsia="zh-CN"/>
              </w:rPr>
              <w:t>；</w:t>
            </w:r>
            <w:r>
              <w:rPr>
                <w:rFonts w:hint="eastAsia" w:cs="Times New Roman"/>
                <w:color w:val="000000"/>
                <w:sz w:val="21"/>
                <w:szCs w:val="21"/>
                <w:lang w:val="en-US" w:eastAsia="zh-CN"/>
              </w:rPr>
              <w:t>养殖恶臭通过牛圈</w:t>
            </w:r>
            <w:r>
              <w:rPr>
                <w:rFonts w:hint="eastAsia" w:ascii="Times New Roman" w:hAnsi="Times New Roman" w:eastAsia="宋体" w:cs="Times New Roman"/>
                <w:color w:val="000000"/>
                <w:sz w:val="21"/>
                <w:szCs w:val="21"/>
                <w:lang w:eastAsia="zh-CN"/>
              </w:rPr>
              <w:t>内加强通风，采用除臭剂、</w:t>
            </w:r>
            <w:r>
              <w:rPr>
                <w:rFonts w:hint="eastAsia" w:ascii="Times New Roman" w:hAnsi="Times New Roman" w:eastAsia="宋体" w:cs="Times New Roman"/>
                <w:color w:val="000000"/>
                <w:sz w:val="21"/>
                <w:szCs w:val="21"/>
                <w:lang w:val="en-US" w:eastAsia="zh-CN"/>
              </w:rPr>
              <w:t>增强厂区绿化</w:t>
            </w:r>
            <w:r>
              <w:rPr>
                <w:rFonts w:hint="eastAsia" w:ascii="Times New Roman" w:hAnsi="Times New Roman" w:eastAsia="宋体" w:cs="Times New Roman"/>
                <w:color w:val="000000"/>
                <w:sz w:val="21"/>
                <w:szCs w:val="21"/>
                <w:lang w:eastAsia="zh-CN"/>
              </w:rPr>
              <w:t>等措施</w:t>
            </w:r>
            <w:r>
              <w:rPr>
                <w:rFonts w:hint="eastAsia" w:cs="Times New Roman"/>
                <w:color w:val="000000"/>
                <w:sz w:val="21"/>
                <w:szCs w:val="21"/>
                <w:lang w:val="en-US" w:eastAsia="zh-CN"/>
              </w:rPr>
              <w:t>控制</w:t>
            </w:r>
          </w:p>
        </w:tc>
        <w:tc>
          <w:tcPr>
            <w:tcW w:w="935" w:type="dxa"/>
            <w:tcBorders>
              <w:tl2br w:val="nil"/>
              <w:tr2bl w:val="nil"/>
            </w:tcBorders>
            <w:noWrap w:val="0"/>
            <w:vAlign w:val="center"/>
          </w:tcPr>
          <w:p w14:paraId="6663D0E6">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431AC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tcBorders>
              <w:tl2br w:val="nil"/>
              <w:tr2bl w:val="nil"/>
            </w:tcBorders>
            <w:noWrap w:val="0"/>
            <w:vAlign w:val="center"/>
          </w:tcPr>
          <w:p w14:paraId="2E8E40D7">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落实环评信息公开要求，发挥公众参与的监督作用</w:t>
            </w:r>
          </w:p>
        </w:tc>
        <w:tc>
          <w:tcPr>
            <w:tcW w:w="4420" w:type="dxa"/>
            <w:tcBorders>
              <w:tl2br w:val="nil"/>
              <w:tr2bl w:val="nil"/>
            </w:tcBorders>
            <w:noWrap w:val="0"/>
            <w:vAlign w:val="center"/>
          </w:tcPr>
          <w:p w14:paraId="272CAB55">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建设单位在项目环评报告书报送审批前，应采取适当形式，遵循依法、有序、公开、便利的原则，公开征求意见并对真实性和结果负责</w:t>
            </w:r>
          </w:p>
        </w:tc>
        <w:tc>
          <w:tcPr>
            <w:tcW w:w="2280" w:type="dxa"/>
            <w:tcBorders>
              <w:tl2br w:val="nil"/>
              <w:tr2bl w:val="nil"/>
            </w:tcBorders>
            <w:noWrap w:val="0"/>
            <w:vAlign w:val="center"/>
          </w:tcPr>
          <w:p w14:paraId="4D476E4D">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sz w:val="21"/>
                <w:szCs w:val="21"/>
                <w:highlight w:val="none"/>
                <w:lang w:eastAsia="zh-CN"/>
              </w:rPr>
              <w:t>建设单位在本项目环评报告书报送审批前进行了三次公示</w:t>
            </w:r>
            <w:r>
              <w:rPr>
                <w:rFonts w:hint="eastAsia" w:cs="Times New Roman"/>
                <w:color w:val="000000"/>
                <w:sz w:val="21"/>
                <w:szCs w:val="21"/>
                <w:highlight w:val="none"/>
                <w:lang w:eastAsia="zh-CN"/>
              </w:rPr>
              <w:t>，</w:t>
            </w:r>
            <w:r>
              <w:rPr>
                <w:rFonts w:hint="eastAsia" w:cs="Times New Roman"/>
                <w:color w:val="000000"/>
                <w:sz w:val="21"/>
                <w:szCs w:val="21"/>
                <w:highlight w:val="none"/>
                <w:lang w:val="en-US" w:eastAsia="zh-CN"/>
              </w:rPr>
              <w:t>公示期间未收到反馈意见</w:t>
            </w:r>
          </w:p>
        </w:tc>
        <w:tc>
          <w:tcPr>
            <w:tcW w:w="935" w:type="dxa"/>
            <w:tcBorders>
              <w:tl2br w:val="nil"/>
              <w:tr2bl w:val="nil"/>
            </w:tcBorders>
            <w:noWrap w:val="0"/>
            <w:vAlign w:val="center"/>
          </w:tcPr>
          <w:p w14:paraId="337B3AC2">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bl>
    <w:p w14:paraId="5940C406">
      <w:pPr>
        <w:widowControl w:val="0"/>
        <w:numPr>
          <w:ilvl w:val="0"/>
          <w:numId w:val="0"/>
        </w:numPr>
        <w:spacing w:after="120"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因此，本项目符合</w:t>
      </w:r>
      <w:r>
        <w:rPr>
          <w:rFonts w:hint="default"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de-DE" w:eastAsia="zh-CN" w:bidi="ar-SA"/>
        </w:rPr>
        <w:t>关于做好畜禽规模养殖项目环境影响评价管理工作的通知</w:t>
      </w:r>
      <w:r>
        <w:rPr>
          <w:rFonts w:hint="default"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de-DE" w:eastAsia="zh-CN" w:bidi="ar-SA"/>
        </w:rPr>
        <w:t>（环办环评</w:t>
      </w:r>
      <w:r>
        <w:rPr>
          <w:rFonts w:hint="eastAsia" w:cs="Times New Roman"/>
          <w:kern w:val="2"/>
          <w:sz w:val="24"/>
          <w:szCs w:val="24"/>
          <w:lang w:val="de-DE" w:eastAsia="zh-CN" w:bidi="ar-SA"/>
        </w:rPr>
        <w:t>〔2018〕31号</w:t>
      </w:r>
      <w:r>
        <w:rPr>
          <w:rFonts w:hint="eastAsia" w:ascii="Times New Roman" w:hAnsi="Times New Roman" w:eastAsia="宋体" w:cs="Times New Roman"/>
          <w:kern w:val="2"/>
          <w:sz w:val="24"/>
          <w:szCs w:val="24"/>
          <w:lang w:val="de-DE" w:eastAsia="zh-CN" w:bidi="ar-SA"/>
        </w:rPr>
        <w:t>）</w:t>
      </w:r>
      <w:r>
        <w:rPr>
          <w:rFonts w:hint="eastAsia" w:ascii="Times New Roman" w:hAnsi="Times New Roman" w:eastAsia="宋体" w:cs="Times New Roman"/>
          <w:kern w:val="2"/>
          <w:sz w:val="24"/>
          <w:szCs w:val="24"/>
          <w:lang w:val="en-US" w:eastAsia="zh-CN" w:bidi="ar-SA"/>
        </w:rPr>
        <w:t>相关要求。</w:t>
      </w:r>
    </w:p>
    <w:p w14:paraId="61CFDE77">
      <w:pPr>
        <w:widowControl w:val="0"/>
        <w:numPr>
          <w:ilvl w:val="0"/>
          <w:numId w:val="6"/>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与《畜禽养殖业污染防治技术规范》（HJ/T81-2001）符合性分析</w:t>
      </w:r>
    </w:p>
    <w:p w14:paraId="72E8F2BB">
      <w:pPr>
        <w:widowControl w:val="0"/>
        <w:numPr>
          <w:ilvl w:val="0"/>
          <w:numId w:val="0"/>
        </w:numPr>
        <w:spacing w:after="120" w:line="360" w:lineRule="auto"/>
        <w:ind w:firstLine="480" w:firstLineChars="200"/>
        <w:jc w:val="both"/>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4"/>
          <w:szCs w:val="24"/>
          <w:lang w:val="zh-CN" w:eastAsia="zh-CN" w:bidi="ar-SA"/>
        </w:rPr>
        <w:t>本项目与《畜禽养殖业污染防治技术规范》（HJ/T81-2001）的</w:t>
      </w:r>
      <w:r>
        <w:rPr>
          <w:rFonts w:hint="eastAsia" w:ascii="Times New Roman" w:hAnsi="Times New Roman" w:eastAsia="宋体" w:cs="Times New Roman"/>
          <w:kern w:val="2"/>
          <w:sz w:val="24"/>
          <w:szCs w:val="24"/>
          <w:lang w:val="en-US" w:eastAsia="zh-CN" w:bidi="ar-SA"/>
        </w:rPr>
        <w:t>符合性分析详见表1.4-2。</w:t>
      </w:r>
    </w:p>
    <w:p w14:paraId="0655018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color w:val="000000"/>
          <w:sz w:val="24"/>
          <w:szCs w:val="24"/>
          <w:lang w:bidi="ar"/>
        </w:rPr>
      </w:pPr>
      <w:r>
        <w:rPr>
          <w:rFonts w:hint="default" w:ascii="Times New Roman" w:hAnsi="Times New Roman" w:eastAsia="宋体" w:cs="Times New Roman"/>
          <w:b/>
          <w:color w:val="000000"/>
          <w:sz w:val="24"/>
          <w:szCs w:val="24"/>
          <w:lang w:bidi="ar"/>
        </w:rPr>
        <w:t>表</w:t>
      </w:r>
      <w:r>
        <w:rPr>
          <w:rFonts w:hint="eastAsia" w:ascii="Times New Roman" w:hAnsi="Times New Roman" w:eastAsia="宋体" w:cs="Times New Roman"/>
          <w:b/>
          <w:color w:val="000000"/>
          <w:sz w:val="24"/>
          <w:szCs w:val="24"/>
          <w:lang w:val="en-US" w:eastAsia="zh-CN" w:bidi="ar"/>
        </w:rPr>
        <w:t>1.4-2</w:t>
      </w:r>
      <w:r>
        <w:rPr>
          <w:rFonts w:hint="eastAsia" w:ascii="Times New Roman" w:hAnsi="Times New Roman" w:eastAsia="宋体" w:cs="Times New Roman"/>
          <w:b/>
          <w:color w:val="000000"/>
          <w:sz w:val="24"/>
          <w:szCs w:val="24"/>
          <w:lang w:eastAsia="zh-CN" w:bidi="ar"/>
        </w:rPr>
        <w:t>本项目</w:t>
      </w:r>
      <w:r>
        <w:rPr>
          <w:rFonts w:hint="default" w:ascii="Times New Roman" w:hAnsi="Times New Roman" w:eastAsia="宋体" w:cs="Times New Roman"/>
          <w:b/>
          <w:color w:val="000000"/>
          <w:sz w:val="24"/>
          <w:szCs w:val="24"/>
          <w:lang w:val="zh-CN" w:bidi="ar"/>
        </w:rPr>
        <w:t>与</w:t>
      </w:r>
      <w:r>
        <w:rPr>
          <w:rFonts w:hint="default" w:ascii="Times New Roman" w:hAnsi="Times New Roman" w:eastAsia="宋体" w:cs="Times New Roman"/>
          <w:b/>
          <w:color w:val="000000"/>
          <w:sz w:val="24"/>
          <w:szCs w:val="24"/>
          <w:lang w:val="zh-CN" w:eastAsia="zh-CN" w:bidi="ar"/>
        </w:rPr>
        <w:t>《畜禽养殖业污染防治技术规范》（HJ/T81-2001）</w:t>
      </w:r>
      <w:r>
        <w:rPr>
          <w:rFonts w:hint="default" w:ascii="Times New Roman" w:hAnsi="Times New Roman" w:eastAsia="宋体" w:cs="Times New Roman"/>
          <w:b/>
          <w:color w:val="000000"/>
          <w:sz w:val="24"/>
          <w:szCs w:val="24"/>
          <w:lang w:val="zh-CN" w:bidi="ar"/>
        </w:rPr>
        <w:t>的</w:t>
      </w:r>
      <w:r>
        <w:rPr>
          <w:rFonts w:hint="eastAsia" w:cs="Times New Roman"/>
          <w:b/>
          <w:color w:val="000000"/>
          <w:sz w:val="24"/>
          <w:szCs w:val="24"/>
          <w:lang w:val="en-US" w:eastAsia="zh-CN" w:bidi="ar"/>
        </w:rPr>
        <w:t>符合性</w:t>
      </w:r>
      <w:r>
        <w:rPr>
          <w:rFonts w:hint="default" w:ascii="Times New Roman" w:hAnsi="Times New Roman" w:eastAsia="宋体" w:cs="Times New Roman"/>
          <w:b/>
          <w:color w:val="000000"/>
          <w:sz w:val="24"/>
          <w:szCs w:val="24"/>
          <w:lang w:bidi="ar"/>
        </w:rPr>
        <w:t>分析</w:t>
      </w:r>
    </w:p>
    <w:tbl>
      <w:tblPr>
        <w:tblStyle w:val="20"/>
        <w:tblW w:w="85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95"/>
        <w:gridCol w:w="768"/>
        <w:gridCol w:w="3398"/>
        <w:gridCol w:w="2534"/>
        <w:gridCol w:w="935"/>
      </w:tblGrid>
      <w:tr w14:paraId="1E068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tcBorders>
              <w:tl2br w:val="nil"/>
              <w:tr2bl w:val="nil"/>
            </w:tcBorders>
            <w:noWrap w:val="0"/>
            <w:vAlign w:val="center"/>
          </w:tcPr>
          <w:p w14:paraId="083139D9">
            <w:pPr>
              <w:adjustRightInd w:val="0"/>
              <w:snapToGrid w:val="0"/>
              <w:spacing w:after="0" w:line="240" w:lineRule="auto"/>
              <w:ind w:left="0" w:right="0" w:firstLine="0"/>
              <w:jc w:val="center"/>
              <w:rPr>
                <w:rFonts w:hint="eastAsia" w:ascii="Times New Roman" w:hAnsi="Times New Roman" w:eastAsia="宋体" w:cs="Times New Roman"/>
                <w:b/>
                <w:bCs/>
                <w:color w:val="000000"/>
                <w:sz w:val="21"/>
                <w:szCs w:val="21"/>
                <w:lang w:val="en-US" w:eastAsia="zh-CN"/>
              </w:rPr>
            </w:pPr>
            <w:r>
              <w:rPr>
                <w:rFonts w:hint="eastAsia" w:cs="Times New Roman"/>
                <w:b/>
                <w:bCs/>
                <w:color w:val="000000"/>
                <w:sz w:val="21"/>
                <w:szCs w:val="21"/>
                <w:lang w:val="en-US" w:eastAsia="zh-CN"/>
              </w:rPr>
              <w:t>类别</w:t>
            </w:r>
          </w:p>
        </w:tc>
        <w:tc>
          <w:tcPr>
            <w:tcW w:w="4166" w:type="dxa"/>
            <w:gridSpan w:val="2"/>
            <w:tcBorders>
              <w:tl2br w:val="nil"/>
              <w:tr2bl w:val="nil"/>
            </w:tcBorders>
            <w:noWrap w:val="0"/>
            <w:vAlign w:val="center"/>
          </w:tcPr>
          <w:p w14:paraId="47CC930B">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具体规定与要求</w:t>
            </w:r>
          </w:p>
        </w:tc>
        <w:tc>
          <w:tcPr>
            <w:tcW w:w="2534" w:type="dxa"/>
            <w:tcBorders>
              <w:tl2br w:val="nil"/>
              <w:tr2bl w:val="nil"/>
            </w:tcBorders>
            <w:noWrap w:val="0"/>
            <w:vAlign w:val="center"/>
          </w:tcPr>
          <w:p w14:paraId="5D5B2051">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本项目实际情况</w:t>
            </w:r>
          </w:p>
        </w:tc>
        <w:tc>
          <w:tcPr>
            <w:tcW w:w="935" w:type="dxa"/>
            <w:tcBorders>
              <w:tl2br w:val="nil"/>
              <w:tr2bl w:val="nil"/>
            </w:tcBorders>
            <w:noWrap w:val="0"/>
            <w:vAlign w:val="center"/>
          </w:tcPr>
          <w:p w14:paraId="7175B4CB">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符合性分析</w:t>
            </w:r>
          </w:p>
        </w:tc>
      </w:tr>
      <w:tr w14:paraId="0718E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3EF47715">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技术原则</w:t>
            </w:r>
          </w:p>
          <w:p w14:paraId="4BCD6983">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7303ECB8">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畜禽养殖场的建设应坚持农牧结合、种养平衡的原则，根据本场区土地</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包括与其他法人签约承诺消纳本场区产生粪便污水的土地</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对畜禽粪便的消纳能力，确定新建畜禽养殖场的养殖规模。</w:t>
            </w:r>
          </w:p>
        </w:tc>
        <w:tc>
          <w:tcPr>
            <w:tcW w:w="2534" w:type="dxa"/>
            <w:tcBorders>
              <w:tl2br w:val="nil"/>
              <w:tr2bl w:val="nil"/>
            </w:tcBorders>
            <w:noWrap w:val="0"/>
            <w:vAlign w:val="center"/>
          </w:tcPr>
          <w:p w14:paraId="6F3D990C">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eastAsia="zh-CN"/>
              </w:rPr>
              <w:t>本项目</w:t>
            </w:r>
            <w:r>
              <w:rPr>
                <w:rFonts w:hint="eastAsia" w:cs="Times New Roman"/>
                <w:color w:val="000000"/>
                <w:sz w:val="21"/>
                <w:szCs w:val="21"/>
                <w:lang w:val="en-US" w:eastAsia="zh-CN"/>
              </w:rPr>
              <w:t>坚持种养平衡的原则，畜禽粪便用于周边农田还田，目前已签订消纳协议，协议见附件，消纳土地能够完全容纳本项目的粪污，因此消纳土地能够配套本项目的养殖规模</w:t>
            </w:r>
          </w:p>
        </w:tc>
        <w:tc>
          <w:tcPr>
            <w:tcW w:w="935" w:type="dxa"/>
            <w:tcBorders>
              <w:tl2br w:val="nil"/>
              <w:tr2bl w:val="nil"/>
            </w:tcBorders>
            <w:noWrap w:val="0"/>
            <w:vAlign w:val="center"/>
          </w:tcPr>
          <w:p w14:paraId="3FFEFF27">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7D4BA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3DC796FB">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166" w:type="dxa"/>
            <w:gridSpan w:val="2"/>
            <w:tcBorders>
              <w:tl2br w:val="nil"/>
              <w:tr2bl w:val="nil"/>
            </w:tcBorders>
            <w:noWrap w:val="0"/>
            <w:vAlign w:val="center"/>
          </w:tcPr>
          <w:p w14:paraId="65DE99AF">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对于无相应消纳土地的养殖场，必须配套建立具有相应加工</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处理</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能力的粪便污水处理设施或处理</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置</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lang w:eastAsia="zh-CN"/>
              </w:rPr>
              <w:t>机制。</w:t>
            </w:r>
          </w:p>
        </w:tc>
        <w:tc>
          <w:tcPr>
            <w:tcW w:w="2534" w:type="dxa"/>
            <w:tcBorders>
              <w:tl2br w:val="nil"/>
              <w:tr2bl w:val="nil"/>
            </w:tcBorders>
            <w:noWrap w:val="0"/>
            <w:vAlign w:val="center"/>
          </w:tcPr>
          <w:p w14:paraId="0E03E95B">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eastAsia="zh-CN"/>
              </w:rPr>
              <w:t>本项目</w:t>
            </w:r>
            <w:r>
              <w:rPr>
                <w:rFonts w:hint="eastAsia" w:cs="Times New Roman"/>
                <w:color w:val="000000"/>
                <w:sz w:val="21"/>
                <w:szCs w:val="21"/>
                <w:lang w:val="en-US" w:eastAsia="zh-CN"/>
              </w:rPr>
              <w:t>配套相应的消纳土地，同时配套粪污处理设施，采用原位发酵床模式进行粪污无害化处置</w:t>
            </w:r>
          </w:p>
        </w:tc>
        <w:tc>
          <w:tcPr>
            <w:tcW w:w="935" w:type="dxa"/>
            <w:tcBorders>
              <w:tl2br w:val="nil"/>
              <w:tr2bl w:val="nil"/>
            </w:tcBorders>
            <w:noWrap w:val="0"/>
            <w:vAlign w:val="center"/>
          </w:tcPr>
          <w:p w14:paraId="362EA3D9">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7ACEF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068BB682">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166" w:type="dxa"/>
            <w:gridSpan w:val="2"/>
            <w:tcBorders>
              <w:tl2br w:val="nil"/>
              <w:tr2bl w:val="nil"/>
            </w:tcBorders>
            <w:noWrap w:val="0"/>
            <w:vAlign w:val="center"/>
          </w:tcPr>
          <w:p w14:paraId="03954855">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畜禽养殖场的设置应符合区域污染物排放总量控制要求</w:t>
            </w:r>
          </w:p>
        </w:tc>
        <w:tc>
          <w:tcPr>
            <w:tcW w:w="2534" w:type="dxa"/>
            <w:tcBorders>
              <w:tl2br w:val="nil"/>
              <w:tr2bl w:val="nil"/>
            </w:tcBorders>
            <w:noWrap w:val="0"/>
            <w:vAlign w:val="center"/>
          </w:tcPr>
          <w:p w14:paraId="4B694B6F">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本项目不涉及污染物总量申请</w:t>
            </w:r>
          </w:p>
        </w:tc>
        <w:tc>
          <w:tcPr>
            <w:tcW w:w="935" w:type="dxa"/>
            <w:tcBorders>
              <w:tl2br w:val="nil"/>
              <w:tr2bl w:val="nil"/>
            </w:tcBorders>
            <w:noWrap w:val="0"/>
            <w:vAlign w:val="center"/>
          </w:tcPr>
          <w:p w14:paraId="6EEF61CF">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满足要求</w:t>
            </w:r>
          </w:p>
        </w:tc>
      </w:tr>
      <w:tr w14:paraId="784BA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39F4B966">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选址要求</w:t>
            </w:r>
          </w:p>
        </w:tc>
        <w:tc>
          <w:tcPr>
            <w:tcW w:w="768" w:type="dxa"/>
            <w:vMerge w:val="restart"/>
            <w:tcBorders>
              <w:tl2br w:val="nil"/>
              <w:tr2bl w:val="nil"/>
            </w:tcBorders>
            <w:noWrap w:val="0"/>
            <w:vAlign w:val="center"/>
          </w:tcPr>
          <w:p w14:paraId="47946401">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禁止在下列区域内建设畜禽养殖场</w:t>
            </w:r>
          </w:p>
        </w:tc>
        <w:tc>
          <w:tcPr>
            <w:tcW w:w="3398" w:type="dxa"/>
            <w:tcBorders>
              <w:tl2br w:val="nil"/>
              <w:tr2bl w:val="nil"/>
            </w:tcBorders>
            <w:noWrap w:val="0"/>
            <w:vAlign w:val="center"/>
          </w:tcPr>
          <w:p w14:paraId="7E657FA2">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生活饮用水水源保护区、风景名胜区、自然保护区的核心区及缓冲区</w:t>
            </w:r>
          </w:p>
        </w:tc>
        <w:tc>
          <w:tcPr>
            <w:tcW w:w="2534" w:type="dxa"/>
            <w:vMerge w:val="restart"/>
            <w:tcBorders>
              <w:tl2br w:val="nil"/>
              <w:tr2bl w:val="nil"/>
            </w:tcBorders>
            <w:noWrap w:val="0"/>
            <w:vAlign w:val="center"/>
          </w:tcPr>
          <w:p w14:paraId="3D48D572">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本项目周边不涉及生活饮用水水源保护区、风景名胜区、自然保护区的核心区及缓冲区；距离最近的居民区125团14连520m，本项目周边5km无</w:t>
            </w:r>
            <w:r>
              <w:rPr>
                <w:rFonts w:hint="eastAsia" w:ascii="Times New Roman" w:hAnsi="Times New Roman" w:eastAsia="宋体" w:cs="Times New Roman"/>
                <w:color w:val="000000"/>
                <w:sz w:val="21"/>
                <w:szCs w:val="21"/>
                <w:lang w:eastAsia="zh-CN"/>
              </w:rPr>
              <w:t>文教科研区、医疗区、商业区、工业区、游览区等人口集中地区</w:t>
            </w:r>
          </w:p>
        </w:tc>
        <w:tc>
          <w:tcPr>
            <w:tcW w:w="935" w:type="dxa"/>
            <w:vMerge w:val="restart"/>
            <w:tcBorders>
              <w:tl2br w:val="nil"/>
              <w:tr2bl w:val="nil"/>
            </w:tcBorders>
            <w:noWrap w:val="0"/>
            <w:vAlign w:val="center"/>
          </w:tcPr>
          <w:p w14:paraId="34BD7FFB">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42C76D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95" w:type="dxa"/>
            <w:vMerge w:val="continue"/>
            <w:tcBorders>
              <w:tl2br w:val="nil"/>
              <w:tr2bl w:val="nil"/>
            </w:tcBorders>
            <w:noWrap w:val="0"/>
            <w:vAlign w:val="center"/>
          </w:tcPr>
          <w:p w14:paraId="4D34898C">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768" w:type="dxa"/>
            <w:vMerge w:val="continue"/>
            <w:tcBorders>
              <w:tl2br w:val="nil"/>
              <w:tr2bl w:val="nil"/>
            </w:tcBorders>
            <w:noWrap w:val="0"/>
            <w:vAlign w:val="center"/>
          </w:tcPr>
          <w:p w14:paraId="2654226A">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3398" w:type="dxa"/>
            <w:tcBorders>
              <w:tl2br w:val="nil"/>
              <w:tr2bl w:val="nil"/>
            </w:tcBorders>
            <w:noWrap w:val="0"/>
            <w:vAlign w:val="center"/>
          </w:tcPr>
          <w:p w14:paraId="299CB65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城市和城镇居民区，包括文教科研区、医疗区、商业区、工业区、游览区等人口集中地区</w:t>
            </w:r>
          </w:p>
        </w:tc>
        <w:tc>
          <w:tcPr>
            <w:tcW w:w="2534" w:type="dxa"/>
            <w:vMerge w:val="continue"/>
            <w:tcBorders>
              <w:tl2br w:val="nil"/>
              <w:tr2bl w:val="nil"/>
            </w:tcBorders>
            <w:noWrap w:val="0"/>
            <w:vAlign w:val="center"/>
          </w:tcPr>
          <w:p w14:paraId="2F5CC323">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highlight w:val="none"/>
                <w:lang w:eastAsia="zh-CN"/>
              </w:rPr>
            </w:pPr>
          </w:p>
        </w:tc>
        <w:tc>
          <w:tcPr>
            <w:tcW w:w="935" w:type="dxa"/>
            <w:vMerge w:val="continue"/>
            <w:tcBorders>
              <w:tl2br w:val="nil"/>
              <w:tr2bl w:val="nil"/>
            </w:tcBorders>
            <w:noWrap w:val="0"/>
            <w:vAlign w:val="center"/>
          </w:tcPr>
          <w:p w14:paraId="449EDE98">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r>
      <w:tr w14:paraId="40F14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49F24703">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768" w:type="dxa"/>
            <w:vMerge w:val="continue"/>
            <w:tcBorders>
              <w:tl2br w:val="nil"/>
              <w:tr2bl w:val="nil"/>
            </w:tcBorders>
            <w:noWrap w:val="0"/>
            <w:vAlign w:val="center"/>
          </w:tcPr>
          <w:p w14:paraId="15763DE3">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3398" w:type="dxa"/>
            <w:tcBorders>
              <w:tl2br w:val="nil"/>
              <w:tr2bl w:val="nil"/>
            </w:tcBorders>
            <w:noWrap w:val="0"/>
            <w:vAlign w:val="center"/>
          </w:tcPr>
          <w:p w14:paraId="3E6C24AB">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县级人民政府依法划定的禁养区域</w:t>
            </w:r>
          </w:p>
        </w:tc>
        <w:tc>
          <w:tcPr>
            <w:tcW w:w="2534" w:type="dxa"/>
            <w:vMerge w:val="continue"/>
            <w:tcBorders>
              <w:tl2br w:val="nil"/>
              <w:tr2bl w:val="nil"/>
            </w:tcBorders>
            <w:noWrap w:val="0"/>
            <w:vAlign w:val="center"/>
          </w:tcPr>
          <w:p w14:paraId="59CC4A9A">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rPr>
            </w:pPr>
          </w:p>
        </w:tc>
        <w:tc>
          <w:tcPr>
            <w:tcW w:w="935" w:type="dxa"/>
            <w:vMerge w:val="continue"/>
            <w:tcBorders>
              <w:tl2br w:val="nil"/>
              <w:tr2bl w:val="nil"/>
            </w:tcBorders>
            <w:noWrap w:val="0"/>
            <w:vAlign w:val="center"/>
          </w:tcPr>
          <w:p w14:paraId="6DF9D150">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r>
      <w:tr w14:paraId="22F3B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32BF5482">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768" w:type="dxa"/>
            <w:vMerge w:val="continue"/>
            <w:tcBorders>
              <w:tl2br w:val="nil"/>
              <w:tr2bl w:val="nil"/>
            </w:tcBorders>
            <w:noWrap w:val="0"/>
            <w:vAlign w:val="center"/>
          </w:tcPr>
          <w:p w14:paraId="0B0B0000">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3398" w:type="dxa"/>
            <w:tcBorders>
              <w:tl2br w:val="nil"/>
              <w:tr2bl w:val="nil"/>
            </w:tcBorders>
            <w:noWrap w:val="0"/>
            <w:vAlign w:val="center"/>
          </w:tcPr>
          <w:p w14:paraId="2B382B73">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国家或地方法律、法规规定需特殊保护的</w:t>
            </w:r>
            <w:r>
              <w:rPr>
                <w:rFonts w:hint="eastAsia" w:cs="Times New Roman"/>
                <w:color w:val="000000"/>
                <w:sz w:val="21"/>
                <w:szCs w:val="21"/>
                <w:lang w:eastAsia="zh-CN"/>
              </w:rPr>
              <w:t>其他</w:t>
            </w:r>
            <w:r>
              <w:rPr>
                <w:rFonts w:hint="eastAsia" w:ascii="Times New Roman" w:hAnsi="Times New Roman" w:eastAsia="宋体" w:cs="Times New Roman"/>
                <w:color w:val="000000"/>
                <w:sz w:val="21"/>
                <w:szCs w:val="21"/>
                <w:lang w:eastAsia="zh-CN"/>
              </w:rPr>
              <w:t>区域</w:t>
            </w:r>
          </w:p>
        </w:tc>
        <w:tc>
          <w:tcPr>
            <w:tcW w:w="2534" w:type="dxa"/>
            <w:vMerge w:val="continue"/>
            <w:tcBorders>
              <w:tl2br w:val="nil"/>
              <w:tr2bl w:val="nil"/>
            </w:tcBorders>
            <w:noWrap w:val="0"/>
            <w:vAlign w:val="center"/>
          </w:tcPr>
          <w:p w14:paraId="7ACC5ABA">
            <w:pPr>
              <w:adjustRightInd w:val="0"/>
              <w:snapToGrid w:val="0"/>
              <w:spacing w:after="0" w:line="240" w:lineRule="auto"/>
              <w:ind w:left="0" w:right="0" w:firstLine="0"/>
              <w:jc w:val="center"/>
              <w:rPr>
                <w:rFonts w:hint="eastAsia" w:ascii="Times New Roman" w:hAnsi="Times New Roman" w:eastAsia="宋体" w:cs="Times New Roman"/>
                <w:bCs/>
                <w:color w:val="000000"/>
                <w:sz w:val="21"/>
                <w:szCs w:val="21"/>
                <w:lang w:eastAsia="zh-CN"/>
              </w:rPr>
            </w:pPr>
          </w:p>
        </w:tc>
        <w:tc>
          <w:tcPr>
            <w:tcW w:w="935" w:type="dxa"/>
            <w:vMerge w:val="continue"/>
            <w:tcBorders>
              <w:tl2br w:val="nil"/>
              <w:tr2bl w:val="nil"/>
            </w:tcBorders>
            <w:noWrap w:val="0"/>
            <w:vAlign w:val="center"/>
          </w:tcPr>
          <w:p w14:paraId="7F13E883">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r>
      <w:tr w14:paraId="093D9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601218CB">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4C863BA7">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新建改建、扩建的畜禽养殖场选址应避开禁建区域，在禁建区域附近建设的，应设</w:t>
            </w:r>
            <w:r>
              <w:rPr>
                <w:rFonts w:hint="eastAsia" w:cs="Times New Roman"/>
                <w:color w:val="000000"/>
                <w:sz w:val="21"/>
                <w:szCs w:val="21"/>
                <w:lang w:val="en-US" w:eastAsia="zh-CN"/>
              </w:rPr>
              <w:t>在</w:t>
            </w:r>
            <w:r>
              <w:rPr>
                <w:rFonts w:hint="eastAsia" w:ascii="Times New Roman" w:hAnsi="Times New Roman" w:eastAsia="宋体" w:cs="Times New Roman"/>
                <w:color w:val="000000"/>
                <w:sz w:val="21"/>
                <w:szCs w:val="21"/>
                <w:lang w:eastAsia="zh-CN"/>
              </w:rPr>
              <w:t>禁建区域常年主导风向的下风向或侧风向处，场界与禁建区域边界的最小距离不得小于500m。</w:t>
            </w:r>
          </w:p>
        </w:tc>
        <w:tc>
          <w:tcPr>
            <w:tcW w:w="2534" w:type="dxa"/>
            <w:tcBorders>
              <w:tl2br w:val="nil"/>
              <w:tr2bl w:val="nil"/>
            </w:tcBorders>
            <w:noWrap w:val="0"/>
            <w:vAlign w:val="center"/>
          </w:tcPr>
          <w:p w14:paraId="06AA6106">
            <w:pPr>
              <w:adjustRightInd w:val="0"/>
              <w:snapToGrid w:val="0"/>
              <w:spacing w:after="0" w:line="240" w:lineRule="auto"/>
              <w:ind w:left="0" w:right="0" w:firstLine="0"/>
              <w:jc w:val="center"/>
              <w:rPr>
                <w:rFonts w:hint="default" w:ascii="Times New Roman" w:hAnsi="Times New Roman" w:eastAsia="宋体" w:cs="Times New Roman"/>
                <w:bCs/>
                <w:color w:val="000000"/>
                <w:sz w:val="21"/>
                <w:szCs w:val="21"/>
                <w:lang w:val="en-US" w:eastAsia="zh-CN"/>
              </w:rPr>
            </w:pPr>
            <w:r>
              <w:rPr>
                <w:rFonts w:hint="eastAsia" w:ascii="Times New Roman" w:hAnsi="Times New Roman" w:eastAsia="宋体" w:cs="Times New Roman"/>
                <w:bCs/>
                <w:color w:val="000000"/>
                <w:sz w:val="21"/>
                <w:szCs w:val="21"/>
                <w:lang w:val="en-US" w:eastAsia="zh-CN"/>
              </w:rPr>
              <w:t>本项目距离</w:t>
            </w:r>
            <w:r>
              <w:rPr>
                <w:rFonts w:hint="eastAsia" w:cs="Times New Roman"/>
                <w:bCs/>
                <w:color w:val="000000"/>
                <w:sz w:val="21"/>
                <w:szCs w:val="21"/>
                <w:lang w:val="en-US" w:eastAsia="zh-CN"/>
              </w:rPr>
              <w:t>第七师胡杨河市</w:t>
            </w:r>
            <w:r>
              <w:rPr>
                <w:rFonts w:hint="eastAsia" w:ascii="Times New Roman" w:hAnsi="Times New Roman" w:eastAsia="宋体" w:cs="Times New Roman"/>
                <w:bCs/>
                <w:color w:val="000000"/>
                <w:sz w:val="21"/>
                <w:szCs w:val="21"/>
                <w:lang w:val="en-US" w:eastAsia="zh-CN"/>
              </w:rPr>
              <w:t>划定的</w:t>
            </w:r>
            <w:r>
              <w:rPr>
                <w:rFonts w:hint="eastAsia" w:cs="Times New Roman"/>
                <w:bCs/>
                <w:color w:val="000000"/>
                <w:sz w:val="21"/>
                <w:szCs w:val="21"/>
                <w:lang w:val="en-US" w:eastAsia="zh-CN"/>
              </w:rPr>
              <w:t>最近的</w:t>
            </w:r>
            <w:r>
              <w:rPr>
                <w:rFonts w:hint="eastAsia" w:ascii="Times New Roman" w:hAnsi="Times New Roman" w:eastAsia="宋体" w:cs="Times New Roman"/>
                <w:bCs/>
                <w:color w:val="000000"/>
                <w:sz w:val="21"/>
                <w:szCs w:val="21"/>
                <w:lang w:val="en-US" w:eastAsia="zh-CN"/>
              </w:rPr>
              <w:t>禁养区</w:t>
            </w:r>
            <w:r>
              <w:rPr>
                <w:rFonts w:hint="eastAsia" w:cs="Times New Roman"/>
                <w:bCs/>
                <w:color w:val="000000"/>
                <w:sz w:val="21"/>
                <w:szCs w:val="21"/>
                <w:lang w:val="en-US" w:eastAsia="zh-CN"/>
              </w:rPr>
              <w:t>超过500m</w:t>
            </w:r>
          </w:p>
        </w:tc>
        <w:tc>
          <w:tcPr>
            <w:tcW w:w="935" w:type="dxa"/>
            <w:vMerge w:val="continue"/>
            <w:tcBorders>
              <w:tl2br w:val="nil"/>
              <w:tr2bl w:val="nil"/>
            </w:tcBorders>
            <w:noWrap w:val="0"/>
            <w:vAlign w:val="center"/>
          </w:tcPr>
          <w:p w14:paraId="7E16B771">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r>
      <w:tr w14:paraId="7DF01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6AB6270D">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场区布局与清粪工艺</w:t>
            </w:r>
          </w:p>
        </w:tc>
        <w:tc>
          <w:tcPr>
            <w:tcW w:w="4166" w:type="dxa"/>
            <w:gridSpan w:val="2"/>
            <w:tcBorders>
              <w:tl2br w:val="nil"/>
              <w:tr2bl w:val="nil"/>
            </w:tcBorders>
            <w:noWrap w:val="0"/>
            <w:vAlign w:val="center"/>
          </w:tcPr>
          <w:p w14:paraId="024821B7">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新建、改建、扩建的畜禽养殖场应实现生产区、生活管理区的隔离，粪便污水处理设施和禽畜尸体焚烧炉；应设在养殖场的生产区、生活管理区的常年主导风向的下风向或侧风向处。</w:t>
            </w:r>
          </w:p>
        </w:tc>
        <w:tc>
          <w:tcPr>
            <w:tcW w:w="2534" w:type="dxa"/>
            <w:tcBorders>
              <w:tl2br w:val="nil"/>
              <w:tr2bl w:val="nil"/>
            </w:tcBorders>
            <w:noWrap w:val="0"/>
            <w:vAlign w:val="center"/>
          </w:tcPr>
          <w:p w14:paraId="337760CB">
            <w:pPr>
              <w:adjustRightInd w:val="0"/>
              <w:snapToGrid w:val="0"/>
              <w:spacing w:after="0" w:line="240" w:lineRule="auto"/>
              <w:ind w:left="0" w:right="0" w:firstLine="0"/>
              <w:jc w:val="center"/>
              <w:rPr>
                <w:rFonts w:hint="default"/>
                <w:lang w:val="en-US" w:eastAsia="zh-CN"/>
              </w:rPr>
            </w:pPr>
            <w:r>
              <w:rPr>
                <w:rFonts w:hint="eastAsia" w:eastAsia="宋体"/>
                <w:lang w:eastAsia="zh-CN"/>
              </w:rPr>
              <w:t>本项目</w:t>
            </w:r>
            <w:r>
              <w:rPr>
                <w:rFonts w:hint="eastAsia" w:ascii="Times New Roman" w:eastAsia="宋体"/>
                <w:lang w:val="en-US" w:eastAsia="zh-CN"/>
              </w:rPr>
              <w:t>生产生活区分开布设，严格进出管理制度，本项目不设置畜禽尸体焚烧炉，隔离圈舍、病死畜禽运输通道、</w:t>
            </w:r>
            <w:r>
              <w:rPr>
                <w:rFonts w:hint="eastAsia" w:ascii="Times New Roman" w:hAnsi="Times New Roman" w:eastAsia="宋体" w:cs="Times New Roman"/>
                <w:color w:val="000000"/>
                <w:sz w:val="21"/>
                <w:szCs w:val="21"/>
                <w:lang w:eastAsia="zh-CN"/>
              </w:rPr>
              <w:t>粪便处理设施</w:t>
            </w:r>
            <w:r>
              <w:rPr>
                <w:rFonts w:hint="eastAsia" w:ascii="Times New Roman" w:eastAsia="宋体"/>
                <w:lang w:val="en-US" w:eastAsia="zh-CN"/>
              </w:rPr>
              <w:t>均位于生产区、生活区侧风向</w:t>
            </w:r>
          </w:p>
        </w:tc>
        <w:tc>
          <w:tcPr>
            <w:tcW w:w="935" w:type="dxa"/>
            <w:tcBorders>
              <w:tl2br w:val="nil"/>
              <w:tr2bl w:val="nil"/>
            </w:tcBorders>
            <w:noWrap w:val="0"/>
            <w:vAlign w:val="center"/>
          </w:tcPr>
          <w:p w14:paraId="28D5DFCA">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05629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176C85B7">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6DC9A4AE">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养殖场的排水系统应实行雨水和污水收集输送系统分离，在场区内外设置的污水收集输送系统，不得采取明沟布设。</w:t>
            </w:r>
          </w:p>
        </w:tc>
        <w:tc>
          <w:tcPr>
            <w:tcW w:w="2534" w:type="dxa"/>
            <w:tcBorders>
              <w:tl2br w:val="nil"/>
              <w:tr2bl w:val="nil"/>
            </w:tcBorders>
            <w:noWrap w:val="0"/>
            <w:vAlign w:val="center"/>
          </w:tcPr>
          <w:p w14:paraId="0C6EA6EA">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eastAsia="zh-CN"/>
              </w:rPr>
              <w:t>本项目</w:t>
            </w:r>
            <w:r>
              <w:rPr>
                <w:rFonts w:hint="eastAsia" w:cs="Times New Roman"/>
                <w:color w:val="000000"/>
                <w:sz w:val="21"/>
                <w:szCs w:val="21"/>
                <w:lang w:val="en-US" w:eastAsia="zh-CN"/>
              </w:rPr>
              <w:t>设置雨污分流，养殖场内污水收集输送系统均为地下工程，不设置明沟</w:t>
            </w:r>
          </w:p>
        </w:tc>
        <w:tc>
          <w:tcPr>
            <w:tcW w:w="935" w:type="dxa"/>
            <w:tcBorders>
              <w:tl2br w:val="nil"/>
              <w:tr2bl w:val="nil"/>
            </w:tcBorders>
            <w:noWrap w:val="0"/>
            <w:vAlign w:val="center"/>
          </w:tcPr>
          <w:p w14:paraId="735283E2">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39AF7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7E163C9F">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3563DA1F">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新建、改建、扩建的畜禽养殖场应采取干法清粪工艺，采取有效措施将粪及时、单独清出，不可与尿、污水混合排出，并将产生的粪渣及时运至贮存或处理场所，实现日产日清。采用水冲粪、水泡。粪湿法清粪工艺的养殖场，要逐步改为干法清粪工艺。</w:t>
            </w:r>
          </w:p>
        </w:tc>
        <w:tc>
          <w:tcPr>
            <w:tcW w:w="2534" w:type="dxa"/>
            <w:tcBorders>
              <w:tl2br w:val="nil"/>
              <w:tr2bl w:val="nil"/>
            </w:tcBorders>
            <w:noWrap w:val="0"/>
            <w:vAlign w:val="center"/>
          </w:tcPr>
          <w:p w14:paraId="0437B1AC">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本项目</w:t>
            </w:r>
            <w:r>
              <w:rPr>
                <w:rFonts w:hint="eastAsia" w:cs="Times New Roman"/>
                <w:color w:val="000000"/>
                <w:sz w:val="21"/>
                <w:szCs w:val="21"/>
                <w:lang w:val="en-US" w:eastAsia="zh-CN"/>
              </w:rPr>
              <w:t>粪污经发酵床发酵后，定时清运至堆肥间处理后还田，清运采用干清粪，不进行水冲粪、水泡粪，不产生污水；少量因管理不善产生的渗滤液经收集池收集后用于堆肥间发酵。</w:t>
            </w:r>
          </w:p>
        </w:tc>
        <w:tc>
          <w:tcPr>
            <w:tcW w:w="935" w:type="dxa"/>
            <w:tcBorders>
              <w:tl2br w:val="nil"/>
              <w:tr2bl w:val="nil"/>
            </w:tcBorders>
            <w:noWrap w:val="0"/>
            <w:vAlign w:val="center"/>
          </w:tcPr>
          <w:p w14:paraId="202F7948">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满足要求</w:t>
            </w:r>
          </w:p>
        </w:tc>
      </w:tr>
      <w:tr w14:paraId="20FF8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410DD810">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畜禽粪便的贮存</w:t>
            </w:r>
          </w:p>
        </w:tc>
        <w:tc>
          <w:tcPr>
            <w:tcW w:w="4166" w:type="dxa"/>
            <w:gridSpan w:val="2"/>
            <w:tcBorders>
              <w:tl2br w:val="nil"/>
              <w:tr2bl w:val="nil"/>
            </w:tcBorders>
            <w:noWrap w:val="0"/>
            <w:vAlign w:val="center"/>
          </w:tcPr>
          <w:p w14:paraId="440105C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畜禽养殖场产生的畜禽粪便应设置专门的贮存设施，其恶臭及污染物排放应符合《畜禽养殖业污染物排放标准》。</w:t>
            </w:r>
          </w:p>
        </w:tc>
        <w:tc>
          <w:tcPr>
            <w:tcW w:w="2534" w:type="dxa"/>
            <w:tcBorders>
              <w:tl2br w:val="nil"/>
              <w:tr2bl w:val="nil"/>
            </w:tcBorders>
            <w:noWrap w:val="0"/>
            <w:vAlign w:val="center"/>
          </w:tcPr>
          <w:p w14:paraId="73533C59">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本项目冬季不堆肥，粪便暂存于发酵床进行发酵，通过投加除臭剂并加强场区绿化等措施，恶臭污染物满足</w:t>
            </w:r>
            <w:r>
              <w:rPr>
                <w:rFonts w:hint="eastAsia" w:ascii="Times New Roman" w:hAnsi="Times New Roman" w:eastAsia="宋体" w:cs="Times New Roman"/>
                <w:color w:val="000000"/>
                <w:sz w:val="21"/>
                <w:szCs w:val="21"/>
              </w:rPr>
              <w:t>《畜禽养殖业污染物排放标准》</w:t>
            </w:r>
            <w:r>
              <w:rPr>
                <w:rFonts w:hint="eastAsia" w:cs="Times New Roman"/>
                <w:color w:val="000000"/>
                <w:sz w:val="21"/>
                <w:szCs w:val="21"/>
                <w:lang w:eastAsia="zh-CN"/>
              </w:rPr>
              <w:t>（</w:t>
            </w:r>
            <w:r>
              <w:rPr>
                <w:rFonts w:hint="eastAsia" w:cs="Times New Roman"/>
                <w:color w:val="000000"/>
                <w:sz w:val="21"/>
                <w:szCs w:val="21"/>
                <w:lang w:val="en-US" w:eastAsia="zh-CN"/>
              </w:rPr>
              <w:t>GB 18596-2001）以及《恶臭污染物排放标准》（GB14554-93）限值</w:t>
            </w:r>
          </w:p>
        </w:tc>
        <w:tc>
          <w:tcPr>
            <w:tcW w:w="935" w:type="dxa"/>
            <w:tcBorders>
              <w:tl2br w:val="nil"/>
              <w:tr2bl w:val="nil"/>
            </w:tcBorders>
            <w:noWrap w:val="0"/>
            <w:vAlign w:val="center"/>
          </w:tcPr>
          <w:p w14:paraId="3D63F99B">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6DB2D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1EE5E62E">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19AB94B9">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cs="Times New Roman"/>
                <w:color w:val="000000"/>
                <w:sz w:val="21"/>
                <w:szCs w:val="21"/>
                <w:lang w:eastAsia="zh-CN"/>
              </w:rPr>
              <w:t>存储</w:t>
            </w:r>
            <w:r>
              <w:rPr>
                <w:rFonts w:hint="eastAsia" w:ascii="Times New Roman" w:hAnsi="Times New Roman" w:eastAsia="宋体" w:cs="Times New Roman"/>
                <w:color w:val="000000"/>
                <w:sz w:val="21"/>
                <w:szCs w:val="21"/>
              </w:rPr>
              <w:t>设施的位置必须远离各类功能地表水体（距离不得小于400m），并应设在养殖场生产及生活管理区的常年主导风向的下风向或侧风向处。</w:t>
            </w:r>
          </w:p>
        </w:tc>
        <w:tc>
          <w:tcPr>
            <w:tcW w:w="2534" w:type="dxa"/>
            <w:tcBorders>
              <w:tl2br w:val="nil"/>
              <w:tr2bl w:val="nil"/>
            </w:tcBorders>
            <w:noWrap w:val="0"/>
            <w:vAlign w:val="center"/>
          </w:tcPr>
          <w:p w14:paraId="554D2596">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本项目粪污贮存设置距离最近的地表水体</w:t>
            </w:r>
            <w:r>
              <w:rPr>
                <w:rFonts w:hint="default" w:ascii="Times New Roman" w:hAnsi="Times New Roman" w:eastAsia="宋体" w:cs="Times New Roman"/>
                <w:color w:val="auto"/>
                <w:kern w:val="2"/>
                <w:sz w:val="21"/>
                <w:szCs w:val="21"/>
                <w:lang w:val="en-US" w:eastAsia="zh-CN" w:bidi="ar-SA"/>
              </w:rPr>
              <w:t>项目</w:t>
            </w:r>
            <w:r>
              <w:rPr>
                <w:rFonts w:hint="eastAsia" w:ascii="Times New Roman" w:hAnsi="Times New Roman" w:eastAsia="宋体" w:cs="Times New Roman"/>
                <w:color w:val="auto"/>
                <w:kern w:val="2"/>
                <w:sz w:val="21"/>
                <w:szCs w:val="21"/>
                <w:lang w:val="en-US" w:eastAsia="zh-CN" w:bidi="ar-SA"/>
              </w:rPr>
              <w:t>距离最近的地表水体</w:t>
            </w:r>
            <w:r>
              <w:rPr>
                <w:rFonts w:hint="eastAsia" w:cs="Times New Roman"/>
                <w:color w:val="auto"/>
                <w:kern w:val="2"/>
                <w:sz w:val="21"/>
                <w:szCs w:val="21"/>
                <w:lang w:val="en-US" w:eastAsia="zh-CN" w:bidi="ar-SA"/>
              </w:rPr>
              <w:t>场直二支渠850m</w:t>
            </w:r>
            <w:r>
              <w:rPr>
                <w:rFonts w:hint="eastAsia" w:cs="Times New Roman"/>
                <w:color w:val="000000"/>
                <w:sz w:val="21"/>
                <w:szCs w:val="21"/>
                <w:highlight w:val="none"/>
                <w:lang w:val="en-US" w:eastAsia="zh-CN"/>
              </w:rPr>
              <w:t>；粪便贮存设施设置在生活区以及生产区侧风向处</w:t>
            </w:r>
          </w:p>
        </w:tc>
        <w:tc>
          <w:tcPr>
            <w:tcW w:w="935" w:type="dxa"/>
            <w:tcBorders>
              <w:tl2br w:val="nil"/>
              <w:tr2bl w:val="nil"/>
            </w:tcBorders>
            <w:noWrap w:val="0"/>
            <w:vAlign w:val="center"/>
          </w:tcPr>
          <w:p w14:paraId="53F020D5">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069BD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0A22C0B0">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492C5981">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贮存设施应采取有效的防渗处理工艺，防止畜禽粪便污染地下水。</w:t>
            </w:r>
          </w:p>
        </w:tc>
        <w:tc>
          <w:tcPr>
            <w:tcW w:w="2534" w:type="dxa"/>
            <w:tcBorders>
              <w:tl2br w:val="nil"/>
              <w:tr2bl w:val="nil"/>
            </w:tcBorders>
            <w:noWrap w:val="0"/>
            <w:vAlign w:val="center"/>
          </w:tcPr>
          <w:p w14:paraId="2DBB53A2">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本项目粪便贮存设施设置重点防渗，能够有效防止污染土壤以及地下水环境</w:t>
            </w:r>
          </w:p>
        </w:tc>
        <w:tc>
          <w:tcPr>
            <w:tcW w:w="935" w:type="dxa"/>
            <w:tcBorders>
              <w:tl2br w:val="nil"/>
              <w:tr2bl w:val="nil"/>
            </w:tcBorders>
            <w:noWrap w:val="0"/>
            <w:vAlign w:val="center"/>
          </w:tcPr>
          <w:p w14:paraId="3EAA27C0">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0E5F2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345CF6A1">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4A3E95C6">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对于种养结合的养殖场，畜禽粪便，贮存设施的总容积不得低于当地农林作物生产用肥的最大间隔时间内本养殖场所产生粪便的总量。</w:t>
            </w:r>
          </w:p>
        </w:tc>
        <w:tc>
          <w:tcPr>
            <w:tcW w:w="2534" w:type="dxa"/>
            <w:tcBorders>
              <w:tl2br w:val="nil"/>
              <w:tr2bl w:val="nil"/>
            </w:tcBorders>
            <w:noWrap w:val="0"/>
            <w:vAlign w:val="center"/>
          </w:tcPr>
          <w:p w14:paraId="2C7D043B">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本项目冬季不堆肥，粪污均在发酵床发酵，均可满足当地农林作物生产用肥的最大间隔时间</w:t>
            </w:r>
          </w:p>
        </w:tc>
        <w:tc>
          <w:tcPr>
            <w:tcW w:w="935" w:type="dxa"/>
            <w:tcBorders>
              <w:tl2br w:val="nil"/>
              <w:tr2bl w:val="nil"/>
            </w:tcBorders>
            <w:noWrap w:val="0"/>
            <w:vAlign w:val="center"/>
          </w:tcPr>
          <w:p w14:paraId="0BBBC4BC">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16101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5E550EAB">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228A1E2D">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贮存设施应采取设置顶盖等防止降雨</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rPr>
              <w:t>水</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rPr>
              <w:t>进入的措施。</w:t>
            </w:r>
          </w:p>
        </w:tc>
        <w:tc>
          <w:tcPr>
            <w:tcW w:w="2534" w:type="dxa"/>
            <w:tcBorders>
              <w:tl2br w:val="nil"/>
              <w:tr2bl w:val="nil"/>
            </w:tcBorders>
            <w:noWrap w:val="0"/>
            <w:vAlign w:val="center"/>
          </w:tcPr>
          <w:p w14:paraId="7140D3DB">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本项目牛圈设置防雨措施，能够防止雨水进入</w:t>
            </w:r>
          </w:p>
        </w:tc>
        <w:tc>
          <w:tcPr>
            <w:tcW w:w="935" w:type="dxa"/>
            <w:tcBorders>
              <w:tl2br w:val="nil"/>
              <w:tr2bl w:val="nil"/>
            </w:tcBorders>
            <w:noWrap w:val="0"/>
            <w:vAlign w:val="center"/>
          </w:tcPr>
          <w:p w14:paraId="3CF9E92E">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79A98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2D1A4F7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污水的处理</w:t>
            </w:r>
          </w:p>
        </w:tc>
        <w:tc>
          <w:tcPr>
            <w:tcW w:w="4166" w:type="dxa"/>
            <w:gridSpan w:val="2"/>
            <w:tcBorders>
              <w:tl2br w:val="nil"/>
              <w:tr2bl w:val="nil"/>
            </w:tcBorders>
            <w:noWrap w:val="0"/>
            <w:vAlign w:val="center"/>
          </w:tcPr>
          <w:p w14:paraId="381F3DFB">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畜禽养殖过程中产生的污水应坚持种养结合的原则，经无害化处理后尽量充分还田，实现污水资源化利用。</w:t>
            </w:r>
          </w:p>
        </w:tc>
        <w:tc>
          <w:tcPr>
            <w:tcW w:w="2534" w:type="dxa"/>
            <w:vMerge w:val="restart"/>
            <w:tcBorders>
              <w:tl2br w:val="nil"/>
              <w:tr2bl w:val="nil"/>
            </w:tcBorders>
            <w:noWrap w:val="0"/>
            <w:vAlign w:val="center"/>
          </w:tcPr>
          <w:p w14:paraId="2A7AEABE">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本项目养殖废水经发酵床吸收，不产生养殖废水；</w:t>
            </w:r>
            <w:r>
              <w:rPr>
                <w:rFonts w:hint="eastAsia" w:cs="Times New Roman"/>
                <w:color w:val="000000"/>
                <w:sz w:val="21"/>
                <w:szCs w:val="21"/>
                <w:lang w:val="en-US" w:eastAsia="zh-CN"/>
              </w:rPr>
              <w:t>少量因管理不善产生的渗滤液经收集池收集后用于堆肥间发酵。粪污经无害化处理后充分还田，能够符合种养结合的原则，粪污资源化利用。本项目不涉及沼气发酵。</w:t>
            </w:r>
          </w:p>
        </w:tc>
        <w:tc>
          <w:tcPr>
            <w:tcW w:w="935" w:type="dxa"/>
            <w:tcBorders>
              <w:tl2br w:val="nil"/>
              <w:tr2bl w:val="nil"/>
            </w:tcBorders>
            <w:noWrap w:val="0"/>
            <w:vAlign w:val="center"/>
          </w:tcPr>
          <w:p w14:paraId="2A940AF2">
            <w:pPr>
              <w:adjustRightInd w:val="0"/>
              <w:snapToGrid w:val="0"/>
              <w:spacing w:after="0" w:line="240" w:lineRule="auto"/>
              <w:ind w:left="0" w:leftChars="0" w:right="0" w:rightChars="0"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3E8C6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7047F357">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6BCB1A9C">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对没有充足土地消纳污水的畜禽养殖场，可根据当地实际情况选用下列综合利用措施；</w:t>
            </w:r>
          </w:p>
          <w:p w14:paraId="2602FB0A">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经过生物发酵后，可浓缩制成商品液体有机肥料。</w:t>
            </w:r>
          </w:p>
          <w:p w14:paraId="32D733F7">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进行沼气发酵，对沼渣、沼液应尽可能实现综合利用，同时要避免产生新的污染，沼渣及时清运至粪便贮存场所；沼液尽可能进行还田利用，不能还田利用并需外排的要进行进一步净化处理，达到排放标准。</w:t>
            </w:r>
          </w:p>
          <w:p w14:paraId="75325E69">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沼气发酵产物应符合《粪便无害化卫生标准》</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rPr>
              <w:t>GB7959</w:t>
            </w:r>
            <w:r>
              <w:rPr>
                <w:rFonts w:hint="eastAsia" w:cs="Times New Roman"/>
                <w:color w:val="000000"/>
                <w:sz w:val="21"/>
                <w:szCs w:val="21"/>
                <w:lang w:val="en-US" w:eastAsia="zh-CN"/>
              </w:rPr>
              <w:t>-</w:t>
            </w:r>
            <w:r>
              <w:rPr>
                <w:rFonts w:hint="eastAsia" w:ascii="Times New Roman" w:hAnsi="Times New Roman" w:eastAsia="宋体" w:cs="Times New Roman"/>
                <w:color w:val="000000"/>
                <w:sz w:val="21"/>
                <w:szCs w:val="21"/>
              </w:rPr>
              <w:t>87</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rPr>
              <w:t>。</w:t>
            </w:r>
          </w:p>
        </w:tc>
        <w:tc>
          <w:tcPr>
            <w:tcW w:w="2534" w:type="dxa"/>
            <w:vMerge w:val="continue"/>
            <w:tcBorders>
              <w:tl2br w:val="nil"/>
              <w:tr2bl w:val="nil"/>
            </w:tcBorders>
            <w:noWrap w:val="0"/>
            <w:vAlign w:val="center"/>
          </w:tcPr>
          <w:p w14:paraId="77FE9420">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p>
        </w:tc>
        <w:tc>
          <w:tcPr>
            <w:tcW w:w="935" w:type="dxa"/>
            <w:tcBorders>
              <w:tl2br w:val="nil"/>
              <w:tr2bl w:val="nil"/>
            </w:tcBorders>
            <w:noWrap w:val="0"/>
            <w:vAlign w:val="center"/>
          </w:tcPr>
          <w:p w14:paraId="1BA2ABED">
            <w:pPr>
              <w:adjustRightInd w:val="0"/>
              <w:snapToGrid w:val="0"/>
              <w:spacing w:after="0" w:line="240" w:lineRule="auto"/>
              <w:ind w:left="0" w:leftChars="0" w:right="0" w:rightChars="0"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573E7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95" w:type="dxa"/>
            <w:vMerge w:val="restart"/>
            <w:tcBorders>
              <w:tl2br w:val="nil"/>
              <w:tr2bl w:val="nil"/>
            </w:tcBorders>
            <w:noWrap w:val="0"/>
            <w:vAlign w:val="center"/>
          </w:tcPr>
          <w:p w14:paraId="1A3502A8">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固体粪肥的处理利用</w:t>
            </w:r>
          </w:p>
        </w:tc>
        <w:tc>
          <w:tcPr>
            <w:tcW w:w="768" w:type="dxa"/>
            <w:vMerge w:val="restart"/>
            <w:tcBorders>
              <w:tl2br w:val="nil"/>
              <w:tr2bl w:val="nil"/>
            </w:tcBorders>
            <w:noWrap w:val="0"/>
            <w:vAlign w:val="center"/>
          </w:tcPr>
          <w:p w14:paraId="7820468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土地利用</w:t>
            </w:r>
          </w:p>
        </w:tc>
        <w:tc>
          <w:tcPr>
            <w:tcW w:w="3398" w:type="dxa"/>
            <w:tcBorders>
              <w:tl2br w:val="nil"/>
              <w:tr2bl w:val="nil"/>
            </w:tcBorders>
            <w:noWrap w:val="0"/>
            <w:vAlign w:val="center"/>
          </w:tcPr>
          <w:p w14:paraId="731CA15D">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畜禽粪便必须经过无害化处理</w:t>
            </w:r>
            <w:r>
              <w:rPr>
                <w:rFonts w:hint="eastAsia" w:cs="Times New Roman"/>
                <w:color w:val="000000"/>
                <w:sz w:val="21"/>
                <w:szCs w:val="21"/>
                <w:lang w:eastAsia="zh-CN"/>
              </w:rPr>
              <w:t>，</w:t>
            </w:r>
            <w:r>
              <w:rPr>
                <w:rFonts w:hint="eastAsia" w:ascii="Times New Roman" w:hAnsi="Times New Roman" w:eastAsia="宋体" w:cs="Times New Roman"/>
                <w:color w:val="000000"/>
                <w:sz w:val="21"/>
                <w:szCs w:val="21"/>
              </w:rPr>
              <w:t>并且须符合《</w:t>
            </w:r>
            <w:r>
              <w:rPr>
                <w:rFonts w:hint="eastAsia" w:cs="Times New Roman"/>
                <w:color w:val="000000"/>
                <w:sz w:val="21"/>
                <w:szCs w:val="21"/>
                <w:lang w:eastAsia="zh-CN"/>
              </w:rPr>
              <w:t>粪便无害化卫生要求</w:t>
            </w:r>
            <w:r>
              <w:rPr>
                <w:rFonts w:hint="eastAsia" w:ascii="Times New Roman" w:hAnsi="Times New Roman" w:eastAsia="宋体" w:cs="Times New Roman"/>
                <w:color w:val="000000"/>
                <w:sz w:val="21"/>
                <w:szCs w:val="21"/>
              </w:rPr>
              <w:t>》</w:t>
            </w:r>
            <w:r>
              <w:rPr>
                <w:rFonts w:hint="eastAsia" w:cs="Times New Roman"/>
                <w:color w:val="000000"/>
                <w:sz w:val="21"/>
                <w:szCs w:val="21"/>
                <w:lang w:eastAsia="zh-CN"/>
              </w:rPr>
              <w:t>GB 7959-2012</w:t>
            </w:r>
            <w:r>
              <w:rPr>
                <w:rFonts w:hint="eastAsia" w:ascii="Times New Roman" w:hAnsi="Times New Roman" w:eastAsia="宋体" w:cs="Times New Roman"/>
                <w:color w:val="000000"/>
                <w:sz w:val="21"/>
                <w:szCs w:val="21"/>
              </w:rPr>
              <w:t>，才能进行土地利用，禁止未经处理的畜禽粪便直接施入农田。</w:t>
            </w:r>
          </w:p>
        </w:tc>
        <w:tc>
          <w:tcPr>
            <w:tcW w:w="2534" w:type="dxa"/>
            <w:tcBorders>
              <w:tl2br w:val="nil"/>
              <w:tr2bl w:val="nil"/>
            </w:tcBorders>
            <w:noWrap w:val="0"/>
            <w:vAlign w:val="center"/>
          </w:tcPr>
          <w:p w14:paraId="1A78BA8B">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本项目粪便经好氧堆肥后，满足《畜禽养殖业污染治理工程技术规范》（HJ497-2009）、《畜禽粪便无害化处理技术规范》（GB/T 36195-2018）、《畜禽粪肥还田技术规范》（GB/T25246-2025）、</w:t>
            </w:r>
            <w:r>
              <w:rPr>
                <w:rFonts w:hint="eastAsia" w:ascii="Times New Roman" w:hAnsi="Times New Roman" w:eastAsia="宋体" w:cs="Times New Roman"/>
                <w:color w:val="000000"/>
                <w:sz w:val="21"/>
                <w:szCs w:val="21"/>
              </w:rPr>
              <w:t>《粪便无害化卫生</w:t>
            </w:r>
            <w:r>
              <w:rPr>
                <w:rFonts w:hint="eastAsia" w:cs="Times New Roman"/>
                <w:color w:val="000000"/>
                <w:sz w:val="21"/>
                <w:szCs w:val="21"/>
                <w:lang w:val="en-US" w:eastAsia="zh-CN"/>
              </w:rPr>
              <w:t>要求</w:t>
            </w:r>
            <w:r>
              <w:rPr>
                <w:rFonts w:hint="eastAsia" w:ascii="Times New Roman" w:hAnsi="Times New Roman" w:eastAsia="宋体" w:cs="Times New Roman"/>
                <w:color w:val="000000"/>
                <w:sz w:val="21"/>
                <w:szCs w:val="21"/>
              </w:rPr>
              <w:t>》</w:t>
            </w:r>
            <w:r>
              <w:rPr>
                <w:rFonts w:hint="eastAsia" w:cs="Times New Roman"/>
                <w:color w:val="000000"/>
                <w:sz w:val="21"/>
                <w:szCs w:val="21"/>
                <w:lang w:eastAsia="zh-CN"/>
              </w:rPr>
              <w:t>（</w:t>
            </w:r>
            <w:r>
              <w:rPr>
                <w:rFonts w:hint="eastAsia" w:cs="Times New Roman"/>
                <w:color w:val="000000"/>
                <w:sz w:val="21"/>
                <w:szCs w:val="21"/>
                <w:lang w:val="en-US" w:eastAsia="zh-CN"/>
              </w:rPr>
              <w:t>GB7959-2012</w:t>
            </w:r>
            <w:r>
              <w:rPr>
                <w:rFonts w:hint="eastAsia" w:cs="Times New Roman"/>
                <w:color w:val="000000"/>
                <w:sz w:val="21"/>
                <w:szCs w:val="21"/>
                <w:lang w:eastAsia="zh-CN"/>
              </w:rPr>
              <w:t>）</w:t>
            </w:r>
            <w:r>
              <w:rPr>
                <w:rFonts w:hint="eastAsia" w:cs="Times New Roman"/>
                <w:color w:val="000000"/>
                <w:sz w:val="21"/>
                <w:szCs w:val="21"/>
                <w:highlight w:val="none"/>
                <w:lang w:val="en-US" w:eastAsia="zh-CN"/>
              </w:rPr>
              <w:t>要求后还田</w:t>
            </w:r>
          </w:p>
        </w:tc>
        <w:tc>
          <w:tcPr>
            <w:tcW w:w="935" w:type="dxa"/>
            <w:tcBorders>
              <w:tl2br w:val="nil"/>
              <w:tr2bl w:val="nil"/>
            </w:tcBorders>
            <w:noWrap w:val="0"/>
            <w:vAlign w:val="center"/>
          </w:tcPr>
          <w:p w14:paraId="703F5C35">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183EC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1363302B">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768" w:type="dxa"/>
            <w:vMerge w:val="continue"/>
            <w:tcBorders>
              <w:tl2br w:val="nil"/>
              <w:tr2bl w:val="nil"/>
            </w:tcBorders>
            <w:noWrap w:val="0"/>
            <w:vAlign w:val="center"/>
          </w:tcPr>
          <w:p w14:paraId="2D5F2CFC">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3398" w:type="dxa"/>
            <w:tcBorders>
              <w:tl2br w:val="nil"/>
              <w:tr2bl w:val="nil"/>
            </w:tcBorders>
            <w:noWrap w:val="0"/>
            <w:vAlign w:val="center"/>
          </w:tcPr>
          <w:p w14:paraId="02B22C88">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经过处理的粪便作为土地的肥料或土壤调节剂来满足作物生长的需要，其用量不能超过作物当年生长所需养分的需求量。</w:t>
            </w:r>
          </w:p>
          <w:p w14:paraId="11AD8E9F">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在确定粪肥的最佳使用量时需要对土壤肥力和粪肥肥效进行测试评价，并应符合当地环境容量的要求</w:t>
            </w:r>
            <w:r>
              <w:rPr>
                <w:rFonts w:hint="eastAsia" w:cs="Times New Roman"/>
                <w:color w:val="000000"/>
                <w:sz w:val="21"/>
                <w:szCs w:val="21"/>
                <w:lang w:eastAsia="zh-CN"/>
              </w:rPr>
              <w:t>。</w:t>
            </w:r>
          </w:p>
        </w:tc>
        <w:tc>
          <w:tcPr>
            <w:tcW w:w="2534" w:type="dxa"/>
            <w:tcBorders>
              <w:tl2br w:val="nil"/>
              <w:tr2bl w:val="nil"/>
            </w:tcBorders>
            <w:noWrap w:val="0"/>
            <w:vAlign w:val="center"/>
          </w:tcPr>
          <w:p w14:paraId="350F796E">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本项目严格按照作物生长需要来消纳经无害化处理后的粪便，用量不会超过作物</w:t>
            </w:r>
            <w:r>
              <w:rPr>
                <w:rFonts w:hint="eastAsia" w:ascii="Times New Roman" w:hAnsi="Times New Roman" w:eastAsia="宋体" w:cs="Times New Roman"/>
                <w:color w:val="000000"/>
                <w:sz w:val="21"/>
                <w:szCs w:val="21"/>
              </w:rPr>
              <w:t>当年生长所需养分的需求量</w:t>
            </w:r>
            <w:r>
              <w:rPr>
                <w:rFonts w:hint="eastAsia" w:cs="Times New Roman"/>
                <w:color w:val="000000"/>
                <w:sz w:val="21"/>
                <w:szCs w:val="21"/>
                <w:lang w:eastAsia="zh-CN"/>
              </w:rPr>
              <w:t>，</w:t>
            </w:r>
            <w:r>
              <w:rPr>
                <w:rFonts w:hint="eastAsia" w:cs="Times New Roman"/>
                <w:color w:val="000000"/>
                <w:sz w:val="21"/>
                <w:szCs w:val="21"/>
                <w:lang w:val="en-US" w:eastAsia="zh-CN"/>
              </w:rPr>
              <w:t>定期对土壤</w:t>
            </w:r>
            <w:r>
              <w:rPr>
                <w:rFonts w:hint="eastAsia" w:ascii="Times New Roman" w:hAnsi="Times New Roman" w:eastAsia="宋体" w:cs="Times New Roman"/>
                <w:color w:val="000000"/>
                <w:sz w:val="21"/>
                <w:szCs w:val="21"/>
              </w:rPr>
              <w:t>肥力和粪肥肥效</w:t>
            </w:r>
            <w:r>
              <w:rPr>
                <w:rFonts w:hint="eastAsia" w:cs="Times New Roman"/>
                <w:color w:val="000000"/>
                <w:sz w:val="21"/>
                <w:szCs w:val="21"/>
                <w:lang w:val="en-US" w:eastAsia="zh-CN"/>
              </w:rPr>
              <w:t>进行测试评价</w:t>
            </w:r>
            <w:r>
              <w:rPr>
                <w:rFonts w:hint="eastAsia" w:cs="Times New Roman"/>
                <w:color w:val="000000"/>
                <w:sz w:val="21"/>
                <w:szCs w:val="21"/>
                <w:highlight w:val="none"/>
                <w:lang w:val="en-US" w:eastAsia="zh-CN"/>
              </w:rPr>
              <w:t>，满足当地环境容量要求</w:t>
            </w:r>
          </w:p>
        </w:tc>
        <w:tc>
          <w:tcPr>
            <w:tcW w:w="935" w:type="dxa"/>
            <w:tcBorders>
              <w:tl2br w:val="nil"/>
              <w:tr2bl w:val="nil"/>
            </w:tcBorders>
            <w:noWrap w:val="0"/>
            <w:vAlign w:val="center"/>
          </w:tcPr>
          <w:p w14:paraId="5DF6141F">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59615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5D1AB013">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768" w:type="dxa"/>
            <w:vMerge w:val="continue"/>
            <w:tcBorders>
              <w:tl2br w:val="nil"/>
              <w:tr2bl w:val="nil"/>
            </w:tcBorders>
            <w:noWrap w:val="0"/>
            <w:vAlign w:val="center"/>
          </w:tcPr>
          <w:p w14:paraId="773A9F02">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3398" w:type="dxa"/>
            <w:tcBorders>
              <w:tl2br w:val="nil"/>
              <w:tr2bl w:val="nil"/>
            </w:tcBorders>
            <w:noWrap w:val="0"/>
            <w:vAlign w:val="center"/>
          </w:tcPr>
          <w:p w14:paraId="52EC32F1">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对高降雨区、坡地及沙质容易产生径流和渗透性较强的土壤，不适宜施用粪肥或粪肥使用量过高易使粪肥流失引起地表水或地下水污染时，应禁止或暂停使用粪肥。</w:t>
            </w:r>
          </w:p>
        </w:tc>
        <w:tc>
          <w:tcPr>
            <w:tcW w:w="2534" w:type="dxa"/>
            <w:tcBorders>
              <w:tl2br w:val="nil"/>
              <w:tr2bl w:val="nil"/>
            </w:tcBorders>
            <w:noWrap w:val="0"/>
            <w:vAlign w:val="center"/>
          </w:tcPr>
          <w:p w14:paraId="22DD2327">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本项目位于125团14连，不属于高降雨区、坡地</w:t>
            </w:r>
            <w:r>
              <w:rPr>
                <w:rFonts w:hint="eastAsia" w:ascii="Times New Roman" w:hAnsi="Times New Roman" w:eastAsia="宋体" w:cs="Times New Roman"/>
                <w:color w:val="000000"/>
                <w:sz w:val="21"/>
                <w:szCs w:val="21"/>
              </w:rPr>
              <w:t>及沙质容易产生径流</w:t>
            </w:r>
            <w:r>
              <w:rPr>
                <w:rFonts w:hint="eastAsia" w:ascii="Times New Roman" w:hAnsi="Times New Roman" w:eastAsia="宋体" w:cs="Times New Roman"/>
                <w:color w:val="000000"/>
                <w:sz w:val="21"/>
                <w:szCs w:val="21"/>
                <w:lang w:val="en-US" w:eastAsia="zh-CN"/>
              </w:rPr>
              <w:t>土壤</w:t>
            </w:r>
            <w:r>
              <w:rPr>
                <w:rFonts w:hint="eastAsia" w:cs="Times New Roman"/>
                <w:color w:val="000000"/>
                <w:sz w:val="21"/>
                <w:szCs w:val="21"/>
                <w:highlight w:val="none"/>
                <w:lang w:val="en-US" w:eastAsia="zh-CN"/>
              </w:rPr>
              <w:t>，同时本项目粪便还田期间根据作物不同生长阶段定量施肥，对周边地表水、地下水影响较小</w:t>
            </w:r>
          </w:p>
        </w:tc>
        <w:tc>
          <w:tcPr>
            <w:tcW w:w="935" w:type="dxa"/>
            <w:tcBorders>
              <w:tl2br w:val="nil"/>
              <w:tr2bl w:val="nil"/>
            </w:tcBorders>
            <w:noWrap w:val="0"/>
            <w:vAlign w:val="center"/>
          </w:tcPr>
          <w:p w14:paraId="20717616">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112EFF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384E2728">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饲料和饲养管理</w:t>
            </w:r>
          </w:p>
        </w:tc>
        <w:tc>
          <w:tcPr>
            <w:tcW w:w="4166" w:type="dxa"/>
            <w:gridSpan w:val="2"/>
            <w:tcBorders>
              <w:tl2br w:val="nil"/>
              <w:tr2bl w:val="nil"/>
            </w:tcBorders>
            <w:noWrap w:val="0"/>
            <w:vAlign w:val="center"/>
          </w:tcPr>
          <w:p w14:paraId="1AF2111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畜禽养殖饲料应采用合理配方，如理想蛋白质体系配等，提高蛋白质</w:t>
            </w:r>
            <w:r>
              <w:rPr>
                <w:rFonts w:hint="eastAsia" w:cs="Times New Roman"/>
                <w:color w:val="000000"/>
                <w:sz w:val="21"/>
                <w:szCs w:val="21"/>
                <w:lang w:eastAsia="zh-CN"/>
              </w:rPr>
              <w:t>及其他</w:t>
            </w:r>
            <w:r>
              <w:rPr>
                <w:rFonts w:hint="eastAsia" w:ascii="Times New Roman" w:hAnsi="Times New Roman" w:eastAsia="宋体" w:cs="Times New Roman"/>
                <w:color w:val="000000"/>
                <w:sz w:val="21"/>
                <w:szCs w:val="21"/>
              </w:rPr>
              <w:t>营养的吸收效率，减少氮的排放量和粪的生产量。</w:t>
            </w:r>
          </w:p>
        </w:tc>
        <w:tc>
          <w:tcPr>
            <w:tcW w:w="2534" w:type="dxa"/>
            <w:tcBorders>
              <w:tl2br w:val="nil"/>
              <w:tr2bl w:val="nil"/>
            </w:tcBorders>
            <w:noWrap w:val="0"/>
            <w:vAlign w:val="center"/>
          </w:tcPr>
          <w:p w14:paraId="7066C175">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本项目科学配比饲料，根据育肥牛不同生长阶段调整青储料、粗饲料与精饲料配比，能够有效减少氮的排放量</w:t>
            </w:r>
          </w:p>
        </w:tc>
        <w:tc>
          <w:tcPr>
            <w:tcW w:w="935" w:type="dxa"/>
            <w:tcBorders>
              <w:tl2br w:val="nil"/>
              <w:tr2bl w:val="nil"/>
            </w:tcBorders>
            <w:noWrap w:val="0"/>
            <w:vAlign w:val="center"/>
          </w:tcPr>
          <w:p w14:paraId="4FA82B04">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207F7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278D1E6E">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543EB8B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提倡使用微生物制剂、酶制剂和植物提取液等活性物质，减少污染物排放和恶臭气体的产生。</w:t>
            </w:r>
          </w:p>
        </w:tc>
        <w:tc>
          <w:tcPr>
            <w:tcW w:w="2534" w:type="dxa"/>
            <w:tcBorders>
              <w:tl2br w:val="nil"/>
              <w:tr2bl w:val="nil"/>
            </w:tcBorders>
            <w:noWrap w:val="0"/>
            <w:vAlign w:val="center"/>
          </w:tcPr>
          <w:p w14:paraId="134E4F71">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本项目精饲料添加微生物制剂，能够有效减少</w:t>
            </w:r>
            <w:r>
              <w:rPr>
                <w:rFonts w:hint="eastAsia" w:ascii="Times New Roman" w:hAnsi="Times New Roman" w:eastAsia="宋体" w:cs="Times New Roman"/>
                <w:color w:val="000000"/>
                <w:sz w:val="21"/>
                <w:szCs w:val="21"/>
              </w:rPr>
              <w:t>污染物排放和恶臭气体的产生</w:t>
            </w:r>
          </w:p>
        </w:tc>
        <w:tc>
          <w:tcPr>
            <w:tcW w:w="935" w:type="dxa"/>
            <w:tcBorders>
              <w:tl2br w:val="nil"/>
              <w:tr2bl w:val="nil"/>
            </w:tcBorders>
            <w:noWrap w:val="0"/>
            <w:vAlign w:val="center"/>
          </w:tcPr>
          <w:p w14:paraId="43C3A304">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4D5F7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549B67EC">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p>
        </w:tc>
        <w:tc>
          <w:tcPr>
            <w:tcW w:w="4166" w:type="dxa"/>
            <w:gridSpan w:val="2"/>
            <w:tcBorders>
              <w:tl2br w:val="nil"/>
              <w:tr2bl w:val="nil"/>
            </w:tcBorders>
            <w:noWrap w:val="0"/>
            <w:vAlign w:val="center"/>
          </w:tcPr>
          <w:p w14:paraId="1C2197E2">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养殖场场区、畜禽舍、器械等消毒应采用环境友好的消毒剂和消毒措施（包括紫外线、臭氧、双氧水等方法 ），防止产生氯代有机物</w:t>
            </w:r>
            <w:r>
              <w:rPr>
                <w:rFonts w:hint="eastAsia" w:cs="Times New Roman"/>
                <w:color w:val="000000"/>
                <w:sz w:val="21"/>
                <w:szCs w:val="21"/>
                <w:lang w:eastAsia="zh-CN"/>
              </w:rPr>
              <w:t>及其他</w:t>
            </w:r>
            <w:r>
              <w:rPr>
                <w:rFonts w:hint="eastAsia" w:ascii="Times New Roman" w:hAnsi="Times New Roman" w:eastAsia="宋体" w:cs="Times New Roman"/>
                <w:color w:val="000000"/>
                <w:sz w:val="21"/>
                <w:szCs w:val="21"/>
              </w:rPr>
              <w:t>二次污染物。</w:t>
            </w:r>
          </w:p>
        </w:tc>
        <w:tc>
          <w:tcPr>
            <w:tcW w:w="2534" w:type="dxa"/>
            <w:tcBorders>
              <w:tl2br w:val="nil"/>
              <w:tr2bl w:val="nil"/>
            </w:tcBorders>
            <w:noWrap w:val="0"/>
            <w:vAlign w:val="center"/>
          </w:tcPr>
          <w:p w14:paraId="3E1408A0">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本项目养殖场场区、畜禽舍、器械消毒不使用氯制剂，</w:t>
            </w:r>
            <w:r>
              <w:rPr>
                <w:rFonts w:hint="eastAsia" w:ascii="Times New Roman" w:hAnsi="Times New Roman" w:eastAsia="宋体" w:cs="Times New Roman"/>
                <w:color w:val="000000"/>
                <w:sz w:val="21"/>
                <w:szCs w:val="21"/>
              </w:rPr>
              <w:t>采用环境友好的消毒剂</w:t>
            </w:r>
            <w:r>
              <w:rPr>
                <w:rFonts w:hint="eastAsia" w:cs="Times New Roman"/>
                <w:color w:val="000000"/>
                <w:sz w:val="21"/>
                <w:szCs w:val="21"/>
                <w:lang w:val="en-US" w:eastAsia="zh-CN"/>
              </w:rPr>
              <w:t>进行消毒</w:t>
            </w:r>
            <w:r>
              <w:rPr>
                <w:rFonts w:hint="eastAsia" w:cs="Times New Roman"/>
                <w:color w:val="000000"/>
                <w:sz w:val="21"/>
                <w:szCs w:val="21"/>
                <w:lang w:eastAsia="zh-CN"/>
              </w:rPr>
              <w:t>，</w:t>
            </w:r>
            <w:r>
              <w:rPr>
                <w:rFonts w:hint="eastAsia" w:cs="Times New Roman"/>
                <w:color w:val="000000"/>
                <w:sz w:val="21"/>
                <w:szCs w:val="21"/>
                <w:lang w:val="en-US" w:eastAsia="zh-CN"/>
              </w:rPr>
              <w:t>不</w:t>
            </w:r>
            <w:r>
              <w:rPr>
                <w:rFonts w:hint="eastAsia" w:ascii="Times New Roman" w:hAnsi="Times New Roman" w:eastAsia="宋体" w:cs="Times New Roman"/>
                <w:color w:val="000000"/>
                <w:sz w:val="21"/>
                <w:szCs w:val="21"/>
              </w:rPr>
              <w:t>产生氯代有机物</w:t>
            </w:r>
            <w:r>
              <w:rPr>
                <w:rFonts w:hint="eastAsia" w:cs="Times New Roman"/>
                <w:color w:val="000000"/>
                <w:sz w:val="21"/>
                <w:szCs w:val="21"/>
                <w:lang w:eastAsia="zh-CN"/>
              </w:rPr>
              <w:t>及其他</w:t>
            </w:r>
            <w:r>
              <w:rPr>
                <w:rFonts w:hint="eastAsia" w:ascii="Times New Roman" w:hAnsi="Times New Roman" w:eastAsia="宋体" w:cs="Times New Roman"/>
                <w:color w:val="000000"/>
                <w:sz w:val="21"/>
                <w:szCs w:val="21"/>
              </w:rPr>
              <w:t>二次污染物</w:t>
            </w:r>
          </w:p>
        </w:tc>
        <w:tc>
          <w:tcPr>
            <w:tcW w:w="935" w:type="dxa"/>
            <w:tcBorders>
              <w:tl2br w:val="nil"/>
              <w:tr2bl w:val="nil"/>
            </w:tcBorders>
            <w:noWrap w:val="0"/>
            <w:vAlign w:val="center"/>
          </w:tcPr>
          <w:p w14:paraId="12E843AD">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0FFCD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tcBorders>
              <w:tl2br w:val="nil"/>
              <w:tr2bl w:val="nil"/>
            </w:tcBorders>
            <w:noWrap w:val="0"/>
            <w:vAlign w:val="center"/>
          </w:tcPr>
          <w:p w14:paraId="5E790AFD">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病死畜禽尸体的处理与处置</w:t>
            </w:r>
          </w:p>
        </w:tc>
        <w:tc>
          <w:tcPr>
            <w:tcW w:w="4166" w:type="dxa"/>
            <w:gridSpan w:val="2"/>
            <w:tcBorders>
              <w:tl2br w:val="nil"/>
              <w:tr2bl w:val="nil"/>
            </w:tcBorders>
            <w:noWrap w:val="0"/>
            <w:vAlign w:val="center"/>
          </w:tcPr>
          <w:p w14:paraId="6C50EAF3">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病死畜禽尸体要及时处理，严禁随意丢弃，严禁出售或作为饲料再利用。</w:t>
            </w:r>
          </w:p>
        </w:tc>
        <w:tc>
          <w:tcPr>
            <w:tcW w:w="2534" w:type="dxa"/>
            <w:tcBorders>
              <w:tl2br w:val="nil"/>
              <w:tr2bl w:val="nil"/>
            </w:tcBorders>
            <w:noWrap w:val="0"/>
            <w:vAlign w:val="center"/>
          </w:tcPr>
          <w:p w14:paraId="330CF77E">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本项目病死牛尸及时委托病死畜禽无害化处置单位进行无害化处置，去向明确，不随意丢弃，不作为饲料再利用，不外售</w:t>
            </w:r>
          </w:p>
        </w:tc>
        <w:tc>
          <w:tcPr>
            <w:tcW w:w="935" w:type="dxa"/>
            <w:tcBorders>
              <w:tl2br w:val="nil"/>
              <w:tr2bl w:val="nil"/>
            </w:tcBorders>
            <w:noWrap w:val="0"/>
            <w:vAlign w:val="center"/>
          </w:tcPr>
          <w:p w14:paraId="4C811060">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075B1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tcBorders>
              <w:tl2br w:val="nil"/>
              <w:tr2bl w:val="nil"/>
            </w:tcBorders>
            <w:noWrap w:val="0"/>
            <w:vAlign w:val="center"/>
          </w:tcPr>
          <w:p w14:paraId="74F0C30C">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畜禽养殖场排放污染物的监测</w:t>
            </w:r>
          </w:p>
        </w:tc>
        <w:tc>
          <w:tcPr>
            <w:tcW w:w="4166" w:type="dxa"/>
            <w:gridSpan w:val="2"/>
            <w:tcBorders>
              <w:tl2br w:val="nil"/>
              <w:tr2bl w:val="nil"/>
            </w:tcBorders>
            <w:noWrap w:val="0"/>
            <w:vAlign w:val="center"/>
          </w:tcPr>
          <w:p w14:paraId="025588A4">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畜禽养殖场每年应至少两次定期向当地环境保护行政主管部门报告污水处理设施和粪便处理设施的运行情况，提交排放污水、废气、恶臭以及粪肥的无害化指标的监测报告</w:t>
            </w:r>
            <w:r>
              <w:rPr>
                <w:rFonts w:hint="eastAsia" w:ascii="Times New Roman" w:hAnsi="Times New Roman" w:eastAsia="宋体" w:cs="Times New Roman"/>
                <w:color w:val="000000"/>
                <w:sz w:val="21"/>
                <w:szCs w:val="21"/>
                <w:lang w:eastAsia="zh-CN"/>
              </w:rPr>
              <w:t>。</w:t>
            </w:r>
          </w:p>
        </w:tc>
        <w:tc>
          <w:tcPr>
            <w:tcW w:w="2534" w:type="dxa"/>
            <w:tcBorders>
              <w:tl2br w:val="nil"/>
              <w:tr2bl w:val="nil"/>
            </w:tcBorders>
            <w:noWrap w:val="0"/>
            <w:vAlign w:val="center"/>
          </w:tcPr>
          <w:p w14:paraId="17DAE543">
            <w:pPr>
              <w:adjustRightInd w:val="0"/>
              <w:snapToGrid w:val="0"/>
              <w:spacing w:after="0" w:line="240" w:lineRule="auto"/>
              <w:ind w:left="0" w:righ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本项目根据《固定污染源排污许可分类管理名录（2019年版）》《排污许可证申请与核发技术规范 畜禽养殖行业》（HJ1029-2019）填报排污许可证，并按照《排污单位自行监测技术指南 总则》（HJ819-2017）、《排污单位自行监测技术指南 畜禽养殖行业》（HJ1252-2022）《地下水环境监测技术规范》（HJ164-2020）以及《工业企业土壤和地下水自行监测技术指南（试行）》（HJ 1209-2021）定期监测</w:t>
            </w:r>
          </w:p>
        </w:tc>
        <w:tc>
          <w:tcPr>
            <w:tcW w:w="935" w:type="dxa"/>
            <w:tcBorders>
              <w:tl2br w:val="nil"/>
              <w:tr2bl w:val="nil"/>
            </w:tcBorders>
            <w:noWrap w:val="0"/>
            <w:vAlign w:val="center"/>
          </w:tcPr>
          <w:p w14:paraId="5398846C">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bl>
    <w:p w14:paraId="6DDD0380">
      <w:pPr>
        <w:widowControl w:val="0"/>
        <w:numPr>
          <w:ilvl w:val="0"/>
          <w:numId w:val="0"/>
        </w:numPr>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（3）与《畜禽粪便无害化</w:t>
      </w:r>
      <w:r>
        <w:rPr>
          <w:rFonts w:hint="eastAsia" w:cs="Times New Roman"/>
          <w:kern w:val="2"/>
          <w:sz w:val="24"/>
          <w:szCs w:val="24"/>
          <w:lang w:val="en-US" w:eastAsia="zh-CN" w:bidi="ar-SA"/>
        </w:rPr>
        <w:t>处理</w:t>
      </w:r>
      <w:r>
        <w:rPr>
          <w:rFonts w:hint="eastAsia" w:ascii="Times New Roman" w:hAnsi="Times New Roman" w:eastAsia="宋体" w:cs="Times New Roman"/>
          <w:kern w:val="2"/>
          <w:sz w:val="24"/>
          <w:szCs w:val="24"/>
          <w:lang w:val="en-US" w:eastAsia="zh-CN" w:bidi="ar-SA"/>
        </w:rPr>
        <w:t>技术规范》</w:t>
      </w:r>
      <w:r>
        <w:rPr>
          <w:rFonts w:hint="eastAsia" w:cs="Times New Roman"/>
          <w:kern w:val="2"/>
          <w:sz w:val="24"/>
          <w:szCs w:val="24"/>
          <w:lang w:val="en-US" w:eastAsia="zh-CN" w:bidi="ar-SA"/>
        </w:rPr>
        <w:t>（GB/T36195-2018）</w:t>
      </w:r>
      <w:r>
        <w:rPr>
          <w:rFonts w:hint="eastAsia" w:ascii="Times New Roman" w:hAnsi="Times New Roman" w:eastAsia="宋体" w:cs="Times New Roman"/>
          <w:kern w:val="2"/>
          <w:sz w:val="24"/>
          <w:szCs w:val="24"/>
          <w:lang w:val="en-US" w:eastAsia="zh-CN" w:bidi="ar-SA"/>
        </w:rPr>
        <w:t>的符合性分析</w:t>
      </w:r>
    </w:p>
    <w:p w14:paraId="0B9473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A.</w:t>
      </w:r>
      <w:r>
        <w:rPr>
          <w:rFonts w:hint="eastAsia" w:cs="Times New Roman"/>
          <w:color w:val="000000"/>
          <w:kern w:val="2"/>
          <w:sz w:val="24"/>
          <w:szCs w:val="24"/>
          <w:lang w:val="en-US" w:eastAsia="zh-CN" w:bidi="ar-SA"/>
        </w:rPr>
        <w:t>基本要求</w:t>
      </w:r>
    </w:p>
    <w:p w14:paraId="743218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①</w:t>
      </w:r>
      <w:r>
        <w:rPr>
          <w:rFonts w:hint="eastAsia" w:ascii="Times New Roman" w:hAnsi="Times New Roman" w:eastAsia="宋体" w:cs="Times New Roman"/>
          <w:color w:val="000000"/>
          <w:kern w:val="2"/>
          <w:sz w:val="24"/>
          <w:szCs w:val="24"/>
          <w:lang w:val="en-US" w:eastAsia="zh-CN" w:bidi="ar-SA"/>
        </w:rPr>
        <w:t>新建、扩建和改建畜禽养殖场和养殖小区应设置粪污处理区</w:t>
      </w:r>
      <w:r>
        <w:rPr>
          <w:rFonts w:hint="eastAsia"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建设畜禽粪便处理设施</w:t>
      </w:r>
      <w:r>
        <w:rPr>
          <w:rFonts w:hint="eastAsia"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没有粪污处理设施的应补建。</w:t>
      </w:r>
    </w:p>
    <w:p w14:paraId="47ACF6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②</w:t>
      </w:r>
      <w:r>
        <w:rPr>
          <w:rFonts w:hint="eastAsia" w:ascii="Times New Roman" w:hAnsi="Times New Roman" w:eastAsia="宋体" w:cs="Times New Roman"/>
          <w:color w:val="000000"/>
          <w:kern w:val="2"/>
          <w:sz w:val="24"/>
          <w:szCs w:val="24"/>
          <w:lang w:val="en-US" w:eastAsia="zh-CN" w:bidi="ar-SA"/>
        </w:rPr>
        <w:t>畜禽养殖场、养殖小区的粪污处理区布局应按照NY/T 682的规定执行。</w:t>
      </w:r>
    </w:p>
    <w:p w14:paraId="20EC27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③</w:t>
      </w:r>
      <w:r>
        <w:rPr>
          <w:rFonts w:hint="eastAsia" w:ascii="Times New Roman" w:hAnsi="Times New Roman" w:eastAsia="宋体" w:cs="Times New Roman"/>
          <w:color w:val="000000"/>
          <w:kern w:val="2"/>
          <w:sz w:val="24"/>
          <w:szCs w:val="24"/>
          <w:lang w:val="en-US" w:eastAsia="zh-CN" w:bidi="ar-SA"/>
        </w:rPr>
        <w:t>畜禽粪便处理应坚持减量化、资源化和无害化的原则。</w:t>
      </w:r>
    </w:p>
    <w:p w14:paraId="70E079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④</w:t>
      </w:r>
      <w:r>
        <w:rPr>
          <w:rFonts w:hint="eastAsia" w:ascii="Times New Roman" w:hAnsi="Times New Roman" w:eastAsia="宋体" w:cs="Times New Roman"/>
          <w:color w:val="000000"/>
          <w:kern w:val="2"/>
          <w:sz w:val="24"/>
          <w:szCs w:val="24"/>
          <w:lang w:val="en-US" w:eastAsia="zh-CN" w:bidi="ar-SA"/>
        </w:rPr>
        <w:t>畜禽粪便处理过程应满足安全和卫生要求</w:t>
      </w:r>
      <w:r>
        <w:rPr>
          <w:rFonts w:hint="eastAsia"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避免二次污染发生。</w:t>
      </w:r>
    </w:p>
    <w:p w14:paraId="7D5806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⑤</w:t>
      </w:r>
      <w:r>
        <w:rPr>
          <w:rFonts w:hint="eastAsia" w:ascii="Times New Roman" w:hAnsi="Times New Roman" w:eastAsia="宋体" w:cs="Times New Roman"/>
          <w:color w:val="000000"/>
          <w:kern w:val="2"/>
          <w:sz w:val="24"/>
          <w:szCs w:val="24"/>
          <w:lang w:val="en-US" w:eastAsia="zh-CN" w:bidi="ar-SA"/>
        </w:rPr>
        <w:t>发生重大疫情时应按照国家兽医防疫有关规定处置。</w:t>
      </w:r>
    </w:p>
    <w:p w14:paraId="0A5F74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B.粪便收集、贮存和运输</w:t>
      </w:r>
    </w:p>
    <w:p w14:paraId="754BCD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w:t>
      </w:r>
      <w:r>
        <w:rPr>
          <w:rFonts w:hint="eastAsia" w:ascii="Times New Roman" w:hAnsi="Times New Roman" w:eastAsia="宋体" w:cs="Times New Roman"/>
          <w:color w:val="000000"/>
          <w:kern w:val="2"/>
          <w:sz w:val="24"/>
          <w:szCs w:val="24"/>
          <w:lang w:val="en-US" w:eastAsia="zh-CN" w:bidi="ar-SA"/>
        </w:rPr>
        <w:t>畜禽生产过程宜</w:t>
      </w:r>
      <w:r>
        <w:rPr>
          <w:rFonts w:hint="eastAsia" w:cs="Times New Roman"/>
          <w:color w:val="000000"/>
          <w:kern w:val="2"/>
          <w:sz w:val="24"/>
          <w:szCs w:val="24"/>
          <w:lang w:val="en-US" w:eastAsia="zh-CN" w:bidi="ar-SA"/>
        </w:rPr>
        <w:t>采用</w:t>
      </w:r>
      <w:r>
        <w:rPr>
          <w:rFonts w:hint="eastAsia" w:ascii="Times New Roman" w:hAnsi="Times New Roman" w:eastAsia="宋体" w:cs="Times New Roman"/>
          <w:color w:val="000000"/>
          <w:kern w:val="2"/>
          <w:sz w:val="24"/>
          <w:szCs w:val="24"/>
          <w:lang w:val="en-US" w:eastAsia="zh-CN" w:bidi="ar-SA"/>
        </w:rPr>
        <w:t>清粪工艺，实施雨污分流，减少污染物排放量。</w:t>
      </w:r>
    </w:p>
    <w:p w14:paraId="1E47DD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w:t>
      </w:r>
      <w:r>
        <w:rPr>
          <w:rFonts w:hint="eastAsia" w:ascii="Times New Roman" w:hAnsi="Times New Roman" w:eastAsia="宋体" w:cs="Times New Roman"/>
          <w:color w:val="000000"/>
          <w:kern w:val="2"/>
          <w:sz w:val="24"/>
          <w:szCs w:val="24"/>
          <w:lang w:val="en-US" w:eastAsia="zh-CN" w:bidi="ar-SA"/>
        </w:rPr>
        <w:t>畜禽粪便贮存设施应符合GB/T27622的规定。</w:t>
      </w:r>
    </w:p>
    <w:p w14:paraId="5FF34E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w:t>
      </w:r>
      <w:r>
        <w:rPr>
          <w:rFonts w:hint="eastAsia" w:ascii="Times New Roman" w:hAnsi="Times New Roman" w:eastAsia="宋体" w:cs="Times New Roman"/>
          <w:color w:val="000000"/>
          <w:kern w:val="2"/>
          <w:sz w:val="24"/>
          <w:szCs w:val="24"/>
          <w:lang w:val="en-US" w:eastAsia="zh-CN" w:bidi="ar-SA"/>
        </w:rPr>
        <w:t>畜禽养殖污水贮存设施应符合GB/T26624的规定。</w:t>
      </w:r>
    </w:p>
    <w:p w14:paraId="187A95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w:t>
      </w:r>
      <w:r>
        <w:rPr>
          <w:rFonts w:hint="eastAsia" w:ascii="Times New Roman" w:hAnsi="Times New Roman" w:eastAsia="宋体" w:cs="Times New Roman"/>
          <w:color w:val="000000"/>
          <w:kern w:val="2"/>
          <w:sz w:val="24"/>
          <w:szCs w:val="24"/>
          <w:lang w:val="en-US" w:eastAsia="zh-CN" w:bidi="ar-SA"/>
        </w:rPr>
        <w:t>畜禽粪便收集、运输过程中，应采取防遗洒、防渗漏等措施。</w:t>
      </w:r>
    </w:p>
    <w:p w14:paraId="2D2F74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本项目</w:t>
      </w:r>
      <w:r>
        <w:rPr>
          <w:rFonts w:hint="eastAsia" w:cs="Times New Roman"/>
          <w:color w:val="000000"/>
          <w:kern w:val="2"/>
          <w:sz w:val="24"/>
          <w:szCs w:val="24"/>
          <w:lang w:val="en-US" w:eastAsia="zh-CN" w:bidi="ar-SA"/>
        </w:rPr>
        <w:t>养殖场配套</w:t>
      </w:r>
      <w:r>
        <w:rPr>
          <w:rFonts w:hint="eastAsia" w:ascii="Times New Roman" w:hAnsi="Times New Roman" w:eastAsia="宋体" w:cs="Times New Roman"/>
          <w:color w:val="000000"/>
          <w:kern w:val="2"/>
          <w:sz w:val="24"/>
          <w:szCs w:val="24"/>
          <w:lang w:val="en-US" w:eastAsia="zh-CN" w:bidi="ar-SA"/>
        </w:rPr>
        <w:t>粪污处理区，</w:t>
      </w:r>
      <w:r>
        <w:rPr>
          <w:rFonts w:hint="eastAsia" w:cs="Times New Roman"/>
          <w:color w:val="000000"/>
          <w:kern w:val="2"/>
          <w:sz w:val="24"/>
          <w:szCs w:val="24"/>
          <w:lang w:val="en-US" w:eastAsia="zh-CN" w:bidi="ar-SA"/>
        </w:rPr>
        <w:t>本项目配套</w:t>
      </w:r>
      <w:r>
        <w:rPr>
          <w:rFonts w:hint="eastAsia" w:ascii="Times New Roman" w:hAnsi="Times New Roman" w:eastAsia="宋体" w:cs="Times New Roman"/>
          <w:color w:val="000000"/>
          <w:kern w:val="2"/>
          <w:sz w:val="24"/>
          <w:szCs w:val="24"/>
          <w:lang w:val="en-US" w:eastAsia="zh-CN" w:bidi="ar-SA"/>
        </w:rPr>
        <w:t>粪污处理区非集中建立的畜禽粪便处理场，因此布局应按照</w:t>
      </w:r>
      <w:r>
        <w:rPr>
          <w:rFonts w:hint="eastAsia" w:ascii="Times New Roman" w:hAnsi="Times New Roman" w:eastAsia="宋体" w:cs="Times New Roman"/>
          <w:kern w:val="2"/>
          <w:sz w:val="24"/>
          <w:szCs w:val="24"/>
          <w:lang w:val="en-US" w:eastAsia="zh-CN" w:bidi="ar-SA"/>
        </w:rPr>
        <w:t>《畜禽场场区设计技术规范》（NY/T 682-2023）</w:t>
      </w:r>
      <w:r>
        <w:rPr>
          <w:rFonts w:hint="eastAsia" w:ascii="Times New Roman" w:hAnsi="Times New Roman" w:eastAsia="宋体" w:cs="Times New Roman"/>
          <w:color w:val="000000"/>
          <w:kern w:val="2"/>
          <w:sz w:val="24"/>
          <w:szCs w:val="24"/>
          <w:lang w:val="en-US" w:eastAsia="zh-CN" w:bidi="ar-SA"/>
        </w:rPr>
        <w:t>的规定执行，粪污处理区用地范围内不涉及生活饮用水的水源保护区，风景名胜区以及自然保护区的核心区和缓冲区；城镇居民区、文化教育科学研究区等人口集中区域；受洪水或山洪威胁及泥石流，滑坡等自然灾害多发地带；</w:t>
      </w:r>
      <w:r>
        <w:rPr>
          <w:rFonts w:hint="eastAsia" w:cs="Times New Roman"/>
          <w:color w:val="000000"/>
          <w:kern w:val="2"/>
          <w:sz w:val="24"/>
          <w:szCs w:val="24"/>
          <w:lang w:val="en-US" w:eastAsia="zh-CN" w:bidi="ar-SA"/>
        </w:rPr>
        <w:t>第七师</w:t>
      </w:r>
      <w:r>
        <w:rPr>
          <w:rFonts w:hint="eastAsia" w:ascii="Times New Roman" w:hAnsi="Times New Roman" w:eastAsia="宋体" w:cs="Times New Roman"/>
          <w:color w:val="000000"/>
          <w:kern w:val="2"/>
          <w:sz w:val="24"/>
          <w:szCs w:val="24"/>
          <w:lang w:val="en-US" w:eastAsia="zh-CN" w:bidi="ar-SA"/>
        </w:rPr>
        <w:t>划定的禁养区，满足</w:t>
      </w:r>
      <w:r>
        <w:rPr>
          <w:rFonts w:hint="eastAsia" w:ascii="Times New Roman" w:hAnsi="Times New Roman" w:eastAsia="宋体" w:cs="Times New Roman"/>
          <w:kern w:val="2"/>
          <w:sz w:val="24"/>
          <w:szCs w:val="24"/>
          <w:lang w:val="en-US" w:eastAsia="zh-CN" w:bidi="ar-SA"/>
        </w:rPr>
        <w:t>《畜禽场场区设计技术规范》（NY/T 682-2023）选址布局要求。</w:t>
      </w:r>
      <w:r>
        <w:rPr>
          <w:rFonts w:hint="eastAsia" w:ascii="Times New Roman" w:hAnsi="Times New Roman" w:eastAsia="宋体" w:cs="Times New Roman"/>
          <w:color w:val="000000"/>
          <w:kern w:val="2"/>
          <w:sz w:val="24"/>
          <w:szCs w:val="24"/>
          <w:lang w:val="en-US" w:eastAsia="zh-CN" w:bidi="ar-SA"/>
        </w:rPr>
        <w:t>粪便收集、贮存和运输符合相关要求；固态满足相关内容。</w:t>
      </w:r>
      <w:r>
        <w:rPr>
          <w:rFonts w:hint="eastAsia" w:cs="Times New Roman"/>
          <w:color w:val="000000"/>
          <w:kern w:val="2"/>
          <w:sz w:val="24"/>
          <w:szCs w:val="24"/>
          <w:lang w:val="en-US" w:eastAsia="zh-CN" w:bidi="ar-SA"/>
        </w:rPr>
        <w:t>因此本项目粪污处理区建设满足</w:t>
      </w:r>
      <w:r>
        <w:rPr>
          <w:rFonts w:hint="eastAsia" w:ascii="Times New Roman" w:hAnsi="Times New Roman" w:eastAsia="宋体" w:cs="Times New Roman"/>
          <w:kern w:val="2"/>
          <w:sz w:val="24"/>
          <w:szCs w:val="24"/>
          <w:lang w:val="en-US" w:eastAsia="zh-CN" w:bidi="ar-SA"/>
        </w:rPr>
        <w:t>《畜禽粪便无害化</w:t>
      </w:r>
      <w:r>
        <w:rPr>
          <w:rFonts w:hint="eastAsia" w:cs="Times New Roman"/>
          <w:kern w:val="2"/>
          <w:sz w:val="24"/>
          <w:szCs w:val="24"/>
          <w:lang w:val="en-US" w:eastAsia="zh-CN" w:bidi="ar-SA"/>
        </w:rPr>
        <w:t>处理</w:t>
      </w:r>
      <w:r>
        <w:rPr>
          <w:rFonts w:hint="eastAsia" w:ascii="Times New Roman" w:hAnsi="Times New Roman" w:eastAsia="宋体" w:cs="Times New Roman"/>
          <w:kern w:val="2"/>
          <w:sz w:val="24"/>
          <w:szCs w:val="24"/>
          <w:lang w:val="en-US" w:eastAsia="zh-CN" w:bidi="ar-SA"/>
        </w:rPr>
        <w:t>技术规范》</w:t>
      </w:r>
      <w:r>
        <w:rPr>
          <w:rFonts w:hint="eastAsia" w:cs="Times New Roman"/>
          <w:kern w:val="2"/>
          <w:sz w:val="24"/>
          <w:szCs w:val="24"/>
          <w:lang w:val="en-US" w:eastAsia="zh-CN" w:bidi="ar-SA"/>
        </w:rPr>
        <w:t>（GB/T36195-2018）要求。</w:t>
      </w:r>
    </w:p>
    <w:p w14:paraId="3B16E3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w:t>
      </w:r>
      <w:r>
        <w:rPr>
          <w:rFonts w:hint="eastAsia" w:cs="Times New Roman"/>
          <w:color w:val="000000"/>
          <w:kern w:val="2"/>
          <w:sz w:val="24"/>
          <w:szCs w:val="24"/>
          <w:lang w:val="en-US" w:eastAsia="zh-CN" w:bidi="ar-SA"/>
        </w:rPr>
        <w:t>4</w:t>
      </w:r>
      <w:r>
        <w:rPr>
          <w:rFonts w:hint="default"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与《关于进一步明确畜禽粪污还田利用要求强化养殖污染监管的通知》的符合性</w:t>
      </w:r>
    </w:p>
    <w:p w14:paraId="14E60C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对配套土地充足的养殖场户，粪污经无害化处理后还田利用具体要求及限量应符合《畜禽粪便无害化处理技术规范》（GB/T 36195）和《畜禽粪便还田技术规范》（GB/T 25246），配套土地面积应达到《畜禽粪污土地承载力测算技术指南》（以下简称《指南》）要求的最小面积。</w:t>
      </w:r>
    </w:p>
    <w:p w14:paraId="57DEFB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本项目</w:t>
      </w:r>
      <w:r>
        <w:rPr>
          <w:rFonts w:hint="eastAsia" w:cs="Times New Roman"/>
          <w:color w:val="000000"/>
          <w:kern w:val="2"/>
          <w:sz w:val="24"/>
          <w:szCs w:val="24"/>
          <w:lang w:val="en-US" w:eastAsia="zh-CN" w:bidi="ar-SA"/>
        </w:rPr>
        <w:t>粪污经无害化处理后还田，</w:t>
      </w:r>
      <w:r>
        <w:rPr>
          <w:rFonts w:hint="eastAsia" w:ascii="Times New Roman" w:hAnsi="Times New Roman" w:eastAsia="宋体" w:cs="Times New Roman"/>
          <w:color w:val="000000"/>
          <w:kern w:val="2"/>
          <w:sz w:val="24"/>
          <w:szCs w:val="24"/>
          <w:lang w:val="en-US" w:eastAsia="zh-CN" w:bidi="ar-SA"/>
        </w:rPr>
        <w:t>根据项目所核算的最小施用面积项目满足</w:t>
      </w:r>
      <w:r>
        <w:rPr>
          <w:rFonts w:hint="eastAsia" w:cs="Times New Roman"/>
          <w:bCs/>
          <w:color w:val="000000"/>
          <w:sz w:val="24"/>
          <w:lang w:val="en-US" w:eastAsia="zh-CN"/>
        </w:rPr>
        <w:t>《畜禽粪肥还田技术规范》（GB/T25246—2025）</w:t>
      </w:r>
      <w:r>
        <w:rPr>
          <w:rFonts w:hint="eastAsia" w:ascii="Times New Roman" w:hAnsi="Times New Roman" w:eastAsia="宋体" w:cs="Times New Roman"/>
          <w:color w:val="000000"/>
          <w:kern w:val="2"/>
          <w:sz w:val="24"/>
          <w:szCs w:val="24"/>
          <w:lang w:val="en-US" w:eastAsia="zh-CN" w:bidi="ar-SA"/>
        </w:rPr>
        <w:t>的相关要求</w:t>
      </w:r>
      <w:r>
        <w:rPr>
          <w:rFonts w:hint="eastAsia" w:cs="Times New Roman"/>
          <w:color w:val="000000"/>
          <w:kern w:val="2"/>
          <w:sz w:val="24"/>
          <w:szCs w:val="24"/>
          <w:lang w:val="en-US" w:eastAsia="zh-CN" w:bidi="ar-SA"/>
        </w:rPr>
        <w:t>，因此符合</w:t>
      </w:r>
      <w:r>
        <w:rPr>
          <w:rFonts w:hint="eastAsia" w:ascii="Times New Roman" w:hAnsi="Times New Roman" w:eastAsia="宋体" w:cs="Times New Roman"/>
          <w:color w:val="000000"/>
          <w:kern w:val="2"/>
          <w:sz w:val="24"/>
          <w:szCs w:val="24"/>
          <w:lang w:val="en-US" w:eastAsia="zh-CN" w:bidi="ar-SA"/>
        </w:rPr>
        <w:t>《关于进一步明确畜禽粪污还田利用要求强化养殖污染监管的通知》</w:t>
      </w:r>
      <w:r>
        <w:rPr>
          <w:rFonts w:hint="eastAsia" w:cs="Times New Roman"/>
          <w:color w:val="000000"/>
          <w:kern w:val="2"/>
          <w:sz w:val="24"/>
          <w:szCs w:val="24"/>
          <w:lang w:val="en-US" w:eastAsia="zh-CN" w:bidi="ar-SA"/>
        </w:rPr>
        <w:t>要求</w:t>
      </w:r>
      <w:r>
        <w:rPr>
          <w:rFonts w:hint="eastAsia" w:ascii="Times New Roman" w:hAnsi="Times New Roman" w:eastAsia="宋体" w:cs="Times New Roman"/>
          <w:color w:val="000000"/>
          <w:kern w:val="2"/>
          <w:sz w:val="24"/>
          <w:szCs w:val="24"/>
          <w:lang w:val="en-US" w:eastAsia="zh-CN" w:bidi="ar-SA"/>
        </w:rPr>
        <w:t>。</w:t>
      </w:r>
    </w:p>
    <w:p w14:paraId="3A49AC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w:t>
      </w:r>
      <w:r>
        <w:rPr>
          <w:rFonts w:hint="eastAsia" w:cs="Times New Roman"/>
          <w:color w:val="000000"/>
          <w:kern w:val="2"/>
          <w:sz w:val="24"/>
          <w:szCs w:val="24"/>
          <w:lang w:val="en-US" w:eastAsia="zh-CN" w:bidi="ar-SA"/>
        </w:rPr>
        <w:t>5</w:t>
      </w:r>
      <w:r>
        <w:rPr>
          <w:rFonts w:hint="eastAsia" w:ascii="Times New Roman" w:hAnsi="Times New Roman" w:eastAsia="宋体" w:cs="Times New Roman"/>
          <w:color w:val="000000"/>
          <w:kern w:val="2"/>
          <w:sz w:val="24"/>
          <w:szCs w:val="24"/>
          <w:lang w:val="en-US" w:eastAsia="zh-CN" w:bidi="ar-SA"/>
        </w:rPr>
        <w:t>）与《畜禽规模养殖场粪污资源化利用设施建设规范</w:t>
      </w:r>
      <w:r>
        <w:rPr>
          <w:rFonts w:hint="eastAsia"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试行</w:t>
      </w:r>
      <w:r>
        <w:rPr>
          <w:rFonts w:hint="eastAsia"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》的符合性</w:t>
      </w:r>
    </w:p>
    <w:p w14:paraId="4D44F08A">
      <w:pPr>
        <w:widowControl w:val="0"/>
        <w:numPr>
          <w:ilvl w:val="0"/>
          <w:numId w:val="0"/>
        </w:numPr>
        <w:spacing w:after="120" w:line="360" w:lineRule="auto"/>
        <w:ind w:firstLine="480" w:firstLineChars="200"/>
        <w:jc w:val="both"/>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color w:val="000000"/>
          <w:kern w:val="2"/>
          <w:sz w:val="24"/>
          <w:szCs w:val="24"/>
          <w:lang w:val="en-US" w:eastAsia="zh-CN" w:bidi="ar-SA"/>
        </w:rPr>
        <w:t>本项目</w:t>
      </w:r>
      <w:r>
        <w:rPr>
          <w:rFonts w:hint="eastAsia" w:cs="Times New Roman"/>
          <w:color w:val="000000"/>
          <w:kern w:val="2"/>
          <w:sz w:val="24"/>
          <w:szCs w:val="24"/>
          <w:lang w:val="en-US" w:eastAsia="zh-CN" w:bidi="ar-SA"/>
        </w:rPr>
        <w:t>牛圈设置原位发酵床</w:t>
      </w:r>
      <w:r>
        <w:rPr>
          <w:rFonts w:hint="eastAsia" w:ascii="Times New Roman" w:hAnsi="Times New Roman" w:eastAsia="宋体" w:cs="Times New Roman"/>
          <w:color w:val="000000"/>
          <w:kern w:val="2"/>
          <w:sz w:val="24"/>
          <w:szCs w:val="24"/>
          <w:lang w:val="en-US" w:eastAsia="zh-CN" w:bidi="ar-SA"/>
        </w:rPr>
        <w:t>，</w:t>
      </w:r>
      <w:r>
        <w:rPr>
          <w:rFonts w:hint="eastAsia" w:cs="Times New Roman"/>
          <w:color w:val="000000"/>
          <w:kern w:val="2"/>
          <w:sz w:val="24"/>
          <w:szCs w:val="24"/>
          <w:lang w:val="en-US" w:eastAsia="zh-CN" w:bidi="ar-SA"/>
        </w:rPr>
        <w:t>粪便经发酵床发酵后，作为固态肥还田</w:t>
      </w:r>
      <w:r>
        <w:rPr>
          <w:rFonts w:hint="eastAsia"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vertAlign w:val="baseline"/>
          <w:lang w:val="en-US" w:eastAsia="zh-CN" w:bidi="ar-SA"/>
        </w:rPr>
        <w:t>满足</w:t>
      </w:r>
      <w:r>
        <w:rPr>
          <w:rFonts w:hint="eastAsia" w:cs="Times New Roman"/>
          <w:color w:val="000000"/>
          <w:kern w:val="2"/>
          <w:sz w:val="24"/>
          <w:szCs w:val="24"/>
          <w:vertAlign w:val="baseline"/>
          <w:lang w:val="en-US" w:eastAsia="zh-CN" w:bidi="ar-SA"/>
        </w:rPr>
        <w:t>“</w:t>
      </w:r>
      <w:r>
        <w:rPr>
          <w:rFonts w:hint="eastAsia" w:ascii="Times New Roman" w:hAnsi="Times New Roman" w:eastAsia="宋体" w:cs="Times New Roman"/>
          <w:color w:val="000000"/>
          <w:kern w:val="2"/>
          <w:sz w:val="24"/>
          <w:szCs w:val="24"/>
          <w:vertAlign w:val="baseline"/>
          <w:lang w:val="en-US" w:eastAsia="zh-CN" w:bidi="ar-SA"/>
        </w:rPr>
        <w:t>利用设施建设规范</w:t>
      </w:r>
      <w:r>
        <w:rPr>
          <w:rFonts w:hint="eastAsia" w:cs="Times New Roman"/>
          <w:color w:val="000000"/>
          <w:kern w:val="2"/>
          <w:sz w:val="24"/>
          <w:szCs w:val="24"/>
          <w:vertAlign w:val="baseline"/>
          <w:lang w:val="en-US" w:eastAsia="zh-CN" w:bidi="ar-SA"/>
        </w:rPr>
        <w:t>”</w:t>
      </w:r>
      <w:r>
        <w:rPr>
          <w:rFonts w:hint="eastAsia" w:ascii="Times New Roman" w:hAnsi="Times New Roman" w:eastAsia="宋体" w:cs="Times New Roman"/>
          <w:color w:val="000000"/>
          <w:kern w:val="2"/>
          <w:sz w:val="24"/>
          <w:szCs w:val="24"/>
          <w:vertAlign w:val="baseline"/>
          <w:lang w:val="en-US" w:eastAsia="zh-CN" w:bidi="ar-SA"/>
        </w:rPr>
        <w:t>的相关要求。</w:t>
      </w:r>
      <w:r>
        <w:rPr>
          <w:rFonts w:hint="eastAsia" w:ascii="Times New Roman" w:hAnsi="Times New Roman" w:eastAsia="宋体" w:cs="Times New Roman"/>
          <w:kern w:val="2"/>
          <w:sz w:val="24"/>
          <w:szCs w:val="24"/>
          <w:lang w:val="zh-CN" w:eastAsia="zh-CN" w:bidi="ar-SA"/>
        </w:rPr>
        <w:t>本项目与</w:t>
      </w:r>
      <w:r>
        <w:rPr>
          <w:rFonts w:hint="eastAsia" w:ascii="Times New Roman" w:hAnsi="Times New Roman" w:eastAsia="宋体" w:cs="Times New Roman"/>
          <w:color w:val="000000"/>
          <w:kern w:val="2"/>
          <w:sz w:val="24"/>
          <w:szCs w:val="24"/>
          <w:lang w:val="en-US" w:eastAsia="zh-CN" w:bidi="ar-SA"/>
        </w:rPr>
        <w:t>《畜禽规模养殖场粪污资源化利用设施建设规范（试行）》</w:t>
      </w:r>
      <w:r>
        <w:rPr>
          <w:rFonts w:hint="eastAsia" w:ascii="Times New Roman" w:hAnsi="Times New Roman" w:eastAsia="宋体" w:cs="Times New Roman"/>
          <w:kern w:val="2"/>
          <w:sz w:val="24"/>
          <w:szCs w:val="24"/>
          <w:lang w:val="zh-CN" w:eastAsia="zh-CN" w:bidi="ar-SA"/>
        </w:rPr>
        <w:t>的</w:t>
      </w:r>
      <w:r>
        <w:rPr>
          <w:rFonts w:hint="eastAsia" w:ascii="Times New Roman" w:hAnsi="Times New Roman" w:eastAsia="宋体" w:cs="Times New Roman"/>
          <w:kern w:val="2"/>
          <w:sz w:val="24"/>
          <w:szCs w:val="24"/>
          <w:lang w:val="en-US" w:eastAsia="zh-CN" w:bidi="ar-SA"/>
        </w:rPr>
        <w:t>符合性分析详见表1.4-3。</w:t>
      </w:r>
    </w:p>
    <w:p w14:paraId="04A31AC1">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宋体" w:cs="Times New Roman"/>
          <w:b/>
          <w:color w:val="000000"/>
          <w:sz w:val="24"/>
          <w:szCs w:val="24"/>
          <w:lang w:bidi="ar"/>
        </w:rPr>
      </w:pPr>
      <w:r>
        <w:rPr>
          <w:rFonts w:hint="default" w:ascii="Times New Roman" w:hAnsi="Times New Roman" w:eastAsia="宋体" w:cs="Times New Roman"/>
          <w:b/>
          <w:color w:val="000000"/>
          <w:sz w:val="24"/>
          <w:szCs w:val="24"/>
          <w:lang w:bidi="ar"/>
        </w:rPr>
        <w:t>表</w:t>
      </w:r>
      <w:r>
        <w:rPr>
          <w:rFonts w:hint="eastAsia" w:ascii="Times New Roman" w:hAnsi="Times New Roman" w:eastAsia="宋体" w:cs="Times New Roman"/>
          <w:b/>
          <w:color w:val="000000"/>
          <w:sz w:val="24"/>
          <w:szCs w:val="24"/>
          <w:lang w:val="en-US" w:eastAsia="zh-CN" w:bidi="ar"/>
        </w:rPr>
        <w:t>1.4-</w:t>
      </w:r>
      <w:r>
        <w:rPr>
          <w:rFonts w:hint="eastAsia" w:cs="Times New Roman"/>
          <w:b/>
          <w:color w:val="000000"/>
          <w:sz w:val="24"/>
          <w:szCs w:val="24"/>
          <w:lang w:val="en-US" w:eastAsia="zh-CN" w:bidi="ar"/>
        </w:rPr>
        <w:t>3</w:t>
      </w:r>
      <w:r>
        <w:rPr>
          <w:rFonts w:hint="eastAsia" w:ascii="Times New Roman" w:hAnsi="Times New Roman" w:eastAsia="宋体" w:cs="Times New Roman"/>
          <w:b/>
          <w:color w:val="000000"/>
          <w:sz w:val="24"/>
          <w:szCs w:val="24"/>
          <w:lang w:eastAsia="zh-CN" w:bidi="ar"/>
        </w:rPr>
        <w:t>本项目</w:t>
      </w:r>
      <w:r>
        <w:rPr>
          <w:rFonts w:hint="default" w:ascii="Times New Roman" w:hAnsi="Times New Roman" w:eastAsia="宋体" w:cs="Times New Roman"/>
          <w:b/>
          <w:color w:val="000000"/>
          <w:sz w:val="24"/>
          <w:szCs w:val="24"/>
          <w:lang w:val="zh-CN" w:bidi="ar"/>
        </w:rPr>
        <w:t>与</w:t>
      </w:r>
      <w:r>
        <w:rPr>
          <w:rFonts w:hint="default" w:ascii="Times New Roman" w:hAnsi="Times New Roman" w:eastAsia="宋体" w:cs="Times New Roman"/>
          <w:b/>
          <w:color w:val="000000"/>
          <w:sz w:val="24"/>
          <w:szCs w:val="24"/>
          <w:lang w:val="zh-CN" w:eastAsia="zh-CN" w:bidi="ar"/>
        </w:rPr>
        <w:t>《畜禽规模养殖场粪污资源化利用设施建设规范（试行）》</w:t>
      </w:r>
      <w:r>
        <w:rPr>
          <w:rFonts w:hint="eastAsia" w:cs="Times New Roman"/>
          <w:b/>
          <w:color w:val="000000"/>
          <w:sz w:val="24"/>
          <w:szCs w:val="24"/>
          <w:lang w:val="en-US" w:eastAsia="zh-CN" w:bidi="ar"/>
        </w:rPr>
        <w:t>符合性</w:t>
      </w:r>
      <w:r>
        <w:rPr>
          <w:rFonts w:hint="default" w:ascii="Times New Roman" w:hAnsi="Times New Roman" w:eastAsia="宋体" w:cs="Times New Roman"/>
          <w:b/>
          <w:color w:val="000000"/>
          <w:sz w:val="24"/>
          <w:szCs w:val="24"/>
          <w:lang w:bidi="ar"/>
        </w:rPr>
        <w:t>分析</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23"/>
        <w:gridCol w:w="2540"/>
        <w:gridCol w:w="1041"/>
      </w:tblGrid>
      <w:tr w14:paraId="12AC5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3" w:type="dxa"/>
            <w:tcBorders>
              <w:tl2br w:val="nil"/>
              <w:tr2bl w:val="nil"/>
            </w:tcBorders>
            <w:noWrap w:val="0"/>
            <w:vAlign w:val="center"/>
          </w:tcPr>
          <w:p w14:paraId="11B33F47">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具体规定与要求</w:t>
            </w:r>
          </w:p>
        </w:tc>
        <w:tc>
          <w:tcPr>
            <w:tcW w:w="2540" w:type="dxa"/>
            <w:tcBorders>
              <w:tl2br w:val="nil"/>
              <w:tr2bl w:val="nil"/>
            </w:tcBorders>
            <w:noWrap w:val="0"/>
            <w:vAlign w:val="center"/>
          </w:tcPr>
          <w:p w14:paraId="57B065C2">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本项目实际情况</w:t>
            </w:r>
          </w:p>
        </w:tc>
        <w:tc>
          <w:tcPr>
            <w:tcW w:w="1041" w:type="dxa"/>
            <w:tcBorders>
              <w:tl2br w:val="nil"/>
              <w:tr2bl w:val="nil"/>
            </w:tcBorders>
            <w:noWrap w:val="0"/>
            <w:vAlign w:val="center"/>
          </w:tcPr>
          <w:p w14:paraId="0735D422">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符合性分析</w:t>
            </w:r>
          </w:p>
        </w:tc>
      </w:tr>
      <w:tr w14:paraId="6E3B7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3" w:type="dxa"/>
            <w:tcBorders>
              <w:tl2br w:val="nil"/>
              <w:tr2bl w:val="nil"/>
            </w:tcBorders>
            <w:noWrap w:val="0"/>
            <w:vAlign w:val="center"/>
          </w:tcPr>
          <w:p w14:paraId="07F7212F">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畜禽粪污资源化利用是指在畜禽粪污处理过程中，通过生产沼气、堆肥、沤肥、沼肥、肥水、商品有机肥、垫料、基质等方式进行合理利用。</w:t>
            </w:r>
          </w:p>
        </w:tc>
        <w:tc>
          <w:tcPr>
            <w:tcW w:w="2540" w:type="dxa"/>
            <w:tcBorders>
              <w:tl2br w:val="nil"/>
              <w:tr2bl w:val="nil"/>
            </w:tcBorders>
            <w:noWrap w:val="0"/>
            <w:vAlign w:val="center"/>
          </w:tcPr>
          <w:p w14:paraId="37A695CF">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本项目设置发酵床发酵等方式对粪污进行资源化利用</w:t>
            </w:r>
          </w:p>
        </w:tc>
        <w:tc>
          <w:tcPr>
            <w:tcW w:w="1041" w:type="dxa"/>
            <w:tcBorders>
              <w:tl2br w:val="nil"/>
              <w:tr2bl w:val="nil"/>
            </w:tcBorders>
            <w:noWrap w:val="0"/>
            <w:vAlign w:val="center"/>
          </w:tcPr>
          <w:p w14:paraId="3F6C721E">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755E0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3" w:type="dxa"/>
            <w:tcBorders>
              <w:tl2br w:val="nil"/>
              <w:tr2bl w:val="nil"/>
            </w:tcBorders>
            <w:noWrap w:val="0"/>
            <w:vAlign w:val="center"/>
          </w:tcPr>
          <w:p w14:paraId="22454BE6">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畜禽规模养殖场粪污资源化利用应坚持农牧结合、种养平衡，按照资源化、减量化、无害化的原则，对源头减量、过程控制和末端利用各环节进行全程管理，提高粪污综合利用率和设施装备配套率。</w:t>
            </w:r>
          </w:p>
        </w:tc>
        <w:tc>
          <w:tcPr>
            <w:tcW w:w="2540" w:type="dxa"/>
            <w:tcBorders>
              <w:tl2br w:val="nil"/>
              <w:tr2bl w:val="nil"/>
            </w:tcBorders>
            <w:noWrap w:val="0"/>
            <w:vAlign w:val="center"/>
          </w:tcPr>
          <w:p w14:paraId="1B76EB15">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本项目科学配比饲料，采用原位发酵床工艺，配套粪污处理设施，经无害化处理后还田于本项目周边农田，做到源头减量、过程控制、末端利用</w:t>
            </w:r>
          </w:p>
        </w:tc>
        <w:tc>
          <w:tcPr>
            <w:tcW w:w="1041" w:type="dxa"/>
            <w:tcBorders>
              <w:tl2br w:val="nil"/>
              <w:tr2bl w:val="nil"/>
            </w:tcBorders>
            <w:noWrap w:val="0"/>
            <w:vAlign w:val="center"/>
          </w:tcPr>
          <w:p w14:paraId="5885AA5A">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10F06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3" w:type="dxa"/>
            <w:tcBorders>
              <w:tl2br w:val="nil"/>
              <w:tr2bl w:val="nil"/>
            </w:tcBorders>
            <w:noWrap w:val="0"/>
            <w:vAlign w:val="center"/>
          </w:tcPr>
          <w:p w14:paraId="3E44CF18">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畜禽规模养殖场应根据养殖污染防治要求，建设与养殖规模相配套的粪污资源化利用设施设备，并确保正常运行。</w:t>
            </w:r>
          </w:p>
        </w:tc>
        <w:tc>
          <w:tcPr>
            <w:tcW w:w="2540" w:type="dxa"/>
            <w:tcBorders>
              <w:tl2br w:val="nil"/>
              <w:tr2bl w:val="nil"/>
            </w:tcBorders>
            <w:noWrap w:val="0"/>
            <w:vAlign w:val="center"/>
          </w:tcPr>
          <w:p w14:paraId="3381225E">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本项目配套能够容量充足的粪污资源化利用设施，定期检修，确保正常运行</w:t>
            </w:r>
          </w:p>
        </w:tc>
        <w:tc>
          <w:tcPr>
            <w:tcW w:w="1041" w:type="dxa"/>
            <w:tcBorders>
              <w:tl2br w:val="nil"/>
              <w:tr2bl w:val="nil"/>
            </w:tcBorders>
            <w:noWrap w:val="0"/>
            <w:vAlign w:val="center"/>
          </w:tcPr>
          <w:p w14:paraId="0146323E">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满足要求</w:t>
            </w:r>
          </w:p>
        </w:tc>
      </w:tr>
      <w:tr w14:paraId="0B71F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3" w:type="dxa"/>
            <w:tcBorders>
              <w:tl2br w:val="nil"/>
              <w:tr2bl w:val="nil"/>
            </w:tcBorders>
            <w:noWrap w:val="0"/>
            <w:vAlign w:val="center"/>
          </w:tcPr>
          <w:p w14:paraId="39151DAF">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畜禽规模养殖场宜采用干清粪工艺。采用水泡粪工艺的，要控制用水量，减少粪污产生总量。鼓励水冲粪工艺改造为干清粪或水泡粪。不同畜种不同清粪工艺最高允许排水量按照</w:t>
            </w:r>
            <w:r>
              <w:rPr>
                <w:rFonts w:hint="eastAsia" w:ascii="Times New Roman" w:hAnsi="Times New Roman" w:eastAsia="宋体" w:cs="Times New Roman"/>
                <w:color w:val="000000"/>
                <w:sz w:val="21"/>
                <w:szCs w:val="21"/>
                <w:lang w:val="en-US" w:eastAsia="zh-CN"/>
              </w:rPr>
              <w:t>GB 18596 </w:t>
            </w:r>
            <w:r>
              <w:rPr>
                <w:rFonts w:hint="eastAsia" w:ascii="Times New Roman" w:hAnsi="Times New Roman" w:eastAsia="宋体" w:cs="Times New Roman"/>
                <w:color w:val="000000"/>
                <w:sz w:val="21"/>
                <w:szCs w:val="21"/>
                <w:lang w:eastAsia="zh-CN"/>
              </w:rPr>
              <w:t>执行。</w:t>
            </w:r>
          </w:p>
        </w:tc>
        <w:tc>
          <w:tcPr>
            <w:tcW w:w="2540" w:type="dxa"/>
            <w:tcBorders>
              <w:tl2br w:val="nil"/>
              <w:tr2bl w:val="nil"/>
            </w:tcBorders>
            <w:noWrap w:val="0"/>
            <w:vAlign w:val="center"/>
          </w:tcPr>
          <w:p w14:paraId="264203E0">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本项目牛圈不排水，排水量未超过最高允许排水量要求</w:t>
            </w:r>
          </w:p>
        </w:tc>
        <w:tc>
          <w:tcPr>
            <w:tcW w:w="1041" w:type="dxa"/>
            <w:tcBorders>
              <w:tl2br w:val="nil"/>
              <w:tr2bl w:val="nil"/>
            </w:tcBorders>
            <w:noWrap w:val="0"/>
            <w:vAlign w:val="center"/>
          </w:tcPr>
          <w:p w14:paraId="230873C4">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ascii="Times New Roman" w:hAnsi="Times New Roman" w:eastAsia="宋体" w:cs="Times New Roman"/>
                <w:color w:val="000000"/>
                <w:sz w:val="21"/>
                <w:szCs w:val="21"/>
              </w:rPr>
              <w:t>满足要求</w:t>
            </w:r>
          </w:p>
        </w:tc>
      </w:tr>
      <w:tr w14:paraId="7E104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3" w:type="dxa"/>
            <w:tcBorders>
              <w:tl2br w:val="nil"/>
              <w:tr2bl w:val="nil"/>
            </w:tcBorders>
            <w:noWrap w:val="0"/>
            <w:vAlign w:val="center"/>
          </w:tcPr>
          <w:p w14:paraId="1500C20C">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畜禽规模养殖场应及时对粪污进行收集、贮存，粪污暂存池（场）应满足防渗、防雨、防溢流等要求。</w:t>
            </w:r>
          </w:p>
        </w:tc>
        <w:tc>
          <w:tcPr>
            <w:tcW w:w="2540" w:type="dxa"/>
            <w:tcBorders>
              <w:tl2br w:val="nil"/>
              <w:tr2bl w:val="nil"/>
            </w:tcBorders>
            <w:noWrap w:val="0"/>
            <w:vAlign w:val="center"/>
          </w:tcPr>
          <w:p w14:paraId="6803044B">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本项目配套粪污贮存、处理设施，并满足防雨、防渗、防溢流要求</w:t>
            </w:r>
          </w:p>
        </w:tc>
        <w:tc>
          <w:tcPr>
            <w:tcW w:w="1041" w:type="dxa"/>
            <w:tcBorders>
              <w:tl2br w:val="nil"/>
              <w:tr2bl w:val="nil"/>
            </w:tcBorders>
            <w:noWrap w:val="0"/>
            <w:vAlign w:val="center"/>
          </w:tcPr>
          <w:p w14:paraId="5DD17BF3">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满足要求</w:t>
            </w:r>
          </w:p>
        </w:tc>
      </w:tr>
      <w:tr w14:paraId="0155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23" w:type="dxa"/>
            <w:tcBorders>
              <w:tl2br w:val="nil"/>
              <w:tr2bl w:val="nil"/>
            </w:tcBorders>
            <w:noWrap w:val="0"/>
            <w:vAlign w:val="center"/>
          </w:tcPr>
          <w:p w14:paraId="303E148D">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畜禽规模养殖场应建设雨污分离设施，污水宜采用暗沟或管道输送。</w:t>
            </w:r>
          </w:p>
        </w:tc>
        <w:tc>
          <w:tcPr>
            <w:tcW w:w="2540" w:type="dxa"/>
            <w:tcBorders>
              <w:tl2br w:val="nil"/>
              <w:tr2bl w:val="nil"/>
            </w:tcBorders>
            <w:noWrap w:val="0"/>
            <w:vAlign w:val="center"/>
          </w:tcPr>
          <w:p w14:paraId="591C4EE1">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本项目雨污分流，污水输送采用管道输送，不设置明渠</w:t>
            </w:r>
          </w:p>
        </w:tc>
        <w:tc>
          <w:tcPr>
            <w:tcW w:w="1041" w:type="dxa"/>
            <w:tcBorders>
              <w:tl2br w:val="nil"/>
              <w:tr2bl w:val="nil"/>
            </w:tcBorders>
            <w:noWrap w:val="0"/>
            <w:vAlign w:val="center"/>
          </w:tcPr>
          <w:p w14:paraId="393359D7">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ascii="Times New Roman" w:hAnsi="Times New Roman" w:eastAsia="宋体" w:cs="Times New Roman"/>
                <w:color w:val="000000"/>
                <w:sz w:val="21"/>
                <w:szCs w:val="21"/>
              </w:rPr>
              <w:t>满足要求</w:t>
            </w:r>
          </w:p>
        </w:tc>
      </w:tr>
      <w:bookmarkEnd w:id="43"/>
      <w:bookmarkEnd w:id="44"/>
      <w:bookmarkEnd w:id="45"/>
    </w:tbl>
    <w:p w14:paraId="6BACF9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kern w:val="2"/>
          <w:sz w:val="24"/>
          <w:szCs w:val="24"/>
          <w:lang w:val="en-US" w:eastAsia="zh-CN" w:bidi="ar-SA"/>
        </w:rPr>
      </w:pPr>
      <w:bookmarkStart w:id="47" w:name="_Toc9159"/>
      <w:bookmarkStart w:id="48" w:name="_Toc38885382"/>
      <w:bookmarkStart w:id="49" w:name="_Toc2600"/>
      <w:bookmarkStart w:id="50" w:name="_Toc28795"/>
      <w:bookmarkStart w:id="51" w:name="_Toc19107"/>
      <w:r>
        <w:rPr>
          <w:rFonts w:hint="eastAsia" w:ascii="Times New Roman" w:hAnsi="Times New Roman" w:eastAsia="宋体" w:cs="Times New Roman"/>
          <w:color w:val="000000"/>
          <w:kern w:val="2"/>
          <w:sz w:val="24"/>
          <w:szCs w:val="24"/>
          <w:lang w:val="en-US" w:eastAsia="zh-CN" w:bidi="ar-SA"/>
        </w:rPr>
        <w:t>（</w:t>
      </w:r>
      <w:r>
        <w:rPr>
          <w:rFonts w:hint="eastAsia" w:cs="Times New Roman"/>
          <w:color w:val="000000"/>
          <w:kern w:val="2"/>
          <w:sz w:val="24"/>
          <w:szCs w:val="24"/>
          <w:lang w:val="en-US" w:eastAsia="zh-CN" w:bidi="ar-SA"/>
        </w:rPr>
        <w:t>7</w:t>
      </w:r>
      <w:r>
        <w:rPr>
          <w:rFonts w:hint="eastAsia" w:ascii="Times New Roman" w:hAnsi="Times New Roman" w:eastAsia="宋体" w:cs="Times New Roman"/>
          <w:color w:val="000000"/>
          <w:kern w:val="2"/>
          <w:sz w:val="24"/>
          <w:szCs w:val="24"/>
          <w:lang w:val="en-US" w:eastAsia="zh-CN" w:bidi="ar-SA"/>
        </w:rPr>
        <w:t>）与《畜禽养殖业污染治理工程技术规范》（HJ 497-2009）的符合性</w:t>
      </w:r>
    </w:p>
    <w:p w14:paraId="4B713A74">
      <w:pPr>
        <w:widowControl w:val="0"/>
        <w:numPr>
          <w:ilvl w:val="0"/>
          <w:numId w:val="0"/>
        </w:numPr>
        <w:spacing w:after="120" w:line="360" w:lineRule="auto"/>
        <w:ind w:firstLine="480" w:firstLineChars="200"/>
        <w:jc w:val="both"/>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4"/>
          <w:szCs w:val="24"/>
          <w:lang w:val="zh-CN" w:eastAsia="zh-CN" w:bidi="ar-SA"/>
        </w:rPr>
        <w:t>本项目与</w:t>
      </w:r>
      <w:r>
        <w:rPr>
          <w:rFonts w:hint="eastAsia" w:ascii="Times New Roman" w:hAnsi="Times New Roman" w:eastAsia="宋体" w:cs="Times New Roman"/>
          <w:color w:val="000000"/>
          <w:kern w:val="2"/>
          <w:sz w:val="24"/>
          <w:szCs w:val="24"/>
          <w:lang w:val="en-US" w:eastAsia="zh-CN" w:bidi="ar-SA"/>
        </w:rPr>
        <w:t>《畜禽养殖业污染治理工程技术规范》（HJ 497-2009）</w:t>
      </w:r>
      <w:r>
        <w:rPr>
          <w:rFonts w:hint="eastAsia" w:ascii="Times New Roman" w:hAnsi="Times New Roman" w:eastAsia="宋体" w:cs="Times New Roman"/>
          <w:kern w:val="2"/>
          <w:sz w:val="24"/>
          <w:szCs w:val="24"/>
          <w:lang w:val="zh-CN" w:eastAsia="zh-CN" w:bidi="ar-SA"/>
        </w:rPr>
        <w:t>的</w:t>
      </w:r>
      <w:r>
        <w:rPr>
          <w:rFonts w:hint="eastAsia" w:ascii="Times New Roman" w:hAnsi="Times New Roman" w:eastAsia="宋体" w:cs="Times New Roman"/>
          <w:kern w:val="2"/>
          <w:sz w:val="24"/>
          <w:szCs w:val="24"/>
          <w:lang w:val="en-US" w:eastAsia="zh-CN" w:bidi="ar-SA"/>
        </w:rPr>
        <w:t>符合性分析详见表1.4-4。</w:t>
      </w:r>
    </w:p>
    <w:p w14:paraId="470FC434">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Times New Roman" w:hAnsi="Times New Roman" w:eastAsia="宋体" w:cs="Times New Roman"/>
          <w:b/>
          <w:color w:val="000000"/>
          <w:sz w:val="24"/>
          <w:szCs w:val="24"/>
          <w:lang w:bidi="ar"/>
        </w:rPr>
      </w:pPr>
      <w:r>
        <w:rPr>
          <w:rFonts w:hint="default" w:ascii="Times New Roman" w:hAnsi="Times New Roman" w:eastAsia="宋体" w:cs="Times New Roman"/>
          <w:b/>
          <w:color w:val="000000"/>
          <w:sz w:val="24"/>
          <w:szCs w:val="24"/>
          <w:lang w:bidi="ar"/>
        </w:rPr>
        <w:t>表</w:t>
      </w:r>
      <w:r>
        <w:rPr>
          <w:rFonts w:hint="eastAsia" w:ascii="Times New Roman" w:hAnsi="Times New Roman" w:eastAsia="宋体" w:cs="Times New Roman"/>
          <w:b/>
          <w:color w:val="000000"/>
          <w:sz w:val="24"/>
          <w:szCs w:val="24"/>
          <w:lang w:val="en-US" w:eastAsia="zh-CN" w:bidi="ar"/>
        </w:rPr>
        <w:t>1.4-</w:t>
      </w:r>
      <w:r>
        <w:rPr>
          <w:rFonts w:hint="eastAsia" w:cs="Times New Roman"/>
          <w:b/>
          <w:color w:val="000000"/>
          <w:sz w:val="24"/>
          <w:szCs w:val="24"/>
          <w:lang w:val="en-US" w:eastAsia="zh-CN" w:bidi="ar"/>
        </w:rPr>
        <w:t>4</w:t>
      </w:r>
      <w:r>
        <w:rPr>
          <w:rFonts w:hint="eastAsia" w:ascii="Times New Roman" w:hAnsi="Times New Roman" w:eastAsia="宋体" w:cs="Times New Roman"/>
          <w:b/>
          <w:color w:val="000000"/>
          <w:sz w:val="24"/>
          <w:szCs w:val="24"/>
          <w:lang w:eastAsia="zh-CN" w:bidi="ar"/>
        </w:rPr>
        <w:t>本项目</w:t>
      </w:r>
      <w:r>
        <w:rPr>
          <w:rFonts w:hint="default" w:ascii="Times New Roman" w:hAnsi="Times New Roman" w:eastAsia="宋体" w:cs="Times New Roman"/>
          <w:b/>
          <w:color w:val="000000"/>
          <w:sz w:val="24"/>
          <w:szCs w:val="24"/>
          <w:lang w:val="zh-CN" w:bidi="ar"/>
        </w:rPr>
        <w:t>与</w:t>
      </w:r>
      <w:r>
        <w:rPr>
          <w:rFonts w:hint="default" w:ascii="Times New Roman" w:hAnsi="Times New Roman" w:eastAsia="宋体" w:cs="Times New Roman"/>
          <w:b/>
          <w:color w:val="000000"/>
          <w:sz w:val="24"/>
          <w:szCs w:val="24"/>
          <w:lang w:val="zh-CN" w:eastAsia="zh-CN" w:bidi="ar"/>
        </w:rPr>
        <w:t>《畜禽养殖业污染治理工程技术规范》</w:t>
      </w:r>
      <w:r>
        <w:rPr>
          <w:rFonts w:hint="eastAsia" w:cs="Times New Roman"/>
          <w:b/>
          <w:color w:val="000000"/>
          <w:sz w:val="24"/>
          <w:szCs w:val="24"/>
          <w:lang w:val="en-US" w:eastAsia="zh-CN" w:bidi="ar"/>
        </w:rPr>
        <w:t>（HJ 497-2009）符合性</w:t>
      </w:r>
      <w:r>
        <w:rPr>
          <w:rFonts w:hint="default" w:ascii="Times New Roman" w:hAnsi="Times New Roman" w:eastAsia="宋体" w:cs="Times New Roman"/>
          <w:b/>
          <w:color w:val="000000"/>
          <w:sz w:val="24"/>
          <w:szCs w:val="24"/>
          <w:lang w:bidi="ar"/>
        </w:rPr>
        <w:t>分析</w:t>
      </w:r>
    </w:p>
    <w:tbl>
      <w:tblPr>
        <w:tblStyle w:val="20"/>
        <w:tblW w:w="85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95"/>
        <w:gridCol w:w="4420"/>
        <w:gridCol w:w="2280"/>
        <w:gridCol w:w="935"/>
      </w:tblGrid>
      <w:tr w14:paraId="06090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tcBorders>
              <w:tl2br w:val="nil"/>
              <w:tr2bl w:val="nil"/>
            </w:tcBorders>
            <w:noWrap w:val="0"/>
            <w:vAlign w:val="center"/>
          </w:tcPr>
          <w:p w14:paraId="0E701719">
            <w:pPr>
              <w:adjustRightInd w:val="0"/>
              <w:snapToGrid w:val="0"/>
              <w:spacing w:after="0" w:line="240" w:lineRule="auto"/>
              <w:ind w:left="0" w:right="0" w:firstLine="0"/>
              <w:jc w:val="center"/>
              <w:rPr>
                <w:rFonts w:hint="eastAsia" w:ascii="Times New Roman" w:hAnsi="Times New Roman" w:eastAsia="宋体" w:cs="Times New Roman"/>
                <w:b/>
                <w:bCs/>
                <w:color w:val="000000"/>
                <w:sz w:val="21"/>
                <w:szCs w:val="21"/>
                <w:lang w:val="en-US" w:eastAsia="zh-CN"/>
              </w:rPr>
            </w:pPr>
            <w:r>
              <w:rPr>
                <w:rFonts w:hint="eastAsia" w:cs="Times New Roman"/>
                <w:b/>
                <w:bCs/>
                <w:color w:val="000000"/>
                <w:sz w:val="21"/>
                <w:szCs w:val="21"/>
                <w:lang w:val="en-US" w:eastAsia="zh-CN"/>
              </w:rPr>
              <w:t>类别</w:t>
            </w:r>
          </w:p>
        </w:tc>
        <w:tc>
          <w:tcPr>
            <w:tcW w:w="4420" w:type="dxa"/>
            <w:tcBorders>
              <w:tl2br w:val="nil"/>
              <w:tr2bl w:val="nil"/>
            </w:tcBorders>
            <w:noWrap w:val="0"/>
            <w:vAlign w:val="center"/>
          </w:tcPr>
          <w:p w14:paraId="09E9E6E9">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具体规定与要求</w:t>
            </w:r>
          </w:p>
        </w:tc>
        <w:tc>
          <w:tcPr>
            <w:tcW w:w="2280" w:type="dxa"/>
            <w:tcBorders>
              <w:tl2br w:val="nil"/>
              <w:tr2bl w:val="nil"/>
            </w:tcBorders>
            <w:noWrap w:val="0"/>
            <w:vAlign w:val="center"/>
          </w:tcPr>
          <w:p w14:paraId="6216D236">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本项目实际情况</w:t>
            </w:r>
          </w:p>
        </w:tc>
        <w:tc>
          <w:tcPr>
            <w:tcW w:w="935" w:type="dxa"/>
            <w:tcBorders>
              <w:tl2br w:val="nil"/>
              <w:tr2bl w:val="nil"/>
            </w:tcBorders>
            <w:noWrap w:val="0"/>
            <w:vAlign w:val="center"/>
          </w:tcPr>
          <w:p w14:paraId="160FC39E">
            <w:pPr>
              <w:adjustRightInd w:val="0"/>
              <w:snapToGrid w:val="0"/>
              <w:spacing w:after="0" w:line="240" w:lineRule="auto"/>
              <w:ind w:left="0" w:right="0" w:firstLine="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符合性分析</w:t>
            </w:r>
          </w:p>
        </w:tc>
      </w:tr>
      <w:tr w14:paraId="77BCB3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7BE2F64F">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总体设计</w:t>
            </w:r>
          </w:p>
        </w:tc>
        <w:tc>
          <w:tcPr>
            <w:tcW w:w="4420" w:type="dxa"/>
            <w:tcBorders>
              <w:tl2br w:val="nil"/>
              <w:tr2bl w:val="nil"/>
            </w:tcBorders>
            <w:noWrap w:val="0"/>
            <w:vAlign w:val="center"/>
          </w:tcPr>
          <w:p w14:paraId="7B0685CF">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畜禽养殖业污染治理应从源头控制，严格执行雨污分离，通过优化饲料配方、提高饲养技术、管理水平、改善畜舍结构和通风供暖工艺、改进清粪工艺等措施减少养殖场环境污染。</w:t>
            </w:r>
          </w:p>
        </w:tc>
        <w:tc>
          <w:tcPr>
            <w:tcW w:w="2280" w:type="dxa"/>
            <w:tcBorders>
              <w:tl2br w:val="nil"/>
              <w:tr2bl w:val="nil"/>
            </w:tcBorders>
            <w:noWrap w:val="0"/>
            <w:vAlign w:val="center"/>
          </w:tcPr>
          <w:p w14:paraId="6013B259">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本项目采用科学配比饲料，牛圈采用原位发酵床工艺，从源头控制污染物产生，减少环境污染</w:t>
            </w:r>
          </w:p>
        </w:tc>
        <w:tc>
          <w:tcPr>
            <w:tcW w:w="935" w:type="dxa"/>
            <w:tcBorders>
              <w:tl2br w:val="nil"/>
              <w:tr2bl w:val="nil"/>
            </w:tcBorders>
            <w:noWrap w:val="0"/>
            <w:vAlign w:val="center"/>
          </w:tcPr>
          <w:p w14:paraId="24AEEB6E">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7E514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38A5DC7A">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420" w:type="dxa"/>
            <w:tcBorders>
              <w:tl2br w:val="nil"/>
              <w:tr2bl w:val="nil"/>
            </w:tcBorders>
            <w:noWrap w:val="0"/>
            <w:vAlign w:val="center"/>
          </w:tcPr>
          <w:p w14:paraId="69C1E332">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畜禽养殖业污染治理应按照资源化、减量化、无害化的原则，以综合利用为出发点，提高资源化利用率。</w:t>
            </w:r>
          </w:p>
        </w:tc>
        <w:tc>
          <w:tcPr>
            <w:tcW w:w="2280" w:type="dxa"/>
            <w:vMerge w:val="restart"/>
            <w:tcBorders>
              <w:tl2br w:val="nil"/>
              <w:tr2bl w:val="nil"/>
            </w:tcBorders>
            <w:noWrap w:val="0"/>
            <w:vAlign w:val="center"/>
          </w:tcPr>
          <w:p w14:paraId="11DEAF8A">
            <w:pPr>
              <w:keepNext w:val="0"/>
              <w:keepLines w:val="0"/>
              <w:widowControl/>
              <w:suppressLineNumbers w:val="0"/>
              <w:jc w:val="center"/>
              <w:rPr>
                <w:rFonts w:hint="default" w:ascii="Times New Roman" w:hAnsi="Times New Roman" w:eastAsia="宋体" w:cs="Times New Roman"/>
                <w:color w:val="000000"/>
                <w:sz w:val="21"/>
                <w:szCs w:val="21"/>
                <w:lang w:val="en-US" w:eastAsia="zh-CN"/>
              </w:rPr>
            </w:pPr>
            <w:r>
              <w:rPr>
                <w:rFonts w:hint="eastAsia" w:ascii="宋体" w:hAnsi="宋体" w:eastAsia="宋体" w:cs="宋体"/>
                <w:color w:val="000000"/>
                <w:kern w:val="0"/>
                <w:sz w:val="21"/>
                <w:szCs w:val="21"/>
                <w:lang w:val="en-US" w:eastAsia="zh-CN" w:bidi="ar"/>
              </w:rPr>
              <w:t>本项目采用发酵床养牛工艺，</w:t>
            </w:r>
            <w:r>
              <w:rPr>
                <w:rFonts w:hint="eastAsia" w:ascii="宋体" w:hAnsi="宋体" w:cs="宋体"/>
                <w:color w:val="000000"/>
                <w:kern w:val="0"/>
                <w:sz w:val="21"/>
                <w:szCs w:val="21"/>
                <w:lang w:val="en-US" w:eastAsia="zh-CN" w:bidi="ar"/>
              </w:rPr>
              <w:t>发酵后的</w:t>
            </w:r>
            <w:r>
              <w:rPr>
                <w:rFonts w:hint="eastAsia" w:ascii="宋体" w:hAnsi="宋体" w:eastAsia="宋体" w:cs="宋体"/>
                <w:color w:val="000000"/>
                <w:kern w:val="0"/>
                <w:sz w:val="21"/>
                <w:szCs w:val="21"/>
                <w:lang w:val="en-US" w:eastAsia="zh-CN" w:bidi="ar"/>
              </w:rPr>
              <w:t>粪便以及发酵床定期更换后</w:t>
            </w:r>
            <w:r>
              <w:rPr>
                <w:rFonts w:hint="eastAsia" w:ascii="宋体" w:hAnsi="宋体" w:cs="宋体"/>
                <w:color w:val="000000"/>
                <w:kern w:val="0"/>
                <w:sz w:val="21"/>
                <w:szCs w:val="21"/>
                <w:lang w:val="en-US" w:eastAsia="zh-CN" w:bidi="ar"/>
              </w:rPr>
              <w:t>运至堆肥间处理后，满足</w:t>
            </w:r>
            <w:r>
              <w:rPr>
                <w:rFonts w:hint="eastAsia" w:cs="Times New Roman"/>
                <w:color w:val="000000"/>
                <w:sz w:val="21"/>
                <w:szCs w:val="21"/>
                <w:highlight w:val="none"/>
                <w:lang w:val="en-US" w:eastAsia="zh-CN"/>
              </w:rPr>
              <w:t>《畜禽养殖业污染治理工程技术规范》（HJ 497-2009）还田</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节水、节料，从源头减少畜禽养殖废弃物产生量和排放量</w:t>
            </w:r>
          </w:p>
        </w:tc>
        <w:tc>
          <w:tcPr>
            <w:tcW w:w="935" w:type="dxa"/>
            <w:tcBorders>
              <w:tl2br w:val="nil"/>
              <w:tr2bl w:val="nil"/>
            </w:tcBorders>
            <w:noWrap w:val="0"/>
            <w:vAlign w:val="center"/>
          </w:tcPr>
          <w:p w14:paraId="44113A08">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14995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7BD28C5C">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420" w:type="dxa"/>
            <w:tcBorders>
              <w:tl2br w:val="nil"/>
              <w:tr2bl w:val="nil"/>
            </w:tcBorders>
            <w:noWrap w:val="0"/>
            <w:vAlign w:val="center"/>
          </w:tcPr>
          <w:p w14:paraId="2F426D37">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畜禽粪污资源化时应经无害化处理后方可还田利用，无害化处理应满足下列要求：</w:t>
            </w:r>
          </w:p>
          <w:p w14:paraId="05A35828">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a）液态畜禽粪污宜采用厌氧工艺进行无害化处理；沼液、沼渣不得作为同等动物的饲料，</w:t>
            </w:r>
          </w:p>
          <w:p w14:paraId="06AD3DFA">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不得在动物之间进行循环；</w:t>
            </w:r>
          </w:p>
          <w:p w14:paraId="765407E3">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b）固体畜禽粪便宜采用好氧堆肥技术进行无害化处理；</w:t>
            </w:r>
          </w:p>
          <w:p w14:paraId="02EE113B">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c）无害化处理后的卫生学指标应符合GB 7959的有关规定。</w:t>
            </w:r>
          </w:p>
        </w:tc>
        <w:tc>
          <w:tcPr>
            <w:tcW w:w="2280" w:type="dxa"/>
            <w:vMerge w:val="continue"/>
            <w:tcBorders>
              <w:tl2br w:val="nil"/>
              <w:tr2bl w:val="nil"/>
            </w:tcBorders>
            <w:noWrap w:val="0"/>
            <w:vAlign w:val="center"/>
          </w:tcPr>
          <w:p w14:paraId="192D5CA2">
            <w:pPr>
              <w:adjustRightInd w:val="0"/>
              <w:snapToGrid w:val="0"/>
              <w:spacing w:after="0" w:line="240" w:lineRule="auto"/>
              <w:ind w:left="0" w:leftChars="0" w:right="0" w:rightChars="0" w:firstLine="0" w:firstLineChars="0"/>
              <w:jc w:val="center"/>
              <w:rPr>
                <w:rFonts w:hint="default" w:ascii="Times New Roman" w:hAnsi="Times New Roman" w:eastAsia="宋体" w:cs="Times New Roman"/>
                <w:color w:val="000000"/>
                <w:sz w:val="21"/>
                <w:szCs w:val="21"/>
                <w:lang w:val="en-US" w:eastAsia="zh-CN"/>
              </w:rPr>
            </w:pPr>
          </w:p>
        </w:tc>
        <w:tc>
          <w:tcPr>
            <w:tcW w:w="935" w:type="dxa"/>
            <w:tcBorders>
              <w:tl2br w:val="nil"/>
              <w:tr2bl w:val="nil"/>
            </w:tcBorders>
            <w:noWrap w:val="0"/>
            <w:vAlign w:val="center"/>
          </w:tcPr>
          <w:p w14:paraId="45CA3D4F">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满足要求</w:t>
            </w:r>
          </w:p>
        </w:tc>
      </w:tr>
      <w:tr w14:paraId="47B49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3B8F92DD">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420" w:type="dxa"/>
            <w:tcBorders>
              <w:tl2br w:val="nil"/>
              <w:tr2bl w:val="nil"/>
            </w:tcBorders>
            <w:noWrap w:val="0"/>
            <w:vAlign w:val="center"/>
          </w:tcPr>
          <w:p w14:paraId="5F68F804">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经无害化处理后进行还田综合利用的，粪肥用量不能超过作物当年生长所需的养分量。在确定粪肥的最佳施用量时，应对土壤肥力和粪肥肥效进行测试评价，并符合当地环境容量的要求。同时应有一倍以上的土地用于轮作施肥，不得长期施肥于同一土地。</w:t>
            </w:r>
          </w:p>
        </w:tc>
        <w:tc>
          <w:tcPr>
            <w:tcW w:w="2280" w:type="dxa"/>
            <w:tcBorders>
              <w:tl2br w:val="nil"/>
              <w:tr2bl w:val="nil"/>
            </w:tcBorders>
            <w:noWrap w:val="0"/>
            <w:vAlign w:val="center"/>
          </w:tcPr>
          <w:p w14:paraId="7A538E83">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项目</w:t>
            </w:r>
            <w:r>
              <w:rPr>
                <w:rFonts w:hint="eastAsia" w:cs="Times New Roman"/>
                <w:color w:val="000000"/>
                <w:sz w:val="21"/>
                <w:szCs w:val="21"/>
                <w:lang w:val="en-US" w:eastAsia="zh-CN"/>
              </w:rPr>
              <w:t>经无害化处理后的固态</w:t>
            </w:r>
            <w:r>
              <w:rPr>
                <w:rFonts w:hint="eastAsia" w:ascii="Times New Roman" w:hAnsi="Times New Roman" w:eastAsia="宋体" w:cs="Times New Roman"/>
                <w:color w:val="000000"/>
                <w:sz w:val="21"/>
                <w:szCs w:val="21"/>
                <w:lang w:val="en-US" w:eastAsia="zh-CN"/>
              </w:rPr>
              <w:t>有机肥用于</w:t>
            </w:r>
            <w:r>
              <w:rPr>
                <w:rFonts w:hint="eastAsia" w:cs="Times New Roman"/>
                <w:color w:val="000000"/>
                <w:sz w:val="21"/>
                <w:szCs w:val="21"/>
                <w:lang w:val="en-US" w:eastAsia="zh-CN"/>
              </w:rPr>
              <w:t>本项目周边农田</w:t>
            </w:r>
            <w:r>
              <w:rPr>
                <w:rFonts w:hint="eastAsia" w:ascii="Times New Roman" w:hAnsi="Times New Roman" w:eastAsia="宋体" w:cs="Times New Roman"/>
                <w:color w:val="000000"/>
                <w:sz w:val="21"/>
                <w:szCs w:val="21"/>
                <w:lang w:val="en-US" w:eastAsia="zh-CN"/>
              </w:rPr>
              <w:t>施肥</w:t>
            </w:r>
            <w:r>
              <w:rPr>
                <w:rFonts w:hint="eastAsia" w:cs="Times New Roman"/>
                <w:color w:val="000000"/>
                <w:sz w:val="21"/>
                <w:szCs w:val="21"/>
                <w:lang w:val="en-US" w:eastAsia="zh-CN"/>
              </w:rPr>
              <w:t>，严格按照</w:t>
            </w:r>
            <w:r>
              <w:rPr>
                <w:rFonts w:hint="eastAsia" w:ascii="Times New Roman" w:hAnsi="Times New Roman" w:eastAsia="宋体" w:cs="Times New Roman"/>
                <w:color w:val="000000"/>
                <w:sz w:val="21"/>
                <w:szCs w:val="21"/>
                <w:lang w:eastAsia="zh-CN"/>
              </w:rPr>
              <w:t>作物当年生长所需的养分量</w:t>
            </w:r>
            <w:r>
              <w:rPr>
                <w:rFonts w:hint="eastAsia" w:cs="Times New Roman"/>
                <w:color w:val="000000"/>
                <w:sz w:val="21"/>
                <w:szCs w:val="21"/>
                <w:lang w:val="en-US" w:eastAsia="zh-CN"/>
              </w:rPr>
              <w:t>施肥，并且设置</w:t>
            </w:r>
            <w:r>
              <w:rPr>
                <w:rFonts w:hint="eastAsia" w:ascii="Times New Roman" w:hAnsi="Times New Roman" w:eastAsia="宋体" w:cs="Times New Roman"/>
                <w:color w:val="000000"/>
                <w:sz w:val="21"/>
                <w:szCs w:val="21"/>
                <w:lang w:eastAsia="zh-CN"/>
              </w:rPr>
              <w:t>一倍以上的土地用于轮作施肥</w:t>
            </w:r>
            <w:r>
              <w:rPr>
                <w:rFonts w:hint="eastAsia" w:ascii="Times New Roman" w:hAnsi="Times New Roman" w:eastAsia="宋体" w:cs="Times New Roman"/>
                <w:color w:val="000000"/>
                <w:sz w:val="21"/>
                <w:szCs w:val="21"/>
                <w:lang w:val="en-US" w:eastAsia="zh-CN"/>
              </w:rPr>
              <w:t>，项目产生的有机肥能够进行合理化的消纳处置</w:t>
            </w:r>
          </w:p>
        </w:tc>
        <w:tc>
          <w:tcPr>
            <w:tcW w:w="935" w:type="dxa"/>
            <w:tcBorders>
              <w:tl2br w:val="nil"/>
              <w:tr2bl w:val="nil"/>
            </w:tcBorders>
            <w:noWrap w:val="0"/>
            <w:vAlign w:val="center"/>
          </w:tcPr>
          <w:p w14:paraId="0B12C955">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满足要求</w:t>
            </w:r>
          </w:p>
        </w:tc>
      </w:tr>
      <w:tr w14:paraId="7C341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76F8EF8D">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420" w:type="dxa"/>
            <w:tcBorders>
              <w:tl2br w:val="nil"/>
              <w:tr2bl w:val="nil"/>
            </w:tcBorders>
            <w:noWrap w:val="0"/>
            <w:vAlign w:val="center"/>
          </w:tcPr>
          <w:p w14:paraId="69DB1D44">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畜禽养殖业污染治理工程宜采用自动化控制系统，自动化控制系统应适用、可靠，并满足设施安全、经济运行要求。</w:t>
            </w:r>
          </w:p>
        </w:tc>
        <w:tc>
          <w:tcPr>
            <w:tcW w:w="2280" w:type="dxa"/>
            <w:tcBorders>
              <w:tl2br w:val="nil"/>
              <w:tr2bl w:val="nil"/>
            </w:tcBorders>
            <w:noWrap w:val="0"/>
            <w:vAlign w:val="center"/>
          </w:tcPr>
          <w:p w14:paraId="0263AAE6">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企业引进最新型的自动化养牛设备，减少人工 操作</w:t>
            </w:r>
          </w:p>
        </w:tc>
        <w:tc>
          <w:tcPr>
            <w:tcW w:w="935" w:type="dxa"/>
            <w:tcBorders>
              <w:tl2br w:val="nil"/>
              <w:tr2bl w:val="nil"/>
            </w:tcBorders>
            <w:noWrap w:val="0"/>
            <w:vAlign w:val="center"/>
          </w:tcPr>
          <w:p w14:paraId="474072EC">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满足要求</w:t>
            </w:r>
          </w:p>
        </w:tc>
      </w:tr>
      <w:tr w14:paraId="55AB3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634D2CF2">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p>
        </w:tc>
        <w:tc>
          <w:tcPr>
            <w:tcW w:w="4420" w:type="dxa"/>
            <w:tcBorders>
              <w:tl2br w:val="nil"/>
              <w:tr2bl w:val="nil"/>
            </w:tcBorders>
            <w:noWrap w:val="0"/>
            <w:vAlign w:val="center"/>
          </w:tcPr>
          <w:p w14:paraId="158A3F8D">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畜禽养殖业污染治理工程应采取防治二次污染的措施，废水、废气、废渣、噪声及其他污染物的排放应符合相应的国家或地方排放标准。</w:t>
            </w:r>
          </w:p>
        </w:tc>
        <w:tc>
          <w:tcPr>
            <w:tcW w:w="2280" w:type="dxa"/>
            <w:tcBorders>
              <w:tl2br w:val="nil"/>
              <w:tr2bl w:val="nil"/>
            </w:tcBorders>
            <w:noWrap w:val="0"/>
            <w:vAlign w:val="center"/>
          </w:tcPr>
          <w:p w14:paraId="5F50E43B">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本项目废水、废气、</w:t>
            </w:r>
            <w:r>
              <w:rPr>
                <w:rFonts w:hint="eastAsia" w:cs="Times New Roman"/>
                <w:color w:val="000000"/>
                <w:sz w:val="21"/>
                <w:szCs w:val="21"/>
                <w:lang w:val="en-US" w:eastAsia="zh-CN"/>
              </w:rPr>
              <w:t>固废</w:t>
            </w:r>
            <w:r>
              <w:rPr>
                <w:rFonts w:hint="eastAsia" w:ascii="Times New Roman" w:hAnsi="Times New Roman" w:eastAsia="宋体" w:cs="Times New Roman"/>
                <w:color w:val="000000"/>
                <w:sz w:val="21"/>
                <w:szCs w:val="21"/>
                <w:lang w:val="en-US" w:eastAsia="zh-CN"/>
              </w:rPr>
              <w:t>、噪声经过有效处理</w:t>
            </w:r>
          </w:p>
          <w:p w14:paraId="1AEBB601">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后，能够满足国家和地方要求的排放标准</w:t>
            </w:r>
          </w:p>
        </w:tc>
        <w:tc>
          <w:tcPr>
            <w:tcW w:w="935" w:type="dxa"/>
            <w:tcBorders>
              <w:tl2br w:val="nil"/>
              <w:tr2bl w:val="nil"/>
            </w:tcBorders>
            <w:noWrap w:val="0"/>
            <w:vAlign w:val="center"/>
          </w:tcPr>
          <w:p w14:paraId="142B2DE6">
            <w:pPr>
              <w:adjustRightInd w:val="0"/>
              <w:snapToGrid w:val="0"/>
              <w:spacing w:after="0" w:line="240" w:lineRule="auto"/>
              <w:ind w:left="0" w:leftChars="0" w:right="0" w:rightChars="0"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满足要求</w:t>
            </w:r>
          </w:p>
        </w:tc>
      </w:tr>
      <w:tr w14:paraId="77DE6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restart"/>
            <w:tcBorders>
              <w:tl2br w:val="nil"/>
              <w:tr2bl w:val="nil"/>
            </w:tcBorders>
            <w:noWrap w:val="0"/>
            <w:vAlign w:val="center"/>
          </w:tcPr>
          <w:p w14:paraId="1F2897A1">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选址要求</w:t>
            </w:r>
          </w:p>
        </w:tc>
        <w:tc>
          <w:tcPr>
            <w:tcW w:w="4420" w:type="dxa"/>
            <w:tcBorders>
              <w:tl2br w:val="nil"/>
              <w:tr2bl w:val="nil"/>
            </w:tcBorders>
            <w:noWrap w:val="0"/>
            <w:vAlign w:val="center"/>
          </w:tcPr>
          <w:p w14:paraId="20EC8009">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畜禽养殖业污染治理工程应与养殖场生产区、居民区等建筑保持一定的卫生防护距离，设置在畜禽养殖场的生产区、生活区主导风向的下风向或侧风向处。</w:t>
            </w:r>
          </w:p>
        </w:tc>
        <w:tc>
          <w:tcPr>
            <w:tcW w:w="2280" w:type="dxa"/>
            <w:tcBorders>
              <w:tl2br w:val="nil"/>
              <w:tr2bl w:val="nil"/>
            </w:tcBorders>
            <w:noWrap w:val="0"/>
            <w:vAlign w:val="center"/>
          </w:tcPr>
          <w:p w14:paraId="19B2B1B5">
            <w:pPr>
              <w:adjustRightInd w:val="0"/>
              <w:snapToGrid w:val="0"/>
              <w:spacing w:after="0" w:line="240" w:lineRule="auto"/>
              <w:ind w:left="0" w:right="0" w:firstLine="0"/>
              <w:jc w:val="center"/>
              <w:rPr>
                <w:rFonts w:hint="default"/>
                <w:lang w:val="en-US" w:eastAsia="zh-CN"/>
              </w:rPr>
            </w:pPr>
            <w:r>
              <w:rPr>
                <w:rFonts w:hint="eastAsia" w:eastAsia="宋体"/>
                <w:lang w:eastAsia="zh-CN"/>
              </w:rPr>
              <w:t>本项目</w:t>
            </w:r>
            <w:r>
              <w:rPr>
                <w:rFonts w:hint="eastAsia" w:ascii="Times New Roman" w:eastAsia="宋体"/>
                <w:lang w:val="en-US" w:eastAsia="zh-CN"/>
              </w:rPr>
              <w:t>粪污处理工程独立分区，位于生产生活区侧风向，严格进出管理制度；本项目设置500m卫生防护距离，</w:t>
            </w:r>
            <w:r>
              <w:rPr>
                <w:rFonts w:hint="eastAsia" w:ascii="Times New Roman" w:eastAsia="宋体"/>
                <w:highlight w:val="none"/>
                <w:lang w:val="en-US" w:eastAsia="zh-CN"/>
              </w:rPr>
              <w:t>范围内无居民集中区，</w:t>
            </w:r>
            <w:r>
              <w:rPr>
                <w:rFonts w:hint="eastAsia" w:ascii="Times New Roman" w:eastAsia="宋体"/>
                <w:lang w:val="en-US" w:eastAsia="zh-CN"/>
              </w:rPr>
              <w:t>满足卫生防护距离要求</w:t>
            </w:r>
          </w:p>
        </w:tc>
        <w:tc>
          <w:tcPr>
            <w:tcW w:w="935" w:type="dxa"/>
            <w:tcBorders>
              <w:tl2br w:val="nil"/>
              <w:tr2bl w:val="nil"/>
            </w:tcBorders>
            <w:noWrap w:val="0"/>
            <w:vAlign w:val="center"/>
          </w:tcPr>
          <w:p w14:paraId="1B48F92A">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r w14:paraId="62556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95" w:type="dxa"/>
            <w:vMerge w:val="continue"/>
            <w:tcBorders>
              <w:tl2br w:val="nil"/>
              <w:tr2bl w:val="nil"/>
            </w:tcBorders>
            <w:noWrap w:val="0"/>
            <w:vAlign w:val="center"/>
          </w:tcPr>
          <w:p w14:paraId="5B196B96">
            <w:pPr>
              <w:adjustRightInd w:val="0"/>
              <w:snapToGrid w:val="0"/>
              <w:spacing w:after="0" w:line="240" w:lineRule="auto"/>
              <w:ind w:left="0" w:right="0" w:firstLine="0"/>
              <w:jc w:val="center"/>
              <w:rPr>
                <w:rFonts w:ascii="Times New Roman" w:hAnsi="Times New Roman" w:eastAsia="宋体" w:cs="Times New Roman"/>
                <w:color w:val="000000"/>
                <w:sz w:val="21"/>
                <w:szCs w:val="21"/>
              </w:rPr>
            </w:pPr>
          </w:p>
        </w:tc>
        <w:tc>
          <w:tcPr>
            <w:tcW w:w="4420" w:type="dxa"/>
            <w:tcBorders>
              <w:tl2br w:val="nil"/>
              <w:tr2bl w:val="nil"/>
            </w:tcBorders>
            <w:noWrap w:val="0"/>
            <w:vAlign w:val="center"/>
          </w:tcPr>
          <w:p w14:paraId="0646A104">
            <w:pPr>
              <w:adjustRightInd w:val="0"/>
              <w:snapToGrid w:val="0"/>
              <w:spacing w:after="0" w:line="240" w:lineRule="auto"/>
              <w:ind w:left="0" w:right="0" w:firstLine="0"/>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eastAsia="zh-CN"/>
              </w:rPr>
              <w:t>畜禽养殖业污染治理工程的位置应有利于排放、资源化利用和运输，并留有扩建的余地，方便施工、运行和维护。</w:t>
            </w:r>
          </w:p>
        </w:tc>
        <w:tc>
          <w:tcPr>
            <w:tcW w:w="2280" w:type="dxa"/>
            <w:tcBorders>
              <w:tl2br w:val="nil"/>
              <w:tr2bl w:val="nil"/>
            </w:tcBorders>
            <w:noWrap w:val="0"/>
            <w:vAlign w:val="center"/>
          </w:tcPr>
          <w:p w14:paraId="48E0AAF0">
            <w:pPr>
              <w:adjustRightInd w:val="0"/>
              <w:snapToGrid w:val="0"/>
              <w:spacing w:after="0" w:line="240" w:lineRule="auto"/>
              <w:ind w:left="0" w:righ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项目排水系统采用雨污分流；</w:t>
            </w:r>
            <w:r>
              <w:rPr>
                <w:rFonts w:hint="eastAsia" w:cs="Times New Roman"/>
                <w:color w:val="000000"/>
                <w:sz w:val="21"/>
                <w:szCs w:val="21"/>
                <w:lang w:val="en-US" w:eastAsia="zh-CN"/>
              </w:rPr>
              <w:t>粪污处理工程留有充足容量，冬季不堆肥期间，粪污贮存于原位发酵床内，发酵床能够完全容纳本项目粪污，场内配套资源化利用、运输设施</w:t>
            </w:r>
          </w:p>
        </w:tc>
        <w:tc>
          <w:tcPr>
            <w:tcW w:w="935" w:type="dxa"/>
            <w:tcBorders>
              <w:tl2br w:val="nil"/>
              <w:tr2bl w:val="nil"/>
            </w:tcBorders>
            <w:noWrap w:val="0"/>
            <w:vAlign w:val="center"/>
          </w:tcPr>
          <w:p w14:paraId="3F3AD462">
            <w:pPr>
              <w:adjustRightInd w:val="0"/>
              <w:snapToGrid w:val="0"/>
              <w:spacing w:after="0" w:line="240" w:lineRule="auto"/>
              <w:ind w:left="0" w:right="0" w:firstLine="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满足要求</w:t>
            </w:r>
          </w:p>
        </w:tc>
      </w:tr>
    </w:tbl>
    <w:p w14:paraId="4990C82F">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1.4.3</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5</w:t>
      </w:r>
      <w:r>
        <w:rPr>
          <w:rFonts w:hint="default" w:ascii="Times New Roman" w:hAnsi="Times New Roman" w:eastAsia="宋体" w:cs="Times New Roman"/>
          <w:b/>
          <w:kern w:val="2"/>
          <w:sz w:val="24"/>
          <w:szCs w:val="24"/>
          <w:lang w:val="en-US" w:eastAsia="zh-CN" w:bidi="ar-SA"/>
        </w:rPr>
        <w:t>与生态环境分区管控的符合性分析</w:t>
      </w:r>
    </w:p>
    <w:p w14:paraId="350F4B18">
      <w:pPr>
        <w:widowControl/>
        <w:overflowPunct w:val="0"/>
        <w:autoSpaceDE w:val="0"/>
        <w:autoSpaceDN w:val="0"/>
        <w:bidi w:val="0"/>
        <w:adjustRightInd w:val="0"/>
        <w:snapToGrid w:val="0"/>
        <w:spacing w:after="0" w:line="360" w:lineRule="auto"/>
        <w:ind w:firstLine="480" w:firstLineChars="200"/>
        <w:jc w:val="both"/>
        <w:rPr>
          <w:rFonts w:hint="default" w:ascii="Times New Roman" w:hAnsi="Times New Roman" w:eastAsia="宋体" w:cs="Times New Roman"/>
          <w:color w:val="auto"/>
          <w:kern w:val="0"/>
          <w:sz w:val="24"/>
          <w:szCs w:val="24"/>
          <w:lang w:val="en-US" w:eastAsia="zh-CN" w:bidi="en-US"/>
        </w:rPr>
      </w:pPr>
      <w:r>
        <w:rPr>
          <w:rFonts w:hint="eastAsia" w:ascii="Times New Roman" w:hAnsi="Times New Roman" w:eastAsia="宋体" w:cs="宋体"/>
          <w:color w:val="auto"/>
          <w:sz w:val="24"/>
          <w:szCs w:val="22"/>
          <w:lang w:val="en-US" w:eastAsia="zh-CN"/>
        </w:rPr>
        <w:t>（1）《新疆生产建设兵团生态环境分区管控成果动态更新情况说明</w:t>
      </w:r>
      <w:r>
        <w:rPr>
          <w:rFonts w:hint="eastAsia" w:cs="宋体"/>
          <w:color w:val="auto"/>
          <w:sz w:val="24"/>
          <w:szCs w:val="22"/>
          <w:lang w:val="en-US" w:eastAsia="zh-CN"/>
        </w:rPr>
        <w:t>》</w:t>
      </w:r>
      <w:r>
        <w:rPr>
          <w:rFonts w:hint="default" w:ascii="Times New Roman" w:hAnsi="Times New Roman" w:eastAsia="宋体" w:cs="Times New Roman"/>
          <w:color w:val="auto"/>
          <w:kern w:val="0"/>
          <w:sz w:val="24"/>
          <w:szCs w:val="24"/>
          <w:lang w:val="en-US" w:eastAsia="zh-CN" w:bidi="en-US"/>
        </w:rPr>
        <w:t>符合性分析</w:t>
      </w:r>
    </w:p>
    <w:p w14:paraId="69121555">
      <w:pPr>
        <w:overflowPunct w:val="0"/>
        <w:autoSpaceDE w:val="0"/>
        <w:autoSpaceDN w:val="0"/>
        <w:bidi w:val="0"/>
        <w:adjustRightInd w:val="0"/>
        <w:snapToGrid w:val="0"/>
        <w:spacing w:line="360" w:lineRule="auto"/>
        <w:ind w:firstLine="480" w:firstLineChars="200"/>
        <w:jc w:val="both"/>
        <w:rPr>
          <w:rFonts w:hint="eastAsia" w:ascii="Times New Roman" w:hAnsi="Times New Roman" w:eastAsia="宋体" w:cs="宋体"/>
          <w:color w:val="auto"/>
          <w:sz w:val="24"/>
          <w:szCs w:val="22"/>
          <w:lang w:val="en-US" w:eastAsia="zh-CN"/>
        </w:rPr>
      </w:pPr>
      <w:r>
        <w:rPr>
          <w:rFonts w:hint="eastAsia" w:ascii="Times New Roman" w:hAnsi="Times New Roman" w:eastAsia="宋体" w:cs="宋体"/>
          <w:color w:val="auto"/>
          <w:sz w:val="24"/>
          <w:szCs w:val="22"/>
          <w:lang w:val="en-US" w:eastAsia="zh-CN"/>
        </w:rPr>
        <w:t>根据《兵团国土空间总体规划（2021-2035 年）》</w:t>
      </w:r>
      <w:r>
        <w:rPr>
          <w:rFonts w:hint="eastAsia" w:cs="宋体"/>
          <w:color w:val="auto"/>
          <w:sz w:val="24"/>
          <w:szCs w:val="22"/>
          <w:lang w:val="en-US" w:eastAsia="zh-CN"/>
        </w:rPr>
        <w:t>对</w:t>
      </w:r>
      <w:r>
        <w:rPr>
          <w:rFonts w:hint="eastAsia" w:ascii="Times New Roman" w:hAnsi="Times New Roman" w:eastAsia="宋体" w:cs="宋体"/>
          <w:color w:val="auto"/>
          <w:sz w:val="24"/>
          <w:szCs w:val="22"/>
          <w:lang w:val="en-US" w:eastAsia="zh-CN"/>
        </w:rPr>
        <w:t>兵团面积的界定，本次生态环境管控分区衔接国土空间总体 规划的行政区划矢量数据，最终兵团</w:t>
      </w:r>
      <w:r>
        <w:rPr>
          <w:rFonts w:hint="eastAsia" w:cs="宋体"/>
          <w:color w:val="auto"/>
          <w:sz w:val="24"/>
          <w:szCs w:val="22"/>
          <w:lang w:val="en-US" w:eastAsia="zh-CN"/>
        </w:rPr>
        <w:t>“</w:t>
      </w:r>
      <w:r>
        <w:rPr>
          <w:rFonts w:hint="eastAsia" w:ascii="Times New Roman" w:hAnsi="Times New Roman" w:eastAsia="宋体" w:cs="宋体"/>
          <w:color w:val="auto"/>
          <w:sz w:val="24"/>
          <w:szCs w:val="22"/>
          <w:lang w:val="en-US" w:eastAsia="zh-CN"/>
        </w:rPr>
        <w:t>三线一单</w:t>
      </w:r>
      <w:r>
        <w:rPr>
          <w:rFonts w:hint="eastAsia" w:cs="宋体"/>
          <w:color w:val="auto"/>
          <w:sz w:val="24"/>
          <w:szCs w:val="22"/>
          <w:lang w:val="en-US" w:eastAsia="zh-CN"/>
        </w:rPr>
        <w:t>”</w:t>
      </w:r>
      <w:r>
        <w:rPr>
          <w:rFonts w:hint="eastAsia" w:ascii="Times New Roman" w:hAnsi="Times New Roman" w:eastAsia="宋体" w:cs="宋体"/>
          <w:color w:val="auto"/>
          <w:sz w:val="24"/>
          <w:szCs w:val="22"/>
          <w:lang w:val="en-US" w:eastAsia="zh-CN"/>
        </w:rPr>
        <w:t>管控面积共计63630.8平方公里。相较于上一版《兵团生态环境分区管控方案》的69562.65平方公里，共计减少了5931.85平方公里，为兵地确权调整范围。</w:t>
      </w:r>
    </w:p>
    <w:p w14:paraId="3DA943EC">
      <w:pPr>
        <w:overflowPunct w:val="0"/>
        <w:autoSpaceDE w:val="0"/>
        <w:autoSpaceDN w:val="0"/>
        <w:bidi w:val="0"/>
        <w:adjustRightInd w:val="0"/>
        <w:snapToGrid w:val="0"/>
        <w:spacing w:line="360" w:lineRule="auto"/>
        <w:ind w:firstLine="480" w:firstLineChars="200"/>
        <w:jc w:val="both"/>
        <w:rPr>
          <w:rFonts w:hint="eastAsia" w:ascii="宋体" w:hAnsi="宋体" w:eastAsia="宋体" w:cs="宋体"/>
          <w:i w:val="0"/>
          <w:iCs w:val="0"/>
          <w:caps w:val="0"/>
          <w:color w:val="000000"/>
          <w:spacing w:val="0"/>
          <w:kern w:val="0"/>
          <w:sz w:val="24"/>
          <w:szCs w:val="24"/>
          <w:shd w:val="clear" w:color="auto" w:fill="FFFFFF"/>
          <w:lang w:val="en-US" w:eastAsia="zh-CN" w:bidi="ar-SA"/>
        </w:rPr>
      </w:pPr>
      <w:r>
        <w:rPr>
          <w:rFonts w:hint="eastAsia" w:ascii="Times New Roman" w:hAnsi="Times New Roman" w:eastAsia="宋体" w:cs="宋体"/>
          <w:color w:val="auto"/>
          <w:sz w:val="24"/>
          <w:szCs w:val="22"/>
          <w:lang w:val="en-US" w:eastAsia="zh-CN"/>
        </w:rPr>
        <w:t>更新后，兵团共划定环境管控单元751个，其中，优先保护单元228个，面积为21345.03平方公里，占兵团国土面积的33.55%；重点管控单元380个，面积为15201.72平方公里，占兵团国土面积的23.89%；一般管控单元143个，面积为27084.05平方公里，占兵团国土面积的42.56%。</w:t>
      </w:r>
    </w:p>
    <w:p w14:paraId="18665654">
      <w:pPr>
        <w:widowControl/>
        <w:overflowPunct w:val="0"/>
        <w:autoSpaceDE w:val="0"/>
        <w:autoSpaceDN w:val="0"/>
        <w:bidi w:val="0"/>
        <w:adjustRightInd w:val="0"/>
        <w:snapToGrid w:val="0"/>
        <w:spacing w:after="0" w:line="360" w:lineRule="auto"/>
        <w:ind w:firstLine="480" w:firstLineChars="200"/>
        <w:jc w:val="left"/>
        <w:rPr>
          <w:rFonts w:hint="eastAsia" w:ascii="Times New Roman" w:hAnsi="Times New Roman" w:eastAsia="宋体" w:cs="宋体"/>
          <w:color w:val="auto"/>
          <w:sz w:val="24"/>
          <w:szCs w:val="22"/>
          <w:lang w:val="en-US" w:eastAsia="zh-CN"/>
        </w:rPr>
      </w:pPr>
      <w:r>
        <w:rPr>
          <w:rFonts w:hint="eastAsia" w:ascii="Times New Roman" w:hAnsi="Times New Roman" w:eastAsia="宋体" w:cs="宋体"/>
          <w:color w:val="auto"/>
          <w:sz w:val="24"/>
          <w:szCs w:val="22"/>
          <w:lang w:val="en-US" w:eastAsia="zh-CN"/>
        </w:rPr>
        <w:t>一般管控单元主要指优先保护单元和重点管控单元之外的区域。该区域以经济社会可持续发展为导向，生态环境保护与适度开发相结合，开发建设应落实现行生态环境保护基本要求。</w:t>
      </w:r>
    </w:p>
    <w:p w14:paraId="0E4A97B6">
      <w:pPr>
        <w:widowControl/>
        <w:overflowPunct w:val="0"/>
        <w:autoSpaceDE w:val="0"/>
        <w:autoSpaceDN w:val="0"/>
        <w:bidi w:val="0"/>
        <w:adjustRightInd w:val="0"/>
        <w:snapToGrid w:val="0"/>
        <w:spacing w:after="0" w:line="360" w:lineRule="auto"/>
        <w:ind w:firstLine="480" w:firstLineChars="200"/>
        <w:jc w:val="left"/>
        <w:rPr>
          <w:rFonts w:hint="default" w:ascii="Times New Roman" w:hAnsi="Times New Roman" w:eastAsia="宋体" w:cs="Times New Roman"/>
          <w:color w:val="auto"/>
          <w:kern w:val="0"/>
          <w:sz w:val="24"/>
          <w:szCs w:val="24"/>
          <w:lang w:val="en-US" w:eastAsia="zh-CN" w:bidi="en-US"/>
        </w:rPr>
      </w:pPr>
      <w:r>
        <w:rPr>
          <w:rFonts w:hint="eastAsia" w:ascii="Times New Roman" w:hAnsi="Times New Roman" w:eastAsia="宋体" w:cs="宋体"/>
          <w:color w:val="auto"/>
          <w:sz w:val="24"/>
          <w:szCs w:val="22"/>
          <w:lang w:val="en-US" w:eastAsia="zh-CN"/>
        </w:rPr>
        <w:t>本项目位于第七师胡杨河市</w:t>
      </w:r>
      <w:r>
        <w:rPr>
          <w:rFonts w:hint="eastAsia" w:cs="宋体"/>
          <w:color w:val="auto"/>
          <w:sz w:val="24"/>
          <w:szCs w:val="22"/>
          <w:lang w:val="en-US" w:eastAsia="zh-CN"/>
        </w:rPr>
        <w:t>125</w:t>
      </w:r>
      <w:r>
        <w:rPr>
          <w:rFonts w:hint="eastAsia" w:ascii="Times New Roman" w:hAnsi="Times New Roman" w:eastAsia="宋体" w:cs="宋体"/>
          <w:color w:val="auto"/>
          <w:sz w:val="24"/>
          <w:szCs w:val="22"/>
          <w:lang w:val="en-US" w:eastAsia="zh-CN"/>
        </w:rPr>
        <w:t>团</w:t>
      </w:r>
      <w:r>
        <w:rPr>
          <w:rFonts w:hint="eastAsia" w:cs="宋体"/>
          <w:color w:val="auto"/>
          <w:sz w:val="24"/>
          <w:szCs w:val="22"/>
          <w:lang w:val="en-US" w:eastAsia="zh-CN"/>
        </w:rPr>
        <w:t>14连</w:t>
      </w:r>
      <w:r>
        <w:rPr>
          <w:rFonts w:hint="eastAsia" w:ascii="Times New Roman" w:hAnsi="Times New Roman" w:eastAsia="宋体" w:cs="宋体"/>
          <w:color w:val="auto"/>
          <w:sz w:val="24"/>
          <w:szCs w:val="22"/>
          <w:lang w:val="en-US" w:eastAsia="zh-CN"/>
        </w:rPr>
        <w:t>，属于第七师胡杨河市</w:t>
      </w:r>
      <w:r>
        <w:rPr>
          <w:rFonts w:hint="eastAsia" w:cs="宋体"/>
          <w:color w:val="auto"/>
          <w:sz w:val="24"/>
          <w:szCs w:val="22"/>
          <w:lang w:val="en-US" w:eastAsia="zh-CN"/>
        </w:rPr>
        <w:t>一般</w:t>
      </w:r>
      <w:r>
        <w:rPr>
          <w:rFonts w:hint="eastAsia" w:ascii="Times New Roman" w:hAnsi="Times New Roman" w:eastAsia="宋体" w:cs="宋体"/>
          <w:color w:val="auto"/>
          <w:sz w:val="24"/>
          <w:szCs w:val="22"/>
          <w:lang w:val="en-US" w:eastAsia="zh-CN"/>
        </w:rPr>
        <w:t>管控单元，根据文件要求，</w:t>
      </w:r>
      <w:r>
        <w:rPr>
          <w:rFonts w:hint="eastAsia" w:ascii="Times New Roman" w:hAnsi="Times New Roman" w:eastAsia="宋体" w:cs="宋体"/>
          <w:color w:val="auto"/>
          <w:sz w:val="24"/>
          <w:szCs w:val="22"/>
          <w:highlight w:val="none"/>
          <w:lang w:val="en-US" w:eastAsia="zh-CN"/>
        </w:rPr>
        <w:t>本项目不涉及</w:t>
      </w:r>
      <w:r>
        <w:rPr>
          <w:rFonts w:hint="eastAsia" w:cs="宋体"/>
          <w:color w:val="auto"/>
          <w:sz w:val="24"/>
          <w:szCs w:val="22"/>
          <w:highlight w:val="none"/>
          <w:lang w:val="en-US" w:eastAsia="zh-CN"/>
        </w:rPr>
        <w:t>生态保护红线</w:t>
      </w:r>
      <w:r>
        <w:rPr>
          <w:rFonts w:hint="eastAsia" w:ascii="Times New Roman" w:hAnsi="Times New Roman" w:eastAsia="宋体" w:cs="宋体"/>
          <w:color w:val="auto"/>
          <w:sz w:val="24"/>
          <w:szCs w:val="22"/>
          <w:highlight w:val="none"/>
          <w:lang w:val="en-US" w:eastAsia="zh-CN"/>
        </w:rPr>
        <w:t>区域，不会影响所在区域内生态服务功能</w:t>
      </w:r>
      <w:r>
        <w:rPr>
          <w:rFonts w:hint="eastAsia" w:cs="宋体"/>
          <w:color w:val="auto"/>
          <w:sz w:val="24"/>
          <w:szCs w:val="22"/>
          <w:highlight w:val="none"/>
          <w:lang w:val="en-US" w:eastAsia="zh-CN"/>
        </w:rPr>
        <w:t>，在</w:t>
      </w:r>
      <w:r>
        <w:rPr>
          <w:rFonts w:hint="eastAsia" w:cs="宋体"/>
          <w:color w:val="auto"/>
          <w:sz w:val="24"/>
          <w:szCs w:val="22"/>
          <w:lang w:val="en-US" w:eastAsia="zh-CN"/>
        </w:rPr>
        <w:t>项目建设过程中落实各项环境保护措施，项目建设不会突破现有生态环境质量管控要求，因此符合《新疆生产建设兵团生态环境分区管控成果动态更新情况说明》</w:t>
      </w:r>
      <w:r>
        <w:rPr>
          <w:rFonts w:hint="eastAsia" w:ascii="Times New Roman" w:hAnsi="Times New Roman" w:eastAsia="宋体" w:cs="宋体"/>
          <w:color w:val="auto"/>
          <w:sz w:val="24"/>
          <w:szCs w:val="22"/>
          <w:lang w:val="en-US" w:eastAsia="zh-CN"/>
        </w:rPr>
        <w:t>。</w:t>
      </w:r>
    </w:p>
    <w:p w14:paraId="09C0B0F9">
      <w:pPr>
        <w:widowControl w:val="0"/>
        <w:overflowPunct w:val="0"/>
        <w:autoSpaceDE w:val="0"/>
        <w:autoSpaceDN w:val="0"/>
        <w:bidi w:val="0"/>
        <w:adjustRightInd w:val="0"/>
        <w:snapToGrid w:val="0"/>
        <w:spacing w:line="360" w:lineRule="auto"/>
        <w:ind w:firstLine="0" w:firstLineChars="0"/>
        <w:jc w:val="center"/>
        <w:rPr>
          <w:rFonts w:hint="eastAsia" w:ascii="Times New Roman" w:hAnsi="Times New Roman" w:eastAsia="宋体" w:cs="宋体"/>
          <w:b/>
          <w:color w:val="000000"/>
          <w:sz w:val="24"/>
          <w:szCs w:val="24"/>
          <w:lang w:val="en-US" w:eastAsia="zh-CN" w:bidi="ar-SA"/>
        </w:r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82CA51E">
      <w:pPr>
        <w:widowControl w:val="0"/>
        <w:overflowPunct w:val="0"/>
        <w:autoSpaceDE w:val="0"/>
        <w:autoSpaceDN w:val="0"/>
        <w:bidi w:val="0"/>
        <w:adjustRightInd w:val="0"/>
        <w:snapToGrid w:val="0"/>
        <w:spacing w:line="360" w:lineRule="auto"/>
        <w:ind w:firstLine="0" w:firstLineChars="0"/>
        <w:jc w:val="center"/>
        <w:rPr>
          <w:rFonts w:hint="eastAsia" w:ascii="Times New Roman" w:hAnsi="Times New Roman" w:eastAsia="宋体" w:cs="宋体"/>
          <w:b/>
          <w:color w:val="000000"/>
          <w:sz w:val="24"/>
          <w:szCs w:val="24"/>
          <w:lang w:val="en-US" w:eastAsia="zh-CN" w:bidi="ar-SA"/>
        </w:rPr>
      </w:pPr>
      <w:r>
        <w:rPr>
          <w:rFonts w:hint="eastAsia" w:ascii="Times New Roman" w:hAnsi="Times New Roman" w:eastAsia="宋体" w:cs="宋体"/>
          <w:b/>
          <w:color w:val="000000"/>
          <w:sz w:val="24"/>
          <w:szCs w:val="24"/>
          <w:lang w:val="en-US" w:eastAsia="zh-CN" w:bidi="ar-SA"/>
        </w:rPr>
        <w:t>表1.</w:t>
      </w:r>
      <w:r>
        <w:rPr>
          <w:rFonts w:hint="eastAsia" w:ascii="Times New Roman" w:hAnsi="Times New Roman" w:cs="宋体"/>
          <w:b/>
          <w:color w:val="000000"/>
          <w:sz w:val="24"/>
          <w:szCs w:val="24"/>
          <w:lang w:val="en-US" w:eastAsia="zh-CN" w:bidi="ar-SA"/>
        </w:rPr>
        <w:t>4-</w:t>
      </w:r>
      <w:r>
        <w:rPr>
          <w:rFonts w:hint="eastAsia" w:cs="宋体"/>
          <w:b/>
          <w:color w:val="000000"/>
          <w:sz w:val="24"/>
          <w:szCs w:val="24"/>
          <w:lang w:val="en-US" w:eastAsia="zh-CN" w:bidi="ar-SA"/>
        </w:rPr>
        <w:t>5</w:t>
      </w:r>
      <w:r>
        <w:rPr>
          <w:rFonts w:hint="eastAsia" w:ascii="Times New Roman" w:hAnsi="Times New Roman" w:eastAsia="宋体" w:cs="宋体"/>
          <w:b/>
          <w:color w:val="000000"/>
          <w:sz w:val="24"/>
          <w:szCs w:val="24"/>
          <w:lang w:val="en-US" w:eastAsia="zh-CN" w:bidi="ar-SA"/>
        </w:rPr>
        <w:t>与第七师胡杨河市普适性管控要求符合性分析</w:t>
      </w:r>
    </w:p>
    <w:tbl>
      <w:tblPr>
        <w:tblStyle w:val="20"/>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
        <w:gridCol w:w="389"/>
        <w:gridCol w:w="10377"/>
        <w:gridCol w:w="2250"/>
        <w:gridCol w:w="791"/>
      </w:tblGrid>
      <w:tr w14:paraId="3B34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9" w:type="pct"/>
            <w:noWrap w:val="0"/>
            <w:vAlign w:val="center"/>
          </w:tcPr>
          <w:p w14:paraId="6DB28710">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属性/区域</w:t>
            </w:r>
          </w:p>
        </w:tc>
        <w:tc>
          <w:tcPr>
            <w:tcW w:w="137" w:type="pct"/>
            <w:noWrap w:val="0"/>
            <w:vAlign w:val="center"/>
          </w:tcPr>
          <w:p w14:paraId="352EFC9F">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管控维度</w:t>
            </w:r>
          </w:p>
        </w:tc>
        <w:tc>
          <w:tcPr>
            <w:tcW w:w="3660" w:type="pct"/>
            <w:noWrap w:val="0"/>
            <w:vAlign w:val="center"/>
          </w:tcPr>
          <w:p w14:paraId="1BC84747">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管控要求</w:t>
            </w:r>
          </w:p>
        </w:tc>
        <w:tc>
          <w:tcPr>
            <w:tcW w:w="793" w:type="pct"/>
            <w:noWrap w:val="0"/>
            <w:vAlign w:val="center"/>
          </w:tcPr>
          <w:p w14:paraId="53724AC6">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项目建设内容</w:t>
            </w:r>
          </w:p>
        </w:tc>
        <w:tc>
          <w:tcPr>
            <w:tcW w:w="279" w:type="pct"/>
            <w:noWrap w:val="0"/>
            <w:vAlign w:val="center"/>
          </w:tcPr>
          <w:p w14:paraId="0F3ECB4A">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符合性</w:t>
            </w:r>
          </w:p>
        </w:tc>
      </w:tr>
      <w:tr w14:paraId="2925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 w:type="pct"/>
            <w:vMerge w:val="restart"/>
            <w:noWrap w:val="0"/>
            <w:vAlign w:val="center"/>
          </w:tcPr>
          <w:p w14:paraId="0DBF4615">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全市通用（包含产业准入）</w:t>
            </w:r>
          </w:p>
        </w:tc>
        <w:tc>
          <w:tcPr>
            <w:tcW w:w="137" w:type="pct"/>
            <w:noWrap w:val="0"/>
            <w:vAlign w:val="center"/>
          </w:tcPr>
          <w:p w14:paraId="7270C09F">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空间布局约束</w:t>
            </w:r>
          </w:p>
        </w:tc>
        <w:tc>
          <w:tcPr>
            <w:tcW w:w="10377" w:type="dxa"/>
            <w:noWrap w:val="0"/>
            <w:vAlign w:val="top"/>
          </w:tcPr>
          <w:p w14:paraId="07761D7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（1.1）禁止类：</w:t>
            </w:r>
          </w:p>
          <w:p w14:paraId="38D93B3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1.1.1）禁止建设区（基本农田、基础设施廊道和一级水源保护区、禁止建设区）内严格禁止与限建要素无关的建设行为。按照国家规定需要有关部门批准或者核准的、以划拨方式提供国有土地使用权的建设项目。</w:t>
            </w:r>
          </w:p>
          <w:p w14:paraId="4B802D7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1.1.2）区内现有非农业建设用地和其他零星农用地优先整理、复垦或调整为耕地；不能整理、复垦或调整的，保留现状用途，但不得扩大用地面积。禁止占用区内土地进行非农建设，不得破坏、污染和荒芜区内土地，严禁占用区内土地进行开垦、采矿、挖沙、取土等破坏草原植被的活动。</w:t>
            </w:r>
          </w:p>
          <w:p w14:paraId="0195A38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（1.1.3）根据《饮用水水源保护区污染防治管理规定》需要对饮用水水源地一级保护区内实施封闭式管理，禁止设排污口，禁止</w:t>
            </w:r>
            <w:r>
              <w:rPr>
                <w:rFonts w:hint="eastAsia" w:cs="Times New Roman"/>
                <w:szCs w:val="21"/>
                <w:lang w:eastAsia="zh-CN"/>
              </w:rPr>
              <w:t>建设</w:t>
            </w:r>
            <w:r>
              <w:rPr>
                <w:rFonts w:hint="default" w:ascii="Times New Roman" w:hAnsi="Times New Roman" w:eastAsia="宋体" w:cs="Times New Roman"/>
                <w:szCs w:val="21"/>
              </w:rPr>
              <w:t>所有与水源无关的建筑物。</w:t>
            </w:r>
          </w:p>
          <w:p w14:paraId="3E9C5F5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1.1.4）饮用水源二级保护区内禁止一切破坏水环境生态平衡的活动以及破坏水源林、护岸林、与水源保护相关植被的活动。严格禁止各类污染源进入水源地及其保护区范围内。保护区附近不得建设对水质有严重污染的建设项目。严禁在水源地及其附近地区进行矿产开采、搞地下建筑和大型建筑。</w:t>
            </w:r>
          </w:p>
          <w:p w14:paraId="5374004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（1.1.5）湿地省级（兵团）自然保护区内禁止一切进入保护区捡拾鸟蛋、捕鸟等违法活动。</w:t>
            </w:r>
          </w:p>
          <w:p w14:paraId="1382614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（1.1.6）未列入国家批准的相关规划的新建乙烯、对二甲苯（PX）、二苯基甲烷二异氰酸酯（MDI）项目，禁止建设。</w:t>
            </w:r>
          </w:p>
          <w:p w14:paraId="3F8F7A1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（1.1.7）新建煤制烯烃、新建煤制对二甲苯（PX）项目，由省级政府按照国家批准的相关规划核准。新建年产超过100万吨的煤制甲醇项目，由省级政府核准。其余项目禁止建设。</w:t>
            </w:r>
          </w:p>
          <w:p w14:paraId="4974602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（1.1.8）规范印染建设项目环境管理，新上项目需经行业主管部门备案，未列入规划的项目不得新建，禁止未批准先建设、未验收先投产。</w:t>
            </w:r>
          </w:p>
          <w:p w14:paraId="055A480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（1.1.9）印染企业必须对产品生产工艺采用的染料、助剂加以标识、备案，禁止使用国家公示的对人体有强致癌作用的染料品种，禁止使用国家公示的对环境影响较大的助剂品种。</w:t>
            </w:r>
          </w:p>
          <w:p w14:paraId="1EEFD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（1.1.10）严禁在地下水超采区新增地下水开采。严格按照《新疆用水总量控制方案》开展水资源开发利用，对地下水超采区和超出地下水用水总量指标的师团，禁止新打井开采地下水。</w:t>
            </w:r>
          </w:p>
          <w:p w14:paraId="5F141E0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1.1.11）加大燃煤小锅炉淘汰力度。①城市建成区淘汰每小时10蒸吨及以下燃煤锅炉及茶水炉、经营性炉灶、储粮烘干设备等燃煤设施，原则上不再新建每小时35蒸吨以下的燃煤锅炉。②团场严禁新建10蒸吨以下的小锅炉，严格限制建设20蒸吨以下的小锅炉。③环境空气质量未达标地区加大淘汰力度。④国家级、兵团级工业园区基本淘汰每小时35蒸吨以下燃煤锅炉，禁止新建每小时65蒸吨以下燃煤锅炉。</w:t>
            </w:r>
          </w:p>
          <w:p w14:paraId="124530D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（1.1.12）具备风光电清洁供暖建设条件的区域，原则上不再新批采暖热电联产项目。</w:t>
            </w:r>
          </w:p>
          <w:p w14:paraId="1590A1D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（1.1.13）</w:t>
            </w:r>
            <w:r>
              <w:rPr>
                <w:rFonts w:hint="eastAsia" w:cs="Times New Roman"/>
                <w:szCs w:val="21"/>
                <w:lang w:eastAsia="zh-CN"/>
              </w:rPr>
              <w:t>“</w:t>
            </w:r>
            <w:r>
              <w:rPr>
                <w:rFonts w:hint="default" w:ascii="Times New Roman" w:hAnsi="Times New Roman" w:eastAsia="宋体" w:cs="Times New Roman"/>
                <w:szCs w:val="21"/>
              </w:rPr>
              <w:t>奎-独-乌</w:t>
            </w:r>
            <w:r>
              <w:rPr>
                <w:rFonts w:hint="eastAsia" w:cs="Times New Roman"/>
                <w:szCs w:val="21"/>
                <w:lang w:eastAsia="zh-CN"/>
              </w:rPr>
              <w:t>”</w:t>
            </w:r>
            <w:r>
              <w:rPr>
                <w:rFonts w:hint="default" w:ascii="Times New Roman" w:hAnsi="Times New Roman" w:eastAsia="宋体" w:cs="Times New Roman"/>
                <w:szCs w:val="21"/>
              </w:rPr>
              <w:t>区域内各有关师市城市建成区及国家级、兵团级工业园内禁止新建每小时65蒸吨以下燃煤锅炉。</w:t>
            </w:r>
          </w:p>
          <w:p w14:paraId="04E8323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（1.2）限制类：</w:t>
            </w:r>
          </w:p>
          <w:p w14:paraId="77DC5D0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（1.2.1）荒漠过渡带土地条件许可的情况下可进行矿产开发和独立工矿区建设。</w:t>
            </w:r>
          </w:p>
          <w:p w14:paraId="15E3610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1.2.2）新建1000万吨/年以下常减压；新建80万吨/年以下石脑油裂解制乙烯、13万吨/年以下丙烯腈、100万吨/年以下精对苯二甲酸、20万吨/年以下乙二醇、100万吨/年以下煤制甲醇生产装置（综合利用除外）；新建7万吨/年以下聚丙烯（连续法及间歇法）、20万吨／年以下聚乙烯、乙炔法聚氯乙烯、起始规模小于30万吨/年的乙烯氧氯化法聚氯乙烯；新建纯碱、烧碱、电石（以大型先进工艺设备进行等量替换的除外）；新建、扩建古龙酸和维生素C原粉（包括药用、食品用和饲料用、化妆品用）生产装置，新建药品、食品、饲料、化妆品等维生素E原料生产装置。</w:t>
            </w:r>
          </w:p>
          <w:p w14:paraId="2046EF6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（1.2.3）严格执行水资源管理制度和工业项目水耗标准，对于水耗总量大、单位产品水耗高的项目要按照相关水耗标准的先进值进行准入限制，不达标的项目视同</w:t>
            </w:r>
            <w:r>
              <w:rPr>
                <w:rFonts w:hint="eastAsia" w:cs="Times New Roman"/>
                <w:szCs w:val="21"/>
                <w:lang w:eastAsia="zh-CN"/>
              </w:rPr>
              <w:t>“</w:t>
            </w:r>
            <w:r>
              <w:rPr>
                <w:rFonts w:hint="default" w:ascii="Times New Roman" w:hAnsi="Times New Roman" w:eastAsia="宋体" w:cs="Times New Roman"/>
                <w:szCs w:val="21"/>
              </w:rPr>
              <w:t>三高</w:t>
            </w:r>
            <w:r>
              <w:rPr>
                <w:rFonts w:hint="eastAsia" w:cs="Times New Roman"/>
                <w:szCs w:val="21"/>
                <w:lang w:eastAsia="zh-CN"/>
              </w:rPr>
              <w:t>”</w:t>
            </w:r>
            <w:r>
              <w:rPr>
                <w:rFonts w:hint="default" w:ascii="Times New Roman" w:hAnsi="Times New Roman" w:eastAsia="宋体" w:cs="Times New Roman"/>
                <w:szCs w:val="21"/>
              </w:rPr>
              <w:t>项目严格禁止新、改、扩建。</w:t>
            </w:r>
          </w:p>
          <w:p w14:paraId="628FF42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（1.2.4）各类建设占用的天然草地和湿地等天然绿洲、水土保持林、水源涵养林、防风固沙林及其它各类防护林用地可严格依法审批后使用。</w:t>
            </w:r>
          </w:p>
          <w:p w14:paraId="1C0D3F4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（1.3）鼓励类：</w:t>
            </w:r>
          </w:p>
          <w:p w14:paraId="2A492C4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1.3.1）大力发展旅游业和房地产业，并为各团场转移职工提供保障性住房和商品房；围绕已有的种植业、林果业和畜牧业基础，大力发展农副产品深加工产业；依托于国道、高速公路等交通资源和未来新市的人力资源，大力发展商贸服务业和纺织、机械加工、装备制造、电子信息、环保设备、新材料等环境友好型产业。</w:t>
            </w:r>
          </w:p>
          <w:p w14:paraId="67DAF84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（1.3.2）加强农田防护林网体系建设，保护基本农田，改造中低产农田和盐碱地，发展设施农业，并改进农业种植技术。</w:t>
            </w:r>
          </w:p>
          <w:p w14:paraId="55AEC2B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（1.3.3）合理布局工业、商业、居住、科教等功能区块，严禁混杂建设，各区之间设置隔离带。</w:t>
            </w:r>
          </w:p>
          <w:p w14:paraId="4FB566E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1.3.4）鼓励七师胡杨河市发展铝深加工项目、硅深加工项目、煤化工及氯碱化工深加工项目、石油天然气深加工项目、纺织服装深加工项目、生物产业项目、碳、铝、硅基新材料项目和新一代信息技术产业项目。</w:t>
            </w:r>
          </w:p>
          <w:p w14:paraId="4DE5153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1.3.5）鼓励20万吨/年及以上合成气制乙二醇、10万吨/年及以上离子交换法双酚A、15万吨/年及以上直接氧化法环氧丙烷、20万吨/年及以上共氧化法环氧丙烷、5万吨/年及以上丁二烯法己二腈生产装置，万吨级脂肪族异氰酸酯生产技术开发与应用；6万吨/年及以上非光气法聚碳酸酯生产装置，吸水性树脂、导电性树脂和可降解聚合物的开发与生产。</w:t>
            </w:r>
          </w:p>
          <w:p w14:paraId="622B730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（1.3.6）《战略性新兴产业重点产品和服务指导目录》（2016版）强调重点发展的产品有工程塑料及合成树脂，包括</w:t>
            </w:r>
            <w:r>
              <w:rPr>
                <w:rFonts w:hint="eastAsia" w:cs="Times New Roman"/>
                <w:szCs w:val="21"/>
                <w:lang w:eastAsia="zh-CN"/>
              </w:rPr>
              <w:t>“</w:t>
            </w:r>
            <w:r>
              <w:rPr>
                <w:rFonts w:hint="default" w:ascii="Times New Roman" w:hAnsi="Times New Roman" w:eastAsia="宋体" w:cs="Times New Roman"/>
                <w:szCs w:val="21"/>
              </w:rPr>
              <w:t>新型工程塑料与塑料合金，新型特种工程塑料，新型氟塑料，液晶聚合物，高性能热塑性树脂，阻燃改性塑料，ABS及其改性制品，HIPS及其改性材料，不饱和聚酯树脂专用料，汽车轻量化热塑性复合材料。新型聚氨酯材料。高性能环氧树脂，聚双马来酰亚胺树脂，聚酰亚胺树脂，聚</w:t>
            </w:r>
            <w:r>
              <w:rPr>
                <w:rFonts w:hint="eastAsia" w:cs="Times New Roman"/>
                <w:szCs w:val="21"/>
                <w:lang w:eastAsia="zh-CN"/>
              </w:rPr>
              <w:t>异氰酸酯</w:t>
            </w:r>
            <w:r>
              <w:rPr>
                <w:rFonts w:hint="default" w:ascii="Times New Roman" w:hAnsi="Times New Roman" w:eastAsia="宋体" w:cs="Times New Roman"/>
                <w:szCs w:val="21"/>
              </w:rPr>
              <w:t>树脂，酚醛树脂。</w:t>
            </w:r>
            <w:r>
              <w:rPr>
                <w:rFonts w:hint="eastAsia" w:cs="Times New Roman"/>
                <w:szCs w:val="21"/>
                <w:lang w:eastAsia="zh-CN"/>
              </w:rPr>
              <w:t>”</w:t>
            </w:r>
            <w:r>
              <w:rPr>
                <w:rFonts w:hint="default" w:ascii="Times New Roman" w:hAnsi="Times New Roman" w:eastAsia="宋体" w:cs="Times New Roman"/>
                <w:szCs w:val="21"/>
              </w:rPr>
              <w:t>还有高性能纤维及复合材料，包括高性能碳纤维及其复合材料，碳/碳复合材料，高强玻璃纤维、连续玄武岩纤维、陶瓷纤维、石墨纤维等无机非金属高性能纤维及其复合材料，芳纶、超高分子量聚乙烯纤维及其复合材料。芳砜纶纤维，聚苯硫醚纤维，聚四氟乙烯纤维，聚酰亚胺纤维、酚醛纤维、高吸水性纤维等具有耐腐蚀、耐高温、高强高模、抗燃、传导等功能的新型纤维。</w:t>
            </w:r>
          </w:p>
          <w:p w14:paraId="161F444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1.3.7）针对化工产业，鼓励重点发展芳烃深加工、丙烯利用、轻烃综合利用、甲醇/尿素深加工、氯产品精深加工、合成材料加工（塑料加工、橡胶加工和化纤制造）、高端专用化学品、煤焦化副产品利用八个产业集群。</w:t>
            </w:r>
          </w:p>
          <w:p w14:paraId="4C716D0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（1.3.8）鼓励构建棉纺产业供应链。鼓励大型棉纺企业与棉花加工企业、兵地各相关部门开展供应链构建和合作；鼓励在疆大型纺织龙头企业通过股权投资等形式进行产业融合，按照</w:t>
            </w:r>
            <w:r>
              <w:rPr>
                <w:rFonts w:hint="eastAsia" w:cs="Times New Roman"/>
                <w:szCs w:val="21"/>
                <w:lang w:eastAsia="zh-CN"/>
              </w:rPr>
              <w:t>“</w:t>
            </w:r>
            <w:r>
              <w:rPr>
                <w:rFonts w:hint="default" w:ascii="Times New Roman" w:hAnsi="Times New Roman" w:eastAsia="宋体" w:cs="Times New Roman"/>
                <w:szCs w:val="21"/>
              </w:rPr>
              <w:t>农户+棉花加工+纺纱</w:t>
            </w:r>
            <w:r>
              <w:rPr>
                <w:rFonts w:hint="eastAsia" w:cs="Times New Roman"/>
                <w:szCs w:val="21"/>
                <w:lang w:eastAsia="zh-CN"/>
              </w:rPr>
              <w:t>”</w:t>
            </w:r>
            <w:r>
              <w:rPr>
                <w:rFonts w:hint="default" w:ascii="Times New Roman" w:hAnsi="Times New Roman" w:eastAsia="宋体" w:cs="Times New Roman"/>
                <w:szCs w:val="21"/>
              </w:rPr>
              <w:t>的生产经营模式，构建原料供应链条，促进一产、二产融合发展。</w:t>
            </w:r>
          </w:p>
          <w:p w14:paraId="4C52E64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（1.3.9）建立和完善现代商贸物流配送体系、电子商务公共服务体系、再生资源回收利用体系、社区商业便民服务体系、农产品流通体系五大商贸流通体系。</w:t>
            </w:r>
          </w:p>
          <w:p w14:paraId="5B28771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（1.4）加强污水管网建设，应加快污水截污管网工程建设。</w:t>
            </w:r>
          </w:p>
          <w:p w14:paraId="20493A0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（1.5）在管网难以覆盖的地方，大力推广各种净化池，在农民建房和农村居民点改造的同时配套建设相应容积的生物净化池。</w:t>
            </w:r>
          </w:p>
          <w:p w14:paraId="06AECB2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（1.6）水源保护区范围应设立隔离防护措施，包括物理隔离工程（护栏、围网等），防止人类不合理活动对水源保护区水量水质造成影响，进一步保护水源区核心地域。</w:t>
            </w:r>
          </w:p>
          <w:p w14:paraId="5CB600A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（1.7）淘汰热电联产和集中供热管网覆盖范围内的燃煤锅炉，按照有关要求加快淘汰建成区燃煤锅炉，加大燃煤锅炉及设施</w:t>
            </w:r>
            <w:r>
              <w:rPr>
                <w:rFonts w:hint="eastAsia" w:cs="Times New Roman"/>
                <w:szCs w:val="21"/>
                <w:lang w:eastAsia="zh-CN"/>
              </w:rPr>
              <w:t>“</w:t>
            </w:r>
            <w:r>
              <w:rPr>
                <w:rFonts w:hint="default" w:ascii="Times New Roman" w:hAnsi="Times New Roman" w:eastAsia="宋体" w:cs="Times New Roman"/>
                <w:szCs w:val="21"/>
              </w:rPr>
              <w:t>电能替代</w:t>
            </w:r>
            <w:r>
              <w:rPr>
                <w:rFonts w:hint="eastAsia" w:cs="Times New Roman"/>
                <w:szCs w:val="21"/>
                <w:lang w:eastAsia="zh-CN"/>
              </w:rPr>
              <w:t>”</w:t>
            </w:r>
            <w:r>
              <w:rPr>
                <w:rFonts w:hint="default" w:ascii="Times New Roman" w:hAnsi="Times New Roman" w:eastAsia="宋体" w:cs="Times New Roman"/>
                <w:szCs w:val="21"/>
              </w:rPr>
              <w:t>改造力度。</w:t>
            </w:r>
          </w:p>
          <w:p w14:paraId="2C59128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rPr>
            </w:pPr>
            <w:r>
              <w:rPr>
                <w:rFonts w:hint="default" w:ascii="Times New Roman" w:hAnsi="Times New Roman" w:eastAsia="宋体" w:cs="Times New Roman"/>
                <w:szCs w:val="21"/>
              </w:rPr>
              <w:t>（1.8）根据主导生态功能定位，实施差别化管理，确保生态保护红线生态功能不降低、面积不减少、性质不改变。对生态保护红线内的自然保护区、国家公园、风景名胜区、森林公园、地质公园、世界自然遗产、湿地公园、饮用水水源保护区等各类保护地的管理，法律法规和规章另有规定的，从其规定。生态保护红线内自然保护地核心保护区外，禁止开发性、生产性建设活动，在符合法律法规的前提下，仅允许《自然资源部生态环境部国家林业和草原局关于加强生态保护红线管理的通知（试行）》（自然资发〔2022〕142号）中规定的，对生态功能不造成破坏的有限人为活动。</w:t>
            </w:r>
          </w:p>
        </w:tc>
        <w:tc>
          <w:tcPr>
            <w:tcW w:w="793" w:type="pct"/>
            <w:noWrap w:val="0"/>
            <w:vAlign w:val="top"/>
          </w:tcPr>
          <w:p w14:paraId="17071315">
            <w:pPr>
              <w:keepNext w:val="0"/>
              <w:keepLines w:val="0"/>
              <w:pageBreakBefore w:val="0"/>
              <w:kinsoku/>
              <w:wordWrap/>
              <w:overflowPunct/>
              <w:topLinePunct w:val="0"/>
              <w:autoSpaceDE/>
              <w:autoSpaceDN/>
              <w:bidi w:val="0"/>
              <w:adjustRightInd/>
              <w:spacing w:line="300" w:lineRule="exac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本项目属于养殖项目，项目所在生态环境分区为一般管控单元，不涉及基本农田、基础设施廊道、一级水源保护区等禁止建设区。</w:t>
            </w:r>
          </w:p>
          <w:p w14:paraId="0084C777">
            <w:pPr>
              <w:keepNext w:val="0"/>
              <w:keepLines w:val="0"/>
              <w:pageBreakBefore w:val="0"/>
              <w:kinsoku/>
              <w:wordWrap/>
              <w:overflowPunct/>
              <w:topLinePunct w:val="0"/>
              <w:autoSpaceDE/>
              <w:autoSpaceDN/>
              <w:bidi w:val="0"/>
              <w:adjustRightInd/>
              <w:spacing w:line="300" w:lineRule="exac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项目不涉及禁止占用区，项目为租赁用地，用地为设施农用地，不涉及草原，不涉及</w:t>
            </w:r>
            <w:r>
              <w:rPr>
                <w:rFonts w:hint="default" w:ascii="Times New Roman" w:hAnsi="Times New Roman" w:eastAsia="宋体" w:cs="Times New Roman"/>
                <w:sz w:val="21"/>
                <w:szCs w:val="21"/>
              </w:rPr>
              <w:t>开垦、采矿、挖沙、取土等破坏草原植被的活动</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项目区不涉及</w:t>
            </w:r>
            <w:r>
              <w:rPr>
                <w:rFonts w:hint="default" w:ascii="Times New Roman" w:hAnsi="Times New Roman" w:eastAsia="宋体" w:cs="Times New Roman"/>
                <w:sz w:val="21"/>
                <w:szCs w:val="21"/>
                <w:lang w:val="en-US" w:eastAsia="zh-CN"/>
              </w:rPr>
              <w:t>饮用水水源地一级保护区</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饮用水源二级保护区</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湿地省级（兵团）自然保护区</w:t>
            </w:r>
            <w:r>
              <w:rPr>
                <w:rFonts w:hint="eastAsia" w:ascii="Times New Roman" w:hAnsi="Times New Roman" w:eastAsia="宋体" w:cs="Times New Roman"/>
                <w:sz w:val="21"/>
                <w:szCs w:val="21"/>
                <w:lang w:val="en-US" w:eastAsia="zh-CN"/>
              </w:rPr>
              <w:t>。项目不属于</w:t>
            </w:r>
            <w:r>
              <w:rPr>
                <w:rFonts w:hint="default" w:ascii="Times New Roman" w:hAnsi="Times New Roman" w:eastAsia="宋体" w:cs="Times New Roman"/>
                <w:sz w:val="21"/>
                <w:szCs w:val="21"/>
              </w:rPr>
              <w:t>新建乙烯、对二甲苯（PX）、二苯基甲烷二异氰酸酯（MDI）项目</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不属于</w:t>
            </w:r>
            <w:r>
              <w:rPr>
                <w:rFonts w:hint="default" w:ascii="Times New Roman" w:hAnsi="Times New Roman" w:eastAsia="宋体" w:cs="Times New Roman"/>
                <w:sz w:val="21"/>
                <w:szCs w:val="21"/>
              </w:rPr>
              <w:t>新建煤制烯烃、新建煤制对二甲苯（PX）项目</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不属于印染建设项目。项目不涉及地下水开采，项目用水均铺设供水管网。项目供热采用电加热设备，不涉及燃煤锅炉建设。项目不属于</w:t>
            </w:r>
            <w:r>
              <w:rPr>
                <w:rFonts w:hint="default" w:ascii="Times New Roman" w:hAnsi="Times New Roman" w:eastAsia="宋体" w:cs="Times New Roman"/>
                <w:sz w:val="21"/>
                <w:szCs w:val="21"/>
              </w:rPr>
              <w:t>采暖热电联产项目</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项目不新建燃煤锅炉。</w:t>
            </w:r>
          </w:p>
          <w:p w14:paraId="77F432D8">
            <w:pPr>
              <w:keepNext w:val="0"/>
              <w:keepLines w:val="0"/>
              <w:pageBreakBefore w:val="0"/>
              <w:kinsoku/>
              <w:wordWrap/>
              <w:overflowPunct/>
              <w:topLinePunct w:val="0"/>
              <w:autoSpaceDE/>
              <w:autoSpaceDN/>
              <w:bidi w:val="0"/>
              <w:adjustRightInd/>
              <w:spacing w:line="300" w:lineRule="exac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本项目不属于</w:t>
            </w:r>
            <w:r>
              <w:rPr>
                <w:rFonts w:hint="default" w:ascii="Times New Roman" w:hAnsi="Times New Roman" w:eastAsia="宋体" w:cs="Times New Roman"/>
                <w:sz w:val="21"/>
                <w:szCs w:val="21"/>
                <w:lang w:val="en-US" w:eastAsia="zh-CN"/>
              </w:rPr>
              <w:t>矿产开发和独立工矿区建设</w:t>
            </w:r>
            <w:r>
              <w:rPr>
                <w:rFonts w:hint="eastAsia" w:ascii="Times New Roman" w:hAnsi="Times New Roman" w:eastAsia="宋体" w:cs="Times New Roman"/>
                <w:sz w:val="21"/>
                <w:szCs w:val="21"/>
                <w:lang w:val="en-US" w:eastAsia="zh-CN"/>
              </w:rPr>
              <w:t>项目。项目为养殖企业，不涉及新建1000万吨/年以下常减压；新建80万吨/年以下石脑油裂解制乙烯、13万吨/年以下丙烯腈、100万吨/年以下精对苯二甲酸、20万吨/年以下乙二醇、100万吨/年以下煤制甲醇生产装置（综合利用除外）；新建7万吨/年以下聚丙烯（连续法及间歇法）、20万吨／年以下聚乙烯、乙炔法聚氯乙烯、起始规模小于30万吨/年的乙烯氧氯化法聚氯乙烯；新建纯碱、烧碱、电石（以大型先进工艺设备进行等量替换的除外）；新建、扩建古龙酸和维生素C原粉（包括药用、食品用和饲料用、化妆品用）生产装置，新建药品、食品、饲料、化妆品等维生素E原料生产装置。项目水耗仅为养殖、生活用水，用水不会突破师市限制，因此不属于水耗高的工业企业。项目不涉及天然草地和湿地等天然绿洲、水土保持林、水源涵养林、防风固沙林及其它各类防护林用地。项目为畜禽养殖项目，符合国家产业政策，不属于《产业结构调整指导目录（2024年本）》中淘汰类项目以及《市场准入负面清单（2025年版）》中禁止准入类事项；本项目施工、运营期各类污染物均符合国家和自治区环境保护标准。</w:t>
            </w:r>
          </w:p>
        </w:tc>
        <w:tc>
          <w:tcPr>
            <w:tcW w:w="279" w:type="pct"/>
            <w:noWrap w:val="0"/>
            <w:vAlign w:val="center"/>
          </w:tcPr>
          <w:p w14:paraId="3AD37397">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r w14:paraId="160F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 w:type="pct"/>
            <w:vMerge w:val="continue"/>
            <w:noWrap w:val="0"/>
            <w:vAlign w:val="center"/>
          </w:tcPr>
          <w:p w14:paraId="332FC74F">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p>
        </w:tc>
        <w:tc>
          <w:tcPr>
            <w:tcW w:w="137" w:type="pct"/>
            <w:noWrap w:val="0"/>
            <w:vAlign w:val="center"/>
          </w:tcPr>
          <w:p w14:paraId="7A34C465">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污染物排放管控</w:t>
            </w:r>
          </w:p>
        </w:tc>
        <w:tc>
          <w:tcPr>
            <w:tcW w:w="10377" w:type="dxa"/>
            <w:noWrap w:val="0"/>
            <w:vAlign w:val="top"/>
          </w:tcPr>
          <w:p w14:paraId="06C262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（2.1）废气：</w:t>
            </w:r>
          </w:p>
          <w:p w14:paraId="60D34F5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2.1.1）严格控制污染物排放总量（二氧化硫、氮氧化物），对电力行业重点加强结构调整与脱硫设施的稳定运行，实施低氮燃烧技术；新、扩、改建机组必须配套烟气脱硝设施。加大小锅炉淘汰，对大吨位锅炉因地制宜采取脱硫减排措施。</w:t>
            </w:r>
          </w:p>
          <w:p w14:paraId="296CC0D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（2.1.2）开展金属制品业酸雾等工艺废气污染控制与治理，通过提升行业装备水平，完善废气收集系统，减少无组织排放，做到工艺废气排放浓度和厂界浓度双达标。</w:t>
            </w:r>
          </w:p>
          <w:p w14:paraId="32E78F7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2.1.3）开发区南园区、北园区属于兵团认定的化工园区需严格落实《关于加强重点行业建设项目区域削减措施监督管理的通知》（环办环评〔2020〕36号）的要求，落实重点行业区域削减措施，纳入日常环境管理工作，建立考核机制，并与排污许可制度衔接。</w:t>
            </w:r>
          </w:p>
          <w:p w14:paraId="0A43F4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2.1.4）禁止在居民住宅楼、未配套设立专用烟道的商住综合楼以及商住综合楼内与居住层相邻的商业楼层内新建、改建、扩建产生油烟、异味、废气的餐饮服务项目。任何单位和个人不得在当地人民政府禁止的区域内露天烧烤食品或者为露天烧烤食品提供场地。</w:t>
            </w:r>
          </w:p>
          <w:p w14:paraId="52325E9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（2.2）废水：</w:t>
            </w:r>
          </w:p>
          <w:p w14:paraId="298EB14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（2.2.1）主要河流（奎屯河、四棵树河、古尔图河）、灌区场外引输水干渠和主要大中型水库（奎屯水库、柳沟水库、黄沟一库、黄沟二库、车排子水库、泉沟水库）水质达到</w:t>
            </w:r>
            <w:r>
              <w:rPr>
                <w:rFonts w:hint="eastAsia" w:cs="Times New Roman"/>
                <w:szCs w:val="21"/>
                <w:lang w:eastAsia="zh-CN"/>
              </w:rPr>
              <w:t>Ⅲ类</w:t>
            </w:r>
            <w:r>
              <w:rPr>
                <w:rFonts w:hint="default" w:ascii="Times New Roman" w:hAnsi="Times New Roman" w:eastAsia="宋体" w:cs="Times New Roman"/>
                <w:szCs w:val="21"/>
              </w:rPr>
              <w:t>水质标准。</w:t>
            </w:r>
          </w:p>
          <w:p w14:paraId="1CBBD0C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（2.2.2）重点加强各团场的污水处理厂及配套管网的建设，推进连队分散式污水处理；积极推动面源污染防治，对集中式规模化畜禽养殖场进行污染治理。</w:t>
            </w:r>
          </w:p>
          <w:p w14:paraId="4450141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（2.2.3）在湿地省级（兵团）自然保护区外围地带，与各县市环保部门合作，有效实施村镇的点源污染控制，工业废水达标排放。</w:t>
            </w:r>
          </w:p>
          <w:p w14:paraId="73AB069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（2.2.4）从源头消减废水排放，严格控制企业废水达标排放。重点加强化工企业的污染防治，积极推动重污染行业工艺废水的深度处理与中水回用。</w:t>
            </w:r>
          </w:p>
          <w:p w14:paraId="7A07EA3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（2.2.5）建议开发区南园区配套建设10000m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/d中水处理厂。通过新建中水处理厂，对污水处理厂达标尾水进行深度处理和脱盐处理，达到回用水标准后全部回用。</w:t>
            </w:r>
          </w:p>
          <w:p w14:paraId="5CDF669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（2.3）固废：</w:t>
            </w:r>
          </w:p>
          <w:p w14:paraId="181F84C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（2.3.1）推进固体废物源头减量，推进清洁生产，建立生态产业链，加强固体废物综合利用。</w:t>
            </w:r>
          </w:p>
          <w:p w14:paraId="7FBD1F4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（2.3.2）建立和完善城镇生活垃圾收集、转运和处置设施，加快无害化处理步伐。</w:t>
            </w:r>
          </w:p>
          <w:p w14:paraId="5772A70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rPr>
            </w:pPr>
            <w:r>
              <w:rPr>
                <w:rFonts w:hint="default" w:ascii="Times New Roman" w:hAnsi="Times New Roman" w:eastAsia="宋体" w:cs="Times New Roman"/>
                <w:szCs w:val="21"/>
              </w:rPr>
              <w:t>（2.3.3）调整农业种植结构，实施测土配方施肥、控制农药使用量，有效控制农业面源污染。</w:t>
            </w:r>
          </w:p>
        </w:tc>
        <w:tc>
          <w:tcPr>
            <w:tcW w:w="2250" w:type="dxa"/>
            <w:noWrap w:val="0"/>
            <w:vAlign w:val="center"/>
          </w:tcPr>
          <w:p w14:paraId="1708BE69">
            <w:pPr>
              <w:widowControl w:val="0"/>
              <w:overflowPunct w:val="0"/>
              <w:autoSpaceDE w:val="0"/>
              <w:autoSpaceDN w:val="0"/>
              <w:adjustRightInd w:val="0"/>
              <w:snapToGrid w:val="0"/>
              <w:spacing w:line="320" w:lineRule="exact"/>
              <w:ind w:firstLine="0" w:firstLineChars="0"/>
              <w:jc w:val="center"/>
              <w:rPr>
                <w:rFonts w:hint="eastAsia" w:ascii="Times New Roman" w:hAnsi="Times New Roman" w:eastAsia="宋体" w:cs="宋体"/>
                <w:sz w:val="21"/>
                <w:szCs w:val="24"/>
                <w:lang w:val="en-US" w:eastAsia="zh-CN" w:bidi="ar-SA"/>
              </w:rPr>
            </w:pPr>
            <w:r>
              <w:rPr>
                <w:rFonts w:hint="eastAsia" w:ascii="Times New Roman" w:hAnsi="Times New Roman" w:eastAsia="宋体" w:cs="宋体"/>
                <w:sz w:val="21"/>
                <w:szCs w:val="24"/>
                <w:lang w:val="en-US" w:eastAsia="zh-CN" w:bidi="ar-SA"/>
              </w:rPr>
              <w:t>本项目</w:t>
            </w:r>
            <w:r>
              <w:rPr>
                <w:rFonts w:hint="eastAsia" w:cs="宋体"/>
                <w:sz w:val="21"/>
                <w:szCs w:val="24"/>
                <w:lang w:val="en-US" w:eastAsia="zh-CN" w:bidi="ar-SA"/>
              </w:rPr>
              <w:t>废气不涉及</w:t>
            </w:r>
            <w:r>
              <w:rPr>
                <w:rFonts w:hint="default" w:ascii="Times New Roman" w:hAnsi="Times New Roman" w:eastAsia="宋体" w:cs="Times New Roman"/>
                <w:sz w:val="21"/>
                <w:szCs w:val="21"/>
              </w:rPr>
              <w:t>二氧化硫、氮氧化物</w:t>
            </w:r>
            <w:r>
              <w:rPr>
                <w:rFonts w:hint="eastAsia" w:ascii="Times New Roman" w:hAnsi="Times New Roman" w:eastAsia="宋体" w:cs="Times New Roman"/>
                <w:sz w:val="21"/>
                <w:szCs w:val="21"/>
                <w:lang w:val="en-US" w:eastAsia="zh-CN"/>
              </w:rPr>
              <w:t>等污染物排放，不涉及</w:t>
            </w:r>
            <w:r>
              <w:rPr>
                <w:rFonts w:hint="default" w:ascii="Times New Roman" w:hAnsi="Times New Roman" w:eastAsia="宋体" w:cs="Times New Roman"/>
                <w:sz w:val="21"/>
                <w:szCs w:val="21"/>
              </w:rPr>
              <w:t>金属制品业酸雾等工艺废气</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运营期仅养殖恶臭、饲料搅拌粉尘等，采取各项措施后，均能达标排放。</w:t>
            </w:r>
            <w:r>
              <w:rPr>
                <w:rFonts w:hint="eastAsia" w:cs="Times New Roman"/>
                <w:sz w:val="21"/>
                <w:szCs w:val="21"/>
                <w:lang w:val="en-US" w:eastAsia="zh-CN"/>
              </w:rPr>
              <w:t>本项目</w:t>
            </w:r>
            <w:r>
              <w:rPr>
                <w:rFonts w:hint="eastAsia" w:ascii="Times New Roman" w:hAnsi="Times New Roman" w:eastAsia="宋体" w:cs="宋体"/>
                <w:sz w:val="21"/>
                <w:szCs w:val="24"/>
                <w:lang w:val="en-US" w:eastAsia="zh-CN" w:bidi="ar-SA"/>
              </w:rPr>
              <w:t>不在城市建成区建设，不涉及居民楼饮食业油烟。</w:t>
            </w:r>
            <w:r>
              <w:rPr>
                <w:rFonts w:hint="eastAsia" w:cs="宋体"/>
                <w:sz w:val="21"/>
                <w:szCs w:val="24"/>
                <w:lang w:val="en-US" w:eastAsia="zh-CN" w:bidi="ar-SA"/>
              </w:rPr>
              <w:t>项目生活污水经防渗化粪池收集后定期拉运至污水处理厂处理；养殖过程中无养殖废水外排，与区域地表水无水力联系，对区域水环境影响较小。</w:t>
            </w:r>
            <w:r>
              <w:rPr>
                <w:rFonts w:hint="eastAsia" w:eastAsia="宋体" w:cs="宋体"/>
                <w:sz w:val="21"/>
                <w:szCs w:val="24"/>
                <w:lang w:val="en-US" w:eastAsia="zh-CN" w:bidi="ar-SA"/>
              </w:rPr>
              <w:t>本项目废塑料包装材料等一般工业固废外售回收单位综合利用，能够从源头做到固废减量。项目牛粪及发酵垫料经无害化处理后还田，轮作施肥，不会造成农业面源污染</w:t>
            </w:r>
            <w:r>
              <w:rPr>
                <w:rFonts w:hint="eastAsia" w:ascii="Times New Roman" w:hAnsi="Times New Roman" w:eastAsia="宋体" w:cs="宋体"/>
                <w:sz w:val="21"/>
                <w:szCs w:val="24"/>
                <w:lang w:val="en-US" w:eastAsia="zh-CN" w:bidi="ar-SA"/>
              </w:rPr>
              <w:t>。</w:t>
            </w:r>
          </w:p>
          <w:p w14:paraId="742600E7">
            <w:pPr>
              <w:widowControl w:val="0"/>
              <w:overflowPunct w:val="0"/>
              <w:autoSpaceDE w:val="0"/>
              <w:autoSpaceDN w:val="0"/>
              <w:adjustRightInd w:val="0"/>
              <w:snapToGrid w:val="0"/>
              <w:spacing w:line="320" w:lineRule="exact"/>
              <w:ind w:firstLine="0" w:firstLineChars="0"/>
              <w:jc w:val="center"/>
              <w:rPr>
                <w:rFonts w:hint="default" w:ascii="Times New Roman" w:hAnsi="Times New Roman" w:eastAsia="宋体" w:cs="Times New Roman"/>
                <w:sz w:val="21"/>
                <w:szCs w:val="21"/>
              </w:rPr>
            </w:pPr>
            <w:r>
              <w:rPr>
                <w:rFonts w:hint="eastAsia" w:ascii="Times New Roman" w:hAnsi="Times New Roman" w:eastAsia="宋体" w:cs="宋体"/>
                <w:sz w:val="21"/>
                <w:szCs w:val="24"/>
                <w:lang w:val="en-US" w:eastAsia="zh-CN" w:bidi="ar-SA"/>
              </w:rPr>
              <w:t>本项目落实分区防渗，对地下水和土壤影响较小。</w:t>
            </w:r>
            <w:r>
              <w:rPr>
                <w:rFonts w:hint="eastAsia" w:eastAsia="宋体" w:cs="宋体"/>
                <w:sz w:val="21"/>
                <w:szCs w:val="24"/>
                <w:lang w:val="en-US" w:eastAsia="zh-CN" w:bidi="ar-SA"/>
              </w:rPr>
              <w:t>落实粪污资源化利用</w:t>
            </w:r>
            <w:r>
              <w:rPr>
                <w:rFonts w:hint="eastAsia" w:ascii="Times New Roman" w:hAnsi="Times New Roman" w:eastAsia="宋体" w:cs="宋体"/>
                <w:sz w:val="21"/>
                <w:szCs w:val="24"/>
                <w:lang w:val="en-US" w:eastAsia="zh-CN" w:bidi="ar-SA"/>
              </w:rPr>
              <w:t>，</w:t>
            </w:r>
            <w:r>
              <w:rPr>
                <w:rFonts w:hint="eastAsia" w:eastAsia="宋体" w:cs="宋体"/>
                <w:sz w:val="21"/>
                <w:szCs w:val="24"/>
                <w:lang w:val="en-US" w:eastAsia="zh-CN" w:bidi="ar-SA"/>
              </w:rPr>
              <w:t>利用</w:t>
            </w:r>
            <w:r>
              <w:rPr>
                <w:rFonts w:hint="eastAsia" w:cs="宋体"/>
                <w:sz w:val="21"/>
                <w:szCs w:val="24"/>
                <w:lang w:val="en-US" w:eastAsia="zh-CN" w:bidi="ar-SA"/>
              </w:rPr>
              <w:t>粪污无害化处理后</w:t>
            </w:r>
            <w:r>
              <w:rPr>
                <w:rFonts w:hint="eastAsia" w:eastAsia="宋体" w:cs="宋体"/>
                <w:sz w:val="21"/>
                <w:szCs w:val="24"/>
                <w:lang w:val="en-US" w:eastAsia="zh-CN" w:bidi="ar-SA"/>
              </w:rPr>
              <w:t>还田，能够有效</w:t>
            </w:r>
            <w:r>
              <w:rPr>
                <w:rFonts w:hint="eastAsia" w:ascii="Times New Roman" w:hAnsi="Times New Roman" w:eastAsia="宋体" w:cs="宋体"/>
                <w:sz w:val="21"/>
                <w:szCs w:val="24"/>
                <w:lang w:val="en-US" w:eastAsia="zh-CN" w:bidi="ar-SA"/>
              </w:rPr>
              <w:t>引导推动有机肥、绿肥替代化肥。</w:t>
            </w:r>
          </w:p>
        </w:tc>
        <w:tc>
          <w:tcPr>
            <w:tcW w:w="279" w:type="pct"/>
            <w:noWrap w:val="0"/>
            <w:vAlign w:val="center"/>
          </w:tcPr>
          <w:p w14:paraId="7717445E">
            <w:pPr>
              <w:keepNext w:val="0"/>
              <w:keepLines w:val="0"/>
              <w:pageBreakBefore w:val="0"/>
              <w:kinsoku/>
              <w:wordWrap/>
              <w:overflowPunct/>
              <w:topLinePunct w:val="0"/>
              <w:autoSpaceDE/>
              <w:autoSpaceDN/>
              <w:bidi w:val="0"/>
              <w:adjustRightInd/>
              <w:spacing w:line="3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r w14:paraId="0E1E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 w:type="pct"/>
            <w:vMerge w:val="continue"/>
            <w:noWrap w:val="0"/>
            <w:vAlign w:val="center"/>
          </w:tcPr>
          <w:p w14:paraId="2491A98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p>
        </w:tc>
        <w:tc>
          <w:tcPr>
            <w:tcW w:w="137" w:type="pct"/>
            <w:noWrap w:val="0"/>
            <w:vAlign w:val="center"/>
          </w:tcPr>
          <w:p w14:paraId="2E100C2E">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环境风险防控</w:t>
            </w:r>
          </w:p>
        </w:tc>
        <w:tc>
          <w:tcPr>
            <w:tcW w:w="10377" w:type="dxa"/>
            <w:noWrap w:val="0"/>
            <w:vAlign w:val="top"/>
          </w:tcPr>
          <w:p w14:paraId="48B3C44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（3.1）加强危险废物管理。加大危险废物管理法律法规宣传；继续开展危险废物经营许可证管理；加快医疗废物专业收集运输体系和集中处置设施的建设，做好医疗废物污染环境防治。</w:t>
            </w:r>
          </w:p>
          <w:p w14:paraId="03DD87D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（3.2）到2030年，受污染耕地安全利用率达到95%以上，污染地块安全利用率达到95%以上。</w:t>
            </w:r>
          </w:p>
          <w:p w14:paraId="2FEC2D2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（3.3）完善水源地水质监测体系，建设饮用水水源地水位动态监测网建设。</w:t>
            </w:r>
          </w:p>
          <w:p w14:paraId="16B71AC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（3.4）建立饮用水水质应急处理及快速反应机制，组建应急处理队伍，配备必要的应急处理装备，以增强城市应急能力和控制事故的能力，在饮用水水源水质发生异常，威胁供水安全等紧急情况下，应急措施。</w:t>
            </w:r>
          </w:p>
          <w:p w14:paraId="1201DA4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3.5）规划在湿地省级（兵团）自然保护区内人为活动频繁区域、珍稀水禽栖息地、重要生态保护区域、典型生态类型区等重点区域进行实时监控，涉及防火防灾、资源保护、安全生境、环境监测等，进行全方位、多角度的视频监控，提高保护区保护管理的现代化水平。</w:t>
            </w:r>
          </w:p>
          <w:p w14:paraId="2F9D932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（3.6）加强重污染天气应急管理。建立重污染天气应急体系，做好重污染天气预警预报工作。各部门</w:t>
            </w:r>
            <w:r>
              <w:rPr>
                <w:rFonts w:hint="eastAsia" w:cs="Times New Roman"/>
                <w:szCs w:val="21"/>
                <w:lang w:eastAsia="zh-CN"/>
              </w:rPr>
              <w:t>、各</w:t>
            </w:r>
            <w:r>
              <w:rPr>
                <w:rFonts w:hint="default" w:ascii="Times New Roman" w:hAnsi="Times New Roman" w:eastAsia="宋体" w:cs="Times New Roman"/>
                <w:szCs w:val="21"/>
              </w:rPr>
              <w:t>单位按照职责分工，在应急响应期间督促预案措施落实到位。</w:t>
            </w:r>
          </w:p>
          <w:p w14:paraId="2B24550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rPr>
            </w:pPr>
            <w:r>
              <w:rPr>
                <w:rFonts w:hint="default" w:ascii="Times New Roman" w:hAnsi="Times New Roman" w:eastAsia="宋体" w:cs="Times New Roman"/>
                <w:szCs w:val="21"/>
              </w:rPr>
              <w:t>（3.7）开展建设用地土壤环境风险管控，强化污染场地开发利用的监督管理。加强固体废物污染防控，确保危险废物安全处置，危险废物规范化管理抽查合格率达到90%以上。</w:t>
            </w:r>
          </w:p>
        </w:tc>
        <w:tc>
          <w:tcPr>
            <w:tcW w:w="2250" w:type="dxa"/>
            <w:noWrap w:val="0"/>
            <w:vAlign w:val="center"/>
          </w:tcPr>
          <w:p w14:paraId="0E3F7ECD">
            <w:pPr>
              <w:widowControl w:val="0"/>
              <w:overflowPunct w:val="0"/>
              <w:autoSpaceDE w:val="0"/>
              <w:autoSpaceDN w:val="0"/>
              <w:adjustRightInd w:val="0"/>
              <w:snapToGrid w:val="0"/>
              <w:spacing w:line="320" w:lineRule="exact"/>
              <w:ind w:firstLine="0" w:firstLineChars="0"/>
              <w:jc w:val="center"/>
              <w:rPr>
                <w:rFonts w:hint="default" w:ascii="Times New Roman" w:hAnsi="Times New Roman" w:eastAsia="宋体" w:cs="Times New Roman"/>
                <w:sz w:val="21"/>
                <w:szCs w:val="21"/>
              </w:rPr>
            </w:pPr>
            <w:r>
              <w:rPr>
                <w:rFonts w:hint="eastAsia" w:ascii="Times New Roman" w:hAnsi="Times New Roman" w:eastAsia="宋体" w:cs="宋体"/>
                <w:color w:val="000000"/>
                <w:sz w:val="21"/>
                <w:szCs w:val="24"/>
                <w:lang w:val="en-US" w:eastAsia="zh-CN" w:bidi="ar-SA"/>
              </w:rPr>
              <w:t>项目医疗废物设置医疗废物暂存间暂存，并定期委托有资质单位运输处置</w:t>
            </w:r>
            <w:r>
              <w:rPr>
                <w:rFonts w:hint="eastAsia" w:cs="宋体"/>
                <w:color w:val="000000"/>
                <w:sz w:val="21"/>
                <w:szCs w:val="24"/>
                <w:lang w:val="en-US" w:eastAsia="zh-CN" w:bidi="ar-SA"/>
              </w:rPr>
              <w:t>；废消毒剂包装袋等危险废物设置危险废物贮存点暂存，</w:t>
            </w:r>
            <w:r>
              <w:rPr>
                <w:rFonts w:hint="eastAsia" w:ascii="Times New Roman" w:hAnsi="Times New Roman" w:eastAsia="宋体" w:cs="宋体"/>
                <w:color w:val="000000"/>
                <w:sz w:val="21"/>
                <w:szCs w:val="24"/>
                <w:lang w:val="en-US" w:eastAsia="zh-CN" w:bidi="ar-SA"/>
              </w:rPr>
              <w:t>并定期委托有资质单位运输处置</w:t>
            </w:r>
            <w:r>
              <w:rPr>
                <w:rFonts w:hint="eastAsia" w:cs="宋体"/>
                <w:color w:val="000000"/>
                <w:sz w:val="21"/>
                <w:szCs w:val="24"/>
                <w:lang w:val="en-US" w:eastAsia="zh-CN" w:bidi="ar-SA"/>
              </w:rPr>
              <w:t>，</w:t>
            </w:r>
            <w:r>
              <w:rPr>
                <w:rFonts w:hint="eastAsia" w:ascii="Times New Roman" w:hAnsi="Times New Roman" w:cs="宋体"/>
                <w:sz w:val="21"/>
                <w:szCs w:val="24"/>
                <w:lang w:val="en-US" w:eastAsia="zh-CN" w:bidi="ar-SA"/>
              </w:rPr>
              <w:t>危险废物满足《危险废物贮存污染控制标准》（GB18597-2023）要求</w:t>
            </w:r>
            <w:r>
              <w:rPr>
                <w:rFonts w:hint="eastAsia" w:ascii="Times New Roman" w:hAnsi="Times New Roman" w:eastAsia="宋体" w:cs="宋体"/>
                <w:color w:val="000000"/>
                <w:sz w:val="21"/>
                <w:szCs w:val="24"/>
                <w:lang w:val="en-US" w:eastAsia="zh-CN" w:bidi="ar-SA"/>
              </w:rPr>
              <w:t>，不会造成医疗废物污染环境。项目建成后配套地下水、土壤跟踪监测制度，对地下水以及土壤环境影响较小。项目取得批复后应及时组织开展突发环境事件应急预案</w:t>
            </w:r>
            <w:r>
              <w:rPr>
                <w:rFonts w:hint="eastAsia" w:cs="宋体"/>
                <w:color w:val="000000"/>
                <w:sz w:val="21"/>
                <w:szCs w:val="24"/>
                <w:lang w:val="en-US" w:eastAsia="zh-CN" w:bidi="ar-SA"/>
              </w:rPr>
              <w:t>编制</w:t>
            </w:r>
            <w:r>
              <w:rPr>
                <w:rFonts w:hint="eastAsia" w:ascii="Times New Roman" w:hAnsi="Times New Roman" w:eastAsia="宋体" w:cs="宋体"/>
                <w:color w:val="000000"/>
                <w:sz w:val="21"/>
                <w:szCs w:val="24"/>
                <w:lang w:val="en-US" w:eastAsia="zh-CN" w:bidi="ar-SA"/>
              </w:rPr>
              <w:t>工作并在第七师胡杨河市生态环境局进行备案，定期演练，加强风险防控体系建设。</w:t>
            </w:r>
          </w:p>
        </w:tc>
        <w:tc>
          <w:tcPr>
            <w:tcW w:w="279" w:type="pct"/>
            <w:noWrap w:val="0"/>
            <w:vAlign w:val="center"/>
          </w:tcPr>
          <w:p w14:paraId="67BE62F0">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符合</w:t>
            </w:r>
          </w:p>
        </w:tc>
      </w:tr>
      <w:tr w14:paraId="3267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3" w:hRule="atLeast"/>
          <w:jc w:val="center"/>
        </w:trPr>
        <w:tc>
          <w:tcPr>
            <w:tcW w:w="129" w:type="pct"/>
            <w:vMerge w:val="continue"/>
            <w:noWrap w:val="0"/>
            <w:vAlign w:val="center"/>
          </w:tcPr>
          <w:p w14:paraId="21F1B47A">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p>
        </w:tc>
        <w:tc>
          <w:tcPr>
            <w:tcW w:w="137" w:type="pct"/>
            <w:noWrap w:val="0"/>
            <w:vAlign w:val="center"/>
          </w:tcPr>
          <w:p w14:paraId="70B39CA6">
            <w:pPr>
              <w:keepNext w:val="0"/>
              <w:keepLines w:val="0"/>
              <w:pageBreakBefore w:val="0"/>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资源利用效率</w:t>
            </w:r>
          </w:p>
        </w:tc>
        <w:tc>
          <w:tcPr>
            <w:tcW w:w="10377" w:type="dxa"/>
            <w:noWrap w:val="0"/>
            <w:vAlign w:val="top"/>
          </w:tcPr>
          <w:p w14:paraId="0EF13B7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（4.1）水资源：</w:t>
            </w:r>
          </w:p>
          <w:p w14:paraId="0D7FCFB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（4.1.1）加强中水回用，提高水资源利用率；对七师所掌握的水资源进行综合统筹利用，编制园区的水资源论证报告，落实供水方案，保障产业发展的需求。</w:t>
            </w:r>
          </w:p>
          <w:p w14:paraId="7A2BC32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（4.1.2）到2030年工业用水重复率不低于50%，工业固体废物处置利用率不低于80%。</w:t>
            </w:r>
          </w:p>
          <w:p w14:paraId="42B7DCE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（4.1.3）到2030年降低河流引水率，退还生态用水。同时提高中水回用率至70%，增加中水回用量约0.5亿立方米/年。</w:t>
            </w:r>
          </w:p>
          <w:p w14:paraId="670450F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（4.1.4）实行最严格水资源管理制度，开展水资源消耗总量和强度</w:t>
            </w:r>
            <w:r>
              <w:rPr>
                <w:rFonts w:hint="eastAsia" w:cs="Times New Roman"/>
                <w:szCs w:val="21"/>
                <w:lang w:eastAsia="zh-CN"/>
              </w:rPr>
              <w:t>“</w:t>
            </w:r>
            <w:r>
              <w:rPr>
                <w:rFonts w:hint="default" w:ascii="Times New Roman" w:hAnsi="Times New Roman" w:eastAsia="宋体" w:cs="Times New Roman"/>
                <w:szCs w:val="21"/>
              </w:rPr>
              <w:t>双控</w:t>
            </w:r>
            <w:r>
              <w:rPr>
                <w:rFonts w:hint="eastAsia" w:cs="Times New Roman"/>
                <w:szCs w:val="21"/>
                <w:lang w:eastAsia="zh-CN"/>
              </w:rPr>
              <w:t>”</w:t>
            </w:r>
            <w:r>
              <w:rPr>
                <w:rFonts w:hint="default" w:ascii="Times New Roman" w:hAnsi="Times New Roman" w:eastAsia="宋体" w:cs="Times New Roman"/>
                <w:szCs w:val="21"/>
              </w:rPr>
              <w:t>行动、水效领跑者引领行动，加大非常规水源利用规模。科学确定地下水管控指标，强化地下水超采治理。对水资源短缺地区实行更严格的产业准入、取用水定额控制。加快农业、工业、城镇节水改造，开展节水综合改造示范。</w:t>
            </w:r>
          </w:p>
          <w:p w14:paraId="74D6E6C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（4.2）大气：</w:t>
            </w:r>
          </w:p>
          <w:p w14:paraId="71B25C4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（4.2.1）组织开展燃煤锅炉节能减排攻坚战，完成燃煤工业锅炉能效普查年度任务；推进锅炉系统安全节能标准化管理。</w:t>
            </w:r>
          </w:p>
          <w:p w14:paraId="1C779DC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（4.3）固体废物：</w:t>
            </w:r>
          </w:p>
          <w:p w14:paraId="154811C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（4.3.1）强化废物在企业内部的循环使用和综合利用，推广循环经济模式，减少固体废物的产生量。</w:t>
            </w:r>
          </w:p>
          <w:p w14:paraId="186DB43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（4.4）能源：</w:t>
            </w:r>
          </w:p>
          <w:p w14:paraId="149F39D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（4.4.1）考虑煤电化热联产，按照</w:t>
            </w:r>
            <w:r>
              <w:rPr>
                <w:rFonts w:hint="eastAsia" w:cs="Times New Roman"/>
                <w:szCs w:val="21"/>
                <w:lang w:eastAsia="zh-CN"/>
              </w:rPr>
              <w:t>“</w:t>
            </w:r>
            <w:r>
              <w:rPr>
                <w:rFonts w:hint="default" w:ascii="Times New Roman" w:hAnsi="Times New Roman" w:eastAsia="宋体" w:cs="Times New Roman"/>
                <w:szCs w:val="21"/>
              </w:rPr>
              <w:t>煤炭—气化—甲醇、醋酸—燃气轮机（发电）—余热锅炉（汽轮机发电）</w:t>
            </w:r>
            <w:r>
              <w:rPr>
                <w:rFonts w:hint="eastAsia" w:cs="Times New Roman"/>
                <w:szCs w:val="21"/>
                <w:lang w:eastAsia="zh-CN"/>
              </w:rPr>
              <w:t>”</w:t>
            </w:r>
            <w:r>
              <w:rPr>
                <w:rFonts w:hint="default" w:ascii="Times New Roman" w:hAnsi="Times New Roman" w:eastAsia="宋体" w:cs="Times New Roman"/>
                <w:szCs w:val="21"/>
              </w:rPr>
              <w:t>工艺流程，提高能源转化效率和资源利用率。</w:t>
            </w:r>
          </w:p>
          <w:p w14:paraId="28ACDFA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（4.4.2）充分利用当地太阳能等可再生能源的优势，推广太阳能光电、光热等可再生能源技术在边远地区的综合应用。</w:t>
            </w:r>
          </w:p>
          <w:p w14:paraId="2210A4D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4.4.3）大力推广清洁能源。加大清洁能源供应，提高城市清洁能源使用比重。加快推广以电代煤、以电代柴、以电代气，提高天然气未覆盖地区居民炊事、取暖电气化水平，提高农产品加工、梯级灌溉、苦咸水淡化、烘干房、大棚取暖等方面的清洁能源利用水平，加快推进电锅炉、电供暖、地源热泵、冷热联供等基础设施建设，加快风电清洁供暖示范项目实施步伐。</w:t>
            </w:r>
          </w:p>
          <w:p w14:paraId="57F833E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（4.4.4）完善能源消费总量和强度</w:t>
            </w:r>
            <w:r>
              <w:rPr>
                <w:rFonts w:hint="eastAsia" w:cs="Times New Roman"/>
                <w:szCs w:val="21"/>
                <w:lang w:eastAsia="zh-CN"/>
              </w:rPr>
              <w:t>“</w:t>
            </w:r>
            <w:r>
              <w:rPr>
                <w:rFonts w:hint="default" w:ascii="Times New Roman" w:hAnsi="Times New Roman" w:eastAsia="宋体" w:cs="Times New Roman"/>
                <w:szCs w:val="21"/>
              </w:rPr>
              <w:t>双控</w:t>
            </w:r>
            <w:r>
              <w:rPr>
                <w:rFonts w:hint="eastAsia" w:cs="Times New Roman"/>
                <w:szCs w:val="21"/>
                <w:lang w:eastAsia="zh-CN"/>
              </w:rPr>
              <w:t>”</w:t>
            </w:r>
            <w:r>
              <w:rPr>
                <w:rFonts w:hint="default" w:ascii="Times New Roman" w:hAnsi="Times New Roman" w:eastAsia="宋体" w:cs="Times New Roman"/>
                <w:szCs w:val="21"/>
              </w:rPr>
              <w:t>制度，大幅降低能耗强度，严格控制能源消费总量增速，协调推进兵团高质量发展和能源高效利用。</w:t>
            </w:r>
          </w:p>
          <w:p w14:paraId="51C07D2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（4.5）清洁生产：</w:t>
            </w:r>
          </w:p>
          <w:p w14:paraId="5807D13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4.5.1）促进清洁生产。加强对重点企业的清洁生产审核和评估验收。所有重点企业完成清洁生产强制审核，按照行业清洁生产一级标准实施技术改造。将清洁生产实施情况纳入企业环保绩效考核和企业环境行为评价范围。加快制定农副食品加工、焦化、氮肥、有色金属、制革、造纸等行业治理方案，实施清洁化改造。</w:t>
            </w:r>
          </w:p>
          <w:p w14:paraId="66CF507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（4.6）新建城市人均绿地到2030年达到20㎡/人。</w:t>
            </w:r>
          </w:p>
          <w:p w14:paraId="0E101EA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rPr>
            </w:pPr>
            <w:r>
              <w:rPr>
                <w:rFonts w:hint="default" w:ascii="Times New Roman" w:hAnsi="Times New Roman" w:eastAsia="宋体" w:cs="Times New Roman"/>
                <w:szCs w:val="21"/>
              </w:rPr>
              <w:t>（4.7）单位地区生产总值能耗降低率目标完成进度依据兵团统计局核定数据进行核查。</w:t>
            </w:r>
          </w:p>
        </w:tc>
        <w:tc>
          <w:tcPr>
            <w:tcW w:w="2250" w:type="dxa"/>
            <w:noWrap w:val="0"/>
            <w:vAlign w:val="center"/>
          </w:tcPr>
          <w:p w14:paraId="1E8E0662">
            <w:pPr>
              <w:widowControl w:val="0"/>
              <w:overflowPunct w:val="0"/>
              <w:autoSpaceDE w:val="0"/>
              <w:autoSpaceDN w:val="0"/>
              <w:adjustRightInd w:val="0"/>
              <w:snapToGrid w:val="0"/>
              <w:spacing w:line="320" w:lineRule="exact"/>
              <w:ind w:firstLine="0" w:firstLineChars="0"/>
              <w:jc w:val="center"/>
              <w:rPr>
                <w:rFonts w:hint="default" w:ascii="Times New Roman" w:hAnsi="Times New Roman" w:eastAsia="宋体" w:cs="Times New Roman"/>
                <w:sz w:val="21"/>
                <w:szCs w:val="21"/>
                <w:lang w:val="en-US"/>
              </w:rPr>
            </w:pPr>
            <w:r>
              <w:rPr>
                <w:rFonts w:hint="default" w:ascii="Times New Roman" w:hAnsi="Times New Roman" w:eastAsia="宋体" w:cs="Times New Roman"/>
                <w:color w:val="auto"/>
                <w:kern w:val="0"/>
                <w:sz w:val="21"/>
                <w:szCs w:val="24"/>
                <w:lang w:val="en-US" w:eastAsia="zh-CN" w:bidi="ar-SA"/>
              </w:rPr>
              <w:t>本项目生产中主要消耗的资源为水、电，通过优化设备选型、优先选用低能耗的设备。</w:t>
            </w:r>
            <w:r>
              <w:rPr>
                <w:rFonts w:hint="eastAsia" w:cs="宋体"/>
                <w:sz w:val="21"/>
                <w:szCs w:val="24"/>
                <w:lang w:val="en-US" w:eastAsia="zh-CN" w:bidi="ar-SA"/>
              </w:rPr>
              <w:t>本项目</w:t>
            </w:r>
            <w:r>
              <w:rPr>
                <w:rFonts w:hint="eastAsia" w:ascii="Times New Roman" w:hAnsi="Times New Roman" w:cs="宋体"/>
                <w:sz w:val="21"/>
                <w:szCs w:val="24"/>
                <w:lang w:val="en-US" w:eastAsia="zh-CN" w:bidi="ar-SA"/>
              </w:rPr>
              <w:t>不涉及燃煤锅炉，不使用散煤、原料用煤，项目一般固废在厂区内暂存满足《一般工业固体废物贮存和填埋污染控制标准》（GB18599-2020），危险废物满足《危险废物贮存污染控制标准》（GB18597-2023）要求</w:t>
            </w:r>
            <w:r>
              <w:rPr>
                <w:rFonts w:hint="eastAsia" w:ascii="Times New Roman" w:hAnsi="Times New Roman" w:eastAsia="宋体" w:cs="宋体"/>
                <w:sz w:val="21"/>
                <w:szCs w:val="24"/>
                <w:lang w:val="en-US" w:eastAsia="zh-CN" w:bidi="ar-SA"/>
              </w:rPr>
              <w:t>。固体废物无害化处置率达到100%。项目落实清洁生产要求，能够有效控制水资源等用量。</w:t>
            </w:r>
            <w:r>
              <w:rPr>
                <w:rFonts w:hint="default" w:ascii="Times New Roman" w:hAnsi="Times New Roman" w:eastAsia="宋体" w:cs="Times New Roman"/>
                <w:color w:val="auto"/>
                <w:kern w:val="0"/>
                <w:sz w:val="21"/>
                <w:szCs w:val="24"/>
                <w:lang w:val="en-US" w:eastAsia="zh-CN" w:bidi="ar-SA"/>
              </w:rPr>
              <w:t>项目资源消耗量</w:t>
            </w:r>
            <w:r>
              <w:rPr>
                <w:rFonts w:hint="eastAsia" w:cs="Times New Roman"/>
                <w:color w:val="auto"/>
                <w:kern w:val="0"/>
                <w:sz w:val="21"/>
                <w:szCs w:val="24"/>
                <w:lang w:val="en-US" w:eastAsia="zh-CN" w:bidi="ar-SA"/>
              </w:rPr>
              <w:t>相对</w:t>
            </w:r>
            <w:r>
              <w:rPr>
                <w:rFonts w:hint="default" w:ascii="Times New Roman" w:hAnsi="Times New Roman" w:eastAsia="宋体" w:cs="Times New Roman"/>
                <w:color w:val="auto"/>
                <w:kern w:val="0"/>
                <w:sz w:val="21"/>
                <w:szCs w:val="24"/>
                <w:lang w:val="en-US" w:eastAsia="zh-CN" w:bidi="ar-SA"/>
              </w:rPr>
              <w:t>区域资源利用量较小，整体符合资源利用</w:t>
            </w:r>
            <w:r>
              <w:rPr>
                <w:rFonts w:hint="eastAsia" w:cs="Times New Roman"/>
                <w:color w:val="auto"/>
                <w:kern w:val="0"/>
                <w:sz w:val="21"/>
                <w:szCs w:val="24"/>
                <w:lang w:val="en-US" w:eastAsia="zh-CN" w:bidi="ar-SA"/>
              </w:rPr>
              <w:t>上限</w:t>
            </w:r>
            <w:r>
              <w:rPr>
                <w:rFonts w:hint="default" w:ascii="Times New Roman" w:hAnsi="Times New Roman" w:eastAsia="宋体" w:cs="Times New Roman"/>
                <w:color w:val="auto"/>
                <w:kern w:val="0"/>
                <w:sz w:val="21"/>
                <w:szCs w:val="24"/>
                <w:lang w:val="en-US" w:eastAsia="zh-CN" w:bidi="ar-SA"/>
              </w:rPr>
              <w:t>要求</w:t>
            </w:r>
            <w:r>
              <w:rPr>
                <w:rFonts w:hint="eastAsia" w:ascii="Times New Roman" w:hAnsi="Times New Roman" w:cs="宋体"/>
                <w:sz w:val="21"/>
                <w:szCs w:val="24"/>
                <w:lang w:val="en-US" w:eastAsia="zh-CN" w:bidi="ar-SA"/>
              </w:rPr>
              <w:t>。</w:t>
            </w:r>
          </w:p>
        </w:tc>
        <w:tc>
          <w:tcPr>
            <w:tcW w:w="279" w:type="pct"/>
            <w:noWrap w:val="0"/>
            <w:vAlign w:val="center"/>
          </w:tcPr>
          <w:p w14:paraId="590C83C3">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符合</w:t>
            </w:r>
          </w:p>
        </w:tc>
      </w:tr>
    </w:tbl>
    <w:p w14:paraId="7F5E65F5">
      <w:pPr>
        <w:widowControl w:val="0"/>
        <w:spacing w:line="360" w:lineRule="auto"/>
        <w:ind w:firstLine="480" w:firstLineChars="200"/>
        <w:jc w:val="both"/>
        <w:rPr>
          <w:rFonts w:hint="eastAsia" w:eastAsia="宋体" w:cs="Times New Roman"/>
          <w:color w:val="000000"/>
          <w:kern w:val="2"/>
          <w:sz w:val="24"/>
          <w:szCs w:val="24"/>
          <w:highlight w:val="none"/>
          <w:lang w:val="en-US" w:eastAsia="zh-CN" w:bidi="ar-SA"/>
        </w:rPr>
        <w:sectPr>
          <w:pgSz w:w="16838" w:h="11906" w:orient="landscape"/>
          <w:pgMar w:top="1797" w:right="1440" w:bottom="1797" w:left="1440" w:header="851" w:footer="1026" w:gutter="0"/>
          <w:pgBorders>
            <w:top w:val="none" w:sz="0" w:space="0"/>
            <w:left w:val="none" w:sz="0" w:space="0"/>
            <w:bottom w:val="none" w:sz="0" w:space="0"/>
            <w:right w:val="none" w:sz="0" w:space="0"/>
          </w:pgBorders>
          <w:pgNumType w:fmt="numberInDash"/>
          <w:cols w:space="720" w:num="1"/>
          <w:docGrid w:type="linesAndChars" w:linePitch="312" w:charSpace="0"/>
        </w:sectPr>
      </w:pPr>
    </w:p>
    <w:p w14:paraId="7FD56E76">
      <w:pPr>
        <w:widowControl w:val="0"/>
        <w:spacing w:line="360" w:lineRule="auto"/>
        <w:ind w:firstLine="480" w:firstLineChars="200"/>
        <w:jc w:val="both"/>
        <w:rPr>
          <w:rFonts w:hint="eastAsia" w:eastAsia="宋体" w:cs="Times New Roman"/>
          <w:color w:val="000000"/>
          <w:kern w:val="2"/>
          <w:sz w:val="24"/>
          <w:szCs w:val="24"/>
          <w:highlight w:val="none"/>
          <w:lang w:val="en-US" w:eastAsia="zh-CN" w:bidi="ar-SA"/>
        </w:rPr>
      </w:pPr>
      <w:r>
        <w:rPr>
          <w:rFonts w:hint="eastAsia" w:eastAsia="宋体" w:cs="Times New Roman"/>
          <w:color w:val="000000"/>
          <w:kern w:val="2"/>
          <w:sz w:val="24"/>
          <w:szCs w:val="24"/>
          <w:highlight w:val="none"/>
          <w:lang w:val="en-US" w:eastAsia="zh-CN" w:bidi="ar-SA"/>
        </w:rPr>
        <w:t>（2）</w:t>
      </w:r>
      <w:r>
        <w:rPr>
          <w:rFonts w:hint="eastAsia" w:eastAsia="宋体" w:cs="Times New Roman"/>
          <w:color w:val="auto"/>
          <w:kern w:val="2"/>
          <w:sz w:val="24"/>
          <w:szCs w:val="24"/>
          <w:lang w:val="en-US" w:eastAsia="zh-CN" w:bidi="ar-SA"/>
        </w:rPr>
        <w:t>《关于公布</w:t>
      </w:r>
      <w:r>
        <w:rPr>
          <w:rFonts w:hint="eastAsia"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新疆生产建设兵团第七师胡杨河市生态环境分区管控更新成果</w:t>
      </w:r>
      <w:r>
        <w:rPr>
          <w:rFonts w:hint="eastAsia"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2023版</w:t>
      </w:r>
      <w:r>
        <w:rPr>
          <w:rFonts w:hint="eastAsia" w:cs="Times New Roman"/>
          <w:color w:val="auto"/>
          <w:kern w:val="2"/>
          <w:sz w:val="24"/>
          <w:szCs w:val="24"/>
          <w:lang w:val="en-US" w:eastAsia="zh-CN" w:bidi="ar-SA"/>
        </w:rPr>
        <w:t>）〉的通知》（</w:t>
      </w:r>
      <w:r>
        <w:rPr>
          <w:rFonts w:hint="eastAsia" w:eastAsia="宋体" w:cs="Times New Roman"/>
          <w:color w:val="auto"/>
          <w:kern w:val="2"/>
          <w:sz w:val="24"/>
          <w:szCs w:val="24"/>
          <w:lang w:val="en-US" w:eastAsia="zh-CN" w:bidi="ar-SA"/>
        </w:rPr>
        <w:t>师市环委办发〔2024〕2号</w:t>
      </w:r>
      <w:r>
        <w:rPr>
          <w:rFonts w:hint="eastAsia"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符合性分析</w:t>
      </w:r>
    </w:p>
    <w:p w14:paraId="417800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10"/>
        <w:jc w:val="both"/>
        <w:textAlignment w:val="auto"/>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根据生态环境部《2023年生态环境分区管控成果动态更新工作方案》</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环办环评函</w:t>
      </w:r>
      <w:r>
        <w:rPr>
          <w:rFonts w:hint="eastAsia" w:eastAsia="宋体" w:cs="Times New Roman"/>
          <w:color w:val="auto"/>
          <w:kern w:val="2"/>
          <w:sz w:val="24"/>
          <w:szCs w:val="24"/>
          <w:lang w:val="en-US" w:eastAsia="zh-CN" w:bidi="ar-SA"/>
        </w:rPr>
        <w:t>〔2023〕</w:t>
      </w:r>
      <w:r>
        <w:rPr>
          <w:rFonts w:hint="eastAsia" w:ascii="Times New Roman" w:hAnsi="Times New Roman" w:eastAsia="宋体" w:cs="Times New Roman"/>
          <w:color w:val="000000"/>
          <w:kern w:val="2"/>
          <w:sz w:val="24"/>
          <w:szCs w:val="24"/>
          <w:highlight w:val="none"/>
          <w:lang w:val="en-US" w:eastAsia="zh-CN" w:bidi="ar-SA"/>
        </w:rPr>
        <w:t>81号</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有关要求，师市组织开展了2023年生态环境分区管控成果动态更新工作，形成了《新疆生产建设兵团第七师胡杨河市生态环境分区管控更新成果（2023版）》，并报生态环境部备案，现予以公布。</w:t>
      </w:r>
    </w:p>
    <w:p w14:paraId="6893F95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shd w:val="clear" w:color="auto" w:fill="FFFFFF"/>
          <w:lang w:val="en-US" w:eastAsia="zh-CN" w:bidi="ar-SA"/>
        </w:rPr>
        <w:t>本项目位于</w:t>
      </w:r>
      <w:r>
        <w:rPr>
          <w:rFonts w:hint="eastAsia" w:cs="Times New Roman"/>
          <w:color w:val="auto"/>
          <w:kern w:val="2"/>
          <w:sz w:val="24"/>
          <w:szCs w:val="24"/>
          <w:shd w:val="clear" w:color="auto" w:fill="FFFFFF"/>
          <w:lang w:val="en-US" w:eastAsia="zh-CN" w:bidi="ar-SA"/>
        </w:rPr>
        <w:t>第七师胡杨河市125团</w:t>
      </w:r>
      <w:r>
        <w:rPr>
          <w:rFonts w:hint="eastAsia" w:ascii="Times New Roman" w:hAnsi="Times New Roman" w:eastAsia="宋体" w:cs="Times New Roman"/>
          <w:b w:val="0"/>
          <w:bCs w:val="0"/>
          <w:color w:val="auto"/>
          <w:kern w:val="2"/>
          <w:sz w:val="24"/>
          <w:szCs w:val="24"/>
          <w:shd w:val="clear" w:color="auto" w:fill="FFFFFF"/>
          <w:lang w:val="en-US" w:eastAsia="zh-CN" w:bidi="ar-SA"/>
        </w:rPr>
        <w:t>，</w:t>
      </w:r>
      <w:r>
        <w:rPr>
          <w:rFonts w:hint="eastAsia" w:ascii="Times New Roman" w:hAnsi="Times New Roman" w:eastAsia="宋体" w:cs="Times New Roman"/>
          <w:b w:val="0"/>
          <w:bCs w:val="0"/>
          <w:color w:val="auto"/>
          <w:kern w:val="2"/>
          <w:sz w:val="24"/>
          <w:szCs w:val="24"/>
          <w:highlight w:val="none"/>
          <w:shd w:val="clear" w:color="auto" w:fill="FFFFFF"/>
          <w:lang w:val="en-US" w:eastAsia="zh-CN" w:bidi="ar-SA"/>
        </w:rPr>
        <w:t>位于125团一般管控单元，属于</w:t>
      </w:r>
      <w:r>
        <w:rPr>
          <w:rFonts w:hint="eastAsia" w:cs="Times New Roman"/>
          <w:b w:val="0"/>
          <w:bCs w:val="0"/>
          <w:color w:val="auto"/>
          <w:kern w:val="2"/>
          <w:sz w:val="24"/>
          <w:szCs w:val="24"/>
          <w:highlight w:val="none"/>
          <w:shd w:val="clear" w:color="auto" w:fill="FFFFFF"/>
          <w:lang w:val="en-US" w:eastAsia="zh-CN" w:bidi="ar-SA"/>
        </w:rPr>
        <w:t>第七师胡杨河市</w:t>
      </w:r>
      <w:r>
        <w:rPr>
          <w:rFonts w:hint="eastAsia" w:ascii="Times New Roman" w:hAnsi="Times New Roman" w:eastAsia="宋体" w:cs="Times New Roman"/>
          <w:b w:val="0"/>
          <w:bCs w:val="0"/>
          <w:color w:val="auto"/>
          <w:kern w:val="2"/>
          <w:sz w:val="24"/>
          <w:szCs w:val="24"/>
          <w:highlight w:val="none"/>
          <w:shd w:val="clear" w:color="auto" w:fill="FFFFFF"/>
          <w:lang w:val="en-US" w:eastAsia="zh-CN" w:bidi="ar-SA"/>
        </w:rPr>
        <w:t>划定</w:t>
      </w:r>
      <w:r>
        <w:rPr>
          <w:rFonts w:hint="eastAsia" w:cs="Times New Roman"/>
          <w:b w:val="0"/>
          <w:bCs w:val="0"/>
          <w:color w:val="auto"/>
          <w:kern w:val="2"/>
          <w:sz w:val="24"/>
          <w:szCs w:val="24"/>
          <w:highlight w:val="none"/>
          <w:shd w:val="clear" w:color="auto" w:fill="FFFFFF"/>
          <w:lang w:val="en-US" w:eastAsia="zh-CN" w:bidi="ar-SA"/>
        </w:rPr>
        <w:t>一般管控</w:t>
      </w:r>
      <w:r>
        <w:rPr>
          <w:rFonts w:hint="eastAsia" w:ascii="Times New Roman" w:hAnsi="Times New Roman" w:eastAsia="宋体" w:cs="Times New Roman"/>
          <w:b w:val="0"/>
          <w:bCs w:val="0"/>
          <w:color w:val="auto"/>
          <w:kern w:val="2"/>
          <w:sz w:val="24"/>
          <w:szCs w:val="24"/>
          <w:highlight w:val="none"/>
          <w:shd w:val="clear" w:color="auto" w:fill="FFFFFF"/>
          <w:lang w:val="en-US" w:eastAsia="zh-CN" w:bidi="ar-SA"/>
        </w:rPr>
        <w:t>单元，环境管控单元编码为ZH65770330001，本项目</w:t>
      </w:r>
      <w:r>
        <w:rPr>
          <w:rFonts w:hint="eastAsia" w:ascii="Times New Roman" w:hAnsi="Times New Roman" w:eastAsia="宋体" w:cs="Times New Roman"/>
          <w:bCs/>
          <w:color w:val="auto"/>
          <w:kern w:val="0"/>
          <w:sz w:val="24"/>
          <w:szCs w:val="22"/>
          <w:lang w:val="en-US" w:eastAsia="zh-CN"/>
        </w:rPr>
        <w:t>不涉及生态保护红线，项目所在区域不存在自然保护区、风景名胜区、饮用水水源保护区等需要特别保护的区域，不属于禁止建设开发区和限制建设开发区，符合生态保护红线的要求</w:t>
      </w:r>
      <w:r>
        <w:rPr>
          <w:rFonts w:hint="eastAsia" w:ascii="Times New Roman" w:hAnsi="Times New Roman" w:eastAsia="宋体" w:cs="Times New Roman"/>
          <w:color w:val="auto"/>
          <w:kern w:val="2"/>
          <w:sz w:val="24"/>
          <w:szCs w:val="24"/>
          <w:shd w:val="clear" w:color="auto" w:fill="FFFFFF"/>
          <w:lang w:val="en-US" w:eastAsia="zh-CN" w:bidi="ar-SA"/>
        </w:rPr>
        <w:t>，</w:t>
      </w:r>
      <w:r>
        <w:rPr>
          <w:rFonts w:hint="default" w:ascii="Times New Roman" w:hAnsi="Times New Roman" w:eastAsia="宋体" w:cs="宋体"/>
          <w:color w:val="auto"/>
          <w:kern w:val="0"/>
          <w:sz w:val="24"/>
          <w:szCs w:val="22"/>
        </w:rPr>
        <w:t>不会影响所在区域内生态功能</w:t>
      </w:r>
      <w:r>
        <w:rPr>
          <w:rFonts w:hint="eastAsia" w:ascii="Times New Roman" w:hAnsi="Times New Roman" w:eastAsia="宋体" w:cs="宋体"/>
          <w:color w:val="auto"/>
          <w:kern w:val="0"/>
          <w:sz w:val="24"/>
          <w:szCs w:val="22"/>
          <w:lang w:val="en-US" w:eastAsia="zh-CN"/>
        </w:rPr>
        <w:t>和性质</w:t>
      </w:r>
      <w:r>
        <w:rPr>
          <w:rFonts w:hint="default" w:ascii="Times New Roman" w:hAnsi="Times New Roman" w:eastAsia="宋体" w:cs="Times New Roman"/>
          <w:color w:val="auto"/>
          <w:kern w:val="2"/>
          <w:sz w:val="24"/>
          <w:szCs w:val="24"/>
          <w:lang w:val="en-US" w:eastAsia="zh-CN" w:bidi="ar-SA"/>
        </w:rPr>
        <w:t>。本项目在</w:t>
      </w:r>
      <w:r>
        <w:rPr>
          <w:rFonts w:hint="eastAsia" w:cs="Times New Roman"/>
          <w:color w:val="auto"/>
          <w:kern w:val="2"/>
          <w:sz w:val="24"/>
          <w:szCs w:val="24"/>
          <w:lang w:val="en-US" w:eastAsia="zh-CN" w:bidi="ar-SA"/>
        </w:rPr>
        <w:t>第七师胡杨河市</w:t>
      </w:r>
      <w:r>
        <w:rPr>
          <w:rFonts w:hint="default" w:ascii="Times New Roman" w:hAnsi="Times New Roman" w:eastAsia="宋体" w:cs="Times New Roman"/>
          <w:color w:val="auto"/>
          <w:kern w:val="2"/>
          <w:sz w:val="24"/>
          <w:szCs w:val="24"/>
          <w:lang w:val="en-US" w:eastAsia="zh-CN" w:bidi="ar-SA"/>
        </w:rPr>
        <w:t>生态环境分区管控方案中位置见</w:t>
      </w:r>
      <w:r>
        <w:rPr>
          <w:rFonts w:hint="eastAsia" w:ascii="Times New Roman" w:hAnsi="Times New Roman" w:eastAsia="宋体" w:cs="Times New Roman"/>
          <w:color w:val="auto"/>
          <w:kern w:val="2"/>
          <w:sz w:val="24"/>
          <w:szCs w:val="24"/>
          <w:lang w:val="en-US" w:eastAsia="zh-CN" w:bidi="ar-SA"/>
        </w:rPr>
        <w:t>图</w:t>
      </w:r>
      <w:r>
        <w:rPr>
          <w:rFonts w:hint="eastAsia" w:cs="Times New Roman"/>
          <w:color w:val="auto"/>
          <w:kern w:val="2"/>
          <w:sz w:val="24"/>
          <w:szCs w:val="24"/>
          <w:lang w:val="en-US" w:eastAsia="zh-CN" w:bidi="ar-SA"/>
        </w:rPr>
        <w:t>1.4-3</w:t>
      </w:r>
      <w:r>
        <w:rPr>
          <w:rFonts w:hint="default" w:ascii="Times New Roman" w:hAnsi="Times New Roman" w:eastAsia="宋体" w:cs="Times New Roman"/>
          <w:color w:val="auto"/>
          <w:kern w:val="2"/>
          <w:sz w:val="24"/>
          <w:szCs w:val="24"/>
          <w:lang w:val="en-US" w:eastAsia="zh-CN" w:bidi="ar-SA"/>
        </w:rPr>
        <w:t>。</w:t>
      </w:r>
    </w:p>
    <w:p w14:paraId="500E233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440" w:lineRule="exact"/>
        <w:ind w:left="0" w:right="0" w:firstLine="480" w:firstLineChars="200"/>
        <w:jc w:val="left"/>
        <w:textAlignment w:val="auto"/>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highlight w:val="none"/>
          <w:lang w:val="en-US" w:eastAsia="zh-CN"/>
        </w:rPr>
        <w:t>本项目与125团一般管控单元</w:t>
      </w:r>
      <w:r>
        <w:rPr>
          <w:rFonts w:hint="eastAsia" w:ascii="Times New Roman" w:hAnsi="Times New Roman" w:eastAsia="宋体" w:cs="宋体"/>
          <w:color w:val="auto"/>
          <w:kern w:val="0"/>
          <w:sz w:val="24"/>
          <w:szCs w:val="22"/>
          <w:lang w:val="en-US" w:eastAsia="zh-CN"/>
        </w:rPr>
        <w:t>要求符合性见表1.4-2。</w:t>
      </w:r>
    </w:p>
    <w:p w14:paraId="00DA1C1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宋体" w:cs="宋体"/>
          <w:b/>
          <w:bCs/>
          <w:color w:val="auto"/>
          <w:kern w:val="0"/>
          <w:sz w:val="24"/>
          <w:szCs w:val="22"/>
          <w:lang w:val="en-US" w:eastAsia="zh-CN"/>
        </w:rPr>
      </w:pPr>
      <w:r>
        <w:rPr>
          <w:rFonts w:hint="eastAsia" w:ascii="Times New Roman" w:hAnsi="Times New Roman" w:eastAsia="宋体" w:cs="宋体"/>
          <w:b/>
          <w:bCs/>
          <w:color w:val="auto"/>
          <w:kern w:val="0"/>
          <w:sz w:val="24"/>
          <w:szCs w:val="22"/>
          <w:lang w:val="en-US" w:eastAsia="zh-CN"/>
        </w:rPr>
        <w:t>表1.4-2  本项目与125团一般管控单元要求符合性分析表</w:t>
      </w:r>
    </w:p>
    <w:tbl>
      <w:tblPr>
        <w:tblStyle w:val="21"/>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867"/>
        <w:gridCol w:w="531"/>
        <w:gridCol w:w="472"/>
        <w:gridCol w:w="472"/>
        <w:gridCol w:w="3237"/>
        <w:gridCol w:w="1944"/>
      </w:tblGrid>
      <w:tr w14:paraId="797CA0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01" w:type="pct"/>
            <w:tcBorders>
              <w:tl2br w:val="nil"/>
              <w:tr2bl w:val="nil"/>
            </w:tcBorders>
            <w:vAlign w:val="center"/>
          </w:tcPr>
          <w:p w14:paraId="4F4D03B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环境管控单元编码</w:t>
            </w:r>
          </w:p>
        </w:tc>
        <w:tc>
          <w:tcPr>
            <w:tcW w:w="283" w:type="pct"/>
            <w:tcBorders>
              <w:tl2br w:val="nil"/>
              <w:tr2bl w:val="nil"/>
            </w:tcBorders>
            <w:vAlign w:val="center"/>
          </w:tcPr>
          <w:p w14:paraId="03F2C57C">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环境管控单元名称</w:t>
            </w:r>
          </w:p>
        </w:tc>
        <w:tc>
          <w:tcPr>
            <w:tcW w:w="283" w:type="pct"/>
            <w:tcBorders>
              <w:tl2br w:val="nil"/>
              <w:tr2bl w:val="nil"/>
            </w:tcBorders>
            <w:vAlign w:val="center"/>
          </w:tcPr>
          <w:p w14:paraId="64AD1A1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环境管控单元类别</w:t>
            </w:r>
          </w:p>
        </w:tc>
        <w:tc>
          <w:tcPr>
            <w:tcW w:w="2187" w:type="pct"/>
            <w:gridSpan w:val="2"/>
            <w:tcBorders>
              <w:tl2br w:val="nil"/>
              <w:tr2bl w:val="nil"/>
            </w:tcBorders>
            <w:vAlign w:val="center"/>
          </w:tcPr>
          <w:p w14:paraId="3F1C6A1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管控要求</w:t>
            </w:r>
          </w:p>
        </w:tc>
        <w:tc>
          <w:tcPr>
            <w:tcW w:w="1143" w:type="pct"/>
            <w:tcBorders>
              <w:tl2br w:val="nil"/>
              <w:tr2bl w:val="nil"/>
            </w:tcBorders>
            <w:vAlign w:val="center"/>
          </w:tcPr>
          <w:p w14:paraId="0479A7C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本项目符合性</w:t>
            </w:r>
          </w:p>
        </w:tc>
      </w:tr>
      <w:tr w14:paraId="071F5A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01" w:type="pct"/>
            <w:vMerge w:val="restart"/>
            <w:tcBorders>
              <w:tl2br w:val="nil"/>
              <w:tr2bl w:val="nil"/>
            </w:tcBorders>
            <w:vAlign w:val="center"/>
          </w:tcPr>
          <w:p w14:paraId="2CC55F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r>
              <w:rPr>
                <w:rFonts w:hint="eastAsia" w:ascii="Times New Roman" w:hAnsi="Times New Roman" w:eastAsia="宋体" w:cs="宋体"/>
                <w:color w:val="auto"/>
                <w:kern w:val="0"/>
                <w:sz w:val="21"/>
                <w:szCs w:val="21"/>
                <w:highlight w:val="none"/>
                <w:lang w:val="en-US" w:eastAsia="zh-CN" w:bidi="en-US"/>
              </w:rPr>
              <w:t>ZH65770330001</w:t>
            </w:r>
          </w:p>
        </w:tc>
        <w:tc>
          <w:tcPr>
            <w:tcW w:w="283" w:type="pct"/>
            <w:vMerge w:val="restart"/>
            <w:tcBorders>
              <w:tl2br w:val="nil"/>
              <w:tr2bl w:val="nil"/>
            </w:tcBorders>
            <w:vAlign w:val="center"/>
          </w:tcPr>
          <w:p w14:paraId="15C2B4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r>
              <w:rPr>
                <w:rFonts w:hint="eastAsia" w:ascii="Times New Roman" w:hAnsi="Times New Roman" w:eastAsia="宋体" w:cs="宋体"/>
                <w:color w:val="auto"/>
                <w:kern w:val="0"/>
                <w:sz w:val="21"/>
                <w:szCs w:val="21"/>
                <w:highlight w:val="none"/>
                <w:lang w:val="en-US" w:eastAsia="zh-CN" w:bidi="en-US"/>
              </w:rPr>
              <w:t>125团一般管控单元</w:t>
            </w:r>
          </w:p>
        </w:tc>
        <w:tc>
          <w:tcPr>
            <w:tcW w:w="283" w:type="pct"/>
            <w:vMerge w:val="restart"/>
            <w:tcBorders>
              <w:tl2br w:val="nil"/>
              <w:tr2bl w:val="nil"/>
            </w:tcBorders>
            <w:vAlign w:val="center"/>
          </w:tcPr>
          <w:p w14:paraId="7F7744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宋体"/>
                <w:color w:val="auto"/>
                <w:kern w:val="0"/>
                <w:sz w:val="21"/>
                <w:szCs w:val="21"/>
                <w:highlight w:val="none"/>
                <w:lang w:val="en-US" w:eastAsia="zh-CN" w:bidi="en-US"/>
              </w:rPr>
            </w:pPr>
            <w:r>
              <w:rPr>
                <w:rFonts w:hint="default" w:ascii="Times New Roman" w:hAnsi="Times New Roman" w:eastAsia="宋体" w:cs="宋体"/>
                <w:color w:val="auto"/>
                <w:kern w:val="0"/>
                <w:sz w:val="21"/>
                <w:szCs w:val="21"/>
                <w:highlight w:val="none"/>
                <w:lang w:val="en-US" w:eastAsia="zh-CN" w:bidi="en-US"/>
              </w:rPr>
              <w:t>一般管控单元</w:t>
            </w:r>
          </w:p>
        </w:tc>
        <w:tc>
          <w:tcPr>
            <w:tcW w:w="283" w:type="pct"/>
            <w:tcBorders>
              <w:tl2br w:val="nil"/>
              <w:tr2bl w:val="nil"/>
            </w:tcBorders>
            <w:vAlign w:val="center"/>
          </w:tcPr>
          <w:p w14:paraId="755C505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空间布局约束</w:t>
            </w:r>
          </w:p>
        </w:tc>
        <w:tc>
          <w:tcPr>
            <w:tcW w:w="1903" w:type="pct"/>
            <w:tcBorders>
              <w:tl2br w:val="nil"/>
              <w:tr2bl w:val="nil"/>
            </w:tcBorders>
            <w:vAlign w:val="center"/>
          </w:tcPr>
          <w:p w14:paraId="041B76F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（1）加强农田防护林网体系建设，保护基本农田，改造中低产农田和盐碱地，发展设施农业，并改进农业种植技术。</w:t>
            </w:r>
          </w:p>
        </w:tc>
        <w:tc>
          <w:tcPr>
            <w:tcW w:w="1143" w:type="pct"/>
            <w:tcBorders>
              <w:tl2br w:val="nil"/>
              <w:tr2bl w:val="nil"/>
            </w:tcBorders>
            <w:vAlign w:val="center"/>
          </w:tcPr>
          <w:p w14:paraId="39FCFC9C">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宋体"/>
                <w:color w:val="auto"/>
                <w:kern w:val="0"/>
                <w:sz w:val="21"/>
                <w:szCs w:val="24"/>
                <w:lang w:val="en-US" w:eastAsia="zh-CN" w:bidi="ar-SA"/>
              </w:rPr>
              <w:t>本项目为规模化畜禽养殖</w:t>
            </w:r>
            <w:r>
              <w:rPr>
                <w:rFonts w:hint="eastAsia" w:cs="宋体"/>
                <w:color w:val="auto"/>
                <w:kern w:val="0"/>
                <w:sz w:val="21"/>
                <w:szCs w:val="24"/>
                <w:lang w:val="en-US" w:eastAsia="zh-CN" w:bidi="ar-SA"/>
              </w:rPr>
              <w:t>，用地为设施农用地，不涉及基本农田</w:t>
            </w:r>
            <w:r>
              <w:rPr>
                <w:rFonts w:hint="eastAsia" w:ascii="Times New Roman" w:hAnsi="Times New Roman" w:eastAsia="宋体" w:cs="Times New Roman"/>
                <w:color w:val="auto"/>
                <w:kern w:val="2"/>
                <w:sz w:val="21"/>
                <w:szCs w:val="24"/>
                <w:vertAlign w:val="baseline"/>
                <w:lang w:val="en-US" w:eastAsia="zh-CN" w:bidi="ar-SA"/>
              </w:rPr>
              <w:t>。</w:t>
            </w:r>
          </w:p>
        </w:tc>
      </w:tr>
      <w:tr w14:paraId="03177A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01" w:type="pct"/>
            <w:vMerge w:val="continue"/>
            <w:tcBorders>
              <w:tl2br w:val="nil"/>
              <w:tr2bl w:val="nil"/>
            </w:tcBorders>
            <w:vAlign w:val="center"/>
          </w:tcPr>
          <w:p w14:paraId="36E71B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vMerge w:val="continue"/>
            <w:tcBorders>
              <w:tl2br w:val="nil"/>
              <w:tr2bl w:val="nil"/>
            </w:tcBorders>
            <w:vAlign w:val="center"/>
          </w:tcPr>
          <w:p w14:paraId="4EAFB6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vMerge w:val="continue"/>
            <w:tcBorders>
              <w:tl2br w:val="nil"/>
              <w:tr2bl w:val="nil"/>
            </w:tcBorders>
            <w:vAlign w:val="center"/>
          </w:tcPr>
          <w:p w14:paraId="49BA9E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tcBorders>
              <w:tl2br w:val="nil"/>
              <w:tr2bl w:val="nil"/>
            </w:tcBorders>
            <w:vAlign w:val="center"/>
          </w:tcPr>
          <w:p w14:paraId="62D4D32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污染物排放管控</w:t>
            </w:r>
          </w:p>
        </w:tc>
        <w:tc>
          <w:tcPr>
            <w:tcW w:w="1903" w:type="pct"/>
            <w:tcBorders>
              <w:tl2br w:val="nil"/>
              <w:tr2bl w:val="nil"/>
            </w:tcBorders>
            <w:vAlign w:val="center"/>
          </w:tcPr>
          <w:p w14:paraId="46643A5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1）严格落实环境保护目标责任制，强化污染物总量控制目标考核，健全重大环境事件和污染事故责任追究制度，加大问责力度。强化环境执法监督，严格污染物排放标准、环境影响评价和污染物排放许可制度，进一步健全环境监管体制。</w:t>
            </w:r>
          </w:p>
        </w:tc>
        <w:tc>
          <w:tcPr>
            <w:tcW w:w="1143" w:type="pct"/>
            <w:tcBorders>
              <w:tl2br w:val="nil"/>
              <w:tr2bl w:val="nil"/>
            </w:tcBorders>
            <w:vAlign w:val="center"/>
          </w:tcPr>
          <w:p w14:paraId="4F79E37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宋体"/>
                <w:color w:val="auto"/>
                <w:kern w:val="0"/>
                <w:sz w:val="21"/>
                <w:szCs w:val="21"/>
                <w:lang w:val="en-US" w:eastAsia="zh-CN" w:bidi="en-US"/>
              </w:rPr>
              <w:t>项目生活污水定期拉运至污水处理厂处置，牛尿均被发酵垫料吸收，牛粪及发酵垫料还田于本项目周边农田；养殖饲料搅拌粉尘设置封闭式作业+润湿搅拌工艺控制，饲料粉碎粉尘</w:t>
            </w:r>
            <w:r>
              <w:rPr>
                <w:rFonts w:hint="eastAsia" w:cs="宋体"/>
                <w:color w:val="auto"/>
                <w:kern w:val="0"/>
                <w:sz w:val="21"/>
                <w:szCs w:val="21"/>
                <w:lang w:val="en-US" w:eastAsia="zh-CN" w:bidi="en-US"/>
              </w:rPr>
              <w:t>经</w:t>
            </w:r>
            <w:r>
              <w:rPr>
                <w:rFonts w:hint="eastAsia" w:ascii="Times New Roman" w:hAnsi="Times New Roman" w:eastAsia="宋体" w:cs="宋体"/>
                <w:color w:val="auto"/>
                <w:kern w:val="0"/>
                <w:sz w:val="21"/>
                <w:szCs w:val="21"/>
                <w:lang w:val="en-US" w:eastAsia="zh-CN" w:bidi="en-US"/>
              </w:rPr>
              <w:t>袋式除尘</w:t>
            </w:r>
            <w:r>
              <w:rPr>
                <w:rFonts w:hint="eastAsia" w:cs="宋体"/>
                <w:color w:val="auto"/>
                <w:kern w:val="0"/>
                <w:sz w:val="21"/>
                <w:szCs w:val="21"/>
                <w:lang w:val="en-US" w:eastAsia="zh-CN" w:bidi="en-US"/>
              </w:rPr>
              <w:t>处理后经15m排气筒排放</w:t>
            </w:r>
            <w:r>
              <w:rPr>
                <w:rFonts w:hint="eastAsia" w:ascii="Times New Roman" w:hAnsi="Times New Roman" w:eastAsia="宋体" w:cs="宋体"/>
                <w:color w:val="auto"/>
                <w:kern w:val="0"/>
                <w:sz w:val="21"/>
                <w:szCs w:val="21"/>
                <w:lang w:val="en-US" w:eastAsia="zh-CN" w:bidi="en-US"/>
              </w:rPr>
              <w:t>，堆肥废气经布袋除尘+生物除臭（滴滤法）处理后经15m排气筒排放；养殖产生的恶臭污染物氨、硫化氢通过控制饲养密度+及时清理粪污+场区绿化+喷洒生物除臭剂控制，堆肥间未被收集的硫化氢、氨通过加强封闭式作业控制，均能够满足《恶臭污染物排放标准》（GB14554-1993）排放限值，污染物排放量较小。</w:t>
            </w:r>
          </w:p>
        </w:tc>
      </w:tr>
      <w:tr w14:paraId="590CEC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1101" w:type="pct"/>
            <w:vMerge w:val="continue"/>
            <w:tcBorders>
              <w:tl2br w:val="nil"/>
              <w:tr2bl w:val="nil"/>
            </w:tcBorders>
            <w:vAlign w:val="center"/>
          </w:tcPr>
          <w:p w14:paraId="06762A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vMerge w:val="continue"/>
            <w:tcBorders>
              <w:tl2br w:val="nil"/>
              <w:tr2bl w:val="nil"/>
            </w:tcBorders>
            <w:vAlign w:val="center"/>
          </w:tcPr>
          <w:p w14:paraId="3604F2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vMerge w:val="continue"/>
            <w:tcBorders>
              <w:tl2br w:val="nil"/>
              <w:tr2bl w:val="nil"/>
            </w:tcBorders>
            <w:vAlign w:val="center"/>
          </w:tcPr>
          <w:p w14:paraId="4D1000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tcBorders>
              <w:tl2br w:val="nil"/>
              <w:tr2bl w:val="nil"/>
            </w:tcBorders>
            <w:vAlign w:val="center"/>
          </w:tcPr>
          <w:p w14:paraId="6B7C40EA">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环境风险防控</w:t>
            </w:r>
          </w:p>
        </w:tc>
        <w:tc>
          <w:tcPr>
            <w:tcW w:w="1903" w:type="pct"/>
            <w:tcBorders>
              <w:tl2br w:val="nil"/>
              <w:tr2bl w:val="nil"/>
            </w:tcBorders>
            <w:vAlign w:val="center"/>
          </w:tcPr>
          <w:p w14:paraId="5DD8AB2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（1）对耕地面积减少或土壤环境质量下降的团场要进行预警提醒，并依法采取环评限批等限制性措施。</w:t>
            </w:r>
          </w:p>
        </w:tc>
        <w:tc>
          <w:tcPr>
            <w:tcW w:w="1143" w:type="pct"/>
            <w:tcBorders>
              <w:tl2br w:val="nil"/>
              <w:tr2bl w:val="nil"/>
            </w:tcBorders>
            <w:vAlign w:val="center"/>
          </w:tcPr>
          <w:p w14:paraId="5A70D41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宋体"/>
                <w:color w:val="auto"/>
                <w:sz w:val="21"/>
                <w:szCs w:val="24"/>
                <w:lang w:val="en-US" w:eastAsia="zh-CN" w:bidi="ar-SA"/>
              </w:rPr>
              <w:t>本项目</w:t>
            </w:r>
            <w:r>
              <w:rPr>
                <w:rFonts w:hint="eastAsia" w:cs="宋体"/>
                <w:color w:val="auto"/>
                <w:sz w:val="21"/>
                <w:szCs w:val="24"/>
                <w:lang w:val="en-US" w:eastAsia="zh-CN" w:bidi="ar-SA"/>
              </w:rPr>
              <w:t>不占用耕地</w:t>
            </w:r>
            <w:r>
              <w:rPr>
                <w:rFonts w:hint="eastAsia" w:ascii="Times New Roman" w:hAnsi="Times New Roman" w:eastAsia="宋体" w:cs="宋体"/>
                <w:color w:val="auto"/>
                <w:sz w:val="21"/>
                <w:szCs w:val="24"/>
                <w:lang w:val="en-US" w:eastAsia="zh-CN" w:bidi="ar-SA"/>
              </w:rPr>
              <w:t>；本项目</w:t>
            </w:r>
            <w:r>
              <w:rPr>
                <w:rFonts w:hint="eastAsia" w:cs="宋体"/>
                <w:color w:val="auto"/>
                <w:sz w:val="21"/>
                <w:szCs w:val="24"/>
                <w:lang w:val="en-US" w:eastAsia="zh-CN" w:bidi="ar-SA"/>
              </w:rPr>
              <w:t>落实分区防渗措施，并设置土壤跟踪监测制度，轮作施肥，土壤环境风险可控</w:t>
            </w:r>
            <w:r>
              <w:rPr>
                <w:rFonts w:hint="eastAsia" w:ascii="Times New Roman" w:hAnsi="Times New Roman" w:eastAsia="宋体" w:cs="Times New Roman"/>
                <w:color w:val="auto"/>
                <w:kern w:val="2"/>
                <w:sz w:val="21"/>
                <w:szCs w:val="24"/>
                <w:vertAlign w:val="baseline"/>
                <w:lang w:val="en-US" w:eastAsia="zh-CN" w:bidi="ar-SA"/>
              </w:rPr>
              <w:t>。</w:t>
            </w:r>
          </w:p>
        </w:tc>
      </w:tr>
      <w:tr w14:paraId="56DB93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101" w:type="pct"/>
            <w:vMerge w:val="continue"/>
            <w:tcBorders>
              <w:tl2br w:val="nil"/>
              <w:tr2bl w:val="nil"/>
            </w:tcBorders>
            <w:vAlign w:val="center"/>
          </w:tcPr>
          <w:p w14:paraId="37CB2D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vMerge w:val="continue"/>
            <w:tcBorders>
              <w:tl2br w:val="nil"/>
              <w:tr2bl w:val="nil"/>
            </w:tcBorders>
            <w:vAlign w:val="center"/>
          </w:tcPr>
          <w:p w14:paraId="09A1B2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宋体"/>
                <w:color w:val="auto"/>
                <w:kern w:val="0"/>
                <w:sz w:val="21"/>
                <w:szCs w:val="21"/>
                <w:highlight w:val="none"/>
                <w:lang w:val="en-US" w:eastAsia="zh-CN" w:bidi="en-US"/>
              </w:rPr>
            </w:pPr>
          </w:p>
        </w:tc>
        <w:tc>
          <w:tcPr>
            <w:tcW w:w="283" w:type="pct"/>
            <w:vMerge w:val="continue"/>
            <w:tcBorders>
              <w:tl2br w:val="nil"/>
              <w:tr2bl w:val="nil"/>
            </w:tcBorders>
            <w:vAlign w:val="center"/>
          </w:tcPr>
          <w:p w14:paraId="797C32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宋体"/>
                <w:color w:val="auto"/>
                <w:kern w:val="0"/>
                <w:sz w:val="21"/>
                <w:szCs w:val="21"/>
                <w:highlight w:val="none"/>
                <w:lang w:val="en-US" w:eastAsia="zh-CN" w:bidi="en-US"/>
              </w:rPr>
            </w:pPr>
          </w:p>
        </w:tc>
        <w:tc>
          <w:tcPr>
            <w:tcW w:w="283" w:type="pct"/>
            <w:tcBorders>
              <w:tl2br w:val="nil"/>
              <w:tr2bl w:val="nil"/>
            </w:tcBorders>
            <w:vAlign w:val="center"/>
          </w:tcPr>
          <w:p w14:paraId="5E16B58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资源开发效率要求</w:t>
            </w:r>
          </w:p>
        </w:tc>
        <w:tc>
          <w:tcPr>
            <w:tcW w:w="1903" w:type="pct"/>
            <w:tcBorders>
              <w:tl2br w:val="nil"/>
              <w:tr2bl w:val="nil"/>
            </w:tcBorders>
            <w:vAlign w:val="center"/>
          </w:tcPr>
          <w:p w14:paraId="644AF3F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（1）推行秸秆还田、增施有机肥、少耕免耕、粮豆轮作、化肥农药减量、农膜减量与回收利用等措施，切实保护耕地土壤环境质量。</w:t>
            </w:r>
          </w:p>
          <w:p w14:paraId="79AAFD7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（2）推进规模化高效节水灌溉，推广农作物节水抗旱技术。发展以喷滴灌和渠道防渗为中心的节水农业。</w:t>
            </w:r>
          </w:p>
        </w:tc>
        <w:tc>
          <w:tcPr>
            <w:tcW w:w="1143" w:type="pct"/>
            <w:tcBorders>
              <w:tl2br w:val="nil"/>
              <w:tr2bl w:val="nil"/>
            </w:tcBorders>
            <w:vAlign w:val="center"/>
          </w:tcPr>
          <w:p w14:paraId="7F06D78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本项目</w:t>
            </w:r>
            <w:r>
              <w:rPr>
                <w:rFonts w:hint="eastAsia" w:cs="Times New Roman"/>
                <w:color w:val="auto"/>
                <w:kern w:val="2"/>
                <w:sz w:val="21"/>
                <w:szCs w:val="24"/>
                <w:vertAlign w:val="baseline"/>
                <w:lang w:val="en-US" w:eastAsia="zh-CN" w:bidi="ar-SA"/>
              </w:rPr>
              <w:t>牛粪及发酵垫料经无害化处理后还田于周边农田，能够有效替代化肥，从源头减少化肥使用量。本项目厂区绿化灌溉采用滴灌技术，能够有效节水</w:t>
            </w:r>
            <w:r>
              <w:rPr>
                <w:rFonts w:hint="eastAsia" w:ascii="Times New Roman" w:hAnsi="Times New Roman" w:eastAsia="宋体" w:cs="Times New Roman"/>
                <w:color w:val="auto"/>
                <w:kern w:val="2"/>
                <w:sz w:val="21"/>
                <w:szCs w:val="24"/>
                <w:vertAlign w:val="baseline"/>
                <w:lang w:val="en-US" w:eastAsia="zh-CN" w:bidi="ar-SA"/>
              </w:rPr>
              <w:t>。</w:t>
            </w:r>
          </w:p>
        </w:tc>
      </w:tr>
    </w:tbl>
    <w:p w14:paraId="03FC8C5A">
      <w:pPr>
        <w:keepNext w:val="0"/>
        <w:keepLines w:val="0"/>
        <w:suppressLineNumbers w:val="0"/>
        <w:overflowPunct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由上述分析结果可知，本项目符合《关于公布</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新疆生产建设兵团第七师胡杨河市生态环境分区管控更新成果（2023版）</w:t>
      </w:r>
      <w:r>
        <w:rPr>
          <w:rFonts w:hint="eastAsia" w:cs="宋体"/>
          <w:color w:val="auto"/>
          <w:kern w:val="0"/>
          <w:sz w:val="24"/>
          <w:szCs w:val="22"/>
          <w:lang w:val="en-US" w:eastAsia="zh-CN"/>
        </w:rPr>
        <w:t>〉的通知》</w:t>
      </w:r>
      <w:r>
        <w:rPr>
          <w:rFonts w:hint="eastAsia" w:ascii="Times New Roman" w:hAnsi="Times New Roman" w:eastAsia="宋体" w:cs="宋体"/>
          <w:color w:val="auto"/>
          <w:kern w:val="0"/>
          <w:sz w:val="24"/>
          <w:szCs w:val="22"/>
          <w:lang w:val="en-US" w:eastAsia="zh-CN"/>
        </w:rPr>
        <w:t>（师市环委办发〔2024〕2号）的要求。</w:t>
      </w:r>
    </w:p>
    <w:p w14:paraId="0B669F21">
      <w:pPr>
        <w:overflowPunct w:val="0"/>
        <w:autoSpaceDE w:val="0"/>
        <w:autoSpaceDN w:val="0"/>
        <w:adjustRightInd w:val="0"/>
        <w:snapToGrid w:val="0"/>
        <w:spacing w:before="0" w:after="0" w:line="360" w:lineRule="auto"/>
        <w:ind w:left="0" w:right="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（3）《新疆维吾尔自治区七大片区</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三线一单</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生态环境分区管控要求（2021年版）》符合性分析</w:t>
      </w:r>
    </w:p>
    <w:p w14:paraId="69BF6AC1">
      <w:pPr>
        <w:keepNext w:val="0"/>
        <w:keepLines w:val="0"/>
        <w:pageBreakBefore w:val="0"/>
        <w:widowControl w:val="0"/>
        <w:kinsoku/>
        <w:wordWrap/>
        <w:overflowPunct/>
        <w:topLinePunct w:val="0"/>
        <w:autoSpaceDE/>
        <w:autoSpaceDN/>
        <w:bidi w:val="0"/>
        <w:adjustRightInd/>
        <w:snapToGrid/>
        <w:spacing w:line="360" w:lineRule="auto"/>
        <w:ind w:firstLine="510"/>
        <w:jc w:val="left"/>
        <w:textAlignment w:val="auto"/>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按照《新疆维吾尔自治区</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三线一单</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生态环境分区管控方案》，全区划分为七大片区，包括北疆北部（塔城地区、阿勒泰地区）、伊犁河谷、</w:t>
      </w:r>
      <w:r>
        <w:rPr>
          <w:rFonts w:hint="eastAsia" w:ascii="Times New Roman" w:hAnsi="Times New Roman" w:eastAsia="宋体" w:cs="宋体"/>
          <w:color w:val="auto"/>
          <w:kern w:val="0"/>
          <w:sz w:val="24"/>
          <w:szCs w:val="22"/>
          <w:highlight w:val="none"/>
          <w:lang w:val="en-US" w:eastAsia="zh-CN"/>
        </w:rPr>
        <w:t>克奎乌</w:t>
      </w:r>
      <w:r>
        <w:rPr>
          <w:rFonts w:hint="eastAsia" w:cs="宋体"/>
          <w:color w:val="auto"/>
          <w:kern w:val="0"/>
          <w:sz w:val="24"/>
          <w:szCs w:val="22"/>
          <w:highlight w:val="none"/>
          <w:lang w:val="en-US" w:eastAsia="zh-CN"/>
        </w:rPr>
        <w:t>－</w:t>
      </w:r>
      <w:r>
        <w:rPr>
          <w:rFonts w:hint="eastAsia" w:ascii="Times New Roman" w:hAnsi="Times New Roman" w:eastAsia="宋体" w:cs="宋体"/>
          <w:color w:val="auto"/>
          <w:kern w:val="0"/>
          <w:sz w:val="24"/>
          <w:szCs w:val="22"/>
          <w:highlight w:val="none"/>
          <w:lang w:val="en-US" w:eastAsia="zh-CN"/>
        </w:rPr>
        <w:t>博州、乌昌石、吐哈、天山南坡（巴州、阿克苏地区）和南疆三地州片区，新疆维吾尔自治区生态环境厅制定《新疆维吾尔自治区七大片区</w:t>
      </w:r>
      <w:r>
        <w:rPr>
          <w:rFonts w:hint="eastAsia" w:cs="宋体"/>
          <w:color w:val="auto"/>
          <w:kern w:val="0"/>
          <w:sz w:val="24"/>
          <w:szCs w:val="22"/>
          <w:highlight w:val="none"/>
          <w:lang w:val="en-US" w:eastAsia="zh-CN"/>
        </w:rPr>
        <w:t>“</w:t>
      </w:r>
      <w:r>
        <w:rPr>
          <w:rFonts w:hint="eastAsia" w:ascii="Times New Roman" w:hAnsi="Times New Roman" w:eastAsia="宋体" w:cs="宋体"/>
          <w:color w:val="auto"/>
          <w:kern w:val="0"/>
          <w:sz w:val="24"/>
          <w:szCs w:val="22"/>
          <w:highlight w:val="none"/>
          <w:lang w:val="en-US" w:eastAsia="zh-CN"/>
        </w:rPr>
        <w:t>三线一单</w:t>
      </w:r>
      <w:r>
        <w:rPr>
          <w:rFonts w:hint="eastAsia" w:cs="宋体"/>
          <w:color w:val="auto"/>
          <w:kern w:val="0"/>
          <w:sz w:val="24"/>
          <w:szCs w:val="22"/>
          <w:highlight w:val="none"/>
          <w:lang w:val="en-US" w:eastAsia="zh-CN"/>
        </w:rPr>
        <w:t>”</w:t>
      </w:r>
      <w:r>
        <w:rPr>
          <w:rFonts w:hint="eastAsia" w:ascii="Times New Roman" w:hAnsi="Times New Roman" w:eastAsia="宋体" w:cs="宋体"/>
          <w:color w:val="auto"/>
          <w:kern w:val="0"/>
          <w:sz w:val="24"/>
          <w:szCs w:val="22"/>
          <w:highlight w:val="none"/>
          <w:lang w:val="en-US" w:eastAsia="zh-CN"/>
        </w:rPr>
        <w:t>生态环境分区管控要求》。克奎乌-博州包括克拉玛依市、奎屯市、乌苏市和博尔塔拉蒙古自治州。本项目位于克奎乌-博州</w:t>
      </w:r>
      <w:r>
        <w:rPr>
          <w:rFonts w:hint="eastAsia" w:ascii="Times New Roman" w:hAnsi="Times New Roman" w:eastAsia="宋体" w:cs="宋体"/>
          <w:color w:val="auto"/>
          <w:kern w:val="0"/>
          <w:sz w:val="24"/>
          <w:szCs w:val="22"/>
          <w:lang w:val="en-US" w:eastAsia="zh-CN"/>
        </w:rPr>
        <w:t>。</w:t>
      </w:r>
    </w:p>
    <w:p w14:paraId="27D1A370">
      <w:pPr>
        <w:keepNext w:val="0"/>
        <w:keepLines w:val="0"/>
        <w:pageBreakBefore w:val="0"/>
        <w:widowControl w:val="0"/>
        <w:kinsoku/>
        <w:wordWrap/>
        <w:overflowPunct/>
        <w:topLinePunct w:val="0"/>
        <w:autoSpaceDE/>
        <w:autoSpaceDN/>
        <w:bidi w:val="0"/>
        <w:adjustRightInd/>
        <w:snapToGrid/>
        <w:spacing w:line="360" w:lineRule="auto"/>
        <w:ind w:firstLine="510"/>
        <w:jc w:val="left"/>
        <w:textAlignment w:val="auto"/>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highlight w:val="none"/>
          <w:lang w:val="en-US" w:eastAsia="zh-CN"/>
        </w:rPr>
        <w:t>本项目在七大片区范围图位置见图1.</w:t>
      </w:r>
      <w:r>
        <w:rPr>
          <w:rFonts w:hint="eastAsia" w:eastAsia="宋体" w:cs="宋体"/>
          <w:color w:val="auto"/>
          <w:kern w:val="0"/>
          <w:sz w:val="24"/>
          <w:szCs w:val="22"/>
          <w:highlight w:val="none"/>
          <w:lang w:val="en-US" w:eastAsia="zh-CN"/>
        </w:rPr>
        <w:t>4-</w:t>
      </w:r>
      <w:r>
        <w:rPr>
          <w:rFonts w:hint="eastAsia" w:cs="宋体"/>
          <w:color w:val="auto"/>
          <w:kern w:val="0"/>
          <w:sz w:val="24"/>
          <w:szCs w:val="22"/>
          <w:highlight w:val="none"/>
          <w:lang w:val="en-US" w:eastAsia="zh-CN"/>
        </w:rPr>
        <w:t>4</w:t>
      </w:r>
      <w:r>
        <w:rPr>
          <w:rFonts w:hint="eastAsia" w:ascii="Times New Roman" w:hAnsi="Times New Roman" w:eastAsia="宋体" w:cs="宋体"/>
          <w:color w:val="auto"/>
          <w:kern w:val="0"/>
          <w:sz w:val="24"/>
          <w:szCs w:val="22"/>
          <w:highlight w:val="none"/>
          <w:lang w:val="en-US" w:eastAsia="zh-CN"/>
        </w:rPr>
        <w:t>。</w:t>
      </w:r>
    </w:p>
    <w:tbl>
      <w:tblPr>
        <w:tblStyle w:val="32"/>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57" w:type="dxa"/>
          <w:bottom w:w="0" w:type="dxa"/>
          <w:right w:w="57" w:type="dxa"/>
        </w:tblCellMar>
      </w:tblPr>
      <w:tblGrid>
        <w:gridCol w:w="5164"/>
        <w:gridCol w:w="2365"/>
        <w:gridCol w:w="892"/>
      </w:tblGrid>
      <w:tr w14:paraId="68538F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43" w:hRule="atLeast"/>
          <w:jc w:val="center"/>
        </w:trPr>
        <w:tc>
          <w:tcPr>
            <w:tcW w:w="5164" w:type="dxa"/>
            <w:tcBorders>
              <w:tl2br w:val="nil"/>
              <w:tr2bl w:val="nil"/>
            </w:tcBorders>
            <w:noWrap w:val="0"/>
            <w:vAlign w:val="center"/>
          </w:tcPr>
          <w:p w14:paraId="643E0DF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000000"/>
                <w:spacing w:val="0"/>
                <w:sz w:val="21"/>
                <w:szCs w:val="21"/>
              </w:rPr>
            </w:pPr>
            <w:r>
              <w:rPr>
                <w:rFonts w:hint="default" w:ascii="Times New Roman" w:hAnsi="Times New Roman" w:eastAsia="宋体" w:cs="Times New Roman"/>
                <w:b/>
                <w:bCs/>
                <w:color w:val="000000"/>
                <w:spacing w:val="0"/>
                <w:sz w:val="21"/>
                <w:szCs w:val="21"/>
              </w:rPr>
              <w:t>管控要求</w:t>
            </w:r>
          </w:p>
        </w:tc>
        <w:tc>
          <w:tcPr>
            <w:tcW w:w="2365" w:type="dxa"/>
            <w:tcBorders>
              <w:tl2br w:val="nil"/>
              <w:tr2bl w:val="nil"/>
            </w:tcBorders>
            <w:noWrap w:val="0"/>
            <w:vAlign w:val="center"/>
          </w:tcPr>
          <w:p w14:paraId="05E0256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000000"/>
                <w:spacing w:val="0"/>
                <w:sz w:val="21"/>
                <w:szCs w:val="21"/>
              </w:rPr>
            </w:pPr>
            <w:r>
              <w:rPr>
                <w:rFonts w:hint="default" w:ascii="Times New Roman" w:hAnsi="Times New Roman" w:eastAsia="宋体" w:cs="Times New Roman"/>
                <w:b/>
                <w:bCs/>
                <w:color w:val="000000"/>
                <w:spacing w:val="0"/>
                <w:sz w:val="21"/>
                <w:szCs w:val="21"/>
              </w:rPr>
              <w:t>项目情况</w:t>
            </w:r>
          </w:p>
        </w:tc>
        <w:tc>
          <w:tcPr>
            <w:tcW w:w="892" w:type="dxa"/>
            <w:tcBorders>
              <w:tl2br w:val="nil"/>
              <w:tr2bl w:val="nil"/>
            </w:tcBorders>
            <w:noWrap w:val="0"/>
            <w:vAlign w:val="center"/>
          </w:tcPr>
          <w:p w14:paraId="523BBD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000000"/>
                <w:spacing w:val="0"/>
                <w:sz w:val="21"/>
                <w:szCs w:val="21"/>
              </w:rPr>
            </w:pPr>
            <w:r>
              <w:rPr>
                <w:rFonts w:hint="default" w:ascii="Times New Roman" w:hAnsi="Times New Roman" w:eastAsia="宋体" w:cs="Times New Roman"/>
                <w:b/>
                <w:bCs/>
                <w:color w:val="000000"/>
                <w:spacing w:val="0"/>
                <w:sz w:val="21"/>
                <w:szCs w:val="21"/>
              </w:rPr>
              <w:t>符合性</w:t>
            </w:r>
          </w:p>
        </w:tc>
      </w:tr>
      <w:tr w14:paraId="176AFD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43" w:hRule="atLeast"/>
          <w:jc w:val="center"/>
        </w:trPr>
        <w:tc>
          <w:tcPr>
            <w:tcW w:w="8421" w:type="dxa"/>
            <w:gridSpan w:val="3"/>
            <w:tcBorders>
              <w:tl2br w:val="nil"/>
              <w:tr2bl w:val="nil"/>
            </w:tcBorders>
            <w:noWrap w:val="0"/>
            <w:vAlign w:val="center"/>
          </w:tcPr>
          <w:p w14:paraId="5DBCE16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FF0000"/>
                <w:spacing w:val="0"/>
                <w:sz w:val="21"/>
                <w:szCs w:val="21"/>
                <w:lang w:val="en-US" w:eastAsia="zh-CN"/>
              </w:rPr>
            </w:pPr>
            <w:r>
              <w:rPr>
                <w:rFonts w:hint="eastAsia" w:ascii="Times New Roman" w:hAnsi="Times New Roman" w:eastAsia="宋体" w:cs="Times New Roman"/>
                <w:b/>
                <w:bCs/>
                <w:color w:val="000000"/>
                <w:spacing w:val="0"/>
                <w:sz w:val="21"/>
                <w:szCs w:val="21"/>
                <w:lang w:val="en-US" w:eastAsia="zh-CN"/>
              </w:rPr>
              <w:t>总体要求</w:t>
            </w:r>
          </w:p>
        </w:tc>
      </w:tr>
      <w:tr w14:paraId="7CD927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43" w:hRule="atLeast"/>
          <w:jc w:val="center"/>
        </w:trPr>
        <w:tc>
          <w:tcPr>
            <w:tcW w:w="5164" w:type="dxa"/>
            <w:tcBorders>
              <w:tl2br w:val="nil"/>
              <w:tr2bl w:val="nil"/>
            </w:tcBorders>
            <w:noWrap w:val="0"/>
            <w:vAlign w:val="center"/>
          </w:tcPr>
          <w:p w14:paraId="49BC0EF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000000"/>
                <w:spacing w:val="0"/>
                <w:position w:val="0"/>
                <w:sz w:val="21"/>
                <w:szCs w:val="21"/>
                <w:lang w:val="en-US" w:eastAsia="zh-CN"/>
              </w:rPr>
            </w:pPr>
            <w:r>
              <w:rPr>
                <w:rFonts w:hint="default" w:ascii="Times New Roman" w:hAnsi="Times New Roman" w:eastAsia="宋体" w:cs="Times New Roman"/>
                <w:color w:val="000000"/>
                <w:spacing w:val="0"/>
                <w:position w:val="0"/>
                <w:sz w:val="21"/>
                <w:szCs w:val="21"/>
                <w:lang w:val="en-US" w:eastAsia="zh-CN"/>
              </w:rPr>
              <w:t>空间布局约束。严格执行国家、自治区产业政策和环境准入要求，严禁</w:t>
            </w:r>
            <w:r>
              <w:rPr>
                <w:rFonts w:hint="eastAsia" w:cs="Times New Roman"/>
                <w:color w:val="000000"/>
                <w:spacing w:val="0"/>
                <w:position w:val="0"/>
                <w:sz w:val="21"/>
                <w:szCs w:val="21"/>
                <w:lang w:val="en-US" w:eastAsia="zh-CN"/>
              </w:rPr>
              <w:t>“</w:t>
            </w:r>
            <w:r>
              <w:rPr>
                <w:rFonts w:hint="default" w:ascii="Times New Roman" w:hAnsi="Times New Roman" w:eastAsia="宋体" w:cs="Times New Roman"/>
                <w:color w:val="000000"/>
                <w:spacing w:val="0"/>
                <w:position w:val="0"/>
                <w:sz w:val="21"/>
                <w:szCs w:val="21"/>
                <w:lang w:val="en-US" w:eastAsia="zh-CN"/>
              </w:rPr>
              <w:t>三高</w:t>
            </w:r>
            <w:r>
              <w:rPr>
                <w:rFonts w:hint="eastAsia" w:cs="Times New Roman"/>
                <w:color w:val="000000"/>
                <w:spacing w:val="0"/>
                <w:position w:val="0"/>
                <w:sz w:val="21"/>
                <w:szCs w:val="21"/>
                <w:lang w:val="en-US" w:eastAsia="zh-CN"/>
              </w:rPr>
              <w:t>”</w:t>
            </w:r>
            <w:r>
              <w:rPr>
                <w:rFonts w:hint="default" w:ascii="Times New Roman" w:hAnsi="Times New Roman" w:eastAsia="宋体" w:cs="Times New Roman"/>
                <w:color w:val="000000"/>
                <w:spacing w:val="0"/>
                <w:position w:val="0"/>
                <w:sz w:val="21"/>
                <w:szCs w:val="21"/>
                <w:lang w:val="en-US" w:eastAsia="zh-CN"/>
              </w:rPr>
              <w:t>项目进新疆，坚决遏制</w:t>
            </w:r>
            <w:r>
              <w:rPr>
                <w:rFonts w:hint="eastAsia" w:cs="Times New Roman"/>
                <w:color w:val="000000"/>
                <w:spacing w:val="0"/>
                <w:position w:val="0"/>
                <w:sz w:val="21"/>
                <w:szCs w:val="21"/>
                <w:lang w:val="en-US" w:eastAsia="zh-CN"/>
              </w:rPr>
              <w:t>“</w:t>
            </w:r>
            <w:r>
              <w:rPr>
                <w:rFonts w:hint="default" w:ascii="Times New Roman" w:hAnsi="Times New Roman" w:eastAsia="宋体" w:cs="Times New Roman"/>
                <w:color w:val="000000"/>
                <w:spacing w:val="0"/>
                <w:position w:val="0"/>
                <w:sz w:val="21"/>
                <w:szCs w:val="21"/>
                <w:lang w:val="en-US" w:eastAsia="zh-CN"/>
              </w:rPr>
              <w:t>两高</w:t>
            </w:r>
            <w:r>
              <w:rPr>
                <w:rFonts w:hint="eastAsia" w:cs="Times New Roman"/>
                <w:color w:val="000000"/>
                <w:spacing w:val="0"/>
                <w:position w:val="0"/>
                <w:sz w:val="21"/>
                <w:szCs w:val="21"/>
                <w:lang w:val="en-US" w:eastAsia="zh-CN"/>
              </w:rPr>
              <w:t>”</w:t>
            </w:r>
            <w:r>
              <w:rPr>
                <w:rFonts w:hint="default" w:ascii="Times New Roman" w:hAnsi="Times New Roman" w:eastAsia="宋体" w:cs="Times New Roman"/>
                <w:color w:val="000000"/>
                <w:spacing w:val="0"/>
                <w:position w:val="0"/>
                <w:sz w:val="21"/>
                <w:szCs w:val="21"/>
                <w:lang w:val="en-US" w:eastAsia="zh-CN"/>
              </w:rPr>
              <w:t>项目盲目发展</w:t>
            </w:r>
            <w:r>
              <w:rPr>
                <w:rFonts w:hint="eastAsia" w:ascii="Times New Roman" w:hAnsi="Times New Roman" w:eastAsia="宋体" w:cs="Times New Roman"/>
                <w:color w:val="000000"/>
                <w:spacing w:val="0"/>
                <w:position w:val="0"/>
                <w:sz w:val="21"/>
                <w:szCs w:val="21"/>
                <w:lang w:val="en-US" w:eastAsia="zh-CN"/>
              </w:rPr>
              <w:t>，</w:t>
            </w:r>
            <w:r>
              <w:rPr>
                <w:rFonts w:hint="eastAsia" w:ascii="Times New Roman" w:hAnsi="Times New Roman" w:eastAsia="宋体" w:cs="Times New Roman"/>
                <w:color w:val="000000"/>
              </w:rPr>
              <w:t>新建、改建、扩建工业项目原则上应布置于由县级及以上人民政府批准建立、环境保护基础设施完善的产业园区、工业聚集区或规划矿区，并且符合相关规划和规划环评要求</w:t>
            </w:r>
            <w:r>
              <w:rPr>
                <w:rFonts w:hint="eastAsia" w:ascii="Times New Roman" w:hAnsi="Times New Roman" w:eastAsia="宋体" w:cs="Times New Roman"/>
                <w:color w:val="000000"/>
                <w:lang w:eastAsia="zh-CN"/>
              </w:rPr>
              <w:t>。</w:t>
            </w:r>
          </w:p>
        </w:tc>
        <w:tc>
          <w:tcPr>
            <w:tcW w:w="2365" w:type="dxa"/>
            <w:tcBorders>
              <w:tl2br w:val="nil"/>
              <w:tr2bl w:val="nil"/>
            </w:tcBorders>
            <w:noWrap w:val="0"/>
            <w:vAlign w:val="center"/>
          </w:tcPr>
          <w:p w14:paraId="64FF005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本项目</w:t>
            </w:r>
            <w:r>
              <w:rPr>
                <w:rFonts w:hint="eastAsia" w:ascii="Times New Roman" w:hAnsi="Times New Roman" w:eastAsia="宋体" w:cs="Times New Roman"/>
                <w:color w:val="000000"/>
                <w:spacing w:val="0"/>
                <w:position w:val="0"/>
                <w:sz w:val="21"/>
                <w:szCs w:val="21"/>
                <w:lang w:val="en-US" w:eastAsia="zh-CN"/>
              </w:rPr>
              <w:t>不涉及自然保护区，符合产业政策和环境准入要求，不属于</w:t>
            </w:r>
            <w:r>
              <w:rPr>
                <w:rFonts w:hint="eastAsia" w:cs="Times New Roman"/>
                <w:color w:val="000000"/>
                <w:spacing w:val="0"/>
                <w:position w:val="0"/>
                <w:sz w:val="21"/>
                <w:szCs w:val="21"/>
                <w:lang w:val="en-US" w:eastAsia="zh-CN"/>
              </w:rPr>
              <w:t>“</w:t>
            </w:r>
            <w:r>
              <w:rPr>
                <w:rFonts w:hint="eastAsia" w:ascii="Times New Roman" w:hAnsi="Times New Roman" w:eastAsia="宋体" w:cs="Times New Roman"/>
                <w:color w:val="000000"/>
                <w:spacing w:val="0"/>
                <w:position w:val="0"/>
                <w:sz w:val="21"/>
                <w:szCs w:val="21"/>
                <w:lang w:val="en-US" w:eastAsia="zh-CN"/>
              </w:rPr>
              <w:t>两高</w:t>
            </w:r>
            <w:r>
              <w:rPr>
                <w:rFonts w:hint="eastAsia" w:cs="Times New Roman"/>
                <w:color w:val="000000"/>
                <w:spacing w:val="0"/>
                <w:position w:val="0"/>
                <w:sz w:val="21"/>
                <w:szCs w:val="21"/>
                <w:lang w:val="en-US" w:eastAsia="zh-CN"/>
              </w:rPr>
              <w:t>”</w:t>
            </w:r>
            <w:r>
              <w:rPr>
                <w:rFonts w:hint="eastAsia" w:ascii="Times New Roman" w:hAnsi="Times New Roman" w:eastAsia="宋体" w:cs="Times New Roman"/>
                <w:color w:val="000000"/>
                <w:spacing w:val="0"/>
                <w:position w:val="0"/>
                <w:sz w:val="21"/>
                <w:szCs w:val="21"/>
                <w:lang w:val="en-US" w:eastAsia="zh-CN"/>
              </w:rPr>
              <w:t>项目。</w:t>
            </w:r>
          </w:p>
        </w:tc>
        <w:tc>
          <w:tcPr>
            <w:tcW w:w="892" w:type="dxa"/>
            <w:tcBorders>
              <w:tl2br w:val="nil"/>
              <w:tr2bl w:val="nil"/>
            </w:tcBorders>
            <w:noWrap w:val="0"/>
            <w:vAlign w:val="center"/>
          </w:tcPr>
          <w:p w14:paraId="3A41D6A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符合</w:t>
            </w:r>
          </w:p>
        </w:tc>
      </w:tr>
      <w:tr w14:paraId="538F45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43" w:hRule="atLeast"/>
          <w:jc w:val="center"/>
        </w:trPr>
        <w:tc>
          <w:tcPr>
            <w:tcW w:w="5164" w:type="dxa"/>
            <w:tcBorders>
              <w:tl2br w:val="nil"/>
              <w:tr2bl w:val="nil"/>
            </w:tcBorders>
            <w:noWrap w:val="0"/>
            <w:vAlign w:val="center"/>
          </w:tcPr>
          <w:p w14:paraId="081B33F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position w:val="0"/>
                <w:sz w:val="21"/>
                <w:szCs w:val="21"/>
                <w:lang w:val="en-US" w:eastAsia="zh-CN"/>
              </w:rPr>
            </w:pPr>
            <w:r>
              <w:rPr>
                <w:rFonts w:hint="default" w:ascii="Times New Roman" w:hAnsi="Times New Roman" w:eastAsia="宋体" w:cs="Times New Roman"/>
                <w:color w:val="000000"/>
                <w:spacing w:val="0"/>
                <w:position w:val="0"/>
                <w:sz w:val="21"/>
                <w:szCs w:val="21"/>
                <w:lang w:val="en-US" w:eastAsia="zh-CN"/>
              </w:rPr>
              <w:t>污染物排放管控。</w:t>
            </w:r>
            <w:r>
              <w:rPr>
                <w:rFonts w:hint="eastAsia" w:ascii="Times New Roman" w:hAnsi="Times New Roman" w:eastAsia="宋体" w:cs="Times New Roman"/>
                <w:color w:val="000000"/>
              </w:rPr>
              <w:t>深化行业污染源头治理，深入开展火电行业减排，全力推进钢铁行业超低排放改造，有序推进石化行业</w:t>
            </w:r>
            <w:r>
              <w:rPr>
                <w:rFonts w:hint="eastAsia" w:cs="Times New Roman"/>
                <w:color w:val="000000"/>
                <w:lang w:eastAsia="zh-CN"/>
              </w:rPr>
              <w:t>“</w:t>
            </w:r>
            <w:r>
              <w:rPr>
                <w:rFonts w:hint="eastAsia" w:ascii="Times New Roman" w:hAnsi="Times New Roman" w:eastAsia="宋体" w:cs="Times New Roman"/>
                <w:color w:val="000000"/>
              </w:rPr>
              <w:t>泄漏检测与修复</w:t>
            </w:r>
            <w:r>
              <w:rPr>
                <w:rFonts w:hint="eastAsia" w:cs="Times New Roman"/>
                <w:color w:val="000000"/>
                <w:lang w:eastAsia="zh-CN"/>
              </w:rPr>
              <w:t>”</w:t>
            </w:r>
            <w:r>
              <w:rPr>
                <w:rFonts w:hint="eastAsia" w:ascii="Times New Roman" w:hAnsi="Times New Roman" w:eastAsia="宋体" w:cs="Times New Roman"/>
                <w:color w:val="000000"/>
              </w:rPr>
              <w:t>技术改造。强化煤化工、石化、有机化工、表面涂装、包装印刷等重点行业挥发性有机物控制。</w:t>
            </w:r>
          </w:p>
        </w:tc>
        <w:tc>
          <w:tcPr>
            <w:tcW w:w="2365" w:type="dxa"/>
            <w:tcBorders>
              <w:tl2br w:val="nil"/>
              <w:tr2bl w:val="nil"/>
            </w:tcBorders>
            <w:noWrap w:val="0"/>
            <w:vAlign w:val="center"/>
          </w:tcPr>
          <w:p w14:paraId="28A4E0D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本项目工艺较为简单，冬季</w:t>
            </w:r>
            <w:r>
              <w:rPr>
                <w:rFonts w:hint="eastAsia" w:cs="Times New Roman"/>
                <w:color w:val="000000"/>
                <w:spacing w:val="0"/>
                <w:sz w:val="21"/>
                <w:szCs w:val="21"/>
                <w:lang w:val="en-US" w:eastAsia="zh-CN"/>
              </w:rPr>
              <w:t>生活</w:t>
            </w:r>
            <w:r>
              <w:rPr>
                <w:rFonts w:hint="eastAsia" w:ascii="Times New Roman" w:hAnsi="Times New Roman" w:eastAsia="宋体" w:cs="Times New Roman"/>
                <w:color w:val="000000"/>
                <w:spacing w:val="0"/>
                <w:sz w:val="21"/>
                <w:szCs w:val="21"/>
                <w:lang w:val="en-US" w:eastAsia="zh-CN"/>
              </w:rPr>
              <w:t>供热采用</w:t>
            </w:r>
            <w:r>
              <w:rPr>
                <w:rFonts w:hint="eastAsia" w:eastAsia="宋体" w:cs="Times New Roman"/>
                <w:color w:val="000000"/>
                <w:spacing w:val="0"/>
                <w:sz w:val="21"/>
                <w:szCs w:val="21"/>
                <w:lang w:val="en-US" w:eastAsia="zh-CN"/>
              </w:rPr>
              <w:t>电加热设备</w:t>
            </w:r>
            <w:r>
              <w:rPr>
                <w:rFonts w:hint="eastAsia" w:ascii="Times New Roman" w:hAnsi="Times New Roman" w:eastAsia="宋体" w:cs="Times New Roman"/>
                <w:color w:val="000000"/>
                <w:spacing w:val="0"/>
                <w:sz w:val="21"/>
                <w:szCs w:val="21"/>
                <w:lang w:val="en-US" w:eastAsia="zh-CN"/>
              </w:rPr>
              <w:t>，废气可实现达标排放，项目</w:t>
            </w:r>
            <w:r>
              <w:rPr>
                <w:rFonts w:hint="eastAsia" w:cs="Times New Roman"/>
                <w:color w:val="000000"/>
                <w:spacing w:val="0"/>
                <w:sz w:val="21"/>
                <w:szCs w:val="21"/>
                <w:lang w:val="en-US" w:eastAsia="zh-CN"/>
              </w:rPr>
              <w:t>无生产废水排放</w:t>
            </w:r>
            <w:r>
              <w:rPr>
                <w:rFonts w:hint="eastAsia" w:ascii="Times New Roman" w:hAnsi="Times New Roman" w:eastAsia="宋体" w:cs="Times New Roman"/>
                <w:color w:val="000000"/>
                <w:spacing w:val="0"/>
                <w:sz w:val="21"/>
                <w:szCs w:val="21"/>
                <w:lang w:val="en-US" w:eastAsia="zh-CN"/>
              </w:rPr>
              <w:t>。</w:t>
            </w:r>
          </w:p>
        </w:tc>
        <w:tc>
          <w:tcPr>
            <w:tcW w:w="892" w:type="dxa"/>
            <w:tcBorders>
              <w:tl2br w:val="nil"/>
              <w:tr2bl w:val="nil"/>
            </w:tcBorders>
            <w:noWrap w:val="0"/>
            <w:vAlign w:val="center"/>
          </w:tcPr>
          <w:p w14:paraId="5A39B8B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符合</w:t>
            </w:r>
          </w:p>
        </w:tc>
      </w:tr>
      <w:tr w14:paraId="555999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43" w:hRule="atLeast"/>
          <w:jc w:val="center"/>
        </w:trPr>
        <w:tc>
          <w:tcPr>
            <w:tcW w:w="5164" w:type="dxa"/>
            <w:tcBorders>
              <w:tl2br w:val="nil"/>
              <w:tr2bl w:val="nil"/>
            </w:tcBorders>
            <w:noWrap w:val="0"/>
            <w:vAlign w:val="center"/>
          </w:tcPr>
          <w:p w14:paraId="3AEC4DB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position w:val="0"/>
                <w:sz w:val="21"/>
                <w:szCs w:val="21"/>
                <w:lang w:val="en-US" w:eastAsia="zh-CN"/>
              </w:rPr>
            </w:pPr>
            <w:r>
              <w:rPr>
                <w:rFonts w:hint="default" w:ascii="Times New Roman" w:hAnsi="Times New Roman" w:eastAsia="宋体" w:cs="Times New Roman"/>
                <w:color w:val="000000"/>
                <w:spacing w:val="0"/>
                <w:position w:val="0"/>
                <w:sz w:val="21"/>
                <w:szCs w:val="21"/>
                <w:lang w:val="en-US" w:eastAsia="zh-CN"/>
              </w:rPr>
              <w:t>环境风险防控。禁止在化工园区外新建、扩建危险化学品生产项目。严格落实危险废物处置相关要求。加强重点流域水环境风险管控，保障水环境安全</w:t>
            </w:r>
          </w:p>
        </w:tc>
        <w:tc>
          <w:tcPr>
            <w:tcW w:w="2365" w:type="dxa"/>
            <w:tcBorders>
              <w:tl2br w:val="nil"/>
              <w:tr2bl w:val="nil"/>
            </w:tcBorders>
            <w:noWrap w:val="0"/>
            <w:vAlign w:val="center"/>
          </w:tcPr>
          <w:p w14:paraId="4428A39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本项目不涉及危险化学品生产。本项目医疗废物暂存于医疗废物暂存间</w:t>
            </w:r>
            <w:r>
              <w:rPr>
                <w:rFonts w:hint="eastAsia" w:cs="Times New Roman"/>
                <w:color w:val="000000"/>
                <w:spacing w:val="0"/>
                <w:sz w:val="21"/>
                <w:szCs w:val="21"/>
                <w:lang w:val="en-US" w:eastAsia="zh-CN"/>
              </w:rPr>
              <w:t>，</w:t>
            </w:r>
            <w:r>
              <w:rPr>
                <w:rFonts w:hint="eastAsia" w:ascii="Times New Roman" w:hAnsi="Times New Roman" w:eastAsia="宋体" w:cs="Times New Roman"/>
                <w:color w:val="000000"/>
                <w:spacing w:val="0"/>
                <w:sz w:val="21"/>
                <w:szCs w:val="21"/>
                <w:lang w:val="en-US" w:eastAsia="zh-CN"/>
              </w:rPr>
              <w:t>并委托有资质单位</w:t>
            </w:r>
            <w:r>
              <w:rPr>
                <w:rFonts w:hint="eastAsia" w:cs="Times New Roman"/>
                <w:color w:val="000000"/>
                <w:spacing w:val="0"/>
                <w:sz w:val="21"/>
                <w:szCs w:val="21"/>
                <w:lang w:val="en-US" w:eastAsia="zh-CN"/>
              </w:rPr>
              <w:t>运输</w:t>
            </w:r>
            <w:r>
              <w:rPr>
                <w:rFonts w:hint="eastAsia" w:ascii="Times New Roman" w:hAnsi="Times New Roman" w:eastAsia="宋体" w:cs="Times New Roman"/>
                <w:color w:val="000000"/>
                <w:spacing w:val="0"/>
                <w:sz w:val="21"/>
                <w:szCs w:val="21"/>
                <w:lang w:val="en-US" w:eastAsia="zh-CN"/>
              </w:rPr>
              <w:t>处置</w:t>
            </w:r>
            <w:r>
              <w:rPr>
                <w:rFonts w:hint="eastAsia" w:cs="Times New Roman"/>
                <w:color w:val="000000"/>
                <w:spacing w:val="0"/>
                <w:sz w:val="21"/>
                <w:szCs w:val="21"/>
                <w:lang w:val="en-US" w:eastAsia="zh-CN"/>
              </w:rPr>
              <w:t>；危险废物暂存于危险废物贮存点</w:t>
            </w:r>
            <w:r>
              <w:rPr>
                <w:rFonts w:hint="eastAsia" w:ascii="Times New Roman" w:hAnsi="Times New Roman" w:eastAsia="宋体" w:cs="Times New Roman"/>
                <w:color w:val="000000"/>
                <w:spacing w:val="0"/>
                <w:sz w:val="21"/>
                <w:szCs w:val="21"/>
                <w:lang w:val="en-US" w:eastAsia="zh-CN"/>
              </w:rPr>
              <w:t>，并委托有资质单位</w:t>
            </w:r>
            <w:r>
              <w:rPr>
                <w:rFonts w:hint="eastAsia" w:cs="Times New Roman"/>
                <w:color w:val="000000"/>
                <w:spacing w:val="0"/>
                <w:sz w:val="21"/>
                <w:szCs w:val="21"/>
                <w:lang w:val="en-US" w:eastAsia="zh-CN"/>
              </w:rPr>
              <w:t>运输</w:t>
            </w:r>
            <w:r>
              <w:rPr>
                <w:rFonts w:hint="eastAsia" w:ascii="Times New Roman" w:hAnsi="Times New Roman" w:eastAsia="宋体" w:cs="Times New Roman"/>
                <w:color w:val="000000"/>
                <w:spacing w:val="0"/>
                <w:sz w:val="21"/>
                <w:szCs w:val="21"/>
                <w:lang w:val="en-US" w:eastAsia="zh-CN"/>
              </w:rPr>
              <w:t>处置。</w:t>
            </w:r>
          </w:p>
        </w:tc>
        <w:tc>
          <w:tcPr>
            <w:tcW w:w="892" w:type="dxa"/>
            <w:tcBorders>
              <w:tl2br w:val="nil"/>
              <w:tr2bl w:val="nil"/>
            </w:tcBorders>
            <w:noWrap w:val="0"/>
            <w:vAlign w:val="center"/>
          </w:tcPr>
          <w:p w14:paraId="3CB730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符合</w:t>
            </w:r>
          </w:p>
        </w:tc>
      </w:tr>
      <w:tr w14:paraId="6C78CA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43" w:hRule="atLeast"/>
          <w:jc w:val="center"/>
        </w:trPr>
        <w:tc>
          <w:tcPr>
            <w:tcW w:w="5164" w:type="dxa"/>
            <w:tcBorders>
              <w:tl2br w:val="nil"/>
              <w:tr2bl w:val="nil"/>
            </w:tcBorders>
            <w:noWrap w:val="0"/>
            <w:vAlign w:val="center"/>
          </w:tcPr>
          <w:p w14:paraId="00CE599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position w:val="0"/>
                <w:sz w:val="21"/>
                <w:szCs w:val="21"/>
                <w:lang w:val="en-US" w:eastAsia="zh-CN"/>
              </w:rPr>
            </w:pPr>
            <w:r>
              <w:rPr>
                <w:rFonts w:hint="default" w:ascii="Times New Roman" w:hAnsi="Times New Roman" w:eastAsia="宋体" w:cs="Times New Roman"/>
                <w:color w:val="000000"/>
                <w:spacing w:val="0"/>
                <w:position w:val="0"/>
                <w:sz w:val="21"/>
                <w:szCs w:val="21"/>
                <w:lang w:val="en-US" w:eastAsia="zh-CN"/>
              </w:rPr>
              <w:t>资源利用效率要求。优化能源结构，控制煤炭等化石能源使用量，鼓励使用清洁能源，协同推进减污降碳。全面实施节水工程，合理开发利用水资源，提升水资源利用效率，保障生态用水，严防地下水超采</w:t>
            </w:r>
          </w:p>
        </w:tc>
        <w:tc>
          <w:tcPr>
            <w:tcW w:w="2365" w:type="dxa"/>
            <w:tcBorders>
              <w:tl2br w:val="nil"/>
              <w:tr2bl w:val="nil"/>
            </w:tcBorders>
            <w:noWrap w:val="0"/>
            <w:vAlign w:val="center"/>
          </w:tcPr>
          <w:p w14:paraId="603CAF1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default" w:ascii="Times New Roman" w:hAnsi="Times New Roman" w:eastAsia="宋体" w:cs="Times New Roman"/>
                <w:color w:val="auto"/>
                <w:kern w:val="0"/>
                <w:sz w:val="21"/>
                <w:szCs w:val="24"/>
                <w:lang w:val="en-US" w:eastAsia="zh-CN" w:bidi="ar-SA"/>
              </w:rPr>
              <w:t>本项目</w:t>
            </w:r>
            <w:r>
              <w:rPr>
                <w:rFonts w:hint="eastAsia" w:ascii="Times New Roman" w:eastAsia="宋体"/>
                <w:color w:val="000000"/>
                <w:sz w:val="21"/>
                <w:szCs w:val="21"/>
                <w:lang w:val="en-US" w:eastAsia="zh-CN"/>
              </w:rPr>
              <w:t>由市政</w:t>
            </w:r>
            <w:r>
              <w:rPr>
                <w:rFonts w:hint="eastAsia" w:eastAsia="宋体"/>
                <w:color w:val="000000"/>
                <w:sz w:val="21"/>
                <w:szCs w:val="21"/>
                <w:lang w:val="en-US" w:eastAsia="zh-CN"/>
              </w:rPr>
              <w:t>供水管网输送</w:t>
            </w:r>
            <w:r>
              <w:rPr>
                <w:rFonts w:hint="eastAsia" w:ascii="Times New Roman" w:eastAsia="宋体"/>
                <w:color w:val="000000"/>
                <w:sz w:val="21"/>
                <w:szCs w:val="21"/>
                <w:lang w:val="en-US" w:eastAsia="zh-CN"/>
              </w:rPr>
              <w:t>新鲜水至项目区供应生产生活用水，不涉及地下水开采</w:t>
            </w:r>
            <w:r>
              <w:rPr>
                <w:rFonts w:hint="eastAsia" w:ascii="Times New Roman" w:hAnsi="Times New Roman" w:eastAsia="宋体" w:cs="Times New Roman"/>
                <w:color w:val="000000"/>
                <w:spacing w:val="0"/>
                <w:sz w:val="21"/>
                <w:szCs w:val="21"/>
                <w:lang w:val="en-US" w:eastAsia="zh-CN"/>
              </w:rPr>
              <w:t>，生产所需能源全部采用清洁能源。</w:t>
            </w:r>
          </w:p>
        </w:tc>
        <w:tc>
          <w:tcPr>
            <w:tcW w:w="892" w:type="dxa"/>
            <w:tcBorders>
              <w:tl2br w:val="nil"/>
              <w:tr2bl w:val="nil"/>
            </w:tcBorders>
            <w:noWrap w:val="0"/>
            <w:vAlign w:val="center"/>
          </w:tcPr>
          <w:p w14:paraId="7C85A35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符合</w:t>
            </w:r>
          </w:p>
        </w:tc>
      </w:tr>
      <w:tr w14:paraId="38F15D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443" w:hRule="atLeast"/>
          <w:jc w:val="center"/>
        </w:trPr>
        <w:tc>
          <w:tcPr>
            <w:tcW w:w="8421" w:type="dxa"/>
            <w:gridSpan w:val="3"/>
            <w:tcBorders>
              <w:tl2br w:val="nil"/>
              <w:tr2bl w:val="nil"/>
            </w:tcBorders>
            <w:noWrap w:val="0"/>
            <w:vAlign w:val="center"/>
          </w:tcPr>
          <w:p w14:paraId="3588A2B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position w:val="0"/>
                <w:sz w:val="21"/>
                <w:szCs w:val="21"/>
                <w:lang w:val="en-US" w:eastAsia="zh-CN"/>
              </w:rPr>
            </w:pPr>
            <w:r>
              <w:rPr>
                <w:rFonts w:hint="eastAsia" w:ascii="Times New Roman" w:hAnsi="Times New Roman" w:eastAsia="宋体" w:cs="Times New Roman"/>
                <w:b/>
                <w:bCs/>
                <w:color w:val="000000"/>
                <w:spacing w:val="0"/>
                <w:position w:val="0"/>
                <w:sz w:val="21"/>
                <w:szCs w:val="21"/>
                <w:lang w:val="en-US" w:eastAsia="zh-CN"/>
              </w:rPr>
              <w:t>克奎乌-博州管控要求</w:t>
            </w:r>
          </w:p>
        </w:tc>
      </w:tr>
      <w:tr w14:paraId="54E499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758" w:hRule="atLeast"/>
          <w:jc w:val="center"/>
        </w:trPr>
        <w:tc>
          <w:tcPr>
            <w:tcW w:w="5164" w:type="dxa"/>
            <w:tcBorders>
              <w:tl2br w:val="nil"/>
              <w:tr2bl w:val="nil"/>
            </w:tcBorders>
            <w:noWrap w:val="0"/>
            <w:vAlign w:val="center"/>
          </w:tcPr>
          <w:p w14:paraId="43BC733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position w:val="0"/>
                <w:sz w:val="21"/>
                <w:szCs w:val="21"/>
                <w:lang w:val="en-US" w:eastAsia="zh-CN"/>
              </w:rPr>
            </w:pPr>
            <w:r>
              <w:rPr>
                <w:rFonts w:hint="default" w:ascii="Times New Roman" w:hAnsi="Times New Roman" w:eastAsia="宋体" w:cs="Times New Roman"/>
                <w:color w:val="000000"/>
                <w:spacing w:val="0"/>
                <w:position w:val="0"/>
                <w:sz w:val="21"/>
                <w:szCs w:val="21"/>
                <w:lang w:val="en-US" w:eastAsia="zh-CN"/>
              </w:rPr>
              <w:t>严格落实</w:t>
            </w:r>
            <w:r>
              <w:rPr>
                <w:rFonts w:hint="eastAsia" w:cs="Times New Roman"/>
                <w:color w:val="000000"/>
                <w:spacing w:val="0"/>
                <w:position w:val="0"/>
                <w:sz w:val="21"/>
                <w:szCs w:val="21"/>
                <w:lang w:val="en-US" w:eastAsia="zh-CN"/>
              </w:rPr>
              <w:t>“</w:t>
            </w:r>
            <w:r>
              <w:rPr>
                <w:rFonts w:hint="default" w:ascii="Times New Roman" w:hAnsi="Times New Roman" w:eastAsia="宋体" w:cs="Times New Roman"/>
                <w:color w:val="000000"/>
                <w:spacing w:val="0"/>
                <w:position w:val="0"/>
                <w:sz w:val="21"/>
                <w:szCs w:val="21"/>
                <w:lang w:val="en-US" w:eastAsia="zh-CN"/>
              </w:rPr>
              <w:t>奎-独-</w:t>
            </w:r>
            <w:r>
              <w:rPr>
                <w:rFonts w:hint="eastAsia" w:cs="Times New Roman"/>
                <w:color w:val="000000"/>
                <w:spacing w:val="0"/>
                <w:position w:val="0"/>
                <w:sz w:val="21"/>
                <w:szCs w:val="21"/>
                <w:lang w:val="en-US" w:eastAsia="zh-CN"/>
              </w:rPr>
              <w:t>乌”</w:t>
            </w:r>
            <w:r>
              <w:rPr>
                <w:rFonts w:hint="default" w:ascii="Times New Roman" w:hAnsi="Times New Roman" w:eastAsia="宋体" w:cs="Times New Roman"/>
                <w:color w:val="000000"/>
                <w:spacing w:val="0"/>
                <w:position w:val="0"/>
                <w:sz w:val="21"/>
                <w:szCs w:val="21"/>
                <w:lang w:val="en-US" w:eastAsia="zh-CN"/>
              </w:rPr>
              <w:t>联防联控区内有关法规政策要求。</w:t>
            </w:r>
            <w:r>
              <w:rPr>
                <w:rFonts w:hint="eastAsia" w:cs="Times New Roman"/>
                <w:color w:val="000000"/>
                <w:spacing w:val="0"/>
                <w:position w:val="0"/>
                <w:sz w:val="21"/>
                <w:szCs w:val="21"/>
                <w:lang w:val="en-US" w:eastAsia="zh-CN"/>
              </w:rPr>
              <w:t>“</w:t>
            </w:r>
            <w:r>
              <w:rPr>
                <w:rFonts w:hint="default" w:ascii="Times New Roman" w:hAnsi="Times New Roman" w:eastAsia="宋体" w:cs="Times New Roman"/>
                <w:color w:val="000000"/>
                <w:spacing w:val="0"/>
                <w:position w:val="0"/>
                <w:sz w:val="21"/>
                <w:szCs w:val="21"/>
                <w:lang w:val="en-US" w:eastAsia="zh-CN"/>
              </w:rPr>
              <w:t>奎-独-</w:t>
            </w:r>
            <w:r>
              <w:rPr>
                <w:rFonts w:hint="eastAsia" w:cs="Times New Roman"/>
                <w:color w:val="000000"/>
                <w:spacing w:val="0"/>
                <w:position w:val="0"/>
                <w:sz w:val="21"/>
                <w:szCs w:val="21"/>
                <w:lang w:val="en-US" w:eastAsia="zh-CN"/>
              </w:rPr>
              <w:t>乌”</w:t>
            </w:r>
            <w:r>
              <w:rPr>
                <w:rFonts w:hint="default" w:ascii="Times New Roman" w:hAnsi="Times New Roman" w:eastAsia="宋体" w:cs="Times New Roman"/>
                <w:color w:val="000000"/>
                <w:spacing w:val="0"/>
                <w:position w:val="0"/>
                <w:sz w:val="21"/>
                <w:szCs w:val="21"/>
                <w:lang w:val="en-US" w:eastAsia="zh-CN"/>
              </w:rPr>
              <w:t>联防联控区所有新建、改建、扩建工业项目执行最严格的大气污染物排放标准。强化与生产建设兵团第七师的联防联控，确保区域环境空气质量持续改善。</w:t>
            </w:r>
          </w:p>
        </w:tc>
        <w:tc>
          <w:tcPr>
            <w:tcW w:w="2365" w:type="dxa"/>
            <w:tcBorders>
              <w:tl2br w:val="nil"/>
              <w:tr2bl w:val="nil"/>
            </w:tcBorders>
            <w:noWrap w:val="0"/>
            <w:vAlign w:val="center"/>
          </w:tcPr>
          <w:p w14:paraId="507D228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本项目不涉及</w:t>
            </w:r>
            <w:r>
              <w:rPr>
                <w:rFonts w:hint="eastAsia" w:cs="Times New Roman"/>
                <w:color w:val="000000"/>
                <w:spacing w:val="0"/>
                <w:position w:val="0"/>
                <w:sz w:val="21"/>
                <w:szCs w:val="21"/>
                <w:lang w:val="en-US" w:eastAsia="zh-CN"/>
              </w:rPr>
              <w:t>“</w:t>
            </w:r>
            <w:r>
              <w:rPr>
                <w:rFonts w:hint="default" w:ascii="Times New Roman" w:hAnsi="Times New Roman" w:eastAsia="宋体" w:cs="Times New Roman"/>
                <w:color w:val="000000"/>
                <w:spacing w:val="0"/>
                <w:position w:val="0"/>
                <w:sz w:val="21"/>
                <w:szCs w:val="21"/>
                <w:lang w:val="en-US" w:eastAsia="zh-CN"/>
              </w:rPr>
              <w:t>奎-独-</w:t>
            </w:r>
            <w:r>
              <w:rPr>
                <w:rFonts w:hint="eastAsia" w:cs="Times New Roman"/>
                <w:color w:val="000000"/>
                <w:spacing w:val="0"/>
                <w:position w:val="0"/>
                <w:sz w:val="21"/>
                <w:szCs w:val="21"/>
                <w:lang w:val="en-US" w:eastAsia="zh-CN"/>
              </w:rPr>
              <w:t>乌”</w:t>
            </w:r>
            <w:r>
              <w:rPr>
                <w:rFonts w:hint="default" w:ascii="Times New Roman" w:hAnsi="Times New Roman" w:eastAsia="宋体" w:cs="Times New Roman"/>
                <w:color w:val="000000"/>
                <w:spacing w:val="0"/>
                <w:position w:val="0"/>
                <w:sz w:val="21"/>
                <w:szCs w:val="21"/>
                <w:lang w:val="en-US" w:eastAsia="zh-CN"/>
              </w:rPr>
              <w:t>联防联控区</w:t>
            </w:r>
            <w:r>
              <w:rPr>
                <w:rFonts w:hint="eastAsia" w:eastAsia="宋体" w:cs="Times New Roman"/>
                <w:color w:val="000000"/>
                <w:spacing w:val="0"/>
                <w:sz w:val="21"/>
                <w:szCs w:val="21"/>
                <w:lang w:val="en-US" w:eastAsia="zh-CN"/>
              </w:rPr>
              <w:t>。</w:t>
            </w:r>
            <w:r>
              <w:rPr>
                <w:rFonts w:hint="eastAsia" w:cs="Times New Roman"/>
                <w:color w:val="000000"/>
                <w:spacing w:val="0"/>
                <w:sz w:val="21"/>
                <w:szCs w:val="21"/>
                <w:lang w:val="en-US" w:eastAsia="zh-CN"/>
              </w:rPr>
              <w:t>本项目运营后在采取各项措施后对区域环境空气质量影响较小。</w:t>
            </w:r>
          </w:p>
        </w:tc>
        <w:tc>
          <w:tcPr>
            <w:tcW w:w="892" w:type="dxa"/>
            <w:tcBorders>
              <w:tl2br w:val="nil"/>
              <w:tr2bl w:val="nil"/>
            </w:tcBorders>
            <w:noWrap w:val="0"/>
            <w:vAlign w:val="center"/>
          </w:tcPr>
          <w:p w14:paraId="4DDDF0D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rPr>
            </w:pPr>
            <w:r>
              <w:rPr>
                <w:rFonts w:hint="default" w:ascii="Times New Roman" w:hAnsi="Times New Roman" w:eastAsia="宋体" w:cs="Times New Roman"/>
                <w:color w:val="000000"/>
                <w:spacing w:val="0"/>
                <w:sz w:val="21"/>
                <w:szCs w:val="21"/>
              </w:rPr>
              <w:t>符合</w:t>
            </w:r>
          </w:p>
        </w:tc>
      </w:tr>
      <w:tr w14:paraId="45F3B3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812" w:hRule="atLeast"/>
          <w:jc w:val="center"/>
        </w:trPr>
        <w:tc>
          <w:tcPr>
            <w:tcW w:w="5164" w:type="dxa"/>
            <w:tcBorders>
              <w:tl2br w:val="nil"/>
              <w:tr2bl w:val="nil"/>
            </w:tcBorders>
            <w:noWrap w:val="0"/>
            <w:vAlign w:val="center"/>
          </w:tcPr>
          <w:p w14:paraId="1248530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rPr>
            </w:pPr>
            <w:r>
              <w:rPr>
                <w:rFonts w:hint="default" w:ascii="Times New Roman" w:hAnsi="Times New Roman" w:eastAsia="宋体" w:cs="Times New Roman"/>
                <w:color w:val="000000"/>
                <w:spacing w:val="0"/>
                <w:sz w:val="21"/>
                <w:szCs w:val="21"/>
                <w:lang w:val="en-US" w:eastAsia="zh-CN"/>
              </w:rPr>
              <w:t>加强艾比湖、赛里木湖周边地区、博尔塔拉河流域生态防护林地保护，维护区域生物多样性功能。</w:t>
            </w:r>
          </w:p>
        </w:tc>
        <w:tc>
          <w:tcPr>
            <w:tcW w:w="2365" w:type="dxa"/>
            <w:tcBorders>
              <w:tl2br w:val="nil"/>
              <w:tr2bl w:val="nil"/>
            </w:tcBorders>
            <w:noWrap w:val="0"/>
            <w:vAlign w:val="center"/>
          </w:tcPr>
          <w:p w14:paraId="0854ED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本项目</w:t>
            </w:r>
            <w:r>
              <w:rPr>
                <w:rFonts w:hint="eastAsia" w:cs="Times New Roman"/>
                <w:color w:val="000000"/>
                <w:spacing w:val="0"/>
                <w:sz w:val="21"/>
                <w:szCs w:val="21"/>
                <w:lang w:val="en-US" w:eastAsia="zh-CN"/>
              </w:rPr>
              <w:t>不涉及</w:t>
            </w:r>
            <w:r>
              <w:rPr>
                <w:rFonts w:hint="default" w:ascii="Times New Roman" w:hAnsi="Times New Roman" w:eastAsia="宋体" w:cs="Times New Roman"/>
                <w:color w:val="000000"/>
                <w:spacing w:val="0"/>
                <w:sz w:val="21"/>
                <w:szCs w:val="21"/>
                <w:lang w:val="en-US" w:eastAsia="zh-CN"/>
              </w:rPr>
              <w:t>艾比湖、赛里木湖</w:t>
            </w:r>
            <w:r>
              <w:rPr>
                <w:rFonts w:hint="eastAsia" w:cs="Times New Roman"/>
                <w:color w:val="000000"/>
                <w:spacing w:val="0"/>
                <w:sz w:val="21"/>
                <w:szCs w:val="21"/>
                <w:lang w:val="en-US" w:eastAsia="zh-CN"/>
              </w:rPr>
              <w:t>以及</w:t>
            </w:r>
            <w:r>
              <w:rPr>
                <w:rFonts w:hint="default" w:ascii="Times New Roman" w:hAnsi="Times New Roman" w:eastAsia="宋体" w:cs="Times New Roman"/>
                <w:color w:val="000000"/>
                <w:spacing w:val="0"/>
                <w:sz w:val="21"/>
                <w:szCs w:val="21"/>
                <w:lang w:val="en-US" w:eastAsia="zh-CN"/>
              </w:rPr>
              <w:t>博尔塔拉河</w:t>
            </w:r>
            <w:r>
              <w:rPr>
                <w:rFonts w:hint="eastAsia" w:cs="Times New Roman"/>
                <w:color w:val="000000"/>
                <w:spacing w:val="0"/>
                <w:sz w:val="21"/>
                <w:szCs w:val="21"/>
                <w:lang w:val="en-US" w:eastAsia="zh-CN"/>
              </w:rPr>
              <w:t>周边地区</w:t>
            </w:r>
            <w:r>
              <w:rPr>
                <w:rFonts w:hint="eastAsia" w:ascii="Times New Roman" w:hAnsi="Times New Roman" w:eastAsia="宋体" w:cs="Times New Roman"/>
                <w:color w:val="000000"/>
                <w:spacing w:val="0"/>
                <w:sz w:val="21"/>
                <w:szCs w:val="21"/>
                <w:lang w:val="en-US" w:eastAsia="zh-CN"/>
              </w:rPr>
              <w:t>，与地表水无水力联系，不会污染</w:t>
            </w:r>
            <w:r>
              <w:rPr>
                <w:rFonts w:hint="eastAsia" w:cs="Times New Roman"/>
                <w:color w:val="000000"/>
                <w:spacing w:val="0"/>
                <w:sz w:val="21"/>
                <w:szCs w:val="21"/>
                <w:lang w:val="en-US" w:eastAsia="zh-CN"/>
              </w:rPr>
              <w:t>地表水</w:t>
            </w:r>
            <w:r>
              <w:rPr>
                <w:rFonts w:hint="eastAsia" w:eastAsia="宋体" w:cs="Times New Roman"/>
                <w:color w:val="000000"/>
                <w:spacing w:val="0"/>
                <w:sz w:val="21"/>
                <w:szCs w:val="21"/>
                <w:lang w:val="en-US" w:eastAsia="zh-CN"/>
              </w:rPr>
              <w:t>环境</w:t>
            </w:r>
            <w:r>
              <w:rPr>
                <w:rFonts w:hint="eastAsia" w:ascii="Times New Roman" w:hAnsi="Times New Roman" w:eastAsia="宋体" w:cs="Times New Roman"/>
                <w:color w:val="000000"/>
                <w:spacing w:val="0"/>
                <w:sz w:val="21"/>
                <w:szCs w:val="21"/>
                <w:lang w:val="en-US" w:eastAsia="zh-CN"/>
              </w:rPr>
              <w:t>。</w:t>
            </w:r>
          </w:p>
        </w:tc>
        <w:tc>
          <w:tcPr>
            <w:tcW w:w="892" w:type="dxa"/>
            <w:tcBorders>
              <w:tl2br w:val="nil"/>
              <w:tr2bl w:val="nil"/>
            </w:tcBorders>
            <w:noWrap w:val="0"/>
            <w:vAlign w:val="center"/>
          </w:tcPr>
          <w:p w14:paraId="72A0665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000000"/>
                <w:spacing w:val="0"/>
                <w:sz w:val="21"/>
                <w:szCs w:val="21"/>
                <w:lang w:eastAsia="zh-CN"/>
              </w:rPr>
            </w:pPr>
            <w:r>
              <w:rPr>
                <w:rFonts w:hint="default" w:ascii="Times New Roman" w:hAnsi="Times New Roman" w:eastAsia="宋体" w:cs="Times New Roman"/>
                <w:color w:val="000000"/>
                <w:spacing w:val="0"/>
                <w:sz w:val="21"/>
                <w:szCs w:val="21"/>
              </w:rPr>
              <w:t>符合</w:t>
            </w:r>
          </w:p>
        </w:tc>
      </w:tr>
      <w:tr w14:paraId="6FDC4D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758" w:hRule="atLeast"/>
          <w:jc w:val="center"/>
        </w:trPr>
        <w:tc>
          <w:tcPr>
            <w:tcW w:w="5164" w:type="dxa"/>
            <w:tcBorders>
              <w:tl2br w:val="nil"/>
              <w:tr2bl w:val="nil"/>
            </w:tcBorders>
            <w:noWrap w:val="0"/>
            <w:vAlign w:val="center"/>
          </w:tcPr>
          <w:p w14:paraId="3D5E667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rPr>
            </w:pPr>
            <w:r>
              <w:rPr>
                <w:rFonts w:hint="default" w:ascii="Times New Roman" w:hAnsi="Times New Roman" w:eastAsia="宋体" w:cs="Times New Roman"/>
                <w:color w:val="000000"/>
                <w:spacing w:val="0"/>
                <w:sz w:val="21"/>
                <w:szCs w:val="21"/>
                <w:lang w:val="en-US" w:eastAsia="zh-CN"/>
              </w:rPr>
              <w:t>开展奎屯河流域地下水超采治理，逐步压减地下水超采量，实现地下水采补平衡。</w:t>
            </w:r>
          </w:p>
        </w:tc>
        <w:tc>
          <w:tcPr>
            <w:tcW w:w="2365" w:type="dxa"/>
            <w:tcBorders>
              <w:tl2br w:val="nil"/>
              <w:tr2bl w:val="nil"/>
            </w:tcBorders>
            <w:noWrap w:val="0"/>
            <w:vAlign w:val="center"/>
          </w:tcPr>
          <w:p w14:paraId="06F2A0D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本项目</w:t>
            </w:r>
            <w:r>
              <w:rPr>
                <w:rFonts w:hint="eastAsia" w:cs="Times New Roman"/>
                <w:color w:val="000000"/>
                <w:spacing w:val="0"/>
                <w:sz w:val="21"/>
                <w:szCs w:val="21"/>
                <w:lang w:val="en-US" w:eastAsia="zh-CN"/>
              </w:rPr>
              <w:t>距离</w:t>
            </w:r>
            <w:r>
              <w:rPr>
                <w:rFonts w:hint="default" w:ascii="Times New Roman" w:hAnsi="Times New Roman" w:eastAsia="宋体" w:cs="Times New Roman"/>
                <w:color w:val="000000"/>
                <w:spacing w:val="0"/>
                <w:sz w:val="21"/>
                <w:szCs w:val="21"/>
                <w:lang w:val="en-US" w:eastAsia="zh-CN"/>
              </w:rPr>
              <w:t>奎屯河流域</w:t>
            </w:r>
            <w:r>
              <w:rPr>
                <w:rFonts w:hint="eastAsia" w:cs="Times New Roman"/>
                <w:color w:val="000000"/>
                <w:spacing w:val="0"/>
                <w:sz w:val="21"/>
                <w:szCs w:val="21"/>
                <w:lang w:val="en-US" w:eastAsia="zh-CN"/>
              </w:rPr>
              <w:t>7km</w:t>
            </w:r>
            <w:r>
              <w:rPr>
                <w:rFonts w:hint="eastAsia" w:ascii="Times New Roman" w:hAnsi="Times New Roman" w:eastAsia="宋体" w:cs="Times New Roman"/>
                <w:color w:val="000000"/>
                <w:spacing w:val="0"/>
                <w:sz w:val="21"/>
                <w:szCs w:val="21"/>
                <w:lang w:val="en-US" w:eastAsia="zh-CN"/>
              </w:rPr>
              <w:t>，项目用水由市政管网提供，不涉及地下水开采。</w:t>
            </w:r>
          </w:p>
        </w:tc>
        <w:tc>
          <w:tcPr>
            <w:tcW w:w="892" w:type="dxa"/>
            <w:tcBorders>
              <w:tl2br w:val="nil"/>
              <w:tr2bl w:val="nil"/>
            </w:tcBorders>
            <w:noWrap w:val="0"/>
            <w:vAlign w:val="center"/>
          </w:tcPr>
          <w:p w14:paraId="5DCA63D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rPr>
            </w:pPr>
            <w:r>
              <w:rPr>
                <w:rFonts w:hint="default" w:ascii="Times New Roman" w:hAnsi="Times New Roman" w:eastAsia="宋体" w:cs="Times New Roman"/>
                <w:color w:val="000000"/>
                <w:spacing w:val="0"/>
                <w:sz w:val="21"/>
                <w:szCs w:val="21"/>
              </w:rPr>
              <w:t>符合</w:t>
            </w:r>
          </w:p>
        </w:tc>
      </w:tr>
      <w:tr w14:paraId="7740A0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758" w:hRule="atLeast"/>
          <w:jc w:val="center"/>
        </w:trPr>
        <w:tc>
          <w:tcPr>
            <w:tcW w:w="5164" w:type="dxa"/>
            <w:tcBorders>
              <w:tl2br w:val="nil"/>
              <w:tr2bl w:val="nil"/>
            </w:tcBorders>
            <w:noWrap w:val="0"/>
            <w:vAlign w:val="center"/>
          </w:tcPr>
          <w:p w14:paraId="1BAC04D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default" w:ascii="Times New Roman" w:hAnsi="Times New Roman" w:eastAsia="宋体" w:cs="Times New Roman"/>
                <w:color w:val="000000"/>
                <w:spacing w:val="0"/>
                <w:sz w:val="21"/>
                <w:szCs w:val="21"/>
                <w:lang w:val="en-US" w:eastAsia="zh-CN"/>
              </w:rPr>
              <w:t>持续推进山区森林草原和准噶尔盆地南缘防沙治沙区域的生态恢复治理工作。煤炭、石油、天然气开发单位应当制定生态保护和恢复治理方案，并予以实施。生态保护和恢复治理方案内容应当向社会公布，接受社会监督。</w:t>
            </w:r>
          </w:p>
        </w:tc>
        <w:tc>
          <w:tcPr>
            <w:tcW w:w="2365" w:type="dxa"/>
            <w:tcBorders>
              <w:tl2br w:val="nil"/>
              <w:tr2bl w:val="nil"/>
            </w:tcBorders>
            <w:noWrap w:val="0"/>
            <w:vAlign w:val="center"/>
          </w:tcPr>
          <w:p w14:paraId="1D68C7F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eastAsia" w:cs="Times New Roman"/>
                <w:color w:val="000000"/>
                <w:spacing w:val="0"/>
                <w:sz w:val="21"/>
                <w:szCs w:val="21"/>
                <w:lang w:val="en-US" w:eastAsia="zh-CN"/>
              </w:rPr>
              <w:t>本项目不涉及</w:t>
            </w:r>
            <w:r>
              <w:rPr>
                <w:rFonts w:hint="default" w:ascii="Times New Roman" w:hAnsi="Times New Roman" w:eastAsia="宋体" w:cs="Times New Roman"/>
                <w:color w:val="000000"/>
                <w:spacing w:val="0"/>
                <w:sz w:val="21"/>
                <w:szCs w:val="21"/>
                <w:lang w:val="en-US" w:eastAsia="zh-CN"/>
              </w:rPr>
              <w:t>煤炭、石油、天然气开发</w:t>
            </w:r>
            <w:r>
              <w:rPr>
                <w:rFonts w:hint="eastAsia" w:ascii="Times New Roman" w:hAnsi="Times New Roman" w:eastAsia="宋体" w:cs="Times New Roman"/>
                <w:color w:val="000000"/>
                <w:spacing w:val="0"/>
                <w:sz w:val="21"/>
                <w:szCs w:val="21"/>
                <w:lang w:val="en-US" w:eastAsia="zh-CN"/>
              </w:rPr>
              <w:t>。</w:t>
            </w:r>
          </w:p>
        </w:tc>
        <w:tc>
          <w:tcPr>
            <w:tcW w:w="892" w:type="dxa"/>
            <w:tcBorders>
              <w:tl2br w:val="nil"/>
              <w:tr2bl w:val="nil"/>
            </w:tcBorders>
            <w:noWrap w:val="0"/>
            <w:vAlign w:val="center"/>
          </w:tcPr>
          <w:p w14:paraId="1F84A0F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rPr>
            </w:pPr>
            <w:r>
              <w:rPr>
                <w:rFonts w:hint="default" w:ascii="Times New Roman" w:hAnsi="Times New Roman" w:eastAsia="宋体" w:cs="Times New Roman"/>
                <w:color w:val="000000"/>
                <w:spacing w:val="0"/>
                <w:sz w:val="21"/>
                <w:szCs w:val="21"/>
              </w:rPr>
              <w:t>符合</w:t>
            </w:r>
          </w:p>
        </w:tc>
      </w:tr>
      <w:tr w14:paraId="295AC1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758" w:hRule="atLeast"/>
          <w:jc w:val="center"/>
        </w:trPr>
        <w:tc>
          <w:tcPr>
            <w:tcW w:w="5164" w:type="dxa"/>
            <w:tcBorders>
              <w:tl2br w:val="nil"/>
              <w:tr2bl w:val="nil"/>
            </w:tcBorders>
            <w:noWrap w:val="0"/>
            <w:vAlign w:val="center"/>
          </w:tcPr>
          <w:p w14:paraId="63CDC3C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lang w:val="en-US" w:eastAsia="zh-CN"/>
              </w:rPr>
            </w:pPr>
            <w:r>
              <w:rPr>
                <w:rFonts w:hint="default" w:ascii="Times New Roman" w:hAnsi="Times New Roman" w:eastAsia="宋体" w:cs="Times New Roman"/>
                <w:color w:val="000000"/>
                <w:spacing w:val="0"/>
                <w:sz w:val="21"/>
                <w:szCs w:val="21"/>
                <w:lang w:val="en-US" w:eastAsia="zh-CN"/>
              </w:rPr>
              <w:t>强化油</w:t>
            </w:r>
            <w:r>
              <w:rPr>
                <w:rFonts w:hint="eastAsia" w:cs="Times New Roman"/>
                <w:color w:val="000000"/>
                <w:spacing w:val="0"/>
                <w:sz w:val="21"/>
                <w:szCs w:val="21"/>
                <w:lang w:val="en-US" w:eastAsia="zh-CN"/>
              </w:rPr>
              <w:t>（气）</w:t>
            </w:r>
            <w:r>
              <w:rPr>
                <w:rFonts w:hint="default" w:ascii="Times New Roman" w:hAnsi="Times New Roman" w:eastAsia="宋体" w:cs="Times New Roman"/>
                <w:color w:val="000000"/>
                <w:spacing w:val="0"/>
                <w:sz w:val="21"/>
                <w:szCs w:val="21"/>
                <w:lang w:val="en-US" w:eastAsia="zh-CN"/>
              </w:rPr>
              <w:t>资源开发区土壤环境污染综合整治。加强涉重金属行业污染防控与工业废物处理处置。</w:t>
            </w:r>
          </w:p>
        </w:tc>
        <w:tc>
          <w:tcPr>
            <w:tcW w:w="2365" w:type="dxa"/>
            <w:tcBorders>
              <w:tl2br w:val="nil"/>
              <w:tr2bl w:val="nil"/>
            </w:tcBorders>
            <w:noWrap w:val="0"/>
            <w:vAlign w:val="center"/>
          </w:tcPr>
          <w:p w14:paraId="3E7868F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000000"/>
                <w:spacing w:val="0"/>
                <w:sz w:val="21"/>
                <w:szCs w:val="21"/>
                <w:lang w:val="en-US" w:eastAsia="zh-CN"/>
              </w:rPr>
            </w:pPr>
            <w:r>
              <w:rPr>
                <w:rFonts w:hint="eastAsia" w:ascii="Times New Roman" w:hAnsi="Times New Roman" w:eastAsia="宋体" w:cs="Times New Roman"/>
                <w:color w:val="000000"/>
                <w:spacing w:val="0"/>
                <w:sz w:val="21"/>
                <w:szCs w:val="21"/>
                <w:lang w:val="en-US" w:eastAsia="zh-CN"/>
              </w:rPr>
              <w:t>本项目不涉及</w:t>
            </w:r>
            <w:r>
              <w:rPr>
                <w:rFonts w:hint="default" w:ascii="Times New Roman" w:hAnsi="Times New Roman" w:eastAsia="宋体" w:cs="Times New Roman"/>
                <w:color w:val="000000"/>
                <w:spacing w:val="0"/>
                <w:sz w:val="21"/>
                <w:szCs w:val="21"/>
                <w:lang w:val="en-US" w:eastAsia="zh-CN"/>
              </w:rPr>
              <w:t>油</w:t>
            </w:r>
            <w:r>
              <w:rPr>
                <w:rFonts w:hint="eastAsia" w:cs="Times New Roman"/>
                <w:color w:val="000000"/>
                <w:spacing w:val="0"/>
                <w:sz w:val="21"/>
                <w:szCs w:val="21"/>
                <w:lang w:val="en-US" w:eastAsia="zh-CN"/>
              </w:rPr>
              <w:t>（气）</w:t>
            </w:r>
            <w:r>
              <w:rPr>
                <w:rFonts w:hint="default" w:ascii="Times New Roman" w:hAnsi="Times New Roman" w:eastAsia="宋体" w:cs="Times New Roman"/>
                <w:color w:val="000000"/>
                <w:spacing w:val="0"/>
                <w:sz w:val="21"/>
                <w:szCs w:val="21"/>
                <w:lang w:val="en-US" w:eastAsia="zh-CN"/>
              </w:rPr>
              <w:t>资源开发</w:t>
            </w:r>
            <w:r>
              <w:rPr>
                <w:rFonts w:hint="eastAsia" w:ascii="Times New Roman" w:hAnsi="Times New Roman" w:eastAsia="宋体" w:cs="Times New Roman"/>
                <w:color w:val="000000"/>
                <w:spacing w:val="0"/>
                <w:sz w:val="21"/>
                <w:szCs w:val="21"/>
                <w:lang w:val="en-US" w:eastAsia="zh-CN"/>
              </w:rPr>
              <w:t>、</w:t>
            </w:r>
            <w:r>
              <w:rPr>
                <w:rFonts w:hint="default" w:ascii="Times New Roman" w:hAnsi="Times New Roman" w:eastAsia="宋体" w:cs="Times New Roman"/>
                <w:color w:val="000000"/>
                <w:spacing w:val="0"/>
                <w:sz w:val="21"/>
                <w:szCs w:val="21"/>
                <w:lang w:val="en-US" w:eastAsia="zh-CN"/>
              </w:rPr>
              <w:t>重金属行业</w:t>
            </w:r>
            <w:r>
              <w:rPr>
                <w:rFonts w:hint="eastAsia" w:ascii="Times New Roman" w:hAnsi="Times New Roman" w:eastAsia="宋体" w:cs="Times New Roman"/>
                <w:color w:val="000000"/>
                <w:spacing w:val="0"/>
                <w:sz w:val="21"/>
                <w:szCs w:val="21"/>
                <w:lang w:val="en-US" w:eastAsia="zh-CN"/>
              </w:rPr>
              <w:t>；本项目畜禽养殖</w:t>
            </w:r>
            <w:r>
              <w:rPr>
                <w:rFonts w:hint="eastAsia" w:cs="Times New Roman"/>
                <w:color w:val="000000"/>
                <w:spacing w:val="0"/>
                <w:sz w:val="21"/>
                <w:szCs w:val="21"/>
                <w:lang w:val="en-US" w:eastAsia="zh-CN"/>
              </w:rPr>
              <w:t>粪污</w:t>
            </w:r>
            <w:r>
              <w:rPr>
                <w:rFonts w:hint="eastAsia" w:ascii="Times New Roman" w:hAnsi="Times New Roman" w:eastAsia="宋体" w:cs="Times New Roman"/>
                <w:color w:val="000000"/>
                <w:spacing w:val="0"/>
                <w:sz w:val="21"/>
                <w:szCs w:val="21"/>
                <w:lang w:val="en-US" w:eastAsia="zh-CN"/>
              </w:rPr>
              <w:t>资源化利用，在</w:t>
            </w:r>
            <w:r>
              <w:rPr>
                <w:rFonts w:hint="eastAsia" w:cs="Times New Roman"/>
                <w:color w:val="000000"/>
                <w:spacing w:val="0"/>
                <w:sz w:val="21"/>
                <w:szCs w:val="21"/>
                <w:lang w:val="en-US" w:eastAsia="zh-CN"/>
              </w:rPr>
              <w:t>周边农田</w:t>
            </w:r>
            <w:r>
              <w:rPr>
                <w:rFonts w:hint="eastAsia" w:ascii="Times New Roman" w:hAnsi="Times New Roman" w:eastAsia="宋体" w:cs="Times New Roman"/>
                <w:color w:val="000000"/>
                <w:spacing w:val="0"/>
                <w:sz w:val="21"/>
                <w:szCs w:val="21"/>
                <w:lang w:val="en-US" w:eastAsia="zh-CN"/>
              </w:rPr>
              <w:t>消纳范围内，合理利用粪污。</w:t>
            </w:r>
          </w:p>
        </w:tc>
        <w:tc>
          <w:tcPr>
            <w:tcW w:w="892" w:type="dxa"/>
            <w:tcBorders>
              <w:tl2br w:val="nil"/>
              <w:tr2bl w:val="nil"/>
            </w:tcBorders>
            <w:noWrap w:val="0"/>
            <w:vAlign w:val="center"/>
          </w:tcPr>
          <w:p w14:paraId="1078BBD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spacing w:val="0"/>
                <w:sz w:val="21"/>
                <w:szCs w:val="21"/>
              </w:rPr>
            </w:pPr>
            <w:r>
              <w:rPr>
                <w:rFonts w:hint="default" w:ascii="Times New Roman" w:hAnsi="Times New Roman" w:eastAsia="宋体" w:cs="Times New Roman"/>
                <w:color w:val="000000"/>
                <w:spacing w:val="0"/>
                <w:sz w:val="21"/>
                <w:szCs w:val="21"/>
              </w:rPr>
              <w:t>符合</w:t>
            </w:r>
          </w:p>
        </w:tc>
      </w:tr>
    </w:tbl>
    <w:p w14:paraId="4C3041AD">
      <w:pPr>
        <w:widowControl w:val="0"/>
        <w:autoSpaceDE w:val="0"/>
        <w:autoSpaceDN w:val="0"/>
        <w:adjustRightInd w:val="0"/>
        <w:spacing w:line="360" w:lineRule="auto"/>
        <w:ind w:firstLine="480" w:firstLineChars="200"/>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因此本项目符合《新疆维吾尔自治区七大片区</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三线一单</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生态环境分区管控要求（2021年版）》</w:t>
      </w:r>
      <w:r>
        <w:rPr>
          <w:rFonts w:hint="eastAsia" w:ascii="Times New Roman" w:hAnsi="Times New Roman" w:eastAsia="宋体" w:cs="宋体"/>
          <w:color w:val="auto"/>
          <w:kern w:val="0"/>
          <w:sz w:val="24"/>
          <w:szCs w:val="22"/>
          <w:highlight w:val="none"/>
          <w:lang w:val="en-US" w:eastAsia="zh-CN"/>
        </w:rPr>
        <w:t>克奎乌</w:t>
      </w:r>
      <w:r>
        <w:rPr>
          <w:rFonts w:hint="eastAsia" w:cs="宋体"/>
          <w:color w:val="auto"/>
          <w:kern w:val="0"/>
          <w:sz w:val="24"/>
          <w:szCs w:val="22"/>
          <w:highlight w:val="none"/>
          <w:lang w:val="en-US" w:eastAsia="zh-CN"/>
        </w:rPr>
        <w:t>－</w:t>
      </w:r>
      <w:r>
        <w:rPr>
          <w:rFonts w:hint="eastAsia" w:ascii="Times New Roman" w:hAnsi="Times New Roman" w:eastAsia="宋体" w:cs="宋体"/>
          <w:color w:val="auto"/>
          <w:kern w:val="0"/>
          <w:sz w:val="24"/>
          <w:szCs w:val="22"/>
          <w:highlight w:val="none"/>
          <w:lang w:val="en-US" w:eastAsia="zh-CN"/>
        </w:rPr>
        <w:t>博州</w:t>
      </w:r>
      <w:r>
        <w:rPr>
          <w:rFonts w:hint="default" w:ascii="Times New Roman" w:hAnsi="Times New Roman" w:eastAsia="宋体" w:cs="宋体"/>
          <w:color w:val="auto"/>
          <w:kern w:val="0"/>
          <w:sz w:val="24"/>
          <w:szCs w:val="22"/>
          <w:lang w:val="en-US" w:eastAsia="zh-CN"/>
        </w:rPr>
        <w:t>片区</w:t>
      </w:r>
      <w:r>
        <w:rPr>
          <w:rFonts w:hint="eastAsia" w:ascii="Times New Roman" w:hAnsi="Times New Roman" w:eastAsia="宋体" w:cs="宋体"/>
          <w:color w:val="auto"/>
          <w:kern w:val="0"/>
          <w:sz w:val="24"/>
          <w:szCs w:val="22"/>
          <w:lang w:val="en-US" w:eastAsia="zh-CN"/>
        </w:rPr>
        <w:t>管控要求。</w:t>
      </w:r>
    </w:p>
    <w:p w14:paraId="67B4B812">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1"/>
        <w:rPr>
          <w:rFonts w:hint="default" w:ascii="Times New Roman" w:hAnsi="Times New Roman" w:eastAsia="宋体" w:cs="Times New Roman"/>
          <w:b/>
          <w:bCs/>
          <w:color w:val="auto"/>
          <w:kern w:val="2"/>
          <w:sz w:val="30"/>
          <w:szCs w:val="30"/>
          <w:lang w:val="en-US" w:eastAsia="zh-CN" w:bidi="ar-SA"/>
        </w:rPr>
      </w:pPr>
      <w:bookmarkStart w:id="52" w:name="_Toc4402"/>
      <w:r>
        <w:rPr>
          <w:rFonts w:hint="default" w:ascii="Times New Roman" w:hAnsi="Times New Roman" w:eastAsia="宋体" w:cs="Times New Roman"/>
          <w:b/>
          <w:bCs/>
          <w:color w:val="auto"/>
          <w:kern w:val="2"/>
          <w:sz w:val="30"/>
          <w:szCs w:val="30"/>
          <w:lang w:val="en-US" w:eastAsia="zh-CN" w:bidi="ar-SA"/>
        </w:rPr>
        <w:t>1.</w:t>
      </w:r>
      <w:r>
        <w:rPr>
          <w:rFonts w:hint="eastAsia" w:ascii="Times New Roman" w:hAnsi="Times New Roman" w:eastAsia="宋体" w:cs="Times New Roman"/>
          <w:b/>
          <w:bCs/>
          <w:color w:val="auto"/>
          <w:kern w:val="2"/>
          <w:sz w:val="30"/>
          <w:szCs w:val="30"/>
          <w:lang w:val="en-US" w:eastAsia="zh-CN" w:bidi="ar-SA"/>
        </w:rPr>
        <w:t>5</w:t>
      </w:r>
      <w:r>
        <w:rPr>
          <w:rFonts w:hint="default" w:ascii="Times New Roman" w:hAnsi="Times New Roman" w:eastAsia="宋体" w:cs="Times New Roman"/>
          <w:b/>
          <w:bCs/>
          <w:color w:val="auto"/>
          <w:kern w:val="2"/>
          <w:sz w:val="30"/>
          <w:szCs w:val="30"/>
          <w:lang w:val="en-US" w:eastAsia="zh-CN" w:bidi="ar-SA"/>
        </w:rPr>
        <w:t>关注的主要环境问题</w:t>
      </w:r>
      <w:r>
        <w:rPr>
          <w:rFonts w:hint="eastAsia" w:ascii="Times New Roman" w:hAnsi="Times New Roman" w:eastAsia="宋体" w:cs="Times New Roman"/>
          <w:b/>
          <w:bCs/>
          <w:color w:val="auto"/>
          <w:kern w:val="2"/>
          <w:sz w:val="30"/>
          <w:szCs w:val="30"/>
          <w:lang w:val="en-US" w:eastAsia="zh-CN" w:bidi="ar-SA"/>
        </w:rPr>
        <w:t>及环境影响</w:t>
      </w:r>
      <w:bookmarkEnd w:id="52"/>
    </w:p>
    <w:p w14:paraId="7BC3A6D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根据项目工程特点及区域环境状况，本次评价关注的主要环境问题及环境影响如下：</w:t>
      </w:r>
    </w:p>
    <w:p w14:paraId="4A14F036">
      <w:pPr>
        <w:overflowPunct w:val="0"/>
        <w:autoSpaceDE w:val="0"/>
        <w:autoSpaceDN w:val="0"/>
        <w:bidi w:val="0"/>
        <w:adjustRightInd w:val="0"/>
        <w:snapToGrid w:val="0"/>
        <w:spacing w:line="500" w:lineRule="exact"/>
        <w:ind w:firstLine="480" w:firstLineChars="200"/>
        <w:jc w:val="left"/>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rPr>
        <w:t>（1）项目选址的合理性及环境可行性；</w:t>
      </w:r>
    </w:p>
    <w:p w14:paraId="227AAEBB">
      <w:pPr>
        <w:overflowPunct w:val="0"/>
        <w:autoSpaceDE w:val="0"/>
        <w:autoSpaceDN w:val="0"/>
        <w:bidi w:val="0"/>
        <w:adjustRightInd w:val="0"/>
        <w:snapToGrid w:val="0"/>
        <w:spacing w:line="500" w:lineRule="exact"/>
        <w:ind w:firstLine="480" w:firstLineChars="200"/>
        <w:jc w:val="left"/>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rPr>
        <w:t>（2）</w:t>
      </w:r>
      <w:r>
        <w:rPr>
          <w:rFonts w:ascii="Times New Roman" w:hAnsi="Times New Roman" w:eastAsia="宋体" w:cs="Times New Roman"/>
          <w:color w:val="000000"/>
          <w:sz w:val="24"/>
          <w:szCs w:val="22"/>
          <w:highlight w:val="none"/>
        </w:rPr>
        <w:t>废气</w:t>
      </w:r>
      <w:r>
        <w:rPr>
          <w:rFonts w:hint="eastAsia" w:ascii="Times New Roman" w:hAnsi="Times New Roman" w:eastAsia="宋体" w:cs="Times New Roman"/>
          <w:color w:val="000000"/>
          <w:sz w:val="24"/>
          <w:szCs w:val="22"/>
          <w:highlight w:val="none"/>
        </w:rPr>
        <w:t>：</w:t>
      </w:r>
      <w:r>
        <w:rPr>
          <w:rFonts w:ascii="Times New Roman" w:hAnsi="Times New Roman" w:eastAsia="宋体" w:cs="Times New Roman"/>
          <w:color w:val="000000"/>
          <w:sz w:val="24"/>
          <w:szCs w:val="22"/>
          <w:highlight w:val="none"/>
        </w:rPr>
        <w:t>主要关注</w:t>
      </w:r>
      <w:r>
        <w:rPr>
          <w:rFonts w:hint="eastAsia" w:ascii="Times New Roman" w:hAnsi="Times New Roman" w:eastAsia="宋体" w:cs="Times New Roman"/>
          <w:color w:val="000000"/>
          <w:sz w:val="24"/>
          <w:szCs w:val="22"/>
          <w:highlight w:val="none"/>
        </w:rPr>
        <w:t>运营期</w:t>
      </w:r>
      <w:r>
        <w:rPr>
          <w:rFonts w:hint="default" w:ascii="Times New Roman" w:hAnsi="Times New Roman" w:eastAsia="宋体" w:cs="Times New Roman"/>
          <w:sz w:val="24"/>
          <w:szCs w:val="24"/>
          <w:lang w:val="en-US" w:eastAsia="zh-CN"/>
        </w:rPr>
        <w:t>养殖</w:t>
      </w:r>
      <w:r>
        <w:rPr>
          <w:rFonts w:hint="default" w:ascii="Times New Roman" w:hAnsi="Times New Roman" w:eastAsia="宋体" w:cs="Times New Roman"/>
          <w:sz w:val="24"/>
          <w:szCs w:val="24"/>
          <w:lang w:eastAsia="zh-CN"/>
        </w:rPr>
        <w:t>恶臭</w:t>
      </w:r>
      <w:r>
        <w:rPr>
          <w:rFonts w:hint="default" w:ascii="Times New Roman" w:hAnsi="Times New Roman" w:eastAsia="宋体" w:cs="Times New Roman"/>
          <w:sz w:val="24"/>
          <w:szCs w:val="24"/>
          <w:lang w:val="en-US" w:eastAsia="zh-CN"/>
        </w:rPr>
        <w:t>、饲料粉碎粉尘</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饲料搅拌粉尘、堆肥废气</w:t>
      </w:r>
      <w:r>
        <w:rPr>
          <w:rFonts w:hint="eastAsia" w:ascii="Times New Roman" w:hAnsi="Times New Roman" w:eastAsia="宋体" w:cs="Times New Roman"/>
          <w:sz w:val="24"/>
          <w:szCs w:val="24"/>
          <w:lang w:val="en-US" w:eastAsia="zh-CN"/>
        </w:rPr>
        <w:t>以及</w:t>
      </w:r>
      <w:r>
        <w:rPr>
          <w:rFonts w:hint="default" w:ascii="Times New Roman" w:hAnsi="Times New Roman" w:eastAsia="宋体" w:cs="Times New Roman"/>
          <w:sz w:val="24"/>
          <w:szCs w:val="24"/>
          <w:lang w:val="en-US" w:eastAsia="zh-CN"/>
        </w:rPr>
        <w:t>移动源尾气</w:t>
      </w:r>
      <w:r>
        <w:rPr>
          <w:rFonts w:hint="default" w:ascii="Times New Roman" w:hAnsi="Times New Roman" w:eastAsia="宋体" w:cs="Times New Roman"/>
          <w:sz w:val="24"/>
          <w:szCs w:val="24"/>
        </w:rPr>
        <w:t>等对区域大气环境的影响</w:t>
      </w:r>
      <w:r>
        <w:rPr>
          <w:rFonts w:hint="eastAsia" w:ascii="Times New Roman" w:hAnsi="Times New Roman" w:eastAsia="宋体" w:cs="Times New Roman"/>
          <w:color w:val="000000"/>
          <w:sz w:val="24"/>
          <w:szCs w:val="22"/>
          <w:highlight w:val="none"/>
        </w:rPr>
        <w:t>；</w:t>
      </w:r>
      <w:r>
        <w:rPr>
          <w:rFonts w:ascii="Times New Roman" w:hAnsi="Times New Roman" w:eastAsia="宋体" w:cs="Times New Roman"/>
          <w:color w:val="000000"/>
          <w:sz w:val="24"/>
          <w:szCs w:val="22"/>
          <w:highlight w:val="none"/>
        </w:rPr>
        <w:t>重点分析废气源强、治理措施的可行性及对周边大气环境的影响。</w:t>
      </w:r>
    </w:p>
    <w:p w14:paraId="123A270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w:t>
      </w:r>
      <w:r>
        <w:rPr>
          <w:rFonts w:hint="default" w:ascii="Times New Roman" w:hAnsi="Times New Roman" w:eastAsia="宋体" w:cs="Times New Roman"/>
          <w:color w:val="auto"/>
          <w:kern w:val="2"/>
          <w:sz w:val="24"/>
          <w:szCs w:val="24"/>
          <w:lang w:val="en-US" w:eastAsia="zh-CN" w:bidi="ar-SA"/>
        </w:rPr>
        <w:t>项目</w:t>
      </w:r>
      <w:r>
        <w:rPr>
          <w:rFonts w:hint="eastAsia" w:ascii="Times New Roman" w:hAnsi="Times New Roman" w:eastAsia="宋体" w:cs="Times New Roman"/>
          <w:color w:val="auto"/>
          <w:kern w:val="2"/>
          <w:sz w:val="24"/>
          <w:szCs w:val="24"/>
          <w:lang w:val="en-US" w:eastAsia="zh-CN" w:bidi="ar-SA"/>
        </w:rPr>
        <w:t>产生的粪污经堆肥</w:t>
      </w:r>
      <w:r>
        <w:rPr>
          <w:rFonts w:hint="default" w:ascii="Times New Roman" w:hAnsi="Times New Roman" w:eastAsia="宋体" w:cs="Times New Roman"/>
          <w:color w:val="auto"/>
          <w:kern w:val="2"/>
          <w:sz w:val="24"/>
          <w:szCs w:val="24"/>
          <w:lang w:val="en-US" w:eastAsia="zh-CN" w:bidi="ar-SA"/>
        </w:rPr>
        <w:t>处理</w:t>
      </w:r>
      <w:r>
        <w:rPr>
          <w:rFonts w:hint="eastAsia" w:ascii="Times New Roman" w:hAnsi="Times New Roman" w:eastAsia="宋体" w:cs="Times New Roman"/>
          <w:color w:val="auto"/>
          <w:kern w:val="2"/>
          <w:sz w:val="24"/>
          <w:szCs w:val="24"/>
          <w:lang w:val="en-US" w:eastAsia="zh-CN" w:bidi="ar-SA"/>
        </w:rPr>
        <w:t>后，</w:t>
      </w:r>
      <w:r>
        <w:rPr>
          <w:rFonts w:hint="default" w:ascii="Times New Roman" w:hAnsi="Times New Roman" w:eastAsia="宋体" w:cs="Times New Roman"/>
          <w:color w:val="auto"/>
          <w:kern w:val="2"/>
          <w:sz w:val="24"/>
          <w:szCs w:val="24"/>
          <w:lang w:val="en-US" w:eastAsia="zh-CN" w:bidi="ar-SA"/>
        </w:rPr>
        <w:t>对区域地下水环境</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土壤环境的影响。</w:t>
      </w:r>
    </w:p>
    <w:p w14:paraId="3F0FEAF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zh-CN" w:bidi="ar-SA"/>
        </w:rPr>
        <w:t>）项目运营期恶臭气体对周围环境空气的影响。</w:t>
      </w:r>
    </w:p>
    <w:p w14:paraId="118B9C3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000000"/>
          <w:sz w:val="24"/>
          <w:szCs w:val="22"/>
          <w:highlight w:val="none"/>
          <w:lang w:val="en-US" w:eastAsia="zh-CN"/>
        </w:rPr>
        <w:t>项目</w:t>
      </w:r>
      <w:r>
        <w:rPr>
          <w:rFonts w:hint="eastAsia" w:ascii="Times New Roman" w:hAnsi="Times New Roman" w:eastAsia="宋体" w:cs="Times New Roman"/>
          <w:color w:val="000000"/>
          <w:sz w:val="24"/>
          <w:szCs w:val="22"/>
          <w:highlight w:val="none"/>
        </w:rPr>
        <w:t>施工期</w:t>
      </w:r>
      <w:r>
        <w:rPr>
          <w:rFonts w:hint="eastAsia" w:cs="Times New Roman"/>
          <w:color w:val="000000"/>
          <w:sz w:val="24"/>
          <w:szCs w:val="22"/>
          <w:highlight w:val="none"/>
          <w:lang w:eastAsia="zh-CN"/>
        </w:rPr>
        <w:t>、</w:t>
      </w:r>
      <w:r>
        <w:rPr>
          <w:rFonts w:hint="eastAsia" w:cs="Times New Roman"/>
          <w:color w:val="000000"/>
          <w:sz w:val="24"/>
          <w:szCs w:val="22"/>
          <w:highlight w:val="none"/>
          <w:lang w:val="en-US" w:eastAsia="zh-CN"/>
        </w:rPr>
        <w:t>运营期</w:t>
      </w:r>
      <w:r>
        <w:rPr>
          <w:rFonts w:hint="eastAsia" w:ascii="Times New Roman" w:hAnsi="Times New Roman" w:eastAsia="宋体" w:cs="Times New Roman"/>
          <w:color w:val="000000"/>
          <w:sz w:val="24"/>
          <w:szCs w:val="22"/>
          <w:highlight w:val="none"/>
        </w:rPr>
        <w:t>对生态环境的破坏影响。</w:t>
      </w:r>
    </w:p>
    <w:p w14:paraId="2F256F6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项目建设对周围环境风险的影响。</w:t>
      </w:r>
    </w:p>
    <w:p w14:paraId="78E17680">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53" w:name="_Toc11036"/>
      <w:r>
        <w:rPr>
          <w:rFonts w:hint="default" w:ascii="Times New Roman" w:hAnsi="Times New Roman" w:eastAsia="宋体" w:cs="Times New Roman"/>
          <w:b/>
          <w:bCs/>
          <w:kern w:val="2"/>
          <w:sz w:val="30"/>
          <w:szCs w:val="30"/>
          <w:lang w:val="en-US" w:eastAsia="zh-CN" w:bidi="ar-SA"/>
        </w:rPr>
        <w:t>1.</w:t>
      </w:r>
      <w:r>
        <w:rPr>
          <w:rFonts w:hint="eastAsia" w:cs="Times New Roman"/>
          <w:b/>
          <w:bCs/>
          <w:kern w:val="2"/>
          <w:sz w:val="30"/>
          <w:szCs w:val="30"/>
          <w:lang w:val="en-US" w:eastAsia="zh-CN" w:bidi="ar-SA"/>
        </w:rPr>
        <w:t>6</w:t>
      </w:r>
      <w:r>
        <w:rPr>
          <w:rFonts w:hint="default" w:ascii="Times New Roman" w:hAnsi="Times New Roman" w:eastAsia="宋体" w:cs="Times New Roman"/>
          <w:b/>
          <w:bCs/>
          <w:kern w:val="2"/>
          <w:sz w:val="30"/>
          <w:szCs w:val="30"/>
          <w:lang w:val="en-US" w:eastAsia="zh-CN" w:bidi="ar-SA"/>
        </w:rPr>
        <w:t>环评报告书的主要结论</w:t>
      </w:r>
      <w:bookmarkEnd w:id="47"/>
      <w:bookmarkEnd w:id="48"/>
      <w:bookmarkEnd w:id="49"/>
      <w:bookmarkEnd w:id="50"/>
      <w:bookmarkEnd w:id="51"/>
      <w:bookmarkEnd w:id="53"/>
    </w:p>
    <w:p w14:paraId="57ABD7C1">
      <w:pPr>
        <w:widowControl w:val="0"/>
        <w:autoSpaceDE w:val="0"/>
        <w:autoSpaceDN w:val="0"/>
        <w:adjustRightInd w:val="0"/>
        <w:spacing w:line="360" w:lineRule="auto"/>
        <w:ind w:firstLine="480" w:firstLineChars="200"/>
        <w:rPr>
          <w:rFonts w:hint="default" w:ascii="Times New Roman" w:hAnsi="Times New Roman" w:eastAsia="宋体" w:cs="宋体"/>
          <w:color w:val="auto"/>
          <w:kern w:val="0"/>
          <w:sz w:val="24"/>
          <w:szCs w:val="22"/>
          <w:lang w:val="en-US" w:eastAsia="zh-CN"/>
        </w:rPr>
        <w:sectPr>
          <w:pgSz w:w="11906" w:h="16838"/>
          <w:pgMar w:top="1440" w:right="1797" w:bottom="1440" w:left="1797" w:header="851" w:footer="1026" w:gutter="0"/>
          <w:pgBorders>
            <w:top w:val="none" w:sz="0" w:space="0"/>
            <w:left w:val="none" w:sz="0" w:space="0"/>
            <w:bottom w:val="none" w:sz="0" w:space="0"/>
            <w:right w:val="none" w:sz="0" w:space="0"/>
          </w:pgBorders>
          <w:pgNumType w:fmt="numberInDash"/>
          <w:cols w:space="720" w:num="1"/>
          <w:docGrid w:type="linesAndChars" w:linePitch="312" w:charSpace="0"/>
        </w:sectPr>
      </w:pPr>
      <w:r>
        <w:rPr>
          <w:rFonts w:hint="default" w:ascii="Times New Roman" w:hAnsi="Times New Roman" w:eastAsia="宋体" w:cs="宋体"/>
          <w:color w:val="auto"/>
          <w:kern w:val="0"/>
          <w:sz w:val="24"/>
          <w:szCs w:val="22"/>
          <w:lang w:val="en-US" w:eastAsia="zh-CN"/>
        </w:rPr>
        <w:t>综合分析结果表明，本项目建设符合国家产业政策，选址合理可行；工艺选择符合清洁生产要求；各项污染物能够达标排放；项目运行后对周围环境影响较轻；环境风险水平在可接受程度内；通过公众参与分析，当地群众支持该项目建设；项目建成后对当地经济起到促进作用，项目建设可以实现</w:t>
      </w:r>
      <w:r>
        <w:rPr>
          <w:rFonts w:hint="eastAsia"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达标排放</w:t>
      </w:r>
      <w:r>
        <w:rPr>
          <w:rFonts w:hint="eastAsia"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总量控制</w:t>
      </w:r>
      <w:r>
        <w:rPr>
          <w:rFonts w:hint="eastAsia"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和</w:t>
      </w:r>
      <w:r>
        <w:rPr>
          <w:rFonts w:hint="eastAsia"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风险控制</w:t>
      </w:r>
      <w:r>
        <w:rPr>
          <w:rFonts w:hint="eastAsia"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的目标。考虑项目在建设过程中的不确定因素，项目建设过程中应认真落实环境保护</w:t>
      </w:r>
      <w:r>
        <w:rPr>
          <w:rFonts w:hint="eastAsia"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三同时</w:t>
      </w:r>
      <w:r>
        <w:rPr>
          <w:rFonts w:hint="eastAsia"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严格落实设计和环评报告提出的污染防治措施和环境保护措施，并加强环保设施的运行维护和管理，保证各种环保设施的正常运行和污染物长期稳定达标排放。在落实并保证以上条件实施的前提下，从环保角度分析，该项目的建设是可行的。</w:t>
      </w:r>
    </w:p>
    <w:p w14:paraId="2101E479">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宋体" w:cs="Times New Roman"/>
          <w:b/>
          <w:bCs w:val="0"/>
          <w:kern w:val="44"/>
          <w:sz w:val="32"/>
          <w:szCs w:val="32"/>
          <w:lang w:val="en-US" w:eastAsia="zh-CN" w:bidi="ar-SA"/>
        </w:rPr>
      </w:pPr>
      <w:bookmarkStart w:id="54" w:name="_Toc1903"/>
      <w:bookmarkStart w:id="55" w:name="_Toc10045"/>
      <w:bookmarkStart w:id="56" w:name="_Toc4487"/>
      <w:bookmarkStart w:id="57" w:name="_Toc18957"/>
      <w:r>
        <w:rPr>
          <w:rFonts w:hint="default" w:ascii="Times New Roman" w:hAnsi="Times New Roman" w:eastAsia="宋体" w:cs="Times New Roman"/>
          <w:b/>
          <w:bCs w:val="0"/>
          <w:kern w:val="44"/>
          <w:sz w:val="32"/>
          <w:szCs w:val="32"/>
          <w:lang w:val="en-US" w:eastAsia="zh-CN" w:bidi="ar-SA"/>
        </w:rPr>
        <w:t>2、总则</w:t>
      </w:r>
      <w:bookmarkEnd w:id="54"/>
      <w:bookmarkEnd w:id="55"/>
      <w:bookmarkEnd w:id="56"/>
      <w:bookmarkEnd w:id="57"/>
    </w:p>
    <w:p w14:paraId="44E5FEDC">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58" w:name="_Toc211967457"/>
      <w:bookmarkStart w:id="59" w:name="_Toc7459"/>
      <w:bookmarkStart w:id="60" w:name="_Toc10471"/>
      <w:bookmarkStart w:id="61" w:name="_Toc5529"/>
      <w:bookmarkStart w:id="62" w:name="_Toc212261165"/>
      <w:bookmarkStart w:id="63" w:name="_Toc28805"/>
      <w:bookmarkStart w:id="64" w:name="_Toc213206441"/>
      <w:bookmarkStart w:id="65" w:name="_Toc521706420"/>
      <w:bookmarkStart w:id="66" w:name="_Toc222825827"/>
      <w:bookmarkStart w:id="67" w:name="_Toc12773"/>
      <w:bookmarkStart w:id="68" w:name="_Toc164225287"/>
      <w:bookmarkStart w:id="69" w:name="_Toc164225095"/>
      <w:bookmarkStart w:id="70" w:name="_Toc162921846"/>
      <w:bookmarkStart w:id="71" w:name="_Toc164224902"/>
      <w:bookmarkStart w:id="72" w:name="_Toc20648"/>
      <w:r>
        <w:rPr>
          <w:rFonts w:hint="default" w:ascii="Times New Roman" w:hAnsi="Times New Roman" w:eastAsia="宋体" w:cs="Times New Roman"/>
          <w:b/>
          <w:bCs/>
          <w:kern w:val="2"/>
          <w:sz w:val="30"/>
          <w:szCs w:val="30"/>
          <w:lang w:val="en-US" w:eastAsia="zh-CN" w:bidi="ar-SA"/>
        </w:rPr>
        <w:t>2.1编制依据</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4FAECF89">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73" w:name="_Toc7706"/>
      <w:bookmarkStart w:id="74" w:name="_Toc17736"/>
      <w:bookmarkStart w:id="75" w:name="_Toc211967458"/>
      <w:bookmarkStart w:id="76" w:name="_Toc162921847"/>
      <w:bookmarkStart w:id="77" w:name="_Toc164225288"/>
      <w:bookmarkStart w:id="78" w:name="_Toc213206442"/>
      <w:bookmarkStart w:id="79" w:name="_Toc164225096"/>
      <w:bookmarkStart w:id="80" w:name="_Toc222825828"/>
      <w:bookmarkStart w:id="81" w:name="_Toc164224903"/>
      <w:bookmarkStart w:id="82" w:name="_Toc212261166"/>
      <w:bookmarkStart w:id="83" w:name="_Toc5037"/>
      <w:r>
        <w:rPr>
          <w:rFonts w:hint="default" w:ascii="Times New Roman" w:hAnsi="Times New Roman" w:eastAsia="宋体" w:cs="Times New Roman"/>
          <w:b/>
          <w:bCs/>
          <w:snapToGrid w:val="0"/>
          <w:kern w:val="2"/>
          <w:sz w:val="28"/>
          <w:szCs w:val="28"/>
          <w:lang w:val="en-US" w:eastAsia="zh-CN" w:bidi="ar-SA"/>
        </w:rPr>
        <w:t>2.1.1法律法规依据</w:t>
      </w:r>
      <w:bookmarkEnd w:id="73"/>
      <w:bookmarkEnd w:id="74"/>
      <w:bookmarkEnd w:id="75"/>
      <w:bookmarkEnd w:id="76"/>
      <w:bookmarkEnd w:id="77"/>
      <w:bookmarkEnd w:id="78"/>
      <w:bookmarkEnd w:id="79"/>
      <w:bookmarkEnd w:id="80"/>
      <w:bookmarkEnd w:id="81"/>
      <w:bookmarkEnd w:id="82"/>
      <w:bookmarkEnd w:id="83"/>
    </w:p>
    <w:p w14:paraId="287347B4">
      <w:pPr>
        <w:widowControl w:val="0"/>
        <w:spacing w:line="360" w:lineRule="auto"/>
        <w:ind w:firstLine="480" w:firstLineChars="200"/>
        <w:jc w:val="both"/>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lang w:val="en-US" w:eastAsia="zh-CN"/>
        </w:rPr>
        <w:t>1</w:t>
      </w:r>
      <w:r>
        <w:rPr>
          <w:rFonts w:hint="default" w:ascii="Times New Roman" w:hAnsi="Times New Roman" w:eastAsia="宋体" w:cs="Times New Roman"/>
          <w:color w:val="auto"/>
          <w:kern w:val="0"/>
          <w:sz w:val="24"/>
          <w:szCs w:val="20"/>
          <w:highlight w:val="none"/>
          <w:lang w:eastAsia="zh-CN"/>
        </w:rPr>
        <w:t>）</w:t>
      </w:r>
      <w:r>
        <w:rPr>
          <w:rFonts w:hint="eastAsia" w:cs="Times New Roman"/>
          <w:color w:val="auto"/>
          <w:kern w:val="0"/>
          <w:sz w:val="24"/>
          <w:szCs w:val="20"/>
          <w:highlight w:val="none"/>
          <w:lang w:val="en-US" w:eastAsia="zh-CN"/>
        </w:rPr>
        <w:t>《中华人民共和国生态环境法典》，2026.3.12通过，2026年8月15日起施行</w:t>
      </w:r>
      <w:r>
        <w:rPr>
          <w:rFonts w:hint="eastAsia" w:ascii="Times New Roman" w:hAnsi="Times New Roman" w:eastAsia="宋体" w:cs="Times New Roman"/>
          <w:color w:val="auto"/>
          <w:kern w:val="0"/>
          <w:sz w:val="24"/>
          <w:szCs w:val="20"/>
          <w:highlight w:val="none"/>
          <w:lang w:eastAsia="zh-CN"/>
        </w:rPr>
        <w:t>；</w:t>
      </w:r>
    </w:p>
    <w:p w14:paraId="7F5C2057">
      <w:pPr>
        <w:widowControl w:val="0"/>
        <w:spacing w:line="360" w:lineRule="auto"/>
        <w:ind w:firstLine="480" w:firstLineChars="200"/>
        <w:jc w:val="both"/>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w:t>
      </w:r>
      <w:r>
        <w:rPr>
          <w:rFonts w:hint="eastAsia" w:cs="Times New Roman"/>
          <w:color w:val="auto"/>
          <w:kern w:val="0"/>
          <w:sz w:val="24"/>
          <w:szCs w:val="20"/>
          <w:highlight w:val="none"/>
          <w:lang w:val="en-US" w:eastAsia="zh-CN"/>
        </w:rPr>
        <w:t>2</w:t>
      </w:r>
      <w:r>
        <w:rPr>
          <w:rFonts w:hint="default" w:ascii="Times New Roman" w:hAnsi="Times New Roman" w:eastAsia="宋体" w:cs="Times New Roman"/>
          <w:color w:val="auto"/>
          <w:kern w:val="0"/>
          <w:sz w:val="24"/>
          <w:szCs w:val="20"/>
          <w:highlight w:val="none"/>
          <w:lang w:eastAsia="zh-CN"/>
        </w:rPr>
        <w:t>）《中华人民共和国水土保持法》，</w:t>
      </w:r>
      <w:r>
        <w:rPr>
          <w:rFonts w:hint="default" w:ascii="Times New Roman" w:hAnsi="Times New Roman" w:eastAsia="宋体" w:cs="Times New Roman"/>
          <w:color w:val="auto"/>
          <w:kern w:val="0"/>
          <w:sz w:val="24"/>
          <w:szCs w:val="20"/>
          <w:highlight w:val="none"/>
          <w:lang w:val="en-US" w:eastAsia="zh-CN"/>
        </w:rPr>
        <w:t>2010.12.25修订，2011.3.1施行</w:t>
      </w:r>
      <w:r>
        <w:rPr>
          <w:rFonts w:hint="default" w:ascii="Times New Roman" w:hAnsi="Times New Roman" w:eastAsia="宋体" w:cs="Times New Roman"/>
          <w:color w:val="auto"/>
          <w:kern w:val="0"/>
          <w:sz w:val="24"/>
          <w:szCs w:val="20"/>
          <w:highlight w:val="none"/>
          <w:lang w:eastAsia="zh-CN"/>
        </w:rPr>
        <w:t>；</w:t>
      </w:r>
    </w:p>
    <w:p w14:paraId="25750C29">
      <w:pPr>
        <w:widowControl w:val="0"/>
        <w:spacing w:line="360" w:lineRule="auto"/>
        <w:ind w:firstLine="480" w:firstLineChars="200"/>
        <w:jc w:val="both"/>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w:t>
      </w:r>
      <w:r>
        <w:rPr>
          <w:rFonts w:hint="eastAsia" w:cs="Times New Roman"/>
          <w:color w:val="auto"/>
          <w:kern w:val="0"/>
          <w:sz w:val="24"/>
          <w:szCs w:val="20"/>
          <w:highlight w:val="none"/>
          <w:lang w:val="en-US" w:eastAsia="zh-CN"/>
        </w:rPr>
        <w:t>3</w:t>
      </w:r>
      <w:r>
        <w:rPr>
          <w:rFonts w:hint="default" w:ascii="Times New Roman" w:hAnsi="Times New Roman" w:eastAsia="宋体" w:cs="Times New Roman"/>
          <w:color w:val="auto"/>
          <w:kern w:val="0"/>
          <w:sz w:val="24"/>
          <w:szCs w:val="20"/>
          <w:highlight w:val="none"/>
          <w:lang w:eastAsia="zh-CN"/>
        </w:rPr>
        <w:t>）《中华人民共和国清洁生产促进法》</w:t>
      </w:r>
      <w:r>
        <w:rPr>
          <w:rFonts w:hint="default" w:ascii="Times New Roman" w:hAnsi="Times New Roman" w:eastAsia="宋体" w:cs="Times New Roman"/>
          <w:color w:val="auto"/>
          <w:kern w:val="0"/>
          <w:sz w:val="24"/>
          <w:szCs w:val="20"/>
          <w:highlight w:val="none"/>
          <w:lang w:val="en-US" w:eastAsia="zh-CN"/>
        </w:rPr>
        <w:t>，2011.2.29修订，2012.7.1施行</w:t>
      </w:r>
      <w:r>
        <w:rPr>
          <w:rFonts w:hint="default" w:ascii="Times New Roman" w:hAnsi="Times New Roman" w:eastAsia="宋体" w:cs="Times New Roman"/>
          <w:color w:val="auto"/>
          <w:kern w:val="0"/>
          <w:sz w:val="24"/>
          <w:szCs w:val="20"/>
          <w:highlight w:val="none"/>
          <w:lang w:eastAsia="zh-CN"/>
        </w:rPr>
        <w:t>；</w:t>
      </w:r>
    </w:p>
    <w:p w14:paraId="1BA58454">
      <w:pPr>
        <w:widowControl w:val="0"/>
        <w:spacing w:line="360" w:lineRule="auto"/>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0"/>
          <w:highlight w:val="none"/>
          <w:lang w:eastAsia="zh-CN"/>
        </w:rPr>
        <w:t>（</w:t>
      </w:r>
      <w:r>
        <w:rPr>
          <w:rFonts w:hint="eastAsia" w:cs="Times New Roman"/>
          <w:color w:val="auto"/>
          <w:kern w:val="0"/>
          <w:sz w:val="24"/>
          <w:szCs w:val="20"/>
          <w:highlight w:val="none"/>
          <w:lang w:val="en-US" w:eastAsia="zh-CN"/>
        </w:rPr>
        <w:t>4</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4"/>
          <w:highlight w:val="none"/>
          <w:lang w:val="en-US" w:eastAsia="zh-CN" w:bidi="ar-SA"/>
        </w:rPr>
        <w:t>《中华人民共和国土壤污染防治法》，2018.8.</w:t>
      </w:r>
      <w:r>
        <w:rPr>
          <w:rFonts w:hint="eastAsia" w:ascii="Times New Roman" w:hAnsi="Times New Roman" w:eastAsia="宋体" w:cs="Times New Roman"/>
          <w:color w:val="auto"/>
          <w:kern w:val="0"/>
          <w:sz w:val="24"/>
          <w:szCs w:val="24"/>
          <w:highlight w:val="none"/>
          <w:lang w:val="en-US" w:eastAsia="zh-CN" w:bidi="ar-SA"/>
        </w:rPr>
        <w:t>3</w:t>
      </w:r>
      <w:r>
        <w:rPr>
          <w:rFonts w:hint="default" w:ascii="Times New Roman" w:hAnsi="Times New Roman" w:eastAsia="宋体" w:cs="Times New Roman"/>
          <w:color w:val="auto"/>
          <w:kern w:val="0"/>
          <w:sz w:val="24"/>
          <w:szCs w:val="24"/>
          <w:highlight w:val="none"/>
          <w:lang w:val="en-US" w:eastAsia="zh-CN" w:bidi="ar-SA"/>
        </w:rPr>
        <w:t>1通过，2019.1.1施行；</w:t>
      </w:r>
    </w:p>
    <w:p w14:paraId="3A91A67E">
      <w:pPr>
        <w:widowControl w:val="0"/>
        <w:spacing w:line="360" w:lineRule="auto"/>
        <w:ind w:firstLine="480" w:firstLineChars="200"/>
        <w:jc w:val="both"/>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w:t>
      </w:r>
      <w:r>
        <w:rPr>
          <w:rFonts w:hint="eastAsia" w:cs="Times New Roman"/>
          <w:color w:val="auto"/>
          <w:kern w:val="0"/>
          <w:sz w:val="24"/>
          <w:szCs w:val="20"/>
          <w:highlight w:val="none"/>
          <w:lang w:val="en-US" w:eastAsia="zh-CN"/>
        </w:rPr>
        <w:t>5</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lang w:val="en-US" w:eastAsia="zh-CN"/>
        </w:rPr>
        <w:t xml:space="preserve">《中华人民共和国城乡规划法》，2019.4.23修正； </w:t>
      </w:r>
    </w:p>
    <w:p w14:paraId="3D470589">
      <w:pPr>
        <w:widowControl w:val="0"/>
        <w:spacing w:line="360" w:lineRule="auto"/>
        <w:ind w:firstLine="480" w:firstLineChars="200"/>
        <w:jc w:val="both"/>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val="en-US" w:eastAsia="zh-CN"/>
        </w:rPr>
        <w:t>（</w:t>
      </w:r>
      <w:r>
        <w:rPr>
          <w:rFonts w:hint="eastAsia" w:cs="Times New Roman"/>
          <w:color w:val="auto"/>
          <w:kern w:val="0"/>
          <w:sz w:val="24"/>
          <w:szCs w:val="20"/>
          <w:highlight w:val="none"/>
          <w:lang w:val="en-US" w:eastAsia="zh-CN"/>
        </w:rPr>
        <w:t>6</w:t>
      </w:r>
      <w:r>
        <w:rPr>
          <w:rFonts w:hint="default" w:ascii="Times New Roman" w:hAnsi="Times New Roman" w:eastAsia="宋体" w:cs="Times New Roman"/>
          <w:color w:val="auto"/>
          <w:kern w:val="0"/>
          <w:sz w:val="24"/>
          <w:szCs w:val="20"/>
          <w:highlight w:val="none"/>
          <w:lang w:val="en-US" w:eastAsia="zh-CN"/>
        </w:rPr>
        <w:t>）《中华人民共和国野生动物保护法》，2018.10.26 修正</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en-US" w:eastAsia="zh-CN"/>
        </w:rPr>
        <w:t xml:space="preserve"> </w:t>
      </w:r>
    </w:p>
    <w:p w14:paraId="678C6678">
      <w:pPr>
        <w:spacing w:line="360" w:lineRule="auto"/>
        <w:ind w:firstLine="480" w:firstLineChars="200"/>
        <w:rPr>
          <w:rFonts w:hint="default"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w:t>
      </w:r>
      <w:r>
        <w:rPr>
          <w:rFonts w:hint="eastAsia" w:cs="Times New Roman"/>
          <w:color w:val="auto"/>
          <w:kern w:val="0"/>
          <w:sz w:val="24"/>
          <w:szCs w:val="20"/>
          <w:highlight w:val="none"/>
          <w:lang w:val="en-US" w:eastAsia="zh-CN"/>
        </w:rPr>
        <w:t>7</w:t>
      </w:r>
      <w:r>
        <w:rPr>
          <w:rFonts w:hint="eastAsia" w:ascii="Times New Roman" w:hAnsi="Times New Roman" w:eastAsia="宋体" w:cs="Times New Roman"/>
          <w:color w:val="auto"/>
          <w:kern w:val="0"/>
          <w:sz w:val="24"/>
          <w:szCs w:val="20"/>
          <w:highlight w:val="none"/>
          <w:lang w:val="en-US" w:eastAsia="zh-CN"/>
        </w:rPr>
        <w:t>）《中华人民共和国土地管理法》，2019.8.26修正；</w:t>
      </w:r>
    </w:p>
    <w:p w14:paraId="7610AF89">
      <w:pPr>
        <w:spacing w:line="360" w:lineRule="auto"/>
        <w:ind w:firstLine="480" w:firstLineChars="200"/>
        <w:rPr>
          <w:rFonts w:hint="default"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w:t>
      </w:r>
      <w:r>
        <w:rPr>
          <w:rFonts w:hint="eastAsia" w:cs="Times New Roman"/>
          <w:color w:val="auto"/>
          <w:kern w:val="0"/>
          <w:sz w:val="24"/>
          <w:szCs w:val="20"/>
          <w:highlight w:val="none"/>
          <w:lang w:val="en-US" w:eastAsia="zh-CN"/>
        </w:rPr>
        <w:t>8</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en-US" w:eastAsia="zh-CN"/>
        </w:rPr>
        <w:t>《中华人民共和国防沙治沙法》</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en-US" w:eastAsia="zh-CN"/>
        </w:rPr>
        <w:t>2018.10.26修正</w:t>
      </w:r>
      <w:r>
        <w:rPr>
          <w:rFonts w:hint="eastAsia" w:cs="Times New Roman"/>
          <w:color w:val="auto"/>
          <w:kern w:val="0"/>
          <w:sz w:val="24"/>
          <w:szCs w:val="20"/>
          <w:highlight w:val="none"/>
          <w:lang w:val="en-US" w:eastAsia="zh-CN"/>
        </w:rPr>
        <w:t>；</w:t>
      </w:r>
    </w:p>
    <w:p w14:paraId="52E2B2B0">
      <w:pPr>
        <w:spacing w:line="360" w:lineRule="auto"/>
        <w:ind w:firstLine="480" w:firstLineChars="200"/>
        <w:rPr>
          <w:rFonts w:hint="default" w:ascii="Times New Roman" w:hAnsi="Times New Roman" w:eastAsia="宋体" w:cs="Times New Roman"/>
          <w:color w:val="auto"/>
          <w:kern w:val="0"/>
          <w:sz w:val="24"/>
          <w:szCs w:val="20"/>
          <w:highlight w:val="none"/>
          <w:lang w:val="en-US" w:eastAsia="zh-CN"/>
        </w:rPr>
      </w:pPr>
      <w:r>
        <w:rPr>
          <w:rFonts w:hint="default" w:ascii="Times New Roman" w:hAnsi="Times New Roman" w:eastAsia="宋体" w:cs="Times New Roman"/>
          <w:color w:val="auto"/>
          <w:kern w:val="0"/>
          <w:sz w:val="24"/>
          <w:szCs w:val="20"/>
          <w:highlight w:val="none"/>
          <w:lang w:val="en-US" w:eastAsia="zh-CN"/>
        </w:rPr>
        <w:t>（</w:t>
      </w:r>
      <w:r>
        <w:rPr>
          <w:rFonts w:hint="eastAsia" w:cs="Times New Roman"/>
          <w:color w:val="auto"/>
          <w:kern w:val="0"/>
          <w:sz w:val="24"/>
          <w:szCs w:val="20"/>
          <w:highlight w:val="none"/>
          <w:lang w:val="en-US" w:eastAsia="zh-CN"/>
        </w:rPr>
        <w:t>9</w:t>
      </w:r>
      <w:r>
        <w:rPr>
          <w:rFonts w:hint="default" w:ascii="Times New Roman" w:hAnsi="Times New Roman" w:eastAsia="宋体" w:cs="Times New Roman"/>
          <w:color w:val="auto"/>
          <w:kern w:val="0"/>
          <w:sz w:val="24"/>
          <w:szCs w:val="20"/>
          <w:highlight w:val="none"/>
          <w:lang w:val="en-US" w:eastAsia="zh-CN"/>
        </w:rPr>
        <w:t>）《中华人民共和国畜牧法》</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en-US" w:eastAsia="zh-CN"/>
        </w:rPr>
        <w:t>20</w:t>
      </w:r>
      <w:r>
        <w:rPr>
          <w:rFonts w:hint="eastAsia" w:ascii="Times New Roman" w:hAnsi="Times New Roman" w:eastAsia="宋体" w:cs="Times New Roman"/>
          <w:color w:val="auto"/>
          <w:kern w:val="0"/>
          <w:sz w:val="24"/>
          <w:szCs w:val="20"/>
          <w:highlight w:val="none"/>
          <w:lang w:val="en-US" w:eastAsia="zh-CN"/>
        </w:rPr>
        <w:t>22.10.30</w:t>
      </w:r>
      <w:r>
        <w:rPr>
          <w:rFonts w:hint="default" w:ascii="Times New Roman" w:hAnsi="Times New Roman" w:eastAsia="宋体" w:cs="Times New Roman"/>
          <w:color w:val="auto"/>
          <w:kern w:val="0"/>
          <w:sz w:val="24"/>
          <w:szCs w:val="20"/>
          <w:highlight w:val="none"/>
          <w:lang w:val="en-US" w:eastAsia="zh-CN"/>
        </w:rPr>
        <w:t>修订</w:t>
      </w:r>
      <w:r>
        <w:rPr>
          <w:rFonts w:hint="eastAsia" w:ascii="Times New Roman" w:hAnsi="Times New Roman" w:eastAsia="宋体" w:cs="Times New Roman"/>
          <w:color w:val="auto"/>
          <w:kern w:val="0"/>
          <w:sz w:val="24"/>
          <w:szCs w:val="20"/>
          <w:highlight w:val="none"/>
          <w:lang w:val="en-US" w:eastAsia="zh-CN"/>
        </w:rPr>
        <w:t>，2023.3.1施行</w:t>
      </w:r>
      <w:r>
        <w:rPr>
          <w:rFonts w:hint="default" w:ascii="Times New Roman" w:hAnsi="Times New Roman" w:eastAsia="宋体" w:cs="Times New Roman"/>
          <w:color w:val="auto"/>
          <w:kern w:val="0"/>
          <w:sz w:val="24"/>
          <w:szCs w:val="20"/>
          <w:highlight w:val="none"/>
          <w:lang w:val="en-US" w:eastAsia="zh-CN"/>
        </w:rPr>
        <w:t>；</w:t>
      </w:r>
    </w:p>
    <w:p w14:paraId="101A35D0">
      <w:pPr>
        <w:spacing w:line="360" w:lineRule="auto"/>
        <w:ind w:firstLine="480" w:firstLineChars="200"/>
        <w:rPr>
          <w:rFonts w:hint="default" w:ascii="Times New Roman" w:hAnsi="Times New Roman" w:eastAsia="宋体" w:cs="Times New Roman"/>
          <w:color w:val="auto"/>
          <w:kern w:val="0"/>
          <w:sz w:val="24"/>
          <w:szCs w:val="20"/>
          <w:highlight w:val="none"/>
          <w:lang w:val="en-US" w:eastAsia="zh-CN"/>
        </w:rPr>
      </w:pPr>
      <w:r>
        <w:rPr>
          <w:rFonts w:hint="default" w:ascii="Times New Roman" w:hAnsi="Times New Roman" w:eastAsia="宋体" w:cs="Times New Roman"/>
          <w:color w:val="auto"/>
          <w:kern w:val="0"/>
          <w:sz w:val="24"/>
          <w:szCs w:val="20"/>
          <w:highlight w:val="none"/>
          <w:lang w:val="en-US" w:eastAsia="zh-CN"/>
        </w:rPr>
        <w:t>（</w:t>
      </w:r>
      <w:r>
        <w:rPr>
          <w:rFonts w:hint="eastAsia" w:cs="Times New Roman"/>
          <w:color w:val="auto"/>
          <w:kern w:val="0"/>
          <w:sz w:val="24"/>
          <w:szCs w:val="20"/>
          <w:highlight w:val="none"/>
          <w:lang w:val="en-US" w:eastAsia="zh-CN"/>
        </w:rPr>
        <w:t>10</w:t>
      </w:r>
      <w:r>
        <w:rPr>
          <w:rFonts w:hint="default" w:ascii="Times New Roman" w:hAnsi="Times New Roman" w:eastAsia="宋体" w:cs="Times New Roman"/>
          <w:color w:val="auto"/>
          <w:kern w:val="0"/>
          <w:sz w:val="24"/>
          <w:szCs w:val="20"/>
          <w:highlight w:val="none"/>
          <w:lang w:val="en-US" w:eastAsia="zh-CN"/>
        </w:rPr>
        <w:t>）《中华人民共和国动物防疫法》</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en-US" w:eastAsia="zh-CN"/>
        </w:rPr>
        <w:t>20</w:t>
      </w:r>
      <w:r>
        <w:rPr>
          <w:rFonts w:hint="eastAsia" w:ascii="Times New Roman" w:hAnsi="Times New Roman" w:eastAsia="宋体" w:cs="Times New Roman"/>
          <w:color w:val="auto"/>
          <w:kern w:val="0"/>
          <w:sz w:val="24"/>
          <w:szCs w:val="20"/>
          <w:highlight w:val="none"/>
          <w:lang w:val="en-US" w:eastAsia="zh-CN"/>
        </w:rPr>
        <w:t>21.1.22</w:t>
      </w:r>
      <w:r>
        <w:rPr>
          <w:rFonts w:hint="default" w:ascii="Times New Roman" w:hAnsi="Times New Roman" w:eastAsia="宋体" w:cs="Times New Roman"/>
          <w:color w:val="auto"/>
          <w:kern w:val="0"/>
          <w:sz w:val="24"/>
          <w:szCs w:val="20"/>
          <w:highlight w:val="none"/>
          <w:lang w:val="en-US" w:eastAsia="zh-CN"/>
        </w:rPr>
        <w:t>修订</w:t>
      </w:r>
      <w:r>
        <w:rPr>
          <w:rFonts w:hint="eastAsia" w:ascii="Times New Roman" w:hAnsi="Times New Roman" w:eastAsia="宋体" w:cs="Times New Roman"/>
          <w:color w:val="auto"/>
          <w:kern w:val="0"/>
          <w:sz w:val="24"/>
          <w:szCs w:val="20"/>
          <w:highlight w:val="none"/>
          <w:lang w:val="en-US" w:eastAsia="zh-CN"/>
        </w:rPr>
        <w:t>，2021.5.1施行</w:t>
      </w:r>
      <w:r>
        <w:rPr>
          <w:rFonts w:hint="default" w:ascii="Times New Roman" w:hAnsi="Times New Roman" w:eastAsia="宋体" w:cs="Times New Roman"/>
          <w:color w:val="auto"/>
          <w:kern w:val="0"/>
          <w:sz w:val="24"/>
          <w:szCs w:val="20"/>
          <w:highlight w:val="none"/>
          <w:lang w:val="en-US" w:eastAsia="zh-CN"/>
        </w:rPr>
        <w:t>；</w:t>
      </w:r>
    </w:p>
    <w:p w14:paraId="338E4DC9">
      <w:pPr>
        <w:spacing w:line="360" w:lineRule="auto"/>
        <w:ind w:firstLine="480" w:firstLineChars="200"/>
        <w:rPr>
          <w:rFonts w:hint="default" w:ascii="Times New Roman" w:hAnsi="Times New Roman" w:eastAsia="宋体" w:cs="Times New Roman"/>
          <w:color w:val="auto"/>
          <w:kern w:val="0"/>
          <w:sz w:val="24"/>
          <w:szCs w:val="20"/>
          <w:highlight w:val="none"/>
          <w:lang w:val="en-US" w:eastAsia="zh-CN"/>
        </w:rPr>
      </w:pPr>
      <w:r>
        <w:rPr>
          <w:rFonts w:hint="default" w:ascii="Times New Roman" w:hAnsi="Times New Roman" w:eastAsia="宋体" w:cs="Times New Roman"/>
          <w:color w:val="auto"/>
          <w:kern w:val="0"/>
          <w:sz w:val="24"/>
          <w:szCs w:val="20"/>
          <w:highlight w:val="none"/>
          <w:lang w:val="en-US" w:eastAsia="zh-CN"/>
        </w:rPr>
        <w:t>（</w:t>
      </w:r>
      <w:r>
        <w:rPr>
          <w:rFonts w:hint="eastAsia" w:cs="Times New Roman"/>
          <w:color w:val="auto"/>
          <w:kern w:val="0"/>
          <w:sz w:val="24"/>
          <w:szCs w:val="20"/>
          <w:highlight w:val="none"/>
          <w:lang w:val="en-US" w:eastAsia="zh-CN"/>
        </w:rPr>
        <w:t>11</w:t>
      </w:r>
      <w:r>
        <w:rPr>
          <w:rFonts w:hint="default" w:ascii="Times New Roman" w:hAnsi="Times New Roman" w:eastAsia="宋体" w:cs="Times New Roman"/>
          <w:color w:val="auto"/>
          <w:kern w:val="0"/>
          <w:sz w:val="24"/>
          <w:szCs w:val="20"/>
          <w:highlight w:val="none"/>
          <w:lang w:val="en-US" w:eastAsia="zh-CN"/>
        </w:rPr>
        <w:t>）《建设项目环境保护管理条例》</w:t>
      </w:r>
      <w:r>
        <w:rPr>
          <w:rFonts w:hint="eastAsia" w:ascii="Times New Roman" w:hAnsi="Times New Roman" w:eastAsia="宋体" w:cs="Times New Roman"/>
          <w:color w:val="auto"/>
          <w:kern w:val="0"/>
          <w:sz w:val="24"/>
          <w:szCs w:val="20"/>
          <w:highlight w:val="none"/>
          <w:lang w:val="en-US" w:eastAsia="zh-CN"/>
        </w:rPr>
        <w:t>，2017.7.16修订</w:t>
      </w:r>
      <w:r>
        <w:rPr>
          <w:rFonts w:hint="default" w:ascii="Times New Roman" w:hAnsi="Times New Roman" w:eastAsia="宋体" w:cs="Times New Roman"/>
          <w:color w:val="auto"/>
          <w:kern w:val="0"/>
          <w:sz w:val="24"/>
          <w:szCs w:val="20"/>
          <w:highlight w:val="none"/>
          <w:lang w:val="en-US" w:eastAsia="zh-CN"/>
        </w:rPr>
        <w:t>；</w:t>
      </w:r>
    </w:p>
    <w:p w14:paraId="3E62DC1F">
      <w:pPr>
        <w:spacing w:line="360" w:lineRule="auto"/>
        <w:ind w:firstLine="480" w:firstLineChars="200"/>
        <w:rPr>
          <w:rFonts w:hint="default" w:ascii="Times New Roman" w:hAnsi="Times New Roman" w:eastAsia="宋体" w:cs="Times New Roman"/>
          <w:bCs w:val="0"/>
          <w:sz w:val="24"/>
          <w:szCs w:val="22"/>
          <w:lang w:val="en-US" w:eastAsia="zh-CN"/>
        </w:rPr>
      </w:pPr>
      <w:r>
        <w:rPr>
          <w:rFonts w:hint="default" w:ascii="Times New Roman" w:hAnsi="Times New Roman" w:eastAsia="宋体" w:cs="Times New Roman"/>
          <w:color w:val="auto"/>
          <w:kern w:val="0"/>
          <w:sz w:val="24"/>
          <w:szCs w:val="20"/>
          <w:highlight w:val="none"/>
          <w:lang w:val="en-US" w:eastAsia="zh-CN"/>
        </w:rPr>
        <w:t>（</w:t>
      </w:r>
      <w:r>
        <w:rPr>
          <w:rFonts w:hint="eastAsia" w:cs="Times New Roman"/>
          <w:color w:val="auto"/>
          <w:kern w:val="0"/>
          <w:sz w:val="24"/>
          <w:szCs w:val="20"/>
          <w:highlight w:val="none"/>
          <w:lang w:val="en-US" w:eastAsia="zh-CN"/>
        </w:rPr>
        <w:t>12</w:t>
      </w:r>
      <w:r>
        <w:rPr>
          <w:rFonts w:hint="default" w:ascii="Times New Roman" w:hAnsi="Times New Roman" w:eastAsia="宋体" w:cs="Times New Roman"/>
          <w:color w:val="auto"/>
          <w:kern w:val="0"/>
          <w:sz w:val="24"/>
          <w:szCs w:val="20"/>
          <w:highlight w:val="none"/>
          <w:lang w:val="en-US" w:eastAsia="zh-CN"/>
        </w:rPr>
        <w:t>）《</w:t>
      </w:r>
      <w:r>
        <w:rPr>
          <w:rFonts w:hint="eastAsia" w:ascii="Times New Roman" w:hAnsi="Times New Roman" w:eastAsia="宋体" w:cs="Times New Roman"/>
          <w:color w:val="auto"/>
          <w:kern w:val="0"/>
          <w:sz w:val="24"/>
          <w:szCs w:val="20"/>
          <w:highlight w:val="none"/>
          <w:lang w:val="en-US" w:eastAsia="zh-CN"/>
        </w:rPr>
        <w:t>畜禽规模养殖污染防治条例</w:t>
      </w:r>
      <w:r>
        <w:rPr>
          <w:rFonts w:hint="default" w:ascii="Times New Roman" w:hAnsi="Times New Roman" w:eastAsia="宋体" w:cs="Times New Roman"/>
          <w:color w:val="auto"/>
          <w:kern w:val="0"/>
          <w:sz w:val="24"/>
          <w:szCs w:val="20"/>
          <w:highlight w:val="none"/>
          <w:lang w:val="en-US" w:eastAsia="zh-CN"/>
        </w:rPr>
        <w:t>》</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en-US" w:eastAsia="zh-CN"/>
        </w:rPr>
        <w:t>201</w:t>
      </w:r>
      <w:r>
        <w:rPr>
          <w:rFonts w:hint="eastAsia" w:ascii="Times New Roman" w:hAnsi="Times New Roman" w:eastAsia="宋体" w:cs="Times New Roman"/>
          <w:color w:val="auto"/>
          <w:kern w:val="0"/>
          <w:sz w:val="24"/>
          <w:szCs w:val="20"/>
          <w:highlight w:val="none"/>
          <w:lang w:val="en-US" w:eastAsia="zh-CN"/>
        </w:rPr>
        <w:t>4.</w:t>
      </w:r>
      <w:r>
        <w:rPr>
          <w:rFonts w:hint="default" w:ascii="Times New Roman" w:hAnsi="Times New Roman" w:eastAsia="宋体" w:cs="Times New Roman"/>
          <w:color w:val="auto"/>
          <w:kern w:val="0"/>
          <w:sz w:val="24"/>
          <w:szCs w:val="20"/>
          <w:highlight w:val="none"/>
          <w:lang w:val="en-US" w:eastAsia="zh-CN"/>
        </w:rPr>
        <w:t>1</w:t>
      </w:r>
      <w:r>
        <w:rPr>
          <w:rFonts w:hint="eastAsia" w:ascii="Times New Roman" w:hAnsi="Times New Roman" w:eastAsia="宋体" w:cs="Times New Roman"/>
          <w:color w:val="auto"/>
          <w:kern w:val="0"/>
          <w:sz w:val="24"/>
          <w:szCs w:val="20"/>
          <w:highlight w:val="none"/>
          <w:lang w:val="en-US" w:eastAsia="zh-CN"/>
        </w:rPr>
        <w:t>.</w:t>
      </w:r>
      <w:r>
        <w:rPr>
          <w:rFonts w:hint="default" w:ascii="Times New Roman" w:hAnsi="Times New Roman" w:eastAsia="宋体" w:cs="Times New Roman"/>
          <w:color w:val="auto"/>
          <w:kern w:val="0"/>
          <w:sz w:val="24"/>
          <w:szCs w:val="20"/>
          <w:highlight w:val="none"/>
          <w:lang w:val="en-US" w:eastAsia="zh-CN"/>
        </w:rPr>
        <w:t>1</w:t>
      </w:r>
      <w:r>
        <w:rPr>
          <w:rFonts w:hint="eastAsia" w:ascii="Times New Roman" w:hAnsi="Times New Roman" w:eastAsia="宋体" w:cs="Times New Roman"/>
          <w:color w:val="auto"/>
          <w:kern w:val="0"/>
          <w:sz w:val="24"/>
          <w:szCs w:val="20"/>
          <w:highlight w:val="none"/>
          <w:lang w:val="en-US" w:eastAsia="zh-CN"/>
        </w:rPr>
        <w:t>施行。</w:t>
      </w:r>
    </w:p>
    <w:p w14:paraId="42C20CCF">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84" w:name="_Toc6364"/>
      <w:bookmarkStart w:id="85" w:name="_Toc2417"/>
      <w:bookmarkStart w:id="86" w:name="_Toc406504191"/>
      <w:r>
        <w:rPr>
          <w:rFonts w:hint="default" w:ascii="Times New Roman" w:hAnsi="Times New Roman" w:eastAsia="宋体" w:cs="Times New Roman"/>
          <w:b/>
          <w:bCs/>
          <w:snapToGrid w:val="0"/>
          <w:kern w:val="2"/>
          <w:sz w:val="28"/>
          <w:szCs w:val="28"/>
          <w:lang w:val="en-US" w:eastAsia="zh-CN" w:bidi="ar-SA"/>
        </w:rPr>
        <w:t>2.1.2部门规章</w:t>
      </w:r>
      <w:bookmarkEnd w:id="84"/>
      <w:bookmarkEnd w:id="85"/>
    </w:p>
    <w:p w14:paraId="41ED03B7">
      <w:pPr>
        <w:widowControl w:val="0"/>
        <w:numPr>
          <w:ilvl w:val="0"/>
          <w:numId w:val="0"/>
        </w:numPr>
        <w:spacing w:line="360" w:lineRule="auto"/>
        <w:ind w:firstLine="480" w:firstLineChars="200"/>
        <w:jc w:val="both"/>
        <w:rPr>
          <w:rFonts w:hint="eastAsia" w:ascii="Times New Roman" w:hAnsi="Times New Roman" w:eastAsia="宋体" w:cs="Times New Roman"/>
          <w:color w:val="auto"/>
          <w:sz w:val="24"/>
          <w:highlight w:val="none"/>
          <w:lang w:val="en-US" w:eastAsia="zh-CN"/>
        </w:rPr>
      </w:pPr>
      <w:bookmarkStart w:id="87" w:name="_Toc28714"/>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lang w:val="en-US" w:eastAsia="zh-CN"/>
        </w:rPr>
        <w:t>《中共中央</w:t>
      </w:r>
      <w:r>
        <w:rPr>
          <w:rFonts w:hint="eastAsia" w:ascii="Times New Roman" w:hAnsi="Times New Roman"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lang w:val="en-US" w:eastAsia="zh-CN"/>
        </w:rPr>
        <w:t>国务院关于全面加强生态环境保护坚决打好污染防治攻坚战的意见》</w:t>
      </w:r>
      <w:r>
        <w:rPr>
          <w:rFonts w:hint="eastAsia" w:ascii="Times New Roman" w:hAnsi="Times New Roman" w:eastAsia="宋体" w:cs="Times New Roman"/>
          <w:color w:val="auto"/>
          <w:sz w:val="24"/>
          <w:highlight w:val="none"/>
          <w:lang w:val="en-US" w:eastAsia="zh-CN"/>
        </w:rPr>
        <w:t>，2018.6.16</w:t>
      </w:r>
      <w:r>
        <w:rPr>
          <w:rFonts w:hint="eastAsia" w:cs="Times New Roman"/>
          <w:color w:val="000000"/>
          <w:kern w:val="2"/>
          <w:sz w:val="24"/>
          <w:szCs w:val="22"/>
          <w:highlight w:val="none"/>
          <w:lang w:val="en-US" w:eastAsia="zh-CN" w:bidi="ar-SA"/>
        </w:rPr>
        <w:t>施行</w:t>
      </w:r>
      <w:r>
        <w:rPr>
          <w:rFonts w:hint="eastAsia" w:ascii="Times New Roman" w:hAnsi="Times New Roman" w:eastAsia="宋体" w:cs="Times New Roman"/>
          <w:color w:val="auto"/>
          <w:sz w:val="24"/>
          <w:highlight w:val="none"/>
          <w:lang w:val="en-US" w:eastAsia="zh-CN"/>
        </w:rPr>
        <w:t>；</w:t>
      </w:r>
    </w:p>
    <w:p w14:paraId="4B0B3CF4">
      <w:pPr>
        <w:widowControl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bidi="ar-SA"/>
        </w:rPr>
        <w:t>《建设项目环境影响评价分类管理名录（2021年版）》</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生态环境部令第</w:t>
      </w:r>
      <w:r>
        <w:rPr>
          <w:rFonts w:hint="eastAsia" w:ascii="Times New Roman" w:hAnsi="Times New Roman" w:eastAsia="宋体" w:cs="Times New Roman"/>
          <w:color w:val="auto"/>
          <w:sz w:val="24"/>
          <w:szCs w:val="24"/>
          <w:highlight w:val="none"/>
          <w:lang w:val="en-US" w:eastAsia="zh-CN" w:bidi="ar-SA"/>
        </w:rPr>
        <w:t>16</w:t>
      </w:r>
      <w:r>
        <w:rPr>
          <w:rFonts w:hint="default" w:ascii="Times New Roman" w:hAnsi="Times New Roman" w:eastAsia="宋体" w:cs="Times New Roman"/>
          <w:color w:val="auto"/>
          <w:sz w:val="24"/>
          <w:szCs w:val="24"/>
          <w:highlight w:val="none"/>
          <w:lang w:val="en-US" w:eastAsia="zh-CN" w:bidi="ar-SA"/>
        </w:rPr>
        <w:t>号</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，202</w:t>
      </w:r>
      <w:r>
        <w:rPr>
          <w:rFonts w:hint="eastAsia" w:ascii="Times New Roman" w:hAnsi="Times New Roman" w:eastAsia="宋体" w:cs="Times New Roman"/>
          <w:color w:val="auto"/>
          <w:sz w:val="24"/>
          <w:szCs w:val="24"/>
          <w:highlight w:val="none"/>
          <w:lang w:val="en-US" w:eastAsia="zh-CN" w:bidi="ar-SA"/>
        </w:rPr>
        <w:t>1</w:t>
      </w:r>
      <w:r>
        <w:rPr>
          <w:rFonts w:hint="default" w:ascii="Times New Roman" w:hAnsi="Times New Roman" w:eastAsia="宋体" w:cs="Times New Roman"/>
          <w:color w:val="auto"/>
          <w:sz w:val="24"/>
          <w:szCs w:val="24"/>
          <w:highlight w:val="none"/>
          <w:lang w:val="en-US" w:eastAsia="zh-CN" w:bidi="ar-SA"/>
        </w:rPr>
        <w:t>.1.1施行；</w:t>
      </w:r>
    </w:p>
    <w:p w14:paraId="3BDABEFD">
      <w:pPr>
        <w:widowControl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bidi="ar-SA"/>
        </w:rPr>
        <w:t>《关于印发</w:t>
      </w:r>
      <w:r>
        <w:rPr>
          <w:rFonts w:hint="eastAsia" w:ascii="Times New Roman" w:hAnsi="Times New Roman"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企业事业单位突发环境事件应急预案备案管理办法（试行）</w:t>
      </w:r>
      <w:r>
        <w:rPr>
          <w:rFonts w:hint="eastAsia" w:ascii="Times New Roman" w:hAnsi="Times New Roman"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的通知</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环发</w:t>
      </w:r>
      <w:r>
        <w:rPr>
          <w:rFonts w:hint="eastAsia" w:ascii="Times New Roman" w:hAnsi="Times New Roman" w:cs="Times New Roman"/>
          <w:color w:val="auto"/>
          <w:sz w:val="24"/>
          <w:szCs w:val="24"/>
          <w:highlight w:val="none"/>
          <w:lang w:val="en-US" w:eastAsia="zh-CN" w:bidi="ar-SA"/>
        </w:rPr>
        <w:t>〔2015〕4号</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，2015.1.8</w:t>
      </w:r>
      <w:r>
        <w:rPr>
          <w:rFonts w:hint="eastAsia" w:cs="Times New Roman"/>
          <w:color w:val="000000"/>
          <w:kern w:val="2"/>
          <w:sz w:val="24"/>
          <w:szCs w:val="22"/>
          <w:highlight w:val="none"/>
          <w:lang w:val="en-US" w:eastAsia="zh-CN" w:bidi="ar-SA"/>
        </w:rPr>
        <w:t>施行</w:t>
      </w:r>
      <w:r>
        <w:rPr>
          <w:rFonts w:hint="default" w:ascii="Times New Roman" w:hAnsi="Times New Roman" w:eastAsia="宋体" w:cs="Times New Roman"/>
          <w:color w:val="auto"/>
          <w:sz w:val="24"/>
          <w:szCs w:val="24"/>
          <w:highlight w:val="none"/>
          <w:lang w:val="en-US" w:eastAsia="zh-CN" w:bidi="ar-SA"/>
        </w:rPr>
        <w:t>；</w:t>
      </w:r>
    </w:p>
    <w:p w14:paraId="3D1AEBEF">
      <w:pPr>
        <w:widowControl w:val="0"/>
        <w:spacing w:line="360" w:lineRule="auto"/>
        <w:ind w:firstLine="480" w:firstLineChars="200"/>
        <w:jc w:val="both"/>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 xml:space="preserve">《环境影响评价公众参与办法》（生态环境部令第4号），2019.1.1施行； </w:t>
      </w:r>
    </w:p>
    <w:p w14:paraId="496DBE0D">
      <w:pPr>
        <w:widowControl w:val="0"/>
        <w:spacing w:line="360" w:lineRule="auto"/>
        <w:ind w:firstLine="480" w:firstLineChars="200"/>
        <w:jc w:val="both"/>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w:t>
      </w:r>
      <w:r>
        <w:rPr>
          <w:rFonts w:hint="eastAsia" w:ascii="Times New Roman" w:hAnsi="Times New Roman" w:cs="Times New Roman"/>
          <w:color w:val="auto"/>
          <w:kern w:val="2"/>
          <w:sz w:val="24"/>
          <w:szCs w:val="24"/>
          <w:lang w:val="en-US" w:eastAsia="zh-CN"/>
        </w:rPr>
        <w:t>《国家危险废物名录（2025年版）》</w:t>
      </w:r>
      <w:r>
        <w:rPr>
          <w:rFonts w:hint="default" w:ascii="Times New Roman" w:hAnsi="Times New Roman" w:eastAsia="宋体" w:cs="Times New Roman"/>
          <w:color w:val="auto"/>
          <w:sz w:val="24"/>
          <w:highlight w:val="none"/>
          <w:lang w:val="en-US" w:eastAsia="zh-CN"/>
        </w:rPr>
        <w:t>（生态环境部、国家发展和改革委员会、公安部、交通运输部、国家卫生健康委员会令第36号），202</w:t>
      </w:r>
      <w:r>
        <w:rPr>
          <w:rFonts w:hint="eastAsia" w:ascii="Times New Roman" w:hAnsi="Times New Roman"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 xml:space="preserve">.1.1施行； </w:t>
      </w:r>
    </w:p>
    <w:p w14:paraId="63E8270C">
      <w:pPr>
        <w:widowControl w:val="0"/>
        <w:spacing w:line="360" w:lineRule="auto"/>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eastAsia" w:cs="Times New Roman"/>
          <w:color w:val="000000"/>
          <w:kern w:val="2"/>
          <w:sz w:val="24"/>
          <w:szCs w:val="22"/>
          <w:highlight w:val="none"/>
          <w:lang w:val="en-US" w:eastAsia="zh-CN" w:bidi="ar-SA"/>
        </w:rPr>
        <w:t>（6）</w:t>
      </w:r>
      <w:r>
        <w:rPr>
          <w:rFonts w:hint="default" w:ascii="Times New Roman" w:hAnsi="Times New Roman" w:eastAsia="宋体" w:cs="Times New Roman"/>
          <w:color w:val="auto"/>
          <w:kern w:val="0"/>
          <w:sz w:val="24"/>
          <w:szCs w:val="24"/>
          <w:highlight w:val="none"/>
          <w:lang w:val="en-US" w:eastAsia="zh-CN" w:bidi="ar-SA"/>
        </w:rPr>
        <w:t>《产业结构调整指导目录（</w:t>
      </w:r>
      <w:r>
        <w:rPr>
          <w:rFonts w:hint="eastAsia" w:ascii="Times New Roman" w:hAnsi="Times New Roman" w:eastAsia="宋体" w:cs="Times New Roman"/>
          <w:color w:val="auto"/>
          <w:kern w:val="0"/>
          <w:sz w:val="24"/>
          <w:szCs w:val="24"/>
          <w:highlight w:val="none"/>
          <w:lang w:val="en-US" w:eastAsia="zh-CN" w:bidi="ar-SA"/>
        </w:rPr>
        <w:t>2024</w:t>
      </w:r>
      <w:r>
        <w:rPr>
          <w:rFonts w:hint="default" w:ascii="Times New Roman" w:hAnsi="Times New Roman" w:eastAsia="宋体" w:cs="Times New Roman"/>
          <w:color w:val="auto"/>
          <w:kern w:val="0"/>
          <w:sz w:val="24"/>
          <w:szCs w:val="24"/>
          <w:highlight w:val="none"/>
          <w:lang w:val="en-US" w:eastAsia="zh-CN" w:bidi="ar-SA"/>
        </w:rPr>
        <w:t>年本）》</w:t>
      </w:r>
      <w:r>
        <w:rPr>
          <w:rFonts w:hint="eastAsia" w:ascii="Times New Roman" w:hAnsi="Times New Roman" w:eastAsia="宋体" w:cs="Times New Roman"/>
          <w:color w:val="auto"/>
          <w:kern w:val="0"/>
          <w:sz w:val="24"/>
          <w:szCs w:val="24"/>
          <w:highlight w:val="none"/>
          <w:lang w:val="en-US" w:eastAsia="zh-CN" w:bidi="ar-SA"/>
        </w:rPr>
        <w:t>（国家发展改革委</w:t>
      </w:r>
      <w:r>
        <w:rPr>
          <w:rFonts w:hint="default" w:ascii="Times New Roman" w:hAnsi="Times New Roman" w:eastAsia="宋体" w:cs="Times New Roman"/>
          <w:color w:val="auto"/>
          <w:kern w:val="0"/>
          <w:sz w:val="24"/>
          <w:szCs w:val="24"/>
          <w:highlight w:val="none"/>
          <w:lang w:val="en-US" w:eastAsia="zh-CN" w:bidi="ar-SA"/>
        </w:rPr>
        <w:t>令第</w:t>
      </w:r>
      <w:r>
        <w:rPr>
          <w:rFonts w:hint="eastAsia" w:ascii="Times New Roman" w:hAnsi="Times New Roman" w:eastAsia="宋体" w:cs="Times New Roman"/>
          <w:color w:val="auto"/>
          <w:kern w:val="0"/>
          <w:sz w:val="24"/>
          <w:szCs w:val="24"/>
          <w:highlight w:val="none"/>
          <w:lang w:val="en-US" w:eastAsia="zh-CN" w:bidi="ar-SA"/>
        </w:rPr>
        <w:t>7</w:t>
      </w:r>
      <w:r>
        <w:rPr>
          <w:rFonts w:hint="default" w:ascii="Times New Roman" w:hAnsi="Times New Roman" w:eastAsia="宋体" w:cs="Times New Roman"/>
          <w:color w:val="auto"/>
          <w:kern w:val="0"/>
          <w:sz w:val="24"/>
          <w:szCs w:val="24"/>
          <w:highlight w:val="none"/>
          <w:lang w:val="en-US" w:eastAsia="zh-CN" w:bidi="ar-SA"/>
        </w:rPr>
        <w:t>号</w:t>
      </w:r>
      <w:r>
        <w:rPr>
          <w:rFonts w:hint="eastAsia" w:ascii="Times New Roman" w:hAnsi="Times New Roman" w:eastAsia="宋体" w:cs="Times New Roman"/>
          <w:color w:val="auto"/>
          <w:kern w:val="0"/>
          <w:sz w:val="24"/>
          <w:szCs w:val="24"/>
          <w:highlight w:val="none"/>
          <w:lang w:val="en-US" w:eastAsia="zh-CN" w:bidi="ar-SA"/>
        </w:rPr>
        <w:t>），2024.2.1</w:t>
      </w:r>
      <w:r>
        <w:rPr>
          <w:rFonts w:hint="default" w:ascii="Times New Roman" w:hAnsi="Times New Roman" w:eastAsia="宋体" w:cs="Times New Roman"/>
          <w:color w:val="auto"/>
          <w:kern w:val="0"/>
          <w:sz w:val="24"/>
          <w:szCs w:val="20"/>
          <w:highlight w:val="none"/>
          <w:lang w:val="en-US" w:eastAsia="zh-CN"/>
        </w:rPr>
        <w:t>施行</w:t>
      </w:r>
      <w:r>
        <w:rPr>
          <w:rFonts w:hint="default" w:ascii="Times New Roman" w:hAnsi="Times New Roman" w:eastAsia="宋体" w:cs="Times New Roman"/>
          <w:color w:val="auto"/>
          <w:kern w:val="0"/>
          <w:sz w:val="24"/>
          <w:szCs w:val="24"/>
          <w:highlight w:val="none"/>
          <w:lang w:val="en-US" w:eastAsia="zh-CN" w:bidi="ar-SA"/>
        </w:rPr>
        <w:t>；</w:t>
      </w:r>
    </w:p>
    <w:p w14:paraId="165E14FB">
      <w:pPr>
        <w:widowControl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7</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bidi="ar-SA"/>
        </w:rPr>
        <w:t>《关于进一步加强环境影响评价管理防范环境风险的通知》</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环发</w:t>
      </w:r>
      <w:r>
        <w:rPr>
          <w:rFonts w:hint="eastAsia" w:ascii="Times New Roman" w:hAnsi="Times New Roman" w:cs="Times New Roman"/>
          <w:color w:val="auto"/>
          <w:sz w:val="24"/>
          <w:szCs w:val="24"/>
          <w:highlight w:val="none"/>
          <w:lang w:val="en-US" w:eastAsia="zh-CN" w:bidi="ar-SA"/>
        </w:rPr>
        <w:t>〔2012〕77号</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，2012.07.03；</w:t>
      </w:r>
    </w:p>
    <w:p w14:paraId="77C4C884">
      <w:pPr>
        <w:widowControl w:val="0"/>
        <w:spacing w:line="360" w:lineRule="auto"/>
        <w:ind w:firstLine="480" w:firstLineChars="200"/>
        <w:jc w:val="both"/>
        <w:rPr>
          <w:rFonts w:hint="default" w:ascii="Times New Roman" w:hAnsi="Times New Roman" w:eastAsia="宋体" w:cs="Times New Roman"/>
          <w:bCs w:val="0"/>
          <w:sz w:val="24"/>
          <w:szCs w:val="22"/>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bidi="ar-SA"/>
        </w:rPr>
        <w:t>《关于切实加强风险防范严格环境影响评价管理的通知》</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环发</w:t>
      </w:r>
      <w:r>
        <w:rPr>
          <w:rFonts w:hint="eastAsia" w:ascii="Times New Roman" w:hAnsi="Times New Roman" w:cs="Times New Roman"/>
          <w:color w:val="auto"/>
          <w:sz w:val="24"/>
          <w:szCs w:val="24"/>
          <w:highlight w:val="none"/>
          <w:lang w:val="en-US" w:eastAsia="zh-CN" w:bidi="ar-SA"/>
        </w:rPr>
        <w:t>〔2012〕98号</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，2012.08.07</w:t>
      </w:r>
      <w:r>
        <w:rPr>
          <w:rFonts w:hint="default" w:ascii="Times New Roman" w:hAnsi="Times New Roman" w:eastAsia="宋体" w:cs="Times New Roman"/>
          <w:bCs w:val="0"/>
          <w:sz w:val="24"/>
          <w:szCs w:val="22"/>
        </w:rPr>
        <w:t>；</w:t>
      </w:r>
    </w:p>
    <w:p w14:paraId="26A9F687">
      <w:pPr>
        <w:widowControl w:val="0"/>
        <w:spacing w:line="360" w:lineRule="auto"/>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0"/>
          <w:highlight w:val="none"/>
          <w:lang w:eastAsia="zh-CN"/>
        </w:rPr>
        <w:t>（</w:t>
      </w:r>
      <w:r>
        <w:rPr>
          <w:rFonts w:hint="eastAsia" w:cs="Times New Roman"/>
          <w:color w:val="auto"/>
          <w:kern w:val="0"/>
          <w:sz w:val="24"/>
          <w:szCs w:val="20"/>
          <w:highlight w:val="none"/>
          <w:lang w:val="en-US" w:eastAsia="zh-CN"/>
        </w:rPr>
        <w:t>9</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4"/>
          <w:highlight w:val="none"/>
          <w:lang w:val="en-US" w:eastAsia="zh-CN" w:bidi="ar-SA"/>
        </w:rPr>
        <w:t>《排污许可管理</w:t>
      </w:r>
      <w:r>
        <w:rPr>
          <w:rFonts w:hint="eastAsia" w:ascii="Times New Roman" w:hAnsi="Times New Roman" w:eastAsia="宋体" w:cs="Times New Roman"/>
          <w:color w:val="auto"/>
          <w:kern w:val="0"/>
          <w:sz w:val="24"/>
          <w:szCs w:val="24"/>
          <w:highlight w:val="none"/>
          <w:lang w:val="en-US" w:eastAsia="zh-CN" w:bidi="ar-SA"/>
        </w:rPr>
        <w:t>条例</w:t>
      </w:r>
      <w:r>
        <w:rPr>
          <w:rFonts w:hint="default"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（国令第736号）</w:t>
      </w:r>
      <w:r>
        <w:rPr>
          <w:rFonts w:hint="default"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2021.03.01</w:t>
      </w:r>
      <w:r>
        <w:rPr>
          <w:rFonts w:hint="default" w:ascii="Times New Roman" w:hAnsi="Times New Roman" w:eastAsia="宋体" w:cs="Times New Roman"/>
          <w:color w:val="auto"/>
          <w:kern w:val="0"/>
          <w:sz w:val="24"/>
          <w:szCs w:val="24"/>
          <w:highlight w:val="none"/>
          <w:lang w:val="en-US" w:eastAsia="zh-CN" w:bidi="ar-SA"/>
        </w:rPr>
        <w:t>；</w:t>
      </w:r>
    </w:p>
    <w:p w14:paraId="65EE745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10</w:t>
      </w:r>
      <w:r>
        <w:rPr>
          <w:rFonts w:hint="default" w:ascii="Times New Roman" w:hAnsi="Times New Roman" w:eastAsia="宋体" w:cs="Times New Roman"/>
          <w:bCs w:val="0"/>
          <w:sz w:val="24"/>
          <w:szCs w:val="22"/>
        </w:rPr>
        <w:t>）《环境保护部</w:t>
      </w:r>
      <w:r>
        <w:rPr>
          <w:rFonts w:hint="eastAsia" w:cs="Times New Roman"/>
          <w:bCs w:val="0"/>
          <w:sz w:val="24"/>
          <w:szCs w:val="22"/>
          <w:lang w:val="en-US" w:eastAsia="zh-CN"/>
        </w:rPr>
        <w:t xml:space="preserve"> </w:t>
      </w:r>
      <w:r>
        <w:rPr>
          <w:rFonts w:hint="default" w:ascii="Times New Roman" w:hAnsi="Times New Roman" w:eastAsia="宋体" w:cs="Times New Roman"/>
          <w:bCs w:val="0"/>
          <w:sz w:val="24"/>
          <w:szCs w:val="22"/>
        </w:rPr>
        <w:t>农业部关于进一步加强畜禽养殖污染防治工作的通知》（环水体</w:t>
      </w:r>
      <w:r>
        <w:rPr>
          <w:rFonts w:hint="eastAsia" w:cs="Times New Roman"/>
          <w:bCs w:val="0"/>
          <w:sz w:val="24"/>
          <w:szCs w:val="22"/>
          <w:lang w:eastAsia="zh-CN"/>
        </w:rPr>
        <w:t>〔2016〕144号</w:t>
      </w:r>
      <w:r>
        <w:rPr>
          <w:rFonts w:hint="default" w:ascii="Times New Roman" w:hAnsi="Times New Roman" w:eastAsia="宋体" w:cs="Times New Roman"/>
          <w:bCs w:val="0"/>
          <w:sz w:val="24"/>
          <w:szCs w:val="22"/>
        </w:rPr>
        <w:t>）；</w:t>
      </w:r>
    </w:p>
    <w:p w14:paraId="5BBF9B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11</w:t>
      </w:r>
      <w:r>
        <w:rPr>
          <w:rFonts w:hint="default" w:ascii="Times New Roman" w:hAnsi="Times New Roman" w:eastAsia="宋体" w:cs="Times New Roman"/>
          <w:bCs w:val="0"/>
          <w:sz w:val="24"/>
          <w:szCs w:val="22"/>
        </w:rPr>
        <w:t>）《国务院办公厅关于加快推进畜禽养殖废弃物资源化利用的意见》（国办发</w:t>
      </w:r>
      <w:r>
        <w:rPr>
          <w:rFonts w:hint="eastAsia" w:cs="Times New Roman"/>
          <w:bCs w:val="0"/>
          <w:sz w:val="24"/>
          <w:szCs w:val="22"/>
          <w:lang w:eastAsia="zh-CN"/>
        </w:rPr>
        <w:t>〔2017〕48号</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p>
    <w:p w14:paraId="5CE80C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12</w:t>
      </w:r>
      <w:r>
        <w:rPr>
          <w:rFonts w:hint="default" w:ascii="Times New Roman" w:hAnsi="Times New Roman" w:eastAsia="宋体" w:cs="Times New Roman"/>
          <w:bCs w:val="0"/>
          <w:sz w:val="24"/>
          <w:szCs w:val="22"/>
        </w:rPr>
        <w:t>）</w:t>
      </w:r>
      <w:r>
        <w:rPr>
          <w:rFonts w:hint="default" w:ascii="Times New Roman" w:hAnsi="Times New Roman" w:eastAsia="宋体" w:cs="Times New Roman"/>
          <w:bCs w:val="0"/>
          <w:sz w:val="24"/>
          <w:szCs w:val="22"/>
          <w:lang w:val="en-US" w:eastAsia="zh-CN"/>
        </w:rPr>
        <w:t>《畜禽养殖业污染治理工程技术规范》（HJ 497-2009）</w:t>
      </w:r>
      <w:r>
        <w:rPr>
          <w:rFonts w:hint="default" w:ascii="Times New Roman" w:hAnsi="Times New Roman" w:eastAsia="宋体" w:cs="Times New Roman"/>
          <w:bCs w:val="0"/>
          <w:sz w:val="24"/>
          <w:szCs w:val="22"/>
        </w:rPr>
        <w:t>；</w:t>
      </w:r>
    </w:p>
    <w:p w14:paraId="120FB5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13</w:t>
      </w:r>
      <w:r>
        <w:rPr>
          <w:rFonts w:hint="default" w:ascii="Times New Roman" w:hAnsi="Times New Roman" w:eastAsia="宋体" w:cs="Times New Roman"/>
          <w:bCs w:val="0"/>
          <w:sz w:val="24"/>
          <w:szCs w:val="22"/>
        </w:rPr>
        <w:t>）《畜禽养殖污染防治管理办法》（国家环境保护总局令第9号）；</w:t>
      </w:r>
    </w:p>
    <w:p w14:paraId="7722248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14</w:t>
      </w:r>
      <w:r>
        <w:rPr>
          <w:rFonts w:hint="default" w:ascii="Times New Roman" w:hAnsi="Times New Roman" w:eastAsia="宋体" w:cs="Times New Roman"/>
          <w:bCs w:val="0"/>
          <w:sz w:val="24"/>
          <w:szCs w:val="22"/>
        </w:rPr>
        <w:t>）《工业和信息化部关于进一步加强工业节水工作的意见》（工信部节</w:t>
      </w:r>
      <w:r>
        <w:rPr>
          <w:rFonts w:hint="eastAsia" w:cs="Times New Roman"/>
          <w:bCs w:val="0"/>
          <w:sz w:val="24"/>
          <w:szCs w:val="22"/>
          <w:lang w:eastAsia="zh-CN"/>
        </w:rPr>
        <w:t>〔2010〕218号</w:t>
      </w:r>
      <w:r>
        <w:rPr>
          <w:rFonts w:hint="default" w:ascii="Times New Roman" w:hAnsi="Times New Roman" w:eastAsia="宋体" w:cs="Times New Roman"/>
          <w:bCs w:val="0"/>
          <w:sz w:val="24"/>
          <w:szCs w:val="22"/>
        </w:rPr>
        <w:t>）；</w:t>
      </w:r>
    </w:p>
    <w:p w14:paraId="785E0D9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15</w:t>
      </w:r>
      <w:r>
        <w:rPr>
          <w:rFonts w:hint="default" w:ascii="Times New Roman" w:hAnsi="Times New Roman" w:eastAsia="宋体" w:cs="Times New Roman"/>
          <w:bCs w:val="0"/>
          <w:sz w:val="24"/>
          <w:szCs w:val="22"/>
        </w:rPr>
        <w:t>）《病死动物无害化处理技术规范》（农医发</w:t>
      </w:r>
      <w:r>
        <w:rPr>
          <w:rFonts w:hint="eastAsia" w:cs="Times New Roman"/>
          <w:bCs w:val="0"/>
          <w:sz w:val="24"/>
          <w:szCs w:val="22"/>
          <w:lang w:eastAsia="zh-CN"/>
        </w:rPr>
        <w:t>〔2013〕34号</w:t>
      </w:r>
      <w:r>
        <w:rPr>
          <w:rFonts w:hint="default" w:ascii="Times New Roman" w:hAnsi="Times New Roman" w:eastAsia="宋体" w:cs="Times New Roman"/>
          <w:bCs w:val="0"/>
          <w:sz w:val="24"/>
          <w:szCs w:val="22"/>
        </w:rPr>
        <w:t>）；</w:t>
      </w:r>
    </w:p>
    <w:p w14:paraId="265B75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eastAsia" w:cs="Times New Roman"/>
          <w:bCs w:val="0"/>
          <w:sz w:val="24"/>
          <w:szCs w:val="22"/>
          <w:lang w:val="en-US" w:eastAsia="zh-CN"/>
        </w:rPr>
        <w:t>16</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《排污许可管理办法》</w:t>
      </w:r>
      <w:r>
        <w:rPr>
          <w:rFonts w:hint="default" w:ascii="Times New Roman" w:hAnsi="Times New Roman" w:eastAsia="宋体" w:cs="Times New Roman"/>
          <w:bCs w:val="0"/>
          <w:sz w:val="24"/>
          <w:szCs w:val="22"/>
          <w:lang w:eastAsia="zh-CN"/>
        </w:rPr>
        <w:t>（</w:t>
      </w:r>
      <w:r>
        <w:rPr>
          <w:rFonts w:hint="eastAsia" w:cs="Times New Roman"/>
          <w:bCs w:val="0"/>
          <w:sz w:val="24"/>
          <w:szCs w:val="22"/>
          <w:lang w:val="en-US" w:eastAsia="zh-CN"/>
        </w:rPr>
        <w:t>生态环境部令</w:t>
      </w:r>
      <w:r>
        <w:rPr>
          <w:rFonts w:hint="default" w:ascii="Times New Roman" w:hAnsi="Times New Roman" w:eastAsia="宋体" w:cs="Times New Roman"/>
          <w:bCs w:val="0"/>
          <w:sz w:val="24"/>
          <w:szCs w:val="22"/>
        </w:rPr>
        <w:t>第</w:t>
      </w:r>
      <w:r>
        <w:rPr>
          <w:rFonts w:hint="eastAsia" w:cs="Times New Roman"/>
          <w:bCs w:val="0"/>
          <w:sz w:val="24"/>
          <w:szCs w:val="22"/>
          <w:lang w:val="en-US" w:eastAsia="zh-CN"/>
        </w:rPr>
        <w:t>32</w:t>
      </w:r>
      <w:r>
        <w:rPr>
          <w:rFonts w:hint="default" w:ascii="Times New Roman" w:hAnsi="Times New Roman" w:eastAsia="宋体" w:cs="Times New Roman"/>
          <w:bCs w:val="0"/>
          <w:sz w:val="24"/>
          <w:szCs w:val="22"/>
        </w:rPr>
        <w:t>号</w:t>
      </w:r>
      <w:r>
        <w:rPr>
          <w:rFonts w:hint="default" w:ascii="Times New Roman" w:hAnsi="Times New Roman" w:eastAsia="宋体" w:cs="Times New Roman"/>
          <w:bCs w:val="0"/>
          <w:sz w:val="24"/>
          <w:szCs w:val="22"/>
          <w:lang w:eastAsia="zh-CN"/>
        </w:rPr>
        <w:t>，</w:t>
      </w:r>
      <w:r>
        <w:rPr>
          <w:rFonts w:hint="eastAsia" w:cs="Times New Roman"/>
          <w:bCs w:val="0"/>
          <w:sz w:val="24"/>
          <w:szCs w:val="22"/>
          <w:lang w:val="en-US" w:eastAsia="zh-CN"/>
        </w:rPr>
        <w:t>2024</w:t>
      </w:r>
      <w:r>
        <w:rPr>
          <w:rFonts w:hint="default" w:ascii="Times New Roman" w:hAnsi="Times New Roman" w:eastAsia="宋体" w:cs="Times New Roman"/>
          <w:bCs w:val="0"/>
          <w:sz w:val="24"/>
          <w:szCs w:val="22"/>
        </w:rPr>
        <w:t>年</w:t>
      </w:r>
      <w:r>
        <w:rPr>
          <w:rFonts w:hint="eastAsia" w:cs="Times New Roman"/>
          <w:bCs w:val="0"/>
          <w:sz w:val="24"/>
          <w:szCs w:val="22"/>
          <w:lang w:val="en-US" w:eastAsia="zh-CN"/>
        </w:rPr>
        <w:t>4</w:t>
      </w:r>
      <w:r>
        <w:rPr>
          <w:rFonts w:hint="default" w:ascii="Times New Roman" w:hAnsi="Times New Roman" w:eastAsia="宋体" w:cs="Times New Roman"/>
          <w:bCs w:val="0"/>
          <w:sz w:val="24"/>
          <w:szCs w:val="22"/>
        </w:rPr>
        <w:t>月1日</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p>
    <w:p w14:paraId="068D2E0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eastAsia" w:cs="Times New Roman"/>
          <w:bCs w:val="0"/>
          <w:sz w:val="24"/>
          <w:szCs w:val="22"/>
          <w:lang w:val="en-US" w:eastAsia="zh-CN"/>
        </w:rPr>
        <w:t>17</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《关于以改善环境质量为核心加强环境影响评价管理的通知》</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环环评</w:t>
      </w:r>
      <w:r>
        <w:rPr>
          <w:rFonts w:hint="eastAsia" w:cs="Times New Roman"/>
          <w:bCs w:val="0"/>
          <w:sz w:val="24"/>
          <w:szCs w:val="22"/>
          <w:lang w:eastAsia="zh-CN"/>
        </w:rPr>
        <w:t>〔2016〕150号</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p>
    <w:p w14:paraId="65BB64D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val="en-US" w:eastAsia="zh-CN"/>
        </w:rPr>
        <w:t>（1</w:t>
      </w:r>
      <w:r>
        <w:rPr>
          <w:rFonts w:hint="eastAsia" w:cs="Times New Roman"/>
          <w:bCs w:val="0"/>
          <w:sz w:val="24"/>
          <w:szCs w:val="22"/>
          <w:lang w:val="en-US" w:eastAsia="zh-CN"/>
        </w:rPr>
        <w:t>8</w:t>
      </w:r>
      <w:r>
        <w:rPr>
          <w:rFonts w:hint="default" w:ascii="Times New Roman" w:hAnsi="Times New Roman" w:eastAsia="宋体" w:cs="Times New Roman"/>
          <w:bCs w:val="0"/>
          <w:sz w:val="24"/>
          <w:szCs w:val="22"/>
          <w:lang w:val="en-US" w:eastAsia="zh-CN"/>
        </w:rPr>
        <w:t>）</w:t>
      </w:r>
      <w:r>
        <w:rPr>
          <w:rFonts w:hint="default" w:ascii="Times New Roman" w:hAnsi="Times New Roman" w:eastAsia="宋体" w:cs="Times New Roman"/>
          <w:bCs w:val="0"/>
          <w:sz w:val="24"/>
          <w:szCs w:val="22"/>
        </w:rPr>
        <w:t>《关于开展环境污染强制责任保险试点工作的指导意见》（环发</w:t>
      </w:r>
      <w:r>
        <w:rPr>
          <w:rFonts w:hint="eastAsia" w:cs="Times New Roman"/>
          <w:bCs w:val="0"/>
          <w:sz w:val="24"/>
          <w:szCs w:val="22"/>
          <w:lang w:eastAsia="zh-CN"/>
        </w:rPr>
        <w:t>〔2013〕10号</w:t>
      </w:r>
      <w:r>
        <w:rPr>
          <w:rFonts w:hint="default" w:ascii="Times New Roman" w:hAnsi="Times New Roman" w:eastAsia="宋体" w:cs="Times New Roman"/>
          <w:bCs w:val="0"/>
          <w:sz w:val="24"/>
          <w:szCs w:val="22"/>
        </w:rPr>
        <w:t>）；</w:t>
      </w:r>
    </w:p>
    <w:p w14:paraId="1669F6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1</w:t>
      </w:r>
      <w:r>
        <w:rPr>
          <w:rFonts w:hint="eastAsia" w:cs="Times New Roman"/>
          <w:bCs w:val="0"/>
          <w:sz w:val="24"/>
          <w:szCs w:val="22"/>
          <w:lang w:val="en-US" w:eastAsia="zh-CN"/>
        </w:rPr>
        <w:t>9</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《关于进一步加强工业节水工作的意见》</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工信部节</w:t>
      </w:r>
      <w:r>
        <w:rPr>
          <w:rFonts w:hint="eastAsia" w:cs="Times New Roman"/>
          <w:bCs w:val="0"/>
          <w:sz w:val="24"/>
          <w:szCs w:val="22"/>
          <w:lang w:eastAsia="zh-CN"/>
        </w:rPr>
        <w:t>〔2010〕218号</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p>
    <w:p w14:paraId="2107DDC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20）《建设项目竣工环境保护验收暂行办法》（国环规环评</w:t>
      </w:r>
      <w:r>
        <w:rPr>
          <w:rFonts w:hint="eastAsia" w:cs="Times New Roman"/>
          <w:bCs w:val="0"/>
          <w:sz w:val="24"/>
          <w:szCs w:val="22"/>
          <w:lang w:eastAsia="zh-CN"/>
        </w:rPr>
        <w:t>〔2017〕4号</w:t>
      </w:r>
      <w:r>
        <w:rPr>
          <w:rFonts w:hint="default" w:ascii="Times New Roman" w:hAnsi="Times New Roman" w:eastAsia="宋体" w:cs="Times New Roman"/>
          <w:bCs w:val="0"/>
          <w:sz w:val="24"/>
          <w:szCs w:val="22"/>
        </w:rPr>
        <w:t>）；</w:t>
      </w:r>
    </w:p>
    <w:p w14:paraId="7B7C19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21</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《国土资源部、农业部关于进一步支持设施农业健康发展的通知》（国土资发</w:t>
      </w:r>
      <w:r>
        <w:rPr>
          <w:rFonts w:hint="eastAsia" w:cs="Times New Roman"/>
          <w:bCs w:val="0"/>
          <w:sz w:val="24"/>
          <w:szCs w:val="22"/>
          <w:lang w:eastAsia="zh-CN"/>
        </w:rPr>
        <w:t>〔2014〕127号</w:t>
      </w:r>
      <w:r>
        <w:rPr>
          <w:rFonts w:hint="default" w:ascii="Times New Roman" w:hAnsi="Times New Roman" w:eastAsia="宋体" w:cs="Times New Roman"/>
          <w:bCs w:val="0"/>
          <w:sz w:val="24"/>
          <w:szCs w:val="22"/>
        </w:rPr>
        <w:t>）；</w:t>
      </w:r>
    </w:p>
    <w:p w14:paraId="7973C6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22</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《畜禽养殖业污染防治技术政策》（环发</w:t>
      </w:r>
      <w:r>
        <w:rPr>
          <w:rFonts w:hint="eastAsia" w:cs="Times New Roman"/>
          <w:bCs w:val="0"/>
          <w:sz w:val="24"/>
          <w:szCs w:val="22"/>
          <w:lang w:eastAsia="zh-CN"/>
        </w:rPr>
        <w:t>〔2010〕151号</w:t>
      </w:r>
      <w:r>
        <w:rPr>
          <w:rFonts w:hint="default" w:ascii="Times New Roman" w:hAnsi="Times New Roman" w:eastAsia="宋体" w:cs="Times New Roman"/>
          <w:bCs w:val="0"/>
          <w:sz w:val="24"/>
          <w:szCs w:val="22"/>
        </w:rPr>
        <w:t>）；</w:t>
      </w:r>
    </w:p>
    <w:p w14:paraId="51DF2BC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lang w:val="en-US" w:eastAsia="zh-CN"/>
        </w:rPr>
      </w:pPr>
      <w:r>
        <w:rPr>
          <w:rFonts w:hint="default" w:ascii="Times New Roman" w:hAnsi="Times New Roman" w:eastAsia="宋体" w:cs="Times New Roman"/>
          <w:bCs w:val="0"/>
          <w:sz w:val="24"/>
          <w:szCs w:val="22"/>
          <w:lang w:val="en-US" w:eastAsia="zh-CN"/>
        </w:rPr>
        <w:t>（23）《关于加快推进畜禽养殖废弃物资源化利用的意见》（国办发</w:t>
      </w:r>
      <w:r>
        <w:rPr>
          <w:rFonts w:hint="eastAsia" w:cs="Times New Roman"/>
          <w:bCs w:val="0"/>
          <w:sz w:val="24"/>
          <w:szCs w:val="22"/>
          <w:lang w:val="en-US" w:eastAsia="zh-CN"/>
        </w:rPr>
        <w:t>〔2017〕48号</w:t>
      </w:r>
      <w:r>
        <w:rPr>
          <w:rFonts w:hint="default" w:ascii="Times New Roman" w:hAnsi="Times New Roman" w:eastAsia="宋体" w:cs="Times New Roman"/>
          <w:bCs w:val="0"/>
          <w:sz w:val="24"/>
          <w:szCs w:val="22"/>
          <w:lang w:val="en-US" w:eastAsia="zh-CN"/>
        </w:rPr>
        <w:t>）；</w:t>
      </w:r>
    </w:p>
    <w:p w14:paraId="4D327C1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lang w:val="en-US" w:eastAsia="zh-CN"/>
        </w:rPr>
      </w:pPr>
      <w:r>
        <w:rPr>
          <w:rFonts w:hint="default" w:ascii="Times New Roman" w:hAnsi="Times New Roman" w:eastAsia="宋体" w:cs="Times New Roman"/>
          <w:bCs w:val="0"/>
          <w:sz w:val="24"/>
          <w:szCs w:val="22"/>
          <w:lang w:val="en-US" w:eastAsia="zh-CN"/>
        </w:rPr>
        <w:t>（24）《关于做好畜禽规模养殖项目环境影响评价管理工作的通知》（环办环评</w:t>
      </w:r>
      <w:r>
        <w:rPr>
          <w:rFonts w:hint="eastAsia" w:cs="Times New Roman"/>
          <w:bCs w:val="0"/>
          <w:sz w:val="24"/>
          <w:szCs w:val="22"/>
          <w:lang w:val="en-US" w:eastAsia="zh-CN"/>
        </w:rPr>
        <w:t>〔2018〕31号</w:t>
      </w:r>
      <w:r>
        <w:rPr>
          <w:rFonts w:hint="default" w:ascii="Times New Roman" w:hAnsi="Times New Roman" w:eastAsia="宋体" w:cs="Times New Roman"/>
          <w:bCs w:val="0"/>
          <w:sz w:val="24"/>
          <w:szCs w:val="22"/>
          <w:lang w:val="en-US" w:eastAsia="zh-CN"/>
        </w:rPr>
        <w:t>）；</w:t>
      </w:r>
    </w:p>
    <w:p w14:paraId="440ABFB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lang w:val="en-US" w:eastAsia="zh-CN"/>
        </w:rPr>
      </w:pPr>
      <w:r>
        <w:rPr>
          <w:rFonts w:hint="default" w:ascii="Times New Roman" w:hAnsi="Times New Roman" w:eastAsia="宋体" w:cs="Times New Roman"/>
          <w:bCs w:val="0"/>
          <w:sz w:val="24"/>
          <w:szCs w:val="22"/>
          <w:lang w:val="en-US" w:eastAsia="zh-CN"/>
        </w:rPr>
        <w:t>（25）《国务院办公厅关于加快推进畜禽养殖废弃物资源化利用的意见》（国办发</w:t>
      </w:r>
      <w:r>
        <w:rPr>
          <w:rFonts w:hint="eastAsia" w:cs="Times New Roman"/>
          <w:bCs w:val="0"/>
          <w:sz w:val="24"/>
          <w:szCs w:val="22"/>
          <w:lang w:val="en-US" w:eastAsia="zh-CN"/>
        </w:rPr>
        <w:t>〔2017〕48号</w:t>
      </w:r>
      <w:r>
        <w:rPr>
          <w:rFonts w:hint="default" w:ascii="Times New Roman" w:hAnsi="Times New Roman" w:eastAsia="宋体" w:cs="Times New Roman"/>
          <w:bCs w:val="0"/>
          <w:sz w:val="24"/>
          <w:szCs w:val="22"/>
          <w:lang w:val="en-US" w:eastAsia="zh-CN"/>
        </w:rPr>
        <w:t>）；</w:t>
      </w:r>
    </w:p>
    <w:p w14:paraId="4ED8304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Cs w:val="0"/>
          <w:sz w:val="24"/>
          <w:szCs w:val="22"/>
          <w:lang w:val="en-US" w:eastAsia="zh-CN"/>
        </w:rPr>
      </w:pPr>
      <w:r>
        <w:rPr>
          <w:rFonts w:hint="default" w:ascii="Times New Roman" w:hAnsi="Times New Roman" w:eastAsia="宋体" w:cs="Times New Roman"/>
          <w:bCs w:val="0"/>
          <w:sz w:val="24"/>
          <w:szCs w:val="22"/>
          <w:lang w:val="en-US" w:eastAsia="zh-CN"/>
        </w:rPr>
        <w:t>（</w:t>
      </w:r>
      <w:r>
        <w:rPr>
          <w:rFonts w:hint="eastAsia" w:ascii="Times New Roman" w:hAnsi="Times New Roman" w:cs="Times New Roman"/>
          <w:bCs w:val="0"/>
          <w:sz w:val="24"/>
          <w:szCs w:val="22"/>
          <w:lang w:val="en-US" w:eastAsia="zh-CN"/>
        </w:rPr>
        <w:t>2</w:t>
      </w:r>
      <w:r>
        <w:rPr>
          <w:rFonts w:hint="eastAsia" w:cs="Times New Roman"/>
          <w:bCs w:val="0"/>
          <w:sz w:val="24"/>
          <w:szCs w:val="22"/>
          <w:lang w:val="en-US" w:eastAsia="zh-CN"/>
        </w:rPr>
        <w:t>6</w:t>
      </w:r>
      <w:r>
        <w:rPr>
          <w:rFonts w:hint="default" w:ascii="Times New Roman" w:hAnsi="Times New Roman" w:eastAsia="宋体" w:cs="Times New Roman"/>
          <w:bCs w:val="0"/>
          <w:sz w:val="24"/>
          <w:szCs w:val="22"/>
          <w:lang w:val="en-US" w:eastAsia="zh-CN"/>
        </w:rPr>
        <w:t>）</w:t>
      </w:r>
      <w:r>
        <w:rPr>
          <w:rFonts w:hint="default" w:ascii="Times New Roman" w:hAnsi="Times New Roman" w:eastAsia="宋体" w:cs="Times New Roman"/>
          <w:bCs w:val="0"/>
          <w:sz w:val="24"/>
          <w:szCs w:val="22"/>
        </w:rPr>
        <w:t>《</w:t>
      </w:r>
      <w:r>
        <w:rPr>
          <w:rFonts w:hint="eastAsia" w:ascii="Times New Roman" w:hAnsi="Times New Roman" w:cs="Times New Roman"/>
          <w:bCs w:val="0"/>
          <w:sz w:val="24"/>
          <w:szCs w:val="22"/>
          <w:lang w:val="en-US" w:eastAsia="zh-CN"/>
        </w:rPr>
        <w:t>关于印发</w:t>
      </w:r>
      <w:r>
        <w:rPr>
          <w:rFonts w:hint="eastAsia" w:cs="Times New Roman"/>
          <w:bCs w:val="0"/>
          <w:sz w:val="24"/>
          <w:szCs w:val="22"/>
          <w:lang w:val="en-US" w:eastAsia="zh-CN"/>
        </w:rPr>
        <w:t>〈</w:t>
      </w:r>
      <w:r>
        <w:rPr>
          <w:rFonts w:hint="eastAsia" w:ascii="Times New Roman" w:hAnsi="Times New Roman" w:cs="Times New Roman"/>
          <w:bCs w:val="0"/>
          <w:sz w:val="24"/>
          <w:szCs w:val="22"/>
          <w:lang w:val="en-US" w:eastAsia="zh-CN"/>
        </w:rPr>
        <w:t>畜禽养殖禁养区划定技术指南</w:t>
      </w:r>
      <w:r>
        <w:rPr>
          <w:rFonts w:hint="eastAsia" w:cs="Times New Roman"/>
          <w:bCs w:val="0"/>
          <w:sz w:val="24"/>
          <w:szCs w:val="22"/>
          <w:lang w:val="en-US" w:eastAsia="zh-CN"/>
        </w:rPr>
        <w:t>〉</w:t>
      </w:r>
      <w:r>
        <w:rPr>
          <w:rFonts w:hint="eastAsia" w:ascii="Times New Roman" w:hAnsi="Times New Roman" w:cs="Times New Roman"/>
          <w:bCs w:val="0"/>
          <w:sz w:val="24"/>
          <w:szCs w:val="22"/>
          <w:lang w:val="en-US" w:eastAsia="zh-CN"/>
        </w:rPr>
        <w:t>的通知</w:t>
      </w:r>
      <w:r>
        <w:rPr>
          <w:rFonts w:hint="default" w:ascii="Times New Roman" w:hAnsi="Times New Roman" w:eastAsia="宋体" w:cs="Times New Roman"/>
          <w:bCs w:val="0"/>
          <w:sz w:val="24"/>
          <w:szCs w:val="22"/>
        </w:rPr>
        <w:t>》（环</w:t>
      </w:r>
      <w:r>
        <w:rPr>
          <w:rFonts w:hint="eastAsia" w:ascii="Times New Roman" w:hAnsi="Times New Roman" w:cs="Times New Roman"/>
          <w:bCs w:val="0"/>
          <w:sz w:val="24"/>
          <w:szCs w:val="22"/>
          <w:lang w:val="en-US" w:eastAsia="zh-CN"/>
        </w:rPr>
        <w:t>办</w:t>
      </w:r>
      <w:r>
        <w:rPr>
          <w:rFonts w:hint="default" w:ascii="Times New Roman" w:hAnsi="Times New Roman" w:eastAsia="宋体" w:cs="Times New Roman"/>
          <w:bCs w:val="0"/>
          <w:sz w:val="24"/>
          <w:szCs w:val="22"/>
        </w:rPr>
        <w:t>水体</w:t>
      </w:r>
      <w:r>
        <w:rPr>
          <w:rFonts w:hint="eastAsia" w:cs="Times New Roman"/>
          <w:bCs w:val="0"/>
          <w:sz w:val="24"/>
          <w:szCs w:val="22"/>
          <w:lang w:eastAsia="zh-CN"/>
        </w:rPr>
        <w:t>〔2016〕99号</w:t>
      </w:r>
      <w:r>
        <w:rPr>
          <w:rFonts w:hint="default" w:ascii="Times New Roman" w:hAnsi="Times New Roman" w:eastAsia="宋体" w:cs="Times New Roman"/>
          <w:bCs w:val="0"/>
          <w:sz w:val="24"/>
          <w:szCs w:val="22"/>
        </w:rPr>
        <w:t>）</w:t>
      </w:r>
      <w:r>
        <w:rPr>
          <w:rFonts w:hint="eastAsia" w:ascii="Times New Roman" w:hAnsi="Times New Roman" w:cs="Times New Roman"/>
          <w:bCs w:val="0"/>
          <w:sz w:val="24"/>
          <w:szCs w:val="22"/>
          <w:lang w:val="en-US" w:eastAsia="zh-CN"/>
        </w:rPr>
        <w:t>；</w:t>
      </w:r>
    </w:p>
    <w:p w14:paraId="5455096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cs="Times New Roman"/>
          <w:bCs w:val="0"/>
          <w:sz w:val="24"/>
          <w:szCs w:val="22"/>
          <w:lang w:val="en-US" w:eastAsia="zh-CN"/>
        </w:rPr>
      </w:pPr>
      <w:r>
        <w:rPr>
          <w:rFonts w:hint="eastAsia" w:ascii="Times New Roman" w:hAnsi="Times New Roman" w:cs="Times New Roman"/>
          <w:bCs w:val="0"/>
          <w:sz w:val="24"/>
          <w:szCs w:val="22"/>
          <w:lang w:val="en-US" w:eastAsia="zh-CN"/>
        </w:rPr>
        <w:t>（</w:t>
      </w:r>
      <w:r>
        <w:rPr>
          <w:rFonts w:hint="eastAsia" w:cs="Times New Roman"/>
          <w:bCs w:val="0"/>
          <w:sz w:val="24"/>
          <w:szCs w:val="22"/>
          <w:lang w:val="en-US" w:eastAsia="zh-CN"/>
        </w:rPr>
        <w:t>27</w:t>
      </w:r>
      <w:r>
        <w:rPr>
          <w:rFonts w:hint="eastAsia" w:ascii="Times New Roman" w:hAnsi="Times New Roman" w:cs="Times New Roman"/>
          <w:bCs w:val="0"/>
          <w:sz w:val="24"/>
          <w:szCs w:val="22"/>
          <w:lang w:val="en-US" w:eastAsia="zh-CN"/>
        </w:rPr>
        <w:t>）</w:t>
      </w:r>
      <w:r>
        <w:rPr>
          <w:rFonts w:hint="eastAsia" w:ascii="Times New Roman" w:hAnsi="Times New Roman" w:eastAsia="宋体" w:cs="Times New Roman"/>
          <w:bCs w:val="0"/>
          <w:sz w:val="24"/>
          <w:szCs w:val="22"/>
          <w:lang w:val="en-US" w:eastAsia="zh-CN"/>
        </w:rPr>
        <w:t>《病死畜禽和病害畜禽产品无害化处理管理办法》（中华人民共和国农业农村部令2022年第3号）</w:t>
      </w:r>
      <w:r>
        <w:rPr>
          <w:rFonts w:hint="eastAsia" w:cs="Times New Roman"/>
          <w:bCs w:val="0"/>
          <w:sz w:val="24"/>
          <w:szCs w:val="22"/>
          <w:lang w:val="en-US" w:eastAsia="zh-CN"/>
        </w:rPr>
        <w:t>；</w:t>
      </w:r>
    </w:p>
    <w:p w14:paraId="35BBC2A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cs="Times New Roman"/>
          <w:bCs w:val="0"/>
          <w:sz w:val="24"/>
          <w:szCs w:val="22"/>
          <w:lang w:val="en-US" w:eastAsia="zh-CN"/>
        </w:rPr>
      </w:pPr>
      <w:r>
        <w:rPr>
          <w:rFonts w:hint="eastAsia" w:cs="Times New Roman"/>
          <w:bCs w:val="0"/>
          <w:sz w:val="24"/>
          <w:szCs w:val="22"/>
          <w:lang w:val="en-US" w:eastAsia="zh-CN"/>
        </w:rPr>
        <w:t>（28）《市场准入负面清单（2025年版）》（发改体改规〔2025〕466号），2025.4.16施行。</w:t>
      </w:r>
    </w:p>
    <w:p w14:paraId="0D410536">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88" w:name="_Toc25807"/>
      <w:r>
        <w:rPr>
          <w:rFonts w:hint="default" w:ascii="Times New Roman" w:hAnsi="Times New Roman" w:eastAsia="宋体" w:cs="Times New Roman"/>
          <w:b/>
          <w:bCs/>
          <w:snapToGrid w:val="0"/>
          <w:kern w:val="2"/>
          <w:sz w:val="28"/>
          <w:szCs w:val="28"/>
          <w:lang w:val="en-US" w:eastAsia="zh-CN" w:bidi="ar-SA"/>
        </w:rPr>
        <w:t>2.1.</w:t>
      </w:r>
      <w:bookmarkEnd w:id="86"/>
      <w:r>
        <w:rPr>
          <w:rFonts w:hint="default" w:ascii="Times New Roman" w:hAnsi="Times New Roman" w:eastAsia="宋体" w:cs="Times New Roman"/>
          <w:b/>
          <w:bCs/>
          <w:snapToGrid w:val="0"/>
          <w:kern w:val="2"/>
          <w:sz w:val="28"/>
          <w:szCs w:val="28"/>
          <w:lang w:val="en-US" w:eastAsia="zh-CN" w:bidi="ar-SA"/>
        </w:rPr>
        <w:t>3地</w:t>
      </w:r>
      <w:r>
        <w:rPr>
          <w:rFonts w:hint="eastAsia" w:cs="Times New Roman"/>
          <w:b/>
          <w:bCs/>
          <w:snapToGrid w:val="0"/>
          <w:kern w:val="2"/>
          <w:sz w:val="28"/>
          <w:szCs w:val="28"/>
          <w:lang w:val="en-US" w:eastAsia="zh-CN" w:bidi="ar-SA"/>
        </w:rPr>
        <w:t>方性</w:t>
      </w:r>
      <w:r>
        <w:rPr>
          <w:rFonts w:hint="default" w:ascii="Times New Roman" w:hAnsi="Times New Roman" w:eastAsia="宋体" w:cs="Times New Roman"/>
          <w:b/>
          <w:bCs/>
          <w:snapToGrid w:val="0"/>
          <w:kern w:val="2"/>
          <w:sz w:val="28"/>
          <w:szCs w:val="28"/>
          <w:lang w:val="en-US" w:eastAsia="zh-CN" w:bidi="ar-SA"/>
        </w:rPr>
        <w:t>法规和规章</w:t>
      </w:r>
      <w:bookmarkEnd w:id="87"/>
      <w:bookmarkEnd w:id="88"/>
    </w:p>
    <w:p w14:paraId="48FC8BE7">
      <w:pPr>
        <w:widowControl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bidi="ar-SA"/>
        </w:rPr>
      </w:pPr>
      <w:bookmarkStart w:id="89" w:name="_Toc162921849"/>
      <w:bookmarkStart w:id="90" w:name="_Toc164224905"/>
      <w:bookmarkStart w:id="91" w:name="_Toc164225098"/>
      <w:bookmarkStart w:id="92" w:name="_Toc164225290"/>
      <w:bookmarkStart w:id="93" w:name="_Toc222825830"/>
      <w:bookmarkStart w:id="94" w:name="_Toc212261168"/>
      <w:bookmarkStart w:id="95" w:name="_Toc211967460"/>
      <w:bookmarkStart w:id="96" w:name="_Toc17419"/>
      <w:bookmarkStart w:id="97" w:name="_Toc213206444"/>
      <w:r>
        <w:rPr>
          <w:rFonts w:hint="default" w:ascii="Times New Roman" w:hAnsi="Times New Roman" w:eastAsia="宋体" w:cs="Times New Roman"/>
          <w:bCs w:val="0"/>
          <w:sz w:val="24"/>
          <w:szCs w:val="22"/>
        </w:rPr>
        <w:t>（</w:t>
      </w:r>
      <w:r>
        <w:rPr>
          <w:rFonts w:hint="eastAsia" w:ascii="Times New Roman" w:hAnsi="Times New Roman" w:eastAsia="宋体" w:cs="Times New Roman"/>
          <w:bCs w:val="0"/>
          <w:sz w:val="24"/>
          <w:szCs w:val="22"/>
          <w:lang w:val="en-US" w:eastAsia="zh-CN"/>
        </w:rPr>
        <w:t>1</w:t>
      </w:r>
      <w:r>
        <w:rPr>
          <w:rFonts w:hint="default" w:ascii="Times New Roman" w:hAnsi="Times New Roman" w:eastAsia="宋体" w:cs="Times New Roman"/>
          <w:bCs w:val="0"/>
          <w:sz w:val="24"/>
          <w:szCs w:val="22"/>
        </w:rPr>
        <w:t>）</w:t>
      </w:r>
      <w:r>
        <w:rPr>
          <w:rFonts w:hint="default" w:ascii="Times New Roman" w:hAnsi="Times New Roman" w:eastAsia="宋体" w:cs="Times New Roman"/>
          <w:color w:val="auto"/>
          <w:sz w:val="24"/>
          <w:szCs w:val="24"/>
          <w:highlight w:val="none"/>
          <w:lang w:val="en-US" w:eastAsia="zh-CN" w:bidi="ar-SA"/>
        </w:rPr>
        <w:t>《新疆维吾尔自治区环境保护条例》，</w:t>
      </w:r>
      <w:r>
        <w:rPr>
          <w:rFonts w:ascii="Helvetica" w:hAnsi="Helvetica" w:eastAsia="Helvetica" w:cs="Helvetica"/>
          <w:i w:val="0"/>
          <w:iCs w:val="0"/>
          <w:caps w:val="0"/>
          <w:color w:val="auto"/>
          <w:spacing w:val="0"/>
          <w:sz w:val="24"/>
          <w:szCs w:val="24"/>
          <w:shd w:val="clear" w:fill="FFFFFF"/>
        </w:rPr>
        <w:t>新疆维吾尔自治区第十三届人民代表大会常务委员会第六次会议</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2018.09.21；</w:t>
      </w:r>
    </w:p>
    <w:p w14:paraId="38FFD654">
      <w:pPr>
        <w:spacing w:line="360" w:lineRule="auto"/>
        <w:ind w:firstLine="480" w:firstLineChars="200"/>
        <w:rPr>
          <w:rFonts w:hint="eastAsia" w:ascii="Times New Roman" w:hAnsi="Times New Roman" w:eastAsia="宋体" w:cs="Times New Roman"/>
          <w:color w:val="auto"/>
          <w:kern w:val="0"/>
          <w:sz w:val="24"/>
          <w:szCs w:val="24"/>
          <w:highlight w:val="none"/>
          <w:lang w:val="de-DE" w:eastAsia="zh-CN"/>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2</w:t>
      </w:r>
      <w:r>
        <w:rPr>
          <w:rFonts w:hint="default" w:ascii="Times New Roman" w:hAnsi="Times New Roman" w:eastAsia="宋体" w:cs="Times New Roman"/>
          <w:bCs w:val="0"/>
          <w:sz w:val="24"/>
          <w:szCs w:val="22"/>
        </w:rPr>
        <w:t>）</w:t>
      </w:r>
      <w:r>
        <w:rPr>
          <w:rFonts w:hint="eastAsia" w:ascii="Times New Roman" w:hAnsi="Times New Roman" w:eastAsia="宋体" w:cs="Times New Roman"/>
          <w:color w:val="auto"/>
          <w:sz w:val="24"/>
          <w:highlight w:val="none"/>
          <w:lang w:val="en-US" w:eastAsia="zh-CN"/>
        </w:rPr>
        <w:t>《新疆维吾尔自治区大气污染防治条例》，2019.1.1</w:t>
      </w:r>
      <w:r>
        <w:rPr>
          <w:rFonts w:hint="eastAsia" w:ascii="Times New Roman" w:hAnsi="Times New Roman" w:eastAsia="宋体" w:cs="Times New Roman"/>
          <w:color w:val="auto"/>
          <w:kern w:val="0"/>
          <w:sz w:val="24"/>
          <w:szCs w:val="24"/>
          <w:highlight w:val="none"/>
          <w:lang w:val="de-DE" w:eastAsia="zh-CN"/>
        </w:rPr>
        <w:t>；</w:t>
      </w:r>
    </w:p>
    <w:p w14:paraId="47AB8D96">
      <w:pPr>
        <w:widowControl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de-DE" w:eastAsia="zh-CN"/>
        </w:rPr>
        <w:t>（</w:t>
      </w:r>
      <w:r>
        <w:rPr>
          <w:rFonts w:hint="eastAsia" w:cs="Times New Roman"/>
          <w:color w:val="auto"/>
          <w:kern w:val="0"/>
          <w:sz w:val="24"/>
          <w:szCs w:val="24"/>
          <w:highlight w:val="none"/>
          <w:lang w:val="en-US" w:eastAsia="zh-CN"/>
        </w:rPr>
        <w:t>3</w:t>
      </w:r>
      <w:r>
        <w:rPr>
          <w:rFonts w:hint="eastAsia" w:ascii="Times New Roman" w:hAnsi="Times New Roman" w:eastAsia="宋体" w:cs="Times New Roman"/>
          <w:color w:val="auto"/>
          <w:kern w:val="0"/>
          <w:sz w:val="24"/>
          <w:szCs w:val="24"/>
          <w:highlight w:val="none"/>
          <w:lang w:val="de-DE" w:eastAsia="zh-CN"/>
        </w:rPr>
        <w:t>）</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eastAsia="zh-CN"/>
        </w:rPr>
        <w:t>新疆维吾尔自治区人民政府办公厅 新疆生产建设兵团办公厅关于印发</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eastAsia="zh-CN"/>
        </w:rPr>
        <w:t>新疆维吾尔自治区2025年空气质量持续改善行动实施方案</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eastAsia="zh-CN"/>
        </w:rPr>
        <w:t>的通知</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eastAsia="zh-CN"/>
        </w:rPr>
        <w:t>新政办发〔2024〕58号</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bidi="ar-SA"/>
        </w:rPr>
        <w:t>，20</w:t>
      </w:r>
      <w:r>
        <w:rPr>
          <w:rFonts w:hint="eastAsia" w:ascii="Times New Roman" w:hAnsi="Times New Roman" w:eastAsia="宋体" w:cs="Times New Roman"/>
          <w:color w:val="auto"/>
          <w:sz w:val="24"/>
          <w:szCs w:val="24"/>
          <w:highlight w:val="none"/>
          <w:lang w:val="en-US" w:eastAsia="zh-CN" w:bidi="ar-SA"/>
        </w:rPr>
        <w:t>2</w:t>
      </w:r>
      <w:r>
        <w:rPr>
          <w:rFonts w:hint="default" w:ascii="Times New Roman" w:hAnsi="Times New Roman" w:eastAsia="宋体" w:cs="Times New Roman"/>
          <w:color w:val="auto"/>
          <w:sz w:val="24"/>
          <w:szCs w:val="24"/>
          <w:highlight w:val="none"/>
          <w:lang w:val="en-US" w:eastAsia="zh-CN" w:bidi="ar-SA"/>
        </w:rPr>
        <w:t>4.</w:t>
      </w:r>
      <w:r>
        <w:rPr>
          <w:rFonts w:hint="eastAsia" w:ascii="Times New Roman" w:hAnsi="Times New Roman" w:eastAsia="宋体" w:cs="Times New Roman"/>
          <w:color w:val="auto"/>
          <w:sz w:val="24"/>
          <w:szCs w:val="24"/>
          <w:highlight w:val="none"/>
          <w:lang w:val="en-US" w:eastAsia="zh-CN" w:bidi="ar-SA"/>
        </w:rPr>
        <w:t>12</w:t>
      </w:r>
      <w:r>
        <w:rPr>
          <w:rFonts w:hint="default" w:ascii="Times New Roman" w:hAnsi="Times New Roman" w:eastAsia="宋体" w:cs="Times New Roman"/>
          <w:color w:val="auto"/>
          <w:sz w:val="24"/>
          <w:szCs w:val="24"/>
          <w:highlight w:val="none"/>
          <w:lang w:val="en-US" w:eastAsia="zh-CN" w:bidi="ar-SA"/>
        </w:rPr>
        <w:t>.1</w:t>
      </w:r>
      <w:r>
        <w:rPr>
          <w:rFonts w:hint="eastAsia" w:ascii="Times New Roman" w:hAnsi="Times New Roman" w:eastAsia="宋体" w:cs="Times New Roman"/>
          <w:color w:val="auto"/>
          <w:sz w:val="24"/>
          <w:szCs w:val="24"/>
          <w:highlight w:val="none"/>
          <w:lang w:val="en-US" w:eastAsia="zh-CN" w:bidi="ar-SA"/>
        </w:rPr>
        <w:t>0</w:t>
      </w:r>
      <w:r>
        <w:rPr>
          <w:rFonts w:hint="default" w:ascii="Times New Roman" w:hAnsi="Times New Roman" w:eastAsia="宋体" w:cs="Times New Roman"/>
          <w:color w:val="auto"/>
          <w:sz w:val="24"/>
          <w:szCs w:val="24"/>
          <w:highlight w:val="none"/>
          <w:lang w:val="en-US" w:eastAsia="zh-CN" w:bidi="ar-SA"/>
        </w:rPr>
        <w:t>；</w:t>
      </w:r>
    </w:p>
    <w:p w14:paraId="4EE6178A">
      <w:pPr>
        <w:spacing w:line="360" w:lineRule="auto"/>
        <w:ind w:firstLine="480" w:firstLineChars="200"/>
        <w:rPr>
          <w:rFonts w:hint="eastAsia" w:ascii="Times New Roman" w:hAnsi="Times New Roman" w:cs="Times New Roman"/>
          <w:color w:val="auto"/>
          <w:kern w:val="0"/>
          <w:sz w:val="24"/>
          <w:szCs w:val="24"/>
          <w:lang w:val="en-US" w:eastAsia="zh-CN"/>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lang w:eastAsia="zh-CN"/>
        </w:rPr>
        <w:t>）</w:t>
      </w:r>
      <w:r>
        <w:rPr>
          <w:rFonts w:hint="eastAsia" w:ascii="Times New Roman" w:hAnsi="Times New Roman" w:eastAsia="宋体" w:cs="Times New Roman"/>
          <w:kern w:val="2"/>
          <w:sz w:val="24"/>
          <w:szCs w:val="24"/>
          <w:lang w:val="en-US" w:eastAsia="zh-CN" w:bidi="ar-SA"/>
        </w:rPr>
        <w:t>《兵团办公厅印发</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关于促进兵团畜牧业高质量发展的意见</w:t>
      </w:r>
      <w:r>
        <w:rPr>
          <w:rFonts w:hint="eastAsia" w:cs="Times New Roman"/>
          <w:kern w:val="2"/>
          <w:sz w:val="24"/>
          <w:szCs w:val="24"/>
          <w:lang w:val="en-US" w:eastAsia="zh-CN" w:bidi="ar-SA"/>
        </w:rPr>
        <w:t>〉的通知》</w:t>
      </w:r>
      <w:r>
        <w:rPr>
          <w:rFonts w:hint="eastAsia" w:ascii="Times New Roman" w:hAnsi="Times New Roman" w:eastAsia="宋体" w:cs="Times New Roman"/>
          <w:kern w:val="2"/>
          <w:sz w:val="24"/>
          <w:szCs w:val="24"/>
          <w:lang w:val="en-US" w:eastAsia="zh-CN" w:bidi="ar-SA"/>
        </w:rPr>
        <w:t>（新兵办发</w:t>
      </w:r>
      <w:r>
        <w:rPr>
          <w:rFonts w:hint="default"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kern w:val="0"/>
          <w:sz w:val="24"/>
          <w:szCs w:val="24"/>
          <w:lang w:val="en-US" w:eastAsia="zh-CN"/>
        </w:rPr>
        <w:t>202</w:t>
      </w:r>
      <w:r>
        <w:rPr>
          <w:rFonts w:hint="eastAsia" w:eastAsia="宋体" w:cs="Times New Roman"/>
          <w:color w:val="auto"/>
          <w:kern w:val="0"/>
          <w:sz w:val="24"/>
          <w:szCs w:val="24"/>
          <w:lang w:val="en-US" w:eastAsia="zh-CN"/>
        </w:rPr>
        <w:t>1</w:t>
      </w:r>
      <w:r>
        <w:rPr>
          <w:rFonts w:hint="default" w:ascii="Times New Roman" w:hAnsi="Times New Roman" w:eastAsia="宋体" w:cs="Times New Roman"/>
          <w:color w:val="auto"/>
          <w:sz w:val="24"/>
          <w:highlight w:val="none"/>
          <w:lang w:eastAsia="zh-CN"/>
        </w:rPr>
        <w:t>〕</w:t>
      </w:r>
      <w:r>
        <w:rPr>
          <w:rFonts w:hint="eastAsia" w:ascii="Times New Roman" w:hAnsi="Times New Roman" w:eastAsia="宋体" w:cs="Times New Roman"/>
          <w:kern w:val="2"/>
          <w:sz w:val="24"/>
          <w:szCs w:val="24"/>
          <w:lang w:val="en-US" w:eastAsia="zh-CN" w:bidi="ar-SA"/>
        </w:rPr>
        <w:t>25号）</w:t>
      </w:r>
      <w:r>
        <w:rPr>
          <w:rFonts w:hint="eastAsia" w:ascii="Times New Roman" w:hAnsi="Times New Roman" w:cs="Times New Roman"/>
          <w:color w:val="auto"/>
          <w:kern w:val="0"/>
          <w:sz w:val="24"/>
          <w:szCs w:val="24"/>
          <w:lang w:val="en-US" w:eastAsia="zh-CN"/>
        </w:rPr>
        <w:t>；</w:t>
      </w:r>
    </w:p>
    <w:p w14:paraId="270F8965">
      <w:pPr>
        <w:spacing w:line="360" w:lineRule="auto"/>
        <w:ind w:firstLine="480" w:firstLineChars="200"/>
        <w:rPr>
          <w:rFonts w:hint="eastAsia" w:cs="Times New Roman"/>
          <w:color w:val="auto"/>
          <w:kern w:val="0"/>
          <w:sz w:val="24"/>
          <w:szCs w:val="24"/>
          <w:highlight w:val="none"/>
          <w:lang w:val="de-DE" w:eastAsia="zh-CN"/>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5</w:t>
      </w:r>
      <w:r>
        <w:rPr>
          <w:rFonts w:hint="default" w:ascii="Times New Roman" w:hAnsi="Times New Roman" w:eastAsia="宋体" w:cs="Times New Roman"/>
          <w:bCs w:val="0"/>
          <w:sz w:val="24"/>
          <w:szCs w:val="22"/>
        </w:rPr>
        <w:t>）</w:t>
      </w:r>
      <w:r>
        <w:rPr>
          <w:rFonts w:hint="eastAsia" w:ascii="Times New Roman" w:hAnsi="Times New Roman" w:cs="Times New Roman"/>
          <w:color w:val="auto"/>
          <w:kern w:val="0"/>
          <w:sz w:val="24"/>
          <w:szCs w:val="24"/>
          <w:highlight w:val="none"/>
          <w:lang w:val="de-DE" w:eastAsia="zh-CN"/>
        </w:rPr>
        <w:t>《关于印发</w:t>
      </w:r>
      <w:r>
        <w:rPr>
          <w:rFonts w:hint="eastAsia" w:cs="Times New Roman"/>
          <w:color w:val="auto"/>
          <w:kern w:val="0"/>
          <w:sz w:val="24"/>
          <w:szCs w:val="24"/>
          <w:highlight w:val="none"/>
          <w:lang w:val="de-DE" w:eastAsia="zh-CN"/>
        </w:rPr>
        <w:t>〈</w:t>
      </w:r>
      <w:r>
        <w:rPr>
          <w:rFonts w:hint="eastAsia" w:ascii="Times New Roman" w:hAnsi="Times New Roman" w:cs="Times New Roman"/>
          <w:color w:val="auto"/>
          <w:kern w:val="0"/>
          <w:sz w:val="24"/>
          <w:szCs w:val="24"/>
          <w:highlight w:val="none"/>
          <w:lang w:val="de-DE" w:eastAsia="zh-CN"/>
        </w:rPr>
        <w:t>新疆生产建设兵团土地管理规定（试行）</w:t>
      </w:r>
      <w:r>
        <w:rPr>
          <w:rFonts w:hint="eastAsia" w:cs="Times New Roman"/>
          <w:color w:val="auto"/>
          <w:kern w:val="0"/>
          <w:sz w:val="24"/>
          <w:szCs w:val="24"/>
          <w:highlight w:val="none"/>
          <w:lang w:val="de-DE" w:eastAsia="zh-CN"/>
        </w:rPr>
        <w:t>〉的通知》</w:t>
      </w:r>
      <w:r>
        <w:rPr>
          <w:rFonts w:hint="eastAsia" w:ascii="Times New Roman" w:hAnsi="Times New Roman" w:cs="Times New Roman"/>
          <w:color w:val="auto"/>
          <w:kern w:val="0"/>
          <w:sz w:val="24"/>
          <w:szCs w:val="24"/>
          <w:highlight w:val="none"/>
          <w:lang w:val="de-DE" w:eastAsia="zh-CN"/>
        </w:rPr>
        <w:t>（新兵发</w:t>
      </w:r>
      <w:r>
        <w:rPr>
          <w:rFonts w:hint="default" w:ascii="Times New Roman" w:hAnsi="Times New Roman" w:eastAsia="宋体" w:cs="Times New Roman"/>
          <w:color w:val="auto"/>
          <w:sz w:val="24"/>
          <w:highlight w:val="none"/>
          <w:lang w:eastAsia="zh-CN"/>
        </w:rPr>
        <w:t>〔202</w:t>
      </w:r>
      <w:r>
        <w:rPr>
          <w:rFonts w:hint="eastAsia"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lang w:eastAsia="zh-CN"/>
        </w:rPr>
        <w:t>〕</w:t>
      </w:r>
      <w:r>
        <w:rPr>
          <w:rFonts w:hint="eastAsia" w:ascii="Times New Roman" w:hAnsi="Times New Roman" w:cs="Times New Roman"/>
          <w:color w:val="auto"/>
          <w:kern w:val="0"/>
          <w:sz w:val="24"/>
          <w:szCs w:val="24"/>
          <w:highlight w:val="none"/>
          <w:lang w:val="de-DE" w:eastAsia="zh-CN"/>
        </w:rPr>
        <w:t>12号）</w:t>
      </w:r>
      <w:r>
        <w:rPr>
          <w:rFonts w:hint="eastAsia" w:cs="Times New Roman"/>
          <w:color w:val="auto"/>
          <w:kern w:val="0"/>
          <w:sz w:val="24"/>
          <w:szCs w:val="24"/>
          <w:highlight w:val="none"/>
          <w:lang w:val="de-DE" w:eastAsia="zh-CN"/>
        </w:rPr>
        <w:t>；</w:t>
      </w:r>
    </w:p>
    <w:p w14:paraId="03E4E726">
      <w:pPr>
        <w:spacing w:line="360" w:lineRule="auto"/>
        <w:ind w:firstLine="480" w:firstLineChars="200"/>
        <w:rPr>
          <w:rFonts w:hint="eastAsia" w:ascii="Times New Roman" w:hAnsi="Times New Roman" w:cs="Times New Roman"/>
          <w:color w:val="auto"/>
          <w:kern w:val="0"/>
          <w:sz w:val="24"/>
          <w:szCs w:val="24"/>
          <w:highlight w:val="none"/>
          <w:lang w:val="de-DE" w:eastAsia="zh-CN"/>
        </w:rPr>
      </w:pPr>
      <w:r>
        <w:rPr>
          <w:rFonts w:hint="eastAsia" w:cs="Times New Roman"/>
          <w:color w:val="auto"/>
          <w:kern w:val="0"/>
          <w:sz w:val="24"/>
          <w:szCs w:val="24"/>
          <w:highlight w:val="none"/>
          <w:lang w:val="de-DE" w:eastAsia="zh-CN"/>
        </w:rPr>
        <w:t>（</w:t>
      </w:r>
      <w:r>
        <w:rPr>
          <w:rFonts w:hint="eastAsia" w:cs="Times New Roman"/>
          <w:color w:val="auto"/>
          <w:kern w:val="0"/>
          <w:sz w:val="24"/>
          <w:szCs w:val="24"/>
          <w:highlight w:val="none"/>
          <w:lang w:val="en-US" w:eastAsia="zh-CN"/>
        </w:rPr>
        <w:t>6</w:t>
      </w:r>
      <w:r>
        <w:rPr>
          <w:rFonts w:hint="eastAsia" w:cs="Times New Roman"/>
          <w:color w:val="auto"/>
          <w:kern w:val="0"/>
          <w:sz w:val="24"/>
          <w:szCs w:val="24"/>
          <w:highlight w:val="none"/>
          <w:lang w:val="de-DE" w:eastAsia="zh-CN"/>
        </w:rPr>
        <w:t>）</w:t>
      </w:r>
      <w:r>
        <w:rPr>
          <w:rFonts w:hint="eastAsia" w:ascii="Times New Roman" w:hAnsi="Times New Roman" w:cs="Times New Roman"/>
          <w:color w:val="auto"/>
          <w:kern w:val="0"/>
          <w:sz w:val="24"/>
          <w:szCs w:val="24"/>
          <w:highlight w:val="none"/>
          <w:lang w:val="de-DE" w:eastAsia="zh-CN"/>
        </w:rPr>
        <w:t>《关于印发新疆生产建设兵团水污染防治工作方案的通知》（ 新兵发</w:t>
      </w:r>
      <w:r>
        <w:rPr>
          <w:rFonts w:hint="default" w:ascii="Times New Roman" w:hAnsi="Times New Roman" w:eastAsia="宋体" w:cs="Times New Roman"/>
          <w:color w:val="auto"/>
          <w:sz w:val="24"/>
          <w:highlight w:val="none"/>
          <w:lang w:eastAsia="zh-CN"/>
        </w:rPr>
        <w:t>〔20</w:t>
      </w:r>
      <w:r>
        <w:rPr>
          <w:rFonts w:hint="eastAsia" w:eastAsia="宋体" w:cs="Times New Roman"/>
          <w:color w:val="auto"/>
          <w:sz w:val="24"/>
          <w:highlight w:val="none"/>
          <w:lang w:val="en-US" w:eastAsia="zh-CN"/>
        </w:rPr>
        <w:t>16</w:t>
      </w:r>
      <w:r>
        <w:rPr>
          <w:rFonts w:hint="default" w:ascii="Times New Roman" w:hAnsi="Times New Roman" w:eastAsia="宋体" w:cs="Times New Roman"/>
          <w:color w:val="auto"/>
          <w:sz w:val="24"/>
          <w:highlight w:val="none"/>
          <w:lang w:eastAsia="zh-CN"/>
        </w:rPr>
        <w:t>〕</w:t>
      </w:r>
      <w:r>
        <w:rPr>
          <w:rFonts w:hint="eastAsia" w:ascii="Times New Roman" w:hAnsi="Times New Roman" w:cs="Times New Roman"/>
          <w:color w:val="auto"/>
          <w:kern w:val="0"/>
          <w:sz w:val="24"/>
          <w:szCs w:val="24"/>
          <w:highlight w:val="none"/>
          <w:lang w:val="de-DE" w:eastAsia="zh-CN"/>
        </w:rPr>
        <w:t>39号）</w:t>
      </w:r>
      <w:r>
        <w:rPr>
          <w:rFonts w:hint="eastAsia" w:cs="Times New Roman"/>
          <w:color w:val="auto"/>
          <w:kern w:val="0"/>
          <w:sz w:val="24"/>
          <w:szCs w:val="24"/>
          <w:highlight w:val="none"/>
          <w:lang w:val="de-DE" w:eastAsia="zh-CN"/>
        </w:rPr>
        <w:t>；</w:t>
      </w:r>
    </w:p>
    <w:p w14:paraId="19802C6D">
      <w:pPr>
        <w:widowControl w:val="0"/>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7</w:t>
      </w:r>
      <w:r>
        <w:rPr>
          <w:rFonts w:hint="default"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w:t>
      </w:r>
      <w:r>
        <w:rPr>
          <w:rFonts w:hint="eastAsia" w:ascii="Times New Roman" w:hAnsi="Times New Roman" w:eastAsia="宋体" w:cs="宋体"/>
          <w:color w:val="auto"/>
          <w:sz w:val="24"/>
          <w:szCs w:val="22"/>
          <w:lang w:val="en-US" w:eastAsia="zh-CN"/>
        </w:rPr>
        <w:t>新疆生产建设兵团生态环境分区管控成果动态更新情况说明</w:t>
      </w:r>
      <w:r>
        <w:rPr>
          <w:rFonts w:hint="eastAsia" w:ascii="Times New Roman" w:hAnsi="Times New Roman" w:eastAsia="宋体" w:cs="Times New Roman"/>
          <w:color w:val="auto"/>
          <w:sz w:val="24"/>
          <w:highlight w:val="none"/>
          <w:lang w:val="en-US" w:eastAsia="zh-CN"/>
        </w:rPr>
        <w:t>》；</w:t>
      </w:r>
    </w:p>
    <w:p w14:paraId="78C2FBA1">
      <w:pPr>
        <w:widowControl w:val="0"/>
        <w:spacing w:line="360" w:lineRule="auto"/>
        <w:ind w:firstLine="480" w:firstLineChars="200"/>
        <w:jc w:val="both"/>
        <w:rPr>
          <w:rFonts w:hint="default"/>
          <w:lang w:val="en-US" w:eastAsia="zh-CN"/>
        </w:rPr>
      </w:pPr>
      <w:r>
        <w:rPr>
          <w:rFonts w:hint="eastAsia" w:ascii="Times New Roman" w:hAnsi="Times New Roman" w:eastAsia="宋体" w:cs="Times New Roman"/>
          <w:color w:val="auto"/>
          <w:sz w:val="24"/>
          <w:highlight w:val="none"/>
          <w:lang w:val="en-US" w:eastAsia="zh-CN"/>
        </w:rPr>
        <w:t>（8）</w:t>
      </w:r>
      <w:r>
        <w:rPr>
          <w:rFonts w:hint="default" w:ascii="Times New Roman" w:hAnsi="Times New Roman" w:eastAsia="宋体" w:cs="Times New Roman"/>
          <w:color w:val="auto"/>
          <w:sz w:val="24"/>
          <w:highlight w:val="none"/>
          <w:lang w:val="en-US" w:eastAsia="zh-CN"/>
        </w:rPr>
        <w:t>《新疆维吾尔自治区七大片区</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三线一单</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生态环境分区管控要求（2021年版）》</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highlight w:val="none"/>
          <w:lang w:val="en-US" w:eastAsia="zh-CN"/>
        </w:rPr>
        <w:t>新环环评发</w:t>
      </w:r>
      <w:r>
        <w:rPr>
          <w:rFonts w:hint="eastAsia" w:ascii="Times New Roman" w:hAnsi="Times New Roman" w:eastAsia="宋体" w:cs="Times New Roman"/>
          <w:color w:val="auto"/>
          <w:sz w:val="24"/>
          <w:highlight w:val="none"/>
          <w:lang w:val="en-US" w:eastAsia="zh-CN"/>
        </w:rPr>
        <w:t>〔2021〕162号）</w:t>
      </w:r>
      <w:r>
        <w:rPr>
          <w:rFonts w:hint="default" w:ascii="Times New Roman" w:hAnsi="Times New Roman" w:eastAsia="宋体" w:cs="Times New Roman"/>
          <w:color w:val="auto"/>
          <w:sz w:val="24"/>
          <w:highlight w:val="none"/>
          <w:lang w:val="en-US" w:eastAsia="zh-CN"/>
        </w:rPr>
        <w:t>，2021年7月26日；</w:t>
      </w:r>
    </w:p>
    <w:p w14:paraId="768B4F09">
      <w:pPr>
        <w:widowControl w:val="0"/>
        <w:spacing w:line="360" w:lineRule="auto"/>
        <w:ind w:firstLine="480" w:firstLineChars="200"/>
        <w:jc w:val="both"/>
        <w:rPr>
          <w:rFonts w:hint="eastAsia"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9</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bidi="ar-SA"/>
        </w:rPr>
        <w:t>《关于印发新疆维吾尔自治区工业和生活用水定额的通知》</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color w:val="auto"/>
          <w:sz w:val="24"/>
          <w:szCs w:val="24"/>
          <w:highlight w:val="none"/>
          <w:lang w:val="en-US" w:eastAsia="zh-CN" w:bidi="ar-SA"/>
        </w:rPr>
        <w:t>新政办发</w:t>
      </w:r>
      <w:r>
        <w:rPr>
          <w:rFonts w:hint="eastAsia" w:ascii="Times New Roman" w:hAnsi="Times New Roman" w:eastAsia="宋体" w:cs="Times New Roman"/>
          <w:color w:val="auto"/>
          <w:sz w:val="24"/>
          <w:szCs w:val="24"/>
          <w:highlight w:val="none"/>
          <w:lang w:val="en-US" w:eastAsia="zh-CN" w:bidi="ar-SA"/>
        </w:rPr>
        <w:t>〔2007〕</w:t>
      </w:r>
      <w:r>
        <w:rPr>
          <w:rFonts w:hint="default" w:ascii="Times New Roman" w:hAnsi="Times New Roman" w:eastAsia="宋体" w:cs="Times New Roman"/>
          <w:color w:val="auto"/>
          <w:sz w:val="24"/>
          <w:szCs w:val="24"/>
          <w:highlight w:val="none"/>
          <w:lang w:val="en-US" w:eastAsia="zh-CN" w:bidi="ar-SA"/>
        </w:rPr>
        <w:t>105</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，2007.06.06</w:t>
      </w:r>
      <w:r>
        <w:rPr>
          <w:rFonts w:hint="eastAsia" w:ascii="Times New Roman" w:hAnsi="Times New Roman" w:eastAsia="宋体" w:cs="Times New Roman"/>
          <w:color w:val="auto"/>
          <w:sz w:val="24"/>
          <w:szCs w:val="24"/>
          <w:highlight w:val="none"/>
          <w:lang w:val="en-US" w:eastAsia="zh-CN" w:bidi="ar-SA"/>
        </w:rPr>
        <w:t>；</w:t>
      </w:r>
    </w:p>
    <w:p w14:paraId="6663982E">
      <w:pPr>
        <w:widowControl w:val="0"/>
        <w:spacing w:line="360" w:lineRule="auto"/>
        <w:ind w:firstLine="480" w:firstLineChars="200"/>
        <w:jc w:val="both"/>
        <w:rPr>
          <w:rFonts w:hint="eastAsia" w:cs="Times New Roman"/>
          <w:color w:val="auto"/>
          <w:kern w:val="0"/>
          <w:sz w:val="24"/>
          <w:szCs w:val="24"/>
          <w:highlight w:val="none"/>
          <w:lang w:val="de-DE" w:eastAsia="zh-CN"/>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10</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bidi="ar-SA"/>
        </w:rPr>
        <w:t>《新疆维吾尔自治区突发环境事件应急预案编制导则（试行）》</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color w:val="auto"/>
          <w:sz w:val="24"/>
          <w:szCs w:val="24"/>
          <w:highlight w:val="none"/>
          <w:lang w:val="en-US" w:eastAsia="zh-CN" w:bidi="ar-SA"/>
        </w:rPr>
        <w:t>新环发</w:t>
      </w:r>
      <w:r>
        <w:rPr>
          <w:rFonts w:hint="eastAsia" w:ascii="Times New Roman" w:hAnsi="Times New Roman" w:eastAsia="宋体" w:cs="Times New Roman"/>
          <w:color w:val="auto"/>
          <w:sz w:val="24"/>
          <w:szCs w:val="24"/>
          <w:highlight w:val="none"/>
          <w:lang w:val="en-US" w:eastAsia="zh-CN" w:bidi="ar-SA"/>
        </w:rPr>
        <w:t>〔2014〕234号）</w:t>
      </w:r>
      <w:r>
        <w:rPr>
          <w:rFonts w:hint="default" w:ascii="Times New Roman" w:hAnsi="Times New Roman" w:eastAsia="宋体" w:cs="Times New Roman"/>
          <w:color w:val="auto"/>
          <w:sz w:val="24"/>
          <w:szCs w:val="24"/>
          <w:highlight w:val="none"/>
          <w:lang w:val="en-US" w:eastAsia="zh-CN" w:bidi="ar-SA"/>
        </w:rPr>
        <w:t>，2014.</w:t>
      </w:r>
      <w:r>
        <w:rPr>
          <w:rFonts w:hint="eastAsia" w:ascii="Times New Roman" w:hAnsi="Times New Roman" w:eastAsia="宋体" w:cs="Times New Roman"/>
          <w:color w:val="auto"/>
          <w:sz w:val="24"/>
          <w:szCs w:val="24"/>
          <w:highlight w:val="none"/>
          <w:lang w:val="en-US" w:eastAsia="zh-CN" w:bidi="ar-SA"/>
        </w:rPr>
        <w:t>0</w:t>
      </w:r>
      <w:r>
        <w:rPr>
          <w:rFonts w:hint="default" w:ascii="Times New Roman" w:hAnsi="Times New Roman" w:eastAsia="宋体" w:cs="Times New Roman"/>
          <w:color w:val="auto"/>
          <w:sz w:val="24"/>
          <w:szCs w:val="24"/>
          <w:highlight w:val="none"/>
          <w:lang w:val="en-US" w:eastAsia="zh-CN" w:bidi="ar-SA"/>
        </w:rPr>
        <w:t>6.12</w:t>
      </w:r>
      <w:r>
        <w:rPr>
          <w:rFonts w:hint="eastAsia" w:cs="Times New Roman"/>
          <w:color w:val="auto"/>
          <w:kern w:val="0"/>
          <w:sz w:val="24"/>
          <w:szCs w:val="24"/>
          <w:highlight w:val="none"/>
          <w:lang w:val="de-DE" w:eastAsia="zh-CN"/>
        </w:rPr>
        <w:t>；</w:t>
      </w:r>
    </w:p>
    <w:p w14:paraId="769D7468">
      <w:pPr>
        <w:spacing w:line="360" w:lineRule="auto"/>
        <w:ind w:firstLine="480" w:firstLineChars="200"/>
        <w:rPr>
          <w:rFonts w:hint="eastAsia"/>
          <w:lang w:val="de-DE" w:eastAsia="zh-CN"/>
        </w:rPr>
      </w:pPr>
      <w:r>
        <w:rPr>
          <w:rFonts w:hint="eastAsia" w:ascii="Times New Roman" w:hAnsi="Times New Roman" w:eastAsia="宋体" w:cs="Times New Roman"/>
          <w:color w:val="auto"/>
          <w:sz w:val="24"/>
          <w:highlight w:val="none"/>
          <w:lang w:val="en-US" w:eastAsia="zh-CN"/>
        </w:rPr>
        <w:t>（</w:t>
      </w:r>
      <w:r>
        <w:rPr>
          <w:rFonts w:hint="eastAsia" w:eastAsia="宋体" w:cs="Times New Roman"/>
          <w:color w:val="auto"/>
          <w:sz w:val="24"/>
          <w:highlight w:val="none"/>
          <w:lang w:val="en-US" w:eastAsia="zh-CN"/>
        </w:rPr>
        <w:t>11</w:t>
      </w:r>
      <w:r>
        <w:rPr>
          <w:rFonts w:hint="eastAsia" w:ascii="Times New Roman" w:hAnsi="Times New Roman" w:eastAsia="宋体" w:cs="Times New Roman"/>
          <w:color w:val="auto"/>
          <w:sz w:val="24"/>
          <w:highlight w:val="none"/>
          <w:lang w:val="en-US" w:eastAsia="zh-CN"/>
        </w:rPr>
        <w:t>）</w:t>
      </w:r>
      <w:r>
        <w:rPr>
          <w:rFonts w:hint="eastAsia" w:eastAsia="宋体" w:cs="Times New Roman"/>
          <w:color w:val="auto"/>
          <w:kern w:val="2"/>
          <w:sz w:val="24"/>
          <w:szCs w:val="24"/>
          <w:lang w:val="en-US" w:eastAsia="zh-CN" w:bidi="ar-SA"/>
        </w:rPr>
        <w:t>《关于公布</w:t>
      </w:r>
      <w:r>
        <w:rPr>
          <w:rFonts w:hint="eastAsia"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新疆生产建设兵团第七师胡杨河市生态环境分区管控更新成果</w:t>
      </w:r>
      <w:r>
        <w:rPr>
          <w:rFonts w:hint="eastAsia"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2023版</w:t>
      </w:r>
      <w:r>
        <w:rPr>
          <w:rFonts w:hint="eastAsia" w:cs="Times New Roman"/>
          <w:color w:val="auto"/>
          <w:kern w:val="2"/>
          <w:sz w:val="24"/>
          <w:szCs w:val="24"/>
          <w:lang w:val="en-US" w:eastAsia="zh-CN" w:bidi="ar-SA"/>
        </w:rPr>
        <w:t>）〉的通知》（</w:t>
      </w:r>
      <w:r>
        <w:rPr>
          <w:rFonts w:hint="eastAsia" w:eastAsia="宋体" w:cs="Times New Roman"/>
          <w:color w:val="auto"/>
          <w:kern w:val="2"/>
          <w:sz w:val="24"/>
          <w:szCs w:val="24"/>
          <w:lang w:val="en-US" w:eastAsia="zh-CN" w:bidi="ar-SA"/>
        </w:rPr>
        <w:t>师市环委办发〔2024〕2号</w:t>
      </w:r>
      <w:r>
        <w:rPr>
          <w:rFonts w:hint="eastAsia" w:cs="Times New Roman"/>
          <w:color w:val="auto"/>
          <w:kern w:val="2"/>
          <w:sz w:val="24"/>
          <w:szCs w:val="24"/>
          <w:lang w:val="en-US" w:eastAsia="zh-CN" w:bidi="ar-SA"/>
        </w:rPr>
        <w:t>）</w:t>
      </w:r>
      <w:r>
        <w:rPr>
          <w:rFonts w:hint="eastAsia" w:cs="Times New Roman"/>
          <w:color w:val="auto"/>
          <w:kern w:val="0"/>
          <w:sz w:val="24"/>
          <w:szCs w:val="24"/>
          <w:highlight w:val="none"/>
          <w:lang w:val="de-DE" w:eastAsia="zh-CN"/>
        </w:rPr>
        <w:t>。</w:t>
      </w:r>
    </w:p>
    <w:p w14:paraId="46B07B2A">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98" w:name="_Toc19862"/>
      <w:bookmarkStart w:id="99" w:name="_Toc16991"/>
      <w:r>
        <w:rPr>
          <w:rFonts w:hint="default" w:ascii="Times New Roman" w:hAnsi="Times New Roman" w:eastAsia="宋体" w:cs="Times New Roman"/>
          <w:b/>
          <w:bCs/>
          <w:snapToGrid w:val="0"/>
          <w:kern w:val="2"/>
          <w:sz w:val="28"/>
          <w:szCs w:val="28"/>
          <w:lang w:val="en-US" w:eastAsia="zh-CN" w:bidi="ar-SA"/>
        </w:rPr>
        <w:t>2.1.4相关技术规范及技术导则</w:t>
      </w:r>
      <w:bookmarkEnd w:id="98"/>
      <w:bookmarkEnd w:id="99"/>
    </w:p>
    <w:p w14:paraId="59295F3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1</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《建设项目环境影响评价技术导则</w:t>
      </w:r>
      <w:r>
        <w:rPr>
          <w:rFonts w:hint="eastAsia" w:ascii="Times New Roman" w:hAnsi="Times New Roman" w:cs="Times New Roman"/>
          <w:bCs w:val="0"/>
          <w:sz w:val="24"/>
          <w:szCs w:val="22"/>
          <w:lang w:val="en-US" w:eastAsia="zh-CN"/>
        </w:rPr>
        <w:t xml:space="preserve"> </w:t>
      </w:r>
      <w:r>
        <w:rPr>
          <w:rFonts w:hint="default" w:ascii="Times New Roman" w:hAnsi="Times New Roman" w:eastAsia="宋体" w:cs="Times New Roman"/>
          <w:bCs w:val="0"/>
          <w:sz w:val="24"/>
          <w:szCs w:val="22"/>
        </w:rPr>
        <w:t>总纲》（HJ2.1-2016）；</w:t>
      </w:r>
    </w:p>
    <w:p w14:paraId="49D553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2</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r>
        <w:rPr>
          <w:rFonts w:hint="eastAsia" w:cs="Times New Roman"/>
          <w:bCs w:val="0"/>
          <w:sz w:val="24"/>
          <w:szCs w:val="22"/>
          <w:lang w:eastAsia="zh-CN"/>
        </w:rPr>
        <w:t>环境影响评价技术导则 大气环境</w:t>
      </w:r>
      <w:r>
        <w:rPr>
          <w:rFonts w:hint="default" w:ascii="Times New Roman" w:hAnsi="Times New Roman" w:eastAsia="宋体" w:cs="Times New Roman"/>
          <w:bCs w:val="0"/>
          <w:sz w:val="24"/>
          <w:szCs w:val="22"/>
        </w:rPr>
        <w:t>》（HJ2.2</w:t>
      </w:r>
      <w:bookmarkStart w:id="100" w:name="OLE_LINK1"/>
      <w:r>
        <w:rPr>
          <w:rFonts w:hint="default" w:ascii="Times New Roman" w:hAnsi="Times New Roman" w:eastAsia="宋体" w:cs="Times New Roman"/>
          <w:bCs w:val="0"/>
          <w:sz w:val="24"/>
          <w:szCs w:val="22"/>
        </w:rPr>
        <w:t>-2018</w:t>
      </w:r>
      <w:bookmarkEnd w:id="100"/>
      <w:r>
        <w:rPr>
          <w:rFonts w:hint="default" w:ascii="Times New Roman" w:hAnsi="Times New Roman" w:eastAsia="宋体" w:cs="Times New Roman"/>
          <w:bCs w:val="0"/>
          <w:sz w:val="24"/>
          <w:szCs w:val="22"/>
        </w:rPr>
        <w:t>）；</w:t>
      </w:r>
    </w:p>
    <w:p w14:paraId="5F9472B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3</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r>
        <w:rPr>
          <w:rFonts w:hint="eastAsia" w:cs="Times New Roman"/>
          <w:bCs w:val="0"/>
          <w:sz w:val="24"/>
          <w:szCs w:val="22"/>
          <w:lang w:eastAsia="zh-CN"/>
        </w:rPr>
        <w:t>环境影响评价技术导则 地下水环境</w:t>
      </w:r>
      <w:r>
        <w:rPr>
          <w:rFonts w:hint="default" w:ascii="Times New Roman" w:hAnsi="Times New Roman" w:eastAsia="宋体" w:cs="Times New Roman"/>
          <w:bCs w:val="0"/>
          <w:sz w:val="24"/>
          <w:szCs w:val="22"/>
        </w:rPr>
        <w:t>》（HJ610-2016）；</w:t>
      </w:r>
    </w:p>
    <w:p w14:paraId="09F6AD4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4</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r>
        <w:rPr>
          <w:rFonts w:hint="eastAsia" w:cs="Times New Roman"/>
          <w:bCs w:val="0"/>
          <w:sz w:val="24"/>
          <w:szCs w:val="22"/>
          <w:lang w:eastAsia="zh-CN"/>
        </w:rPr>
        <w:t>环境影响评价技术导则 地表水环境</w:t>
      </w:r>
      <w:r>
        <w:rPr>
          <w:rFonts w:hint="default" w:ascii="Times New Roman" w:hAnsi="Times New Roman" w:eastAsia="宋体" w:cs="Times New Roman"/>
          <w:bCs w:val="0"/>
          <w:sz w:val="24"/>
          <w:szCs w:val="22"/>
        </w:rPr>
        <w:t>》</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HJ2.3-2018</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p>
    <w:p w14:paraId="610E117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5</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r>
        <w:rPr>
          <w:rFonts w:hint="eastAsia" w:cs="Times New Roman"/>
          <w:bCs w:val="0"/>
          <w:sz w:val="24"/>
          <w:szCs w:val="22"/>
          <w:lang w:eastAsia="zh-CN"/>
        </w:rPr>
        <w:t>环境影响评价技术导则 声环境</w:t>
      </w:r>
      <w:r>
        <w:rPr>
          <w:rFonts w:hint="default" w:ascii="Times New Roman" w:hAnsi="Times New Roman" w:eastAsia="宋体" w:cs="Times New Roman"/>
          <w:bCs w:val="0"/>
          <w:sz w:val="24"/>
          <w:szCs w:val="22"/>
        </w:rPr>
        <w:t>》（HJ2.4-</w:t>
      </w:r>
      <w:r>
        <w:rPr>
          <w:rFonts w:hint="eastAsia" w:ascii="Times New Roman" w:hAnsi="Times New Roman" w:cs="Times New Roman"/>
          <w:bCs w:val="0"/>
          <w:sz w:val="24"/>
          <w:szCs w:val="22"/>
          <w:lang w:val="en-US" w:eastAsia="zh-CN"/>
        </w:rPr>
        <w:t>2021</w:t>
      </w:r>
      <w:r>
        <w:rPr>
          <w:rFonts w:hint="default" w:ascii="Times New Roman" w:hAnsi="Times New Roman" w:eastAsia="宋体" w:cs="Times New Roman"/>
          <w:bCs w:val="0"/>
          <w:sz w:val="24"/>
          <w:szCs w:val="22"/>
        </w:rPr>
        <w:t>）；</w:t>
      </w:r>
    </w:p>
    <w:p w14:paraId="5FC40AE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6</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r>
        <w:rPr>
          <w:rFonts w:hint="eastAsia" w:cs="Times New Roman"/>
          <w:bCs w:val="0"/>
          <w:sz w:val="24"/>
          <w:szCs w:val="22"/>
          <w:lang w:eastAsia="zh-CN"/>
        </w:rPr>
        <w:t>环境影响评价技术导则 生态影响</w:t>
      </w:r>
      <w:r>
        <w:rPr>
          <w:rFonts w:hint="default" w:ascii="Times New Roman" w:hAnsi="Times New Roman" w:eastAsia="宋体" w:cs="Times New Roman"/>
          <w:bCs w:val="0"/>
          <w:sz w:val="24"/>
          <w:szCs w:val="22"/>
        </w:rPr>
        <w:t>》（HJ19-</w:t>
      </w:r>
      <w:r>
        <w:rPr>
          <w:rFonts w:hint="eastAsia" w:ascii="Times New Roman" w:hAnsi="Times New Roman" w:cs="Times New Roman"/>
          <w:bCs w:val="0"/>
          <w:sz w:val="24"/>
          <w:szCs w:val="22"/>
          <w:lang w:val="en-US" w:eastAsia="zh-CN"/>
        </w:rPr>
        <w:t>2022</w:t>
      </w:r>
      <w:r>
        <w:rPr>
          <w:rFonts w:hint="default" w:ascii="Times New Roman" w:hAnsi="Times New Roman" w:eastAsia="宋体" w:cs="Times New Roman"/>
          <w:bCs w:val="0"/>
          <w:sz w:val="24"/>
          <w:szCs w:val="22"/>
        </w:rPr>
        <w:t>）；</w:t>
      </w:r>
    </w:p>
    <w:p w14:paraId="2F4A8BE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7</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《环境影响评价技术导则</w:t>
      </w:r>
      <w:r>
        <w:rPr>
          <w:rFonts w:hint="eastAsia" w:ascii="Times New Roman" w:hAnsi="Times New Roman" w:cs="Times New Roman"/>
          <w:bCs w:val="0"/>
          <w:sz w:val="24"/>
          <w:szCs w:val="22"/>
          <w:lang w:val="en-US" w:eastAsia="zh-CN"/>
        </w:rPr>
        <w:t xml:space="preserve"> </w:t>
      </w:r>
      <w:r>
        <w:rPr>
          <w:rFonts w:hint="default" w:ascii="Times New Roman" w:hAnsi="Times New Roman" w:eastAsia="宋体" w:cs="Times New Roman"/>
          <w:bCs w:val="0"/>
          <w:sz w:val="24"/>
          <w:szCs w:val="22"/>
        </w:rPr>
        <w:t>土壤环境</w:t>
      </w:r>
      <w:r>
        <w:rPr>
          <w:rFonts w:hint="eastAsia" w:ascii="Times New Roman" w:hAnsi="Times New Roman" w:cs="Times New Roman"/>
          <w:bCs w:val="0"/>
          <w:sz w:val="24"/>
          <w:szCs w:val="22"/>
          <w:lang w:eastAsia="zh-CN"/>
        </w:rPr>
        <w:t>（</w:t>
      </w:r>
      <w:r>
        <w:rPr>
          <w:rFonts w:hint="eastAsia" w:ascii="Times New Roman" w:hAnsi="Times New Roman" w:cs="Times New Roman"/>
          <w:bCs w:val="0"/>
          <w:sz w:val="24"/>
          <w:szCs w:val="22"/>
          <w:lang w:val="en-US" w:eastAsia="zh-CN"/>
        </w:rPr>
        <w:t>试行</w:t>
      </w:r>
      <w:r>
        <w:rPr>
          <w:rFonts w:hint="eastAsia" w:ascii="Times New Roman" w:hAnsi="Times New Roman" w:cs="Times New Roman"/>
          <w:bCs w:val="0"/>
          <w:sz w:val="24"/>
          <w:szCs w:val="22"/>
          <w:lang w:eastAsia="zh-CN"/>
        </w:rPr>
        <w:t>）</w:t>
      </w:r>
      <w:r>
        <w:rPr>
          <w:rFonts w:hint="default" w:ascii="Times New Roman" w:hAnsi="Times New Roman" w:eastAsia="宋体" w:cs="Times New Roman"/>
          <w:bCs w:val="0"/>
          <w:sz w:val="24"/>
          <w:szCs w:val="22"/>
        </w:rPr>
        <w:t>》（HJ964-2018）；</w:t>
      </w:r>
    </w:p>
    <w:p w14:paraId="2086E41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8</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《建设项目环境风险评价技术导则》（HJ169-2018）；</w:t>
      </w:r>
    </w:p>
    <w:p w14:paraId="599E3BC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9</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《畜禽养殖业污染防治技术规范》（HJ/T81-2001）；</w:t>
      </w:r>
    </w:p>
    <w:p w14:paraId="3364541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10</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《畜禽养殖业污染治理工程技术规范》（HJ497-2009）；</w:t>
      </w:r>
    </w:p>
    <w:p w14:paraId="4FFC4F3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11</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《畜禽养殖业污染物排放标准》（GB18596-2001）；</w:t>
      </w:r>
    </w:p>
    <w:p w14:paraId="659587C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1</w:t>
      </w:r>
      <w:r>
        <w:rPr>
          <w:rFonts w:hint="eastAsia" w:cs="Times New Roman"/>
          <w:bCs w:val="0"/>
          <w:sz w:val="24"/>
          <w:szCs w:val="22"/>
          <w:lang w:val="en-US" w:eastAsia="zh-CN"/>
        </w:rPr>
        <w:t>2</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《畜禽养殖产地环境评价规范》（HJ568-2010）；</w:t>
      </w:r>
    </w:p>
    <w:p w14:paraId="111C50F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1</w:t>
      </w:r>
      <w:r>
        <w:rPr>
          <w:rFonts w:hint="eastAsia" w:cs="Times New Roman"/>
          <w:bCs w:val="0"/>
          <w:sz w:val="24"/>
          <w:szCs w:val="22"/>
          <w:lang w:val="en-US" w:eastAsia="zh-CN"/>
        </w:rPr>
        <w:t>3</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《畜禽养殖业污染防治技术政策》环发</w:t>
      </w:r>
      <w:r>
        <w:rPr>
          <w:rFonts w:hint="eastAsia" w:cs="Times New Roman"/>
          <w:bCs w:val="0"/>
          <w:sz w:val="24"/>
          <w:szCs w:val="22"/>
          <w:lang w:eastAsia="zh-CN"/>
        </w:rPr>
        <w:t>〔2010〕151号</w:t>
      </w:r>
      <w:r>
        <w:rPr>
          <w:rFonts w:hint="default" w:ascii="Times New Roman" w:hAnsi="Times New Roman" w:eastAsia="宋体" w:cs="Times New Roman"/>
          <w:bCs w:val="0"/>
          <w:sz w:val="24"/>
          <w:szCs w:val="22"/>
        </w:rPr>
        <w:t>；</w:t>
      </w:r>
    </w:p>
    <w:p w14:paraId="13CA3B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（1</w:t>
      </w:r>
      <w:r>
        <w:rPr>
          <w:rFonts w:hint="eastAsia" w:cs="Times New Roman"/>
          <w:bCs w:val="0"/>
          <w:sz w:val="24"/>
          <w:szCs w:val="22"/>
          <w:lang w:val="en-US" w:eastAsia="zh-CN"/>
        </w:rPr>
        <w:t>4</w:t>
      </w:r>
      <w:r>
        <w:rPr>
          <w:rFonts w:hint="default" w:ascii="Times New Roman" w:hAnsi="Times New Roman" w:eastAsia="宋体" w:cs="Times New Roman"/>
          <w:bCs w:val="0"/>
          <w:sz w:val="24"/>
          <w:szCs w:val="22"/>
        </w:rPr>
        <w:t>）《畜禽养殖场（小区）环境守法导则》；</w:t>
      </w:r>
    </w:p>
    <w:p w14:paraId="274E053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15</w:t>
      </w:r>
      <w:r>
        <w:rPr>
          <w:rFonts w:hint="default" w:ascii="Times New Roman" w:hAnsi="Times New Roman" w:eastAsia="宋体" w:cs="Times New Roman"/>
          <w:bCs w:val="0"/>
          <w:sz w:val="24"/>
          <w:szCs w:val="22"/>
        </w:rPr>
        <w:t>）《规模畜禽养殖污染防治最佳可行性技术指南》（HJ-BAT-10）；</w:t>
      </w:r>
    </w:p>
    <w:p w14:paraId="58A81C1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eastAsia" w:cs="Times New Roman"/>
          <w:bCs w:val="0"/>
          <w:sz w:val="24"/>
          <w:szCs w:val="22"/>
          <w:lang w:val="en-US" w:eastAsia="zh-CN"/>
        </w:rPr>
        <w:t>16</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《农村小型畜禽养殖污染防治项目建设与投资指南》（2013年11月11日）；</w:t>
      </w:r>
    </w:p>
    <w:p w14:paraId="4612ABB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17</w:t>
      </w:r>
      <w:r>
        <w:rPr>
          <w:rFonts w:hint="default" w:ascii="Times New Roman" w:hAnsi="Times New Roman" w:eastAsia="宋体" w:cs="Times New Roman"/>
          <w:bCs w:val="0"/>
          <w:sz w:val="24"/>
          <w:szCs w:val="22"/>
        </w:rPr>
        <w:t>）《畜禽养殖禁养区划定技术指南》（环办水体</w:t>
      </w:r>
      <w:r>
        <w:rPr>
          <w:rFonts w:hint="eastAsia" w:cs="Times New Roman"/>
          <w:bCs w:val="0"/>
          <w:sz w:val="24"/>
          <w:szCs w:val="22"/>
          <w:lang w:eastAsia="zh-CN"/>
        </w:rPr>
        <w:t>〔2016〕99号</w:t>
      </w:r>
      <w:r>
        <w:rPr>
          <w:rFonts w:hint="default" w:ascii="Times New Roman" w:hAnsi="Times New Roman" w:eastAsia="宋体" w:cs="Times New Roman"/>
          <w:bCs w:val="0"/>
          <w:sz w:val="24"/>
          <w:szCs w:val="22"/>
        </w:rPr>
        <w:t>）；</w:t>
      </w:r>
    </w:p>
    <w:p w14:paraId="397D014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18</w:t>
      </w:r>
      <w:r>
        <w:rPr>
          <w:rFonts w:hint="default" w:ascii="Times New Roman" w:hAnsi="Times New Roman" w:eastAsia="宋体" w:cs="Times New Roman"/>
          <w:bCs w:val="0"/>
          <w:sz w:val="24"/>
          <w:szCs w:val="22"/>
        </w:rPr>
        <w:t>）《病死及病害动物无害化处理技术规范》（农医发</w:t>
      </w:r>
      <w:r>
        <w:rPr>
          <w:rFonts w:hint="eastAsia" w:cs="Times New Roman"/>
          <w:bCs w:val="0"/>
          <w:sz w:val="24"/>
          <w:szCs w:val="22"/>
          <w:lang w:eastAsia="zh-CN"/>
        </w:rPr>
        <w:t>〔2017〕25号</w:t>
      </w:r>
      <w:r>
        <w:rPr>
          <w:rFonts w:hint="default" w:ascii="Times New Roman" w:hAnsi="Times New Roman" w:eastAsia="宋体" w:cs="Times New Roman"/>
          <w:bCs w:val="0"/>
          <w:sz w:val="24"/>
          <w:szCs w:val="22"/>
        </w:rPr>
        <w:t>）；</w:t>
      </w:r>
    </w:p>
    <w:p w14:paraId="480C219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eastAsia" w:cs="Times New Roman"/>
          <w:bCs w:val="0"/>
          <w:sz w:val="24"/>
          <w:szCs w:val="22"/>
          <w:lang w:val="en-US" w:eastAsia="zh-CN"/>
        </w:rPr>
        <w:t>19</w:t>
      </w:r>
      <w:r>
        <w:rPr>
          <w:rFonts w:hint="default" w:ascii="Times New Roman" w:hAnsi="Times New Roman" w:eastAsia="宋体" w:cs="Times New Roman"/>
          <w:bCs w:val="0"/>
          <w:sz w:val="24"/>
          <w:szCs w:val="22"/>
          <w:lang w:eastAsia="zh-CN"/>
        </w:rPr>
        <w:t>）</w:t>
      </w:r>
      <w:r>
        <w:rPr>
          <w:rFonts w:hint="eastAsia" w:cs="Times New Roman"/>
          <w:bCs w:val="0"/>
          <w:sz w:val="24"/>
          <w:szCs w:val="22"/>
          <w:lang w:eastAsia="zh-CN"/>
        </w:rPr>
        <w:t>《</w:t>
      </w:r>
      <w:r>
        <w:rPr>
          <w:rFonts w:hint="default" w:ascii="Times New Roman" w:hAnsi="Times New Roman" w:eastAsia="宋体" w:cs="Times New Roman"/>
          <w:bCs w:val="0"/>
          <w:sz w:val="24"/>
          <w:szCs w:val="22"/>
        </w:rPr>
        <w:t>农业部印发</w:t>
      </w:r>
      <w:r>
        <w:rPr>
          <w:rFonts w:hint="eastAsia" w:cs="Times New Roman"/>
          <w:bCs w:val="0"/>
          <w:sz w:val="24"/>
          <w:szCs w:val="22"/>
          <w:lang w:eastAsia="zh-CN"/>
        </w:rPr>
        <w:t>〈</w:t>
      </w:r>
      <w:r>
        <w:rPr>
          <w:rFonts w:hint="default" w:ascii="Times New Roman" w:hAnsi="Times New Roman" w:eastAsia="宋体" w:cs="Times New Roman"/>
          <w:bCs w:val="0"/>
          <w:sz w:val="24"/>
          <w:szCs w:val="22"/>
        </w:rPr>
        <w:t>畜禽粪污资源化利用行动方案（2017</w:t>
      </w:r>
      <w:r>
        <w:rPr>
          <w:rFonts w:hint="eastAsia" w:cs="Times New Roman"/>
          <w:bCs w:val="0"/>
          <w:sz w:val="24"/>
          <w:szCs w:val="22"/>
          <w:lang w:eastAsia="zh-CN"/>
        </w:rPr>
        <w:t>—</w:t>
      </w:r>
      <w:r>
        <w:rPr>
          <w:rFonts w:hint="default" w:ascii="Times New Roman" w:hAnsi="Times New Roman" w:eastAsia="宋体" w:cs="Times New Roman"/>
          <w:bCs w:val="0"/>
          <w:sz w:val="24"/>
          <w:szCs w:val="22"/>
        </w:rPr>
        <w:t>2020年）</w:t>
      </w:r>
      <w:r>
        <w:rPr>
          <w:rFonts w:hint="eastAsia" w:cs="Times New Roman"/>
          <w:bCs w:val="0"/>
          <w:sz w:val="24"/>
          <w:szCs w:val="22"/>
          <w:lang w:eastAsia="zh-CN"/>
        </w:rPr>
        <w:t>〉</w:t>
      </w:r>
      <w:r>
        <w:rPr>
          <w:rFonts w:hint="default" w:ascii="Times New Roman" w:hAnsi="Times New Roman" w:eastAsia="宋体" w:cs="Times New Roman"/>
          <w:bCs w:val="0"/>
          <w:sz w:val="24"/>
          <w:szCs w:val="22"/>
        </w:rPr>
        <w:t>的通知</w:t>
      </w:r>
      <w:r>
        <w:rPr>
          <w:rFonts w:hint="eastAsia" w:cs="Times New Roman"/>
          <w:bCs w:val="0"/>
          <w:sz w:val="24"/>
          <w:szCs w:val="22"/>
          <w:lang w:eastAsia="zh-CN"/>
        </w:rPr>
        <w:t>》</w:t>
      </w:r>
      <w:r>
        <w:rPr>
          <w:rFonts w:hint="default" w:ascii="Times New Roman" w:hAnsi="Times New Roman" w:eastAsia="宋体" w:cs="Times New Roman"/>
          <w:bCs w:val="0"/>
          <w:sz w:val="24"/>
          <w:szCs w:val="22"/>
        </w:rPr>
        <w:t>（农牧发</w:t>
      </w:r>
      <w:r>
        <w:rPr>
          <w:rFonts w:hint="eastAsia" w:cs="Times New Roman"/>
          <w:bCs w:val="0"/>
          <w:sz w:val="24"/>
          <w:szCs w:val="22"/>
          <w:lang w:eastAsia="zh-CN"/>
        </w:rPr>
        <w:t>〔2017〕11号</w:t>
      </w:r>
      <w:r>
        <w:rPr>
          <w:rFonts w:hint="default" w:ascii="Times New Roman" w:hAnsi="Times New Roman" w:eastAsia="宋体" w:cs="Times New Roman"/>
          <w:bCs w:val="0"/>
          <w:sz w:val="24"/>
          <w:szCs w:val="22"/>
        </w:rPr>
        <w:t>）；</w:t>
      </w:r>
    </w:p>
    <w:p w14:paraId="591E403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lang w:eastAsia="zh-CN"/>
        </w:rPr>
        <w:t>（</w:t>
      </w:r>
      <w:r>
        <w:rPr>
          <w:rFonts w:hint="eastAsia" w:cs="Times New Roman"/>
          <w:bCs w:val="0"/>
          <w:sz w:val="24"/>
          <w:szCs w:val="22"/>
          <w:lang w:val="en-US" w:eastAsia="zh-CN"/>
        </w:rPr>
        <w:t>20</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《畜禽规模养殖场粪污资源化利用设施建设规范（试行）》（农办牧</w:t>
      </w:r>
      <w:r>
        <w:rPr>
          <w:rFonts w:hint="eastAsia" w:cs="Times New Roman"/>
          <w:bCs w:val="0"/>
          <w:sz w:val="24"/>
          <w:szCs w:val="22"/>
          <w:lang w:eastAsia="zh-CN"/>
        </w:rPr>
        <w:t>〔2018〕2号</w:t>
      </w:r>
      <w:r>
        <w:rPr>
          <w:rFonts w:hint="default" w:ascii="Times New Roman" w:hAnsi="Times New Roman" w:eastAsia="宋体" w:cs="Times New Roman"/>
          <w:bCs w:val="0"/>
          <w:sz w:val="24"/>
          <w:szCs w:val="22"/>
        </w:rPr>
        <w:t>）；</w:t>
      </w:r>
    </w:p>
    <w:p w14:paraId="20AE048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21</w:t>
      </w:r>
      <w:r>
        <w:rPr>
          <w:rFonts w:hint="default" w:ascii="Times New Roman" w:hAnsi="Times New Roman" w:eastAsia="宋体" w:cs="Times New Roman"/>
          <w:bCs w:val="0"/>
          <w:sz w:val="24"/>
          <w:szCs w:val="22"/>
        </w:rPr>
        <w:t>）《危险化学品重大危险源辨识》</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GB18218-2018</w:t>
      </w:r>
      <w:r>
        <w:rPr>
          <w:rFonts w:hint="default" w:ascii="Times New Roman" w:hAnsi="Times New Roman" w:eastAsia="宋体" w:cs="Times New Roman"/>
          <w:bCs w:val="0"/>
          <w:sz w:val="24"/>
          <w:szCs w:val="22"/>
          <w:lang w:eastAsia="zh-CN"/>
        </w:rPr>
        <w:t>）</w:t>
      </w:r>
      <w:r>
        <w:rPr>
          <w:rFonts w:hint="default" w:ascii="Times New Roman" w:hAnsi="Times New Roman" w:eastAsia="宋体" w:cs="Times New Roman"/>
          <w:bCs w:val="0"/>
          <w:sz w:val="24"/>
          <w:szCs w:val="22"/>
        </w:rPr>
        <w:t>；</w:t>
      </w:r>
    </w:p>
    <w:p w14:paraId="0729D15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22</w:t>
      </w:r>
      <w:r>
        <w:rPr>
          <w:rFonts w:hint="default" w:ascii="Times New Roman" w:hAnsi="Times New Roman" w:eastAsia="宋体" w:cs="Times New Roman"/>
          <w:bCs w:val="0"/>
          <w:sz w:val="24"/>
          <w:szCs w:val="22"/>
        </w:rPr>
        <w:t>）《危险废物鉴别技术规范》（HJ 298-2019）；</w:t>
      </w:r>
    </w:p>
    <w:p w14:paraId="0F0A73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23</w:t>
      </w:r>
      <w:r>
        <w:rPr>
          <w:rFonts w:hint="default" w:ascii="Times New Roman" w:hAnsi="Times New Roman" w:eastAsia="宋体" w:cs="Times New Roman"/>
          <w:bCs w:val="0"/>
          <w:sz w:val="24"/>
          <w:szCs w:val="22"/>
        </w:rPr>
        <w:t>）《</w:t>
      </w:r>
      <w:r>
        <w:rPr>
          <w:rFonts w:hint="eastAsia" w:cs="Times New Roman"/>
          <w:bCs w:val="0"/>
          <w:sz w:val="24"/>
          <w:szCs w:val="22"/>
          <w:lang w:eastAsia="zh-CN"/>
        </w:rPr>
        <w:t>排污许可证申请与核发技术规范总则</w:t>
      </w:r>
      <w:r>
        <w:rPr>
          <w:rFonts w:hint="default" w:ascii="Times New Roman" w:hAnsi="Times New Roman" w:eastAsia="宋体" w:cs="Times New Roman"/>
          <w:bCs w:val="0"/>
          <w:sz w:val="24"/>
          <w:szCs w:val="22"/>
        </w:rPr>
        <w:t>》（HJ942-2018）；</w:t>
      </w:r>
    </w:p>
    <w:p w14:paraId="05A731E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lang w:val="en-US" w:eastAsia="zh-CN"/>
        </w:rPr>
      </w:pPr>
      <w:r>
        <w:rPr>
          <w:rFonts w:hint="eastAsia" w:ascii="Times New Roman" w:hAnsi="Times New Roman" w:cs="Times New Roman"/>
          <w:bCs w:val="0"/>
          <w:sz w:val="24"/>
          <w:szCs w:val="22"/>
          <w:lang w:eastAsia="zh-CN"/>
        </w:rPr>
        <w:t>（</w:t>
      </w:r>
      <w:r>
        <w:rPr>
          <w:rFonts w:hint="eastAsia" w:cs="Times New Roman"/>
          <w:bCs w:val="0"/>
          <w:sz w:val="24"/>
          <w:szCs w:val="22"/>
          <w:lang w:val="en-US" w:eastAsia="zh-CN"/>
        </w:rPr>
        <w:t>24</w:t>
      </w:r>
      <w:r>
        <w:rPr>
          <w:rFonts w:hint="eastAsia" w:ascii="Times New Roman" w:hAnsi="Times New Roman" w:cs="Times New Roman"/>
          <w:bCs w:val="0"/>
          <w:sz w:val="24"/>
          <w:szCs w:val="22"/>
          <w:lang w:eastAsia="zh-CN"/>
        </w:rPr>
        <w:t>）</w:t>
      </w:r>
      <w:r>
        <w:rPr>
          <w:rFonts w:hint="default" w:ascii="Times New Roman" w:hAnsi="Times New Roman" w:eastAsia="宋体" w:cs="Times New Roman"/>
          <w:bCs w:val="0"/>
          <w:sz w:val="24"/>
          <w:szCs w:val="22"/>
          <w:lang w:eastAsia="zh-CN"/>
        </w:rPr>
        <w:t>《排污许可证申请与核发技术规范</w:t>
      </w:r>
      <w:r>
        <w:rPr>
          <w:rFonts w:hint="default" w:ascii="Times New Roman" w:hAnsi="Times New Roman" w:eastAsia="宋体" w:cs="Times New Roman"/>
          <w:bCs w:val="0"/>
          <w:sz w:val="24"/>
          <w:szCs w:val="22"/>
          <w:lang w:val="en-US" w:eastAsia="zh-CN"/>
        </w:rPr>
        <w:t xml:space="preserve"> </w:t>
      </w:r>
      <w:r>
        <w:rPr>
          <w:rFonts w:hint="default" w:ascii="Times New Roman" w:hAnsi="Times New Roman" w:eastAsia="宋体" w:cs="Times New Roman"/>
          <w:bCs w:val="0"/>
          <w:sz w:val="24"/>
          <w:szCs w:val="22"/>
          <w:lang w:eastAsia="zh-CN"/>
        </w:rPr>
        <w:t>畜禽养殖行业》（HJ1029-2019）</w:t>
      </w:r>
      <w:r>
        <w:rPr>
          <w:rFonts w:hint="eastAsia" w:ascii="Times New Roman" w:hAnsi="Times New Roman" w:cs="Times New Roman"/>
          <w:bCs w:val="0"/>
          <w:sz w:val="24"/>
          <w:szCs w:val="22"/>
          <w:lang w:eastAsia="zh-CN"/>
        </w:rPr>
        <w:t>；</w:t>
      </w:r>
    </w:p>
    <w:p w14:paraId="42B5CA0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val="0"/>
          <w:sz w:val="24"/>
          <w:szCs w:val="22"/>
          <w:lang w:eastAsia="zh-CN"/>
        </w:rPr>
      </w:pPr>
      <w:r>
        <w:rPr>
          <w:rFonts w:hint="default" w:ascii="Times New Roman" w:hAnsi="Times New Roman" w:eastAsia="宋体" w:cs="Times New Roman"/>
          <w:bCs w:val="0"/>
          <w:sz w:val="24"/>
          <w:szCs w:val="22"/>
        </w:rPr>
        <w:t>（</w:t>
      </w:r>
      <w:r>
        <w:rPr>
          <w:rFonts w:hint="eastAsia" w:cs="Times New Roman"/>
          <w:bCs w:val="0"/>
          <w:sz w:val="24"/>
          <w:szCs w:val="22"/>
          <w:lang w:val="en-US" w:eastAsia="zh-CN"/>
        </w:rPr>
        <w:t>25</w:t>
      </w:r>
      <w:r>
        <w:rPr>
          <w:rFonts w:hint="default" w:ascii="Times New Roman" w:hAnsi="Times New Roman" w:eastAsia="宋体" w:cs="Times New Roman"/>
          <w:bCs w:val="0"/>
          <w:sz w:val="24"/>
          <w:szCs w:val="22"/>
        </w:rPr>
        <w:t>）《排污单位环境管理台账及</w:t>
      </w:r>
      <w:r>
        <w:rPr>
          <w:rFonts w:hint="eastAsia" w:cs="Times New Roman"/>
          <w:bCs w:val="0"/>
          <w:sz w:val="24"/>
          <w:szCs w:val="22"/>
          <w:lang w:val="en-US" w:eastAsia="zh-CN"/>
        </w:rPr>
        <w:t>排污</w:t>
      </w:r>
      <w:r>
        <w:rPr>
          <w:rFonts w:hint="default" w:ascii="Times New Roman" w:hAnsi="Times New Roman" w:eastAsia="宋体" w:cs="Times New Roman"/>
          <w:bCs w:val="0"/>
          <w:sz w:val="24"/>
          <w:szCs w:val="22"/>
        </w:rPr>
        <w:t>许可证报告技术规范总则</w:t>
      </w:r>
      <w:r>
        <w:rPr>
          <w:rFonts w:hint="eastAsia" w:cs="Times New Roman"/>
          <w:bCs w:val="0"/>
          <w:sz w:val="24"/>
          <w:szCs w:val="22"/>
          <w:lang w:eastAsia="zh-CN"/>
        </w:rPr>
        <w:t>（试行）》</w:t>
      </w:r>
      <w:r>
        <w:rPr>
          <w:rFonts w:hint="eastAsia" w:ascii="Times New Roman" w:hAnsi="Times New Roman" w:cs="Times New Roman"/>
          <w:bCs w:val="0"/>
          <w:sz w:val="24"/>
          <w:szCs w:val="22"/>
          <w:lang w:eastAsia="zh-CN"/>
        </w:rPr>
        <w:t>；</w:t>
      </w:r>
    </w:p>
    <w:p w14:paraId="30546B0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Cs w:val="0"/>
          <w:sz w:val="24"/>
          <w:szCs w:val="22"/>
          <w:lang w:eastAsia="zh-CN"/>
        </w:rPr>
      </w:pPr>
      <w:r>
        <w:rPr>
          <w:rFonts w:hint="eastAsia" w:ascii="Times New Roman" w:hAnsi="Times New Roman" w:cs="Times New Roman"/>
          <w:bCs w:val="0"/>
          <w:sz w:val="24"/>
          <w:szCs w:val="22"/>
          <w:lang w:eastAsia="zh-CN"/>
        </w:rPr>
        <w:t>（</w:t>
      </w:r>
      <w:r>
        <w:rPr>
          <w:rFonts w:hint="eastAsia" w:cs="Times New Roman"/>
          <w:bCs w:val="0"/>
          <w:sz w:val="24"/>
          <w:szCs w:val="22"/>
          <w:lang w:val="en-US" w:eastAsia="zh-CN"/>
        </w:rPr>
        <w:t>26</w:t>
      </w:r>
      <w:r>
        <w:rPr>
          <w:rFonts w:hint="eastAsia" w:ascii="Times New Roman" w:hAnsi="Times New Roman" w:cs="Times New Roman"/>
          <w:bCs w:val="0"/>
          <w:sz w:val="24"/>
          <w:szCs w:val="22"/>
          <w:lang w:eastAsia="zh-CN"/>
        </w:rPr>
        <w:t>）《</w:t>
      </w:r>
      <w:r>
        <w:rPr>
          <w:rFonts w:hint="default" w:ascii="Times New Roman" w:hAnsi="Times New Roman" w:eastAsia="宋体" w:cs="Times New Roman"/>
          <w:bCs w:val="0"/>
          <w:sz w:val="24"/>
          <w:szCs w:val="22"/>
        </w:rPr>
        <w:t>规模畜禽养殖场污染防治最佳可行技术指南（试行）</w:t>
      </w:r>
      <w:r>
        <w:rPr>
          <w:rFonts w:hint="eastAsia" w:ascii="Times New Roman" w:hAnsi="Times New Roman" w:cs="Times New Roman"/>
          <w:bCs w:val="0"/>
          <w:sz w:val="24"/>
          <w:szCs w:val="22"/>
          <w:lang w:eastAsia="zh-CN"/>
        </w:rPr>
        <w:t>》（</w:t>
      </w:r>
      <w:r>
        <w:rPr>
          <w:rFonts w:hint="eastAsia" w:ascii="Times New Roman" w:hAnsi="Times New Roman" w:cs="Times New Roman"/>
          <w:bCs w:val="0"/>
          <w:sz w:val="24"/>
          <w:szCs w:val="22"/>
          <w:lang w:val="en-US" w:eastAsia="zh-CN"/>
        </w:rPr>
        <w:t>HJ-BAT-10）</w:t>
      </w:r>
      <w:r>
        <w:rPr>
          <w:rFonts w:hint="eastAsia" w:ascii="Times New Roman" w:hAnsi="Times New Roman" w:cs="Times New Roman"/>
          <w:bCs w:val="0"/>
          <w:sz w:val="24"/>
          <w:szCs w:val="22"/>
          <w:lang w:eastAsia="zh-CN"/>
        </w:rPr>
        <w:t>。</w:t>
      </w:r>
    </w:p>
    <w:p w14:paraId="66F00F17">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snapToGrid w:val="0"/>
          <w:kern w:val="2"/>
          <w:sz w:val="28"/>
          <w:szCs w:val="24"/>
          <w:lang w:val="en-US" w:eastAsia="zh-CN" w:bidi="ar-SA"/>
        </w:rPr>
      </w:pPr>
      <w:bookmarkStart w:id="101" w:name="_Toc15882"/>
      <w:bookmarkStart w:id="102" w:name="_Toc2891"/>
      <w:bookmarkStart w:id="103" w:name="_Toc9022"/>
      <w:r>
        <w:rPr>
          <w:rFonts w:hint="default" w:ascii="Times New Roman" w:hAnsi="Times New Roman" w:eastAsia="宋体" w:cs="Times New Roman"/>
          <w:b/>
          <w:bCs/>
          <w:snapToGrid w:val="0"/>
          <w:kern w:val="2"/>
          <w:sz w:val="28"/>
          <w:szCs w:val="28"/>
          <w:lang w:val="en-US" w:eastAsia="zh-CN" w:bidi="ar-SA"/>
        </w:rPr>
        <w:t>2.1.5相关规划</w:t>
      </w:r>
      <w:bookmarkEnd w:id="101"/>
      <w:bookmarkEnd w:id="102"/>
      <w:bookmarkEnd w:id="103"/>
    </w:p>
    <w:p w14:paraId="54AE7CB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highlight w:val="none"/>
        </w:rPr>
      </w:pPr>
      <w:r>
        <w:rPr>
          <w:rFonts w:hint="default" w:ascii="Times New Roman" w:hAnsi="Times New Roman" w:eastAsia="宋体" w:cs="Times New Roman"/>
          <w:bCs w:val="0"/>
          <w:sz w:val="24"/>
          <w:szCs w:val="22"/>
          <w:highlight w:val="none"/>
        </w:rPr>
        <w:t>（1）</w:t>
      </w:r>
      <w:r>
        <w:rPr>
          <w:rFonts w:hint="default" w:ascii="Times New Roman" w:hAnsi="Times New Roman" w:eastAsia="宋体" w:cs="Times New Roman"/>
          <w:bCs w:val="0"/>
          <w:sz w:val="24"/>
          <w:szCs w:val="22"/>
          <w:highlight w:val="none"/>
          <w:lang w:val="en-US" w:eastAsia="zh-CN"/>
        </w:rPr>
        <w:t>《 关于印发</w:t>
      </w:r>
      <w:r>
        <w:rPr>
          <w:rFonts w:hint="eastAsia" w:cs="Times New Roman"/>
          <w:bCs w:val="0"/>
          <w:sz w:val="24"/>
          <w:szCs w:val="22"/>
          <w:highlight w:val="none"/>
          <w:lang w:val="en-US" w:eastAsia="zh-CN"/>
        </w:rPr>
        <w:t>〈</w:t>
      </w:r>
      <w:r>
        <w:rPr>
          <w:rFonts w:hint="default" w:ascii="Times New Roman" w:hAnsi="Times New Roman" w:eastAsia="宋体" w:cs="Times New Roman"/>
          <w:bCs w:val="0"/>
          <w:sz w:val="24"/>
          <w:szCs w:val="22"/>
          <w:highlight w:val="none"/>
          <w:lang w:val="en-US" w:eastAsia="zh-CN"/>
        </w:rPr>
        <w:t>新疆生产建设兵团</w:t>
      </w:r>
      <w:r>
        <w:rPr>
          <w:rFonts w:hint="eastAsia" w:cs="Times New Roman"/>
          <w:bCs w:val="0"/>
          <w:sz w:val="24"/>
          <w:szCs w:val="22"/>
          <w:highlight w:val="none"/>
          <w:lang w:val="en-US" w:eastAsia="zh-CN"/>
        </w:rPr>
        <w:t>“</w:t>
      </w:r>
      <w:r>
        <w:rPr>
          <w:rFonts w:hint="default" w:ascii="Times New Roman" w:hAnsi="Times New Roman" w:eastAsia="宋体" w:cs="Times New Roman"/>
          <w:bCs w:val="0"/>
          <w:sz w:val="24"/>
          <w:szCs w:val="22"/>
          <w:highlight w:val="none"/>
          <w:lang w:val="en-US" w:eastAsia="zh-CN"/>
        </w:rPr>
        <w:t>十四五</w:t>
      </w:r>
      <w:r>
        <w:rPr>
          <w:rFonts w:hint="eastAsia" w:cs="Times New Roman"/>
          <w:bCs w:val="0"/>
          <w:sz w:val="24"/>
          <w:szCs w:val="22"/>
          <w:highlight w:val="none"/>
          <w:lang w:val="en-US" w:eastAsia="zh-CN"/>
        </w:rPr>
        <w:t>”</w:t>
      </w:r>
      <w:r>
        <w:rPr>
          <w:rFonts w:hint="default" w:ascii="Times New Roman" w:hAnsi="Times New Roman" w:eastAsia="宋体" w:cs="Times New Roman"/>
          <w:bCs w:val="0"/>
          <w:sz w:val="24"/>
          <w:szCs w:val="22"/>
          <w:highlight w:val="none"/>
          <w:lang w:val="en-US" w:eastAsia="zh-CN"/>
        </w:rPr>
        <w:t>生态环境保护规划</w:t>
      </w:r>
      <w:r>
        <w:rPr>
          <w:rFonts w:hint="eastAsia" w:cs="Times New Roman"/>
          <w:bCs w:val="0"/>
          <w:sz w:val="24"/>
          <w:szCs w:val="22"/>
          <w:highlight w:val="none"/>
          <w:lang w:val="en-US" w:eastAsia="zh-CN"/>
        </w:rPr>
        <w:t>〉的通知》</w:t>
      </w:r>
      <w:r>
        <w:rPr>
          <w:rFonts w:hint="default" w:ascii="Times New Roman" w:hAnsi="Times New Roman" w:eastAsia="宋体" w:cs="Times New Roman"/>
          <w:bCs w:val="0"/>
          <w:sz w:val="24"/>
          <w:szCs w:val="22"/>
          <w:highlight w:val="none"/>
          <w:lang w:val="en-US" w:eastAsia="zh-CN"/>
        </w:rPr>
        <w:t>（新兵发〔2021〕36号）</w:t>
      </w:r>
      <w:r>
        <w:rPr>
          <w:rFonts w:hint="default" w:ascii="Times New Roman" w:hAnsi="Times New Roman" w:eastAsia="宋体" w:cs="Times New Roman"/>
          <w:bCs w:val="0"/>
          <w:sz w:val="24"/>
          <w:szCs w:val="22"/>
          <w:highlight w:val="none"/>
        </w:rPr>
        <w:t>；</w:t>
      </w:r>
    </w:p>
    <w:p w14:paraId="0BA6AE7F">
      <w:pPr>
        <w:spacing w:line="360" w:lineRule="auto"/>
        <w:ind w:firstLine="480" w:firstLineChars="200"/>
        <w:rPr>
          <w:rFonts w:hint="default" w:ascii="Times New Roman" w:hAnsi="Times New Roman" w:eastAsia="宋体" w:cs="Times New Roman"/>
          <w:color w:val="auto"/>
          <w:kern w:val="2"/>
          <w:sz w:val="24"/>
          <w:szCs w:val="24"/>
          <w:highlight w:val="none"/>
          <w:lang w:val="de-DE" w:eastAsia="zh-CN" w:bidi="ar-SA"/>
        </w:rPr>
      </w:pPr>
      <w:r>
        <w:rPr>
          <w:rFonts w:hint="eastAsia" w:ascii="Times New Roman" w:hAnsi="Times New Roman" w:cs="Times New Roman"/>
          <w:color w:val="auto"/>
          <w:kern w:val="2"/>
          <w:sz w:val="24"/>
          <w:szCs w:val="24"/>
          <w:highlight w:val="none"/>
          <w:lang w:val="de-DE" w:eastAsia="zh-CN" w:bidi="ar-SA"/>
        </w:rPr>
        <w:t>（</w:t>
      </w:r>
      <w:r>
        <w:rPr>
          <w:rFonts w:hint="eastAsia" w:ascii="Times New Roman" w:hAnsi="Times New Roman" w:cs="Times New Roman"/>
          <w:color w:val="auto"/>
          <w:kern w:val="2"/>
          <w:sz w:val="24"/>
          <w:szCs w:val="24"/>
          <w:highlight w:val="none"/>
          <w:lang w:val="en-US" w:eastAsia="zh-CN" w:bidi="ar-SA"/>
        </w:rPr>
        <w:t>2</w:t>
      </w:r>
      <w:r>
        <w:rPr>
          <w:rFonts w:hint="eastAsia" w:ascii="Times New Roman" w:hAnsi="Times New Roman" w:cs="Times New Roman"/>
          <w:color w:val="auto"/>
          <w:kern w:val="2"/>
          <w:sz w:val="24"/>
          <w:szCs w:val="24"/>
          <w:highlight w:val="none"/>
          <w:lang w:val="de-DE" w:eastAsia="zh-CN" w:bidi="ar-SA"/>
        </w:rPr>
        <w:t>）《新疆生产建设兵团国民经济和社会发展第十四个五年规划和2035年远景目标纲要》；</w:t>
      </w:r>
    </w:p>
    <w:p w14:paraId="5364D8E8">
      <w:pPr>
        <w:spacing w:line="360" w:lineRule="auto"/>
        <w:ind w:firstLine="480" w:firstLineChars="200"/>
        <w:rPr>
          <w:rFonts w:hint="eastAsia" w:ascii="Times New Roman" w:hAnsi="Times New Roman" w:cs="Times New Roman"/>
          <w:color w:val="auto"/>
          <w:kern w:val="0"/>
          <w:sz w:val="24"/>
          <w:szCs w:val="24"/>
          <w:lang w:val="de-DE" w:eastAsia="zh-CN"/>
        </w:rPr>
      </w:pPr>
      <w:r>
        <w:rPr>
          <w:rFonts w:hint="eastAsia" w:ascii="Times New Roman" w:hAnsi="Times New Roman" w:cs="Times New Roman"/>
          <w:color w:val="auto"/>
          <w:kern w:val="2"/>
          <w:sz w:val="24"/>
          <w:szCs w:val="24"/>
          <w:lang w:val="de-DE" w:eastAsia="zh-CN" w:bidi="ar-SA"/>
        </w:rPr>
        <w:t>（</w:t>
      </w:r>
      <w:r>
        <w:rPr>
          <w:rFonts w:hint="eastAsia" w:ascii="Times New Roman" w:hAnsi="Times New Roman" w:cs="Times New Roman"/>
          <w:color w:val="auto"/>
          <w:kern w:val="2"/>
          <w:sz w:val="24"/>
          <w:szCs w:val="24"/>
          <w:lang w:val="en-US" w:eastAsia="zh-CN" w:bidi="ar-SA"/>
        </w:rPr>
        <w:t>3</w:t>
      </w:r>
      <w:r>
        <w:rPr>
          <w:rFonts w:hint="eastAsia" w:ascii="Times New Roman" w:hAnsi="Times New Roman" w:cs="Times New Roman"/>
          <w:color w:val="auto"/>
          <w:kern w:val="2"/>
          <w:sz w:val="24"/>
          <w:szCs w:val="24"/>
          <w:lang w:val="de-DE" w:eastAsia="zh-CN" w:bidi="ar-SA"/>
        </w:rPr>
        <w:t>）</w:t>
      </w:r>
      <w:r>
        <w:rPr>
          <w:rFonts w:hint="default" w:ascii="Times New Roman" w:hAnsi="Times New Roman" w:eastAsia="宋体" w:cs="Times New Roman"/>
          <w:color w:val="auto"/>
          <w:kern w:val="2"/>
          <w:sz w:val="24"/>
          <w:szCs w:val="24"/>
          <w:lang w:val="de-DE" w:eastAsia="zh-CN" w:bidi="ar-SA"/>
        </w:rPr>
        <w:t>《新疆维吾尔自治区畜牧业</w:t>
      </w:r>
      <w:r>
        <w:rPr>
          <w:rFonts w:hint="eastAsia" w:cs="Times New Roman"/>
          <w:color w:val="auto"/>
          <w:kern w:val="2"/>
          <w:sz w:val="24"/>
          <w:szCs w:val="24"/>
          <w:lang w:val="de-DE" w:eastAsia="zh-CN" w:bidi="ar-SA"/>
        </w:rPr>
        <w:t>“</w:t>
      </w:r>
      <w:r>
        <w:rPr>
          <w:rFonts w:hint="default" w:ascii="Times New Roman" w:hAnsi="Times New Roman" w:eastAsia="宋体" w:cs="Times New Roman"/>
          <w:color w:val="auto"/>
          <w:kern w:val="2"/>
          <w:sz w:val="24"/>
          <w:szCs w:val="24"/>
          <w:lang w:val="de-DE" w:eastAsia="zh-CN" w:bidi="ar-SA"/>
        </w:rPr>
        <w:t>十四五</w:t>
      </w:r>
      <w:r>
        <w:rPr>
          <w:rFonts w:hint="eastAsia" w:cs="Times New Roman"/>
          <w:color w:val="auto"/>
          <w:kern w:val="2"/>
          <w:sz w:val="24"/>
          <w:szCs w:val="24"/>
          <w:lang w:val="de-DE" w:eastAsia="zh-CN" w:bidi="ar-SA"/>
        </w:rPr>
        <w:t>”</w:t>
      </w:r>
      <w:r>
        <w:rPr>
          <w:rFonts w:hint="default" w:ascii="Times New Roman" w:hAnsi="Times New Roman" w:eastAsia="宋体" w:cs="Times New Roman"/>
          <w:color w:val="auto"/>
          <w:kern w:val="2"/>
          <w:sz w:val="24"/>
          <w:szCs w:val="24"/>
          <w:lang w:val="de-DE" w:eastAsia="zh-CN" w:bidi="ar-SA"/>
        </w:rPr>
        <w:t>发展规划》</w:t>
      </w:r>
      <w:r>
        <w:rPr>
          <w:rFonts w:hint="eastAsia" w:ascii="Times New Roman" w:hAnsi="Times New Roman" w:cs="Times New Roman"/>
          <w:color w:val="auto"/>
          <w:kern w:val="2"/>
          <w:sz w:val="24"/>
          <w:szCs w:val="24"/>
          <w:lang w:val="de-DE" w:eastAsia="zh-CN" w:bidi="ar-SA"/>
        </w:rPr>
        <w:t>；</w:t>
      </w:r>
    </w:p>
    <w:p w14:paraId="6097055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lang w:eastAsia="zh-CN"/>
        </w:rPr>
      </w:pPr>
      <w:r>
        <w:rPr>
          <w:rFonts w:hint="default" w:ascii="Times New Roman" w:hAnsi="Times New Roman" w:eastAsia="宋体" w:cs="Times New Roman"/>
          <w:bCs w:val="0"/>
          <w:sz w:val="24"/>
          <w:szCs w:val="22"/>
          <w:lang w:eastAsia="zh-CN"/>
        </w:rPr>
        <w:t>（</w:t>
      </w:r>
      <w:r>
        <w:rPr>
          <w:rFonts w:hint="eastAsia" w:ascii="Times New Roman" w:hAnsi="Times New Roman" w:cs="Times New Roman"/>
          <w:bCs w:val="0"/>
          <w:sz w:val="24"/>
          <w:szCs w:val="22"/>
          <w:lang w:val="en-US" w:eastAsia="zh-CN"/>
        </w:rPr>
        <w:t>4</w:t>
      </w:r>
      <w:r>
        <w:rPr>
          <w:rFonts w:hint="default" w:ascii="Times New Roman" w:hAnsi="Times New Roman" w:eastAsia="宋体" w:cs="Times New Roman"/>
          <w:bCs w:val="0"/>
          <w:sz w:val="24"/>
          <w:szCs w:val="22"/>
          <w:lang w:eastAsia="zh-CN"/>
        </w:rPr>
        <w:t>）《全国地下水污染防治规划（2011-2020）》</w:t>
      </w:r>
      <w:r>
        <w:rPr>
          <w:rFonts w:hint="eastAsia" w:ascii="Times New Roman" w:hAnsi="Times New Roman" w:cs="Times New Roman"/>
          <w:bCs w:val="0"/>
          <w:sz w:val="24"/>
          <w:szCs w:val="22"/>
          <w:lang w:eastAsia="zh-CN"/>
        </w:rPr>
        <w:t>；</w:t>
      </w:r>
    </w:p>
    <w:p w14:paraId="7024A46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highlight w:val="none"/>
        </w:rPr>
      </w:pPr>
      <w:r>
        <w:rPr>
          <w:rFonts w:hint="eastAsia" w:ascii="Times New Roman" w:hAnsi="Times New Roman" w:cs="Times New Roman"/>
          <w:bCs w:val="0"/>
          <w:sz w:val="24"/>
          <w:szCs w:val="22"/>
          <w:highlight w:val="none"/>
          <w:lang w:eastAsia="zh-CN"/>
        </w:rPr>
        <w:t>（</w:t>
      </w:r>
      <w:r>
        <w:rPr>
          <w:rFonts w:hint="eastAsia" w:ascii="Times New Roman" w:hAnsi="Times New Roman" w:cs="Times New Roman"/>
          <w:bCs w:val="0"/>
          <w:sz w:val="24"/>
          <w:szCs w:val="22"/>
          <w:highlight w:val="none"/>
          <w:lang w:val="en-US" w:eastAsia="zh-CN"/>
        </w:rPr>
        <w:t>5</w:t>
      </w:r>
      <w:r>
        <w:rPr>
          <w:rFonts w:hint="eastAsia" w:ascii="Times New Roman" w:hAnsi="Times New Roman" w:cs="Times New Roman"/>
          <w:bCs w:val="0"/>
          <w:sz w:val="24"/>
          <w:szCs w:val="22"/>
          <w:highlight w:val="none"/>
          <w:lang w:eastAsia="zh-CN"/>
        </w:rPr>
        <w:t>）</w:t>
      </w:r>
      <w:r>
        <w:rPr>
          <w:rFonts w:hint="default" w:ascii="Times New Roman" w:hAnsi="Times New Roman" w:eastAsia="宋体" w:cs="Times New Roman"/>
          <w:bCs w:val="0"/>
          <w:sz w:val="24"/>
          <w:szCs w:val="22"/>
        </w:rPr>
        <w:t>《新疆维吾尔自治区主体功能区划》</w:t>
      </w:r>
      <w:r>
        <w:rPr>
          <w:rFonts w:hint="eastAsia" w:cs="Times New Roman"/>
          <w:bCs w:val="0"/>
          <w:sz w:val="24"/>
          <w:szCs w:val="22"/>
          <w:lang w:eastAsia="zh-CN"/>
        </w:rPr>
        <w:t>（</w:t>
      </w:r>
      <w:r>
        <w:rPr>
          <w:rFonts w:hint="default" w:ascii="Times New Roman" w:hAnsi="Times New Roman" w:eastAsia="宋体" w:cs="Times New Roman"/>
          <w:bCs w:val="0"/>
          <w:sz w:val="24"/>
          <w:szCs w:val="22"/>
        </w:rPr>
        <w:t>2002年1</w:t>
      </w:r>
      <w:r>
        <w:rPr>
          <w:rFonts w:hint="eastAsia" w:cs="Times New Roman"/>
          <w:bCs w:val="0"/>
          <w:sz w:val="24"/>
          <w:szCs w:val="22"/>
          <w:lang w:val="en-US" w:eastAsia="zh-CN"/>
        </w:rPr>
        <w:t>0</w:t>
      </w:r>
      <w:r>
        <w:rPr>
          <w:rFonts w:hint="default" w:ascii="Times New Roman" w:hAnsi="Times New Roman" w:eastAsia="宋体" w:cs="Times New Roman"/>
          <w:bCs w:val="0"/>
          <w:sz w:val="24"/>
          <w:szCs w:val="22"/>
        </w:rPr>
        <w:t>月）</w:t>
      </w:r>
      <w:r>
        <w:rPr>
          <w:rFonts w:hint="default" w:ascii="Times New Roman" w:hAnsi="Times New Roman" w:eastAsia="宋体" w:cs="Times New Roman"/>
          <w:bCs w:val="0"/>
          <w:sz w:val="24"/>
          <w:szCs w:val="22"/>
          <w:highlight w:val="none"/>
        </w:rPr>
        <w:t>；</w:t>
      </w:r>
    </w:p>
    <w:p w14:paraId="1942407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val="0"/>
          <w:sz w:val="24"/>
          <w:szCs w:val="22"/>
        </w:rPr>
      </w:pPr>
      <w:r>
        <w:rPr>
          <w:rFonts w:hint="default" w:ascii="Times New Roman" w:hAnsi="Times New Roman" w:eastAsia="宋体" w:cs="Times New Roman"/>
          <w:bCs w:val="0"/>
          <w:sz w:val="24"/>
          <w:szCs w:val="22"/>
        </w:rPr>
        <w:t>（</w:t>
      </w:r>
      <w:r>
        <w:rPr>
          <w:rFonts w:hint="eastAsia" w:ascii="Times New Roman" w:hAnsi="Times New Roman" w:cs="Times New Roman"/>
          <w:bCs w:val="0"/>
          <w:sz w:val="24"/>
          <w:szCs w:val="22"/>
          <w:lang w:val="en-US" w:eastAsia="zh-CN"/>
        </w:rPr>
        <w:t>6</w:t>
      </w:r>
      <w:r>
        <w:rPr>
          <w:rFonts w:hint="default" w:ascii="Times New Roman" w:hAnsi="Times New Roman" w:eastAsia="宋体" w:cs="Times New Roman"/>
          <w:bCs w:val="0"/>
          <w:sz w:val="24"/>
          <w:szCs w:val="22"/>
        </w:rPr>
        <w:t>）《中国新疆水环境功能区划》（</w:t>
      </w:r>
      <w:r>
        <w:rPr>
          <w:rFonts w:hint="eastAsia" w:ascii="Times New Roman" w:hAnsi="Times New Roman" w:cs="Times New Roman"/>
          <w:bCs w:val="0"/>
          <w:sz w:val="24"/>
          <w:szCs w:val="22"/>
          <w:lang w:val="en-US" w:eastAsia="zh-CN"/>
        </w:rPr>
        <w:t>原</w:t>
      </w:r>
      <w:r>
        <w:rPr>
          <w:rFonts w:hint="default" w:ascii="Times New Roman" w:hAnsi="Times New Roman" w:eastAsia="宋体" w:cs="Times New Roman"/>
          <w:bCs w:val="0"/>
          <w:sz w:val="24"/>
          <w:szCs w:val="22"/>
        </w:rPr>
        <w:t>新疆</w:t>
      </w:r>
      <w:r>
        <w:rPr>
          <w:rFonts w:hint="eastAsia" w:ascii="Times New Roman" w:hAnsi="Times New Roman" w:cs="Times New Roman"/>
          <w:bCs w:val="0"/>
          <w:sz w:val="24"/>
          <w:szCs w:val="22"/>
          <w:lang w:val="en-US" w:eastAsia="zh-CN"/>
        </w:rPr>
        <w:t>维吾尔</w:t>
      </w:r>
      <w:r>
        <w:rPr>
          <w:rFonts w:hint="default" w:ascii="Times New Roman" w:hAnsi="Times New Roman" w:eastAsia="宋体" w:cs="Times New Roman"/>
          <w:bCs w:val="0"/>
          <w:sz w:val="24"/>
          <w:szCs w:val="22"/>
        </w:rPr>
        <w:t>自治区</w:t>
      </w:r>
      <w:r>
        <w:rPr>
          <w:rFonts w:hint="eastAsia" w:ascii="Times New Roman" w:hAnsi="Times New Roman" w:cs="Times New Roman"/>
          <w:bCs w:val="0"/>
          <w:sz w:val="24"/>
          <w:szCs w:val="22"/>
          <w:lang w:val="en-US" w:eastAsia="zh-CN"/>
        </w:rPr>
        <w:t>环境保护局</w:t>
      </w:r>
      <w:r>
        <w:rPr>
          <w:rFonts w:hint="default" w:ascii="Times New Roman" w:hAnsi="Times New Roman" w:eastAsia="宋体" w:cs="Times New Roman"/>
          <w:bCs w:val="0"/>
          <w:sz w:val="24"/>
          <w:szCs w:val="22"/>
        </w:rPr>
        <w:t>，2002年11月）；</w:t>
      </w:r>
    </w:p>
    <w:p w14:paraId="696A9287">
      <w:pPr>
        <w:spacing w:line="360" w:lineRule="auto"/>
        <w:ind w:firstLine="480" w:firstLineChars="200"/>
        <w:rPr>
          <w:rFonts w:hint="default" w:ascii="Times New Roman" w:hAnsi="Times New Roman" w:eastAsia="宋体" w:cs="Times New Roman"/>
          <w:bCs w:val="0"/>
          <w:sz w:val="24"/>
          <w:szCs w:val="22"/>
          <w:lang w:eastAsia="zh-CN"/>
        </w:rPr>
      </w:pPr>
      <w:r>
        <w:rPr>
          <w:rFonts w:hint="eastAsia" w:cs="Times New Roman"/>
          <w:kern w:val="2"/>
          <w:sz w:val="24"/>
          <w:szCs w:val="24"/>
          <w:highlight w:val="none"/>
          <w:lang w:val="en-US" w:eastAsia="zh-CN" w:bidi="ar-SA"/>
        </w:rPr>
        <w:t>（7）</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第七师关于划定畜禽养殖禁养区和限养区的方案</w:t>
      </w:r>
      <w:r>
        <w:rPr>
          <w:rFonts w:hint="eastAsia" w:cs="Times New Roman"/>
          <w:kern w:val="2"/>
          <w:sz w:val="24"/>
          <w:szCs w:val="24"/>
          <w:lang w:val="en-US" w:eastAsia="zh-CN" w:bidi="ar-SA"/>
        </w:rPr>
        <w:t>》</w:t>
      </w:r>
    </w:p>
    <w:p w14:paraId="52FDC9EB">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color w:val="000000"/>
          <w:kern w:val="2"/>
          <w:sz w:val="24"/>
          <w:szCs w:val="28"/>
          <w:lang w:val="en-US" w:eastAsia="zh-CN" w:bidi="ar-SA"/>
        </w:rPr>
      </w:pPr>
      <w:bookmarkStart w:id="104" w:name="_Toc23895"/>
      <w:bookmarkStart w:id="105" w:name="_Toc28674"/>
      <w:r>
        <w:rPr>
          <w:rFonts w:hint="default" w:ascii="Times New Roman" w:hAnsi="Times New Roman" w:eastAsia="宋体" w:cs="Times New Roman"/>
          <w:b/>
          <w:bCs/>
          <w:snapToGrid w:val="0"/>
          <w:kern w:val="2"/>
          <w:sz w:val="28"/>
          <w:szCs w:val="28"/>
          <w:lang w:val="en-US" w:eastAsia="zh-CN" w:bidi="ar-SA"/>
        </w:rPr>
        <w:t>2.1.</w:t>
      </w:r>
      <w:r>
        <w:rPr>
          <w:rFonts w:hint="eastAsia" w:ascii="Times New Roman" w:hAnsi="Times New Roman" w:eastAsia="宋体" w:cs="Times New Roman"/>
          <w:b/>
          <w:bCs/>
          <w:snapToGrid w:val="0"/>
          <w:kern w:val="2"/>
          <w:sz w:val="28"/>
          <w:szCs w:val="28"/>
          <w:lang w:val="en-US" w:eastAsia="zh-CN" w:bidi="ar-SA"/>
        </w:rPr>
        <w:t>6</w:t>
      </w:r>
      <w:r>
        <w:rPr>
          <w:rFonts w:hint="default" w:ascii="Times New Roman" w:hAnsi="Times New Roman" w:eastAsia="宋体" w:cs="Times New Roman"/>
          <w:b/>
          <w:bCs/>
          <w:snapToGrid w:val="0"/>
          <w:kern w:val="2"/>
          <w:sz w:val="28"/>
          <w:szCs w:val="28"/>
          <w:lang w:val="en-US" w:eastAsia="zh-CN" w:bidi="ar-SA"/>
        </w:rPr>
        <w:t>项目有关文件</w:t>
      </w:r>
      <w:bookmarkEnd w:id="89"/>
      <w:bookmarkEnd w:id="90"/>
      <w:bookmarkEnd w:id="91"/>
      <w:bookmarkEnd w:id="92"/>
      <w:r>
        <w:rPr>
          <w:rFonts w:hint="default" w:ascii="Times New Roman" w:hAnsi="Times New Roman" w:eastAsia="宋体" w:cs="Times New Roman"/>
          <w:b/>
          <w:bCs/>
          <w:snapToGrid w:val="0"/>
          <w:kern w:val="2"/>
          <w:sz w:val="28"/>
          <w:szCs w:val="28"/>
          <w:lang w:val="en-US" w:eastAsia="zh-CN" w:bidi="ar-SA"/>
        </w:rPr>
        <w:t>资料</w:t>
      </w:r>
      <w:bookmarkEnd w:id="93"/>
      <w:bookmarkEnd w:id="94"/>
      <w:bookmarkEnd w:id="95"/>
      <w:bookmarkEnd w:id="96"/>
      <w:bookmarkEnd w:id="97"/>
      <w:bookmarkEnd w:id="104"/>
      <w:bookmarkEnd w:id="105"/>
    </w:p>
    <w:p w14:paraId="4B518B1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w:t>
      </w:r>
      <w:r>
        <w:rPr>
          <w:rFonts w:hint="eastAsia" w:ascii="Times New Roman" w:hAnsi="Times New Roman" w:cs="Times New Roman"/>
          <w:color w:val="000000"/>
          <w:sz w:val="24"/>
          <w:lang w:val="en-US" w:eastAsia="zh-CN"/>
        </w:rPr>
        <w:t>1</w:t>
      </w:r>
      <w:r>
        <w:rPr>
          <w:rFonts w:hint="default" w:ascii="Times New Roman" w:hAnsi="Times New Roman" w:eastAsia="宋体" w:cs="Times New Roman"/>
          <w:color w:val="000000"/>
          <w:sz w:val="24"/>
        </w:rPr>
        <w:t>）胡杨河市鑫驰农牧有限责任公司育肥牛养殖改扩建建设项目</w:t>
      </w:r>
      <w:r>
        <w:rPr>
          <w:rFonts w:hint="default" w:ascii="Times New Roman" w:hAnsi="Times New Roman" w:eastAsia="宋体" w:cs="Times New Roman"/>
          <w:kern w:val="2"/>
          <w:sz w:val="24"/>
          <w:szCs w:val="24"/>
          <w:lang w:val="en-US" w:eastAsia="zh-CN" w:bidi="ar-SA"/>
        </w:rPr>
        <w:t>环境影响评价工作委托书；</w:t>
      </w:r>
    </w:p>
    <w:p w14:paraId="3E8C0D7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color w:val="000000"/>
          <w:sz w:val="24"/>
        </w:rPr>
        <w:t>（</w:t>
      </w:r>
      <w:r>
        <w:rPr>
          <w:rFonts w:hint="eastAsia" w:ascii="Times New Roman" w:hAnsi="Times New Roman" w:cs="Times New Roman"/>
          <w:color w:val="000000"/>
          <w:sz w:val="24"/>
          <w:lang w:val="en-US" w:eastAsia="zh-CN"/>
        </w:rPr>
        <w:t>2</w:t>
      </w:r>
      <w:r>
        <w:rPr>
          <w:rFonts w:hint="default" w:ascii="Times New Roman" w:hAnsi="Times New Roman" w:eastAsia="宋体" w:cs="Times New Roman"/>
          <w:color w:val="000000"/>
          <w:sz w:val="24"/>
        </w:rPr>
        <w:t>）</w:t>
      </w:r>
      <w:r>
        <w:rPr>
          <w:rFonts w:hint="eastAsia" w:cs="Times New Roman"/>
          <w:sz w:val="24"/>
          <w:szCs w:val="24"/>
          <w:vertAlign w:val="baseline"/>
          <w:lang w:val="en-US" w:eastAsia="zh-CN" w:bidi="ar-SA"/>
        </w:rPr>
        <w:t>新疆生产建设兵团投资项目备案证（经发办备</w:t>
      </w:r>
      <w:r>
        <w:rPr>
          <w:rFonts w:hint="eastAsia" w:ascii="Times New Roman" w:hAnsi="Times New Roman" w:eastAsia="宋体" w:cs="Times New Roman"/>
          <w:color w:val="auto"/>
          <w:sz w:val="24"/>
          <w:szCs w:val="24"/>
          <w:highlight w:val="none"/>
          <w:lang w:val="en-US" w:eastAsia="zh-CN" w:bidi="ar-SA"/>
        </w:rPr>
        <w:t>〔20</w:t>
      </w:r>
      <w:r>
        <w:rPr>
          <w:rFonts w:hint="eastAsia" w:eastAsia="宋体" w:cs="Times New Roman"/>
          <w:color w:val="auto"/>
          <w:sz w:val="24"/>
          <w:szCs w:val="24"/>
          <w:highlight w:val="none"/>
          <w:lang w:val="en-US" w:eastAsia="zh-CN" w:bidi="ar-SA"/>
        </w:rPr>
        <w:t>26</w:t>
      </w:r>
      <w:r>
        <w:rPr>
          <w:rFonts w:hint="eastAsia" w:ascii="Times New Roman" w:hAnsi="Times New Roman" w:eastAsia="宋体" w:cs="Times New Roman"/>
          <w:color w:val="auto"/>
          <w:sz w:val="24"/>
          <w:szCs w:val="24"/>
          <w:highlight w:val="none"/>
          <w:lang w:val="en-US" w:eastAsia="zh-CN" w:bidi="ar-SA"/>
        </w:rPr>
        <w:t>〕</w:t>
      </w:r>
      <w:r>
        <w:rPr>
          <w:rFonts w:hint="eastAsia" w:eastAsia="宋体" w:cs="Times New Roman"/>
          <w:color w:val="auto"/>
          <w:sz w:val="24"/>
          <w:szCs w:val="24"/>
          <w:highlight w:val="none"/>
          <w:lang w:val="en-US" w:eastAsia="zh-CN" w:bidi="ar-SA"/>
        </w:rPr>
        <w:t>010号</w:t>
      </w:r>
      <w:r>
        <w:rPr>
          <w:rFonts w:hint="eastAsia" w:cs="Times New Roman"/>
          <w:sz w:val="24"/>
          <w:szCs w:val="24"/>
          <w:vertAlign w:val="baseline"/>
          <w:lang w:val="en-US" w:eastAsia="zh-CN" w:bidi="ar-SA"/>
        </w:rPr>
        <w:t>）</w:t>
      </w:r>
      <w:r>
        <w:rPr>
          <w:rFonts w:hint="eastAsia" w:cs="Times New Roman"/>
          <w:color w:val="000000"/>
          <w:sz w:val="24"/>
          <w:lang w:val="en-US" w:eastAsia="zh-CN"/>
        </w:rPr>
        <w:t>；</w:t>
      </w:r>
    </w:p>
    <w:p w14:paraId="3A19678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w:t>
      </w:r>
      <w:r>
        <w:rPr>
          <w:rFonts w:hint="eastAsia" w:ascii="Times New Roman" w:hAnsi="Times New Roman" w:cs="Times New Roman"/>
          <w:kern w:val="2"/>
          <w:sz w:val="24"/>
          <w:szCs w:val="24"/>
          <w:lang w:val="en-US" w:eastAsia="zh-CN" w:bidi="ar-SA"/>
        </w:rPr>
        <w:t>3</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color w:val="000000"/>
          <w:sz w:val="24"/>
        </w:rPr>
        <w:t>环境质量现状监测资料；</w:t>
      </w:r>
    </w:p>
    <w:p w14:paraId="323E206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（4）</w:t>
      </w:r>
      <w:r>
        <w:rPr>
          <w:rFonts w:hint="default" w:ascii="Times New Roman" w:hAnsi="Times New Roman" w:cs="Times New Roman"/>
          <w:color w:val="000000"/>
          <w:sz w:val="24"/>
        </w:rPr>
        <w:t>建设单位提供的</w:t>
      </w:r>
      <w:r>
        <w:rPr>
          <w:rFonts w:hint="eastAsia" w:ascii="Times New Roman" w:hAnsi="Times New Roman" w:cs="Times New Roman"/>
          <w:color w:val="000000"/>
          <w:sz w:val="24"/>
          <w:lang w:val="en-US" w:eastAsia="zh-CN"/>
        </w:rPr>
        <w:t>相关</w:t>
      </w:r>
      <w:r>
        <w:rPr>
          <w:rFonts w:hint="eastAsia" w:cs="Times New Roman"/>
          <w:color w:val="000000"/>
          <w:sz w:val="24"/>
          <w:lang w:val="en-US" w:eastAsia="zh-CN"/>
        </w:rPr>
        <w:t>技术</w:t>
      </w:r>
      <w:r>
        <w:rPr>
          <w:rFonts w:hint="default" w:ascii="Times New Roman" w:hAnsi="Times New Roman" w:cs="Times New Roman"/>
          <w:color w:val="000000"/>
          <w:sz w:val="24"/>
        </w:rPr>
        <w:t>资料。</w:t>
      </w:r>
    </w:p>
    <w:p w14:paraId="69BF4805">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106" w:name="_Toc5621"/>
      <w:bookmarkStart w:id="107" w:name="_Toc137476634"/>
      <w:bookmarkStart w:id="108" w:name="_Toc10027441"/>
      <w:bookmarkStart w:id="109" w:name="_Toc68274945"/>
      <w:bookmarkStart w:id="110" w:name="_Toc45290825"/>
      <w:bookmarkStart w:id="111" w:name="_Toc9756895"/>
      <w:bookmarkStart w:id="112" w:name="_Toc1715"/>
      <w:bookmarkStart w:id="113" w:name="_Toc141027208"/>
      <w:bookmarkStart w:id="114" w:name="_Toc38885385"/>
      <w:bookmarkStart w:id="115" w:name="_Toc44992225"/>
      <w:bookmarkStart w:id="116" w:name="_Toc90772631"/>
      <w:bookmarkStart w:id="117" w:name="_Toc370052883"/>
      <w:bookmarkStart w:id="118" w:name="_Toc677"/>
      <w:bookmarkStart w:id="119" w:name="_Toc10030068"/>
      <w:bookmarkStart w:id="120" w:name="_Toc8395428"/>
      <w:bookmarkStart w:id="121" w:name="_Toc71014779"/>
      <w:bookmarkStart w:id="122" w:name="_Toc5772"/>
      <w:bookmarkStart w:id="123" w:name="_Toc213568848"/>
      <w:bookmarkStart w:id="124" w:name="_Toc60199612"/>
      <w:bookmarkStart w:id="125" w:name="_Toc13701"/>
      <w:bookmarkStart w:id="126" w:name="_Toc132596256"/>
      <w:bookmarkStart w:id="127" w:name="_Toc38679855"/>
      <w:bookmarkStart w:id="128" w:name="_Toc60281539"/>
      <w:bookmarkStart w:id="129" w:name="_Toc9152940"/>
      <w:bookmarkStart w:id="130" w:name="_Toc498021282"/>
      <w:bookmarkStart w:id="131" w:name="_Toc90770960"/>
      <w:r>
        <w:rPr>
          <w:rFonts w:hint="default" w:ascii="Times New Roman" w:hAnsi="Times New Roman" w:eastAsia="宋体" w:cs="Times New Roman"/>
          <w:b/>
          <w:bCs/>
          <w:kern w:val="2"/>
          <w:sz w:val="30"/>
          <w:szCs w:val="30"/>
          <w:lang w:val="en-US" w:eastAsia="zh-CN" w:bidi="ar-SA"/>
        </w:rPr>
        <w:t>2.2评价目的和工作原则</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6E575A68">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kern w:val="2"/>
          <w:sz w:val="28"/>
          <w:szCs w:val="28"/>
          <w:lang w:val="en-US" w:eastAsia="zh-CN" w:bidi="ar-SA"/>
        </w:rPr>
      </w:pPr>
      <w:bookmarkStart w:id="132" w:name="_Toc90772632"/>
      <w:bookmarkStart w:id="133" w:name="_Toc10030069"/>
      <w:bookmarkStart w:id="134" w:name="_Toc28893"/>
      <w:bookmarkStart w:id="135" w:name="_Toc29548"/>
      <w:bookmarkStart w:id="136" w:name="_Toc44992226"/>
      <w:bookmarkStart w:id="137" w:name="_Toc10027442"/>
      <w:bookmarkStart w:id="138" w:name="_Toc68274946"/>
      <w:bookmarkStart w:id="139" w:name="_Toc9152941"/>
      <w:bookmarkStart w:id="140" w:name="_Toc9756896"/>
      <w:bookmarkStart w:id="141" w:name="_Toc60199613"/>
      <w:bookmarkStart w:id="142" w:name="_Toc90770961"/>
      <w:bookmarkStart w:id="143" w:name="_Toc137476635"/>
      <w:bookmarkStart w:id="144" w:name="_Toc13691"/>
      <w:bookmarkStart w:id="145" w:name="_Toc38679856"/>
      <w:bookmarkStart w:id="146" w:name="_Toc45290826"/>
      <w:bookmarkStart w:id="147" w:name="_Toc498021283"/>
      <w:bookmarkStart w:id="148" w:name="_Toc8395429"/>
      <w:bookmarkStart w:id="149" w:name="_Toc23121"/>
      <w:r>
        <w:rPr>
          <w:rFonts w:hint="default" w:ascii="Times New Roman" w:hAnsi="Times New Roman" w:eastAsia="宋体" w:cs="Times New Roman"/>
          <w:b/>
          <w:bCs/>
          <w:kern w:val="2"/>
          <w:sz w:val="28"/>
          <w:szCs w:val="28"/>
          <w:lang w:val="en-US" w:eastAsia="zh-CN" w:bidi="ar-SA"/>
        </w:rPr>
        <w:t>2.2.1评价目的</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4CBC1F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（1）通过现场调查、资料收集及环境监测，了解项目所在地自然环境、社会经济环境、环境质量现状以及存在的主要环境问题。</w:t>
      </w:r>
    </w:p>
    <w:p w14:paraId="740402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（2）从工艺着手，分析生产工艺、生产设备及原辅材料的消耗，掌握主要污染源及排放状况。</w:t>
      </w:r>
    </w:p>
    <w:p w14:paraId="2292D2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（3）通过分析和计算，预测污染物排放对周围环境的影响程度，判断其是否满足环境质量标准要求。</w:t>
      </w:r>
    </w:p>
    <w:p w14:paraId="145719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（4）从技术、经济角度分析拟采取的环保措施的可行性，为工程环保措施的设计和环境管理提供依据。</w:t>
      </w:r>
    </w:p>
    <w:p w14:paraId="0AA2AB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（5）从环保法规、产业政策、环境特点、污染防治等方面进行综合分析，对本项目的环境可行性</w:t>
      </w:r>
      <w:r>
        <w:rPr>
          <w:rFonts w:hint="eastAsia" w:cs="Times New Roman"/>
          <w:kern w:val="2"/>
          <w:sz w:val="24"/>
          <w:szCs w:val="24"/>
          <w:lang w:val="en-US" w:eastAsia="zh-CN" w:bidi="ar-SA"/>
        </w:rPr>
        <w:t>作出</w:t>
      </w:r>
      <w:r>
        <w:rPr>
          <w:rFonts w:hint="default" w:ascii="Times New Roman" w:hAnsi="Times New Roman" w:eastAsia="宋体" w:cs="Times New Roman"/>
          <w:kern w:val="2"/>
          <w:sz w:val="24"/>
          <w:szCs w:val="24"/>
          <w:lang w:val="en-US" w:eastAsia="zh-CN" w:bidi="ar-SA"/>
        </w:rPr>
        <w:t>明确结论。</w:t>
      </w:r>
    </w:p>
    <w:p w14:paraId="48F8D8F6">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kern w:val="2"/>
          <w:sz w:val="28"/>
          <w:szCs w:val="28"/>
          <w:lang w:val="en-US" w:eastAsia="zh-CN" w:bidi="ar-SA"/>
        </w:rPr>
      </w:pPr>
      <w:bookmarkStart w:id="150" w:name="_Toc25282"/>
      <w:bookmarkStart w:id="151" w:name="_Toc28576"/>
      <w:bookmarkStart w:id="152" w:name="_Toc31636"/>
      <w:bookmarkStart w:id="153" w:name="_Toc2181"/>
      <w:bookmarkStart w:id="154" w:name="_Toc90770962"/>
      <w:bookmarkStart w:id="155" w:name="_Toc137476636"/>
      <w:bookmarkStart w:id="156" w:name="_Toc90772633"/>
      <w:r>
        <w:rPr>
          <w:rFonts w:hint="default" w:ascii="Times New Roman" w:hAnsi="Times New Roman" w:eastAsia="宋体" w:cs="Times New Roman"/>
          <w:b/>
          <w:bCs/>
          <w:kern w:val="2"/>
          <w:sz w:val="28"/>
          <w:szCs w:val="28"/>
          <w:lang w:val="en-US" w:eastAsia="zh-CN" w:bidi="ar-SA"/>
        </w:rPr>
        <w:t>2.2.2</w:t>
      </w:r>
      <w:bookmarkEnd w:id="150"/>
      <w:bookmarkEnd w:id="151"/>
      <w:bookmarkEnd w:id="152"/>
      <w:bookmarkEnd w:id="153"/>
      <w:bookmarkStart w:id="157" w:name="_Toc16229"/>
      <w:bookmarkStart w:id="158" w:name="_Toc20709"/>
      <w:bookmarkStart w:id="159" w:name="_Toc29263"/>
      <w:bookmarkStart w:id="160" w:name="_Toc2819"/>
      <w:r>
        <w:rPr>
          <w:rFonts w:hint="default" w:ascii="Times New Roman" w:hAnsi="Times New Roman" w:eastAsia="宋体" w:cs="Times New Roman"/>
          <w:b/>
          <w:bCs/>
          <w:kern w:val="2"/>
          <w:sz w:val="28"/>
          <w:szCs w:val="28"/>
          <w:lang w:val="en-US" w:eastAsia="zh-CN" w:bidi="ar-SA"/>
        </w:rPr>
        <w:t>工作原则</w:t>
      </w:r>
      <w:bookmarkEnd w:id="154"/>
      <w:bookmarkEnd w:id="155"/>
      <w:bookmarkEnd w:id="156"/>
      <w:bookmarkEnd w:id="157"/>
      <w:bookmarkEnd w:id="158"/>
      <w:bookmarkEnd w:id="159"/>
      <w:bookmarkEnd w:id="160"/>
    </w:p>
    <w:p w14:paraId="606525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突出环境影响评价的源头预防作用，坚持保护和改善环境质量。</w:t>
      </w:r>
    </w:p>
    <w:p w14:paraId="1D9BBA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（1）依法评价</w:t>
      </w:r>
    </w:p>
    <w:p w14:paraId="059B15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贯彻执行我国环境保护相关法律法规、标准、政策和规划等，优化项目建设，服务环境管理。</w:t>
      </w:r>
    </w:p>
    <w:p w14:paraId="2F239B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（2）科学评价</w:t>
      </w:r>
    </w:p>
    <w:p w14:paraId="07DC1F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规范环境影响评价方法，科学分析项目建设对环境质量的影响。</w:t>
      </w:r>
    </w:p>
    <w:p w14:paraId="6136AC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（3）突出重点</w:t>
      </w:r>
    </w:p>
    <w:p w14:paraId="41B3BA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根据建设项目的工程内容及其特点，明确与环境要素间的作用效应关系，根据规划环境影响评价结论和审查意见，充分利用符合时效的数据资料及成果，对建设项目主要环境影响予以重点分析和评价。</w:t>
      </w:r>
    </w:p>
    <w:p w14:paraId="5FCCFA22">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161" w:name="_Toc12516"/>
      <w:bookmarkStart w:id="162" w:name="_Toc1189"/>
      <w:bookmarkStart w:id="163" w:name="_Toc30175"/>
      <w:bookmarkStart w:id="164" w:name="_Toc13856"/>
      <w:bookmarkStart w:id="165" w:name="_Toc31301"/>
      <w:bookmarkStart w:id="166" w:name="_Toc29202"/>
      <w:bookmarkStart w:id="167" w:name="_Toc5501"/>
      <w:bookmarkStart w:id="168" w:name="_Toc32027"/>
      <w:r>
        <w:rPr>
          <w:rFonts w:hint="default" w:ascii="Times New Roman" w:hAnsi="Times New Roman" w:eastAsia="宋体" w:cs="Times New Roman"/>
          <w:b/>
          <w:bCs/>
          <w:kern w:val="2"/>
          <w:sz w:val="30"/>
          <w:szCs w:val="30"/>
          <w:lang w:val="en-US" w:eastAsia="zh-CN" w:bidi="ar-SA"/>
        </w:rPr>
        <w:t>2.3评价因子识别与筛选</w:t>
      </w:r>
      <w:bookmarkEnd w:id="161"/>
      <w:bookmarkEnd w:id="162"/>
      <w:bookmarkEnd w:id="163"/>
      <w:bookmarkEnd w:id="164"/>
      <w:bookmarkEnd w:id="165"/>
      <w:bookmarkEnd w:id="166"/>
      <w:bookmarkEnd w:id="167"/>
      <w:bookmarkEnd w:id="168"/>
    </w:p>
    <w:p w14:paraId="1CB56C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根据工程的特征、阶段（施工期、运营期）和所处区域的环境特征，全面分析判别本项目建设对环境可能产生影响的因素、影响途径，初步估算影响程度。通过筛选确定本次评价重点和评价因子。</w:t>
      </w:r>
    </w:p>
    <w:p w14:paraId="25556CD2">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kern w:val="2"/>
          <w:sz w:val="28"/>
          <w:szCs w:val="28"/>
          <w:lang w:val="en-US" w:eastAsia="zh-CN" w:bidi="ar-SA"/>
        </w:rPr>
      </w:pPr>
      <w:bookmarkStart w:id="169" w:name="_Toc16689"/>
      <w:bookmarkStart w:id="170" w:name="_Toc29257"/>
      <w:bookmarkStart w:id="171" w:name="_Toc28948"/>
      <w:r>
        <w:rPr>
          <w:rFonts w:hint="default" w:ascii="Times New Roman" w:hAnsi="Times New Roman" w:eastAsia="宋体" w:cs="Times New Roman"/>
          <w:b/>
          <w:bCs/>
          <w:kern w:val="2"/>
          <w:sz w:val="28"/>
          <w:szCs w:val="28"/>
          <w:lang w:val="en-US" w:eastAsia="zh-CN" w:bidi="ar-SA"/>
        </w:rPr>
        <w:t>2.3.1 影响因素识别</w:t>
      </w:r>
      <w:bookmarkEnd w:id="169"/>
      <w:bookmarkEnd w:id="170"/>
      <w:bookmarkEnd w:id="171"/>
    </w:p>
    <w:p w14:paraId="1545A4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4"/>
          <w:szCs w:val="24"/>
          <w:lang w:val="en-US" w:eastAsia="zh-CN" w:bidi="ar-SA"/>
        </w:rPr>
        <w:t>根据项目的排污特点及所处环境特征，环境影响因子的识别见表2.3-1。</w:t>
      </w:r>
    </w:p>
    <w:p w14:paraId="01FDAC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val="0"/>
          <w:color w:val="auto"/>
          <w:kern w:val="2"/>
          <w:sz w:val="24"/>
          <w:szCs w:val="24"/>
          <w:lang w:val="en-US" w:eastAsia="zh-CN" w:bidi="ar-SA"/>
        </w:rPr>
      </w:pPr>
      <w:r>
        <w:rPr>
          <w:rFonts w:hint="default" w:ascii="Times New Roman" w:hAnsi="Times New Roman" w:eastAsia="宋体" w:cs="Times New Roman"/>
          <w:b/>
          <w:bCs w:val="0"/>
          <w:color w:val="auto"/>
          <w:kern w:val="2"/>
          <w:sz w:val="24"/>
          <w:szCs w:val="24"/>
          <w:lang w:val="en-US" w:eastAsia="zh-CN" w:bidi="ar-SA"/>
        </w:rPr>
        <w:t>表2.3-1建设项目环境影响识别</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57" w:type="dxa"/>
          <w:bottom w:w="0" w:type="dxa"/>
          <w:right w:w="57" w:type="dxa"/>
        </w:tblCellMar>
      </w:tblPr>
      <w:tblGrid>
        <w:gridCol w:w="707"/>
        <w:gridCol w:w="1310"/>
        <w:gridCol w:w="916"/>
        <w:gridCol w:w="1113"/>
        <w:gridCol w:w="1114"/>
        <w:gridCol w:w="1114"/>
        <w:gridCol w:w="1116"/>
        <w:gridCol w:w="1114"/>
      </w:tblGrid>
      <w:tr w14:paraId="41CFB8F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1207" w:type="dxa"/>
            <w:gridSpan w:val="2"/>
            <w:vMerge w:val="restart"/>
            <w:tcBorders>
              <w:tl2br w:val="single" w:color="000000" w:sz="4" w:space="0"/>
            </w:tcBorders>
            <w:noWrap w:val="0"/>
            <w:vAlign w:val="top"/>
          </w:tcPr>
          <w:p w14:paraId="54CBC3E4">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Times New Roman"/>
                <w:b/>
                <w:bCs/>
                <w:color w:val="000000"/>
                <w:kern w:val="0"/>
                <w:sz w:val="21"/>
                <w:szCs w:val="24"/>
                <w:highlight w:val="none"/>
                <w:lang w:val="en-US" w:eastAsia="zh-CN" w:bidi="ar-SA"/>
              </w:rPr>
            </w:pPr>
            <w:bookmarkStart w:id="172" w:name="_Toc26382"/>
            <w:bookmarkStart w:id="173" w:name="_Toc14925"/>
            <w:bookmarkStart w:id="174" w:name="_Toc27376"/>
            <w:bookmarkStart w:id="175" w:name="_Toc16887"/>
            <w:r>
              <w:rPr>
                <w:rFonts w:hint="default" w:ascii="Times New Roman" w:hAnsi="Times New Roman" w:eastAsia="宋体" w:cs="Times New Roman"/>
                <w:b/>
                <w:bCs/>
                <w:color w:val="000000"/>
                <w:kern w:val="0"/>
                <w:sz w:val="21"/>
                <w:szCs w:val="24"/>
                <w:highlight w:val="none"/>
                <w:lang w:val="en-US" w:eastAsia="zh-CN" w:bidi="ar-SA"/>
              </w:rPr>
              <w:t>影响受体</w:t>
            </w:r>
          </w:p>
          <w:p w14:paraId="288282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4"/>
                <w:highlight w:val="none"/>
                <w:lang w:val="en-US" w:eastAsia="zh-CN" w:bidi="ar-SA"/>
              </w:rPr>
            </w:pPr>
          </w:p>
          <w:p w14:paraId="62FDFD1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黑体" w:cs="Times New Roman"/>
                <w:b/>
                <w:bCs/>
                <w:color w:val="000000"/>
                <w:kern w:val="0"/>
                <w:sz w:val="24"/>
                <w:szCs w:val="24"/>
                <w:highlight w:val="none"/>
                <w:lang w:val="en-US" w:eastAsia="zh-CN" w:bidi="ar-SA"/>
              </w:rPr>
            </w:pPr>
            <w:r>
              <w:rPr>
                <w:rFonts w:hint="default" w:ascii="Times New Roman" w:hAnsi="Times New Roman" w:eastAsia="宋体" w:cs="Times New Roman"/>
                <w:b/>
                <w:bCs/>
                <w:color w:val="000000"/>
                <w:kern w:val="0"/>
                <w:sz w:val="21"/>
                <w:szCs w:val="24"/>
                <w:highlight w:val="none"/>
                <w:lang w:val="en-US" w:eastAsia="zh-CN" w:bidi="ar-SA"/>
              </w:rPr>
              <w:t>影响因素</w:t>
            </w:r>
          </w:p>
        </w:tc>
        <w:tc>
          <w:tcPr>
            <w:tcW w:w="3216" w:type="dxa"/>
            <w:gridSpan w:val="5"/>
            <w:noWrap w:val="0"/>
            <w:vAlign w:val="center"/>
          </w:tcPr>
          <w:p w14:paraId="6B2568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自然环境</w:t>
            </w:r>
          </w:p>
        </w:tc>
        <w:tc>
          <w:tcPr>
            <w:tcW w:w="667" w:type="dxa"/>
            <w:noWrap w:val="0"/>
            <w:vAlign w:val="center"/>
          </w:tcPr>
          <w:p w14:paraId="1DFCA6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生态环境</w:t>
            </w:r>
          </w:p>
        </w:tc>
      </w:tr>
      <w:tr w14:paraId="192EC6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1207" w:type="dxa"/>
            <w:gridSpan w:val="2"/>
            <w:vMerge w:val="continue"/>
            <w:noWrap w:val="0"/>
            <w:vAlign w:val="center"/>
          </w:tcPr>
          <w:p w14:paraId="6C913E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b/>
                <w:bCs/>
                <w:color w:val="000000"/>
                <w:kern w:val="0"/>
                <w:sz w:val="24"/>
                <w:szCs w:val="24"/>
                <w:highlight w:val="none"/>
                <w:lang w:val="en-US" w:eastAsia="zh-CN" w:bidi="ar-SA"/>
              </w:rPr>
            </w:pPr>
          </w:p>
        </w:tc>
        <w:tc>
          <w:tcPr>
            <w:tcW w:w="548" w:type="dxa"/>
            <w:noWrap w:val="0"/>
            <w:vAlign w:val="center"/>
          </w:tcPr>
          <w:p w14:paraId="03A43B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环境空气</w:t>
            </w:r>
          </w:p>
        </w:tc>
        <w:tc>
          <w:tcPr>
            <w:tcW w:w="666" w:type="dxa"/>
            <w:noWrap w:val="0"/>
            <w:vAlign w:val="center"/>
          </w:tcPr>
          <w:p w14:paraId="10E8D3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地表水</w:t>
            </w:r>
          </w:p>
        </w:tc>
        <w:tc>
          <w:tcPr>
            <w:tcW w:w="667" w:type="dxa"/>
            <w:noWrap w:val="0"/>
            <w:vAlign w:val="center"/>
          </w:tcPr>
          <w:p w14:paraId="31A876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地下水</w:t>
            </w:r>
          </w:p>
        </w:tc>
        <w:tc>
          <w:tcPr>
            <w:tcW w:w="667" w:type="dxa"/>
            <w:noWrap w:val="0"/>
            <w:vAlign w:val="center"/>
          </w:tcPr>
          <w:p w14:paraId="2C112D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土壤环境</w:t>
            </w:r>
          </w:p>
        </w:tc>
        <w:tc>
          <w:tcPr>
            <w:tcW w:w="668" w:type="dxa"/>
            <w:noWrap w:val="0"/>
            <w:vAlign w:val="center"/>
          </w:tcPr>
          <w:p w14:paraId="1BCB70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声环境</w:t>
            </w:r>
          </w:p>
        </w:tc>
        <w:tc>
          <w:tcPr>
            <w:tcW w:w="667" w:type="dxa"/>
            <w:noWrap w:val="0"/>
            <w:vAlign w:val="center"/>
          </w:tcPr>
          <w:p w14:paraId="288842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default" w:ascii="Times New Roman" w:hAnsi="Times New Roman" w:eastAsia="宋体" w:cs="Times New Roman"/>
                <w:b/>
                <w:bCs/>
                <w:color w:val="000000"/>
                <w:kern w:val="0"/>
                <w:sz w:val="21"/>
                <w:szCs w:val="21"/>
                <w:highlight w:val="none"/>
                <w:lang w:val="en-US" w:eastAsia="zh-CN" w:bidi="ar-SA"/>
              </w:rPr>
              <w:t>陆上生物</w:t>
            </w:r>
          </w:p>
        </w:tc>
      </w:tr>
      <w:tr w14:paraId="18E98CC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restart"/>
            <w:noWrap w:val="0"/>
            <w:vAlign w:val="center"/>
          </w:tcPr>
          <w:p w14:paraId="29E209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施工期</w:t>
            </w:r>
          </w:p>
        </w:tc>
        <w:tc>
          <w:tcPr>
            <w:tcW w:w="784" w:type="dxa"/>
            <w:noWrap w:val="0"/>
            <w:vAlign w:val="center"/>
          </w:tcPr>
          <w:p w14:paraId="320DEB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施工废水</w:t>
            </w:r>
          </w:p>
        </w:tc>
        <w:tc>
          <w:tcPr>
            <w:tcW w:w="548" w:type="dxa"/>
            <w:noWrap w:val="0"/>
            <w:vAlign w:val="center"/>
          </w:tcPr>
          <w:p w14:paraId="72B86B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6" w:type="dxa"/>
            <w:noWrap w:val="0"/>
            <w:vAlign w:val="center"/>
          </w:tcPr>
          <w:p w14:paraId="1F998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c>
          <w:tcPr>
            <w:tcW w:w="667" w:type="dxa"/>
            <w:noWrap w:val="0"/>
            <w:vAlign w:val="center"/>
          </w:tcPr>
          <w:p w14:paraId="4B869C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c>
          <w:tcPr>
            <w:tcW w:w="667" w:type="dxa"/>
            <w:noWrap w:val="0"/>
            <w:vAlign w:val="center"/>
          </w:tcPr>
          <w:p w14:paraId="2F5CBB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c>
          <w:tcPr>
            <w:tcW w:w="668" w:type="dxa"/>
            <w:noWrap w:val="0"/>
            <w:vAlign w:val="center"/>
          </w:tcPr>
          <w:p w14:paraId="0FE8A9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425FB3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r>
      <w:tr w14:paraId="71E9D3C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continue"/>
            <w:noWrap w:val="0"/>
            <w:vAlign w:val="center"/>
          </w:tcPr>
          <w:p w14:paraId="03A1A3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784" w:type="dxa"/>
            <w:noWrap w:val="0"/>
            <w:vAlign w:val="center"/>
          </w:tcPr>
          <w:p w14:paraId="2D1D75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施工扬尘</w:t>
            </w:r>
          </w:p>
        </w:tc>
        <w:tc>
          <w:tcPr>
            <w:tcW w:w="548" w:type="dxa"/>
            <w:noWrap w:val="0"/>
            <w:vAlign w:val="center"/>
          </w:tcPr>
          <w:p w14:paraId="0EB2E9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c>
          <w:tcPr>
            <w:tcW w:w="666" w:type="dxa"/>
            <w:noWrap w:val="0"/>
            <w:vAlign w:val="center"/>
          </w:tcPr>
          <w:p w14:paraId="57EABD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2A6D9A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3374BE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8" w:type="dxa"/>
            <w:noWrap w:val="0"/>
            <w:vAlign w:val="center"/>
          </w:tcPr>
          <w:p w14:paraId="45E107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68E9FF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r>
      <w:tr w14:paraId="7906AD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continue"/>
            <w:noWrap w:val="0"/>
            <w:vAlign w:val="center"/>
          </w:tcPr>
          <w:p w14:paraId="0FE308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784" w:type="dxa"/>
            <w:noWrap w:val="0"/>
            <w:vAlign w:val="center"/>
          </w:tcPr>
          <w:p w14:paraId="79AF4F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施工噪声</w:t>
            </w:r>
          </w:p>
        </w:tc>
        <w:tc>
          <w:tcPr>
            <w:tcW w:w="548" w:type="dxa"/>
            <w:noWrap w:val="0"/>
            <w:vAlign w:val="center"/>
          </w:tcPr>
          <w:p w14:paraId="3C9F42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6" w:type="dxa"/>
            <w:noWrap w:val="0"/>
            <w:vAlign w:val="center"/>
          </w:tcPr>
          <w:p w14:paraId="57C78E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7F4C31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7B201C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8" w:type="dxa"/>
            <w:noWrap w:val="0"/>
            <w:vAlign w:val="center"/>
          </w:tcPr>
          <w:p w14:paraId="21677D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c>
          <w:tcPr>
            <w:tcW w:w="667" w:type="dxa"/>
            <w:noWrap w:val="0"/>
            <w:vAlign w:val="center"/>
          </w:tcPr>
          <w:p w14:paraId="747001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r>
      <w:tr w14:paraId="21DA75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continue"/>
            <w:noWrap w:val="0"/>
            <w:vAlign w:val="center"/>
          </w:tcPr>
          <w:p w14:paraId="3355C7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784" w:type="dxa"/>
            <w:noWrap w:val="0"/>
            <w:vAlign w:val="center"/>
          </w:tcPr>
          <w:p w14:paraId="1DF0FC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渣土垃圾</w:t>
            </w:r>
          </w:p>
        </w:tc>
        <w:tc>
          <w:tcPr>
            <w:tcW w:w="548" w:type="dxa"/>
            <w:noWrap w:val="0"/>
            <w:vAlign w:val="center"/>
          </w:tcPr>
          <w:p w14:paraId="4DFE5F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c>
          <w:tcPr>
            <w:tcW w:w="666" w:type="dxa"/>
            <w:noWrap w:val="0"/>
            <w:vAlign w:val="center"/>
          </w:tcPr>
          <w:p w14:paraId="117C0B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-S1I</w:t>
            </w:r>
          </w:p>
        </w:tc>
        <w:tc>
          <w:tcPr>
            <w:tcW w:w="667" w:type="dxa"/>
            <w:noWrap w:val="0"/>
            <w:vAlign w:val="center"/>
          </w:tcPr>
          <w:p w14:paraId="0D07A5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-S1I</w:t>
            </w:r>
          </w:p>
        </w:tc>
        <w:tc>
          <w:tcPr>
            <w:tcW w:w="667" w:type="dxa"/>
            <w:noWrap w:val="0"/>
            <w:vAlign w:val="center"/>
          </w:tcPr>
          <w:p w14:paraId="32C80A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c>
          <w:tcPr>
            <w:tcW w:w="668" w:type="dxa"/>
            <w:noWrap w:val="0"/>
            <w:vAlign w:val="center"/>
          </w:tcPr>
          <w:p w14:paraId="15432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62B12E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-S1D</w:t>
            </w:r>
          </w:p>
        </w:tc>
      </w:tr>
      <w:tr w14:paraId="743981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restart"/>
            <w:noWrap w:val="0"/>
            <w:vAlign w:val="center"/>
          </w:tcPr>
          <w:p w14:paraId="1E578E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运行期</w:t>
            </w:r>
          </w:p>
        </w:tc>
        <w:tc>
          <w:tcPr>
            <w:tcW w:w="784" w:type="dxa"/>
            <w:noWrap w:val="0"/>
            <w:vAlign w:val="center"/>
          </w:tcPr>
          <w:p w14:paraId="3FC384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废水排放</w:t>
            </w:r>
          </w:p>
        </w:tc>
        <w:tc>
          <w:tcPr>
            <w:tcW w:w="548" w:type="dxa"/>
            <w:noWrap w:val="0"/>
            <w:vAlign w:val="center"/>
          </w:tcPr>
          <w:p w14:paraId="014A34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6" w:type="dxa"/>
            <w:noWrap w:val="0"/>
            <w:vAlign w:val="center"/>
          </w:tcPr>
          <w:p w14:paraId="2FDF88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58F473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-L1D</w:t>
            </w:r>
          </w:p>
        </w:tc>
        <w:tc>
          <w:tcPr>
            <w:tcW w:w="667" w:type="dxa"/>
            <w:noWrap w:val="0"/>
            <w:vAlign w:val="center"/>
          </w:tcPr>
          <w:p w14:paraId="2FE2CB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-L1D</w:t>
            </w:r>
          </w:p>
        </w:tc>
        <w:tc>
          <w:tcPr>
            <w:tcW w:w="668" w:type="dxa"/>
            <w:noWrap w:val="0"/>
            <w:vAlign w:val="center"/>
          </w:tcPr>
          <w:p w14:paraId="075A29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6C05B3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-L1D</w:t>
            </w:r>
          </w:p>
        </w:tc>
      </w:tr>
      <w:tr w14:paraId="1A3995D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continue"/>
            <w:noWrap w:val="0"/>
            <w:vAlign w:val="center"/>
          </w:tcPr>
          <w:p w14:paraId="2EEDFD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784" w:type="dxa"/>
            <w:noWrap w:val="0"/>
            <w:vAlign w:val="center"/>
          </w:tcPr>
          <w:p w14:paraId="5A8429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废气排放</w:t>
            </w:r>
          </w:p>
        </w:tc>
        <w:tc>
          <w:tcPr>
            <w:tcW w:w="548" w:type="dxa"/>
            <w:noWrap w:val="0"/>
            <w:vAlign w:val="center"/>
          </w:tcPr>
          <w:p w14:paraId="6EA282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-L2D</w:t>
            </w:r>
          </w:p>
        </w:tc>
        <w:tc>
          <w:tcPr>
            <w:tcW w:w="666" w:type="dxa"/>
            <w:noWrap w:val="0"/>
            <w:vAlign w:val="center"/>
          </w:tcPr>
          <w:p w14:paraId="5B69EB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72FDC3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74199A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8" w:type="dxa"/>
            <w:noWrap w:val="0"/>
            <w:vAlign w:val="center"/>
          </w:tcPr>
          <w:p w14:paraId="05D8AA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0F2A35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-L1D</w:t>
            </w:r>
          </w:p>
        </w:tc>
      </w:tr>
      <w:tr w14:paraId="59ABFDD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continue"/>
            <w:noWrap w:val="0"/>
            <w:vAlign w:val="center"/>
          </w:tcPr>
          <w:p w14:paraId="2CEE0A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784" w:type="dxa"/>
            <w:noWrap w:val="0"/>
            <w:vAlign w:val="center"/>
          </w:tcPr>
          <w:p w14:paraId="29531B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噪声排放</w:t>
            </w:r>
          </w:p>
        </w:tc>
        <w:tc>
          <w:tcPr>
            <w:tcW w:w="548" w:type="dxa"/>
            <w:noWrap w:val="0"/>
            <w:vAlign w:val="center"/>
          </w:tcPr>
          <w:p w14:paraId="7BFAE1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6" w:type="dxa"/>
            <w:noWrap w:val="0"/>
            <w:vAlign w:val="center"/>
          </w:tcPr>
          <w:p w14:paraId="659A64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091B61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4D772E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8" w:type="dxa"/>
            <w:noWrap w:val="0"/>
            <w:vAlign w:val="center"/>
          </w:tcPr>
          <w:p w14:paraId="026A3C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-L2D</w:t>
            </w:r>
          </w:p>
        </w:tc>
        <w:tc>
          <w:tcPr>
            <w:tcW w:w="667" w:type="dxa"/>
            <w:noWrap w:val="0"/>
            <w:vAlign w:val="center"/>
          </w:tcPr>
          <w:p w14:paraId="71BCB6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-L0D</w:t>
            </w:r>
          </w:p>
        </w:tc>
      </w:tr>
      <w:tr w14:paraId="3DCA76A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continue"/>
            <w:noWrap w:val="0"/>
            <w:vAlign w:val="center"/>
          </w:tcPr>
          <w:p w14:paraId="5AF478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784" w:type="dxa"/>
            <w:noWrap w:val="0"/>
            <w:vAlign w:val="center"/>
          </w:tcPr>
          <w:p w14:paraId="259849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固体废物</w:t>
            </w:r>
          </w:p>
        </w:tc>
        <w:tc>
          <w:tcPr>
            <w:tcW w:w="548" w:type="dxa"/>
            <w:noWrap w:val="0"/>
            <w:vAlign w:val="center"/>
          </w:tcPr>
          <w:p w14:paraId="60BD9F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6" w:type="dxa"/>
            <w:noWrap w:val="0"/>
            <w:vAlign w:val="center"/>
          </w:tcPr>
          <w:p w14:paraId="358200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2A03F0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322F17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-L1D</w:t>
            </w:r>
          </w:p>
        </w:tc>
        <w:tc>
          <w:tcPr>
            <w:tcW w:w="668" w:type="dxa"/>
            <w:noWrap w:val="0"/>
            <w:vAlign w:val="center"/>
          </w:tcPr>
          <w:p w14:paraId="6CA1D9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667" w:type="dxa"/>
            <w:noWrap w:val="0"/>
            <w:vAlign w:val="center"/>
          </w:tcPr>
          <w:p w14:paraId="548B0C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r>
      <w:tr w14:paraId="49614D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54" w:hRule="atLeast"/>
          <w:jc w:val="center"/>
        </w:trPr>
        <w:tc>
          <w:tcPr>
            <w:tcW w:w="423" w:type="dxa"/>
            <w:vMerge w:val="continue"/>
            <w:noWrap w:val="0"/>
            <w:vAlign w:val="center"/>
          </w:tcPr>
          <w:p w14:paraId="733E60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p>
        </w:tc>
        <w:tc>
          <w:tcPr>
            <w:tcW w:w="784" w:type="dxa"/>
            <w:noWrap w:val="0"/>
            <w:vAlign w:val="center"/>
          </w:tcPr>
          <w:p w14:paraId="706AA8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cs="Times New Roman"/>
                <w:color w:val="000000"/>
                <w:kern w:val="0"/>
                <w:sz w:val="21"/>
                <w:szCs w:val="21"/>
                <w:highlight w:val="none"/>
                <w:lang w:val="en-US" w:eastAsia="zh-CN" w:bidi="ar-SA"/>
              </w:rPr>
              <w:t>环境</w:t>
            </w:r>
            <w:r>
              <w:rPr>
                <w:rFonts w:hint="default" w:ascii="Times New Roman" w:hAnsi="Times New Roman" w:eastAsia="宋体" w:cs="Times New Roman"/>
                <w:color w:val="000000"/>
                <w:kern w:val="0"/>
                <w:sz w:val="21"/>
                <w:szCs w:val="21"/>
                <w:highlight w:val="none"/>
                <w:lang w:val="en-US" w:eastAsia="zh-CN" w:bidi="ar-SA"/>
              </w:rPr>
              <w:t>风险</w:t>
            </w:r>
          </w:p>
        </w:tc>
        <w:tc>
          <w:tcPr>
            <w:tcW w:w="548" w:type="dxa"/>
            <w:noWrap w:val="0"/>
            <w:vAlign w:val="center"/>
          </w:tcPr>
          <w:p w14:paraId="4D50A0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-S3D</w:t>
            </w:r>
          </w:p>
        </w:tc>
        <w:tc>
          <w:tcPr>
            <w:tcW w:w="666" w:type="dxa"/>
            <w:noWrap w:val="0"/>
            <w:vAlign w:val="center"/>
          </w:tcPr>
          <w:p w14:paraId="009EC6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-S3D</w:t>
            </w:r>
          </w:p>
        </w:tc>
        <w:tc>
          <w:tcPr>
            <w:tcW w:w="667" w:type="dxa"/>
            <w:noWrap w:val="0"/>
            <w:vAlign w:val="center"/>
          </w:tcPr>
          <w:p w14:paraId="6AE651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-S3D</w:t>
            </w:r>
          </w:p>
        </w:tc>
        <w:tc>
          <w:tcPr>
            <w:tcW w:w="667" w:type="dxa"/>
            <w:noWrap w:val="0"/>
            <w:vAlign w:val="center"/>
          </w:tcPr>
          <w:p w14:paraId="7E388B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-S3D</w:t>
            </w:r>
          </w:p>
        </w:tc>
        <w:tc>
          <w:tcPr>
            <w:tcW w:w="668" w:type="dxa"/>
            <w:noWrap w:val="0"/>
            <w:vAlign w:val="center"/>
          </w:tcPr>
          <w:p w14:paraId="6289C5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-S3D</w:t>
            </w:r>
          </w:p>
        </w:tc>
        <w:tc>
          <w:tcPr>
            <w:tcW w:w="667" w:type="dxa"/>
            <w:noWrap w:val="0"/>
            <w:vAlign w:val="center"/>
          </w:tcPr>
          <w:p w14:paraId="099D09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-S3D</w:t>
            </w:r>
          </w:p>
        </w:tc>
      </w:tr>
    </w:tbl>
    <w:p w14:paraId="18340372">
      <w:pPr>
        <w:widowControl w:val="0"/>
        <w:spacing w:line="520" w:lineRule="exact"/>
        <w:ind w:firstLine="420" w:firstLineChars="200"/>
        <w:jc w:val="both"/>
        <w:rPr>
          <w:rFonts w:hint="default" w:ascii="Times New Roman" w:hAnsi="Times New Roman" w:eastAsia="宋体" w:cs="Times New Roman"/>
          <w:lang w:val="en-US" w:eastAsia="zh-CN"/>
        </w:rPr>
      </w:pPr>
      <w:r>
        <w:rPr>
          <w:rFonts w:hint="default" w:ascii="Times New Roman" w:hAnsi="Times New Roman" w:eastAsia="宋体" w:cs="Times New Roman"/>
          <w:color w:val="000000"/>
          <w:sz w:val="21"/>
          <w:szCs w:val="21"/>
          <w:highlight w:val="none"/>
          <w:lang w:val="en-US" w:eastAsia="zh-CN" w:bidi="ar-SA"/>
        </w:rPr>
        <w:t>注：</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+和-</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分别表示有利、不利影响；</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L和S</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分别表示长期、短期影响；</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0至3</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分别表示无影响、轻微影响、中等影响、重大影响；</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D和I</w:t>
      </w:r>
      <w:r>
        <w:rPr>
          <w:rFonts w:hint="eastAsia" w:cs="Times New Roman"/>
          <w:color w:val="000000"/>
          <w:sz w:val="21"/>
          <w:szCs w:val="21"/>
          <w:highlight w:val="none"/>
          <w:lang w:val="en-US" w:eastAsia="zh-CN" w:bidi="ar-SA"/>
        </w:rPr>
        <w:t>”</w:t>
      </w:r>
      <w:r>
        <w:rPr>
          <w:rFonts w:hint="default" w:ascii="Times New Roman" w:hAnsi="Times New Roman" w:eastAsia="宋体" w:cs="Times New Roman"/>
          <w:color w:val="000000"/>
          <w:sz w:val="21"/>
          <w:szCs w:val="21"/>
          <w:highlight w:val="none"/>
          <w:lang w:val="en-US" w:eastAsia="zh-CN" w:bidi="ar-SA"/>
        </w:rPr>
        <w:t>分别表示直接、间接影响。</w:t>
      </w:r>
    </w:p>
    <w:p w14:paraId="22CF2CD1">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2.3.2评价因子筛选</w:t>
      </w:r>
      <w:bookmarkEnd w:id="172"/>
      <w:bookmarkEnd w:id="173"/>
      <w:bookmarkEnd w:id="174"/>
      <w:bookmarkEnd w:id="175"/>
    </w:p>
    <w:p w14:paraId="31B44D40">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2.3.2.1施工期</w:t>
      </w:r>
    </w:p>
    <w:p w14:paraId="30117B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本项目施工期主要进行</w:t>
      </w:r>
      <w:r>
        <w:rPr>
          <w:rFonts w:hint="eastAsia" w:ascii="Times New Roman" w:hAnsi="Times New Roman" w:cs="Times New Roman"/>
          <w:sz w:val="24"/>
          <w:lang w:val="en-US" w:eastAsia="zh-CN"/>
        </w:rPr>
        <w:t>土地</w:t>
      </w:r>
      <w:r>
        <w:rPr>
          <w:rFonts w:hint="default" w:ascii="Times New Roman" w:hAnsi="Times New Roman" w:eastAsia="宋体" w:cs="Times New Roman"/>
          <w:sz w:val="24"/>
        </w:rPr>
        <w:t>平整，构筑物建设和装饰，设备安装等，施工过程对环境会带来短暂的影响，依照国家大气、水污染物总量控制的指标规定以及该地区环境质量现状的要求。</w:t>
      </w:r>
    </w:p>
    <w:p w14:paraId="2F23800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2.3.2.2运营期</w:t>
      </w:r>
    </w:p>
    <w:p w14:paraId="396D5B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（1）环境空气</w:t>
      </w:r>
    </w:p>
    <w:p w14:paraId="28037C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根据本项目的开发建设规划，建成后对环境空气质量可能会造成一定程度影响的污染源将主要来自</w:t>
      </w:r>
      <w:r>
        <w:rPr>
          <w:rFonts w:hint="eastAsia" w:cs="Times New Roman"/>
          <w:sz w:val="24"/>
          <w:lang w:val="en-US" w:eastAsia="zh-CN"/>
        </w:rPr>
        <w:t>养殖区、</w:t>
      </w:r>
      <w:r>
        <w:rPr>
          <w:rFonts w:hint="default" w:ascii="Times New Roman" w:hAnsi="Times New Roman" w:eastAsia="宋体" w:cs="Times New Roman"/>
          <w:sz w:val="24"/>
        </w:rPr>
        <w:t>粪便处理废气，评价因子如下：</w:t>
      </w:r>
    </w:p>
    <w:p w14:paraId="1B9F61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现状评价因子：</w:t>
      </w:r>
      <w:r>
        <w:rPr>
          <w:rFonts w:hint="default" w:ascii="Times New Roman" w:hAnsi="Times New Roman" w:eastAsia="宋体" w:cs="Times New Roman"/>
          <w:sz w:val="24"/>
          <w:szCs w:val="24"/>
        </w:rPr>
        <w:t>SO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、NO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、PM</w:t>
      </w:r>
      <w:r>
        <w:rPr>
          <w:rFonts w:hint="default" w:ascii="Times New Roman" w:hAnsi="Times New Roman" w:eastAsia="宋体" w:cs="Times New Roman"/>
          <w:sz w:val="24"/>
          <w:szCs w:val="24"/>
          <w:vertAlign w:val="subscript"/>
        </w:rPr>
        <w:t>10</w:t>
      </w:r>
      <w:r>
        <w:rPr>
          <w:rFonts w:hint="default" w:ascii="Times New Roman" w:hAnsi="Times New Roman" w:eastAsia="宋体" w:cs="Times New Roman"/>
          <w:sz w:val="24"/>
          <w:szCs w:val="24"/>
        </w:rPr>
        <w:t>、PM</w:t>
      </w:r>
      <w:r>
        <w:rPr>
          <w:rFonts w:hint="default" w:ascii="Times New Roman" w:hAnsi="Times New Roman" w:eastAsia="宋体" w:cs="Times New Roman"/>
          <w:sz w:val="24"/>
          <w:szCs w:val="24"/>
          <w:vertAlign w:val="subscript"/>
        </w:rPr>
        <w:t>2.5</w:t>
      </w:r>
      <w:r>
        <w:rPr>
          <w:rFonts w:hint="default" w:ascii="Times New Roman" w:hAnsi="Times New Roman" w:eastAsia="宋体" w:cs="Times New Roman"/>
          <w:sz w:val="24"/>
          <w:szCs w:val="24"/>
        </w:rPr>
        <w:t>、CO</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O</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vertAlign w:val="baseline"/>
          <w:lang w:eastAsia="zh-CN"/>
        </w:rPr>
        <w:t>、</w:t>
      </w:r>
      <w:r>
        <w:rPr>
          <w:rFonts w:hint="default" w:ascii="Times New Roman" w:hAnsi="Times New Roman" w:eastAsia="宋体" w:cs="Times New Roman"/>
          <w:sz w:val="24"/>
        </w:rPr>
        <w:t>氨、硫化氢</w:t>
      </w:r>
      <w:r>
        <w:rPr>
          <w:rFonts w:hint="eastAsia" w:ascii="Times New Roman" w:hAnsi="Times New Roman" w:cs="Times New Roman"/>
          <w:sz w:val="24"/>
          <w:lang w:eastAsia="zh-CN"/>
        </w:rPr>
        <w:t>、</w:t>
      </w:r>
      <w:r>
        <w:rPr>
          <w:rFonts w:hint="eastAsia" w:ascii="Times New Roman" w:hAnsi="Times New Roman" w:cs="Times New Roman"/>
          <w:sz w:val="24"/>
          <w:lang w:val="en-US" w:eastAsia="zh-CN"/>
        </w:rPr>
        <w:t>臭气</w:t>
      </w:r>
      <w:r>
        <w:rPr>
          <w:rFonts w:hint="eastAsia" w:cs="Times New Roman"/>
          <w:sz w:val="24"/>
          <w:lang w:val="en-US" w:eastAsia="zh-CN"/>
        </w:rPr>
        <w:t>浓度</w:t>
      </w:r>
      <w:r>
        <w:rPr>
          <w:rFonts w:hint="eastAsia" w:cs="Times New Roman"/>
          <w:sz w:val="24"/>
          <w:lang w:eastAsia="zh-CN"/>
        </w:rPr>
        <w:t>、</w:t>
      </w:r>
      <w:r>
        <w:rPr>
          <w:rFonts w:hint="eastAsia" w:ascii="Times New Roman" w:hAnsi="Times New Roman" w:cs="Times New Roman"/>
          <w:sz w:val="24"/>
          <w:lang w:val="en-US" w:eastAsia="zh-CN"/>
        </w:rPr>
        <w:t>TSP</w:t>
      </w:r>
      <w:r>
        <w:rPr>
          <w:rFonts w:hint="default" w:ascii="Times New Roman" w:hAnsi="Times New Roman" w:eastAsia="宋体" w:cs="Times New Roman"/>
          <w:sz w:val="24"/>
        </w:rPr>
        <w:t>；</w:t>
      </w:r>
    </w:p>
    <w:p w14:paraId="39D3B6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影响评价因子：氨、硫化氢</w:t>
      </w:r>
      <w:r>
        <w:rPr>
          <w:rFonts w:hint="eastAsia" w:cs="Times New Roman"/>
          <w:sz w:val="24"/>
          <w:lang w:eastAsia="zh-CN"/>
        </w:rPr>
        <w:t>、</w:t>
      </w:r>
      <w:r>
        <w:rPr>
          <w:rFonts w:hint="eastAsia" w:cs="Times New Roman"/>
          <w:sz w:val="24"/>
          <w:lang w:val="en-US" w:eastAsia="zh-CN"/>
        </w:rPr>
        <w:t>臭气浓度</w:t>
      </w:r>
      <w:r>
        <w:rPr>
          <w:rFonts w:hint="eastAsia" w:ascii="Times New Roman" w:hAnsi="Times New Roman" w:cs="Times New Roman"/>
          <w:sz w:val="24"/>
          <w:lang w:eastAsia="zh-CN"/>
        </w:rPr>
        <w:t>、</w:t>
      </w:r>
      <w:r>
        <w:rPr>
          <w:rFonts w:hint="default" w:ascii="Times New Roman" w:hAnsi="Times New Roman" w:eastAsia="宋体" w:cs="Times New Roman"/>
          <w:sz w:val="24"/>
          <w:szCs w:val="24"/>
        </w:rPr>
        <w:t>PM</w:t>
      </w:r>
      <w:r>
        <w:rPr>
          <w:rFonts w:hint="default" w:ascii="Times New Roman" w:hAnsi="Times New Roman" w:eastAsia="宋体" w:cs="Times New Roman"/>
          <w:sz w:val="24"/>
          <w:szCs w:val="24"/>
          <w:vertAlign w:val="subscript"/>
        </w:rPr>
        <w:t>10</w:t>
      </w:r>
      <w:r>
        <w:rPr>
          <w:rFonts w:hint="default" w:ascii="Times New Roman" w:hAnsi="Times New Roman" w:eastAsia="宋体" w:cs="Times New Roman"/>
          <w:sz w:val="24"/>
          <w:szCs w:val="24"/>
        </w:rPr>
        <w:t>、PM</w:t>
      </w:r>
      <w:r>
        <w:rPr>
          <w:rFonts w:hint="default" w:ascii="Times New Roman" w:hAnsi="Times New Roman" w:eastAsia="宋体" w:cs="Times New Roman"/>
          <w:sz w:val="24"/>
          <w:szCs w:val="24"/>
          <w:vertAlign w:val="subscript"/>
        </w:rPr>
        <w:t>2.5</w:t>
      </w:r>
      <w:r>
        <w:rPr>
          <w:rFonts w:hint="default" w:ascii="Times New Roman" w:hAnsi="Times New Roman" w:eastAsia="宋体" w:cs="Times New Roman"/>
          <w:sz w:val="24"/>
          <w:szCs w:val="24"/>
        </w:rPr>
        <w:t>、</w:t>
      </w:r>
      <w:r>
        <w:rPr>
          <w:rFonts w:hint="eastAsia" w:ascii="Times New Roman" w:hAnsi="Times New Roman" w:cs="Times New Roman"/>
          <w:sz w:val="24"/>
          <w:lang w:val="en-US" w:eastAsia="zh-CN"/>
        </w:rPr>
        <w:t>TSP</w:t>
      </w:r>
      <w:r>
        <w:rPr>
          <w:rFonts w:hint="default" w:ascii="Times New Roman" w:hAnsi="Times New Roman" w:eastAsia="宋体" w:cs="Times New Roman"/>
          <w:sz w:val="24"/>
        </w:rPr>
        <w:t>。</w:t>
      </w:r>
    </w:p>
    <w:p w14:paraId="29AD2C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（2）水环境</w:t>
      </w:r>
    </w:p>
    <w:p w14:paraId="075DE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①地表水</w:t>
      </w:r>
    </w:p>
    <w:p w14:paraId="15109A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本项目与区域地表水无直接水力联系，因此不设置地表水评价范围。</w:t>
      </w:r>
    </w:p>
    <w:p w14:paraId="22406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②地下水</w:t>
      </w:r>
    </w:p>
    <w:p w14:paraId="646BE1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t>本项目产生的废水</w:t>
      </w:r>
      <w:r>
        <w:rPr>
          <w:rFonts w:hint="eastAsia" w:cs="Times New Roman"/>
          <w:sz w:val="24"/>
          <w:lang w:val="en-US" w:eastAsia="zh-CN"/>
        </w:rPr>
        <w:t>主要为</w:t>
      </w:r>
      <w:r>
        <w:rPr>
          <w:rFonts w:hint="default" w:ascii="Times New Roman" w:hAnsi="Times New Roman" w:eastAsia="宋体" w:cs="Times New Roman"/>
          <w:sz w:val="24"/>
        </w:rPr>
        <w:t>工作人员生活污水</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对</w:t>
      </w:r>
      <w:r>
        <w:rPr>
          <w:rFonts w:hint="default" w:ascii="Times New Roman" w:hAnsi="Times New Roman" w:eastAsia="宋体" w:cs="Times New Roman"/>
          <w:sz w:val="24"/>
          <w:lang w:eastAsia="zh-CN"/>
        </w:rPr>
        <w:t>项目区地下水环境质量</w:t>
      </w:r>
      <w:r>
        <w:rPr>
          <w:rFonts w:hint="default" w:ascii="Times New Roman" w:hAnsi="Times New Roman" w:eastAsia="宋体" w:cs="Times New Roman"/>
          <w:sz w:val="24"/>
        </w:rPr>
        <w:t>造成一定程度影响，评价因子如下：</w:t>
      </w:r>
    </w:p>
    <w:p w14:paraId="1012325A">
      <w:pPr>
        <w:bidi w:val="0"/>
        <w:spacing w:line="360" w:lineRule="auto"/>
        <w:ind w:firstLine="480" w:firstLineChars="200"/>
        <w:rPr>
          <w:rFonts w:hint="default" w:ascii="Times New Roman" w:hAnsi="Times New Roman" w:eastAsia="宋体" w:cs="Times New Roman"/>
          <w:b/>
          <w:bCs/>
          <w:sz w:val="24"/>
        </w:rPr>
      </w:pPr>
      <w:r>
        <w:rPr>
          <w:rFonts w:hint="eastAsia" w:ascii="Times New Roman" w:hAnsi="Times New Roman" w:cs="Times New Roman"/>
          <w:b w:val="0"/>
          <w:bCs w:val="0"/>
          <w:sz w:val="24"/>
          <w:lang w:val="en-US" w:eastAsia="zh-CN"/>
        </w:rPr>
        <w:t>地下水</w:t>
      </w:r>
      <w:r>
        <w:rPr>
          <w:rFonts w:hint="default" w:ascii="Times New Roman" w:hAnsi="Times New Roman" w:eastAsia="宋体" w:cs="Times New Roman"/>
          <w:b w:val="0"/>
          <w:bCs w:val="0"/>
          <w:sz w:val="24"/>
        </w:rPr>
        <w:t>现状评价因子：</w:t>
      </w:r>
      <w:r>
        <w:rPr>
          <w:rFonts w:hint="default" w:ascii="Times New Roman" w:hAnsi="Times New Roman" w:eastAsia="宋体" w:cs="Times New Roman"/>
          <w:sz w:val="24"/>
          <w:szCs w:val="24"/>
          <w:lang w:eastAsia="zh-CN"/>
        </w:rPr>
        <w:t>K</w:t>
      </w:r>
      <w:r>
        <w:rPr>
          <w:rFonts w:hint="default" w:ascii="Times New Roman" w:hAnsi="Times New Roman" w:eastAsia="宋体" w:cs="Times New Roman"/>
          <w:sz w:val="24"/>
          <w:szCs w:val="24"/>
          <w:vertAlign w:val="superscript"/>
          <w:lang w:eastAsia="zh-CN"/>
        </w:rPr>
        <w:t>+</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t>Na</w:t>
      </w:r>
      <w:r>
        <w:rPr>
          <w:rFonts w:hint="default" w:ascii="Times New Roman" w:hAnsi="Times New Roman" w:eastAsia="宋体" w:cs="Times New Roman"/>
          <w:sz w:val="24"/>
          <w:szCs w:val="24"/>
          <w:vertAlign w:val="superscript"/>
          <w:lang w:eastAsia="zh-CN"/>
        </w:rPr>
        <w:t>+</w:t>
      </w:r>
      <w:r>
        <w:rPr>
          <w:rFonts w:hint="default" w:ascii="Times New Roman" w:hAnsi="Times New Roman" w:eastAsia="宋体" w:cs="Times New Roman"/>
          <w:sz w:val="24"/>
          <w:szCs w:val="24"/>
          <w:lang w:eastAsia="zh-CN"/>
        </w:rPr>
        <w:t>、Ca</w:t>
      </w:r>
      <w:r>
        <w:rPr>
          <w:rFonts w:hint="default" w:ascii="Times New Roman" w:hAnsi="Times New Roman" w:eastAsia="宋体" w:cs="Times New Roman"/>
          <w:sz w:val="24"/>
          <w:szCs w:val="24"/>
          <w:vertAlign w:val="superscript"/>
          <w:lang w:eastAsia="zh-CN"/>
        </w:rPr>
        <w:t>2+</w:t>
      </w:r>
      <w:r>
        <w:rPr>
          <w:rFonts w:hint="default" w:ascii="Times New Roman" w:hAnsi="Times New Roman" w:eastAsia="宋体" w:cs="Times New Roman"/>
          <w:sz w:val="24"/>
          <w:szCs w:val="24"/>
          <w:lang w:eastAsia="zh-CN"/>
        </w:rPr>
        <w:t>、Mg</w:t>
      </w:r>
      <w:r>
        <w:rPr>
          <w:rFonts w:hint="default" w:ascii="Times New Roman" w:hAnsi="Times New Roman" w:eastAsia="宋体" w:cs="Times New Roman"/>
          <w:sz w:val="24"/>
          <w:szCs w:val="24"/>
          <w:vertAlign w:val="superscript"/>
          <w:lang w:eastAsia="zh-CN"/>
        </w:rPr>
        <w:t>2+</w:t>
      </w:r>
      <w:r>
        <w:rPr>
          <w:rFonts w:hint="default" w:ascii="Times New Roman" w:hAnsi="Times New Roman" w:eastAsia="宋体" w:cs="Times New Roman"/>
          <w:sz w:val="24"/>
          <w:szCs w:val="24"/>
          <w:lang w:eastAsia="zh-CN"/>
        </w:rPr>
        <w:t>、CO</w:t>
      </w:r>
      <w:r>
        <w:rPr>
          <w:rFonts w:hint="default" w:ascii="Times New Roman" w:hAnsi="Times New Roman" w:eastAsia="宋体" w:cs="Times New Roman"/>
          <w:sz w:val="24"/>
          <w:szCs w:val="24"/>
          <w:vertAlign w:val="subscript"/>
          <w:lang w:eastAsia="zh-CN"/>
        </w:rPr>
        <w:t>3</w:t>
      </w:r>
      <w:r>
        <w:rPr>
          <w:rFonts w:hint="default" w:ascii="Times New Roman" w:hAnsi="Times New Roman" w:eastAsia="宋体" w:cs="Times New Roman"/>
          <w:sz w:val="24"/>
          <w:szCs w:val="24"/>
          <w:vertAlign w:val="superscript"/>
          <w:lang w:eastAsia="zh-CN"/>
        </w:rPr>
        <w:t>2-</w:t>
      </w:r>
      <w:r>
        <w:rPr>
          <w:rFonts w:hint="default" w:ascii="Times New Roman" w:hAnsi="Times New Roman" w:eastAsia="宋体" w:cs="Times New Roman"/>
          <w:sz w:val="24"/>
          <w:szCs w:val="24"/>
          <w:lang w:eastAsia="zh-CN"/>
        </w:rPr>
        <w:t>、HCO</w:t>
      </w:r>
      <w:r>
        <w:rPr>
          <w:rFonts w:hint="default" w:ascii="Times New Roman" w:hAnsi="Times New Roman" w:eastAsia="宋体" w:cs="Times New Roman"/>
          <w:sz w:val="24"/>
          <w:szCs w:val="24"/>
          <w:vertAlign w:val="subscript"/>
          <w:lang w:eastAsia="zh-CN"/>
        </w:rPr>
        <w:t>3</w:t>
      </w:r>
      <w:r>
        <w:rPr>
          <w:rFonts w:hint="default" w:ascii="Times New Roman" w:hAnsi="Times New Roman" w:eastAsia="宋体" w:cs="Times New Roman"/>
          <w:sz w:val="24"/>
          <w:szCs w:val="24"/>
          <w:vertAlign w:val="superscript"/>
          <w:lang w:eastAsia="zh-CN"/>
        </w:rPr>
        <w:t>-</w:t>
      </w:r>
      <w:r>
        <w:rPr>
          <w:rFonts w:hint="default" w:ascii="Times New Roman" w:hAnsi="Times New Roman" w:eastAsia="宋体" w:cs="Times New Roman"/>
          <w:sz w:val="24"/>
          <w:szCs w:val="24"/>
          <w:lang w:eastAsia="zh-CN"/>
        </w:rPr>
        <w:t>、Cl</w:t>
      </w:r>
      <w:r>
        <w:rPr>
          <w:rFonts w:hint="default" w:ascii="Times New Roman" w:hAnsi="Times New Roman" w:eastAsia="宋体" w:cs="Times New Roman"/>
          <w:sz w:val="24"/>
          <w:szCs w:val="24"/>
          <w:vertAlign w:val="superscript"/>
          <w:lang w:eastAsia="zh-CN"/>
        </w:rPr>
        <w:t>-</w:t>
      </w:r>
      <w:r>
        <w:rPr>
          <w:rFonts w:hint="default" w:ascii="Times New Roman" w:hAnsi="Times New Roman" w:eastAsia="宋体" w:cs="Times New Roman"/>
          <w:sz w:val="24"/>
          <w:szCs w:val="24"/>
          <w:lang w:eastAsia="zh-CN"/>
        </w:rPr>
        <w:t>、SO</w:t>
      </w:r>
      <w:r>
        <w:rPr>
          <w:rFonts w:hint="default" w:ascii="Times New Roman" w:hAnsi="Times New Roman" w:eastAsia="宋体" w:cs="Times New Roman"/>
          <w:sz w:val="24"/>
          <w:szCs w:val="24"/>
          <w:vertAlign w:val="subscript"/>
          <w:lang w:eastAsia="zh-CN"/>
        </w:rPr>
        <w:t>4</w:t>
      </w:r>
      <w:r>
        <w:rPr>
          <w:rFonts w:hint="default" w:ascii="Times New Roman" w:hAnsi="Times New Roman" w:eastAsia="宋体" w:cs="Times New Roman"/>
          <w:sz w:val="24"/>
          <w:szCs w:val="24"/>
          <w:vertAlign w:val="superscript"/>
          <w:lang w:eastAsia="zh-CN"/>
        </w:rPr>
        <w:t>2-</w:t>
      </w:r>
      <w:r>
        <w:rPr>
          <w:rFonts w:hint="eastAsia" w:ascii="Times New Roman" w:hAnsi="Times New Roman" w:cs="Times New Roman"/>
          <w:kern w:val="2"/>
          <w:sz w:val="24"/>
          <w:szCs w:val="24"/>
          <w:lang w:val="en-US" w:eastAsia="zh-CN"/>
        </w:rPr>
        <w:t>、pH、总硬度、溶解性总固体、铁、锰、铜、锌、铝、挥发性酚类、阴离子表面活性剂、耗氧量、氨氮、硫化物、总大肠菌群、菌落总数共23项。</w:t>
      </w:r>
    </w:p>
    <w:p w14:paraId="7C2D66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z w:val="24"/>
        </w:rPr>
      </w:pPr>
      <w:r>
        <w:rPr>
          <w:rFonts w:hint="eastAsia" w:ascii="Times New Roman" w:hAnsi="Times New Roman" w:cs="Times New Roman"/>
          <w:b w:val="0"/>
          <w:bCs w:val="0"/>
          <w:sz w:val="24"/>
          <w:lang w:val="en-US" w:eastAsia="zh-CN"/>
        </w:rPr>
        <w:t>地下水</w:t>
      </w:r>
      <w:r>
        <w:rPr>
          <w:rFonts w:hint="default" w:ascii="Times New Roman" w:hAnsi="Times New Roman" w:eastAsia="宋体" w:cs="Times New Roman"/>
          <w:b w:val="0"/>
          <w:bCs w:val="0"/>
          <w:sz w:val="24"/>
        </w:rPr>
        <w:t>影响评价因子：NH</w:t>
      </w:r>
      <w:r>
        <w:rPr>
          <w:rFonts w:hint="default" w:ascii="Times New Roman" w:hAnsi="Times New Roman" w:eastAsia="宋体" w:cs="Times New Roman"/>
          <w:b w:val="0"/>
          <w:bCs w:val="0"/>
          <w:sz w:val="24"/>
          <w:vertAlign w:val="subscript"/>
        </w:rPr>
        <w:t>3</w:t>
      </w:r>
      <w:r>
        <w:rPr>
          <w:rFonts w:hint="default" w:ascii="Times New Roman" w:hAnsi="Times New Roman" w:eastAsia="宋体" w:cs="Times New Roman"/>
          <w:b w:val="0"/>
          <w:bCs w:val="0"/>
          <w:sz w:val="24"/>
        </w:rPr>
        <w:t>-N。</w:t>
      </w:r>
    </w:p>
    <w:p w14:paraId="2A08BF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（3）声环境</w:t>
      </w:r>
    </w:p>
    <w:p w14:paraId="36FD58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本项目的噪声源主要来自</w:t>
      </w:r>
      <w:r>
        <w:rPr>
          <w:rFonts w:hint="eastAsia" w:cs="Times New Roman"/>
          <w:sz w:val="24"/>
          <w:lang w:val="en-US" w:eastAsia="zh-CN"/>
        </w:rPr>
        <w:t>养殖</w:t>
      </w:r>
      <w:r>
        <w:rPr>
          <w:rFonts w:hint="default" w:ascii="Times New Roman" w:hAnsi="Times New Roman" w:eastAsia="宋体" w:cs="Times New Roman"/>
          <w:sz w:val="24"/>
        </w:rPr>
        <w:t>噪声。</w:t>
      </w:r>
    </w:p>
    <w:p w14:paraId="3D4DBB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现状评价因子：等效连续A声级；</w:t>
      </w:r>
    </w:p>
    <w:p w14:paraId="4C15A1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影响预测因子：等效连续A声级。</w:t>
      </w:r>
    </w:p>
    <w:p w14:paraId="3B4D57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（4）固体废物</w:t>
      </w:r>
    </w:p>
    <w:p w14:paraId="24149F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rPr>
        <w:t>本项目产生的固废为生产过程中产生的</w:t>
      </w:r>
      <w:r>
        <w:rPr>
          <w:rFonts w:hint="default" w:ascii="Times New Roman" w:hAnsi="Times New Roman" w:eastAsia="宋体" w:cs="Times New Roman"/>
          <w:sz w:val="24"/>
          <w:highlight w:val="none"/>
          <w:lang w:val="en-US" w:eastAsia="zh-CN"/>
        </w:rPr>
        <w:t>牛粪、废发酵垫料</w:t>
      </w:r>
      <w:r>
        <w:rPr>
          <w:rFonts w:hint="default" w:ascii="Times New Roman" w:hAnsi="Times New Roman" w:eastAsia="宋体" w:cs="Times New Roman"/>
          <w:sz w:val="24"/>
          <w:highlight w:val="none"/>
        </w:rPr>
        <w:t>、</w:t>
      </w:r>
      <w:r>
        <w:rPr>
          <w:rFonts w:hint="default" w:ascii="Times New Roman" w:hAnsi="Times New Roman" w:eastAsia="宋体" w:cs="Times New Roman"/>
          <w:sz w:val="24"/>
          <w:highlight w:val="none"/>
          <w:lang w:eastAsia="zh-CN"/>
        </w:rPr>
        <w:t>病</w:t>
      </w:r>
      <w:r>
        <w:rPr>
          <w:rFonts w:hint="default" w:ascii="Times New Roman" w:hAnsi="Times New Roman" w:eastAsia="宋体" w:cs="Times New Roman"/>
          <w:sz w:val="24"/>
          <w:highlight w:val="none"/>
        </w:rPr>
        <w:t>死</w:t>
      </w:r>
      <w:r>
        <w:rPr>
          <w:rFonts w:hint="eastAsia" w:ascii="Times New Roman" w:hAnsi="Times New Roman" w:cs="Times New Roman"/>
          <w:sz w:val="24"/>
          <w:highlight w:val="none"/>
          <w:lang w:val="en-US" w:eastAsia="zh-CN"/>
        </w:rPr>
        <w:t>牛</w:t>
      </w:r>
      <w:r>
        <w:rPr>
          <w:rFonts w:hint="default" w:ascii="Times New Roman" w:hAnsi="Times New Roman" w:eastAsia="宋体" w:cs="Times New Roman"/>
          <w:sz w:val="24"/>
          <w:highlight w:val="none"/>
        </w:rPr>
        <w:t>、兽用医疗</w:t>
      </w:r>
      <w:r>
        <w:rPr>
          <w:rFonts w:hint="eastAsia" w:cs="Times New Roman"/>
          <w:sz w:val="24"/>
          <w:highlight w:val="none"/>
          <w:lang w:val="en-US" w:eastAsia="zh-CN"/>
        </w:rPr>
        <w:t>废物</w:t>
      </w:r>
      <w:r>
        <w:rPr>
          <w:rFonts w:hint="eastAsia" w:cs="Times New Roman"/>
          <w:sz w:val="24"/>
          <w:highlight w:val="none"/>
          <w:lang w:eastAsia="zh-CN"/>
        </w:rPr>
        <w:t>、</w:t>
      </w:r>
      <w:r>
        <w:rPr>
          <w:rFonts w:hint="eastAsia" w:cs="Times New Roman"/>
          <w:sz w:val="24"/>
          <w:highlight w:val="none"/>
          <w:lang w:val="en-US" w:eastAsia="zh-CN"/>
        </w:rPr>
        <w:t>废包装材料</w:t>
      </w:r>
      <w:r>
        <w:rPr>
          <w:rFonts w:hint="eastAsia" w:cs="Times New Roman"/>
          <w:sz w:val="24"/>
          <w:highlight w:val="none"/>
          <w:lang w:eastAsia="zh-CN"/>
        </w:rPr>
        <w:t>、</w:t>
      </w:r>
      <w:r>
        <w:rPr>
          <w:rFonts w:hint="eastAsia" w:cs="Times New Roman"/>
          <w:sz w:val="24"/>
          <w:highlight w:val="none"/>
          <w:lang w:val="en-US" w:eastAsia="zh-CN"/>
        </w:rPr>
        <w:t>除尘灰、废填料</w:t>
      </w:r>
      <w:r>
        <w:rPr>
          <w:rFonts w:hint="default" w:ascii="Times New Roman" w:hAnsi="Times New Roman" w:eastAsia="宋体" w:cs="Times New Roman"/>
          <w:sz w:val="24"/>
          <w:highlight w:val="none"/>
        </w:rPr>
        <w:t>及生活垃圾</w:t>
      </w:r>
      <w:r>
        <w:rPr>
          <w:rFonts w:hint="default" w:ascii="Times New Roman" w:hAnsi="Times New Roman" w:eastAsia="宋体" w:cs="Times New Roman"/>
          <w:sz w:val="24"/>
          <w:highlight w:val="none"/>
          <w:lang w:eastAsia="zh-CN"/>
        </w:rPr>
        <w:t>。</w:t>
      </w:r>
    </w:p>
    <w:p w14:paraId="4B012EFE">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土壤环境</w:t>
      </w:r>
    </w:p>
    <w:p w14:paraId="0D7078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本项目的</w:t>
      </w:r>
      <w:r>
        <w:rPr>
          <w:rFonts w:hint="eastAsia" w:ascii="Times New Roman" w:hAnsi="Times New Roman" w:cs="Times New Roman"/>
          <w:sz w:val="24"/>
          <w:lang w:eastAsia="zh-CN"/>
        </w:rPr>
        <w:t>土壤污染</w:t>
      </w:r>
      <w:r>
        <w:rPr>
          <w:rFonts w:hint="default" w:ascii="Times New Roman" w:hAnsi="Times New Roman" w:eastAsia="宋体" w:cs="Times New Roman"/>
          <w:sz w:val="24"/>
        </w:rPr>
        <w:t>主要来自</w:t>
      </w:r>
      <w:r>
        <w:rPr>
          <w:rFonts w:hint="eastAsia" w:ascii="Times New Roman" w:hAnsi="Times New Roman" w:cs="Times New Roman"/>
          <w:sz w:val="24"/>
          <w:lang w:eastAsia="zh-CN"/>
        </w:rPr>
        <w:t>生产过程中生产废水或固体废物</w:t>
      </w:r>
      <w:r>
        <w:rPr>
          <w:rFonts w:hint="eastAsia" w:cs="Times New Roman"/>
          <w:sz w:val="24"/>
          <w:lang w:eastAsia="zh-CN"/>
        </w:rPr>
        <w:t>泄漏</w:t>
      </w:r>
      <w:r>
        <w:rPr>
          <w:rFonts w:hint="eastAsia" w:ascii="Times New Roman" w:hAnsi="Times New Roman" w:cs="Times New Roman"/>
          <w:sz w:val="24"/>
          <w:lang w:eastAsia="zh-CN"/>
        </w:rPr>
        <w:t>导致</w:t>
      </w:r>
      <w:r>
        <w:rPr>
          <w:rFonts w:hint="default" w:ascii="Times New Roman" w:hAnsi="Times New Roman" w:eastAsia="宋体" w:cs="Times New Roman"/>
          <w:sz w:val="24"/>
        </w:rPr>
        <w:t>。</w:t>
      </w:r>
    </w:p>
    <w:p w14:paraId="321F22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现状评价因子：</w:t>
      </w:r>
      <w:r>
        <w:rPr>
          <w:rFonts w:hint="eastAsia" w:ascii="Times New Roman" w:hAnsi="Times New Roman" w:cs="Times New Roman"/>
          <w:sz w:val="24"/>
          <w:lang w:eastAsia="zh-CN"/>
        </w:rPr>
        <w:t>镉、汞、砷、铜、铅、铬、锌、镍、六六六、滴滴涕；</w:t>
      </w:r>
    </w:p>
    <w:p w14:paraId="6E2A81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highlight w:val="yellow"/>
          <w:lang w:eastAsia="zh-CN"/>
        </w:rPr>
      </w:pPr>
      <w:r>
        <w:rPr>
          <w:rFonts w:hint="default" w:ascii="Times New Roman" w:hAnsi="Times New Roman" w:eastAsia="宋体" w:cs="Times New Roman"/>
          <w:sz w:val="24"/>
          <w:highlight w:val="none"/>
        </w:rPr>
        <w:t>影响预测因子：</w:t>
      </w:r>
      <w:r>
        <w:rPr>
          <w:rFonts w:hint="default" w:ascii="Times New Roman" w:hAnsi="Times New Roman" w:eastAsia="宋体" w:cs="Times New Roman"/>
          <w:b w:val="0"/>
          <w:bCs w:val="0"/>
          <w:sz w:val="24"/>
          <w:highlight w:val="none"/>
        </w:rPr>
        <w:t>COD、NH</w:t>
      </w:r>
      <w:r>
        <w:rPr>
          <w:rFonts w:hint="default" w:ascii="Times New Roman" w:hAnsi="Times New Roman" w:eastAsia="宋体" w:cs="Times New Roman"/>
          <w:b w:val="0"/>
          <w:bCs w:val="0"/>
          <w:sz w:val="24"/>
          <w:highlight w:val="none"/>
          <w:vertAlign w:val="subscript"/>
        </w:rPr>
        <w:t>3</w:t>
      </w:r>
      <w:r>
        <w:rPr>
          <w:rFonts w:hint="default" w:ascii="Times New Roman" w:hAnsi="Times New Roman" w:eastAsia="宋体" w:cs="Times New Roman"/>
          <w:b w:val="0"/>
          <w:bCs w:val="0"/>
          <w:sz w:val="24"/>
          <w:highlight w:val="none"/>
        </w:rPr>
        <w:t>-N</w:t>
      </w:r>
      <w:r>
        <w:rPr>
          <w:rFonts w:hint="default" w:ascii="Times New Roman" w:hAnsi="Times New Roman" w:eastAsia="宋体" w:cs="Times New Roman"/>
          <w:sz w:val="24"/>
          <w:highlight w:val="none"/>
        </w:rPr>
        <w:t>。</w:t>
      </w:r>
    </w:p>
    <w:p w14:paraId="4E0349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w:t>
      </w:r>
      <w:r>
        <w:rPr>
          <w:rFonts w:hint="eastAsia" w:ascii="Times New Roman" w:hAnsi="Times New Roman" w:cs="Times New Roman"/>
          <w:sz w:val="24"/>
          <w:lang w:val="en-US" w:eastAsia="zh-CN"/>
        </w:rPr>
        <w:t>6</w:t>
      </w:r>
      <w:r>
        <w:rPr>
          <w:rFonts w:hint="default" w:ascii="Times New Roman" w:hAnsi="Times New Roman" w:eastAsia="宋体" w:cs="Times New Roman"/>
          <w:sz w:val="24"/>
        </w:rPr>
        <w:t>）生态环境</w:t>
      </w:r>
    </w:p>
    <w:p w14:paraId="453166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现状评价因子：植被类型、动物、土壤类型、植被覆盖率；</w:t>
      </w:r>
    </w:p>
    <w:p w14:paraId="1FC22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影响预测因子：项目永久占地、植被变化、水土流失。</w:t>
      </w:r>
    </w:p>
    <w:p w14:paraId="75802C3B">
      <w:pPr>
        <w:keepNext w:val="0"/>
        <w:keepLines w:val="0"/>
        <w:pageBreakBefore w:val="0"/>
        <w:widowControl w:val="0"/>
        <w:wordWrap/>
        <w:topLinePunct w:val="0"/>
        <w:bidi w:val="0"/>
        <w:adjustRightInd/>
        <w:snapToGrid/>
        <w:spacing w:line="360" w:lineRule="auto"/>
        <w:jc w:val="center"/>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表2.3-2环境影响评价因子筛选表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4672"/>
        <w:gridCol w:w="2592"/>
      </w:tblGrid>
      <w:tr w14:paraId="0EAB9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tcBorders>
              <w:tl2br w:val="nil"/>
              <w:tr2bl w:val="nil"/>
            </w:tcBorders>
            <w:noWrap w:val="0"/>
            <w:vAlign w:val="center"/>
          </w:tcPr>
          <w:p w14:paraId="38879B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napToGrid w:val="0"/>
                <w:spacing w:val="2"/>
                <w:sz w:val="21"/>
                <w:szCs w:val="21"/>
              </w:rPr>
            </w:pPr>
            <w:r>
              <w:rPr>
                <w:rFonts w:hint="default" w:ascii="Times New Roman" w:hAnsi="Times New Roman" w:eastAsia="宋体" w:cs="Times New Roman"/>
                <w:b/>
                <w:bCs w:val="0"/>
                <w:snapToGrid w:val="0"/>
                <w:spacing w:val="2"/>
                <w:sz w:val="21"/>
                <w:szCs w:val="21"/>
              </w:rPr>
              <w:t>环境因素</w:t>
            </w:r>
          </w:p>
        </w:tc>
        <w:tc>
          <w:tcPr>
            <w:tcW w:w="4672" w:type="dxa"/>
            <w:tcBorders>
              <w:tl2br w:val="nil"/>
              <w:tr2bl w:val="nil"/>
            </w:tcBorders>
            <w:noWrap w:val="0"/>
            <w:vAlign w:val="center"/>
          </w:tcPr>
          <w:p w14:paraId="786B3B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napToGrid w:val="0"/>
                <w:spacing w:val="2"/>
                <w:sz w:val="21"/>
                <w:szCs w:val="21"/>
              </w:rPr>
            </w:pPr>
            <w:r>
              <w:rPr>
                <w:rFonts w:hint="default" w:ascii="Times New Roman" w:hAnsi="Times New Roman" w:eastAsia="宋体" w:cs="Times New Roman"/>
                <w:b/>
                <w:bCs w:val="0"/>
                <w:snapToGrid w:val="0"/>
                <w:spacing w:val="2"/>
                <w:sz w:val="21"/>
                <w:szCs w:val="21"/>
              </w:rPr>
              <w:t>现状评价因子</w:t>
            </w:r>
          </w:p>
        </w:tc>
        <w:tc>
          <w:tcPr>
            <w:tcW w:w="2592" w:type="dxa"/>
            <w:tcBorders>
              <w:tl2br w:val="nil"/>
              <w:tr2bl w:val="nil"/>
            </w:tcBorders>
            <w:noWrap w:val="0"/>
            <w:vAlign w:val="center"/>
          </w:tcPr>
          <w:p w14:paraId="1F0440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napToGrid w:val="0"/>
                <w:spacing w:val="2"/>
                <w:sz w:val="21"/>
                <w:szCs w:val="21"/>
              </w:rPr>
            </w:pPr>
            <w:r>
              <w:rPr>
                <w:rFonts w:hint="default" w:ascii="Times New Roman" w:hAnsi="Times New Roman" w:eastAsia="宋体" w:cs="Times New Roman"/>
                <w:b/>
                <w:bCs w:val="0"/>
                <w:snapToGrid w:val="0"/>
                <w:spacing w:val="2"/>
                <w:sz w:val="21"/>
                <w:szCs w:val="21"/>
              </w:rPr>
              <w:t>影响评价因子</w:t>
            </w:r>
          </w:p>
        </w:tc>
      </w:tr>
      <w:tr w14:paraId="592436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tcBorders>
              <w:tl2br w:val="nil"/>
              <w:tr2bl w:val="nil"/>
            </w:tcBorders>
            <w:noWrap w:val="0"/>
            <w:vAlign w:val="center"/>
          </w:tcPr>
          <w:p w14:paraId="216EE8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rPr>
            </w:pPr>
            <w:r>
              <w:rPr>
                <w:rFonts w:hint="default" w:ascii="Times New Roman" w:hAnsi="Times New Roman" w:eastAsia="宋体" w:cs="Times New Roman"/>
                <w:snapToGrid w:val="0"/>
                <w:spacing w:val="2"/>
                <w:sz w:val="21"/>
                <w:szCs w:val="21"/>
              </w:rPr>
              <w:t>环境空气</w:t>
            </w:r>
          </w:p>
        </w:tc>
        <w:tc>
          <w:tcPr>
            <w:tcW w:w="4672" w:type="dxa"/>
            <w:tcBorders>
              <w:tl2br w:val="nil"/>
              <w:tr2bl w:val="nil"/>
            </w:tcBorders>
            <w:noWrap w:val="0"/>
            <w:vAlign w:val="center"/>
          </w:tcPr>
          <w:p w14:paraId="257898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lang w:val="en-US" w:eastAsia="zh-CN"/>
              </w:rPr>
            </w:pPr>
            <w:r>
              <w:rPr>
                <w:rFonts w:hint="default" w:ascii="Times New Roman" w:hAnsi="Times New Roman" w:eastAsia="宋体" w:cs="Times New Roman"/>
                <w:snapToGrid w:val="0"/>
                <w:spacing w:val="2"/>
                <w:sz w:val="21"/>
                <w:szCs w:val="21"/>
              </w:rPr>
              <w:t>SO</w:t>
            </w:r>
            <w:r>
              <w:rPr>
                <w:rFonts w:hint="default" w:ascii="Times New Roman" w:hAnsi="Times New Roman" w:eastAsia="宋体" w:cs="Times New Roman"/>
                <w:snapToGrid w:val="0"/>
                <w:spacing w:val="2"/>
                <w:sz w:val="21"/>
                <w:szCs w:val="21"/>
                <w:vertAlign w:val="subscript"/>
              </w:rPr>
              <w:t>2</w:t>
            </w:r>
            <w:r>
              <w:rPr>
                <w:rFonts w:hint="default" w:ascii="Times New Roman" w:hAnsi="Times New Roman" w:eastAsia="宋体" w:cs="Times New Roman"/>
                <w:snapToGrid w:val="0"/>
                <w:spacing w:val="2"/>
                <w:sz w:val="21"/>
                <w:szCs w:val="21"/>
              </w:rPr>
              <w:t>、NO</w:t>
            </w:r>
            <w:r>
              <w:rPr>
                <w:rFonts w:hint="default" w:ascii="Times New Roman" w:hAnsi="Times New Roman" w:eastAsia="宋体" w:cs="Times New Roman"/>
                <w:snapToGrid w:val="0"/>
                <w:spacing w:val="2"/>
                <w:sz w:val="21"/>
                <w:szCs w:val="21"/>
                <w:vertAlign w:val="subscript"/>
              </w:rPr>
              <w:t>2</w:t>
            </w:r>
            <w:r>
              <w:rPr>
                <w:rFonts w:hint="default" w:ascii="Times New Roman" w:hAnsi="Times New Roman" w:eastAsia="宋体" w:cs="Times New Roman"/>
                <w:snapToGrid w:val="0"/>
                <w:spacing w:val="2"/>
                <w:sz w:val="21"/>
                <w:szCs w:val="21"/>
              </w:rPr>
              <w:t>、PM</w:t>
            </w:r>
            <w:r>
              <w:rPr>
                <w:rFonts w:hint="default" w:ascii="Times New Roman" w:hAnsi="Times New Roman" w:eastAsia="宋体" w:cs="Times New Roman"/>
                <w:snapToGrid w:val="0"/>
                <w:spacing w:val="2"/>
                <w:sz w:val="21"/>
                <w:szCs w:val="21"/>
                <w:vertAlign w:val="subscript"/>
              </w:rPr>
              <w:t>10</w:t>
            </w:r>
            <w:r>
              <w:rPr>
                <w:rFonts w:hint="default" w:ascii="Times New Roman" w:hAnsi="Times New Roman" w:eastAsia="宋体" w:cs="Times New Roman"/>
                <w:snapToGrid w:val="0"/>
                <w:spacing w:val="2"/>
                <w:sz w:val="21"/>
                <w:szCs w:val="21"/>
              </w:rPr>
              <w:t>、PM</w:t>
            </w:r>
            <w:r>
              <w:rPr>
                <w:rFonts w:hint="default" w:ascii="Times New Roman" w:hAnsi="Times New Roman" w:eastAsia="宋体" w:cs="Times New Roman"/>
                <w:snapToGrid w:val="0"/>
                <w:spacing w:val="2"/>
                <w:sz w:val="21"/>
                <w:szCs w:val="21"/>
                <w:vertAlign w:val="subscript"/>
              </w:rPr>
              <w:t>2.5</w:t>
            </w:r>
            <w:r>
              <w:rPr>
                <w:rFonts w:hint="default" w:ascii="Times New Roman" w:hAnsi="Times New Roman" w:eastAsia="宋体" w:cs="Times New Roman"/>
                <w:snapToGrid w:val="0"/>
                <w:spacing w:val="2"/>
                <w:sz w:val="21"/>
                <w:szCs w:val="21"/>
              </w:rPr>
              <w:t>、CO</w:t>
            </w:r>
            <w:r>
              <w:rPr>
                <w:rFonts w:hint="default" w:ascii="Times New Roman" w:hAnsi="Times New Roman" w:eastAsia="宋体" w:cs="Times New Roman"/>
                <w:snapToGrid w:val="0"/>
                <w:spacing w:val="2"/>
                <w:sz w:val="21"/>
                <w:szCs w:val="21"/>
                <w:lang w:eastAsia="zh-CN"/>
              </w:rPr>
              <w:t>、</w:t>
            </w:r>
            <w:r>
              <w:rPr>
                <w:rFonts w:hint="default" w:ascii="Times New Roman" w:hAnsi="Times New Roman" w:eastAsia="宋体" w:cs="Times New Roman"/>
                <w:snapToGrid w:val="0"/>
                <w:spacing w:val="2"/>
                <w:sz w:val="21"/>
                <w:szCs w:val="21"/>
              </w:rPr>
              <w:t>O</w:t>
            </w:r>
            <w:r>
              <w:rPr>
                <w:rFonts w:hint="default" w:ascii="Times New Roman" w:hAnsi="Times New Roman" w:eastAsia="宋体" w:cs="Times New Roman"/>
                <w:snapToGrid w:val="0"/>
                <w:spacing w:val="2"/>
                <w:sz w:val="21"/>
                <w:szCs w:val="21"/>
                <w:vertAlign w:val="subscript"/>
              </w:rPr>
              <w:t>3</w:t>
            </w:r>
            <w:r>
              <w:rPr>
                <w:rFonts w:hint="default" w:ascii="Times New Roman" w:hAnsi="Times New Roman" w:eastAsia="宋体" w:cs="Times New Roman"/>
                <w:snapToGrid w:val="0"/>
                <w:spacing w:val="2"/>
                <w:sz w:val="21"/>
                <w:szCs w:val="21"/>
                <w:lang w:eastAsia="zh-CN"/>
              </w:rPr>
              <w:t>、</w:t>
            </w:r>
            <w:r>
              <w:rPr>
                <w:rFonts w:hint="default" w:ascii="Times New Roman" w:hAnsi="Times New Roman" w:eastAsia="宋体" w:cs="Times New Roman"/>
                <w:snapToGrid w:val="0"/>
                <w:spacing w:val="2"/>
                <w:sz w:val="21"/>
                <w:szCs w:val="21"/>
              </w:rPr>
              <w:t>氨、硫</w:t>
            </w:r>
            <w:r>
              <w:rPr>
                <w:rFonts w:hint="default" w:ascii="Times New Roman" w:hAnsi="Times New Roman" w:eastAsia="宋体" w:cs="Times New Roman"/>
                <w:sz w:val="21"/>
                <w:szCs w:val="21"/>
              </w:rPr>
              <w:t>化氢</w:t>
            </w:r>
            <w:r>
              <w:rPr>
                <w:rFonts w:hint="eastAsia" w:ascii="Times New Roman" w:hAnsi="Times New Roman" w:cs="Times New Roman"/>
                <w:snapToGrid w:val="0"/>
                <w:spacing w:val="2"/>
                <w:sz w:val="21"/>
                <w:szCs w:val="21"/>
                <w:lang w:eastAsia="zh-CN"/>
              </w:rPr>
              <w:t>、</w:t>
            </w:r>
            <w:r>
              <w:rPr>
                <w:rFonts w:hint="eastAsia" w:ascii="Times New Roman" w:hAnsi="Times New Roman" w:cs="Times New Roman"/>
                <w:snapToGrid w:val="0"/>
                <w:spacing w:val="2"/>
                <w:sz w:val="21"/>
                <w:szCs w:val="21"/>
                <w:lang w:val="en-US" w:eastAsia="zh-CN"/>
              </w:rPr>
              <w:t>臭气浓度</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TSP</w:t>
            </w:r>
          </w:p>
        </w:tc>
        <w:tc>
          <w:tcPr>
            <w:tcW w:w="2592" w:type="dxa"/>
            <w:tcBorders>
              <w:tl2br w:val="nil"/>
              <w:tr2bl w:val="nil"/>
            </w:tcBorders>
            <w:noWrap w:val="0"/>
            <w:vAlign w:val="center"/>
          </w:tcPr>
          <w:p w14:paraId="754EF3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lang w:val="en-US" w:eastAsia="zh-CN"/>
              </w:rPr>
            </w:pPr>
            <w:r>
              <w:rPr>
                <w:rFonts w:hint="default" w:ascii="Times New Roman" w:hAnsi="Times New Roman" w:eastAsia="宋体" w:cs="Times New Roman"/>
                <w:snapToGrid w:val="0"/>
                <w:spacing w:val="2"/>
                <w:sz w:val="21"/>
                <w:szCs w:val="21"/>
              </w:rPr>
              <w:t>氨、硫化氢</w:t>
            </w:r>
            <w:r>
              <w:rPr>
                <w:rFonts w:hint="eastAsia" w:ascii="Times New Roman" w:hAnsi="Times New Roman" w:cs="Times New Roman"/>
                <w:snapToGrid w:val="0"/>
                <w:spacing w:val="2"/>
                <w:sz w:val="21"/>
                <w:szCs w:val="21"/>
                <w:lang w:eastAsia="zh-CN"/>
              </w:rPr>
              <w:t>、</w:t>
            </w:r>
            <w:r>
              <w:rPr>
                <w:rFonts w:hint="eastAsia" w:ascii="Times New Roman" w:hAnsi="Times New Roman" w:cs="Times New Roman"/>
                <w:snapToGrid w:val="0"/>
                <w:spacing w:val="2"/>
                <w:sz w:val="21"/>
                <w:szCs w:val="21"/>
                <w:lang w:val="en-US" w:eastAsia="zh-CN"/>
              </w:rPr>
              <w:t>臭气浓度、</w:t>
            </w:r>
            <w:r>
              <w:rPr>
                <w:rFonts w:hint="default" w:ascii="Times New Roman" w:hAnsi="Times New Roman" w:eastAsia="宋体" w:cs="Times New Roman"/>
                <w:snapToGrid w:val="0"/>
                <w:spacing w:val="2"/>
                <w:sz w:val="21"/>
                <w:szCs w:val="21"/>
              </w:rPr>
              <w:t>PM</w:t>
            </w:r>
            <w:r>
              <w:rPr>
                <w:rFonts w:hint="default" w:ascii="Times New Roman" w:hAnsi="Times New Roman" w:eastAsia="宋体" w:cs="Times New Roman"/>
                <w:snapToGrid w:val="0"/>
                <w:spacing w:val="2"/>
                <w:sz w:val="21"/>
                <w:szCs w:val="21"/>
                <w:vertAlign w:val="subscript"/>
              </w:rPr>
              <w:t>10</w:t>
            </w:r>
            <w:r>
              <w:rPr>
                <w:rFonts w:hint="default" w:ascii="Times New Roman" w:hAnsi="Times New Roman" w:eastAsia="宋体" w:cs="Times New Roman"/>
                <w:snapToGrid w:val="0"/>
                <w:spacing w:val="2"/>
                <w:sz w:val="21"/>
                <w:szCs w:val="21"/>
              </w:rPr>
              <w:t>、PM</w:t>
            </w:r>
            <w:r>
              <w:rPr>
                <w:rFonts w:hint="default" w:ascii="Times New Roman" w:hAnsi="Times New Roman" w:eastAsia="宋体" w:cs="Times New Roman"/>
                <w:snapToGrid w:val="0"/>
                <w:spacing w:val="2"/>
                <w:sz w:val="21"/>
                <w:szCs w:val="21"/>
                <w:vertAlign w:val="subscript"/>
              </w:rPr>
              <w:t>2.5</w:t>
            </w:r>
            <w:r>
              <w:rPr>
                <w:rFonts w:hint="default" w:ascii="Times New Roman" w:hAnsi="Times New Roman" w:eastAsia="宋体" w:cs="Times New Roman"/>
                <w:snapToGrid w:val="0"/>
                <w:spacing w:val="2"/>
                <w:sz w:val="21"/>
                <w:szCs w:val="21"/>
              </w:rPr>
              <w:t>、</w:t>
            </w:r>
            <w:r>
              <w:rPr>
                <w:rFonts w:hint="eastAsia" w:ascii="Times New Roman" w:hAnsi="Times New Roman" w:cs="Times New Roman"/>
                <w:snapToGrid w:val="0"/>
                <w:spacing w:val="2"/>
                <w:sz w:val="21"/>
                <w:szCs w:val="21"/>
                <w:lang w:val="en-US" w:eastAsia="zh-CN"/>
              </w:rPr>
              <w:t>TSP</w:t>
            </w:r>
          </w:p>
        </w:tc>
      </w:tr>
      <w:tr w14:paraId="09C2C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tcBorders>
              <w:tl2br w:val="nil"/>
              <w:tr2bl w:val="nil"/>
            </w:tcBorders>
            <w:noWrap w:val="0"/>
            <w:vAlign w:val="center"/>
          </w:tcPr>
          <w:p w14:paraId="686BF0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rPr>
            </w:pPr>
            <w:r>
              <w:rPr>
                <w:rFonts w:hint="default" w:ascii="Times New Roman" w:hAnsi="Times New Roman" w:eastAsia="宋体" w:cs="Times New Roman"/>
                <w:snapToGrid w:val="0"/>
                <w:spacing w:val="2"/>
                <w:sz w:val="21"/>
                <w:szCs w:val="21"/>
              </w:rPr>
              <w:t>地下水</w:t>
            </w:r>
          </w:p>
        </w:tc>
        <w:tc>
          <w:tcPr>
            <w:tcW w:w="4672" w:type="dxa"/>
            <w:tcBorders>
              <w:tl2br w:val="nil"/>
              <w:tr2bl w:val="nil"/>
            </w:tcBorders>
            <w:noWrap w:val="0"/>
            <w:vAlign w:val="center"/>
          </w:tcPr>
          <w:p w14:paraId="35A693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lang w:eastAsia="zh-CN"/>
              </w:rPr>
            </w:pPr>
            <w:r>
              <w:rPr>
                <w:rFonts w:hint="default" w:ascii="Times New Roman" w:hAnsi="Times New Roman" w:eastAsia="宋体" w:cs="Times New Roman"/>
                <w:sz w:val="21"/>
                <w:szCs w:val="21"/>
                <w:lang w:eastAsia="zh-CN"/>
              </w:rPr>
              <w:t>K</w:t>
            </w:r>
            <w:r>
              <w:rPr>
                <w:rFonts w:hint="default" w:ascii="Times New Roman" w:hAnsi="Times New Roman" w:eastAsia="宋体" w:cs="Times New Roman"/>
                <w:sz w:val="21"/>
                <w:szCs w:val="21"/>
                <w:vertAlign w:val="superscript"/>
                <w:lang w:eastAsia="zh-CN"/>
              </w:rPr>
              <w:t>+</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lang w:eastAsia="zh-CN"/>
              </w:rPr>
              <w:t>Na</w:t>
            </w:r>
            <w:r>
              <w:rPr>
                <w:rFonts w:hint="default" w:ascii="Times New Roman" w:hAnsi="Times New Roman" w:eastAsia="宋体" w:cs="Times New Roman"/>
                <w:sz w:val="21"/>
                <w:szCs w:val="21"/>
                <w:vertAlign w:val="superscript"/>
                <w:lang w:eastAsia="zh-CN"/>
              </w:rPr>
              <w:t>+</w:t>
            </w:r>
            <w:r>
              <w:rPr>
                <w:rFonts w:hint="default" w:ascii="Times New Roman" w:hAnsi="Times New Roman" w:eastAsia="宋体" w:cs="Times New Roman"/>
                <w:sz w:val="21"/>
                <w:szCs w:val="21"/>
                <w:lang w:eastAsia="zh-CN"/>
              </w:rPr>
              <w:t>、Ca</w:t>
            </w:r>
            <w:r>
              <w:rPr>
                <w:rFonts w:hint="default" w:ascii="Times New Roman" w:hAnsi="Times New Roman" w:eastAsia="宋体" w:cs="Times New Roman"/>
                <w:sz w:val="21"/>
                <w:szCs w:val="21"/>
                <w:vertAlign w:val="superscript"/>
                <w:lang w:eastAsia="zh-CN"/>
              </w:rPr>
              <w:t>2+</w:t>
            </w:r>
            <w:r>
              <w:rPr>
                <w:rFonts w:hint="default" w:ascii="Times New Roman" w:hAnsi="Times New Roman" w:eastAsia="宋体" w:cs="Times New Roman"/>
                <w:sz w:val="21"/>
                <w:szCs w:val="21"/>
                <w:lang w:eastAsia="zh-CN"/>
              </w:rPr>
              <w:t>、Mg</w:t>
            </w:r>
            <w:r>
              <w:rPr>
                <w:rFonts w:hint="default" w:ascii="Times New Roman" w:hAnsi="Times New Roman" w:eastAsia="宋体" w:cs="Times New Roman"/>
                <w:sz w:val="21"/>
                <w:szCs w:val="21"/>
                <w:vertAlign w:val="superscript"/>
                <w:lang w:eastAsia="zh-CN"/>
              </w:rPr>
              <w:t>2+</w:t>
            </w:r>
            <w:r>
              <w:rPr>
                <w:rFonts w:hint="default" w:ascii="Times New Roman" w:hAnsi="Times New Roman" w:eastAsia="宋体" w:cs="Times New Roman"/>
                <w:sz w:val="21"/>
                <w:szCs w:val="21"/>
                <w:lang w:eastAsia="zh-CN"/>
              </w:rPr>
              <w:t>、CO</w:t>
            </w:r>
            <w:r>
              <w:rPr>
                <w:rFonts w:hint="default" w:ascii="Times New Roman" w:hAnsi="Times New Roman" w:eastAsia="宋体" w:cs="Times New Roman"/>
                <w:sz w:val="21"/>
                <w:szCs w:val="21"/>
                <w:vertAlign w:val="subscript"/>
                <w:lang w:eastAsia="zh-CN"/>
              </w:rPr>
              <w:t>3</w:t>
            </w:r>
            <w:r>
              <w:rPr>
                <w:rFonts w:hint="default" w:ascii="Times New Roman" w:hAnsi="Times New Roman" w:eastAsia="宋体" w:cs="Times New Roman"/>
                <w:sz w:val="21"/>
                <w:szCs w:val="21"/>
                <w:vertAlign w:val="superscript"/>
                <w:lang w:eastAsia="zh-CN"/>
              </w:rPr>
              <w:t>2-</w:t>
            </w:r>
            <w:r>
              <w:rPr>
                <w:rFonts w:hint="default" w:ascii="Times New Roman" w:hAnsi="Times New Roman" w:eastAsia="宋体" w:cs="Times New Roman"/>
                <w:sz w:val="21"/>
                <w:szCs w:val="21"/>
                <w:lang w:eastAsia="zh-CN"/>
              </w:rPr>
              <w:t>、HCO</w:t>
            </w:r>
            <w:r>
              <w:rPr>
                <w:rFonts w:hint="default" w:ascii="Times New Roman" w:hAnsi="Times New Roman" w:eastAsia="宋体" w:cs="Times New Roman"/>
                <w:sz w:val="21"/>
                <w:szCs w:val="21"/>
                <w:vertAlign w:val="subscript"/>
                <w:lang w:eastAsia="zh-CN"/>
              </w:rPr>
              <w:t>3</w:t>
            </w:r>
            <w:r>
              <w:rPr>
                <w:rFonts w:hint="default" w:ascii="Times New Roman" w:hAnsi="Times New Roman" w:eastAsia="宋体" w:cs="Times New Roman"/>
                <w:sz w:val="21"/>
                <w:szCs w:val="21"/>
                <w:vertAlign w:val="superscript"/>
                <w:lang w:eastAsia="zh-CN"/>
              </w:rPr>
              <w:t>-</w:t>
            </w:r>
            <w:r>
              <w:rPr>
                <w:rFonts w:hint="default" w:ascii="Times New Roman" w:hAnsi="Times New Roman" w:eastAsia="宋体" w:cs="Times New Roman"/>
                <w:sz w:val="21"/>
                <w:szCs w:val="21"/>
                <w:lang w:eastAsia="zh-CN"/>
              </w:rPr>
              <w:t>、Cl</w:t>
            </w:r>
            <w:r>
              <w:rPr>
                <w:rFonts w:hint="default" w:ascii="Times New Roman" w:hAnsi="Times New Roman" w:eastAsia="宋体" w:cs="Times New Roman"/>
                <w:sz w:val="21"/>
                <w:szCs w:val="21"/>
                <w:vertAlign w:val="superscript"/>
                <w:lang w:eastAsia="zh-CN"/>
              </w:rPr>
              <w:t>-</w:t>
            </w:r>
            <w:r>
              <w:rPr>
                <w:rFonts w:hint="default" w:ascii="Times New Roman" w:hAnsi="Times New Roman" w:eastAsia="宋体" w:cs="Times New Roman"/>
                <w:sz w:val="21"/>
                <w:szCs w:val="21"/>
                <w:lang w:eastAsia="zh-CN"/>
              </w:rPr>
              <w:t>、SO</w:t>
            </w:r>
            <w:r>
              <w:rPr>
                <w:rFonts w:hint="default" w:ascii="Times New Roman" w:hAnsi="Times New Roman" w:eastAsia="宋体" w:cs="Times New Roman"/>
                <w:sz w:val="21"/>
                <w:szCs w:val="21"/>
                <w:vertAlign w:val="subscript"/>
                <w:lang w:eastAsia="zh-CN"/>
              </w:rPr>
              <w:t>4</w:t>
            </w:r>
            <w:r>
              <w:rPr>
                <w:rFonts w:hint="default" w:ascii="Times New Roman" w:hAnsi="Times New Roman" w:eastAsia="宋体" w:cs="Times New Roman"/>
                <w:sz w:val="21"/>
                <w:szCs w:val="21"/>
                <w:vertAlign w:val="superscript"/>
                <w:lang w:eastAsia="zh-CN"/>
              </w:rPr>
              <w:t>2-</w:t>
            </w:r>
            <w:r>
              <w:rPr>
                <w:rFonts w:hint="eastAsia" w:ascii="Times New Roman" w:hAnsi="Times New Roman" w:eastAsia="宋体" w:cs="Times New Roman"/>
                <w:kern w:val="2"/>
                <w:sz w:val="21"/>
                <w:szCs w:val="21"/>
                <w:lang w:val="en-US" w:eastAsia="zh-CN"/>
              </w:rPr>
              <w:t>、</w:t>
            </w:r>
            <w:r>
              <w:rPr>
                <w:rFonts w:hint="default" w:ascii="Times New Roman" w:hAnsi="Times New Roman" w:eastAsia="宋体" w:cs="Times New Roman"/>
                <w:snapToGrid w:val="0"/>
                <w:spacing w:val="2"/>
                <w:sz w:val="21"/>
                <w:szCs w:val="21"/>
                <w:lang w:val="en-US" w:eastAsia="zh-CN"/>
              </w:rPr>
              <w:t>pH、总硬度、溶解性总固体、铁、锰、铜、锌、铝、挥发性酚类、阴离子表面活性剂、耗氧量、氨氮、硫化物、总大肠菌群、菌落总数</w:t>
            </w:r>
          </w:p>
        </w:tc>
        <w:tc>
          <w:tcPr>
            <w:tcW w:w="2592" w:type="dxa"/>
            <w:tcBorders>
              <w:tl2br w:val="nil"/>
              <w:tr2bl w:val="nil"/>
            </w:tcBorders>
            <w:noWrap w:val="0"/>
            <w:vAlign w:val="center"/>
          </w:tcPr>
          <w:p w14:paraId="03030E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rPr>
            </w:pPr>
            <w:r>
              <w:rPr>
                <w:rFonts w:hint="default" w:ascii="Times New Roman" w:hAnsi="Times New Roman" w:eastAsia="宋体" w:cs="Times New Roman"/>
                <w:snapToGrid w:val="0"/>
                <w:spacing w:val="2"/>
                <w:sz w:val="21"/>
                <w:szCs w:val="21"/>
              </w:rPr>
              <w:t>NH</w:t>
            </w:r>
            <w:r>
              <w:rPr>
                <w:rFonts w:hint="default" w:ascii="Times New Roman" w:hAnsi="Times New Roman" w:eastAsia="宋体" w:cs="Times New Roman"/>
                <w:snapToGrid w:val="0"/>
                <w:spacing w:val="2"/>
                <w:sz w:val="21"/>
                <w:szCs w:val="21"/>
                <w:vertAlign w:val="subscript"/>
              </w:rPr>
              <w:t>3</w:t>
            </w:r>
            <w:r>
              <w:rPr>
                <w:rFonts w:hint="default" w:ascii="Times New Roman" w:hAnsi="Times New Roman" w:eastAsia="宋体" w:cs="Times New Roman"/>
                <w:snapToGrid w:val="0"/>
                <w:spacing w:val="2"/>
                <w:sz w:val="21"/>
                <w:szCs w:val="21"/>
              </w:rPr>
              <w:t>-N</w:t>
            </w:r>
          </w:p>
        </w:tc>
      </w:tr>
      <w:tr w14:paraId="667192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tcBorders>
              <w:tl2br w:val="nil"/>
              <w:tr2bl w:val="nil"/>
            </w:tcBorders>
            <w:noWrap w:val="0"/>
            <w:vAlign w:val="center"/>
          </w:tcPr>
          <w:p w14:paraId="6EAEBC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color w:val="000000"/>
                <w:spacing w:val="2"/>
                <w:sz w:val="21"/>
                <w:szCs w:val="21"/>
              </w:rPr>
            </w:pPr>
            <w:r>
              <w:rPr>
                <w:rFonts w:hint="default" w:ascii="Times New Roman" w:hAnsi="Times New Roman" w:eastAsia="宋体" w:cs="Times New Roman"/>
                <w:snapToGrid w:val="0"/>
                <w:color w:val="000000"/>
                <w:spacing w:val="2"/>
                <w:sz w:val="21"/>
                <w:szCs w:val="21"/>
              </w:rPr>
              <w:t>噪声</w:t>
            </w:r>
          </w:p>
        </w:tc>
        <w:tc>
          <w:tcPr>
            <w:tcW w:w="4672" w:type="dxa"/>
            <w:tcBorders>
              <w:tl2br w:val="nil"/>
              <w:tr2bl w:val="nil"/>
            </w:tcBorders>
            <w:noWrap w:val="0"/>
            <w:vAlign w:val="center"/>
          </w:tcPr>
          <w:p w14:paraId="2DC147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color w:val="000000"/>
                <w:spacing w:val="2"/>
                <w:sz w:val="21"/>
                <w:szCs w:val="21"/>
                <w:lang w:val="en-US" w:eastAsia="zh-CN"/>
              </w:rPr>
            </w:pPr>
            <w:r>
              <w:rPr>
                <w:rFonts w:hint="default" w:ascii="Times New Roman" w:hAnsi="Times New Roman" w:eastAsia="宋体" w:cs="Times New Roman"/>
                <w:snapToGrid w:val="0"/>
                <w:color w:val="000000"/>
                <w:spacing w:val="2"/>
                <w:sz w:val="21"/>
                <w:szCs w:val="21"/>
              </w:rPr>
              <w:t>等效连续A声级</w:t>
            </w:r>
          </w:p>
        </w:tc>
        <w:tc>
          <w:tcPr>
            <w:tcW w:w="2592" w:type="dxa"/>
            <w:tcBorders>
              <w:tl2br w:val="nil"/>
              <w:tr2bl w:val="nil"/>
            </w:tcBorders>
            <w:noWrap w:val="0"/>
            <w:vAlign w:val="center"/>
          </w:tcPr>
          <w:p w14:paraId="170BF6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color w:val="000000"/>
                <w:spacing w:val="2"/>
                <w:sz w:val="21"/>
                <w:szCs w:val="21"/>
                <w:lang w:eastAsia="zh-CN"/>
              </w:rPr>
            </w:pPr>
            <w:r>
              <w:rPr>
                <w:rFonts w:hint="default" w:ascii="Times New Roman" w:hAnsi="Times New Roman" w:eastAsia="宋体" w:cs="Times New Roman"/>
                <w:snapToGrid w:val="0"/>
                <w:color w:val="000000"/>
                <w:spacing w:val="2"/>
                <w:sz w:val="21"/>
                <w:szCs w:val="21"/>
              </w:rPr>
              <w:t>厂界等效连续A声级</w:t>
            </w:r>
          </w:p>
        </w:tc>
      </w:tr>
      <w:tr w14:paraId="26C846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tcBorders>
              <w:tl2br w:val="nil"/>
              <w:tr2bl w:val="nil"/>
            </w:tcBorders>
            <w:noWrap w:val="0"/>
            <w:vAlign w:val="center"/>
          </w:tcPr>
          <w:p w14:paraId="014FBF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rPr>
            </w:pPr>
            <w:r>
              <w:rPr>
                <w:rFonts w:hint="default" w:ascii="Times New Roman" w:hAnsi="Times New Roman" w:eastAsia="宋体" w:cs="Times New Roman"/>
                <w:snapToGrid w:val="0"/>
                <w:spacing w:val="2"/>
                <w:sz w:val="21"/>
                <w:szCs w:val="21"/>
              </w:rPr>
              <w:t>固体废物</w:t>
            </w:r>
          </w:p>
        </w:tc>
        <w:tc>
          <w:tcPr>
            <w:tcW w:w="4672" w:type="dxa"/>
            <w:tcBorders>
              <w:tl2br w:val="nil"/>
              <w:tr2bl w:val="nil"/>
            </w:tcBorders>
            <w:noWrap w:val="0"/>
            <w:vAlign w:val="center"/>
          </w:tcPr>
          <w:p w14:paraId="70A122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lang w:eastAsia="zh-CN"/>
              </w:rPr>
            </w:pPr>
            <w:r>
              <w:rPr>
                <w:rFonts w:hint="default" w:ascii="Times New Roman" w:hAnsi="Times New Roman" w:eastAsia="宋体" w:cs="Times New Roman"/>
                <w:snapToGrid w:val="0"/>
                <w:spacing w:val="2"/>
                <w:sz w:val="21"/>
                <w:szCs w:val="21"/>
                <w:lang w:eastAsia="zh-CN"/>
              </w:rPr>
              <w:t>——</w:t>
            </w:r>
          </w:p>
        </w:tc>
        <w:tc>
          <w:tcPr>
            <w:tcW w:w="2592" w:type="dxa"/>
            <w:tcBorders>
              <w:tl2br w:val="nil"/>
              <w:tr2bl w:val="nil"/>
            </w:tcBorders>
            <w:noWrap w:val="0"/>
            <w:vAlign w:val="center"/>
          </w:tcPr>
          <w:p w14:paraId="0AB2B2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sz w:val="21"/>
                <w:szCs w:val="21"/>
                <w:lang w:val="en-US" w:eastAsia="zh-CN"/>
              </w:rPr>
            </w:pPr>
            <w:r>
              <w:rPr>
                <w:rFonts w:hint="default" w:ascii="Times New Roman" w:hAnsi="Times New Roman" w:eastAsia="宋体" w:cs="Times New Roman"/>
                <w:snapToGrid w:val="0"/>
                <w:spacing w:val="2"/>
                <w:sz w:val="21"/>
                <w:szCs w:val="21"/>
                <w:lang w:val="en-US" w:eastAsia="zh-CN"/>
              </w:rPr>
              <w:t>牛粪、废发酵垫料</w:t>
            </w:r>
            <w:r>
              <w:rPr>
                <w:rFonts w:hint="default" w:ascii="Times New Roman" w:hAnsi="Times New Roman" w:eastAsia="宋体" w:cs="Times New Roman"/>
                <w:snapToGrid w:val="0"/>
                <w:spacing w:val="2"/>
                <w:sz w:val="21"/>
                <w:szCs w:val="21"/>
              </w:rPr>
              <w:t>、</w:t>
            </w:r>
            <w:r>
              <w:rPr>
                <w:rFonts w:hint="default" w:ascii="Times New Roman" w:hAnsi="Times New Roman" w:eastAsia="宋体" w:cs="Times New Roman"/>
                <w:snapToGrid w:val="0"/>
                <w:spacing w:val="2"/>
                <w:sz w:val="21"/>
                <w:szCs w:val="21"/>
                <w:lang w:eastAsia="zh-CN"/>
              </w:rPr>
              <w:t>病</w:t>
            </w:r>
            <w:r>
              <w:rPr>
                <w:rFonts w:hint="default" w:ascii="Times New Roman" w:hAnsi="Times New Roman" w:eastAsia="宋体" w:cs="Times New Roman"/>
                <w:snapToGrid w:val="0"/>
                <w:spacing w:val="2"/>
                <w:sz w:val="21"/>
                <w:szCs w:val="21"/>
              </w:rPr>
              <w:t>死</w:t>
            </w:r>
            <w:r>
              <w:rPr>
                <w:rFonts w:hint="default" w:ascii="Times New Roman" w:hAnsi="Times New Roman" w:eastAsia="宋体" w:cs="Times New Roman"/>
                <w:snapToGrid w:val="0"/>
                <w:spacing w:val="2"/>
                <w:sz w:val="21"/>
                <w:szCs w:val="21"/>
                <w:lang w:val="en-US" w:eastAsia="zh-CN"/>
              </w:rPr>
              <w:t>牛</w:t>
            </w:r>
            <w:r>
              <w:rPr>
                <w:rFonts w:hint="default" w:ascii="Times New Roman" w:hAnsi="Times New Roman" w:eastAsia="宋体" w:cs="Times New Roman"/>
                <w:snapToGrid w:val="0"/>
                <w:spacing w:val="2"/>
                <w:sz w:val="21"/>
                <w:szCs w:val="21"/>
              </w:rPr>
              <w:t>、兽用医疗</w:t>
            </w:r>
            <w:r>
              <w:rPr>
                <w:rFonts w:hint="eastAsia" w:cs="Times New Roman"/>
                <w:snapToGrid w:val="0"/>
                <w:spacing w:val="2"/>
                <w:sz w:val="21"/>
                <w:szCs w:val="21"/>
                <w:lang w:val="en-US" w:eastAsia="zh-CN"/>
              </w:rPr>
              <w:t>废物</w:t>
            </w:r>
            <w:r>
              <w:rPr>
                <w:rFonts w:hint="default" w:ascii="Times New Roman" w:hAnsi="Times New Roman" w:eastAsia="宋体" w:cs="Times New Roman"/>
                <w:snapToGrid w:val="0"/>
                <w:spacing w:val="2"/>
                <w:sz w:val="21"/>
                <w:szCs w:val="21"/>
                <w:lang w:eastAsia="zh-CN"/>
              </w:rPr>
              <w:t>、</w:t>
            </w:r>
            <w:r>
              <w:rPr>
                <w:rFonts w:hint="default" w:ascii="Times New Roman" w:hAnsi="Times New Roman" w:eastAsia="宋体" w:cs="Times New Roman"/>
                <w:snapToGrid w:val="0"/>
                <w:spacing w:val="2"/>
                <w:sz w:val="21"/>
                <w:szCs w:val="21"/>
                <w:lang w:val="en-US" w:eastAsia="zh-CN"/>
              </w:rPr>
              <w:t>废包装材料</w:t>
            </w:r>
            <w:r>
              <w:rPr>
                <w:rFonts w:hint="default" w:ascii="Times New Roman" w:hAnsi="Times New Roman" w:eastAsia="宋体" w:cs="Times New Roman"/>
                <w:snapToGrid w:val="0"/>
                <w:spacing w:val="2"/>
                <w:sz w:val="21"/>
                <w:szCs w:val="21"/>
                <w:lang w:eastAsia="zh-CN"/>
              </w:rPr>
              <w:t>、</w:t>
            </w:r>
            <w:r>
              <w:rPr>
                <w:rFonts w:hint="default" w:ascii="Times New Roman" w:hAnsi="Times New Roman" w:eastAsia="宋体" w:cs="Times New Roman"/>
                <w:snapToGrid w:val="0"/>
                <w:spacing w:val="2"/>
                <w:sz w:val="21"/>
                <w:szCs w:val="21"/>
                <w:lang w:val="en-US" w:eastAsia="zh-CN"/>
              </w:rPr>
              <w:t>除尘灰、</w:t>
            </w:r>
            <w:r>
              <w:rPr>
                <w:rFonts w:hint="eastAsia" w:cs="Times New Roman"/>
                <w:snapToGrid w:val="0"/>
                <w:spacing w:val="2"/>
                <w:sz w:val="21"/>
                <w:szCs w:val="21"/>
                <w:lang w:val="en-US" w:eastAsia="zh-CN"/>
              </w:rPr>
              <w:t>废填料</w:t>
            </w:r>
            <w:r>
              <w:rPr>
                <w:rFonts w:hint="default" w:ascii="Times New Roman" w:hAnsi="Times New Roman" w:eastAsia="宋体" w:cs="Times New Roman"/>
                <w:snapToGrid w:val="0"/>
                <w:spacing w:val="2"/>
                <w:sz w:val="21"/>
                <w:szCs w:val="21"/>
              </w:rPr>
              <w:t>及生活垃圾</w:t>
            </w:r>
          </w:p>
        </w:tc>
      </w:tr>
      <w:tr w14:paraId="2E471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tcBorders>
              <w:tl2br w:val="nil"/>
              <w:tr2bl w:val="nil"/>
            </w:tcBorders>
            <w:noWrap w:val="0"/>
            <w:vAlign w:val="center"/>
          </w:tcPr>
          <w:p w14:paraId="6670FB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napToGrid w:val="0"/>
                <w:spacing w:val="2"/>
                <w:sz w:val="21"/>
                <w:szCs w:val="21"/>
                <w:lang w:val="en-US" w:eastAsia="zh-CN"/>
              </w:rPr>
            </w:pPr>
            <w:r>
              <w:rPr>
                <w:rFonts w:hint="eastAsia" w:ascii="Times New Roman" w:hAnsi="Times New Roman" w:cs="Times New Roman"/>
                <w:snapToGrid w:val="0"/>
                <w:spacing w:val="2"/>
                <w:sz w:val="21"/>
                <w:szCs w:val="21"/>
                <w:lang w:val="en-US" w:eastAsia="zh-CN"/>
              </w:rPr>
              <w:t>土壤</w:t>
            </w:r>
          </w:p>
        </w:tc>
        <w:tc>
          <w:tcPr>
            <w:tcW w:w="4672" w:type="dxa"/>
            <w:tcBorders>
              <w:tl2br w:val="nil"/>
              <w:tr2bl w:val="nil"/>
            </w:tcBorders>
            <w:noWrap w:val="0"/>
            <w:vAlign w:val="center"/>
          </w:tcPr>
          <w:p w14:paraId="43F38E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kern w:val="2"/>
                <w:sz w:val="21"/>
                <w:szCs w:val="21"/>
                <w:lang w:val="en-US" w:eastAsia="zh-CN" w:bidi="ar-SA"/>
              </w:rPr>
            </w:pPr>
            <w:r>
              <w:rPr>
                <w:rFonts w:hint="eastAsia" w:ascii="Times New Roman" w:hAnsi="Times New Roman" w:eastAsia="宋体" w:cs="Times New Roman"/>
                <w:snapToGrid w:val="0"/>
                <w:spacing w:val="2"/>
                <w:sz w:val="21"/>
                <w:szCs w:val="21"/>
                <w:lang w:eastAsia="zh-CN"/>
              </w:rPr>
              <w:t>镉、汞、砷、铜、铅、铬、锌、镍</w:t>
            </w:r>
            <w:r>
              <w:rPr>
                <w:rFonts w:hint="eastAsia" w:ascii="Times New Roman" w:hAnsi="Times New Roman" w:cs="Times New Roman"/>
                <w:snapToGrid w:val="0"/>
                <w:spacing w:val="2"/>
                <w:sz w:val="21"/>
                <w:szCs w:val="21"/>
                <w:lang w:eastAsia="zh-CN"/>
              </w:rPr>
              <w:t>、六六六、滴滴涕</w:t>
            </w:r>
          </w:p>
        </w:tc>
        <w:tc>
          <w:tcPr>
            <w:tcW w:w="2592" w:type="dxa"/>
            <w:tcBorders>
              <w:tl2br w:val="nil"/>
              <w:tr2bl w:val="nil"/>
            </w:tcBorders>
            <w:noWrap w:val="0"/>
            <w:vAlign w:val="center"/>
          </w:tcPr>
          <w:p w14:paraId="0B9DCF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spacing w:val="2"/>
                <w:kern w:val="2"/>
                <w:sz w:val="21"/>
                <w:szCs w:val="21"/>
                <w:lang w:val="en-US" w:eastAsia="zh-CN" w:bidi="ar-SA"/>
              </w:rPr>
            </w:pPr>
            <w:r>
              <w:rPr>
                <w:rFonts w:hint="default" w:ascii="Times New Roman" w:hAnsi="Times New Roman" w:eastAsia="宋体" w:cs="Times New Roman"/>
                <w:snapToGrid w:val="0"/>
                <w:spacing w:val="2"/>
                <w:kern w:val="2"/>
                <w:sz w:val="21"/>
                <w:szCs w:val="21"/>
                <w:lang w:val="en-US" w:eastAsia="zh-CN" w:bidi="ar-SA"/>
              </w:rPr>
              <w:t>COD、NH</w:t>
            </w:r>
            <w:r>
              <w:rPr>
                <w:rFonts w:hint="default" w:ascii="Times New Roman" w:hAnsi="Times New Roman" w:eastAsia="宋体" w:cs="Times New Roman"/>
                <w:snapToGrid w:val="0"/>
                <w:spacing w:val="2"/>
                <w:kern w:val="2"/>
                <w:sz w:val="21"/>
                <w:szCs w:val="21"/>
                <w:vertAlign w:val="subscript"/>
                <w:lang w:val="en-US" w:eastAsia="zh-CN" w:bidi="ar-SA"/>
              </w:rPr>
              <w:t>3</w:t>
            </w:r>
            <w:r>
              <w:rPr>
                <w:rFonts w:hint="default" w:ascii="Times New Roman" w:hAnsi="Times New Roman" w:eastAsia="宋体" w:cs="Times New Roman"/>
                <w:snapToGrid w:val="0"/>
                <w:spacing w:val="2"/>
                <w:kern w:val="2"/>
                <w:sz w:val="21"/>
                <w:szCs w:val="21"/>
                <w:lang w:val="en-US" w:eastAsia="zh-CN" w:bidi="ar-SA"/>
              </w:rPr>
              <w:t>-N</w:t>
            </w:r>
          </w:p>
        </w:tc>
      </w:tr>
      <w:tr w14:paraId="677B7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tcBorders>
              <w:tl2br w:val="nil"/>
              <w:tr2bl w:val="nil"/>
            </w:tcBorders>
            <w:noWrap w:val="0"/>
            <w:vAlign w:val="center"/>
          </w:tcPr>
          <w:p w14:paraId="73C733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color w:val="000000"/>
                <w:spacing w:val="2"/>
                <w:sz w:val="21"/>
                <w:szCs w:val="21"/>
              </w:rPr>
            </w:pPr>
            <w:r>
              <w:rPr>
                <w:rFonts w:hint="default" w:ascii="Times New Roman" w:hAnsi="Times New Roman" w:eastAsia="宋体" w:cs="Times New Roman"/>
                <w:snapToGrid w:val="0"/>
                <w:color w:val="000000"/>
                <w:spacing w:val="2"/>
                <w:sz w:val="21"/>
                <w:szCs w:val="21"/>
              </w:rPr>
              <w:t>生态环境</w:t>
            </w:r>
          </w:p>
        </w:tc>
        <w:tc>
          <w:tcPr>
            <w:tcW w:w="4672" w:type="dxa"/>
            <w:tcBorders>
              <w:tl2br w:val="nil"/>
              <w:tr2bl w:val="nil"/>
            </w:tcBorders>
            <w:noWrap w:val="0"/>
            <w:vAlign w:val="center"/>
          </w:tcPr>
          <w:p w14:paraId="2B6468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color w:val="000000"/>
                <w:spacing w:val="2"/>
                <w:sz w:val="21"/>
                <w:szCs w:val="21"/>
              </w:rPr>
            </w:pPr>
            <w:r>
              <w:rPr>
                <w:rFonts w:hint="default" w:ascii="Times New Roman" w:hAnsi="Times New Roman" w:eastAsia="宋体" w:cs="Times New Roman"/>
                <w:snapToGrid w:val="0"/>
                <w:color w:val="000000"/>
                <w:spacing w:val="2"/>
                <w:sz w:val="21"/>
                <w:szCs w:val="21"/>
              </w:rPr>
              <w:t>植被类型、动物、土壤类型、植被覆盖率</w:t>
            </w:r>
          </w:p>
        </w:tc>
        <w:tc>
          <w:tcPr>
            <w:tcW w:w="2592" w:type="dxa"/>
            <w:tcBorders>
              <w:tl2br w:val="nil"/>
              <w:tr2bl w:val="nil"/>
            </w:tcBorders>
            <w:noWrap w:val="0"/>
            <w:vAlign w:val="center"/>
          </w:tcPr>
          <w:p w14:paraId="2697E6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napToGrid w:val="0"/>
                <w:color w:val="000000"/>
                <w:spacing w:val="2"/>
                <w:sz w:val="21"/>
                <w:szCs w:val="21"/>
              </w:rPr>
            </w:pPr>
            <w:r>
              <w:rPr>
                <w:rFonts w:hint="default" w:ascii="Times New Roman" w:hAnsi="Times New Roman" w:eastAsia="宋体" w:cs="Times New Roman"/>
                <w:snapToGrid w:val="0"/>
                <w:color w:val="000000"/>
                <w:spacing w:val="2"/>
                <w:sz w:val="21"/>
                <w:szCs w:val="21"/>
              </w:rPr>
              <w:t>项目占地、植被变化、水土流失</w:t>
            </w:r>
          </w:p>
        </w:tc>
      </w:tr>
    </w:tbl>
    <w:p w14:paraId="66768150">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176" w:name="_Toc38885389"/>
      <w:bookmarkStart w:id="177" w:name="_Toc29892"/>
      <w:bookmarkStart w:id="178" w:name="_Toc14809"/>
      <w:bookmarkStart w:id="179" w:name="_Toc21749"/>
      <w:bookmarkStart w:id="180" w:name="_Toc20697"/>
      <w:bookmarkStart w:id="181" w:name="_Toc7633"/>
      <w:bookmarkStart w:id="182" w:name="_Toc370052887"/>
      <w:bookmarkStart w:id="183" w:name="_Toc12526"/>
      <w:bookmarkStart w:id="184" w:name="_Toc28723"/>
      <w:bookmarkStart w:id="185" w:name="_Toc25857"/>
      <w:bookmarkStart w:id="186" w:name="_Toc29490"/>
      <w:r>
        <w:rPr>
          <w:rFonts w:hint="default" w:ascii="Times New Roman" w:hAnsi="Times New Roman" w:eastAsia="宋体" w:cs="Times New Roman"/>
          <w:b/>
          <w:bCs/>
          <w:kern w:val="2"/>
          <w:sz w:val="30"/>
          <w:szCs w:val="30"/>
          <w:lang w:val="en-US" w:eastAsia="zh-CN" w:bidi="ar-SA"/>
        </w:rPr>
        <w:t>2.</w:t>
      </w:r>
      <w:r>
        <w:rPr>
          <w:rFonts w:hint="eastAsia" w:cs="Times New Roman"/>
          <w:b/>
          <w:bCs/>
          <w:kern w:val="2"/>
          <w:sz w:val="30"/>
          <w:szCs w:val="30"/>
          <w:lang w:val="en-US" w:eastAsia="zh-CN" w:bidi="ar-SA"/>
        </w:rPr>
        <w:t>4</w:t>
      </w:r>
      <w:r>
        <w:rPr>
          <w:rFonts w:hint="default" w:ascii="Times New Roman" w:hAnsi="Times New Roman" w:eastAsia="宋体" w:cs="Times New Roman"/>
          <w:b/>
          <w:bCs/>
          <w:kern w:val="2"/>
          <w:sz w:val="30"/>
          <w:szCs w:val="30"/>
          <w:lang w:val="en-US" w:eastAsia="zh-CN" w:bidi="ar-SA"/>
        </w:rPr>
        <w:t>环境功能区划</w:t>
      </w:r>
      <w:bookmarkEnd w:id="176"/>
      <w:bookmarkEnd w:id="177"/>
      <w:bookmarkEnd w:id="178"/>
      <w:bookmarkEnd w:id="179"/>
      <w:bookmarkEnd w:id="180"/>
      <w:bookmarkEnd w:id="181"/>
      <w:bookmarkEnd w:id="182"/>
    </w:p>
    <w:p w14:paraId="711B0252">
      <w:pPr>
        <w:keepNext w:val="0"/>
        <w:keepLines w:val="0"/>
        <w:pageBreakBefore w:val="0"/>
        <w:widowControl w:val="0"/>
        <w:kinsoku/>
        <w:wordWrap/>
        <w:overflowPunct/>
        <w:topLinePunct w:val="0"/>
        <w:autoSpaceDE/>
        <w:autoSpaceDN/>
        <w:bidi w:val="0"/>
        <w:adjustRightInd/>
        <w:snapToGrid/>
        <w:spacing w:before="0" w:after="0" w:line="460" w:lineRule="exact"/>
        <w:jc w:val="both"/>
        <w:textAlignment w:val="auto"/>
        <w:outlineLvl w:val="2"/>
        <w:rPr>
          <w:rFonts w:hint="default" w:ascii="Times New Roman" w:hAnsi="Times New Roman" w:eastAsia="宋体" w:cs="Times New Roman"/>
          <w:b/>
          <w:bCs/>
          <w:kern w:val="2"/>
          <w:sz w:val="28"/>
          <w:szCs w:val="28"/>
          <w:lang w:val="en-US" w:eastAsia="zh-CN" w:bidi="ar-SA"/>
        </w:rPr>
      </w:pPr>
      <w:bookmarkStart w:id="187" w:name="_Toc9797"/>
      <w:bookmarkStart w:id="188" w:name="_Toc27016"/>
      <w:bookmarkStart w:id="189" w:name="_Toc8023"/>
      <w:bookmarkStart w:id="190" w:name="_Toc4719"/>
      <w:r>
        <w:rPr>
          <w:rFonts w:hint="eastAsia"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4</w:t>
      </w:r>
      <w:r>
        <w:rPr>
          <w:rFonts w:hint="eastAsia" w:ascii="Times New Roman" w:hAnsi="Times New Roman" w:eastAsia="宋体" w:cs="Times New Roman"/>
          <w:b/>
          <w:bCs/>
          <w:kern w:val="2"/>
          <w:sz w:val="28"/>
          <w:szCs w:val="28"/>
          <w:lang w:val="en-US" w:eastAsia="zh-CN" w:bidi="ar-SA"/>
        </w:rPr>
        <w:t>.1</w:t>
      </w:r>
      <w:r>
        <w:rPr>
          <w:rFonts w:hint="default" w:ascii="Times New Roman" w:hAnsi="Times New Roman" w:eastAsia="宋体" w:cs="Times New Roman"/>
          <w:b/>
          <w:bCs/>
          <w:kern w:val="2"/>
          <w:sz w:val="28"/>
          <w:szCs w:val="28"/>
          <w:lang w:val="en-US" w:eastAsia="zh-CN" w:bidi="ar-SA"/>
        </w:rPr>
        <w:t>环境空气质量功能区划</w:t>
      </w:r>
      <w:bookmarkEnd w:id="187"/>
      <w:bookmarkEnd w:id="188"/>
      <w:bookmarkEnd w:id="189"/>
      <w:bookmarkEnd w:id="190"/>
    </w:p>
    <w:p w14:paraId="01C213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kern w:val="2"/>
          <w:sz w:val="24"/>
          <w:szCs w:val="24"/>
        </w:rPr>
        <w:t>根据《环境空气质量标准》（GB3095-20</w:t>
      </w:r>
      <w:r>
        <w:rPr>
          <w:rFonts w:hint="eastAsia" w:cs="Times New Roman"/>
          <w:kern w:val="2"/>
          <w:sz w:val="24"/>
          <w:szCs w:val="24"/>
          <w:lang w:val="en-US" w:eastAsia="zh-CN"/>
        </w:rPr>
        <w:t>26</w:t>
      </w:r>
      <w:r>
        <w:rPr>
          <w:rFonts w:hint="default" w:ascii="Times New Roman" w:hAnsi="Times New Roman" w:eastAsia="宋体" w:cs="Times New Roman"/>
          <w:kern w:val="2"/>
          <w:sz w:val="24"/>
          <w:szCs w:val="24"/>
        </w:rPr>
        <w:t>），项目区环境空气质量属于二类区</w:t>
      </w:r>
      <w:r>
        <w:rPr>
          <w:rFonts w:hint="default" w:ascii="Times New Roman" w:hAnsi="Times New Roman" w:eastAsia="宋体" w:cs="Times New Roman"/>
          <w:sz w:val="24"/>
        </w:rPr>
        <w:t>。</w:t>
      </w:r>
    </w:p>
    <w:p w14:paraId="6AF91D34">
      <w:pPr>
        <w:keepNext w:val="0"/>
        <w:keepLines w:val="0"/>
        <w:pageBreakBefore w:val="0"/>
        <w:widowControl w:val="0"/>
        <w:kinsoku/>
        <w:wordWrap/>
        <w:overflowPunct/>
        <w:topLinePunct w:val="0"/>
        <w:autoSpaceDE/>
        <w:autoSpaceDN/>
        <w:bidi w:val="0"/>
        <w:adjustRightInd/>
        <w:snapToGrid/>
        <w:spacing w:before="0" w:after="0" w:line="440" w:lineRule="exact"/>
        <w:jc w:val="both"/>
        <w:textAlignment w:val="auto"/>
        <w:outlineLvl w:val="2"/>
        <w:rPr>
          <w:rFonts w:hint="default" w:ascii="Times New Roman" w:hAnsi="Times New Roman" w:eastAsia="宋体" w:cs="Times New Roman"/>
          <w:b/>
          <w:bCs/>
          <w:kern w:val="2"/>
          <w:sz w:val="28"/>
          <w:szCs w:val="28"/>
          <w:lang w:val="en-US" w:eastAsia="zh-CN" w:bidi="ar-SA"/>
        </w:rPr>
      </w:pPr>
      <w:bookmarkStart w:id="191" w:name="_Toc20613"/>
      <w:bookmarkStart w:id="192" w:name="_Toc12268"/>
      <w:bookmarkStart w:id="193" w:name="_Toc1292"/>
      <w:bookmarkStart w:id="194" w:name="_Toc18572"/>
      <w:r>
        <w:rPr>
          <w:rFonts w:hint="eastAsia"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4</w:t>
      </w:r>
      <w:r>
        <w:rPr>
          <w:rFonts w:hint="eastAsia" w:ascii="Times New Roman" w:hAnsi="Times New Roman" w:eastAsia="宋体"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水环境功能区划</w:t>
      </w:r>
      <w:bookmarkEnd w:id="191"/>
      <w:bookmarkEnd w:id="192"/>
      <w:bookmarkEnd w:id="193"/>
      <w:bookmarkEnd w:id="194"/>
    </w:p>
    <w:p w14:paraId="11AE9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bookmarkStart w:id="195" w:name="_Toc9056"/>
      <w:bookmarkStart w:id="196" w:name="_Toc9482"/>
      <w:bookmarkStart w:id="197" w:name="_Toc21841"/>
      <w:bookmarkStart w:id="198" w:name="_Toc30349"/>
      <w:r>
        <w:rPr>
          <w:rFonts w:hint="default" w:ascii="Times New Roman" w:hAnsi="Times New Roman" w:cs="Times New Roman"/>
          <w:kern w:val="2"/>
          <w:sz w:val="24"/>
          <w:szCs w:val="24"/>
          <w:lang w:val="en-US" w:eastAsia="zh-CN"/>
        </w:rPr>
        <w:t>地下水：</w:t>
      </w:r>
      <w:r>
        <w:rPr>
          <w:rFonts w:hint="default" w:ascii="Times New Roman" w:hAnsi="Times New Roman" w:eastAsia="宋体" w:cs="Times New Roman"/>
          <w:kern w:val="2"/>
          <w:sz w:val="24"/>
          <w:szCs w:val="24"/>
          <w:lang w:eastAsia="zh-CN"/>
        </w:rPr>
        <w:t>根据</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eastAsia="zh-CN"/>
        </w:rPr>
        <w:t>地下水质量标准</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eastAsia="zh-CN"/>
        </w:rPr>
        <w:t>GB/T14848-2017</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eastAsia="zh-CN"/>
        </w:rPr>
        <w:t>，</w:t>
      </w:r>
      <w:r>
        <w:rPr>
          <w:rFonts w:hint="default" w:ascii="Times New Roman" w:hAnsi="Times New Roman" w:eastAsia="宋体" w:cs="Times New Roman"/>
          <w:kern w:val="2"/>
          <w:sz w:val="24"/>
          <w:szCs w:val="24"/>
        </w:rPr>
        <w:t>项目区地下水环境质量</w:t>
      </w:r>
      <w:r>
        <w:rPr>
          <w:rFonts w:hint="default" w:ascii="Times New Roman" w:hAnsi="Times New Roman" w:eastAsia="宋体" w:cs="Times New Roman"/>
          <w:kern w:val="2"/>
          <w:sz w:val="24"/>
          <w:szCs w:val="24"/>
          <w:lang w:eastAsia="zh-CN"/>
        </w:rPr>
        <w:t>属于Ⅲ类区</w:t>
      </w:r>
      <w:r>
        <w:rPr>
          <w:rFonts w:hint="default" w:ascii="Times New Roman" w:hAnsi="Times New Roman" w:eastAsia="宋体" w:cs="Times New Roman"/>
          <w:kern w:val="2"/>
          <w:sz w:val="24"/>
          <w:szCs w:val="24"/>
        </w:rPr>
        <w:t>。</w:t>
      </w:r>
    </w:p>
    <w:p w14:paraId="2DA3A769">
      <w:pPr>
        <w:keepNext w:val="0"/>
        <w:keepLines w:val="0"/>
        <w:pageBreakBefore w:val="0"/>
        <w:widowControl w:val="0"/>
        <w:kinsoku/>
        <w:wordWrap/>
        <w:overflowPunct/>
        <w:topLinePunct w:val="0"/>
        <w:autoSpaceDE/>
        <w:autoSpaceDN/>
        <w:bidi w:val="0"/>
        <w:adjustRightInd/>
        <w:snapToGrid/>
        <w:spacing w:before="0" w:after="0" w:line="440" w:lineRule="exact"/>
        <w:jc w:val="both"/>
        <w:textAlignment w:val="auto"/>
        <w:outlineLvl w:val="2"/>
        <w:rPr>
          <w:rFonts w:hint="default"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4</w:t>
      </w:r>
      <w:r>
        <w:rPr>
          <w:rFonts w:hint="eastAsia" w:ascii="Times New Roman" w:hAnsi="Times New Roman" w:eastAsia="宋体"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声环境功能区划</w:t>
      </w:r>
      <w:bookmarkEnd w:id="195"/>
      <w:bookmarkEnd w:id="196"/>
      <w:bookmarkEnd w:id="197"/>
      <w:bookmarkEnd w:id="198"/>
    </w:p>
    <w:p w14:paraId="7FE80DC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根据《声环境质量标准》（GB3096-2008），项目所在区域声环境质量属于2类声环境功能区。</w:t>
      </w:r>
    </w:p>
    <w:p w14:paraId="185E79DD">
      <w:pPr>
        <w:keepNext w:val="0"/>
        <w:keepLines w:val="0"/>
        <w:pageBreakBefore w:val="0"/>
        <w:widowControl w:val="0"/>
        <w:kinsoku/>
        <w:wordWrap/>
        <w:overflowPunct/>
        <w:topLinePunct w:val="0"/>
        <w:autoSpaceDE/>
        <w:autoSpaceDN/>
        <w:bidi w:val="0"/>
        <w:adjustRightInd/>
        <w:snapToGrid/>
        <w:spacing w:before="0" w:after="0" w:line="440" w:lineRule="exact"/>
        <w:jc w:val="both"/>
        <w:textAlignment w:val="auto"/>
        <w:outlineLvl w:val="2"/>
        <w:rPr>
          <w:rFonts w:hint="default" w:ascii="Times New Roman" w:hAnsi="Times New Roman" w:eastAsia="宋体" w:cs="Times New Roman"/>
          <w:b/>
          <w:bCs/>
          <w:kern w:val="2"/>
          <w:sz w:val="28"/>
          <w:szCs w:val="28"/>
          <w:lang w:val="en-US" w:eastAsia="zh-CN" w:bidi="ar-SA"/>
        </w:rPr>
      </w:pPr>
      <w:bookmarkStart w:id="199" w:name="_Toc10689"/>
      <w:bookmarkStart w:id="200" w:name="_Toc29063"/>
      <w:bookmarkStart w:id="201" w:name="_Toc368"/>
      <w:bookmarkStart w:id="202" w:name="_Toc8366"/>
      <w:r>
        <w:rPr>
          <w:rFonts w:hint="eastAsia"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4</w:t>
      </w:r>
      <w:r>
        <w:rPr>
          <w:rFonts w:hint="eastAsia" w:ascii="Times New Roman" w:hAnsi="Times New Roman" w:eastAsia="宋体"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生态功能区划</w:t>
      </w:r>
      <w:bookmarkEnd w:id="199"/>
      <w:bookmarkEnd w:id="200"/>
      <w:bookmarkEnd w:id="201"/>
      <w:bookmarkEnd w:id="202"/>
    </w:p>
    <w:p w14:paraId="7DE820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lang w:val="en-US" w:eastAsia="zh-CN"/>
        </w:rPr>
      </w:pPr>
      <w:r>
        <w:rPr>
          <w:rFonts w:hint="default" w:ascii="Times New Roman" w:hAnsi="Times New Roman" w:eastAsia="宋体" w:cs="Times New Roman"/>
          <w:sz w:val="24"/>
        </w:rPr>
        <w:t>按照《新疆生产建设兵团生态功能区划》，拟建项目区的生态功能区划见表</w:t>
      </w:r>
      <w:r>
        <w:rPr>
          <w:rFonts w:hint="default" w:ascii="Times New Roman" w:hAnsi="Times New Roman" w:eastAsia="宋体" w:cs="Times New Roman"/>
          <w:sz w:val="24"/>
          <w:lang w:val="en-US" w:eastAsia="zh-CN"/>
        </w:rPr>
        <w:t>2.</w:t>
      </w:r>
      <w:r>
        <w:rPr>
          <w:rFonts w:hint="eastAsia" w:cs="Times New Roman"/>
          <w:sz w:val="24"/>
          <w:lang w:val="en-US" w:eastAsia="zh-CN"/>
        </w:rPr>
        <w:t>4</w:t>
      </w:r>
      <w:r>
        <w:rPr>
          <w:rFonts w:hint="default" w:ascii="Times New Roman" w:hAnsi="Times New Roman" w:eastAsia="宋体" w:cs="Times New Roman"/>
          <w:sz w:val="24"/>
          <w:lang w:val="en-US" w:eastAsia="zh-CN"/>
        </w:rPr>
        <w:t>-</w:t>
      </w:r>
      <w:r>
        <w:rPr>
          <w:rFonts w:hint="eastAsia" w:ascii="Times New Roman" w:hAnsi="Times New Roman" w:cs="Times New Roman"/>
          <w:sz w:val="24"/>
          <w:lang w:val="en-US" w:eastAsia="zh-CN"/>
        </w:rPr>
        <w:t>1，生态功能区划图见图2.</w:t>
      </w:r>
      <w:r>
        <w:rPr>
          <w:rFonts w:hint="eastAsia" w:cs="Times New Roman"/>
          <w:sz w:val="24"/>
          <w:lang w:val="en-US" w:eastAsia="zh-CN"/>
        </w:rPr>
        <w:t>4</w:t>
      </w:r>
      <w:r>
        <w:rPr>
          <w:rFonts w:hint="eastAsia" w:ascii="Times New Roman" w:hAnsi="Times New Roman" w:cs="Times New Roman"/>
          <w:sz w:val="24"/>
          <w:lang w:val="en-US" w:eastAsia="zh-CN"/>
        </w:rPr>
        <w:t>-1，生态功能图见图2.</w:t>
      </w:r>
      <w:r>
        <w:rPr>
          <w:rFonts w:hint="eastAsia" w:cs="Times New Roman"/>
          <w:sz w:val="24"/>
          <w:lang w:val="en-US" w:eastAsia="zh-CN"/>
        </w:rPr>
        <w:t>4</w:t>
      </w:r>
      <w:r>
        <w:rPr>
          <w:rFonts w:hint="eastAsia" w:ascii="Times New Roman" w:hAnsi="Times New Roman" w:cs="Times New Roman"/>
          <w:sz w:val="24"/>
          <w:lang w:val="en-US" w:eastAsia="zh-CN"/>
        </w:rPr>
        <w:t>-</w:t>
      </w:r>
      <w:r>
        <w:rPr>
          <w:rFonts w:hint="eastAsia" w:cs="Times New Roman"/>
          <w:sz w:val="24"/>
          <w:lang w:val="en-US" w:eastAsia="zh-CN"/>
        </w:rPr>
        <w:t>1</w:t>
      </w:r>
      <w:r>
        <w:rPr>
          <w:rFonts w:hint="eastAsia" w:ascii="Times New Roman" w:hAnsi="Times New Roman" w:cs="Times New Roman"/>
          <w:sz w:val="24"/>
          <w:lang w:val="en-US" w:eastAsia="zh-CN"/>
        </w:rPr>
        <w:t>。</w:t>
      </w:r>
    </w:p>
    <w:p w14:paraId="7CFAF6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b/>
          <w:bCs w:val="0"/>
          <w:sz w:val="24"/>
        </w:rPr>
      </w:pPr>
      <w:r>
        <w:rPr>
          <w:rFonts w:hint="default" w:ascii="Times New Roman" w:hAnsi="Times New Roman" w:eastAsia="宋体" w:cs="Times New Roman"/>
          <w:b/>
          <w:bCs w:val="0"/>
          <w:sz w:val="24"/>
        </w:rPr>
        <w:t>表</w:t>
      </w:r>
      <w:r>
        <w:rPr>
          <w:rFonts w:hint="default" w:ascii="Times New Roman" w:hAnsi="Times New Roman" w:eastAsia="宋体" w:cs="Times New Roman"/>
          <w:b/>
          <w:bCs w:val="0"/>
          <w:sz w:val="24"/>
          <w:lang w:val="en-US" w:eastAsia="zh-CN"/>
        </w:rPr>
        <w:t>2.</w:t>
      </w:r>
      <w:r>
        <w:rPr>
          <w:rFonts w:hint="eastAsia" w:cs="Times New Roman"/>
          <w:b/>
          <w:bCs w:val="0"/>
          <w:sz w:val="24"/>
          <w:lang w:val="en-US" w:eastAsia="zh-CN"/>
        </w:rPr>
        <w:t>4</w:t>
      </w:r>
      <w:r>
        <w:rPr>
          <w:rFonts w:hint="eastAsia" w:ascii="Times New Roman" w:hAnsi="Times New Roman" w:cs="Times New Roman"/>
          <w:b/>
          <w:bCs w:val="0"/>
          <w:sz w:val="24"/>
          <w:lang w:val="en-US" w:eastAsia="zh-CN"/>
        </w:rPr>
        <w:t>-1</w:t>
      </w:r>
      <w:r>
        <w:rPr>
          <w:rFonts w:hint="default" w:ascii="Times New Roman" w:hAnsi="Times New Roman" w:eastAsia="宋体" w:cs="Times New Roman"/>
          <w:b/>
          <w:bCs w:val="0"/>
          <w:sz w:val="24"/>
        </w:rPr>
        <w:t>评价区生态功能区划简表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7"/>
        <w:gridCol w:w="6547"/>
      </w:tblGrid>
      <w:tr w14:paraId="0298C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42454BB4">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b/>
                <w:bCs w:val="0"/>
                <w:kern w:val="0"/>
                <w:sz w:val="21"/>
                <w:szCs w:val="21"/>
                <w:lang w:val="en-US" w:eastAsia="zh-CN" w:bidi="ar-SA"/>
              </w:rPr>
            </w:pPr>
            <w:r>
              <w:rPr>
                <w:rFonts w:hint="default" w:ascii="Times New Roman" w:hAnsi="Times New Roman" w:eastAsia="宋体" w:cs="Times New Roman"/>
                <w:b/>
                <w:bCs w:val="0"/>
                <w:kern w:val="0"/>
                <w:sz w:val="21"/>
                <w:szCs w:val="21"/>
                <w:lang w:val="en-US" w:eastAsia="zh-CN" w:bidi="ar-SA"/>
              </w:rPr>
              <w:t>项目</w:t>
            </w:r>
          </w:p>
        </w:tc>
        <w:tc>
          <w:tcPr>
            <w:tcW w:w="6547" w:type="dxa"/>
            <w:noWrap w:val="0"/>
            <w:vAlign w:val="center"/>
          </w:tcPr>
          <w:p w14:paraId="2E6B6DE2">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b/>
                <w:bCs w:val="0"/>
                <w:kern w:val="0"/>
                <w:sz w:val="21"/>
                <w:szCs w:val="21"/>
                <w:lang w:val="en-US" w:eastAsia="zh-CN" w:bidi="ar-SA"/>
              </w:rPr>
            </w:pPr>
            <w:r>
              <w:rPr>
                <w:rFonts w:hint="default" w:ascii="Times New Roman" w:hAnsi="Times New Roman" w:eastAsia="宋体" w:cs="Times New Roman"/>
                <w:b/>
                <w:bCs w:val="0"/>
                <w:kern w:val="0"/>
                <w:sz w:val="21"/>
                <w:szCs w:val="21"/>
                <w:lang w:val="en-US" w:eastAsia="zh-CN" w:bidi="ar-SA"/>
              </w:rPr>
              <w:t>区划</w:t>
            </w:r>
          </w:p>
        </w:tc>
      </w:tr>
      <w:tr w14:paraId="240261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2C06489D">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生态区</w:t>
            </w:r>
          </w:p>
        </w:tc>
        <w:tc>
          <w:tcPr>
            <w:tcW w:w="6547" w:type="dxa"/>
            <w:noWrap w:val="0"/>
            <w:vAlign w:val="center"/>
          </w:tcPr>
          <w:p w14:paraId="56509671">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Ⅱ兵团准噶尔盆地温带干旱荒漠与绿洲生态区</w:t>
            </w:r>
          </w:p>
        </w:tc>
      </w:tr>
      <w:tr w14:paraId="6B1EC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69310740">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生态亚区</w:t>
            </w:r>
          </w:p>
        </w:tc>
        <w:tc>
          <w:tcPr>
            <w:tcW w:w="6547" w:type="dxa"/>
            <w:noWrap w:val="0"/>
            <w:vAlign w:val="center"/>
          </w:tcPr>
          <w:p w14:paraId="22BB8676">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Ⅱ</w:t>
            </w:r>
            <w:r>
              <w:rPr>
                <w:rFonts w:hint="eastAsia" w:cs="Times New Roman"/>
                <w:kern w:val="0"/>
                <w:sz w:val="21"/>
                <w:szCs w:val="21"/>
                <w:vertAlign w:val="subscript"/>
                <w:lang w:val="en-US" w:eastAsia="zh-CN" w:bidi="ar-SA"/>
              </w:rPr>
              <w:t>3</w:t>
            </w:r>
            <w:r>
              <w:rPr>
                <w:rFonts w:hint="eastAsia" w:cs="Times New Roman"/>
                <w:kern w:val="0"/>
                <w:sz w:val="21"/>
                <w:szCs w:val="21"/>
                <w:lang w:val="en-US" w:eastAsia="zh-CN" w:bidi="ar-SA"/>
              </w:rPr>
              <w:t>六、七、八、十二师准噶尔盆地南部灌木、半灌木荒漠、绿洲农业生态亚区</w:t>
            </w:r>
          </w:p>
        </w:tc>
      </w:tr>
      <w:tr w14:paraId="7CDC07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323E31A0">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生态功能区</w:t>
            </w:r>
          </w:p>
        </w:tc>
        <w:tc>
          <w:tcPr>
            <w:tcW w:w="6547" w:type="dxa"/>
            <w:noWrap w:val="0"/>
            <w:vAlign w:val="center"/>
          </w:tcPr>
          <w:p w14:paraId="5ED2931A">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11.六、七、八师奎屯一石河子一五家渠城镇与绿洲生态功能区</w:t>
            </w:r>
          </w:p>
        </w:tc>
      </w:tr>
      <w:tr w14:paraId="6E797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62E2EE82">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主要生态服务功能</w:t>
            </w:r>
          </w:p>
        </w:tc>
        <w:tc>
          <w:tcPr>
            <w:tcW w:w="6547" w:type="dxa"/>
            <w:noWrap w:val="0"/>
            <w:vAlign w:val="center"/>
          </w:tcPr>
          <w:p w14:paraId="29A082D8">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工农畜产品生产、人居环境、荒漠化控制</w:t>
            </w:r>
          </w:p>
        </w:tc>
      </w:tr>
      <w:tr w14:paraId="171D6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0820D2B3">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主要生态环境问题</w:t>
            </w:r>
          </w:p>
        </w:tc>
        <w:tc>
          <w:tcPr>
            <w:tcW w:w="6547" w:type="dxa"/>
            <w:noWrap w:val="0"/>
            <w:vAlign w:val="center"/>
          </w:tcPr>
          <w:p w14:paraId="0380DD42">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地下水超采、荒漠植被退化、河流萎缩断流、</w:t>
            </w:r>
            <w:r>
              <w:rPr>
                <w:rFonts w:hint="eastAsia" w:cs="Times New Roman"/>
                <w:kern w:val="0"/>
                <w:sz w:val="21"/>
                <w:szCs w:val="21"/>
                <w:lang w:val="en-US" w:eastAsia="zh-CN" w:bidi="ar-SA"/>
              </w:rPr>
              <w:t>土地</w:t>
            </w:r>
            <w:r>
              <w:rPr>
                <w:rFonts w:hint="default" w:ascii="Times New Roman" w:hAnsi="Times New Roman" w:eastAsia="宋体" w:cs="Times New Roman"/>
                <w:kern w:val="0"/>
                <w:sz w:val="21"/>
                <w:szCs w:val="21"/>
                <w:lang w:val="en-US" w:eastAsia="zh-CN" w:bidi="ar-SA"/>
              </w:rPr>
              <w:t>荒漠化与盐渍化、工业污染严重、绿洲外围受到沙漠化威胁</w:t>
            </w:r>
          </w:p>
        </w:tc>
      </w:tr>
      <w:tr w14:paraId="75A21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02F14F57">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主要保护目标</w:t>
            </w:r>
          </w:p>
        </w:tc>
        <w:tc>
          <w:tcPr>
            <w:tcW w:w="6547" w:type="dxa"/>
            <w:noWrap w:val="0"/>
            <w:vAlign w:val="center"/>
          </w:tcPr>
          <w:p w14:paraId="5E1E85ED">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保护绿洲农田生态系统及农田土壤环境质量、保护城市环境质量、保护</w:t>
            </w:r>
            <w:r>
              <w:rPr>
                <w:rFonts w:hint="eastAsia" w:cs="Times New Roman"/>
                <w:kern w:val="0"/>
                <w:sz w:val="21"/>
                <w:szCs w:val="21"/>
                <w:lang w:val="en-US" w:eastAsia="zh-CN" w:bidi="ar-SA"/>
              </w:rPr>
              <w:t>荒漠</w:t>
            </w:r>
            <w:r>
              <w:rPr>
                <w:rFonts w:hint="default" w:ascii="Times New Roman" w:hAnsi="Times New Roman" w:eastAsia="宋体" w:cs="Times New Roman"/>
                <w:kern w:val="0"/>
                <w:sz w:val="21"/>
                <w:szCs w:val="21"/>
                <w:lang w:val="en-US" w:eastAsia="zh-CN" w:bidi="ar-SA"/>
              </w:rPr>
              <w:t>植被</w:t>
            </w:r>
          </w:p>
        </w:tc>
      </w:tr>
      <w:tr w14:paraId="2BB6B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1CCC7149">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主要保护措施</w:t>
            </w:r>
          </w:p>
        </w:tc>
        <w:tc>
          <w:tcPr>
            <w:tcW w:w="6547" w:type="dxa"/>
            <w:noWrap w:val="0"/>
            <w:vAlign w:val="center"/>
          </w:tcPr>
          <w:p w14:paraId="6F62905B">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节水灌溉、合理控制地下水开采，各类污染物达标排放、提高城市环境质量，保护绿洲外围荒漠植被、完善防护林体系、加强农田投入品的使用管理</w:t>
            </w:r>
          </w:p>
        </w:tc>
      </w:tr>
      <w:tr w14:paraId="3A9AAA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01E4E66E">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适宜发展方向</w:t>
            </w:r>
          </w:p>
        </w:tc>
        <w:tc>
          <w:tcPr>
            <w:tcW w:w="6547" w:type="dxa"/>
            <w:noWrap w:val="0"/>
            <w:vAlign w:val="center"/>
          </w:tcPr>
          <w:p w14:paraId="32FD57E0">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发展以棉花为主导的优质、高效、特色农业</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加快高标准城镇</w:t>
            </w:r>
            <w:r>
              <w:rPr>
                <w:rFonts w:hint="eastAsia" w:cs="Times New Roman"/>
                <w:kern w:val="0"/>
                <w:sz w:val="21"/>
                <w:szCs w:val="21"/>
                <w:lang w:val="en-US" w:eastAsia="zh-CN" w:bidi="ar-SA"/>
              </w:rPr>
              <w:t>（市）</w:t>
            </w:r>
            <w:r>
              <w:rPr>
                <w:rFonts w:hint="eastAsia" w:ascii="Times New Roman" w:hAnsi="Times New Roman" w:eastAsia="宋体" w:cs="Times New Roman"/>
                <w:kern w:val="0"/>
                <w:sz w:val="21"/>
                <w:szCs w:val="21"/>
                <w:lang w:val="en-US" w:eastAsia="zh-CN" w:bidi="ar-SA"/>
              </w:rPr>
              <w:t>化建设</w:t>
            </w:r>
            <w:r>
              <w:rPr>
                <w:rFonts w:hint="eastAsia"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发展和做强棉纺业、塑化节水器材产业、化工业等重要工业的建设</w:t>
            </w:r>
          </w:p>
        </w:tc>
      </w:tr>
    </w:tbl>
    <w:p w14:paraId="5A04D3B4">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203" w:name="_Toc578"/>
      <w:bookmarkStart w:id="204" w:name="_Toc29538"/>
      <w:bookmarkStart w:id="205" w:name="_Toc52"/>
      <w:bookmarkStart w:id="206" w:name="_Toc1649"/>
      <w:bookmarkStart w:id="207" w:name="_Toc2672"/>
      <w:r>
        <w:rPr>
          <w:rFonts w:hint="default" w:ascii="Times New Roman" w:hAnsi="Times New Roman" w:eastAsia="宋体" w:cs="Times New Roman"/>
          <w:b/>
          <w:bCs/>
          <w:kern w:val="2"/>
          <w:sz w:val="30"/>
          <w:szCs w:val="30"/>
          <w:lang w:val="en-US" w:eastAsia="zh-CN" w:bidi="ar-SA"/>
        </w:rPr>
        <w:t>2.</w:t>
      </w:r>
      <w:r>
        <w:rPr>
          <w:rFonts w:hint="eastAsia" w:cs="Times New Roman"/>
          <w:b/>
          <w:bCs/>
          <w:kern w:val="2"/>
          <w:sz w:val="30"/>
          <w:szCs w:val="30"/>
          <w:lang w:val="en-US" w:eastAsia="zh-CN" w:bidi="ar-SA"/>
        </w:rPr>
        <w:t>5</w:t>
      </w:r>
      <w:r>
        <w:rPr>
          <w:rFonts w:hint="default" w:ascii="Times New Roman" w:hAnsi="Times New Roman" w:eastAsia="宋体" w:cs="Times New Roman"/>
          <w:b/>
          <w:bCs/>
          <w:kern w:val="2"/>
          <w:sz w:val="30"/>
          <w:szCs w:val="30"/>
          <w:lang w:val="en-US" w:eastAsia="zh-CN" w:bidi="ar-SA"/>
        </w:rPr>
        <w:t>评价标准</w:t>
      </w:r>
      <w:bookmarkEnd w:id="203"/>
      <w:bookmarkEnd w:id="204"/>
      <w:bookmarkEnd w:id="205"/>
      <w:bookmarkEnd w:id="206"/>
      <w:bookmarkEnd w:id="207"/>
    </w:p>
    <w:p w14:paraId="60D50F20">
      <w:pPr>
        <w:keepNext w:val="0"/>
        <w:keepLines w:val="0"/>
        <w:widowControl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208" w:name="_Toc21916"/>
      <w:bookmarkStart w:id="209" w:name="_Toc22826"/>
      <w:r>
        <w:rPr>
          <w:rFonts w:hint="default"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5</w:t>
      </w:r>
      <w:r>
        <w:rPr>
          <w:rFonts w:hint="default" w:ascii="Times New Roman" w:hAnsi="Times New Roman" w:eastAsia="宋体" w:cs="Times New Roman"/>
          <w:b/>
          <w:bCs/>
          <w:kern w:val="2"/>
          <w:sz w:val="28"/>
          <w:szCs w:val="28"/>
          <w:lang w:val="en-US" w:eastAsia="zh-CN" w:bidi="ar-SA"/>
        </w:rPr>
        <w:t>.1环境质量标准</w:t>
      </w:r>
      <w:bookmarkEnd w:id="208"/>
      <w:bookmarkEnd w:id="209"/>
    </w:p>
    <w:p w14:paraId="348F7019">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.1.1环境空气质量标准</w:t>
      </w:r>
    </w:p>
    <w:p w14:paraId="73BEC72B">
      <w:pPr>
        <w:spacing w:line="360" w:lineRule="auto"/>
        <w:ind w:firstLine="480" w:firstLineChars="200"/>
        <w:rPr>
          <w:rFonts w:hint="default" w:ascii="Times New Roman" w:hAnsi="Times New Roman" w:eastAsia="宋体" w:cs="Times New Roman"/>
          <w:b/>
          <w:bCs w:val="0"/>
          <w:sz w:val="24"/>
        </w:rPr>
      </w:pPr>
      <w:r>
        <w:rPr>
          <w:rFonts w:ascii="Times New Roman" w:hAnsi="Times New Roman" w:cs="Times New Roman"/>
          <w:sz w:val="24"/>
        </w:rPr>
        <w:t>评价区域属二类区，环境空气质量评价采用《环境空气质量标准》（GB3095-20</w:t>
      </w:r>
      <w:r>
        <w:rPr>
          <w:rFonts w:hint="eastAsia" w:cs="Times New Roman"/>
          <w:sz w:val="24"/>
          <w:lang w:val="en-US" w:eastAsia="zh-CN"/>
        </w:rPr>
        <w:t>26</w:t>
      </w:r>
      <w:r>
        <w:rPr>
          <w:rFonts w:ascii="Times New Roman" w:hAnsi="Times New Roman" w:cs="Times New Roman"/>
          <w:sz w:val="24"/>
        </w:rPr>
        <w:t>）</w:t>
      </w:r>
      <w:r>
        <w:rPr>
          <w:rFonts w:hint="eastAsia" w:ascii="Times New Roman" w:hAnsi="Times New Roman" w:cs="Times New Roman"/>
          <w:sz w:val="24"/>
        </w:rPr>
        <w:t>表1 环境空气污染物基本项目浓度限值</w:t>
      </w:r>
      <w:r>
        <w:rPr>
          <w:rFonts w:hint="eastAsia" w:cs="Times New Roman"/>
          <w:sz w:val="24"/>
          <w:lang w:eastAsia="zh-CN"/>
        </w:rPr>
        <w:t>过渡阶段浓度限值</w:t>
      </w:r>
      <w:r>
        <w:rPr>
          <w:rFonts w:hint="eastAsia" w:cs="Times New Roman"/>
          <w:sz w:val="24"/>
          <w:lang w:val="en-US" w:eastAsia="zh-CN"/>
        </w:rPr>
        <w:t>二级限值</w:t>
      </w:r>
      <w:r>
        <w:rPr>
          <w:rFonts w:hint="eastAsia" w:cs="Times New Roman"/>
          <w:sz w:val="24"/>
          <w:lang w:eastAsia="zh-CN"/>
        </w:rPr>
        <w:t>；</w:t>
      </w:r>
      <w:r>
        <w:rPr>
          <w:rFonts w:ascii="Times New Roman" w:hAnsi="Times New Roman" w:cs="Times New Roman"/>
          <w:sz w:val="24"/>
        </w:rPr>
        <w:t>特征污染物</w:t>
      </w:r>
      <w:r>
        <w:rPr>
          <w:rFonts w:hint="eastAsia" w:ascii="Times New Roman" w:hAnsi="Times New Roman" w:cs="Times New Roman"/>
          <w:sz w:val="24"/>
          <w:lang w:val="en-US" w:eastAsia="zh-CN"/>
        </w:rPr>
        <w:t>TSP执行</w:t>
      </w:r>
      <w:r>
        <w:rPr>
          <w:rFonts w:ascii="Times New Roman" w:hAnsi="Times New Roman" w:cs="Times New Roman"/>
          <w:sz w:val="24"/>
        </w:rPr>
        <w:t>《环境空气质量标准》（GB3095-20</w:t>
      </w:r>
      <w:r>
        <w:rPr>
          <w:rFonts w:hint="eastAsia" w:cs="Times New Roman"/>
          <w:sz w:val="24"/>
          <w:lang w:val="en-US" w:eastAsia="zh-CN"/>
        </w:rPr>
        <w:t>26</w:t>
      </w:r>
      <w:r>
        <w:rPr>
          <w:rFonts w:ascii="Times New Roman" w:hAnsi="Times New Roman" w:cs="Times New Roman"/>
          <w:sz w:val="24"/>
        </w:rPr>
        <w:t>）</w:t>
      </w:r>
      <w:r>
        <w:rPr>
          <w:rFonts w:hint="eastAsia" w:ascii="Times New Roman" w:hAnsi="Times New Roman" w:cs="Times New Roman"/>
          <w:sz w:val="24"/>
        </w:rPr>
        <w:t>表2环境空气污染物其他项目浓度限值</w:t>
      </w:r>
      <w:r>
        <w:rPr>
          <w:rFonts w:hint="eastAsia" w:ascii="Times New Roman" w:hAnsi="Times New Roman" w:cs="Times New Roman"/>
          <w:sz w:val="24"/>
          <w:lang w:val="en-US" w:eastAsia="zh-CN"/>
        </w:rPr>
        <w:t>；</w:t>
      </w:r>
      <w:r>
        <w:rPr>
          <w:rFonts w:ascii="Times New Roman" w:hAnsi="Times New Roman" w:cs="Times New Roman"/>
          <w:sz w:val="24"/>
        </w:rPr>
        <w:t>NH</w:t>
      </w:r>
      <w:r>
        <w:rPr>
          <w:rFonts w:ascii="Times New Roman" w:hAnsi="Times New Roman" w:cs="Times New Roman"/>
          <w:sz w:val="24"/>
          <w:vertAlign w:val="subscript"/>
        </w:rPr>
        <w:t>3</w:t>
      </w:r>
      <w:r>
        <w:rPr>
          <w:rFonts w:ascii="Times New Roman" w:hAnsi="Times New Roman" w:cs="Times New Roman"/>
          <w:sz w:val="24"/>
        </w:rPr>
        <w:t>、H</w:t>
      </w:r>
      <w:r>
        <w:rPr>
          <w:rFonts w:ascii="Times New Roman" w:hAnsi="Times New Roman" w:cs="Times New Roman"/>
          <w:sz w:val="24"/>
          <w:vertAlign w:val="subscript"/>
        </w:rPr>
        <w:t>2</w:t>
      </w:r>
      <w:r>
        <w:rPr>
          <w:rFonts w:ascii="Times New Roman" w:hAnsi="Times New Roman" w:cs="Times New Roman"/>
          <w:sz w:val="24"/>
        </w:rPr>
        <w:t>S执行《</w:t>
      </w:r>
      <w:r>
        <w:rPr>
          <w:rFonts w:hint="eastAsia" w:ascii="Times New Roman" w:hAnsi="Times New Roman" w:eastAsia="宋体" w:cs="Times New Roman"/>
          <w:sz w:val="24"/>
          <w:lang w:eastAsia="zh-CN"/>
        </w:rPr>
        <w:t>环境影响评价技术导则</w:t>
      </w:r>
      <w:r>
        <w:rPr>
          <w:rFonts w:hint="eastAsia" w:ascii="Times New Roman" w:hAnsi="Times New Roman" w:eastAsia="宋体" w:cs="Times New Roman"/>
          <w:sz w:val="24"/>
          <w:lang w:val="en-US" w:eastAsia="zh-CN"/>
        </w:rPr>
        <w:t xml:space="preserve"> 大气环境</w:t>
      </w:r>
      <w:r>
        <w:rPr>
          <w:rFonts w:ascii="Times New Roman" w:hAnsi="Times New Roman" w:cs="Times New Roman"/>
          <w:sz w:val="24"/>
        </w:rPr>
        <w:t>》（</w:t>
      </w:r>
      <w:r>
        <w:rPr>
          <w:rFonts w:hint="eastAsia" w:ascii="Times New Roman" w:hAnsi="Times New Roman" w:eastAsia="宋体" w:cs="Times New Roman"/>
          <w:sz w:val="24"/>
          <w:lang w:val="en-US" w:eastAsia="zh-CN"/>
        </w:rPr>
        <w:t>H</w:t>
      </w:r>
      <w:r>
        <w:rPr>
          <w:rFonts w:ascii="Times New Roman" w:hAnsi="Times New Roman" w:cs="Times New Roman"/>
          <w:sz w:val="24"/>
        </w:rPr>
        <w:t>J</w:t>
      </w:r>
      <w:r>
        <w:rPr>
          <w:rFonts w:hint="eastAsia" w:ascii="Times New Roman" w:hAnsi="Times New Roman" w:eastAsia="宋体" w:cs="Times New Roman"/>
          <w:sz w:val="24"/>
          <w:lang w:val="en-US" w:eastAsia="zh-CN"/>
        </w:rPr>
        <w:t>2.2</w:t>
      </w:r>
      <w:r>
        <w:rPr>
          <w:rFonts w:ascii="Times New Roman" w:hAnsi="Times New Roman" w:cs="Times New Roman"/>
          <w:sz w:val="24"/>
        </w:rPr>
        <w:t>-</w:t>
      </w:r>
      <w:r>
        <w:rPr>
          <w:rFonts w:hint="eastAsia" w:ascii="Times New Roman" w:hAnsi="Times New Roman" w:eastAsia="宋体" w:cs="Times New Roman"/>
          <w:sz w:val="24"/>
          <w:lang w:val="en-US" w:eastAsia="zh-CN"/>
        </w:rPr>
        <w:t>2018</w:t>
      </w:r>
      <w:r>
        <w:rPr>
          <w:rFonts w:ascii="Times New Roman" w:hAnsi="Times New Roman" w:cs="Times New Roman"/>
          <w:sz w:val="24"/>
        </w:rPr>
        <w:t>）</w:t>
      </w:r>
      <w:r>
        <w:rPr>
          <w:rFonts w:hint="eastAsia" w:ascii="Times New Roman" w:hAnsi="Times New Roman" w:cs="Times New Roman"/>
          <w:sz w:val="24"/>
        </w:rPr>
        <w:t>表 D.1  其他污染物空气质量浓度参考限值</w:t>
      </w:r>
      <w:r>
        <w:rPr>
          <w:rFonts w:ascii="Times New Roman" w:hAnsi="Times New Roman" w:cs="Times New Roman"/>
          <w:sz w:val="24"/>
        </w:rPr>
        <w:t>，详见表2.</w:t>
      </w:r>
      <w:r>
        <w:rPr>
          <w:rFonts w:hint="eastAsia" w:cs="Times New Roman"/>
          <w:sz w:val="24"/>
          <w:lang w:val="en-US" w:eastAsia="zh-CN"/>
        </w:rPr>
        <w:t>5</w:t>
      </w:r>
      <w:r>
        <w:rPr>
          <w:rFonts w:ascii="Times New Roman" w:hAnsi="Times New Roman" w:cs="Times New Roman"/>
          <w:sz w:val="24"/>
        </w:rPr>
        <w:t>-1。</w:t>
      </w:r>
    </w:p>
    <w:p w14:paraId="75FA6D1F">
      <w:pPr>
        <w:widowControl w:val="0"/>
        <w:spacing w:line="360" w:lineRule="auto"/>
        <w:jc w:val="center"/>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表2.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-1环境空气质量标准</w:t>
      </w:r>
      <w:r>
        <w:rPr>
          <w:rFonts w:hint="eastAsia" w:ascii="Times New Roman" w:hAnsi="Times New Roman" w:eastAsia="宋体" w:cs="Times New Roman"/>
          <w:b/>
          <w:bCs w:val="0"/>
          <w:kern w:val="2"/>
          <w:sz w:val="24"/>
          <w:szCs w:val="24"/>
          <w:lang w:val="en-US" w:eastAsia="zh-CN" w:bidi="ar-SA"/>
        </w:rPr>
        <w:t xml:space="preserve">  </w:t>
      </w:r>
      <w:r>
        <w:rPr>
          <w:rFonts w:hint="default" w:ascii="Times New Roman" w:hAnsi="Times New Roman" w:eastAsia="宋体" w:cs="Times New Roman"/>
          <w:b/>
          <w:bCs w:val="0"/>
          <w:kern w:val="2"/>
          <w:sz w:val="24"/>
          <w:szCs w:val="24"/>
          <w:lang w:val="en-US" w:eastAsia="zh-CN" w:bidi="ar-SA"/>
        </w:rPr>
        <w:t>单位：mg/m</w:t>
      </w:r>
      <w:r>
        <w:rPr>
          <w:rFonts w:hint="default" w:ascii="Times New Roman" w:hAnsi="Times New Roman" w:eastAsia="宋体" w:cs="Times New Roman"/>
          <w:b/>
          <w:bCs w:val="0"/>
          <w:kern w:val="2"/>
          <w:sz w:val="24"/>
          <w:szCs w:val="24"/>
          <w:vertAlign w:val="superscript"/>
          <w:lang w:val="en-US" w:eastAsia="zh-CN" w:bidi="ar-SA"/>
        </w:rPr>
        <w:t>3</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24"/>
        <w:gridCol w:w="2029"/>
        <w:gridCol w:w="784"/>
        <w:gridCol w:w="2988"/>
      </w:tblGrid>
      <w:tr w14:paraId="48176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79" w:type="dxa"/>
            <w:noWrap w:val="0"/>
            <w:vAlign w:val="center"/>
          </w:tcPr>
          <w:p w14:paraId="2071620E">
            <w:pPr>
              <w:spacing w:line="240" w:lineRule="atLeast"/>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序号</w:t>
            </w:r>
          </w:p>
        </w:tc>
        <w:tc>
          <w:tcPr>
            <w:tcW w:w="1924" w:type="dxa"/>
            <w:noWrap w:val="0"/>
            <w:vAlign w:val="center"/>
          </w:tcPr>
          <w:p w14:paraId="7D837A26">
            <w:pPr>
              <w:spacing w:line="240" w:lineRule="atLeast"/>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污染物</w:t>
            </w:r>
          </w:p>
        </w:tc>
        <w:tc>
          <w:tcPr>
            <w:tcW w:w="2813" w:type="dxa"/>
            <w:gridSpan w:val="2"/>
            <w:noWrap w:val="0"/>
            <w:vAlign w:val="center"/>
          </w:tcPr>
          <w:p w14:paraId="677AB7FB">
            <w:pPr>
              <w:spacing w:line="240" w:lineRule="atLeast"/>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浓度限值（μg/m</w:t>
            </w:r>
            <w:r>
              <w:rPr>
                <w:rFonts w:hint="default" w:ascii="Times New Roman" w:hAnsi="Times New Roman" w:eastAsia="宋体" w:cs="Times New Roman"/>
                <w:b/>
                <w:bCs/>
                <w:color w:val="000000"/>
                <w:kern w:val="2"/>
                <w:sz w:val="21"/>
                <w:szCs w:val="21"/>
                <w:highlight w:val="none"/>
                <w:vertAlign w:val="superscript"/>
              </w:rPr>
              <w:t>3</w:t>
            </w:r>
            <w:r>
              <w:rPr>
                <w:rFonts w:hint="default" w:ascii="Times New Roman" w:hAnsi="Times New Roman" w:eastAsia="宋体" w:cs="Times New Roman"/>
                <w:b/>
                <w:bCs/>
                <w:color w:val="000000"/>
                <w:kern w:val="2"/>
                <w:sz w:val="21"/>
                <w:szCs w:val="21"/>
                <w:highlight w:val="none"/>
              </w:rPr>
              <w:t>）</w:t>
            </w:r>
          </w:p>
        </w:tc>
        <w:tc>
          <w:tcPr>
            <w:tcW w:w="2988" w:type="dxa"/>
            <w:noWrap w:val="0"/>
            <w:vAlign w:val="center"/>
          </w:tcPr>
          <w:p w14:paraId="715C5775">
            <w:pPr>
              <w:spacing w:line="240" w:lineRule="atLeast"/>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标准来源</w:t>
            </w:r>
          </w:p>
        </w:tc>
      </w:tr>
      <w:tr w14:paraId="1D7DA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14:paraId="4FDDAB56">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w:t>
            </w:r>
          </w:p>
        </w:tc>
        <w:tc>
          <w:tcPr>
            <w:tcW w:w="1924" w:type="dxa"/>
            <w:vMerge w:val="restart"/>
            <w:noWrap w:val="0"/>
            <w:vAlign w:val="center"/>
          </w:tcPr>
          <w:p w14:paraId="0B68603F">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二氧化硫（SO</w:t>
            </w:r>
            <w:r>
              <w:rPr>
                <w:rFonts w:hint="default" w:ascii="Times New Roman" w:hAnsi="Times New Roman" w:eastAsia="宋体" w:cs="Times New Roman"/>
                <w:color w:val="000000"/>
                <w:kern w:val="2"/>
                <w:sz w:val="21"/>
                <w:szCs w:val="21"/>
                <w:highlight w:val="none"/>
                <w:vertAlign w:val="subscript"/>
              </w:rPr>
              <w:t>2</w:t>
            </w:r>
            <w:r>
              <w:rPr>
                <w:rFonts w:hint="default" w:ascii="Times New Roman" w:hAnsi="Times New Roman" w:eastAsia="宋体" w:cs="Times New Roman"/>
                <w:color w:val="000000"/>
                <w:kern w:val="2"/>
                <w:sz w:val="21"/>
                <w:szCs w:val="21"/>
                <w:highlight w:val="none"/>
              </w:rPr>
              <w:t>）</w:t>
            </w:r>
          </w:p>
        </w:tc>
        <w:tc>
          <w:tcPr>
            <w:tcW w:w="2029" w:type="dxa"/>
            <w:noWrap w:val="0"/>
            <w:vAlign w:val="center"/>
          </w:tcPr>
          <w:p w14:paraId="7F5DDB70">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1EA479D7">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500</w:t>
            </w:r>
          </w:p>
        </w:tc>
        <w:tc>
          <w:tcPr>
            <w:tcW w:w="2988" w:type="dxa"/>
            <w:vMerge w:val="restart"/>
            <w:noWrap w:val="0"/>
            <w:vAlign w:val="center"/>
          </w:tcPr>
          <w:p w14:paraId="44851A72">
            <w:pPr>
              <w:spacing w:line="240" w:lineRule="atLeast"/>
              <w:jc w:val="center"/>
              <w:rPr>
                <w:rFonts w:hint="default" w:ascii="Times New Roman" w:hAnsi="Times New Roman" w:eastAsia="宋体" w:cs="Times New Roman"/>
                <w:color w:val="000000"/>
                <w:kern w:val="2"/>
                <w:sz w:val="21"/>
                <w:szCs w:val="21"/>
                <w:highlight w:val="none"/>
                <w:lang w:val="en-US"/>
              </w:rPr>
            </w:pPr>
            <w:r>
              <w:rPr>
                <w:rFonts w:hint="default" w:ascii="Times New Roman" w:hAnsi="Times New Roman" w:eastAsia="宋体" w:cs="Times New Roman"/>
                <w:color w:val="000000"/>
                <w:kern w:val="2"/>
                <w:sz w:val="21"/>
                <w:szCs w:val="21"/>
                <w:lang w:val="en-US" w:eastAsia="zh-CN" w:bidi="ar-SA"/>
              </w:rPr>
              <w:t>《环境空气质量标准》（GB3095-2026）表1 环境空气污染物基本项目浓度限值过渡阶段浓度限值</w:t>
            </w:r>
            <w:r>
              <w:rPr>
                <w:rFonts w:hint="eastAsia" w:cs="Times New Roman"/>
                <w:color w:val="000000"/>
                <w:kern w:val="2"/>
                <w:sz w:val="21"/>
                <w:szCs w:val="21"/>
                <w:highlight w:val="none"/>
                <w:lang w:val="en-US" w:eastAsia="zh-CN"/>
              </w:rPr>
              <w:t>二级限值</w:t>
            </w:r>
          </w:p>
        </w:tc>
      </w:tr>
      <w:tr w14:paraId="40089D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199E7A85">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248434D7">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2C6BB3C7">
            <w:pPr>
              <w:spacing w:line="240" w:lineRule="atLeast"/>
              <w:jc w:val="center"/>
              <w:rPr>
                <w:rFonts w:hint="default" w:ascii="Times New Roman" w:hAnsi="Times New Roman" w:eastAsia="宋体" w:cs="Times New Roman"/>
                <w:color w:val="000000"/>
                <w:kern w:val="2"/>
                <w:sz w:val="21"/>
                <w:szCs w:val="21"/>
                <w:highlight w:val="none"/>
              </w:rPr>
            </w:pPr>
            <w:r>
              <w:rPr>
                <w:rFonts w:hint="eastAsia" w:cs="Times New Roman"/>
                <w:color w:val="000000"/>
                <w:kern w:val="2"/>
                <w:sz w:val="21"/>
                <w:szCs w:val="21"/>
                <w:highlight w:val="none"/>
                <w:lang w:val="en-US" w:eastAsia="zh-CN"/>
              </w:rPr>
              <w:t>日</w:t>
            </w:r>
            <w:r>
              <w:rPr>
                <w:rFonts w:hint="default" w:ascii="Times New Roman" w:hAnsi="Times New Roman" w:eastAsia="宋体" w:cs="Times New Roman"/>
                <w:color w:val="000000"/>
                <w:kern w:val="2"/>
                <w:sz w:val="21"/>
                <w:szCs w:val="21"/>
                <w:highlight w:val="none"/>
              </w:rPr>
              <w:t>平均</w:t>
            </w:r>
          </w:p>
        </w:tc>
        <w:tc>
          <w:tcPr>
            <w:tcW w:w="784" w:type="dxa"/>
            <w:noWrap w:val="0"/>
            <w:vAlign w:val="center"/>
          </w:tcPr>
          <w:p w14:paraId="76ADF962">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150</w:t>
            </w:r>
          </w:p>
        </w:tc>
        <w:tc>
          <w:tcPr>
            <w:tcW w:w="2988" w:type="dxa"/>
            <w:vMerge w:val="continue"/>
            <w:noWrap w:val="0"/>
            <w:vAlign w:val="center"/>
          </w:tcPr>
          <w:p w14:paraId="1B4CE2B8">
            <w:pPr>
              <w:spacing w:line="240" w:lineRule="atLeast"/>
              <w:jc w:val="center"/>
              <w:rPr>
                <w:rFonts w:hint="default" w:ascii="Times New Roman" w:hAnsi="Times New Roman" w:eastAsia="宋体" w:cs="Times New Roman"/>
                <w:color w:val="000000"/>
                <w:kern w:val="2"/>
                <w:sz w:val="21"/>
                <w:szCs w:val="21"/>
                <w:highlight w:val="none"/>
              </w:rPr>
            </w:pPr>
          </w:p>
        </w:tc>
      </w:tr>
      <w:tr w14:paraId="34C17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37C5E157">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34053B69">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4E1E5774">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年平均值</w:t>
            </w:r>
          </w:p>
        </w:tc>
        <w:tc>
          <w:tcPr>
            <w:tcW w:w="784" w:type="dxa"/>
            <w:noWrap w:val="0"/>
            <w:vAlign w:val="center"/>
          </w:tcPr>
          <w:p w14:paraId="6192FE1A">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60</w:t>
            </w:r>
          </w:p>
        </w:tc>
        <w:tc>
          <w:tcPr>
            <w:tcW w:w="2988" w:type="dxa"/>
            <w:vMerge w:val="continue"/>
            <w:noWrap w:val="0"/>
            <w:vAlign w:val="center"/>
          </w:tcPr>
          <w:p w14:paraId="4564FDE8">
            <w:pPr>
              <w:spacing w:line="240" w:lineRule="atLeast"/>
              <w:jc w:val="center"/>
              <w:rPr>
                <w:rFonts w:hint="default" w:ascii="Times New Roman" w:hAnsi="Times New Roman" w:eastAsia="宋体" w:cs="Times New Roman"/>
                <w:color w:val="000000"/>
                <w:kern w:val="2"/>
                <w:sz w:val="21"/>
                <w:szCs w:val="21"/>
                <w:highlight w:val="none"/>
              </w:rPr>
            </w:pPr>
          </w:p>
        </w:tc>
      </w:tr>
      <w:tr w14:paraId="2B58F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14:paraId="29DEB971">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2</w:t>
            </w:r>
          </w:p>
        </w:tc>
        <w:tc>
          <w:tcPr>
            <w:tcW w:w="1924" w:type="dxa"/>
            <w:vMerge w:val="restart"/>
            <w:noWrap w:val="0"/>
            <w:vAlign w:val="center"/>
          </w:tcPr>
          <w:p w14:paraId="52538CB2">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二氧化氮（NO</w:t>
            </w:r>
            <w:r>
              <w:rPr>
                <w:rFonts w:hint="default" w:ascii="Times New Roman" w:hAnsi="Times New Roman" w:eastAsia="宋体" w:cs="Times New Roman"/>
                <w:color w:val="000000"/>
                <w:kern w:val="2"/>
                <w:sz w:val="21"/>
                <w:szCs w:val="21"/>
                <w:highlight w:val="none"/>
                <w:vertAlign w:val="subscript"/>
              </w:rPr>
              <w:t>2</w:t>
            </w:r>
            <w:r>
              <w:rPr>
                <w:rFonts w:hint="default" w:ascii="Times New Roman" w:hAnsi="Times New Roman" w:eastAsia="宋体" w:cs="Times New Roman"/>
                <w:color w:val="000000"/>
                <w:kern w:val="2"/>
                <w:sz w:val="21"/>
                <w:szCs w:val="21"/>
                <w:highlight w:val="none"/>
              </w:rPr>
              <w:t>）</w:t>
            </w:r>
          </w:p>
        </w:tc>
        <w:tc>
          <w:tcPr>
            <w:tcW w:w="2029" w:type="dxa"/>
            <w:noWrap w:val="0"/>
            <w:vAlign w:val="center"/>
          </w:tcPr>
          <w:p w14:paraId="280520F1">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7DBC02C6">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200</w:t>
            </w:r>
          </w:p>
        </w:tc>
        <w:tc>
          <w:tcPr>
            <w:tcW w:w="2988" w:type="dxa"/>
            <w:vMerge w:val="continue"/>
            <w:noWrap w:val="0"/>
            <w:vAlign w:val="center"/>
          </w:tcPr>
          <w:p w14:paraId="4F6B8307">
            <w:pPr>
              <w:spacing w:line="240" w:lineRule="atLeast"/>
              <w:jc w:val="center"/>
              <w:rPr>
                <w:rFonts w:hint="default" w:ascii="Times New Roman" w:hAnsi="Times New Roman" w:eastAsia="宋体" w:cs="Times New Roman"/>
                <w:color w:val="000000"/>
                <w:kern w:val="2"/>
                <w:sz w:val="21"/>
                <w:szCs w:val="21"/>
                <w:highlight w:val="none"/>
              </w:rPr>
            </w:pPr>
          </w:p>
        </w:tc>
      </w:tr>
      <w:tr w14:paraId="5D9F21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32F8617B">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5BBA3505">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32C8FA75">
            <w:pPr>
              <w:spacing w:line="240" w:lineRule="atLeast"/>
              <w:jc w:val="center"/>
              <w:rPr>
                <w:rFonts w:hint="default" w:ascii="Times New Roman" w:hAnsi="Times New Roman" w:eastAsia="宋体" w:cs="Times New Roman"/>
                <w:color w:val="000000"/>
                <w:kern w:val="2"/>
                <w:sz w:val="21"/>
                <w:szCs w:val="21"/>
                <w:highlight w:val="none"/>
              </w:rPr>
            </w:pPr>
            <w:r>
              <w:rPr>
                <w:rFonts w:hint="eastAsia" w:cs="Times New Roman"/>
                <w:color w:val="000000"/>
                <w:kern w:val="2"/>
                <w:sz w:val="21"/>
                <w:szCs w:val="21"/>
                <w:highlight w:val="none"/>
                <w:lang w:val="en-US" w:eastAsia="zh-CN"/>
              </w:rPr>
              <w:t>日</w:t>
            </w:r>
            <w:r>
              <w:rPr>
                <w:rFonts w:hint="default" w:ascii="Times New Roman" w:hAnsi="Times New Roman" w:eastAsia="宋体" w:cs="Times New Roman"/>
                <w:color w:val="000000"/>
                <w:kern w:val="2"/>
                <w:sz w:val="21"/>
                <w:szCs w:val="21"/>
                <w:highlight w:val="none"/>
              </w:rPr>
              <w:t>平均</w:t>
            </w:r>
          </w:p>
        </w:tc>
        <w:tc>
          <w:tcPr>
            <w:tcW w:w="784" w:type="dxa"/>
            <w:noWrap w:val="0"/>
            <w:vAlign w:val="center"/>
          </w:tcPr>
          <w:p w14:paraId="3AA1EFEC">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80</w:t>
            </w:r>
          </w:p>
        </w:tc>
        <w:tc>
          <w:tcPr>
            <w:tcW w:w="2988" w:type="dxa"/>
            <w:vMerge w:val="continue"/>
            <w:noWrap w:val="0"/>
            <w:vAlign w:val="center"/>
          </w:tcPr>
          <w:p w14:paraId="4D7822E5">
            <w:pPr>
              <w:spacing w:line="240" w:lineRule="atLeast"/>
              <w:jc w:val="center"/>
              <w:rPr>
                <w:rFonts w:hint="default" w:ascii="Times New Roman" w:hAnsi="Times New Roman" w:eastAsia="宋体" w:cs="Times New Roman"/>
                <w:color w:val="000000"/>
                <w:kern w:val="2"/>
                <w:sz w:val="21"/>
                <w:szCs w:val="21"/>
                <w:highlight w:val="none"/>
              </w:rPr>
            </w:pPr>
          </w:p>
        </w:tc>
      </w:tr>
      <w:tr w14:paraId="0DB68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713CA649">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613F07D5">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3AE71BB8">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年平均值</w:t>
            </w:r>
          </w:p>
        </w:tc>
        <w:tc>
          <w:tcPr>
            <w:tcW w:w="784" w:type="dxa"/>
            <w:noWrap w:val="0"/>
            <w:vAlign w:val="center"/>
          </w:tcPr>
          <w:p w14:paraId="0C022352">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40</w:t>
            </w:r>
          </w:p>
        </w:tc>
        <w:tc>
          <w:tcPr>
            <w:tcW w:w="2988" w:type="dxa"/>
            <w:vMerge w:val="continue"/>
            <w:noWrap w:val="0"/>
            <w:vAlign w:val="center"/>
          </w:tcPr>
          <w:p w14:paraId="798F21F4">
            <w:pPr>
              <w:spacing w:line="240" w:lineRule="atLeast"/>
              <w:jc w:val="center"/>
              <w:rPr>
                <w:rFonts w:hint="default" w:ascii="Times New Roman" w:hAnsi="Times New Roman" w:eastAsia="宋体" w:cs="Times New Roman"/>
                <w:color w:val="000000"/>
                <w:kern w:val="2"/>
                <w:sz w:val="21"/>
                <w:szCs w:val="21"/>
                <w:highlight w:val="none"/>
              </w:rPr>
            </w:pPr>
          </w:p>
        </w:tc>
      </w:tr>
      <w:tr w14:paraId="56EE1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14:paraId="684A68A6">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3</w:t>
            </w:r>
          </w:p>
        </w:tc>
        <w:tc>
          <w:tcPr>
            <w:tcW w:w="1924" w:type="dxa"/>
            <w:vMerge w:val="restart"/>
            <w:noWrap w:val="0"/>
            <w:vAlign w:val="center"/>
          </w:tcPr>
          <w:p w14:paraId="20783D40">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PM</w:t>
            </w:r>
            <w:r>
              <w:rPr>
                <w:rFonts w:hint="default" w:ascii="Times New Roman" w:hAnsi="Times New Roman" w:eastAsia="宋体" w:cs="Times New Roman"/>
                <w:color w:val="000000"/>
                <w:kern w:val="2"/>
                <w:sz w:val="21"/>
                <w:szCs w:val="21"/>
                <w:highlight w:val="none"/>
                <w:vertAlign w:val="subscript"/>
              </w:rPr>
              <w:t>10</w:t>
            </w:r>
          </w:p>
        </w:tc>
        <w:tc>
          <w:tcPr>
            <w:tcW w:w="2029" w:type="dxa"/>
            <w:noWrap w:val="0"/>
            <w:vAlign w:val="center"/>
          </w:tcPr>
          <w:p w14:paraId="013E9DC9">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67BBB91E">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w:t>
            </w:r>
          </w:p>
        </w:tc>
        <w:tc>
          <w:tcPr>
            <w:tcW w:w="2988" w:type="dxa"/>
            <w:vMerge w:val="continue"/>
            <w:noWrap w:val="0"/>
            <w:vAlign w:val="center"/>
          </w:tcPr>
          <w:p w14:paraId="46BB3004">
            <w:pPr>
              <w:spacing w:line="240" w:lineRule="atLeast"/>
              <w:jc w:val="center"/>
              <w:rPr>
                <w:rFonts w:hint="default" w:ascii="Times New Roman" w:hAnsi="Times New Roman" w:eastAsia="宋体" w:cs="Times New Roman"/>
                <w:color w:val="000000"/>
                <w:kern w:val="2"/>
                <w:sz w:val="21"/>
                <w:szCs w:val="21"/>
                <w:highlight w:val="none"/>
              </w:rPr>
            </w:pPr>
          </w:p>
        </w:tc>
      </w:tr>
      <w:tr w14:paraId="19C166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1A87DC7E">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40E2F047">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50D1C054">
            <w:pPr>
              <w:spacing w:line="240" w:lineRule="atLeast"/>
              <w:jc w:val="center"/>
              <w:rPr>
                <w:rFonts w:hint="default" w:ascii="Times New Roman" w:hAnsi="Times New Roman" w:eastAsia="宋体" w:cs="Times New Roman"/>
                <w:color w:val="000000"/>
                <w:kern w:val="2"/>
                <w:sz w:val="21"/>
                <w:szCs w:val="21"/>
                <w:highlight w:val="none"/>
              </w:rPr>
            </w:pPr>
            <w:r>
              <w:rPr>
                <w:rFonts w:hint="eastAsia" w:cs="Times New Roman"/>
                <w:color w:val="000000"/>
                <w:kern w:val="2"/>
                <w:sz w:val="21"/>
                <w:szCs w:val="21"/>
                <w:highlight w:val="none"/>
                <w:lang w:val="en-US" w:eastAsia="zh-CN"/>
              </w:rPr>
              <w:t>日</w:t>
            </w:r>
            <w:r>
              <w:rPr>
                <w:rFonts w:hint="default" w:ascii="Times New Roman" w:hAnsi="Times New Roman" w:eastAsia="宋体" w:cs="Times New Roman"/>
                <w:color w:val="000000"/>
                <w:kern w:val="2"/>
                <w:sz w:val="21"/>
                <w:szCs w:val="21"/>
                <w:highlight w:val="none"/>
              </w:rPr>
              <w:t>平均</w:t>
            </w:r>
          </w:p>
        </w:tc>
        <w:tc>
          <w:tcPr>
            <w:tcW w:w="784" w:type="dxa"/>
            <w:noWrap w:val="0"/>
            <w:vAlign w:val="center"/>
          </w:tcPr>
          <w:p w14:paraId="434D3CEB">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120</w:t>
            </w:r>
          </w:p>
        </w:tc>
        <w:tc>
          <w:tcPr>
            <w:tcW w:w="2988" w:type="dxa"/>
            <w:vMerge w:val="continue"/>
            <w:noWrap w:val="0"/>
            <w:vAlign w:val="center"/>
          </w:tcPr>
          <w:p w14:paraId="45344B4D">
            <w:pPr>
              <w:spacing w:line="240" w:lineRule="atLeast"/>
              <w:jc w:val="center"/>
              <w:rPr>
                <w:rFonts w:hint="default" w:ascii="Times New Roman" w:hAnsi="Times New Roman" w:eastAsia="宋体" w:cs="Times New Roman"/>
                <w:color w:val="000000"/>
                <w:kern w:val="2"/>
                <w:sz w:val="21"/>
                <w:szCs w:val="21"/>
                <w:highlight w:val="none"/>
              </w:rPr>
            </w:pPr>
          </w:p>
        </w:tc>
      </w:tr>
      <w:tr w14:paraId="65E65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79" w:type="dxa"/>
            <w:vMerge w:val="continue"/>
            <w:noWrap w:val="0"/>
            <w:vAlign w:val="center"/>
          </w:tcPr>
          <w:p w14:paraId="460E63CD">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5C7EE204">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5CC66128">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年平均值</w:t>
            </w:r>
          </w:p>
        </w:tc>
        <w:tc>
          <w:tcPr>
            <w:tcW w:w="784" w:type="dxa"/>
            <w:noWrap w:val="0"/>
            <w:vAlign w:val="center"/>
          </w:tcPr>
          <w:p w14:paraId="69C1C18A">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60</w:t>
            </w:r>
          </w:p>
        </w:tc>
        <w:tc>
          <w:tcPr>
            <w:tcW w:w="2988" w:type="dxa"/>
            <w:vMerge w:val="continue"/>
            <w:noWrap w:val="0"/>
            <w:vAlign w:val="center"/>
          </w:tcPr>
          <w:p w14:paraId="2E645571">
            <w:pPr>
              <w:spacing w:line="240" w:lineRule="atLeast"/>
              <w:jc w:val="center"/>
              <w:rPr>
                <w:rFonts w:hint="default" w:ascii="Times New Roman" w:hAnsi="Times New Roman" w:eastAsia="宋体" w:cs="Times New Roman"/>
                <w:color w:val="000000"/>
                <w:kern w:val="2"/>
                <w:sz w:val="21"/>
                <w:szCs w:val="21"/>
                <w:highlight w:val="none"/>
              </w:rPr>
            </w:pPr>
          </w:p>
        </w:tc>
      </w:tr>
      <w:tr w14:paraId="55896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14:paraId="554C13B6">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4</w:t>
            </w:r>
          </w:p>
        </w:tc>
        <w:tc>
          <w:tcPr>
            <w:tcW w:w="1924" w:type="dxa"/>
            <w:vMerge w:val="restart"/>
            <w:noWrap w:val="0"/>
            <w:vAlign w:val="center"/>
          </w:tcPr>
          <w:p w14:paraId="290487E9">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PM</w:t>
            </w:r>
            <w:r>
              <w:rPr>
                <w:rFonts w:hint="default" w:ascii="Times New Roman" w:hAnsi="Times New Roman" w:eastAsia="宋体" w:cs="Times New Roman"/>
                <w:color w:val="000000"/>
                <w:kern w:val="2"/>
                <w:sz w:val="21"/>
                <w:szCs w:val="21"/>
                <w:highlight w:val="none"/>
                <w:vertAlign w:val="subscript"/>
              </w:rPr>
              <w:t>2.5</w:t>
            </w:r>
          </w:p>
        </w:tc>
        <w:tc>
          <w:tcPr>
            <w:tcW w:w="2029" w:type="dxa"/>
            <w:noWrap w:val="0"/>
            <w:vAlign w:val="center"/>
          </w:tcPr>
          <w:p w14:paraId="341CA9F9">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69B9CB4E">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w:t>
            </w:r>
          </w:p>
        </w:tc>
        <w:tc>
          <w:tcPr>
            <w:tcW w:w="2988" w:type="dxa"/>
            <w:vMerge w:val="continue"/>
            <w:noWrap w:val="0"/>
            <w:vAlign w:val="center"/>
          </w:tcPr>
          <w:p w14:paraId="6A3DC990">
            <w:pPr>
              <w:spacing w:line="240" w:lineRule="atLeast"/>
              <w:jc w:val="center"/>
              <w:rPr>
                <w:rFonts w:hint="default" w:ascii="Times New Roman" w:hAnsi="Times New Roman" w:eastAsia="宋体" w:cs="Times New Roman"/>
                <w:color w:val="000000"/>
                <w:kern w:val="2"/>
                <w:sz w:val="21"/>
                <w:szCs w:val="21"/>
                <w:highlight w:val="none"/>
              </w:rPr>
            </w:pPr>
          </w:p>
        </w:tc>
      </w:tr>
      <w:tr w14:paraId="5D28EA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022F1972">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636B3F5A">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7B1A7A1D">
            <w:pPr>
              <w:spacing w:line="240" w:lineRule="atLeast"/>
              <w:jc w:val="center"/>
              <w:rPr>
                <w:rFonts w:hint="default" w:ascii="Times New Roman" w:hAnsi="Times New Roman" w:eastAsia="宋体" w:cs="Times New Roman"/>
                <w:color w:val="000000"/>
                <w:kern w:val="2"/>
                <w:sz w:val="21"/>
                <w:szCs w:val="21"/>
                <w:highlight w:val="none"/>
              </w:rPr>
            </w:pPr>
            <w:r>
              <w:rPr>
                <w:rFonts w:hint="eastAsia" w:cs="Times New Roman"/>
                <w:color w:val="000000"/>
                <w:kern w:val="2"/>
                <w:sz w:val="21"/>
                <w:szCs w:val="21"/>
                <w:highlight w:val="none"/>
                <w:lang w:val="en-US" w:eastAsia="zh-CN"/>
              </w:rPr>
              <w:t>日</w:t>
            </w:r>
            <w:r>
              <w:rPr>
                <w:rFonts w:hint="default" w:ascii="Times New Roman" w:hAnsi="Times New Roman" w:eastAsia="宋体" w:cs="Times New Roman"/>
                <w:color w:val="000000"/>
                <w:kern w:val="2"/>
                <w:sz w:val="21"/>
                <w:szCs w:val="21"/>
                <w:highlight w:val="none"/>
              </w:rPr>
              <w:t>平均</w:t>
            </w:r>
          </w:p>
        </w:tc>
        <w:tc>
          <w:tcPr>
            <w:tcW w:w="784" w:type="dxa"/>
            <w:noWrap w:val="0"/>
            <w:vAlign w:val="center"/>
          </w:tcPr>
          <w:p w14:paraId="6BEFA7BA">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60</w:t>
            </w:r>
          </w:p>
        </w:tc>
        <w:tc>
          <w:tcPr>
            <w:tcW w:w="2988" w:type="dxa"/>
            <w:vMerge w:val="continue"/>
            <w:noWrap w:val="0"/>
            <w:vAlign w:val="center"/>
          </w:tcPr>
          <w:p w14:paraId="5902517C">
            <w:pPr>
              <w:spacing w:line="240" w:lineRule="atLeast"/>
              <w:jc w:val="center"/>
              <w:rPr>
                <w:rFonts w:hint="default" w:ascii="Times New Roman" w:hAnsi="Times New Roman" w:eastAsia="宋体" w:cs="Times New Roman"/>
                <w:color w:val="000000"/>
                <w:kern w:val="2"/>
                <w:sz w:val="21"/>
                <w:szCs w:val="21"/>
                <w:highlight w:val="none"/>
              </w:rPr>
            </w:pPr>
          </w:p>
        </w:tc>
      </w:tr>
      <w:tr w14:paraId="741451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5945E9FF">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5F06B730">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2CE28260">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年平均值</w:t>
            </w:r>
          </w:p>
        </w:tc>
        <w:tc>
          <w:tcPr>
            <w:tcW w:w="784" w:type="dxa"/>
            <w:noWrap w:val="0"/>
            <w:vAlign w:val="center"/>
          </w:tcPr>
          <w:p w14:paraId="0A58B314">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30</w:t>
            </w:r>
          </w:p>
        </w:tc>
        <w:tc>
          <w:tcPr>
            <w:tcW w:w="2988" w:type="dxa"/>
            <w:vMerge w:val="continue"/>
            <w:noWrap w:val="0"/>
            <w:vAlign w:val="center"/>
          </w:tcPr>
          <w:p w14:paraId="7FDE7B2A">
            <w:pPr>
              <w:spacing w:line="240" w:lineRule="atLeast"/>
              <w:jc w:val="center"/>
              <w:rPr>
                <w:rFonts w:hint="default" w:ascii="Times New Roman" w:hAnsi="Times New Roman" w:eastAsia="宋体" w:cs="Times New Roman"/>
                <w:color w:val="000000"/>
                <w:kern w:val="2"/>
                <w:sz w:val="21"/>
                <w:szCs w:val="21"/>
                <w:highlight w:val="none"/>
              </w:rPr>
            </w:pPr>
          </w:p>
        </w:tc>
      </w:tr>
      <w:tr w14:paraId="17713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14:paraId="56CC5E2D">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5</w:t>
            </w:r>
          </w:p>
        </w:tc>
        <w:tc>
          <w:tcPr>
            <w:tcW w:w="1924" w:type="dxa"/>
            <w:vMerge w:val="restart"/>
            <w:noWrap w:val="0"/>
            <w:vAlign w:val="center"/>
          </w:tcPr>
          <w:p w14:paraId="03E3C3D9">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一氧化碳（CO）</w:t>
            </w:r>
          </w:p>
        </w:tc>
        <w:tc>
          <w:tcPr>
            <w:tcW w:w="2029" w:type="dxa"/>
            <w:noWrap w:val="0"/>
            <w:vAlign w:val="center"/>
          </w:tcPr>
          <w:p w14:paraId="370FB87B">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4DE0F72B">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default" w:ascii="Times New Roman" w:hAnsi="Times New Roman" w:eastAsia="宋体" w:cs="Times New Roman"/>
                <w:color w:val="000000"/>
                <w:kern w:val="2"/>
                <w:sz w:val="21"/>
                <w:szCs w:val="21"/>
                <w:highlight w:val="none"/>
              </w:rPr>
              <w:t>10</w:t>
            </w:r>
            <w:r>
              <w:rPr>
                <w:rFonts w:hint="eastAsia" w:ascii="Times New Roman" w:hAnsi="Times New Roman" w:eastAsia="宋体" w:cs="Times New Roman"/>
                <w:color w:val="000000"/>
                <w:kern w:val="2"/>
                <w:sz w:val="21"/>
                <w:szCs w:val="21"/>
                <w:highlight w:val="none"/>
                <w:lang w:val="en-US" w:eastAsia="zh-CN"/>
              </w:rPr>
              <w:t>000</w:t>
            </w:r>
          </w:p>
        </w:tc>
        <w:tc>
          <w:tcPr>
            <w:tcW w:w="2988" w:type="dxa"/>
            <w:vMerge w:val="continue"/>
            <w:noWrap w:val="0"/>
            <w:vAlign w:val="center"/>
          </w:tcPr>
          <w:p w14:paraId="17A82BF3">
            <w:pPr>
              <w:spacing w:line="240" w:lineRule="atLeast"/>
              <w:jc w:val="center"/>
              <w:rPr>
                <w:rFonts w:hint="default" w:ascii="Times New Roman" w:hAnsi="Times New Roman" w:eastAsia="宋体" w:cs="Times New Roman"/>
                <w:color w:val="000000"/>
                <w:kern w:val="2"/>
                <w:sz w:val="21"/>
                <w:szCs w:val="21"/>
                <w:highlight w:val="none"/>
              </w:rPr>
            </w:pPr>
          </w:p>
        </w:tc>
      </w:tr>
      <w:tr w14:paraId="414AD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1049AB00">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1BCC915D">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00032D7B">
            <w:pPr>
              <w:spacing w:line="240" w:lineRule="atLeast"/>
              <w:jc w:val="center"/>
              <w:rPr>
                <w:rFonts w:hint="default" w:ascii="Times New Roman" w:hAnsi="Times New Roman" w:eastAsia="宋体" w:cs="Times New Roman"/>
                <w:color w:val="000000"/>
                <w:kern w:val="2"/>
                <w:sz w:val="21"/>
                <w:szCs w:val="21"/>
                <w:highlight w:val="none"/>
              </w:rPr>
            </w:pPr>
            <w:r>
              <w:rPr>
                <w:rFonts w:hint="eastAsia" w:cs="Times New Roman"/>
                <w:color w:val="000000"/>
                <w:kern w:val="2"/>
                <w:sz w:val="21"/>
                <w:szCs w:val="21"/>
                <w:highlight w:val="none"/>
                <w:lang w:val="en-US" w:eastAsia="zh-CN"/>
              </w:rPr>
              <w:t>日</w:t>
            </w:r>
            <w:r>
              <w:rPr>
                <w:rFonts w:hint="default" w:ascii="Times New Roman" w:hAnsi="Times New Roman" w:eastAsia="宋体" w:cs="Times New Roman"/>
                <w:color w:val="000000"/>
                <w:kern w:val="2"/>
                <w:sz w:val="21"/>
                <w:szCs w:val="21"/>
                <w:highlight w:val="none"/>
              </w:rPr>
              <w:t>平均</w:t>
            </w:r>
          </w:p>
        </w:tc>
        <w:tc>
          <w:tcPr>
            <w:tcW w:w="784" w:type="dxa"/>
            <w:noWrap w:val="0"/>
            <w:vAlign w:val="center"/>
          </w:tcPr>
          <w:p w14:paraId="1ABF09CD">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default" w:ascii="Times New Roman" w:hAnsi="Times New Roman" w:eastAsia="宋体" w:cs="Times New Roman"/>
                <w:color w:val="000000"/>
                <w:kern w:val="2"/>
                <w:sz w:val="21"/>
                <w:szCs w:val="21"/>
                <w:highlight w:val="none"/>
              </w:rPr>
              <w:t>4</w:t>
            </w:r>
            <w:r>
              <w:rPr>
                <w:rFonts w:hint="eastAsia" w:ascii="Times New Roman" w:hAnsi="Times New Roman" w:eastAsia="宋体" w:cs="Times New Roman"/>
                <w:color w:val="000000"/>
                <w:kern w:val="2"/>
                <w:sz w:val="21"/>
                <w:szCs w:val="21"/>
                <w:highlight w:val="none"/>
                <w:lang w:val="en-US" w:eastAsia="zh-CN"/>
              </w:rPr>
              <w:t>000</w:t>
            </w:r>
          </w:p>
        </w:tc>
        <w:tc>
          <w:tcPr>
            <w:tcW w:w="2988" w:type="dxa"/>
            <w:vMerge w:val="continue"/>
            <w:noWrap w:val="0"/>
            <w:vAlign w:val="center"/>
          </w:tcPr>
          <w:p w14:paraId="2ABA3A20">
            <w:pPr>
              <w:spacing w:line="240" w:lineRule="atLeast"/>
              <w:jc w:val="center"/>
              <w:rPr>
                <w:rFonts w:hint="default" w:ascii="Times New Roman" w:hAnsi="Times New Roman" w:eastAsia="宋体" w:cs="Times New Roman"/>
                <w:color w:val="000000"/>
                <w:kern w:val="2"/>
                <w:sz w:val="21"/>
                <w:szCs w:val="21"/>
                <w:highlight w:val="none"/>
              </w:rPr>
            </w:pPr>
          </w:p>
        </w:tc>
      </w:tr>
      <w:tr w14:paraId="4F0C7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14:paraId="628EE238">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6</w:t>
            </w:r>
          </w:p>
        </w:tc>
        <w:tc>
          <w:tcPr>
            <w:tcW w:w="1924" w:type="dxa"/>
            <w:vMerge w:val="restart"/>
            <w:noWrap w:val="0"/>
            <w:vAlign w:val="center"/>
          </w:tcPr>
          <w:p w14:paraId="79485766">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臭氧（O</w:t>
            </w:r>
            <w:r>
              <w:rPr>
                <w:rFonts w:hint="default" w:ascii="Times New Roman" w:hAnsi="Times New Roman" w:eastAsia="宋体" w:cs="Times New Roman"/>
                <w:color w:val="000000"/>
                <w:kern w:val="2"/>
                <w:sz w:val="21"/>
                <w:szCs w:val="21"/>
                <w:highlight w:val="none"/>
                <w:vertAlign w:val="subscript"/>
              </w:rPr>
              <w:t>3</w:t>
            </w:r>
            <w:r>
              <w:rPr>
                <w:rFonts w:hint="default" w:ascii="Times New Roman" w:hAnsi="Times New Roman" w:eastAsia="宋体" w:cs="Times New Roman"/>
                <w:color w:val="000000"/>
                <w:kern w:val="2"/>
                <w:sz w:val="21"/>
                <w:szCs w:val="21"/>
                <w:highlight w:val="none"/>
              </w:rPr>
              <w:t>）</w:t>
            </w:r>
          </w:p>
        </w:tc>
        <w:tc>
          <w:tcPr>
            <w:tcW w:w="2029" w:type="dxa"/>
            <w:noWrap w:val="0"/>
            <w:vAlign w:val="center"/>
          </w:tcPr>
          <w:p w14:paraId="05E88A5E">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2E12FFB9">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200</w:t>
            </w:r>
          </w:p>
        </w:tc>
        <w:tc>
          <w:tcPr>
            <w:tcW w:w="2988" w:type="dxa"/>
            <w:vMerge w:val="continue"/>
            <w:noWrap w:val="0"/>
            <w:vAlign w:val="center"/>
          </w:tcPr>
          <w:p w14:paraId="1BCE058C">
            <w:pPr>
              <w:spacing w:line="240" w:lineRule="atLeast"/>
              <w:jc w:val="center"/>
              <w:rPr>
                <w:rFonts w:hint="default" w:ascii="Times New Roman" w:hAnsi="Times New Roman" w:eastAsia="宋体" w:cs="Times New Roman"/>
                <w:color w:val="000000"/>
                <w:kern w:val="2"/>
                <w:sz w:val="21"/>
                <w:szCs w:val="21"/>
                <w:highlight w:val="none"/>
              </w:rPr>
            </w:pPr>
          </w:p>
        </w:tc>
      </w:tr>
      <w:tr w14:paraId="0951B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529BDBDA">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69EDDD11">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63796FDC">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日最大8小时平均</w:t>
            </w:r>
          </w:p>
        </w:tc>
        <w:tc>
          <w:tcPr>
            <w:tcW w:w="784" w:type="dxa"/>
            <w:noWrap w:val="0"/>
            <w:vAlign w:val="center"/>
          </w:tcPr>
          <w:p w14:paraId="2E6C3EF3">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160</w:t>
            </w:r>
          </w:p>
        </w:tc>
        <w:tc>
          <w:tcPr>
            <w:tcW w:w="2988" w:type="dxa"/>
            <w:vMerge w:val="continue"/>
            <w:noWrap w:val="0"/>
            <w:vAlign w:val="center"/>
          </w:tcPr>
          <w:p w14:paraId="66469C21">
            <w:pPr>
              <w:spacing w:line="240" w:lineRule="atLeast"/>
              <w:jc w:val="center"/>
              <w:rPr>
                <w:rFonts w:hint="default" w:ascii="Times New Roman" w:hAnsi="Times New Roman" w:eastAsia="宋体" w:cs="Times New Roman"/>
                <w:color w:val="000000"/>
                <w:kern w:val="2"/>
                <w:sz w:val="21"/>
                <w:szCs w:val="21"/>
                <w:highlight w:val="none"/>
              </w:rPr>
            </w:pPr>
          </w:p>
        </w:tc>
      </w:tr>
      <w:tr w14:paraId="0556CB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14:paraId="58A87D12">
            <w:pPr>
              <w:spacing w:line="240" w:lineRule="atLeast"/>
              <w:jc w:val="center"/>
              <w:rPr>
                <w:rFonts w:hint="eastAsia"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7</w:t>
            </w:r>
          </w:p>
        </w:tc>
        <w:tc>
          <w:tcPr>
            <w:tcW w:w="1924" w:type="dxa"/>
            <w:vMerge w:val="restart"/>
            <w:noWrap w:val="0"/>
            <w:vAlign w:val="center"/>
          </w:tcPr>
          <w:p w14:paraId="52D96A94">
            <w:pPr>
              <w:spacing w:line="240" w:lineRule="atLeast"/>
              <w:jc w:val="center"/>
              <w:rPr>
                <w:rFonts w:hint="eastAsia"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TSP</w:t>
            </w:r>
          </w:p>
        </w:tc>
        <w:tc>
          <w:tcPr>
            <w:tcW w:w="2029" w:type="dxa"/>
            <w:noWrap w:val="0"/>
            <w:vAlign w:val="center"/>
          </w:tcPr>
          <w:p w14:paraId="191EF073">
            <w:pPr>
              <w:spacing w:line="240" w:lineRule="atLeast"/>
              <w:jc w:val="center"/>
              <w:rPr>
                <w:rFonts w:hint="default" w:ascii="Times New Roman" w:hAnsi="Times New Roman" w:eastAsia="宋体" w:cs="Times New Roman"/>
                <w:color w:val="000000"/>
                <w:kern w:val="2"/>
                <w:sz w:val="21"/>
                <w:szCs w:val="21"/>
                <w:highlight w:val="none"/>
              </w:rPr>
            </w:pPr>
            <w:r>
              <w:rPr>
                <w:rFonts w:hint="eastAsia" w:cs="Times New Roman"/>
                <w:color w:val="000000"/>
                <w:kern w:val="2"/>
                <w:sz w:val="21"/>
                <w:szCs w:val="21"/>
                <w:highlight w:val="none"/>
                <w:lang w:val="en-US" w:eastAsia="zh-CN"/>
              </w:rPr>
              <w:t>日</w:t>
            </w:r>
            <w:r>
              <w:rPr>
                <w:rFonts w:hint="default" w:ascii="Times New Roman" w:hAnsi="Times New Roman" w:eastAsia="宋体" w:cs="Times New Roman"/>
                <w:color w:val="000000"/>
                <w:kern w:val="2"/>
                <w:sz w:val="21"/>
                <w:szCs w:val="21"/>
                <w:highlight w:val="none"/>
              </w:rPr>
              <w:t>平均</w:t>
            </w:r>
          </w:p>
        </w:tc>
        <w:tc>
          <w:tcPr>
            <w:tcW w:w="784" w:type="dxa"/>
            <w:noWrap w:val="0"/>
            <w:vAlign w:val="center"/>
          </w:tcPr>
          <w:p w14:paraId="196FF955">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300</w:t>
            </w:r>
          </w:p>
        </w:tc>
        <w:tc>
          <w:tcPr>
            <w:tcW w:w="2988" w:type="dxa"/>
            <w:vMerge w:val="restart"/>
            <w:noWrap w:val="0"/>
            <w:vAlign w:val="center"/>
          </w:tcPr>
          <w:p w14:paraId="1BCF3481">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default" w:ascii="Times New Roman" w:hAnsi="Times New Roman" w:eastAsia="宋体" w:cs="Times New Roman"/>
                <w:color w:val="000000"/>
                <w:kern w:val="2"/>
                <w:sz w:val="21"/>
                <w:szCs w:val="21"/>
                <w:highlight w:val="none"/>
              </w:rPr>
              <w:t>《环境空气质量标准》（GB3095-20</w:t>
            </w:r>
            <w:r>
              <w:rPr>
                <w:rFonts w:hint="default" w:ascii="Times New Roman" w:hAnsi="Times New Roman" w:eastAsia="宋体" w:cs="Times New Roman"/>
                <w:color w:val="000000"/>
                <w:kern w:val="2"/>
                <w:sz w:val="21"/>
                <w:szCs w:val="21"/>
                <w:highlight w:val="none"/>
                <w:lang w:val="en-US" w:eastAsia="zh-CN"/>
              </w:rPr>
              <w:t>26</w:t>
            </w:r>
            <w:r>
              <w:rPr>
                <w:rFonts w:hint="default" w:ascii="Times New Roman" w:hAnsi="Times New Roman" w:eastAsia="宋体" w:cs="Times New Roman"/>
                <w:color w:val="000000"/>
                <w:kern w:val="2"/>
                <w:sz w:val="21"/>
                <w:szCs w:val="21"/>
                <w:highlight w:val="none"/>
              </w:rPr>
              <w:t>）表2环境空气污染物其他项目浓度限值</w:t>
            </w:r>
            <w:r>
              <w:rPr>
                <w:rFonts w:hint="eastAsia" w:cs="Times New Roman"/>
                <w:color w:val="000000"/>
                <w:kern w:val="2"/>
                <w:sz w:val="21"/>
                <w:szCs w:val="21"/>
                <w:highlight w:val="none"/>
                <w:lang w:val="en-US" w:eastAsia="zh-CN"/>
              </w:rPr>
              <w:t>二级限值</w:t>
            </w:r>
          </w:p>
        </w:tc>
      </w:tr>
      <w:tr w14:paraId="30403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14:paraId="5D5D5840">
            <w:pPr>
              <w:spacing w:line="240" w:lineRule="atLeast"/>
              <w:jc w:val="center"/>
              <w:rPr>
                <w:rFonts w:hint="default" w:ascii="Times New Roman" w:hAnsi="Times New Roman" w:eastAsia="宋体" w:cs="Times New Roman"/>
                <w:color w:val="000000"/>
                <w:kern w:val="2"/>
                <w:sz w:val="21"/>
                <w:szCs w:val="21"/>
                <w:highlight w:val="none"/>
              </w:rPr>
            </w:pPr>
          </w:p>
        </w:tc>
        <w:tc>
          <w:tcPr>
            <w:tcW w:w="1924" w:type="dxa"/>
            <w:vMerge w:val="continue"/>
            <w:noWrap w:val="0"/>
            <w:vAlign w:val="center"/>
          </w:tcPr>
          <w:p w14:paraId="1646AC74">
            <w:pPr>
              <w:spacing w:line="240" w:lineRule="atLeast"/>
              <w:jc w:val="center"/>
              <w:rPr>
                <w:rFonts w:hint="default" w:ascii="Times New Roman" w:hAnsi="Times New Roman" w:eastAsia="宋体" w:cs="Times New Roman"/>
                <w:color w:val="000000"/>
                <w:kern w:val="2"/>
                <w:sz w:val="21"/>
                <w:szCs w:val="21"/>
                <w:highlight w:val="none"/>
              </w:rPr>
            </w:pPr>
          </w:p>
        </w:tc>
        <w:tc>
          <w:tcPr>
            <w:tcW w:w="2029" w:type="dxa"/>
            <w:noWrap w:val="0"/>
            <w:vAlign w:val="center"/>
          </w:tcPr>
          <w:p w14:paraId="472995E7">
            <w:pPr>
              <w:spacing w:line="240" w:lineRule="atLeast"/>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年平均值</w:t>
            </w:r>
          </w:p>
        </w:tc>
        <w:tc>
          <w:tcPr>
            <w:tcW w:w="784" w:type="dxa"/>
            <w:noWrap w:val="0"/>
            <w:vAlign w:val="center"/>
          </w:tcPr>
          <w:p w14:paraId="6AE884AA">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200</w:t>
            </w:r>
          </w:p>
        </w:tc>
        <w:tc>
          <w:tcPr>
            <w:tcW w:w="2988" w:type="dxa"/>
            <w:vMerge w:val="continue"/>
            <w:noWrap w:val="0"/>
            <w:vAlign w:val="center"/>
          </w:tcPr>
          <w:p w14:paraId="42E42B1F">
            <w:pPr>
              <w:spacing w:line="240" w:lineRule="atLeast"/>
              <w:jc w:val="center"/>
              <w:rPr>
                <w:rFonts w:hint="default" w:ascii="Times New Roman" w:hAnsi="Times New Roman" w:eastAsia="宋体" w:cs="Times New Roman"/>
                <w:color w:val="000000"/>
                <w:kern w:val="2"/>
                <w:sz w:val="21"/>
                <w:szCs w:val="21"/>
                <w:highlight w:val="none"/>
              </w:rPr>
            </w:pPr>
          </w:p>
        </w:tc>
      </w:tr>
      <w:tr w14:paraId="172E3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9" w:type="dxa"/>
            <w:noWrap w:val="0"/>
            <w:vAlign w:val="center"/>
          </w:tcPr>
          <w:p w14:paraId="68112918">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8</w:t>
            </w:r>
          </w:p>
        </w:tc>
        <w:tc>
          <w:tcPr>
            <w:tcW w:w="1924" w:type="dxa"/>
            <w:noWrap w:val="0"/>
            <w:vAlign w:val="center"/>
          </w:tcPr>
          <w:p w14:paraId="277C5BD4">
            <w:pPr>
              <w:spacing w:line="360" w:lineRule="exact"/>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cs="Times New Roman"/>
                <w:kern w:val="0"/>
                <w:sz w:val="21"/>
                <w:szCs w:val="21"/>
                <w:lang w:val="en-US" w:eastAsia="zh-CN"/>
              </w:rPr>
              <w:t>硫化氢</w:t>
            </w:r>
          </w:p>
        </w:tc>
        <w:tc>
          <w:tcPr>
            <w:tcW w:w="2029" w:type="dxa"/>
            <w:noWrap w:val="0"/>
            <w:vAlign w:val="center"/>
          </w:tcPr>
          <w:p w14:paraId="756A332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Times New Roman" w:hAnsi="Times New Roman" w:eastAsia="宋体" w:cs="Times New Roman"/>
                <w:color w:val="000000"/>
                <w:kern w:val="2"/>
                <w:sz w:val="21"/>
                <w:szCs w:val="21"/>
                <w:highlight w:val="none"/>
                <w:lang w:val="en-US" w:eastAsia="zh-CN"/>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322E358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cs="Times New Roman"/>
                <w:color w:val="000000"/>
                <w:kern w:val="2"/>
                <w:sz w:val="21"/>
                <w:szCs w:val="21"/>
                <w:lang w:val="en-US" w:eastAsia="zh-CN" w:bidi="ar-SA"/>
              </w:rPr>
              <w:t>10</w:t>
            </w:r>
          </w:p>
        </w:tc>
        <w:tc>
          <w:tcPr>
            <w:tcW w:w="2988" w:type="dxa"/>
            <w:vMerge w:val="restart"/>
            <w:noWrap w:val="0"/>
            <w:vAlign w:val="center"/>
          </w:tcPr>
          <w:p w14:paraId="5DC05E7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lang w:val="en-US" w:eastAsia="zh-CN" w:bidi="ar-SA"/>
              </w:rPr>
              <w:t>《环境影响评价技术导则 大气环境》（HJ2.2-2018）表 D.1  其他污染物空气质量浓度参考限值</w:t>
            </w:r>
          </w:p>
        </w:tc>
      </w:tr>
      <w:tr w14:paraId="6F885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9" w:type="dxa"/>
            <w:noWrap w:val="0"/>
            <w:vAlign w:val="center"/>
          </w:tcPr>
          <w:p w14:paraId="5DA64BE8">
            <w:pPr>
              <w:spacing w:line="240" w:lineRule="atLeast"/>
              <w:jc w:val="center"/>
              <w:rPr>
                <w:rFonts w:hint="default" w:ascii="Times New Roman" w:hAnsi="Times New Roman" w:eastAsia="宋体" w:cs="Times New Roman"/>
                <w:color w:val="000000"/>
                <w:kern w:val="2"/>
                <w:sz w:val="21"/>
                <w:szCs w:val="21"/>
                <w:highlight w:val="none"/>
                <w:lang w:val="en-US" w:eastAsia="zh-CN"/>
              </w:rPr>
            </w:pPr>
            <w:r>
              <w:rPr>
                <w:rFonts w:hint="eastAsia" w:cs="Times New Roman"/>
                <w:color w:val="000000"/>
                <w:kern w:val="2"/>
                <w:sz w:val="21"/>
                <w:szCs w:val="21"/>
                <w:highlight w:val="none"/>
                <w:lang w:val="en-US" w:eastAsia="zh-CN"/>
              </w:rPr>
              <w:t>9</w:t>
            </w:r>
          </w:p>
        </w:tc>
        <w:tc>
          <w:tcPr>
            <w:tcW w:w="1924" w:type="dxa"/>
            <w:noWrap w:val="0"/>
            <w:vAlign w:val="center"/>
          </w:tcPr>
          <w:p w14:paraId="0D86BED8">
            <w:pPr>
              <w:spacing w:line="360" w:lineRule="exact"/>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cs="Times New Roman"/>
                <w:kern w:val="0"/>
                <w:sz w:val="21"/>
                <w:szCs w:val="21"/>
                <w:lang w:val="en-US" w:eastAsia="zh-CN"/>
              </w:rPr>
              <w:t>氨</w:t>
            </w:r>
          </w:p>
        </w:tc>
        <w:tc>
          <w:tcPr>
            <w:tcW w:w="2029" w:type="dxa"/>
            <w:noWrap w:val="0"/>
            <w:vAlign w:val="center"/>
          </w:tcPr>
          <w:p w14:paraId="06357F1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Times New Roman" w:hAnsi="Times New Roman" w:eastAsia="宋体" w:cs="Times New Roman"/>
                <w:color w:val="000000"/>
                <w:kern w:val="2"/>
                <w:sz w:val="21"/>
                <w:szCs w:val="21"/>
                <w:highlight w:val="none"/>
                <w:lang w:val="en-US" w:eastAsia="zh-CN"/>
              </w:rPr>
            </w:pPr>
            <w:r>
              <w:rPr>
                <w:rFonts w:hint="default" w:ascii="Times New Roman" w:hAnsi="Times New Roman" w:eastAsia="宋体" w:cs="Times New Roman"/>
                <w:color w:val="000000"/>
                <w:kern w:val="2"/>
                <w:sz w:val="21"/>
                <w:szCs w:val="21"/>
                <w:highlight w:val="none"/>
              </w:rPr>
              <w:t>1小时平均</w:t>
            </w:r>
          </w:p>
        </w:tc>
        <w:tc>
          <w:tcPr>
            <w:tcW w:w="784" w:type="dxa"/>
            <w:noWrap w:val="0"/>
            <w:vAlign w:val="center"/>
          </w:tcPr>
          <w:p w14:paraId="7283CFA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cs="Times New Roman"/>
                <w:color w:val="000000"/>
                <w:kern w:val="2"/>
                <w:sz w:val="21"/>
                <w:szCs w:val="21"/>
                <w:lang w:val="en-US" w:eastAsia="zh-CN" w:bidi="ar-SA"/>
              </w:rPr>
              <w:t>200</w:t>
            </w:r>
          </w:p>
        </w:tc>
        <w:tc>
          <w:tcPr>
            <w:tcW w:w="2988" w:type="dxa"/>
            <w:vMerge w:val="continue"/>
            <w:noWrap w:val="0"/>
            <w:vAlign w:val="center"/>
          </w:tcPr>
          <w:p w14:paraId="185D8A0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宋体" w:cs="Times New Roman"/>
                <w:color w:val="000000"/>
                <w:kern w:val="2"/>
                <w:sz w:val="21"/>
                <w:szCs w:val="21"/>
                <w:highlight w:val="none"/>
              </w:rPr>
            </w:pPr>
          </w:p>
        </w:tc>
      </w:tr>
    </w:tbl>
    <w:p w14:paraId="49726393">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.1.2水环境质量标准</w:t>
      </w:r>
    </w:p>
    <w:p w14:paraId="3280B1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地下水执行《地下水质量标准》（GB/T14848-2017）中Ⅲ类标准，其标准值见表2.</w:t>
      </w:r>
      <w:r>
        <w:rPr>
          <w:rFonts w:hint="eastAsia" w:cs="Times New Roman"/>
          <w:sz w:val="24"/>
          <w:lang w:val="en-US" w:eastAsia="zh-CN"/>
        </w:rPr>
        <w:t>5</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w:t>
      </w:r>
    </w:p>
    <w:p w14:paraId="67CB50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cs="Times New Roman"/>
        </w:rPr>
      </w:pPr>
      <w:r>
        <w:rPr>
          <w:rFonts w:hint="default" w:ascii="Times New Roman" w:hAnsi="Times New Roman" w:eastAsia="宋体" w:cs="Times New Roman"/>
          <w:b/>
          <w:bCs w:val="0"/>
          <w:sz w:val="24"/>
          <w:lang w:eastAsia="zh-TW"/>
        </w:rPr>
        <w:t>表2.</w:t>
      </w:r>
      <w:r>
        <w:rPr>
          <w:rFonts w:hint="eastAsia" w:cs="Times New Roman"/>
          <w:b/>
          <w:bCs w:val="0"/>
          <w:sz w:val="24"/>
          <w:lang w:val="en-US" w:eastAsia="zh-CN"/>
        </w:rPr>
        <w:t>5</w:t>
      </w:r>
      <w:r>
        <w:rPr>
          <w:rFonts w:hint="default" w:ascii="Times New Roman" w:hAnsi="Times New Roman" w:eastAsia="宋体" w:cs="Times New Roman"/>
          <w:b/>
          <w:bCs w:val="0"/>
          <w:sz w:val="24"/>
          <w:lang w:eastAsia="zh-TW"/>
        </w:rPr>
        <w:t>-</w:t>
      </w:r>
      <w:r>
        <w:rPr>
          <w:rFonts w:hint="default" w:ascii="Times New Roman" w:hAnsi="Times New Roman" w:eastAsia="宋体" w:cs="Times New Roman"/>
          <w:b/>
          <w:bCs w:val="0"/>
          <w:sz w:val="24"/>
          <w:lang w:val="en-US" w:eastAsia="zh-CN"/>
        </w:rPr>
        <w:t>2</w:t>
      </w:r>
      <w:r>
        <w:rPr>
          <w:rFonts w:hint="default" w:ascii="Times New Roman" w:hAnsi="Times New Roman" w:eastAsia="宋体" w:cs="Times New Roman"/>
          <w:b/>
          <w:bCs w:val="0"/>
          <w:sz w:val="24"/>
          <w:lang w:eastAsia="zh-TW"/>
        </w:rPr>
        <w:t>地下水评价标准</w:t>
      </w:r>
      <w:r>
        <w:rPr>
          <w:rFonts w:hint="eastAsia" w:ascii="Times New Roman" w:hAnsi="Times New Roman" w:cs="Times New Roman"/>
          <w:b/>
          <w:bCs w:val="0"/>
          <w:sz w:val="24"/>
          <w:lang w:val="en-US" w:eastAsia="zh-CN"/>
        </w:rPr>
        <w:t xml:space="preserve">  </w:t>
      </w:r>
      <w:r>
        <w:rPr>
          <w:rFonts w:hint="default" w:ascii="Times New Roman" w:hAnsi="Times New Roman" w:cs="Times New Roman"/>
          <w:b/>
          <w:bCs/>
          <w:snapToGrid w:val="0"/>
          <w:sz w:val="24"/>
          <w:szCs w:val="24"/>
        </w:rPr>
        <w:t>单位：mg/</w:t>
      </w:r>
      <w:r>
        <w:rPr>
          <w:rFonts w:hint="default" w:ascii="Times New Roman" w:hAnsi="Times New Roman" w:cs="Times New Roman"/>
          <w:b/>
          <w:bCs/>
          <w:snapToGrid w:val="0"/>
          <w:sz w:val="24"/>
          <w:szCs w:val="24"/>
          <w:lang w:val="en-US" w:eastAsia="zh-CN"/>
        </w:rPr>
        <w:t>L</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88"/>
        <w:gridCol w:w="2288"/>
        <w:gridCol w:w="1639"/>
        <w:gridCol w:w="2289"/>
      </w:tblGrid>
      <w:tr w14:paraId="1E0D69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tcBorders>
              <w:tl2br w:val="nil"/>
              <w:tr2bl w:val="nil"/>
            </w:tcBorders>
            <w:noWrap w:val="0"/>
            <w:vAlign w:val="center"/>
          </w:tcPr>
          <w:p w14:paraId="53FD7133">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项目</w:t>
            </w:r>
          </w:p>
        </w:tc>
        <w:tc>
          <w:tcPr>
            <w:tcW w:w="2288" w:type="dxa"/>
            <w:tcBorders>
              <w:tl2br w:val="nil"/>
              <w:tr2bl w:val="nil"/>
            </w:tcBorders>
            <w:noWrap w:val="0"/>
            <w:vAlign w:val="center"/>
          </w:tcPr>
          <w:p w14:paraId="1D39A3EE">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rPr>
              <w:t>检测</w:t>
            </w:r>
            <w:r>
              <w:rPr>
                <w:rFonts w:hint="default" w:ascii="Times New Roman" w:hAnsi="Times New Roman" w:eastAsia="宋体" w:cs="Times New Roman"/>
                <w:b/>
                <w:bCs/>
                <w:color w:val="auto"/>
                <w:kern w:val="0"/>
                <w:sz w:val="21"/>
                <w:szCs w:val="21"/>
                <w:lang w:val="en-US" w:eastAsia="zh-CN"/>
              </w:rPr>
              <w:t>项目</w:t>
            </w:r>
          </w:p>
        </w:tc>
        <w:tc>
          <w:tcPr>
            <w:tcW w:w="1639" w:type="dxa"/>
            <w:tcBorders>
              <w:tl2br w:val="nil"/>
              <w:tr2bl w:val="nil"/>
            </w:tcBorders>
            <w:noWrap w:val="0"/>
            <w:vAlign w:val="center"/>
          </w:tcPr>
          <w:p w14:paraId="3305ED25">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单位</w:t>
            </w:r>
          </w:p>
        </w:tc>
        <w:tc>
          <w:tcPr>
            <w:tcW w:w="2289" w:type="dxa"/>
            <w:tcBorders>
              <w:tl2br w:val="nil"/>
              <w:tr2bl w:val="nil"/>
            </w:tcBorders>
            <w:noWrap w:val="0"/>
            <w:vAlign w:val="center"/>
          </w:tcPr>
          <w:p w14:paraId="6CC337A7">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《地下水质量标准》（GB/T 14848-2017）标准值</w:t>
            </w:r>
          </w:p>
        </w:tc>
      </w:tr>
      <w:tr w14:paraId="11C6F9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tcBorders>
              <w:tl2br w:val="nil"/>
              <w:tr2bl w:val="nil"/>
            </w:tcBorders>
            <w:noWrap w:val="0"/>
            <w:vAlign w:val="center"/>
          </w:tcPr>
          <w:p w14:paraId="33DEEF6E">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w:t>
            </w:r>
          </w:p>
        </w:tc>
        <w:tc>
          <w:tcPr>
            <w:tcW w:w="2288" w:type="dxa"/>
            <w:tcBorders>
              <w:tl2br w:val="nil"/>
              <w:tr2bl w:val="nil"/>
            </w:tcBorders>
            <w:noWrap w:val="0"/>
            <w:vAlign w:val="center"/>
          </w:tcPr>
          <w:p w14:paraId="037C0B38">
            <w:pPr>
              <w:spacing w:line="240" w:lineRule="auto"/>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Cs/>
                <w:color w:val="auto"/>
                <w:kern w:val="0"/>
                <w:sz w:val="21"/>
                <w:szCs w:val="24"/>
              </w:rPr>
              <w:t>pH</w:t>
            </w:r>
          </w:p>
        </w:tc>
        <w:tc>
          <w:tcPr>
            <w:tcW w:w="1639" w:type="dxa"/>
            <w:tcBorders>
              <w:tl2br w:val="nil"/>
              <w:tr2bl w:val="nil"/>
            </w:tcBorders>
            <w:noWrap w:val="0"/>
            <w:vAlign w:val="center"/>
          </w:tcPr>
          <w:p w14:paraId="01BF70F2">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无量纲</w:t>
            </w:r>
          </w:p>
        </w:tc>
        <w:tc>
          <w:tcPr>
            <w:tcW w:w="2289" w:type="dxa"/>
            <w:tcBorders>
              <w:tl2br w:val="nil"/>
              <w:tr2bl w:val="nil"/>
            </w:tcBorders>
            <w:noWrap w:val="0"/>
            <w:vAlign w:val="center"/>
          </w:tcPr>
          <w:p w14:paraId="366FBCC4">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6.5~8.5</w:t>
            </w:r>
          </w:p>
        </w:tc>
      </w:tr>
      <w:tr w14:paraId="0377B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47BDE36D">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2</w:t>
            </w:r>
          </w:p>
        </w:tc>
        <w:tc>
          <w:tcPr>
            <w:tcW w:w="2288" w:type="dxa"/>
            <w:vAlign w:val="center"/>
          </w:tcPr>
          <w:p w14:paraId="01B1A12F">
            <w:pPr>
              <w:spacing w:line="240" w:lineRule="auto"/>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Cs/>
                <w:color w:val="auto"/>
                <w:kern w:val="0"/>
                <w:sz w:val="21"/>
                <w:szCs w:val="24"/>
              </w:rPr>
              <w:t>总硬度</w:t>
            </w:r>
          </w:p>
        </w:tc>
        <w:tc>
          <w:tcPr>
            <w:tcW w:w="1639" w:type="dxa"/>
            <w:vAlign w:val="center"/>
          </w:tcPr>
          <w:p w14:paraId="36A57709">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mg/L</w:t>
            </w:r>
          </w:p>
        </w:tc>
        <w:tc>
          <w:tcPr>
            <w:tcW w:w="2289" w:type="dxa"/>
            <w:vAlign w:val="center"/>
          </w:tcPr>
          <w:p w14:paraId="1D39B7C9">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rPr>
              <w:t>450</w:t>
            </w:r>
          </w:p>
        </w:tc>
      </w:tr>
      <w:tr w14:paraId="62643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7FAC5751">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3</w:t>
            </w:r>
          </w:p>
        </w:tc>
        <w:tc>
          <w:tcPr>
            <w:tcW w:w="2288" w:type="dxa"/>
            <w:vAlign w:val="center"/>
          </w:tcPr>
          <w:p w14:paraId="6E05B462">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0"/>
                <w:sz w:val="21"/>
                <w:szCs w:val="24"/>
              </w:rPr>
              <w:t>溶解性总固体</w:t>
            </w:r>
          </w:p>
        </w:tc>
        <w:tc>
          <w:tcPr>
            <w:tcW w:w="1639" w:type="dxa"/>
            <w:vAlign w:val="center"/>
          </w:tcPr>
          <w:p w14:paraId="3F66A8B0">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mg/L</w:t>
            </w:r>
          </w:p>
        </w:tc>
        <w:tc>
          <w:tcPr>
            <w:tcW w:w="2289" w:type="dxa"/>
            <w:vAlign w:val="center"/>
          </w:tcPr>
          <w:p w14:paraId="6791A550">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rPr>
              <w:t>1000</w:t>
            </w:r>
          </w:p>
        </w:tc>
      </w:tr>
      <w:tr w14:paraId="4BB4E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2288" w:type="dxa"/>
            <w:vAlign w:val="center"/>
          </w:tcPr>
          <w:p w14:paraId="4EB06AA2">
            <w:pPr>
              <w:adjustRightInd w:val="0"/>
              <w:snapToGrid w:val="0"/>
              <w:spacing w:line="240" w:lineRule="auto"/>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w:t>
            </w:r>
          </w:p>
        </w:tc>
        <w:tc>
          <w:tcPr>
            <w:tcW w:w="2288" w:type="dxa"/>
            <w:vAlign w:val="center"/>
          </w:tcPr>
          <w:p w14:paraId="4BA79FB7">
            <w:pPr>
              <w:spacing w:line="360" w:lineRule="exact"/>
              <w:jc w:val="center"/>
              <w:rPr>
                <w:rFonts w:hint="default" w:ascii="Times New Roman" w:hAnsi="Times New Roman" w:eastAsia="宋体" w:cs="Times New Roman"/>
                <w:bCs/>
                <w:color w:val="auto"/>
                <w:kern w:val="0"/>
                <w:sz w:val="21"/>
                <w:szCs w:val="24"/>
              </w:rPr>
            </w:pPr>
            <w:r>
              <w:rPr>
                <w:rFonts w:hint="default" w:ascii="Times New Roman" w:hAnsi="Times New Roman" w:cs="Times New Roman"/>
                <w:szCs w:val="21"/>
                <w:lang w:val="en-US" w:eastAsia="zh-CN"/>
              </w:rPr>
              <w:t>硫酸盐</w:t>
            </w:r>
          </w:p>
        </w:tc>
        <w:tc>
          <w:tcPr>
            <w:tcW w:w="1639" w:type="dxa"/>
            <w:vAlign w:val="center"/>
          </w:tcPr>
          <w:p w14:paraId="3281A74F">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01002C5A">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250</w:t>
            </w:r>
          </w:p>
        </w:tc>
      </w:tr>
      <w:tr w14:paraId="57E383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0C2451F5">
            <w:pPr>
              <w:adjustRightInd w:val="0"/>
              <w:snapToGrid w:val="0"/>
              <w:spacing w:line="240" w:lineRule="auto"/>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w:t>
            </w:r>
          </w:p>
        </w:tc>
        <w:tc>
          <w:tcPr>
            <w:tcW w:w="2288" w:type="dxa"/>
            <w:vAlign w:val="center"/>
          </w:tcPr>
          <w:p w14:paraId="16F46022">
            <w:pPr>
              <w:spacing w:line="360" w:lineRule="exact"/>
              <w:jc w:val="center"/>
              <w:rPr>
                <w:rFonts w:hint="default" w:ascii="Times New Roman" w:hAnsi="Times New Roman" w:eastAsia="宋体" w:cs="Times New Roman"/>
                <w:bCs/>
                <w:color w:val="auto"/>
                <w:kern w:val="0"/>
                <w:sz w:val="21"/>
                <w:szCs w:val="24"/>
              </w:rPr>
            </w:pPr>
            <w:r>
              <w:rPr>
                <w:rFonts w:hint="default" w:ascii="Times New Roman" w:hAnsi="Times New Roman" w:cs="Times New Roman"/>
                <w:szCs w:val="21"/>
                <w:lang w:val="en-US" w:eastAsia="zh-CN"/>
              </w:rPr>
              <w:t>氯化物</w:t>
            </w:r>
          </w:p>
        </w:tc>
        <w:tc>
          <w:tcPr>
            <w:tcW w:w="1639" w:type="dxa"/>
            <w:vAlign w:val="center"/>
          </w:tcPr>
          <w:p w14:paraId="0F48343E">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3E123C3F">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250</w:t>
            </w:r>
          </w:p>
        </w:tc>
      </w:tr>
      <w:tr w14:paraId="0C778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42BD5858">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6</w:t>
            </w:r>
          </w:p>
        </w:tc>
        <w:tc>
          <w:tcPr>
            <w:tcW w:w="2288" w:type="dxa"/>
            <w:vAlign w:val="center"/>
          </w:tcPr>
          <w:p w14:paraId="09F210D7">
            <w:pPr>
              <w:spacing w:line="240" w:lineRule="auto"/>
              <w:jc w:val="center"/>
              <w:rPr>
                <w:rFonts w:hint="default" w:ascii="Times New Roman" w:hAnsi="Times New Roman" w:eastAsia="宋体" w:cs="Times New Roman"/>
                <w:bCs/>
                <w:color w:val="auto"/>
                <w:kern w:val="0"/>
                <w:sz w:val="21"/>
                <w:szCs w:val="24"/>
                <w:lang w:val="en-US" w:eastAsia="zh-CN" w:bidi="ar-SA"/>
              </w:rPr>
            </w:pPr>
            <w:r>
              <w:rPr>
                <w:rFonts w:hint="default" w:ascii="Times New Roman" w:hAnsi="Times New Roman" w:eastAsia="宋体" w:cs="Times New Roman"/>
                <w:bCs/>
                <w:color w:val="auto"/>
                <w:kern w:val="0"/>
                <w:sz w:val="21"/>
                <w:szCs w:val="24"/>
                <w:lang w:val="en-US" w:eastAsia="zh-CN"/>
              </w:rPr>
              <w:t>铁</w:t>
            </w:r>
          </w:p>
        </w:tc>
        <w:tc>
          <w:tcPr>
            <w:tcW w:w="1639" w:type="dxa"/>
            <w:vAlign w:val="center"/>
          </w:tcPr>
          <w:p w14:paraId="6C26F6FE">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6A139023">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0.3</w:t>
            </w:r>
          </w:p>
        </w:tc>
      </w:tr>
      <w:tr w14:paraId="4EC98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64C12114">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7</w:t>
            </w:r>
          </w:p>
        </w:tc>
        <w:tc>
          <w:tcPr>
            <w:tcW w:w="2288" w:type="dxa"/>
            <w:vAlign w:val="center"/>
          </w:tcPr>
          <w:p w14:paraId="4853229F">
            <w:pPr>
              <w:spacing w:line="240" w:lineRule="auto"/>
              <w:jc w:val="center"/>
              <w:rPr>
                <w:rFonts w:hint="default" w:ascii="Times New Roman" w:hAnsi="Times New Roman" w:eastAsia="宋体" w:cs="Times New Roman"/>
                <w:bCs/>
                <w:color w:val="auto"/>
                <w:kern w:val="0"/>
                <w:sz w:val="21"/>
                <w:szCs w:val="24"/>
                <w:lang w:val="en-US" w:eastAsia="zh-CN" w:bidi="ar-SA"/>
              </w:rPr>
            </w:pPr>
            <w:r>
              <w:rPr>
                <w:rFonts w:hint="default" w:ascii="Times New Roman" w:hAnsi="Times New Roman" w:eastAsia="宋体" w:cs="Times New Roman"/>
                <w:bCs/>
                <w:color w:val="auto"/>
                <w:kern w:val="0"/>
                <w:sz w:val="21"/>
                <w:szCs w:val="24"/>
                <w:lang w:val="en-US" w:eastAsia="zh-CN"/>
              </w:rPr>
              <w:t>锰</w:t>
            </w:r>
          </w:p>
        </w:tc>
        <w:tc>
          <w:tcPr>
            <w:tcW w:w="1639" w:type="dxa"/>
            <w:vAlign w:val="center"/>
          </w:tcPr>
          <w:p w14:paraId="4156D83C">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288213CD">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0.1</w:t>
            </w:r>
          </w:p>
        </w:tc>
      </w:tr>
      <w:tr w14:paraId="04853C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09A5B6B1">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8</w:t>
            </w:r>
          </w:p>
        </w:tc>
        <w:tc>
          <w:tcPr>
            <w:tcW w:w="2288" w:type="dxa"/>
            <w:vAlign w:val="center"/>
          </w:tcPr>
          <w:p w14:paraId="054EE5EF">
            <w:pPr>
              <w:spacing w:line="240" w:lineRule="auto"/>
              <w:jc w:val="center"/>
              <w:rPr>
                <w:rFonts w:hint="default" w:ascii="Times New Roman" w:hAnsi="Times New Roman" w:eastAsia="宋体" w:cs="Times New Roman"/>
                <w:bCs/>
                <w:color w:val="auto"/>
                <w:kern w:val="0"/>
                <w:sz w:val="21"/>
                <w:szCs w:val="24"/>
                <w:lang w:val="en-US" w:eastAsia="zh-CN" w:bidi="ar-SA"/>
              </w:rPr>
            </w:pPr>
            <w:r>
              <w:rPr>
                <w:rFonts w:hint="default" w:ascii="Times New Roman" w:hAnsi="Times New Roman" w:eastAsia="宋体" w:cs="Times New Roman"/>
                <w:bCs/>
                <w:color w:val="auto"/>
                <w:kern w:val="0"/>
                <w:sz w:val="21"/>
                <w:szCs w:val="24"/>
                <w:lang w:eastAsia="zh-CN"/>
              </w:rPr>
              <w:t>铜</w:t>
            </w:r>
          </w:p>
        </w:tc>
        <w:tc>
          <w:tcPr>
            <w:tcW w:w="1639" w:type="dxa"/>
            <w:vAlign w:val="center"/>
          </w:tcPr>
          <w:p w14:paraId="45EF74F5">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44E71ADD">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1</w:t>
            </w:r>
          </w:p>
        </w:tc>
      </w:tr>
      <w:tr w14:paraId="5250F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0F9F3C38">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9</w:t>
            </w:r>
          </w:p>
        </w:tc>
        <w:tc>
          <w:tcPr>
            <w:tcW w:w="2288" w:type="dxa"/>
            <w:vAlign w:val="center"/>
          </w:tcPr>
          <w:p w14:paraId="0D624FB5">
            <w:pPr>
              <w:spacing w:line="240" w:lineRule="auto"/>
              <w:jc w:val="center"/>
              <w:rPr>
                <w:rFonts w:hint="default" w:ascii="Times New Roman" w:hAnsi="Times New Roman" w:eastAsia="宋体" w:cs="Times New Roman"/>
                <w:bCs/>
                <w:color w:val="auto"/>
                <w:kern w:val="0"/>
                <w:sz w:val="21"/>
                <w:szCs w:val="24"/>
                <w:lang w:val="en-US" w:eastAsia="zh-CN" w:bidi="ar-SA"/>
              </w:rPr>
            </w:pPr>
            <w:r>
              <w:rPr>
                <w:rFonts w:hint="default" w:ascii="Times New Roman" w:hAnsi="Times New Roman" w:eastAsia="宋体" w:cs="Times New Roman"/>
                <w:bCs/>
                <w:color w:val="auto"/>
                <w:kern w:val="0"/>
                <w:sz w:val="21"/>
                <w:szCs w:val="24"/>
                <w:lang w:eastAsia="zh-CN"/>
              </w:rPr>
              <w:t>锌</w:t>
            </w:r>
          </w:p>
        </w:tc>
        <w:tc>
          <w:tcPr>
            <w:tcW w:w="1639" w:type="dxa"/>
            <w:vAlign w:val="center"/>
          </w:tcPr>
          <w:p w14:paraId="08454A6C">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2B0EA45C">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1</w:t>
            </w:r>
          </w:p>
        </w:tc>
      </w:tr>
      <w:tr w14:paraId="6A4D4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6EEB29B9">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10</w:t>
            </w:r>
          </w:p>
        </w:tc>
        <w:tc>
          <w:tcPr>
            <w:tcW w:w="2288" w:type="dxa"/>
            <w:vAlign w:val="center"/>
          </w:tcPr>
          <w:p w14:paraId="35CA2C77">
            <w:pPr>
              <w:spacing w:line="240" w:lineRule="auto"/>
              <w:jc w:val="center"/>
              <w:rPr>
                <w:rFonts w:hint="default" w:ascii="Times New Roman" w:hAnsi="Times New Roman" w:eastAsia="宋体" w:cs="Times New Roman"/>
                <w:bCs/>
                <w:color w:val="auto"/>
                <w:kern w:val="0"/>
                <w:sz w:val="21"/>
                <w:szCs w:val="24"/>
                <w:lang w:val="en-US" w:eastAsia="zh-CN"/>
              </w:rPr>
            </w:pPr>
            <w:r>
              <w:rPr>
                <w:rFonts w:hint="default" w:ascii="Times New Roman" w:hAnsi="Times New Roman" w:eastAsia="宋体" w:cs="Times New Roman"/>
                <w:bCs/>
                <w:color w:val="auto"/>
                <w:kern w:val="0"/>
                <w:sz w:val="21"/>
                <w:szCs w:val="24"/>
                <w:lang w:val="en-US" w:eastAsia="zh-CN"/>
              </w:rPr>
              <w:t>铝</w:t>
            </w:r>
          </w:p>
        </w:tc>
        <w:tc>
          <w:tcPr>
            <w:tcW w:w="1639" w:type="dxa"/>
            <w:vAlign w:val="center"/>
          </w:tcPr>
          <w:p w14:paraId="067EB001">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3976BA0D">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0.2</w:t>
            </w:r>
          </w:p>
        </w:tc>
      </w:tr>
      <w:tr w14:paraId="6C780D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7B114BA2">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11</w:t>
            </w:r>
          </w:p>
        </w:tc>
        <w:tc>
          <w:tcPr>
            <w:tcW w:w="2288" w:type="dxa"/>
            <w:vAlign w:val="center"/>
          </w:tcPr>
          <w:p w14:paraId="2B2A2FE6">
            <w:pPr>
              <w:spacing w:line="240" w:lineRule="auto"/>
              <w:jc w:val="center"/>
              <w:rPr>
                <w:rFonts w:hint="default" w:ascii="Times New Roman" w:hAnsi="Times New Roman" w:eastAsia="宋体" w:cs="Times New Roman"/>
                <w:bCs/>
                <w:color w:val="auto"/>
                <w:kern w:val="0"/>
                <w:sz w:val="21"/>
                <w:szCs w:val="24"/>
                <w:lang w:val="en-US" w:eastAsia="zh-CN"/>
              </w:rPr>
            </w:pPr>
            <w:r>
              <w:rPr>
                <w:rFonts w:hint="default" w:ascii="Times New Roman" w:hAnsi="Times New Roman" w:eastAsia="宋体" w:cs="Times New Roman"/>
                <w:bCs/>
                <w:color w:val="auto"/>
                <w:kern w:val="0"/>
                <w:sz w:val="21"/>
                <w:szCs w:val="24"/>
                <w:lang w:val="en-US" w:eastAsia="zh-CN"/>
              </w:rPr>
              <w:t>挥发性酚类</w:t>
            </w:r>
          </w:p>
        </w:tc>
        <w:tc>
          <w:tcPr>
            <w:tcW w:w="1639" w:type="dxa"/>
            <w:vAlign w:val="center"/>
          </w:tcPr>
          <w:p w14:paraId="55DB0DF5">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14A6BDE2">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0.002</w:t>
            </w:r>
          </w:p>
        </w:tc>
      </w:tr>
      <w:tr w14:paraId="638A0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42BF3C83">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12</w:t>
            </w:r>
          </w:p>
        </w:tc>
        <w:tc>
          <w:tcPr>
            <w:tcW w:w="2288" w:type="dxa"/>
            <w:vAlign w:val="center"/>
          </w:tcPr>
          <w:p w14:paraId="576763F8">
            <w:pPr>
              <w:spacing w:line="240" w:lineRule="auto"/>
              <w:jc w:val="center"/>
              <w:rPr>
                <w:rFonts w:hint="default" w:ascii="Times New Roman" w:hAnsi="Times New Roman" w:eastAsia="宋体" w:cs="Times New Roman"/>
                <w:bCs/>
                <w:color w:val="auto"/>
                <w:kern w:val="0"/>
                <w:sz w:val="21"/>
                <w:szCs w:val="24"/>
                <w:lang w:val="en-US" w:eastAsia="zh-CN"/>
              </w:rPr>
            </w:pPr>
            <w:r>
              <w:rPr>
                <w:rFonts w:hint="default" w:ascii="Times New Roman" w:hAnsi="Times New Roman" w:eastAsia="宋体" w:cs="Times New Roman"/>
                <w:bCs/>
                <w:color w:val="auto"/>
                <w:kern w:val="0"/>
                <w:sz w:val="21"/>
                <w:szCs w:val="24"/>
                <w:lang w:val="en-US" w:eastAsia="zh-CN"/>
              </w:rPr>
              <w:t>阴离子表面活性剂</w:t>
            </w:r>
          </w:p>
        </w:tc>
        <w:tc>
          <w:tcPr>
            <w:tcW w:w="1639" w:type="dxa"/>
            <w:vAlign w:val="center"/>
          </w:tcPr>
          <w:p w14:paraId="35DAF462">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1AF5A38C">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0.3</w:t>
            </w:r>
          </w:p>
        </w:tc>
      </w:tr>
      <w:tr w14:paraId="1530D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49F4565E">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13</w:t>
            </w:r>
          </w:p>
        </w:tc>
        <w:tc>
          <w:tcPr>
            <w:tcW w:w="2288" w:type="dxa"/>
            <w:vAlign w:val="center"/>
          </w:tcPr>
          <w:p w14:paraId="021BF4C6">
            <w:pPr>
              <w:spacing w:line="240" w:lineRule="auto"/>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eastAsia="宋体" w:cs="Times New Roman"/>
                <w:bCs/>
                <w:color w:val="auto"/>
                <w:kern w:val="0"/>
                <w:sz w:val="21"/>
                <w:szCs w:val="24"/>
                <w:lang w:val="en-US" w:eastAsia="zh-CN"/>
              </w:rPr>
              <w:t>耗氧量</w:t>
            </w:r>
            <w:r>
              <w:rPr>
                <w:rFonts w:hint="eastAsia" w:cs="Times New Roman"/>
                <w:bCs/>
                <w:color w:val="auto"/>
                <w:kern w:val="0"/>
                <w:sz w:val="21"/>
                <w:szCs w:val="24"/>
                <w:lang w:val="en-US" w:eastAsia="zh-CN"/>
              </w:rPr>
              <w:t>（</w:t>
            </w:r>
            <w:r>
              <w:rPr>
                <w:rFonts w:hint="eastAsia" w:ascii="Times New Roman" w:hAnsi="Times New Roman" w:eastAsia="宋体" w:cs="Times New Roman"/>
                <w:bCs/>
                <w:color w:val="auto"/>
                <w:kern w:val="0"/>
                <w:sz w:val="21"/>
                <w:szCs w:val="24"/>
                <w:lang w:val="en-US" w:eastAsia="zh-CN"/>
              </w:rPr>
              <w:t>COD</w:t>
            </w:r>
            <w:r>
              <w:rPr>
                <w:rFonts w:hint="eastAsia" w:ascii="Times New Roman" w:hAnsi="Times New Roman" w:eastAsia="宋体" w:cs="Times New Roman"/>
                <w:bCs/>
                <w:color w:val="auto"/>
                <w:kern w:val="0"/>
                <w:sz w:val="21"/>
                <w:szCs w:val="24"/>
                <w:vertAlign w:val="subscript"/>
                <w:lang w:val="en-US" w:eastAsia="zh-CN"/>
              </w:rPr>
              <w:t>MN</w:t>
            </w:r>
            <w:r>
              <w:rPr>
                <w:rFonts w:hint="eastAsia" w:ascii="Times New Roman" w:hAnsi="Times New Roman" w:eastAsia="宋体" w:cs="Times New Roman"/>
                <w:bCs/>
                <w:color w:val="auto"/>
                <w:kern w:val="0"/>
                <w:sz w:val="21"/>
                <w:szCs w:val="24"/>
                <w:lang w:val="en-US" w:eastAsia="zh-CN"/>
              </w:rPr>
              <w:t>法，以O</w:t>
            </w:r>
            <w:r>
              <w:rPr>
                <w:rFonts w:hint="eastAsia" w:ascii="Times New Roman" w:hAnsi="Times New Roman" w:eastAsia="宋体" w:cs="Times New Roman"/>
                <w:bCs/>
                <w:color w:val="auto"/>
                <w:kern w:val="0"/>
                <w:sz w:val="21"/>
                <w:szCs w:val="24"/>
                <w:vertAlign w:val="subscript"/>
                <w:lang w:val="en-US" w:eastAsia="zh-CN"/>
              </w:rPr>
              <w:t>2</w:t>
            </w:r>
            <w:r>
              <w:rPr>
                <w:rFonts w:hint="eastAsia" w:ascii="Times New Roman" w:hAnsi="Times New Roman" w:eastAsia="宋体" w:cs="Times New Roman"/>
                <w:bCs/>
                <w:color w:val="auto"/>
                <w:kern w:val="0"/>
                <w:sz w:val="21"/>
                <w:szCs w:val="24"/>
                <w:lang w:val="en-US" w:eastAsia="zh-CN"/>
              </w:rPr>
              <w:t>计</w:t>
            </w:r>
            <w:r>
              <w:rPr>
                <w:rFonts w:hint="eastAsia" w:cs="Times New Roman"/>
                <w:bCs/>
                <w:color w:val="auto"/>
                <w:kern w:val="0"/>
                <w:sz w:val="21"/>
                <w:szCs w:val="24"/>
                <w:lang w:val="en-US" w:eastAsia="zh-CN"/>
              </w:rPr>
              <w:t>）</w:t>
            </w:r>
          </w:p>
        </w:tc>
        <w:tc>
          <w:tcPr>
            <w:tcW w:w="1639" w:type="dxa"/>
            <w:vAlign w:val="center"/>
          </w:tcPr>
          <w:p w14:paraId="349A4785">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4E69EF41">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3</w:t>
            </w:r>
          </w:p>
        </w:tc>
      </w:tr>
      <w:tr w14:paraId="6B08D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2147393A">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14</w:t>
            </w:r>
          </w:p>
        </w:tc>
        <w:tc>
          <w:tcPr>
            <w:tcW w:w="2288" w:type="dxa"/>
            <w:vAlign w:val="center"/>
          </w:tcPr>
          <w:p w14:paraId="12BD7C6F">
            <w:pPr>
              <w:spacing w:line="240" w:lineRule="auto"/>
              <w:jc w:val="center"/>
              <w:rPr>
                <w:rFonts w:hint="default" w:ascii="Times New Roman" w:hAnsi="Times New Roman" w:eastAsia="宋体" w:cs="Times New Roman"/>
                <w:bCs/>
                <w:color w:val="auto"/>
                <w:kern w:val="0"/>
                <w:sz w:val="21"/>
                <w:szCs w:val="24"/>
                <w:lang w:val="en-US" w:eastAsia="zh-CN"/>
              </w:rPr>
            </w:pPr>
            <w:r>
              <w:rPr>
                <w:rFonts w:hint="default" w:ascii="Times New Roman" w:hAnsi="Times New Roman" w:eastAsia="宋体" w:cs="Times New Roman"/>
                <w:bCs/>
                <w:color w:val="auto"/>
                <w:kern w:val="0"/>
                <w:sz w:val="21"/>
                <w:szCs w:val="24"/>
                <w:lang w:val="en-US" w:eastAsia="zh-CN"/>
              </w:rPr>
              <w:t>氨氮</w:t>
            </w:r>
          </w:p>
        </w:tc>
        <w:tc>
          <w:tcPr>
            <w:tcW w:w="1639" w:type="dxa"/>
            <w:vAlign w:val="center"/>
          </w:tcPr>
          <w:p w14:paraId="677A5F54">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302D00D9">
            <w:pPr>
              <w:spacing w:line="240" w:lineRule="auto"/>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0.</w:t>
            </w:r>
            <w:r>
              <w:rPr>
                <w:rFonts w:hint="eastAsia" w:ascii="Times New Roman" w:hAnsi="Times New Roman" w:eastAsia="宋体" w:cs="Times New Roman"/>
                <w:color w:val="auto"/>
                <w:kern w:val="2"/>
                <w:sz w:val="21"/>
                <w:szCs w:val="21"/>
                <w:lang w:val="en-US" w:eastAsia="zh-CN"/>
              </w:rPr>
              <w:t>5</w:t>
            </w:r>
          </w:p>
        </w:tc>
      </w:tr>
      <w:tr w14:paraId="781D0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6B983450">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15</w:t>
            </w:r>
          </w:p>
        </w:tc>
        <w:tc>
          <w:tcPr>
            <w:tcW w:w="2288" w:type="dxa"/>
            <w:vAlign w:val="center"/>
          </w:tcPr>
          <w:p w14:paraId="5E92542E">
            <w:pPr>
              <w:spacing w:line="240" w:lineRule="auto"/>
              <w:jc w:val="center"/>
              <w:rPr>
                <w:rFonts w:hint="default" w:ascii="Times New Roman" w:hAnsi="Times New Roman" w:eastAsia="宋体" w:cs="Times New Roman"/>
                <w:bCs/>
                <w:color w:val="auto"/>
                <w:kern w:val="0"/>
                <w:sz w:val="21"/>
                <w:szCs w:val="24"/>
                <w:lang w:val="en-US" w:eastAsia="zh-CN"/>
              </w:rPr>
            </w:pPr>
            <w:r>
              <w:rPr>
                <w:rFonts w:hint="default" w:ascii="Times New Roman" w:hAnsi="Times New Roman" w:eastAsia="宋体" w:cs="Times New Roman"/>
                <w:bCs/>
                <w:color w:val="auto"/>
                <w:kern w:val="0"/>
                <w:sz w:val="21"/>
                <w:szCs w:val="24"/>
                <w:lang w:val="en-US" w:eastAsia="zh-CN"/>
              </w:rPr>
              <w:t>硫化物</w:t>
            </w:r>
          </w:p>
        </w:tc>
        <w:tc>
          <w:tcPr>
            <w:tcW w:w="1639" w:type="dxa"/>
            <w:vAlign w:val="center"/>
          </w:tcPr>
          <w:p w14:paraId="2EBC5D65">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75C2AD2F">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0.02</w:t>
            </w:r>
          </w:p>
        </w:tc>
      </w:tr>
      <w:tr w14:paraId="68903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1D5256D6">
            <w:pPr>
              <w:adjustRightInd w:val="0"/>
              <w:snapToGrid w:val="0"/>
              <w:spacing w:line="240" w:lineRule="auto"/>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bidi="ar-SA"/>
              </w:rPr>
              <w:t>16</w:t>
            </w:r>
          </w:p>
        </w:tc>
        <w:tc>
          <w:tcPr>
            <w:tcW w:w="2288" w:type="dxa"/>
            <w:vAlign w:val="center"/>
          </w:tcPr>
          <w:p w14:paraId="1CEFD0B2">
            <w:pPr>
              <w:spacing w:line="240" w:lineRule="auto"/>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cs="Times New Roman"/>
                <w:bCs/>
                <w:color w:val="auto"/>
                <w:kern w:val="0"/>
                <w:sz w:val="21"/>
                <w:szCs w:val="24"/>
                <w:lang w:val="en-US" w:eastAsia="zh-CN"/>
              </w:rPr>
              <w:t>钠</w:t>
            </w:r>
          </w:p>
        </w:tc>
        <w:tc>
          <w:tcPr>
            <w:tcW w:w="1639" w:type="dxa"/>
            <w:vAlign w:val="center"/>
          </w:tcPr>
          <w:p w14:paraId="3A1834B4">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2289" w:type="dxa"/>
            <w:vAlign w:val="center"/>
          </w:tcPr>
          <w:p w14:paraId="39FC0394">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200</w:t>
            </w:r>
          </w:p>
        </w:tc>
      </w:tr>
      <w:tr w14:paraId="38F7D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3BD4835F">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17</w:t>
            </w:r>
          </w:p>
        </w:tc>
        <w:tc>
          <w:tcPr>
            <w:tcW w:w="2288" w:type="dxa"/>
            <w:vAlign w:val="center"/>
          </w:tcPr>
          <w:p w14:paraId="6856395D">
            <w:pPr>
              <w:spacing w:line="240" w:lineRule="auto"/>
              <w:jc w:val="center"/>
              <w:rPr>
                <w:rFonts w:hint="default" w:ascii="Times New Roman" w:hAnsi="Times New Roman" w:eastAsia="宋体" w:cs="Times New Roman"/>
                <w:bCs/>
                <w:color w:val="auto"/>
                <w:kern w:val="0"/>
                <w:sz w:val="21"/>
                <w:szCs w:val="24"/>
                <w:lang w:val="en-US" w:eastAsia="zh-CN"/>
              </w:rPr>
            </w:pPr>
            <w:r>
              <w:rPr>
                <w:rFonts w:hint="default" w:ascii="Times New Roman" w:hAnsi="Times New Roman" w:eastAsia="宋体" w:cs="Times New Roman"/>
                <w:bCs/>
                <w:color w:val="auto"/>
                <w:kern w:val="0"/>
                <w:sz w:val="21"/>
                <w:szCs w:val="24"/>
                <w:lang w:val="en-US" w:eastAsia="zh-CN"/>
              </w:rPr>
              <w:t>总大肠菌群</w:t>
            </w:r>
          </w:p>
        </w:tc>
        <w:tc>
          <w:tcPr>
            <w:tcW w:w="1639" w:type="dxa"/>
            <w:vAlign w:val="center"/>
          </w:tcPr>
          <w:p w14:paraId="5532FB07">
            <w:pPr>
              <w:spacing w:line="240" w:lineRule="auto"/>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MPN/</w:t>
            </w:r>
          </w:p>
          <w:p w14:paraId="14000B0D">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100m</w:t>
            </w:r>
            <w:r>
              <w:rPr>
                <w:rFonts w:hint="default" w:ascii="Times New Roman" w:hAnsi="Times New Roman" w:eastAsia="宋体" w:cs="Times New Roman"/>
                <w:color w:val="auto"/>
                <w:kern w:val="2"/>
                <w:sz w:val="21"/>
                <w:szCs w:val="21"/>
              </w:rPr>
              <w:t>L</w:t>
            </w:r>
          </w:p>
        </w:tc>
        <w:tc>
          <w:tcPr>
            <w:tcW w:w="2289" w:type="dxa"/>
            <w:vAlign w:val="center"/>
          </w:tcPr>
          <w:p w14:paraId="0B4EE99A">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3.0</w:t>
            </w:r>
          </w:p>
        </w:tc>
      </w:tr>
      <w:tr w14:paraId="70133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vAlign w:val="center"/>
          </w:tcPr>
          <w:p w14:paraId="4C1A9198">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18</w:t>
            </w:r>
          </w:p>
        </w:tc>
        <w:tc>
          <w:tcPr>
            <w:tcW w:w="2288" w:type="dxa"/>
            <w:vAlign w:val="center"/>
          </w:tcPr>
          <w:p w14:paraId="1D28E230">
            <w:pPr>
              <w:spacing w:line="240" w:lineRule="auto"/>
              <w:jc w:val="center"/>
              <w:rPr>
                <w:rFonts w:hint="default" w:ascii="Times New Roman" w:hAnsi="Times New Roman" w:eastAsia="宋体" w:cs="Times New Roman"/>
                <w:bCs/>
                <w:color w:val="auto"/>
                <w:kern w:val="0"/>
                <w:sz w:val="21"/>
                <w:szCs w:val="24"/>
                <w:lang w:val="en-US" w:eastAsia="zh-CN"/>
              </w:rPr>
            </w:pPr>
            <w:r>
              <w:rPr>
                <w:rFonts w:hint="default" w:ascii="Times New Roman" w:hAnsi="Times New Roman" w:eastAsia="宋体" w:cs="Times New Roman"/>
                <w:bCs/>
                <w:color w:val="auto"/>
                <w:kern w:val="0"/>
                <w:sz w:val="21"/>
                <w:szCs w:val="24"/>
                <w:lang w:val="en-US" w:eastAsia="zh-CN"/>
              </w:rPr>
              <w:t>菌落总数</w:t>
            </w:r>
          </w:p>
        </w:tc>
        <w:tc>
          <w:tcPr>
            <w:tcW w:w="1639" w:type="dxa"/>
            <w:vAlign w:val="center"/>
          </w:tcPr>
          <w:p w14:paraId="5F1CC86C">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CFU/m</w:t>
            </w:r>
            <w:r>
              <w:rPr>
                <w:rFonts w:hint="default" w:ascii="Times New Roman" w:hAnsi="Times New Roman" w:eastAsia="宋体" w:cs="Times New Roman"/>
                <w:color w:val="auto"/>
                <w:kern w:val="2"/>
                <w:sz w:val="21"/>
                <w:szCs w:val="21"/>
              </w:rPr>
              <w:t>L</w:t>
            </w:r>
          </w:p>
        </w:tc>
        <w:tc>
          <w:tcPr>
            <w:tcW w:w="2289" w:type="dxa"/>
            <w:vAlign w:val="center"/>
          </w:tcPr>
          <w:p w14:paraId="2FE3A941">
            <w:pPr>
              <w:spacing w:line="240" w:lineRule="auto"/>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100</w:t>
            </w:r>
          </w:p>
        </w:tc>
      </w:tr>
    </w:tbl>
    <w:p w14:paraId="4B4B33E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.1.3声环境质量标准</w:t>
      </w:r>
    </w:p>
    <w:p w14:paraId="12D81F4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声环境质量评价标准采用《声环境质量标准》（GB3096-2008）的</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类标准：昼间</w:t>
      </w:r>
      <w:r>
        <w:rPr>
          <w:rFonts w:hint="default" w:ascii="Times New Roman" w:hAnsi="Times New Roman" w:eastAsia="宋体" w:cs="Times New Roman"/>
          <w:sz w:val="24"/>
          <w:szCs w:val="24"/>
          <w:lang w:val="en-US" w:eastAsia="zh-CN"/>
        </w:rPr>
        <w:t>60</w:t>
      </w:r>
      <w:r>
        <w:rPr>
          <w:rFonts w:hint="default" w:ascii="Times New Roman" w:hAnsi="Times New Roman" w:eastAsia="宋体" w:cs="Times New Roman"/>
          <w:sz w:val="24"/>
          <w:szCs w:val="24"/>
        </w:rPr>
        <w:t>dB（A）、夜间</w:t>
      </w:r>
      <w:r>
        <w:rPr>
          <w:rFonts w:hint="default" w:ascii="Times New Roman" w:hAnsi="Times New Roman" w:eastAsia="宋体" w:cs="Times New Roman"/>
          <w:sz w:val="24"/>
          <w:szCs w:val="24"/>
          <w:lang w:val="en-US" w:eastAsia="zh-CN"/>
        </w:rPr>
        <w:t>50</w:t>
      </w:r>
      <w:r>
        <w:rPr>
          <w:rFonts w:hint="default" w:ascii="Times New Roman" w:hAnsi="Times New Roman" w:eastAsia="宋体" w:cs="Times New Roman"/>
          <w:sz w:val="24"/>
          <w:szCs w:val="24"/>
        </w:rPr>
        <w:t>dB（A）。见表</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cs="Times New Roman"/>
          <w:sz w:val="24"/>
          <w:szCs w:val="24"/>
          <w:lang w:val="en-US" w:eastAsia="zh-CN"/>
        </w:rPr>
        <w:t>3</w:t>
      </w:r>
      <w:r>
        <w:rPr>
          <w:rFonts w:hint="default" w:ascii="Times New Roman" w:hAnsi="Times New Roman" w:eastAsia="宋体" w:cs="Times New Roman"/>
          <w:sz w:val="24"/>
          <w:szCs w:val="24"/>
        </w:rPr>
        <w:t>。</w:t>
      </w:r>
    </w:p>
    <w:p w14:paraId="094F8C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表2.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w:t>
      </w:r>
      <w:r>
        <w:rPr>
          <w:rFonts w:hint="eastAsia" w:cs="Times New Roman"/>
          <w:b/>
          <w:bCs w:val="0"/>
          <w:kern w:val="2"/>
          <w:sz w:val="24"/>
          <w:szCs w:val="24"/>
          <w:lang w:val="en-US" w:eastAsia="zh-CN" w:bidi="ar-SA"/>
        </w:rPr>
        <w:t>3</w:t>
      </w:r>
      <w:r>
        <w:rPr>
          <w:rFonts w:hint="default" w:ascii="Times New Roman" w:hAnsi="Times New Roman" w:eastAsia="宋体" w:cs="Times New Roman"/>
          <w:b/>
          <w:bCs w:val="0"/>
          <w:kern w:val="2"/>
          <w:sz w:val="24"/>
          <w:szCs w:val="24"/>
          <w:lang w:val="en-US" w:eastAsia="zh-CN" w:bidi="ar-SA"/>
        </w:rPr>
        <w:t>声环境质量标准</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99"/>
        <w:gridCol w:w="2109"/>
        <w:gridCol w:w="2179"/>
        <w:gridCol w:w="2417"/>
      </w:tblGrid>
      <w:tr w14:paraId="6B6FEB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799" w:type="dxa"/>
            <w:vMerge w:val="restart"/>
            <w:tcBorders>
              <w:tl2br w:val="nil"/>
              <w:tr2bl w:val="nil"/>
            </w:tcBorders>
            <w:noWrap w:val="0"/>
            <w:vAlign w:val="center"/>
          </w:tcPr>
          <w:p w14:paraId="7F2D96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val="0"/>
                <w:sz w:val="21"/>
                <w:szCs w:val="21"/>
              </w:rPr>
              <w:t>适应区域</w:t>
            </w:r>
          </w:p>
        </w:tc>
        <w:tc>
          <w:tcPr>
            <w:tcW w:w="4288" w:type="dxa"/>
            <w:gridSpan w:val="2"/>
            <w:tcBorders>
              <w:tl2br w:val="nil"/>
              <w:tr2bl w:val="nil"/>
            </w:tcBorders>
            <w:noWrap w:val="0"/>
            <w:vAlign w:val="center"/>
          </w:tcPr>
          <w:p w14:paraId="20958E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标准值dB（A）</w:t>
            </w:r>
          </w:p>
        </w:tc>
        <w:tc>
          <w:tcPr>
            <w:tcW w:w="2417" w:type="dxa"/>
            <w:vMerge w:val="restart"/>
            <w:tcBorders>
              <w:tl2br w:val="nil"/>
              <w:tr2bl w:val="nil"/>
            </w:tcBorders>
            <w:noWrap w:val="0"/>
            <w:vAlign w:val="center"/>
          </w:tcPr>
          <w:p w14:paraId="252F1D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标准来源</w:t>
            </w:r>
          </w:p>
        </w:tc>
      </w:tr>
      <w:tr w14:paraId="4607F9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799" w:type="dxa"/>
            <w:vMerge w:val="continue"/>
            <w:tcBorders>
              <w:tl2br w:val="nil"/>
              <w:tr2bl w:val="nil"/>
            </w:tcBorders>
            <w:noWrap w:val="0"/>
            <w:vAlign w:val="center"/>
          </w:tcPr>
          <w:p w14:paraId="791ED1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2109" w:type="dxa"/>
            <w:tcBorders>
              <w:tl2br w:val="nil"/>
              <w:tr2bl w:val="nil"/>
            </w:tcBorders>
            <w:noWrap w:val="0"/>
            <w:vAlign w:val="center"/>
          </w:tcPr>
          <w:p w14:paraId="5E8DA8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昼间</w:t>
            </w:r>
          </w:p>
        </w:tc>
        <w:tc>
          <w:tcPr>
            <w:tcW w:w="2179" w:type="dxa"/>
            <w:tcBorders>
              <w:tl2br w:val="nil"/>
              <w:tr2bl w:val="nil"/>
            </w:tcBorders>
            <w:noWrap w:val="0"/>
            <w:vAlign w:val="center"/>
          </w:tcPr>
          <w:p w14:paraId="78F79C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夜间</w:t>
            </w:r>
          </w:p>
        </w:tc>
        <w:tc>
          <w:tcPr>
            <w:tcW w:w="2417" w:type="dxa"/>
            <w:vMerge w:val="continue"/>
            <w:tcBorders>
              <w:tl2br w:val="nil"/>
              <w:tr2bl w:val="nil"/>
            </w:tcBorders>
            <w:noWrap w:val="0"/>
            <w:vAlign w:val="center"/>
          </w:tcPr>
          <w:p w14:paraId="0A2365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val="0"/>
                <w:sz w:val="21"/>
                <w:szCs w:val="21"/>
              </w:rPr>
            </w:pPr>
          </w:p>
        </w:tc>
      </w:tr>
      <w:tr w14:paraId="77D5A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799" w:type="dxa"/>
            <w:tcBorders>
              <w:tl2br w:val="nil"/>
              <w:tr2bl w:val="nil"/>
            </w:tcBorders>
            <w:noWrap w:val="0"/>
            <w:vAlign w:val="center"/>
          </w:tcPr>
          <w:p w14:paraId="5749B3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环境噪声</w:t>
            </w:r>
          </w:p>
        </w:tc>
        <w:tc>
          <w:tcPr>
            <w:tcW w:w="2109" w:type="dxa"/>
            <w:tcBorders>
              <w:tl2br w:val="nil"/>
              <w:tr2bl w:val="nil"/>
            </w:tcBorders>
            <w:noWrap w:val="0"/>
            <w:vAlign w:val="center"/>
          </w:tcPr>
          <w:p w14:paraId="2D500D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6</w:t>
            </w:r>
            <w:r>
              <w:rPr>
                <w:rFonts w:hint="default" w:ascii="Times New Roman" w:hAnsi="Times New Roman" w:eastAsia="宋体" w:cs="Times New Roman"/>
                <w:sz w:val="21"/>
                <w:szCs w:val="21"/>
                <w:lang w:val="en-US" w:eastAsia="zh-CN"/>
              </w:rPr>
              <w:t>0</w:t>
            </w:r>
          </w:p>
        </w:tc>
        <w:tc>
          <w:tcPr>
            <w:tcW w:w="2179" w:type="dxa"/>
            <w:tcBorders>
              <w:tl2br w:val="nil"/>
              <w:tr2bl w:val="nil"/>
            </w:tcBorders>
            <w:noWrap w:val="0"/>
            <w:vAlign w:val="center"/>
          </w:tcPr>
          <w:p w14:paraId="1C50C7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5</w:t>
            </w:r>
            <w:r>
              <w:rPr>
                <w:rFonts w:hint="default" w:ascii="Times New Roman" w:hAnsi="Times New Roman" w:eastAsia="宋体" w:cs="Times New Roman"/>
                <w:sz w:val="21"/>
                <w:szCs w:val="21"/>
                <w:lang w:val="en-US" w:eastAsia="zh-CN"/>
              </w:rPr>
              <w:t>0</w:t>
            </w:r>
          </w:p>
        </w:tc>
        <w:tc>
          <w:tcPr>
            <w:tcW w:w="2417" w:type="dxa"/>
            <w:tcBorders>
              <w:tl2br w:val="nil"/>
              <w:tr2bl w:val="nil"/>
            </w:tcBorders>
            <w:noWrap w:val="0"/>
            <w:vAlign w:val="center"/>
          </w:tcPr>
          <w:p w14:paraId="3E407C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《声环境质量标准》（GB3096-2008）</w:t>
            </w:r>
          </w:p>
        </w:tc>
      </w:tr>
    </w:tbl>
    <w:p w14:paraId="30219B38">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.1.4土壤环境质量标准</w:t>
      </w:r>
    </w:p>
    <w:p w14:paraId="093B68C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根据建设用地分类标准</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农用地、</w:t>
      </w:r>
      <w:r>
        <w:rPr>
          <w:rFonts w:hint="eastAsia" w:ascii="Times New Roman" w:hAnsi="Times New Roman" w:cs="Times New Roman"/>
          <w:sz w:val="24"/>
          <w:szCs w:val="24"/>
          <w:lang w:eastAsia="zh-CN"/>
        </w:rPr>
        <w:t>未利用地</w:t>
      </w:r>
      <w:r>
        <w:rPr>
          <w:rFonts w:hint="default" w:ascii="Times New Roman" w:hAnsi="Times New Roman" w:eastAsia="宋体" w:cs="Times New Roman"/>
          <w:sz w:val="24"/>
          <w:szCs w:val="24"/>
        </w:rPr>
        <w:t>不属于建设用地，不适用于《建设用地土壤质量标准》。</w:t>
      </w:r>
      <w:r>
        <w:rPr>
          <w:rFonts w:hint="eastAsia" w:ascii="Times New Roman" w:hAnsi="Times New Roman" w:eastAsia="宋体" w:cs="Times New Roman"/>
          <w:sz w:val="24"/>
          <w:szCs w:val="24"/>
          <w:lang w:val="en-US" w:eastAsia="zh-CN"/>
        </w:rPr>
        <w:t>根据《</w:t>
      </w:r>
      <w:r>
        <w:rPr>
          <w:rFonts w:hint="eastAsia" w:cs="Times New Roman"/>
          <w:sz w:val="24"/>
          <w:szCs w:val="24"/>
          <w:lang w:val="en-US" w:eastAsia="zh-CN"/>
        </w:rPr>
        <w:t>土壤环境质量 农用地土壤污染风险管控标准（试行）</w:t>
      </w:r>
      <w:r>
        <w:rPr>
          <w:rFonts w:hint="eastAsia" w:ascii="Times New Roman" w:hAnsi="Times New Roman" w:eastAsia="宋体" w:cs="Times New Roman"/>
          <w:sz w:val="24"/>
          <w:szCs w:val="24"/>
          <w:lang w:val="en-US" w:eastAsia="zh-CN"/>
        </w:rPr>
        <w:t>》（GB 15618-2018），农用地指GB/T 21010 中的01耕地（0101水田、0102水浇地、0103旱地） 、02园地（0201果园、0202茶园）和04草地（0401天然牧草地、0403人工牧草地）。</w:t>
      </w:r>
      <w:r>
        <w:rPr>
          <w:rFonts w:hint="default" w:ascii="Times New Roman" w:hAnsi="Times New Roman" w:eastAsia="宋体" w:cs="Times New Roman"/>
          <w:sz w:val="24"/>
          <w:szCs w:val="24"/>
        </w:rPr>
        <w:t>据2019年4月22日的部长信箱</w:t>
      </w:r>
      <w:r>
        <w:rPr>
          <w:rFonts w:hint="default" w:ascii="Times New Roman" w:hAnsi="Times New Roman" w:eastAsia="宋体" w:cs="Times New Roman"/>
          <w:sz w:val="24"/>
          <w:szCs w:val="24"/>
          <w:lang w:eastAsia="zh-CN"/>
        </w:rPr>
        <w:t>对《关于林地和未利用地土壤如何选用评价标准问题的回复》项目的</w:t>
      </w:r>
      <w:r>
        <w:rPr>
          <w:rFonts w:hint="default" w:ascii="Times New Roman" w:hAnsi="Times New Roman" w:eastAsia="宋体" w:cs="Times New Roman"/>
          <w:sz w:val="24"/>
          <w:szCs w:val="24"/>
        </w:rPr>
        <w:t>回复，</w:t>
      </w:r>
      <w:r>
        <w:rPr>
          <w:rFonts w:hint="eastAsia" w:cs="Times New Roman"/>
          <w:sz w:val="24"/>
          <w:szCs w:val="24"/>
          <w:lang w:eastAsia="zh-CN"/>
        </w:rPr>
        <w:t>“</w:t>
      </w:r>
      <w:r>
        <w:rPr>
          <w:rFonts w:hint="default" w:ascii="Times New Roman" w:hAnsi="Times New Roman" w:eastAsia="宋体" w:cs="Times New Roman"/>
          <w:sz w:val="24"/>
          <w:szCs w:val="24"/>
        </w:rPr>
        <w:t>《土壤环境质量 农用地土壤污染风险管控标准（试行）》（GB15618-2018）保护目标主要是食用农产品质量安全，因此，适用范围主要是耕地，以及园地、牧草地。</w:t>
      </w:r>
      <w:r>
        <w:rPr>
          <w:rFonts w:hint="eastAsia" w:cs="Times New Roman"/>
          <w:sz w:val="24"/>
          <w:szCs w:val="24"/>
          <w:lang w:eastAsia="zh-CN"/>
        </w:rPr>
        <w:t>”“</w:t>
      </w:r>
      <w:r>
        <w:rPr>
          <w:rFonts w:hint="default" w:ascii="Times New Roman" w:hAnsi="Times New Roman" w:eastAsia="宋体" w:cs="Times New Roman"/>
          <w:sz w:val="24"/>
          <w:szCs w:val="24"/>
        </w:rPr>
        <w:t> 林地和未利用地土壤如何选用评价标准，应当依据其保护目标确定。</w:t>
      </w:r>
      <w:r>
        <w:rPr>
          <w:rFonts w:hint="eastAsia" w:cs="Times New Roman"/>
          <w:sz w:val="24"/>
          <w:szCs w:val="24"/>
          <w:lang w:eastAsia="zh-CN"/>
        </w:rPr>
        <w:t>”“</w:t>
      </w:r>
      <w:r>
        <w:rPr>
          <w:rFonts w:hint="default" w:ascii="Times New Roman" w:hAnsi="Times New Roman" w:eastAsia="宋体" w:cs="Times New Roman"/>
          <w:sz w:val="24"/>
          <w:szCs w:val="24"/>
        </w:rPr>
        <w:t>未利用地可以按照未来拟利用方式及保护目标选择相应评价标准。</w:t>
      </w:r>
      <w:r>
        <w:rPr>
          <w:rFonts w:hint="eastAsia" w:cs="Times New Roman"/>
          <w:sz w:val="24"/>
          <w:szCs w:val="24"/>
          <w:lang w:eastAsia="zh-CN"/>
        </w:rPr>
        <w:t>”</w:t>
      </w:r>
    </w:p>
    <w:p w14:paraId="697E908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000000"/>
          <w:spacing w:val="-6"/>
          <w:sz w:val="24"/>
        </w:rPr>
      </w:pPr>
      <w:r>
        <w:rPr>
          <w:rFonts w:hint="eastAsia" w:cs="Times New Roman"/>
          <w:sz w:val="24"/>
          <w:szCs w:val="24"/>
          <w:lang w:val="en-US" w:eastAsia="zh-CN"/>
        </w:rPr>
        <w:t>本项目用地用于规模化畜禽养殖，</w:t>
      </w:r>
      <w:r>
        <w:rPr>
          <w:rFonts w:hint="eastAsia" w:cs="Times New Roman"/>
          <w:kern w:val="2"/>
          <w:sz w:val="24"/>
          <w:szCs w:val="24"/>
          <w:lang w:val="en-US" w:eastAsia="zh-CN" w:bidi="ar-SA"/>
        </w:rPr>
        <w:t>为设施农用地，</w:t>
      </w:r>
      <w:r>
        <w:rPr>
          <w:rFonts w:hint="eastAsia" w:cs="Times New Roman"/>
          <w:sz w:val="24"/>
          <w:szCs w:val="24"/>
          <w:lang w:val="en-US" w:eastAsia="zh-CN"/>
        </w:rPr>
        <w:t>因此</w:t>
      </w:r>
      <w:r>
        <w:rPr>
          <w:rFonts w:hint="default" w:ascii="Times New Roman" w:hAnsi="Times New Roman" w:eastAsia="宋体" w:cs="Times New Roman"/>
          <w:sz w:val="24"/>
          <w:szCs w:val="24"/>
        </w:rPr>
        <w:t>土壤质量执行《</w:t>
      </w:r>
      <w:r>
        <w:rPr>
          <w:rFonts w:hint="eastAsia" w:ascii="Times New Roman" w:hAnsi="Times New Roman" w:cs="Times New Roman"/>
          <w:sz w:val="24"/>
          <w:szCs w:val="24"/>
          <w:lang w:eastAsia="zh-CN"/>
        </w:rPr>
        <w:t>畜禽养殖产地环境评价规范</w:t>
      </w:r>
      <w:r>
        <w:rPr>
          <w:rFonts w:hint="default" w:ascii="Times New Roman" w:hAnsi="Times New Roman" w:eastAsia="宋体" w:cs="Times New Roman"/>
          <w:sz w:val="24"/>
          <w:szCs w:val="24"/>
        </w:rPr>
        <w:t>》（HJ568-2010）中的表4养殖场土壤环境质量评价指标和限值，见表2.</w:t>
      </w: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p>
    <w:p w14:paraId="46A71EA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spacing w:val="-6"/>
          <w:sz w:val="24"/>
        </w:rPr>
      </w:pPr>
      <w:r>
        <w:rPr>
          <w:rFonts w:hint="default" w:ascii="Times New Roman" w:hAnsi="Times New Roman" w:eastAsia="宋体" w:cs="Times New Roman"/>
          <w:b/>
          <w:bCs/>
          <w:color w:val="000000"/>
          <w:spacing w:val="-6"/>
          <w:sz w:val="24"/>
        </w:rPr>
        <w:t>表</w:t>
      </w:r>
      <w:r>
        <w:rPr>
          <w:rFonts w:hint="default" w:ascii="Times New Roman" w:hAnsi="Times New Roman" w:eastAsia="宋体" w:cs="Times New Roman"/>
          <w:b/>
          <w:bCs/>
          <w:color w:val="000000"/>
          <w:spacing w:val="-6"/>
          <w:sz w:val="24"/>
          <w:lang w:val="en-US" w:eastAsia="zh-CN"/>
        </w:rPr>
        <w:t>2.</w:t>
      </w:r>
      <w:r>
        <w:rPr>
          <w:rFonts w:hint="eastAsia" w:cs="Times New Roman"/>
          <w:b/>
          <w:bCs/>
          <w:color w:val="000000"/>
          <w:spacing w:val="-6"/>
          <w:sz w:val="24"/>
          <w:lang w:val="en-US" w:eastAsia="zh-CN"/>
        </w:rPr>
        <w:t>5</w:t>
      </w:r>
      <w:r>
        <w:rPr>
          <w:rFonts w:hint="default" w:ascii="Times New Roman" w:hAnsi="Times New Roman" w:eastAsia="宋体" w:cs="Times New Roman"/>
          <w:b/>
          <w:bCs/>
          <w:color w:val="000000"/>
          <w:spacing w:val="-6"/>
          <w:sz w:val="24"/>
          <w:lang w:val="en-US" w:eastAsia="zh-CN"/>
        </w:rPr>
        <w:t>-</w:t>
      </w:r>
      <w:r>
        <w:rPr>
          <w:rFonts w:hint="eastAsia" w:cs="Times New Roman"/>
          <w:b/>
          <w:bCs/>
          <w:color w:val="000000"/>
          <w:spacing w:val="-6"/>
          <w:sz w:val="24"/>
          <w:lang w:val="en-US" w:eastAsia="zh-CN"/>
        </w:rPr>
        <w:t>4</w:t>
      </w:r>
      <w:r>
        <w:rPr>
          <w:rFonts w:hint="default" w:ascii="Times New Roman" w:hAnsi="Times New Roman" w:eastAsia="宋体" w:cs="Times New Roman"/>
          <w:b/>
          <w:bCs/>
          <w:color w:val="000000"/>
          <w:spacing w:val="-6"/>
          <w:sz w:val="24"/>
        </w:rPr>
        <w:t>养殖场土壤环境质量标准</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631"/>
        <w:gridCol w:w="1884"/>
        <w:gridCol w:w="4320"/>
      </w:tblGrid>
      <w:tr w14:paraId="7D630D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7A7F7047">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1631" w:type="dxa"/>
            <w:tcBorders>
              <w:tl2br w:val="nil"/>
              <w:tr2bl w:val="nil"/>
            </w:tcBorders>
            <w:noWrap w:val="0"/>
            <w:vAlign w:val="center"/>
          </w:tcPr>
          <w:p w14:paraId="2728B917">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监测项目</w:t>
            </w:r>
          </w:p>
        </w:tc>
        <w:tc>
          <w:tcPr>
            <w:tcW w:w="1884" w:type="dxa"/>
            <w:tcBorders>
              <w:tl2br w:val="nil"/>
              <w:tr2bl w:val="nil"/>
            </w:tcBorders>
            <w:noWrap w:val="0"/>
            <w:vAlign w:val="center"/>
          </w:tcPr>
          <w:p w14:paraId="551F0388">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单位</w:t>
            </w:r>
          </w:p>
        </w:tc>
        <w:tc>
          <w:tcPr>
            <w:tcW w:w="4320" w:type="dxa"/>
            <w:tcBorders>
              <w:tl2br w:val="nil"/>
              <w:tr2bl w:val="nil"/>
            </w:tcBorders>
            <w:noWrap w:val="0"/>
            <w:vAlign w:val="center"/>
          </w:tcPr>
          <w:p w14:paraId="46D1DA0C">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w:t>
            </w:r>
            <w:r>
              <w:rPr>
                <w:rFonts w:hint="eastAsia" w:ascii="Times New Roman" w:hAnsi="Times New Roman" w:cs="Times New Roman"/>
                <w:b/>
                <w:bCs/>
                <w:kern w:val="0"/>
                <w:sz w:val="21"/>
                <w:szCs w:val="21"/>
                <w:lang w:eastAsia="zh-CN"/>
              </w:rPr>
              <w:t>畜禽养殖产地环境评价规范</w:t>
            </w:r>
            <w:r>
              <w:rPr>
                <w:rFonts w:hint="default" w:ascii="Times New Roman" w:hAnsi="Times New Roman" w:eastAsia="宋体" w:cs="Times New Roman"/>
                <w:b/>
                <w:bCs/>
                <w:kern w:val="0"/>
                <w:sz w:val="21"/>
                <w:szCs w:val="21"/>
              </w:rPr>
              <w:t>》（HJ568-2010）中的表4养殖场土壤环境质量评价指标限值</w:t>
            </w:r>
          </w:p>
        </w:tc>
      </w:tr>
      <w:tr w14:paraId="298D1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07F474CF">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631" w:type="dxa"/>
            <w:tcBorders>
              <w:tl2br w:val="nil"/>
              <w:tr2bl w:val="nil"/>
            </w:tcBorders>
            <w:noWrap w:val="0"/>
            <w:vAlign w:val="center"/>
          </w:tcPr>
          <w:p w14:paraId="2052CA2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镉</w:t>
            </w:r>
          </w:p>
        </w:tc>
        <w:tc>
          <w:tcPr>
            <w:tcW w:w="1884" w:type="dxa"/>
            <w:tcBorders>
              <w:tl2br w:val="nil"/>
              <w:tr2bl w:val="nil"/>
            </w:tcBorders>
            <w:noWrap w:val="0"/>
            <w:vAlign w:val="center"/>
          </w:tcPr>
          <w:p w14:paraId="642C1FB6">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72DB515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r>
      <w:tr w14:paraId="23DE9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71636E0A">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631" w:type="dxa"/>
            <w:tcBorders>
              <w:tl2br w:val="nil"/>
              <w:tr2bl w:val="nil"/>
            </w:tcBorders>
            <w:noWrap w:val="0"/>
            <w:vAlign w:val="center"/>
          </w:tcPr>
          <w:p w14:paraId="74B1E9AD">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汞</w:t>
            </w:r>
          </w:p>
        </w:tc>
        <w:tc>
          <w:tcPr>
            <w:tcW w:w="1884" w:type="dxa"/>
            <w:tcBorders>
              <w:tl2br w:val="nil"/>
              <w:tr2bl w:val="nil"/>
            </w:tcBorders>
            <w:noWrap w:val="0"/>
            <w:vAlign w:val="center"/>
          </w:tcPr>
          <w:p w14:paraId="5EAB72D1">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1795C23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r>
      <w:tr w14:paraId="1C3A0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74FC12D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631" w:type="dxa"/>
            <w:tcBorders>
              <w:tl2br w:val="nil"/>
              <w:tr2bl w:val="nil"/>
            </w:tcBorders>
            <w:noWrap w:val="0"/>
            <w:vAlign w:val="center"/>
          </w:tcPr>
          <w:p w14:paraId="4AE0A1EA">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砷</w:t>
            </w:r>
          </w:p>
        </w:tc>
        <w:tc>
          <w:tcPr>
            <w:tcW w:w="1884" w:type="dxa"/>
            <w:tcBorders>
              <w:tl2br w:val="nil"/>
              <w:tr2bl w:val="nil"/>
            </w:tcBorders>
            <w:noWrap w:val="0"/>
            <w:vAlign w:val="center"/>
          </w:tcPr>
          <w:p w14:paraId="692C83EA">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066F7E17">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r>
      <w:tr w14:paraId="75E64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5D03CCF8">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1631" w:type="dxa"/>
            <w:tcBorders>
              <w:tl2br w:val="nil"/>
              <w:tr2bl w:val="nil"/>
            </w:tcBorders>
            <w:noWrap w:val="0"/>
            <w:vAlign w:val="center"/>
          </w:tcPr>
          <w:p w14:paraId="177F15EC">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铜</w:t>
            </w:r>
          </w:p>
        </w:tc>
        <w:tc>
          <w:tcPr>
            <w:tcW w:w="1884" w:type="dxa"/>
            <w:tcBorders>
              <w:tl2br w:val="nil"/>
              <w:tr2bl w:val="nil"/>
            </w:tcBorders>
            <w:noWrap w:val="0"/>
            <w:vAlign w:val="center"/>
          </w:tcPr>
          <w:p w14:paraId="5441ED02">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23A0C1F7">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400</w:t>
            </w:r>
          </w:p>
        </w:tc>
      </w:tr>
      <w:tr w14:paraId="57651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7F29143C">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1631" w:type="dxa"/>
            <w:tcBorders>
              <w:tl2br w:val="nil"/>
              <w:tr2bl w:val="nil"/>
            </w:tcBorders>
            <w:noWrap w:val="0"/>
            <w:vAlign w:val="center"/>
          </w:tcPr>
          <w:p w14:paraId="4289C488">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铅</w:t>
            </w:r>
          </w:p>
        </w:tc>
        <w:tc>
          <w:tcPr>
            <w:tcW w:w="1884" w:type="dxa"/>
            <w:tcBorders>
              <w:tl2br w:val="nil"/>
              <w:tr2bl w:val="nil"/>
            </w:tcBorders>
            <w:noWrap w:val="0"/>
            <w:vAlign w:val="center"/>
          </w:tcPr>
          <w:p w14:paraId="5F2F7035">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4A752E6B">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w:t>
            </w:r>
          </w:p>
        </w:tc>
      </w:tr>
      <w:tr w14:paraId="5364DE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9" w:type="dxa"/>
            <w:tcBorders>
              <w:tl2br w:val="nil"/>
              <w:tr2bl w:val="nil"/>
            </w:tcBorders>
            <w:noWrap w:val="0"/>
            <w:vAlign w:val="center"/>
          </w:tcPr>
          <w:p w14:paraId="1A577C8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1631" w:type="dxa"/>
            <w:tcBorders>
              <w:tl2br w:val="nil"/>
              <w:tr2bl w:val="nil"/>
            </w:tcBorders>
            <w:noWrap w:val="0"/>
            <w:vAlign w:val="center"/>
          </w:tcPr>
          <w:p w14:paraId="392C4EF8">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铬</w:t>
            </w:r>
          </w:p>
        </w:tc>
        <w:tc>
          <w:tcPr>
            <w:tcW w:w="1884" w:type="dxa"/>
            <w:tcBorders>
              <w:tl2br w:val="nil"/>
              <w:tr2bl w:val="nil"/>
            </w:tcBorders>
            <w:noWrap w:val="0"/>
            <w:vAlign w:val="center"/>
          </w:tcPr>
          <w:p w14:paraId="74A7F08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4A5DCD2B">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300</w:t>
            </w:r>
          </w:p>
        </w:tc>
      </w:tr>
      <w:tr w14:paraId="3C4BE3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573AA749">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1631" w:type="dxa"/>
            <w:tcBorders>
              <w:tl2br w:val="nil"/>
              <w:tr2bl w:val="nil"/>
            </w:tcBorders>
            <w:noWrap w:val="0"/>
            <w:vAlign w:val="center"/>
          </w:tcPr>
          <w:p w14:paraId="4E822BCC">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锌</w:t>
            </w:r>
          </w:p>
        </w:tc>
        <w:tc>
          <w:tcPr>
            <w:tcW w:w="1884" w:type="dxa"/>
            <w:tcBorders>
              <w:tl2br w:val="nil"/>
              <w:tr2bl w:val="nil"/>
            </w:tcBorders>
            <w:noWrap w:val="0"/>
            <w:vAlign w:val="center"/>
          </w:tcPr>
          <w:p w14:paraId="31BA35E8">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31787589">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w:t>
            </w:r>
          </w:p>
        </w:tc>
      </w:tr>
      <w:tr w14:paraId="50255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383821A1">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8</w:t>
            </w:r>
          </w:p>
        </w:tc>
        <w:tc>
          <w:tcPr>
            <w:tcW w:w="1631" w:type="dxa"/>
            <w:tcBorders>
              <w:tl2br w:val="nil"/>
              <w:tr2bl w:val="nil"/>
            </w:tcBorders>
            <w:noWrap w:val="0"/>
            <w:vAlign w:val="center"/>
          </w:tcPr>
          <w:p w14:paraId="0B647D26">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镍</w:t>
            </w:r>
          </w:p>
        </w:tc>
        <w:tc>
          <w:tcPr>
            <w:tcW w:w="1884" w:type="dxa"/>
            <w:tcBorders>
              <w:tl2br w:val="nil"/>
              <w:tr2bl w:val="nil"/>
            </w:tcBorders>
            <w:noWrap w:val="0"/>
            <w:vAlign w:val="center"/>
          </w:tcPr>
          <w:p w14:paraId="2E5320DE">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329C3037">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200</w:t>
            </w:r>
          </w:p>
        </w:tc>
      </w:tr>
      <w:tr w14:paraId="0D7A0C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45164C6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w:t>
            </w:r>
          </w:p>
        </w:tc>
        <w:tc>
          <w:tcPr>
            <w:tcW w:w="1631" w:type="dxa"/>
            <w:tcBorders>
              <w:tl2br w:val="nil"/>
              <w:tr2bl w:val="nil"/>
            </w:tcBorders>
            <w:noWrap w:val="0"/>
            <w:vAlign w:val="center"/>
          </w:tcPr>
          <w:p w14:paraId="01EA9154">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六六六</w:t>
            </w:r>
          </w:p>
        </w:tc>
        <w:tc>
          <w:tcPr>
            <w:tcW w:w="1884" w:type="dxa"/>
            <w:tcBorders>
              <w:tl2br w:val="nil"/>
              <w:tr2bl w:val="nil"/>
            </w:tcBorders>
            <w:noWrap w:val="0"/>
            <w:vAlign w:val="center"/>
          </w:tcPr>
          <w:p w14:paraId="5A59CC25">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351F3706">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r>
      <w:tr w14:paraId="3688D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48789460">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1631" w:type="dxa"/>
            <w:tcBorders>
              <w:tl2br w:val="nil"/>
              <w:tr2bl w:val="nil"/>
            </w:tcBorders>
            <w:noWrap w:val="0"/>
            <w:vAlign w:val="center"/>
          </w:tcPr>
          <w:p w14:paraId="204C4379">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滴滴涕</w:t>
            </w:r>
          </w:p>
        </w:tc>
        <w:tc>
          <w:tcPr>
            <w:tcW w:w="1884" w:type="dxa"/>
            <w:tcBorders>
              <w:tl2br w:val="nil"/>
              <w:tr2bl w:val="nil"/>
            </w:tcBorders>
            <w:noWrap w:val="0"/>
            <w:vAlign w:val="center"/>
          </w:tcPr>
          <w:p w14:paraId="176337FB">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mg/kg</w:t>
            </w:r>
          </w:p>
        </w:tc>
        <w:tc>
          <w:tcPr>
            <w:tcW w:w="4320" w:type="dxa"/>
            <w:tcBorders>
              <w:tl2br w:val="nil"/>
              <w:tr2bl w:val="nil"/>
            </w:tcBorders>
            <w:noWrap w:val="0"/>
            <w:vAlign w:val="center"/>
          </w:tcPr>
          <w:p w14:paraId="23314AB1">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r>
      <w:tr w14:paraId="55BF5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Borders>
              <w:tl2br w:val="nil"/>
              <w:tr2bl w:val="nil"/>
            </w:tcBorders>
            <w:noWrap w:val="0"/>
            <w:vAlign w:val="center"/>
          </w:tcPr>
          <w:p w14:paraId="79AE585A">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bookmarkStart w:id="210" w:name="_Toc19859"/>
            <w:bookmarkStart w:id="211" w:name="_Toc28858"/>
            <w:r>
              <w:rPr>
                <w:rFonts w:hint="eastAsia" w:cs="Times New Roman"/>
                <w:sz w:val="21"/>
                <w:szCs w:val="21"/>
                <w:lang w:val="en-US" w:eastAsia="zh-CN"/>
              </w:rPr>
              <w:t>11</w:t>
            </w:r>
          </w:p>
        </w:tc>
        <w:tc>
          <w:tcPr>
            <w:tcW w:w="1631" w:type="dxa"/>
            <w:tcBorders>
              <w:tl2br w:val="nil"/>
              <w:tr2bl w:val="nil"/>
            </w:tcBorders>
            <w:noWrap w:val="0"/>
            <w:vAlign w:val="center"/>
          </w:tcPr>
          <w:p w14:paraId="2C98D651">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养殖场土壤环境质量标准</w:t>
            </w:r>
          </w:p>
        </w:tc>
        <w:tc>
          <w:tcPr>
            <w:tcW w:w="1884" w:type="dxa"/>
            <w:tcBorders>
              <w:tl2br w:val="nil"/>
              <w:tr2bl w:val="nil"/>
            </w:tcBorders>
            <w:noWrap w:val="0"/>
            <w:vAlign w:val="center"/>
          </w:tcPr>
          <w:p w14:paraId="310F87B9">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个/kg</w:t>
            </w:r>
          </w:p>
        </w:tc>
        <w:tc>
          <w:tcPr>
            <w:tcW w:w="4320" w:type="dxa"/>
            <w:tcBorders>
              <w:tl2br w:val="nil"/>
              <w:tr2bl w:val="nil"/>
            </w:tcBorders>
            <w:noWrap w:val="0"/>
            <w:vAlign w:val="center"/>
          </w:tcPr>
          <w:p w14:paraId="36140EC9">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w:t>
            </w:r>
          </w:p>
        </w:tc>
      </w:tr>
    </w:tbl>
    <w:p w14:paraId="14DCA9B3">
      <w:pPr>
        <w:keepNext w:val="0"/>
        <w:keepLines w:val="0"/>
        <w:widowControl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5</w:t>
      </w:r>
      <w:r>
        <w:rPr>
          <w:rFonts w:hint="default" w:ascii="Times New Roman" w:hAnsi="Times New Roman" w:eastAsia="宋体" w:cs="Times New Roman"/>
          <w:b/>
          <w:bCs/>
          <w:kern w:val="2"/>
          <w:sz w:val="28"/>
          <w:szCs w:val="28"/>
          <w:lang w:val="en-US" w:eastAsia="zh-CN" w:bidi="ar-SA"/>
        </w:rPr>
        <w:t>.2污染物排放标准</w:t>
      </w:r>
      <w:bookmarkEnd w:id="210"/>
      <w:bookmarkEnd w:id="211"/>
    </w:p>
    <w:p w14:paraId="006A4AFE">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.2.1废气</w:t>
      </w:r>
    </w:p>
    <w:p w14:paraId="3550273C">
      <w:pPr>
        <w:widowControl/>
        <w:spacing w:line="360" w:lineRule="auto"/>
        <w:ind w:firstLine="420" w:firstLineChars="200"/>
        <w:rPr>
          <w:rFonts w:hint="default" w:ascii="Times New Roman" w:hAnsi="Times New Roman" w:eastAsia="宋体" w:cs="Times New Roman"/>
          <w:b/>
          <w:bCs w:val="0"/>
          <w:sz w:val="24"/>
          <w:szCs w:val="24"/>
          <w:lang w:eastAsia="zh-TW"/>
        </w:rPr>
      </w:pPr>
      <w:r>
        <w:rPr>
          <w:rFonts w:hint="default" w:ascii="Times New Roman" w:hAnsi="Times New Roman" w:eastAsia="宋体" w:cs="Times New Roman"/>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施工阶段产生的粉尘污染物排放执行《大气污染物综合排放标准》（GB16297</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1996）表2 新污染源大气污染物排放限值颗粒物无组织排放周界外浓度最高点1.0mg/m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，见表2</w:t>
      </w:r>
      <w:r>
        <w:rPr>
          <w:rFonts w:hint="default" w:ascii="Times New Roman" w:hAnsi="Times New Roman" w:eastAsia="宋体" w:cs="Times New Roman"/>
          <w:sz w:val="24"/>
          <w:szCs w:val="24"/>
          <w:lang w:val="en-US" w:eastAsia="zh-CN"/>
        </w:rPr>
        <w:t>.</w:t>
      </w: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w:t>
      </w:r>
    </w:p>
    <w:p w14:paraId="14309299">
      <w:pPr>
        <w:widowControl w:val="0"/>
        <w:spacing w:line="360" w:lineRule="auto"/>
        <w:jc w:val="center"/>
        <w:rPr>
          <w:rFonts w:hint="default" w:ascii="Times New Roman" w:hAnsi="Times New Roman" w:eastAsia="宋体" w:cs="Times New Roman"/>
          <w:b/>
          <w:bCs w:val="0"/>
          <w:kern w:val="2"/>
          <w:sz w:val="24"/>
          <w:szCs w:val="24"/>
          <w:lang w:val="en-US" w:eastAsia="zh-TW" w:bidi="ar-SA"/>
        </w:rPr>
      </w:pPr>
      <w:r>
        <w:rPr>
          <w:rFonts w:hint="default" w:ascii="Times New Roman" w:hAnsi="Times New Roman" w:eastAsia="宋体" w:cs="Times New Roman"/>
          <w:b/>
          <w:bCs w:val="0"/>
          <w:kern w:val="2"/>
          <w:sz w:val="24"/>
          <w:szCs w:val="24"/>
          <w:lang w:val="en-US" w:eastAsia="zh-TW" w:bidi="ar-SA"/>
        </w:rPr>
        <w:t>表</w:t>
      </w: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TW" w:bidi="ar-SA"/>
        </w:rPr>
        <w:t>项目大气污染</w:t>
      </w:r>
      <w:r>
        <w:rPr>
          <w:rFonts w:hint="eastAsia" w:cs="Times New Roman"/>
          <w:b/>
          <w:bCs w:val="0"/>
          <w:kern w:val="2"/>
          <w:sz w:val="24"/>
          <w:szCs w:val="24"/>
          <w:lang w:val="en-US" w:eastAsia="zh-CN" w:bidi="ar-SA"/>
        </w:rPr>
        <w:t>物排放限值</w:t>
      </w:r>
      <w:r>
        <w:rPr>
          <w:rFonts w:hint="default" w:ascii="Times New Roman" w:hAnsi="Times New Roman" w:eastAsia="宋体" w:cs="Times New Roman"/>
          <w:b/>
          <w:bCs w:val="0"/>
          <w:kern w:val="2"/>
          <w:sz w:val="24"/>
          <w:szCs w:val="24"/>
          <w:lang w:val="en-US" w:eastAsia="zh-TW" w:bidi="ar-SA"/>
        </w:rPr>
        <w:t>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4812"/>
        <w:gridCol w:w="2313"/>
      </w:tblGrid>
      <w:tr w14:paraId="5B3D82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9" w:type="dxa"/>
            <w:tcBorders>
              <w:tl2br w:val="nil"/>
              <w:tr2bl w:val="nil"/>
            </w:tcBorders>
            <w:noWrap w:val="0"/>
            <w:vAlign w:val="center"/>
          </w:tcPr>
          <w:p w14:paraId="77568F53">
            <w:pPr>
              <w:keepNext w:val="0"/>
              <w:keepLines w:val="0"/>
              <w:pageBreakBefore w:val="0"/>
              <w:widowControl/>
              <w:kinsoku/>
              <w:wordWrap/>
              <w:overflowPunct/>
              <w:topLinePunct w:val="0"/>
              <w:autoSpaceDE/>
              <w:autoSpaceDN/>
              <w:bidi w:val="0"/>
              <w:adjustRightInd/>
              <w:snapToGrid/>
              <w:spacing w:after="0" w:line="400" w:lineRule="exact"/>
              <w:ind w:firstLine="105" w:firstLineChars="50"/>
              <w:jc w:val="center"/>
              <w:textAlignment w:val="auto"/>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污染物名称</w:t>
            </w:r>
          </w:p>
        </w:tc>
        <w:tc>
          <w:tcPr>
            <w:tcW w:w="4812" w:type="dxa"/>
            <w:tcBorders>
              <w:tl2br w:val="nil"/>
              <w:tr2bl w:val="nil"/>
            </w:tcBorders>
            <w:noWrap w:val="0"/>
            <w:vAlign w:val="center"/>
          </w:tcPr>
          <w:p w14:paraId="74B1D7AD">
            <w:pPr>
              <w:keepNext w:val="0"/>
              <w:keepLines w:val="0"/>
              <w:pageBreakBefore w:val="0"/>
              <w:widowControl/>
              <w:kinsoku/>
              <w:wordWrap/>
              <w:overflowPunct/>
              <w:topLinePunct w:val="0"/>
              <w:autoSpaceDE/>
              <w:autoSpaceDN/>
              <w:bidi w:val="0"/>
              <w:adjustRightInd/>
              <w:snapToGrid/>
              <w:spacing w:after="0" w:line="400" w:lineRule="exact"/>
              <w:ind w:firstLine="617" w:firstLineChars="294"/>
              <w:jc w:val="center"/>
              <w:textAlignment w:val="auto"/>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最高允许排放浓度（mg/m</w:t>
            </w:r>
            <w:r>
              <w:rPr>
                <w:rFonts w:hint="default" w:ascii="Times New Roman" w:hAnsi="Times New Roman" w:eastAsia="宋体" w:cs="Times New Roman"/>
                <w:b/>
                <w:kern w:val="2"/>
                <w:sz w:val="21"/>
                <w:szCs w:val="21"/>
                <w:vertAlign w:val="superscript"/>
                <w:lang w:val="en-US" w:eastAsia="zh-CN" w:bidi="ar-SA"/>
              </w:rPr>
              <w:t>3</w:t>
            </w:r>
            <w:r>
              <w:rPr>
                <w:rFonts w:hint="default" w:ascii="Times New Roman" w:hAnsi="Times New Roman" w:eastAsia="宋体" w:cs="Times New Roman"/>
                <w:b/>
                <w:kern w:val="2"/>
                <w:sz w:val="21"/>
                <w:szCs w:val="21"/>
                <w:lang w:val="en-US" w:eastAsia="zh-CN" w:bidi="ar-SA"/>
              </w:rPr>
              <w:t>）</w:t>
            </w:r>
          </w:p>
        </w:tc>
        <w:tc>
          <w:tcPr>
            <w:tcW w:w="2313" w:type="dxa"/>
            <w:tcBorders>
              <w:tl2br w:val="nil"/>
              <w:tr2bl w:val="nil"/>
            </w:tcBorders>
            <w:noWrap w:val="0"/>
            <w:vAlign w:val="center"/>
          </w:tcPr>
          <w:p w14:paraId="28383AD4">
            <w:pPr>
              <w:keepNext w:val="0"/>
              <w:keepLines w:val="0"/>
              <w:pageBreakBefore w:val="0"/>
              <w:widowControl/>
              <w:kinsoku/>
              <w:wordWrap/>
              <w:overflowPunct/>
              <w:topLinePunct w:val="0"/>
              <w:autoSpaceDE/>
              <w:autoSpaceDN/>
              <w:bidi w:val="0"/>
              <w:adjustRightInd/>
              <w:snapToGrid/>
              <w:spacing w:after="0" w:line="400" w:lineRule="exact"/>
              <w:ind w:firstLine="720" w:firstLineChars="343"/>
              <w:jc w:val="both"/>
              <w:textAlignment w:val="auto"/>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标准来源</w:t>
            </w:r>
          </w:p>
        </w:tc>
      </w:tr>
      <w:tr w14:paraId="68DCD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9" w:type="dxa"/>
            <w:tcBorders>
              <w:tl2br w:val="nil"/>
              <w:tr2bl w:val="nil"/>
            </w:tcBorders>
            <w:noWrap w:val="0"/>
            <w:vAlign w:val="center"/>
          </w:tcPr>
          <w:p w14:paraId="102B45B7">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施工粉尘</w:t>
            </w:r>
          </w:p>
        </w:tc>
        <w:tc>
          <w:tcPr>
            <w:tcW w:w="4812" w:type="dxa"/>
            <w:tcBorders>
              <w:tl2br w:val="nil"/>
              <w:tr2bl w:val="nil"/>
            </w:tcBorders>
            <w:noWrap w:val="0"/>
            <w:vAlign w:val="center"/>
          </w:tcPr>
          <w:p w14:paraId="7AAF3CA6">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无组织排放监控浓度限值（周界外浓度最高点）1.0</w:t>
            </w:r>
          </w:p>
        </w:tc>
        <w:tc>
          <w:tcPr>
            <w:tcW w:w="2313" w:type="dxa"/>
            <w:tcBorders>
              <w:tl2br w:val="nil"/>
              <w:tr2bl w:val="nil"/>
            </w:tcBorders>
            <w:noWrap w:val="0"/>
            <w:vAlign w:val="center"/>
          </w:tcPr>
          <w:p w14:paraId="23542215">
            <w:pPr>
              <w:keepNext w:val="0"/>
              <w:keepLines w:val="0"/>
              <w:pageBreakBefore w:val="0"/>
              <w:widowControl/>
              <w:kinsoku/>
              <w:wordWrap/>
              <w:overflowPunct/>
              <w:topLinePunct w:val="0"/>
              <w:autoSpaceDE/>
              <w:autoSpaceDN/>
              <w:bidi w:val="0"/>
              <w:adjustRightInd/>
              <w:snapToGrid/>
              <w:spacing w:after="0" w:line="400" w:lineRule="exact"/>
              <w:ind w:firstLine="199" w:firstLineChars="95"/>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《大气污染物综合排放标准》（GB16297-1996）</w:t>
            </w:r>
          </w:p>
        </w:tc>
      </w:tr>
    </w:tbl>
    <w:p w14:paraId="5C799CDF">
      <w:pPr>
        <w:widowControl/>
        <w:numPr>
          <w:ilvl w:val="0"/>
          <w:numId w:val="0"/>
        </w:numPr>
        <w:spacing w:line="360" w:lineRule="auto"/>
        <w:ind w:firstLine="480" w:firstLineChars="200"/>
        <w:rPr>
          <w:rFonts w:hint="default" w:ascii="Times New Roman" w:hAnsi="Times New Roman" w:eastAsia="宋体" w:cs="Times New Roman"/>
          <w:sz w:val="24"/>
          <w:szCs w:val="24"/>
          <w:highlight w:val="none"/>
          <w:lang w:eastAsia="zh-CN"/>
        </w:rPr>
      </w:pPr>
      <w:r>
        <w:rPr>
          <w:rFonts w:hint="eastAsia" w:cs="Times New Roman"/>
          <w:sz w:val="24"/>
          <w:szCs w:val="24"/>
          <w:highlight w:val="none"/>
          <w:lang w:eastAsia="zh-CN"/>
        </w:rPr>
        <w:t>（</w:t>
      </w:r>
      <w:r>
        <w:rPr>
          <w:rFonts w:hint="eastAsia" w:cs="Times New Roman"/>
          <w:sz w:val="24"/>
          <w:szCs w:val="24"/>
          <w:highlight w:val="none"/>
          <w:lang w:val="en-US" w:eastAsia="zh-CN"/>
        </w:rPr>
        <w:t>2</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lang w:eastAsia="zh-CN"/>
        </w:rPr>
        <w:t>本项目运营期废气污染源主要为</w:t>
      </w:r>
      <w:r>
        <w:rPr>
          <w:rFonts w:hint="default" w:ascii="Times New Roman" w:hAnsi="Times New Roman" w:eastAsia="宋体" w:cs="Times New Roman"/>
          <w:sz w:val="24"/>
          <w:szCs w:val="24"/>
          <w:highlight w:val="none"/>
          <w:lang w:val="en-US" w:eastAsia="zh-CN"/>
        </w:rPr>
        <w:t>养殖</w:t>
      </w:r>
      <w:r>
        <w:rPr>
          <w:rFonts w:hint="default" w:ascii="Times New Roman" w:hAnsi="Times New Roman" w:eastAsia="宋体" w:cs="Times New Roman"/>
          <w:sz w:val="24"/>
          <w:szCs w:val="24"/>
          <w:highlight w:val="none"/>
          <w:lang w:eastAsia="zh-CN"/>
        </w:rPr>
        <w:t>恶臭、</w:t>
      </w:r>
      <w:r>
        <w:rPr>
          <w:rFonts w:hint="default" w:ascii="Times New Roman" w:hAnsi="Times New Roman" w:eastAsia="宋体" w:cs="Times New Roman"/>
          <w:sz w:val="24"/>
          <w:szCs w:val="24"/>
          <w:highlight w:val="none"/>
          <w:lang w:val="en-US" w:eastAsia="zh-CN"/>
        </w:rPr>
        <w:t>饲料</w:t>
      </w:r>
      <w:r>
        <w:rPr>
          <w:rFonts w:hint="eastAsia" w:cs="Times New Roman"/>
          <w:sz w:val="24"/>
          <w:szCs w:val="24"/>
          <w:highlight w:val="none"/>
          <w:lang w:val="en-US" w:eastAsia="zh-CN"/>
        </w:rPr>
        <w:t>加工</w:t>
      </w:r>
      <w:r>
        <w:rPr>
          <w:rFonts w:hint="default" w:ascii="Times New Roman" w:hAnsi="Times New Roman" w:eastAsia="宋体" w:cs="Times New Roman"/>
          <w:sz w:val="24"/>
          <w:szCs w:val="24"/>
          <w:highlight w:val="none"/>
          <w:lang w:val="en-US" w:eastAsia="zh-CN"/>
        </w:rPr>
        <w:t>粉尘</w:t>
      </w:r>
      <w:r>
        <w:rPr>
          <w:rFonts w:hint="eastAsia" w:cs="Times New Roman"/>
          <w:sz w:val="24"/>
          <w:szCs w:val="24"/>
          <w:highlight w:val="none"/>
          <w:lang w:val="en-US" w:eastAsia="zh-CN"/>
        </w:rPr>
        <w:t>、饲料撒料粉尘</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堆肥废气</w:t>
      </w:r>
      <w:r>
        <w:rPr>
          <w:rFonts w:hint="default" w:ascii="Times New Roman" w:hAnsi="Times New Roman" w:eastAsia="宋体" w:cs="Times New Roman"/>
          <w:sz w:val="24"/>
          <w:szCs w:val="24"/>
          <w:highlight w:val="none"/>
          <w:lang w:eastAsia="zh-CN"/>
        </w:rPr>
        <w:t>。</w:t>
      </w:r>
    </w:p>
    <w:p w14:paraId="03245553">
      <w:pPr>
        <w:overflowPunct w:val="0"/>
        <w:autoSpaceDE w:val="0"/>
        <w:autoSpaceDN w:val="0"/>
        <w:bidi w:val="0"/>
        <w:adjustRightInd w:val="0"/>
        <w:snapToGrid w:val="0"/>
        <w:spacing w:before="0" w:after="0" w:line="360" w:lineRule="auto"/>
        <w:ind w:left="0" w:right="0" w:firstLine="480" w:firstLineChars="200"/>
        <w:jc w:val="both"/>
        <w:rPr>
          <w:rFonts w:hint="default"/>
          <w:lang w:val="en-US" w:eastAsia="zh-CN"/>
        </w:rPr>
      </w:pPr>
      <w:r>
        <w:rPr>
          <w:rFonts w:hint="eastAsia" w:cs="Times New Roman"/>
          <w:sz w:val="24"/>
          <w:szCs w:val="24"/>
          <w:lang w:val="en-US" w:eastAsia="zh-CN"/>
        </w:rPr>
        <w:t>粪便、发酵垫料卸料、翻抛废气有组织排放的颗粒物执行</w:t>
      </w:r>
      <w:r>
        <w:rPr>
          <w:rFonts w:hint="eastAsia" w:ascii="Times New Roman" w:hAnsi="Times New Roman" w:eastAsia="宋体" w:cs="宋体"/>
          <w:color w:val="auto"/>
          <w:kern w:val="0"/>
          <w:sz w:val="24"/>
          <w:szCs w:val="22"/>
          <w:lang w:val="en-US" w:eastAsia="zh-CN"/>
        </w:rPr>
        <w:t>《大气污染物综合排放标准》（GB 16297-1996）表2 新污染源大气污染物排放限值</w:t>
      </w:r>
      <w:r>
        <w:rPr>
          <w:rFonts w:hint="eastAsia" w:cs="宋体"/>
          <w:color w:val="auto"/>
          <w:kern w:val="0"/>
          <w:sz w:val="24"/>
          <w:szCs w:val="22"/>
          <w:lang w:val="en-US" w:eastAsia="zh-CN"/>
        </w:rPr>
        <w:t>；恶臭污染物氨、硫化氢、臭气浓度执行《恶臭污染物排放标准》（GB14554-93）表2 恶臭污染物排放标准值。</w:t>
      </w:r>
    </w:p>
    <w:p w14:paraId="6CA712EB">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饲料加工</w:t>
      </w:r>
      <w:r>
        <w:rPr>
          <w:rFonts w:hint="eastAsia" w:cs="Times New Roman"/>
          <w:sz w:val="24"/>
          <w:szCs w:val="24"/>
          <w:lang w:val="en-US" w:eastAsia="zh-CN"/>
        </w:rPr>
        <w:t>有组织排放的颗粒物执行</w:t>
      </w:r>
      <w:r>
        <w:rPr>
          <w:rFonts w:hint="eastAsia" w:ascii="Times New Roman" w:hAnsi="Times New Roman" w:eastAsia="宋体" w:cs="宋体"/>
          <w:color w:val="auto"/>
          <w:kern w:val="0"/>
          <w:sz w:val="24"/>
          <w:szCs w:val="22"/>
          <w:lang w:val="en-US" w:eastAsia="zh-CN"/>
        </w:rPr>
        <w:t>《大气污染物综合排放标准》（GB 16297-1996）表2 新污染源大气污染物排放限值</w:t>
      </w:r>
      <w:r>
        <w:rPr>
          <w:rFonts w:hint="eastAsia" w:cs="宋体"/>
          <w:color w:val="auto"/>
          <w:kern w:val="0"/>
          <w:sz w:val="24"/>
          <w:szCs w:val="22"/>
          <w:lang w:val="en-US" w:eastAsia="zh-CN"/>
        </w:rPr>
        <w:t>。</w:t>
      </w:r>
    </w:p>
    <w:p w14:paraId="582E9397">
      <w:pPr>
        <w:overflowPunct w:val="0"/>
        <w:autoSpaceDE w:val="0"/>
        <w:autoSpaceDN w:val="0"/>
        <w:bidi w:val="0"/>
        <w:adjustRightInd w:val="0"/>
        <w:snapToGrid w:val="0"/>
        <w:spacing w:before="0" w:after="0" w:line="360" w:lineRule="auto"/>
        <w:ind w:left="0" w:right="0" w:firstLine="480" w:firstLineChars="200"/>
        <w:jc w:val="both"/>
        <w:rPr>
          <w:rFonts w:hint="eastAsia"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厂界无组织排放的颗粒物执行《大气污染物综合排放标准》（GB 16297-1996）表2 新污染源大气污染物排放限值</w:t>
      </w:r>
      <w:r>
        <w:rPr>
          <w:rFonts w:hint="eastAsia" w:ascii="Times New Roman" w:hAnsi="Times New Roman" w:eastAsia="宋体" w:cs="宋体"/>
          <w:color w:val="000000"/>
          <w:kern w:val="0"/>
          <w:sz w:val="24"/>
          <w:szCs w:val="22"/>
          <w:lang w:val="en-US" w:eastAsia="zh-CN"/>
        </w:rPr>
        <w:t>。</w:t>
      </w:r>
    </w:p>
    <w:p w14:paraId="11687464">
      <w:pPr>
        <w:widowControl w:val="0"/>
        <w:overflowPunct w:val="0"/>
        <w:autoSpaceDE w:val="0"/>
        <w:autoSpaceDN w:val="0"/>
        <w:bidi w:val="0"/>
        <w:adjustRightInd w:val="0"/>
        <w:snapToGrid w:val="0"/>
        <w:spacing w:line="360" w:lineRule="auto"/>
        <w:ind w:firstLine="0" w:firstLineChars="0"/>
        <w:jc w:val="center"/>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表</w:t>
      </w:r>
      <w:r>
        <w:rPr>
          <w:rFonts w:hint="eastAsia" w:ascii="Times New Roman" w:hAnsi="Times New Roman" w:eastAsia="宋体" w:cs="Times New Roman"/>
          <w:b/>
          <w:color w:val="auto"/>
          <w:kern w:val="2"/>
          <w:sz w:val="24"/>
          <w:szCs w:val="24"/>
          <w:lang w:val="en-US" w:eastAsia="zh-CN" w:bidi="ar-SA"/>
        </w:rPr>
        <w:t>2.</w:t>
      </w:r>
      <w:r>
        <w:rPr>
          <w:rFonts w:hint="eastAsia" w:cs="Times New Roman"/>
          <w:b/>
          <w:color w:val="auto"/>
          <w:kern w:val="2"/>
          <w:sz w:val="24"/>
          <w:szCs w:val="24"/>
          <w:lang w:val="en-US" w:eastAsia="zh-CN" w:bidi="ar-SA"/>
        </w:rPr>
        <w:t>5</w:t>
      </w:r>
      <w:r>
        <w:rPr>
          <w:rFonts w:hint="eastAsia" w:ascii="Times New Roman" w:hAnsi="Times New Roman" w:eastAsia="宋体" w:cs="Times New Roman"/>
          <w:b/>
          <w:color w:val="auto"/>
          <w:kern w:val="2"/>
          <w:sz w:val="24"/>
          <w:szCs w:val="24"/>
          <w:lang w:val="en-US" w:eastAsia="zh-CN" w:bidi="ar-SA"/>
        </w:rPr>
        <w:t>-</w:t>
      </w:r>
      <w:r>
        <w:rPr>
          <w:rFonts w:hint="eastAsia" w:cs="Times New Roman"/>
          <w:b/>
          <w:color w:val="auto"/>
          <w:kern w:val="2"/>
          <w:sz w:val="24"/>
          <w:szCs w:val="24"/>
          <w:lang w:val="en-US" w:eastAsia="zh-CN" w:bidi="ar-SA"/>
        </w:rPr>
        <w:t>6</w:t>
      </w:r>
      <w:r>
        <w:rPr>
          <w:rFonts w:hint="default" w:ascii="Times New Roman" w:hAnsi="Times New Roman" w:eastAsia="宋体" w:cs="Times New Roman"/>
          <w:b/>
          <w:color w:val="auto"/>
          <w:kern w:val="2"/>
          <w:sz w:val="24"/>
          <w:szCs w:val="24"/>
          <w:lang w:val="en-US" w:eastAsia="zh-CN" w:bidi="ar-SA"/>
        </w:rPr>
        <w:t>大气污染物排放所执行的标准</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7"/>
        <w:gridCol w:w="809"/>
        <w:gridCol w:w="804"/>
        <w:gridCol w:w="1205"/>
        <w:gridCol w:w="1125"/>
        <w:gridCol w:w="2994"/>
      </w:tblGrid>
      <w:tr w14:paraId="006F3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67" w:type="dxa"/>
            <w:noWrap w:val="0"/>
            <w:vAlign w:val="center"/>
          </w:tcPr>
          <w:p w14:paraId="30D9E5AF">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污染源</w:t>
            </w:r>
          </w:p>
        </w:tc>
        <w:tc>
          <w:tcPr>
            <w:tcW w:w="1613" w:type="dxa"/>
            <w:gridSpan w:val="2"/>
            <w:noWrap w:val="0"/>
            <w:vAlign w:val="center"/>
          </w:tcPr>
          <w:p w14:paraId="5B7FEB9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污染物</w:t>
            </w:r>
          </w:p>
        </w:tc>
        <w:tc>
          <w:tcPr>
            <w:tcW w:w="1205" w:type="dxa"/>
            <w:noWrap w:val="0"/>
            <w:vAlign w:val="center"/>
          </w:tcPr>
          <w:p w14:paraId="3FF10E75">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排放浓度mg/</w:t>
            </w:r>
            <w:r>
              <w:rPr>
                <w:rFonts w:hint="eastAsia" w:ascii="Times New Roman" w:hAnsi="Times New Roman" w:eastAsia="宋体" w:cs="Times New Roman"/>
                <w:b/>
                <w:bCs/>
                <w:color w:val="auto"/>
                <w:kern w:val="2"/>
                <w:sz w:val="21"/>
                <w:szCs w:val="21"/>
                <w:lang w:val="en-US" w:eastAsia="zh-CN" w:bidi="ar-SA"/>
              </w:rPr>
              <w:t>m</w:t>
            </w:r>
            <w:r>
              <w:rPr>
                <w:rFonts w:hint="eastAsia" w:ascii="Times New Roman" w:hAnsi="Times New Roman" w:eastAsia="宋体" w:cs="Times New Roman"/>
                <w:b/>
                <w:bCs/>
                <w:color w:val="auto"/>
                <w:kern w:val="2"/>
                <w:sz w:val="21"/>
                <w:szCs w:val="21"/>
                <w:vertAlign w:val="superscript"/>
                <w:lang w:val="en-US" w:eastAsia="zh-CN" w:bidi="ar-SA"/>
              </w:rPr>
              <w:t>3</w:t>
            </w:r>
          </w:p>
        </w:tc>
        <w:tc>
          <w:tcPr>
            <w:tcW w:w="1125" w:type="dxa"/>
            <w:noWrap w:val="0"/>
            <w:vAlign w:val="center"/>
          </w:tcPr>
          <w:p w14:paraId="79726CF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排放速率kg/h</w:t>
            </w:r>
          </w:p>
        </w:tc>
        <w:tc>
          <w:tcPr>
            <w:tcW w:w="2994" w:type="dxa"/>
            <w:noWrap w:val="0"/>
            <w:vAlign w:val="center"/>
          </w:tcPr>
          <w:p w14:paraId="1FE9E9F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标准来源</w:t>
            </w:r>
          </w:p>
        </w:tc>
      </w:tr>
      <w:tr w14:paraId="4CF2F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restart"/>
            <w:noWrap w:val="0"/>
            <w:vAlign w:val="center"/>
          </w:tcPr>
          <w:p w14:paraId="50C436F4">
            <w:pPr>
              <w:widowControl w:val="0"/>
              <w:autoSpaceDE w:val="0"/>
              <w:autoSpaceDN w:val="0"/>
              <w:spacing w:line="240" w:lineRule="auto"/>
              <w:ind w:left="0" w:leftChars="0" w:firstLine="0" w:firstLineChars="0"/>
              <w:jc w:val="center"/>
              <w:rPr>
                <w:rFonts w:hint="default" w:ascii="Times New Roman" w:hAnsi="Times New Roman" w:eastAsia="宋体" w:cs="宋体"/>
                <w:color w:val="auto"/>
                <w:kern w:val="0"/>
                <w:sz w:val="21"/>
                <w:szCs w:val="22"/>
                <w:lang w:val="en-US" w:eastAsia="zh-CN" w:bidi="ar-SA"/>
              </w:rPr>
            </w:pPr>
            <w:r>
              <w:rPr>
                <w:rFonts w:hint="eastAsia" w:cs="宋体"/>
                <w:color w:val="auto"/>
                <w:kern w:val="0"/>
                <w:sz w:val="21"/>
                <w:szCs w:val="22"/>
                <w:lang w:val="en-US" w:eastAsia="zh-CN" w:bidi="ar-SA"/>
              </w:rPr>
              <w:t>堆肥间排放口（DA001）</w:t>
            </w:r>
          </w:p>
        </w:tc>
        <w:tc>
          <w:tcPr>
            <w:tcW w:w="809" w:type="dxa"/>
            <w:vMerge w:val="restart"/>
            <w:noWrap w:val="0"/>
            <w:vAlign w:val="center"/>
          </w:tcPr>
          <w:p w14:paraId="15AD0E3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宋体"/>
                <w:color w:val="auto"/>
                <w:kern w:val="0"/>
                <w:sz w:val="21"/>
                <w:szCs w:val="22"/>
                <w:lang w:val="en-US" w:eastAsia="zh-CN" w:bidi="ar-SA"/>
              </w:rPr>
              <w:t>有组织</w:t>
            </w:r>
          </w:p>
        </w:tc>
        <w:tc>
          <w:tcPr>
            <w:tcW w:w="804" w:type="dxa"/>
            <w:noWrap w:val="0"/>
            <w:vAlign w:val="center"/>
          </w:tcPr>
          <w:p w14:paraId="71E36EFB">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氨</w:t>
            </w:r>
          </w:p>
        </w:tc>
        <w:tc>
          <w:tcPr>
            <w:tcW w:w="1205" w:type="dxa"/>
            <w:noWrap w:val="0"/>
            <w:vAlign w:val="center"/>
          </w:tcPr>
          <w:p w14:paraId="6405C30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125" w:type="dxa"/>
            <w:noWrap w:val="0"/>
            <w:vAlign w:val="center"/>
          </w:tcPr>
          <w:p w14:paraId="64430881">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4.9</w:t>
            </w:r>
          </w:p>
        </w:tc>
        <w:tc>
          <w:tcPr>
            <w:tcW w:w="2994" w:type="dxa"/>
            <w:vMerge w:val="restart"/>
            <w:noWrap w:val="0"/>
            <w:vAlign w:val="center"/>
          </w:tcPr>
          <w:p w14:paraId="0CE0D36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《恶臭污染物排放标准》（GB14554-93）表2 恶臭污染物排放标准值</w:t>
            </w:r>
          </w:p>
        </w:tc>
      </w:tr>
      <w:tr w14:paraId="63B84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continue"/>
            <w:noWrap w:val="0"/>
            <w:vAlign w:val="center"/>
          </w:tcPr>
          <w:p w14:paraId="186E3D05">
            <w:pPr>
              <w:widowControl w:val="0"/>
              <w:autoSpaceDE w:val="0"/>
              <w:autoSpaceDN w:val="0"/>
              <w:spacing w:line="240" w:lineRule="auto"/>
              <w:ind w:left="0" w:leftChars="0" w:firstLine="0" w:firstLineChars="0"/>
              <w:jc w:val="center"/>
              <w:rPr>
                <w:rFonts w:hint="eastAsia" w:ascii="Times New Roman" w:hAnsi="Times New Roman" w:eastAsia="宋体" w:cs="宋体"/>
                <w:color w:val="auto"/>
                <w:kern w:val="0"/>
                <w:sz w:val="21"/>
                <w:szCs w:val="22"/>
                <w:lang w:val="en-US" w:eastAsia="zh-CN" w:bidi="ar-SA"/>
              </w:rPr>
            </w:pPr>
          </w:p>
        </w:tc>
        <w:tc>
          <w:tcPr>
            <w:tcW w:w="809" w:type="dxa"/>
            <w:vMerge w:val="continue"/>
            <w:noWrap w:val="0"/>
            <w:vAlign w:val="center"/>
          </w:tcPr>
          <w:p w14:paraId="0FAA09B6">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p>
        </w:tc>
        <w:tc>
          <w:tcPr>
            <w:tcW w:w="804" w:type="dxa"/>
            <w:noWrap w:val="0"/>
            <w:vAlign w:val="center"/>
          </w:tcPr>
          <w:p w14:paraId="2972FE57">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硫化氢</w:t>
            </w:r>
          </w:p>
        </w:tc>
        <w:tc>
          <w:tcPr>
            <w:tcW w:w="1205" w:type="dxa"/>
            <w:noWrap w:val="0"/>
            <w:vAlign w:val="center"/>
          </w:tcPr>
          <w:p w14:paraId="5E48612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125" w:type="dxa"/>
            <w:noWrap w:val="0"/>
            <w:vAlign w:val="center"/>
          </w:tcPr>
          <w:p w14:paraId="167628E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0.33</w:t>
            </w:r>
          </w:p>
        </w:tc>
        <w:tc>
          <w:tcPr>
            <w:tcW w:w="2994" w:type="dxa"/>
            <w:vMerge w:val="continue"/>
            <w:noWrap w:val="0"/>
            <w:vAlign w:val="center"/>
          </w:tcPr>
          <w:p w14:paraId="7E0921BE">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kern w:val="2"/>
                <w:sz w:val="21"/>
                <w:szCs w:val="21"/>
                <w:lang w:val="en-US" w:eastAsia="zh-CN" w:bidi="ar-SA"/>
              </w:rPr>
            </w:pPr>
          </w:p>
        </w:tc>
      </w:tr>
      <w:tr w14:paraId="400E1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continue"/>
            <w:noWrap w:val="0"/>
            <w:vAlign w:val="center"/>
          </w:tcPr>
          <w:p w14:paraId="0A5ED07C">
            <w:pPr>
              <w:widowControl w:val="0"/>
              <w:autoSpaceDE w:val="0"/>
              <w:autoSpaceDN w:val="0"/>
              <w:spacing w:line="240" w:lineRule="auto"/>
              <w:ind w:left="0" w:leftChars="0" w:firstLine="0" w:firstLineChars="0"/>
              <w:jc w:val="center"/>
              <w:rPr>
                <w:rFonts w:hint="eastAsia" w:ascii="Times New Roman" w:hAnsi="Times New Roman" w:eastAsia="宋体" w:cs="宋体"/>
                <w:color w:val="auto"/>
                <w:kern w:val="0"/>
                <w:sz w:val="21"/>
                <w:szCs w:val="22"/>
                <w:lang w:val="en-US" w:eastAsia="zh-CN" w:bidi="ar-SA"/>
              </w:rPr>
            </w:pPr>
          </w:p>
        </w:tc>
        <w:tc>
          <w:tcPr>
            <w:tcW w:w="809" w:type="dxa"/>
            <w:vMerge w:val="continue"/>
            <w:noWrap w:val="0"/>
            <w:vAlign w:val="center"/>
          </w:tcPr>
          <w:p w14:paraId="3E293989">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p>
        </w:tc>
        <w:tc>
          <w:tcPr>
            <w:tcW w:w="804" w:type="dxa"/>
            <w:noWrap w:val="0"/>
            <w:vAlign w:val="center"/>
          </w:tcPr>
          <w:p w14:paraId="540A191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臭气浓度</w:t>
            </w:r>
          </w:p>
        </w:tc>
        <w:tc>
          <w:tcPr>
            <w:tcW w:w="1205" w:type="dxa"/>
            <w:noWrap w:val="0"/>
            <w:vAlign w:val="center"/>
          </w:tcPr>
          <w:p w14:paraId="385588B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125" w:type="dxa"/>
            <w:noWrap w:val="0"/>
            <w:vAlign w:val="center"/>
          </w:tcPr>
          <w:p w14:paraId="13C1A6D4">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2000</w:t>
            </w:r>
            <w:r>
              <w:rPr>
                <w:rFonts w:hint="eastAsia" w:cs="Times New Roman"/>
                <w:color w:val="auto"/>
                <w:kern w:val="2"/>
                <w:sz w:val="21"/>
                <w:szCs w:val="21"/>
                <w:lang w:val="en-US" w:eastAsia="zh-CN" w:bidi="ar-SA"/>
              </w:rPr>
              <w:t>（无量纲）</w:t>
            </w:r>
          </w:p>
        </w:tc>
        <w:tc>
          <w:tcPr>
            <w:tcW w:w="2994" w:type="dxa"/>
            <w:vMerge w:val="continue"/>
            <w:noWrap w:val="0"/>
            <w:vAlign w:val="center"/>
          </w:tcPr>
          <w:p w14:paraId="0D85A842">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kern w:val="2"/>
                <w:sz w:val="21"/>
                <w:szCs w:val="21"/>
                <w:lang w:val="en-US" w:eastAsia="zh-CN" w:bidi="ar-SA"/>
              </w:rPr>
            </w:pPr>
          </w:p>
        </w:tc>
      </w:tr>
      <w:tr w14:paraId="1761C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continue"/>
            <w:noWrap w:val="0"/>
            <w:vAlign w:val="center"/>
          </w:tcPr>
          <w:p w14:paraId="5DC7335E">
            <w:pPr>
              <w:widowControl w:val="0"/>
              <w:autoSpaceDE w:val="0"/>
              <w:autoSpaceDN w:val="0"/>
              <w:spacing w:line="240" w:lineRule="auto"/>
              <w:ind w:left="0" w:leftChars="0" w:firstLine="0" w:firstLineChars="0"/>
              <w:jc w:val="center"/>
              <w:rPr>
                <w:rFonts w:hint="eastAsia" w:ascii="Times New Roman" w:hAnsi="Times New Roman" w:eastAsia="宋体" w:cs="宋体"/>
                <w:color w:val="auto"/>
                <w:kern w:val="0"/>
                <w:sz w:val="21"/>
                <w:szCs w:val="22"/>
                <w:lang w:val="en-US" w:eastAsia="zh-CN" w:bidi="ar-SA"/>
              </w:rPr>
            </w:pPr>
          </w:p>
        </w:tc>
        <w:tc>
          <w:tcPr>
            <w:tcW w:w="809" w:type="dxa"/>
            <w:vMerge w:val="continue"/>
            <w:noWrap w:val="0"/>
            <w:vAlign w:val="center"/>
          </w:tcPr>
          <w:p w14:paraId="7C662DC5">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p>
        </w:tc>
        <w:tc>
          <w:tcPr>
            <w:tcW w:w="804" w:type="dxa"/>
            <w:vMerge w:val="restart"/>
            <w:noWrap w:val="0"/>
            <w:vAlign w:val="center"/>
          </w:tcPr>
          <w:p w14:paraId="486A9792">
            <w:pPr>
              <w:widowControl w:val="0"/>
              <w:overflowPunct w:val="0"/>
              <w:autoSpaceDE w:val="0"/>
              <w:autoSpaceDN w:val="0"/>
              <w:bidi w:val="0"/>
              <w:adjustRightInd w:val="0"/>
              <w:snapToGrid w:val="0"/>
              <w:spacing w:line="320" w:lineRule="exact"/>
              <w:ind w:firstLine="0" w:firstLineChars="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颗粒物</w:t>
            </w:r>
          </w:p>
        </w:tc>
        <w:tc>
          <w:tcPr>
            <w:tcW w:w="1205" w:type="dxa"/>
            <w:vMerge w:val="restart"/>
            <w:noWrap w:val="0"/>
            <w:vAlign w:val="center"/>
          </w:tcPr>
          <w:p w14:paraId="7DEE7F3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120</w:t>
            </w:r>
          </w:p>
        </w:tc>
        <w:tc>
          <w:tcPr>
            <w:tcW w:w="1125" w:type="dxa"/>
            <w:vMerge w:val="restart"/>
            <w:noWrap w:val="0"/>
            <w:vAlign w:val="center"/>
          </w:tcPr>
          <w:p w14:paraId="12F31D77">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3.5</w:t>
            </w:r>
          </w:p>
        </w:tc>
        <w:tc>
          <w:tcPr>
            <w:tcW w:w="2994" w:type="dxa"/>
            <w:vMerge w:val="restart"/>
            <w:noWrap w:val="0"/>
            <w:vAlign w:val="center"/>
          </w:tcPr>
          <w:p w14:paraId="5FC5321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kern w:val="2"/>
                <w:sz w:val="21"/>
                <w:szCs w:val="21"/>
                <w:lang w:val="en-US" w:eastAsia="zh-CN" w:bidi="ar-SA"/>
              </w:rPr>
              <w:t>《大气污染物综合排放标准》（GB 16297-1996）表2 新污染源大气污染物排放限值</w:t>
            </w:r>
          </w:p>
        </w:tc>
      </w:tr>
      <w:tr w14:paraId="30AB1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noWrap w:val="0"/>
            <w:vAlign w:val="center"/>
          </w:tcPr>
          <w:p w14:paraId="518FC0C4">
            <w:pPr>
              <w:widowControl w:val="0"/>
              <w:autoSpaceDE w:val="0"/>
              <w:autoSpaceDN w:val="0"/>
              <w:spacing w:line="240" w:lineRule="auto"/>
              <w:ind w:left="0" w:leftChars="0" w:firstLine="0" w:firstLineChars="0"/>
              <w:jc w:val="center"/>
              <w:rPr>
                <w:rFonts w:hint="eastAsia" w:ascii="Times New Roman" w:hAnsi="Times New Roman" w:eastAsia="宋体" w:cs="宋体"/>
                <w:color w:val="auto"/>
                <w:kern w:val="0"/>
                <w:sz w:val="21"/>
                <w:szCs w:val="22"/>
                <w:lang w:val="en-US" w:eastAsia="zh-CN" w:bidi="ar-SA"/>
              </w:rPr>
            </w:pPr>
            <w:r>
              <w:rPr>
                <w:rFonts w:hint="eastAsia" w:cs="Times New Roman"/>
                <w:color w:val="auto"/>
                <w:kern w:val="0"/>
                <w:sz w:val="21"/>
                <w:szCs w:val="21"/>
                <w:highlight w:val="none"/>
                <w:lang w:val="en-US" w:eastAsia="zh-CN"/>
              </w:rPr>
              <w:t>饲料加工区</w:t>
            </w:r>
            <w:r>
              <w:rPr>
                <w:rFonts w:hint="eastAsia" w:ascii="Times New Roman" w:hAnsi="Times New Roman" w:cs="Times New Roman"/>
                <w:color w:val="auto"/>
                <w:kern w:val="0"/>
                <w:sz w:val="21"/>
                <w:szCs w:val="21"/>
                <w:highlight w:val="none"/>
                <w:lang w:val="en-US" w:eastAsia="zh-CN"/>
              </w:rPr>
              <w:t>排放口（</w:t>
            </w:r>
            <w:r>
              <w:rPr>
                <w:rFonts w:hint="eastAsia" w:cs="宋体"/>
                <w:color w:val="auto"/>
                <w:kern w:val="0"/>
                <w:sz w:val="21"/>
                <w:szCs w:val="22"/>
                <w:lang w:val="en-US" w:eastAsia="zh-CN" w:bidi="ar-SA"/>
              </w:rPr>
              <w:t>DA002</w:t>
            </w:r>
            <w:r>
              <w:rPr>
                <w:rFonts w:hint="eastAsia" w:ascii="Times New Roman" w:hAnsi="Times New Roman" w:cs="Times New Roman"/>
                <w:color w:val="auto"/>
                <w:kern w:val="0"/>
                <w:sz w:val="21"/>
                <w:szCs w:val="21"/>
                <w:highlight w:val="none"/>
                <w:lang w:val="en-US" w:eastAsia="zh-CN"/>
              </w:rPr>
              <w:t>）</w:t>
            </w:r>
          </w:p>
        </w:tc>
        <w:tc>
          <w:tcPr>
            <w:tcW w:w="809" w:type="dxa"/>
            <w:vMerge w:val="continue"/>
            <w:noWrap w:val="0"/>
            <w:vAlign w:val="center"/>
          </w:tcPr>
          <w:p w14:paraId="61E0DAB6">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auto"/>
                <w:kern w:val="2"/>
                <w:sz w:val="21"/>
                <w:szCs w:val="21"/>
                <w:lang w:val="en-US" w:eastAsia="zh-CN" w:bidi="ar-SA"/>
              </w:rPr>
            </w:pPr>
          </w:p>
        </w:tc>
        <w:tc>
          <w:tcPr>
            <w:tcW w:w="804" w:type="dxa"/>
            <w:vMerge w:val="continue"/>
            <w:noWrap w:val="0"/>
            <w:vAlign w:val="center"/>
          </w:tcPr>
          <w:p w14:paraId="08642A0B">
            <w:pPr>
              <w:widowControl w:val="0"/>
              <w:overflowPunct w:val="0"/>
              <w:autoSpaceDE w:val="0"/>
              <w:autoSpaceDN w:val="0"/>
              <w:bidi w:val="0"/>
              <w:adjustRightInd w:val="0"/>
              <w:snapToGrid w:val="0"/>
              <w:spacing w:line="320" w:lineRule="exact"/>
              <w:ind w:firstLine="0" w:firstLineChars="0"/>
              <w:jc w:val="center"/>
              <w:rPr>
                <w:rFonts w:hint="eastAsia" w:cs="Times New Roman"/>
                <w:color w:val="auto"/>
                <w:kern w:val="2"/>
                <w:sz w:val="21"/>
                <w:szCs w:val="21"/>
                <w:lang w:val="en-US" w:eastAsia="zh-CN" w:bidi="ar-SA"/>
              </w:rPr>
            </w:pPr>
          </w:p>
        </w:tc>
        <w:tc>
          <w:tcPr>
            <w:tcW w:w="1205" w:type="dxa"/>
            <w:vMerge w:val="continue"/>
            <w:noWrap w:val="0"/>
            <w:vAlign w:val="center"/>
          </w:tcPr>
          <w:p w14:paraId="46F104B5">
            <w:pPr>
              <w:widowControl w:val="0"/>
              <w:overflowPunct w:val="0"/>
              <w:autoSpaceDE w:val="0"/>
              <w:autoSpaceDN w:val="0"/>
              <w:bidi w:val="0"/>
              <w:adjustRightInd w:val="0"/>
              <w:snapToGrid w:val="0"/>
              <w:spacing w:line="320" w:lineRule="exact"/>
              <w:ind w:firstLine="0" w:firstLineChars="0"/>
              <w:jc w:val="center"/>
              <w:rPr>
                <w:rFonts w:hint="eastAsia" w:cs="Times New Roman"/>
                <w:color w:val="auto"/>
                <w:kern w:val="2"/>
                <w:sz w:val="21"/>
                <w:szCs w:val="21"/>
                <w:lang w:val="en-US" w:eastAsia="zh-CN" w:bidi="ar-SA"/>
              </w:rPr>
            </w:pPr>
          </w:p>
        </w:tc>
        <w:tc>
          <w:tcPr>
            <w:tcW w:w="1125" w:type="dxa"/>
            <w:vMerge w:val="continue"/>
            <w:noWrap w:val="0"/>
            <w:vAlign w:val="center"/>
          </w:tcPr>
          <w:p w14:paraId="15B31E60">
            <w:pPr>
              <w:widowControl w:val="0"/>
              <w:overflowPunct w:val="0"/>
              <w:autoSpaceDE w:val="0"/>
              <w:autoSpaceDN w:val="0"/>
              <w:bidi w:val="0"/>
              <w:adjustRightInd w:val="0"/>
              <w:snapToGrid w:val="0"/>
              <w:spacing w:line="320" w:lineRule="exact"/>
              <w:ind w:firstLine="0" w:firstLineChars="0"/>
              <w:jc w:val="center"/>
              <w:rPr>
                <w:rFonts w:hint="eastAsia" w:cs="Times New Roman"/>
                <w:color w:val="auto"/>
                <w:kern w:val="2"/>
                <w:sz w:val="21"/>
                <w:szCs w:val="21"/>
                <w:lang w:val="en-US" w:eastAsia="zh-CN" w:bidi="ar-SA"/>
              </w:rPr>
            </w:pPr>
          </w:p>
        </w:tc>
        <w:tc>
          <w:tcPr>
            <w:tcW w:w="2994" w:type="dxa"/>
            <w:vMerge w:val="continue"/>
            <w:noWrap w:val="0"/>
            <w:vAlign w:val="center"/>
          </w:tcPr>
          <w:p w14:paraId="1A0BCE4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kern w:val="2"/>
                <w:sz w:val="21"/>
                <w:szCs w:val="21"/>
                <w:lang w:val="en-US" w:eastAsia="zh-CN" w:bidi="ar-SA"/>
              </w:rPr>
            </w:pPr>
          </w:p>
        </w:tc>
      </w:tr>
      <w:tr w14:paraId="7F3BF6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noWrap w:val="0"/>
            <w:vAlign w:val="center"/>
          </w:tcPr>
          <w:p w14:paraId="03C3C003">
            <w:pPr>
              <w:widowControl w:val="0"/>
              <w:autoSpaceDE w:val="0"/>
              <w:autoSpaceDN w:val="0"/>
              <w:spacing w:line="240" w:lineRule="auto"/>
              <w:ind w:left="0" w:leftChars="0" w:firstLine="0" w:firstLineChars="0"/>
              <w:jc w:val="center"/>
              <w:rPr>
                <w:rFonts w:hint="default" w:ascii="Times New Roman" w:hAnsi="Times New Roman" w:eastAsia="宋体" w:cs="宋体"/>
                <w:color w:val="auto"/>
                <w:kern w:val="0"/>
                <w:sz w:val="21"/>
                <w:szCs w:val="22"/>
                <w:lang w:val="en-US" w:eastAsia="zh-CN" w:bidi="ar-SA"/>
              </w:rPr>
            </w:pPr>
            <w:r>
              <w:rPr>
                <w:rFonts w:hint="eastAsia" w:ascii="Times New Roman" w:hAnsi="Times New Roman" w:eastAsia="宋体" w:cs="宋体"/>
                <w:color w:val="auto"/>
                <w:kern w:val="0"/>
                <w:sz w:val="21"/>
                <w:szCs w:val="22"/>
                <w:lang w:val="en-US" w:eastAsia="zh-CN" w:bidi="ar-SA"/>
              </w:rPr>
              <w:t>厂界</w:t>
            </w:r>
          </w:p>
        </w:tc>
        <w:tc>
          <w:tcPr>
            <w:tcW w:w="809" w:type="dxa"/>
            <w:noWrap w:val="0"/>
            <w:vAlign w:val="center"/>
          </w:tcPr>
          <w:p w14:paraId="211153A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无组织</w:t>
            </w:r>
          </w:p>
        </w:tc>
        <w:tc>
          <w:tcPr>
            <w:tcW w:w="804" w:type="dxa"/>
            <w:noWrap w:val="0"/>
            <w:vAlign w:val="center"/>
          </w:tcPr>
          <w:p w14:paraId="6D6325A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颗粒物</w:t>
            </w:r>
          </w:p>
        </w:tc>
        <w:tc>
          <w:tcPr>
            <w:tcW w:w="1205" w:type="dxa"/>
            <w:noWrap w:val="0"/>
            <w:vAlign w:val="center"/>
          </w:tcPr>
          <w:p w14:paraId="073C74A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lang w:val="en-US" w:eastAsia="zh-CN" w:bidi="ar-SA"/>
              </w:rPr>
              <w:t>1.0</w:t>
            </w:r>
          </w:p>
        </w:tc>
        <w:tc>
          <w:tcPr>
            <w:tcW w:w="1125" w:type="dxa"/>
            <w:noWrap w:val="0"/>
            <w:vAlign w:val="center"/>
          </w:tcPr>
          <w:p w14:paraId="4EB7CDC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2994" w:type="dxa"/>
            <w:vMerge w:val="continue"/>
            <w:noWrap w:val="0"/>
            <w:vAlign w:val="center"/>
          </w:tcPr>
          <w:p w14:paraId="3A974DD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r>
    </w:tbl>
    <w:p w14:paraId="7BA57902">
      <w:pPr>
        <w:widowControl/>
        <w:numPr>
          <w:ilvl w:val="0"/>
          <w:numId w:val="0"/>
        </w:numPr>
        <w:spacing w:line="360" w:lineRule="auto"/>
        <w:ind w:firstLine="480" w:firstLineChars="200"/>
        <w:rPr>
          <w:rFonts w:hint="eastAsia" w:ascii="Times New Roman" w:hAnsi="Times New Roman" w:eastAsia="宋体" w:cs="Times New Roman"/>
          <w:bCs/>
          <w:color w:val="auto"/>
          <w:kern w:val="2"/>
          <w:sz w:val="24"/>
          <w:szCs w:val="24"/>
          <w:lang w:val="en-US" w:eastAsia="zh-CN" w:bidi="ar-SA"/>
        </w:rPr>
      </w:pPr>
      <w:r>
        <w:rPr>
          <w:rFonts w:hint="eastAsia" w:ascii="Times New Roman" w:hAnsi="Times New Roman" w:eastAsia="宋体" w:cs="Times New Roman"/>
          <w:bCs/>
          <w:color w:val="auto"/>
          <w:kern w:val="2"/>
          <w:sz w:val="24"/>
          <w:szCs w:val="24"/>
          <w:lang w:val="en-US" w:eastAsia="zh-CN" w:bidi="ar-SA"/>
        </w:rPr>
        <w:t>《恶臭污染物排放标准》（GB14554-93）于1994年1月15日实施，《畜禽养殖业污染物排放标准》（GB18596-2001）于2001年11月26日批准，实施年限晚于《恶臭污染物排放标准》（GB14554-93），根据《畜禽养殖业污染物排放标准》（GB18596-2001）本标准适用于集约化、规模化的畜禽养殖场和养殖区。本项目为畜禽规模化养殖项目，因此臭气浓度执行《畜禽养殖业污染物排放标准》（GB18596-2001），氨、硫化氢由于《畜禽养殖业污染物排放标准》（GB18596-2001）无限值要求，因此氨、硫化氢执行《恶臭污染物排放标准》（GB14554-93）限值要求。</w:t>
      </w:r>
    </w:p>
    <w:p w14:paraId="5AAADE92">
      <w:pPr>
        <w:widowControl/>
        <w:numPr>
          <w:ilvl w:val="0"/>
          <w:numId w:val="0"/>
        </w:num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恶臭污染物</w:t>
      </w:r>
      <w:r>
        <w:rPr>
          <w:rFonts w:hint="eastAsia" w:ascii="Times New Roman" w:hAnsi="Times New Roman" w:cs="Times New Roman"/>
          <w:sz w:val="24"/>
          <w:szCs w:val="24"/>
          <w:lang w:val="en-US" w:eastAsia="zh-CN"/>
        </w:rPr>
        <w:t>臭气浓度</w:t>
      </w:r>
      <w:r>
        <w:rPr>
          <w:rFonts w:hint="default" w:ascii="Times New Roman" w:hAnsi="Times New Roman" w:eastAsia="宋体" w:cs="Times New Roman"/>
          <w:sz w:val="24"/>
          <w:szCs w:val="24"/>
          <w:lang w:eastAsia="zh-CN"/>
        </w:rPr>
        <w:t>场界排放执行《畜禽养殖业污染物排放标准》（GB18596-2001）表7 集约化畜禽养殖业恶臭污染物</w:t>
      </w:r>
      <w:r>
        <w:rPr>
          <w:rFonts w:hint="eastAsia" w:cs="Times New Roman"/>
          <w:sz w:val="24"/>
          <w:szCs w:val="24"/>
          <w:lang w:eastAsia="zh-CN"/>
        </w:rPr>
        <w:t>排放</w:t>
      </w:r>
      <w:r>
        <w:rPr>
          <w:rFonts w:hint="default" w:ascii="Times New Roman" w:hAnsi="Times New Roman" w:eastAsia="宋体" w:cs="Times New Roman"/>
          <w:sz w:val="24"/>
          <w:szCs w:val="24"/>
          <w:lang w:eastAsia="zh-CN"/>
        </w:rPr>
        <w:t>标准，详见表</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cs="Times New Roman"/>
          <w:sz w:val="24"/>
          <w:szCs w:val="24"/>
          <w:lang w:val="en-US" w:eastAsia="zh-CN"/>
        </w:rPr>
        <w:t>7</w:t>
      </w:r>
      <w:r>
        <w:rPr>
          <w:rFonts w:hint="default" w:ascii="Times New Roman" w:hAnsi="Times New Roman" w:eastAsia="宋体" w:cs="Times New Roman"/>
          <w:sz w:val="24"/>
          <w:szCs w:val="24"/>
          <w:lang w:eastAsia="zh-CN"/>
        </w:rPr>
        <w:t>。</w:t>
      </w:r>
    </w:p>
    <w:p w14:paraId="1F46BB35">
      <w:pPr>
        <w:widowControl w:val="0"/>
        <w:spacing w:line="360" w:lineRule="auto"/>
        <w:jc w:val="center"/>
        <w:rPr>
          <w:rFonts w:hint="default" w:ascii="Times New Roman" w:hAnsi="Times New Roman" w:eastAsia="宋体" w:cs="Times New Roman"/>
          <w:b/>
          <w:bCs w:val="0"/>
          <w:kern w:val="2"/>
          <w:sz w:val="24"/>
          <w:szCs w:val="24"/>
          <w:lang w:val="en-US" w:eastAsia="zh-TW" w:bidi="ar-SA"/>
        </w:rPr>
      </w:pPr>
      <w:r>
        <w:rPr>
          <w:rFonts w:hint="default" w:ascii="Times New Roman" w:hAnsi="Times New Roman" w:eastAsia="宋体" w:cs="Times New Roman"/>
          <w:b/>
          <w:bCs w:val="0"/>
          <w:kern w:val="2"/>
          <w:sz w:val="24"/>
          <w:szCs w:val="24"/>
          <w:lang w:val="en-US" w:eastAsia="zh-TW" w:bidi="ar-SA"/>
        </w:rPr>
        <w:t>表</w:t>
      </w: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w:t>
      </w:r>
      <w:r>
        <w:rPr>
          <w:rFonts w:hint="eastAsia" w:cs="Times New Roman"/>
          <w:b/>
          <w:bCs w:val="0"/>
          <w:kern w:val="2"/>
          <w:sz w:val="24"/>
          <w:szCs w:val="24"/>
          <w:lang w:val="en-US" w:eastAsia="zh-CN" w:bidi="ar-SA"/>
        </w:rPr>
        <w:t>7</w:t>
      </w:r>
      <w:r>
        <w:rPr>
          <w:rFonts w:hint="default" w:ascii="Times New Roman" w:hAnsi="Times New Roman" w:eastAsia="宋体" w:cs="Times New Roman"/>
          <w:b/>
          <w:bCs w:val="0"/>
          <w:kern w:val="2"/>
          <w:sz w:val="24"/>
          <w:szCs w:val="24"/>
          <w:lang w:val="en-US" w:eastAsia="zh-TW" w:bidi="ar-SA"/>
        </w:rPr>
        <w:t>畜禽养殖业污染物排放标准</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1018"/>
        <w:gridCol w:w="1018"/>
        <w:gridCol w:w="2725"/>
        <w:gridCol w:w="2725"/>
      </w:tblGrid>
      <w:tr w14:paraId="6948B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8" w:type="dxa"/>
            <w:tcBorders>
              <w:tl2br w:val="nil"/>
              <w:tr2bl w:val="nil"/>
            </w:tcBorders>
            <w:noWrap w:val="0"/>
            <w:vAlign w:val="center"/>
          </w:tcPr>
          <w:p w14:paraId="6E1FA6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eastAsia" w:ascii="Times New Roman" w:hAnsi="Times New Roman" w:eastAsia="宋体" w:cs="Times New Roman"/>
                <w:b/>
                <w:bCs/>
                <w:color w:val="auto"/>
                <w:kern w:val="2"/>
                <w:sz w:val="21"/>
                <w:szCs w:val="21"/>
                <w:lang w:val="en-US" w:eastAsia="zh-CN" w:bidi="ar-SA"/>
              </w:rPr>
              <w:t>污染源</w:t>
            </w:r>
          </w:p>
        </w:tc>
        <w:tc>
          <w:tcPr>
            <w:tcW w:w="2036" w:type="dxa"/>
            <w:gridSpan w:val="2"/>
            <w:tcBorders>
              <w:tl2br w:val="nil"/>
              <w:tr2bl w:val="nil"/>
            </w:tcBorders>
            <w:noWrap w:val="0"/>
            <w:vAlign w:val="center"/>
          </w:tcPr>
          <w:p w14:paraId="465281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eastAsia" w:cs="Times New Roman"/>
                <w:b/>
                <w:bCs w:val="0"/>
                <w:sz w:val="21"/>
                <w:szCs w:val="21"/>
                <w:lang w:val="en-US" w:eastAsia="zh-CN"/>
              </w:rPr>
              <w:t>污染物</w:t>
            </w:r>
          </w:p>
        </w:tc>
        <w:tc>
          <w:tcPr>
            <w:tcW w:w="2725" w:type="dxa"/>
            <w:tcBorders>
              <w:tl2br w:val="nil"/>
              <w:tr2bl w:val="nil"/>
            </w:tcBorders>
            <w:noWrap w:val="0"/>
            <w:vAlign w:val="center"/>
          </w:tcPr>
          <w:p w14:paraId="6E12DC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color w:val="auto"/>
                <w:kern w:val="2"/>
                <w:sz w:val="21"/>
                <w:szCs w:val="21"/>
                <w:lang w:val="en-US" w:eastAsia="zh-CN" w:bidi="ar-SA"/>
              </w:rPr>
              <w:t>排放浓度</w:t>
            </w:r>
            <w:r>
              <w:rPr>
                <w:rFonts w:hint="default" w:ascii="Times New Roman" w:hAnsi="Times New Roman" w:eastAsia="宋体" w:cs="Times New Roman"/>
                <w:b/>
                <w:bCs w:val="0"/>
                <w:sz w:val="21"/>
                <w:szCs w:val="21"/>
              </w:rPr>
              <w:t>（无纲量）</w:t>
            </w:r>
          </w:p>
        </w:tc>
        <w:tc>
          <w:tcPr>
            <w:tcW w:w="2725" w:type="dxa"/>
            <w:tcBorders>
              <w:tl2br w:val="nil"/>
              <w:tr2bl w:val="nil"/>
            </w:tcBorders>
            <w:noWrap w:val="0"/>
            <w:vAlign w:val="center"/>
          </w:tcPr>
          <w:p w14:paraId="76157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sz w:val="21"/>
                <w:szCs w:val="21"/>
                <w:lang w:val="en-US" w:eastAsia="zh-CN"/>
              </w:rPr>
              <w:t>标准来源</w:t>
            </w:r>
          </w:p>
        </w:tc>
      </w:tr>
      <w:tr w14:paraId="5E79F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8" w:type="dxa"/>
            <w:tcBorders>
              <w:tl2br w:val="nil"/>
              <w:tr2bl w:val="nil"/>
            </w:tcBorders>
            <w:noWrap w:val="0"/>
            <w:vAlign w:val="center"/>
          </w:tcPr>
          <w:p w14:paraId="546EA1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eastAsia" w:ascii="Times New Roman" w:hAnsi="Times New Roman" w:eastAsia="宋体" w:cs="宋体"/>
                <w:color w:val="auto"/>
                <w:kern w:val="0"/>
                <w:sz w:val="21"/>
                <w:szCs w:val="22"/>
                <w:lang w:val="en-US" w:eastAsia="zh-CN" w:bidi="ar-SA"/>
              </w:rPr>
              <w:t>厂界</w:t>
            </w:r>
          </w:p>
        </w:tc>
        <w:tc>
          <w:tcPr>
            <w:tcW w:w="1018" w:type="dxa"/>
            <w:tcBorders>
              <w:tl2br w:val="nil"/>
              <w:tr2bl w:val="nil"/>
            </w:tcBorders>
            <w:noWrap w:val="0"/>
            <w:vAlign w:val="center"/>
          </w:tcPr>
          <w:p w14:paraId="47F1A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无组织</w:t>
            </w:r>
          </w:p>
        </w:tc>
        <w:tc>
          <w:tcPr>
            <w:tcW w:w="1018" w:type="dxa"/>
            <w:tcBorders>
              <w:tl2br w:val="nil"/>
              <w:tr2bl w:val="nil"/>
            </w:tcBorders>
            <w:noWrap w:val="0"/>
            <w:vAlign w:val="center"/>
          </w:tcPr>
          <w:p w14:paraId="20FD59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臭气浓度</w:t>
            </w:r>
          </w:p>
        </w:tc>
        <w:tc>
          <w:tcPr>
            <w:tcW w:w="2725" w:type="dxa"/>
            <w:tcBorders>
              <w:tl2br w:val="nil"/>
              <w:tr2bl w:val="nil"/>
            </w:tcBorders>
            <w:noWrap w:val="0"/>
            <w:vAlign w:val="center"/>
          </w:tcPr>
          <w:p w14:paraId="1D6D04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70</w:t>
            </w:r>
          </w:p>
        </w:tc>
        <w:tc>
          <w:tcPr>
            <w:tcW w:w="2725" w:type="dxa"/>
            <w:tcBorders>
              <w:tl2br w:val="nil"/>
              <w:tr2bl w:val="nil"/>
            </w:tcBorders>
            <w:noWrap w:val="0"/>
            <w:vAlign w:val="center"/>
          </w:tcPr>
          <w:p w14:paraId="43C4D2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《畜禽养殖业污染物排放标准》（GB18596-2001）表 7 集约化畜禽养殖业恶臭污染物排</w:t>
            </w:r>
            <w:r>
              <w:rPr>
                <w:rFonts w:hint="eastAsia" w:cs="Times New Roman"/>
                <w:sz w:val="21"/>
                <w:szCs w:val="21"/>
                <w:lang w:val="en-US" w:eastAsia="zh-CN"/>
              </w:rPr>
              <w:t>放</w:t>
            </w:r>
            <w:r>
              <w:rPr>
                <w:rFonts w:hint="default" w:ascii="Times New Roman" w:hAnsi="Times New Roman" w:eastAsia="宋体" w:cs="Times New Roman"/>
                <w:sz w:val="21"/>
                <w:szCs w:val="21"/>
                <w:lang w:eastAsia="zh-CN"/>
              </w:rPr>
              <w:t>标准</w:t>
            </w:r>
          </w:p>
        </w:tc>
      </w:tr>
    </w:tbl>
    <w:p w14:paraId="1F09D0A2">
      <w:pPr>
        <w:widowControl/>
        <w:spacing w:line="360" w:lineRule="auto"/>
        <w:ind w:firstLine="480" w:firstLineChars="200"/>
        <w:rPr>
          <w:rFonts w:hint="default" w:ascii="Times New Roman" w:hAnsi="Times New Roman" w:cs="Times New Roman"/>
          <w:lang w:eastAsia="zh-TW"/>
        </w:rPr>
      </w:pPr>
      <w:r>
        <w:rPr>
          <w:rFonts w:hint="default" w:ascii="Times New Roman" w:hAnsi="Times New Roman" w:eastAsia="宋体" w:cs="Times New Roman"/>
          <w:sz w:val="24"/>
          <w:szCs w:val="24"/>
          <w:lang w:eastAsia="zh-CN"/>
        </w:rPr>
        <w:t>恶臭污染物H</w:t>
      </w:r>
      <w:r>
        <w:rPr>
          <w:rFonts w:hint="default" w:ascii="Times New Roman" w:hAnsi="Times New Roman" w:eastAsia="宋体" w:cs="Times New Roman"/>
          <w:sz w:val="24"/>
          <w:szCs w:val="24"/>
          <w:vertAlign w:val="subscript"/>
          <w:lang w:eastAsia="zh-CN"/>
        </w:rPr>
        <w:t>2</w:t>
      </w:r>
      <w:r>
        <w:rPr>
          <w:rFonts w:hint="default" w:ascii="Times New Roman" w:hAnsi="Times New Roman" w:eastAsia="宋体" w:cs="Times New Roman"/>
          <w:sz w:val="24"/>
          <w:szCs w:val="24"/>
          <w:lang w:eastAsia="zh-CN"/>
        </w:rPr>
        <w:t>S、NH</w:t>
      </w:r>
      <w:r>
        <w:rPr>
          <w:rFonts w:hint="default" w:ascii="Times New Roman" w:hAnsi="Times New Roman" w:eastAsia="宋体" w:cs="Times New Roman"/>
          <w:sz w:val="24"/>
          <w:szCs w:val="24"/>
          <w:vertAlign w:val="subscript"/>
          <w:lang w:eastAsia="zh-CN"/>
        </w:rPr>
        <w:t>3</w:t>
      </w:r>
      <w:r>
        <w:rPr>
          <w:rFonts w:hint="eastAsia" w:cs="Times New Roman"/>
          <w:sz w:val="24"/>
          <w:szCs w:val="24"/>
          <w:vertAlign w:val="baseline"/>
          <w:lang w:eastAsia="zh-CN"/>
        </w:rPr>
        <w:t>厂</w:t>
      </w:r>
      <w:r>
        <w:rPr>
          <w:rFonts w:hint="default" w:ascii="Times New Roman" w:hAnsi="Times New Roman" w:eastAsia="宋体" w:cs="Times New Roman"/>
          <w:sz w:val="24"/>
          <w:szCs w:val="24"/>
          <w:lang w:eastAsia="zh-CN"/>
        </w:rPr>
        <w:t>界排放浓度执行《恶臭污染物排放标准》（GB14554-93）表1 恶臭污染物厂界标准值</w:t>
      </w:r>
      <w:r>
        <w:rPr>
          <w:rFonts w:hint="eastAsia" w:ascii="Times New Roman" w:hAnsi="Times New Roman" w:cs="Times New Roman"/>
          <w:sz w:val="24"/>
          <w:szCs w:val="24"/>
          <w:lang w:val="en-US" w:eastAsia="zh-CN"/>
        </w:rPr>
        <w:t>二级新扩改建标准限值</w:t>
      </w:r>
      <w:r>
        <w:rPr>
          <w:rFonts w:hint="default" w:ascii="Times New Roman" w:hAnsi="Times New Roman" w:eastAsia="宋体" w:cs="Times New Roman"/>
          <w:sz w:val="24"/>
          <w:szCs w:val="24"/>
          <w:lang w:eastAsia="zh-CN"/>
        </w:rPr>
        <w:t>，详见表</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cs="Times New Roman"/>
          <w:sz w:val="24"/>
          <w:szCs w:val="24"/>
          <w:lang w:val="en-US" w:eastAsia="zh-CN"/>
        </w:rPr>
        <w:t>8</w:t>
      </w:r>
      <w:r>
        <w:rPr>
          <w:rFonts w:hint="eastAsia" w:ascii="Times New Roman" w:hAnsi="Times New Roman" w:cs="Times New Roman"/>
          <w:sz w:val="24"/>
          <w:szCs w:val="24"/>
          <w:lang w:val="en-US" w:eastAsia="zh-CN"/>
        </w:rPr>
        <w:t>。</w:t>
      </w:r>
    </w:p>
    <w:p w14:paraId="1F2B2469">
      <w:pPr>
        <w:widowControl w:val="0"/>
        <w:jc w:val="center"/>
        <w:rPr>
          <w:rFonts w:hint="default" w:ascii="Times New Roman" w:hAnsi="Times New Roman" w:eastAsia="宋体" w:cs="Times New Roman"/>
          <w:b/>
          <w:bCs w:val="0"/>
          <w:kern w:val="2"/>
          <w:sz w:val="24"/>
          <w:szCs w:val="24"/>
          <w:lang w:val="en-US" w:eastAsia="zh-TW" w:bidi="ar-SA"/>
        </w:rPr>
      </w:pPr>
      <w:r>
        <w:rPr>
          <w:rFonts w:hint="default" w:ascii="Times New Roman" w:hAnsi="Times New Roman" w:eastAsia="宋体" w:cs="Times New Roman"/>
          <w:b/>
          <w:bCs w:val="0"/>
          <w:kern w:val="2"/>
          <w:sz w:val="24"/>
          <w:szCs w:val="24"/>
          <w:lang w:val="en-US" w:eastAsia="zh-TW" w:bidi="ar-SA"/>
        </w:rPr>
        <w:t>表</w:t>
      </w: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w:t>
      </w:r>
      <w:r>
        <w:rPr>
          <w:rFonts w:hint="eastAsia" w:cs="Times New Roman"/>
          <w:b/>
          <w:bCs w:val="0"/>
          <w:kern w:val="2"/>
          <w:sz w:val="24"/>
          <w:szCs w:val="24"/>
          <w:lang w:val="en-US" w:eastAsia="zh-CN" w:bidi="ar-SA"/>
        </w:rPr>
        <w:t>8</w:t>
      </w:r>
      <w:r>
        <w:rPr>
          <w:rFonts w:hint="default" w:ascii="Times New Roman" w:hAnsi="Times New Roman" w:eastAsia="宋体" w:cs="Times New Roman"/>
          <w:b/>
          <w:bCs w:val="0"/>
          <w:kern w:val="2"/>
          <w:sz w:val="24"/>
          <w:szCs w:val="24"/>
          <w:lang w:val="en-US" w:eastAsia="zh-TW" w:bidi="ar-SA"/>
        </w:rPr>
        <w:t>恶臭污染物排放标准</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8"/>
        <w:gridCol w:w="1018"/>
        <w:gridCol w:w="1018"/>
        <w:gridCol w:w="2725"/>
        <w:gridCol w:w="2725"/>
      </w:tblGrid>
      <w:tr w14:paraId="0FD3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18" w:type="dxa"/>
            <w:tcBorders>
              <w:bottom w:val="single" w:color="auto" w:sz="4" w:space="0"/>
              <w:right w:val="single" w:color="auto" w:sz="4" w:space="0"/>
            </w:tcBorders>
            <w:noWrap w:val="0"/>
            <w:vAlign w:val="center"/>
          </w:tcPr>
          <w:p w14:paraId="201EB7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eastAsia" w:ascii="Times New Roman" w:hAnsi="Times New Roman" w:eastAsia="宋体" w:cs="Times New Roman"/>
                <w:b/>
                <w:bCs/>
                <w:color w:val="auto"/>
                <w:kern w:val="2"/>
                <w:sz w:val="21"/>
                <w:szCs w:val="21"/>
                <w:lang w:val="en-US" w:eastAsia="zh-CN" w:bidi="ar-SA"/>
              </w:rPr>
              <w:t>污染源</w:t>
            </w:r>
          </w:p>
        </w:tc>
        <w:tc>
          <w:tcPr>
            <w:tcW w:w="2036" w:type="dxa"/>
            <w:gridSpan w:val="2"/>
            <w:tcBorders>
              <w:bottom w:val="single" w:color="auto" w:sz="4" w:space="0"/>
              <w:right w:val="single" w:color="auto" w:sz="4" w:space="0"/>
            </w:tcBorders>
            <w:noWrap w:val="0"/>
            <w:vAlign w:val="center"/>
          </w:tcPr>
          <w:p w14:paraId="492AD8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eastAsia" w:cs="Times New Roman"/>
                <w:b/>
                <w:bCs w:val="0"/>
                <w:sz w:val="21"/>
                <w:szCs w:val="21"/>
                <w:lang w:val="en-US" w:eastAsia="zh-CN"/>
              </w:rPr>
              <w:t>污染物</w:t>
            </w:r>
          </w:p>
        </w:tc>
        <w:tc>
          <w:tcPr>
            <w:tcW w:w="2725" w:type="dxa"/>
            <w:tcBorders>
              <w:left w:val="single" w:color="auto" w:sz="4" w:space="0"/>
              <w:bottom w:val="single" w:color="auto" w:sz="4" w:space="0"/>
            </w:tcBorders>
            <w:noWrap w:val="0"/>
            <w:vAlign w:val="center"/>
          </w:tcPr>
          <w:p w14:paraId="5FCD57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color w:val="auto"/>
                <w:kern w:val="2"/>
                <w:sz w:val="21"/>
                <w:szCs w:val="21"/>
                <w:lang w:val="en-US" w:eastAsia="zh-CN" w:bidi="ar-SA"/>
              </w:rPr>
              <w:t>排放浓度</w:t>
            </w:r>
            <w:r>
              <w:rPr>
                <w:rFonts w:hint="default" w:ascii="Times New Roman" w:hAnsi="Times New Roman" w:eastAsia="宋体" w:cs="Times New Roman"/>
                <w:b/>
                <w:bCs w:val="0"/>
                <w:color w:val="auto"/>
                <w:sz w:val="21"/>
                <w:szCs w:val="21"/>
              </w:rPr>
              <w:t>（mg/m</w:t>
            </w:r>
            <w:r>
              <w:rPr>
                <w:rFonts w:hint="default" w:ascii="Times New Roman" w:hAnsi="Times New Roman" w:eastAsia="宋体" w:cs="Times New Roman"/>
                <w:b/>
                <w:bCs w:val="0"/>
                <w:color w:val="auto"/>
                <w:sz w:val="21"/>
                <w:szCs w:val="21"/>
                <w:vertAlign w:val="superscript"/>
              </w:rPr>
              <w:t>3</w:t>
            </w:r>
            <w:r>
              <w:rPr>
                <w:rFonts w:hint="default" w:ascii="Times New Roman" w:hAnsi="Times New Roman" w:eastAsia="宋体" w:cs="Times New Roman"/>
                <w:b/>
                <w:bCs w:val="0"/>
                <w:color w:val="auto"/>
                <w:sz w:val="21"/>
                <w:szCs w:val="21"/>
              </w:rPr>
              <w:t>）</w:t>
            </w:r>
          </w:p>
        </w:tc>
        <w:tc>
          <w:tcPr>
            <w:tcW w:w="2725" w:type="dxa"/>
            <w:tcBorders>
              <w:left w:val="single" w:color="auto" w:sz="4" w:space="0"/>
              <w:bottom w:val="single" w:color="auto" w:sz="4" w:space="0"/>
            </w:tcBorders>
            <w:noWrap w:val="0"/>
            <w:vAlign w:val="center"/>
          </w:tcPr>
          <w:p w14:paraId="4C9D0F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sz w:val="21"/>
                <w:szCs w:val="21"/>
                <w:lang w:val="en-US" w:eastAsia="zh-CN"/>
              </w:rPr>
              <w:t>标准来源</w:t>
            </w:r>
          </w:p>
        </w:tc>
      </w:tr>
      <w:tr w14:paraId="73330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18" w:type="dxa"/>
            <w:vMerge w:val="restart"/>
            <w:tcBorders>
              <w:top w:val="single" w:color="auto" w:sz="4" w:space="0"/>
              <w:right w:val="single" w:color="auto" w:sz="4" w:space="0"/>
            </w:tcBorders>
            <w:noWrap w:val="0"/>
            <w:vAlign w:val="center"/>
          </w:tcPr>
          <w:p w14:paraId="7D9BA1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宋体"/>
                <w:color w:val="auto"/>
                <w:kern w:val="0"/>
                <w:sz w:val="21"/>
                <w:szCs w:val="22"/>
                <w:lang w:val="en-US" w:eastAsia="zh-CN" w:bidi="ar-SA"/>
              </w:rPr>
              <w:t>厂界</w:t>
            </w:r>
          </w:p>
        </w:tc>
        <w:tc>
          <w:tcPr>
            <w:tcW w:w="1018" w:type="dxa"/>
            <w:vMerge w:val="restart"/>
            <w:tcBorders>
              <w:top w:val="single" w:color="auto" w:sz="4" w:space="0"/>
              <w:right w:val="single" w:color="auto" w:sz="4" w:space="0"/>
            </w:tcBorders>
            <w:noWrap w:val="0"/>
            <w:vAlign w:val="center"/>
          </w:tcPr>
          <w:p w14:paraId="413292A2">
            <w:pPr>
              <w:keepNext w:val="0"/>
              <w:keepLines w:val="0"/>
              <w:pageBreakBefore w:val="0"/>
              <w:widowControl w:val="0"/>
              <w:kinsoku/>
              <w:wordWrap/>
              <w:overflowPunct/>
              <w:topLinePunct w:val="0"/>
              <w:autoSpaceDE/>
              <w:autoSpaceDN/>
              <w:bidi w:val="0"/>
              <w:adjustRightInd/>
              <w:snapToGrid/>
              <w:spacing w:line="400" w:lineRule="exact"/>
              <w:jc w:val="center"/>
              <w:textAlignment w:val="auto"/>
            </w:pPr>
            <w:r>
              <w:rPr>
                <w:rFonts w:hint="eastAsia" w:cs="Times New Roman"/>
                <w:sz w:val="21"/>
                <w:szCs w:val="21"/>
                <w:lang w:val="en-US" w:eastAsia="zh-CN"/>
              </w:rPr>
              <w:t>无组织</w:t>
            </w:r>
          </w:p>
        </w:tc>
        <w:tc>
          <w:tcPr>
            <w:tcW w:w="1018" w:type="dxa"/>
            <w:tcBorders>
              <w:top w:val="single" w:color="auto" w:sz="4" w:space="0"/>
              <w:bottom w:val="single" w:color="auto" w:sz="4" w:space="0"/>
              <w:right w:val="single" w:color="auto" w:sz="4" w:space="0"/>
            </w:tcBorders>
            <w:noWrap w:val="0"/>
            <w:vAlign w:val="center"/>
          </w:tcPr>
          <w:p w14:paraId="08513F9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bidi="ar-SA"/>
              </w:rPr>
              <w:t>氨</w:t>
            </w:r>
          </w:p>
        </w:tc>
        <w:tc>
          <w:tcPr>
            <w:tcW w:w="2725" w:type="dxa"/>
            <w:tcBorders>
              <w:top w:val="single" w:color="auto" w:sz="4" w:space="0"/>
              <w:left w:val="single" w:color="auto" w:sz="4" w:space="0"/>
              <w:bottom w:val="single" w:color="auto" w:sz="4" w:space="0"/>
            </w:tcBorders>
            <w:noWrap w:val="0"/>
            <w:vAlign w:val="center"/>
          </w:tcPr>
          <w:p w14:paraId="764CE8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2725" w:type="dxa"/>
            <w:vMerge w:val="restart"/>
            <w:tcBorders>
              <w:top w:val="single" w:color="auto" w:sz="4" w:space="0"/>
              <w:left w:val="single" w:color="auto" w:sz="4" w:space="0"/>
            </w:tcBorders>
            <w:noWrap w:val="0"/>
            <w:vAlign w:val="center"/>
          </w:tcPr>
          <w:p w14:paraId="6B90FB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《恶臭污染物排放标准》（GB14554-93）表1 恶臭污染物厂界标准值中二级标准限值</w:t>
            </w:r>
          </w:p>
        </w:tc>
      </w:tr>
      <w:tr w14:paraId="075B1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18" w:type="dxa"/>
            <w:vMerge w:val="continue"/>
            <w:tcBorders>
              <w:right w:val="single" w:color="auto" w:sz="4" w:space="0"/>
            </w:tcBorders>
            <w:noWrap w:val="0"/>
            <w:vAlign w:val="center"/>
          </w:tcPr>
          <w:p w14:paraId="2D759D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1018" w:type="dxa"/>
            <w:vMerge w:val="continue"/>
            <w:tcBorders>
              <w:right w:val="single" w:color="auto" w:sz="4" w:space="0"/>
            </w:tcBorders>
            <w:noWrap w:val="0"/>
            <w:vAlign w:val="center"/>
          </w:tcPr>
          <w:p w14:paraId="44174E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1018" w:type="dxa"/>
            <w:tcBorders>
              <w:top w:val="single" w:color="auto" w:sz="4" w:space="0"/>
              <w:right w:val="single" w:color="auto" w:sz="4" w:space="0"/>
            </w:tcBorders>
            <w:noWrap w:val="0"/>
            <w:vAlign w:val="center"/>
          </w:tcPr>
          <w:p w14:paraId="3F3F54B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bidi="ar-SA"/>
              </w:rPr>
              <w:t>硫化氢</w:t>
            </w:r>
          </w:p>
        </w:tc>
        <w:tc>
          <w:tcPr>
            <w:tcW w:w="2725" w:type="dxa"/>
            <w:tcBorders>
              <w:top w:val="single" w:color="auto" w:sz="4" w:space="0"/>
              <w:left w:val="single" w:color="auto" w:sz="4" w:space="0"/>
            </w:tcBorders>
            <w:noWrap w:val="0"/>
            <w:vAlign w:val="center"/>
          </w:tcPr>
          <w:p w14:paraId="762D72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0.06</w:t>
            </w:r>
          </w:p>
        </w:tc>
        <w:tc>
          <w:tcPr>
            <w:tcW w:w="2725" w:type="dxa"/>
            <w:vMerge w:val="continue"/>
            <w:tcBorders>
              <w:left w:val="single" w:color="auto" w:sz="4" w:space="0"/>
            </w:tcBorders>
            <w:noWrap w:val="0"/>
            <w:vAlign w:val="center"/>
          </w:tcPr>
          <w:p w14:paraId="01A1AC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r>
    </w:tbl>
    <w:p w14:paraId="6D13DCE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.2.2废水</w:t>
      </w:r>
    </w:p>
    <w:p w14:paraId="493E23B0">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480" w:firstLineChars="200"/>
        <w:jc w:val="both"/>
        <w:textAlignment w:val="auto"/>
        <w:outlineLvl w:val="9"/>
        <w:rPr>
          <w:rFonts w:hint="eastAsia" w:ascii="Times New Roman" w:hAnsi="Times New Roman" w:eastAsia="宋体" w:cs="宋体"/>
          <w:color w:val="auto"/>
          <w:kern w:val="0"/>
          <w:sz w:val="24"/>
          <w:szCs w:val="22"/>
          <w:lang w:val="en-US" w:eastAsia="zh-CN"/>
        </w:rPr>
      </w:pPr>
      <w:r>
        <w:rPr>
          <w:rFonts w:hint="eastAsia" w:cs="Times New Roman"/>
          <w:color w:val="000000"/>
          <w:sz w:val="24"/>
          <w:lang w:eastAsia="zh-CN"/>
        </w:rPr>
        <w:t>施工阶段、</w:t>
      </w:r>
      <w:r>
        <w:rPr>
          <w:rFonts w:hint="eastAsia" w:cs="Times New Roman"/>
          <w:color w:val="000000"/>
          <w:sz w:val="24"/>
          <w:lang w:val="en-US" w:eastAsia="zh-CN"/>
        </w:rPr>
        <w:t>运营阶段</w:t>
      </w:r>
      <w:r>
        <w:rPr>
          <w:rFonts w:hint="eastAsia" w:cs="Times New Roman"/>
          <w:color w:val="000000"/>
          <w:sz w:val="24"/>
          <w:lang w:eastAsia="zh-CN"/>
        </w:rPr>
        <w:t>产生的</w:t>
      </w:r>
      <w:r>
        <w:rPr>
          <w:rFonts w:hint="eastAsia" w:cs="Times New Roman"/>
          <w:color w:val="000000"/>
          <w:sz w:val="24"/>
          <w:lang w:val="en-US" w:eastAsia="zh-CN"/>
        </w:rPr>
        <w:t>生活污水</w:t>
      </w:r>
      <w:r>
        <w:rPr>
          <w:rFonts w:hint="default" w:ascii="Times New Roman" w:hAnsi="Times New Roman" w:eastAsia="宋体" w:cs="宋体"/>
          <w:color w:val="auto"/>
          <w:kern w:val="0"/>
          <w:sz w:val="24"/>
          <w:szCs w:val="22"/>
          <w:lang w:val="en-US" w:eastAsia="zh-CN"/>
        </w:rPr>
        <w:t>经防渗化粪池收集后</w:t>
      </w:r>
      <w:r>
        <w:rPr>
          <w:rFonts w:hint="eastAsia" w:ascii="Times New Roman" w:hAnsi="Times New Roman" w:eastAsia="宋体" w:cs="宋体"/>
          <w:color w:val="auto"/>
          <w:kern w:val="0"/>
          <w:sz w:val="24"/>
          <w:szCs w:val="22"/>
          <w:highlight w:val="none"/>
          <w:lang w:val="en-US" w:eastAsia="zh-CN"/>
        </w:rPr>
        <w:t>定期拉运至污水处理厂处理</w:t>
      </w:r>
      <w:r>
        <w:rPr>
          <w:rFonts w:hint="eastAsia" w:ascii="Times New Roman" w:hAnsi="Times New Roman" w:eastAsia="宋体" w:cs="宋体"/>
          <w:color w:val="auto"/>
          <w:kern w:val="0"/>
          <w:sz w:val="24"/>
          <w:szCs w:val="22"/>
          <w:lang w:val="en-US" w:eastAsia="zh-CN"/>
        </w:rPr>
        <w:t>，生活污水</w:t>
      </w:r>
      <w:r>
        <w:rPr>
          <w:rFonts w:hint="default" w:ascii="Times New Roman" w:hAnsi="Times New Roman" w:eastAsia="宋体" w:cs="宋体"/>
          <w:color w:val="auto"/>
          <w:kern w:val="0"/>
          <w:sz w:val="24"/>
          <w:szCs w:val="22"/>
          <w:lang w:val="en-US" w:eastAsia="zh-CN"/>
        </w:rPr>
        <w:t>执行《</w:t>
      </w:r>
      <w:r>
        <w:rPr>
          <w:rFonts w:hint="eastAsia" w:ascii="Times New Roman" w:hAnsi="Times New Roman" w:eastAsia="宋体" w:cs="宋体"/>
          <w:color w:val="auto"/>
          <w:kern w:val="0"/>
          <w:sz w:val="24"/>
          <w:szCs w:val="22"/>
          <w:lang w:val="en-US" w:eastAsia="zh-CN"/>
        </w:rPr>
        <w:t>污水综合</w:t>
      </w:r>
      <w:r>
        <w:rPr>
          <w:rFonts w:hint="default" w:ascii="Times New Roman" w:hAnsi="Times New Roman" w:eastAsia="宋体" w:cs="宋体"/>
          <w:color w:val="auto"/>
          <w:kern w:val="0"/>
          <w:sz w:val="24"/>
          <w:szCs w:val="22"/>
          <w:lang w:val="en-US" w:eastAsia="zh-CN"/>
        </w:rPr>
        <w:t>排放标准》（</w:t>
      </w:r>
      <w:r>
        <w:rPr>
          <w:rFonts w:hint="eastAsia" w:ascii="Times New Roman" w:hAnsi="Times New Roman" w:eastAsia="宋体" w:cs="宋体"/>
          <w:color w:val="auto"/>
          <w:kern w:val="0"/>
          <w:sz w:val="24"/>
          <w:szCs w:val="22"/>
          <w:lang w:val="en-US" w:eastAsia="zh-CN"/>
        </w:rPr>
        <w:t>GB8978</w:t>
      </w:r>
      <w:r>
        <w:rPr>
          <w:rFonts w:hint="default" w:ascii="Times New Roman" w:hAnsi="Times New Roman" w:eastAsia="宋体"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1996</w:t>
      </w:r>
      <w:r>
        <w:rPr>
          <w:rFonts w:hint="default" w:ascii="Times New Roman" w:hAnsi="Times New Roman" w:eastAsia="宋体" w:cs="宋体"/>
          <w:color w:val="auto"/>
          <w:kern w:val="0"/>
          <w:sz w:val="24"/>
          <w:szCs w:val="22"/>
          <w:lang w:val="en-US" w:eastAsia="zh-CN"/>
        </w:rPr>
        <w:t>）表4 第二类污染物最高允许排放浓度三级标准。</w:t>
      </w:r>
    </w:p>
    <w:p w14:paraId="43F7662C">
      <w:pPr>
        <w:widowControl w:val="0"/>
        <w:overflowPunct w:val="0"/>
        <w:autoSpaceDE w:val="0"/>
        <w:autoSpaceDN w:val="0"/>
        <w:adjustRightInd w:val="0"/>
        <w:snapToGrid w:val="0"/>
        <w:spacing w:before="0" w:after="0" w:line="360" w:lineRule="auto"/>
        <w:ind w:left="0" w:right="0" w:firstLine="0" w:firstLineChars="0"/>
        <w:jc w:val="center"/>
        <w:rPr>
          <w:rFonts w:hint="default" w:ascii="Times New Roman" w:hAnsi="Times New Roman" w:eastAsia="宋体" w:cs="宋体"/>
          <w:b/>
          <w:color w:val="auto"/>
          <w:kern w:val="0"/>
          <w:sz w:val="24"/>
          <w:szCs w:val="24"/>
          <w:lang w:val="en-US" w:eastAsia="zh-CN" w:bidi="ar-SA"/>
        </w:rPr>
      </w:pPr>
      <w:r>
        <w:rPr>
          <w:rFonts w:hint="eastAsia" w:ascii="Times New Roman" w:hAnsi="Times New Roman" w:eastAsia="宋体" w:cs="宋体"/>
          <w:b/>
          <w:color w:val="auto"/>
          <w:kern w:val="0"/>
          <w:sz w:val="24"/>
          <w:szCs w:val="24"/>
          <w:lang w:val="en-US" w:eastAsia="zh-CN" w:bidi="ar-SA"/>
        </w:rPr>
        <w:t>表2.</w:t>
      </w:r>
      <w:r>
        <w:rPr>
          <w:rFonts w:hint="eastAsia" w:cs="宋体"/>
          <w:b/>
          <w:color w:val="auto"/>
          <w:kern w:val="0"/>
          <w:sz w:val="24"/>
          <w:szCs w:val="24"/>
          <w:lang w:val="en-US" w:eastAsia="zh-CN" w:bidi="ar-SA"/>
        </w:rPr>
        <w:t>5</w:t>
      </w:r>
      <w:r>
        <w:rPr>
          <w:rFonts w:hint="eastAsia" w:ascii="Times New Roman" w:hAnsi="Times New Roman" w:eastAsia="宋体" w:cs="宋体"/>
          <w:b/>
          <w:color w:val="auto"/>
          <w:kern w:val="0"/>
          <w:sz w:val="24"/>
          <w:szCs w:val="24"/>
          <w:lang w:val="en-US" w:eastAsia="zh-CN" w:bidi="ar-SA"/>
        </w:rPr>
        <w:t>-</w:t>
      </w:r>
      <w:r>
        <w:rPr>
          <w:rFonts w:hint="eastAsia" w:cs="宋体"/>
          <w:b/>
          <w:color w:val="auto"/>
          <w:kern w:val="0"/>
          <w:sz w:val="24"/>
          <w:szCs w:val="24"/>
          <w:lang w:val="en-US" w:eastAsia="zh-CN" w:bidi="ar-SA"/>
        </w:rPr>
        <w:t>9</w:t>
      </w:r>
      <w:r>
        <w:rPr>
          <w:rFonts w:hint="eastAsia" w:ascii="Times New Roman" w:hAnsi="Times New Roman" w:eastAsia="宋体" w:cs="宋体"/>
          <w:b/>
          <w:color w:val="auto"/>
          <w:kern w:val="0"/>
          <w:sz w:val="24"/>
          <w:szCs w:val="24"/>
          <w:lang w:val="en-US" w:eastAsia="zh-CN" w:bidi="ar-SA"/>
        </w:rPr>
        <w:t xml:space="preserve">生活污水排放标准限值 单位：mg/L </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09"/>
        <w:gridCol w:w="2513"/>
        <w:gridCol w:w="1255"/>
        <w:gridCol w:w="1527"/>
      </w:tblGrid>
      <w:tr w14:paraId="340B7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3209" w:type="dxa"/>
            <w:vMerge w:val="restart"/>
            <w:noWrap w:val="0"/>
            <w:vAlign w:val="center"/>
          </w:tcPr>
          <w:p w14:paraId="09357393">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标准号</w:t>
            </w:r>
          </w:p>
        </w:tc>
        <w:tc>
          <w:tcPr>
            <w:tcW w:w="2513" w:type="dxa"/>
            <w:vMerge w:val="restart"/>
            <w:noWrap w:val="0"/>
            <w:vAlign w:val="center"/>
          </w:tcPr>
          <w:p w14:paraId="398B2212">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污染因子</w:t>
            </w:r>
          </w:p>
        </w:tc>
        <w:tc>
          <w:tcPr>
            <w:tcW w:w="1255" w:type="dxa"/>
            <w:vMerge w:val="restart"/>
            <w:noWrap w:val="0"/>
            <w:vAlign w:val="center"/>
          </w:tcPr>
          <w:p w14:paraId="5F28D595">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单位</w:t>
            </w:r>
          </w:p>
        </w:tc>
        <w:tc>
          <w:tcPr>
            <w:tcW w:w="1527" w:type="dxa"/>
            <w:noWrap w:val="0"/>
            <w:vAlign w:val="center"/>
          </w:tcPr>
          <w:p w14:paraId="6D8EE6F3">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标准值</w:t>
            </w:r>
          </w:p>
        </w:tc>
      </w:tr>
      <w:tr w14:paraId="19EA0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3209" w:type="dxa"/>
            <w:vMerge w:val="continue"/>
            <w:noWrap w:val="0"/>
            <w:vAlign w:val="center"/>
          </w:tcPr>
          <w:p w14:paraId="44139A83">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2513" w:type="dxa"/>
            <w:vMerge w:val="continue"/>
            <w:noWrap w:val="0"/>
            <w:vAlign w:val="center"/>
          </w:tcPr>
          <w:p w14:paraId="094E7FAF">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1255" w:type="dxa"/>
            <w:vMerge w:val="continue"/>
            <w:noWrap w:val="0"/>
            <w:vAlign w:val="center"/>
          </w:tcPr>
          <w:p w14:paraId="3971B4FE">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1527" w:type="dxa"/>
            <w:noWrap w:val="0"/>
            <w:vAlign w:val="center"/>
          </w:tcPr>
          <w:p w14:paraId="490F0146">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企业生活污水总排放口</w:t>
            </w:r>
          </w:p>
        </w:tc>
      </w:tr>
      <w:tr w14:paraId="6C5908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3209" w:type="dxa"/>
            <w:vMerge w:val="restart"/>
            <w:noWrap w:val="0"/>
            <w:vAlign w:val="center"/>
          </w:tcPr>
          <w:p w14:paraId="2F8949AD">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《污水综合排放标准》（GB8978-1996）表4 第二类污染物最高允许排放浓度三级标准</w:t>
            </w:r>
          </w:p>
        </w:tc>
        <w:tc>
          <w:tcPr>
            <w:tcW w:w="2513" w:type="dxa"/>
            <w:noWrap w:val="0"/>
            <w:vAlign w:val="center"/>
          </w:tcPr>
          <w:p w14:paraId="28778A0F">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pH</w:t>
            </w:r>
          </w:p>
        </w:tc>
        <w:tc>
          <w:tcPr>
            <w:tcW w:w="1255" w:type="dxa"/>
            <w:noWrap w:val="0"/>
            <w:vAlign w:val="center"/>
          </w:tcPr>
          <w:p w14:paraId="12E7BB3D">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w:t>
            </w:r>
          </w:p>
        </w:tc>
        <w:tc>
          <w:tcPr>
            <w:tcW w:w="1527" w:type="dxa"/>
            <w:noWrap w:val="0"/>
            <w:vAlign w:val="center"/>
          </w:tcPr>
          <w:p w14:paraId="7DBF9106">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6~9</w:t>
            </w:r>
          </w:p>
        </w:tc>
      </w:tr>
      <w:tr w14:paraId="4B7A6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3209" w:type="dxa"/>
            <w:vMerge w:val="continue"/>
            <w:noWrap w:val="0"/>
            <w:vAlign w:val="center"/>
          </w:tcPr>
          <w:p w14:paraId="460A00CC">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2513" w:type="dxa"/>
            <w:noWrap w:val="0"/>
            <w:vAlign w:val="center"/>
          </w:tcPr>
          <w:p w14:paraId="6084D674">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COD</w:t>
            </w:r>
          </w:p>
        </w:tc>
        <w:tc>
          <w:tcPr>
            <w:tcW w:w="1255" w:type="dxa"/>
            <w:noWrap w:val="0"/>
            <w:vAlign w:val="center"/>
          </w:tcPr>
          <w:p w14:paraId="734D210F">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mg/L</w:t>
            </w:r>
          </w:p>
        </w:tc>
        <w:tc>
          <w:tcPr>
            <w:tcW w:w="1527" w:type="dxa"/>
            <w:noWrap w:val="0"/>
            <w:vAlign w:val="center"/>
          </w:tcPr>
          <w:p w14:paraId="24A2DFE4">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500</w:t>
            </w:r>
          </w:p>
        </w:tc>
      </w:tr>
      <w:tr w14:paraId="37661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3209" w:type="dxa"/>
            <w:vMerge w:val="continue"/>
            <w:noWrap w:val="0"/>
            <w:vAlign w:val="center"/>
          </w:tcPr>
          <w:p w14:paraId="576A3613">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2513" w:type="dxa"/>
            <w:noWrap w:val="0"/>
            <w:vAlign w:val="center"/>
          </w:tcPr>
          <w:p w14:paraId="5E670F67">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SS</w:t>
            </w:r>
          </w:p>
        </w:tc>
        <w:tc>
          <w:tcPr>
            <w:tcW w:w="1255" w:type="dxa"/>
            <w:noWrap w:val="0"/>
            <w:vAlign w:val="center"/>
          </w:tcPr>
          <w:p w14:paraId="6BBC5716">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mg/L</w:t>
            </w:r>
          </w:p>
        </w:tc>
        <w:tc>
          <w:tcPr>
            <w:tcW w:w="1527" w:type="dxa"/>
            <w:noWrap w:val="0"/>
            <w:vAlign w:val="center"/>
          </w:tcPr>
          <w:p w14:paraId="777EF33B">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400</w:t>
            </w:r>
          </w:p>
        </w:tc>
      </w:tr>
      <w:tr w14:paraId="536A1C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3209" w:type="dxa"/>
            <w:vMerge w:val="continue"/>
            <w:noWrap w:val="0"/>
            <w:vAlign w:val="center"/>
          </w:tcPr>
          <w:p w14:paraId="11FABD9F">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2513" w:type="dxa"/>
            <w:noWrap w:val="0"/>
            <w:vAlign w:val="center"/>
          </w:tcPr>
          <w:p w14:paraId="3D356F29">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BOD</w:t>
            </w:r>
          </w:p>
        </w:tc>
        <w:tc>
          <w:tcPr>
            <w:tcW w:w="1255" w:type="dxa"/>
            <w:noWrap w:val="0"/>
            <w:vAlign w:val="center"/>
          </w:tcPr>
          <w:p w14:paraId="7D9F6895">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mg/L</w:t>
            </w:r>
          </w:p>
        </w:tc>
        <w:tc>
          <w:tcPr>
            <w:tcW w:w="1527" w:type="dxa"/>
            <w:noWrap w:val="0"/>
            <w:vAlign w:val="center"/>
          </w:tcPr>
          <w:p w14:paraId="1C6F930E">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300</w:t>
            </w:r>
          </w:p>
        </w:tc>
      </w:tr>
      <w:tr w14:paraId="42113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3209" w:type="dxa"/>
            <w:vMerge w:val="continue"/>
            <w:noWrap w:val="0"/>
            <w:vAlign w:val="center"/>
          </w:tcPr>
          <w:p w14:paraId="04A600EB">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p>
        </w:tc>
        <w:tc>
          <w:tcPr>
            <w:tcW w:w="2513" w:type="dxa"/>
            <w:noWrap w:val="0"/>
            <w:vAlign w:val="center"/>
          </w:tcPr>
          <w:p w14:paraId="7E3B9E38">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氨氮</w:t>
            </w:r>
          </w:p>
        </w:tc>
        <w:tc>
          <w:tcPr>
            <w:tcW w:w="1255" w:type="dxa"/>
            <w:noWrap w:val="0"/>
            <w:vAlign w:val="center"/>
          </w:tcPr>
          <w:p w14:paraId="3C88774A">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rPr>
              <w:t>mg/L</w:t>
            </w:r>
          </w:p>
        </w:tc>
        <w:tc>
          <w:tcPr>
            <w:tcW w:w="1527" w:type="dxa"/>
            <w:noWrap w:val="0"/>
            <w:vAlign w:val="center"/>
          </w:tcPr>
          <w:p w14:paraId="6DD1E12B">
            <w:pPr>
              <w:keepNext w:val="0"/>
              <w:keepLines w:val="0"/>
              <w:pageBreakBefore w:val="0"/>
              <w:widowControl w:val="0"/>
              <w:kinsoku/>
              <w:wordWrap/>
              <w:overflowPunct/>
              <w:topLinePunct w:val="0"/>
              <w:autoSpaceDE/>
              <w:autoSpaceDN/>
              <w:bidi w:val="0"/>
              <w:adjustRightInd/>
              <w:snapToGrid/>
              <w:spacing w:before="0" w:after="0" w:line="40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w:t>
            </w:r>
          </w:p>
        </w:tc>
      </w:tr>
    </w:tbl>
    <w:p w14:paraId="4B581A5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.2.3噪声</w:t>
      </w:r>
    </w:p>
    <w:p w14:paraId="50100D46">
      <w:pPr>
        <w:widowControl/>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①施工期执行《建筑施工噪声排放标准》（GB 12523-2025）进行评价，详见表</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5</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1</w:t>
      </w:r>
      <w:r>
        <w:rPr>
          <w:rFonts w:hint="eastAsia" w:cs="Times New Roman"/>
          <w:sz w:val="24"/>
          <w:szCs w:val="24"/>
          <w:lang w:val="en-US" w:eastAsia="zh-CN"/>
        </w:rPr>
        <w:t>2</w:t>
      </w:r>
      <w:r>
        <w:rPr>
          <w:rFonts w:hint="default" w:ascii="Times New Roman" w:hAnsi="Times New Roman" w:eastAsia="宋体" w:cs="Times New Roman"/>
          <w:sz w:val="24"/>
          <w:szCs w:val="24"/>
          <w:lang w:eastAsia="zh-CN"/>
        </w:rPr>
        <w:t>。</w:t>
      </w:r>
    </w:p>
    <w:p w14:paraId="02722224">
      <w:pPr>
        <w:spacing w:line="360" w:lineRule="auto"/>
        <w:ind w:firstLine="480" w:firstLineChars="200"/>
        <w:jc w:val="center"/>
        <w:rPr>
          <w:rFonts w:hint="default" w:ascii="Times New Roman" w:hAnsi="Times New Roman" w:eastAsia="宋体" w:cs="Times New Roman"/>
          <w:b/>
          <w:bCs w:val="0"/>
          <w:color w:val="000000"/>
          <w:sz w:val="24"/>
        </w:rPr>
      </w:pPr>
      <w:r>
        <w:rPr>
          <w:rFonts w:hint="default" w:ascii="Times New Roman" w:hAnsi="Times New Roman" w:eastAsia="宋体" w:cs="Times New Roman"/>
          <w:b/>
          <w:bCs w:val="0"/>
          <w:color w:val="000000"/>
          <w:sz w:val="24"/>
        </w:rPr>
        <w:t>表</w:t>
      </w:r>
      <w:r>
        <w:rPr>
          <w:rFonts w:hint="default" w:ascii="Times New Roman" w:hAnsi="Times New Roman" w:eastAsia="宋体" w:cs="Times New Roman"/>
          <w:b/>
          <w:bCs w:val="0"/>
          <w:color w:val="000000"/>
          <w:sz w:val="24"/>
          <w:lang w:val="en-US" w:eastAsia="zh-CN"/>
        </w:rPr>
        <w:t>2.</w:t>
      </w:r>
      <w:r>
        <w:rPr>
          <w:rFonts w:hint="eastAsia" w:cs="Times New Roman"/>
          <w:b/>
          <w:bCs w:val="0"/>
          <w:color w:val="000000"/>
          <w:sz w:val="24"/>
          <w:lang w:val="en-US" w:eastAsia="zh-CN"/>
        </w:rPr>
        <w:t>5</w:t>
      </w:r>
      <w:r>
        <w:rPr>
          <w:rFonts w:hint="default" w:ascii="Times New Roman" w:hAnsi="Times New Roman" w:eastAsia="宋体" w:cs="Times New Roman"/>
          <w:b/>
          <w:bCs w:val="0"/>
          <w:color w:val="000000"/>
          <w:sz w:val="24"/>
          <w:lang w:val="en-US" w:eastAsia="zh-CN"/>
        </w:rPr>
        <w:t>-</w:t>
      </w:r>
      <w:r>
        <w:rPr>
          <w:rFonts w:hint="eastAsia" w:ascii="Times New Roman" w:hAnsi="Times New Roman" w:cs="Times New Roman"/>
          <w:b/>
          <w:bCs w:val="0"/>
          <w:color w:val="000000"/>
          <w:sz w:val="24"/>
          <w:lang w:val="en-US" w:eastAsia="zh-CN"/>
        </w:rPr>
        <w:t>1</w:t>
      </w:r>
      <w:r>
        <w:rPr>
          <w:rFonts w:hint="eastAsia" w:cs="Times New Roman"/>
          <w:b/>
          <w:bCs w:val="0"/>
          <w:color w:val="000000"/>
          <w:sz w:val="24"/>
          <w:lang w:val="en-US" w:eastAsia="zh-CN"/>
        </w:rPr>
        <w:t>2</w:t>
      </w:r>
      <w:r>
        <w:rPr>
          <w:rFonts w:hint="default" w:ascii="Times New Roman" w:hAnsi="Times New Roman" w:eastAsia="宋体" w:cs="Times New Roman"/>
          <w:b/>
          <w:bCs w:val="0"/>
          <w:color w:val="000000"/>
          <w:sz w:val="24"/>
        </w:rPr>
        <w:t>建筑施工场界环境噪声排放限值</w:t>
      </w:r>
      <w:r>
        <w:rPr>
          <w:rFonts w:hint="default" w:ascii="Times New Roman" w:hAnsi="Times New Roman" w:eastAsia="宋体" w:cs="Times New Roman"/>
          <w:b/>
          <w:bCs w:val="0"/>
          <w:color w:val="000000"/>
          <w:sz w:val="24"/>
          <w:lang w:val="en-US" w:eastAsia="zh-CN"/>
        </w:rPr>
        <w:t xml:space="preserve"> </w:t>
      </w:r>
      <w:r>
        <w:rPr>
          <w:rFonts w:hint="default" w:ascii="Times New Roman" w:hAnsi="Times New Roman" w:eastAsia="宋体" w:cs="Times New Roman"/>
          <w:b/>
          <w:bCs w:val="0"/>
          <w:color w:val="000000"/>
          <w:sz w:val="24"/>
        </w:rPr>
        <w:t>单位：dB（A）</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64"/>
        <w:gridCol w:w="3740"/>
      </w:tblGrid>
      <w:tr w14:paraId="3A01E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4" w:type="dxa"/>
            <w:tcBorders>
              <w:tl2br w:val="nil"/>
              <w:tr2bl w:val="nil"/>
            </w:tcBorders>
            <w:noWrap w:val="0"/>
            <w:vAlign w:val="center"/>
          </w:tcPr>
          <w:p w14:paraId="39CA9452">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昼间</w:t>
            </w:r>
          </w:p>
        </w:tc>
        <w:tc>
          <w:tcPr>
            <w:tcW w:w="3740" w:type="dxa"/>
            <w:tcBorders>
              <w:tl2br w:val="nil"/>
              <w:tr2bl w:val="nil"/>
            </w:tcBorders>
            <w:noWrap w:val="0"/>
            <w:vAlign w:val="center"/>
          </w:tcPr>
          <w:p w14:paraId="529F6194">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夜间</w:t>
            </w:r>
          </w:p>
        </w:tc>
      </w:tr>
      <w:tr w14:paraId="20ECD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4" w:type="dxa"/>
            <w:tcBorders>
              <w:tl2br w:val="nil"/>
              <w:tr2bl w:val="nil"/>
            </w:tcBorders>
            <w:noWrap w:val="0"/>
            <w:vAlign w:val="center"/>
          </w:tcPr>
          <w:p w14:paraId="18D4B4EA">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70</w:t>
            </w:r>
          </w:p>
        </w:tc>
        <w:tc>
          <w:tcPr>
            <w:tcW w:w="3740" w:type="dxa"/>
            <w:tcBorders>
              <w:tl2br w:val="nil"/>
              <w:tr2bl w:val="nil"/>
            </w:tcBorders>
            <w:noWrap w:val="0"/>
            <w:vAlign w:val="center"/>
          </w:tcPr>
          <w:p w14:paraId="7B6CCEE9">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55</w:t>
            </w:r>
          </w:p>
        </w:tc>
      </w:tr>
    </w:tbl>
    <w:p w14:paraId="365E579F">
      <w:pPr>
        <w:widowControl/>
        <w:spacing w:line="360" w:lineRule="auto"/>
        <w:ind w:firstLine="480" w:firstLineChars="200"/>
        <w:rPr>
          <w:rFonts w:hint="default" w:ascii="Times New Roman" w:hAnsi="Times New Roman" w:eastAsia="宋体" w:cs="Times New Roman"/>
          <w:sz w:val="24"/>
          <w:szCs w:val="24"/>
          <w:lang w:eastAsia="zh-CN"/>
        </w:rPr>
      </w:pPr>
      <w:bookmarkStart w:id="212" w:name="_Toc13827"/>
      <w:r>
        <w:rPr>
          <w:rFonts w:hint="default" w:ascii="Times New Roman" w:hAnsi="Times New Roman" w:eastAsia="宋体" w:cs="Times New Roman"/>
          <w:sz w:val="24"/>
          <w:szCs w:val="24"/>
          <w:lang w:eastAsia="zh-CN"/>
        </w:rPr>
        <w:t>②</w:t>
      </w:r>
      <w:r>
        <w:rPr>
          <w:rFonts w:hint="eastAsia" w:cs="Times New Roman"/>
          <w:sz w:val="24"/>
          <w:szCs w:val="24"/>
          <w:lang w:eastAsia="zh-CN"/>
        </w:rPr>
        <w:t>厂</w:t>
      </w:r>
      <w:r>
        <w:rPr>
          <w:rFonts w:hint="default" w:ascii="Times New Roman" w:hAnsi="Times New Roman" w:eastAsia="宋体" w:cs="Times New Roman"/>
          <w:sz w:val="24"/>
          <w:szCs w:val="24"/>
          <w:lang w:eastAsia="zh-CN"/>
        </w:rPr>
        <w:t>界噪声执行《工业企业厂界环境噪声排放标准》（GB12348-2008）中的</w:t>
      </w: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lang w:eastAsia="zh-CN"/>
        </w:rPr>
        <w:t>类标准，即昼间6</w:t>
      </w:r>
      <w:r>
        <w:rPr>
          <w:rFonts w:hint="eastAsia" w:ascii="Times New Roman" w:hAnsi="Times New Roman" w:cs="Times New Roman"/>
          <w:sz w:val="24"/>
          <w:szCs w:val="24"/>
          <w:lang w:val="en-US" w:eastAsia="zh-CN"/>
        </w:rPr>
        <w:t>0</w:t>
      </w:r>
      <w:r>
        <w:rPr>
          <w:rFonts w:hint="default" w:ascii="Times New Roman" w:hAnsi="Times New Roman" w:eastAsia="宋体" w:cs="Times New Roman"/>
          <w:sz w:val="24"/>
          <w:szCs w:val="24"/>
          <w:lang w:eastAsia="zh-CN"/>
        </w:rPr>
        <w:t>dB（A），夜间</w:t>
      </w:r>
      <w:r>
        <w:rPr>
          <w:rFonts w:hint="eastAsia" w:ascii="Times New Roman" w:hAnsi="Times New Roman" w:cs="Times New Roman"/>
          <w:sz w:val="24"/>
          <w:szCs w:val="24"/>
          <w:lang w:val="en-US" w:eastAsia="zh-CN"/>
        </w:rPr>
        <w:t>50</w:t>
      </w:r>
      <w:r>
        <w:rPr>
          <w:rFonts w:hint="default" w:ascii="Times New Roman" w:hAnsi="Times New Roman" w:eastAsia="宋体" w:cs="Times New Roman"/>
          <w:sz w:val="24"/>
          <w:szCs w:val="24"/>
          <w:lang w:eastAsia="zh-CN"/>
        </w:rPr>
        <w:t>dB（A）。</w:t>
      </w:r>
    </w:p>
    <w:p w14:paraId="12A7E27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kern w:val="2"/>
          <w:sz w:val="24"/>
          <w:szCs w:val="24"/>
          <w:lang w:val="en-US" w:eastAsia="zh-CN" w:bidi="ar-SA"/>
        </w:rPr>
      </w:pPr>
      <w:r>
        <w:rPr>
          <w:rFonts w:hint="default" w:ascii="Times New Roman" w:hAnsi="Times New Roman" w:eastAsia="宋体" w:cs="Times New Roman"/>
          <w:b/>
          <w:bCs w:val="0"/>
          <w:kern w:val="2"/>
          <w:sz w:val="24"/>
          <w:szCs w:val="24"/>
          <w:lang w:val="en-US" w:eastAsia="zh-CN" w:bidi="ar-SA"/>
        </w:rPr>
        <w:t>2.</w:t>
      </w:r>
      <w:r>
        <w:rPr>
          <w:rFonts w:hint="eastAsia" w:cs="Times New Roman"/>
          <w:b/>
          <w:bCs w:val="0"/>
          <w:kern w:val="2"/>
          <w:sz w:val="24"/>
          <w:szCs w:val="24"/>
          <w:lang w:val="en-US" w:eastAsia="zh-CN" w:bidi="ar-SA"/>
        </w:rPr>
        <w:t>5</w:t>
      </w:r>
      <w:r>
        <w:rPr>
          <w:rFonts w:hint="default" w:ascii="Times New Roman" w:hAnsi="Times New Roman" w:eastAsia="宋体" w:cs="Times New Roman"/>
          <w:b/>
          <w:bCs w:val="0"/>
          <w:kern w:val="2"/>
          <w:sz w:val="24"/>
          <w:szCs w:val="24"/>
          <w:lang w:val="en-US" w:eastAsia="zh-CN" w:bidi="ar-SA"/>
        </w:rPr>
        <w:t>.2.4固体废物</w:t>
      </w:r>
    </w:p>
    <w:p w14:paraId="4B0B59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highlight w:val="yellow"/>
        </w:rPr>
      </w:pPr>
      <w:r>
        <w:rPr>
          <w:rFonts w:hint="default" w:ascii="Times New Roman" w:hAnsi="Times New Roman" w:eastAsia="宋体" w:cs="Times New Roman"/>
          <w:color w:val="000000"/>
          <w:sz w:val="24"/>
          <w:szCs w:val="24"/>
          <w:highlight w:val="none"/>
        </w:rPr>
        <w:t>《畜禽养殖业污染物排放标准》</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GB18596-2001</w:t>
      </w:r>
      <w:r>
        <w:rPr>
          <w:rFonts w:hint="default" w:ascii="Times New Roman" w:hAnsi="Times New Roman" w:eastAsia="宋体" w:cs="Times New Roman"/>
          <w:color w:val="000000"/>
          <w:sz w:val="24"/>
          <w:szCs w:val="24"/>
          <w:highlight w:val="none"/>
          <w:lang w:eastAsia="zh-CN"/>
        </w:rPr>
        <w:t>）</w:t>
      </w:r>
      <w:r>
        <w:rPr>
          <w:rFonts w:hint="eastAsia" w:cs="Times New Roman"/>
          <w:color w:val="000000"/>
          <w:sz w:val="24"/>
          <w:szCs w:val="24"/>
          <w:highlight w:val="none"/>
          <w:lang w:val="en-US" w:eastAsia="zh-CN"/>
        </w:rPr>
        <w:t>固体畜禽粪便经过堆肥处理后应符合表2.5-13的卫生学要求</w:t>
      </w:r>
      <w:r>
        <w:rPr>
          <w:rFonts w:hint="default" w:ascii="Times New Roman" w:hAnsi="Times New Roman" w:eastAsia="宋体" w:cs="Times New Roman"/>
          <w:color w:val="000000"/>
          <w:sz w:val="24"/>
          <w:szCs w:val="24"/>
          <w:highlight w:val="none"/>
        </w:rPr>
        <w:t>。</w:t>
      </w:r>
    </w:p>
    <w:p w14:paraId="02211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highlight w:val="none"/>
        </w:rPr>
      </w:pPr>
      <w:r>
        <w:rPr>
          <w:rFonts w:hint="eastAsia" w:cs="Times New Roman"/>
          <w:color w:val="000000"/>
          <w:sz w:val="24"/>
          <w:szCs w:val="24"/>
          <w:highlight w:val="none"/>
          <w:lang w:val="en-US" w:eastAsia="zh-CN"/>
        </w:rPr>
        <w:t>畜禽粪便及废垫料</w:t>
      </w:r>
      <w:r>
        <w:rPr>
          <w:rFonts w:hint="default" w:ascii="Times New Roman" w:hAnsi="Times New Roman" w:eastAsia="宋体" w:cs="Times New Roman"/>
          <w:color w:val="000000"/>
          <w:sz w:val="24"/>
          <w:szCs w:val="24"/>
          <w:highlight w:val="none"/>
        </w:rPr>
        <w:t>经无害化处置，</w:t>
      </w:r>
      <w:r>
        <w:rPr>
          <w:rFonts w:hint="eastAsia" w:cs="Times New Roman"/>
          <w:color w:val="000000"/>
          <w:sz w:val="24"/>
          <w:szCs w:val="24"/>
          <w:highlight w:val="none"/>
          <w:lang w:val="en-US" w:eastAsia="zh-CN"/>
        </w:rPr>
        <w:t>根据</w:t>
      </w:r>
      <w:r>
        <w:rPr>
          <w:rFonts w:hint="default" w:ascii="Times New Roman" w:hAnsi="Times New Roman" w:eastAsia="宋体" w:cs="Times New Roman"/>
          <w:color w:val="000000"/>
          <w:sz w:val="24"/>
          <w:szCs w:val="24"/>
          <w:highlight w:val="none"/>
          <w:lang w:val="en-US" w:eastAsia="zh-CN"/>
        </w:rPr>
        <w:t>《畜禽粪便无害化处理技术规范》（GB/T 36195-2018）</w:t>
      </w:r>
      <w:r>
        <w:rPr>
          <w:rFonts w:hint="eastAsia" w:cs="Times New Roman"/>
          <w:color w:val="000000"/>
          <w:sz w:val="24"/>
          <w:szCs w:val="24"/>
          <w:highlight w:val="none"/>
          <w:lang w:val="en-US" w:eastAsia="zh-CN"/>
        </w:rPr>
        <w:t>，畜禽粪便经无害化处理后直接还田利用的，应符合GB/T25246的规定。因此本项目粪便无害化处理后符合</w:t>
      </w:r>
      <w:r>
        <w:rPr>
          <w:rFonts w:hint="default" w:ascii="Times New Roman" w:hAnsi="Times New Roman" w:eastAsia="宋体" w:cs="Times New Roman"/>
          <w:color w:val="000000"/>
          <w:sz w:val="24"/>
          <w:szCs w:val="24"/>
          <w:highlight w:val="none"/>
          <w:lang w:val="en-US" w:eastAsia="zh-CN"/>
        </w:rPr>
        <w:t>《畜禽粪肥还田技术规范》（GB/T25246-2025）</w:t>
      </w:r>
      <w:r>
        <w:rPr>
          <w:rFonts w:hint="eastAsia" w:cs="Times New Roman"/>
          <w:color w:val="000000"/>
          <w:sz w:val="24"/>
          <w:szCs w:val="24"/>
          <w:highlight w:val="none"/>
          <w:lang w:val="en-US" w:eastAsia="zh-CN"/>
        </w:rPr>
        <w:t>以及《粪便无害化卫生要求》（GB 7959-2012）要求</w:t>
      </w:r>
      <w:r>
        <w:rPr>
          <w:rFonts w:hint="default" w:ascii="Times New Roman" w:hAnsi="Times New Roman" w:eastAsia="宋体" w:cs="Times New Roman"/>
          <w:color w:val="000000"/>
          <w:sz w:val="24"/>
          <w:szCs w:val="24"/>
          <w:highlight w:val="none"/>
        </w:rPr>
        <w:t>，见表2.</w:t>
      </w:r>
      <w:r>
        <w:rPr>
          <w:rFonts w:hint="eastAsia" w:cs="Times New Roman"/>
          <w:color w:val="000000"/>
          <w:sz w:val="24"/>
          <w:szCs w:val="24"/>
          <w:highlight w:val="none"/>
          <w:lang w:val="en-US" w:eastAsia="zh-CN"/>
        </w:rPr>
        <w:t>5</w:t>
      </w:r>
      <w:r>
        <w:rPr>
          <w:rFonts w:hint="default" w:ascii="Times New Roman" w:hAnsi="Times New Roman" w:eastAsia="宋体" w:cs="Times New Roman"/>
          <w:color w:val="000000"/>
          <w:sz w:val="24"/>
          <w:szCs w:val="24"/>
          <w:highlight w:val="none"/>
        </w:rPr>
        <w:t>-</w:t>
      </w:r>
      <w:r>
        <w:rPr>
          <w:rFonts w:hint="eastAsia" w:ascii="Times New Roman" w:hAnsi="Times New Roman" w:cs="Times New Roman"/>
          <w:color w:val="000000"/>
          <w:sz w:val="24"/>
          <w:szCs w:val="24"/>
          <w:highlight w:val="none"/>
          <w:lang w:val="en-US" w:eastAsia="zh-CN"/>
        </w:rPr>
        <w:t>1</w:t>
      </w:r>
      <w:r>
        <w:rPr>
          <w:rFonts w:hint="eastAsia" w:cs="Times New Roman"/>
          <w:color w:val="000000"/>
          <w:sz w:val="24"/>
          <w:szCs w:val="24"/>
          <w:highlight w:val="none"/>
          <w:lang w:val="en-US" w:eastAsia="zh-CN"/>
        </w:rPr>
        <w:t>4</w:t>
      </w:r>
      <w:r>
        <w:rPr>
          <w:rFonts w:hint="default" w:ascii="Times New Roman" w:hAnsi="Times New Roman" w:eastAsia="宋体" w:cs="Times New Roman"/>
          <w:color w:val="000000"/>
          <w:sz w:val="24"/>
          <w:szCs w:val="24"/>
          <w:highlight w:val="none"/>
        </w:rPr>
        <w:t>的规定。</w:t>
      </w:r>
    </w:p>
    <w:p w14:paraId="4FBF94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lang w:val="en-US" w:eastAsia="zh-CN" w:bidi="ar-SA"/>
        </w:rPr>
      </w:pPr>
      <w:r>
        <w:rPr>
          <w:rFonts w:hint="default" w:ascii="Times New Roman" w:hAnsi="Times New Roman" w:eastAsia="宋体" w:cs="Times New Roman"/>
          <w:b/>
          <w:bCs/>
          <w:color w:val="000000"/>
          <w:kern w:val="2"/>
          <w:sz w:val="24"/>
          <w:szCs w:val="24"/>
          <w:lang w:val="en-US" w:eastAsia="zh-CN" w:bidi="ar-SA"/>
        </w:rPr>
        <w:t>表2.</w:t>
      </w:r>
      <w:r>
        <w:rPr>
          <w:rFonts w:hint="eastAsia" w:cs="Times New Roman"/>
          <w:b/>
          <w:bCs/>
          <w:color w:val="000000"/>
          <w:kern w:val="2"/>
          <w:sz w:val="24"/>
          <w:szCs w:val="24"/>
          <w:lang w:val="en-US" w:eastAsia="zh-CN" w:bidi="ar-SA"/>
        </w:rPr>
        <w:t>5</w:t>
      </w:r>
      <w:r>
        <w:rPr>
          <w:rFonts w:hint="default" w:ascii="Times New Roman" w:hAnsi="Times New Roman" w:eastAsia="宋体" w:cs="Times New Roman"/>
          <w:b/>
          <w:bCs/>
          <w:color w:val="000000"/>
          <w:kern w:val="2"/>
          <w:sz w:val="24"/>
          <w:szCs w:val="24"/>
          <w:lang w:val="en-US" w:eastAsia="zh-CN" w:bidi="ar-SA"/>
        </w:rPr>
        <w:t>-</w:t>
      </w:r>
      <w:r>
        <w:rPr>
          <w:rFonts w:hint="eastAsia" w:ascii="Times New Roman" w:hAnsi="Times New Roman" w:eastAsia="宋体" w:cs="Times New Roman"/>
          <w:b/>
          <w:bCs/>
          <w:color w:val="000000"/>
          <w:kern w:val="2"/>
          <w:sz w:val="24"/>
          <w:szCs w:val="24"/>
          <w:lang w:val="en-US" w:eastAsia="zh-CN" w:bidi="ar-SA"/>
        </w:rPr>
        <w:t>1</w:t>
      </w:r>
      <w:r>
        <w:rPr>
          <w:rFonts w:hint="eastAsia" w:cs="Times New Roman"/>
          <w:b/>
          <w:bCs/>
          <w:color w:val="000000"/>
          <w:kern w:val="2"/>
          <w:sz w:val="24"/>
          <w:szCs w:val="24"/>
          <w:lang w:val="en-US" w:eastAsia="zh-CN" w:bidi="ar-SA"/>
        </w:rPr>
        <w:t>3</w:t>
      </w:r>
      <w:r>
        <w:rPr>
          <w:rFonts w:hint="default" w:ascii="Times New Roman" w:hAnsi="Times New Roman" w:eastAsia="宋体" w:cs="Times New Roman"/>
          <w:b/>
          <w:bCs/>
          <w:color w:val="000000"/>
          <w:kern w:val="2"/>
          <w:sz w:val="24"/>
          <w:szCs w:val="24"/>
          <w:lang w:val="en-US" w:eastAsia="zh-CN" w:bidi="ar-SA"/>
        </w:rPr>
        <w:t>畜禽养殖业废渣无害化环境标准</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72"/>
        <w:gridCol w:w="4132"/>
      </w:tblGrid>
      <w:tr w14:paraId="5BB31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0F4C7D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控制项目</w:t>
            </w:r>
          </w:p>
        </w:tc>
        <w:tc>
          <w:tcPr>
            <w:tcW w:w="4132" w:type="dxa"/>
            <w:tcBorders>
              <w:tl2br w:val="nil"/>
              <w:tr2bl w:val="nil"/>
            </w:tcBorders>
            <w:noWrap w:val="0"/>
            <w:vAlign w:val="center"/>
          </w:tcPr>
          <w:p w14:paraId="256E26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指标</w:t>
            </w:r>
          </w:p>
        </w:tc>
      </w:tr>
      <w:tr w14:paraId="615AE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062ACA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蛔虫卵</w:t>
            </w:r>
          </w:p>
        </w:tc>
        <w:tc>
          <w:tcPr>
            <w:tcW w:w="4132" w:type="dxa"/>
            <w:tcBorders>
              <w:tl2br w:val="nil"/>
              <w:tr2bl w:val="nil"/>
            </w:tcBorders>
            <w:noWrap w:val="0"/>
            <w:vAlign w:val="center"/>
          </w:tcPr>
          <w:p w14:paraId="5D4C08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死亡率≥95%</w:t>
            </w:r>
          </w:p>
        </w:tc>
      </w:tr>
      <w:tr w14:paraId="25FE93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6E43D6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粪大肠杆菌群数</w:t>
            </w:r>
          </w:p>
        </w:tc>
        <w:tc>
          <w:tcPr>
            <w:tcW w:w="4132" w:type="dxa"/>
            <w:tcBorders>
              <w:tl2br w:val="nil"/>
              <w:tr2bl w:val="nil"/>
            </w:tcBorders>
            <w:noWrap w:val="0"/>
            <w:vAlign w:val="center"/>
          </w:tcPr>
          <w:p w14:paraId="67853A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≤10</w:t>
            </w:r>
            <w:r>
              <w:rPr>
                <w:rFonts w:hint="default" w:ascii="Times New Roman" w:hAnsi="Times New Roman" w:eastAsia="宋体" w:cs="Times New Roman"/>
                <w:color w:val="000000"/>
                <w:sz w:val="21"/>
                <w:szCs w:val="21"/>
                <w:vertAlign w:val="superscript"/>
              </w:rPr>
              <w:t>5</w:t>
            </w:r>
            <w:r>
              <w:rPr>
                <w:rFonts w:hint="default" w:ascii="Times New Roman" w:hAnsi="Times New Roman" w:eastAsia="宋体" w:cs="Times New Roman"/>
                <w:color w:val="000000"/>
                <w:sz w:val="21"/>
                <w:szCs w:val="21"/>
              </w:rPr>
              <w:t>个/kg</w:t>
            </w:r>
          </w:p>
        </w:tc>
      </w:tr>
    </w:tbl>
    <w:p w14:paraId="6A952F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lang w:val="en-US" w:eastAsia="zh-CN" w:bidi="ar-SA"/>
        </w:rPr>
      </w:pPr>
      <w:r>
        <w:rPr>
          <w:rFonts w:hint="default" w:ascii="Times New Roman" w:hAnsi="Times New Roman" w:eastAsia="宋体" w:cs="Times New Roman"/>
          <w:b/>
          <w:bCs/>
          <w:color w:val="000000"/>
          <w:kern w:val="2"/>
          <w:sz w:val="24"/>
          <w:szCs w:val="24"/>
          <w:lang w:val="en-US" w:eastAsia="zh-CN" w:bidi="ar-SA"/>
        </w:rPr>
        <w:t>表</w:t>
      </w:r>
      <w:r>
        <w:rPr>
          <w:rFonts w:hint="eastAsia" w:ascii="Times New Roman" w:hAnsi="Times New Roman" w:eastAsia="宋体" w:cs="Times New Roman"/>
          <w:b/>
          <w:bCs/>
          <w:color w:val="000000"/>
          <w:kern w:val="2"/>
          <w:sz w:val="24"/>
          <w:szCs w:val="24"/>
          <w:lang w:val="en-US" w:eastAsia="zh-CN" w:bidi="ar-SA"/>
        </w:rPr>
        <w:t>2.7-14还田</w:t>
      </w:r>
      <w:r>
        <w:rPr>
          <w:rFonts w:hint="default" w:ascii="Times New Roman" w:hAnsi="Times New Roman" w:eastAsia="宋体" w:cs="Times New Roman"/>
          <w:b/>
          <w:bCs/>
          <w:color w:val="000000"/>
          <w:kern w:val="2"/>
          <w:sz w:val="24"/>
          <w:szCs w:val="24"/>
          <w:lang w:val="en-US" w:eastAsia="zh-CN" w:bidi="ar-SA"/>
        </w:rPr>
        <w:t>技术指标要求</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72"/>
        <w:gridCol w:w="4132"/>
      </w:tblGrid>
      <w:tr w14:paraId="6A7C3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5D865F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控制项目</w:t>
            </w:r>
          </w:p>
        </w:tc>
        <w:tc>
          <w:tcPr>
            <w:tcW w:w="4132" w:type="dxa"/>
            <w:tcBorders>
              <w:tl2br w:val="nil"/>
              <w:tr2bl w:val="nil"/>
            </w:tcBorders>
            <w:noWrap w:val="0"/>
            <w:vAlign w:val="center"/>
          </w:tcPr>
          <w:p w14:paraId="150652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指标</w:t>
            </w:r>
          </w:p>
        </w:tc>
      </w:tr>
      <w:tr w14:paraId="2FF1C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4" w:type="dxa"/>
            <w:gridSpan w:val="2"/>
            <w:tcBorders>
              <w:tl2br w:val="nil"/>
              <w:tr2bl w:val="nil"/>
            </w:tcBorders>
            <w:noWrap w:val="0"/>
            <w:vAlign w:val="center"/>
          </w:tcPr>
          <w:p w14:paraId="5B674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lang w:val="en-US"/>
              </w:rPr>
            </w:pPr>
            <w:r>
              <w:rPr>
                <w:rFonts w:hint="default" w:ascii="Times New Roman" w:hAnsi="Times New Roman" w:eastAsia="宋体" w:cs="Times New Roman"/>
                <w:b w:val="0"/>
                <w:bCs w:val="0"/>
                <w:color w:val="000000"/>
                <w:sz w:val="21"/>
                <w:szCs w:val="21"/>
                <w:lang w:val="en-US" w:eastAsia="zh-CN"/>
              </w:rPr>
              <w:t>《畜禽粪肥还田技术规范》（GB/T25246-2025）</w:t>
            </w:r>
            <w:r>
              <w:rPr>
                <w:rFonts w:hint="eastAsia" w:cs="Times New Roman"/>
                <w:b w:val="0"/>
                <w:bCs w:val="0"/>
                <w:color w:val="000000"/>
                <w:sz w:val="21"/>
                <w:szCs w:val="21"/>
                <w:lang w:val="en-US" w:eastAsia="zh-CN"/>
              </w:rPr>
              <w:t>固体粪肥卫生学指标</w:t>
            </w:r>
          </w:p>
        </w:tc>
      </w:tr>
      <w:tr w14:paraId="3447D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591DD5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color w:val="000000"/>
                <w:sz w:val="21"/>
                <w:szCs w:val="21"/>
              </w:rPr>
              <w:t>蛔虫卵</w:t>
            </w:r>
          </w:p>
        </w:tc>
        <w:tc>
          <w:tcPr>
            <w:tcW w:w="4132" w:type="dxa"/>
            <w:tcBorders>
              <w:tl2br w:val="nil"/>
              <w:tr2bl w:val="nil"/>
            </w:tcBorders>
            <w:noWrap w:val="0"/>
            <w:vAlign w:val="center"/>
          </w:tcPr>
          <w:p w14:paraId="404431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color w:val="000000"/>
                <w:sz w:val="21"/>
                <w:szCs w:val="21"/>
              </w:rPr>
              <w:t>死亡率≥95%</w:t>
            </w:r>
          </w:p>
        </w:tc>
      </w:tr>
      <w:tr w14:paraId="7DBA5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26C5A4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color w:val="000000"/>
                <w:sz w:val="21"/>
                <w:szCs w:val="21"/>
              </w:rPr>
              <w:t>粪大肠菌</w:t>
            </w:r>
            <w:r>
              <w:rPr>
                <w:rFonts w:hint="eastAsia" w:ascii="Times New Roman" w:hAnsi="Times New Roman" w:cs="Times New Roman"/>
                <w:color w:val="000000"/>
                <w:sz w:val="21"/>
                <w:szCs w:val="21"/>
                <w:lang w:val="en-US" w:eastAsia="zh-CN"/>
              </w:rPr>
              <w:t>值</w:t>
            </w:r>
          </w:p>
        </w:tc>
        <w:tc>
          <w:tcPr>
            <w:tcW w:w="4132" w:type="dxa"/>
            <w:tcBorders>
              <w:tl2br w:val="nil"/>
              <w:tr2bl w:val="nil"/>
            </w:tcBorders>
            <w:noWrap w:val="0"/>
            <w:vAlign w:val="center"/>
          </w:tcPr>
          <w:p w14:paraId="388E2E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eastAsia" w:ascii="Times New Roman" w:hAnsi="Times New Roman" w:cs="Times New Roman"/>
                <w:color w:val="000000"/>
                <w:sz w:val="21"/>
                <w:szCs w:val="21"/>
                <w:lang w:val="en-US" w:eastAsia="zh-CN"/>
              </w:rPr>
              <w:t>10</w:t>
            </w:r>
            <w:r>
              <w:rPr>
                <w:rFonts w:hint="eastAsia" w:ascii="Times New Roman" w:hAnsi="Times New Roman" w:cs="Times New Roman"/>
                <w:color w:val="000000"/>
                <w:sz w:val="21"/>
                <w:szCs w:val="21"/>
                <w:vertAlign w:val="superscript"/>
                <w:lang w:val="en-US" w:eastAsia="zh-CN"/>
              </w:rPr>
              <w:t>-1</w:t>
            </w:r>
            <w:r>
              <w:rPr>
                <w:rFonts w:hint="eastAsia" w:ascii="Times New Roman" w:hAnsi="Times New Roman" w:cs="Times New Roman"/>
                <w:color w:val="000000"/>
                <w:sz w:val="21"/>
                <w:szCs w:val="21"/>
                <w:lang w:val="en-US" w:eastAsia="zh-CN"/>
              </w:rPr>
              <w:t>~10</w:t>
            </w:r>
            <w:r>
              <w:rPr>
                <w:rFonts w:hint="eastAsia" w:ascii="Times New Roman" w:hAnsi="Times New Roman" w:cs="Times New Roman"/>
                <w:color w:val="000000"/>
                <w:sz w:val="21"/>
                <w:szCs w:val="21"/>
                <w:vertAlign w:val="superscript"/>
                <w:lang w:val="en-US" w:eastAsia="zh-CN"/>
              </w:rPr>
              <w:t>-2</w:t>
            </w:r>
            <w:r>
              <w:rPr>
                <w:rFonts w:hint="default" w:ascii="Times New Roman" w:hAnsi="Times New Roman" w:eastAsia="宋体" w:cs="Times New Roman"/>
                <w:color w:val="000000"/>
                <w:sz w:val="21"/>
                <w:szCs w:val="21"/>
              </w:rPr>
              <w:t>个/kg</w:t>
            </w:r>
          </w:p>
        </w:tc>
      </w:tr>
      <w:tr w14:paraId="39BF5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63D31D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钩虫卵</w:t>
            </w:r>
          </w:p>
        </w:tc>
        <w:tc>
          <w:tcPr>
            <w:tcW w:w="4132" w:type="dxa"/>
            <w:tcBorders>
              <w:tl2br w:val="nil"/>
              <w:tr2bl w:val="nil"/>
            </w:tcBorders>
            <w:noWrap w:val="0"/>
            <w:vAlign w:val="center"/>
          </w:tcPr>
          <w:p w14:paraId="09596D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r>
      <w:tr w14:paraId="3BB7B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752B19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eastAsia" w:cs="Times New Roman"/>
                <w:color w:val="000000"/>
                <w:sz w:val="21"/>
                <w:szCs w:val="21"/>
                <w:lang w:val="en-US" w:eastAsia="zh-CN"/>
              </w:rPr>
              <w:t>蚊子、苍蝇</w:t>
            </w:r>
          </w:p>
        </w:tc>
        <w:tc>
          <w:tcPr>
            <w:tcW w:w="4132" w:type="dxa"/>
            <w:tcBorders>
              <w:tl2br w:val="nil"/>
              <w:tr2bl w:val="nil"/>
            </w:tcBorders>
            <w:noWrap w:val="0"/>
            <w:vAlign w:val="center"/>
          </w:tcPr>
          <w:p w14:paraId="31C75A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eastAsia" w:ascii="Times New Roman" w:hAnsi="Times New Roman" w:cs="Times New Roman"/>
                <w:color w:val="000000"/>
                <w:sz w:val="21"/>
                <w:szCs w:val="21"/>
                <w:lang w:val="en-US" w:eastAsia="zh-CN"/>
              </w:rPr>
              <w:t>无</w:t>
            </w:r>
            <w:r>
              <w:rPr>
                <w:rFonts w:hint="default" w:ascii="Times New Roman" w:hAnsi="Times New Roman" w:eastAsia="宋体" w:cs="Times New Roman"/>
                <w:color w:val="000000"/>
                <w:sz w:val="21"/>
                <w:szCs w:val="21"/>
              </w:rPr>
              <w:t>活的蛆、蛹或新羽化的成蝇</w:t>
            </w:r>
          </w:p>
        </w:tc>
      </w:tr>
      <w:tr w14:paraId="22C8B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4" w:type="dxa"/>
            <w:gridSpan w:val="2"/>
            <w:tcBorders>
              <w:tl2br w:val="nil"/>
              <w:tr2bl w:val="nil"/>
            </w:tcBorders>
            <w:noWrap w:val="0"/>
            <w:vAlign w:val="center"/>
          </w:tcPr>
          <w:p w14:paraId="7DEB2A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《粪便无害化卫生要求》（GB 7959-2012）好氧发酵的卫生要求</w:t>
            </w:r>
          </w:p>
        </w:tc>
      </w:tr>
      <w:tr w14:paraId="12817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64CB37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温度与持续时间</w:t>
            </w:r>
          </w:p>
        </w:tc>
        <w:tc>
          <w:tcPr>
            <w:tcW w:w="4132" w:type="dxa"/>
            <w:tcBorders>
              <w:tl2br w:val="nil"/>
              <w:tr2bl w:val="nil"/>
            </w:tcBorders>
            <w:noWrap w:val="0"/>
            <w:vAlign w:val="center"/>
          </w:tcPr>
          <w:p w14:paraId="5282D3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机械</w:t>
            </w:r>
            <w:r>
              <w:rPr>
                <w:rFonts w:hint="eastAsia" w:cs="Times New Roman"/>
                <w:color w:val="000000"/>
                <w:sz w:val="21"/>
                <w:szCs w:val="21"/>
                <w:lang w:val="en-US" w:eastAsia="zh-CN"/>
              </w:rPr>
              <w:t xml:space="preserve">  </w:t>
            </w:r>
            <w:r>
              <w:rPr>
                <w:rFonts w:hint="default" w:ascii="Times New Roman" w:hAnsi="Times New Roman" w:eastAsia="宋体" w:cs="Times New Roman"/>
                <w:color w:val="000000"/>
                <w:sz w:val="21"/>
                <w:szCs w:val="21"/>
                <w:lang w:val="en-US" w:eastAsia="zh-CN"/>
              </w:rPr>
              <w:t>堆温≥50°C，至少持续2d</w:t>
            </w:r>
          </w:p>
        </w:tc>
      </w:tr>
      <w:tr w14:paraId="05A82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21047D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沙门氏菌</w:t>
            </w:r>
          </w:p>
        </w:tc>
        <w:tc>
          <w:tcPr>
            <w:tcW w:w="4132" w:type="dxa"/>
            <w:tcBorders>
              <w:tl2br w:val="nil"/>
              <w:tr2bl w:val="nil"/>
            </w:tcBorders>
            <w:noWrap w:val="0"/>
            <w:vAlign w:val="center"/>
          </w:tcPr>
          <w:p w14:paraId="13DE49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不得检出</w:t>
            </w:r>
          </w:p>
        </w:tc>
      </w:tr>
    </w:tbl>
    <w:p w14:paraId="473A202D">
      <w:pPr>
        <w:widowControl w:val="0"/>
        <w:spacing w:line="360" w:lineRule="auto"/>
        <w:ind w:firstLine="480" w:firstLineChars="200"/>
        <w:jc w:val="both"/>
        <w:rPr>
          <w:rFonts w:hint="default" w:ascii="Times New Roman" w:hAnsi="Times New Roman" w:eastAsia="宋体" w:cs="宋体"/>
          <w:snapToGrid w:val="0"/>
          <w:color w:val="auto"/>
          <w:sz w:val="24"/>
          <w:szCs w:val="21"/>
          <w:lang w:val="en-US" w:eastAsia="zh-CN" w:bidi="ar-SA"/>
        </w:rPr>
      </w:pPr>
      <w:r>
        <w:rPr>
          <w:rFonts w:hint="eastAsia" w:ascii="Times New Roman" w:hAnsi="Times New Roman" w:eastAsia="宋体" w:cs="宋体"/>
          <w:snapToGrid w:val="0"/>
          <w:color w:val="auto"/>
          <w:sz w:val="24"/>
          <w:szCs w:val="21"/>
          <w:lang w:val="en-US" w:eastAsia="zh-CN" w:bidi="ar-SA"/>
        </w:rPr>
        <w:t>同时本项目有机肥应符合《</w:t>
      </w:r>
      <w:r>
        <w:rPr>
          <w:rFonts w:hint="default" w:ascii="Times New Roman" w:hAnsi="Times New Roman" w:eastAsia="宋体" w:cs="宋体"/>
          <w:snapToGrid w:val="0"/>
          <w:color w:val="auto"/>
          <w:sz w:val="24"/>
          <w:szCs w:val="21"/>
          <w:lang w:val="en-US" w:eastAsia="zh-CN" w:bidi="ar-SA"/>
        </w:rPr>
        <w:t>畜禽养殖业污染治理工程技术规范</w:t>
      </w:r>
      <w:r>
        <w:rPr>
          <w:rFonts w:hint="eastAsia" w:ascii="Times New Roman" w:hAnsi="Times New Roman" w:eastAsia="宋体" w:cs="宋体"/>
          <w:snapToGrid w:val="0"/>
          <w:color w:val="auto"/>
          <w:sz w:val="24"/>
          <w:szCs w:val="21"/>
          <w:lang w:val="en-US" w:eastAsia="zh-CN" w:bidi="ar-SA"/>
        </w:rPr>
        <w:t>》（HJ 497-2009）相关要求：</w:t>
      </w:r>
    </w:p>
    <w:p w14:paraId="5CB4EB0A">
      <w:pPr>
        <w:widowControl w:val="0"/>
        <w:spacing w:line="360" w:lineRule="auto"/>
        <w:ind w:firstLine="480" w:firstLineChars="200"/>
        <w:jc w:val="both"/>
        <w:rPr>
          <w:rFonts w:hint="default" w:ascii="Times New Roman" w:hAnsi="Times New Roman" w:eastAsia="宋体" w:cs="宋体"/>
          <w:snapToGrid w:val="0"/>
          <w:color w:val="auto"/>
          <w:sz w:val="24"/>
          <w:szCs w:val="21"/>
          <w:lang w:val="en-US" w:eastAsia="zh-CN" w:bidi="ar-SA"/>
        </w:rPr>
      </w:pPr>
      <w:r>
        <w:rPr>
          <w:rFonts w:hint="default" w:ascii="Times New Roman" w:hAnsi="Times New Roman" w:eastAsia="宋体" w:cs="宋体"/>
          <w:snapToGrid w:val="0"/>
          <w:color w:val="auto"/>
          <w:sz w:val="24"/>
          <w:szCs w:val="21"/>
          <w:lang w:val="en-US" w:eastAsia="zh-CN" w:bidi="ar-SA"/>
        </w:rPr>
        <w:t>①堆肥产品存放时，含水率应不高于30%，袋装堆肥含水率应不高于20%；②堆肥产品的含盐量应在1%</w:t>
      </w:r>
      <w:r>
        <w:rPr>
          <w:rFonts w:hint="eastAsia" w:cs="宋体"/>
          <w:snapToGrid w:val="0"/>
          <w:color w:val="auto"/>
          <w:sz w:val="24"/>
          <w:szCs w:val="21"/>
          <w:lang w:val="en-US" w:eastAsia="zh-CN" w:bidi="ar-SA"/>
        </w:rPr>
        <w:t>～</w:t>
      </w:r>
      <w:r>
        <w:rPr>
          <w:rFonts w:hint="default" w:ascii="Times New Roman" w:hAnsi="Times New Roman" w:eastAsia="宋体" w:cs="宋体"/>
          <w:snapToGrid w:val="0"/>
          <w:color w:val="auto"/>
          <w:sz w:val="24"/>
          <w:szCs w:val="21"/>
          <w:lang w:val="en-US" w:eastAsia="zh-CN" w:bidi="ar-SA"/>
        </w:rPr>
        <w:t>2%；</w:t>
      </w:r>
      <w:r>
        <w:rPr>
          <w:rFonts w:hint="eastAsia" w:ascii="Times New Roman" w:hAnsi="Times New Roman" w:eastAsia="宋体" w:cs="宋体"/>
          <w:snapToGrid w:val="0"/>
          <w:color w:val="auto"/>
          <w:sz w:val="24"/>
          <w:szCs w:val="21"/>
          <w:lang w:val="en-US" w:eastAsia="zh-CN" w:bidi="ar-SA"/>
        </w:rPr>
        <w:t>③</w:t>
      </w:r>
      <w:r>
        <w:rPr>
          <w:rFonts w:hint="default" w:ascii="Times New Roman" w:hAnsi="Times New Roman" w:eastAsia="宋体" w:cs="宋体"/>
          <w:snapToGrid w:val="0"/>
          <w:color w:val="auto"/>
          <w:sz w:val="24"/>
          <w:szCs w:val="21"/>
          <w:lang w:val="en-US" w:eastAsia="zh-CN" w:bidi="ar-SA"/>
        </w:rPr>
        <w:t>成品堆肥外观应为茶褐色或黑褐色，无恶臭，质地松散，具有泥土气味。</w:t>
      </w:r>
    </w:p>
    <w:p w14:paraId="1E9C3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eastAsia" w:cs="Times New Roman"/>
          <w:color w:val="000000"/>
          <w:sz w:val="24"/>
          <w:lang w:eastAsia="zh-CN"/>
        </w:rPr>
        <w:t>“</w:t>
      </w:r>
      <w:r>
        <w:rPr>
          <w:rFonts w:hint="default" w:ascii="Times New Roman" w:hAnsi="Times New Roman" w:eastAsia="宋体" w:cs="Times New Roman"/>
          <w:color w:val="000000"/>
          <w:sz w:val="24"/>
        </w:rPr>
        <w:t>为防治动物传染病而需要收集和处置的废物</w:t>
      </w:r>
      <w:r>
        <w:rPr>
          <w:rFonts w:hint="eastAsia" w:cs="Times New Roman"/>
          <w:color w:val="000000"/>
          <w:sz w:val="24"/>
          <w:lang w:eastAsia="zh-CN"/>
        </w:rPr>
        <w:t>”</w:t>
      </w:r>
      <w:r>
        <w:rPr>
          <w:rFonts w:hint="eastAsia" w:ascii="Times New Roman" w:hAnsi="Times New Roman" w:eastAsia="宋体" w:cs="Times New Roman"/>
          <w:color w:val="000000"/>
          <w:sz w:val="24"/>
          <w:lang w:val="en-US" w:eastAsia="zh-CN"/>
        </w:rPr>
        <w:t>由农业部门按照有关法律法规和技术规范进行监管，可以实现病害动物无害化处理和环境污染防控的目的，不宜再认定为危险废物集中处置项目。</w:t>
      </w:r>
      <w:r>
        <w:rPr>
          <w:rFonts w:hint="default" w:ascii="Times New Roman" w:hAnsi="Times New Roman" w:eastAsia="宋体" w:cs="Times New Roman"/>
          <w:color w:val="auto"/>
          <w:sz w:val="24"/>
        </w:rPr>
        <w:t>根据《畜禽养殖业污染防治技术规范》（HJ/T81-2001）的相关规定，病死畜禽尸体要及时处理，严禁随意丢弃，严禁出售或作为饲料再利用。</w:t>
      </w:r>
      <w:r>
        <w:rPr>
          <w:rFonts w:hint="eastAsia" w:ascii="Times New Roman" w:hAnsi="Times New Roman" w:cs="Times New Roman"/>
          <w:color w:val="auto"/>
          <w:sz w:val="24"/>
          <w:lang w:val="en-US" w:eastAsia="zh-CN"/>
        </w:rPr>
        <w:t>根据《畜禽规模养殖污染防治条例</w:t>
      </w:r>
      <w:r>
        <w:rPr>
          <w:rFonts w:hint="eastAsia" w:cs="Times New Roman"/>
          <w:color w:val="auto"/>
          <w:sz w:val="24"/>
          <w:lang w:val="en-US" w:eastAsia="zh-CN"/>
        </w:rPr>
        <w:t>》对</w:t>
      </w:r>
      <w:r>
        <w:rPr>
          <w:rFonts w:hint="eastAsia" w:ascii="Times New Roman" w:hAnsi="Times New Roman" w:eastAsia="宋体" w:cs="Times New Roman"/>
          <w:color w:val="000000"/>
          <w:sz w:val="24"/>
          <w:lang w:eastAsia="zh-CN"/>
        </w:rPr>
        <w:t>染疫畜禽以及染疫畜禽排泄物、染疫畜禽产品、病死或者死因不明的畜禽尸体等病害畜禽养殖废弃物，应当按照有关</w:t>
      </w:r>
      <w:r>
        <w:rPr>
          <w:rFonts w:hint="eastAsia" w:cs="Times New Roman"/>
          <w:color w:val="000000"/>
          <w:sz w:val="24"/>
          <w:lang w:eastAsia="zh-CN"/>
        </w:rPr>
        <w:t>法律法规</w:t>
      </w:r>
      <w:r>
        <w:rPr>
          <w:rFonts w:hint="eastAsia" w:ascii="Times New Roman" w:hAnsi="Times New Roman" w:eastAsia="宋体" w:cs="Times New Roman"/>
          <w:color w:val="000000"/>
          <w:sz w:val="24"/>
          <w:lang w:eastAsia="zh-CN"/>
        </w:rPr>
        <w:t>和国务院农牧主管部门的规定，进行深埋、化制、焚烧等无害化处理，不得随意处置。</w:t>
      </w:r>
      <w:r>
        <w:rPr>
          <w:rFonts w:hint="default" w:ascii="Times New Roman" w:hAnsi="Times New Roman" w:eastAsia="宋体" w:cs="Times New Roman"/>
          <w:color w:val="auto"/>
          <w:sz w:val="24"/>
        </w:rPr>
        <w:t>因此环评提出本项目</w:t>
      </w:r>
      <w:r>
        <w:rPr>
          <w:rFonts w:hint="eastAsia" w:cs="Times New Roman"/>
          <w:color w:val="auto"/>
          <w:sz w:val="24"/>
          <w:lang w:val="en-US" w:eastAsia="zh-CN"/>
        </w:rPr>
        <w:t>委托</w:t>
      </w:r>
      <w:r>
        <w:rPr>
          <w:rFonts w:hint="eastAsia" w:eastAsia="宋体" w:cs="Times New Roman"/>
          <w:color w:val="000000"/>
          <w:kern w:val="0"/>
          <w:sz w:val="24"/>
          <w:szCs w:val="24"/>
          <w:highlight w:val="none"/>
          <w:lang w:val="en-US" w:eastAsia="zh-CN"/>
        </w:rPr>
        <w:t>胡杨河市题桥环保科技有限公司</w:t>
      </w:r>
      <w:r>
        <w:rPr>
          <w:rFonts w:hint="eastAsia" w:cs="Times New Roman"/>
          <w:color w:val="auto"/>
          <w:sz w:val="24"/>
          <w:highlight w:val="none"/>
          <w:lang w:val="en-US" w:eastAsia="zh-CN"/>
        </w:rPr>
        <w:t>做无害化处置</w:t>
      </w:r>
      <w:r>
        <w:rPr>
          <w:rFonts w:hint="default" w:ascii="Times New Roman" w:hAnsi="Times New Roman" w:eastAsia="宋体" w:cs="Times New Roman"/>
          <w:color w:val="auto"/>
          <w:sz w:val="24"/>
          <w:highlight w:val="none"/>
        </w:rPr>
        <w:t>。</w:t>
      </w:r>
    </w:p>
    <w:p w14:paraId="2E15FF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lang w:val="en-US" w:eastAsia="zh-CN"/>
        </w:rPr>
      </w:pPr>
      <w:r>
        <w:rPr>
          <w:rFonts w:hint="eastAsia" w:cs="Times New Roman"/>
          <w:color w:val="000000"/>
          <w:sz w:val="24"/>
          <w:lang w:val="en-US" w:eastAsia="zh-CN"/>
        </w:rPr>
        <w:t>一般工业固废执行</w:t>
      </w:r>
      <w:r>
        <w:rPr>
          <w:rFonts w:hint="default" w:ascii="Times New Roman" w:hAnsi="Times New Roman" w:eastAsia="宋体" w:cs="Times New Roman"/>
          <w:color w:val="000000"/>
          <w:kern w:val="2"/>
          <w:sz w:val="24"/>
          <w:szCs w:val="24"/>
          <w:highlight w:val="none"/>
          <w:lang w:val="en-US" w:eastAsia="zh-CN" w:bidi="ar-SA"/>
        </w:rPr>
        <w:t>《一般工业固体废物贮存和填埋污染控制标准》</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GB18599-2020</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sz w:val="24"/>
        </w:rPr>
        <w:t>兽用医疗废物按照《医疗废物集中处置技术规范（试行）》规定，设置医疗废物</w:t>
      </w:r>
      <w:r>
        <w:rPr>
          <w:rFonts w:hint="eastAsia" w:cs="Times New Roman"/>
          <w:color w:val="000000"/>
          <w:sz w:val="24"/>
          <w:lang w:val="en-US" w:eastAsia="zh-CN"/>
        </w:rPr>
        <w:t>暂存间</w:t>
      </w:r>
      <w:r>
        <w:rPr>
          <w:rFonts w:hint="default" w:ascii="Times New Roman" w:hAnsi="Times New Roman" w:eastAsia="宋体" w:cs="Times New Roman"/>
          <w:color w:val="000000"/>
          <w:sz w:val="24"/>
        </w:rPr>
        <w:t>，对医疗废弃物进行分类暂存</w:t>
      </w:r>
      <w:r>
        <w:rPr>
          <w:rFonts w:hint="eastAsia" w:cs="Times New Roman"/>
          <w:color w:val="000000"/>
          <w:sz w:val="24"/>
          <w:lang w:eastAsia="zh-CN"/>
        </w:rPr>
        <w:t>，</w:t>
      </w:r>
      <w:r>
        <w:rPr>
          <w:rFonts w:hint="eastAsia" w:cs="Times New Roman"/>
          <w:color w:val="000000"/>
          <w:sz w:val="24"/>
          <w:lang w:val="en-US" w:eastAsia="zh-CN"/>
        </w:rPr>
        <w:t>危险废物</w:t>
      </w:r>
      <w:r>
        <w:rPr>
          <w:rFonts w:hint="default" w:ascii="Times New Roman" w:hAnsi="Times New Roman" w:eastAsia="宋体" w:cs="Times New Roman"/>
          <w:color w:val="000000"/>
          <w:sz w:val="24"/>
          <w:szCs w:val="24"/>
          <w:highlight w:val="none"/>
          <w:lang w:val="en-US" w:eastAsia="zh-CN" w:bidi="ar-SA"/>
        </w:rPr>
        <w:t>在厂区内的贮存执行《危险废物贮存污染控制标准》（GB18597-2023）</w:t>
      </w:r>
      <w:r>
        <w:rPr>
          <w:rFonts w:hint="default" w:ascii="Times New Roman" w:hAnsi="Times New Roman" w:eastAsia="宋体" w:cs="Times New Roman"/>
          <w:color w:val="000000"/>
          <w:sz w:val="24"/>
        </w:rPr>
        <w:t>。</w:t>
      </w:r>
    </w:p>
    <w:bookmarkEnd w:id="212"/>
    <w:p w14:paraId="54A8E173">
      <w:pPr>
        <w:keepNext w:val="0"/>
        <w:keepLines w:val="0"/>
        <w:widowControl w:val="0"/>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213" w:name="_Toc18589"/>
      <w:r>
        <w:rPr>
          <w:rFonts w:hint="default" w:ascii="Times New Roman" w:hAnsi="Times New Roman" w:eastAsia="宋体" w:cs="Times New Roman"/>
          <w:b/>
          <w:bCs/>
          <w:kern w:val="2"/>
          <w:sz w:val="30"/>
          <w:szCs w:val="30"/>
          <w:lang w:val="en-US" w:eastAsia="zh-CN" w:bidi="ar-SA"/>
        </w:rPr>
        <w:t>2.</w:t>
      </w:r>
      <w:r>
        <w:rPr>
          <w:rFonts w:hint="eastAsia" w:cs="Times New Roman"/>
          <w:b/>
          <w:bCs/>
          <w:kern w:val="2"/>
          <w:sz w:val="30"/>
          <w:szCs w:val="30"/>
          <w:lang w:val="en-US" w:eastAsia="zh-CN" w:bidi="ar-SA"/>
        </w:rPr>
        <w:t>6</w:t>
      </w:r>
      <w:r>
        <w:rPr>
          <w:rFonts w:hint="default" w:ascii="Times New Roman" w:hAnsi="Times New Roman" w:eastAsia="宋体" w:cs="Times New Roman"/>
          <w:b/>
          <w:bCs/>
          <w:kern w:val="2"/>
          <w:sz w:val="30"/>
          <w:szCs w:val="30"/>
          <w:lang w:val="en-US" w:eastAsia="zh-CN" w:bidi="ar-SA"/>
        </w:rPr>
        <w:t>评价等级及评价重点</w:t>
      </w:r>
      <w:bookmarkEnd w:id="183"/>
      <w:bookmarkEnd w:id="184"/>
      <w:bookmarkEnd w:id="185"/>
      <w:bookmarkEnd w:id="186"/>
      <w:bookmarkEnd w:id="213"/>
    </w:p>
    <w:p w14:paraId="0E420C39">
      <w:pPr>
        <w:keepNext w:val="0"/>
        <w:keepLines w:val="0"/>
        <w:widowControl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214" w:name="_Toc12585"/>
      <w:bookmarkStart w:id="215" w:name="_Toc24393"/>
      <w:r>
        <w:rPr>
          <w:rFonts w:hint="default"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6</w:t>
      </w:r>
      <w:r>
        <w:rPr>
          <w:rFonts w:hint="default" w:ascii="Times New Roman" w:hAnsi="Times New Roman" w:eastAsia="宋体" w:cs="Times New Roman"/>
          <w:b/>
          <w:bCs/>
          <w:kern w:val="2"/>
          <w:sz w:val="28"/>
          <w:szCs w:val="28"/>
          <w:lang w:val="en-US" w:eastAsia="zh-CN" w:bidi="ar-SA"/>
        </w:rPr>
        <w:t>.1评价等级</w:t>
      </w:r>
      <w:bookmarkEnd w:id="214"/>
      <w:bookmarkEnd w:id="215"/>
    </w:p>
    <w:p w14:paraId="09C16FB8">
      <w:pPr>
        <w:widowControl w:val="0"/>
        <w:spacing w:line="360" w:lineRule="auto"/>
        <w:jc w:val="both"/>
        <w:outlineLvl w:val="3"/>
        <w:rPr>
          <w:rFonts w:hint="default" w:ascii="Times New Roman" w:hAnsi="Times New Roman" w:eastAsia="宋体" w:cs="Times New Roman"/>
          <w:b/>
          <w:kern w:val="2"/>
          <w:sz w:val="21"/>
          <w:szCs w:val="24"/>
          <w:lang w:val="en-US" w:eastAsia="zh-CN" w:bidi="ar-SA"/>
        </w:rPr>
      </w:pPr>
      <w:r>
        <w:rPr>
          <w:rFonts w:hint="default" w:ascii="Times New Roman" w:hAnsi="Times New Roman" w:eastAsia="宋体" w:cs="Times New Roman"/>
          <w:b/>
          <w:kern w:val="2"/>
          <w:sz w:val="24"/>
          <w:szCs w:val="24"/>
          <w:lang w:val="en-US" w:eastAsia="zh-CN" w:bidi="ar-SA"/>
        </w:rPr>
        <w:t>2.</w:t>
      </w:r>
      <w:r>
        <w:rPr>
          <w:rFonts w:hint="eastAsia" w:cs="Times New Roman"/>
          <w:b/>
          <w:kern w:val="2"/>
          <w:sz w:val="24"/>
          <w:szCs w:val="24"/>
          <w:lang w:val="en-US" w:eastAsia="zh-CN" w:bidi="ar-SA"/>
        </w:rPr>
        <w:t>6</w:t>
      </w:r>
      <w:r>
        <w:rPr>
          <w:rFonts w:hint="default" w:ascii="Times New Roman" w:hAnsi="Times New Roman" w:eastAsia="宋体" w:cs="Times New Roman"/>
          <w:b/>
          <w:kern w:val="2"/>
          <w:sz w:val="24"/>
          <w:szCs w:val="24"/>
          <w:lang w:val="en-US" w:eastAsia="zh-CN" w:bidi="ar-SA"/>
        </w:rPr>
        <w:t>.1.1大气环境影响评价等级</w:t>
      </w:r>
    </w:p>
    <w:p w14:paraId="54EA0AF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t>（</w:t>
      </w:r>
      <w:r>
        <w:rPr>
          <w:rFonts w:hint="default" w:ascii="Times New Roman" w:hAnsi="Times New Roman" w:eastAsia="宋体" w:cs="Times New Roman"/>
          <w:kern w:val="2"/>
          <w:sz w:val="24"/>
          <w:szCs w:val="24"/>
          <w:lang w:val="en-US" w:eastAsia="zh-CN" w:bidi="ar-SA"/>
        </w:rPr>
        <w:t>1）判定依据</w:t>
      </w:r>
    </w:p>
    <w:p w14:paraId="6EB29A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zh-CN" w:eastAsia="zh-CN" w:bidi="ar-SA"/>
        </w:rPr>
      </w:pPr>
      <w:r>
        <w:rPr>
          <w:rFonts w:hint="default" w:ascii="Times New Roman" w:hAnsi="Times New Roman" w:eastAsia="宋体" w:cs="Times New Roman"/>
          <w:color w:val="000000"/>
          <w:kern w:val="2"/>
          <w:sz w:val="24"/>
          <w:szCs w:val="24"/>
          <w:lang w:val="en-US" w:eastAsia="zh-CN" w:bidi="ar-SA"/>
        </w:rPr>
        <w:t>式中：P</w:t>
      </w:r>
      <w:r>
        <w:rPr>
          <w:rFonts w:hint="default" w:ascii="Times New Roman" w:hAnsi="Times New Roman" w:eastAsia="宋体" w:cs="Times New Roman"/>
          <w:color w:val="000000"/>
          <w:kern w:val="2"/>
          <w:sz w:val="24"/>
          <w:szCs w:val="24"/>
          <w:vertAlign w:val="subscript"/>
          <w:lang w:val="en-US" w:eastAsia="zh-CN" w:bidi="ar-SA"/>
        </w:rPr>
        <w:t>i</w:t>
      </w:r>
      <w:r>
        <w:rPr>
          <w:rFonts w:hint="default" w:ascii="Times New Roman" w:hAnsi="Times New Roman" w:eastAsia="宋体" w:cs="Times New Roman"/>
          <w:color w:val="000000"/>
          <w:kern w:val="2"/>
          <w:sz w:val="24"/>
          <w:szCs w:val="24"/>
          <w:lang w:val="en-US" w:eastAsia="zh-CN" w:bidi="ar-SA"/>
        </w:rPr>
        <w:t>—第i</w:t>
      </w:r>
      <w:r>
        <w:rPr>
          <w:rFonts w:hint="default" w:ascii="Times New Roman" w:hAnsi="Times New Roman" w:eastAsia="宋体" w:cs="Times New Roman"/>
          <w:kern w:val="2"/>
          <w:sz w:val="24"/>
          <w:szCs w:val="24"/>
          <w:lang w:val="zh-CN" w:eastAsia="zh-CN" w:bidi="ar-SA"/>
        </w:rPr>
        <w:t>根据评价导则《环境影响评价技术导则</w:t>
      </w:r>
      <w:r>
        <w:rPr>
          <w:rFonts w:hint="eastAsia" w:ascii="Times New Roman" w:hAnsi="Times New Roman" w:eastAsia="宋体"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zh-CN" w:eastAsia="zh-CN" w:bidi="ar-SA"/>
        </w:rPr>
        <w:t>大气环境》（HJ2.2-2018）中5.3</w:t>
      </w:r>
      <w:r>
        <w:rPr>
          <w:rFonts w:hint="eastAsia" w:cs="Times New Roman"/>
          <w:kern w:val="2"/>
          <w:sz w:val="24"/>
          <w:szCs w:val="24"/>
          <w:lang w:val="zh-CN" w:eastAsia="zh-CN" w:bidi="ar-SA"/>
        </w:rPr>
        <w:t>“</w:t>
      </w:r>
      <w:r>
        <w:rPr>
          <w:rFonts w:hint="default" w:ascii="Times New Roman" w:hAnsi="Times New Roman" w:eastAsia="宋体" w:cs="Times New Roman"/>
          <w:kern w:val="2"/>
          <w:sz w:val="24"/>
          <w:szCs w:val="24"/>
          <w:lang w:val="zh-CN" w:eastAsia="zh-CN" w:bidi="ar-SA"/>
        </w:rPr>
        <w:t>评价等级判定</w:t>
      </w:r>
      <w:r>
        <w:rPr>
          <w:rFonts w:hint="eastAsia" w:cs="Times New Roman"/>
          <w:kern w:val="2"/>
          <w:sz w:val="24"/>
          <w:szCs w:val="24"/>
          <w:lang w:val="zh-CN" w:eastAsia="zh-CN" w:bidi="ar-SA"/>
        </w:rPr>
        <w:t>”</w:t>
      </w:r>
      <w:r>
        <w:rPr>
          <w:rFonts w:hint="default" w:ascii="Times New Roman" w:hAnsi="Times New Roman" w:eastAsia="宋体" w:cs="Times New Roman"/>
          <w:kern w:val="2"/>
          <w:sz w:val="24"/>
          <w:szCs w:val="24"/>
          <w:lang w:val="zh-CN" w:eastAsia="zh-CN" w:bidi="ar-SA"/>
        </w:rPr>
        <w:t>规定的方法核算，选择1-3种主要污染物，分别计算每一种污染物的最大地面浓度占标率Pi（第i个污染物），及第i个污染物的地面浓度达到标准值的10%时所对应的最远距离D</w:t>
      </w:r>
      <w:r>
        <w:rPr>
          <w:rFonts w:hint="default" w:ascii="Times New Roman" w:hAnsi="Times New Roman" w:eastAsia="宋体" w:cs="Times New Roman"/>
          <w:kern w:val="2"/>
          <w:sz w:val="24"/>
          <w:szCs w:val="24"/>
          <w:vertAlign w:val="subscript"/>
          <w:lang w:val="zh-CN" w:eastAsia="zh-CN" w:bidi="ar-SA"/>
        </w:rPr>
        <w:t>10%</w:t>
      </w:r>
      <w:r>
        <w:rPr>
          <w:rFonts w:hint="default" w:ascii="Times New Roman" w:hAnsi="Times New Roman" w:eastAsia="宋体" w:cs="Times New Roman"/>
          <w:kern w:val="2"/>
          <w:sz w:val="24"/>
          <w:szCs w:val="24"/>
          <w:lang w:val="zh-CN" w:eastAsia="zh-CN" w:bidi="ar-SA"/>
        </w:rPr>
        <w:t>。其中Pi定义为：</w:t>
      </w:r>
    </w:p>
    <w:p w14:paraId="76F5A0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drawing>
          <wp:inline distT="0" distB="0" distL="114300" distR="114300">
            <wp:extent cx="1162685" cy="476250"/>
            <wp:effectExtent l="0" t="0" r="18415" b="0"/>
            <wp:docPr id="176" name="图片 176" descr="16097297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1609729701(1)"/>
                    <pic:cNvPicPr>
                      <a:picLocks noChangeAspect="1"/>
                    </pic:cNvPicPr>
                  </pic:nvPicPr>
                  <pic:blipFill>
                    <a:blip r:embed="rId22"/>
                    <a:stretch>
                      <a:fillRect/>
                    </a:stretch>
                  </pic:blipFill>
                  <pic:spPr>
                    <a:xfrm>
                      <a:off x="0" y="0"/>
                      <a:ext cx="1162685" cy="476250"/>
                    </a:xfrm>
                    <a:prstGeom prst="rect">
                      <a:avLst/>
                    </a:prstGeom>
                  </pic:spPr>
                </pic:pic>
              </a:graphicData>
            </a:graphic>
          </wp:inline>
        </w:drawing>
      </w:r>
    </w:p>
    <w:p w14:paraId="755723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rPr>
      </w:pPr>
      <w:r>
        <w:rPr>
          <w:rFonts w:hint="eastAsia" w:ascii="Times New Roman" w:hAnsi="Times New Roman" w:cs="Times New Roman"/>
          <w:color w:val="000000"/>
          <w:sz w:val="24"/>
          <w:szCs w:val="24"/>
          <w:lang w:val="en-US" w:eastAsia="zh-CN"/>
        </w:rPr>
        <w:t>Pi—第i</w:t>
      </w:r>
      <w:r>
        <w:rPr>
          <w:rFonts w:hint="default" w:ascii="Times New Roman" w:hAnsi="Times New Roman" w:eastAsia="宋体" w:cs="Times New Roman"/>
          <w:color w:val="000000"/>
          <w:sz w:val="24"/>
          <w:szCs w:val="24"/>
        </w:rPr>
        <w:t>个污染物的最大地面空气质量浓度占标率，%；</w:t>
      </w:r>
    </w:p>
    <w:p w14:paraId="68B217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cs="Times New Roman"/>
          <w:color w:val="000000"/>
          <w:sz w:val="24"/>
          <w:szCs w:val="24"/>
          <w:vertAlign w:val="baseline"/>
          <w:lang w:val="en-US" w:eastAsia="zh-CN"/>
        </w:rPr>
        <w:t>ρ</w:t>
      </w:r>
      <w:r>
        <w:rPr>
          <w:rFonts w:hint="default" w:ascii="Times New Roman" w:hAnsi="Times New Roman" w:eastAsia="宋体" w:cs="Times New Roman"/>
          <w:color w:val="000000"/>
          <w:sz w:val="24"/>
          <w:szCs w:val="24"/>
          <w:vertAlign w:val="subscript"/>
        </w:rPr>
        <w:t>i</w:t>
      </w:r>
      <w:r>
        <w:rPr>
          <w:rFonts w:hint="default" w:ascii="Times New Roman" w:hAnsi="Times New Roman" w:eastAsia="宋体" w:cs="Times New Roman"/>
          <w:color w:val="000000"/>
          <w:sz w:val="24"/>
          <w:szCs w:val="24"/>
        </w:rPr>
        <w:t>—采用估算模型计算出的第i个污染物的最大1h地面空气质量浓度，μg/m</w:t>
      </w:r>
      <w:r>
        <w:rPr>
          <w:rFonts w:hint="default" w:ascii="Times New Roman" w:hAnsi="Times New Roman" w:eastAsia="宋体" w:cs="Times New Roman"/>
          <w:color w:val="000000"/>
          <w:sz w:val="24"/>
          <w:szCs w:val="24"/>
          <w:vertAlign w:val="superscript"/>
        </w:rPr>
        <w:t>3</w:t>
      </w:r>
      <w:r>
        <w:rPr>
          <w:rFonts w:hint="default" w:ascii="Times New Roman" w:hAnsi="Times New Roman" w:eastAsia="宋体" w:cs="Times New Roman"/>
          <w:color w:val="000000"/>
          <w:sz w:val="24"/>
          <w:szCs w:val="24"/>
        </w:rPr>
        <w:t>；</w:t>
      </w:r>
    </w:p>
    <w:p w14:paraId="3B494B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000000"/>
          <w:kern w:val="2"/>
          <w:sz w:val="24"/>
          <w:szCs w:val="24"/>
          <w:vertAlign w:val="baseline"/>
          <w:lang w:val="en-US" w:eastAsia="zh-CN" w:bidi="ar-SA"/>
        </w:rPr>
        <w:t>ρ</w:t>
      </w:r>
      <w:r>
        <w:rPr>
          <w:rFonts w:hint="default" w:ascii="Times New Roman" w:hAnsi="Times New Roman" w:eastAsia="宋体" w:cs="Times New Roman"/>
          <w:color w:val="000000"/>
          <w:kern w:val="2"/>
          <w:sz w:val="24"/>
          <w:szCs w:val="24"/>
          <w:vertAlign w:val="subscript"/>
          <w:lang w:val="en-US" w:eastAsia="zh-CN" w:bidi="ar-SA"/>
        </w:rPr>
        <w:t>0i</w:t>
      </w:r>
      <w:r>
        <w:rPr>
          <w:rFonts w:hint="default" w:ascii="Times New Roman" w:hAnsi="Times New Roman" w:eastAsia="宋体" w:cs="Times New Roman"/>
          <w:color w:val="000000"/>
          <w:kern w:val="2"/>
          <w:sz w:val="24"/>
          <w:szCs w:val="24"/>
          <w:lang w:val="en-US" w:eastAsia="zh-CN" w:bidi="ar-SA"/>
        </w:rPr>
        <w:t>—第i个污染物的环境空气质量浓度标准，μg/m</w:t>
      </w:r>
      <w:r>
        <w:rPr>
          <w:rFonts w:hint="default" w:ascii="Times New Roman" w:hAnsi="Times New Roman" w:eastAsia="宋体" w:cs="Times New Roman"/>
          <w:color w:val="000000"/>
          <w:kern w:val="2"/>
          <w:sz w:val="24"/>
          <w:szCs w:val="24"/>
          <w:vertAlign w:val="superscript"/>
          <w:lang w:val="en-US" w:eastAsia="zh-CN" w:bidi="ar-SA"/>
        </w:rPr>
        <w:t>3</w:t>
      </w:r>
    </w:p>
    <w:p w14:paraId="633FDD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0"/>
          <w:sz w:val="24"/>
          <w:szCs w:val="24"/>
          <w:lang w:val="zh-CN" w:eastAsia="zh-CN" w:bidi="ar-SA"/>
        </w:rPr>
      </w:pPr>
      <w:r>
        <w:rPr>
          <w:rFonts w:hint="default" w:ascii="Times New Roman" w:hAnsi="Times New Roman" w:eastAsia="宋体" w:cs="Times New Roman"/>
          <w:color w:val="000000"/>
          <w:kern w:val="2"/>
          <w:sz w:val="24"/>
          <w:szCs w:val="24"/>
          <w:vertAlign w:val="baseline"/>
          <w:lang w:val="en-US" w:eastAsia="zh-CN" w:bidi="ar-SA"/>
        </w:rPr>
        <w:t>ρ</w:t>
      </w:r>
      <w:r>
        <w:rPr>
          <w:rFonts w:hint="default" w:ascii="Times New Roman" w:hAnsi="Times New Roman" w:eastAsia="宋体" w:cs="Times New Roman"/>
          <w:color w:val="000000"/>
          <w:kern w:val="2"/>
          <w:sz w:val="24"/>
          <w:szCs w:val="24"/>
          <w:vertAlign w:val="subscript"/>
          <w:lang w:val="en-US" w:eastAsia="zh-CN" w:bidi="ar-SA"/>
        </w:rPr>
        <w:t>0i</w:t>
      </w:r>
      <w:r>
        <w:rPr>
          <w:rFonts w:hint="default" w:ascii="Times New Roman" w:hAnsi="Times New Roman" w:eastAsia="宋体" w:cs="Times New Roman"/>
          <w:kern w:val="0"/>
          <w:sz w:val="24"/>
          <w:szCs w:val="24"/>
          <w:lang w:val="zh-CN" w:eastAsia="zh-CN" w:bidi="ar-SA"/>
        </w:rPr>
        <w:t>一般选用《环境空气质量标准》（</w:t>
      </w:r>
      <w:r>
        <w:rPr>
          <w:rFonts w:hint="eastAsia" w:cs="Times New Roman"/>
          <w:kern w:val="0"/>
          <w:sz w:val="24"/>
          <w:szCs w:val="24"/>
          <w:lang w:val="zh-CN" w:eastAsia="zh-CN" w:bidi="ar-SA"/>
        </w:rPr>
        <w:t>GB 3095-2026</w:t>
      </w:r>
      <w:r>
        <w:rPr>
          <w:rFonts w:hint="default" w:ascii="Times New Roman" w:hAnsi="Times New Roman" w:eastAsia="宋体" w:cs="Times New Roman"/>
          <w:kern w:val="0"/>
          <w:sz w:val="24"/>
          <w:szCs w:val="24"/>
          <w:lang w:val="zh-CN" w:eastAsia="zh-CN" w:bidi="ar-SA"/>
        </w:rPr>
        <w:t>）中1小时</w:t>
      </w:r>
      <w:r>
        <w:rPr>
          <w:rFonts w:hint="eastAsia" w:ascii="Times New Roman" w:hAnsi="Times New Roman" w:eastAsia="宋体" w:cs="Times New Roman"/>
          <w:kern w:val="0"/>
          <w:sz w:val="24"/>
          <w:szCs w:val="24"/>
          <w:lang w:val="en-US" w:eastAsia="zh-CN" w:bidi="ar-SA"/>
        </w:rPr>
        <w:t>平均质量浓度的</w:t>
      </w:r>
      <w:r>
        <w:rPr>
          <w:rFonts w:hint="default" w:ascii="Times New Roman" w:hAnsi="Times New Roman" w:eastAsia="宋体" w:cs="Times New Roman"/>
          <w:kern w:val="0"/>
          <w:sz w:val="24"/>
          <w:szCs w:val="24"/>
          <w:lang w:val="zh-CN" w:eastAsia="zh-CN" w:bidi="ar-SA"/>
        </w:rPr>
        <w:t>二级浓度限值。对仅有 8 h平均质量浓度限值、日平均质量浓度限值或年平均质量浓度限值的，可分别按 2 倍、3 倍、6 倍折算为 1h 平均质量浓度限值；对该标准中未包含的污染物可参照《</w:t>
      </w:r>
      <w:r>
        <w:rPr>
          <w:rFonts w:hint="default" w:ascii="Times New Roman" w:hAnsi="Times New Roman" w:eastAsia="宋体" w:cs="Times New Roman"/>
          <w:kern w:val="2"/>
          <w:sz w:val="24"/>
          <w:szCs w:val="24"/>
          <w:lang w:val="en-US" w:eastAsia="zh-CN" w:bidi="ar-SA"/>
        </w:rPr>
        <w:t>环境影响评价技术导则</w:t>
      </w:r>
      <w:r>
        <w:rPr>
          <w:rFonts w:hint="eastAsia" w:ascii="Times New Roman" w:hAnsi="Times New Roman" w:eastAsia="宋体"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大气环境》（HJ2.2-2018）附录D.1</w:t>
      </w:r>
      <w:r>
        <w:rPr>
          <w:rFonts w:hint="default" w:ascii="Times New Roman" w:hAnsi="Times New Roman" w:eastAsia="宋体" w:cs="Times New Roman"/>
          <w:kern w:val="0"/>
          <w:sz w:val="24"/>
          <w:szCs w:val="24"/>
          <w:lang w:val="zh-CN" w:eastAsia="zh-CN" w:bidi="ar-SA"/>
        </w:rPr>
        <w:t>中</w:t>
      </w:r>
      <w:r>
        <w:rPr>
          <w:rFonts w:hint="eastAsia" w:ascii="Times New Roman" w:hAnsi="Times New Roman" w:eastAsia="宋体" w:cs="Times New Roman"/>
          <w:kern w:val="0"/>
          <w:sz w:val="24"/>
          <w:szCs w:val="24"/>
          <w:lang w:val="zh-CN" w:eastAsia="zh-CN" w:bidi="ar-SA"/>
        </w:rPr>
        <w:t>相关限值要求</w:t>
      </w:r>
      <w:r>
        <w:rPr>
          <w:rFonts w:hint="default" w:ascii="Times New Roman" w:hAnsi="Times New Roman" w:eastAsia="宋体" w:cs="Times New Roman"/>
          <w:kern w:val="0"/>
          <w:sz w:val="24"/>
          <w:szCs w:val="24"/>
          <w:lang w:val="zh-CN" w:eastAsia="zh-CN" w:bidi="ar-SA"/>
        </w:rPr>
        <w:t>。</w:t>
      </w:r>
    </w:p>
    <w:p w14:paraId="6B23C7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评价工作等级按表2.</w:t>
      </w:r>
      <w:r>
        <w:rPr>
          <w:rFonts w:hint="eastAsia" w:cs="Times New Roman"/>
          <w:kern w:val="2"/>
          <w:sz w:val="24"/>
          <w:szCs w:val="24"/>
          <w:lang w:val="en-US" w:eastAsia="zh-CN" w:bidi="ar-SA"/>
        </w:rPr>
        <w:t>6</w:t>
      </w:r>
      <w:r>
        <w:rPr>
          <w:rFonts w:hint="default" w:ascii="Times New Roman" w:hAnsi="Times New Roman" w:eastAsia="宋体" w:cs="Times New Roman"/>
          <w:kern w:val="2"/>
          <w:sz w:val="24"/>
          <w:szCs w:val="24"/>
          <w:lang w:val="en-US" w:eastAsia="zh-CN" w:bidi="ar-SA"/>
        </w:rPr>
        <w:t>-1进行划分，如污染物数i大于1，取P值中最大者（P</w:t>
      </w:r>
      <w:r>
        <w:rPr>
          <w:rFonts w:hint="default" w:ascii="Times New Roman" w:hAnsi="Times New Roman" w:eastAsia="宋体" w:cs="Times New Roman"/>
          <w:kern w:val="2"/>
          <w:sz w:val="24"/>
          <w:szCs w:val="24"/>
          <w:vertAlign w:val="subscript"/>
          <w:lang w:val="en-US" w:eastAsia="zh-CN" w:bidi="ar-SA"/>
        </w:rPr>
        <w:t>max</w:t>
      </w:r>
      <w:r>
        <w:rPr>
          <w:rFonts w:hint="default" w:ascii="Times New Roman" w:hAnsi="Times New Roman" w:eastAsia="宋体" w:cs="Times New Roman"/>
          <w:kern w:val="2"/>
          <w:sz w:val="24"/>
          <w:szCs w:val="24"/>
          <w:lang w:val="en-US" w:eastAsia="zh-CN" w:bidi="ar-SA"/>
        </w:rPr>
        <w:t>）。</w:t>
      </w:r>
    </w:p>
    <w:p w14:paraId="65468CD8">
      <w:pPr>
        <w:keepNext w:val="0"/>
        <w:keepLines w:val="0"/>
        <w:pageBreakBefore w:val="0"/>
        <w:widowControl w:val="0"/>
        <w:kinsoku/>
        <w:wordWrap/>
        <w:overflowPunct/>
        <w:topLinePunct w:val="0"/>
        <w:autoSpaceDE/>
        <w:autoSpaceDN/>
        <w:bidi w:val="0"/>
        <w:adjustRightInd/>
        <w:snapToGrid/>
        <w:spacing w:line="360" w:lineRule="auto"/>
        <w:ind w:firstLine="420"/>
        <w:jc w:val="center"/>
        <w:textAlignment w:val="auto"/>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表2.</w:t>
      </w:r>
      <w:r>
        <w:rPr>
          <w:rFonts w:hint="eastAsia" w:cs="Times New Roman"/>
          <w:b/>
          <w:kern w:val="0"/>
          <w:sz w:val="24"/>
          <w:szCs w:val="24"/>
          <w:lang w:val="en-US" w:eastAsia="zh-CN" w:bidi="ar-SA"/>
        </w:rPr>
        <w:t>6</w:t>
      </w:r>
      <w:r>
        <w:rPr>
          <w:rFonts w:hint="default" w:ascii="Times New Roman" w:hAnsi="Times New Roman" w:eastAsia="宋体" w:cs="Times New Roman"/>
          <w:b/>
          <w:kern w:val="0"/>
          <w:sz w:val="24"/>
          <w:szCs w:val="24"/>
          <w:lang w:val="en-US" w:eastAsia="zh-CN" w:bidi="ar-SA"/>
        </w:rPr>
        <w:t>-1环境空气影响评价工作等级判别表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31"/>
        <w:gridCol w:w="6473"/>
      </w:tblGrid>
      <w:tr w14:paraId="4360CF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1" w:type="dxa"/>
            <w:tcMar>
              <w:left w:w="0" w:type="dxa"/>
              <w:right w:w="0" w:type="dxa"/>
            </w:tcMar>
            <w:vAlign w:val="center"/>
          </w:tcPr>
          <w:p w14:paraId="3649AF19">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szCs w:val="21"/>
              </w:rPr>
            </w:pPr>
            <w:r>
              <w:rPr>
                <w:rFonts w:hint="default" w:ascii="Times New Roman" w:hAnsi="Times New Roman" w:eastAsia="宋体" w:cs="Times New Roman"/>
                <w:b/>
                <w:szCs w:val="21"/>
              </w:rPr>
              <w:t>评价等级</w:t>
            </w:r>
          </w:p>
        </w:tc>
        <w:tc>
          <w:tcPr>
            <w:tcW w:w="6473" w:type="dxa"/>
            <w:vAlign w:val="center"/>
          </w:tcPr>
          <w:p w14:paraId="3857898E">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szCs w:val="21"/>
              </w:rPr>
            </w:pPr>
            <w:r>
              <w:rPr>
                <w:rFonts w:hint="default" w:ascii="Times New Roman" w:hAnsi="Times New Roman" w:eastAsia="宋体" w:cs="Times New Roman"/>
                <w:b/>
                <w:szCs w:val="21"/>
              </w:rPr>
              <w:t>评价工作分级判据</w:t>
            </w:r>
          </w:p>
        </w:tc>
      </w:tr>
      <w:tr w14:paraId="7562B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1" w:type="dxa"/>
            <w:tcMar>
              <w:left w:w="0" w:type="dxa"/>
              <w:right w:w="0" w:type="dxa"/>
            </w:tcMar>
            <w:vAlign w:val="center"/>
          </w:tcPr>
          <w:p w14:paraId="4FD09727">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一级</w:t>
            </w:r>
          </w:p>
        </w:tc>
        <w:tc>
          <w:tcPr>
            <w:tcW w:w="6473" w:type="dxa"/>
            <w:vAlign w:val="center"/>
          </w:tcPr>
          <w:p w14:paraId="75E9A303">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P</w:t>
            </w:r>
            <w:r>
              <w:rPr>
                <w:rFonts w:hint="default" w:ascii="Times New Roman" w:hAnsi="Times New Roman" w:eastAsia="宋体" w:cs="Times New Roman"/>
                <w:szCs w:val="21"/>
                <w:vertAlign w:val="subscript"/>
              </w:rPr>
              <w:t>max</w:t>
            </w:r>
            <w:r>
              <w:rPr>
                <w:rFonts w:hint="default" w:ascii="Times New Roman" w:hAnsi="Times New Roman" w:eastAsia="宋体" w:cs="Times New Roman"/>
                <w:szCs w:val="21"/>
              </w:rPr>
              <w:t>≥10%</w:t>
            </w:r>
          </w:p>
        </w:tc>
      </w:tr>
      <w:tr w14:paraId="62455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1" w:type="dxa"/>
            <w:tcMar>
              <w:left w:w="0" w:type="dxa"/>
              <w:right w:w="0" w:type="dxa"/>
            </w:tcMar>
            <w:vAlign w:val="center"/>
          </w:tcPr>
          <w:p w14:paraId="6CE7C531">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二级</w:t>
            </w:r>
          </w:p>
        </w:tc>
        <w:tc>
          <w:tcPr>
            <w:tcW w:w="6473" w:type="dxa"/>
            <w:vAlign w:val="center"/>
          </w:tcPr>
          <w:p w14:paraId="73F38866">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1%≤P</w:t>
            </w:r>
            <w:r>
              <w:rPr>
                <w:rFonts w:hint="default" w:ascii="Times New Roman" w:hAnsi="Times New Roman" w:eastAsia="宋体" w:cs="Times New Roman"/>
                <w:szCs w:val="21"/>
                <w:vertAlign w:val="subscript"/>
              </w:rPr>
              <w:t>max</w:t>
            </w:r>
            <w:r>
              <w:rPr>
                <w:rFonts w:hint="default" w:ascii="Times New Roman" w:hAnsi="Times New Roman" w:eastAsia="宋体" w:cs="Times New Roman"/>
                <w:szCs w:val="21"/>
              </w:rPr>
              <w:t>&lt;10%</w:t>
            </w:r>
          </w:p>
        </w:tc>
      </w:tr>
      <w:tr w14:paraId="1B3C41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1" w:type="dxa"/>
            <w:tcMar>
              <w:left w:w="0" w:type="dxa"/>
              <w:right w:w="0" w:type="dxa"/>
            </w:tcMar>
            <w:vAlign w:val="center"/>
          </w:tcPr>
          <w:p w14:paraId="168A8866">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三级</w:t>
            </w:r>
          </w:p>
        </w:tc>
        <w:tc>
          <w:tcPr>
            <w:tcW w:w="6473" w:type="dxa"/>
            <w:vAlign w:val="center"/>
          </w:tcPr>
          <w:p w14:paraId="338C88BF">
            <w:pPr>
              <w:keepNext w:val="0"/>
              <w:keepLines w:val="0"/>
              <w:pageBreakBefore w:val="0"/>
              <w:widowControl w:val="0"/>
              <w:tabs>
                <w:tab w:val="left" w:pos="558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P</w:t>
            </w:r>
            <w:r>
              <w:rPr>
                <w:rFonts w:hint="default" w:ascii="Times New Roman" w:hAnsi="Times New Roman" w:eastAsia="宋体" w:cs="Times New Roman"/>
                <w:szCs w:val="21"/>
                <w:vertAlign w:val="subscript"/>
              </w:rPr>
              <w:t>max</w:t>
            </w:r>
            <w:r>
              <w:rPr>
                <w:rFonts w:hint="default" w:ascii="Times New Roman" w:hAnsi="Times New Roman" w:eastAsia="宋体" w:cs="Times New Roman"/>
                <w:szCs w:val="21"/>
              </w:rPr>
              <w:t>﹤1%</w:t>
            </w:r>
          </w:p>
        </w:tc>
      </w:tr>
    </w:tbl>
    <w:p w14:paraId="3BE41C0D">
      <w:pPr>
        <w:widowControl w:val="0"/>
        <w:spacing w:line="360" w:lineRule="auto"/>
        <w:ind w:firstLine="480" w:firstLineChars="200"/>
        <w:jc w:val="both"/>
        <w:rPr>
          <w:rFonts w:hint="default" w:ascii="Times New Roman" w:hAnsi="Times New Roman" w:eastAsia="宋体" w:cs="Times New Roman"/>
          <w:snapToGrid w:val="0"/>
          <w:kern w:val="0"/>
          <w:sz w:val="24"/>
          <w:szCs w:val="24"/>
          <w:lang w:val="zh-CN" w:eastAsia="zh-CN" w:bidi="ar-SA"/>
        </w:rPr>
      </w:pPr>
      <w:r>
        <w:rPr>
          <w:rFonts w:hint="default" w:ascii="Times New Roman" w:hAnsi="Times New Roman" w:eastAsia="宋体" w:cs="Times New Roman"/>
          <w:snapToGrid w:val="0"/>
          <w:kern w:val="0"/>
          <w:sz w:val="24"/>
          <w:szCs w:val="24"/>
          <w:lang w:val="zh-CN" w:eastAsia="zh-CN" w:bidi="ar-SA"/>
        </w:rPr>
        <w:t>评价等级的确定还应符合以下规定：</w:t>
      </w:r>
    </w:p>
    <w:p w14:paraId="23B3251D">
      <w:pPr>
        <w:widowControl w:val="0"/>
        <w:spacing w:line="360" w:lineRule="auto"/>
        <w:ind w:firstLine="480" w:firstLineChars="200"/>
        <w:jc w:val="both"/>
        <w:rPr>
          <w:rFonts w:hint="default" w:ascii="Times New Roman" w:hAnsi="Times New Roman" w:eastAsia="宋体" w:cs="Times New Roman"/>
          <w:snapToGrid w:val="0"/>
          <w:kern w:val="0"/>
          <w:sz w:val="24"/>
          <w:szCs w:val="24"/>
          <w:lang w:val="zh-CN" w:eastAsia="zh-CN" w:bidi="ar-SA"/>
        </w:rPr>
      </w:pPr>
      <w:r>
        <w:rPr>
          <w:rFonts w:hint="default" w:ascii="Times New Roman" w:hAnsi="Times New Roman" w:eastAsia="宋体" w:cs="Times New Roman"/>
          <w:snapToGrid w:val="0"/>
          <w:kern w:val="0"/>
          <w:sz w:val="24"/>
          <w:szCs w:val="24"/>
          <w:lang w:val="zh-CN" w:eastAsia="zh-CN" w:bidi="ar-SA"/>
        </w:rPr>
        <w:t>同一评价项目有多个（两个以上，含两个）污染源排放同一种污染物时，则按各污染源分别确定其评价等级，并取评价级别最高者作为项目的评价等级。</w:t>
      </w:r>
    </w:p>
    <w:p w14:paraId="15C1E2AE">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（2）判别估算过程</w:t>
      </w:r>
    </w:p>
    <w:p w14:paraId="2D4B8049">
      <w:pPr>
        <w:widowControl w:val="0"/>
        <w:spacing w:line="520" w:lineRule="exact"/>
        <w:ind w:firstLine="480" w:firstLineChars="200"/>
        <w:jc w:val="both"/>
        <w:rPr>
          <w:rFonts w:hint="default" w:ascii="Times New Roman" w:hAnsi="Times New Roman" w:eastAsia="宋体" w:cs="Times New Roman"/>
          <w:kern w:val="2"/>
          <w:sz w:val="24"/>
          <w:szCs w:val="24"/>
          <w:lang w:val="en-US"/>
        </w:rPr>
      </w:pPr>
      <w:r>
        <w:rPr>
          <w:rFonts w:hint="default" w:ascii="Times New Roman" w:hAnsi="Times New Roman" w:eastAsia="宋体" w:cs="Times New Roman"/>
          <w:bCs/>
          <w:snapToGrid w:val="0"/>
          <w:color w:val="auto"/>
          <w:kern w:val="0"/>
          <w:sz w:val="24"/>
          <w:szCs w:val="24"/>
          <w:highlight w:val="none"/>
          <w:lang w:val="zh-CN" w:eastAsia="zh-CN" w:bidi="ar-SA"/>
        </w:rPr>
        <w:t>本项目</w:t>
      </w:r>
      <w:r>
        <w:rPr>
          <w:rFonts w:hint="default" w:ascii="Times New Roman" w:hAnsi="Times New Roman" w:eastAsia="宋体" w:cs="Times New Roman"/>
          <w:kern w:val="2"/>
          <w:sz w:val="24"/>
          <w:szCs w:val="24"/>
          <w:lang w:val="en-US"/>
        </w:rPr>
        <w:t>估算模型参数见表</w:t>
      </w:r>
      <w:r>
        <w:rPr>
          <w:rFonts w:hint="eastAsia" w:ascii="Times New Roman" w:hAnsi="Times New Roman" w:eastAsia="宋体" w:cs="Times New Roman"/>
          <w:kern w:val="2"/>
          <w:sz w:val="24"/>
          <w:szCs w:val="24"/>
          <w:lang w:val="en-US" w:eastAsia="zh-CN"/>
        </w:rPr>
        <w:t>2.</w:t>
      </w:r>
      <w:r>
        <w:rPr>
          <w:rFonts w:hint="eastAsia" w:cs="Times New Roman"/>
          <w:kern w:val="2"/>
          <w:sz w:val="24"/>
          <w:szCs w:val="24"/>
          <w:lang w:val="en-US" w:eastAsia="zh-CN"/>
        </w:rPr>
        <w:t>6</w:t>
      </w:r>
      <w:r>
        <w:rPr>
          <w:rFonts w:hint="eastAsia" w:ascii="Times New Roman" w:hAnsi="Times New Roman" w:eastAsia="宋体" w:cs="Times New Roman"/>
          <w:kern w:val="2"/>
          <w:sz w:val="24"/>
          <w:szCs w:val="24"/>
          <w:lang w:val="en-US" w:eastAsia="zh-CN"/>
        </w:rPr>
        <w:t>-2</w:t>
      </w:r>
      <w:r>
        <w:rPr>
          <w:rFonts w:hint="default" w:ascii="Times New Roman" w:hAnsi="Times New Roman" w:eastAsia="宋体" w:cs="Times New Roman"/>
          <w:kern w:val="2"/>
          <w:sz w:val="24"/>
          <w:szCs w:val="24"/>
          <w:lang w:val="en-US"/>
        </w:rPr>
        <w:t>。</w:t>
      </w:r>
    </w:p>
    <w:p w14:paraId="64268BC4">
      <w:pPr>
        <w:bidi w:val="0"/>
        <w:spacing w:line="360" w:lineRule="auto"/>
        <w:jc w:val="center"/>
        <w:rPr>
          <w:rFonts w:hint="default" w:ascii="Times New Roman" w:hAnsi="Times New Roman" w:eastAsia="宋体" w:cs="Times New Roman"/>
          <w:b/>
          <w:bCs/>
          <w:kern w:val="2"/>
          <w:sz w:val="24"/>
          <w:szCs w:val="24"/>
          <w:lang w:val="en-US"/>
        </w:rPr>
      </w:pPr>
      <w:r>
        <w:rPr>
          <w:rFonts w:hint="default" w:ascii="Times New Roman" w:hAnsi="Times New Roman" w:eastAsia="宋体" w:cs="Times New Roman"/>
          <w:b/>
          <w:bCs/>
          <w:kern w:val="2"/>
          <w:sz w:val="24"/>
          <w:szCs w:val="24"/>
          <w:lang w:val="en-US"/>
        </w:rPr>
        <w:t>表</w:t>
      </w:r>
      <w:r>
        <w:rPr>
          <w:rFonts w:hint="eastAsia" w:ascii="Times New Roman" w:hAnsi="Times New Roman" w:eastAsia="宋体" w:cs="Times New Roman"/>
          <w:b/>
          <w:bCs/>
          <w:kern w:val="2"/>
          <w:sz w:val="24"/>
          <w:szCs w:val="24"/>
          <w:lang w:val="en-US" w:eastAsia="zh-CN"/>
        </w:rPr>
        <w:t>2.</w:t>
      </w:r>
      <w:r>
        <w:rPr>
          <w:rFonts w:hint="eastAsia" w:cs="Times New Roman"/>
          <w:b/>
          <w:bCs/>
          <w:kern w:val="2"/>
          <w:sz w:val="24"/>
          <w:szCs w:val="24"/>
          <w:lang w:val="en-US" w:eastAsia="zh-CN"/>
        </w:rPr>
        <w:t>6</w:t>
      </w:r>
      <w:r>
        <w:rPr>
          <w:rFonts w:hint="eastAsia" w:ascii="Times New Roman" w:hAnsi="Times New Roman" w:eastAsia="宋体" w:cs="Times New Roman"/>
          <w:b/>
          <w:bCs/>
          <w:kern w:val="2"/>
          <w:sz w:val="24"/>
          <w:szCs w:val="24"/>
          <w:lang w:val="en-US" w:eastAsia="zh-CN"/>
        </w:rPr>
        <w:t>-2</w:t>
      </w:r>
      <w:r>
        <w:rPr>
          <w:rFonts w:hint="default" w:ascii="Times New Roman" w:hAnsi="Times New Roman" w:eastAsia="宋体" w:cs="Times New Roman"/>
          <w:b/>
          <w:bCs/>
          <w:kern w:val="2"/>
          <w:sz w:val="24"/>
          <w:szCs w:val="24"/>
          <w:lang w:val="en-US"/>
        </w:rPr>
        <w:t>估算模型参数表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396"/>
        <w:gridCol w:w="4299"/>
        <w:gridCol w:w="2809"/>
      </w:tblGrid>
      <w:tr w14:paraId="57689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350171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参数</w:t>
            </w:r>
          </w:p>
        </w:tc>
        <w:tc>
          <w:tcPr>
            <w:tcW w:w="1651" w:type="pct"/>
            <w:tcBorders>
              <w:tl2br w:val="nil"/>
              <w:tr2bl w:val="nil"/>
            </w:tcBorders>
            <w:noWrap w:val="0"/>
            <w:vAlign w:val="center"/>
          </w:tcPr>
          <w:p w14:paraId="35CB5C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取值</w:t>
            </w:r>
          </w:p>
        </w:tc>
      </w:tr>
      <w:tr w14:paraId="52C8D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restart"/>
            <w:tcBorders>
              <w:tl2br w:val="nil"/>
              <w:tr2bl w:val="nil"/>
            </w:tcBorders>
            <w:noWrap w:val="0"/>
            <w:vAlign w:val="center"/>
          </w:tcPr>
          <w:p w14:paraId="1F5AE9C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城市/农村选项</w:t>
            </w:r>
          </w:p>
        </w:tc>
        <w:tc>
          <w:tcPr>
            <w:tcW w:w="2527" w:type="pct"/>
            <w:tcBorders>
              <w:tl2br w:val="nil"/>
              <w:tr2bl w:val="nil"/>
            </w:tcBorders>
            <w:noWrap w:val="0"/>
            <w:vAlign w:val="center"/>
          </w:tcPr>
          <w:p w14:paraId="27411A8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w:t>
            </w:r>
          </w:p>
        </w:tc>
        <w:tc>
          <w:tcPr>
            <w:tcW w:w="1651" w:type="pct"/>
            <w:tcBorders>
              <w:tl2br w:val="nil"/>
              <w:tr2bl w:val="nil"/>
            </w:tcBorders>
            <w:noWrap w:val="0"/>
            <w:vAlign w:val="center"/>
          </w:tcPr>
          <w:p w14:paraId="78D94C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农村</w:t>
            </w:r>
          </w:p>
        </w:tc>
      </w:tr>
      <w:tr w14:paraId="77E75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051488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3BAC59D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人口数（城市选项时）</w:t>
            </w:r>
          </w:p>
        </w:tc>
        <w:tc>
          <w:tcPr>
            <w:tcW w:w="1651" w:type="pct"/>
            <w:tcBorders>
              <w:tl2br w:val="nil"/>
              <w:tr2bl w:val="nil"/>
            </w:tcBorders>
            <w:noWrap w:val="0"/>
            <w:vAlign w:val="center"/>
          </w:tcPr>
          <w:p w14:paraId="1521BA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23307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15D551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最高环境温度/℃</w:t>
            </w:r>
          </w:p>
        </w:tc>
        <w:tc>
          <w:tcPr>
            <w:tcW w:w="2809" w:type="dxa"/>
            <w:tcBorders>
              <w:tl2br w:val="nil"/>
              <w:tr2bl w:val="nil"/>
            </w:tcBorders>
            <w:noWrap w:val="0"/>
            <w:vAlign w:val="center"/>
          </w:tcPr>
          <w:p w14:paraId="27819736">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lang w:val="en-US" w:eastAsia="zh-CN"/>
              </w:rPr>
            </w:pPr>
            <w:r>
              <w:rPr>
                <w:rFonts w:hint="eastAsia" w:cs="Times New Roman"/>
                <w:bCs/>
                <w:color w:val="000000"/>
                <w:kern w:val="2"/>
                <w:sz w:val="21"/>
                <w:szCs w:val="21"/>
                <w:lang w:val="en-US" w:eastAsia="zh-CN"/>
              </w:rPr>
              <w:t>40.7</w:t>
            </w:r>
          </w:p>
        </w:tc>
      </w:tr>
      <w:tr w14:paraId="19D1F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65C9C7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最低环境温度/℃</w:t>
            </w:r>
          </w:p>
        </w:tc>
        <w:tc>
          <w:tcPr>
            <w:tcW w:w="2809" w:type="dxa"/>
            <w:tcBorders>
              <w:tl2br w:val="nil"/>
              <w:tr2bl w:val="nil"/>
            </w:tcBorders>
            <w:noWrap w:val="0"/>
            <w:vAlign w:val="center"/>
          </w:tcPr>
          <w:p w14:paraId="56DEF994">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Cs/>
                <w:color w:val="000000"/>
                <w:kern w:val="2"/>
                <w:sz w:val="21"/>
                <w:szCs w:val="21"/>
              </w:rPr>
              <w:t>-</w:t>
            </w:r>
            <w:r>
              <w:rPr>
                <w:rFonts w:hint="eastAsia" w:cs="Times New Roman"/>
                <w:bCs/>
                <w:color w:val="000000"/>
                <w:kern w:val="2"/>
                <w:sz w:val="21"/>
                <w:szCs w:val="21"/>
                <w:lang w:val="en-US" w:eastAsia="zh-CN"/>
              </w:rPr>
              <w:t>27.3</w:t>
            </w:r>
          </w:p>
        </w:tc>
      </w:tr>
      <w:tr w14:paraId="03F4A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088339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土地利用类型</w:t>
            </w:r>
          </w:p>
        </w:tc>
        <w:tc>
          <w:tcPr>
            <w:tcW w:w="2809" w:type="dxa"/>
            <w:tcBorders>
              <w:tl2br w:val="nil"/>
              <w:tr2bl w:val="nil"/>
            </w:tcBorders>
            <w:noWrap w:val="0"/>
            <w:vAlign w:val="top"/>
          </w:tcPr>
          <w:p w14:paraId="50E84641">
            <w:pPr>
              <w:widowControl w:val="0"/>
              <w:overflowPunct w:val="0"/>
              <w:autoSpaceDE w:val="0"/>
              <w:autoSpaceDN w:val="0"/>
              <w:adjustRightInd w:val="0"/>
              <w:snapToGrid w:val="0"/>
              <w:spacing w:before="0" w:after="0" w:line="320" w:lineRule="exact"/>
              <w:ind w:right="0" w:rightChars="0"/>
              <w:jc w:val="center"/>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SA"/>
              </w:rPr>
              <w:t>设施农用地</w:t>
            </w:r>
          </w:p>
        </w:tc>
      </w:tr>
      <w:tr w14:paraId="2404A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12AB49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区域湿度条件</w:t>
            </w:r>
          </w:p>
        </w:tc>
        <w:tc>
          <w:tcPr>
            <w:tcW w:w="2809" w:type="dxa"/>
            <w:tcBorders>
              <w:tl2br w:val="nil"/>
              <w:tr2bl w:val="nil"/>
            </w:tcBorders>
            <w:noWrap w:val="0"/>
            <w:vAlign w:val="top"/>
          </w:tcPr>
          <w:p w14:paraId="7A32C43F">
            <w:pPr>
              <w:widowControl w:val="0"/>
              <w:overflowPunct w:val="0"/>
              <w:autoSpaceDE w:val="0"/>
              <w:autoSpaceDN w:val="0"/>
              <w:adjustRightInd w:val="0"/>
              <w:snapToGrid w:val="0"/>
              <w:spacing w:before="0" w:after="0" w:line="320" w:lineRule="exact"/>
              <w:ind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SA"/>
              </w:rPr>
              <w:t>干燥气候</w:t>
            </w:r>
          </w:p>
        </w:tc>
      </w:tr>
      <w:tr w14:paraId="30C3B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restart"/>
            <w:tcBorders>
              <w:tl2br w:val="nil"/>
              <w:tr2bl w:val="nil"/>
            </w:tcBorders>
            <w:noWrap w:val="0"/>
            <w:vAlign w:val="center"/>
          </w:tcPr>
          <w:p w14:paraId="635F10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是否考虑地形</w:t>
            </w:r>
          </w:p>
        </w:tc>
        <w:tc>
          <w:tcPr>
            <w:tcW w:w="2527" w:type="pct"/>
            <w:tcBorders>
              <w:tl2br w:val="nil"/>
              <w:tr2bl w:val="nil"/>
            </w:tcBorders>
            <w:noWrap w:val="0"/>
            <w:vAlign w:val="center"/>
          </w:tcPr>
          <w:p w14:paraId="149A85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考虑地形</w:t>
            </w:r>
          </w:p>
        </w:tc>
        <w:tc>
          <w:tcPr>
            <w:tcW w:w="2809" w:type="dxa"/>
            <w:tcBorders>
              <w:tl2br w:val="nil"/>
              <w:tr2bl w:val="nil"/>
            </w:tcBorders>
            <w:noWrap w:val="0"/>
            <w:vAlign w:val="center"/>
          </w:tcPr>
          <w:p w14:paraId="25CC253A">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是</w:t>
            </w:r>
          </w:p>
        </w:tc>
      </w:tr>
      <w:tr w14:paraId="469E4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182E56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1CC908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地形数据分辨率/m</w:t>
            </w:r>
          </w:p>
        </w:tc>
        <w:tc>
          <w:tcPr>
            <w:tcW w:w="2809" w:type="dxa"/>
            <w:tcBorders>
              <w:tl2br w:val="nil"/>
              <w:tr2bl w:val="nil"/>
            </w:tcBorders>
            <w:noWrap w:val="0"/>
            <w:vAlign w:val="center"/>
          </w:tcPr>
          <w:p w14:paraId="2A8D2797">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bCs/>
                <w:color w:val="000000"/>
                <w:kern w:val="2"/>
                <w:sz w:val="21"/>
                <w:szCs w:val="21"/>
                <w:lang w:val="en-US" w:eastAsia="zh-CN"/>
              </w:rPr>
              <w:t>90</w:t>
            </w:r>
          </w:p>
        </w:tc>
      </w:tr>
      <w:tr w14:paraId="5FDEC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restart"/>
            <w:tcBorders>
              <w:tl2br w:val="nil"/>
              <w:tr2bl w:val="nil"/>
            </w:tcBorders>
            <w:noWrap w:val="0"/>
            <w:vAlign w:val="center"/>
          </w:tcPr>
          <w:p w14:paraId="449EF0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是否考虑海岸线熏烟</w:t>
            </w:r>
          </w:p>
        </w:tc>
        <w:tc>
          <w:tcPr>
            <w:tcW w:w="2527" w:type="pct"/>
            <w:tcBorders>
              <w:tl2br w:val="nil"/>
              <w:tr2bl w:val="nil"/>
            </w:tcBorders>
            <w:noWrap w:val="0"/>
            <w:vAlign w:val="center"/>
          </w:tcPr>
          <w:p w14:paraId="2136C1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考虑海岸线熏烟</w:t>
            </w:r>
          </w:p>
        </w:tc>
        <w:tc>
          <w:tcPr>
            <w:tcW w:w="2809" w:type="dxa"/>
            <w:tcBorders>
              <w:tl2br w:val="nil"/>
              <w:tr2bl w:val="nil"/>
            </w:tcBorders>
            <w:noWrap w:val="0"/>
            <w:vAlign w:val="center"/>
          </w:tcPr>
          <w:p w14:paraId="2B2A1B94">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否</w:t>
            </w:r>
          </w:p>
        </w:tc>
      </w:tr>
      <w:tr w14:paraId="65FB53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33841F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39594C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岸线距离/km</w:t>
            </w:r>
          </w:p>
        </w:tc>
        <w:tc>
          <w:tcPr>
            <w:tcW w:w="2809" w:type="dxa"/>
            <w:tcBorders>
              <w:tl2br w:val="nil"/>
              <w:tr2bl w:val="nil"/>
            </w:tcBorders>
            <w:noWrap w:val="0"/>
            <w:vAlign w:val="center"/>
          </w:tcPr>
          <w:p w14:paraId="3FABE5E4">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否</w:t>
            </w:r>
          </w:p>
        </w:tc>
      </w:tr>
      <w:tr w14:paraId="3FF92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4501B7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29E4D3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岸线方向/°</w:t>
            </w:r>
          </w:p>
        </w:tc>
        <w:tc>
          <w:tcPr>
            <w:tcW w:w="2809" w:type="dxa"/>
            <w:tcBorders>
              <w:tl2br w:val="nil"/>
              <w:tr2bl w:val="nil"/>
            </w:tcBorders>
            <w:noWrap w:val="0"/>
            <w:vAlign w:val="center"/>
          </w:tcPr>
          <w:p w14:paraId="70E971EA">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否</w:t>
            </w:r>
          </w:p>
        </w:tc>
      </w:tr>
    </w:tbl>
    <w:p w14:paraId="1FA02F2B">
      <w:pPr>
        <w:widowControl w:val="0"/>
        <w:spacing w:line="520" w:lineRule="exact"/>
        <w:ind w:firstLine="480" w:firstLineChars="200"/>
        <w:jc w:val="both"/>
        <w:rPr>
          <w:rFonts w:hint="default" w:ascii="Times New Roman" w:hAnsi="Times New Roman" w:eastAsia="宋体" w:cs="Times New Roman"/>
          <w:snapToGrid w:val="0"/>
          <w:color w:val="auto"/>
          <w:kern w:val="0"/>
          <w:sz w:val="24"/>
          <w:szCs w:val="24"/>
          <w:highlight w:val="none"/>
          <w:lang w:val="en-US" w:eastAsia="zh-CN" w:bidi="ar-SA"/>
        </w:rPr>
        <w:sectPr>
          <w:pgSz w:w="11906" w:h="16838"/>
          <w:pgMar w:top="1440" w:right="1797" w:bottom="1440" w:left="1797" w:header="851" w:footer="1026" w:gutter="0"/>
          <w:pgBorders>
            <w:top w:val="none" w:sz="0" w:space="0"/>
            <w:left w:val="none" w:sz="0" w:space="0"/>
            <w:bottom w:val="none" w:sz="0" w:space="0"/>
            <w:right w:val="none" w:sz="0" w:space="0"/>
          </w:pgBorders>
          <w:pgNumType w:fmt="numberInDash"/>
          <w:cols w:space="720" w:num="1"/>
          <w:docGrid w:type="linesAndChars" w:linePitch="312" w:charSpace="0"/>
        </w:sectPr>
      </w:pPr>
      <w:r>
        <w:rPr>
          <w:rFonts w:hint="default" w:ascii="Times New Roman" w:hAnsi="Times New Roman" w:eastAsia="宋体" w:cs="Times New Roman"/>
          <w:snapToGrid w:val="0"/>
          <w:color w:val="auto"/>
          <w:kern w:val="0"/>
          <w:sz w:val="24"/>
          <w:szCs w:val="24"/>
          <w:highlight w:val="none"/>
          <w:lang w:val="en-US" w:eastAsia="zh-CN" w:bidi="ar-SA"/>
        </w:rPr>
        <w:t>本项目各废气污染源的参数见表2.</w:t>
      </w:r>
      <w:r>
        <w:rPr>
          <w:rFonts w:hint="eastAsia" w:cs="Times New Roman"/>
          <w:snapToGrid w:val="0"/>
          <w:color w:val="auto"/>
          <w:kern w:val="0"/>
          <w:sz w:val="24"/>
          <w:szCs w:val="24"/>
          <w:highlight w:val="none"/>
          <w:lang w:val="en-US" w:eastAsia="zh-CN" w:bidi="ar-SA"/>
        </w:rPr>
        <w:t>6</w:t>
      </w:r>
      <w:r>
        <w:rPr>
          <w:rFonts w:hint="default" w:ascii="Times New Roman" w:hAnsi="Times New Roman" w:eastAsia="宋体" w:cs="Times New Roman"/>
          <w:snapToGrid w:val="0"/>
          <w:color w:val="auto"/>
          <w:kern w:val="0"/>
          <w:sz w:val="24"/>
          <w:szCs w:val="24"/>
          <w:highlight w:val="none"/>
          <w:lang w:val="en-US" w:eastAsia="zh-CN" w:bidi="ar-SA"/>
        </w:rPr>
        <w:t>-</w:t>
      </w:r>
      <w:r>
        <w:rPr>
          <w:rFonts w:hint="eastAsia" w:cs="Times New Roman"/>
          <w:snapToGrid w:val="0"/>
          <w:color w:val="auto"/>
          <w:kern w:val="0"/>
          <w:sz w:val="24"/>
          <w:szCs w:val="24"/>
          <w:highlight w:val="none"/>
          <w:lang w:val="en-US" w:eastAsia="zh-CN" w:bidi="ar-SA"/>
        </w:rPr>
        <w:t>3~</w:t>
      </w:r>
      <w:r>
        <w:rPr>
          <w:rFonts w:hint="eastAsia" w:ascii="Times New Roman" w:hAnsi="Times New Roman" w:eastAsia="宋体" w:cs="Times New Roman"/>
          <w:snapToGrid w:val="0"/>
          <w:color w:val="auto"/>
          <w:kern w:val="0"/>
          <w:sz w:val="24"/>
          <w:szCs w:val="24"/>
          <w:highlight w:val="none"/>
          <w:lang w:val="en-US" w:eastAsia="zh-CN" w:bidi="ar-SA"/>
        </w:rPr>
        <w:t>2.</w:t>
      </w:r>
      <w:r>
        <w:rPr>
          <w:rFonts w:hint="eastAsia" w:cs="Times New Roman"/>
          <w:snapToGrid w:val="0"/>
          <w:color w:val="auto"/>
          <w:kern w:val="0"/>
          <w:sz w:val="24"/>
          <w:szCs w:val="24"/>
          <w:highlight w:val="none"/>
          <w:lang w:val="en-US" w:eastAsia="zh-CN" w:bidi="ar-SA"/>
        </w:rPr>
        <w:t>6</w:t>
      </w:r>
      <w:r>
        <w:rPr>
          <w:rFonts w:hint="eastAsia" w:ascii="Times New Roman" w:hAnsi="Times New Roman" w:eastAsia="宋体" w:cs="Times New Roman"/>
          <w:snapToGrid w:val="0"/>
          <w:color w:val="auto"/>
          <w:kern w:val="0"/>
          <w:sz w:val="24"/>
          <w:szCs w:val="24"/>
          <w:highlight w:val="none"/>
          <w:lang w:val="en-US" w:eastAsia="zh-CN" w:bidi="ar-SA"/>
        </w:rPr>
        <w:t>-</w:t>
      </w:r>
      <w:r>
        <w:rPr>
          <w:rFonts w:hint="eastAsia" w:cs="Times New Roman"/>
          <w:snapToGrid w:val="0"/>
          <w:color w:val="auto"/>
          <w:kern w:val="0"/>
          <w:sz w:val="24"/>
          <w:szCs w:val="24"/>
          <w:highlight w:val="none"/>
          <w:lang w:val="en-US" w:eastAsia="zh-CN" w:bidi="ar-SA"/>
        </w:rPr>
        <w:t>4</w:t>
      </w:r>
      <w:r>
        <w:rPr>
          <w:rFonts w:hint="default" w:ascii="Times New Roman" w:hAnsi="Times New Roman" w:eastAsia="宋体" w:cs="Times New Roman"/>
          <w:snapToGrid w:val="0"/>
          <w:color w:val="auto"/>
          <w:kern w:val="0"/>
          <w:sz w:val="24"/>
          <w:szCs w:val="24"/>
          <w:highlight w:val="none"/>
          <w:lang w:val="en-US" w:eastAsia="zh-CN" w:bidi="ar-SA"/>
        </w:rPr>
        <w:t>。</w:t>
      </w:r>
    </w:p>
    <w:p w14:paraId="1ABD60AA">
      <w:pPr>
        <w:widowControl w:val="0"/>
        <w:bidi w:val="0"/>
        <w:spacing w:line="400" w:lineRule="exact"/>
        <w:ind w:firstLine="0" w:firstLineChars="0"/>
        <w:jc w:val="center"/>
        <w:rPr>
          <w:rFonts w:hint="eastAsia" w:ascii="Times New Roman" w:hAnsi="Times New Roman" w:eastAsia="宋体" w:cs="宋体"/>
          <w:b/>
          <w:color w:val="000000"/>
          <w:sz w:val="24"/>
          <w:szCs w:val="24"/>
          <w:lang w:val="en-US" w:eastAsia="zh-CN" w:bidi="ar-SA"/>
        </w:rPr>
      </w:pPr>
      <w:r>
        <w:rPr>
          <w:rFonts w:ascii="Times New Roman" w:hAnsi="Times New Roman" w:eastAsia="宋体" w:cs="宋体"/>
          <w:b/>
          <w:color w:val="000000"/>
          <w:sz w:val="24"/>
          <w:szCs w:val="24"/>
          <w:lang w:val="zh-CN" w:eastAsia="zh-CN" w:bidi="ar-SA"/>
        </w:rPr>
        <w:t>表</w:t>
      </w:r>
      <w:r>
        <w:rPr>
          <w:rFonts w:hint="eastAsia" w:ascii="Times New Roman" w:hAnsi="Times New Roman" w:eastAsia="宋体" w:cs="宋体"/>
          <w:b/>
          <w:color w:val="000000"/>
          <w:sz w:val="24"/>
          <w:szCs w:val="24"/>
          <w:lang w:val="en-US" w:eastAsia="zh-CN" w:bidi="ar-SA"/>
        </w:rPr>
        <w:t>2.6-3点源大气排放口基本情况表</w:t>
      </w:r>
    </w:p>
    <w:tbl>
      <w:tblPr>
        <w:tblStyle w:val="20"/>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66"/>
        <w:gridCol w:w="911"/>
        <w:gridCol w:w="888"/>
        <w:gridCol w:w="636"/>
        <w:gridCol w:w="627"/>
        <w:gridCol w:w="744"/>
        <w:gridCol w:w="857"/>
        <w:gridCol w:w="857"/>
        <w:gridCol w:w="786"/>
        <w:gridCol w:w="786"/>
        <w:gridCol w:w="786"/>
        <w:gridCol w:w="786"/>
        <w:gridCol w:w="676"/>
        <w:gridCol w:w="976"/>
        <w:gridCol w:w="980"/>
        <w:gridCol w:w="1343"/>
        <w:gridCol w:w="1068"/>
      </w:tblGrid>
      <w:tr w14:paraId="124B9E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4" w:type="pct"/>
            <w:vMerge w:val="restart"/>
            <w:tcBorders>
              <w:tl2br w:val="nil"/>
              <w:tr2bl w:val="nil"/>
            </w:tcBorders>
            <w:vAlign w:val="center"/>
          </w:tcPr>
          <w:p w14:paraId="5347EAC0">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编号</w:t>
            </w:r>
          </w:p>
        </w:tc>
        <w:tc>
          <w:tcPr>
            <w:tcW w:w="321" w:type="pct"/>
            <w:vMerge w:val="restart"/>
            <w:tcBorders>
              <w:tl2br w:val="nil"/>
              <w:tr2bl w:val="nil"/>
            </w:tcBorders>
            <w:vAlign w:val="center"/>
          </w:tcPr>
          <w:p w14:paraId="6287BE7F">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污染源</w:t>
            </w:r>
          </w:p>
          <w:p w14:paraId="7AAAD857">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名称</w:t>
            </w:r>
          </w:p>
        </w:tc>
        <w:tc>
          <w:tcPr>
            <w:tcW w:w="537" w:type="pct"/>
            <w:gridSpan w:val="2"/>
            <w:tcBorders>
              <w:tl2br w:val="nil"/>
              <w:tr2bl w:val="nil"/>
            </w:tcBorders>
            <w:vAlign w:val="center"/>
          </w:tcPr>
          <w:p w14:paraId="45B716C0">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排气筒底部中心坐标</w:t>
            </w:r>
          </w:p>
        </w:tc>
        <w:tc>
          <w:tcPr>
            <w:tcW w:w="221" w:type="pct"/>
            <w:vMerge w:val="restart"/>
            <w:tcBorders>
              <w:tl2br w:val="nil"/>
              <w:tr2bl w:val="nil"/>
            </w:tcBorders>
            <w:vAlign w:val="center"/>
          </w:tcPr>
          <w:p w14:paraId="483CA38F">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排气筒高度/m</w:t>
            </w:r>
          </w:p>
        </w:tc>
        <w:tc>
          <w:tcPr>
            <w:tcW w:w="262" w:type="pct"/>
            <w:vMerge w:val="restart"/>
            <w:tcBorders>
              <w:tl2br w:val="nil"/>
              <w:tr2bl w:val="nil"/>
            </w:tcBorders>
            <w:vAlign w:val="center"/>
          </w:tcPr>
          <w:p w14:paraId="5DD22849">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排气筒出口内径/m</w:t>
            </w:r>
          </w:p>
        </w:tc>
        <w:tc>
          <w:tcPr>
            <w:tcW w:w="302" w:type="pct"/>
            <w:vMerge w:val="restart"/>
            <w:tcBorders>
              <w:tl2br w:val="nil"/>
              <w:tr2bl w:val="nil"/>
            </w:tcBorders>
            <w:vAlign w:val="center"/>
          </w:tcPr>
          <w:p w14:paraId="039B2A12">
            <w:pPr>
              <w:widowControl w:val="0"/>
              <w:bidi w:val="0"/>
              <w:spacing w:line="360" w:lineRule="exact"/>
              <w:ind w:firstLine="0" w:firstLineChars="0"/>
              <w:jc w:val="center"/>
              <w:rPr>
                <w:rFonts w:hint="default" w:ascii="Times New Roman" w:hAnsi="Times New Roman" w:eastAsia="宋体" w:cs="Times New Roman"/>
                <w:b/>
                <w:bCs/>
                <w:color w:val="auto"/>
                <w:sz w:val="21"/>
                <w:szCs w:val="22"/>
                <w:lang w:val="en-US" w:eastAsia="zh-CN" w:bidi="ar-SA"/>
              </w:rPr>
            </w:pPr>
            <w:r>
              <w:rPr>
                <w:rFonts w:hint="eastAsia" w:ascii="Times New Roman" w:hAnsi="Times New Roman" w:eastAsia="宋体" w:cs="Times New Roman"/>
                <w:b/>
                <w:bCs/>
                <w:color w:val="000000"/>
                <w:spacing w:val="0"/>
                <w:kern w:val="2"/>
                <w:sz w:val="21"/>
                <w:szCs w:val="21"/>
                <w:lang w:val="en-US" w:eastAsia="zh-CN" w:bidi="ar-SA"/>
              </w:rPr>
              <w:t>排气筒底部海拔m</w:t>
            </w:r>
          </w:p>
        </w:tc>
        <w:tc>
          <w:tcPr>
            <w:tcW w:w="302" w:type="pct"/>
            <w:vMerge w:val="restart"/>
            <w:tcBorders>
              <w:tl2br w:val="nil"/>
              <w:tr2bl w:val="nil"/>
            </w:tcBorders>
            <w:vAlign w:val="center"/>
          </w:tcPr>
          <w:p w14:paraId="79339869">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cs="Times New Roman"/>
                <w:b/>
                <w:bCs/>
                <w:color w:val="auto"/>
                <w:sz w:val="21"/>
                <w:szCs w:val="22"/>
                <w:lang w:val="en-US" w:eastAsia="zh-CN" w:bidi="ar-SA"/>
              </w:rPr>
              <w:t>烟气</w:t>
            </w:r>
            <w:r>
              <w:rPr>
                <w:rFonts w:hint="default" w:ascii="Times New Roman" w:hAnsi="Times New Roman" w:eastAsia="宋体" w:cs="Times New Roman"/>
                <w:b/>
                <w:bCs/>
                <w:color w:val="auto"/>
                <w:sz w:val="21"/>
                <w:szCs w:val="22"/>
                <w:lang w:val="en-US" w:eastAsia="zh-CN" w:bidi="ar-SA"/>
              </w:rPr>
              <w:t>温度/℃</w:t>
            </w:r>
          </w:p>
        </w:tc>
        <w:tc>
          <w:tcPr>
            <w:tcW w:w="277" w:type="pct"/>
            <w:vMerge w:val="restart"/>
            <w:tcBorders>
              <w:tl2br w:val="nil"/>
              <w:tr2bl w:val="nil"/>
            </w:tcBorders>
            <w:vAlign w:val="center"/>
          </w:tcPr>
          <w:p w14:paraId="5EE53B71">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Times New Roman"/>
                <w:b/>
                <w:bCs/>
                <w:color w:val="000000"/>
                <w:kern w:val="2"/>
                <w:sz w:val="21"/>
                <w:szCs w:val="24"/>
                <w:lang w:val="en-US" w:eastAsia="zh-CN"/>
              </w:rPr>
              <w:t>烟气量/（m</w:t>
            </w:r>
            <w:r>
              <w:rPr>
                <w:rFonts w:hint="eastAsia" w:ascii="Times New Roman" w:hAnsi="Times New Roman" w:eastAsia="宋体" w:cs="Times New Roman"/>
                <w:b/>
                <w:bCs/>
                <w:color w:val="000000"/>
                <w:kern w:val="2"/>
                <w:sz w:val="21"/>
                <w:szCs w:val="24"/>
                <w:vertAlign w:val="superscript"/>
                <w:lang w:val="en-US" w:eastAsia="zh-CN"/>
              </w:rPr>
              <w:t>3</w:t>
            </w:r>
            <w:r>
              <w:rPr>
                <w:rFonts w:hint="eastAsia" w:ascii="Times New Roman" w:hAnsi="Times New Roman" w:eastAsia="宋体" w:cs="Times New Roman"/>
                <w:b/>
                <w:bCs/>
                <w:color w:val="000000"/>
                <w:kern w:val="2"/>
                <w:sz w:val="21"/>
                <w:szCs w:val="24"/>
                <w:lang w:val="en-US" w:eastAsia="zh-CN"/>
              </w:rPr>
              <w:t>/h）</w:t>
            </w:r>
          </w:p>
        </w:tc>
        <w:tc>
          <w:tcPr>
            <w:tcW w:w="277" w:type="pct"/>
            <w:vMerge w:val="restart"/>
            <w:tcBorders>
              <w:tl2br w:val="nil"/>
              <w:tr2bl w:val="nil"/>
            </w:tcBorders>
            <w:vAlign w:val="center"/>
          </w:tcPr>
          <w:p w14:paraId="3C5F36B3">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cs="宋体"/>
                <w:b/>
                <w:bCs/>
                <w:color w:val="auto"/>
                <w:sz w:val="21"/>
                <w:szCs w:val="22"/>
                <w:lang w:val="en-US" w:eastAsia="zh-CN" w:bidi="ar-SA"/>
              </w:rPr>
              <w:t>烟气流速（m/s）</w:t>
            </w:r>
          </w:p>
        </w:tc>
        <w:tc>
          <w:tcPr>
            <w:tcW w:w="277" w:type="pct"/>
            <w:vMerge w:val="restart"/>
            <w:tcBorders>
              <w:tl2br w:val="nil"/>
              <w:tr2bl w:val="nil"/>
            </w:tcBorders>
            <w:vAlign w:val="center"/>
          </w:tcPr>
          <w:p w14:paraId="19FA31E1">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年排放小时数/h</w:t>
            </w:r>
          </w:p>
        </w:tc>
        <w:tc>
          <w:tcPr>
            <w:tcW w:w="277" w:type="pct"/>
            <w:vMerge w:val="restart"/>
            <w:tcBorders>
              <w:tl2br w:val="nil"/>
              <w:tr2bl w:val="nil"/>
            </w:tcBorders>
            <w:vAlign w:val="center"/>
          </w:tcPr>
          <w:p w14:paraId="07E61C8F">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排放口类型</w:t>
            </w:r>
          </w:p>
        </w:tc>
        <w:tc>
          <w:tcPr>
            <w:tcW w:w="238" w:type="pct"/>
            <w:vMerge w:val="restart"/>
            <w:tcBorders>
              <w:tl2br w:val="nil"/>
              <w:tr2bl w:val="nil"/>
            </w:tcBorders>
            <w:vAlign w:val="center"/>
          </w:tcPr>
          <w:p w14:paraId="0F35B0C4">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排放</w:t>
            </w:r>
          </w:p>
          <w:p w14:paraId="03880965">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工况</w:t>
            </w:r>
          </w:p>
        </w:tc>
        <w:tc>
          <w:tcPr>
            <w:tcW w:w="1540" w:type="pct"/>
            <w:gridSpan w:val="4"/>
            <w:tcBorders>
              <w:tl2br w:val="nil"/>
              <w:tr2bl w:val="nil"/>
            </w:tcBorders>
            <w:vAlign w:val="center"/>
          </w:tcPr>
          <w:p w14:paraId="1E5CEA5C">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污染物排放情况kg/h</w:t>
            </w:r>
          </w:p>
        </w:tc>
      </w:tr>
      <w:tr w14:paraId="2B8A33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4" w:type="pct"/>
            <w:vMerge w:val="continue"/>
            <w:tcBorders>
              <w:tl2br w:val="nil"/>
              <w:tr2bl w:val="nil"/>
            </w:tcBorders>
            <w:vAlign w:val="center"/>
          </w:tcPr>
          <w:p w14:paraId="3AE75385">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21" w:type="pct"/>
            <w:vMerge w:val="continue"/>
            <w:tcBorders>
              <w:tl2br w:val="nil"/>
              <w:tr2bl w:val="nil"/>
            </w:tcBorders>
            <w:vAlign w:val="center"/>
          </w:tcPr>
          <w:p w14:paraId="0F7A2BB1">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13" w:type="pct"/>
            <w:tcBorders>
              <w:tl2br w:val="nil"/>
              <w:tr2bl w:val="nil"/>
            </w:tcBorders>
            <w:vAlign w:val="center"/>
          </w:tcPr>
          <w:p w14:paraId="09D874EA">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X</w:t>
            </w:r>
          </w:p>
        </w:tc>
        <w:tc>
          <w:tcPr>
            <w:tcW w:w="224" w:type="pct"/>
            <w:tcBorders>
              <w:tl2br w:val="nil"/>
              <w:tr2bl w:val="nil"/>
            </w:tcBorders>
            <w:vAlign w:val="center"/>
          </w:tcPr>
          <w:p w14:paraId="4480DA3F">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Y</w:t>
            </w:r>
          </w:p>
        </w:tc>
        <w:tc>
          <w:tcPr>
            <w:tcW w:w="221" w:type="pct"/>
            <w:vMerge w:val="continue"/>
            <w:tcBorders>
              <w:tl2br w:val="nil"/>
              <w:tr2bl w:val="nil"/>
            </w:tcBorders>
            <w:vAlign w:val="center"/>
          </w:tcPr>
          <w:p w14:paraId="5A3343AA">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62" w:type="pct"/>
            <w:vMerge w:val="continue"/>
            <w:tcBorders>
              <w:tl2br w:val="nil"/>
              <w:tr2bl w:val="nil"/>
            </w:tcBorders>
            <w:vAlign w:val="center"/>
          </w:tcPr>
          <w:p w14:paraId="1CB97240">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02" w:type="pct"/>
            <w:vMerge w:val="continue"/>
            <w:tcBorders>
              <w:tl2br w:val="nil"/>
              <w:tr2bl w:val="nil"/>
            </w:tcBorders>
            <w:vAlign w:val="center"/>
          </w:tcPr>
          <w:p w14:paraId="10FA7F1A">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02" w:type="pct"/>
            <w:vMerge w:val="continue"/>
            <w:tcBorders>
              <w:tl2br w:val="nil"/>
              <w:tr2bl w:val="nil"/>
            </w:tcBorders>
            <w:vAlign w:val="center"/>
          </w:tcPr>
          <w:p w14:paraId="7F4E9170">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5A442E10">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1F4E817D">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46AE7505">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1D060AAD">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38" w:type="pct"/>
            <w:vMerge w:val="continue"/>
            <w:tcBorders>
              <w:tl2br w:val="nil"/>
              <w:tr2bl w:val="nil"/>
            </w:tcBorders>
            <w:vAlign w:val="center"/>
          </w:tcPr>
          <w:p w14:paraId="611488A9">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44" w:type="pct"/>
            <w:tcBorders>
              <w:tl2br w:val="nil"/>
              <w:tr2bl w:val="nil"/>
            </w:tcBorders>
            <w:vAlign w:val="center"/>
          </w:tcPr>
          <w:p w14:paraId="1AEA897E">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PM</w:t>
            </w:r>
            <w:r>
              <w:rPr>
                <w:rFonts w:hint="eastAsia" w:ascii="Times New Roman" w:hAnsi="Times New Roman" w:eastAsia="宋体" w:cs="宋体"/>
                <w:b/>
                <w:bCs/>
                <w:color w:val="auto"/>
                <w:sz w:val="21"/>
                <w:szCs w:val="22"/>
                <w:vertAlign w:val="subscript"/>
                <w:lang w:val="en-US" w:eastAsia="zh-CN" w:bidi="ar-SA"/>
              </w:rPr>
              <w:t>10</w:t>
            </w:r>
          </w:p>
        </w:tc>
        <w:tc>
          <w:tcPr>
            <w:tcW w:w="345" w:type="pct"/>
            <w:tcBorders>
              <w:tl2br w:val="nil"/>
              <w:tr2bl w:val="nil"/>
            </w:tcBorders>
            <w:vAlign w:val="center"/>
          </w:tcPr>
          <w:p w14:paraId="05E8BA7A">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PM</w:t>
            </w:r>
            <w:r>
              <w:rPr>
                <w:rFonts w:hint="eastAsia" w:ascii="Times New Roman" w:hAnsi="Times New Roman" w:eastAsia="宋体" w:cs="宋体"/>
                <w:b/>
                <w:bCs/>
                <w:color w:val="auto"/>
                <w:sz w:val="21"/>
                <w:szCs w:val="22"/>
                <w:vertAlign w:val="subscript"/>
                <w:lang w:val="en-US" w:eastAsia="zh-CN" w:bidi="ar-SA"/>
              </w:rPr>
              <w:t>2.5</w:t>
            </w:r>
          </w:p>
        </w:tc>
        <w:tc>
          <w:tcPr>
            <w:tcW w:w="473" w:type="pct"/>
            <w:tcBorders>
              <w:tl2br w:val="nil"/>
              <w:tr2bl w:val="nil"/>
            </w:tcBorders>
            <w:vAlign w:val="center"/>
          </w:tcPr>
          <w:p w14:paraId="5FEF488A">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氨</w:t>
            </w:r>
          </w:p>
        </w:tc>
        <w:tc>
          <w:tcPr>
            <w:tcW w:w="376" w:type="pct"/>
            <w:tcBorders>
              <w:tl2br w:val="nil"/>
              <w:tr2bl w:val="nil"/>
            </w:tcBorders>
            <w:vAlign w:val="center"/>
          </w:tcPr>
          <w:p w14:paraId="7F73F83F">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硫化氢</w:t>
            </w:r>
          </w:p>
        </w:tc>
      </w:tr>
      <w:tr w14:paraId="22682C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164" w:type="pct"/>
            <w:tcBorders>
              <w:tl2br w:val="nil"/>
              <w:tr2bl w:val="nil"/>
            </w:tcBorders>
            <w:vAlign w:val="center"/>
          </w:tcPr>
          <w:p w14:paraId="2D678EF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ascii="Times New Roman" w:hAnsi="Times New Roman" w:eastAsia="宋体" w:cs="宋体"/>
                <w:color w:val="auto"/>
                <w:sz w:val="21"/>
                <w:szCs w:val="22"/>
                <w:lang w:val="en-US" w:eastAsia="zh-CN" w:bidi="ar-SA"/>
              </w:rPr>
            </w:pPr>
            <w:r>
              <w:rPr>
                <w:rFonts w:hint="eastAsia" w:ascii="Times New Roman" w:hAnsi="Times New Roman" w:cs="Times New Roman"/>
                <w:color w:val="auto"/>
                <w:kern w:val="2"/>
                <w:sz w:val="21"/>
                <w:szCs w:val="21"/>
                <w:highlight w:val="none"/>
                <w:lang w:val="en-US" w:eastAsia="zh-CN"/>
              </w:rPr>
              <w:t>DA001</w:t>
            </w:r>
          </w:p>
        </w:tc>
        <w:tc>
          <w:tcPr>
            <w:tcW w:w="321" w:type="pct"/>
            <w:tcBorders>
              <w:tl2br w:val="nil"/>
              <w:tr2bl w:val="nil"/>
            </w:tcBorders>
            <w:vAlign w:val="center"/>
          </w:tcPr>
          <w:p w14:paraId="2ECE31B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宋体"/>
                <w:color w:val="auto"/>
                <w:sz w:val="21"/>
                <w:szCs w:val="22"/>
                <w:lang w:val="en-US" w:eastAsia="zh-CN" w:bidi="ar-SA"/>
              </w:rPr>
            </w:pPr>
            <w:r>
              <w:rPr>
                <w:rFonts w:hint="eastAsia" w:cs="Times New Roman"/>
                <w:color w:val="auto"/>
                <w:kern w:val="0"/>
                <w:sz w:val="21"/>
                <w:szCs w:val="21"/>
                <w:highlight w:val="none"/>
                <w:lang w:val="en-US" w:eastAsia="zh-CN"/>
              </w:rPr>
              <w:t>堆肥间</w:t>
            </w:r>
            <w:r>
              <w:rPr>
                <w:rFonts w:hint="eastAsia" w:ascii="Times New Roman" w:hAnsi="Times New Roman" w:cs="Times New Roman"/>
                <w:color w:val="auto"/>
                <w:kern w:val="0"/>
                <w:sz w:val="21"/>
                <w:szCs w:val="21"/>
                <w:highlight w:val="none"/>
                <w:lang w:val="en-US" w:eastAsia="zh-CN"/>
              </w:rPr>
              <w:t>排放口</w:t>
            </w:r>
          </w:p>
        </w:tc>
        <w:tc>
          <w:tcPr>
            <w:tcW w:w="313" w:type="pct"/>
            <w:tcBorders>
              <w:tl2br w:val="nil"/>
              <w:tr2bl w:val="nil"/>
            </w:tcBorders>
            <w:vAlign w:val="center"/>
          </w:tcPr>
          <w:p w14:paraId="4417896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-120</w:t>
            </w:r>
          </w:p>
        </w:tc>
        <w:tc>
          <w:tcPr>
            <w:tcW w:w="224" w:type="pct"/>
            <w:tcBorders>
              <w:tl2br w:val="nil"/>
              <w:tr2bl w:val="nil"/>
            </w:tcBorders>
            <w:vAlign w:val="center"/>
          </w:tcPr>
          <w:p w14:paraId="450F04E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-318</w:t>
            </w:r>
          </w:p>
        </w:tc>
        <w:tc>
          <w:tcPr>
            <w:tcW w:w="221" w:type="pct"/>
            <w:tcBorders>
              <w:tl2br w:val="nil"/>
              <w:tr2bl w:val="nil"/>
            </w:tcBorders>
            <w:vAlign w:val="center"/>
          </w:tcPr>
          <w:p w14:paraId="48C6797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ascii="Times New Roman" w:hAnsi="Times New Roman" w:eastAsia="宋体" w:cs="宋体"/>
                <w:color w:val="auto"/>
                <w:sz w:val="21"/>
                <w:szCs w:val="22"/>
                <w:lang w:val="en-US" w:eastAsia="zh-CN" w:bidi="ar-SA"/>
              </w:rPr>
            </w:pPr>
            <w:r>
              <w:rPr>
                <w:rFonts w:hint="eastAsia" w:ascii="Times New Roman" w:hAnsi="Times New Roman" w:eastAsia="宋体" w:cs="Times New Roman"/>
                <w:bCs w:val="0"/>
                <w:color w:val="000000"/>
                <w:spacing w:val="0"/>
                <w:kern w:val="2"/>
                <w:sz w:val="21"/>
                <w:szCs w:val="21"/>
                <w:lang w:val="en-US" w:eastAsia="zh-CN"/>
              </w:rPr>
              <w:t>15</w:t>
            </w:r>
          </w:p>
        </w:tc>
        <w:tc>
          <w:tcPr>
            <w:tcW w:w="262" w:type="pct"/>
            <w:tcBorders>
              <w:tl2br w:val="nil"/>
              <w:tr2bl w:val="nil"/>
            </w:tcBorders>
            <w:vAlign w:val="center"/>
          </w:tcPr>
          <w:p w14:paraId="7D57C5F2">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Times New Roman"/>
                <w:bCs w:val="0"/>
                <w:color w:val="000000"/>
                <w:spacing w:val="0"/>
                <w:kern w:val="2"/>
                <w:sz w:val="21"/>
                <w:szCs w:val="21"/>
                <w:lang w:val="en-US" w:eastAsia="zh-CN"/>
              </w:rPr>
              <w:t>0.</w:t>
            </w:r>
            <w:r>
              <w:rPr>
                <w:rFonts w:hint="eastAsia" w:cs="Times New Roman"/>
                <w:bCs w:val="0"/>
                <w:color w:val="000000"/>
                <w:spacing w:val="0"/>
                <w:kern w:val="2"/>
                <w:sz w:val="21"/>
                <w:szCs w:val="21"/>
                <w:lang w:val="en-US" w:eastAsia="zh-CN"/>
              </w:rPr>
              <w:t>3</w:t>
            </w:r>
          </w:p>
        </w:tc>
        <w:tc>
          <w:tcPr>
            <w:tcW w:w="302" w:type="pct"/>
            <w:tcBorders>
              <w:tl2br w:val="nil"/>
              <w:tr2bl w:val="nil"/>
            </w:tcBorders>
            <w:vAlign w:val="center"/>
          </w:tcPr>
          <w:p w14:paraId="004E90F7">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cs="Times New Roman"/>
                <w:bCs w:val="0"/>
                <w:color w:val="000000"/>
                <w:spacing w:val="0"/>
                <w:kern w:val="2"/>
                <w:sz w:val="21"/>
                <w:szCs w:val="21"/>
                <w:lang w:val="en-US" w:eastAsia="zh-CN" w:bidi="ar-SA"/>
              </w:rPr>
              <w:t>313</w:t>
            </w:r>
          </w:p>
        </w:tc>
        <w:tc>
          <w:tcPr>
            <w:tcW w:w="302" w:type="pct"/>
            <w:tcBorders>
              <w:tl2br w:val="nil"/>
              <w:tr2bl w:val="nil"/>
            </w:tcBorders>
            <w:vAlign w:val="center"/>
          </w:tcPr>
          <w:p w14:paraId="71B79AC6">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20</w:t>
            </w:r>
          </w:p>
        </w:tc>
        <w:tc>
          <w:tcPr>
            <w:tcW w:w="277" w:type="pct"/>
            <w:tcBorders>
              <w:tl2br w:val="nil"/>
              <w:tr2bl w:val="nil"/>
            </w:tcBorders>
            <w:vAlign w:val="center"/>
          </w:tcPr>
          <w:p w14:paraId="7E21BAF4">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宋体"/>
                <w:color w:val="auto"/>
                <w:sz w:val="21"/>
                <w:szCs w:val="22"/>
                <w:lang w:val="en-US" w:eastAsia="zh-CN" w:bidi="ar-SA"/>
              </w:rPr>
            </w:pPr>
            <w:r>
              <w:rPr>
                <w:rFonts w:hint="eastAsia" w:ascii="Times New Roman" w:hAnsi="Times New Roman" w:eastAsia="宋体" w:cs="Times New Roman"/>
                <w:color w:val="000000"/>
                <w:kern w:val="2"/>
                <w:sz w:val="21"/>
                <w:szCs w:val="24"/>
                <w:highlight w:val="none"/>
                <w:lang w:val="en-US" w:eastAsia="zh-CN"/>
              </w:rPr>
              <w:t>5000</w:t>
            </w:r>
          </w:p>
        </w:tc>
        <w:tc>
          <w:tcPr>
            <w:tcW w:w="277" w:type="pct"/>
            <w:tcBorders>
              <w:tl2br w:val="nil"/>
              <w:tr2bl w:val="nil"/>
            </w:tcBorders>
            <w:vAlign w:val="center"/>
          </w:tcPr>
          <w:p w14:paraId="4C277854">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19.6</w:t>
            </w:r>
          </w:p>
        </w:tc>
        <w:tc>
          <w:tcPr>
            <w:tcW w:w="277" w:type="pct"/>
            <w:tcBorders>
              <w:tl2br w:val="nil"/>
              <w:tr2bl w:val="nil"/>
            </w:tcBorders>
            <w:vAlign w:val="center"/>
          </w:tcPr>
          <w:p w14:paraId="2CB6FE47">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4728</w:t>
            </w:r>
          </w:p>
        </w:tc>
        <w:tc>
          <w:tcPr>
            <w:tcW w:w="277" w:type="pct"/>
            <w:tcBorders>
              <w:tl2br w:val="nil"/>
              <w:tr2bl w:val="nil"/>
            </w:tcBorders>
            <w:vAlign w:val="center"/>
          </w:tcPr>
          <w:p w14:paraId="169220F4">
            <w:pPr>
              <w:widowControl w:val="0"/>
              <w:bidi w:val="0"/>
              <w:spacing w:line="360" w:lineRule="exact"/>
              <w:ind w:firstLine="0" w:firstLineChars="0"/>
              <w:jc w:val="center"/>
              <w:rPr>
                <w:rFonts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一般排放口</w:t>
            </w:r>
          </w:p>
        </w:tc>
        <w:tc>
          <w:tcPr>
            <w:tcW w:w="238" w:type="pct"/>
            <w:tcBorders>
              <w:tl2br w:val="nil"/>
              <w:tr2bl w:val="nil"/>
            </w:tcBorders>
            <w:vAlign w:val="center"/>
          </w:tcPr>
          <w:p w14:paraId="5FB465C1">
            <w:pPr>
              <w:widowControl w:val="0"/>
              <w:bidi w:val="0"/>
              <w:spacing w:line="360" w:lineRule="exact"/>
              <w:ind w:firstLine="0" w:firstLineChars="0"/>
              <w:jc w:val="center"/>
              <w:rPr>
                <w:rFonts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正常工况</w:t>
            </w:r>
          </w:p>
        </w:tc>
        <w:tc>
          <w:tcPr>
            <w:tcW w:w="344" w:type="pct"/>
            <w:tcBorders>
              <w:tl2br w:val="nil"/>
              <w:tr2bl w:val="nil"/>
            </w:tcBorders>
            <w:shd w:val="clear" w:color="auto" w:fill="auto"/>
            <w:vAlign w:val="center"/>
          </w:tcPr>
          <w:p w14:paraId="6DC02BA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0.0042</w:t>
            </w:r>
          </w:p>
        </w:tc>
        <w:tc>
          <w:tcPr>
            <w:tcW w:w="345" w:type="pct"/>
            <w:tcBorders>
              <w:tl2br w:val="nil"/>
              <w:tr2bl w:val="nil"/>
            </w:tcBorders>
            <w:vAlign w:val="center"/>
          </w:tcPr>
          <w:p w14:paraId="1942929F">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0.00</w:t>
            </w:r>
            <w:r>
              <w:rPr>
                <w:rFonts w:hint="eastAsia" w:cs="宋体"/>
                <w:color w:val="auto"/>
                <w:sz w:val="21"/>
                <w:szCs w:val="22"/>
                <w:lang w:val="en-US" w:eastAsia="zh-CN" w:bidi="ar-SA"/>
              </w:rPr>
              <w:t>21</w:t>
            </w:r>
          </w:p>
        </w:tc>
        <w:tc>
          <w:tcPr>
            <w:tcW w:w="473" w:type="pct"/>
            <w:tcBorders>
              <w:tl2br w:val="nil"/>
              <w:tr2bl w:val="nil"/>
            </w:tcBorders>
            <w:shd w:val="clear" w:color="auto" w:fill="auto"/>
            <w:vAlign w:val="center"/>
          </w:tcPr>
          <w:p w14:paraId="633FCE2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0.0063</w:t>
            </w:r>
          </w:p>
        </w:tc>
        <w:tc>
          <w:tcPr>
            <w:tcW w:w="376" w:type="pct"/>
            <w:tcBorders>
              <w:tl2br w:val="nil"/>
              <w:tr2bl w:val="nil"/>
            </w:tcBorders>
            <w:vAlign w:val="center"/>
          </w:tcPr>
          <w:p w14:paraId="622FF764">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宋体"/>
                <w:color w:val="auto"/>
                <w:sz w:val="21"/>
                <w:szCs w:val="22"/>
                <w:lang w:val="en-US" w:eastAsia="zh-CN" w:bidi="ar-SA"/>
              </w:rPr>
              <w:t>0.000</w:t>
            </w:r>
            <w:r>
              <w:rPr>
                <w:rFonts w:hint="eastAsia" w:cs="宋体"/>
                <w:color w:val="auto"/>
                <w:sz w:val="21"/>
                <w:szCs w:val="22"/>
                <w:lang w:val="en-US" w:eastAsia="zh-CN" w:bidi="ar-SA"/>
              </w:rPr>
              <w:t>4</w:t>
            </w:r>
          </w:p>
        </w:tc>
      </w:tr>
      <w:tr w14:paraId="0E198A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164" w:type="pct"/>
            <w:tcBorders>
              <w:tl2br w:val="nil"/>
              <w:tr2bl w:val="nil"/>
            </w:tcBorders>
            <w:vAlign w:val="center"/>
          </w:tcPr>
          <w:p w14:paraId="017566BB">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DA002</w:t>
            </w:r>
          </w:p>
        </w:tc>
        <w:tc>
          <w:tcPr>
            <w:tcW w:w="321" w:type="pct"/>
            <w:tcBorders>
              <w:tl2br w:val="nil"/>
              <w:tr2bl w:val="nil"/>
            </w:tcBorders>
            <w:vAlign w:val="center"/>
          </w:tcPr>
          <w:p w14:paraId="7BA3DB2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饲料加工排放口</w:t>
            </w:r>
          </w:p>
        </w:tc>
        <w:tc>
          <w:tcPr>
            <w:tcW w:w="313" w:type="pct"/>
            <w:tcBorders>
              <w:tl2br w:val="nil"/>
              <w:tr2bl w:val="nil"/>
            </w:tcBorders>
            <w:vAlign w:val="center"/>
          </w:tcPr>
          <w:p w14:paraId="418486A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-35</w:t>
            </w:r>
          </w:p>
        </w:tc>
        <w:tc>
          <w:tcPr>
            <w:tcW w:w="224" w:type="pct"/>
            <w:tcBorders>
              <w:tl2br w:val="nil"/>
              <w:tr2bl w:val="nil"/>
            </w:tcBorders>
            <w:vAlign w:val="center"/>
          </w:tcPr>
          <w:p w14:paraId="58A3C89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0</w:t>
            </w:r>
          </w:p>
        </w:tc>
        <w:tc>
          <w:tcPr>
            <w:tcW w:w="221" w:type="pct"/>
            <w:tcBorders>
              <w:tl2br w:val="nil"/>
              <w:tr2bl w:val="nil"/>
            </w:tcBorders>
            <w:vAlign w:val="center"/>
          </w:tcPr>
          <w:p w14:paraId="490AF02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15</w:t>
            </w:r>
          </w:p>
        </w:tc>
        <w:tc>
          <w:tcPr>
            <w:tcW w:w="262" w:type="pct"/>
            <w:tcBorders>
              <w:tl2br w:val="nil"/>
              <w:tr2bl w:val="nil"/>
            </w:tcBorders>
            <w:vAlign w:val="center"/>
          </w:tcPr>
          <w:p w14:paraId="2B49AB54">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eastAsia"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0.</w:t>
            </w:r>
            <w:r>
              <w:rPr>
                <w:rFonts w:hint="eastAsia" w:cs="Times New Roman"/>
                <w:bCs w:val="0"/>
                <w:color w:val="000000"/>
                <w:spacing w:val="0"/>
                <w:kern w:val="2"/>
                <w:sz w:val="21"/>
                <w:szCs w:val="21"/>
                <w:lang w:val="en-US" w:eastAsia="zh-CN"/>
              </w:rPr>
              <w:t>3</w:t>
            </w:r>
          </w:p>
        </w:tc>
        <w:tc>
          <w:tcPr>
            <w:tcW w:w="302" w:type="pct"/>
            <w:tcBorders>
              <w:tl2br w:val="nil"/>
              <w:tr2bl w:val="nil"/>
            </w:tcBorders>
            <w:vAlign w:val="center"/>
          </w:tcPr>
          <w:p w14:paraId="6E9CB818">
            <w:pPr>
              <w:widowControl w:val="0"/>
              <w:bidi w:val="0"/>
              <w:spacing w:line="360" w:lineRule="exact"/>
              <w:ind w:firstLine="0" w:firstLineChars="0"/>
              <w:jc w:val="center"/>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313</w:t>
            </w:r>
          </w:p>
        </w:tc>
        <w:tc>
          <w:tcPr>
            <w:tcW w:w="302" w:type="pct"/>
            <w:tcBorders>
              <w:tl2br w:val="nil"/>
              <w:tr2bl w:val="nil"/>
            </w:tcBorders>
            <w:vAlign w:val="center"/>
          </w:tcPr>
          <w:p w14:paraId="5676E689">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20</w:t>
            </w:r>
          </w:p>
        </w:tc>
        <w:tc>
          <w:tcPr>
            <w:tcW w:w="277" w:type="pct"/>
            <w:tcBorders>
              <w:tl2br w:val="nil"/>
              <w:tr2bl w:val="nil"/>
            </w:tcBorders>
            <w:vAlign w:val="center"/>
          </w:tcPr>
          <w:p w14:paraId="61FC8B34">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eastAsia" w:ascii="Times New Roman" w:hAnsi="Times New Roman" w:eastAsia="宋体" w:cs="Times New Roman"/>
                <w:color w:val="000000"/>
                <w:kern w:val="2"/>
                <w:sz w:val="21"/>
                <w:szCs w:val="24"/>
                <w:highlight w:val="none"/>
                <w:lang w:val="en-US" w:eastAsia="zh-CN"/>
              </w:rPr>
            </w:pPr>
            <w:r>
              <w:rPr>
                <w:rFonts w:hint="eastAsia" w:ascii="Times New Roman" w:hAnsi="Times New Roman" w:eastAsia="宋体" w:cs="Times New Roman"/>
                <w:color w:val="000000"/>
                <w:kern w:val="2"/>
                <w:sz w:val="21"/>
                <w:szCs w:val="24"/>
                <w:highlight w:val="none"/>
                <w:lang w:val="en-US" w:eastAsia="zh-CN"/>
              </w:rPr>
              <w:t>5000</w:t>
            </w:r>
          </w:p>
        </w:tc>
        <w:tc>
          <w:tcPr>
            <w:tcW w:w="277" w:type="pct"/>
            <w:tcBorders>
              <w:tl2br w:val="nil"/>
              <w:tr2bl w:val="nil"/>
            </w:tcBorders>
            <w:vAlign w:val="center"/>
          </w:tcPr>
          <w:p w14:paraId="6085AD0E">
            <w:pPr>
              <w:widowControl w:val="0"/>
              <w:bidi w:val="0"/>
              <w:spacing w:line="360" w:lineRule="exact"/>
              <w:ind w:firstLine="0" w:firstLineChars="0"/>
              <w:jc w:val="center"/>
              <w:rPr>
                <w:rFonts w:hint="eastAsia" w:cs="宋体"/>
                <w:color w:val="auto"/>
                <w:sz w:val="21"/>
                <w:szCs w:val="22"/>
                <w:lang w:val="en-US" w:eastAsia="zh-CN" w:bidi="ar-SA"/>
              </w:rPr>
            </w:pPr>
            <w:r>
              <w:rPr>
                <w:rFonts w:hint="eastAsia" w:cs="宋体"/>
                <w:color w:val="auto"/>
                <w:sz w:val="21"/>
                <w:szCs w:val="22"/>
                <w:lang w:val="en-US" w:eastAsia="zh-CN" w:bidi="ar-SA"/>
              </w:rPr>
              <w:t>19.6</w:t>
            </w:r>
          </w:p>
        </w:tc>
        <w:tc>
          <w:tcPr>
            <w:tcW w:w="277" w:type="pct"/>
            <w:tcBorders>
              <w:tl2br w:val="nil"/>
              <w:tr2bl w:val="nil"/>
            </w:tcBorders>
            <w:vAlign w:val="center"/>
          </w:tcPr>
          <w:p w14:paraId="37937306">
            <w:pPr>
              <w:widowControl w:val="0"/>
              <w:bidi w:val="0"/>
              <w:spacing w:line="360" w:lineRule="exact"/>
              <w:ind w:firstLine="0" w:firstLineChars="0"/>
              <w:jc w:val="center"/>
              <w:rPr>
                <w:rFonts w:hint="eastAsia" w:cs="宋体"/>
                <w:color w:val="auto"/>
                <w:sz w:val="21"/>
                <w:szCs w:val="22"/>
                <w:lang w:val="en-US" w:eastAsia="zh-CN" w:bidi="ar-SA"/>
              </w:rPr>
            </w:pPr>
            <w:r>
              <w:rPr>
                <w:rFonts w:hint="eastAsia" w:cs="宋体"/>
                <w:color w:val="auto"/>
                <w:sz w:val="21"/>
                <w:szCs w:val="22"/>
                <w:lang w:val="en-US" w:eastAsia="zh-CN" w:bidi="ar-SA"/>
              </w:rPr>
              <w:t>5840</w:t>
            </w:r>
          </w:p>
        </w:tc>
        <w:tc>
          <w:tcPr>
            <w:tcW w:w="277" w:type="pct"/>
            <w:tcBorders>
              <w:tl2br w:val="nil"/>
              <w:tr2bl w:val="nil"/>
            </w:tcBorders>
            <w:vAlign w:val="center"/>
          </w:tcPr>
          <w:p w14:paraId="7E7F9120">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一般排放口</w:t>
            </w:r>
          </w:p>
        </w:tc>
        <w:tc>
          <w:tcPr>
            <w:tcW w:w="238" w:type="pct"/>
            <w:tcBorders>
              <w:tl2br w:val="nil"/>
              <w:tr2bl w:val="nil"/>
            </w:tcBorders>
            <w:vAlign w:val="center"/>
          </w:tcPr>
          <w:p w14:paraId="3470311C">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正常工况</w:t>
            </w:r>
          </w:p>
        </w:tc>
        <w:tc>
          <w:tcPr>
            <w:tcW w:w="344" w:type="pct"/>
            <w:tcBorders>
              <w:tl2br w:val="nil"/>
              <w:tr2bl w:val="nil"/>
            </w:tcBorders>
            <w:shd w:val="clear" w:color="auto" w:fill="auto"/>
            <w:vAlign w:val="center"/>
          </w:tcPr>
          <w:p w14:paraId="091341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0.0017</w:t>
            </w:r>
          </w:p>
        </w:tc>
        <w:tc>
          <w:tcPr>
            <w:tcW w:w="345" w:type="pct"/>
            <w:tcBorders>
              <w:tl2br w:val="nil"/>
              <w:tr2bl w:val="nil"/>
            </w:tcBorders>
            <w:vAlign w:val="center"/>
          </w:tcPr>
          <w:p w14:paraId="4AAEC443">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0.000</w:t>
            </w:r>
            <w:r>
              <w:rPr>
                <w:rFonts w:hint="eastAsia" w:cs="宋体"/>
                <w:color w:val="auto"/>
                <w:sz w:val="21"/>
                <w:szCs w:val="22"/>
                <w:lang w:val="en-US" w:eastAsia="zh-CN" w:bidi="ar-SA"/>
              </w:rPr>
              <w:t>9</w:t>
            </w:r>
            <w:r>
              <w:rPr>
                <w:rFonts w:hint="eastAsia" w:ascii="Times New Roman" w:hAnsi="Times New Roman" w:eastAsia="宋体" w:cs="宋体"/>
                <w:color w:val="auto"/>
                <w:sz w:val="21"/>
                <w:szCs w:val="22"/>
                <w:lang w:val="en-US" w:eastAsia="zh-CN" w:bidi="ar-SA"/>
              </w:rPr>
              <w:t xml:space="preserve"> </w:t>
            </w:r>
          </w:p>
        </w:tc>
        <w:tc>
          <w:tcPr>
            <w:tcW w:w="473" w:type="pct"/>
            <w:tcBorders>
              <w:tl2br w:val="nil"/>
              <w:tr2bl w:val="nil"/>
            </w:tcBorders>
            <w:shd w:val="clear" w:color="auto" w:fill="auto"/>
            <w:vAlign w:val="center"/>
          </w:tcPr>
          <w:p w14:paraId="07B86398">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p>
        </w:tc>
        <w:tc>
          <w:tcPr>
            <w:tcW w:w="376" w:type="pct"/>
            <w:tcBorders>
              <w:tl2br w:val="nil"/>
              <w:tr2bl w:val="nil"/>
            </w:tcBorders>
            <w:vAlign w:val="center"/>
          </w:tcPr>
          <w:p w14:paraId="48A64EDE">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p>
        </w:tc>
      </w:tr>
    </w:tbl>
    <w:p w14:paraId="0E5BA4DA">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2" w:firstLineChars="200"/>
        <w:jc w:val="center"/>
        <w:textAlignment w:val="auto"/>
        <w:rPr>
          <w:rFonts w:hint="default" w:ascii="Times New Roman" w:hAnsi="Times New Roman" w:eastAsia="宋体" w:cs="Times New Roman"/>
          <w:b/>
          <w:bCs/>
          <w:color w:val="000000"/>
          <w:kern w:val="0"/>
          <w:sz w:val="24"/>
          <w:szCs w:val="24"/>
          <w:lang w:val="en-US" w:eastAsia="zh-CN" w:bidi="ar-SA"/>
        </w:rPr>
      </w:pPr>
      <w:r>
        <w:rPr>
          <w:rFonts w:hint="default" w:ascii="Times New Roman" w:hAnsi="Times New Roman" w:eastAsia="宋体" w:cs="Times New Roman"/>
          <w:b/>
          <w:bCs/>
          <w:color w:val="000000"/>
          <w:kern w:val="0"/>
          <w:sz w:val="24"/>
          <w:szCs w:val="24"/>
          <w:lang w:val="en-US" w:eastAsia="zh-CN" w:bidi="ar-SA"/>
        </w:rPr>
        <w:t>表</w:t>
      </w:r>
      <w:r>
        <w:rPr>
          <w:rFonts w:hint="eastAsia" w:ascii="Times New Roman" w:hAnsi="Times New Roman" w:eastAsia="宋体" w:cs="宋体"/>
          <w:b/>
          <w:color w:val="000000"/>
          <w:sz w:val="24"/>
          <w:szCs w:val="24"/>
          <w:lang w:val="en-US" w:eastAsia="zh-CN" w:bidi="ar-SA"/>
        </w:rPr>
        <w:t>2.6-4</w:t>
      </w:r>
      <w:r>
        <w:rPr>
          <w:rFonts w:hint="eastAsia" w:ascii="Times New Roman" w:hAnsi="Times New Roman" w:eastAsia="宋体" w:cs="Times New Roman"/>
          <w:b/>
          <w:bCs/>
          <w:color w:val="000000"/>
          <w:kern w:val="0"/>
          <w:sz w:val="24"/>
          <w:szCs w:val="24"/>
          <w:lang w:val="en-US" w:eastAsia="zh-CN" w:bidi="ar-SA"/>
        </w:rPr>
        <w:t>本</w:t>
      </w:r>
      <w:r>
        <w:rPr>
          <w:rFonts w:hint="default" w:ascii="Times New Roman" w:hAnsi="Times New Roman" w:eastAsia="宋体" w:cs="Times New Roman"/>
          <w:b/>
          <w:bCs/>
          <w:color w:val="000000"/>
          <w:kern w:val="0"/>
          <w:sz w:val="24"/>
          <w:szCs w:val="24"/>
          <w:lang w:val="en-US" w:eastAsia="zh-CN" w:bidi="ar-SA"/>
        </w:rPr>
        <w:t>项目矩形面源参数表</w:t>
      </w:r>
      <w:r>
        <w:rPr>
          <w:rFonts w:hint="eastAsia" w:ascii="Times New Roman" w:hAnsi="Times New Roman" w:eastAsia="宋体" w:cs="Times New Roman"/>
          <w:b/>
          <w:bCs/>
          <w:color w:val="000000"/>
          <w:kern w:val="0"/>
          <w:sz w:val="24"/>
          <w:szCs w:val="24"/>
          <w:lang w:val="en-US" w:eastAsia="zh-CN" w:bidi="ar-SA"/>
        </w:rPr>
        <w:t>参数</w:t>
      </w:r>
      <w:r>
        <w:rPr>
          <w:rFonts w:hint="default" w:ascii="Times New Roman" w:hAnsi="Times New Roman" w:eastAsia="宋体" w:cs="Times New Roman"/>
          <w:b/>
          <w:bCs/>
          <w:color w:val="000000"/>
          <w:kern w:val="0"/>
          <w:sz w:val="24"/>
          <w:szCs w:val="24"/>
          <w:lang w:val="en-US" w:eastAsia="zh-CN" w:bidi="ar-SA"/>
        </w:rPr>
        <w:t>一览表</w:t>
      </w:r>
    </w:p>
    <w:tbl>
      <w:tblPr>
        <w:tblStyle w:val="21"/>
        <w:tblW w:w="1417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68"/>
        <w:gridCol w:w="1511"/>
        <w:gridCol w:w="948"/>
        <w:gridCol w:w="816"/>
        <w:gridCol w:w="1153"/>
        <w:gridCol w:w="763"/>
        <w:gridCol w:w="993"/>
        <w:gridCol w:w="1064"/>
        <w:gridCol w:w="1135"/>
        <w:gridCol w:w="993"/>
        <w:gridCol w:w="922"/>
        <w:gridCol w:w="1029"/>
        <w:gridCol w:w="1277"/>
        <w:gridCol w:w="1101"/>
      </w:tblGrid>
      <w:tr w14:paraId="018523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vMerge w:val="restart"/>
            <w:tcBorders>
              <w:tl2br w:val="nil"/>
              <w:tr2bl w:val="nil"/>
            </w:tcBorders>
            <w:vAlign w:val="center"/>
          </w:tcPr>
          <w:p w14:paraId="6CA8430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编号</w:t>
            </w:r>
          </w:p>
        </w:tc>
        <w:tc>
          <w:tcPr>
            <w:tcW w:w="1511" w:type="dxa"/>
            <w:vMerge w:val="restart"/>
            <w:tcBorders>
              <w:tl2br w:val="nil"/>
              <w:tr2bl w:val="nil"/>
            </w:tcBorders>
            <w:vAlign w:val="center"/>
          </w:tcPr>
          <w:p w14:paraId="48D2CDE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名称</w:t>
            </w:r>
          </w:p>
        </w:tc>
        <w:tc>
          <w:tcPr>
            <w:tcW w:w="1764" w:type="dxa"/>
            <w:gridSpan w:val="2"/>
            <w:tcBorders>
              <w:tl2br w:val="nil"/>
              <w:tr2bl w:val="nil"/>
            </w:tcBorders>
            <w:vAlign w:val="center"/>
          </w:tcPr>
          <w:p w14:paraId="2B92797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面源起点坐标/m</w:t>
            </w:r>
          </w:p>
        </w:tc>
        <w:tc>
          <w:tcPr>
            <w:tcW w:w="1153" w:type="dxa"/>
            <w:vMerge w:val="restart"/>
            <w:tcBorders>
              <w:tl2br w:val="nil"/>
              <w:tr2bl w:val="nil"/>
            </w:tcBorders>
            <w:vAlign w:val="center"/>
          </w:tcPr>
          <w:p w14:paraId="602A5D6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w:t>
            </w:r>
            <w:r>
              <w:rPr>
                <w:rFonts w:hint="eastAsia" w:cs="Times New Roman"/>
                <w:b/>
                <w:bCs/>
                <w:color w:val="000000"/>
                <w:kern w:val="2"/>
                <w:sz w:val="21"/>
                <w:szCs w:val="24"/>
                <w:lang w:val="en-US" w:eastAsia="zh-CN" w:bidi="ar-SA"/>
              </w:rPr>
              <w:t>海拔</w:t>
            </w:r>
            <w:r>
              <w:rPr>
                <w:rFonts w:hint="eastAsia" w:ascii="Times New Roman" w:hAnsi="Times New Roman" w:eastAsia="宋体" w:cs="Times New Roman"/>
                <w:b/>
                <w:bCs/>
                <w:color w:val="000000"/>
                <w:kern w:val="2"/>
                <w:sz w:val="21"/>
                <w:szCs w:val="24"/>
                <w:lang w:val="en-US" w:eastAsia="zh-CN" w:bidi="ar-SA"/>
              </w:rPr>
              <w:t>/m</w:t>
            </w:r>
          </w:p>
        </w:tc>
        <w:tc>
          <w:tcPr>
            <w:tcW w:w="763" w:type="dxa"/>
            <w:vMerge w:val="restart"/>
            <w:tcBorders>
              <w:tl2br w:val="nil"/>
              <w:tr2bl w:val="nil"/>
            </w:tcBorders>
            <w:vAlign w:val="center"/>
          </w:tcPr>
          <w:p w14:paraId="54A5CC9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面源宽度/m</w:t>
            </w:r>
          </w:p>
        </w:tc>
        <w:tc>
          <w:tcPr>
            <w:tcW w:w="993" w:type="dxa"/>
            <w:vMerge w:val="restart"/>
            <w:tcBorders>
              <w:tl2br w:val="nil"/>
              <w:tr2bl w:val="nil"/>
            </w:tcBorders>
            <w:vAlign w:val="center"/>
          </w:tcPr>
          <w:p w14:paraId="6D6B9C8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面源长度/m</w:t>
            </w:r>
          </w:p>
        </w:tc>
        <w:tc>
          <w:tcPr>
            <w:tcW w:w="1064" w:type="dxa"/>
            <w:vMerge w:val="restart"/>
            <w:tcBorders>
              <w:tl2br w:val="nil"/>
              <w:tr2bl w:val="nil"/>
            </w:tcBorders>
            <w:vAlign w:val="center"/>
          </w:tcPr>
          <w:p w14:paraId="7DEE83A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default" w:ascii="Times New Roman" w:hAnsi="Times New Roman" w:eastAsia="宋体" w:cs="Times New Roman"/>
                <w:b/>
                <w:bCs/>
                <w:color w:val="000000"/>
                <w:kern w:val="2"/>
                <w:sz w:val="21"/>
                <w:szCs w:val="24"/>
                <w:lang w:val="en-US" w:eastAsia="zh-CN" w:bidi="ar-SA"/>
              </w:rPr>
              <w:t>与正北向夹角/（°）</w:t>
            </w:r>
          </w:p>
        </w:tc>
        <w:tc>
          <w:tcPr>
            <w:tcW w:w="1135" w:type="dxa"/>
            <w:vMerge w:val="restart"/>
            <w:tcBorders>
              <w:tl2br w:val="nil"/>
              <w:tr2bl w:val="nil"/>
            </w:tcBorders>
            <w:vAlign w:val="center"/>
          </w:tcPr>
          <w:p w14:paraId="4B3F527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面源有效排放高度/m</w:t>
            </w:r>
          </w:p>
        </w:tc>
        <w:tc>
          <w:tcPr>
            <w:tcW w:w="993" w:type="dxa"/>
            <w:vMerge w:val="restart"/>
            <w:tcBorders>
              <w:tl2br w:val="nil"/>
              <w:tr2bl w:val="nil"/>
            </w:tcBorders>
            <w:vAlign w:val="center"/>
          </w:tcPr>
          <w:p w14:paraId="532A46E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年排放小时数/h</w:t>
            </w:r>
          </w:p>
        </w:tc>
        <w:tc>
          <w:tcPr>
            <w:tcW w:w="922" w:type="dxa"/>
            <w:vMerge w:val="restart"/>
            <w:tcBorders>
              <w:tl2br w:val="nil"/>
              <w:tr2bl w:val="nil"/>
            </w:tcBorders>
            <w:vAlign w:val="center"/>
          </w:tcPr>
          <w:p w14:paraId="4A391F7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排放工况</w:t>
            </w:r>
          </w:p>
        </w:tc>
        <w:tc>
          <w:tcPr>
            <w:tcW w:w="3407" w:type="dxa"/>
            <w:gridSpan w:val="3"/>
            <w:tcBorders>
              <w:tl2br w:val="nil"/>
              <w:tr2bl w:val="nil"/>
            </w:tcBorders>
            <w:vAlign w:val="center"/>
          </w:tcPr>
          <w:p w14:paraId="122EAFF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污染排放</w:t>
            </w:r>
            <w:r>
              <w:rPr>
                <w:rFonts w:hint="eastAsia" w:ascii="Times New Roman" w:hAnsi="Times New Roman" w:cs="Times New Roman"/>
                <w:b/>
                <w:bCs/>
                <w:color w:val="000000"/>
                <w:kern w:val="2"/>
                <w:sz w:val="21"/>
                <w:szCs w:val="24"/>
                <w:lang w:val="en-US" w:eastAsia="zh-CN" w:bidi="ar-SA"/>
              </w:rPr>
              <w:t>速率</w:t>
            </w:r>
            <w:r>
              <w:rPr>
                <w:rFonts w:hint="eastAsia" w:ascii="Times New Roman" w:hAnsi="Times New Roman" w:eastAsia="宋体" w:cs="Times New Roman"/>
                <w:b/>
                <w:bCs/>
                <w:color w:val="000000"/>
                <w:kern w:val="2"/>
                <w:sz w:val="21"/>
                <w:szCs w:val="24"/>
                <w:lang w:val="en-US" w:eastAsia="zh-CN" w:bidi="ar-SA"/>
              </w:rPr>
              <w:t>（kg/h）</w:t>
            </w:r>
          </w:p>
        </w:tc>
      </w:tr>
      <w:tr w14:paraId="1BCFB5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vMerge w:val="continue"/>
            <w:tcBorders>
              <w:tl2br w:val="nil"/>
              <w:tr2bl w:val="nil"/>
            </w:tcBorders>
            <w:vAlign w:val="center"/>
          </w:tcPr>
          <w:p w14:paraId="721C5C8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511" w:type="dxa"/>
            <w:vMerge w:val="continue"/>
            <w:tcBorders>
              <w:tl2br w:val="nil"/>
              <w:tr2bl w:val="nil"/>
            </w:tcBorders>
            <w:vAlign w:val="center"/>
          </w:tcPr>
          <w:p w14:paraId="4902486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48" w:type="dxa"/>
            <w:tcBorders>
              <w:tl2br w:val="nil"/>
              <w:tr2bl w:val="nil"/>
            </w:tcBorders>
            <w:vAlign w:val="center"/>
          </w:tcPr>
          <w:p w14:paraId="4EF2590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X</w:t>
            </w:r>
          </w:p>
        </w:tc>
        <w:tc>
          <w:tcPr>
            <w:tcW w:w="816" w:type="dxa"/>
            <w:tcBorders>
              <w:tl2br w:val="nil"/>
              <w:tr2bl w:val="nil"/>
            </w:tcBorders>
            <w:vAlign w:val="center"/>
          </w:tcPr>
          <w:p w14:paraId="56657F6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Y</w:t>
            </w:r>
          </w:p>
        </w:tc>
        <w:tc>
          <w:tcPr>
            <w:tcW w:w="1153" w:type="dxa"/>
            <w:vMerge w:val="continue"/>
            <w:tcBorders>
              <w:tl2br w:val="nil"/>
              <w:tr2bl w:val="nil"/>
            </w:tcBorders>
            <w:vAlign w:val="center"/>
          </w:tcPr>
          <w:p w14:paraId="5555E4E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763" w:type="dxa"/>
            <w:vMerge w:val="continue"/>
            <w:tcBorders>
              <w:tl2br w:val="nil"/>
              <w:tr2bl w:val="nil"/>
            </w:tcBorders>
            <w:vAlign w:val="center"/>
          </w:tcPr>
          <w:p w14:paraId="1D4AEAB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93" w:type="dxa"/>
            <w:vMerge w:val="continue"/>
            <w:tcBorders>
              <w:tl2br w:val="nil"/>
              <w:tr2bl w:val="nil"/>
            </w:tcBorders>
            <w:vAlign w:val="center"/>
          </w:tcPr>
          <w:p w14:paraId="7E1E3BC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064" w:type="dxa"/>
            <w:vMerge w:val="continue"/>
            <w:tcBorders>
              <w:tl2br w:val="nil"/>
              <w:tr2bl w:val="nil"/>
            </w:tcBorders>
            <w:vAlign w:val="center"/>
          </w:tcPr>
          <w:p w14:paraId="2C7E06C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135" w:type="dxa"/>
            <w:vMerge w:val="continue"/>
            <w:tcBorders>
              <w:tl2br w:val="nil"/>
              <w:tr2bl w:val="nil"/>
            </w:tcBorders>
            <w:vAlign w:val="center"/>
          </w:tcPr>
          <w:p w14:paraId="7BA70D5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93" w:type="dxa"/>
            <w:vMerge w:val="continue"/>
            <w:tcBorders>
              <w:tl2br w:val="nil"/>
              <w:tr2bl w:val="nil"/>
            </w:tcBorders>
            <w:vAlign w:val="center"/>
          </w:tcPr>
          <w:p w14:paraId="66CAA78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22" w:type="dxa"/>
            <w:vMerge w:val="continue"/>
            <w:tcBorders>
              <w:tl2br w:val="nil"/>
              <w:tr2bl w:val="nil"/>
            </w:tcBorders>
            <w:vAlign w:val="center"/>
          </w:tcPr>
          <w:p w14:paraId="2545DF9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029" w:type="dxa"/>
            <w:tcBorders>
              <w:tl2br w:val="nil"/>
              <w:tr2bl w:val="nil"/>
            </w:tcBorders>
            <w:vAlign w:val="center"/>
          </w:tcPr>
          <w:p w14:paraId="7FDAD281">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TSP</w:t>
            </w:r>
          </w:p>
        </w:tc>
        <w:tc>
          <w:tcPr>
            <w:tcW w:w="1277" w:type="dxa"/>
            <w:tcBorders>
              <w:tl2br w:val="nil"/>
              <w:tr2bl w:val="nil"/>
            </w:tcBorders>
            <w:vAlign w:val="center"/>
          </w:tcPr>
          <w:p w14:paraId="7981DBD5">
            <w:pPr>
              <w:widowControl w:val="0"/>
              <w:bidi w:val="0"/>
              <w:spacing w:line="360" w:lineRule="exact"/>
              <w:ind w:firstLine="0" w:firstLineChars="0"/>
              <w:jc w:val="center"/>
              <w:rPr>
                <w:rFonts w:hint="eastAsia"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氨</w:t>
            </w:r>
          </w:p>
        </w:tc>
        <w:tc>
          <w:tcPr>
            <w:tcW w:w="1101" w:type="dxa"/>
            <w:tcBorders>
              <w:tl2br w:val="nil"/>
              <w:tr2bl w:val="nil"/>
            </w:tcBorders>
            <w:vAlign w:val="center"/>
          </w:tcPr>
          <w:p w14:paraId="3E783925">
            <w:pPr>
              <w:widowControl w:val="0"/>
              <w:bidi w:val="0"/>
              <w:spacing w:line="360" w:lineRule="exact"/>
              <w:ind w:firstLine="0" w:firstLineChars="0"/>
              <w:jc w:val="center"/>
              <w:rPr>
                <w:rFonts w:hint="eastAsia"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硫化氢</w:t>
            </w:r>
          </w:p>
        </w:tc>
      </w:tr>
      <w:tr w14:paraId="3A7F29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vAlign w:val="center"/>
          </w:tcPr>
          <w:p w14:paraId="25C4C74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1511" w:type="dxa"/>
            <w:tcBorders>
              <w:tl2br w:val="nil"/>
              <w:tr2bl w:val="nil"/>
            </w:tcBorders>
            <w:vAlign w:val="center"/>
          </w:tcPr>
          <w:p w14:paraId="731083D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00"/>
                <w:kern w:val="2"/>
                <w:sz w:val="21"/>
                <w:szCs w:val="24"/>
                <w:lang w:val="en-US" w:eastAsia="zh-CN" w:bidi="ar-SA"/>
              </w:rPr>
            </w:pPr>
            <w:r>
              <w:rPr>
                <w:rFonts w:hint="eastAsia" w:cs="Times New Roman"/>
                <w:color w:val="auto"/>
                <w:kern w:val="0"/>
                <w:sz w:val="21"/>
                <w:szCs w:val="21"/>
                <w:highlight w:val="none"/>
                <w:lang w:val="en-US" w:eastAsia="zh-CN"/>
              </w:rPr>
              <w:t>堆肥间</w:t>
            </w:r>
          </w:p>
        </w:tc>
        <w:tc>
          <w:tcPr>
            <w:tcW w:w="948" w:type="dxa"/>
            <w:tcBorders>
              <w:tl2br w:val="nil"/>
              <w:tr2bl w:val="nil"/>
            </w:tcBorders>
            <w:vAlign w:val="center"/>
          </w:tcPr>
          <w:p w14:paraId="7E5C1D8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4"/>
                <w:lang w:val="en-US" w:eastAsia="zh-CN" w:bidi="ar-SA"/>
              </w:rPr>
            </w:pPr>
            <w:r>
              <w:rPr>
                <w:rFonts w:hint="eastAsia" w:cs="Times New Roman"/>
                <w:bCs w:val="0"/>
                <w:color w:val="000000"/>
                <w:spacing w:val="0"/>
                <w:kern w:val="2"/>
                <w:sz w:val="21"/>
                <w:szCs w:val="21"/>
                <w:highlight w:val="none"/>
                <w:lang w:val="en-US" w:eastAsia="zh-CN"/>
              </w:rPr>
              <w:t>-116</w:t>
            </w:r>
          </w:p>
        </w:tc>
        <w:tc>
          <w:tcPr>
            <w:tcW w:w="816" w:type="dxa"/>
            <w:tcBorders>
              <w:tl2br w:val="nil"/>
              <w:tr2bl w:val="nil"/>
            </w:tcBorders>
            <w:vAlign w:val="center"/>
          </w:tcPr>
          <w:p w14:paraId="1E77895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4"/>
                <w:lang w:val="en-US" w:eastAsia="zh-CN" w:bidi="ar-SA"/>
              </w:rPr>
            </w:pPr>
            <w:r>
              <w:rPr>
                <w:rFonts w:hint="eastAsia" w:cs="Times New Roman"/>
                <w:bCs w:val="0"/>
                <w:color w:val="000000"/>
                <w:spacing w:val="0"/>
                <w:kern w:val="2"/>
                <w:sz w:val="21"/>
                <w:szCs w:val="21"/>
                <w:highlight w:val="none"/>
                <w:lang w:val="en-US" w:eastAsia="zh-CN"/>
              </w:rPr>
              <w:t>-315</w:t>
            </w:r>
          </w:p>
        </w:tc>
        <w:tc>
          <w:tcPr>
            <w:tcW w:w="1153" w:type="dxa"/>
            <w:tcBorders>
              <w:tl2br w:val="nil"/>
              <w:tr2bl w:val="nil"/>
            </w:tcBorders>
            <w:vAlign w:val="center"/>
          </w:tcPr>
          <w:p w14:paraId="52862F95">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6A2B1DB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20</w:t>
            </w:r>
          </w:p>
        </w:tc>
        <w:tc>
          <w:tcPr>
            <w:tcW w:w="993" w:type="dxa"/>
            <w:tcBorders>
              <w:tl2br w:val="nil"/>
              <w:tr2bl w:val="nil"/>
            </w:tcBorders>
            <w:vAlign w:val="center"/>
          </w:tcPr>
          <w:p w14:paraId="6A18811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40</w:t>
            </w:r>
          </w:p>
        </w:tc>
        <w:tc>
          <w:tcPr>
            <w:tcW w:w="1064" w:type="dxa"/>
            <w:tcBorders>
              <w:tl2br w:val="nil"/>
              <w:tr2bl w:val="nil"/>
            </w:tcBorders>
            <w:vAlign w:val="center"/>
          </w:tcPr>
          <w:p w14:paraId="0B3F31E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104.61</w:t>
            </w:r>
          </w:p>
        </w:tc>
        <w:tc>
          <w:tcPr>
            <w:tcW w:w="1135" w:type="dxa"/>
            <w:tcBorders>
              <w:tl2br w:val="nil"/>
              <w:tr2bl w:val="nil"/>
            </w:tcBorders>
            <w:vAlign w:val="center"/>
          </w:tcPr>
          <w:p w14:paraId="47A02F9D">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8</w:t>
            </w:r>
          </w:p>
        </w:tc>
        <w:tc>
          <w:tcPr>
            <w:tcW w:w="993" w:type="dxa"/>
            <w:tcBorders>
              <w:tl2br w:val="nil"/>
              <w:tr2bl w:val="nil"/>
            </w:tcBorders>
            <w:vAlign w:val="center"/>
          </w:tcPr>
          <w:p w14:paraId="026CECC2">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4728</w:t>
            </w:r>
          </w:p>
        </w:tc>
        <w:tc>
          <w:tcPr>
            <w:tcW w:w="922" w:type="dxa"/>
            <w:tcBorders>
              <w:tl2br w:val="nil"/>
              <w:tr2bl w:val="nil"/>
            </w:tcBorders>
            <w:vAlign w:val="center"/>
          </w:tcPr>
          <w:p w14:paraId="3D6D519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101493E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kern w:val="0"/>
                <w:sz w:val="21"/>
                <w:szCs w:val="21"/>
                <w:u w:val="none"/>
                <w:lang w:val="en-US" w:eastAsia="zh-CN" w:bidi="ar"/>
              </w:rPr>
              <w:t>0.0063</w:t>
            </w:r>
          </w:p>
        </w:tc>
        <w:tc>
          <w:tcPr>
            <w:tcW w:w="1277" w:type="dxa"/>
            <w:tcBorders>
              <w:tl2br w:val="nil"/>
              <w:tr2bl w:val="nil"/>
            </w:tcBorders>
            <w:vAlign w:val="center"/>
          </w:tcPr>
          <w:p w14:paraId="015CD1F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w:t>
            </w:r>
            <w:r>
              <w:rPr>
                <w:rFonts w:hint="eastAsia" w:cs="Times New Roman"/>
                <w:color w:val="auto"/>
                <w:kern w:val="0"/>
                <w:sz w:val="21"/>
                <w:szCs w:val="21"/>
                <w:highlight w:val="none"/>
                <w:lang w:val="en-US" w:eastAsia="zh-CN"/>
              </w:rPr>
              <w:t>063</w:t>
            </w:r>
          </w:p>
        </w:tc>
        <w:tc>
          <w:tcPr>
            <w:tcW w:w="1101" w:type="dxa"/>
            <w:tcBorders>
              <w:tl2br w:val="nil"/>
              <w:tr2bl w:val="nil"/>
            </w:tcBorders>
            <w:vAlign w:val="center"/>
          </w:tcPr>
          <w:p w14:paraId="5118FF0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0.0004</w:t>
            </w:r>
          </w:p>
        </w:tc>
      </w:tr>
      <w:tr w14:paraId="4C35EB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shd w:val="clear" w:color="auto" w:fill="auto"/>
            <w:vAlign w:val="center"/>
          </w:tcPr>
          <w:p w14:paraId="301A171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2</w:t>
            </w:r>
          </w:p>
        </w:tc>
        <w:tc>
          <w:tcPr>
            <w:tcW w:w="1511" w:type="dxa"/>
            <w:tcBorders>
              <w:tl2br w:val="nil"/>
              <w:tr2bl w:val="nil"/>
            </w:tcBorders>
            <w:vAlign w:val="center"/>
          </w:tcPr>
          <w:p w14:paraId="7028907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堆肥区</w:t>
            </w:r>
          </w:p>
        </w:tc>
        <w:tc>
          <w:tcPr>
            <w:tcW w:w="948" w:type="dxa"/>
            <w:tcBorders>
              <w:tl2br w:val="nil"/>
              <w:tr2bl w:val="nil"/>
            </w:tcBorders>
            <w:vAlign w:val="center"/>
          </w:tcPr>
          <w:p w14:paraId="46DEB75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-116</w:t>
            </w:r>
          </w:p>
        </w:tc>
        <w:tc>
          <w:tcPr>
            <w:tcW w:w="816" w:type="dxa"/>
            <w:tcBorders>
              <w:tl2br w:val="nil"/>
              <w:tr2bl w:val="nil"/>
            </w:tcBorders>
            <w:vAlign w:val="center"/>
          </w:tcPr>
          <w:p w14:paraId="15F8AF4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-335</w:t>
            </w:r>
          </w:p>
        </w:tc>
        <w:tc>
          <w:tcPr>
            <w:tcW w:w="1153" w:type="dxa"/>
            <w:tcBorders>
              <w:tl2br w:val="nil"/>
              <w:tr2bl w:val="nil"/>
            </w:tcBorders>
            <w:vAlign w:val="center"/>
          </w:tcPr>
          <w:p w14:paraId="7C87B623">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3F6FF9C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40</w:t>
            </w:r>
          </w:p>
        </w:tc>
        <w:tc>
          <w:tcPr>
            <w:tcW w:w="993" w:type="dxa"/>
            <w:tcBorders>
              <w:tl2br w:val="nil"/>
              <w:tr2bl w:val="nil"/>
            </w:tcBorders>
            <w:vAlign w:val="center"/>
          </w:tcPr>
          <w:p w14:paraId="7DCB2B0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80</w:t>
            </w:r>
          </w:p>
        </w:tc>
        <w:tc>
          <w:tcPr>
            <w:tcW w:w="1064" w:type="dxa"/>
            <w:tcBorders>
              <w:tl2br w:val="nil"/>
              <w:tr2bl w:val="nil"/>
            </w:tcBorders>
            <w:vAlign w:val="center"/>
          </w:tcPr>
          <w:p w14:paraId="70BBBBF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98.81</w:t>
            </w:r>
          </w:p>
        </w:tc>
        <w:tc>
          <w:tcPr>
            <w:tcW w:w="1135" w:type="dxa"/>
            <w:tcBorders>
              <w:tl2br w:val="nil"/>
              <w:tr2bl w:val="nil"/>
            </w:tcBorders>
            <w:vAlign w:val="center"/>
          </w:tcPr>
          <w:p w14:paraId="22F8B5F1">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2</w:t>
            </w:r>
          </w:p>
        </w:tc>
        <w:tc>
          <w:tcPr>
            <w:tcW w:w="993" w:type="dxa"/>
            <w:tcBorders>
              <w:tl2br w:val="nil"/>
              <w:tr2bl w:val="nil"/>
            </w:tcBorders>
            <w:vAlign w:val="center"/>
          </w:tcPr>
          <w:p w14:paraId="54445EE8">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ascii="Times New Roman" w:hAnsi="Times New Roman" w:eastAsia="宋体" w:cs="Times New Roman"/>
                <w:bCs w:val="0"/>
                <w:color w:val="000000"/>
                <w:spacing w:val="0"/>
                <w:kern w:val="2"/>
                <w:sz w:val="21"/>
                <w:szCs w:val="21"/>
                <w:lang w:val="en-US" w:eastAsia="zh-CN"/>
              </w:rPr>
            </w:pPr>
            <w:r>
              <w:rPr>
                <w:rFonts w:hint="eastAsia" w:cs="Times New Roman"/>
                <w:bCs w:val="0"/>
                <w:color w:val="000000"/>
                <w:spacing w:val="0"/>
                <w:kern w:val="2"/>
                <w:sz w:val="21"/>
                <w:szCs w:val="21"/>
                <w:lang w:val="en-US" w:eastAsia="zh-CN"/>
              </w:rPr>
              <w:t>4728</w:t>
            </w:r>
          </w:p>
        </w:tc>
        <w:tc>
          <w:tcPr>
            <w:tcW w:w="922" w:type="dxa"/>
            <w:tcBorders>
              <w:tl2br w:val="nil"/>
              <w:tr2bl w:val="nil"/>
            </w:tcBorders>
            <w:vAlign w:val="center"/>
          </w:tcPr>
          <w:p w14:paraId="5EC1215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3FE4F10E">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0.0021</w:t>
            </w:r>
          </w:p>
        </w:tc>
        <w:tc>
          <w:tcPr>
            <w:tcW w:w="1277" w:type="dxa"/>
            <w:tcBorders>
              <w:tl2br w:val="nil"/>
              <w:tr2bl w:val="nil"/>
            </w:tcBorders>
            <w:vAlign w:val="center"/>
          </w:tcPr>
          <w:p w14:paraId="3211BC2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101" w:type="dxa"/>
            <w:tcBorders>
              <w:tl2br w:val="nil"/>
              <w:tr2bl w:val="nil"/>
            </w:tcBorders>
            <w:vAlign w:val="center"/>
          </w:tcPr>
          <w:p w14:paraId="082BB4B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cs="Times New Roman"/>
                <w:sz w:val="21"/>
                <w:szCs w:val="21"/>
                <w:highlight w:val="none"/>
                <w:lang w:val="en-US" w:eastAsia="zh-CN"/>
              </w:rPr>
            </w:pPr>
          </w:p>
        </w:tc>
      </w:tr>
      <w:tr w14:paraId="0E996B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shd w:val="clear" w:color="auto" w:fill="auto"/>
            <w:vAlign w:val="center"/>
          </w:tcPr>
          <w:p w14:paraId="6F7738B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3</w:t>
            </w:r>
          </w:p>
        </w:tc>
        <w:tc>
          <w:tcPr>
            <w:tcW w:w="1511" w:type="dxa"/>
            <w:tcBorders>
              <w:tl2br w:val="nil"/>
              <w:tr2bl w:val="nil"/>
            </w:tcBorders>
            <w:vAlign w:val="center"/>
          </w:tcPr>
          <w:p w14:paraId="40B87D55">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kern w:val="2"/>
                <w:sz w:val="21"/>
                <w:szCs w:val="24"/>
                <w:highlight w:val="none"/>
                <w:lang w:val="en-US" w:eastAsia="zh-CN" w:bidi="ar-SA"/>
              </w:rPr>
            </w:pPr>
            <w:r>
              <w:rPr>
                <w:rFonts w:hint="eastAsia" w:ascii="Times New Roman" w:hAnsi="Times New Roman" w:cs="Times New Roman"/>
                <w:color w:val="000000"/>
                <w:kern w:val="2"/>
                <w:sz w:val="21"/>
                <w:szCs w:val="24"/>
                <w:highlight w:val="none"/>
                <w:lang w:val="en-US" w:eastAsia="zh-CN" w:bidi="ar-SA"/>
              </w:rPr>
              <w:t>养殖区</w:t>
            </w:r>
          </w:p>
        </w:tc>
        <w:tc>
          <w:tcPr>
            <w:tcW w:w="948" w:type="dxa"/>
            <w:tcBorders>
              <w:tl2br w:val="nil"/>
              <w:tr2bl w:val="nil"/>
            </w:tcBorders>
            <w:vAlign w:val="center"/>
          </w:tcPr>
          <w:p w14:paraId="34569F7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51</w:t>
            </w:r>
          </w:p>
        </w:tc>
        <w:tc>
          <w:tcPr>
            <w:tcW w:w="816" w:type="dxa"/>
            <w:tcBorders>
              <w:tl2br w:val="nil"/>
              <w:tr2bl w:val="nil"/>
            </w:tcBorders>
            <w:vAlign w:val="center"/>
          </w:tcPr>
          <w:p w14:paraId="244EAD2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-395</w:t>
            </w:r>
          </w:p>
        </w:tc>
        <w:tc>
          <w:tcPr>
            <w:tcW w:w="1153" w:type="dxa"/>
            <w:tcBorders>
              <w:tl2br w:val="nil"/>
              <w:tr2bl w:val="nil"/>
            </w:tcBorders>
            <w:vAlign w:val="center"/>
          </w:tcPr>
          <w:p w14:paraId="3E58C2BF">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cs="Times New Roman"/>
                <w:bCs w:val="0"/>
                <w:color w:val="000000"/>
                <w:spacing w:val="0"/>
                <w:kern w:val="2"/>
                <w:sz w:val="21"/>
                <w:szCs w:val="21"/>
                <w:highlight w:val="none"/>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646C519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122</w:t>
            </w:r>
          </w:p>
        </w:tc>
        <w:tc>
          <w:tcPr>
            <w:tcW w:w="993" w:type="dxa"/>
            <w:tcBorders>
              <w:tl2br w:val="nil"/>
              <w:tr2bl w:val="nil"/>
            </w:tcBorders>
            <w:vAlign w:val="center"/>
          </w:tcPr>
          <w:p w14:paraId="6B368B7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highlight w:val="none"/>
                <w:lang w:val="en-US" w:eastAsia="zh-CN" w:bidi="ar-SA"/>
              </w:rPr>
            </w:pPr>
            <w:r>
              <w:rPr>
                <w:rFonts w:hint="eastAsia" w:cs="Times New Roman"/>
                <w:bCs w:val="0"/>
                <w:color w:val="000000"/>
                <w:spacing w:val="0"/>
                <w:kern w:val="2"/>
                <w:sz w:val="21"/>
                <w:szCs w:val="21"/>
                <w:highlight w:val="none"/>
                <w:lang w:val="en-US" w:eastAsia="zh-CN" w:bidi="ar-SA"/>
              </w:rPr>
              <w:t>815</w:t>
            </w:r>
          </w:p>
        </w:tc>
        <w:tc>
          <w:tcPr>
            <w:tcW w:w="1064" w:type="dxa"/>
            <w:tcBorders>
              <w:tl2br w:val="nil"/>
              <w:tr2bl w:val="nil"/>
            </w:tcBorders>
            <w:vAlign w:val="center"/>
          </w:tcPr>
          <w:p w14:paraId="4FFE185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lang w:val="en-US" w:eastAsia="zh-CN" w:bidi="ar-SA"/>
              </w:rPr>
              <w:t>83.02</w:t>
            </w:r>
          </w:p>
        </w:tc>
        <w:tc>
          <w:tcPr>
            <w:tcW w:w="1135" w:type="dxa"/>
            <w:tcBorders>
              <w:tl2br w:val="nil"/>
              <w:tr2bl w:val="nil"/>
            </w:tcBorders>
            <w:vAlign w:val="center"/>
          </w:tcPr>
          <w:p w14:paraId="2B408688">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highlight w:val="none"/>
                <w:lang w:val="en-US" w:eastAsia="zh-CN" w:bidi="ar-SA"/>
              </w:rPr>
            </w:pPr>
            <w:r>
              <w:rPr>
                <w:rFonts w:hint="eastAsia" w:cs="Times New Roman"/>
                <w:bCs w:val="0"/>
                <w:color w:val="000000"/>
                <w:spacing w:val="0"/>
                <w:kern w:val="2"/>
                <w:sz w:val="21"/>
                <w:szCs w:val="21"/>
                <w:highlight w:val="none"/>
                <w:lang w:val="en-US" w:eastAsia="zh-CN" w:bidi="ar-SA"/>
              </w:rPr>
              <w:t>8</w:t>
            </w:r>
          </w:p>
        </w:tc>
        <w:tc>
          <w:tcPr>
            <w:tcW w:w="993" w:type="dxa"/>
            <w:tcBorders>
              <w:tl2br w:val="nil"/>
              <w:tr2bl w:val="nil"/>
            </w:tcBorders>
            <w:vAlign w:val="center"/>
          </w:tcPr>
          <w:p w14:paraId="53981CDF">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ascii="Times New Roman" w:hAnsi="Times New Roman" w:cs="Times New Roman"/>
                <w:bCs w:val="0"/>
                <w:color w:val="000000"/>
                <w:spacing w:val="0"/>
                <w:kern w:val="2"/>
                <w:sz w:val="21"/>
                <w:szCs w:val="21"/>
                <w:highlight w:val="none"/>
                <w:lang w:val="en-US" w:eastAsia="zh-CN"/>
              </w:rPr>
            </w:pPr>
            <w:r>
              <w:rPr>
                <w:rFonts w:hint="eastAsia" w:cs="宋体"/>
                <w:color w:val="auto"/>
                <w:sz w:val="21"/>
                <w:szCs w:val="22"/>
                <w:highlight w:val="none"/>
                <w:lang w:val="en-US" w:eastAsia="zh-CN" w:bidi="ar-SA"/>
              </w:rPr>
              <w:t>8760（饲料搅拌5840）</w:t>
            </w:r>
          </w:p>
        </w:tc>
        <w:tc>
          <w:tcPr>
            <w:tcW w:w="922" w:type="dxa"/>
            <w:tcBorders>
              <w:tl2br w:val="nil"/>
              <w:tr2bl w:val="nil"/>
            </w:tcBorders>
            <w:vAlign w:val="center"/>
          </w:tcPr>
          <w:p w14:paraId="70D8D1B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连续</w:t>
            </w:r>
          </w:p>
        </w:tc>
        <w:tc>
          <w:tcPr>
            <w:tcW w:w="1029" w:type="dxa"/>
            <w:tcBorders>
              <w:tl2br w:val="nil"/>
              <w:tr2bl w:val="nil"/>
            </w:tcBorders>
            <w:shd w:val="clear" w:color="auto" w:fill="auto"/>
            <w:vAlign w:val="center"/>
          </w:tcPr>
          <w:p w14:paraId="6BF20D6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2"/>
                <w:sz w:val="21"/>
                <w:szCs w:val="21"/>
                <w:u w:val="none"/>
                <w:lang w:val="en-US" w:eastAsia="zh-CN" w:bidi="ar-SA"/>
              </w:rPr>
              <w:t>0.161</w:t>
            </w:r>
            <w:r>
              <w:rPr>
                <w:rFonts w:hint="eastAsia" w:cs="Times New Roman"/>
                <w:i w:val="0"/>
                <w:iCs w:val="0"/>
                <w:color w:val="000000"/>
                <w:kern w:val="2"/>
                <w:sz w:val="21"/>
                <w:szCs w:val="21"/>
                <w:u w:val="none"/>
                <w:lang w:val="en-US" w:eastAsia="zh-CN" w:bidi="ar-SA"/>
              </w:rPr>
              <w:t>0</w:t>
            </w:r>
          </w:p>
        </w:tc>
        <w:tc>
          <w:tcPr>
            <w:tcW w:w="1277" w:type="dxa"/>
            <w:tcBorders>
              <w:tl2br w:val="nil"/>
              <w:tr2bl w:val="nil"/>
            </w:tcBorders>
            <w:shd w:val="clear" w:color="auto" w:fill="auto"/>
            <w:vAlign w:val="center"/>
          </w:tcPr>
          <w:p w14:paraId="48DAC3D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0674</w:t>
            </w:r>
          </w:p>
        </w:tc>
        <w:tc>
          <w:tcPr>
            <w:tcW w:w="1101" w:type="dxa"/>
            <w:tcBorders>
              <w:tl2br w:val="nil"/>
              <w:tr2bl w:val="nil"/>
            </w:tcBorders>
            <w:vAlign w:val="center"/>
          </w:tcPr>
          <w:p w14:paraId="10EC224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ascii="Times New Roman" w:hAnsi="Times New Roman" w:eastAsia="宋体" w:cs="Times New Roman"/>
                <w:kern w:val="2"/>
                <w:sz w:val="21"/>
                <w:szCs w:val="20"/>
                <w:highlight w:val="none"/>
                <w:lang w:val="en-US" w:eastAsia="zh-CN" w:bidi="ar-SA"/>
              </w:rPr>
              <w:t>0.00</w:t>
            </w:r>
            <w:r>
              <w:rPr>
                <w:rFonts w:hint="eastAsia" w:cs="Times New Roman"/>
                <w:kern w:val="2"/>
                <w:sz w:val="21"/>
                <w:szCs w:val="20"/>
                <w:highlight w:val="none"/>
                <w:lang w:val="en-US" w:eastAsia="zh-CN" w:bidi="ar-SA"/>
              </w:rPr>
              <w:t>11</w:t>
            </w:r>
          </w:p>
        </w:tc>
      </w:tr>
      <w:tr w14:paraId="1DC4D5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shd w:val="clear" w:color="auto" w:fill="auto"/>
            <w:vAlign w:val="center"/>
          </w:tcPr>
          <w:p w14:paraId="5AE95F4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4</w:t>
            </w:r>
          </w:p>
        </w:tc>
        <w:tc>
          <w:tcPr>
            <w:tcW w:w="1511" w:type="dxa"/>
            <w:tcBorders>
              <w:tl2br w:val="nil"/>
              <w:tr2bl w:val="nil"/>
            </w:tcBorders>
            <w:vAlign w:val="center"/>
          </w:tcPr>
          <w:p w14:paraId="6A715B2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000000"/>
                <w:kern w:val="2"/>
                <w:sz w:val="21"/>
                <w:szCs w:val="24"/>
                <w:lang w:val="en-US" w:eastAsia="zh-CN" w:bidi="ar-SA"/>
              </w:rPr>
            </w:pPr>
            <w:r>
              <w:rPr>
                <w:rFonts w:hint="eastAsia" w:cs="Times New Roman"/>
                <w:color w:val="000000"/>
                <w:kern w:val="2"/>
                <w:sz w:val="21"/>
                <w:szCs w:val="24"/>
                <w:lang w:val="en-US" w:eastAsia="zh-CN" w:bidi="ar-SA"/>
              </w:rPr>
              <w:t>饲料加工区</w:t>
            </w:r>
          </w:p>
        </w:tc>
        <w:tc>
          <w:tcPr>
            <w:tcW w:w="948" w:type="dxa"/>
            <w:tcBorders>
              <w:tl2br w:val="nil"/>
              <w:tr2bl w:val="nil"/>
            </w:tcBorders>
            <w:vAlign w:val="center"/>
          </w:tcPr>
          <w:p w14:paraId="0A86671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-35</w:t>
            </w:r>
          </w:p>
        </w:tc>
        <w:tc>
          <w:tcPr>
            <w:tcW w:w="816" w:type="dxa"/>
            <w:tcBorders>
              <w:tl2br w:val="nil"/>
              <w:tr2bl w:val="nil"/>
            </w:tcBorders>
            <w:vAlign w:val="center"/>
          </w:tcPr>
          <w:p w14:paraId="03C48EF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5</w:t>
            </w:r>
          </w:p>
        </w:tc>
        <w:tc>
          <w:tcPr>
            <w:tcW w:w="1153" w:type="dxa"/>
            <w:tcBorders>
              <w:tl2br w:val="nil"/>
              <w:tr2bl w:val="nil"/>
            </w:tcBorders>
            <w:vAlign w:val="center"/>
          </w:tcPr>
          <w:p w14:paraId="5B277B6D">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318683A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7</w:t>
            </w:r>
          </w:p>
        </w:tc>
        <w:tc>
          <w:tcPr>
            <w:tcW w:w="993" w:type="dxa"/>
            <w:tcBorders>
              <w:tl2br w:val="nil"/>
              <w:tr2bl w:val="nil"/>
            </w:tcBorders>
            <w:vAlign w:val="center"/>
          </w:tcPr>
          <w:p w14:paraId="041E4DA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50</w:t>
            </w:r>
          </w:p>
        </w:tc>
        <w:tc>
          <w:tcPr>
            <w:tcW w:w="1064" w:type="dxa"/>
            <w:tcBorders>
              <w:tl2br w:val="nil"/>
              <w:tr2bl w:val="nil"/>
            </w:tcBorders>
            <w:vAlign w:val="center"/>
          </w:tcPr>
          <w:p w14:paraId="4280C14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109.84</w:t>
            </w:r>
          </w:p>
        </w:tc>
        <w:tc>
          <w:tcPr>
            <w:tcW w:w="1135" w:type="dxa"/>
            <w:tcBorders>
              <w:tl2br w:val="nil"/>
              <w:tr2bl w:val="nil"/>
            </w:tcBorders>
            <w:vAlign w:val="center"/>
          </w:tcPr>
          <w:p w14:paraId="4A5AB6A4">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w:t>
            </w:r>
          </w:p>
        </w:tc>
        <w:tc>
          <w:tcPr>
            <w:tcW w:w="993" w:type="dxa"/>
            <w:tcBorders>
              <w:tl2br w:val="nil"/>
              <w:tr2bl w:val="nil"/>
            </w:tcBorders>
            <w:vAlign w:val="center"/>
          </w:tcPr>
          <w:p w14:paraId="48B9453B">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cs="Times New Roman"/>
                <w:bCs w:val="0"/>
                <w:color w:val="000000"/>
                <w:spacing w:val="0"/>
                <w:kern w:val="2"/>
                <w:sz w:val="21"/>
                <w:szCs w:val="21"/>
                <w:lang w:val="en-US" w:eastAsia="zh-CN"/>
              </w:rPr>
            </w:pPr>
            <w:r>
              <w:rPr>
                <w:rFonts w:hint="eastAsia" w:cs="宋体"/>
                <w:color w:val="auto"/>
                <w:sz w:val="21"/>
                <w:szCs w:val="22"/>
                <w:lang w:val="en-US" w:eastAsia="zh-CN" w:bidi="ar-SA"/>
              </w:rPr>
              <w:t>5840</w:t>
            </w:r>
          </w:p>
        </w:tc>
        <w:tc>
          <w:tcPr>
            <w:tcW w:w="922" w:type="dxa"/>
            <w:tcBorders>
              <w:tl2br w:val="nil"/>
              <w:tr2bl w:val="nil"/>
            </w:tcBorders>
            <w:vAlign w:val="center"/>
          </w:tcPr>
          <w:p w14:paraId="3C624D6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6C85BC4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0.0205</w:t>
            </w:r>
          </w:p>
        </w:tc>
        <w:tc>
          <w:tcPr>
            <w:tcW w:w="1277" w:type="dxa"/>
            <w:tcBorders>
              <w:tl2br w:val="nil"/>
              <w:tr2bl w:val="nil"/>
            </w:tcBorders>
            <w:vAlign w:val="center"/>
          </w:tcPr>
          <w:p w14:paraId="2A85126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p>
        </w:tc>
        <w:tc>
          <w:tcPr>
            <w:tcW w:w="1101" w:type="dxa"/>
            <w:tcBorders>
              <w:tl2br w:val="nil"/>
              <w:tr2bl w:val="nil"/>
            </w:tcBorders>
            <w:vAlign w:val="center"/>
          </w:tcPr>
          <w:p w14:paraId="4715923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p>
        </w:tc>
      </w:tr>
      <w:tr w14:paraId="5E1AC6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vAlign w:val="center"/>
          </w:tcPr>
          <w:p w14:paraId="6CEE924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000000"/>
                <w:kern w:val="2"/>
                <w:sz w:val="21"/>
                <w:szCs w:val="24"/>
                <w:lang w:val="en-US" w:eastAsia="zh-CN" w:bidi="ar-SA"/>
              </w:rPr>
            </w:pPr>
            <w:r>
              <w:rPr>
                <w:rFonts w:hint="eastAsia" w:cs="Times New Roman"/>
                <w:color w:val="000000"/>
                <w:kern w:val="2"/>
                <w:sz w:val="21"/>
                <w:szCs w:val="24"/>
                <w:lang w:val="en-US" w:eastAsia="zh-CN" w:bidi="ar-SA"/>
              </w:rPr>
              <w:t>5</w:t>
            </w:r>
          </w:p>
        </w:tc>
        <w:tc>
          <w:tcPr>
            <w:tcW w:w="1511" w:type="dxa"/>
            <w:tcBorders>
              <w:tl2br w:val="nil"/>
              <w:tr2bl w:val="nil"/>
            </w:tcBorders>
            <w:vAlign w:val="center"/>
          </w:tcPr>
          <w:p w14:paraId="22939B5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000000"/>
                <w:kern w:val="2"/>
                <w:sz w:val="21"/>
                <w:szCs w:val="24"/>
                <w:lang w:val="en-US" w:eastAsia="zh-CN" w:bidi="ar-SA"/>
              </w:rPr>
            </w:pPr>
            <w:r>
              <w:rPr>
                <w:rFonts w:hint="eastAsia" w:ascii="Times New Roman" w:hAnsi="Times New Roman" w:cs="Times New Roman"/>
                <w:color w:val="auto"/>
                <w:kern w:val="0"/>
                <w:sz w:val="21"/>
                <w:szCs w:val="21"/>
                <w:lang w:val="en-US" w:eastAsia="zh-CN"/>
              </w:rPr>
              <w:t>还田区</w:t>
            </w:r>
          </w:p>
        </w:tc>
        <w:tc>
          <w:tcPr>
            <w:tcW w:w="948" w:type="dxa"/>
            <w:tcBorders>
              <w:tl2br w:val="nil"/>
              <w:tr2bl w:val="nil"/>
            </w:tcBorders>
            <w:vAlign w:val="center"/>
          </w:tcPr>
          <w:p w14:paraId="033E9EC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-1950</w:t>
            </w:r>
          </w:p>
        </w:tc>
        <w:tc>
          <w:tcPr>
            <w:tcW w:w="816" w:type="dxa"/>
            <w:tcBorders>
              <w:tl2br w:val="nil"/>
              <w:tr2bl w:val="nil"/>
            </w:tcBorders>
            <w:vAlign w:val="center"/>
          </w:tcPr>
          <w:p w14:paraId="317A53C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4930</w:t>
            </w:r>
          </w:p>
        </w:tc>
        <w:tc>
          <w:tcPr>
            <w:tcW w:w="1153" w:type="dxa"/>
            <w:tcBorders>
              <w:tl2br w:val="nil"/>
              <w:tr2bl w:val="nil"/>
            </w:tcBorders>
            <w:vAlign w:val="center"/>
          </w:tcPr>
          <w:p w14:paraId="0A57283C">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309</w:t>
            </w:r>
          </w:p>
        </w:tc>
        <w:tc>
          <w:tcPr>
            <w:tcW w:w="763" w:type="dxa"/>
            <w:tcBorders>
              <w:tl2br w:val="nil"/>
              <w:tr2bl w:val="nil"/>
            </w:tcBorders>
            <w:vAlign w:val="center"/>
          </w:tcPr>
          <w:p w14:paraId="77ACE3B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1620</w:t>
            </w:r>
          </w:p>
        </w:tc>
        <w:tc>
          <w:tcPr>
            <w:tcW w:w="993" w:type="dxa"/>
            <w:tcBorders>
              <w:tl2br w:val="nil"/>
              <w:tr2bl w:val="nil"/>
            </w:tcBorders>
            <w:vAlign w:val="center"/>
          </w:tcPr>
          <w:p w14:paraId="5F3CA04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bCs w:val="0"/>
                <w:color w:val="000000"/>
                <w:spacing w:val="0"/>
                <w:kern w:val="2"/>
                <w:sz w:val="21"/>
                <w:szCs w:val="21"/>
                <w:lang w:val="en-US" w:eastAsia="zh-CN" w:bidi="ar-SA"/>
              </w:rPr>
              <w:t>2160</w:t>
            </w:r>
          </w:p>
        </w:tc>
        <w:tc>
          <w:tcPr>
            <w:tcW w:w="1064" w:type="dxa"/>
            <w:tcBorders>
              <w:tl2br w:val="nil"/>
              <w:tr2bl w:val="nil"/>
            </w:tcBorders>
            <w:vAlign w:val="center"/>
          </w:tcPr>
          <w:p w14:paraId="1499766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89.99</w:t>
            </w:r>
          </w:p>
        </w:tc>
        <w:tc>
          <w:tcPr>
            <w:tcW w:w="1135" w:type="dxa"/>
            <w:tcBorders>
              <w:tl2br w:val="nil"/>
              <w:tr2bl w:val="nil"/>
            </w:tcBorders>
            <w:vAlign w:val="center"/>
          </w:tcPr>
          <w:p w14:paraId="5AA7D594">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w:t>
            </w:r>
          </w:p>
        </w:tc>
        <w:tc>
          <w:tcPr>
            <w:tcW w:w="993" w:type="dxa"/>
            <w:tcBorders>
              <w:tl2br w:val="nil"/>
              <w:tr2bl w:val="nil"/>
            </w:tcBorders>
            <w:vAlign w:val="center"/>
          </w:tcPr>
          <w:p w14:paraId="005FD6EF">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cs="Times New Roman"/>
                <w:bCs w:val="0"/>
                <w:color w:val="000000"/>
                <w:spacing w:val="0"/>
                <w:kern w:val="2"/>
                <w:sz w:val="21"/>
                <w:szCs w:val="21"/>
                <w:lang w:val="en-US" w:eastAsia="zh-CN"/>
              </w:rPr>
            </w:pPr>
            <w:r>
              <w:rPr>
                <w:rFonts w:hint="eastAsia" w:cs="Times New Roman"/>
                <w:bCs w:val="0"/>
                <w:color w:val="000000"/>
                <w:spacing w:val="0"/>
                <w:kern w:val="2"/>
                <w:sz w:val="21"/>
                <w:szCs w:val="21"/>
                <w:lang w:val="en-US" w:eastAsia="zh-CN"/>
              </w:rPr>
              <w:t>4728</w:t>
            </w:r>
          </w:p>
        </w:tc>
        <w:tc>
          <w:tcPr>
            <w:tcW w:w="922" w:type="dxa"/>
            <w:tcBorders>
              <w:tl2br w:val="nil"/>
              <w:tr2bl w:val="nil"/>
            </w:tcBorders>
            <w:vAlign w:val="center"/>
          </w:tcPr>
          <w:p w14:paraId="303599A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77AFE1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p>
        </w:tc>
        <w:tc>
          <w:tcPr>
            <w:tcW w:w="1277" w:type="dxa"/>
            <w:tcBorders>
              <w:tl2br w:val="nil"/>
              <w:tr2bl w:val="nil"/>
            </w:tcBorders>
            <w:vAlign w:val="center"/>
          </w:tcPr>
          <w:p w14:paraId="58322D0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0.2200</w:t>
            </w:r>
          </w:p>
        </w:tc>
        <w:tc>
          <w:tcPr>
            <w:tcW w:w="1101" w:type="dxa"/>
            <w:tcBorders>
              <w:tl2br w:val="nil"/>
              <w:tr2bl w:val="nil"/>
            </w:tcBorders>
            <w:vAlign w:val="center"/>
          </w:tcPr>
          <w:p w14:paraId="00517DF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0.0021</w:t>
            </w:r>
          </w:p>
        </w:tc>
      </w:tr>
    </w:tbl>
    <w:p w14:paraId="57C08B8C">
      <w:pPr>
        <w:pageBreakBefore w:val="0"/>
        <w:kinsoku/>
        <w:wordWrap/>
        <w:topLinePunct w:val="0"/>
        <w:bidi w:val="0"/>
        <w:adjustRightInd/>
        <w:snapToGrid/>
        <w:spacing w:line="360" w:lineRule="auto"/>
        <w:ind w:firstLine="480" w:firstLineChars="200"/>
        <w:rPr>
          <w:rFonts w:hint="eastAsia" w:ascii="Times New Roman" w:hAnsi="Times New Roman" w:eastAsia="宋体" w:cs="Times New Roman"/>
          <w:sz w:val="24"/>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289CC323">
      <w:pPr>
        <w:spacing w:line="320" w:lineRule="exact"/>
        <w:jc w:val="center"/>
        <w:rPr>
          <w:rFonts w:ascii="Times New Roman" w:hAnsi="Times New Roman" w:eastAsia="宋体" w:cs="Times New Roman"/>
          <w:kern w:val="2"/>
          <w:sz w:val="21"/>
          <w:szCs w:val="22"/>
        </w:rPr>
      </w:pPr>
      <w:r>
        <w:rPr>
          <w:rFonts w:hint="eastAsia" w:ascii="Times New Roman" w:hAnsi="Times New Roman" w:eastAsia="宋体" w:cs="Times New Roman"/>
          <w:b/>
          <w:color w:val="auto"/>
          <w:kern w:val="0"/>
          <w:sz w:val="24"/>
          <w:szCs w:val="24"/>
          <w:lang w:val="zh-CN" w:eastAsia="zh-CN" w:bidi="ar-SA"/>
        </w:rPr>
        <w:t>表</w:t>
      </w:r>
      <w:r>
        <w:rPr>
          <w:rFonts w:hint="eastAsia" w:ascii="Times New Roman" w:hAnsi="Times New Roman" w:eastAsia="宋体" w:cs="Times New Roman"/>
          <w:b/>
          <w:color w:val="auto"/>
          <w:kern w:val="0"/>
          <w:sz w:val="24"/>
          <w:szCs w:val="24"/>
          <w:lang w:val="en-US" w:eastAsia="zh-CN" w:bidi="ar-SA"/>
        </w:rPr>
        <w:t>2.</w:t>
      </w:r>
      <w:r>
        <w:rPr>
          <w:rFonts w:hint="eastAsia" w:cs="Times New Roman"/>
          <w:b/>
          <w:color w:val="auto"/>
          <w:kern w:val="0"/>
          <w:sz w:val="24"/>
          <w:szCs w:val="24"/>
          <w:lang w:val="en-US" w:eastAsia="zh-CN" w:bidi="ar-SA"/>
        </w:rPr>
        <w:t>6</w:t>
      </w:r>
      <w:r>
        <w:rPr>
          <w:rFonts w:hint="eastAsia" w:ascii="Times New Roman" w:hAnsi="Times New Roman" w:eastAsia="宋体" w:cs="Times New Roman"/>
          <w:b/>
          <w:color w:val="auto"/>
          <w:kern w:val="0"/>
          <w:sz w:val="24"/>
          <w:szCs w:val="24"/>
          <w:lang w:val="en-US" w:eastAsia="zh-CN" w:bidi="ar-SA"/>
        </w:rPr>
        <w:t>-</w:t>
      </w:r>
      <w:r>
        <w:rPr>
          <w:rFonts w:hint="eastAsia" w:cs="Times New Roman"/>
          <w:b/>
          <w:color w:val="auto"/>
          <w:kern w:val="0"/>
          <w:sz w:val="24"/>
          <w:szCs w:val="24"/>
          <w:lang w:val="en-US" w:eastAsia="zh-CN" w:bidi="ar-SA"/>
        </w:rPr>
        <w:t>5</w:t>
      </w:r>
      <w:r>
        <w:rPr>
          <w:rFonts w:hint="eastAsia" w:ascii="Times New Roman" w:hAnsi="Times New Roman" w:eastAsia="宋体" w:cs="Times New Roman"/>
          <w:b/>
          <w:color w:val="auto"/>
          <w:kern w:val="0"/>
          <w:sz w:val="24"/>
          <w:szCs w:val="24"/>
          <w:lang w:val="en-US" w:eastAsia="zh-CN" w:bidi="ar-SA"/>
        </w:rPr>
        <w:t xml:space="preserve"> </w:t>
      </w:r>
      <w:r>
        <w:rPr>
          <w:rFonts w:hint="eastAsia" w:ascii="Times New Roman" w:hAnsi="Times New Roman" w:eastAsia="宋体" w:cs="Times New Roman"/>
          <w:b/>
          <w:color w:val="auto"/>
          <w:kern w:val="0"/>
          <w:sz w:val="24"/>
          <w:szCs w:val="24"/>
          <w:lang w:val="zh-CN" w:eastAsia="zh-CN" w:bidi="ar-SA"/>
        </w:rPr>
        <w:t>废气污染物排放情况汇总表</w:t>
      </w:r>
    </w:p>
    <w:tbl>
      <w:tblPr>
        <w:tblStyle w:val="20"/>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0"/>
        <w:gridCol w:w="1041"/>
        <w:gridCol w:w="781"/>
        <w:gridCol w:w="782"/>
        <w:gridCol w:w="782"/>
        <w:gridCol w:w="840"/>
        <w:gridCol w:w="959"/>
        <w:gridCol w:w="925"/>
        <w:gridCol w:w="787"/>
        <w:gridCol w:w="851"/>
      </w:tblGrid>
      <w:tr w14:paraId="02811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5BCEDB8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序号</w:t>
            </w:r>
          </w:p>
        </w:tc>
        <w:tc>
          <w:tcPr>
            <w:tcW w:w="1041" w:type="dxa"/>
            <w:tcBorders>
              <w:tl2br w:val="nil"/>
              <w:tr2bl w:val="nil"/>
            </w:tcBorders>
            <w:shd w:val="clear" w:color="auto" w:fill="auto"/>
            <w:noWrap/>
            <w:vAlign w:val="center"/>
          </w:tcPr>
          <w:p w14:paraId="4F00AC8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污染源名称</w:t>
            </w:r>
          </w:p>
        </w:tc>
        <w:tc>
          <w:tcPr>
            <w:tcW w:w="781" w:type="dxa"/>
            <w:tcBorders>
              <w:tl2br w:val="nil"/>
              <w:tr2bl w:val="nil"/>
            </w:tcBorders>
            <w:shd w:val="clear" w:color="auto" w:fill="auto"/>
            <w:noWrap/>
            <w:vAlign w:val="center"/>
          </w:tcPr>
          <w:p w14:paraId="3F99AC8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 xml:space="preserve">方位角度（度） </w:t>
            </w:r>
          </w:p>
        </w:tc>
        <w:tc>
          <w:tcPr>
            <w:tcW w:w="782" w:type="dxa"/>
            <w:tcBorders>
              <w:tl2br w:val="nil"/>
              <w:tr2bl w:val="nil"/>
            </w:tcBorders>
            <w:shd w:val="clear" w:color="auto" w:fill="auto"/>
            <w:noWrap/>
            <w:vAlign w:val="center"/>
          </w:tcPr>
          <w:p w14:paraId="0D50EB1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离源距离（m）</w:t>
            </w:r>
          </w:p>
        </w:tc>
        <w:tc>
          <w:tcPr>
            <w:tcW w:w="782" w:type="dxa"/>
            <w:tcBorders>
              <w:tl2br w:val="nil"/>
              <w:tr2bl w:val="nil"/>
            </w:tcBorders>
            <w:shd w:val="clear" w:color="auto" w:fill="auto"/>
            <w:noWrap/>
            <w:vAlign w:val="center"/>
          </w:tcPr>
          <w:p w14:paraId="5AE2965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相对源高（m）</w:t>
            </w:r>
          </w:p>
        </w:tc>
        <w:tc>
          <w:tcPr>
            <w:tcW w:w="840" w:type="dxa"/>
            <w:tcBorders>
              <w:tl2br w:val="nil"/>
              <w:tr2bl w:val="nil"/>
            </w:tcBorders>
            <w:shd w:val="clear" w:color="auto" w:fill="auto"/>
            <w:noWrap/>
            <w:vAlign w:val="center"/>
          </w:tcPr>
          <w:p w14:paraId="76CA3D1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TSP|D10（m）</w:t>
            </w:r>
          </w:p>
        </w:tc>
        <w:tc>
          <w:tcPr>
            <w:tcW w:w="959" w:type="dxa"/>
            <w:tcBorders>
              <w:tl2br w:val="nil"/>
              <w:tr2bl w:val="nil"/>
            </w:tcBorders>
            <w:shd w:val="clear" w:color="auto" w:fill="auto"/>
            <w:noWrap/>
            <w:vAlign w:val="center"/>
          </w:tcPr>
          <w:p w14:paraId="1B30AFB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PM10|D10（m）</w:t>
            </w:r>
          </w:p>
        </w:tc>
        <w:tc>
          <w:tcPr>
            <w:tcW w:w="925" w:type="dxa"/>
            <w:tcBorders>
              <w:tl2br w:val="nil"/>
              <w:tr2bl w:val="nil"/>
            </w:tcBorders>
            <w:shd w:val="clear" w:color="auto" w:fill="auto"/>
            <w:noWrap/>
            <w:vAlign w:val="center"/>
          </w:tcPr>
          <w:p w14:paraId="07FDCA2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PM2.5|D10（m）</w:t>
            </w:r>
          </w:p>
        </w:tc>
        <w:tc>
          <w:tcPr>
            <w:tcW w:w="787" w:type="dxa"/>
            <w:tcBorders>
              <w:tl2br w:val="nil"/>
              <w:tr2bl w:val="nil"/>
            </w:tcBorders>
            <w:shd w:val="clear" w:color="auto" w:fill="auto"/>
            <w:noWrap/>
            <w:vAlign w:val="center"/>
          </w:tcPr>
          <w:p w14:paraId="247AD9B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氨|D10（m）</w:t>
            </w:r>
          </w:p>
        </w:tc>
        <w:tc>
          <w:tcPr>
            <w:tcW w:w="851" w:type="dxa"/>
            <w:tcBorders>
              <w:tl2br w:val="nil"/>
              <w:tr2bl w:val="nil"/>
            </w:tcBorders>
            <w:shd w:val="clear" w:color="auto" w:fill="auto"/>
            <w:noWrap/>
            <w:vAlign w:val="center"/>
          </w:tcPr>
          <w:p w14:paraId="60D5E0C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硫化氢|D10（m）</w:t>
            </w:r>
          </w:p>
        </w:tc>
      </w:tr>
      <w:tr w14:paraId="2887C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38BE81A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w:t>
            </w:r>
          </w:p>
        </w:tc>
        <w:tc>
          <w:tcPr>
            <w:tcW w:w="1041" w:type="dxa"/>
            <w:tcBorders>
              <w:tl2br w:val="nil"/>
              <w:tr2bl w:val="nil"/>
            </w:tcBorders>
            <w:shd w:val="clear" w:color="auto" w:fill="auto"/>
            <w:noWrap/>
            <w:vAlign w:val="center"/>
          </w:tcPr>
          <w:p w14:paraId="3452596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DA001</w:t>
            </w:r>
          </w:p>
        </w:tc>
        <w:tc>
          <w:tcPr>
            <w:tcW w:w="781" w:type="dxa"/>
            <w:tcBorders>
              <w:tl2br w:val="nil"/>
              <w:tr2bl w:val="nil"/>
            </w:tcBorders>
            <w:shd w:val="clear" w:color="auto" w:fill="auto"/>
            <w:noWrap/>
            <w:vAlign w:val="center"/>
          </w:tcPr>
          <w:p w14:paraId="6226E99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340</w:t>
            </w:r>
          </w:p>
        </w:tc>
        <w:tc>
          <w:tcPr>
            <w:tcW w:w="782" w:type="dxa"/>
            <w:tcBorders>
              <w:tl2br w:val="nil"/>
              <w:tr2bl w:val="nil"/>
            </w:tcBorders>
            <w:shd w:val="clear" w:color="auto" w:fill="auto"/>
            <w:noWrap/>
            <w:vAlign w:val="center"/>
          </w:tcPr>
          <w:p w14:paraId="28781EA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168</w:t>
            </w:r>
          </w:p>
        </w:tc>
        <w:tc>
          <w:tcPr>
            <w:tcW w:w="782" w:type="dxa"/>
            <w:tcBorders>
              <w:tl2br w:val="nil"/>
              <w:tr2bl w:val="nil"/>
            </w:tcBorders>
            <w:shd w:val="clear" w:color="auto" w:fill="auto"/>
            <w:noWrap/>
            <w:vAlign w:val="center"/>
          </w:tcPr>
          <w:p w14:paraId="770E5EA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-0.01</w:t>
            </w:r>
          </w:p>
        </w:tc>
        <w:tc>
          <w:tcPr>
            <w:tcW w:w="840" w:type="dxa"/>
            <w:tcBorders>
              <w:tl2br w:val="nil"/>
              <w:tr2bl w:val="nil"/>
            </w:tcBorders>
            <w:shd w:val="clear" w:color="auto" w:fill="auto"/>
            <w:noWrap/>
            <w:vAlign w:val="center"/>
          </w:tcPr>
          <w:p w14:paraId="10EECA4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59" w:type="dxa"/>
            <w:tcBorders>
              <w:tl2br w:val="nil"/>
              <w:tr2bl w:val="nil"/>
            </w:tcBorders>
            <w:shd w:val="clear" w:color="auto" w:fill="auto"/>
            <w:noWrap/>
            <w:vAlign w:val="center"/>
          </w:tcPr>
          <w:p w14:paraId="509D740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0.12|0</w:t>
            </w:r>
          </w:p>
        </w:tc>
        <w:tc>
          <w:tcPr>
            <w:tcW w:w="925" w:type="dxa"/>
            <w:tcBorders>
              <w:tl2br w:val="nil"/>
              <w:tr2bl w:val="nil"/>
            </w:tcBorders>
            <w:shd w:val="clear" w:color="auto" w:fill="auto"/>
            <w:noWrap/>
            <w:vAlign w:val="center"/>
          </w:tcPr>
          <w:p w14:paraId="75A9BFC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0.12|0</w:t>
            </w:r>
          </w:p>
        </w:tc>
        <w:tc>
          <w:tcPr>
            <w:tcW w:w="787" w:type="dxa"/>
            <w:tcBorders>
              <w:tl2br w:val="nil"/>
              <w:tr2bl w:val="nil"/>
            </w:tcBorders>
            <w:shd w:val="clear" w:color="auto" w:fill="auto"/>
            <w:noWrap/>
            <w:vAlign w:val="center"/>
          </w:tcPr>
          <w:p w14:paraId="38C2629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0.33|0</w:t>
            </w:r>
          </w:p>
        </w:tc>
        <w:tc>
          <w:tcPr>
            <w:tcW w:w="851" w:type="dxa"/>
            <w:tcBorders>
              <w:tl2br w:val="nil"/>
              <w:tr2bl w:val="nil"/>
            </w:tcBorders>
            <w:shd w:val="clear" w:color="auto" w:fill="auto"/>
            <w:noWrap/>
            <w:vAlign w:val="center"/>
          </w:tcPr>
          <w:p w14:paraId="631CC0D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0.42|0</w:t>
            </w:r>
          </w:p>
        </w:tc>
      </w:tr>
      <w:tr w14:paraId="73736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6753631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2</w:t>
            </w:r>
          </w:p>
        </w:tc>
        <w:tc>
          <w:tcPr>
            <w:tcW w:w="1041" w:type="dxa"/>
            <w:tcBorders>
              <w:tl2br w:val="nil"/>
              <w:tr2bl w:val="nil"/>
            </w:tcBorders>
            <w:shd w:val="clear" w:color="auto" w:fill="auto"/>
            <w:noWrap/>
            <w:vAlign w:val="center"/>
          </w:tcPr>
          <w:p w14:paraId="6008527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DA002</w:t>
            </w:r>
          </w:p>
        </w:tc>
        <w:tc>
          <w:tcPr>
            <w:tcW w:w="781" w:type="dxa"/>
            <w:tcBorders>
              <w:tl2br w:val="nil"/>
              <w:tr2bl w:val="nil"/>
            </w:tcBorders>
            <w:shd w:val="clear" w:color="auto" w:fill="auto"/>
            <w:noWrap/>
            <w:vAlign w:val="center"/>
          </w:tcPr>
          <w:p w14:paraId="73AB533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340</w:t>
            </w:r>
          </w:p>
        </w:tc>
        <w:tc>
          <w:tcPr>
            <w:tcW w:w="782" w:type="dxa"/>
            <w:tcBorders>
              <w:tl2br w:val="nil"/>
              <w:tr2bl w:val="nil"/>
            </w:tcBorders>
            <w:shd w:val="clear" w:color="auto" w:fill="auto"/>
            <w:noWrap/>
            <w:vAlign w:val="center"/>
          </w:tcPr>
          <w:p w14:paraId="606728F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168</w:t>
            </w:r>
          </w:p>
        </w:tc>
        <w:tc>
          <w:tcPr>
            <w:tcW w:w="782" w:type="dxa"/>
            <w:tcBorders>
              <w:tl2br w:val="nil"/>
              <w:tr2bl w:val="nil"/>
            </w:tcBorders>
            <w:shd w:val="clear" w:color="auto" w:fill="auto"/>
            <w:noWrap/>
            <w:vAlign w:val="center"/>
          </w:tcPr>
          <w:p w14:paraId="665B916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-0.01</w:t>
            </w:r>
          </w:p>
        </w:tc>
        <w:tc>
          <w:tcPr>
            <w:tcW w:w="840" w:type="dxa"/>
            <w:tcBorders>
              <w:tl2br w:val="nil"/>
              <w:tr2bl w:val="nil"/>
            </w:tcBorders>
            <w:shd w:val="clear" w:color="auto" w:fill="auto"/>
            <w:noWrap/>
            <w:vAlign w:val="center"/>
          </w:tcPr>
          <w:p w14:paraId="62BF689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59" w:type="dxa"/>
            <w:tcBorders>
              <w:tl2br w:val="nil"/>
              <w:tr2bl w:val="nil"/>
            </w:tcBorders>
            <w:shd w:val="clear" w:color="auto" w:fill="auto"/>
            <w:noWrap/>
            <w:vAlign w:val="center"/>
          </w:tcPr>
          <w:p w14:paraId="574E2E0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0.05|0</w:t>
            </w:r>
          </w:p>
        </w:tc>
        <w:tc>
          <w:tcPr>
            <w:tcW w:w="925" w:type="dxa"/>
            <w:tcBorders>
              <w:tl2br w:val="nil"/>
              <w:tr2bl w:val="nil"/>
            </w:tcBorders>
            <w:shd w:val="clear" w:color="auto" w:fill="auto"/>
            <w:noWrap/>
            <w:vAlign w:val="center"/>
          </w:tcPr>
          <w:p w14:paraId="5F43E24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0.05|0</w:t>
            </w:r>
          </w:p>
        </w:tc>
        <w:tc>
          <w:tcPr>
            <w:tcW w:w="787" w:type="dxa"/>
            <w:tcBorders>
              <w:tl2br w:val="nil"/>
              <w:tr2bl w:val="nil"/>
            </w:tcBorders>
            <w:shd w:val="clear" w:color="auto" w:fill="auto"/>
            <w:noWrap/>
            <w:vAlign w:val="center"/>
          </w:tcPr>
          <w:p w14:paraId="6E625AE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851" w:type="dxa"/>
            <w:tcBorders>
              <w:tl2br w:val="nil"/>
              <w:tr2bl w:val="nil"/>
            </w:tcBorders>
            <w:shd w:val="clear" w:color="auto" w:fill="auto"/>
            <w:noWrap/>
            <w:vAlign w:val="center"/>
          </w:tcPr>
          <w:p w14:paraId="48F16DE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r>
      <w:tr w14:paraId="6877B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3F363A3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w:t>
            </w:r>
          </w:p>
        </w:tc>
        <w:tc>
          <w:tcPr>
            <w:tcW w:w="1041" w:type="dxa"/>
            <w:tcBorders>
              <w:tl2br w:val="nil"/>
              <w:tr2bl w:val="nil"/>
            </w:tcBorders>
            <w:shd w:val="clear" w:color="auto" w:fill="auto"/>
            <w:noWrap/>
            <w:vAlign w:val="center"/>
          </w:tcPr>
          <w:p w14:paraId="200CB9B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堆肥间</w:t>
            </w:r>
          </w:p>
        </w:tc>
        <w:tc>
          <w:tcPr>
            <w:tcW w:w="781" w:type="dxa"/>
            <w:tcBorders>
              <w:tl2br w:val="nil"/>
              <w:tr2bl w:val="nil"/>
            </w:tcBorders>
            <w:shd w:val="clear" w:color="auto" w:fill="auto"/>
            <w:noWrap/>
            <w:vAlign w:val="center"/>
          </w:tcPr>
          <w:p w14:paraId="3AA0CF8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20</w:t>
            </w:r>
          </w:p>
        </w:tc>
        <w:tc>
          <w:tcPr>
            <w:tcW w:w="782" w:type="dxa"/>
            <w:tcBorders>
              <w:tl2br w:val="nil"/>
              <w:tr2bl w:val="nil"/>
            </w:tcBorders>
            <w:shd w:val="clear" w:color="auto" w:fill="auto"/>
            <w:noWrap/>
            <w:vAlign w:val="center"/>
          </w:tcPr>
          <w:p w14:paraId="6995B54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24</w:t>
            </w:r>
          </w:p>
        </w:tc>
        <w:tc>
          <w:tcPr>
            <w:tcW w:w="782" w:type="dxa"/>
            <w:tcBorders>
              <w:tl2br w:val="nil"/>
              <w:tr2bl w:val="nil"/>
            </w:tcBorders>
            <w:shd w:val="clear" w:color="auto" w:fill="auto"/>
            <w:noWrap/>
            <w:vAlign w:val="center"/>
          </w:tcPr>
          <w:p w14:paraId="7290AD4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840" w:type="dxa"/>
            <w:tcBorders>
              <w:tl2br w:val="nil"/>
              <w:tr2bl w:val="nil"/>
            </w:tcBorders>
            <w:shd w:val="clear" w:color="auto" w:fill="auto"/>
            <w:noWrap/>
            <w:vAlign w:val="center"/>
          </w:tcPr>
          <w:p w14:paraId="4A4FEBC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0.96|0</w:t>
            </w:r>
          </w:p>
        </w:tc>
        <w:tc>
          <w:tcPr>
            <w:tcW w:w="959" w:type="dxa"/>
            <w:tcBorders>
              <w:tl2br w:val="nil"/>
              <w:tr2bl w:val="nil"/>
            </w:tcBorders>
            <w:shd w:val="clear" w:color="auto" w:fill="auto"/>
            <w:noWrap/>
            <w:vAlign w:val="center"/>
          </w:tcPr>
          <w:p w14:paraId="1D21EEA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25" w:type="dxa"/>
            <w:tcBorders>
              <w:tl2br w:val="nil"/>
              <w:tr2bl w:val="nil"/>
            </w:tcBorders>
            <w:shd w:val="clear" w:color="auto" w:fill="auto"/>
            <w:noWrap/>
            <w:vAlign w:val="center"/>
          </w:tcPr>
          <w:p w14:paraId="6E63526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787" w:type="dxa"/>
            <w:tcBorders>
              <w:tl2br w:val="nil"/>
              <w:tr2bl w:val="nil"/>
            </w:tcBorders>
            <w:shd w:val="clear" w:color="auto" w:fill="auto"/>
            <w:noWrap/>
            <w:vAlign w:val="center"/>
          </w:tcPr>
          <w:p w14:paraId="0135B01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4.33|0</w:t>
            </w:r>
          </w:p>
        </w:tc>
        <w:tc>
          <w:tcPr>
            <w:tcW w:w="851" w:type="dxa"/>
            <w:tcBorders>
              <w:tl2br w:val="nil"/>
              <w:tr2bl w:val="nil"/>
            </w:tcBorders>
            <w:shd w:val="clear" w:color="auto" w:fill="auto"/>
            <w:noWrap/>
            <w:vAlign w:val="center"/>
          </w:tcPr>
          <w:p w14:paraId="23FEA7A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5.49|0</w:t>
            </w:r>
          </w:p>
        </w:tc>
      </w:tr>
      <w:tr w14:paraId="1FFB3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6F7282C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4</w:t>
            </w:r>
          </w:p>
        </w:tc>
        <w:tc>
          <w:tcPr>
            <w:tcW w:w="1041" w:type="dxa"/>
            <w:tcBorders>
              <w:tl2br w:val="nil"/>
              <w:tr2bl w:val="nil"/>
            </w:tcBorders>
            <w:shd w:val="clear" w:color="auto" w:fill="auto"/>
            <w:noWrap/>
            <w:vAlign w:val="center"/>
          </w:tcPr>
          <w:p w14:paraId="005D95C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堆肥区</w:t>
            </w:r>
          </w:p>
        </w:tc>
        <w:tc>
          <w:tcPr>
            <w:tcW w:w="781" w:type="dxa"/>
            <w:tcBorders>
              <w:tl2br w:val="nil"/>
              <w:tr2bl w:val="nil"/>
            </w:tcBorders>
            <w:shd w:val="clear" w:color="auto" w:fill="auto"/>
            <w:noWrap/>
            <w:vAlign w:val="center"/>
          </w:tcPr>
          <w:p w14:paraId="6F2938B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782" w:type="dxa"/>
            <w:tcBorders>
              <w:tl2br w:val="nil"/>
              <w:tr2bl w:val="nil"/>
            </w:tcBorders>
            <w:shd w:val="clear" w:color="auto" w:fill="auto"/>
            <w:noWrap/>
            <w:vAlign w:val="center"/>
          </w:tcPr>
          <w:p w14:paraId="74B1809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58</w:t>
            </w:r>
          </w:p>
        </w:tc>
        <w:tc>
          <w:tcPr>
            <w:tcW w:w="782" w:type="dxa"/>
            <w:tcBorders>
              <w:tl2br w:val="nil"/>
              <w:tr2bl w:val="nil"/>
            </w:tcBorders>
            <w:shd w:val="clear" w:color="auto" w:fill="auto"/>
            <w:noWrap/>
            <w:vAlign w:val="center"/>
          </w:tcPr>
          <w:p w14:paraId="3B81207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840" w:type="dxa"/>
            <w:tcBorders>
              <w:tl2br w:val="nil"/>
              <w:tr2bl w:val="nil"/>
            </w:tcBorders>
            <w:shd w:val="clear" w:color="auto" w:fill="auto"/>
            <w:noWrap/>
            <w:vAlign w:val="center"/>
          </w:tcPr>
          <w:p w14:paraId="3E24696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1.21|0</w:t>
            </w:r>
          </w:p>
        </w:tc>
        <w:tc>
          <w:tcPr>
            <w:tcW w:w="959" w:type="dxa"/>
            <w:tcBorders>
              <w:tl2br w:val="nil"/>
              <w:tr2bl w:val="nil"/>
            </w:tcBorders>
            <w:shd w:val="clear" w:color="auto" w:fill="auto"/>
            <w:noWrap/>
            <w:vAlign w:val="center"/>
          </w:tcPr>
          <w:p w14:paraId="0D0ED5F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25" w:type="dxa"/>
            <w:tcBorders>
              <w:tl2br w:val="nil"/>
              <w:tr2bl w:val="nil"/>
            </w:tcBorders>
            <w:shd w:val="clear" w:color="auto" w:fill="auto"/>
            <w:noWrap/>
            <w:vAlign w:val="center"/>
          </w:tcPr>
          <w:p w14:paraId="67DC6CD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787" w:type="dxa"/>
            <w:tcBorders>
              <w:tl2br w:val="nil"/>
              <w:tr2bl w:val="nil"/>
            </w:tcBorders>
            <w:shd w:val="clear" w:color="auto" w:fill="auto"/>
            <w:noWrap/>
            <w:vAlign w:val="center"/>
          </w:tcPr>
          <w:p w14:paraId="529952F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851" w:type="dxa"/>
            <w:tcBorders>
              <w:tl2br w:val="nil"/>
              <w:tr2bl w:val="nil"/>
            </w:tcBorders>
            <w:shd w:val="clear" w:color="auto" w:fill="auto"/>
            <w:noWrap/>
            <w:vAlign w:val="center"/>
          </w:tcPr>
          <w:p w14:paraId="615246A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r>
      <w:tr w14:paraId="50EEF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383DD1E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w:t>
            </w:r>
          </w:p>
        </w:tc>
        <w:tc>
          <w:tcPr>
            <w:tcW w:w="1041" w:type="dxa"/>
            <w:tcBorders>
              <w:tl2br w:val="nil"/>
              <w:tr2bl w:val="nil"/>
            </w:tcBorders>
            <w:shd w:val="clear" w:color="auto" w:fill="auto"/>
            <w:noWrap/>
            <w:vAlign w:val="center"/>
          </w:tcPr>
          <w:p w14:paraId="63C0714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养殖区</w:t>
            </w:r>
          </w:p>
        </w:tc>
        <w:tc>
          <w:tcPr>
            <w:tcW w:w="781" w:type="dxa"/>
            <w:tcBorders>
              <w:tl2br w:val="nil"/>
              <w:tr2bl w:val="nil"/>
            </w:tcBorders>
            <w:shd w:val="clear" w:color="auto" w:fill="auto"/>
            <w:noWrap/>
            <w:vAlign w:val="center"/>
          </w:tcPr>
          <w:p w14:paraId="04FA0CF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782" w:type="dxa"/>
            <w:tcBorders>
              <w:tl2br w:val="nil"/>
              <w:tr2bl w:val="nil"/>
            </w:tcBorders>
            <w:shd w:val="clear" w:color="auto" w:fill="auto"/>
            <w:noWrap/>
            <w:vAlign w:val="center"/>
          </w:tcPr>
          <w:p w14:paraId="40C087E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427</w:t>
            </w:r>
          </w:p>
        </w:tc>
        <w:tc>
          <w:tcPr>
            <w:tcW w:w="782" w:type="dxa"/>
            <w:tcBorders>
              <w:tl2br w:val="nil"/>
              <w:tr2bl w:val="nil"/>
            </w:tcBorders>
            <w:shd w:val="clear" w:color="auto" w:fill="auto"/>
            <w:noWrap/>
            <w:vAlign w:val="center"/>
          </w:tcPr>
          <w:p w14:paraId="769C589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840" w:type="dxa"/>
            <w:tcBorders>
              <w:tl2br w:val="nil"/>
              <w:tr2bl w:val="nil"/>
            </w:tcBorders>
            <w:shd w:val="clear" w:color="auto" w:fill="auto"/>
            <w:noWrap/>
            <w:vAlign w:val="center"/>
          </w:tcPr>
          <w:p w14:paraId="7D83E69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5.07|0</w:t>
            </w:r>
          </w:p>
        </w:tc>
        <w:tc>
          <w:tcPr>
            <w:tcW w:w="959" w:type="dxa"/>
            <w:tcBorders>
              <w:tl2br w:val="nil"/>
              <w:tr2bl w:val="nil"/>
            </w:tcBorders>
            <w:shd w:val="clear" w:color="auto" w:fill="auto"/>
            <w:noWrap/>
            <w:vAlign w:val="center"/>
          </w:tcPr>
          <w:p w14:paraId="67AA3BC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25" w:type="dxa"/>
            <w:tcBorders>
              <w:tl2br w:val="nil"/>
              <w:tr2bl w:val="nil"/>
            </w:tcBorders>
            <w:shd w:val="clear" w:color="auto" w:fill="auto"/>
            <w:noWrap/>
            <w:vAlign w:val="center"/>
          </w:tcPr>
          <w:p w14:paraId="61766FF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787" w:type="dxa"/>
            <w:tcBorders>
              <w:tl2br w:val="nil"/>
              <w:tr2bl w:val="nil"/>
            </w:tcBorders>
            <w:shd w:val="clear" w:color="auto" w:fill="auto"/>
            <w:noWrap/>
            <w:vAlign w:val="center"/>
          </w:tcPr>
          <w:p w14:paraId="1A4918D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9.55|0</w:t>
            </w:r>
          </w:p>
        </w:tc>
        <w:tc>
          <w:tcPr>
            <w:tcW w:w="851" w:type="dxa"/>
            <w:tcBorders>
              <w:tl2br w:val="nil"/>
              <w:tr2bl w:val="nil"/>
            </w:tcBorders>
            <w:shd w:val="clear" w:color="auto" w:fill="auto"/>
            <w:noWrap/>
            <w:vAlign w:val="center"/>
          </w:tcPr>
          <w:p w14:paraId="31BC3E1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3.12|0</w:t>
            </w:r>
          </w:p>
        </w:tc>
      </w:tr>
      <w:tr w14:paraId="3FC3D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0914401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6</w:t>
            </w:r>
          </w:p>
        </w:tc>
        <w:tc>
          <w:tcPr>
            <w:tcW w:w="1041" w:type="dxa"/>
            <w:tcBorders>
              <w:tl2br w:val="nil"/>
              <w:tr2bl w:val="nil"/>
            </w:tcBorders>
            <w:shd w:val="clear" w:color="auto" w:fill="auto"/>
            <w:noWrap/>
            <w:vAlign w:val="center"/>
          </w:tcPr>
          <w:p w14:paraId="1FFE9D5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饲料加工区</w:t>
            </w:r>
          </w:p>
        </w:tc>
        <w:tc>
          <w:tcPr>
            <w:tcW w:w="781" w:type="dxa"/>
            <w:tcBorders>
              <w:tl2br w:val="nil"/>
              <w:tr2bl w:val="nil"/>
            </w:tcBorders>
            <w:shd w:val="clear" w:color="auto" w:fill="auto"/>
            <w:noWrap/>
            <w:vAlign w:val="center"/>
          </w:tcPr>
          <w:p w14:paraId="530B81D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782" w:type="dxa"/>
            <w:tcBorders>
              <w:tl2br w:val="nil"/>
              <w:tr2bl w:val="nil"/>
            </w:tcBorders>
            <w:shd w:val="clear" w:color="auto" w:fill="auto"/>
            <w:noWrap/>
            <w:vAlign w:val="center"/>
          </w:tcPr>
          <w:p w14:paraId="600E3CB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26</w:t>
            </w:r>
          </w:p>
        </w:tc>
        <w:tc>
          <w:tcPr>
            <w:tcW w:w="782" w:type="dxa"/>
            <w:tcBorders>
              <w:tl2br w:val="nil"/>
              <w:tr2bl w:val="nil"/>
            </w:tcBorders>
            <w:shd w:val="clear" w:color="auto" w:fill="auto"/>
            <w:noWrap/>
            <w:vAlign w:val="center"/>
          </w:tcPr>
          <w:p w14:paraId="24ADDEF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840" w:type="dxa"/>
            <w:tcBorders>
              <w:tl2br w:val="nil"/>
              <w:tr2bl w:val="nil"/>
            </w:tcBorders>
            <w:shd w:val="clear" w:color="auto" w:fill="auto"/>
            <w:noWrap/>
            <w:vAlign w:val="center"/>
          </w:tcPr>
          <w:p w14:paraId="50DF60D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3.81|0</w:t>
            </w:r>
          </w:p>
        </w:tc>
        <w:tc>
          <w:tcPr>
            <w:tcW w:w="959" w:type="dxa"/>
            <w:tcBorders>
              <w:tl2br w:val="nil"/>
              <w:tr2bl w:val="nil"/>
            </w:tcBorders>
            <w:shd w:val="clear" w:color="auto" w:fill="auto"/>
            <w:noWrap/>
            <w:vAlign w:val="center"/>
          </w:tcPr>
          <w:p w14:paraId="060C1B3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25" w:type="dxa"/>
            <w:tcBorders>
              <w:tl2br w:val="nil"/>
              <w:tr2bl w:val="nil"/>
            </w:tcBorders>
            <w:shd w:val="clear" w:color="auto" w:fill="auto"/>
            <w:noWrap/>
            <w:vAlign w:val="center"/>
          </w:tcPr>
          <w:p w14:paraId="6A82512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787" w:type="dxa"/>
            <w:tcBorders>
              <w:tl2br w:val="nil"/>
              <w:tr2bl w:val="nil"/>
            </w:tcBorders>
            <w:shd w:val="clear" w:color="auto" w:fill="auto"/>
            <w:noWrap/>
            <w:vAlign w:val="center"/>
          </w:tcPr>
          <w:p w14:paraId="20848F1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851" w:type="dxa"/>
            <w:tcBorders>
              <w:tl2br w:val="nil"/>
              <w:tr2bl w:val="nil"/>
            </w:tcBorders>
            <w:shd w:val="clear" w:color="auto" w:fill="auto"/>
            <w:noWrap/>
            <w:vAlign w:val="center"/>
          </w:tcPr>
          <w:p w14:paraId="1F948A3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r>
      <w:tr w14:paraId="70CC83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 w:hRule="atLeast"/>
          <w:jc w:val="center"/>
        </w:trPr>
        <w:tc>
          <w:tcPr>
            <w:tcW w:w="780" w:type="dxa"/>
            <w:tcBorders>
              <w:tl2br w:val="nil"/>
              <w:tr2bl w:val="nil"/>
            </w:tcBorders>
            <w:shd w:val="clear" w:color="auto" w:fill="auto"/>
            <w:noWrap/>
            <w:vAlign w:val="center"/>
          </w:tcPr>
          <w:p w14:paraId="3AFDBC7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7</w:t>
            </w:r>
          </w:p>
        </w:tc>
        <w:tc>
          <w:tcPr>
            <w:tcW w:w="1041" w:type="dxa"/>
            <w:tcBorders>
              <w:tl2br w:val="nil"/>
              <w:tr2bl w:val="nil"/>
            </w:tcBorders>
            <w:shd w:val="clear" w:color="auto" w:fill="auto"/>
            <w:noWrap/>
            <w:vAlign w:val="center"/>
          </w:tcPr>
          <w:p w14:paraId="234A05D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还田区</w:t>
            </w:r>
          </w:p>
        </w:tc>
        <w:tc>
          <w:tcPr>
            <w:tcW w:w="781" w:type="dxa"/>
            <w:tcBorders>
              <w:tl2br w:val="nil"/>
              <w:tr2bl w:val="nil"/>
            </w:tcBorders>
            <w:shd w:val="clear" w:color="auto" w:fill="auto"/>
            <w:noWrap/>
            <w:vAlign w:val="center"/>
          </w:tcPr>
          <w:p w14:paraId="7F7C608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35</w:t>
            </w:r>
          </w:p>
        </w:tc>
        <w:tc>
          <w:tcPr>
            <w:tcW w:w="782" w:type="dxa"/>
            <w:tcBorders>
              <w:tl2br w:val="nil"/>
              <w:tr2bl w:val="nil"/>
            </w:tcBorders>
            <w:shd w:val="clear" w:color="auto" w:fill="auto"/>
            <w:noWrap/>
            <w:vAlign w:val="center"/>
          </w:tcPr>
          <w:p w14:paraId="6601496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1315</w:t>
            </w:r>
          </w:p>
        </w:tc>
        <w:tc>
          <w:tcPr>
            <w:tcW w:w="782" w:type="dxa"/>
            <w:tcBorders>
              <w:tl2br w:val="nil"/>
              <w:tr2bl w:val="nil"/>
            </w:tcBorders>
            <w:shd w:val="clear" w:color="auto" w:fill="auto"/>
            <w:noWrap/>
            <w:vAlign w:val="center"/>
          </w:tcPr>
          <w:p w14:paraId="5CD2649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w:t>
            </w:r>
          </w:p>
        </w:tc>
        <w:tc>
          <w:tcPr>
            <w:tcW w:w="840" w:type="dxa"/>
            <w:tcBorders>
              <w:tl2br w:val="nil"/>
              <w:tr2bl w:val="nil"/>
            </w:tcBorders>
            <w:shd w:val="clear" w:color="auto" w:fill="auto"/>
            <w:noWrap/>
            <w:vAlign w:val="center"/>
          </w:tcPr>
          <w:p w14:paraId="7BE3763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59" w:type="dxa"/>
            <w:tcBorders>
              <w:tl2br w:val="nil"/>
              <w:tr2bl w:val="nil"/>
            </w:tcBorders>
            <w:shd w:val="clear" w:color="auto" w:fill="auto"/>
            <w:noWrap/>
            <w:vAlign w:val="center"/>
          </w:tcPr>
          <w:p w14:paraId="30BDD42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925" w:type="dxa"/>
            <w:tcBorders>
              <w:tl2br w:val="nil"/>
              <w:tr2bl w:val="nil"/>
            </w:tcBorders>
            <w:shd w:val="clear" w:color="auto" w:fill="auto"/>
            <w:noWrap/>
            <w:vAlign w:val="center"/>
          </w:tcPr>
          <w:p w14:paraId="28D5D93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0.00|0</w:t>
            </w:r>
          </w:p>
        </w:tc>
        <w:tc>
          <w:tcPr>
            <w:tcW w:w="787" w:type="dxa"/>
            <w:tcBorders>
              <w:tl2br w:val="nil"/>
              <w:tr2bl w:val="nil"/>
            </w:tcBorders>
            <w:shd w:val="clear" w:color="auto" w:fill="auto"/>
            <w:noWrap/>
            <w:vAlign w:val="center"/>
          </w:tcPr>
          <w:p w14:paraId="0FCDA04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7.05|0</w:t>
            </w:r>
          </w:p>
        </w:tc>
        <w:tc>
          <w:tcPr>
            <w:tcW w:w="851" w:type="dxa"/>
            <w:tcBorders>
              <w:tl2br w:val="nil"/>
              <w:tr2bl w:val="nil"/>
            </w:tcBorders>
            <w:shd w:val="clear" w:color="auto" w:fill="auto"/>
            <w:noWrap/>
            <w:vAlign w:val="center"/>
          </w:tcPr>
          <w:p w14:paraId="6BF5BCA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1.35|0</w:t>
            </w:r>
          </w:p>
        </w:tc>
      </w:tr>
      <w:tr w14:paraId="176EB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 w:hRule="atLeast"/>
          <w:jc w:val="center"/>
        </w:trPr>
        <w:tc>
          <w:tcPr>
            <w:tcW w:w="1821" w:type="dxa"/>
            <w:gridSpan w:val="2"/>
            <w:tcBorders>
              <w:tl2br w:val="nil"/>
              <w:tr2bl w:val="nil"/>
            </w:tcBorders>
            <w:shd w:val="clear" w:color="auto" w:fill="auto"/>
            <w:noWrap/>
            <w:vAlign w:val="center"/>
          </w:tcPr>
          <w:p w14:paraId="51C5D7A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各源最大值</w:t>
            </w:r>
          </w:p>
        </w:tc>
        <w:tc>
          <w:tcPr>
            <w:tcW w:w="781" w:type="dxa"/>
            <w:tcBorders>
              <w:tl2br w:val="nil"/>
              <w:tr2bl w:val="nil"/>
            </w:tcBorders>
            <w:shd w:val="clear" w:color="auto" w:fill="auto"/>
            <w:noWrap/>
            <w:vAlign w:val="center"/>
          </w:tcPr>
          <w:p w14:paraId="630EFB9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w:t>
            </w:r>
          </w:p>
        </w:tc>
        <w:tc>
          <w:tcPr>
            <w:tcW w:w="782" w:type="dxa"/>
            <w:tcBorders>
              <w:tl2br w:val="nil"/>
              <w:tr2bl w:val="nil"/>
            </w:tcBorders>
            <w:shd w:val="clear" w:color="auto" w:fill="auto"/>
            <w:noWrap/>
            <w:vAlign w:val="center"/>
          </w:tcPr>
          <w:p w14:paraId="04A6990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w:t>
            </w:r>
          </w:p>
        </w:tc>
        <w:tc>
          <w:tcPr>
            <w:tcW w:w="782" w:type="dxa"/>
            <w:tcBorders>
              <w:tl2br w:val="nil"/>
              <w:tr2bl w:val="nil"/>
            </w:tcBorders>
            <w:shd w:val="clear" w:color="auto" w:fill="auto"/>
            <w:noWrap/>
            <w:vAlign w:val="center"/>
          </w:tcPr>
          <w:p w14:paraId="1207935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w:t>
            </w:r>
          </w:p>
        </w:tc>
        <w:tc>
          <w:tcPr>
            <w:tcW w:w="840" w:type="dxa"/>
            <w:tcBorders>
              <w:tl2br w:val="nil"/>
              <w:tr2bl w:val="nil"/>
            </w:tcBorders>
            <w:shd w:val="clear" w:color="auto" w:fill="auto"/>
            <w:noWrap/>
            <w:vAlign w:val="center"/>
          </w:tcPr>
          <w:p w14:paraId="2230445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5.07</w:t>
            </w:r>
          </w:p>
        </w:tc>
        <w:tc>
          <w:tcPr>
            <w:tcW w:w="959" w:type="dxa"/>
            <w:tcBorders>
              <w:tl2br w:val="nil"/>
              <w:tr2bl w:val="nil"/>
            </w:tcBorders>
            <w:shd w:val="clear" w:color="auto" w:fill="auto"/>
            <w:noWrap/>
            <w:vAlign w:val="center"/>
          </w:tcPr>
          <w:p w14:paraId="374DBC5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0.12</w:t>
            </w:r>
          </w:p>
        </w:tc>
        <w:tc>
          <w:tcPr>
            <w:tcW w:w="925" w:type="dxa"/>
            <w:tcBorders>
              <w:tl2br w:val="nil"/>
              <w:tr2bl w:val="nil"/>
            </w:tcBorders>
            <w:shd w:val="clear" w:color="auto" w:fill="auto"/>
            <w:noWrap/>
            <w:vAlign w:val="center"/>
          </w:tcPr>
          <w:p w14:paraId="6AEB719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0.12</w:t>
            </w:r>
          </w:p>
        </w:tc>
        <w:tc>
          <w:tcPr>
            <w:tcW w:w="787" w:type="dxa"/>
            <w:tcBorders>
              <w:tl2br w:val="nil"/>
              <w:tr2bl w:val="nil"/>
            </w:tcBorders>
            <w:shd w:val="clear" w:color="auto" w:fill="auto"/>
            <w:noWrap/>
            <w:vAlign w:val="center"/>
          </w:tcPr>
          <w:p w14:paraId="4A78067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9.55</w:t>
            </w:r>
          </w:p>
        </w:tc>
        <w:tc>
          <w:tcPr>
            <w:tcW w:w="851" w:type="dxa"/>
            <w:tcBorders>
              <w:tl2br w:val="nil"/>
              <w:tr2bl w:val="nil"/>
            </w:tcBorders>
            <w:shd w:val="clear" w:color="auto" w:fill="auto"/>
            <w:noWrap/>
            <w:vAlign w:val="center"/>
          </w:tcPr>
          <w:p w14:paraId="567B651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5.49</w:t>
            </w:r>
          </w:p>
        </w:tc>
      </w:tr>
    </w:tbl>
    <w:p w14:paraId="16DA73D0">
      <w:pPr>
        <w:widowControl w:val="0"/>
        <w:spacing w:line="520" w:lineRule="exact"/>
        <w:ind w:firstLine="480" w:firstLineChars="200"/>
        <w:jc w:val="both"/>
        <w:rPr>
          <w:rFonts w:hint="default" w:ascii="Times New Roman" w:hAnsi="Times New Roman" w:cs="Times New Roman"/>
          <w:b/>
          <w:color w:val="000000"/>
          <w:highlight w:val="yellow"/>
        </w:rPr>
      </w:pPr>
      <w:r>
        <w:rPr>
          <w:rFonts w:hint="default" w:ascii="Times New Roman" w:hAnsi="Times New Roman" w:eastAsia="宋体" w:cs="Times New Roman"/>
          <w:color w:val="auto"/>
          <w:kern w:val="0"/>
          <w:sz w:val="24"/>
          <w:szCs w:val="24"/>
          <w:highlight w:val="none"/>
          <w:lang w:val="en-US" w:eastAsia="zh-CN" w:bidi="ar-SA"/>
        </w:rPr>
        <w:t>（3）确定评价等级</w:t>
      </w:r>
    </w:p>
    <w:p w14:paraId="289F4A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rPr>
        <w:t>由上表</w:t>
      </w:r>
      <w:r>
        <w:rPr>
          <w:rFonts w:hint="default" w:ascii="Times New Roman" w:hAnsi="Times New Roman" w:eastAsia="宋体" w:cs="Times New Roman"/>
          <w:color w:val="auto"/>
          <w:kern w:val="0"/>
          <w:sz w:val="24"/>
          <w:szCs w:val="24"/>
          <w:highlight w:val="none"/>
          <w:lang w:val="en-US" w:eastAsia="zh-CN" w:bidi="ar-SA"/>
        </w:rPr>
        <w:t>估算结果</w:t>
      </w:r>
      <w:r>
        <w:rPr>
          <w:rFonts w:hint="default" w:ascii="Times New Roman" w:hAnsi="Times New Roman" w:eastAsia="宋体" w:cs="Times New Roman"/>
          <w:color w:val="auto"/>
          <w:kern w:val="0"/>
          <w:sz w:val="24"/>
          <w:szCs w:val="24"/>
        </w:rPr>
        <w:t>表明，</w:t>
      </w:r>
      <w:r>
        <w:rPr>
          <w:rFonts w:hint="eastAsia" w:ascii="Times New Roman" w:hAnsi="Times New Roman" w:eastAsia="宋体" w:cs="Times New Roman"/>
          <w:color w:val="auto"/>
          <w:kern w:val="0"/>
          <w:sz w:val="24"/>
          <w:szCs w:val="24"/>
          <w:lang w:val="en-US" w:eastAsia="zh-CN"/>
        </w:rPr>
        <w:t>1</w:t>
      </w:r>
      <w:r>
        <w:rPr>
          <w:rFonts w:hint="eastAsia" w:ascii="Times New Roman" w:hAnsi="Times New Roman" w:eastAsia="宋体" w:cs="Times New Roman"/>
          <w:color w:val="auto"/>
          <w:kern w:val="0"/>
          <w:sz w:val="24"/>
          <w:szCs w:val="24"/>
          <w:highlight w:val="none"/>
          <w:vertAlign w:val="baseli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P</w:t>
      </w:r>
      <w:r>
        <w:rPr>
          <w:rFonts w:hint="default" w:ascii="Times New Roman" w:hAnsi="Times New Roman" w:eastAsia="宋体" w:cs="Times New Roman"/>
          <w:color w:val="auto"/>
          <w:kern w:val="0"/>
          <w:sz w:val="24"/>
          <w:szCs w:val="24"/>
          <w:highlight w:val="none"/>
          <w:vertAlign w:val="subscript"/>
          <w:lang w:val="en-US" w:eastAsia="zh-CN" w:bidi="ar-SA"/>
        </w:rPr>
        <w:t>max</w:t>
      </w:r>
      <w:r>
        <w:rPr>
          <w:rFonts w:hint="eastAsia" w:ascii="Times New Roman" w:hAnsi="Times New Roman" w:eastAsia="宋体" w:cs="Times New Roman"/>
          <w:color w:val="auto"/>
          <w:kern w:val="0"/>
          <w:sz w:val="24"/>
          <w:szCs w:val="24"/>
          <w:highlight w:val="none"/>
          <w:vertAlign w:val="baseli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1</w:t>
      </w:r>
      <w:r>
        <w:rPr>
          <w:rFonts w:hint="eastAsia" w:ascii="Times New Roman" w:hAnsi="Times New Roman" w:eastAsia="宋体" w:cs="Times New Roman"/>
          <w:color w:val="auto"/>
          <w:kern w:val="0"/>
          <w:sz w:val="24"/>
          <w:szCs w:val="24"/>
          <w:highlight w:val="none"/>
          <w:lang w:val="en-US" w:eastAsia="zh-CN" w:bidi="ar-SA"/>
        </w:rPr>
        <w:t>0</w:t>
      </w:r>
      <w:r>
        <w:rPr>
          <w:rFonts w:hint="default"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根据</w:t>
      </w:r>
      <w:r>
        <w:rPr>
          <w:rFonts w:hint="default" w:ascii="Times New Roman" w:hAnsi="Times New Roman" w:eastAsia="宋体" w:cs="Times New Roman"/>
          <w:color w:val="auto"/>
          <w:kern w:val="0"/>
          <w:sz w:val="24"/>
          <w:szCs w:val="24"/>
          <w:highlight w:val="none"/>
          <w:lang w:val="zh-CN" w:eastAsia="zh-CN" w:bidi="ar-SA"/>
        </w:rPr>
        <w:t>《</w:t>
      </w:r>
      <w:r>
        <w:rPr>
          <w:rFonts w:hint="default" w:ascii="Times New Roman" w:hAnsi="Times New Roman" w:eastAsia="宋体" w:cs="Times New Roman"/>
          <w:color w:val="auto"/>
          <w:kern w:val="2"/>
          <w:sz w:val="24"/>
          <w:szCs w:val="24"/>
          <w:highlight w:val="none"/>
          <w:lang w:val="en-US" w:eastAsia="zh-CN" w:bidi="ar-SA"/>
        </w:rPr>
        <w:t>环境影响评价技术导则</w:t>
      </w:r>
      <w:r>
        <w:rPr>
          <w:rFonts w:hint="eastAsia" w:ascii="Times New Roman" w:hAnsi="Times New Roman" w:eastAsia="宋体"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大气环境》（HJ2.2-2018）</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rPr>
        <w:t>本项目大气评价等级为</w:t>
      </w:r>
      <w:r>
        <w:rPr>
          <w:rFonts w:hint="eastAsia" w:ascii="Times New Roman" w:hAnsi="Times New Roman" w:eastAsia="宋体" w:cs="Times New Roman"/>
          <w:color w:val="auto"/>
          <w:kern w:val="0"/>
          <w:sz w:val="24"/>
          <w:szCs w:val="24"/>
          <w:highlight w:val="none"/>
          <w:lang w:val="en-US" w:eastAsia="zh-CN"/>
        </w:rPr>
        <w:t>二级</w:t>
      </w:r>
      <w:r>
        <w:rPr>
          <w:rFonts w:hint="default" w:ascii="Times New Roman" w:hAnsi="Times New Roman" w:eastAsia="宋体" w:cs="Times New Roman"/>
          <w:color w:val="auto"/>
          <w:kern w:val="0"/>
          <w:sz w:val="24"/>
          <w:szCs w:val="24"/>
          <w:highlight w:val="none"/>
          <w:lang w:val="en-US" w:eastAsia="zh-CN"/>
        </w:rPr>
        <w:t>评价</w:t>
      </w:r>
      <w:r>
        <w:rPr>
          <w:rFonts w:hint="default" w:ascii="Times New Roman" w:hAnsi="Times New Roman" w:eastAsia="宋体" w:cs="Times New Roman"/>
          <w:color w:val="auto"/>
          <w:kern w:val="0"/>
          <w:sz w:val="24"/>
          <w:szCs w:val="24"/>
          <w:highlight w:val="none"/>
        </w:rPr>
        <w:t>。</w:t>
      </w:r>
    </w:p>
    <w:p w14:paraId="68BADB6C">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w:t>
      </w:r>
      <w:r>
        <w:rPr>
          <w:rFonts w:hint="eastAsia" w:cs="Times New Roman"/>
          <w:b/>
          <w:kern w:val="2"/>
          <w:sz w:val="24"/>
          <w:szCs w:val="24"/>
          <w:lang w:val="en-US" w:eastAsia="zh-CN" w:bidi="ar-SA"/>
        </w:rPr>
        <w:t>6</w:t>
      </w:r>
      <w:r>
        <w:rPr>
          <w:rFonts w:hint="default" w:ascii="Times New Roman" w:hAnsi="Times New Roman" w:eastAsia="宋体" w:cs="Times New Roman"/>
          <w:b/>
          <w:kern w:val="2"/>
          <w:sz w:val="24"/>
          <w:szCs w:val="24"/>
          <w:lang w:val="en-US" w:eastAsia="zh-CN" w:bidi="ar-SA"/>
        </w:rPr>
        <w:t>.1.2水环境评价等级</w:t>
      </w:r>
    </w:p>
    <w:p w14:paraId="0582E24B">
      <w:pPr>
        <w:widowControl w:val="0"/>
        <w:spacing w:line="360" w:lineRule="auto"/>
        <w:ind w:firstLine="480" w:firstLineChars="200"/>
        <w:jc w:val="both"/>
        <w:rPr>
          <w:rFonts w:hint="default" w:ascii="Times New Roman" w:hAnsi="Times New Roman" w:eastAsia="宋体" w:cs="Times New Roman"/>
          <w:snapToGrid w:val="0"/>
          <w:kern w:val="0"/>
          <w:sz w:val="24"/>
          <w:szCs w:val="24"/>
          <w:lang w:val="zh-CN" w:eastAsia="zh-CN" w:bidi="ar-SA"/>
        </w:rPr>
      </w:pPr>
      <w:r>
        <w:rPr>
          <w:rFonts w:hint="default" w:ascii="Times New Roman" w:hAnsi="Times New Roman" w:eastAsia="宋体" w:cs="Times New Roman"/>
          <w:snapToGrid w:val="0"/>
          <w:kern w:val="0"/>
          <w:sz w:val="24"/>
          <w:szCs w:val="24"/>
          <w:lang w:val="zh-CN" w:eastAsia="zh-CN" w:bidi="ar-SA"/>
        </w:rPr>
        <w:t>（1）地表水</w:t>
      </w:r>
    </w:p>
    <w:p w14:paraId="5C8196E6">
      <w:pPr>
        <w:widowControl w:val="0"/>
        <w:spacing w:line="360" w:lineRule="auto"/>
        <w:ind w:firstLine="480" w:firstLineChars="200"/>
        <w:jc w:val="both"/>
        <w:rPr>
          <w:rFonts w:hint="default" w:ascii="Times New Roman" w:hAnsi="Times New Roman" w:eastAsia="宋体" w:cs="Times New Roman"/>
          <w:snapToGrid w:val="0"/>
          <w:kern w:val="0"/>
          <w:sz w:val="24"/>
          <w:szCs w:val="24"/>
          <w:lang w:val="zh-CN" w:eastAsia="zh-CN" w:bidi="ar-SA"/>
        </w:rPr>
      </w:pPr>
      <w:r>
        <w:rPr>
          <w:rFonts w:hint="default" w:ascii="Times New Roman" w:hAnsi="Times New Roman" w:eastAsia="宋体" w:cs="Times New Roman"/>
          <w:snapToGrid w:val="0"/>
          <w:kern w:val="0"/>
          <w:sz w:val="24"/>
          <w:szCs w:val="24"/>
          <w:lang w:val="zh-CN" w:eastAsia="zh-CN" w:bidi="ar-SA"/>
        </w:rPr>
        <w:t>本项目拟建于</w:t>
      </w:r>
      <w:r>
        <w:rPr>
          <w:rFonts w:hint="eastAsia" w:cs="Times New Roman"/>
          <w:snapToGrid w:val="0"/>
          <w:kern w:val="0"/>
          <w:sz w:val="24"/>
          <w:szCs w:val="24"/>
          <w:lang w:val="en-US" w:eastAsia="zh-CN" w:bidi="ar-SA"/>
        </w:rPr>
        <w:t>第七师胡杨河125团14连</w:t>
      </w:r>
      <w:r>
        <w:rPr>
          <w:rFonts w:hint="default" w:ascii="Times New Roman" w:hAnsi="Times New Roman" w:eastAsia="宋体" w:cs="Times New Roman"/>
          <w:snapToGrid w:val="0"/>
          <w:kern w:val="0"/>
          <w:sz w:val="24"/>
          <w:szCs w:val="24"/>
          <w:lang w:val="en-US" w:eastAsia="zh-CN" w:bidi="ar-SA"/>
        </w:rPr>
        <w:t>，项目区</w:t>
      </w:r>
      <w:r>
        <w:rPr>
          <w:rFonts w:hint="eastAsia" w:cs="Times New Roman"/>
          <w:kern w:val="2"/>
          <w:sz w:val="24"/>
          <w:szCs w:val="24"/>
          <w:lang w:val="en-US" w:eastAsia="zh-CN" w:bidi="ar-SA"/>
        </w:rPr>
        <w:t>用地范围</w:t>
      </w:r>
      <w:r>
        <w:rPr>
          <w:rFonts w:hint="default" w:ascii="Times New Roman" w:hAnsi="Times New Roman" w:eastAsia="宋体" w:cs="Times New Roman"/>
          <w:kern w:val="2"/>
          <w:sz w:val="24"/>
          <w:szCs w:val="24"/>
          <w:lang w:val="en-US" w:eastAsia="zh-CN" w:bidi="ar-SA"/>
        </w:rPr>
        <w:t>无自然保护区、风景名胜区</w:t>
      </w:r>
      <w:r>
        <w:rPr>
          <w:rFonts w:hint="eastAsia" w:ascii="Times New Roman" w:hAnsi="Times New Roman" w:eastAsia="宋体" w:cs="Times New Roman"/>
          <w:kern w:val="2"/>
          <w:sz w:val="24"/>
          <w:szCs w:val="24"/>
          <w:lang w:val="en-US" w:eastAsia="zh-CN" w:bidi="ar-SA"/>
        </w:rPr>
        <w:t>、饮用水水源地</w:t>
      </w:r>
      <w:r>
        <w:rPr>
          <w:rFonts w:hint="default" w:ascii="Times New Roman" w:hAnsi="Times New Roman" w:eastAsia="宋体" w:cs="Times New Roman"/>
          <w:kern w:val="2"/>
          <w:sz w:val="24"/>
          <w:szCs w:val="24"/>
          <w:lang w:val="en-US" w:eastAsia="zh-CN" w:bidi="ar-SA"/>
        </w:rPr>
        <w:t>等生态敏感区</w:t>
      </w:r>
      <w:r>
        <w:rPr>
          <w:rFonts w:hint="default" w:ascii="Times New Roman" w:hAnsi="Times New Roman" w:eastAsia="宋体" w:cs="Times New Roman"/>
          <w:snapToGrid w:val="0"/>
          <w:kern w:val="0"/>
          <w:sz w:val="24"/>
          <w:szCs w:val="24"/>
          <w:lang w:val="zh-CN" w:eastAsia="zh-CN" w:bidi="ar-SA"/>
        </w:rPr>
        <w:t>。项目</w:t>
      </w:r>
      <w:r>
        <w:rPr>
          <w:rFonts w:hint="eastAsia" w:cs="Times New Roman"/>
          <w:snapToGrid w:val="0"/>
          <w:kern w:val="0"/>
          <w:sz w:val="24"/>
          <w:szCs w:val="24"/>
          <w:lang w:val="en-US" w:eastAsia="zh-CN" w:bidi="ar-SA"/>
        </w:rPr>
        <w:t>运营期</w:t>
      </w:r>
      <w:r>
        <w:rPr>
          <w:rFonts w:hint="default" w:ascii="Times New Roman" w:hAnsi="Times New Roman" w:eastAsia="宋体" w:cs="Times New Roman"/>
          <w:snapToGrid w:val="0"/>
          <w:kern w:val="0"/>
          <w:sz w:val="24"/>
          <w:szCs w:val="24"/>
          <w:lang w:val="zh-CN" w:eastAsia="zh-CN" w:bidi="ar-SA"/>
        </w:rPr>
        <w:t>生活污水</w:t>
      </w:r>
      <w:r>
        <w:rPr>
          <w:rFonts w:hint="eastAsia" w:cs="Times New Roman"/>
          <w:snapToGrid w:val="0"/>
          <w:kern w:val="0"/>
          <w:sz w:val="24"/>
          <w:szCs w:val="24"/>
          <w:lang w:val="en-US" w:eastAsia="zh-CN" w:bidi="ar-SA"/>
        </w:rPr>
        <w:t>定期拉运至污水处理厂处理，</w:t>
      </w:r>
      <w:r>
        <w:rPr>
          <w:rFonts w:hint="default" w:ascii="Times New Roman" w:hAnsi="Times New Roman" w:eastAsia="宋体" w:cs="Times New Roman"/>
          <w:snapToGrid w:val="0"/>
          <w:kern w:val="0"/>
          <w:sz w:val="24"/>
          <w:szCs w:val="24"/>
          <w:lang w:val="zh-CN" w:eastAsia="zh-CN" w:bidi="ar-SA"/>
        </w:rPr>
        <w:t>不进入周边地表水体</w:t>
      </w:r>
      <w:r>
        <w:rPr>
          <w:rFonts w:hint="eastAsia" w:cs="Times New Roman"/>
          <w:snapToGrid w:val="0"/>
          <w:kern w:val="0"/>
          <w:sz w:val="24"/>
          <w:szCs w:val="24"/>
          <w:lang w:val="zh-CN" w:eastAsia="zh-CN" w:bidi="ar-SA"/>
        </w:rPr>
        <w:t>，</w:t>
      </w:r>
      <w:r>
        <w:rPr>
          <w:rFonts w:hint="eastAsia" w:cs="Times New Roman"/>
          <w:snapToGrid w:val="0"/>
          <w:kern w:val="0"/>
          <w:sz w:val="24"/>
          <w:szCs w:val="24"/>
          <w:highlight w:val="none"/>
          <w:lang w:val="en-US" w:eastAsia="zh-CN" w:bidi="ar-SA"/>
        </w:rPr>
        <w:t>与地表水体无水力联系</w:t>
      </w:r>
      <w:r>
        <w:rPr>
          <w:rFonts w:hint="default" w:ascii="Times New Roman" w:hAnsi="Times New Roman" w:eastAsia="宋体" w:cs="Times New Roman"/>
          <w:snapToGrid w:val="0"/>
          <w:kern w:val="0"/>
          <w:sz w:val="24"/>
          <w:szCs w:val="24"/>
          <w:lang w:val="zh-CN" w:eastAsia="zh-CN" w:bidi="ar-SA"/>
        </w:rPr>
        <w:t>。</w:t>
      </w:r>
    </w:p>
    <w:p w14:paraId="4F8DEFCD">
      <w:pPr>
        <w:widowControl w:val="0"/>
        <w:spacing w:line="360" w:lineRule="auto"/>
        <w:ind w:firstLine="480" w:firstLineChars="200"/>
        <w:jc w:val="both"/>
        <w:rPr>
          <w:rFonts w:hint="default" w:ascii="Times New Roman" w:hAnsi="Times New Roman" w:eastAsia="宋体" w:cs="Times New Roman"/>
          <w:bCs/>
          <w:snapToGrid w:val="0"/>
          <w:kern w:val="0"/>
          <w:sz w:val="24"/>
          <w:szCs w:val="24"/>
          <w:lang w:val="zh-CN" w:eastAsia="zh-CN" w:bidi="ar-SA"/>
        </w:rPr>
      </w:pPr>
      <w:r>
        <w:rPr>
          <w:rFonts w:hint="eastAsia" w:ascii="Times New Roman" w:hAnsi="Times New Roman" w:eastAsia="宋体" w:cs="Times New Roman"/>
          <w:snapToGrid w:val="0"/>
          <w:kern w:val="0"/>
          <w:sz w:val="24"/>
          <w:szCs w:val="24"/>
          <w:lang w:val="zh-CN" w:eastAsia="zh-CN" w:bidi="ar-SA"/>
        </w:rPr>
        <w:t>根据</w:t>
      </w:r>
      <w:r>
        <w:rPr>
          <w:rFonts w:hint="default" w:ascii="Times New Roman" w:hAnsi="Times New Roman" w:eastAsia="宋体" w:cs="Times New Roman"/>
          <w:snapToGrid w:val="0"/>
          <w:kern w:val="0"/>
          <w:sz w:val="24"/>
          <w:szCs w:val="24"/>
          <w:lang w:val="zh-CN" w:eastAsia="zh-CN" w:bidi="ar-SA"/>
        </w:rPr>
        <w:t>《环境影响评价技术导则</w:t>
      </w:r>
      <w:r>
        <w:rPr>
          <w:rFonts w:hint="eastAsia" w:ascii="Times New Roman" w:hAnsi="Times New Roman" w:eastAsia="宋体" w:cs="Times New Roman"/>
          <w:snapToGrid w:val="0"/>
          <w:kern w:val="0"/>
          <w:sz w:val="24"/>
          <w:szCs w:val="24"/>
          <w:lang w:val="en-US" w:eastAsia="zh-CN" w:bidi="ar-SA"/>
        </w:rPr>
        <w:t xml:space="preserve"> </w:t>
      </w:r>
      <w:r>
        <w:rPr>
          <w:rFonts w:hint="default" w:ascii="Times New Roman" w:hAnsi="Times New Roman" w:eastAsia="宋体" w:cs="Times New Roman"/>
          <w:snapToGrid w:val="0"/>
          <w:kern w:val="0"/>
          <w:sz w:val="24"/>
          <w:szCs w:val="24"/>
          <w:lang w:val="zh-CN" w:eastAsia="zh-CN" w:bidi="ar-SA"/>
        </w:rPr>
        <w:t>地</w:t>
      </w:r>
      <w:r>
        <w:rPr>
          <w:rFonts w:hint="eastAsia" w:ascii="Times New Roman" w:hAnsi="Times New Roman" w:eastAsia="宋体" w:cs="Times New Roman"/>
          <w:snapToGrid w:val="0"/>
          <w:kern w:val="0"/>
          <w:sz w:val="24"/>
          <w:szCs w:val="24"/>
          <w:lang w:val="en-US" w:eastAsia="zh-CN" w:bidi="ar-SA"/>
        </w:rPr>
        <w:t>表</w:t>
      </w:r>
      <w:r>
        <w:rPr>
          <w:rFonts w:hint="default" w:ascii="Times New Roman" w:hAnsi="Times New Roman" w:eastAsia="宋体" w:cs="Times New Roman"/>
          <w:snapToGrid w:val="0"/>
          <w:kern w:val="0"/>
          <w:sz w:val="24"/>
          <w:szCs w:val="24"/>
          <w:lang w:val="zh-CN" w:eastAsia="zh-CN" w:bidi="ar-SA"/>
        </w:rPr>
        <w:t>水环境》（HJ2.3-2018）</w:t>
      </w:r>
      <w:r>
        <w:rPr>
          <w:rFonts w:hint="eastAsia" w:ascii="Times New Roman" w:hAnsi="Times New Roman" w:eastAsia="宋体" w:cs="Times New Roman"/>
          <w:snapToGrid w:val="0"/>
          <w:kern w:val="0"/>
          <w:sz w:val="24"/>
          <w:szCs w:val="24"/>
          <w:lang w:val="zh-CN" w:eastAsia="zh-CN" w:bidi="ar-SA"/>
        </w:rPr>
        <w:t>中</w:t>
      </w:r>
      <w:r>
        <w:rPr>
          <w:rFonts w:hint="default" w:ascii="Times New Roman" w:hAnsi="Times New Roman" w:eastAsia="宋体" w:cs="Times New Roman"/>
          <w:snapToGrid w:val="0"/>
          <w:kern w:val="0"/>
          <w:sz w:val="24"/>
          <w:szCs w:val="24"/>
          <w:lang w:val="zh-CN" w:eastAsia="zh-CN" w:bidi="ar-SA"/>
        </w:rPr>
        <w:t>相关内容判定，确定</w:t>
      </w:r>
      <w:r>
        <w:rPr>
          <w:rFonts w:hint="eastAsia" w:ascii="Times New Roman" w:hAnsi="Times New Roman" w:eastAsia="宋体" w:cs="Times New Roman"/>
          <w:snapToGrid w:val="0"/>
          <w:kern w:val="0"/>
          <w:sz w:val="24"/>
          <w:szCs w:val="24"/>
          <w:lang w:val="zh-CN" w:eastAsia="zh-CN" w:bidi="ar-SA"/>
        </w:rPr>
        <w:t>本项目</w:t>
      </w:r>
      <w:r>
        <w:rPr>
          <w:rFonts w:hint="default" w:ascii="Times New Roman" w:hAnsi="Times New Roman" w:eastAsia="宋体" w:cs="Times New Roman"/>
          <w:snapToGrid w:val="0"/>
          <w:kern w:val="0"/>
          <w:sz w:val="24"/>
          <w:szCs w:val="24"/>
          <w:lang w:val="zh-CN" w:eastAsia="zh-CN" w:bidi="ar-SA"/>
        </w:rPr>
        <w:t>地表水评价工作等级为三级B</w:t>
      </w:r>
      <w:r>
        <w:rPr>
          <w:rFonts w:hint="eastAsia" w:ascii="Times New Roman" w:hAnsi="Times New Roman" w:eastAsia="宋体" w:cs="Times New Roman"/>
          <w:snapToGrid w:val="0"/>
          <w:kern w:val="0"/>
          <w:sz w:val="24"/>
          <w:szCs w:val="24"/>
          <w:lang w:val="zh-CN" w:eastAsia="zh-CN" w:bidi="ar-SA"/>
        </w:rPr>
        <w:t>，</w:t>
      </w:r>
      <w:r>
        <w:rPr>
          <w:rFonts w:hint="eastAsia" w:cs="Times New Roman"/>
          <w:snapToGrid w:val="0"/>
          <w:kern w:val="0"/>
          <w:sz w:val="24"/>
          <w:szCs w:val="24"/>
          <w:lang w:val="zh-CN" w:eastAsia="zh-CN" w:bidi="ar-SA"/>
        </w:rPr>
        <w:t>判定</w:t>
      </w:r>
      <w:r>
        <w:rPr>
          <w:rFonts w:hint="default" w:ascii="Times New Roman" w:hAnsi="Times New Roman" w:eastAsia="宋体" w:cs="Times New Roman"/>
          <w:snapToGrid w:val="0"/>
          <w:kern w:val="0"/>
          <w:sz w:val="24"/>
          <w:szCs w:val="24"/>
          <w:lang w:val="zh-CN" w:eastAsia="zh-CN" w:bidi="ar-SA"/>
        </w:rPr>
        <w:t>依据</w:t>
      </w:r>
      <w:r>
        <w:rPr>
          <w:rFonts w:hint="eastAsia" w:ascii="Times New Roman" w:hAnsi="Times New Roman" w:eastAsia="宋体" w:cs="Times New Roman"/>
          <w:snapToGrid w:val="0"/>
          <w:kern w:val="0"/>
          <w:sz w:val="24"/>
          <w:szCs w:val="24"/>
          <w:lang w:val="zh-CN" w:eastAsia="zh-CN" w:bidi="ar-SA"/>
        </w:rPr>
        <w:t>详</w:t>
      </w:r>
      <w:r>
        <w:rPr>
          <w:rFonts w:hint="default" w:ascii="Times New Roman" w:hAnsi="Times New Roman" w:eastAsia="宋体" w:cs="Times New Roman"/>
          <w:snapToGrid w:val="0"/>
          <w:kern w:val="0"/>
          <w:sz w:val="24"/>
          <w:szCs w:val="24"/>
          <w:lang w:val="zh-CN" w:eastAsia="zh-CN" w:bidi="ar-SA"/>
        </w:rPr>
        <w:t>见表2.</w:t>
      </w:r>
      <w:r>
        <w:rPr>
          <w:rFonts w:hint="eastAsia" w:cs="Times New Roman"/>
          <w:snapToGrid w:val="0"/>
          <w:kern w:val="0"/>
          <w:sz w:val="24"/>
          <w:szCs w:val="24"/>
          <w:lang w:val="en-US" w:eastAsia="zh-CN" w:bidi="ar-SA"/>
        </w:rPr>
        <w:t>6</w:t>
      </w:r>
      <w:r>
        <w:rPr>
          <w:rFonts w:hint="default" w:ascii="Times New Roman" w:hAnsi="Times New Roman" w:eastAsia="宋体" w:cs="Times New Roman"/>
          <w:snapToGrid w:val="0"/>
          <w:kern w:val="0"/>
          <w:sz w:val="24"/>
          <w:szCs w:val="24"/>
          <w:lang w:val="en-US" w:eastAsia="zh-CN" w:bidi="ar-SA"/>
        </w:rPr>
        <w:t>-</w:t>
      </w:r>
      <w:r>
        <w:rPr>
          <w:rFonts w:hint="eastAsia" w:cs="Times New Roman"/>
          <w:snapToGrid w:val="0"/>
          <w:kern w:val="0"/>
          <w:sz w:val="24"/>
          <w:szCs w:val="24"/>
          <w:lang w:val="en-US" w:eastAsia="zh-CN" w:bidi="ar-SA"/>
        </w:rPr>
        <w:t>6</w:t>
      </w:r>
      <w:r>
        <w:rPr>
          <w:rFonts w:hint="default" w:ascii="Times New Roman" w:hAnsi="Times New Roman" w:eastAsia="宋体" w:cs="Times New Roman"/>
          <w:snapToGrid w:val="0"/>
          <w:kern w:val="0"/>
          <w:sz w:val="24"/>
          <w:szCs w:val="24"/>
          <w:lang w:val="zh-CN" w:eastAsia="zh-CN" w:bidi="ar-SA"/>
        </w:rPr>
        <w:t>。</w:t>
      </w:r>
    </w:p>
    <w:p w14:paraId="2A6B04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napToGrid w:val="0"/>
          <w:kern w:val="0"/>
          <w:sz w:val="24"/>
          <w:szCs w:val="24"/>
          <w:lang w:val="zh-CN" w:eastAsia="zh-CN" w:bidi="ar-SA"/>
        </w:rPr>
      </w:pPr>
      <w:r>
        <w:rPr>
          <w:rFonts w:hint="default" w:ascii="Times New Roman" w:hAnsi="Times New Roman" w:eastAsia="宋体" w:cs="Times New Roman"/>
          <w:b/>
          <w:bCs/>
          <w:snapToGrid w:val="0"/>
          <w:kern w:val="0"/>
          <w:sz w:val="24"/>
          <w:szCs w:val="24"/>
          <w:lang w:val="zh-CN" w:eastAsia="zh-CN" w:bidi="ar-SA"/>
        </w:rPr>
        <w:t>表</w:t>
      </w:r>
      <w:r>
        <w:rPr>
          <w:rFonts w:hint="default" w:ascii="Times New Roman" w:hAnsi="Times New Roman" w:eastAsia="宋体" w:cs="Times New Roman"/>
          <w:b/>
          <w:bCs/>
          <w:snapToGrid w:val="0"/>
          <w:kern w:val="0"/>
          <w:sz w:val="24"/>
          <w:szCs w:val="24"/>
          <w:lang w:val="en-US" w:eastAsia="zh-CN" w:bidi="ar-SA"/>
        </w:rPr>
        <w:t>2.</w:t>
      </w:r>
      <w:r>
        <w:rPr>
          <w:rFonts w:hint="eastAsia" w:cs="Times New Roman"/>
          <w:b/>
          <w:bCs/>
          <w:snapToGrid w:val="0"/>
          <w:kern w:val="0"/>
          <w:sz w:val="24"/>
          <w:szCs w:val="24"/>
          <w:lang w:val="en-US" w:eastAsia="zh-CN" w:bidi="ar-SA"/>
        </w:rPr>
        <w:t>6</w:t>
      </w:r>
      <w:r>
        <w:rPr>
          <w:rFonts w:hint="default" w:ascii="Times New Roman" w:hAnsi="Times New Roman" w:eastAsia="宋体" w:cs="Times New Roman"/>
          <w:b/>
          <w:bCs/>
          <w:snapToGrid w:val="0"/>
          <w:kern w:val="0"/>
          <w:sz w:val="24"/>
          <w:szCs w:val="24"/>
          <w:lang w:val="en-US" w:eastAsia="zh-CN" w:bidi="ar-SA"/>
        </w:rPr>
        <w:t>-</w:t>
      </w:r>
      <w:r>
        <w:rPr>
          <w:rFonts w:hint="eastAsia" w:cs="Times New Roman"/>
          <w:b/>
          <w:bCs/>
          <w:snapToGrid w:val="0"/>
          <w:kern w:val="0"/>
          <w:sz w:val="24"/>
          <w:szCs w:val="24"/>
          <w:lang w:val="en-US" w:eastAsia="zh-CN" w:bidi="ar-SA"/>
        </w:rPr>
        <w:t>6</w:t>
      </w:r>
      <w:r>
        <w:rPr>
          <w:rFonts w:hint="default" w:ascii="Times New Roman" w:hAnsi="Times New Roman" w:eastAsia="宋体" w:cs="Times New Roman"/>
          <w:b/>
          <w:bCs/>
          <w:snapToGrid w:val="0"/>
          <w:kern w:val="0"/>
          <w:sz w:val="24"/>
          <w:szCs w:val="24"/>
          <w:lang w:val="zh-CN" w:eastAsia="zh-CN" w:bidi="ar-SA"/>
        </w:rPr>
        <w:t>水污染影响型建设项目评价等级判定表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035"/>
        <w:gridCol w:w="2598"/>
        <w:gridCol w:w="3871"/>
      </w:tblGrid>
      <w:tr w14:paraId="471896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35" w:type="dxa"/>
            <w:vMerge w:val="restart"/>
            <w:tcBorders>
              <w:tl2br w:val="nil"/>
              <w:tr2bl w:val="nil"/>
            </w:tcBorders>
            <w:shd w:val="clear" w:color="auto" w:fill="auto"/>
            <w:noWrap w:val="0"/>
            <w:vAlign w:val="center"/>
          </w:tcPr>
          <w:p w14:paraId="66D5EF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sz w:val="21"/>
                <w:szCs w:val="21"/>
              </w:rPr>
              <w:t>评价等级</w:t>
            </w:r>
          </w:p>
        </w:tc>
        <w:tc>
          <w:tcPr>
            <w:tcW w:w="6469" w:type="dxa"/>
            <w:gridSpan w:val="2"/>
            <w:tcBorders>
              <w:tl2br w:val="nil"/>
              <w:tr2bl w:val="nil"/>
            </w:tcBorders>
            <w:shd w:val="clear" w:color="auto" w:fill="auto"/>
            <w:noWrap w:val="0"/>
            <w:vAlign w:val="center"/>
          </w:tcPr>
          <w:p w14:paraId="201116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sz w:val="21"/>
                <w:szCs w:val="21"/>
              </w:rPr>
              <w:t>判定依据</w:t>
            </w:r>
          </w:p>
        </w:tc>
      </w:tr>
      <w:tr w14:paraId="4104F8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35" w:type="dxa"/>
            <w:vMerge w:val="continue"/>
            <w:tcBorders>
              <w:tl2br w:val="nil"/>
              <w:tr2bl w:val="nil"/>
            </w:tcBorders>
            <w:shd w:val="clear" w:color="auto" w:fill="auto"/>
            <w:noWrap w:val="0"/>
            <w:vAlign w:val="center"/>
          </w:tcPr>
          <w:p w14:paraId="570E6C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000000"/>
                <w:sz w:val="21"/>
                <w:szCs w:val="21"/>
              </w:rPr>
            </w:pPr>
          </w:p>
        </w:tc>
        <w:tc>
          <w:tcPr>
            <w:tcW w:w="2598" w:type="dxa"/>
            <w:tcBorders>
              <w:tl2br w:val="nil"/>
              <w:tr2bl w:val="nil"/>
            </w:tcBorders>
            <w:shd w:val="clear" w:color="auto" w:fill="auto"/>
            <w:noWrap w:val="0"/>
            <w:vAlign w:val="center"/>
          </w:tcPr>
          <w:p w14:paraId="30192D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sz w:val="21"/>
                <w:szCs w:val="21"/>
              </w:rPr>
              <w:t>排放方式</w:t>
            </w:r>
          </w:p>
        </w:tc>
        <w:tc>
          <w:tcPr>
            <w:tcW w:w="3871" w:type="dxa"/>
            <w:tcBorders>
              <w:tl2br w:val="nil"/>
              <w:tr2bl w:val="nil"/>
            </w:tcBorders>
            <w:shd w:val="clear" w:color="auto" w:fill="auto"/>
            <w:noWrap w:val="0"/>
            <w:vAlign w:val="center"/>
          </w:tcPr>
          <w:p w14:paraId="40D7C8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sz w:val="21"/>
                <w:szCs w:val="21"/>
              </w:rPr>
              <w:t>废水排放量Q/（m</w:t>
            </w:r>
            <w:r>
              <w:rPr>
                <w:rFonts w:hint="default" w:ascii="Times New Roman" w:hAnsi="Times New Roman" w:eastAsia="宋体" w:cs="Times New Roman"/>
                <w:b/>
                <w:bCs w:val="0"/>
                <w:color w:val="000000"/>
                <w:sz w:val="21"/>
                <w:szCs w:val="21"/>
                <w:vertAlign w:val="superscript"/>
              </w:rPr>
              <w:t>3</w:t>
            </w:r>
            <w:r>
              <w:rPr>
                <w:rFonts w:hint="default" w:ascii="Times New Roman" w:hAnsi="Times New Roman" w:eastAsia="宋体" w:cs="Times New Roman"/>
                <w:b/>
                <w:bCs w:val="0"/>
                <w:color w:val="000000"/>
                <w:sz w:val="21"/>
                <w:szCs w:val="21"/>
              </w:rPr>
              <w:t>/d）；</w:t>
            </w:r>
          </w:p>
          <w:p w14:paraId="53E8CC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sz w:val="21"/>
                <w:szCs w:val="21"/>
              </w:rPr>
              <w:t>水污染物当量数W/（无量纲）</w:t>
            </w:r>
          </w:p>
        </w:tc>
      </w:tr>
      <w:tr w14:paraId="68BFEC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35" w:type="dxa"/>
            <w:tcBorders>
              <w:tl2br w:val="nil"/>
              <w:tr2bl w:val="nil"/>
            </w:tcBorders>
            <w:shd w:val="clear" w:color="auto" w:fill="auto"/>
            <w:noWrap w:val="0"/>
            <w:vAlign w:val="center"/>
          </w:tcPr>
          <w:p w14:paraId="51798D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一级</w:t>
            </w:r>
          </w:p>
        </w:tc>
        <w:tc>
          <w:tcPr>
            <w:tcW w:w="2598" w:type="dxa"/>
            <w:tcBorders>
              <w:tl2br w:val="nil"/>
              <w:tr2bl w:val="nil"/>
            </w:tcBorders>
            <w:shd w:val="clear" w:color="auto" w:fill="auto"/>
            <w:noWrap w:val="0"/>
            <w:vAlign w:val="center"/>
          </w:tcPr>
          <w:p w14:paraId="1A766C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直接排放</w:t>
            </w:r>
          </w:p>
        </w:tc>
        <w:tc>
          <w:tcPr>
            <w:tcW w:w="3871" w:type="dxa"/>
            <w:tcBorders>
              <w:tl2br w:val="nil"/>
              <w:tr2bl w:val="nil"/>
            </w:tcBorders>
            <w:shd w:val="clear" w:color="auto" w:fill="auto"/>
            <w:noWrap w:val="0"/>
            <w:vAlign w:val="center"/>
          </w:tcPr>
          <w:p w14:paraId="1044CC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Q≥20000或W≥600000</w:t>
            </w:r>
          </w:p>
        </w:tc>
      </w:tr>
      <w:tr w14:paraId="4A1FF3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35" w:type="dxa"/>
            <w:tcBorders>
              <w:tl2br w:val="nil"/>
              <w:tr2bl w:val="nil"/>
            </w:tcBorders>
            <w:shd w:val="clear" w:color="auto" w:fill="auto"/>
            <w:noWrap w:val="0"/>
            <w:vAlign w:val="center"/>
          </w:tcPr>
          <w:p w14:paraId="4325CB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2598" w:type="dxa"/>
            <w:tcBorders>
              <w:tl2br w:val="nil"/>
              <w:tr2bl w:val="nil"/>
            </w:tcBorders>
            <w:shd w:val="clear" w:color="auto" w:fill="auto"/>
            <w:noWrap w:val="0"/>
            <w:vAlign w:val="center"/>
          </w:tcPr>
          <w:p w14:paraId="365547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直接排放</w:t>
            </w:r>
          </w:p>
        </w:tc>
        <w:tc>
          <w:tcPr>
            <w:tcW w:w="3871" w:type="dxa"/>
            <w:tcBorders>
              <w:tl2br w:val="nil"/>
              <w:tr2bl w:val="nil"/>
            </w:tcBorders>
            <w:shd w:val="clear" w:color="auto" w:fill="auto"/>
            <w:noWrap w:val="0"/>
            <w:vAlign w:val="center"/>
          </w:tcPr>
          <w:p w14:paraId="74D054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其他</w:t>
            </w:r>
          </w:p>
        </w:tc>
      </w:tr>
      <w:tr w14:paraId="4DE94D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35" w:type="dxa"/>
            <w:tcBorders>
              <w:tl2br w:val="nil"/>
              <w:tr2bl w:val="nil"/>
            </w:tcBorders>
            <w:shd w:val="clear" w:color="auto" w:fill="auto"/>
            <w:noWrap w:val="0"/>
            <w:vAlign w:val="center"/>
          </w:tcPr>
          <w:p w14:paraId="314C4B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三级A</w:t>
            </w:r>
          </w:p>
        </w:tc>
        <w:tc>
          <w:tcPr>
            <w:tcW w:w="2598" w:type="dxa"/>
            <w:tcBorders>
              <w:tl2br w:val="nil"/>
              <w:tr2bl w:val="nil"/>
            </w:tcBorders>
            <w:shd w:val="clear" w:color="auto" w:fill="auto"/>
            <w:noWrap w:val="0"/>
            <w:vAlign w:val="center"/>
          </w:tcPr>
          <w:p w14:paraId="1289DF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直接排放</w:t>
            </w:r>
          </w:p>
        </w:tc>
        <w:tc>
          <w:tcPr>
            <w:tcW w:w="3871" w:type="dxa"/>
            <w:tcBorders>
              <w:tl2br w:val="nil"/>
              <w:tr2bl w:val="nil"/>
            </w:tcBorders>
            <w:shd w:val="clear" w:color="auto" w:fill="auto"/>
            <w:noWrap w:val="0"/>
            <w:vAlign w:val="center"/>
          </w:tcPr>
          <w:p w14:paraId="074DFF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Q＜200且W＜6000</w:t>
            </w:r>
          </w:p>
        </w:tc>
      </w:tr>
      <w:tr w14:paraId="1B757F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35" w:type="dxa"/>
            <w:tcBorders>
              <w:tl2br w:val="nil"/>
              <w:tr2bl w:val="nil"/>
            </w:tcBorders>
            <w:shd w:val="clear" w:color="auto" w:fill="auto"/>
            <w:noWrap w:val="0"/>
            <w:vAlign w:val="center"/>
          </w:tcPr>
          <w:p w14:paraId="5AF1EC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三级B</w:t>
            </w:r>
          </w:p>
        </w:tc>
        <w:tc>
          <w:tcPr>
            <w:tcW w:w="2598" w:type="dxa"/>
            <w:tcBorders>
              <w:tl2br w:val="nil"/>
              <w:tr2bl w:val="nil"/>
            </w:tcBorders>
            <w:shd w:val="clear" w:color="auto" w:fill="auto"/>
            <w:noWrap w:val="0"/>
            <w:vAlign w:val="center"/>
          </w:tcPr>
          <w:p w14:paraId="67883F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间接排放</w:t>
            </w:r>
          </w:p>
        </w:tc>
        <w:tc>
          <w:tcPr>
            <w:tcW w:w="3871" w:type="dxa"/>
            <w:tcBorders>
              <w:tl2br w:val="nil"/>
              <w:tr2bl w:val="nil"/>
            </w:tcBorders>
            <w:shd w:val="clear" w:color="auto" w:fill="auto"/>
            <w:noWrap w:val="0"/>
            <w:vAlign w:val="center"/>
          </w:tcPr>
          <w:p w14:paraId="1102EF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w:t>
            </w:r>
          </w:p>
        </w:tc>
      </w:tr>
      <w:tr w14:paraId="2F970A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504" w:type="dxa"/>
            <w:gridSpan w:val="3"/>
            <w:tcBorders>
              <w:tl2br w:val="nil"/>
              <w:tr2bl w:val="nil"/>
            </w:tcBorders>
            <w:shd w:val="clear" w:color="auto" w:fill="auto"/>
            <w:noWrap w:val="0"/>
            <w:vAlign w:val="center"/>
          </w:tcPr>
          <w:p w14:paraId="1B21077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注1：水污染物当量数等于该污染物的年排放量</w:t>
            </w:r>
            <w:r>
              <w:rPr>
                <w:rFonts w:hint="eastAsia" w:cs="Times New Roman"/>
                <w:color w:val="000000"/>
                <w:sz w:val="21"/>
                <w:szCs w:val="21"/>
                <w:lang w:eastAsia="zh-CN"/>
              </w:rPr>
              <w:t>除以</w:t>
            </w:r>
            <w:r>
              <w:rPr>
                <w:rFonts w:hint="default" w:ascii="Times New Roman" w:hAnsi="Times New Roman" w:eastAsia="宋体" w:cs="Times New Roman"/>
                <w:color w:val="000000"/>
                <w:sz w:val="21"/>
                <w:szCs w:val="21"/>
              </w:rPr>
              <w:t>该污染物的污染当量值（见附录A），计算排放污染物的污染物当量数，应区分第一类水污染物和其他类水污染物，统计第一</w:t>
            </w:r>
            <w:r>
              <w:rPr>
                <w:rFonts w:hint="eastAsia" w:cs="Times New Roman"/>
                <w:color w:val="000000"/>
                <w:sz w:val="21"/>
                <w:szCs w:val="21"/>
                <w:lang w:eastAsia="zh-CN"/>
              </w:rPr>
              <w:t>类</w:t>
            </w:r>
            <w:r>
              <w:rPr>
                <w:rFonts w:hint="eastAsia" w:ascii="Times New Roman" w:hAnsi="Times New Roman" w:cs="Times New Roman"/>
                <w:color w:val="000000"/>
                <w:sz w:val="21"/>
                <w:szCs w:val="21"/>
                <w:lang w:eastAsia="zh-CN"/>
              </w:rPr>
              <w:t>污</w:t>
            </w:r>
            <w:r>
              <w:rPr>
                <w:rFonts w:hint="default" w:ascii="Times New Roman" w:hAnsi="Times New Roman" w:eastAsia="宋体" w:cs="Times New Roman"/>
                <w:color w:val="000000"/>
                <w:sz w:val="21"/>
                <w:szCs w:val="21"/>
              </w:rPr>
              <w:t>染物当量数总和，然后与其他污染物按照污染物当量数从大到小排序，取最大当量数作为建设项目评价等级确定的依据。</w:t>
            </w:r>
          </w:p>
          <w:p w14:paraId="6FC01AD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2：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14:paraId="293AB7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注3：厂区存在堆积物（露天堆放的原料、燃料、废渣等以及垃圾堆放场）、降尘污染的，应将初期雨污水纳入废水排放量，相应的主要污染物纳入水污染当量计算。</w:t>
            </w:r>
          </w:p>
          <w:p w14:paraId="2ABB0E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注4：建设项目直接排放</w:t>
            </w:r>
            <w:r>
              <w:rPr>
                <w:rFonts w:hint="eastAsia" w:cs="Times New Roman"/>
                <w:color w:val="000000"/>
                <w:sz w:val="21"/>
                <w:szCs w:val="21"/>
                <w:lang w:eastAsia="zh-CN"/>
              </w:rPr>
              <w:t>第一类</w:t>
            </w:r>
            <w:r>
              <w:rPr>
                <w:rFonts w:hint="eastAsia" w:ascii="Times New Roman" w:hAnsi="Times New Roman" w:cs="Times New Roman"/>
                <w:color w:val="000000"/>
                <w:sz w:val="21"/>
                <w:szCs w:val="21"/>
                <w:lang w:eastAsia="zh-CN"/>
              </w:rPr>
              <w:t>污</w:t>
            </w:r>
            <w:r>
              <w:rPr>
                <w:rFonts w:hint="default" w:ascii="Times New Roman" w:hAnsi="Times New Roman" w:eastAsia="宋体" w:cs="Times New Roman"/>
                <w:color w:val="000000"/>
                <w:sz w:val="21"/>
                <w:szCs w:val="21"/>
              </w:rPr>
              <w:t>染物的，其评价等级为一级；建设项目直接排放的污染物为受纳水体超标因子的，评价等级不低于二级。</w:t>
            </w:r>
          </w:p>
          <w:p w14:paraId="084F65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注5：直接排放受纳水体影响范围涉及饮用水水源保护区、饮用水取水口、重点保护与珍稀水生生物的栖息地、重要水生生物的自然产卵场等保护目标时，评价等级不低于二级。</w:t>
            </w:r>
          </w:p>
          <w:p w14:paraId="0F1151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注6：建设项目向河流、湖库排放温排水引起受纳水体水温变化超过水环境质量标准要求，且评价范围有水温敏感目标时，评价等级为一级。</w:t>
            </w:r>
          </w:p>
          <w:p w14:paraId="6B85D10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注7：建设项目利用海水作为调节温度介质，排水量≥500万m</w:t>
            </w:r>
            <w:r>
              <w:rPr>
                <w:rFonts w:hint="default" w:ascii="Times New Roman" w:hAnsi="Times New Roman" w:eastAsia="宋体" w:cs="Times New Roman"/>
                <w:color w:val="000000"/>
                <w:sz w:val="21"/>
                <w:szCs w:val="21"/>
                <w:vertAlign w:val="superscript"/>
              </w:rPr>
              <w:t>3</w:t>
            </w:r>
            <w:r>
              <w:rPr>
                <w:rFonts w:hint="default" w:ascii="Times New Roman" w:hAnsi="Times New Roman" w:eastAsia="宋体" w:cs="Times New Roman"/>
                <w:color w:val="000000"/>
                <w:sz w:val="21"/>
                <w:szCs w:val="21"/>
              </w:rPr>
              <w:t>/d，评价等级为一级；排水量＜500万m</w:t>
            </w:r>
            <w:r>
              <w:rPr>
                <w:rFonts w:hint="default" w:ascii="Times New Roman" w:hAnsi="Times New Roman" w:eastAsia="宋体" w:cs="Times New Roman"/>
                <w:color w:val="000000"/>
                <w:sz w:val="21"/>
                <w:szCs w:val="21"/>
                <w:vertAlign w:val="superscript"/>
              </w:rPr>
              <w:t>3</w:t>
            </w:r>
            <w:r>
              <w:rPr>
                <w:rFonts w:hint="default" w:ascii="Times New Roman" w:hAnsi="Times New Roman" w:eastAsia="宋体" w:cs="Times New Roman"/>
                <w:color w:val="000000"/>
                <w:sz w:val="21"/>
                <w:szCs w:val="21"/>
              </w:rPr>
              <w:t>/d，评价等级为二级。</w:t>
            </w:r>
          </w:p>
          <w:p w14:paraId="1C0AAD3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注8：仅涉及清净下水排放的，如其排放水质满足受纳水体水环境质量标准要求的，评价等级为三级A。</w:t>
            </w:r>
          </w:p>
          <w:p w14:paraId="310357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注9：依托现有排放口，且对外环境未新增排放污染物的直接排放建设项目，评价等级参照间接排放，定为三级B。</w:t>
            </w:r>
          </w:p>
          <w:p w14:paraId="292D528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注10：建设项目生产工艺中有废水产生，但作为回水利用，不排放到外环境的，按三级B评价。</w:t>
            </w:r>
          </w:p>
        </w:tc>
      </w:tr>
    </w:tbl>
    <w:p w14:paraId="17372987">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根据《环境影响评价技术导则</w:t>
      </w:r>
      <w:r>
        <w:rPr>
          <w:rFonts w:hint="eastAsia" w:ascii="Times New Roman" w:hAnsi="Times New Roman" w:eastAsia="宋体"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地</w:t>
      </w:r>
      <w:r>
        <w:rPr>
          <w:rFonts w:hint="eastAsia" w:ascii="Times New Roman" w:hAnsi="Times New Roman" w:eastAsia="宋体" w:cs="Times New Roman"/>
          <w:kern w:val="2"/>
          <w:sz w:val="24"/>
          <w:szCs w:val="24"/>
          <w:lang w:val="en-US" w:eastAsia="zh-CN" w:bidi="ar-SA"/>
        </w:rPr>
        <w:t>表</w:t>
      </w:r>
      <w:r>
        <w:rPr>
          <w:rFonts w:hint="default" w:ascii="Times New Roman" w:hAnsi="Times New Roman" w:eastAsia="宋体" w:cs="Times New Roman"/>
          <w:kern w:val="2"/>
          <w:sz w:val="24"/>
          <w:szCs w:val="24"/>
          <w:lang w:val="en-US" w:eastAsia="zh-CN" w:bidi="ar-SA"/>
        </w:rPr>
        <w:t>水环境》（HJ2.3-2018），</w:t>
      </w:r>
      <w:r>
        <w:rPr>
          <w:rFonts w:hint="eastAsia" w:ascii="Times New Roman" w:hAnsi="Times New Roman" w:eastAsia="宋体" w:cs="Times New Roman"/>
          <w:kern w:val="2"/>
          <w:sz w:val="24"/>
          <w:szCs w:val="24"/>
          <w:lang w:val="en-US" w:eastAsia="zh-CN" w:bidi="ar-SA"/>
        </w:rPr>
        <w:t>本项目</w:t>
      </w:r>
      <w:r>
        <w:rPr>
          <w:rFonts w:hint="default" w:ascii="Times New Roman" w:hAnsi="Times New Roman" w:eastAsia="宋体" w:cs="Times New Roman"/>
          <w:kern w:val="2"/>
          <w:sz w:val="24"/>
          <w:szCs w:val="24"/>
          <w:lang w:val="en-US" w:eastAsia="zh-CN" w:bidi="ar-SA"/>
        </w:rPr>
        <w:t>地</w:t>
      </w:r>
      <w:r>
        <w:rPr>
          <w:rFonts w:hint="eastAsia" w:ascii="Times New Roman" w:hAnsi="Times New Roman" w:eastAsia="宋体" w:cs="Times New Roman"/>
          <w:kern w:val="2"/>
          <w:sz w:val="24"/>
          <w:szCs w:val="24"/>
          <w:lang w:val="en-US" w:eastAsia="zh-CN" w:bidi="ar-SA"/>
        </w:rPr>
        <w:t>表</w:t>
      </w:r>
      <w:r>
        <w:rPr>
          <w:rFonts w:hint="default" w:ascii="Times New Roman" w:hAnsi="Times New Roman" w:eastAsia="宋体" w:cs="Times New Roman"/>
          <w:kern w:val="2"/>
          <w:sz w:val="24"/>
          <w:szCs w:val="24"/>
          <w:lang w:val="en-US" w:eastAsia="zh-CN" w:bidi="ar-SA"/>
        </w:rPr>
        <w:t>水评价内容如下：</w:t>
      </w:r>
    </w:p>
    <w:p w14:paraId="6053E62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①水污染控制和水环境影响减缓措施有效性评价；</w:t>
      </w:r>
    </w:p>
    <w:p w14:paraId="3E1BA61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②</w:t>
      </w:r>
      <w:r>
        <w:rPr>
          <w:rFonts w:hint="eastAsia" w:ascii="Times New Roman" w:hAnsi="Times New Roman" w:eastAsia="宋体" w:cs="Times New Roman"/>
          <w:kern w:val="2"/>
          <w:sz w:val="24"/>
          <w:szCs w:val="24"/>
          <w:lang w:val="en-US" w:eastAsia="zh-CN" w:bidi="ar-SA"/>
        </w:rPr>
        <w:t>依托</w:t>
      </w:r>
      <w:r>
        <w:rPr>
          <w:rFonts w:hint="default" w:ascii="Times New Roman" w:hAnsi="Times New Roman" w:eastAsia="宋体" w:cs="Times New Roman"/>
          <w:kern w:val="2"/>
          <w:sz w:val="24"/>
          <w:szCs w:val="24"/>
          <w:lang w:val="en-US" w:eastAsia="zh-CN" w:bidi="ar-SA"/>
        </w:rPr>
        <w:t>污水处理设施的环境可行性评价。</w:t>
      </w:r>
    </w:p>
    <w:p w14:paraId="42494EBF">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（2）地下水</w:t>
      </w:r>
    </w:p>
    <w:p w14:paraId="5DA5E226">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根据《环境影响评价技术导则</w:t>
      </w:r>
      <w:r>
        <w:rPr>
          <w:rFonts w:hint="eastAsia" w:ascii="Times New Roman" w:hAnsi="Times New Roman" w:eastAsia="宋体"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地下水环境》（HJ610-2016）、《建设项目环境影响评价分类管理名录》，建设项目地下水环境影响评价工作等级的划分应依据建设项目行业分类和地下水环境敏感程度分级进行判定：</w:t>
      </w:r>
    </w:p>
    <w:p w14:paraId="515C1918">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建设项目类别：根据《</w:t>
      </w:r>
      <w:r>
        <w:rPr>
          <w:rFonts w:hint="eastAsia" w:cs="Times New Roman"/>
          <w:kern w:val="2"/>
          <w:sz w:val="24"/>
          <w:szCs w:val="24"/>
          <w:lang w:val="en-US" w:eastAsia="zh-CN" w:bidi="ar-SA"/>
        </w:rPr>
        <w:t>环境影响评价技术导则 地下水环境</w:t>
      </w:r>
      <w:r>
        <w:rPr>
          <w:rFonts w:hint="default" w:ascii="Times New Roman" w:hAnsi="Times New Roman" w:eastAsia="宋体" w:cs="Times New Roman"/>
          <w:kern w:val="2"/>
          <w:sz w:val="24"/>
          <w:szCs w:val="24"/>
          <w:lang w:val="en-US" w:eastAsia="zh-CN" w:bidi="ar-SA"/>
        </w:rPr>
        <w:t>》（HJ610-2016）</w:t>
      </w:r>
      <w:r>
        <w:rPr>
          <w:rFonts w:hint="eastAsia" w:ascii="Times New Roman" w:hAnsi="Times New Roman" w:eastAsia="宋体" w:cs="Times New Roman"/>
          <w:kern w:val="2"/>
          <w:sz w:val="24"/>
          <w:szCs w:val="24"/>
          <w:lang w:val="en-US" w:eastAsia="zh-CN" w:bidi="ar-SA"/>
        </w:rPr>
        <w:t>，本项目</w:t>
      </w:r>
      <w:r>
        <w:rPr>
          <w:rFonts w:hint="default" w:ascii="Times New Roman" w:hAnsi="Times New Roman" w:eastAsia="宋体" w:cs="Times New Roman"/>
          <w:kern w:val="2"/>
          <w:sz w:val="24"/>
          <w:szCs w:val="24"/>
          <w:lang w:val="en-US" w:eastAsia="zh-CN" w:bidi="ar-SA"/>
        </w:rPr>
        <w:t>属于附录</w:t>
      </w:r>
      <w:r>
        <w:rPr>
          <w:rFonts w:hint="eastAsia" w:ascii="Times New Roman" w:hAnsi="Times New Roman" w:eastAsia="宋体" w:cs="Times New Roman"/>
          <w:kern w:val="2"/>
          <w:sz w:val="24"/>
          <w:szCs w:val="24"/>
          <w:lang w:val="en-US" w:eastAsia="zh-CN" w:bidi="ar-SA"/>
        </w:rPr>
        <w:t>A</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地下水</w:t>
      </w:r>
      <w:r>
        <w:rPr>
          <w:rFonts w:hint="default" w:ascii="Times New Roman" w:hAnsi="Times New Roman" w:eastAsia="宋体" w:cs="Times New Roman"/>
          <w:kern w:val="2"/>
          <w:sz w:val="24"/>
          <w:szCs w:val="24"/>
          <w:lang w:val="en-US" w:eastAsia="zh-CN" w:bidi="ar-SA"/>
        </w:rPr>
        <w:t>环境影响评价行业分类表</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中的</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B农、</w:t>
      </w:r>
      <w:r>
        <w:rPr>
          <w:rFonts w:hint="default" w:ascii="Times New Roman" w:hAnsi="Times New Roman" w:eastAsia="宋体" w:cs="Times New Roman"/>
          <w:kern w:val="2"/>
          <w:sz w:val="24"/>
          <w:szCs w:val="24"/>
          <w:lang w:val="en-US" w:eastAsia="zh-CN" w:bidi="ar-SA"/>
        </w:rPr>
        <w:t>林、牧、渔、海洋</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中的</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14畜禽养殖场</w:t>
      </w:r>
      <w:r>
        <w:rPr>
          <w:rFonts w:hint="default" w:ascii="Times New Roman" w:hAnsi="Times New Roman" w:eastAsia="宋体" w:cs="Times New Roman"/>
          <w:kern w:val="2"/>
          <w:sz w:val="24"/>
          <w:szCs w:val="24"/>
          <w:lang w:val="en-US" w:eastAsia="zh-CN" w:bidi="ar-SA"/>
        </w:rPr>
        <w:t>、养殖小区</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编制</w:t>
      </w:r>
      <w:r>
        <w:rPr>
          <w:rFonts w:hint="default" w:ascii="Times New Roman" w:hAnsi="Times New Roman" w:eastAsia="宋体" w:cs="Times New Roman"/>
          <w:kern w:val="2"/>
          <w:sz w:val="24"/>
          <w:szCs w:val="24"/>
          <w:lang w:val="en-US" w:eastAsia="zh-CN" w:bidi="ar-SA"/>
        </w:rPr>
        <w:t>报告书</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年出栏生猪5000头（其他畜禽种类折合猪的养殖规模）及以上；涉及环境敏感区的</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类别</w:t>
      </w:r>
      <w:r>
        <w:rPr>
          <w:rFonts w:hint="default" w:ascii="Times New Roman" w:hAnsi="Times New Roman" w:eastAsia="宋体" w:cs="Times New Roman"/>
          <w:kern w:val="2"/>
          <w:sz w:val="24"/>
          <w:szCs w:val="24"/>
          <w:lang w:val="en-US" w:eastAsia="zh-CN" w:bidi="ar-SA"/>
        </w:rPr>
        <w:t>，地下水环境影响评价项目类别为Ⅲ类。</w:t>
      </w:r>
    </w:p>
    <w:p w14:paraId="1F62974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zh-CN" w:eastAsia="zh-CN" w:bidi="ar-SA"/>
        </w:rPr>
        <w:t>地下水敏感程度：</w:t>
      </w:r>
      <w:r>
        <w:rPr>
          <w:rFonts w:hint="eastAsia" w:ascii="Times New Roman" w:hAnsi="Times New Roman" w:eastAsia="宋体" w:cs="Times New Roman"/>
          <w:color w:val="000000"/>
          <w:kern w:val="2"/>
          <w:sz w:val="24"/>
          <w:szCs w:val="24"/>
          <w:lang w:val="en-US" w:eastAsia="zh-CN"/>
        </w:rPr>
        <w:t>本项目</w:t>
      </w:r>
      <w:r>
        <w:rPr>
          <w:rFonts w:hint="eastAsia" w:ascii="Times New Roman" w:hAnsi="Times New Roman" w:cs="Times New Roman"/>
          <w:kern w:val="2"/>
          <w:sz w:val="24"/>
          <w:szCs w:val="24"/>
          <w:lang w:val="en-US" w:eastAsia="zh-CN" w:bidi="ar-SA"/>
        </w:rPr>
        <w:t>用地范围内不涉及</w:t>
      </w:r>
      <w:r>
        <w:rPr>
          <w:rFonts w:hint="default" w:ascii="Times New Roman" w:hAnsi="Times New Roman" w:eastAsia="宋体" w:cs="Times New Roman"/>
          <w:kern w:val="2"/>
          <w:sz w:val="24"/>
          <w:szCs w:val="24"/>
          <w:lang w:val="zh-CN" w:eastAsia="zh-CN" w:bidi="ar-SA"/>
        </w:rPr>
        <w:t>非集中式饮用水水源地，无分散式饮用水水源地</w:t>
      </w:r>
      <w:r>
        <w:rPr>
          <w:rFonts w:hint="eastAsia" w:ascii="Times New Roman" w:hAnsi="Times New Roman" w:eastAsia="宋体" w:cs="Times New Roman"/>
          <w:kern w:val="2"/>
          <w:sz w:val="24"/>
          <w:szCs w:val="24"/>
          <w:lang w:val="zh-CN" w:eastAsia="zh-CN" w:bidi="ar-SA"/>
        </w:rPr>
        <w:t>，</w:t>
      </w:r>
      <w:r>
        <w:rPr>
          <w:rFonts w:hint="eastAsia" w:ascii="Times New Roman" w:hAnsi="Times New Roman" w:eastAsia="宋体" w:cs="Times New Roman"/>
          <w:kern w:val="2"/>
          <w:sz w:val="24"/>
          <w:szCs w:val="24"/>
          <w:lang w:val="en-US" w:eastAsia="zh-CN" w:bidi="ar-SA"/>
        </w:rPr>
        <w:t>也不存在其他地下水环境敏感区</w:t>
      </w:r>
      <w:r>
        <w:rPr>
          <w:rFonts w:hint="default" w:ascii="Times New Roman" w:hAnsi="Times New Roman" w:eastAsia="宋体" w:cs="Times New Roman"/>
          <w:kern w:val="2"/>
          <w:sz w:val="24"/>
          <w:szCs w:val="24"/>
          <w:lang w:val="zh-CN" w:eastAsia="zh-CN" w:bidi="ar-SA"/>
        </w:rPr>
        <w:t>，故本项目区域地下水级别为</w:t>
      </w:r>
      <w:r>
        <w:rPr>
          <w:rFonts w:hint="eastAsia" w:cs="Times New Roman"/>
          <w:kern w:val="2"/>
          <w:sz w:val="24"/>
          <w:szCs w:val="24"/>
          <w:lang w:val="zh-CN" w:eastAsia="zh-CN" w:bidi="ar-SA"/>
        </w:rPr>
        <w:t>“</w:t>
      </w:r>
      <w:r>
        <w:rPr>
          <w:rFonts w:hint="default" w:ascii="Times New Roman" w:hAnsi="Times New Roman" w:eastAsia="宋体" w:cs="Times New Roman"/>
          <w:kern w:val="2"/>
          <w:sz w:val="24"/>
          <w:szCs w:val="24"/>
          <w:lang w:val="zh-CN" w:eastAsia="zh-CN" w:bidi="ar-SA"/>
        </w:rPr>
        <w:t>不敏感</w:t>
      </w:r>
      <w:r>
        <w:rPr>
          <w:rFonts w:hint="eastAsia" w:cs="Times New Roman"/>
          <w:kern w:val="2"/>
          <w:sz w:val="24"/>
          <w:szCs w:val="24"/>
          <w:lang w:val="zh-CN" w:eastAsia="zh-CN" w:bidi="ar-SA"/>
        </w:rPr>
        <w:t>”</w:t>
      </w:r>
      <w:r>
        <w:rPr>
          <w:rFonts w:hint="default" w:ascii="Times New Roman" w:hAnsi="Times New Roman" w:eastAsia="宋体" w:cs="Times New Roman"/>
          <w:kern w:val="2"/>
          <w:sz w:val="24"/>
          <w:szCs w:val="24"/>
          <w:lang w:val="zh-CN" w:eastAsia="zh-CN" w:bidi="ar-SA"/>
        </w:rPr>
        <w:t>。</w:t>
      </w:r>
    </w:p>
    <w:p w14:paraId="624B4EA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4"/>
          <w:szCs w:val="24"/>
          <w:lang w:val="en-US" w:eastAsia="zh-CN" w:bidi="ar-SA"/>
        </w:rPr>
        <w:t>根据《环境影响评价技术导则</w:t>
      </w:r>
      <w:r>
        <w:rPr>
          <w:rFonts w:hint="eastAsia" w:ascii="Times New Roman" w:hAnsi="Times New Roman" w:eastAsia="宋体"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地下水环境》（HJ610-2016）</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确定本项目评价等级为三级</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地下水环境敏感程度分级表见表2.</w:t>
      </w:r>
      <w:r>
        <w:rPr>
          <w:rFonts w:hint="eastAsia" w:cs="Times New Roman"/>
          <w:kern w:val="2"/>
          <w:sz w:val="24"/>
          <w:szCs w:val="24"/>
          <w:lang w:val="en-US" w:eastAsia="zh-CN" w:bidi="ar-SA"/>
        </w:rPr>
        <w:t>6</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7</w:t>
      </w:r>
      <w:r>
        <w:rPr>
          <w:rFonts w:hint="eastAsia" w:ascii="Times New Roman" w:hAnsi="Times New Roman" w:eastAsia="宋体" w:cs="Times New Roman"/>
          <w:kern w:val="2"/>
          <w:sz w:val="24"/>
          <w:szCs w:val="24"/>
          <w:lang w:val="en-US" w:eastAsia="zh-CN" w:bidi="ar-SA"/>
        </w:rPr>
        <w:t>和</w:t>
      </w:r>
      <w:r>
        <w:rPr>
          <w:rFonts w:hint="default" w:ascii="Times New Roman" w:hAnsi="Times New Roman" w:eastAsia="宋体" w:cs="Times New Roman"/>
          <w:kern w:val="2"/>
          <w:sz w:val="24"/>
          <w:szCs w:val="24"/>
          <w:lang w:val="en-US" w:eastAsia="zh-CN" w:bidi="ar-SA"/>
        </w:rPr>
        <w:t>地下水评价工作等级分级表见表2.</w:t>
      </w:r>
      <w:r>
        <w:rPr>
          <w:rFonts w:hint="eastAsia" w:cs="Times New Roman"/>
          <w:kern w:val="2"/>
          <w:sz w:val="24"/>
          <w:szCs w:val="24"/>
          <w:lang w:val="en-US" w:eastAsia="zh-CN" w:bidi="ar-SA"/>
        </w:rPr>
        <w:t>6</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8</w:t>
      </w:r>
      <w:r>
        <w:rPr>
          <w:rFonts w:hint="default" w:ascii="Times New Roman" w:hAnsi="Times New Roman" w:eastAsia="宋体" w:cs="Times New Roman"/>
          <w:kern w:val="2"/>
          <w:sz w:val="24"/>
          <w:szCs w:val="24"/>
          <w:lang w:val="en-US" w:eastAsia="zh-CN" w:bidi="ar-SA"/>
        </w:rPr>
        <w:t>。</w:t>
      </w:r>
    </w:p>
    <w:p w14:paraId="74088953">
      <w:pPr>
        <w:keepNext w:val="0"/>
        <w:keepLines w:val="0"/>
        <w:pageBreakBefore w:val="0"/>
        <w:widowControl w:val="0"/>
        <w:kinsoku/>
        <w:wordWrap/>
        <w:overflowPunct/>
        <w:topLinePunct w:val="0"/>
        <w:autoSpaceDE/>
        <w:autoSpaceDN/>
        <w:bidi w:val="0"/>
        <w:adjustRightInd/>
        <w:snapToGrid/>
        <w:spacing w:line="460" w:lineRule="exact"/>
        <w:ind w:firstLine="420"/>
        <w:jc w:val="center"/>
        <w:textAlignment w:val="auto"/>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表2.</w:t>
      </w:r>
      <w:r>
        <w:rPr>
          <w:rFonts w:hint="eastAsia" w:cs="Times New Roman"/>
          <w:b/>
          <w:kern w:val="0"/>
          <w:sz w:val="24"/>
          <w:szCs w:val="24"/>
          <w:lang w:val="en-US" w:eastAsia="zh-CN" w:bidi="ar-SA"/>
        </w:rPr>
        <w:t>6</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7</w:t>
      </w:r>
      <w:r>
        <w:rPr>
          <w:rFonts w:hint="default" w:ascii="Times New Roman" w:hAnsi="Times New Roman" w:eastAsia="宋体" w:cs="Times New Roman"/>
          <w:b/>
          <w:kern w:val="0"/>
          <w:sz w:val="24"/>
          <w:szCs w:val="24"/>
          <w:lang w:val="en-US" w:eastAsia="zh-CN" w:bidi="ar-SA"/>
        </w:rPr>
        <w:t>地下水环境敏感程度分级表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239"/>
        <w:gridCol w:w="7265"/>
      </w:tblGrid>
      <w:tr w14:paraId="7DCCFE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39" w:type="dxa"/>
            <w:vAlign w:val="center"/>
          </w:tcPr>
          <w:p w14:paraId="6B73DF5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敏感程度</w:t>
            </w:r>
          </w:p>
        </w:tc>
        <w:tc>
          <w:tcPr>
            <w:tcW w:w="7265" w:type="dxa"/>
            <w:vAlign w:val="center"/>
          </w:tcPr>
          <w:p w14:paraId="3755091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地下水环境敏感特征</w:t>
            </w:r>
          </w:p>
        </w:tc>
      </w:tr>
      <w:tr w14:paraId="3085FA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39" w:type="dxa"/>
            <w:vAlign w:val="center"/>
          </w:tcPr>
          <w:p w14:paraId="6675D88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敏感</w:t>
            </w:r>
          </w:p>
        </w:tc>
        <w:tc>
          <w:tcPr>
            <w:tcW w:w="7265" w:type="dxa"/>
            <w:vAlign w:val="center"/>
          </w:tcPr>
          <w:p w14:paraId="5DFF0BF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0E82F80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39" w:type="dxa"/>
            <w:vAlign w:val="center"/>
          </w:tcPr>
          <w:p w14:paraId="05BD68D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较敏感</w:t>
            </w:r>
          </w:p>
        </w:tc>
        <w:tc>
          <w:tcPr>
            <w:tcW w:w="7265" w:type="dxa"/>
            <w:vAlign w:val="center"/>
          </w:tcPr>
          <w:p w14:paraId="395F66A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集中式饮用水水源（包括已建成的在用、备用、应急水源，在建和规划的饮用水水源）准保护区以外的补给径流区；未划定准保护区的</w:t>
            </w:r>
            <w:r>
              <w:rPr>
                <w:rFonts w:hint="eastAsia" w:cs="Times New Roman"/>
                <w:kern w:val="2"/>
                <w:sz w:val="21"/>
                <w:szCs w:val="21"/>
                <w:lang w:val="en-US" w:eastAsia="zh-CN" w:bidi="ar-SA"/>
              </w:rPr>
              <w:t>集中</w:t>
            </w:r>
            <w:r>
              <w:rPr>
                <w:rFonts w:hint="default" w:ascii="Times New Roman" w:hAnsi="Times New Roman" w:eastAsia="宋体" w:cs="Times New Roman"/>
                <w:kern w:val="2"/>
                <w:sz w:val="21"/>
                <w:szCs w:val="21"/>
                <w:lang w:val="en-US" w:eastAsia="zh-CN" w:bidi="ar-SA"/>
              </w:rPr>
              <w:t>式饮用水水源，其保护区以外的补给径流区；分散式饮用水水源地；特殊地下水资源（如矿泉水、温泉等）保护区以外的分布区等其他未列入上述敏感分级的环境敏感区。</w:t>
            </w:r>
          </w:p>
        </w:tc>
      </w:tr>
      <w:tr w14:paraId="638265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39" w:type="dxa"/>
            <w:vAlign w:val="center"/>
          </w:tcPr>
          <w:p w14:paraId="2BFECA7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不敏感</w:t>
            </w:r>
          </w:p>
        </w:tc>
        <w:tc>
          <w:tcPr>
            <w:tcW w:w="7265" w:type="dxa"/>
            <w:vAlign w:val="center"/>
          </w:tcPr>
          <w:p w14:paraId="1E95171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上述地区之外的</w:t>
            </w:r>
            <w:r>
              <w:rPr>
                <w:rFonts w:hint="eastAsia" w:cs="Times New Roman"/>
                <w:kern w:val="2"/>
                <w:sz w:val="21"/>
                <w:szCs w:val="21"/>
                <w:lang w:val="en-US" w:eastAsia="zh-CN" w:bidi="ar-SA"/>
              </w:rPr>
              <w:t>其他</w:t>
            </w:r>
            <w:r>
              <w:rPr>
                <w:rFonts w:hint="default" w:ascii="Times New Roman" w:hAnsi="Times New Roman" w:eastAsia="宋体" w:cs="Times New Roman"/>
                <w:kern w:val="2"/>
                <w:sz w:val="21"/>
                <w:szCs w:val="21"/>
                <w:lang w:val="en-US" w:eastAsia="zh-CN" w:bidi="ar-SA"/>
              </w:rPr>
              <w:t>地区。</w:t>
            </w:r>
          </w:p>
        </w:tc>
      </w:tr>
      <w:tr w14:paraId="0A92F1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504" w:type="dxa"/>
            <w:gridSpan w:val="2"/>
            <w:vAlign w:val="center"/>
          </w:tcPr>
          <w:p w14:paraId="07D33C83">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注：a</w:t>
            </w:r>
            <w:r>
              <w:rPr>
                <w:rFonts w:hint="eastAsia" w:cs="Times New Roman"/>
                <w:kern w:val="2"/>
                <w:sz w:val="21"/>
                <w:szCs w:val="21"/>
                <w:lang w:val="en-US" w:eastAsia="zh-CN" w:bidi="ar-SA"/>
              </w:rPr>
              <w:t>“</w:t>
            </w:r>
            <w:r>
              <w:rPr>
                <w:rFonts w:hint="default" w:ascii="Times New Roman" w:hAnsi="Times New Roman" w:eastAsia="宋体" w:cs="Times New Roman"/>
                <w:kern w:val="2"/>
                <w:sz w:val="21"/>
                <w:szCs w:val="21"/>
                <w:lang w:val="en-US" w:eastAsia="zh-CN" w:bidi="ar-SA"/>
              </w:rPr>
              <w:t>环境敏感区</w:t>
            </w:r>
            <w:r>
              <w:rPr>
                <w:rFonts w:hint="eastAsia" w:cs="Times New Roman"/>
                <w:kern w:val="2"/>
                <w:sz w:val="21"/>
                <w:szCs w:val="21"/>
                <w:lang w:val="en-US" w:eastAsia="zh-CN" w:bidi="ar-SA"/>
              </w:rPr>
              <w:t>”</w:t>
            </w:r>
            <w:r>
              <w:rPr>
                <w:rFonts w:hint="default" w:ascii="Times New Roman" w:hAnsi="Times New Roman" w:eastAsia="宋体" w:cs="Times New Roman"/>
                <w:kern w:val="2"/>
                <w:sz w:val="21"/>
                <w:szCs w:val="21"/>
                <w:lang w:val="en-US" w:eastAsia="zh-CN" w:bidi="ar-SA"/>
              </w:rPr>
              <w:t>是指《建设项目环境影响评价分类管理名录》中所界定的涉及地下水的环境敏感区。</w:t>
            </w:r>
          </w:p>
        </w:tc>
      </w:tr>
    </w:tbl>
    <w:p w14:paraId="3DE7AD50">
      <w:pPr>
        <w:keepNext w:val="0"/>
        <w:keepLines w:val="0"/>
        <w:pageBreakBefore w:val="0"/>
        <w:widowControl w:val="0"/>
        <w:kinsoku/>
        <w:wordWrap/>
        <w:overflowPunct/>
        <w:topLinePunct w:val="0"/>
        <w:autoSpaceDE/>
        <w:autoSpaceDN/>
        <w:bidi w:val="0"/>
        <w:adjustRightInd/>
        <w:snapToGrid/>
        <w:spacing w:line="360" w:lineRule="auto"/>
        <w:ind w:firstLine="420"/>
        <w:jc w:val="center"/>
        <w:textAlignment w:val="auto"/>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表2.</w:t>
      </w:r>
      <w:r>
        <w:rPr>
          <w:rFonts w:hint="eastAsia" w:cs="Times New Roman"/>
          <w:b/>
          <w:kern w:val="0"/>
          <w:sz w:val="24"/>
          <w:szCs w:val="24"/>
          <w:lang w:val="en-US" w:eastAsia="zh-CN" w:bidi="ar-SA"/>
        </w:rPr>
        <w:t>6</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8</w:t>
      </w:r>
      <w:r>
        <w:rPr>
          <w:rFonts w:hint="default" w:ascii="Times New Roman" w:hAnsi="Times New Roman" w:eastAsia="宋体" w:cs="Times New Roman"/>
          <w:b/>
          <w:kern w:val="0"/>
          <w:sz w:val="24"/>
          <w:szCs w:val="24"/>
          <w:lang w:val="en-US" w:eastAsia="zh-CN" w:bidi="ar-SA"/>
        </w:rPr>
        <w:t>评价工作等级分级表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2718"/>
        <w:gridCol w:w="1644"/>
        <w:gridCol w:w="2071"/>
        <w:gridCol w:w="2071"/>
      </w:tblGrid>
      <w:tr w14:paraId="752EA61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46" w:hRule="atLeast"/>
          <w:jc w:val="center"/>
        </w:trPr>
        <w:tc>
          <w:tcPr>
            <w:tcW w:w="2718" w:type="dxa"/>
            <w:vAlign w:val="center"/>
            <mc:AlternateContent>
              <mc:Choice Requires="wpsCustomData">
                <wpsCustomData:diagonals>
                  <wpsCustomData:diagonal from="30000" to="10000">
                    <wpsCustomData:border w:val="single" w:color="000000" w:sz="12" w:space="0"/>
                  </wpsCustomData:diagonal>
                </wpsCustomData:diagonals>
              </mc:Choice>
            </mc:AlternateContent>
          </w:tcPr>
          <w:p w14:paraId="64FC653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1"/>
                <w:szCs w:val="21"/>
                <w:lang w:val="en-US" w:eastAsia="zh-CN" w:bidi="ar-SA"/>
              </w:rPr>
            </w:pPr>
          </w:p>
          <w:p w14:paraId="08B754D0">
            <w:pPr>
              <w:keepNext w:val="0"/>
              <w:keepLines w:val="0"/>
              <w:pageBreakBefore w:val="0"/>
              <w:widowControl w:val="0"/>
              <w:kinsoku/>
              <w:wordWrap/>
              <w:overflowPunct/>
              <w:topLinePunct w:val="0"/>
              <w:autoSpaceDE/>
              <w:autoSpaceDN/>
              <w:bidi w:val="0"/>
              <w:adjustRightInd/>
              <w:snapToGrid/>
              <w:spacing w:line="360" w:lineRule="exact"/>
              <w:jc w:val="both"/>
              <w:textAlignment w:val="auto"/>
              <mc:AlternateContent>
                <mc:Choice Requires="wpsCustomData">
                  <wpsCustomData:diagonalParaType/>
                </mc:Choice>
              </mc:AlternateContent>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项目类别</w:t>
            </w:r>
          </w:p>
          <w:p w14:paraId="295A334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环境敏感程度</w:t>
            </w:r>
          </w:p>
          <w:p w14:paraId="7C4A4B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1"/>
                <w:szCs w:val="21"/>
                <w:lang w:val="en-US" w:eastAsia="zh-CN" w:bidi="ar-SA"/>
              </w:rPr>
            </w:pPr>
          </w:p>
        </w:tc>
        <w:tc>
          <w:tcPr>
            <w:tcW w:w="1644" w:type="dxa"/>
            <w:vAlign w:val="center"/>
          </w:tcPr>
          <w:p w14:paraId="12B606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Ⅰ类项目</w:t>
            </w:r>
          </w:p>
        </w:tc>
        <w:tc>
          <w:tcPr>
            <w:tcW w:w="2071" w:type="dxa"/>
            <w:vAlign w:val="center"/>
          </w:tcPr>
          <w:p w14:paraId="7649A0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Ⅱ类项目</w:t>
            </w:r>
          </w:p>
        </w:tc>
        <w:tc>
          <w:tcPr>
            <w:tcW w:w="2071" w:type="dxa"/>
            <w:vAlign w:val="center"/>
          </w:tcPr>
          <w:p w14:paraId="5C4D81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Ⅲ类项目</w:t>
            </w:r>
          </w:p>
        </w:tc>
      </w:tr>
      <w:tr w14:paraId="415BDD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718" w:type="dxa"/>
            <w:vAlign w:val="center"/>
          </w:tcPr>
          <w:p w14:paraId="2DEEE5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敏感</w:t>
            </w:r>
          </w:p>
        </w:tc>
        <w:tc>
          <w:tcPr>
            <w:tcW w:w="1644" w:type="dxa"/>
            <w:vAlign w:val="center"/>
          </w:tcPr>
          <w:p w14:paraId="617C6F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一</w:t>
            </w:r>
          </w:p>
        </w:tc>
        <w:tc>
          <w:tcPr>
            <w:tcW w:w="2071" w:type="dxa"/>
            <w:vAlign w:val="center"/>
          </w:tcPr>
          <w:p w14:paraId="3FB385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一</w:t>
            </w:r>
          </w:p>
        </w:tc>
        <w:tc>
          <w:tcPr>
            <w:tcW w:w="2071" w:type="dxa"/>
            <w:vAlign w:val="center"/>
          </w:tcPr>
          <w:p w14:paraId="73E3D6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二</w:t>
            </w:r>
          </w:p>
        </w:tc>
      </w:tr>
      <w:tr w14:paraId="04930AF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718" w:type="dxa"/>
            <w:vAlign w:val="center"/>
          </w:tcPr>
          <w:p w14:paraId="797A03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较敏感</w:t>
            </w:r>
          </w:p>
        </w:tc>
        <w:tc>
          <w:tcPr>
            <w:tcW w:w="1644" w:type="dxa"/>
            <w:vAlign w:val="center"/>
          </w:tcPr>
          <w:p w14:paraId="7719A0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一</w:t>
            </w:r>
          </w:p>
        </w:tc>
        <w:tc>
          <w:tcPr>
            <w:tcW w:w="2071" w:type="dxa"/>
            <w:vAlign w:val="center"/>
          </w:tcPr>
          <w:p w14:paraId="02310F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二</w:t>
            </w:r>
          </w:p>
        </w:tc>
        <w:tc>
          <w:tcPr>
            <w:tcW w:w="2071" w:type="dxa"/>
            <w:vAlign w:val="center"/>
          </w:tcPr>
          <w:p w14:paraId="1F9F8A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三</w:t>
            </w:r>
          </w:p>
        </w:tc>
      </w:tr>
      <w:tr w14:paraId="01C31AB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718" w:type="dxa"/>
            <w:vAlign w:val="center"/>
          </w:tcPr>
          <w:p w14:paraId="64B6ED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不敏感</w:t>
            </w:r>
          </w:p>
        </w:tc>
        <w:tc>
          <w:tcPr>
            <w:tcW w:w="1644" w:type="dxa"/>
            <w:vAlign w:val="center"/>
          </w:tcPr>
          <w:p w14:paraId="36296F3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二</w:t>
            </w:r>
          </w:p>
        </w:tc>
        <w:tc>
          <w:tcPr>
            <w:tcW w:w="2071" w:type="dxa"/>
            <w:vAlign w:val="center"/>
          </w:tcPr>
          <w:p w14:paraId="1028D1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三</w:t>
            </w:r>
          </w:p>
        </w:tc>
        <w:tc>
          <w:tcPr>
            <w:tcW w:w="2071" w:type="dxa"/>
            <w:shd w:val="clear" w:color="auto" w:fill="7F7F7F"/>
            <w:vAlign w:val="center"/>
          </w:tcPr>
          <w:p w14:paraId="7A56C0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shd w:val="clear"/>
                <w:lang w:val="en-US" w:eastAsia="zh-CN" w:bidi="ar-SA"/>
              </w:rPr>
              <w:t>三</w:t>
            </w:r>
          </w:p>
        </w:tc>
      </w:tr>
    </w:tbl>
    <w:p w14:paraId="77E8745D">
      <w:pPr>
        <w:widowControl w:val="0"/>
        <w:spacing w:line="500" w:lineRule="exact"/>
        <w:ind w:firstLine="480" w:firstLineChars="200"/>
        <w:jc w:val="both"/>
        <w:rPr>
          <w:rFonts w:hint="default" w:ascii="Times New Roman" w:hAnsi="Times New Roman" w:eastAsia="宋体" w:cs="Times New Roman"/>
          <w:color w:val="000000"/>
          <w:kern w:val="0"/>
          <w:sz w:val="24"/>
          <w:szCs w:val="24"/>
          <w:highlight w:val="none"/>
          <w:lang w:val="zh-CN" w:eastAsia="zh-CN" w:bidi="ar-SA"/>
        </w:rPr>
      </w:pPr>
      <w:r>
        <w:rPr>
          <w:rFonts w:hint="default" w:ascii="Times New Roman" w:hAnsi="Times New Roman" w:eastAsia="宋体" w:cs="Times New Roman"/>
          <w:color w:val="000000"/>
          <w:kern w:val="0"/>
          <w:sz w:val="24"/>
          <w:szCs w:val="24"/>
          <w:highlight w:val="none"/>
          <w:lang w:val="en-US" w:eastAsia="zh-CN" w:bidi="ar-SA"/>
        </w:rPr>
        <w:t>根据《环境影响评价技术导则 地下水环境》</w:t>
      </w:r>
      <w:r>
        <w:rPr>
          <w:rFonts w:hint="default" w:ascii="Times New Roman" w:hAnsi="Times New Roman" w:eastAsia="宋体" w:cs="Times New Roman"/>
          <w:kern w:val="2"/>
          <w:sz w:val="24"/>
          <w:szCs w:val="24"/>
          <w:lang w:val="en-US" w:eastAsia="zh-CN" w:bidi="ar-SA"/>
        </w:rPr>
        <w:t>（HJ610-2016）</w:t>
      </w:r>
      <w:r>
        <w:rPr>
          <w:rFonts w:hint="default" w:ascii="Times New Roman" w:hAnsi="Times New Roman" w:eastAsia="宋体" w:cs="Times New Roman"/>
          <w:color w:val="000000"/>
          <w:kern w:val="0"/>
          <w:sz w:val="24"/>
          <w:szCs w:val="24"/>
          <w:highlight w:val="none"/>
          <w:lang w:val="en-US" w:eastAsia="zh-CN" w:bidi="ar-SA"/>
        </w:rPr>
        <w:t>，</w:t>
      </w:r>
      <w:r>
        <w:rPr>
          <w:rFonts w:hint="default" w:ascii="Times New Roman" w:hAnsi="Times New Roman" w:eastAsia="宋体" w:cs="Times New Roman"/>
          <w:color w:val="000000"/>
          <w:kern w:val="0"/>
          <w:sz w:val="24"/>
          <w:szCs w:val="24"/>
          <w:highlight w:val="none"/>
          <w:lang w:val="zh-CN" w:eastAsia="zh-CN" w:bidi="ar-SA"/>
        </w:rPr>
        <w:t>地下水</w:t>
      </w:r>
      <w:r>
        <w:rPr>
          <w:rFonts w:hint="eastAsia" w:ascii="Times New Roman" w:hAnsi="Times New Roman" w:eastAsia="宋体" w:cs="Times New Roman"/>
          <w:color w:val="000000"/>
          <w:kern w:val="0"/>
          <w:sz w:val="24"/>
          <w:szCs w:val="24"/>
          <w:highlight w:val="none"/>
          <w:lang w:val="en-US" w:eastAsia="zh-CN" w:bidi="ar-SA"/>
        </w:rPr>
        <w:t>三级</w:t>
      </w:r>
      <w:r>
        <w:rPr>
          <w:rFonts w:hint="default" w:ascii="Times New Roman" w:hAnsi="Times New Roman" w:eastAsia="宋体" w:cs="Times New Roman"/>
          <w:color w:val="000000"/>
          <w:kern w:val="0"/>
          <w:sz w:val="24"/>
          <w:szCs w:val="24"/>
          <w:highlight w:val="none"/>
          <w:lang w:val="zh-CN" w:eastAsia="zh-CN" w:bidi="ar-SA"/>
        </w:rPr>
        <w:t>评价工作内容为：</w:t>
      </w:r>
    </w:p>
    <w:p w14:paraId="1DDED736">
      <w:pPr>
        <w:widowControl w:val="0"/>
        <w:spacing w:line="520" w:lineRule="exact"/>
        <w:ind w:firstLine="480" w:firstLineChars="200"/>
        <w:jc w:val="both"/>
        <w:rPr>
          <w:rFonts w:hint="default" w:ascii="Times New Roman" w:hAnsi="Times New Roman" w:eastAsia="宋体" w:cs="Times New Roman"/>
          <w:color w:val="000000"/>
          <w:kern w:val="0"/>
          <w:sz w:val="24"/>
          <w:szCs w:val="24"/>
          <w:highlight w:val="none"/>
          <w:lang w:val="zh-CN" w:eastAsia="zh-CN" w:bidi="ar-SA"/>
        </w:rPr>
      </w:pPr>
      <w:r>
        <w:rPr>
          <w:rFonts w:hint="default" w:ascii="Times New Roman" w:hAnsi="Times New Roman" w:eastAsia="宋体" w:cs="Times New Roman"/>
          <w:color w:val="000000"/>
          <w:kern w:val="0"/>
          <w:sz w:val="24"/>
          <w:szCs w:val="24"/>
          <w:highlight w:val="none"/>
          <w:lang w:val="zh-CN" w:eastAsia="zh-CN" w:bidi="ar-SA"/>
        </w:rPr>
        <w:t xml:space="preserve">（1）了解调查评价区和场地环境水文地质条件。 </w:t>
      </w:r>
    </w:p>
    <w:p w14:paraId="16B289EB">
      <w:pPr>
        <w:widowControl w:val="0"/>
        <w:spacing w:line="520" w:lineRule="exact"/>
        <w:ind w:firstLine="480" w:firstLineChars="200"/>
        <w:jc w:val="both"/>
        <w:rPr>
          <w:rFonts w:hint="default" w:ascii="Times New Roman" w:hAnsi="Times New Roman" w:eastAsia="宋体" w:cs="Times New Roman"/>
          <w:color w:val="000000"/>
          <w:kern w:val="0"/>
          <w:sz w:val="24"/>
          <w:szCs w:val="24"/>
          <w:highlight w:val="none"/>
          <w:lang w:val="zh-CN" w:eastAsia="zh-CN" w:bidi="ar-SA"/>
        </w:rPr>
      </w:pPr>
      <w:r>
        <w:rPr>
          <w:rFonts w:hint="eastAsia" w:ascii="Times New Roman" w:hAnsi="Times New Roman" w:eastAsia="宋体" w:cs="Times New Roman"/>
          <w:color w:val="000000"/>
          <w:kern w:val="0"/>
          <w:sz w:val="24"/>
          <w:szCs w:val="24"/>
          <w:highlight w:val="none"/>
          <w:lang w:val="zh-CN" w:eastAsia="zh-CN" w:bidi="ar-SA"/>
        </w:rPr>
        <w:t>（</w:t>
      </w:r>
      <w:r>
        <w:rPr>
          <w:rFonts w:hint="eastAsia" w:ascii="Times New Roman" w:hAnsi="Times New Roman" w:eastAsia="宋体" w:cs="Times New Roman"/>
          <w:color w:val="000000"/>
          <w:kern w:val="0"/>
          <w:sz w:val="24"/>
          <w:szCs w:val="24"/>
          <w:highlight w:val="none"/>
          <w:lang w:val="en-US" w:eastAsia="zh-CN" w:bidi="ar-SA"/>
        </w:rPr>
        <w:t>2</w:t>
      </w:r>
      <w:r>
        <w:rPr>
          <w:rFonts w:hint="eastAsia" w:ascii="Times New Roman" w:hAnsi="Times New Roman" w:eastAsia="宋体" w:cs="Times New Roman"/>
          <w:color w:val="000000"/>
          <w:kern w:val="0"/>
          <w:sz w:val="24"/>
          <w:szCs w:val="24"/>
          <w:highlight w:val="none"/>
          <w:lang w:val="zh-CN" w:eastAsia="zh-CN" w:bidi="ar-SA"/>
        </w:rPr>
        <w:t>）</w:t>
      </w:r>
      <w:r>
        <w:rPr>
          <w:rFonts w:hint="default" w:ascii="Times New Roman" w:hAnsi="Times New Roman" w:eastAsia="宋体" w:cs="Times New Roman"/>
          <w:color w:val="000000"/>
          <w:kern w:val="0"/>
          <w:sz w:val="24"/>
          <w:szCs w:val="24"/>
          <w:highlight w:val="none"/>
          <w:lang w:val="zh-CN" w:eastAsia="zh-CN" w:bidi="ar-SA"/>
        </w:rPr>
        <w:t xml:space="preserve">基本掌握调查评价区的地下水补径排条件和地下水环境质量现状。 </w:t>
      </w:r>
    </w:p>
    <w:p w14:paraId="74AEBD9E">
      <w:pPr>
        <w:widowControl w:val="0"/>
        <w:spacing w:line="520" w:lineRule="exact"/>
        <w:ind w:firstLine="480" w:firstLineChars="200"/>
        <w:jc w:val="both"/>
        <w:rPr>
          <w:rFonts w:hint="default" w:ascii="Times New Roman" w:hAnsi="Times New Roman" w:eastAsia="宋体" w:cs="Times New Roman"/>
          <w:color w:val="000000"/>
          <w:kern w:val="0"/>
          <w:sz w:val="24"/>
          <w:szCs w:val="24"/>
          <w:highlight w:val="none"/>
          <w:lang w:val="zh-CN" w:eastAsia="zh-CN" w:bidi="ar-SA"/>
        </w:rPr>
      </w:pPr>
      <w:r>
        <w:rPr>
          <w:rFonts w:hint="eastAsia" w:ascii="Times New Roman" w:hAnsi="Times New Roman" w:eastAsia="宋体" w:cs="Times New Roman"/>
          <w:color w:val="000000"/>
          <w:kern w:val="0"/>
          <w:sz w:val="24"/>
          <w:szCs w:val="24"/>
          <w:highlight w:val="none"/>
          <w:lang w:val="zh-CN" w:eastAsia="zh-CN" w:bidi="ar-SA"/>
        </w:rPr>
        <w:t>（</w:t>
      </w:r>
      <w:r>
        <w:rPr>
          <w:rFonts w:hint="eastAsia" w:ascii="Times New Roman" w:hAnsi="Times New Roman" w:eastAsia="宋体" w:cs="Times New Roman"/>
          <w:color w:val="000000"/>
          <w:kern w:val="0"/>
          <w:sz w:val="24"/>
          <w:szCs w:val="24"/>
          <w:highlight w:val="none"/>
          <w:lang w:val="en-US" w:eastAsia="zh-CN" w:bidi="ar-SA"/>
        </w:rPr>
        <w:t>3</w:t>
      </w:r>
      <w:r>
        <w:rPr>
          <w:rFonts w:hint="eastAsia" w:ascii="Times New Roman" w:hAnsi="Times New Roman" w:eastAsia="宋体" w:cs="Times New Roman"/>
          <w:color w:val="000000"/>
          <w:kern w:val="0"/>
          <w:sz w:val="24"/>
          <w:szCs w:val="24"/>
          <w:highlight w:val="none"/>
          <w:lang w:val="zh-CN" w:eastAsia="zh-CN" w:bidi="ar-SA"/>
        </w:rPr>
        <w:t>）</w:t>
      </w:r>
      <w:r>
        <w:rPr>
          <w:rFonts w:hint="default" w:ascii="Times New Roman" w:hAnsi="Times New Roman" w:eastAsia="宋体" w:cs="Times New Roman"/>
          <w:color w:val="000000"/>
          <w:kern w:val="0"/>
          <w:sz w:val="24"/>
          <w:szCs w:val="24"/>
          <w:highlight w:val="none"/>
          <w:lang w:val="zh-CN" w:eastAsia="zh-CN" w:bidi="ar-SA"/>
        </w:rPr>
        <w:t xml:space="preserve">采用解析法或类比分析法进行地下水影响分析与评价。 </w:t>
      </w:r>
    </w:p>
    <w:p w14:paraId="475F6F99">
      <w:pPr>
        <w:widowControl w:val="0"/>
        <w:spacing w:line="520" w:lineRule="exact"/>
        <w:ind w:firstLine="480" w:firstLineChars="200"/>
        <w:jc w:val="both"/>
        <w:rPr>
          <w:rFonts w:hint="default"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color w:val="000000"/>
          <w:kern w:val="0"/>
          <w:sz w:val="24"/>
          <w:szCs w:val="24"/>
          <w:highlight w:val="none"/>
          <w:lang w:val="zh-CN" w:eastAsia="zh-CN" w:bidi="ar-SA"/>
        </w:rPr>
        <w:t>（</w:t>
      </w:r>
      <w:r>
        <w:rPr>
          <w:rFonts w:hint="eastAsia" w:ascii="Times New Roman" w:hAnsi="Times New Roman" w:eastAsia="宋体" w:cs="Times New Roman"/>
          <w:color w:val="000000"/>
          <w:kern w:val="0"/>
          <w:sz w:val="24"/>
          <w:szCs w:val="24"/>
          <w:highlight w:val="none"/>
          <w:lang w:val="en-US" w:eastAsia="zh-CN" w:bidi="ar-SA"/>
        </w:rPr>
        <w:t>4</w:t>
      </w:r>
      <w:r>
        <w:rPr>
          <w:rFonts w:hint="eastAsia" w:ascii="Times New Roman" w:hAnsi="Times New Roman" w:eastAsia="宋体" w:cs="Times New Roman"/>
          <w:color w:val="000000"/>
          <w:kern w:val="0"/>
          <w:sz w:val="24"/>
          <w:szCs w:val="24"/>
          <w:highlight w:val="none"/>
          <w:lang w:val="zh-CN" w:eastAsia="zh-CN" w:bidi="ar-SA"/>
        </w:rPr>
        <w:t>）</w:t>
      </w:r>
      <w:r>
        <w:rPr>
          <w:rFonts w:hint="default" w:ascii="Times New Roman" w:hAnsi="Times New Roman" w:eastAsia="宋体" w:cs="Times New Roman"/>
          <w:color w:val="000000"/>
          <w:kern w:val="0"/>
          <w:sz w:val="24"/>
          <w:szCs w:val="24"/>
          <w:highlight w:val="none"/>
          <w:lang w:val="zh-CN" w:eastAsia="zh-CN" w:bidi="ar-SA"/>
        </w:rPr>
        <w:t>提出切实可行的环境保护措施与地下水环境影响跟踪监测计划。</w:t>
      </w:r>
    </w:p>
    <w:p w14:paraId="6F55FDCB">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eastAsia"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w:t>
      </w:r>
      <w:r>
        <w:rPr>
          <w:rFonts w:hint="eastAsia" w:cs="Times New Roman"/>
          <w:b/>
          <w:kern w:val="2"/>
          <w:sz w:val="24"/>
          <w:szCs w:val="24"/>
          <w:lang w:val="en-US" w:eastAsia="zh-CN" w:bidi="ar-SA"/>
        </w:rPr>
        <w:t>6</w:t>
      </w:r>
      <w:r>
        <w:rPr>
          <w:rFonts w:hint="default" w:ascii="Times New Roman" w:hAnsi="Times New Roman" w:eastAsia="宋体" w:cs="Times New Roman"/>
          <w:b/>
          <w:kern w:val="2"/>
          <w:sz w:val="24"/>
          <w:szCs w:val="24"/>
          <w:lang w:val="en-US" w:eastAsia="zh-CN" w:bidi="ar-SA"/>
        </w:rPr>
        <w:t>.1.3声环境评价等级</w:t>
      </w:r>
      <w:r>
        <w:rPr>
          <w:rFonts w:hint="eastAsia" w:ascii="Times New Roman" w:hAnsi="Times New Roman" w:eastAsia="宋体" w:cs="Times New Roman"/>
          <w:b/>
          <w:kern w:val="2"/>
          <w:sz w:val="24"/>
          <w:szCs w:val="24"/>
          <w:lang w:val="en-US" w:eastAsia="zh-CN" w:bidi="ar-SA"/>
        </w:rPr>
        <w:tab/>
      </w:r>
    </w:p>
    <w:p w14:paraId="1BDEB0CB">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根据该项目噪声源和周边环境特征和《环境影响评价技术导则 声环境》（HJ2.4-2021）中有关评价工作分级的规定，确定本次声环境影响评价等级，声环境评价工作等级判定详见表2.</w:t>
      </w:r>
      <w:r>
        <w:rPr>
          <w:rFonts w:hint="eastAsia" w:cs="Times New Roman"/>
          <w:color w:val="auto"/>
          <w:kern w:val="2"/>
          <w:sz w:val="24"/>
          <w:szCs w:val="22"/>
          <w:lang w:val="en-US" w:eastAsia="zh-CN" w:bidi="ar-SA"/>
        </w:rPr>
        <w:t>6</w:t>
      </w:r>
      <w:r>
        <w:rPr>
          <w:rFonts w:hint="eastAsia" w:ascii="Times New Roman" w:hAnsi="Times New Roman" w:eastAsia="宋体" w:cs="Times New Roman"/>
          <w:color w:val="auto"/>
          <w:kern w:val="2"/>
          <w:sz w:val="24"/>
          <w:szCs w:val="22"/>
          <w:lang w:val="en-US" w:eastAsia="zh-CN" w:bidi="ar-SA"/>
        </w:rPr>
        <w:t>-</w:t>
      </w:r>
      <w:r>
        <w:rPr>
          <w:rFonts w:hint="eastAsia" w:cs="Times New Roman"/>
          <w:color w:val="auto"/>
          <w:kern w:val="2"/>
          <w:sz w:val="24"/>
          <w:szCs w:val="22"/>
          <w:lang w:val="en-US" w:eastAsia="zh-CN" w:bidi="ar-SA"/>
        </w:rPr>
        <w:t>9</w:t>
      </w:r>
      <w:r>
        <w:rPr>
          <w:rFonts w:hint="eastAsia" w:ascii="Times New Roman" w:hAnsi="Times New Roman" w:eastAsia="宋体" w:cs="Times New Roman"/>
          <w:color w:val="auto"/>
          <w:kern w:val="2"/>
          <w:sz w:val="24"/>
          <w:szCs w:val="22"/>
          <w:lang w:val="en-US" w:eastAsia="zh-CN" w:bidi="ar-SA"/>
        </w:rPr>
        <w:t>。</w:t>
      </w:r>
    </w:p>
    <w:p w14:paraId="7009D658">
      <w:pPr>
        <w:overflowPunct w:val="0"/>
        <w:autoSpaceDE w:val="0"/>
        <w:autoSpaceDN w:val="0"/>
        <w:adjustRightInd w:val="0"/>
        <w:snapToGrid w:val="0"/>
        <w:spacing w:line="240" w:lineRule="auto"/>
        <w:ind w:right="119" w:firstLine="48" w:firstLineChars="20"/>
        <w:jc w:val="center"/>
        <w:rPr>
          <w:rFonts w:ascii="Times New Roman" w:hAnsi="Times New Roman" w:eastAsia="宋体" w:cs="宋体"/>
          <w:b/>
          <w:color w:val="auto"/>
          <w:kern w:val="0"/>
          <w:sz w:val="24"/>
          <w:szCs w:val="21"/>
          <w:lang w:val="en-US" w:eastAsia="zh-CN" w:bidi="ar-SA"/>
        </w:rPr>
      </w:pPr>
      <w:r>
        <w:rPr>
          <w:rFonts w:ascii="Times New Roman" w:hAnsi="Times New Roman" w:eastAsia="宋体" w:cs="宋体"/>
          <w:b/>
          <w:color w:val="auto"/>
          <w:kern w:val="0"/>
          <w:sz w:val="24"/>
          <w:szCs w:val="21"/>
          <w:lang w:val="en-US" w:eastAsia="zh-CN" w:bidi="ar-SA"/>
        </w:rPr>
        <w:t>表</w:t>
      </w:r>
      <w:r>
        <w:rPr>
          <w:rFonts w:hint="eastAsia" w:ascii="Times New Roman" w:hAnsi="Times New Roman" w:eastAsia="宋体" w:cs="宋体"/>
          <w:b/>
          <w:color w:val="auto"/>
          <w:kern w:val="0"/>
          <w:sz w:val="24"/>
          <w:szCs w:val="21"/>
          <w:lang w:val="en-US" w:eastAsia="zh-CN" w:bidi="ar-SA"/>
        </w:rPr>
        <w:t>2.</w:t>
      </w:r>
      <w:r>
        <w:rPr>
          <w:rFonts w:hint="eastAsia" w:cs="宋体"/>
          <w:b/>
          <w:color w:val="auto"/>
          <w:kern w:val="0"/>
          <w:sz w:val="24"/>
          <w:szCs w:val="21"/>
          <w:lang w:val="en-US" w:eastAsia="zh-CN" w:bidi="ar-SA"/>
        </w:rPr>
        <w:t>6</w:t>
      </w:r>
      <w:r>
        <w:rPr>
          <w:rFonts w:hint="eastAsia" w:ascii="Times New Roman" w:hAnsi="Times New Roman" w:eastAsia="宋体" w:cs="宋体"/>
          <w:b/>
          <w:color w:val="auto"/>
          <w:kern w:val="0"/>
          <w:sz w:val="24"/>
          <w:szCs w:val="21"/>
          <w:lang w:val="en-US" w:eastAsia="zh-CN" w:bidi="ar-SA"/>
        </w:rPr>
        <w:t>-</w:t>
      </w:r>
      <w:r>
        <w:rPr>
          <w:rFonts w:hint="eastAsia" w:cs="宋体"/>
          <w:b/>
          <w:color w:val="auto"/>
          <w:kern w:val="0"/>
          <w:sz w:val="24"/>
          <w:szCs w:val="21"/>
          <w:lang w:val="en-US" w:eastAsia="zh-CN" w:bidi="ar-SA"/>
        </w:rPr>
        <w:t>9</w:t>
      </w:r>
      <w:r>
        <w:rPr>
          <w:rFonts w:ascii="Times New Roman" w:hAnsi="Times New Roman" w:eastAsia="宋体" w:cs="宋体"/>
          <w:b/>
          <w:color w:val="auto"/>
          <w:kern w:val="0"/>
          <w:sz w:val="24"/>
          <w:szCs w:val="21"/>
          <w:lang w:val="en-US" w:eastAsia="zh-CN" w:bidi="ar-SA"/>
        </w:rPr>
        <w:t>声环境评价工作等级判定表</w:t>
      </w:r>
    </w:p>
    <w:tbl>
      <w:tblPr>
        <w:tblStyle w:val="21"/>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12"/>
        <w:gridCol w:w="7509"/>
      </w:tblGrid>
      <w:tr w14:paraId="3633E7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594" w:type="pct"/>
            <w:vAlign w:val="center"/>
          </w:tcPr>
          <w:p w14:paraId="5437B755">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b/>
                <w:bCs/>
                <w:color w:val="auto"/>
                <w:kern w:val="2"/>
                <w:sz w:val="21"/>
                <w:szCs w:val="20"/>
                <w:lang w:val="en-US" w:eastAsia="zh-CN" w:bidi="ar-SA"/>
              </w:rPr>
            </w:pPr>
            <w:r>
              <w:rPr>
                <w:rFonts w:ascii="Times New Roman" w:hAnsi="Times New Roman" w:eastAsia="宋体" w:cs="Times New Roman"/>
                <w:b/>
                <w:bCs/>
                <w:color w:val="auto"/>
                <w:kern w:val="2"/>
                <w:sz w:val="21"/>
                <w:szCs w:val="20"/>
                <w:lang w:val="en-US" w:eastAsia="zh-CN" w:bidi="ar-SA"/>
              </w:rPr>
              <w:t>影响因素评价等级</w:t>
            </w:r>
          </w:p>
        </w:tc>
        <w:tc>
          <w:tcPr>
            <w:tcW w:w="4405" w:type="pct"/>
            <w:vAlign w:val="center"/>
          </w:tcPr>
          <w:p w14:paraId="2FC01AED">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b/>
                <w:bCs/>
                <w:color w:val="auto"/>
                <w:kern w:val="2"/>
                <w:sz w:val="21"/>
                <w:szCs w:val="20"/>
                <w:lang w:val="en-US" w:eastAsia="zh-CN" w:bidi="ar-SA"/>
              </w:rPr>
            </w:pPr>
            <w:r>
              <w:rPr>
                <w:rFonts w:hint="eastAsia" w:ascii="Times New Roman" w:hAnsi="Times New Roman" w:eastAsia="宋体" w:cs="Times New Roman"/>
                <w:b/>
                <w:bCs/>
                <w:color w:val="auto"/>
                <w:kern w:val="2"/>
                <w:sz w:val="21"/>
                <w:szCs w:val="20"/>
                <w:lang w:val="en-US" w:eastAsia="zh-CN" w:bidi="ar-SA"/>
              </w:rPr>
              <w:t>评价工作分级判据</w:t>
            </w:r>
          </w:p>
        </w:tc>
      </w:tr>
      <w:tr w14:paraId="32483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594" w:type="pct"/>
            <w:vAlign w:val="center"/>
          </w:tcPr>
          <w:p w14:paraId="70FF9870">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kern w:val="2"/>
                <w:sz w:val="21"/>
                <w:szCs w:val="20"/>
                <w:lang w:val="en-US" w:eastAsia="zh-CN" w:bidi="ar-SA"/>
              </w:rPr>
              <w:t>一级</w:t>
            </w:r>
          </w:p>
        </w:tc>
        <w:tc>
          <w:tcPr>
            <w:tcW w:w="4405" w:type="pct"/>
            <w:vAlign w:val="center"/>
          </w:tcPr>
          <w:p w14:paraId="7539AB9A">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评价范围内有适用于《声环境质量标准》（</w:t>
            </w:r>
            <w:r>
              <w:rPr>
                <w:rFonts w:hint="default" w:ascii="Times New Roman" w:hAnsi="Times New Roman" w:eastAsia="宋体" w:cs="Times New Roman"/>
                <w:color w:val="auto"/>
                <w:kern w:val="2"/>
                <w:sz w:val="21"/>
                <w:szCs w:val="20"/>
                <w:lang w:val="en-US" w:eastAsia="zh-CN" w:bidi="ar-SA"/>
              </w:rPr>
              <w:t>GB3096-2008</w:t>
            </w:r>
            <w:r>
              <w:rPr>
                <w:rFonts w:hint="eastAsia" w:ascii="Times New Roman" w:hAnsi="Times New Roman" w:eastAsia="宋体" w:cs="Times New Roman"/>
                <w:color w:val="auto"/>
                <w:kern w:val="2"/>
                <w:sz w:val="21"/>
                <w:szCs w:val="20"/>
                <w:lang w:val="en-US" w:eastAsia="zh-CN" w:bidi="ar-SA"/>
              </w:rPr>
              <w:t>）规定的</w:t>
            </w:r>
            <w:r>
              <w:rPr>
                <w:rFonts w:hint="default" w:ascii="Times New Roman" w:hAnsi="Times New Roman" w:eastAsia="宋体" w:cs="Times New Roman"/>
                <w:color w:val="auto"/>
                <w:kern w:val="2"/>
                <w:sz w:val="21"/>
                <w:szCs w:val="20"/>
                <w:lang w:val="en-US" w:eastAsia="zh-CN" w:bidi="ar-SA"/>
              </w:rPr>
              <w:t>0</w:t>
            </w:r>
            <w:r>
              <w:rPr>
                <w:rFonts w:hint="eastAsia" w:ascii="Times New Roman" w:hAnsi="Times New Roman" w:eastAsia="宋体" w:cs="Times New Roman"/>
                <w:color w:val="auto"/>
                <w:kern w:val="2"/>
                <w:sz w:val="21"/>
                <w:szCs w:val="20"/>
                <w:lang w:val="en-US" w:eastAsia="zh-CN" w:bidi="ar-SA"/>
              </w:rPr>
              <w:t>类声环境功能区域，或建设项目建设前后评价范围内声环境保护目标噪声级增量达</w:t>
            </w:r>
            <w:r>
              <w:rPr>
                <w:rFonts w:hint="default" w:ascii="Times New Roman" w:hAnsi="Times New Roman" w:eastAsia="宋体" w:cs="Times New Roman"/>
                <w:color w:val="auto"/>
                <w:kern w:val="2"/>
                <w:sz w:val="21"/>
                <w:szCs w:val="20"/>
                <w:lang w:val="en-US" w:eastAsia="zh-CN" w:bidi="ar-SA"/>
              </w:rPr>
              <w:t>5dB</w:t>
            </w:r>
            <w:r>
              <w:rPr>
                <w:rFonts w:hint="eastAsia" w:ascii="Times New Roman" w:hAnsi="Times New Roman" w:eastAsia="宋体" w:cs="Times New Roman"/>
                <w:color w:val="auto"/>
                <w:kern w:val="2"/>
                <w:sz w:val="21"/>
                <w:szCs w:val="20"/>
                <w:lang w:val="en-US" w:eastAsia="zh-CN" w:bidi="ar-SA"/>
              </w:rPr>
              <w:t>（</w:t>
            </w:r>
            <w:r>
              <w:rPr>
                <w:rFonts w:hint="default" w:ascii="Times New Roman" w:hAnsi="Times New Roman" w:eastAsia="宋体" w:cs="Times New Roman"/>
                <w:color w:val="auto"/>
                <w:kern w:val="2"/>
                <w:sz w:val="21"/>
                <w:szCs w:val="20"/>
                <w:lang w:val="en-US" w:eastAsia="zh-CN" w:bidi="ar-SA"/>
              </w:rPr>
              <w:t>A</w:t>
            </w:r>
            <w:r>
              <w:rPr>
                <w:rFonts w:hint="eastAsia" w:ascii="Times New Roman" w:hAnsi="Times New Roman" w:eastAsia="宋体" w:cs="Times New Roman"/>
                <w:color w:val="auto"/>
                <w:kern w:val="2"/>
                <w:sz w:val="21"/>
                <w:szCs w:val="20"/>
                <w:lang w:val="en-US" w:eastAsia="zh-CN" w:bidi="ar-SA"/>
              </w:rPr>
              <w:t>）以上（不含</w:t>
            </w:r>
            <w:r>
              <w:rPr>
                <w:rFonts w:hint="default" w:ascii="Times New Roman" w:hAnsi="Times New Roman" w:eastAsia="宋体" w:cs="Times New Roman"/>
                <w:color w:val="auto"/>
                <w:kern w:val="2"/>
                <w:sz w:val="21"/>
                <w:szCs w:val="20"/>
                <w:lang w:val="en-US" w:eastAsia="zh-CN" w:bidi="ar-SA"/>
              </w:rPr>
              <w:t>5dB</w:t>
            </w:r>
            <w:r>
              <w:rPr>
                <w:rFonts w:hint="eastAsia" w:ascii="Times New Roman" w:hAnsi="Times New Roman" w:eastAsia="宋体" w:cs="Times New Roman"/>
                <w:color w:val="auto"/>
                <w:kern w:val="2"/>
                <w:sz w:val="21"/>
                <w:szCs w:val="20"/>
                <w:lang w:val="en-US" w:eastAsia="zh-CN" w:bidi="ar-SA"/>
              </w:rPr>
              <w:t>（</w:t>
            </w:r>
            <w:r>
              <w:rPr>
                <w:rFonts w:hint="default" w:ascii="Times New Roman" w:hAnsi="Times New Roman" w:eastAsia="宋体" w:cs="Times New Roman"/>
                <w:color w:val="auto"/>
                <w:kern w:val="2"/>
                <w:sz w:val="21"/>
                <w:szCs w:val="20"/>
                <w:lang w:val="en-US" w:eastAsia="zh-CN" w:bidi="ar-SA"/>
              </w:rPr>
              <w:t>A</w:t>
            </w:r>
            <w:r>
              <w:rPr>
                <w:rFonts w:hint="eastAsia" w:ascii="Times New Roman" w:hAnsi="Times New Roman" w:eastAsia="宋体" w:cs="Times New Roman"/>
                <w:color w:val="auto"/>
                <w:kern w:val="2"/>
                <w:sz w:val="21"/>
                <w:szCs w:val="20"/>
                <w:lang w:val="en-US" w:eastAsia="zh-CN" w:bidi="ar-SA"/>
              </w:rPr>
              <w:t>）），或受影响人口数量显著增加时。</w:t>
            </w:r>
          </w:p>
        </w:tc>
      </w:tr>
      <w:tr w14:paraId="629251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0" w:hRule="atLeast"/>
        </w:trPr>
        <w:tc>
          <w:tcPr>
            <w:tcW w:w="594" w:type="pct"/>
            <w:shd w:val="clear" w:color="auto" w:fill="595959"/>
            <w:vAlign w:val="center"/>
          </w:tcPr>
          <w:p w14:paraId="2DC16FB5">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kern w:val="2"/>
                <w:sz w:val="21"/>
                <w:szCs w:val="20"/>
                <w:lang w:val="en-US" w:eastAsia="zh-CN" w:bidi="ar-SA"/>
              </w:rPr>
              <w:t>二级</w:t>
            </w:r>
          </w:p>
        </w:tc>
        <w:tc>
          <w:tcPr>
            <w:tcW w:w="4405" w:type="pct"/>
            <w:vAlign w:val="center"/>
          </w:tcPr>
          <w:p w14:paraId="63A2A155">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建设项目所处的声环境功能区为《声环境质量标准》（</w:t>
            </w:r>
            <w:r>
              <w:rPr>
                <w:rFonts w:hint="default" w:ascii="Times New Roman" w:hAnsi="Times New Roman" w:eastAsia="宋体" w:cs="Times New Roman"/>
                <w:color w:val="auto"/>
                <w:kern w:val="2"/>
                <w:sz w:val="21"/>
                <w:szCs w:val="20"/>
                <w:lang w:val="en-US" w:eastAsia="zh-CN" w:bidi="ar-SA"/>
              </w:rPr>
              <w:t>GB3096-2008</w:t>
            </w:r>
            <w:r>
              <w:rPr>
                <w:rFonts w:hint="eastAsia" w:ascii="Times New Roman" w:hAnsi="Times New Roman" w:eastAsia="宋体" w:cs="Times New Roman"/>
                <w:color w:val="auto"/>
                <w:kern w:val="2"/>
                <w:sz w:val="21"/>
                <w:szCs w:val="20"/>
                <w:lang w:val="en-US" w:eastAsia="zh-CN" w:bidi="ar-SA"/>
              </w:rPr>
              <w:t>）规定的</w:t>
            </w:r>
            <w:r>
              <w:rPr>
                <w:rFonts w:hint="default" w:ascii="Times New Roman" w:hAnsi="Times New Roman" w:eastAsia="宋体" w:cs="Times New Roman"/>
                <w:color w:val="auto"/>
                <w:kern w:val="2"/>
                <w:sz w:val="21"/>
                <w:szCs w:val="20"/>
                <w:lang w:val="en-US" w:eastAsia="zh-CN" w:bidi="ar-SA"/>
              </w:rPr>
              <w:t>1</w:t>
            </w:r>
            <w:r>
              <w:rPr>
                <w:rFonts w:hint="eastAsia" w:ascii="Times New Roman" w:hAnsi="Times New Roman" w:eastAsia="宋体" w:cs="Times New Roman"/>
                <w:color w:val="auto"/>
                <w:kern w:val="2"/>
                <w:sz w:val="21"/>
                <w:szCs w:val="20"/>
                <w:lang w:val="en-US" w:eastAsia="zh-CN" w:bidi="ar-SA"/>
              </w:rPr>
              <w:t>类、</w:t>
            </w:r>
            <w:r>
              <w:rPr>
                <w:rFonts w:hint="default" w:ascii="Times New Roman" w:hAnsi="Times New Roman" w:eastAsia="宋体" w:cs="Times New Roman"/>
                <w:color w:val="auto"/>
                <w:kern w:val="2"/>
                <w:sz w:val="21"/>
                <w:szCs w:val="20"/>
                <w:lang w:val="en-US" w:eastAsia="zh-CN" w:bidi="ar-SA"/>
              </w:rPr>
              <w:t>2</w:t>
            </w:r>
            <w:r>
              <w:rPr>
                <w:rFonts w:hint="eastAsia" w:ascii="Times New Roman" w:hAnsi="Times New Roman" w:eastAsia="宋体" w:cs="Times New Roman"/>
                <w:color w:val="auto"/>
                <w:kern w:val="2"/>
                <w:sz w:val="21"/>
                <w:szCs w:val="20"/>
                <w:lang w:val="en-US" w:eastAsia="zh-CN" w:bidi="ar-SA"/>
              </w:rPr>
              <w:t>类地区，或建设项目建设前后评价范围内声环境保护目标噪声级增量达</w:t>
            </w:r>
            <w:r>
              <w:rPr>
                <w:rFonts w:hint="default" w:ascii="Times New Roman" w:hAnsi="Times New Roman" w:eastAsia="宋体" w:cs="Times New Roman"/>
                <w:color w:val="auto"/>
                <w:kern w:val="2"/>
                <w:sz w:val="21"/>
                <w:szCs w:val="20"/>
                <w:lang w:val="en-US" w:eastAsia="zh-CN" w:bidi="ar-SA"/>
              </w:rPr>
              <w:t>3dB</w:t>
            </w:r>
            <w:r>
              <w:rPr>
                <w:rFonts w:hint="eastAsia" w:ascii="Times New Roman" w:hAnsi="Times New Roman" w:eastAsia="宋体" w:cs="Times New Roman"/>
                <w:color w:val="auto"/>
                <w:kern w:val="2"/>
                <w:sz w:val="21"/>
                <w:szCs w:val="20"/>
                <w:lang w:val="en-US" w:eastAsia="zh-CN" w:bidi="ar-SA"/>
              </w:rPr>
              <w:t>（</w:t>
            </w:r>
            <w:r>
              <w:rPr>
                <w:rFonts w:hint="default" w:ascii="Times New Roman" w:hAnsi="Times New Roman" w:eastAsia="宋体" w:cs="Times New Roman"/>
                <w:color w:val="auto"/>
                <w:kern w:val="2"/>
                <w:sz w:val="21"/>
                <w:szCs w:val="20"/>
                <w:lang w:val="en-US" w:eastAsia="zh-CN" w:bidi="ar-SA"/>
              </w:rPr>
              <w:t>A</w:t>
            </w:r>
            <w:r>
              <w:rPr>
                <w:rFonts w:hint="eastAsia" w:ascii="Times New Roman" w:hAnsi="Times New Roman" w:eastAsia="宋体" w:cs="Times New Roman"/>
                <w:color w:val="auto"/>
                <w:kern w:val="2"/>
                <w:sz w:val="21"/>
                <w:szCs w:val="20"/>
                <w:lang w:val="en-US" w:eastAsia="zh-CN" w:bidi="ar-SA"/>
              </w:rPr>
              <w:t>）～</w:t>
            </w:r>
            <w:r>
              <w:rPr>
                <w:rFonts w:hint="default" w:ascii="Times New Roman" w:hAnsi="Times New Roman" w:eastAsia="宋体" w:cs="Times New Roman"/>
                <w:color w:val="auto"/>
                <w:kern w:val="2"/>
                <w:sz w:val="21"/>
                <w:szCs w:val="20"/>
                <w:lang w:val="en-US" w:eastAsia="zh-CN" w:bidi="ar-SA"/>
              </w:rPr>
              <w:t>5dB</w:t>
            </w:r>
            <w:r>
              <w:rPr>
                <w:rFonts w:hint="eastAsia" w:ascii="Times New Roman" w:hAnsi="Times New Roman" w:eastAsia="宋体" w:cs="Times New Roman"/>
                <w:color w:val="auto"/>
                <w:kern w:val="2"/>
                <w:sz w:val="21"/>
                <w:szCs w:val="20"/>
                <w:lang w:val="en-US" w:eastAsia="zh-CN" w:bidi="ar-SA"/>
              </w:rPr>
              <w:t>（</w:t>
            </w:r>
            <w:r>
              <w:rPr>
                <w:rFonts w:hint="default" w:ascii="Times New Roman" w:hAnsi="Times New Roman" w:eastAsia="宋体" w:cs="Times New Roman"/>
                <w:color w:val="auto"/>
                <w:kern w:val="2"/>
                <w:sz w:val="21"/>
                <w:szCs w:val="20"/>
                <w:lang w:val="en-US" w:eastAsia="zh-CN" w:bidi="ar-SA"/>
              </w:rPr>
              <w:t>A</w:t>
            </w:r>
            <w:r>
              <w:rPr>
                <w:rFonts w:hint="eastAsia" w:ascii="Times New Roman" w:hAnsi="Times New Roman" w:eastAsia="宋体" w:cs="Times New Roman"/>
                <w:color w:val="auto"/>
                <w:kern w:val="2"/>
                <w:sz w:val="21"/>
                <w:szCs w:val="20"/>
                <w:lang w:val="en-US" w:eastAsia="zh-CN" w:bidi="ar-SA"/>
              </w:rPr>
              <w:t>），或受噪声影响人口数量增加较多时。</w:t>
            </w:r>
          </w:p>
        </w:tc>
      </w:tr>
      <w:tr w14:paraId="601AB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594" w:type="pct"/>
            <w:shd w:val="clear" w:color="auto" w:fill="auto"/>
            <w:vAlign w:val="center"/>
          </w:tcPr>
          <w:p w14:paraId="55D9DD96">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kern w:val="2"/>
                <w:sz w:val="21"/>
                <w:szCs w:val="20"/>
                <w:shd w:val="clear"/>
                <w:lang w:val="en-US" w:eastAsia="zh-CN" w:bidi="ar-SA"/>
              </w:rPr>
              <w:t>三级</w:t>
            </w:r>
          </w:p>
        </w:tc>
        <w:tc>
          <w:tcPr>
            <w:tcW w:w="4405" w:type="pct"/>
            <w:vAlign w:val="center"/>
          </w:tcPr>
          <w:p w14:paraId="43318E78">
            <w:pPr>
              <w:widowControl w:val="0"/>
              <w:overflowPunct w:val="0"/>
              <w:autoSpaceDE w:val="0"/>
              <w:autoSpaceDN w:val="0"/>
              <w:bidi w:val="0"/>
              <w:adjustRightInd w:val="0"/>
              <w:snapToGrid w:val="0"/>
              <w:spacing w:line="360" w:lineRule="exact"/>
              <w:ind w:firstLine="0" w:firstLineChars="0"/>
              <w:jc w:val="center"/>
              <w:rPr>
                <w:rFonts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建设项目所处的声环境功能区为《声环境质量标准》（</w:t>
            </w:r>
            <w:r>
              <w:rPr>
                <w:rFonts w:hint="default" w:ascii="Times New Roman" w:hAnsi="Times New Roman" w:eastAsia="宋体" w:cs="Times New Roman"/>
                <w:color w:val="auto"/>
                <w:kern w:val="2"/>
                <w:sz w:val="21"/>
                <w:szCs w:val="20"/>
                <w:lang w:val="en-US" w:eastAsia="zh-CN" w:bidi="ar-SA"/>
              </w:rPr>
              <w:t>GB3096-2008</w:t>
            </w:r>
            <w:r>
              <w:rPr>
                <w:rFonts w:hint="eastAsia" w:ascii="Times New Roman" w:hAnsi="Times New Roman" w:eastAsia="宋体" w:cs="Times New Roman"/>
                <w:color w:val="auto"/>
                <w:kern w:val="2"/>
                <w:sz w:val="21"/>
                <w:szCs w:val="20"/>
                <w:lang w:val="en-US" w:eastAsia="zh-CN" w:bidi="ar-SA"/>
              </w:rPr>
              <w:t>）规定的</w:t>
            </w:r>
            <w:r>
              <w:rPr>
                <w:rFonts w:hint="default" w:ascii="Times New Roman" w:hAnsi="Times New Roman" w:eastAsia="宋体" w:cs="Times New Roman"/>
                <w:color w:val="auto"/>
                <w:kern w:val="2"/>
                <w:sz w:val="21"/>
                <w:szCs w:val="20"/>
                <w:lang w:val="en-US" w:eastAsia="zh-CN" w:bidi="ar-SA"/>
              </w:rPr>
              <w:t>3</w:t>
            </w:r>
            <w:r>
              <w:rPr>
                <w:rFonts w:hint="eastAsia" w:ascii="Times New Roman" w:hAnsi="Times New Roman" w:eastAsia="宋体" w:cs="Times New Roman"/>
                <w:color w:val="auto"/>
                <w:kern w:val="2"/>
                <w:sz w:val="21"/>
                <w:szCs w:val="20"/>
                <w:lang w:val="en-US" w:eastAsia="zh-CN" w:bidi="ar-SA"/>
              </w:rPr>
              <w:t>类、</w:t>
            </w:r>
            <w:r>
              <w:rPr>
                <w:rFonts w:hint="default" w:ascii="Times New Roman" w:hAnsi="Times New Roman" w:eastAsia="宋体" w:cs="Times New Roman"/>
                <w:color w:val="auto"/>
                <w:kern w:val="2"/>
                <w:sz w:val="21"/>
                <w:szCs w:val="20"/>
                <w:lang w:val="en-US" w:eastAsia="zh-CN" w:bidi="ar-SA"/>
              </w:rPr>
              <w:t>4</w:t>
            </w:r>
            <w:r>
              <w:rPr>
                <w:rFonts w:hint="eastAsia" w:ascii="Times New Roman" w:hAnsi="Times New Roman" w:eastAsia="宋体" w:cs="Times New Roman"/>
                <w:color w:val="auto"/>
                <w:kern w:val="2"/>
                <w:sz w:val="21"/>
                <w:szCs w:val="20"/>
                <w:lang w:val="en-US" w:eastAsia="zh-CN" w:bidi="ar-SA"/>
              </w:rPr>
              <w:t>类地区，或建设项目建设前后评价范围内声环境保护目标噪声级增量在</w:t>
            </w:r>
            <w:r>
              <w:rPr>
                <w:rFonts w:hint="default" w:ascii="Times New Roman" w:hAnsi="Times New Roman" w:eastAsia="宋体" w:cs="Times New Roman"/>
                <w:color w:val="auto"/>
                <w:kern w:val="2"/>
                <w:sz w:val="21"/>
                <w:szCs w:val="20"/>
                <w:lang w:val="en-US" w:eastAsia="zh-CN" w:bidi="ar-SA"/>
              </w:rPr>
              <w:t>3dB</w:t>
            </w:r>
            <w:r>
              <w:rPr>
                <w:rFonts w:hint="eastAsia" w:ascii="Times New Roman" w:hAnsi="Times New Roman" w:eastAsia="宋体" w:cs="Times New Roman"/>
                <w:color w:val="auto"/>
                <w:kern w:val="2"/>
                <w:sz w:val="21"/>
                <w:szCs w:val="20"/>
                <w:lang w:val="en-US" w:eastAsia="zh-CN" w:bidi="ar-SA"/>
              </w:rPr>
              <w:t>（</w:t>
            </w:r>
            <w:r>
              <w:rPr>
                <w:rFonts w:hint="default" w:ascii="Times New Roman" w:hAnsi="Times New Roman" w:eastAsia="宋体" w:cs="Times New Roman"/>
                <w:color w:val="auto"/>
                <w:kern w:val="2"/>
                <w:sz w:val="21"/>
                <w:szCs w:val="20"/>
                <w:lang w:val="en-US" w:eastAsia="zh-CN" w:bidi="ar-SA"/>
              </w:rPr>
              <w:t>A</w:t>
            </w:r>
            <w:r>
              <w:rPr>
                <w:rFonts w:hint="eastAsia" w:ascii="Times New Roman" w:hAnsi="Times New Roman" w:eastAsia="宋体" w:cs="Times New Roman"/>
                <w:color w:val="auto"/>
                <w:kern w:val="2"/>
                <w:sz w:val="21"/>
                <w:szCs w:val="20"/>
                <w:lang w:val="en-US" w:eastAsia="zh-CN" w:bidi="ar-SA"/>
              </w:rPr>
              <w:t>）以下（不含</w:t>
            </w:r>
            <w:r>
              <w:rPr>
                <w:rFonts w:hint="default" w:ascii="Times New Roman" w:hAnsi="Times New Roman" w:eastAsia="宋体" w:cs="Times New Roman"/>
                <w:color w:val="auto"/>
                <w:kern w:val="2"/>
                <w:sz w:val="21"/>
                <w:szCs w:val="20"/>
                <w:lang w:val="en-US" w:eastAsia="zh-CN" w:bidi="ar-SA"/>
              </w:rPr>
              <w:t>3dB</w:t>
            </w:r>
            <w:r>
              <w:rPr>
                <w:rFonts w:hint="eastAsia" w:ascii="Times New Roman" w:hAnsi="Times New Roman" w:eastAsia="宋体" w:cs="Times New Roman"/>
                <w:color w:val="auto"/>
                <w:kern w:val="2"/>
                <w:sz w:val="21"/>
                <w:szCs w:val="20"/>
                <w:lang w:val="en-US" w:eastAsia="zh-CN" w:bidi="ar-SA"/>
              </w:rPr>
              <w:t>（</w:t>
            </w:r>
            <w:r>
              <w:rPr>
                <w:rFonts w:hint="default" w:ascii="Times New Roman" w:hAnsi="Times New Roman" w:eastAsia="宋体" w:cs="Times New Roman"/>
                <w:color w:val="auto"/>
                <w:kern w:val="2"/>
                <w:sz w:val="21"/>
                <w:szCs w:val="20"/>
                <w:lang w:val="en-US" w:eastAsia="zh-CN" w:bidi="ar-SA"/>
              </w:rPr>
              <w:t>A</w:t>
            </w:r>
            <w:r>
              <w:rPr>
                <w:rFonts w:hint="eastAsia" w:ascii="Times New Roman" w:hAnsi="Times New Roman" w:eastAsia="宋体" w:cs="Times New Roman"/>
                <w:color w:val="auto"/>
                <w:kern w:val="2"/>
                <w:sz w:val="21"/>
                <w:szCs w:val="20"/>
                <w:lang w:val="en-US" w:eastAsia="zh-CN" w:bidi="ar-SA"/>
              </w:rPr>
              <w:t>）），且受影响人口数量变化不大时。</w:t>
            </w:r>
          </w:p>
        </w:tc>
      </w:tr>
    </w:tbl>
    <w:p w14:paraId="728336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napToGrid w:val="0"/>
          <w:kern w:val="0"/>
          <w:sz w:val="24"/>
          <w:szCs w:val="24"/>
          <w:lang w:val="en-US" w:eastAsia="zh-CN" w:bidi="ar-SA"/>
        </w:rPr>
        <w:t>本项目所在区域</w:t>
      </w:r>
      <w:r>
        <w:rPr>
          <w:rFonts w:hint="default" w:ascii="Times New Roman" w:hAnsi="Times New Roman" w:eastAsia="宋体" w:cs="Times New Roman"/>
          <w:kern w:val="2"/>
          <w:sz w:val="24"/>
          <w:szCs w:val="24"/>
          <w:lang w:val="en-US" w:eastAsia="zh-CN" w:bidi="ar-SA"/>
        </w:rPr>
        <w:t>周围</w:t>
      </w:r>
      <w:r>
        <w:rPr>
          <w:rFonts w:hint="eastAsia" w:ascii="Times New Roman" w:hAnsi="Times New Roman" w:eastAsia="宋体" w:cs="Times New Roman"/>
          <w:kern w:val="2"/>
          <w:sz w:val="24"/>
          <w:szCs w:val="24"/>
          <w:lang w:val="en-US" w:eastAsia="zh-CN" w:bidi="ar-SA"/>
        </w:rPr>
        <w:t>200</w:t>
      </w:r>
      <w:r>
        <w:rPr>
          <w:rFonts w:hint="default" w:ascii="Times New Roman" w:hAnsi="Times New Roman" w:eastAsia="宋体" w:cs="Times New Roman"/>
          <w:kern w:val="2"/>
          <w:sz w:val="24"/>
          <w:szCs w:val="24"/>
          <w:lang w:val="en-US" w:eastAsia="zh-CN" w:bidi="ar-SA"/>
        </w:rPr>
        <w:t>m范围</w:t>
      </w:r>
      <w:r>
        <w:rPr>
          <w:rFonts w:hint="eastAsia" w:ascii="Times New Roman" w:hAnsi="Times New Roman" w:eastAsia="宋体" w:cs="Times New Roman"/>
          <w:kern w:val="2"/>
          <w:sz w:val="24"/>
          <w:szCs w:val="24"/>
          <w:lang w:val="en-US" w:eastAsia="zh-CN" w:bidi="ar-SA"/>
        </w:rPr>
        <w:t>内无</w:t>
      </w:r>
      <w:r>
        <w:rPr>
          <w:rFonts w:hint="default" w:ascii="Times New Roman" w:hAnsi="Times New Roman" w:eastAsia="宋体" w:cs="Times New Roman"/>
          <w:kern w:val="2"/>
          <w:sz w:val="24"/>
          <w:szCs w:val="24"/>
          <w:lang w:val="en-US" w:eastAsia="zh-CN" w:bidi="ar-SA"/>
        </w:rPr>
        <w:t>声环境敏感目标，</w:t>
      </w:r>
      <w:r>
        <w:rPr>
          <w:rFonts w:hint="eastAsia" w:ascii="Times New Roman" w:hAnsi="Times New Roman" w:eastAsia="宋体" w:cs="Times New Roman"/>
          <w:kern w:val="2"/>
          <w:sz w:val="24"/>
          <w:szCs w:val="24"/>
          <w:lang w:val="en-US" w:eastAsia="zh-CN" w:bidi="ar-SA"/>
        </w:rPr>
        <w:t>处于《声环境质量标准》（GB3096-2008）二类功能区，</w:t>
      </w:r>
      <w:r>
        <w:rPr>
          <w:rFonts w:hint="default" w:ascii="Times New Roman" w:hAnsi="Times New Roman" w:eastAsia="宋体" w:cs="Times New Roman"/>
          <w:kern w:val="2"/>
          <w:sz w:val="24"/>
          <w:szCs w:val="24"/>
          <w:lang w:val="en-US" w:eastAsia="zh-CN" w:bidi="ar-SA"/>
        </w:rPr>
        <w:t>受影响人数变化不大。根据《环境影响评价技术导则 声环境》（HJ2.4-20</w:t>
      </w:r>
      <w:r>
        <w:rPr>
          <w:rFonts w:hint="eastAsia" w:ascii="Times New Roman" w:hAnsi="Times New Roman" w:eastAsia="宋体" w:cs="Times New Roman"/>
          <w:kern w:val="2"/>
          <w:sz w:val="24"/>
          <w:szCs w:val="24"/>
          <w:lang w:val="en-US" w:eastAsia="zh-CN" w:bidi="ar-SA"/>
        </w:rPr>
        <w:t>21</w:t>
      </w:r>
      <w:r>
        <w:rPr>
          <w:rFonts w:hint="default" w:ascii="Times New Roman" w:hAnsi="Times New Roman" w:eastAsia="宋体" w:cs="Times New Roman"/>
          <w:kern w:val="2"/>
          <w:sz w:val="24"/>
          <w:szCs w:val="24"/>
          <w:lang w:val="en-US" w:eastAsia="zh-CN" w:bidi="ar-SA"/>
        </w:rPr>
        <w:t>）中的评价等级确定原则，本项目声环境评价等级为</w:t>
      </w:r>
      <w:r>
        <w:rPr>
          <w:rFonts w:hint="eastAsia" w:ascii="Times New Roman" w:hAnsi="Times New Roman" w:eastAsia="宋体" w:cs="Times New Roman"/>
          <w:kern w:val="2"/>
          <w:sz w:val="24"/>
          <w:szCs w:val="24"/>
          <w:lang w:val="en-US" w:eastAsia="zh-CN" w:bidi="ar-SA"/>
        </w:rPr>
        <w:t>二</w:t>
      </w:r>
      <w:r>
        <w:rPr>
          <w:rFonts w:hint="default" w:ascii="Times New Roman" w:hAnsi="Times New Roman" w:eastAsia="宋体" w:cs="Times New Roman"/>
          <w:kern w:val="2"/>
          <w:sz w:val="24"/>
          <w:szCs w:val="24"/>
          <w:lang w:val="en-US" w:eastAsia="zh-CN" w:bidi="ar-SA"/>
        </w:rPr>
        <w:t>级。</w:t>
      </w:r>
    </w:p>
    <w:p w14:paraId="2E022B9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color w:val="000000"/>
          <w:kern w:val="2"/>
          <w:sz w:val="24"/>
          <w:szCs w:val="24"/>
          <w:lang w:val="en-US" w:eastAsia="zh-CN" w:bidi="ar-SA"/>
        </w:rPr>
        <w:t>2.</w:t>
      </w:r>
      <w:r>
        <w:rPr>
          <w:rFonts w:hint="eastAsia" w:cs="Times New Roman"/>
          <w:b/>
          <w:color w:val="000000"/>
          <w:kern w:val="2"/>
          <w:sz w:val="24"/>
          <w:szCs w:val="24"/>
          <w:lang w:val="en-US" w:eastAsia="zh-CN" w:bidi="ar-SA"/>
        </w:rPr>
        <w:t>6</w:t>
      </w:r>
      <w:r>
        <w:rPr>
          <w:rFonts w:hint="default" w:ascii="Times New Roman" w:hAnsi="Times New Roman" w:eastAsia="宋体" w:cs="Times New Roman"/>
          <w:b/>
          <w:color w:val="000000"/>
          <w:kern w:val="2"/>
          <w:sz w:val="24"/>
          <w:szCs w:val="24"/>
          <w:lang w:val="en-US" w:eastAsia="zh-CN" w:bidi="ar-SA"/>
        </w:rPr>
        <w:t>.1.4土壤环境评价等级</w:t>
      </w:r>
    </w:p>
    <w:p w14:paraId="2E2AC521">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kern w:val="0"/>
          <w:sz w:val="24"/>
          <w:szCs w:val="24"/>
          <w:lang w:eastAsia="zh-CN"/>
        </w:rPr>
        <w:t>土壤</w:t>
      </w:r>
      <w:r>
        <w:rPr>
          <w:rFonts w:hint="default" w:ascii="Times New Roman" w:hAnsi="Times New Roman" w:eastAsia="宋体" w:cs="Times New Roman"/>
          <w:color w:val="000000"/>
          <w:sz w:val="24"/>
          <w:szCs w:val="24"/>
        </w:rPr>
        <w:t>环境影响评价项目类别</w:t>
      </w:r>
      <w:r>
        <w:rPr>
          <w:rFonts w:hint="default"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kern w:val="0"/>
          <w:sz w:val="24"/>
          <w:szCs w:val="24"/>
        </w:rPr>
        <w:t>根据</w:t>
      </w:r>
      <w:r>
        <w:rPr>
          <w:rFonts w:hint="default" w:ascii="Times New Roman" w:hAnsi="Times New Roman" w:eastAsia="宋体" w:cs="Times New Roman"/>
          <w:color w:val="000000"/>
          <w:sz w:val="24"/>
          <w:szCs w:val="24"/>
        </w:rPr>
        <w:t>《环境影响评价技术导则</w:t>
      </w:r>
      <w:r>
        <w:rPr>
          <w:rFonts w:hint="eastAsia" w:ascii="Times New Roman" w:hAnsi="Times New Roman" w:cs="Times New Roman"/>
          <w:color w:val="000000"/>
          <w:sz w:val="24"/>
          <w:szCs w:val="24"/>
          <w:lang w:val="en-US" w:eastAsia="zh-CN"/>
        </w:rPr>
        <w:t xml:space="preserve"> </w:t>
      </w:r>
      <w:r>
        <w:rPr>
          <w:rFonts w:hint="default" w:ascii="Times New Roman" w:hAnsi="Times New Roman" w:eastAsia="宋体" w:cs="Times New Roman"/>
          <w:color w:val="000000"/>
          <w:sz w:val="24"/>
          <w:szCs w:val="24"/>
        </w:rPr>
        <w:t>土壤环境（试行）》（HJ964</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rPr>
        <w:t>2018）附录A，表A.1土壤环境影响评价项目类别，本项目属于</w:t>
      </w:r>
      <w:r>
        <w:rPr>
          <w:rFonts w:hint="default" w:ascii="Times New Roman" w:hAnsi="Times New Roman" w:eastAsia="宋体" w:cs="Times New Roman"/>
          <w:color w:val="000000"/>
          <w:sz w:val="24"/>
          <w:szCs w:val="24"/>
          <w:lang w:eastAsia="zh-CN"/>
        </w:rPr>
        <w:t>农业牧渔</w:t>
      </w:r>
      <w:r>
        <w:rPr>
          <w:rFonts w:hint="eastAsia" w:ascii="Times New Roman" w:hAnsi="Times New Roman" w:cs="Times New Roman"/>
          <w:color w:val="000000"/>
          <w:sz w:val="24"/>
          <w:szCs w:val="24"/>
          <w:lang w:val="en-US" w:eastAsia="zh-CN"/>
        </w:rPr>
        <w:t>业</w:t>
      </w:r>
      <w:r>
        <w:rPr>
          <w:rFonts w:hint="default" w:ascii="Times New Roman" w:hAnsi="Times New Roman" w:eastAsia="宋体" w:cs="Times New Roman"/>
          <w:color w:val="000000"/>
          <w:sz w:val="24"/>
          <w:szCs w:val="24"/>
        </w:rPr>
        <w:t>中年出栏生猪5000头（其他畜禽种类折合猪的养殖规模）及以上的畜禽养殖场或养殖小区及以上的畜禽养殖场，属于</w:t>
      </w: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 3 \* ROMAN \* MERGEFORMAT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III</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color w:val="000000"/>
          <w:sz w:val="24"/>
          <w:szCs w:val="24"/>
        </w:rPr>
        <w:t>类项目</w:t>
      </w:r>
      <w:r>
        <w:rPr>
          <w:rFonts w:hint="default" w:ascii="Times New Roman" w:hAnsi="Times New Roman" w:eastAsia="宋体" w:cs="Times New Roman"/>
          <w:color w:val="000000"/>
          <w:sz w:val="24"/>
          <w:szCs w:val="24"/>
          <w:lang w:eastAsia="zh-CN"/>
        </w:rPr>
        <w:t>。</w:t>
      </w:r>
    </w:p>
    <w:p w14:paraId="7E1E70B2">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auto"/>
          <w:kern w:val="0"/>
          <w:sz w:val="24"/>
          <w:szCs w:val="24"/>
          <w:lang w:eastAsia="zh-CN"/>
        </w:rPr>
        <w:t>土壤</w:t>
      </w:r>
      <w:r>
        <w:rPr>
          <w:rFonts w:hint="default" w:ascii="Times New Roman" w:hAnsi="Times New Roman" w:eastAsia="宋体" w:cs="Times New Roman"/>
          <w:color w:val="auto"/>
          <w:sz w:val="24"/>
          <w:szCs w:val="24"/>
        </w:rPr>
        <w:t>敏感程度分级</w:t>
      </w:r>
      <w:r>
        <w:rPr>
          <w:rFonts w:hint="default" w:ascii="Times New Roman" w:hAnsi="Times New Roman" w:eastAsia="宋体" w:cs="Times New Roman"/>
          <w:color w:val="auto"/>
          <w:sz w:val="24"/>
          <w:szCs w:val="24"/>
          <w:lang w:eastAsia="zh-CN"/>
        </w:rPr>
        <w:t>：项目区位于</w:t>
      </w:r>
      <w:r>
        <w:rPr>
          <w:rFonts w:hint="eastAsia" w:cs="Times New Roman"/>
          <w:color w:val="auto"/>
          <w:sz w:val="24"/>
          <w:szCs w:val="24"/>
          <w:lang w:val="en-US" w:eastAsia="zh-CN"/>
        </w:rPr>
        <w:t>第七师胡杨河市125团</w:t>
      </w:r>
      <w:r>
        <w:rPr>
          <w:rFonts w:hint="default" w:ascii="Times New Roman" w:hAnsi="Times New Roman" w:eastAsia="宋体" w:cs="Times New Roman"/>
          <w:snapToGrid w:val="0"/>
          <w:color w:val="auto"/>
          <w:kern w:val="0"/>
          <w:sz w:val="24"/>
          <w:szCs w:val="24"/>
          <w:lang w:val="en-US" w:eastAsia="zh-CN"/>
        </w:rPr>
        <w:t>，</w:t>
      </w:r>
      <w:r>
        <w:rPr>
          <w:rFonts w:hint="default" w:ascii="Times New Roman" w:hAnsi="Times New Roman" w:eastAsia="宋体" w:cs="Times New Roman"/>
          <w:color w:val="auto"/>
          <w:sz w:val="24"/>
          <w:szCs w:val="24"/>
          <w:lang w:eastAsia="zh-CN"/>
        </w:rPr>
        <w:t>经现场踏勘可知</w:t>
      </w:r>
      <w:r>
        <w:rPr>
          <w:rFonts w:hint="default" w:ascii="Times New Roman" w:hAnsi="Times New Roman" w:eastAsia="宋体" w:cs="Times New Roman"/>
          <w:color w:val="auto"/>
          <w:sz w:val="24"/>
          <w:szCs w:val="24"/>
          <w:lang w:val="en-US" w:eastAsia="zh-CN"/>
        </w:rPr>
        <w:t>项目区</w:t>
      </w:r>
      <w:r>
        <w:rPr>
          <w:rFonts w:hint="default" w:ascii="Times New Roman" w:hAnsi="Times New Roman" w:eastAsia="宋体" w:cs="Times New Roman"/>
          <w:color w:val="auto"/>
          <w:sz w:val="24"/>
          <w:szCs w:val="24"/>
        </w:rPr>
        <w:t>及其周围无自然保护区、风景名胜区等敏感区</w:t>
      </w:r>
      <w:r>
        <w:rPr>
          <w:rFonts w:hint="eastAsia" w:ascii="Times New Roman" w:hAnsi="Times New Roman" w:cs="Times New Roman"/>
          <w:color w:val="auto"/>
          <w:sz w:val="24"/>
          <w:szCs w:val="24"/>
          <w:lang w:eastAsia="zh-CN"/>
        </w:rPr>
        <w:t>，</w:t>
      </w:r>
      <w:r>
        <w:rPr>
          <w:rFonts w:hint="default" w:ascii="Times New Roman" w:hAnsi="Times New Roman" w:cs="Times New Roman"/>
          <w:color w:val="000000"/>
          <w:sz w:val="24"/>
          <w:szCs w:val="24"/>
          <w:lang w:val="en-US" w:eastAsia="zh-CN"/>
        </w:rPr>
        <w:t>东侧</w:t>
      </w:r>
      <w:r>
        <w:rPr>
          <w:rFonts w:hint="eastAsia" w:cs="Times New Roman"/>
          <w:color w:val="000000"/>
          <w:sz w:val="24"/>
          <w:szCs w:val="24"/>
          <w:lang w:val="en-US" w:eastAsia="zh-CN"/>
        </w:rPr>
        <w:t>隔道路为125团14连耕地</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rPr>
        <w:t>《环境影响评价技术导则</w:t>
      </w:r>
      <w:r>
        <w:rPr>
          <w:rFonts w:hint="eastAsia" w:ascii="Times New Roman" w:hAnsi="Times New Roman" w:cs="Times New Roman"/>
          <w:color w:val="auto"/>
          <w:sz w:val="24"/>
          <w:szCs w:val="24"/>
          <w:lang w:val="en-US" w:eastAsia="zh-CN"/>
        </w:rPr>
        <w:t xml:space="preserve"> </w:t>
      </w:r>
      <w:r>
        <w:rPr>
          <w:rFonts w:hint="default" w:ascii="Times New Roman" w:hAnsi="Times New Roman" w:eastAsia="宋体" w:cs="Times New Roman"/>
          <w:color w:val="auto"/>
          <w:sz w:val="24"/>
          <w:szCs w:val="24"/>
        </w:rPr>
        <w:t>土壤环境（试行）》（HJ964</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2018）表3污染影响型敏感程度分级表</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项目区</w:t>
      </w:r>
      <w:r>
        <w:rPr>
          <w:rFonts w:hint="default" w:ascii="Times New Roman" w:hAnsi="Times New Roman" w:eastAsia="宋体" w:cs="Times New Roman"/>
          <w:color w:val="auto"/>
          <w:kern w:val="0"/>
          <w:sz w:val="24"/>
          <w:szCs w:val="24"/>
          <w:lang w:eastAsia="zh-CN"/>
        </w:rPr>
        <w:t>土壤</w:t>
      </w:r>
      <w:r>
        <w:rPr>
          <w:rFonts w:hint="default" w:ascii="Times New Roman" w:hAnsi="Times New Roman" w:eastAsia="宋体" w:cs="Times New Roman"/>
          <w:color w:val="auto"/>
          <w:sz w:val="24"/>
          <w:szCs w:val="24"/>
        </w:rPr>
        <w:t>敏感程度为敏感</w:t>
      </w:r>
      <w:r>
        <w:rPr>
          <w:rFonts w:hint="default" w:ascii="Times New Roman" w:hAnsi="Times New Roman" w:eastAsia="宋体" w:cs="Times New Roman"/>
          <w:color w:val="auto"/>
          <w:sz w:val="24"/>
          <w:szCs w:val="24"/>
          <w:lang w:eastAsia="zh-CN"/>
        </w:rPr>
        <w:t>。</w:t>
      </w:r>
    </w:p>
    <w:p w14:paraId="0D496A32">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eastAsia="zh-CN"/>
        </w:rPr>
        <w:t>占地规模：</w:t>
      </w:r>
      <w:r>
        <w:rPr>
          <w:rFonts w:hint="default" w:ascii="Times New Roman" w:hAnsi="Times New Roman" w:eastAsia="宋体" w:cs="Times New Roman"/>
          <w:color w:val="000000"/>
          <w:kern w:val="0"/>
          <w:sz w:val="24"/>
          <w:szCs w:val="24"/>
        </w:rPr>
        <w:t>本项目占地面积</w:t>
      </w:r>
      <w:r>
        <w:rPr>
          <w:rFonts w:hint="default"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rPr>
        <w:t>hm</w:t>
      </w:r>
      <w:r>
        <w:rPr>
          <w:rFonts w:hint="default" w:ascii="Times New Roman" w:hAnsi="Times New Roman" w:eastAsia="宋体" w:cs="Times New Roman"/>
          <w:color w:val="000000"/>
          <w:sz w:val="24"/>
          <w:szCs w:val="24"/>
          <w:vertAlign w:val="superscript"/>
        </w:rPr>
        <w:t>2</w:t>
      </w:r>
      <w:r>
        <w:rPr>
          <w:rFonts w:hint="default" w:ascii="Times New Roman" w:hAnsi="Times New Roman" w:eastAsia="宋体" w:cs="Times New Roman"/>
          <w:color w:val="000000"/>
          <w:sz w:val="24"/>
          <w:szCs w:val="24"/>
        </w:rPr>
        <w:t>＜</w:t>
      </w:r>
      <w:r>
        <w:rPr>
          <w:rFonts w:hint="eastAsia" w:cs="Times New Roman"/>
          <w:color w:val="000000"/>
          <w:sz w:val="24"/>
          <w:szCs w:val="24"/>
          <w:lang w:val="en-US" w:eastAsia="zh-CN"/>
        </w:rPr>
        <w:t>12</w:t>
      </w:r>
      <w:r>
        <w:rPr>
          <w:rFonts w:hint="default" w:ascii="Times New Roman" w:hAnsi="Times New Roman" w:eastAsia="宋体" w:cs="Times New Roman"/>
          <w:color w:val="000000"/>
          <w:sz w:val="24"/>
          <w:szCs w:val="24"/>
          <w:lang w:val="en-US" w:eastAsia="zh-CN"/>
        </w:rPr>
        <w:t>h</w:t>
      </w:r>
      <w:r>
        <w:rPr>
          <w:rFonts w:hint="default" w:ascii="Times New Roman" w:hAnsi="Times New Roman" w:eastAsia="宋体" w:cs="Times New Roman"/>
          <w:color w:val="000000"/>
          <w:sz w:val="24"/>
          <w:szCs w:val="24"/>
        </w:rPr>
        <w:t>m</w:t>
      </w:r>
      <w:r>
        <w:rPr>
          <w:rFonts w:hint="default" w:ascii="Times New Roman" w:hAnsi="Times New Roman" w:eastAsia="宋体" w:cs="Times New Roman"/>
          <w:color w:val="000000"/>
          <w:sz w:val="24"/>
          <w:szCs w:val="24"/>
          <w:vertAlign w:val="superscript"/>
        </w:rPr>
        <w:t>2</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lang w:val="en-US" w:eastAsia="zh-CN"/>
        </w:rPr>
        <w:t>5</w:t>
      </w:r>
      <w:r>
        <w:rPr>
          <w:rFonts w:hint="eastAsia" w:ascii="Times New Roman" w:hAnsi="Times New Roman" w:cs="Times New Roman"/>
          <w:color w:val="000000"/>
          <w:sz w:val="24"/>
          <w:szCs w:val="24"/>
          <w:lang w:val="en-US" w:eastAsia="zh-CN"/>
        </w:rPr>
        <w:t>0</w:t>
      </w:r>
      <w:r>
        <w:rPr>
          <w:rFonts w:hint="default" w:ascii="Times New Roman" w:hAnsi="Times New Roman" w:eastAsia="宋体" w:cs="Times New Roman"/>
          <w:color w:val="000000"/>
          <w:sz w:val="24"/>
          <w:szCs w:val="24"/>
        </w:rPr>
        <w:t>hm</w:t>
      </w:r>
      <w:r>
        <w:rPr>
          <w:rFonts w:hint="default" w:ascii="Times New Roman" w:hAnsi="Times New Roman" w:eastAsia="宋体" w:cs="Times New Roman"/>
          <w:color w:val="000000"/>
          <w:sz w:val="24"/>
          <w:szCs w:val="24"/>
          <w:vertAlign w:val="superscript"/>
        </w:rPr>
        <w:t>2</w:t>
      </w:r>
      <w:r>
        <w:rPr>
          <w:rFonts w:hint="default" w:ascii="Times New Roman" w:hAnsi="Times New Roman" w:eastAsia="宋体" w:cs="Times New Roman"/>
          <w:color w:val="000000"/>
          <w:kern w:val="0"/>
          <w:sz w:val="24"/>
          <w:szCs w:val="24"/>
        </w:rPr>
        <w:t>，属于</w:t>
      </w:r>
      <w:r>
        <w:rPr>
          <w:rFonts w:hint="eastAsia" w:ascii="Times New Roman" w:hAnsi="Times New Roman" w:cs="Times New Roman"/>
          <w:color w:val="000000"/>
          <w:kern w:val="0"/>
          <w:sz w:val="24"/>
          <w:szCs w:val="24"/>
          <w:lang w:val="en-US" w:eastAsia="zh-CN"/>
        </w:rPr>
        <w:t>中</w:t>
      </w:r>
      <w:r>
        <w:rPr>
          <w:rFonts w:hint="default" w:ascii="Times New Roman" w:hAnsi="Times New Roman" w:eastAsia="宋体" w:cs="Times New Roman"/>
          <w:color w:val="000000"/>
          <w:kern w:val="0"/>
          <w:sz w:val="24"/>
          <w:szCs w:val="24"/>
        </w:rPr>
        <w:t>型规模。</w:t>
      </w:r>
    </w:p>
    <w:p w14:paraId="017EA5B2">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lang w:eastAsia="zh-CN"/>
        </w:rPr>
        <w:t>土壤环境质量评价等级：</w:t>
      </w:r>
      <w:r>
        <w:rPr>
          <w:rFonts w:hint="default" w:ascii="Times New Roman" w:hAnsi="Times New Roman" w:eastAsia="宋体" w:cs="Times New Roman"/>
          <w:color w:val="000000"/>
          <w:kern w:val="0"/>
          <w:sz w:val="24"/>
          <w:szCs w:val="24"/>
        </w:rPr>
        <w:t>根据</w:t>
      </w:r>
      <w:r>
        <w:rPr>
          <w:rFonts w:hint="eastAsia" w:cs="Times New Roman"/>
          <w:color w:val="000000"/>
          <w:kern w:val="0"/>
          <w:sz w:val="24"/>
          <w:szCs w:val="24"/>
          <w:lang w:eastAsia="zh-CN"/>
        </w:rPr>
        <w:t>《</w:t>
      </w:r>
      <w:r>
        <w:rPr>
          <w:rFonts w:hint="default" w:ascii="Times New Roman" w:hAnsi="Times New Roman" w:eastAsia="宋体" w:cs="Times New Roman"/>
          <w:color w:val="000000"/>
          <w:sz w:val="24"/>
          <w:szCs w:val="24"/>
        </w:rPr>
        <w:t>环境影响评价技术导则</w:t>
      </w:r>
      <w:r>
        <w:rPr>
          <w:rFonts w:hint="eastAsia" w:ascii="Times New Roman" w:hAnsi="Times New Roman" w:cs="Times New Roman"/>
          <w:color w:val="000000"/>
          <w:sz w:val="24"/>
          <w:szCs w:val="24"/>
          <w:lang w:val="en-US" w:eastAsia="zh-CN"/>
        </w:rPr>
        <w:t xml:space="preserve"> </w:t>
      </w:r>
      <w:r>
        <w:rPr>
          <w:rFonts w:hint="default" w:ascii="Times New Roman" w:hAnsi="Times New Roman" w:eastAsia="宋体" w:cs="Times New Roman"/>
          <w:color w:val="000000"/>
          <w:sz w:val="24"/>
          <w:szCs w:val="24"/>
        </w:rPr>
        <w:t>土壤环境（试行）》（HJ964</w:t>
      </w:r>
      <w:r>
        <w:rPr>
          <w:rFonts w:hint="default"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rPr>
        <w:t>2018）</w:t>
      </w:r>
      <w:r>
        <w:rPr>
          <w:rFonts w:hint="default" w:ascii="Times New Roman" w:hAnsi="Times New Roman" w:eastAsia="宋体" w:cs="Times New Roman"/>
          <w:color w:val="000000"/>
          <w:sz w:val="24"/>
          <w:szCs w:val="24"/>
          <w:lang w:eastAsia="zh-CN"/>
        </w:rPr>
        <w:t>中表</w:t>
      </w: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kern w:val="0"/>
          <w:sz w:val="24"/>
          <w:szCs w:val="24"/>
        </w:rPr>
        <w:t>污染影响型评价工作等级划分表</w:t>
      </w:r>
      <w:r>
        <w:rPr>
          <w:rFonts w:hint="default" w:ascii="Times New Roman" w:hAnsi="Times New Roman" w:eastAsia="宋体" w:cs="Times New Roman"/>
          <w:color w:val="000000"/>
          <w:kern w:val="0"/>
          <w:sz w:val="24"/>
          <w:szCs w:val="24"/>
          <w:lang w:eastAsia="zh-CN"/>
        </w:rPr>
        <w:t>，详见</w:t>
      </w:r>
      <w:r>
        <w:rPr>
          <w:rFonts w:hint="default" w:ascii="Times New Roman" w:hAnsi="Times New Roman" w:eastAsia="宋体" w:cs="Times New Roman"/>
          <w:color w:val="000000"/>
          <w:kern w:val="0"/>
          <w:sz w:val="24"/>
          <w:szCs w:val="24"/>
        </w:rPr>
        <w:t>表2.4-</w:t>
      </w:r>
      <w:r>
        <w:rPr>
          <w:rFonts w:hint="eastAsia" w:cs="Times New Roman"/>
          <w:color w:val="000000"/>
          <w:kern w:val="0"/>
          <w:sz w:val="24"/>
          <w:szCs w:val="24"/>
          <w:lang w:val="en-US" w:eastAsia="zh-CN"/>
        </w:rPr>
        <w:t>10</w:t>
      </w:r>
      <w:r>
        <w:rPr>
          <w:rFonts w:hint="default"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本项目土壤环境影响评价</w:t>
      </w:r>
      <w:r>
        <w:rPr>
          <w:rFonts w:hint="eastAsia" w:ascii="Times New Roman" w:hAnsi="Times New Roman" w:cs="Times New Roman"/>
          <w:color w:val="000000"/>
          <w:kern w:val="0"/>
          <w:sz w:val="24"/>
          <w:szCs w:val="24"/>
          <w:lang w:val="en-US" w:eastAsia="zh-CN"/>
        </w:rPr>
        <w:t>等级为三级</w:t>
      </w:r>
      <w:r>
        <w:rPr>
          <w:rFonts w:hint="default" w:ascii="Times New Roman" w:hAnsi="Times New Roman" w:eastAsia="宋体" w:cs="Times New Roman"/>
          <w:color w:val="000000"/>
          <w:kern w:val="0"/>
          <w:sz w:val="24"/>
          <w:szCs w:val="24"/>
        </w:rPr>
        <w:t>。</w:t>
      </w:r>
    </w:p>
    <w:p w14:paraId="3346FD92">
      <w:pPr>
        <w:keepNext w:val="0"/>
        <w:keepLines w:val="0"/>
        <w:pageBreakBefore w:val="0"/>
        <w:widowControl w:val="0"/>
        <w:kinsoku/>
        <w:wordWrap/>
        <w:overflowPunct/>
        <w:topLinePunct w:val="0"/>
        <w:autoSpaceDE/>
        <w:autoSpaceDN/>
        <w:bidi w:val="0"/>
        <w:adjustRightInd/>
        <w:snapToGrid/>
        <w:spacing w:line="460" w:lineRule="atLeast"/>
        <w:ind w:firstLine="480" w:firstLineChars="200"/>
        <w:jc w:val="center"/>
        <w:textAlignment w:val="auto"/>
        <w:rPr>
          <w:rFonts w:hint="default" w:ascii="Times New Roman" w:hAnsi="Times New Roman" w:eastAsia="宋体" w:cs="Times New Roman"/>
          <w:b/>
          <w:color w:val="000000"/>
          <w:kern w:val="0"/>
          <w:sz w:val="24"/>
          <w:szCs w:val="24"/>
        </w:rPr>
      </w:pPr>
      <w:r>
        <w:rPr>
          <w:rFonts w:hint="default" w:ascii="Times New Roman" w:hAnsi="Times New Roman" w:eastAsia="宋体" w:cs="Times New Roman"/>
          <w:b/>
          <w:color w:val="000000"/>
          <w:kern w:val="0"/>
          <w:sz w:val="24"/>
          <w:szCs w:val="24"/>
        </w:rPr>
        <w:t>表2.</w:t>
      </w:r>
      <w:r>
        <w:rPr>
          <w:rFonts w:hint="eastAsia" w:cs="Times New Roman"/>
          <w:b/>
          <w:color w:val="000000"/>
          <w:kern w:val="0"/>
          <w:sz w:val="24"/>
          <w:szCs w:val="24"/>
          <w:lang w:val="en-US" w:eastAsia="zh-CN"/>
        </w:rPr>
        <w:t>6</w:t>
      </w:r>
      <w:r>
        <w:rPr>
          <w:rFonts w:hint="default" w:ascii="Times New Roman" w:hAnsi="Times New Roman" w:eastAsia="宋体" w:cs="Times New Roman"/>
          <w:b/>
          <w:color w:val="000000"/>
          <w:kern w:val="0"/>
          <w:sz w:val="24"/>
          <w:szCs w:val="24"/>
        </w:rPr>
        <w:t>-</w:t>
      </w:r>
      <w:r>
        <w:rPr>
          <w:rFonts w:hint="eastAsia" w:cs="Times New Roman"/>
          <w:b/>
          <w:color w:val="000000"/>
          <w:kern w:val="0"/>
          <w:sz w:val="24"/>
          <w:szCs w:val="24"/>
          <w:lang w:val="en-US" w:eastAsia="zh-CN"/>
        </w:rPr>
        <w:t>10</w:t>
      </w:r>
      <w:r>
        <w:rPr>
          <w:rFonts w:hint="default" w:ascii="Times New Roman" w:hAnsi="Times New Roman" w:eastAsia="宋体" w:cs="Times New Roman"/>
          <w:b/>
          <w:color w:val="000000"/>
          <w:kern w:val="0"/>
          <w:sz w:val="24"/>
          <w:szCs w:val="24"/>
        </w:rPr>
        <w:t>污染影响型评价工作等级划分表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669"/>
        <w:gridCol w:w="669"/>
        <w:gridCol w:w="669"/>
        <w:gridCol w:w="669"/>
        <w:gridCol w:w="669"/>
        <w:gridCol w:w="669"/>
        <w:gridCol w:w="669"/>
        <w:gridCol w:w="669"/>
        <w:gridCol w:w="674"/>
      </w:tblGrid>
      <w:tr w14:paraId="7B01B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78" w:type="dxa"/>
            <w:vMerge w:val="restart"/>
            <w:tcBorders>
              <w:tl2br w:val="nil"/>
              <w:tr2bl w:val="nil"/>
            </w:tcBorders>
            <w:noWrap w:val="0"/>
            <w:vAlign w:val="center"/>
            <mc:AlternateContent>
              <mc:Choice Requires="wpsCustomData">
                <wpsCustomData:diagonals>
                  <wpsCustomData:diagonal from="30000" to="13300">
                    <wpsCustomData:border w:val="single" w:color="auto" w:sz="12" w:space="0"/>
                  </wpsCustomData:diagonal>
                  <wpsCustomData:diagonal from="30000" to="5800">
                    <wpsCustomData:border w:val="single" w:color="auto" w:sz="12" w:space="0"/>
                  </wpsCustomData:diagonal>
                </wpsCustomData:diagonals>
              </mc:Choice>
            </mc:AlternateContent>
          </w:tcPr>
          <w:p w14:paraId="3041AE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Times New Roman"/>
                <w:b/>
                <w:bCs/>
                <w:color w:val="000000"/>
                <w:sz w:val="21"/>
                <w:szCs w:val="21"/>
                <w:lang w:val="en-US" w:eastAsia="zh-CN"/>
              </w:rPr>
            </w:pPr>
          </w:p>
          <w:p w14:paraId="63908FA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敏感程度</w:t>
            </w:r>
          </w:p>
          <w:p w14:paraId="56495234">
            <w:pPr>
              <w:keepNext w:val="0"/>
              <w:keepLines w:val="0"/>
              <w:pageBreakBefore w:val="0"/>
              <w:widowControl w:val="0"/>
              <w:kinsoku/>
              <w:wordWrap/>
              <w:overflowPunct/>
              <w:topLinePunct w:val="0"/>
              <w:autoSpaceDE/>
              <w:autoSpaceDN/>
              <w:bidi w:val="0"/>
              <w:adjustRightInd/>
              <w:snapToGrid/>
              <w:spacing w:line="400" w:lineRule="exact"/>
              <w:textAlignment w:val="auto"/>
              <mc:AlternateContent>
                <mc:Choice Requires="wpsCustomData">
                  <wpsCustomData:diagonalParaType/>
                </mc:Choice>
              </mc:AlternateContent>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eastAsia="zh-CN"/>
              </w:rPr>
              <w:t>敏感程度</w:t>
            </w:r>
          </w:p>
          <w:p w14:paraId="03A5AED3">
            <w:pPr>
              <w:keepNext w:val="0"/>
              <w:keepLines w:val="0"/>
              <w:pageBreakBefore w:val="0"/>
              <w:widowControl w:val="0"/>
              <w:kinsoku/>
              <w:wordWrap/>
              <w:overflowPunct/>
              <w:topLinePunct w:val="0"/>
              <w:autoSpaceDE/>
              <w:autoSpaceDN/>
              <w:bidi w:val="0"/>
              <w:adjustRightInd/>
              <w:snapToGrid/>
              <w:spacing w:line="400" w:lineRule="exact"/>
              <w:textAlignment w:val="auto"/>
              <mc:AlternateContent>
                <mc:Choice Requires="wpsCustomData">
                  <wpsCustomData:diagonalParaType/>
                </mc:Choice>
              </mc:AlternateContent>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评价等级</w:t>
            </w:r>
          </w:p>
          <w:p w14:paraId="3BB6C7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b/>
                <w:bCs/>
                <w:color w:val="000000"/>
                <w:sz w:val="21"/>
                <w:szCs w:val="21"/>
                <w:lang w:eastAsia="zh-CN"/>
              </w:rPr>
            </w:pPr>
            <w:r>
              <w:rPr>
                <w:rFonts w:hint="eastAsia" w:ascii="Times New Roman" w:hAnsi="Times New Roman" w:cs="Times New Roman"/>
                <w:b/>
                <w:bCs/>
                <w:color w:val="000000"/>
                <w:sz w:val="21"/>
                <w:szCs w:val="21"/>
                <w:lang w:val="en-US" w:eastAsia="zh-CN"/>
              </w:rPr>
              <w:t>占地规模</w:t>
            </w:r>
          </w:p>
        </w:tc>
        <w:tc>
          <w:tcPr>
            <w:tcW w:w="2007" w:type="dxa"/>
            <w:gridSpan w:val="3"/>
            <w:tcBorders>
              <w:tl2br w:val="nil"/>
              <w:tr2bl w:val="nil"/>
            </w:tcBorders>
            <w:noWrap w:val="0"/>
            <w:vAlign w:val="center"/>
          </w:tcPr>
          <w:p w14:paraId="7790E2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fldChar w:fldCharType="begin"/>
            </w:r>
            <w:r>
              <w:rPr>
                <w:rFonts w:hint="default" w:ascii="Times New Roman" w:hAnsi="Times New Roman" w:eastAsia="宋体" w:cs="Times New Roman"/>
                <w:b/>
                <w:bCs/>
                <w:color w:val="000000"/>
                <w:sz w:val="21"/>
                <w:szCs w:val="21"/>
              </w:rPr>
              <w:instrText xml:space="preserve"> = 1 \* ROMAN \* MERGEFORMAT </w:instrText>
            </w:r>
            <w:r>
              <w:rPr>
                <w:rFonts w:hint="default" w:ascii="Times New Roman" w:hAnsi="Times New Roman" w:eastAsia="宋体" w:cs="Times New Roman"/>
                <w:b/>
                <w:bCs/>
                <w:color w:val="000000"/>
                <w:sz w:val="21"/>
                <w:szCs w:val="21"/>
              </w:rPr>
              <w:fldChar w:fldCharType="separate"/>
            </w:r>
            <w:r>
              <w:rPr>
                <w:rFonts w:hint="default" w:ascii="Times New Roman" w:hAnsi="Times New Roman" w:eastAsia="宋体" w:cs="Times New Roman"/>
                <w:b/>
                <w:bCs/>
                <w:color w:val="000000"/>
                <w:sz w:val="21"/>
                <w:szCs w:val="21"/>
              </w:rPr>
              <w:t>I</w:t>
            </w:r>
            <w:r>
              <w:rPr>
                <w:rFonts w:hint="default" w:ascii="Times New Roman" w:hAnsi="Times New Roman" w:eastAsia="宋体" w:cs="Times New Roman"/>
                <w:b/>
                <w:bCs/>
                <w:color w:val="000000"/>
                <w:sz w:val="21"/>
                <w:szCs w:val="21"/>
              </w:rPr>
              <w:fldChar w:fldCharType="end"/>
            </w:r>
            <w:r>
              <w:rPr>
                <w:rFonts w:hint="default" w:ascii="Times New Roman" w:hAnsi="Times New Roman" w:eastAsia="宋体" w:cs="Times New Roman"/>
                <w:b/>
                <w:bCs/>
                <w:color w:val="000000"/>
                <w:sz w:val="21"/>
                <w:szCs w:val="21"/>
              </w:rPr>
              <w:t>类</w:t>
            </w:r>
          </w:p>
        </w:tc>
        <w:tc>
          <w:tcPr>
            <w:tcW w:w="2007" w:type="dxa"/>
            <w:gridSpan w:val="3"/>
            <w:tcBorders>
              <w:tl2br w:val="nil"/>
              <w:tr2bl w:val="nil"/>
            </w:tcBorders>
            <w:noWrap w:val="0"/>
            <w:vAlign w:val="center"/>
          </w:tcPr>
          <w:p w14:paraId="617286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fldChar w:fldCharType="begin"/>
            </w:r>
            <w:r>
              <w:rPr>
                <w:rFonts w:hint="default" w:ascii="Times New Roman" w:hAnsi="Times New Roman" w:eastAsia="宋体" w:cs="Times New Roman"/>
                <w:b/>
                <w:bCs/>
                <w:color w:val="000000"/>
                <w:sz w:val="21"/>
                <w:szCs w:val="21"/>
              </w:rPr>
              <w:instrText xml:space="preserve"> = 2 \* ROMAN \* MERGEFORMAT </w:instrText>
            </w:r>
            <w:r>
              <w:rPr>
                <w:rFonts w:hint="default" w:ascii="Times New Roman" w:hAnsi="Times New Roman" w:eastAsia="宋体" w:cs="Times New Roman"/>
                <w:b/>
                <w:bCs/>
                <w:color w:val="000000"/>
                <w:sz w:val="21"/>
                <w:szCs w:val="21"/>
              </w:rPr>
              <w:fldChar w:fldCharType="separate"/>
            </w:r>
            <w:r>
              <w:rPr>
                <w:rFonts w:hint="default" w:ascii="Times New Roman" w:hAnsi="Times New Roman" w:eastAsia="宋体" w:cs="Times New Roman"/>
                <w:b/>
                <w:bCs/>
                <w:color w:val="000000"/>
                <w:sz w:val="21"/>
                <w:szCs w:val="21"/>
              </w:rPr>
              <w:t>II</w:t>
            </w:r>
            <w:r>
              <w:rPr>
                <w:rFonts w:hint="default" w:ascii="Times New Roman" w:hAnsi="Times New Roman" w:eastAsia="宋体" w:cs="Times New Roman"/>
                <w:b/>
                <w:bCs/>
                <w:color w:val="000000"/>
                <w:sz w:val="21"/>
                <w:szCs w:val="21"/>
              </w:rPr>
              <w:fldChar w:fldCharType="end"/>
            </w:r>
            <w:r>
              <w:rPr>
                <w:rFonts w:hint="default" w:ascii="Times New Roman" w:hAnsi="Times New Roman" w:eastAsia="宋体" w:cs="Times New Roman"/>
                <w:b/>
                <w:bCs/>
                <w:color w:val="000000"/>
                <w:sz w:val="21"/>
                <w:szCs w:val="21"/>
              </w:rPr>
              <w:t>类</w:t>
            </w:r>
          </w:p>
        </w:tc>
        <w:tc>
          <w:tcPr>
            <w:tcW w:w="2012" w:type="dxa"/>
            <w:gridSpan w:val="3"/>
            <w:tcBorders>
              <w:tl2br w:val="nil"/>
              <w:tr2bl w:val="nil"/>
            </w:tcBorders>
            <w:noWrap w:val="0"/>
            <w:vAlign w:val="center"/>
          </w:tcPr>
          <w:p w14:paraId="6AA424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fldChar w:fldCharType="begin"/>
            </w:r>
            <w:r>
              <w:rPr>
                <w:rFonts w:hint="default" w:ascii="Times New Roman" w:hAnsi="Times New Roman" w:eastAsia="宋体" w:cs="Times New Roman"/>
                <w:b/>
                <w:bCs/>
                <w:color w:val="000000"/>
                <w:sz w:val="21"/>
                <w:szCs w:val="21"/>
              </w:rPr>
              <w:instrText xml:space="preserve"> = 3 \* ROMAN \* MERGEFORMAT </w:instrText>
            </w:r>
            <w:r>
              <w:rPr>
                <w:rFonts w:hint="default" w:ascii="Times New Roman" w:hAnsi="Times New Roman" w:eastAsia="宋体" w:cs="Times New Roman"/>
                <w:b/>
                <w:bCs/>
                <w:color w:val="000000"/>
                <w:sz w:val="21"/>
                <w:szCs w:val="21"/>
              </w:rPr>
              <w:fldChar w:fldCharType="separate"/>
            </w:r>
            <w:r>
              <w:rPr>
                <w:rFonts w:hint="default" w:ascii="Times New Roman" w:hAnsi="Times New Roman" w:eastAsia="宋体" w:cs="Times New Roman"/>
                <w:b/>
                <w:bCs/>
                <w:color w:val="000000"/>
                <w:sz w:val="21"/>
                <w:szCs w:val="21"/>
              </w:rPr>
              <w:t>III</w:t>
            </w:r>
            <w:r>
              <w:rPr>
                <w:rFonts w:hint="default" w:ascii="Times New Roman" w:hAnsi="Times New Roman" w:eastAsia="宋体" w:cs="Times New Roman"/>
                <w:b/>
                <w:bCs/>
                <w:color w:val="000000"/>
                <w:sz w:val="21"/>
                <w:szCs w:val="21"/>
              </w:rPr>
              <w:fldChar w:fldCharType="end"/>
            </w:r>
            <w:r>
              <w:rPr>
                <w:rFonts w:hint="default" w:ascii="Times New Roman" w:hAnsi="Times New Roman" w:eastAsia="宋体" w:cs="Times New Roman"/>
                <w:b/>
                <w:bCs/>
                <w:color w:val="000000"/>
                <w:sz w:val="21"/>
                <w:szCs w:val="21"/>
              </w:rPr>
              <w:t>类</w:t>
            </w:r>
          </w:p>
        </w:tc>
      </w:tr>
      <w:tr w14:paraId="4DF03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2478" w:type="dxa"/>
            <w:vMerge w:val="continue"/>
            <w:tcBorders>
              <w:tl2br w:val="nil"/>
              <w:tr2bl w:val="nil"/>
            </w:tcBorders>
            <w:noWrap w:val="0"/>
            <w:vAlign w:val="center"/>
          </w:tcPr>
          <w:p w14:paraId="34F38C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p>
        </w:tc>
        <w:tc>
          <w:tcPr>
            <w:tcW w:w="669" w:type="dxa"/>
            <w:tcBorders>
              <w:tl2br w:val="nil"/>
              <w:tr2bl w:val="nil"/>
            </w:tcBorders>
            <w:noWrap w:val="0"/>
            <w:vAlign w:val="center"/>
          </w:tcPr>
          <w:p w14:paraId="59C816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大</w:t>
            </w:r>
          </w:p>
        </w:tc>
        <w:tc>
          <w:tcPr>
            <w:tcW w:w="669" w:type="dxa"/>
            <w:tcBorders>
              <w:tl2br w:val="nil"/>
              <w:tr2bl w:val="nil"/>
            </w:tcBorders>
            <w:noWrap w:val="0"/>
            <w:vAlign w:val="center"/>
          </w:tcPr>
          <w:p w14:paraId="731172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中</w:t>
            </w:r>
          </w:p>
        </w:tc>
        <w:tc>
          <w:tcPr>
            <w:tcW w:w="669" w:type="dxa"/>
            <w:tcBorders>
              <w:tl2br w:val="nil"/>
              <w:tr2bl w:val="nil"/>
            </w:tcBorders>
            <w:noWrap w:val="0"/>
            <w:vAlign w:val="center"/>
          </w:tcPr>
          <w:p w14:paraId="03CDE4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小</w:t>
            </w:r>
          </w:p>
        </w:tc>
        <w:tc>
          <w:tcPr>
            <w:tcW w:w="669" w:type="dxa"/>
            <w:tcBorders>
              <w:tl2br w:val="nil"/>
              <w:tr2bl w:val="nil"/>
            </w:tcBorders>
            <w:noWrap w:val="0"/>
            <w:vAlign w:val="center"/>
          </w:tcPr>
          <w:p w14:paraId="2F4189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大</w:t>
            </w:r>
          </w:p>
        </w:tc>
        <w:tc>
          <w:tcPr>
            <w:tcW w:w="669" w:type="dxa"/>
            <w:tcBorders>
              <w:tl2br w:val="nil"/>
              <w:tr2bl w:val="nil"/>
            </w:tcBorders>
            <w:noWrap w:val="0"/>
            <w:vAlign w:val="center"/>
          </w:tcPr>
          <w:p w14:paraId="5C64D4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中</w:t>
            </w:r>
          </w:p>
        </w:tc>
        <w:tc>
          <w:tcPr>
            <w:tcW w:w="669" w:type="dxa"/>
            <w:tcBorders>
              <w:tl2br w:val="nil"/>
              <w:tr2bl w:val="nil"/>
            </w:tcBorders>
            <w:noWrap w:val="0"/>
            <w:vAlign w:val="center"/>
          </w:tcPr>
          <w:p w14:paraId="227E01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小</w:t>
            </w:r>
          </w:p>
        </w:tc>
        <w:tc>
          <w:tcPr>
            <w:tcW w:w="669" w:type="dxa"/>
            <w:tcBorders>
              <w:tl2br w:val="nil"/>
              <w:tr2bl w:val="nil"/>
            </w:tcBorders>
            <w:noWrap w:val="0"/>
            <w:vAlign w:val="center"/>
          </w:tcPr>
          <w:p w14:paraId="517DD3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大</w:t>
            </w:r>
          </w:p>
        </w:tc>
        <w:tc>
          <w:tcPr>
            <w:tcW w:w="669" w:type="dxa"/>
            <w:tcBorders>
              <w:tl2br w:val="nil"/>
              <w:tr2bl w:val="nil"/>
            </w:tcBorders>
            <w:noWrap w:val="0"/>
            <w:vAlign w:val="center"/>
          </w:tcPr>
          <w:p w14:paraId="008641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中</w:t>
            </w:r>
          </w:p>
        </w:tc>
        <w:tc>
          <w:tcPr>
            <w:tcW w:w="674" w:type="dxa"/>
            <w:tcBorders>
              <w:tl2br w:val="nil"/>
              <w:tr2bl w:val="nil"/>
            </w:tcBorders>
            <w:noWrap w:val="0"/>
            <w:vAlign w:val="center"/>
          </w:tcPr>
          <w:p w14:paraId="2C400E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小</w:t>
            </w:r>
          </w:p>
        </w:tc>
      </w:tr>
      <w:tr w14:paraId="25E06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78" w:type="dxa"/>
            <w:tcBorders>
              <w:tl2br w:val="nil"/>
              <w:tr2bl w:val="nil"/>
            </w:tcBorders>
            <w:noWrap w:val="0"/>
            <w:vAlign w:val="center"/>
          </w:tcPr>
          <w:p w14:paraId="5ABE72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敏感</w:t>
            </w:r>
          </w:p>
        </w:tc>
        <w:tc>
          <w:tcPr>
            <w:tcW w:w="669" w:type="dxa"/>
            <w:tcBorders>
              <w:tl2br w:val="nil"/>
              <w:tr2bl w:val="nil"/>
            </w:tcBorders>
            <w:noWrap w:val="0"/>
            <w:vAlign w:val="center"/>
          </w:tcPr>
          <w:p w14:paraId="545410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一级</w:t>
            </w:r>
          </w:p>
        </w:tc>
        <w:tc>
          <w:tcPr>
            <w:tcW w:w="669" w:type="dxa"/>
            <w:tcBorders>
              <w:tl2br w:val="nil"/>
              <w:tr2bl w:val="nil"/>
            </w:tcBorders>
            <w:noWrap w:val="0"/>
            <w:vAlign w:val="center"/>
          </w:tcPr>
          <w:p w14:paraId="3F8BAB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一级</w:t>
            </w:r>
          </w:p>
        </w:tc>
        <w:tc>
          <w:tcPr>
            <w:tcW w:w="669" w:type="dxa"/>
            <w:tcBorders>
              <w:tl2br w:val="nil"/>
              <w:tr2bl w:val="nil"/>
            </w:tcBorders>
            <w:noWrap w:val="0"/>
            <w:vAlign w:val="center"/>
          </w:tcPr>
          <w:p w14:paraId="2DB622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一级</w:t>
            </w:r>
          </w:p>
        </w:tc>
        <w:tc>
          <w:tcPr>
            <w:tcW w:w="669" w:type="dxa"/>
            <w:tcBorders>
              <w:tl2br w:val="nil"/>
              <w:tr2bl w:val="nil"/>
            </w:tcBorders>
            <w:noWrap w:val="0"/>
            <w:vAlign w:val="center"/>
          </w:tcPr>
          <w:p w14:paraId="236493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338F46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256481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6BE19A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69" w:type="dxa"/>
            <w:tcBorders>
              <w:tl2br w:val="nil"/>
              <w:tr2bl w:val="nil"/>
            </w:tcBorders>
            <w:shd w:val="clear" w:color="auto" w:fill="7F7F7F"/>
            <w:noWrap w:val="0"/>
            <w:vAlign w:val="center"/>
          </w:tcPr>
          <w:p w14:paraId="1C469C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74" w:type="dxa"/>
            <w:tcBorders>
              <w:tl2br w:val="nil"/>
              <w:tr2bl w:val="nil"/>
            </w:tcBorders>
            <w:shd w:val="clear" w:color="auto" w:fill="auto"/>
            <w:noWrap w:val="0"/>
            <w:vAlign w:val="center"/>
          </w:tcPr>
          <w:p w14:paraId="25E57C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r>
      <w:tr w14:paraId="1903D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78" w:type="dxa"/>
            <w:tcBorders>
              <w:tl2br w:val="nil"/>
              <w:tr2bl w:val="nil"/>
            </w:tcBorders>
            <w:noWrap w:val="0"/>
            <w:vAlign w:val="center"/>
          </w:tcPr>
          <w:p w14:paraId="02E12B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较敏感</w:t>
            </w:r>
          </w:p>
        </w:tc>
        <w:tc>
          <w:tcPr>
            <w:tcW w:w="669" w:type="dxa"/>
            <w:tcBorders>
              <w:tl2br w:val="nil"/>
              <w:tr2bl w:val="nil"/>
            </w:tcBorders>
            <w:noWrap w:val="0"/>
            <w:vAlign w:val="center"/>
          </w:tcPr>
          <w:p w14:paraId="6967B9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一级</w:t>
            </w:r>
          </w:p>
        </w:tc>
        <w:tc>
          <w:tcPr>
            <w:tcW w:w="669" w:type="dxa"/>
            <w:tcBorders>
              <w:tl2br w:val="nil"/>
              <w:tr2bl w:val="nil"/>
            </w:tcBorders>
            <w:noWrap w:val="0"/>
            <w:vAlign w:val="center"/>
          </w:tcPr>
          <w:p w14:paraId="011D73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一级</w:t>
            </w:r>
          </w:p>
        </w:tc>
        <w:tc>
          <w:tcPr>
            <w:tcW w:w="669" w:type="dxa"/>
            <w:tcBorders>
              <w:tl2br w:val="nil"/>
              <w:tr2bl w:val="nil"/>
            </w:tcBorders>
            <w:noWrap w:val="0"/>
            <w:vAlign w:val="center"/>
          </w:tcPr>
          <w:p w14:paraId="185880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7824C4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4B3E8A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1F88B6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69" w:type="dxa"/>
            <w:tcBorders>
              <w:tl2br w:val="nil"/>
              <w:tr2bl w:val="nil"/>
            </w:tcBorders>
            <w:noWrap w:val="0"/>
            <w:vAlign w:val="center"/>
          </w:tcPr>
          <w:p w14:paraId="430BFB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69" w:type="dxa"/>
            <w:tcBorders>
              <w:tl2br w:val="nil"/>
              <w:tr2bl w:val="nil"/>
            </w:tcBorders>
            <w:noWrap w:val="0"/>
            <w:vAlign w:val="center"/>
          </w:tcPr>
          <w:p w14:paraId="6659FF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74" w:type="dxa"/>
            <w:tcBorders>
              <w:tl2br w:val="nil"/>
              <w:tr2bl w:val="nil"/>
            </w:tcBorders>
            <w:noWrap w:val="0"/>
            <w:vAlign w:val="center"/>
          </w:tcPr>
          <w:p w14:paraId="11B416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w:t>
            </w:r>
          </w:p>
        </w:tc>
      </w:tr>
      <w:tr w14:paraId="24C3B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78" w:type="dxa"/>
            <w:tcBorders>
              <w:tl2br w:val="nil"/>
              <w:tr2bl w:val="nil"/>
            </w:tcBorders>
            <w:noWrap w:val="0"/>
            <w:vAlign w:val="center"/>
          </w:tcPr>
          <w:p w14:paraId="3E670F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不敏感</w:t>
            </w:r>
          </w:p>
        </w:tc>
        <w:tc>
          <w:tcPr>
            <w:tcW w:w="669" w:type="dxa"/>
            <w:tcBorders>
              <w:tl2br w:val="nil"/>
              <w:tr2bl w:val="nil"/>
            </w:tcBorders>
            <w:noWrap w:val="0"/>
            <w:vAlign w:val="center"/>
          </w:tcPr>
          <w:p w14:paraId="3F42FA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一级</w:t>
            </w:r>
          </w:p>
        </w:tc>
        <w:tc>
          <w:tcPr>
            <w:tcW w:w="669" w:type="dxa"/>
            <w:tcBorders>
              <w:tl2br w:val="nil"/>
              <w:tr2bl w:val="nil"/>
            </w:tcBorders>
            <w:noWrap w:val="0"/>
            <w:vAlign w:val="center"/>
          </w:tcPr>
          <w:p w14:paraId="391DCD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152C7D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468AE7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二级</w:t>
            </w:r>
          </w:p>
        </w:tc>
        <w:tc>
          <w:tcPr>
            <w:tcW w:w="669" w:type="dxa"/>
            <w:tcBorders>
              <w:tl2br w:val="nil"/>
              <w:tr2bl w:val="nil"/>
            </w:tcBorders>
            <w:noWrap w:val="0"/>
            <w:vAlign w:val="center"/>
          </w:tcPr>
          <w:p w14:paraId="1A6D93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69" w:type="dxa"/>
            <w:tcBorders>
              <w:tl2br w:val="nil"/>
              <w:tr2bl w:val="nil"/>
            </w:tcBorders>
            <w:noWrap w:val="0"/>
            <w:vAlign w:val="center"/>
          </w:tcPr>
          <w:p w14:paraId="6F85B3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69" w:type="dxa"/>
            <w:tcBorders>
              <w:tl2br w:val="nil"/>
              <w:tr2bl w:val="nil"/>
            </w:tcBorders>
            <w:noWrap w:val="0"/>
            <w:vAlign w:val="center"/>
          </w:tcPr>
          <w:p w14:paraId="427814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三级</w:t>
            </w:r>
          </w:p>
        </w:tc>
        <w:tc>
          <w:tcPr>
            <w:tcW w:w="669" w:type="dxa"/>
            <w:tcBorders>
              <w:tl2br w:val="nil"/>
              <w:tr2bl w:val="nil"/>
            </w:tcBorders>
            <w:noWrap w:val="0"/>
            <w:vAlign w:val="center"/>
          </w:tcPr>
          <w:p w14:paraId="0F37FE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w:t>
            </w:r>
          </w:p>
        </w:tc>
        <w:tc>
          <w:tcPr>
            <w:tcW w:w="674" w:type="dxa"/>
            <w:tcBorders>
              <w:tl2br w:val="nil"/>
              <w:tr2bl w:val="nil"/>
            </w:tcBorders>
            <w:noWrap w:val="0"/>
            <w:vAlign w:val="center"/>
          </w:tcPr>
          <w:p w14:paraId="6E8645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w:t>
            </w:r>
          </w:p>
        </w:tc>
      </w:tr>
      <w:tr w14:paraId="2BB24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4" w:type="dxa"/>
            <w:gridSpan w:val="10"/>
            <w:tcBorders>
              <w:tl2br w:val="nil"/>
              <w:tr2bl w:val="nil"/>
            </w:tcBorders>
            <w:noWrap w:val="0"/>
            <w:vAlign w:val="center"/>
          </w:tcPr>
          <w:p w14:paraId="6D567E6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表示可不开展土壤环境影响评价工作</w:t>
            </w:r>
          </w:p>
        </w:tc>
      </w:tr>
    </w:tbl>
    <w:p w14:paraId="67569557">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w:t>
      </w:r>
      <w:r>
        <w:rPr>
          <w:rFonts w:hint="eastAsia" w:cs="Times New Roman"/>
          <w:b/>
          <w:kern w:val="2"/>
          <w:sz w:val="24"/>
          <w:szCs w:val="24"/>
          <w:lang w:val="en-US" w:eastAsia="zh-CN" w:bidi="ar-SA"/>
        </w:rPr>
        <w:t>6</w:t>
      </w:r>
      <w:r>
        <w:rPr>
          <w:rFonts w:hint="default" w:ascii="Times New Roman" w:hAnsi="Times New Roman" w:eastAsia="宋体" w:cs="Times New Roman"/>
          <w:b/>
          <w:kern w:val="2"/>
          <w:sz w:val="24"/>
          <w:szCs w:val="24"/>
          <w:lang w:val="en-US" w:eastAsia="zh-CN" w:bidi="ar-SA"/>
        </w:rPr>
        <w:t>.1.</w:t>
      </w:r>
      <w:r>
        <w:rPr>
          <w:rFonts w:hint="eastAsia" w:ascii="Times New Roman" w:hAnsi="Times New Roman" w:eastAsia="宋体" w:cs="Times New Roman"/>
          <w:b/>
          <w:kern w:val="2"/>
          <w:sz w:val="24"/>
          <w:szCs w:val="24"/>
          <w:lang w:val="en-US" w:eastAsia="zh-CN" w:bidi="ar-SA"/>
        </w:rPr>
        <w:t>5</w:t>
      </w:r>
      <w:r>
        <w:rPr>
          <w:rFonts w:hint="default" w:ascii="Times New Roman" w:hAnsi="Times New Roman" w:eastAsia="宋体" w:cs="Times New Roman"/>
          <w:b/>
          <w:kern w:val="2"/>
          <w:sz w:val="24"/>
          <w:szCs w:val="24"/>
          <w:lang w:val="en-US" w:eastAsia="zh-CN" w:bidi="ar-SA"/>
        </w:rPr>
        <w:t>生态环境</w:t>
      </w:r>
    </w:p>
    <w:p w14:paraId="060C3798">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根据《环境影响评价技术导则</w:t>
      </w:r>
      <w:r>
        <w:rPr>
          <w:rFonts w:hint="eastAsia" w:cs="Times New Roman"/>
          <w:kern w:val="2"/>
          <w:sz w:val="24"/>
          <w:szCs w:val="22"/>
          <w:lang w:val="en-US" w:eastAsia="zh-CN" w:bidi="ar-SA"/>
        </w:rPr>
        <w:t xml:space="preserve"> </w:t>
      </w:r>
      <w:r>
        <w:rPr>
          <w:rFonts w:hint="eastAsia" w:ascii="Times New Roman" w:hAnsi="Times New Roman" w:eastAsia="宋体" w:cs="Times New Roman"/>
          <w:kern w:val="2"/>
          <w:sz w:val="24"/>
          <w:szCs w:val="22"/>
          <w:lang w:val="en-US" w:eastAsia="zh-CN" w:bidi="ar-SA"/>
        </w:rPr>
        <w:t>生态</w:t>
      </w:r>
      <w:r>
        <w:rPr>
          <w:rFonts w:hint="eastAsia" w:cs="Times New Roman"/>
          <w:kern w:val="2"/>
          <w:sz w:val="24"/>
          <w:szCs w:val="22"/>
          <w:lang w:val="en-US" w:eastAsia="zh-CN" w:bidi="ar-SA"/>
        </w:rPr>
        <w:t>影响</w:t>
      </w:r>
      <w:r>
        <w:rPr>
          <w:rFonts w:hint="eastAsia" w:ascii="Times New Roman" w:hAnsi="Times New Roman" w:eastAsia="宋体" w:cs="Times New Roman"/>
          <w:kern w:val="2"/>
          <w:sz w:val="24"/>
          <w:szCs w:val="22"/>
          <w:lang w:val="en-US" w:eastAsia="zh-CN" w:bidi="ar-SA"/>
        </w:rPr>
        <w:t>》（</w:t>
      </w:r>
      <w:r>
        <w:rPr>
          <w:rFonts w:hint="default" w:ascii="Times New Roman" w:hAnsi="Times New Roman" w:eastAsia="宋体" w:cs="Times New Roman"/>
          <w:kern w:val="2"/>
          <w:sz w:val="24"/>
          <w:szCs w:val="22"/>
          <w:lang w:val="en-US" w:eastAsia="zh-CN" w:bidi="ar-SA"/>
        </w:rPr>
        <w:t>HJ19-2022</w:t>
      </w:r>
      <w:r>
        <w:rPr>
          <w:rFonts w:hint="eastAsia" w:ascii="Times New Roman" w:hAnsi="Times New Roman" w:eastAsia="宋体" w:cs="Times New Roman"/>
          <w:kern w:val="2"/>
          <w:sz w:val="24"/>
          <w:szCs w:val="22"/>
          <w:lang w:val="en-US" w:eastAsia="zh-CN" w:bidi="ar-SA"/>
        </w:rPr>
        <w:t>）中</w:t>
      </w:r>
      <w:r>
        <w:rPr>
          <w:rFonts w:hint="default" w:ascii="Times New Roman" w:hAnsi="Times New Roman" w:eastAsia="宋体" w:cs="Times New Roman"/>
          <w:kern w:val="2"/>
          <w:sz w:val="24"/>
          <w:szCs w:val="22"/>
          <w:lang w:val="en-US" w:eastAsia="zh-CN" w:bidi="ar-SA"/>
        </w:rPr>
        <w:t>6.1.2</w:t>
      </w:r>
      <w:r>
        <w:rPr>
          <w:rFonts w:hint="eastAsia" w:ascii="Times New Roman" w:hAnsi="Times New Roman" w:eastAsia="宋体" w:cs="Times New Roman"/>
          <w:kern w:val="2"/>
          <w:sz w:val="24"/>
          <w:szCs w:val="22"/>
          <w:lang w:val="en-US" w:eastAsia="zh-CN" w:bidi="ar-SA"/>
        </w:rPr>
        <w:t>确定评价等级：</w:t>
      </w:r>
    </w:p>
    <w:p w14:paraId="56DE07EB">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①涉及国家公园、自然保护区、世界自然遗产、重要生境时，评价等级为一级；</w:t>
      </w:r>
    </w:p>
    <w:p w14:paraId="4195EE90">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②涉及自然公园时，评价等级为二级；</w:t>
      </w:r>
    </w:p>
    <w:p w14:paraId="789B1B5B">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③涉及生态保护红线时，评价等级不低于二级；</w:t>
      </w:r>
    </w:p>
    <w:p w14:paraId="125D9D51">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④根据</w:t>
      </w:r>
      <w:r>
        <w:rPr>
          <w:rFonts w:hint="default" w:ascii="Times New Roman" w:hAnsi="Times New Roman" w:eastAsia="宋体" w:cs="Times New Roman"/>
          <w:kern w:val="2"/>
          <w:sz w:val="24"/>
          <w:szCs w:val="22"/>
          <w:lang w:val="en-US" w:eastAsia="zh-CN" w:bidi="ar-SA"/>
        </w:rPr>
        <w:t>HJ2.3</w:t>
      </w:r>
      <w:r>
        <w:rPr>
          <w:rFonts w:hint="eastAsia" w:ascii="Times New Roman" w:hAnsi="Times New Roman" w:eastAsia="宋体" w:cs="Times New Roman"/>
          <w:kern w:val="2"/>
          <w:sz w:val="24"/>
          <w:szCs w:val="22"/>
          <w:lang w:val="en-US" w:eastAsia="zh-CN" w:bidi="ar-SA"/>
        </w:rPr>
        <w:t>判断属于水文要素影响型且地表水评价等级不低于二级的建设项目，生态影响评价等级不低于二级；</w:t>
      </w:r>
    </w:p>
    <w:p w14:paraId="7A6AD864">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⑤根据</w:t>
      </w:r>
      <w:r>
        <w:rPr>
          <w:rFonts w:hint="default" w:ascii="Times New Roman" w:hAnsi="Times New Roman" w:eastAsia="宋体" w:cs="Times New Roman"/>
          <w:kern w:val="2"/>
          <w:sz w:val="24"/>
          <w:szCs w:val="22"/>
          <w:lang w:val="en-US" w:eastAsia="zh-CN" w:bidi="ar-SA"/>
        </w:rPr>
        <w:t>HJ610</w:t>
      </w:r>
      <w:r>
        <w:rPr>
          <w:rFonts w:hint="eastAsia" w:ascii="Times New Roman" w:hAnsi="Times New Roman" w:eastAsia="宋体" w:cs="Times New Roman"/>
          <w:kern w:val="2"/>
          <w:sz w:val="24"/>
          <w:szCs w:val="22"/>
          <w:lang w:val="en-US" w:eastAsia="zh-CN" w:bidi="ar-SA"/>
        </w:rPr>
        <w:t>、</w:t>
      </w:r>
      <w:r>
        <w:rPr>
          <w:rFonts w:hint="default" w:ascii="Times New Roman" w:hAnsi="Times New Roman" w:eastAsia="宋体" w:cs="Times New Roman"/>
          <w:kern w:val="2"/>
          <w:sz w:val="24"/>
          <w:szCs w:val="22"/>
          <w:lang w:val="en-US" w:eastAsia="zh-CN" w:bidi="ar-SA"/>
        </w:rPr>
        <w:t>HJ964</w:t>
      </w:r>
      <w:r>
        <w:rPr>
          <w:rFonts w:hint="eastAsia" w:ascii="Times New Roman" w:hAnsi="Times New Roman" w:eastAsia="宋体" w:cs="Times New Roman"/>
          <w:kern w:val="2"/>
          <w:sz w:val="24"/>
          <w:szCs w:val="22"/>
          <w:lang w:val="en-US" w:eastAsia="zh-CN" w:bidi="ar-SA"/>
        </w:rPr>
        <w:t>判断地下水水位或土壤影响范围内分布有天然林、公益林、湿地等生态保护目标的建设项目，生态影响评价等级不低于二级；</w:t>
      </w:r>
    </w:p>
    <w:p w14:paraId="1C7531CE">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⑥当工程占地规模大于</w:t>
      </w:r>
      <w:r>
        <w:rPr>
          <w:rFonts w:hint="default" w:ascii="Times New Roman" w:hAnsi="Times New Roman" w:eastAsia="宋体" w:cs="Times New Roman"/>
          <w:kern w:val="2"/>
          <w:sz w:val="24"/>
          <w:szCs w:val="22"/>
          <w:lang w:val="en-US" w:eastAsia="zh-CN" w:bidi="ar-SA"/>
        </w:rPr>
        <w:t>20km</w:t>
      </w:r>
      <w:r>
        <w:rPr>
          <w:rFonts w:hint="default" w:ascii="Times New Roman" w:hAnsi="Times New Roman" w:eastAsia="宋体" w:cs="Times New Roman"/>
          <w:kern w:val="2"/>
          <w:sz w:val="24"/>
          <w:szCs w:val="22"/>
          <w:vertAlign w:val="superscript"/>
          <w:lang w:val="en-US" w:eastAsia="zh-CN" w:bidi="ar-SA"/>
        </w:rPr>
        <w:t>2</w:t>
      </w:r>
      <w:r>
        <w:rPr>
          <w:rFonts w:hint="eastAsia" w:ascii="Times New Roman" w:hAnsi="Times New Roman" w:eastAsia="宋体" w:cs="Times New Roman"/>
          <w:kern w:val="2"/>
          <w:sz w:val="24"/>
          <w:szCs w:val="22"/>
          <w:lang w:val="en-US" w:eastAsia="zh-CN" w:bidi="ar-SA"/>
        </w:rPr>
        <w:t>时（包括永久和临时占用陆域和水域），评价等级不低于二级；改扩建项目的占地范围以新增占地（包括陆域和水域）确定；</w:t>
      </w:r>
    </w:p>
    <w:p w14:paraId="4985A336">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⑦除本条①、②、③、④、⑤、⑥以外的情况，评价等级为三级；</w:t>
      </w:r>
    </w:p>
    <w:p w14:paraId="01A48A35">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⑧当评价等级判定同时符合上述多种情况时，应采用其中最高的评价等级。</w:t>
      </w:r>
    </w:p>
    <w:p w14:paraId="12B39FE8">
      <w:pPr>
        <w:widowControl w:val="0"/>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根据以上判别，本项目属于⑦，因此生态环境评价工作等级为三级。</w:t>
      </w:r>
    </w:p>
    <w:p w14:paraId="2517BFE7">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w:t>
      </w:r>
      <w:r>
        <w:rPr>
          <w:rFonts w:hint="eastAsia" w:cs="Times New Roman"/>
          <w:b/>
          <w:kern w:val="2"/>
          <w:sz w:val="24"/>
          <w:szCs w:val="24"/>
          <w:lang w:val="en-US" w:eastAsia="zh-CN" w:bidi="ar-SA"/>
        </w:rPr>
        <w:t>6</w:t>
      </w:r>
      <w:r>
        <w:rPr>
          <w:rFonts w:hint="default" w:ascii="Times New Roman" w:hAnsi="Times New Roman" w:eastAsia="宋体" w:cs="Times New Roman"/>
          <w:b/>
          <w:kern w:val="2"/>
          <w:sz w:val="24"/>
          <w:szCs w:val="24"/>
          <w:lang w:val="en-US" w:eastAsia="zh-CN" w:bidi="ar-SA"/>
        </w:rPr>
        <w:t>.1.6环境风险</w:t>
      </w:r>
    </w:p>
    <w:p w14:paraId="6131A2F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根据《建设项目环境风险评价技术导则》（HJ169-2018）风险评价等级划分原则，环境风险评价工作</w:t>
      </w:r>
      <w:r>
        <w:rPr>
          <w:rFonts w:hint="eastAsia" w:cs="Times New Roman"/>
          <w:kern w:val="2"/>
          <w:sz w:val="24"/>
          <w:szCs w:val="24"/>
          <w:lang w:val="en-US" w:eastAsia="zh-CN" w:bidi="ar-SA"/>
        </w:rPr>
        <w:t>划分</w:t>
      </w:r>
      <w:r>
        <w:rPr>
          <w:rFonts w:hint="default" w:ascii="Times New Roman" w:hAnsi="Times New Roman" w:eastAsia="宋体" w:cs="Times New Roman"/>
          <w:kern w:val="2"/>
          <w:sz w:val="24"/>
          <w:szCs w:val="24"/>
          <w:lang w:val="en-US" w:eastAsia="zh-CN" w:bidi="ar-SA"/>
        </w:rPr>
        <w:t>等级分为一级、二级、三级，根据建设项目设计的物质及工艺系统危险性和所在地的环境敏感性确定环境风险潜势，以此确定评价工作等级。</w:t>
      </w:r>
    </w:p>
    <w:p w14:paraId="47C74FFE">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本项目涉及的有毒有害物质主要为氨、硫化氢等，根据</w:t>
      </w:r>
      <w:r>
        <w:rPr>
          <w:rFonts w:hint="eastAsia" w:ascii="Times New Roman" w:hAnsi="Times New Roman" w:eastAsia="宋体" w:cs="Times New Roman"/>
          <w:color w:val="auto"/>
          <w:kern w:val="2"/>
          <w:sz w:val="24"/>
          <w:szCs w:val="24"/>
          <w:lang w:val="en-US" w:eastAsia="zh-CN" w:bidi="ar-SA"/>
        </w:rPr>
        <w:t>6.</w:t>
      </w:r>
      <w:r>
        <w:rPr>
          <w:rFonts w:hint="eastAsia"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章节分析，</w:t>
      </w:r>
      <w:r>
        <w:rPr>
          <w:rFonts w:hint="default" w:ascii="Times New Roman" w:hAnsi="Times New Roman" w:eastAsia="宋体" w:cs="Times New Roman"/>
          <w:color w:val="auto"/>
          <w:kern w:val="2"/>
          <w:sz w:val="24"/>
          <w:szCs w:val="24"/>
          <w:lang w:val="zh-CN" w:eastAsia="zh-CN" w:bidi="ar-SA"/>
        </w:rPr>
        <w:t>本项目风险潜势为Ⅰ，</w:t>
      </w:r>
      <w:r>
        <w:rPr>
          <w:rFonts w:hint="default" w:ascii="Times New Roman" w:hAnsi="Times New Roman" w:eastAsia="宋体" w:cs="Times New Roman"/>
          <w:color w:val="auto"/>
          <w:kern w:val="2"/>
          <w:sz w:val="24"/>
          <w:szCs w:val="24"/>
          <w:lang w:val="en-US" w:eastAsia="zh-CN" w:bidi="ar-SA"/>
        </w:rPr>
        <w:t>评价工作等级为</w:t>
      </w:r>
      <w:r>
        <w:rPr>
          <w:rFonts w:hint="default" w:ascii="Times New Roman" w:hAnsi="Times New Roman" w:eastAsia="宋体" w:cs="Times New Roman"/>
          <w:color w:val="auto"/>
          <w:kern w:val="2"/>
          <w:sz w:val="24"/>
          <w:szCs w:val="24"/>
          <w:lang w:val="zh-CN" w:eastAsia="zh-CN" w:bidi="ar-SA"/>
        </w:rPr>
        <w:t>简单分析。</w:t>
      </w:r>
      <w:r>
        <w:rPr>
          <w:rFonts w:hint="default" w:ascii="Times New Roman" w:hAnsi="Times New Roman" w:eastAsia="宋体" w:cs="Times New Roman"/>
          <w:color w:val="auto"/>
          <w:kern w:val="2"/>
          <w:sz w:val="24"/>
          <w:szCs w:val="24"/>
          <w:lang w:val="en-US" w:eastAsia="zh-CN" w:bidi="ar-SA"/>
        </w:rPr>
        <w:t>评价工作等级划分见表2.</w:t>
      </w:r>
      <w:r>
        <w:rPr>
          <w:rFonts w:hint="eastAsia"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11</w:t>
      </w:r>
      <w:r>
        <w:rPr>
          <w:rFonts w:hint="default" w:ascii="Times New Roman" w:hAnsi="Times New Roman" w:eastAsia="宋体" w:cs="Times New Roman"/>
          <w:color w:val="auto"/>
          <w:kern w:val="2"/>
          <w:sz w:val="24"/>
          <w:szCs w:val="24"/>
          <w:lang w:val="en-US" w:eastAsia="zh-CN" w:bidi="ar-SA"/>
        </w:rPr>
        <w:t>。</w:t>
      </w:r>
    </w:p>
    <w:p w14:paraId="4D30958F">
      <w:pPr>
        <w:keepNext w:val="0"/>
        <w:keepLines w:val="0"/>
        <w:pageBreakBefore w:val="0"/>
        <w:widowControl w:val="0"/>
        <w:kinsoku/>
        <w:wordWrap/>
        <w:overflowPunct/>
        <w:topLinePunct w:val="0"/>
        <w:autoSpaceDE/>
        <w:autoSpaceDN/>
        <w:bidi w:val="0"/>
        <w:adjustRightInd/>
        <w:snapToGrid/>
        <w:spacing w:line="460" w:lineRule="exact"/>
        <w:ind w:firstLine="420"/>
        <w:jc w:val="center"/>
        <w:textAlignment w:val="auto"/>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表2.</w:t>
      </w:r>
      <w:r>
        <w:rPr>
          <w:rFonts w:hint="eastAsia" w:cs="Times New Roman"/>
          <w:b/>
          <w:kern w:val="0"/>
          <w:sz w:val="24"/>
          <w:szCs w:val="24"/>
          <w:lang w:val="en-US" w:eastAsia="zh-CN" w:bidi="ar-SA"/>
        </w:rPr>
        <w:t>6</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11</w:t>
      </w:r>
      <w:r>
        <w:rPr>
          <w:rFonts w:hint="default" w:ascii="Times New Roman" w:hAnsi="Times New Roman" w:eastAsia="宋体" w:cs="Times New Roman"/>
          <w:b/>
          <w:kern w:val="0"/>
          <w:sz w:val="24"/>
          <w:szCs w:val="24"/>
          <w:lang w:val="en-US" w:eastAsia="zh-CN" w:bidi="ar-SA"/>
        </w:rPr>
        <w:t>评价工作级别划分方法</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570"/>
        <w:gridCol w:w="1568"/>
        <w:gridCol w:w="1746"/>
        <w:gridCol w:w="1941"/>
        <w:gridCol w:w="1679"/>
      </w:tblGrid>
      <w:tr w14:paraId="00AA17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70" w:type="dxa"/>
            <w:noWrap w:val="0"/>
            <w:vAlign w:val="center"/>
          </w:tcPr>
          <w:p w14:paraId="4A68BCF8">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环境风险潜势</w:t>
            </w:r>
          </w:p>
        </w:tc>
        <w:tc>
          <w:tcPr>
            <w:tcW w:w="1568" w:type="dxa"/>
            <w:noWrap w:val="0"/>
            <w:vAlign w:val="center"/>
          </w:tcPr>
          <w:p w14:paraId="3AEE5B9F">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vertAlign w:val="superscript"/>
                <w:lang w:val="en-US" w:eastAsia="zh-CN" w:bidi="ar-SA"/>
              </w:rPr>
            </w:pPr>
            <w:r>
              <w:rPr>
                <w:rFonts w:hint="default" w:ascii="Times New Roman" w:hAnsi="Times New Roman" w:eastAsia="宋体" w:cs="Times New Roman"/>
                <w:b w:val="0"/>
                <w:bCs/>
                <w:color w:val="auto"/>
                <w:kern w:val="2"/>
                <w:sz w:val="21"/>
                <w:szCs w:val="21"/>
                <w:lang w:val="en-US" w:eastAsia="zh-CN" w:bidi="ar-SA"/>
              </w:rPr>
              <w:t>Ⅳ、Ⅳ</w:t>
            </w:r>
            <w:r>
              <w:rPr>
                <w:rFonts w:hint="default" w:ascii="Times New Roman" w:hAnsi="Times New Roman" w:eastAsia="宋体" w:cs="Times New Roman"/>
                <w:b w:val="0"/>
                <w:bCs/>
                <w:color w:val="auto"/>
                <w:kern w:val="2"/>
                <w:sz w:val="21"/>
                <w:szCs w:val="21"/>
                <w:vertAlign w:val="superscript"/>
                <w:lang w:val="en-US" w:eastAsia="zh-CN" w:bidi="ar-SA"/>
              </w:rPr>
              <w:t>+</w:t>
            </w:r>
          </w:p>
        </w:tc>
        <w:tc>
          <w:tcPr>
            <w:tcW w:w="1746" w:type="dxa"/>
            <w:noWrap w:val="0"/>
            <w:vAlign w:val="center"/>
          </w:tcPr>
          <w:p w14:paraId="10AB9F5D">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Ⅲ</w:t>
            </w:r>
          </w:p>
        </w:tc>
        <w:tc>
          <w:tcPr>
            <w:tcW w:w="1941" w:type="dxa"/>
            <w:noWrap w:val="0"/>
            <w:vAlign w:val="center"/>
          </w:tcPr>
          <w:p w14:paraId="69A830B1">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Ⅱ</w:t>
            </w:r>
          </w:p>
        </w:tc>
        <w:tc>
          <w:tcPr>
            <w:tcW w:w="1679" w:type="dxa"/>
            <w:noWrap w:val="0"/>
            <w:vAlign w:val="center"/>
          </w:tcPr>
          <w:p w14:paraId="38CBC722">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Ⅰ</w:t>
            </w:r>
          </w:p>
        </w:tc>
      </w:tr>
      <w:tr w14:paraId="5DE9E5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70" w:type="dxa"/>
            <w:noWrap w:val="0"/>
            <w:vAlign w:val="center"/>
          </w:tcPr>
          <w:p w14:paraId="16009D3B">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评价工作等级</w:t>
            </w:r>
          </w:p>
        </w:tc>
        <w:tc>
          <w:tcPr>
            <w:tcW w:w="1568" w:type="dxa"/>
            <w:noWrap w:val="0"/>
            <w:vAlign w:val="center"/>
          </w:tcPr>
          <w:p w14:paraId="20286D17">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一</w:t>
            </w:r>
          </w:p>
        </w:tc>
        <w:tc>
          <w:tcPr>
            <w:tcW w:w="1746" w:type="dxa"/>
            <w:noWrap w:val="0"/>
            <w:vAlign w:val="center"/>
          </w:tcPr>
          <w:p w14:paraId="36F81B69">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二</w:t>
            </w:r>
          </w:p>
        </w:tc>
        <w:tc>
          <w:tcPr>
            <w:tcW w:w="1941" w:type="dxa"/>
            <w:noWrap w:val="0"/>
            <w:vAlign w:val="center"/>
          </w:tcPr>
          <w:p w14:paraId="62CEF54A">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三</w:t>
            </w:r>
          </w:p>
        </w:tc>
        <w:tc>
          <w:tcPr>
            <w:tcW w:w="1679" w:type="dxa"/>
            <w:noWrap w:val="0"/>
            <w:vAlign w:val="center"/>
          </w:tcPr>
          <w:p w14:paraId="77D672D3">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val="0"/>
                <w:bCs/>
                <w:color w:val="auto"/>
                <w:kern w:val="2"/>
                <w:sz w:val="21"/>
                <w:szCs w:val="21"/>
                <w:vertAlign w:val="superscript"/>
                <w:lang w:val="en-US" w:eastAsia="zh-CN" w:bidi="ar-SA"/>
              </w:rPr>
            </w:pPr>
            <w:r>
              <w:rPr>
                <w:rFonts w:hint="default" w:ascii="Times New Roman" w:hAnsi="Times New Roman" w:eastAsia="宋体" w:cs="Times New Roman"/>
                <w:b w:val="0"/>
                <w:bCs/>
                <w:color w:val="auto"/>
                <w:kern w:val="2"/>
                <w:sz w:val="21"/>
                <w:szCs w:val="21"/>
                <w:lang w:val="en-US" w:eastAsia="zh-CN" w:bidi="ar-SA"/>
              </w:rPr>
              <w:t>简单分析</w:t>
            </w:r>
            <w:r>
              <w:rPr>
                <w:rFonts w:hint="default" w:ascii="Times New Roman" w:hAnsi="Times New Roman" w:eastAsia="宋体" w:cs="Times New Roman"/>
                <w:b w:val="0"/>
                <w:bCs/>
                <w:color w:val="auto"/>
                <w:kern w:val="2"/>
                <w:sz w:val="21"/>
                <w:szCs w:val="21"/>
                <w:vertAlign w:val="superscript"/>
                <w:lang w:val="en-US" w:eastAsia="zh-CN" w:bidi="ar-SA"/>
              </w:rPr>
              <w:t>a</w:t>
            </w:r>
          </w:p>
        </w:tc>
      </w:tr>
      <w:tr w14:paraId="4B454E5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8504" w:type="dxa"/>
            <w:gridSpan w:val="5"/>
            <w:noWrap w:val="0"/>
            <w:vAlign w:val="center"/>
          </w:tcPr>
          <w:p w14:paraId="261D330F">
            <w:pPr>
              <w:keepNext w:val="0"/>
              <w:keepLines w:val="0"/>
              <w:pageBreakBefore w:val="0"/>
              <w:widowControl w:val="0"/>
              <w:tabs>
                <w:tab w:val="left" w:pos="1845"/>
              </w:tabs>
              <w:kinsoku/>
              <w:wordWrap/>
              <w:overflowPunct/>
              <w:topLinePunct w:val="0"/>
              <w:autoSpaceDE w:val="0"/>
              <w:autoSpaceDN w:val="0"/>
              <w:bidi w:val="0"/>
              <w:adjustRightInd/>
              <w:snapToGrid/>
              <w:spacing w:line="380" w:lineRule="exact"/>
              <w:ind w:firstLine="0" w:firstLineChars="0"/>
              <w:contextualSpacing/>
              <w:jc w:val="center"/>
              <w:textAlignment w:val="auto"/>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val="0"/>
                <w:bCs/>
                <w:color w:val="auto"/>
                <w:kern w:val="2"/>
                <w:sz w:val="21"/>
                <w:szCs w:val="21"/>
                <w:vertAlign w:val="superscript"/>
                <w:lang w:val="en-US" w:eastAsia="zh-CN" w:bidi="ar-SA"/>
              </w:rPr>
              <w:t>a</w:t>
            </w:r>
            <w:r>
              <w:rPr>
                <w:rFonts w:hint="default" w:ascii="Times New Roman" w:hAnsi="Times New Roman" w:eastAsia="宋体" w:cs="Times New Roman"/>
                <w:b w:val="0"/>
                <w:bCs/>
                <w:color w:val="auto"/>
                <w:kern w:val="2"/>
                <w:sz w:val="21"/>
                <w:szCs w:val="21"/>
                <w:lang w:val="en-US" w:eastAsia="zh-CN" w:bidi="ar-SA"/>
              </w:rPr>
              <w:t>是相对于详细评价工作内容而言，在描述危险物质、环境影响途径、环境危害后果、风险防范措施等方面给出定性的说明。</w:t>
            </w:r>
          </w:p>
        </w:tc>
      </w:tr>
    </w:tbl>
    <w:p w14:paraId="6FAD3A5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2.</w:t>
      </w:r>
      <w:r>
        <w:rPr>
          <w:rFonts w:hint="eastAsia" w:cs="Times New Roman"/>
          <w:b/>
          <w:kern w:val="2"/>
          <w:sz w:val="24"/>
          <w:szCs w:val="24"/>
          <w:lang w:val="en-US" w:eastAsia="zh-CN" w:bidi="ar-SA"/>
        </w:rPr>
        <w:t>6</w:t>
      </w:r>
      <w:r>
        <w:rPr>
          <w:rFonts w:hint="default" w:ascii="Times New Roman" w:hAnsi="Times New Roman" w:eastAsia="宋体" w:cs="Times New Roman"/>
          <w:b/>
          <w:kern w:val="2"/>
          <w:sz w:val="24"/>
          <w:szCs w:val="24"/>
          <w:lang w:val="en-US" w:eastAsia="zh-CN" w:bidi="ar-SA"/>
        </w:rPr>
        <w:t>.1.7小结</w:t>
      </w:r>
    </w:p>
    <w:p w14:paraId="2B03DF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本项目</w:t>
      </w:r>
      <w:r>
        <w:rPr>
          <w:rFonts w:hint="eastAsia" w:cs="Times New Roman"/>
          <w:kern w:val="2"/>
          <w:sz w:val="24"/>
          <w:szCs w:val="24"/>
          <w:lang w:val="en-US" w:eastAsia="zh-CN" w:bidi="ar-SA"/>
        </w:rPr>
        <w:t>环境影响评价</w:t>
      </w:r>
      <w:r>
        <w:rPr>
          <w:rFonts w:hint="default" w:ascii="Times New Roman" w:hAnsi="Times New Roman" w:eastAsia="宋体" w:cs="Times New Roman"/>
          <w:kern w:val="2"/>
          <w:sz w:val="24"/>
          <w:szCs w:val="24"/>
          <w:lang w:val="en-US" w:eastAsia="zh-CN" w:bidi="ar-SA"/>
        </w:rPr>
        <w:t>等级见表2.</w:t>
      </w:r>
      <w:r>
        <w:rPr>
          <w:rFonts w:hint="eastAsia" w:cs="Times New Roman"/>
          <w:kern w:val="2"/>
          <w:sz w:val="24"/>
          <w:szCs w:val="24"/>
          <w:lang w:val="en-US" w:eastAsia="zh-CN" w:bidi="ar-SA"/>
        </w:rPr>
        <w:t>6</w:t>
      </w:r>
      <w:r>
        <w:rPr>
          <w:rFonts w:hint="default"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1</w:t>
      </w:r>
      <w:r>
        <w:rPr>
          <w:rFonts w:hint="eastAsia"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w:t>
      </w:r>
    </w:p>
    <w:p w14:paraId="33AB5BBA">
      <w:pPr>
        <w:keepNext w:val="0"/>
        <w:keepLines w:val="0"/>
        <w:pageBreakBefore w:val="0"/>
        <w:widowControl w:val="0"/>
        <w:kinsoku/>
        <w:wordWrap/>
        <w:overflowPunct/>
        <w:topLinePunct w:val="0"/>
        <w:autoSpaceDE/>
        <w:autoSpaceDN/>
        <w:bidi w:val="0"/>
        <w:adjustRightInd/>
        <w:snapToGrid/>
        <w:spacing w:line="360" w:lineRule="auto"/>
        <w:ind w:firstLine="470" w:firstLineChars="196"/>
        <w:jc w:val="center"/>
        <w:textAlignment w:val="auto"/>
        <w:rPr>
          <w:rFonts w:hint="default" w:ascii="Times New Roman" w:hAnsi="Times New Roman" w:eastAsia="宋体" w:cs="Times New Roman"/>
          <w:b/>
          <w:sz w:val="24"/>
          <w:szCs w:val="24"/>
          <w:lang w:bidi="ar"/>
        </w:rPr>
      </w:pPr>
      <w:r>
        <w:rPr>
          <w:rFonts w:hint="default" w:ascii="Times New Roman" w:hAnsi="Times New Roman" w:eastAsia="宋体" w:cs="Times New Roman"/>
          <w:b/>
          <w:sz w:val="24"/>
          <w:szCs w:val="24"/>
          <w:lang w:bidi="ar"/>
        </w:rPr>
        <w:t>表2.</w:t>
      </w:r>
      <w:r>
        <w:rPr>
          <w:rFonts w:hint="eastAsia" w:cs="Times New Roman"/>
          <w:b/>
          <w:sz w:val="24"/>
          <w:szCs w:val="24"/>
          <w:lang w:val="en-US" w:eastAsia="zh-CN" w:bidi="ar"/>
        </w:rPr>
        <w:t>6</w:t>
      </w:r>
      <w:r>
        <w:rPr>
          <w:rFonts w:hint="default" w:ascii="Times New Roman" w:hAnsi="Times New Roman" w:eastAsia="宋体" w:cs="Times New Roman"/>
          <w:b/>
          <w:sz w:val="24"/>
          <w:szCs w:val="24"/>
          <w:lang w:bidi="ar"/>
        </w:rPr>
        <w:t>-</w:t>
      </w:r>
      <w:r>
        <w:rPr>
          <w:rFonts w:hint="eastAsia" w:ascii="Times New Roman" w:hAnsi="Times New Roman" w:cs="Times New Roman"/>
          <w:b/>
          <w:sz w:val="24"/>
          <w:szCs w:val="24"/>
          <w:lang w:val="en-US" w:eastAsia="zh-CN" w:bidi="ar"/>
        </w:rPr>
        <w:t>1</w:t>
      </w:r>
      <w:r>
        <w:rPr>
          <w:rFonts w:hint="eastAsia" w:cs="Times New Roman"/>
          <w:b/>
          <w:sz w:val="24"/>
          <w:szCs w:val="24"/>
          <w:lang w:val="en-US" w:eastAsia="zh-CN" w:bidi="ar"/>
        </w:rPr>
        <w:t>2</w:t>
      </w:r>
      <w:r>
        <w:rPr>
          <w:rFonts w:hint="default" w:ascii="Times New Roman" w:hAnsi="Times New Roman" w:eastAsia="宋体" w:cs="Times New Roman"/>
          <w:b/>
          <w:sz w:val="24"/>
          <w:szCs w:val="24"/>
          <w:lang w:bidi="ar"/>
        </w:rPr>
        <w:t>环境影响评价等级表</w:t>
      </w:r>
    </w:p>
    <w:tbl>
      <w:tblPr>
        <w:tblStyle w:val="20"/>
        <w:tblW w:w="85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7"/>
        <w:gridCol w:w="3174"/>
        <w:gridCol w:w="3186"/>
        <w:gridCol w:w="1128"/>
      </w:tblGrid>
      <w:tr w14:paraId="5E278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noWrap w:val="0"/>
            <w:vAlign w:val="center"/>
          </w:tcPr>
          <w:p w14:paraId="52B01B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专  题</w:t>
            </w:r>
          </w:p>
        </w:tc>
        <w:tc>
          <w:tcPr>
            <w:tcW w:w="6360" w:type="dxa"/>
            <w:gridSpan w:val="2"/>
            <w:noWrap w:val="0"/>
            <w:vAlign w:val="center"/>
          </w:tcPr>
          <w:p w14:paraId="36E39D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等 级 的 判 据</w:t>
            </w:r>
          </w:p>
        </w:tc>
        <w:tc>
          <w:tcPr>
            <w:tcW w:w="1128" w:type="dxa"/>
            <w:noWrap w:val="0"/>
            <w:vAlign w:val="center"/>
          </w:tcPr>
          <w:p w14:paraId="0AEDE4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评价等级</w:t>
            </w:r>
          </w:p>
        </w:tc>
      </w:tr>
      <w:tr w14:paraId="13D9F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restart"/>
            <w:noWrap w:val="0"/>
            <w:vAlign w:val="center"/>
          </w:tcPr>
          <w:p w14:paraId="2256D9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环境空气</w:t>
            </w:r>
          </w:p>
        </w:tc>
        <w:tc>
          <w:tcPr>
            <w:tcW w:w="3174" w:type="dxa"/>
            <w:noWrap w:val="0"/>
            <w:vAlign w:val="center"/>
          </w:tcPr>
          <w:p w14:paraId="408D10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污染物最大地面质量浓度占标率</w:t>
            </w:r>
          </w:p>
        </w:tc>
        <w:tc>
          <w:tcPr>
            <w:tcW w:w="3186" w:type="dxa"/>
            <w:noWrap w:val="0"/>
            <w:vAlign w:val="center"/>
          </w:tcPr>
          <w:p w14:paraId="76FD46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i/>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1%≤P</w:t>
            </w:r>
            <w:r>
              <w:rPr>
                <w:rFonts w:hint="default" w:ascii="Times New Roman" w:hAnsi="Times New Roman" w:eastAsia="宋体" w:cs="Times New Roman"/>
                <w:color w:val="000000"/>
                <w:kern w:val="0"/>
                <w:sz w:val="21"/>
                <w:szCs w:val="21"/>
                <w:vertAlign w:val="subscript"/>
                <w:lang w:val="en-US" w:eastAsia="zh-CN" w:bidi="ar-SA"/>
              </w:rPr>
              <w:t>max</w:t>
            </w:r>
            <w:r>
              <w:rPr>
                <w:rFonts w:hint="eastAsia" w:cs="Times New Roman"/>
                <w:color w:val="000000"/>
                <w:kern w:val="0"/>
                <w:sz w:val="21"/>
                <w:szCs w:val="21"/>
                <w:vertAlign w:val="baseline"/>
                <w:lang w:val="en-US" w:eastAsia="zh-CN" w:bidi="ar-SA"/>
              </w:rPr>
              <w:t>&lt;</w:t>
            </w:r>
            <w:r>
              <w:rPr>
                <w:rFonts w:hint="default" w:ascii="Times New Roman" w:hAnsi="Times New Roman" w:eastAsia="宋体" w:cs="Times New Roman"/>
                <w:color w:val="000000"/>
                <w:kern w:val="0"/>
                <w:sz w:val="21"/>
                <w:szCs w:val="21"/>
                <w:lang w:val="en-US" w:eastAsia="zh-CN" w:bidi="ar-SA"/>
              </w:rPr>
              <w:t>10%</w:t>
            </w:r>
          </w:p>
        </w:tc>
        <w:tc>
          <w:tcPr>
            <w:tcW w:w="1128" w:type="dxa"/>
            <w:vMerge w:val="restart"/>
            <w:noWrap w:val="0"/>
            <w:vAlign w:val="center"/>
          </w:tcPr>
          <w:p w14:paraId="2B51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二级</w:t>
            </w:r>
          </w:p>
        </w:tc>
      </w:tr>
      <w:tr w14:paraId="7CFB7C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25397F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436F4C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主要评价因子的环境质量现状</w:t>
            </w:r>
          </w:p>
        </w:tc>
        <w:tc>
          <w:tcPr>
            <w:tcW w:w="3186" w:type="dxa"/>
            <w:noWrap w:val="0"/>
            <w:vAlign w:val="center"/>
          </w:tcPr>
          <w:p w14:paraId="740D14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满足（</w:t>
            </w:r>
            <w:r>
              <w:rPr>
                <w:rFonts w:hint="eastAsia" w:cs="Times New Roman"/>
                <w:color w:val="000000"/>
                <w:kern w:val="0"/>
                <w:sz w:val="21"/>
                <w:szCs w:val="21"/>
                <w:lang w:val="en-US" w:eastAsia="zh-CN" w:bidi="ar-SA"/>
              </w:rPr>
              <w:t>GB 3095-2026</w:t>
            </w:r>
            <w:r>
              <w:rPr>
                <w:rFonts w:hint="default" w:ascii="Times New Roman" w:hAnsi="Times New Roman" w:eastAsia="宋体" w:cs="Times New Roman"/>
                <w:color w:val="000000"/>
                <w:kern w:val="0"/>
                <w:sz w:val="21"/>
                <w:szCs w:val="21"/>
                <w:lang w:val="en-US" w:eastAsia="zh-CN" w:bidi="ar-SA"/>
              </w:rPr>
              <w:t>）二级标准</w:t>
            </w:r>
          </w:p>
        </w:tc>
        <w:tc>
          <w:tcPr>
            <w:tcW w:w="1128" w:type="dxa"/>
            <w:vMerge w:val="continue"/>
            <w:noWrap w:val="0"/>
            <w:vAlign w:val="center"/>
          </w:tcPr>
          <w:p w14:paraId="5B97EF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35177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39A7F0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150C53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当地环境空气质量功能类别</w:t>
            </w:r>
          </w:p>
        </w:tc>
        <w:tc>
          <w:tcPr>
            <w:tcW w:w="3186" w:type="dxa"/>
            <w:noWrap w:val="0"/>
            <w:vAlign w:val="center"/>
          </w:tcPr>
          <w:p w14:paraId="484ED7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二类</w:t>
            </w:r>
          </w:p>
        </w:tc>
        <w:tc>
          <w:tcPr>
            <w:tcW w:w="1128" w:type="dxa"/>
            <w:vMerge w:val="continue"/>
            <w:noWrap w:val="0"/>
            <w:vAlign w:val="center"/>
          </w:tcPr>
          <w:p w14:paraId="781281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65D53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29C6C5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765607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区域空气环境敏感程度</w:t>
            </w:r>
          </w:p>
        </w:tc>
        <w:tc>
          <w:tcPr>
            <w:tcW w:w="3186" w:type="dxa"/>
            <w:noWrap w:val="0"/>
            <w:vAlign w:val="center"/>
          </w:tcPr>
          <w:p w14:paraId="1991AE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一般</w:t>
            </w:r>
          </w:p>
        </w:tc>
        <w:tc>
          <w:tcPr>
            <w:tcW w:w="1128" w:type="dxa"/>
            <w:vMerge w:val="continue"/>
            <w:noWrap w:val="0"/>
            <w:vAlign w:val="center"/>
          </w:tcPr>
          <w:p w14:paraId="7E5685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0313B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noWrap w:val="0"/>
            <w:vAlign w:val="center"/>
          </w:tcPr>
          <w:p w14:paraId="34AB3B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地表水</w:t>
            </w:r>
          </w:p>
        </w:tc>
        <w:tc>
          <w:tcPr>
            <w:tcW w:w="3174" w:type="dxa"/>
            <w:noWrap w:val="0"/>
            <w:vAlign w:val="center"/>
          </w:tcPr>
          <w:p w14:paraId="0F49EA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排放方式</w:t>
            </w:r>
          </w:p>
        </w:tc>
        <w:tc>
          <w:tcPr>
            <w:tcW w:w="3186" w:type="dxa"/>
            <w:noWrap w:val="0"/>
            <w:vAlign w:val="center"/>
          </w:tcPr>
          <w:p w14:paraId="392BE5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间接排放</w:t>
            </w:r>
          </w:p>
        </w:tc>
        <w:tc>
          <w:tcPr>
            <w:tcW w:w="1128" w:type="dxa"/>
            <w:noWrap w:val="0"/>
            <w:vAlign w:val="center"/>
          </w:tcPr>
          <w:p w14:paraId="4899AC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三级B</w:t>
            </w:r>
          </w:p>
        </w:tc>
      </w:tr>
      <w:tr w14:paraId="787DB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restart"/>
            <w:noWrap w:val="0"/>
            <w:vAlign w:val="center"/>
          </w:tcPr>
          <w:p w14:paraId="0A183E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地下水</w:t>
            </w:r>
          </w:p>
        </w:tc>
        <w:tc>
          <w:tcPr>
            <w:tcW w:w="3174" w:type="dxa"/>
            <w:noWrap w:val="0"/>
            <w:vAlign w:val="center"/>
          </w:tcPr>
          <w:p w14:paraId="0B8151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建设项目行业分类</w:t>
            </w:r>
          </w:p>
        </w:tc>
        <w:tc>
          <w:tcPr>
            <w:tcW w:w="3186" w:type="dxa"/>
            <w:noWrap w:val="0"/>
            <w:vAlign w:val="center"/>
          </w:tcPr>
          <w:p w14:paraId="0A5B45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Ⅲ</w:t>
            </w:r>
          </w:p>
        </w:tc>
        <w:tc>
          <w:tcPr>
            <w:tcW w:w="1128" w:type="dxa"/>
            <w:vMerge w:val="restart"/>
            <w:noWrap w:val="0"/>
            <w:vAlign w:val="center"/>
          </w:tcPr>
          <w:p w14:paraId="57CB64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三级</w:t>
            </w:r>
          </w:p>
        </w:tc>
      </w:tr>
      <w:tr w14:paraId="6B478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07566C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1CAECD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区域地下水敏感程度分级</w:t>
            </w:r>
          </w:p>
        </w:tc>
        <w:tc>
          <w:tcPr>
            <w:tcW w:w="3186" w:type="dxa"/>
            <w:noWrap w:val="0"/>
            <w:vAlign w:val="center"/>
          </w:tcPr>
          <w:p w14:paraId="05063A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不敏感</w:t>
            </w:r>
          </w:p>
        </w:tc>
        <w:tc>
          <w:tcPr>
            <w:tcW w:w="1128" w:type="dxa"/>
            <w:vMerge w:val="continue"/>
            <w:noWrap w:val="0"/>
            <w:vAlign w:val="center"/>
          </w:tcPr>
          <w:p w14:paraId="6CF925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404BD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1057" w:type="dxa"/>
            <w:vMerge w:val="restart"/>
            <w:noWrap w:val="0"/>
            <w:vAlign w:val="center"/>
          </w:tcPr>
          <w:p w14:paraId="69C90E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声环境</w:t>
            </w:r>
          </w:p>
        </w:tc>
        <w:tc>
          <w:tcPr>
            <w:tcW w:w="3174" w:type="dxa"/>
            <w:noWrap w:val="0"/>
            <w:vAlign w:val="center"/>
          </w:tcPr>
          <w:p w14:paraId="2F86BC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项目所在地声环境功能区类别</w:t>
            </w:r>
          </w:p>
        </w:tc>
        <w:tc>
          <w:tcPr>
            <w:tcW w:w="3186" w:type="dxa"/>
            <w:noWrap w:val="0"/>
            <w:vAlign w:val="center"/>
          </w:tcPr>
          <w:p w14:paraId="4840A1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2类</w:t>
            </w:r>
          </w:p>
        </w:tc>
        <w:tc>
          <w:tcPr>
            <w:tcW w:w="1128" w:type="dxa"/>
            <w:vMerge w:val="restart"/>
            <w:noWrap w:val="0"/>
            <w:vAlign w:val="center"/>
          </w:tcPr>
          <w:p w14:paraId="1292A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二级</w:t>
            </w:r>
          </w:p>
        </w:tc>
      </w:tr>
      <w:tr w14:paraId="1E47B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457AFF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61EF63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区域声环境敏感程度</w:t>
            </w:r>
          </w:p>
        </w:tc>
        <w:tc>
          <w:tcPr>
            <w:tcW w:w="3186" w:type="dxa"/>
            <w:noWrap w:val="0"/>
            <w:vAlign w:val="center"/>
          </w:tcPr>
          <w:p w14:paraId="777834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一般区域</w:t>
            </w:r>
          </w:p>
        </w:tc>
        <w:tc>
          <w:tcPr>
            <w:tcW w:w="1128" w:type="dxa"/>
            <w:vMerge w:val="continue"/>
            <w:noWrap w:val="0"/>
            <w:vAlign w:val="center"/>
          </w:tcPr>
          <w:p w14:paraId="0604CB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r>
      <w:tr w14:paraId="17072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7CE25A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04BDE5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项目建设前后敏感目标噪声级的变化程度</w:t>
            </w:r>
          </w:p>
        </w:tc>
        <w:tc>
          <w:tcPr>
            <w:tcW w:w="3186" w:type="dxa"/>
            <w:noWrap w:val="0"/>
            <w:vAlign w:val="center"/>
          </w:tcPr>
          <w:p w14:paraId="7C7A9B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噪声级增高量&lt;3dB（A）</w:t>
            </w:r>
          </w:p>
        </w:tc>
        <w:tc>
          <w:tcPr>
            <w:tcW w:w="1128" w:type="dxa"/>
            <w:vMerge w:val="continue"/>
            <w:noWrap w:val="0"/>
            <w:vAlign w:val="center"/>
          </w:tcPr>
          <w:p w14:paraId="6507E4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r>
      <w:tr w14:paraId="20B5FD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noWrap w:val="0"/>
            <w:vAlign w:val="center"/>
          </w:tcPr>
          <w:p w14:paraId="309F70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环境风险</w:t>
            </w:r>
          </w:p>
        </w:tc>
        <w:tc>
          <w:tcPr>
            <w:tcW w:w="3174" w:type="dxa"/>
            <w:noWrap w:val="0"/>
            <w:vAlign w:val="center"/>
          </w:tcPr>
          <w:p w14:paraId="2D75B2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危险物质数量与临界量比值</w:t>
            </w:r>
          </w:p>
        </w:tc>
        <w:tc>
          <w:tcPr>
            <w:tcW w:w="3186" w:type="dxa"/>
            <w:noWrap w:val="0"/>
            <w:vAlign w:val="center"/>
          </w:tcPr>
          <w:p w14:paraId="14C7D7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不涉及环境风险物质</w:t>
            </w:r>
          </w:p>
        </w:tc>
        <w:tc>
          <w:tcPr>
            <w:tcW w:w="1128" w:type="dxa"/>
            <w:noWrap w:val="0"/>
            <w:vAlign w:val="center"/>
          </w:tcPr>
          <w:p w14:paraId="3E25C8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简单分析</w:t>
            </w:r>
          </w:p>
        </w:tc>
      </w:tr>
      <w:tr w14:paraId="4DF292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noWrap w:val="0"/>
            <w:vAlign w:val="center"/>
          </w:tcPr>
          <w:p w14:paraId="10E500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生态环境</w:t>
            </w:r>
          </w:p>
        </w:tc>
        <w:tc>
          <w:tcPr>
            <w:tcW w:w="3174" w:type="dxa"/>
            <w:noWrap w:val="0"/>
            <w:vAlign w:val="center"/>
          </w:tcPr>
          <w:p w14:paraId="0DEFC3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区域生态环境敏感程度</w:t>
            </w:r>
          </w:p>
        </w:tc>
        <w:tc>
          <w:tcPr>
            <w:tcW w:w="3186" w:type="dxa"/>
            <w:noWrap w:val="0"/>
            <w:vAlign w:val="center"/>
          </w:tcPr>
          <w:p w14:paraId="546CA1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highlight w:val="none"/>
                <w:lang w:val="en-US" w:eastAsia="zh-CN" w:bidi="ar-SA"/>
              </w:rPr>
              <w:t>占地面积</w:t>
            </w:r>
            <w:r>
              <w:rPr>
                <w:rFonts w:hint="eastAsia" w:cs="Times New Roman"/>
                <w:color w:val="auto"/>
                <w:kern w:val="0"/>
                <w:sz w:val="21"/>
                <w:szCs w:val="21"/>
                <w:highlight w:val="none"/>
                <w:lang w:val="en-US" w:eastAsia="zh-CN" w:bidi="ar-SA"/>
              </w:rPr>
              <w:t>0.12</w:t>
            </w:r>
            <w:r>
              <w:rPr>
                <w:rFonts w:hint="default" w:ascii="Times New Roman" w:hAnsi="Times New Roman" w:eastAsia="宋体" w:cs="Times New Roman"/>
                <w:color w:val="auto"/>
                <w:kern w:val="0"/>
                <w:sz w:val="21"/>
                <w:szCs w:val="21"/>
                <w:highlight w:val="none"/>
                <w:lang w:val="en-US" w:eastAsia="zh-CN" w:bidi="ar-SA"/>
              </w:rPr>
              <w:t>km</w:t>
            </w:r>
            <w:r>
              <w:rPr>
                <w:rFonts w:hint="default" w:ascii="Times New Roman" w:hAnsi="Times New Roman" w:eastAsia="宋体" w:cs="Times New Roman"/>
                <w:color w:val="auto"/>
                <w:kern w:val="0"/>
                <w:sz w:val="21"/>
                <w:szCs w:val="21"/>
                <w:highlight w:val="none"/>
                <w:vertAlign w:val="superscript"/>
                <w:lang w:val="en-US" w:eastAsia="zh-CN" w:bidi="ar-SA"/>
              </w:rPr>
              <w:t>2</w:t>
            </w:r>
          </w:p>
        </w:tc>
        <w:tc>
          <w:tcPr>
            <w:tcW w:w="1128" w:type="dxa"/>
            <w:noWrap w:val="0"/>
            <w:vAlign w:val="center"/>
          </w:tcPr>
          <w:p w14:paraId="01BA59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三级</w:t>
            </w:r>
          </w:p>
        </w:tc>
      </w:tr>
      <w:tr w14:paraId="6EAD6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restart"/>
            <w:noWrap w:val="0"/>
            <w:vAlign w:val="center"/>
          </w:tcPr>
          <w:p w14:paraId="6D075A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土壤环境</w:t>
            </w:r>
          </w:p>
        </w:tc>
        <w:tc>
          <w:tcPr>
            <w:tcW w:w="3174" w:type="dxa"/>
            <w:noWrap w:val="0"/>
            <w:vAlign w:val="center"/>
          </w:tcPr>
          <w:p w14:paraId="03FA9A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建设项目行业分类</w:t>
            </w:r>
          </w:p>
        </w:tc>
        <w:tc>
          <w:tcPr>
            <w:tcW w:w="3186" w:type="dxa"/>
            <w:noWrap w:val="0"/>
            <w:vAlign w:val="center"/>
          </w:tcPr>
          <w:p w14:paraId="592E4D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Ⅲ</w:t>
            </w:r>
          </w:p>
        </w:tc>
        <w:tc>
          <w:tcPr>
            <w:tcW w:w="1128" w:type="dxa"/>
            <w:vMerge w:val="restart"/>
            <w:noWrap w:val="0"/>
            <w:vAlign w:val="center"/>
          </w:tcPr>
          <w:p w14:paraId="5F9B97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三级评价</w:t>
            </w:r>
          </w:p>
        </w:tc>
      </w:tr>
      <w:tr w14:paraId="3FD3D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12C53C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3CB48C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占地规模</w:t>
            </w:r>
          </w:p>
        </w:tc>
        <w:tc>
          <w:tcPr>
            <w:tcW w:w="3186" w:type="dxa"/>
            <w:noWrap w:val="0"/>
            <w:vAlign w:val="center"/>
          </w:tcPr>
          <w:p w14:paraId="1ECC83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中</w:t>
            </w:r>
            <w:r>
              <w:rPr>
                <w:rFonts w:hint="default" w:ascii="Times New Roman" w:hAnsi="Times New Roman" w:eastAsia="宋体" w:cs="Times New Roman"/>
                <w:color w:val="000000"/>
                <w:kern w:val="0"/>
                <w:sz w:val="21"/>
                <w:szCs w:val="21"/>
                <w:lang w:val="en-US" w:eastAsia="zh-CN" w:bidi="ar-SA"/>
              </w:rPr>
              <w:t>型</w:t>
            </w:r>
          </w:p>
        </w:tc>
        <w:tc>
          <w:tcPr>
            <w:tcW w:w="1128" w:type="dxa"/>
            <w:vMerge w:val="continue"/>
            <w:noWrap w:val="0"/>
            <w:vAlign w:val="center"/>
          </w:tcPr>
          <w:p w14:paraId="06CF30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p>
        </w:tc>
      </w:tr>
      <w:tr w14:paraId="566C8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7" w:type="dxa"/>
            <w:vMerge w:val="continue"/>
            <w:noWrap w:val="0"/>
            <w:vAlign w:val="center"/>
          </w:tcPr>
          <w:p w14:paraId="284DE2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3174" w:type="dxa"/>
            <w:noWrap w:val="0"/>
            <w:vAlign w:val="center"/>
          </w:tcPr>
          <w:p w14:paraId="5D0D9B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土壤敏感程度</w:t>
            </w:r>
          </w:p>
        </w:tc>
        <w:tc>
          <w:tcPr>
            <w:tcW w:w="3186" w:type="dxa"/>
            <w:noWrap w:val="0"/>
            <w:vAlign w:val="center"/>
          </w:tcPr>
          <w:p w14:paraId="146877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敏感</w:t>
            </w:r>
          </w:p>
        </w:tc>
        <w:tc>
          <w:tcPr>
            <w:tcW w:w="1128" w:type="dxa"/>
            <w:vMerge w:val="continue"/>
            <w:noWrap w:val="0"/>
            <w:vAlign w:val="center"/>
          </w:tcPr>
          <w:p w14:paraId="5A1832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bidi="ar-SA"/>
              </w:rPr>
            </w:pPr>
          </w:p>
        </w:tc>
      </w:tr>
    </w:tbl>
    <w:p w14:paraId="5364FE78">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kern w:val="2"/>
          <w:sz w:val="28"/>
          <w:szCs w:val="28"/>
          <w:lang w:val="en-US" w:eastAsia="zh-CN" w:bidi="ar-SA"/>
        </w:rPr>
      </w:pPr>
      <w:bookmarkStart w:id="216" w:name="_Toc308252995"/>
      <w:bookmarkStart w:id="217" w:name="_Toc5850"/>
      <w:bookmarkStart w:id="218" w:name="_Toc21657"/>
      <w:bookmarkStart w:id="219" w:name="_Toc319187734"/>
      <w:bookmarkStart w:id="220" w:name="_Toc16982"/>
      <w:bookmarkStart w:id="221" w:name="_Toc308253184"/>
      <w:bookmarkStart w:id="222" w:name="_Toc304233921"/>
      <w:bookmarkStart w:id="223" w:name="_Toc24270"/>
      <w:bookmarkStart w:id="224" w:name="_Toc370052886"/>
      <w:bookmarkStart w:id="225" w:name="_Toc10477"/>
      <w:bookmarkStart w:id="226" w:name="_Toc15241"/>
      <w:r>
        <w:rPr>
          <w:rFonts w:hint="default" w:ascii="Times New Roman" w:hAnsi="Times New Roman" w:eastAsia="宋体" w:cs="Times New Roman"/>
          <w:b/>
          <w:bCs/>
          <w:kern w:val="2"/>
          <w:sz w:val="28"/>
          <w:szCs w:val="28"/>
          <w:lang w:val="en-US" w:eastAsia="zh-CN" w:bidi="ar-SA"/>
        </w:rPr>
        <w:t>2.</w:t>
      </w:r>
      <w:r>
        <w:rPr>
          <w:rFonts w:hint="eastAsia" w:cs="Times New Roman"/>
          <w:b/>
          <w:bCs/>
          <w:kern w:val="2"/>
          <w:sz w:val="28"/>
          <w:szCs w:val="28"/>
          <w:lang w:val="en-US" w:eastAsia="zh-CN" w:bidi="ar-SA"/>
        </w:rPr>
        <w:t>6</w:t>
      </w:r>
      <w:r>
        <w:rPr>
          <w:rFonts w:hint="default" w:ascii="Times New Roman" w:hAnsi="Times New Roman" w:eastAsia="宋体" w:cs="Times New Roman"/>
          <w:b/>
          <w:bCs/>
          <w:kern w:val="2"/>
          <w:sz w:val="28"/>
          <w:szCs w:val="28"/>
          <w:lang w:val="en-US" w:eastAsia="zh-CN" w:bidi="ar-SA"/>
        </w:rPr>
        <w:t>.2评价重点</w:t>
      </w:r>
      <w:bookmarkEnd w:id="216"/>
      <w:bookmarkEnd w:id="217"/>
      <w:bookmarkEnd w:id="218"/>
      <w:bookmarkEnd w:id="219"/>
      <w:bookmarkEnd w:id="220"/>
      <w:bookmarkEnd w:id="221"/>
      <w:bookmarkEnd w:id="222"/>
    </w:p>
    <w:p w14:paraId="219D1168">
      <w:pPr>
        <w:spacing w:line="360" w:lineRule="auto"/>
        <w:ind w:firstLine="480" w:firstLineChars="200"/>
        <w:rPr>
          <w:rFonts w:hint="default" w:ascii="Times New Roman" w:hAnsi="Times New Roman" w:cs="Times New Roman"/>
          <w:color w:val="000000"/>
          <w:sz w:val="24"/>
          <w:lang w:val="en-US" w:eastAsia="zh-CN"/>
        </w:rPr>
      </w:pPr>
      <w:bookmarkStart w:id="227" w:name="_Toc28472"/>
      <w:bookmarkStart w:id="228" w:name="_Toc3925"/>
      <w:r>
        <w:rPr>
          <w:rFonts w:hint="default" w:ascii="Times New Roman" w:hAnsi="Times New Roman" w:cs="Times New Roman"/>
          <w:color w:val="000000"/>
          <w:sz w:val="24"/>
          <w:lang w:val="en-US" w:eastAsia="zh-CN"/>
        </w:rPr>
        <w:t xml:space="preserve">通过对本项目的环境影响评价，使项目建成投产后在充分发挥经济效益和社会效益的同时，把对环境产生的负面影响减至最小，实现环境、社会和经济协调发展的目的。本项目主要工作内容包括： </w:t>
      </w:r>
    </w:p>
    <w:p w14:paraId="79A9DA2E">
      <w:pPr>
        <w:spacing w:line="360" w:lineRule="auto"/>
        <w:ind w:firstLine="480" w:firstLineChars="200"/>
        <w:rPr>
          <w:rFonts w:hint="default" w:ascii="Times New Roman" w:hAnsi="Times New Roman" w:cs="Times New Roman"/>
          <w:color w:val="000000"/>
          <w:sz w:val="24"/>
          <w:lang w:val="en-US" w:eastAsia="zh-CN"/>
        </w:rPr>
      </w:pPr>
      <w:r>
        <w:rPr>
          <w:rFonts w:hint="default" w:ascii="Times New Roman" w:hAnsi="Times New Roman" w:cs="Times New Roman"/>
          <w:color w:val="000000"/>
          <w:sz w:val="24"/>
          <w:lang w:val="en-US" w:eastAsia="zh-CN"/>
        </w:rPr>
        <w:t xml:space="preserve">（1）通过区域环境质量调查与监测，掌握本项目所在区域环境质量背景状况； </w:t>
      </w:r>
    </w:p>
    <w:p w14:paraId="5F16B97B">
      <w:pPr>
        <w:spacing w:line="360" w:lineRule="auto"/>
        <w:ind w:firstLine="480" w:firstLineChars="200"/>
        <w:rPr>
          <w:rFonts w:hint="default" w:ascii="Times New Roman" w:hAnsi="Times New Roman" w:cs="Times New Roman"/>
          <w:color w:val="000000"/>
          <w:sz w:val="24"/>
          <w:lang w:val="en-US" w:eastAsia="zh-CN"/>
        </w:rPr>
      </w:pPr>
      <w:r>
        <w:rPr>
          <w:rFonts w:hint="default" w:ascii="Times New Roman" w:hAnsi="Times New Roman" w:cs="Times New Roman"/>
          <w:color w:val="000000"/>
          <w:sz w:val="24"/>
          <w:lang w:val="en-US" w:eastAsia="zh-CN"/>
        </w:rPr>
        <w:t>（2）通过项目工程分析，明确本项目的主要环境问题，筛选环境影响因子，尤其关注本项目产生的特征污染因子。并通过类比调查、</w:t>
      </w:r>
      <w:r>
        <w:rPr>
          <w:rFonts w:hint="eastAsia" w:ascii="Times New Roman" w:hAnsi="Times New Roman" w:cs="Times New Roman"/>
          <w:color w:val="000000"/>
          <w:sz w:val="24"/>
          <w:lang w:val="en-US" w:eastAsia="zh-CN"/>
        </w:rPr>
        <w:t>产污系数法</w:t>
      </w:r>
      <w:r>
        <w:rPr>
          <w:rFonts w:hint="default" w:ascii="Times New Roman" w:hAnsi="Times New Roman" w:cs="Times New Roman"/>
          <w:color w:val="000000"/>
          <w:sz w:val="24"/>
          <w:lang w:val="en-US" w:eastAsia="zh-CN"/>
        </w:rPr>
        <w:t xml:space="preserve">，核算出污染物源强，为环境影响预测提供依据； </w:t>
      </w:r>
    </w:p>
    <w:p w14:paraId="1595C71A">
      <w:pPr>
        <w:spacing w:line="360" w:lineRule="auto"/>
        <w:ind w:firstLine="480" w:firstLineChars="200"/>
        <w:rPr>
          <w:rFonts w:hint="default" w:ascii="Times New Roman" w:hAnsi="Times New Roman" w:cs="Times New Roman"/>
          <w:color w:val="000000"/>
          <w:sz w:val="24"/>
          <w:lang w:val="en-US" w:eastAsia="zh-CN"/>
        </w:rPr>
      </w:pPr>
      <w:r>
        <w:rPr>
          <w:rFonts w:hint="default" w:ascii="Times New Roman" w:hAnsi="Times New Roman" w:cs="Times New Roman"/>
          <w:color w:val="000000"/>
          <w:sz w:val="24"/>
          <w:lang w:val="en-US" w:eastAsia="zh-CN"/>
        </w:rPr>
        <w:t xml:space="preserve">（3）基于风险调查，分析建设项目环境风险和可接受性，论证风险防范措施及管理的有效性和可行性； </w:t>
      </w:r>
    </w:p>
    <w:p w14:paraId="467FF8B8">
      <w:pPr>
        <w:spacing w:line="360" w:lineRule="auto"/>
        <w:ind w:firstLine="480" w:firstLineChars="200"/>
        <w:rPr>
          <w:rFonts w:hint="default" w:ascii="Times New Roman" w:hAnsi="Times New Roman" w:cs="Times New Roman"/>
          <w:color w:val="000000"/>
          <w:sz w:val="24"/>
          <w:lang w:val="en-US" w:eastAsia="zh-CN"/>
        </w:rPr>
      </w:pPr>
      <w:r>
        <w:rPr>
          <w:rFonts w:hint="default" w:ascii="Times New Roman" w:hAnsi="Times New Roman" w:cs="Times New Roman"/>
          <w:color w:val="000000"/>
          <w:sz w:val="24"/>
          <w:lang w:val="en-US" w:eastAsia="zh-CN"/>
        </w:rPr>
        <w:t xml:space="preserve">（4）根据本项目的排污特点，通过类比调查与分析研究，论证污染防治措施的可行性，并进行环境经济损益分析； </w:t>
      </w:r>
    </w:p>
    <w:p w14:paraId="41FD9B72">
      <w:pPr>
        <w:spacing w:line="360" w:lineRule="auto"/>
        <w:ind w:firstLine="480" w:firstLineChars="200"/>
        <w:rPr>
          <w:rFonts w:hint="default" w:ascii="Times New Roman" w:hAnsi="Times New Roman" w:cs="Times New Roman"/>
          <w:color w:val="000000"/>
          <w:sz w:val="24"/>
          <w:lang w:val="en-US" w:eastAsia="zh-CN"/>
        </w:rPr>
      </w:pPr>
      <w:r>
        <w:rPr>
          <w:rFonts w:hint="default" w:ascii="Times New Roman" w:hAnsi="Times New Roman" w:cs="Times New Roman"/>
          <w:color w:val="000000"/>
          <w:sz w:val="24"/>
          <w:lang w:val="en-US" w:eastAsia="zh-CN"/>
        </w:rPr>
        <w:t xml:space="preserve">（5）论证本项目与当地建设规划的相容性，分析场址选择的合理性。 </w:t>
      </w:r>
    </w:p>
    <w:p w14:paraId="7FAA5F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根据本工程排污特征，并结合近</w:t>
      </w:r>
      <w:r>
        <w:rPr>
          <w:rFonts w:hint="eastAsia" w:cs="Times New Roman"/>
          <w:color w:val="000000"/>
          <w:kern w:val="2"/>
          <w:sz w:val="24"/>
          <w:szCs w:val="24"/>
          <w:lang w:val="en-US" w:eastAsia="zh-CN" w:bidi="ar-SA"/>
        </w:rPr>
        <w:t>年来</w:t>
      </w:r>
      <w:r>
        <w:rPr>
          <w:rFonts w:hint="default" w:ascii="Times New Roman" w:hAnsi="Times New Roman" w:eastAsia="宋体" w:cs="Times New Roman"/>
          <w:color w:val="000000"/>
          <w:kern w:val="2"/>
          <w:sz w:val="24"/>
          <w:szCs w:val="24"/>
          <w:lang w:val="en-US" w:eastAsia="zh-CN" w:bidi="ar-SA"/>
        </w:rPr>
        <w:t>有关环保管理的新政策和新要求，本次环评的重点为</w:t>
      </w:r>
      <w:r>
        <w:rPr>
          <w:rFonts w:hint="default" w:ascii="Times New Roman" w:hAnsi="Times New Roman" w:eastAsia="宋体" w:cs="Times New Roman"/>
          <w:kern w:val="2"/>
          <w:sz w:val="24"/>
          <w:szCs w:val="24"/>
          <w:lang w:val="en-US" w:eastAsia="zh-CN" w:bidi="ar-SA"/>
        </w:rPr>
        <w:t>本项目以工程分析、地下水环境影响分析、大气环境影响分析、环境保护措施分析、清洁生产分析、项目建设和选址合理合法性分析为本次评价的重点</w:t>
      </w:r>
      <w:r>
        <w:rPr>
          <w:rFonts w:hint="default" w:ascii="Times New Roman" w:hAnsi="Times New Roman" w:eastAsia="宋体" w:cs="Times New Roman"/>
          <w:color w:val="000000"/>
          <w:kern w:val="2"/>
          <w:sz w:val="24"/>
          <w:szCs w:val="24"/>
          <w:lang w:val="en-US" w:eastAsia="zh-CN" w:bidi="ar-SA"/>
        </w:rPr>
        <w:t>。</w:t>
      </w:r>
    </w:p>
    <w:p w14:paraId="4710EEC4">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229" w:name="_Toc5017"/>
      <w:r>
        <w:rPr>
          <w:rFonts w:hint="default" w:ascii="Times New Roman" w:hAnsi="Times New Roman" w:eastAsia="宋体" w:cs="Times New Roman"/>
          <w:b/>
          <w:bCs/>
          <w:kern w:val="2"/>
          <w:sz w:val="30"/>
          <w:szCs w:val="30"/>
          <w:lang w:val="en-US" w:eastAsia="zh-CN" w:bidi="ar-SA"/>
        </w:rPr>
        <w:t>2.</w:t>
      </w:r>
      <w:r>
        <w:rPr>
          <w:rFonts w:hint="eastAsia" w:cs="Times New Roman"/>
          <w:b/>
          <w:bCs/>
          <w:kern w:val="2"/>
          <w:sz w:val="30"/>
          <w:szCs w:val="30"/>
          <w:lang w:val="en-US" w:eastAsia="zh-CN" w:bidi="ar-SA"/>
        </w:rPr>
        <w:t>7</w:t>
      </w:r>
      <w:r>
        <w:rPr>
          <w:rFonts w:hint="default" w:ascii="Times New Roman" w:hAnsi="Times New Roman" w:eastAsia="宋体" w:cs="Times New Roman"/>
          <w:b/>
          <w:bCs/>
          <w:kern w:val="2"/>
          <w:sz w:val="30"/>
          <w:szCs w:val="30"/>
          <w:lang w:val="en-US" w:eastAsia="zh-CN" w:bidi="ar-SA"/>
        </w:rPr>
        <w:t>评价范围及环境敏感目标</w:t>
      </w:r>
      <w:bookmarkEnd w:id="223"/>
      <w:bookmarkEnd w:id="224"/>
      <w:bookmarkEnd w:id="225"/>
      <w:bookmarkEnd w:id="226"/>
      <w:bookmarkEnd w:id="227"/>
      <w:bookmarkEnd w:id="228"/>
      <w:bookmarkEnd w:id="229"/>
    </w:p>
    <w:p w14:paraId="331CCA36">
      <w:pPr>
        <w:keepNext w:val="0"/>
        <w:keepLines w:val="0"/>
        <w:pageBreakBefore w:val="0"/>
        <w:widowControl w:val="0"/>
        <w:kinsoku/>
        <w:wordWrap/>
        <w:overflowPunct/>
        <w:topLinePunct w:val="0"/>
        <w:autoSpaceDE/>
        <w:autoSpaceDN/>
        <w:bidi w:val="0"/>
        <w:adjustRightInd/>
        <w:snapToGrid/>
        <w:spacing w:before="0" w:after="0" w:line="360" w:lineRule="auto"/>
        <w:jc w:val="both"/>
        <w:outlineLvl w:val="2"/>
        <w:rPr>
          <w:rFonts w:hint="default" w:ascii="Times New Roman" w:hAnsi="Times New Roman" w:eastAsia="宋体" w:cs="Times New Roman"/>
          <w:b/>
          <w:bCs/>
          <w:kern w:val="2"/>
          <w:sz w:val="28"/>
          <w:szCs w:val="28"/>
          <w:highlight w:val="none"/>
          <w:lang w:val="en-US" w:eastAsia="zh-CN" w:bidi="ar-SA"/>
        </w:rPr>
      </w:pPr>
      <w:bookmarkStart w:id="230" w:name="_Toc13858"/>
      <w:bookmarkStart w:id="231" w:name="_Toc29094"/>
      <w:r>
        <w:rPr>
          <w:rFonts w:hint="default" w:ascii="Times New Roman" w:hAnsi="Times New Roman" w:eastAsia="宋体" w:cs="Times New Roman"/>
          <w:b/>
          <w:bCs/>
          <w:kern w:val="2"/>
          <w:sz w:val="28"/>
          <w:szCs w:val="28"/>
          <w:highlight w:val="none"/>
          <w:lang w:val="en-US" w:eastAsia="zh-CN" w:bidi="ar-SA"/>
        </w:rPr>
        <w:t>2.</w:t>
      </w:r>
      <w:r>
        <w:rPr>
          <w:rFonts w:hint="eastAsia" w:cs="Times New Roman"/>
          <w:b/>
          <w:bCs/>
          <w:kern w:val="2"/>
          <w:sz w:val="28"/>
          <w:szCs w:val="28"/>
          <w:highlight w:val="none"/>
          <w:lang w:val="en-US" w:eastAsia="zh-CN" w:bidi="ar-SA"/>
        </w:rPr>
        <w:t>7</w:t>
      </w:r>
      <w:r>
        <w:rPr>
          <w:rFonts w:hint="default" w:ascii="Times New Roman" w:hAnsi="Times New Roman" w:eastAsia="宋体" w:cs="Times New Roman"/>
          <w:b/>
          <w:bCs/>
          <w:kern w:val="2"/>
          <w:sz w:val="28"/>
          <w:szCs w:val="28"/>
          <w:highlight w:val="none"/>
          <w:lang w:val="en-US" w:eastAsia="zh-CN" w:bidi="ar-SA"/>
        </w:rPr>
        <w:t>.1评价范围</w:t>
      </w:r>
      <w:bookmarkEnd w:id="230"/>
      <w:bookmarkEnd w:id="231"/>
    </w:p>
    <w:p w14:paraId="0BE033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zh-CN" w:eastAsia="zh-CN" w:bidi="ar-SA"/>
        </w:rPr>
      </w:pPr>
      <w:r>
        <w:rPr>
          <w:rFonts w:hint="default" w:ascii="Times New Roman" w:hAnsi="Times New Roman" w:eastAsia="宋体" w:cs="Times New Roman"/>
          <w:kern w:val="2"/>
          <w:sz w:val="24"/>
          <w:szCs w:val="24"/>
          <w:lang w:val="zh-CN" w:eastAsia="zh-CN" w:bidi="ar-SA"/>
        </w:rPr>
        <w:t>根据评价工作等级及当地气象条件、自然环境状况确定各环境要素评价范围如下：</w:t>
      </w:r>
    </w:p>
    <w:p w14:paraId="25C34C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（1）空气环境</w:t>
      </w:r>
    </w:p>
    <w:p w14:paraId="25367F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评价范围：</w:t>
      </w:r>
      <w:r>
        <w:rPr>
          <w:rFonts w:hint="default" w:ascii="Times New Roman" w:hAnsi="Times New Roman" w:eastAsia="宋体" w:cs="Times New Roman"/>
          <w:sz w:val="24"/>
          <w:szCs w:val="24"/>
          <w:lang w:eastAsia="zh-CN"/>
        </w:rPr>
        <w:t>以</w:t>
      </w:r>
      <w:r>
        <w:rPr>
          <w:rFonts w:hint="eastAsia" w:cs="Times New Roman"/>
          <w:sz w:val="24"/>
          <w:szCs w:val="24"/>
          <w:lang w:val="en-US" w:eastAsia="zh-CN"/>
        </w:rPr>
        <w:t>本项目</w:t>
      </w:r>
      <w:r>
        <w:rPr>
          <w:rFonts w:hint="default" w:ascii="Times New Roman" w:hAnsi="Times New Roman" w:eastAsia="宋体" w:cs="Times New Roman"/>
          <w:sz w:val="24"/>
          <w:szCs w:val="24"/>
        </w:rPr>
        <w:t>为中心，</w:t>
      </w:r>
      <w:r>
        <w:rPr>
          <w:rFonts w:hint="default" w:ascii="Times New Roman" w:hAnsi="Times New Roman" w:eastAsia="宋体" w:cs="Times New Roman"/>
          <w:sz w:val="24"/>
          <w:szCs w:val="24"/>
          <w:lang w:eastAsia="zh-CN"/>
        </w:rPr>
        <w:t>边长</w:t>
      </w:r>
      <w:r>
        <w:rPr>
          <w:rFonts w:hint="default" w:ascii="Times New Roman" w:hAnsi="Times New Roman" w:eastAsia="宋体" w:cs="Times New Roman"/>
          <w:sz w:val="24"/>
          <w:szCs w:val="24"/>
        </w:rPr>
        <w:t>为5km的</w:t>
      </w:r>
      <w:r>
        <w:rPr>
          <w:rFonts w:hint="eastAsia" w:cs="Times New Roman"/>
          <w:sz w:val="24"/>
          <w:szCs w:val="24"/>
          <w:lang w:val="en-US" w:eastAsia="zh-CN"/>
        </w:rPr>
        <w:t>矩形</w:t>
      </w:r>
      <w:r>
        <w:rPr>
          <w:rFonts w:hint="default" w:ascii="Times New Roman" w:hAnsi="Times New Roman" w:eastAsia="宋体" w:cs="Times New Roman"/>
          <w:sz w:val="24"/>
          <w:szCs w:val="24"/>
        </w:rPr>
        <w:t>区域。</w:t>
      </w:r>
    </w:p>
    <w:p w14:paraId="1F690B0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lang w:val="en-US" w:eastAsia="zh-CN"/>
        </w:rPr>
      </w:pPr>
      <w:r>
        <w:rPr>
          <w:rFonts w:hint="eastAsia" w:cs="Times New Roman"/>
          <w:sz w:val="24"/>
          <w:szCs w:val="24"/>
          <w:lang w:eastAsia="zh-CN"/>
        </w:rPr>
        <w:t>（</w:t>
      </w:r>
      <w:r>
        <w:rPr>
          <w:rFonts w:hint="eastAsia" w:cs="Times New Roman"/>
          <w:sz w:val="24"/>
          <w:szCs w:val="24"/>
          <w:lang w:val="en-US" w:eastAsia="zh-CN"/>
        </w:rPr>
        <w:t>2</w:t>
      </w:r>
      <w:r>
        <w:rPr>
          <w:rFonts w:hint="eastAsia" w:cs="Times New Roman"/>
          <w:sz w:val="24"/>
          <w:szCs w:val="24"/>
          <w:lang w:eastAsia="zh-CN"/>
        </w:rPr>
        <w:t>）</w:t>
      </w:r>
      <w:r>
        <w:rPr>
          <w:rFonts w:hint="default" w:ascii="Times New Roman" w:hAnsi="Times New Roman" w:eastAsia="宋体" w:cs="Times New Roman"/>
          <w:sz w:val="24"/>
          <w:szCs w:val="24"/>
        </w:rPr>
        <w:t>水环境</w:t>
      </w:r>
    </w:p>
    <w:p w14:paraId="25087B1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cs="Times New Roman"/>
          <w:lang w:val="en-US" w:eastAsia="zh-CN"/>
        </w:rPr>
      </w:pPr>
      <w:r>
        <w:rPr>
          <w:rFonts w:hint="eastAsia" w:ascii="Times New Roman" w:hAnsi="Times New Roman" w:eastAsia="宋体" w:cs="Times New Roman"/>
          <w:color w:val="auto"/>
          <w:sz w:val="24"/>
          <w:szCs w:val="24"/>
          <w:lang w:val="en-US" w:eastAsia="zh-CN"/>
        </w:rPr>
        <w:t>①地表水</w:t>
      </w:r>
    </w:p>
    <w:p w14:paraId="12BDDBE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养殖</w:t>
      </w:r>
      <w:r>
        <w:rPr>
          <w:rFonts w:hint="default" w:ascii="Times New Roman" w:hAnsi="Times New Roman" w:eastAsia="宋体" w:cs="Times New Roman"/>
          <w:sz w:val="24"/>
          <w:szCs w:val="24"/>
        </w:rPr>
        <w:t>废水不外排</w:t>
      </w:r>
      <w:r>
        <w:rPr>
          <w:rFonts w:hint="eastAsia" w:cs="Times New Roman"/>
          <w:sz w:val="24"/>
          <w:szCs w:val="24"/>
          <w:lang w:eastAsia="zh-CN"/>
        </w:rPr>
        <w:t>；</w:t>
      </w:r>
      <w:r>
        <w:rPr>
          <w:rFonts w:hint="eastAsia" w:cs="Times New Roman"/>
          <w:sz w:val="24"/>
          <w:szCs w:val="24"/>
          <w:lang w:val="en-US" w:eastAsia="zh-CN"/>
        </w:rPr>
        <w:t>生活污水拉运至污水处理厂，间接排放</w:t>
      </w:r>
      <w:r>
        <w:rPr>
          <w:rFonts w:hint="eastAsia" w:ascii="Times New Roman" w:hAnsi="Times New Roman" w:cs="Times New Roman"/>
          <w:sz w:val="24"/>
          <w:szCs w:val="24"/>
          <w:lang w:eastAsia="zh-CN"/>
        </w:rPr>
        <w:t>。</w:t>
      </w:r>
      <w:r>
        <w:rPr>
          <w:rFonts w:hint="eastAsia" w:cs="Times New Roman"/>
          <w:sz w:val="24"/>
          <w:szCs w:val="24"/>
          <w:lang w:val="en-US" w:eastAsia="zh-CN"/>
        </w:rPr>
        <w:t>与区域地表水无水力联系。</w:t>
      </w:r>
      <w:r>
        <w:rPr>
          <w:rFonts w:hint="eastAsia" w:ascii="Times New Roman" w:hAnsi="Times New Roman" w:cs="Times New Roman"/>
          <w:sz w:val="24"/>
          <w:szCs w:val="24"/>
          <w:lang w:val="en-US" w:eastAsia="zh-CN"/>
        </w:rPr>
        <w:t>因此不设置地表水评价范围。</w:t>
      </w:r>
    </w:p>
    <w:p w14:paraId="7B06FDA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②地下水</w:t>
      </w:r>
    </w:p>
    <w:p w14:paraId="7F2A46D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0000FF"/>
          <w:sz w:val="24"/>
          <w:szCs w:val="24"/>
        </w:rPr>
      </w:pPr>
      <w:r>
        <w:rPr>
          <w:rFonts w:hint="eastAsia" w:ascii="Times New Roman" w:hAnsi="Times New Roman" w:eastAsia="宋体" w:cs="Times New Roman"/>
          <w:color w:val="auto"/>
          <w:sz w:val="24"/>
          <w:szCs w:val="24"/>
          <w:lang w:val="en-US" w:eastAsia="zh-CN"/>
        </w:rPr>
        <w:t>本项目采用查表法，</w:t>
      </w:r>
      <w:r>
        <w:rPr>
          <w:rFonts w:hint="default" w:ascii="Times New Roman" w:hAnsi="Times New Roman" w:eastAsia="宋体" w:cs="Times New Roman"/>
          <w:color w:val="auto"/>
          <w:sz w:val="24"/>
          <w:szCs w:val="24"/>
        </w:rPr>
        <w:t>三级评价范围</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6km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kern w:val="0"/>
          <w:sz w:val="24"/>
          <w:szCs w:val="24"/>
          <w:lang w:eastAsia="zh-CN"/>
        </w:rPr>
        <w:t>。</w:t>
      </w:r>
      <w:r>
        <w:rPr>
          <w:rFonts w:hint="eastAsia" w:cs="Times New Roman"/>
          <w:color w:val="auto"/>
          <w:kern w:val="0"/>
          <w:sz w:val="24"/>
          <w:szCs w:val="24"/>
          <w:lang w:val="en-US" w:eastAsia="zh-CN"/>
        </w:rPr>
        <w:t>区域</w:t>
      </w:r>
      <w:r>
        <w:rPr>
          <w:rFonts w:ascii="Times New Roman" w:hAnsi="Times New Roman" w:eastAsia="宋体" w:cs="Times New Roman"/>
          <w:color w:val="auto"/>
          <w:sz w:val="24"/>
          <w:szCs w:val="24"/>
          <w:highlight w:val="none"/>
        </w:rPr>
        <w:t>地下水大致沿地形坡降方向，</w:t>
      </w:r>
      <w:r>
        <w:rPr>
          <w:rFonts w:ascii="Times New Roman" w:hAnsi="Times New Roman" w:eastAsia="宋体" w:cs="Times New Roman"/>
          <w:color w:val="auto"/>
          <w:sz w:val="24"/>
          <w:szCs w:val="24"/>
        </w:rPr>
        <w:t>总体自</w:t>
      </w:r>
      <w:r>
        <w:rPr>
          <w:rFonts w:hint="eastAsia" w:cs="Times New Roman"/>
          <w:color w:val="auto"/>
          <w:sz w:val="24"/>
          <w:szCs w:val="24"/>
          <w:lang w:val="en-US" w:eastAsia="zh-CN"/>
        </w:rPr>
        <w:t>南</w:t>
      </w:r>
      <w:r>
        <w:rPr>
          <w:rFonts w:ascii="Times New Roman" w:hAnsi="Times New Roman" w:eastAsia="宋体" w:cs="Times New Roman"/>
          <w:color w:val="auto"/>
          <w:sz w:val="24"/>
          <w:szCs w:val="24"/>
        </w:rPr>
        <w:t>向</w:t>
      </w:r>
      <w:r>
        <w:rPr>
          <w:rFonts w:hint="eastAsia" w:cs="Times New Roman"/>
          <w:color w:val="auto"/>
          <w:sz w:val="24"/>
          <w:szCs w:val="24"/>
          <w:lang w:val="en-US" w:eastAsia="zh-CN"/>
        </w:rPr>
        <w:t>北</w:t>
      </w:r>
      <w:r>
        <w:rPr>
          <w:rFonts w:ascii="Times New Roman" w:hAnsi="Times New Roman" w:eastAsia="宋体" w:cs="Times New Roman"/>
          <w:color w:val="auto"/>
          <w:sz w:val="24"/>
          <w:szCs w:val="24"/>
        </w:rPr>
        <w:t>径流</w:t>
      </w:r>
      <w:r>
        <w:rPr>
          <w:rFonts w:hint="eastAsia" w:cs="Times New Roman"/>
          <w:color w:val="auto"/>
          <w:sz w:val="24"/>
          <w:szCs w:val="24"/>
          <w:lang w:eastAsia="zh-CN"/>
        </w:rPr>
        <w:t>，</w:t>
      </w:r>
      <w:r>
        <w:rPr>
          <w:rFonts w:hint="default" w:ascii="Times New Roman" w:hAnsi="Times New Roman" w:eastAsia="宋体" w:cs="Times New Roman"/>
          <w:color w:val="auto"/>
          <w:kern w:val="0"/>
          <w:sz w:val="24"/>
          <w:szCs w:val="24"/>
          <w:lang w:eastAsia="zh-CN"/>
        </w:rPr>
        <w:t>因此，</w:t>
      </w:r>
      <w:r>
        <w:rPr>
          <w:rFonts w:hint="default" w:ascii="Times New Roman" w:hAnsi="Times New Roman" w:eastAsia="宋体" w:cs="Times New Roman"/>
          <w:color w:val="auto"/>
          <w:sz w:val="24"/>
          <w:szCs w:val="24"/>
        </w:rPr>
        <w:t>地下水环境评价范围为工程区地下水环境评价范围拟定为项目区地下水区域</w:t>
      </w:r>
      <w:r>
        <w:rPr>
          <w:rFonts w:hint="eastAsia" w:cs="Times New Roman"/>
          <w:color w:val="auto"/>
          <w:sz w:val="24"/>
          <w:szCs w:val="24"/>
          <w:lang w:val="en-US" w:eastAsia="zh-CN"/>
        </w:rPr>
        <w:t>南侧</w:t>
      </w:r>
      <w:r>
        <w:rPr>
          <w:rFonts w:hint="default" w:ascii="Times New Roman" w:hAnsi="Times New Roman" w:eastAsia="宋体" w:cs="Times New Roman"/>
          <w:color w:val="auto"/>
          <w:sz w:val="24"/>
          <w:szCs w:val="24"/>
        </w:rPr>
        <w:t>上游</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rPr>
        <w:t>km，</w:t>
      </w:r>
      <w:r>
        <w:rPr>
          <w:rFonts w:hint="eastAsia" w:cs="Times New Roman"/>
          <w:color w:val="auto"/>
          <w:sz w:val="24"/>
          <w:szCs w:val="24"/>
          <w:lang w:val="en-US" w:eastAsia="zh-CN"/>
        </w:rPr>
        <w:t>北侧</w:t>
      </w:r>
      <w:r>
        <w:rPr>
          <w:rFonts w:hint="default" w:ascii="Times New Roman" w:hAnsi="Times New Roman" w:eastAsia="宋体" w:cs="Times New Roman"/>
          <w:color w:val="auto"/>
          <w:sz w:val="24"/>
          <w:szCs w:val="24"/>
        </w:rPr>
        <w:t>下游</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km，</w:t>
      </w:r>
      <w:r>
        <w:rPr>
          <w:rFonts w:hint="eastAsia" w:cs="Times New Roman"/>
          <w:color w:val="auto"/>
          <w:sz w:val="24"/>
          <w:szCs w:val="24"/>
          <w:lang w:val="en-US" w:eastAsia="zh-CN"/>
        </w:rPr>
        <w:t>东西</w:t>
      </w:r>
      <w:r>
        <w:rPr>
          <w:rFonts w:hint="default" w:ascii="Times New Roman" w:hAnsi="Times New Roman" w:eastAsia="宋体" w:cs="Times New Roman"/>
          <w:color w:val="auto"/>
          <w:sz w:val="24"/>
          <w:szCs w:val="24"/>
        </w:rPr>
        <w:t>侧向各</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rPr>
        <w:t>km的区域，约</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km×</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km的</w:t>
      </w:r>
      <w:r>
        <w:rPr>
          <w:rFonts w:hint="eastAsia" w:ascii="Times New Roman" w:hAnsi="Times New Roman" w:cs="Times New Roman"/>
          <w:color w:val="auto"/>
          <w:sz w:val="24"/>
          <w:szCs w:val="24"/>
          <w:lang w:val="en-US" w:eastAsia="zh-CN"/>
        </w:rPr>
        <w:t>矩形</w:t>
      </w:r>
      <w:r>
        <w:rPr>
          <w:rFonts w:hint="default" w:ascii="Times New Roman" w:hAnsi="Times New Roman" w:eastAsia="宋体" w:cs="Times New Roman"/>
          <w:color w:val="auto"/>
          <w:sz w:val="24"/>
          <w:szCs w:val="24"/>
        </w:rPr>
        <w:t>区域。</w:t>
      </w:r>
    </w:p>
    <w:p w14:paraId="148D627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（3）声环境</w:t>
      </w:r>
    </w:p>
    <w:p w14:paraId="0E497112">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zh-CN"/>
        </w:rPr>
        <w:t>建设项目边界向外200m为评价范围。</w:t>
      </w:r>
    </w:p>
    <w:p w14:paraId="75E5E668">
      <w:pPr>
        <w:keepNext w:val="0"/>
        <w:keepLines w:val="0"/>
        <w:pageBreakBefore w:val="0"/>
        <w:widowControl w:val="0"/>
        <w:numPr>
          <w:ilvl w:val="0"/>
          <w:numId w:val="8"/>
        </w:numPr>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土壤环境</w:t>
      </w:r>
    </w:p>
    <w:p w14:paraId="35F70CA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评价范围：场界外延</w:t>
      </w:r>
      <w:r>
        <w:rPr>
          <w:rFonts w:hint="default" w:ascii="Times New Roman" w:hAnsi="Times New Roman" w:eastAsia="宋体" w:cs="Times New Roman"/>
          <w:sz w:val="24"/>
          <w:szCs w:val="24"/>
          <w:lang w:val="en-US" w:eastAsia="zh-CN"/>
        </w:rPr>
        <w:t>0.05</w:t>
      </w:r>
      <w:r>
        <w:rPr>
          <w:rFonts w:hint="default" w:ascii="Times New Roman" w:hAnsi="Times New Roman" w:eastAsia="宋体" w:cs="Times New Roman"/>
          <w:sz w:val="24"/>
          <w:szCs w:val="24"/>
        </w:rPr>
        <w:t>km范围。</w:t>
      </w:r>
    </w:p>
    <w:p w14:paraId="2679223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）生态环境</w:t>
      </w:r>
    </w:p>
    <w:p w14:paraId="630770B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污染影响类建设项目评价范围应涵盖评价项目全部活动的直接影响区域和间接影响区域。</w:t>
      </w:r>
    </w:p>
    <w:p w14:paraId="203BAB8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sz w:val="24"/>
          <w:szCs w:val="24"/>
          <w:highlight w:val="none"/>
        </w:rPr>
        <w:t>评价范围：</w:t>
      </w:r>
      <w:r>
        <w:rPr>
          <w:rFonts w:hint="default" w:ascii="Times New Roman" w:hAnsi="Times New Roman" w:eastAsia="宋体" w:cs="Times New Roman"/>
          <w:color w:val="000000"/>
          <w:sz w:val="24"/>
          <w:szCs w:val="24"/>
          <w:highlight w:val="none"/>
        </w:rPr>
        <w:t>项目厂区范围</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东南侧各0.5km，西侧3.8km</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北侧7.5km，</w:t>
      </w:r>
      <w:r>
        <w:rPr>
          <w:rFonts w:hint="default" w:ascii="Times New Roman" w:hAnsi="Times New Roman" w:eastAsia="宋体" w:cs="Times New Roman"/>
          <w:color w:val="auto"/>
          <w:sz w:val="24"/>
          <w:szCs w:val="24"/>
          <w:highlight w:val="none"/>
        </w:rPr>
        <w:t>约</w:t>
      </w:r>
      <w:r>
        <w:rPr>
          <w:rFonts w:hint="eastAsia" w:cs="Times New Roman"/>
          <w:color w:val="auto"/>
          <w:sz w:val="24"/>
          <w:szCs w:val="24"/>
          <w:highlight w:val="none"/>
          <w:lang w:val="en-US" w:eastAsia="zh-CN"/>
        </w:rPr>
        <w:t>4.3</w:t>
      </w:r>
      <w:r>
        <w:rPr>
          <w:rFonts w:hint="default" w:ascii="Times New Roman" w:hAnsi="Times New Roman" w:eastAsia="宋体" w:cs="Times New Roman"/>
          <w:color w:val="auto"/>
          <w:sz w:val="24"/>
          <w:szCs w:val="24"/>
          <w:highlight w:val="none"/>
        </w:rPr>
        <w:t>km×</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km的</w:t>
      </w:r>
      <w:r>
        <w:rPr>
          <w:rFonts w:hint="eastAsia" w:ascii="Times New Roman" w:hAnsi="Times New Roman" w:cs="Times New Roman"/>
          <w:color w:val="auto"/>
          <w:sz w:val="24"/>
          <w:szCs w:val="24"/>
          <w:highlight w:val="none"/>
          <w:lang w:val="en-US" w:eastAsia="zh-CN"/>
        </w:rPr>
        <w:t>矩形区域</w:t>
      </w:r>
      <w:r>
        <w:rPr>
          <w:rFonts w:hint="eastAsia" w:ascii="Times New Roman" w:hAnsi="Times New Roman" w:eastAsia="宋体" w:cs="Times New Roman"/>
          <w:color w:val="000000"/>
          <w:sz w:val="24"/>
          <w:szCs w:val="24"/>
          <w:highlight w:val="none"/>
          <w:lang w:eastAsia="zh-CN"/>
        </w:rPr>
        <w:t>，</w:t>
      </w:r>
      <w:r>
        <w:rPr>
          <w:rFonts w:hint="eastAsia" w:cs="Times New Roman"/>
          <w:color w:val="000000"/>
          <w:sz w:val="24"/>
          <w:szCs w:val="24"/>
          <w:highlight w:val="none"/>
          <w:lang w:val="en-US" w:eastAsia="zh-CN"/>
        </w:rPr>
        <w:t>包含</w:t>
      </w:r>
      <w:r>
        <w:rPr>
          <w:rFonts w:hint="default" w:ascii="Times New Roman" w:hAnsi="Times New Roman" w:eastAsia="宋体" w:cs="Times New Roman"/>
          <w:color w:val="000000"/>
          <w:sz w:val="24"/>
          <w:szCs w:val="24"/>
          <w:highlight w:val="none"/>
        </w:rPr>
        <w:t>项目</w:t>
      </w:r>
      <w:r>
        <w:rPr>
          <w:rFonts w:hint="eastAsia" w:cs="Times New Roman"/>
          <w:color w:val="000000"/>
          <w:sz w:val="24"/>
          <w:szCs w:val="24"/>
          <w:highlight w:val="none"/>
          <w:lang w:val="en-US" w:eastAsia="zh-CN"/>
        </w:rPr>
        <w:t>全部</w:t>
      </w:r>
      <w:r>
        <w:rPr>
          <w:rFonts w:hint="default" w:ascii="Times New Roman" w:hAnsi="Times New Roman" w:eastAsia="宋体" w:cs="Times New Roman"/>
          <w:color w:val="000000"/>
          <w:sz w:val="24"/>
          <w:szCs w:val="24"/>
          <w:highlight w:val="none"/>
        </w:rPr>
        <w:t>有机肥还田区域。</w:t>
      </w:r>
    </w:p>
    <w:p w14:paraId="1E6E420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）风险评价</w:t>
      </w:r>
    </w:p>
    <w:p w14:paraId="33ADF49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本项目环境风险评价等级为</w:t>
      </w:r>
      <w:r>
        <w:rPr>
          <w:rFonts w:hint="eastAsia" w:cs="Times New Roman"/>
          <w:sz w:val="24"/>
          <w:szCs w:val="24"/>
          <w:lang w:eastAsia="zh-CN"/>
        </w:rPr>
        <w:t>“</w:t>
      </w:r>
      <w:r>
        <w:rPr>
          <w:rFonts w:hint="default" w:ascii="Times New Roman" w:hAnsi="Times New Roman" w:eastAsia="宋体" w:cs="Times New Roman"/>
          <w:sz w:val="24"/>
          <w:szCs w:val="24"/>
          <w:lang w:eastAsia="zh-CN"/>
        </w:rPr>
        <w:t>简单分析</w:t>
      </w:r>
      <w:r>
        <w:rPr>
          <w:rFonts w:hint="eastAsia" w:cs="Times New Roman"/>
          <w:sz w:val="24"/>
          <w:szCs w:val="24"/>
          <w:lang w:eastAsia="zh-CN"/>
        </w:rPr>
        <w:t>”，</w:t>
      </w:r>
      <w:r>
        <w:rPr>
          <w:rFonts w:hint="eastAsia" w:cs="Times New Roman"/>
          <w:sz w:val="24"/>
          <w:szCs w:val="24"/>
          <w:lang w:val="en-US" w:eastAsia="zh-CN"/>
        </w:rPr>
        <w:t>因此不设置评价范围</w:t>
      </w:r>
      <w:r>
        <w:rPr>
          <w:rFonts w:hint="default" w:ascii="Times New Roman" w:hAnsi="Times New Roman" w:eastAsia="宋体" w:cs="Times New Roman"/>
          <w:sz w:val="24"/>
          <w:szCs w:val="24"/>
        </w:rPr>
        <w:t>。</w:t>
      </w:r>
    </w:p>
    <w:p w14:paraId="3445A30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评价范围一览表见表2.</w:t>
      </w:r>
      <w:r>
        <w:rPr>
          <w:rFonts w:hint="eastAsia" w:cs="Times New Roman"/>
          <w:sz w:val="24"/>
          <w:szCs w:val="24"/>
          <w:lang w:val="en-US" w:eastAsia="zh-CN"/>
        </w:rPr>
        <w:t>7</w:t>
      </w:r>
      <w:r>
        <w:rPr>
          <w:rFonts w:hint="default" w:ascii="Times New Roman" w:hAnsi="Times New Roman" w:eastAsia="宋体" w:cs="Times New Roman"/>
          <w:sz w:val="24"/>
          <w:szCs w:val="24"/>
          <w:lang w:val="zh-CN"/>
        </w:rPr>
        <w:t>-1</w:t>
      </w:r>
      <w:r>
        <w:rPr>
          <w:rFonts w:hint="eastAsia" w:ascii="Times New Roman" w:hAnsi="Times New Roman" w:eastAsia="宋体" w:cs="Times New Roman"/>
          <w:sz w:val="24"/>
          <w:szCs w:val="24"/>
          <w:lang w:val="zh-CN"/>
        </w:rPr>
        <w:t>，</w:t>
      </w:r>
      <w:r>
        <w:rPr>
          <w:rFonts w:hint="default" w:ascii="Times New Roman" w:hAnsi="Times New Roman" w:eastAsia="宋体" w:cs="Times New Roman"/>
          <w:sz w:val="24"/>
          <w:szCs w:val="24"/>
        </w:rPr>
        <w:t>本项目评价范围见图</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7</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zh-CN"/>
        </w:rPr>
        <w:t>。</w:t>
      </w:r>
    </w:p>
    <w:p w14:paraId="46EBC5DC">
      <w:pPr>
        <w:keepNext w:val="0"/>
        <w:keepLines w:val="0"/>
        <w:pageBreakBefore w:val="0"/>
        <w:widowControl w:val="0"/>
        <w:kinsoku/>
        <w:wordWrap/>
        <w:overflowPunct/>
        <w:topLinePunct w:val="0"/>
        <w:autoSpaceDE/>
        <w:autoSpaceDN/>
        <w:bidi w:val="0"/>
        <w:adjustRightInd/>
        <w:snapToGrid/>
        <w:spacing w:line="460" w:lineRule="exact"/>
        <w:ind w:firstLine="420"/>
        <w:jc w:val="center"/>
        <w:textAlignment w:val="auto"/>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表2.</w:t>
      </w:r>
      <w:r>
        <w:rPr>
          <w:rFonts w:hint="eastAsia" w:cs="Times New Roman"/>
          <w:b/>
          <w:kern w:val="0"/>
          <w:sz w:val="24"/>
          <w:szCs w:val="24"/>
          <w:lang w:val="en-US" w:eastAsia="zh-CN" w:bidi="ar-SA"/>
        </w:rPr>
        <w:t>7</w:t>
      </w:r>
      <w:r>
        <w:rPr>
          <w:rFonts w:hint="default" w:ascii="Times New Roman" w:hAnsi="Times New Roman" w:eastAsia="宋体" w:cs="Times New Roman"/>
          <w:b/>
          <w:kern w:val="0"/>
          <w:sz w:val="24"/>
          <w:szCs w:val="24"/>
          <w:lang w:val="en-US" w:eastAsia="zh-CN" w:bidi="ar-SA"/>
        </w:rPr>
        <w:t>-1评价范围一览表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13"/>
        <w:gridCol w:w="6091"/>
      </w:tblGrid>
      <w:tr w14:paraId="72FA8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413" w:type="dxa"/>
            <w:vAlign w:val="center"/>
          </w:tcPr>
          <w:p w14:paraId="14D22B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项目</w:t>
            </w:r>
          </w:p>
        </w:tc>
        <w:tc>
          <w:tcPr>
            <w:tcW w:w="6091" w:type="dxa"/>
            <w:vAlign w:val="center"/>
          </w:tcPr>
          <w:p w14:paraId="152322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评价范围</w:t>
            </w:r>
          </w:p>
        </w:tc>
      </w:tr>
      <w:tr w14:paraId="0C92D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413" w:type="dxa"/>
            <w:vAlign w:val="center"/>
          </w:tcPr>
          <w:p w14:paraId="6FA2F9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环境空气</w:t>
            </w:r>
          </w:p>
        </w:tc>
        <w:tc>
          <w:tcPr>
            <w:tcW w:w="6091" w:type="dxa"/>
            <w:vAlign w:val="center"/>
          </w:tcPr>
          <w:p w14:paraId="6A0F02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以</w:t>
            </w:r>
            <w:r>
              <w:rPr>
                <w:rFonts w:hint="eastAsia" w:ascii="Times New Roman" w:hAnsi="Times New Roman" w:eastAsia="宋体" w:cs="Times New Roman"/>
                <w:kern w:val="0"/>
                <w:sz w:val="21"/>
                <w:szCs w:val="21"/>
                <w:lang w:val="en-US" w:eastAsia="zh-CN" w:bidi="ar-SA"/>
              </w:rPr>
              <w:t>项目区</w:t>
            </w:r>
            <w:r>
              <w:rPr>
                <w:rFonts w:hint="default" w:ascii="Times New Roman" w:hAnsi="Times New Roman" w:eastAsia="宋体" w:cs="Times New Roman"/>
                <w:kern w:val="0"/>
                <w:sz w:val="21"/>
                <w:szCs w:val="21"/>
                <w:lang w:val="en-US" w:eastAsia="zh-CN" w:bidi="ar-SA"/>
              </w:rPr>
              <w:t>为中心，</w:t>
            </w:r>
            <w:r>
              <w:rPr>
                <w:rFonts w:hint="eastAsia" w:ascii="Times New Roman" w:hAnsi="Times New Roman" w:eastAsia="宋体" w:cs="Times New Roman"/>
                <w:kern w:val="0"/>
                <w:sz w:val="21"/>
                <w:szCs w:val="21"/>
                <w:lang w:val="en-US" w:eastAsia="zh-CN" w:bidi="ar-SA"/>
              </w:rPr>
              <w:t>边长</w:t>
            </w:r>
            <w:r>
              <w:rPr>
                <w:rFonts w:hint="default" w:ascii="Times New Roman" w:hAnsi="Times New Roman" w:eastAsia="宋体" w:cs="Times New Roman"/>
                <w:kern w:val="0"/>
                <w:sz w:val="21"/>
                <w:szCs w:val="21"/>
                <w:lang w:val="en-US" w:eastAsia="zh-CN" w:bidi="ar-SA"/>
              </w:rPr>
              <w:t>5km的</w:t>
            </w:r>
            <w:r>
              <w:rPr>
                <w:rFonts w:hint="eastAsia" w:ascii="Times New Roman" w:hAnsi="Times New Roman" w:eastAsia="宋体" w:cs="Times New Roman"/>
                <w:kern w:val="0"/>
                <w:sz w:val="21"/>
                <w:szCs w:val="21"/>
                <w:lang w:val="en-US" w:eastAsia="zh-CN" w:bidi="ar-SA"/>
              </w:rPr>
              <w:t>矩</w:t>
            </w:r>
            <w:r>
              <w:rPr>
                <w:rFonts w:hint="default" w:ascii="Times New Roman" w:hAnsi="Times New Roman" w:eastAsia="宋体" w:cs="Times New Roman"/>
                <w:kern w:val="0"/>
                <w:sz w:val="21"/>
                <w:szCs w:val="21"/>
                <w:lang w:val="en-US" w:eastAsia="zh-CN" w:bidi="ar-SA"/>
              </w:rPr>
              <w:t>形区域</w:t>
            </w:r>
          </w:p>
        </w:tc>
      </w:tr>
      <w:tr w14:paraId="1C95E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413" w:type="dxa"/>
            <w:vAlign w:val="center"/>
          </w:tcPr>
          <w:p w14:paraId="6E3F4D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地下水</w:t>
            </w:r>
          </w:p>
        </w:tc>
        <w:tc>
          <w:tcPr>
            <w:tcW w:w="6091" w:type="dxa"/>
            <w:vAlign w:val="center"/>
          </w:tcPr>
          <w:p w14:paraId="4ACF94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highlight w:val="none"/>
                <w:lang w:val="en-US" w:eastAsia="zh-CN" w:bidi="ar-SA"/>
              </w:rPr>
              <w:t>项目区</w:t>
            </w:r>
            <w:r>
              <w:rPr>
                <w:rFonts w:hint="default" w:ascii="Times New Roman" w:hAnsi="Times New Roman" w:eastAsia="宋体" w:cs="Times New Roman"/>
                <w:kern w:val="0"/>
                <w:sz w:val="21"/>
                <w:szCs w:val="21"/>
                <w:highlight w:val="none"/>
                <w:lang w:val="en-US" w:eastAsia="zh-CN" w:bidi="ar-SA"/>
              </w:rPr>
              <w:t>地下水区域约</w:t>
            </w:r>
            <w:r>
              <w:rPr>
                <w:rFonts w:hint="eastAsia" w:cs="Times New Roman"/>
                <w:kern w:val="0"/>
                <w:sz w:val="21"/>
                <w:szCs w:val="21"/>
                <w:highlight w:val="none"/>
                <w:lang w:val="en-US" w:eastAsia="zh-CN" w:bidi="ar-SA"/>
              </w:rPr>
              <w:t>3</w:t>
            </w:r>
            <w:r>
              <w:rPr>
                <w:rFonts w:hint="default" w:ascii="Times New Roman" w:hAnsi="Times New Roman" w:eastAsia="宋体" w:cs="Times New Roman"/>
                <w:kern w:val="0"/>
                <w:sz w:val="21"/>
                <w:szCs w:val="21"/>
                <w:highlight w:val="none"/>
                <w:lang w:val="en-US" w:eastAsia="zh-CN" w:bidi="ar-SA"/>
              </w:rPr>
              <w:t>km×</w:t>
            </w:r>
            <w:r>
              <w:rPr>
                <w:rFonts w:hint="eastAsia" w:cs="Times New Roman"/>
                <w:kern w:val="0"/>
                <w:sz w:val="21"/>
                <w:szCs w:val="21"/>
                <w:highlight w:val="none"/>
                <w:lang w:val="en-US" w:eastAsia="zh-CN" w:bidi="ar-SA"/>
              </w:rPr>
              <w:t>2</w:t>
            </w:r>
            <w:r>
              <w:rPr>
                <w:rFonts w:hint="default" w:ascii="Times New Roman" w:hAnsi="Times New Roman" w:eastAsia="宋体" w:cs="Times New Roman"/>
                <w:kern w:val="0"/>
                <w:sz w:val="21"/>
                <w:szCs w:val="21"/>
                <w:highlight w:val="none"/>
                <w:lang w:val="en-US" w:eastAsia="zh-CN" w:bidi="ar-SA"/>
              </w:rPr>
              <w:t>km的</w:t>
            </w:r>
            <w:r>
              <w:rPr>
                <w:rFonts w:hint="eastAsia" w:cs="Times New Roman"/>
                <w:kern w:val="0"/>
                <w:sz w:val="21"/>
                <w:szCs w:val="21"/>
                <w:highlight w:val="none"/>
                <w:lang w:val="en-US" w:eastAsia="zh-CN" w:bidi="ar-SA"/>
              </w:rPr>
              <w:t>矩形</w:t>
            </w:r>
            <w:r>
              <w:rPr>
                <w:rFonts w:hint="default" w:ascii="Times New Roman" w:hAnsi="Times New Roman" w:eastAsia="宋体" w:cs="Times New Roman"/>
                <w:kern w:val="0"/>
                <w:sz w:val="21"/>
                <w:szCs w:val="21"/>
                <w:highlight w:val="none"/>
                <w:lang w:val="en-US" w:eastAsia="zh-CN" w:bidi="ar-SA"/>
              </w:rPr>
              <w:t>区域</w:t>
            </w:r>
          </w:p>
        </w:tc>
      </w:tr>
      <w:tr w14:paraId="226E0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413" w:type="dxa"/>
            <w:vAlign w:val="center"/>
          </w:tcPr>
          <w:p w14:paraId="3E9F5C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声</w:t>
            </w:r>
          </w:p>
        </w:tc>
        <w:tc>
          <w:tcPr>
            <w:tcW w:w="6091" w:type="dxa"/>
            <w:vAlign w:val="center"/>
          </w:tcPr>
          <w:p w14:paraId="79101F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厂界外</w:t>
            </w:r>
            <w:r>
              <w:rPr>
                <w:rFonts w:hint="eastAsia" w:cs="Times New Roman"/>
                <w:kern w:val="0"/>
                <w:sz w:val="21"/>
                <w:szCs w:val="21"/>
                <w:lang w:val="en-US" w:eastAsia="zh-CN" w:bidi="ar-SA"/>
              </w:rPr>
              <w:t>200</w:t>
            </w:r>
            <w:r>
              <w:rPr>
                <w:rFonts w:hint="default" w:ascii="Times New Roman" w:hAnsi="Times New Roman" w:eastAsia="宋体" w:cs="Times New Roman"/>
                <w:kern w:val="0"/>
                <w:sz w:val="21"/>
                <w:szCs w:val="21"/>
                <w:lang w:val="en-US" w:eastAsia="zh-CN" w:bidi="ar-SA"/>
              </w:rPr>
              <w:t>m范围</w:t>
            </w:r>
          </w:p>
        </w:tc>
      </w:tr>
      <w:tr w14:paraId="79720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413" w:type="dxa"/>
            <w:vAlign w:val="center"/>
          </w:tcPr>
          <w:p w14:paraId="4CF360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土壤</w:t>
            </w:r>
          </w:p>
        </w:tc>
        <w:tc>
          <w:tcPr>
            <w:tcW w:w="6091" w:type="dxa"/>
            <w:vAlign w:val="center"/>
          </w:tcPr>
          <w:p w14:paraId="20F3E7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厂界外延</w:t>
            </w:r>
            <w:r>
              <w:rPr>
                <w:rFonts w:hint="eastAsia" w:ascii="Times New Roman" w:hAnsi="Times New Roman" w:eastAsia="宋体" w:cs="Times New Roman"/>
                <w:kern w:val="0"/>
                <w:sz w:val="21"/>
                <w:szCs w:val="21"/>
                <w:lang w:val="en-US" w:eastAsia="zh-CN" w:bidi="ar-SA"/>
              </w:rPr>
              <w:t>0.05</w:t>
            </w:r>
            <w:r>
              <w:rPr>
                <w:rFonts w:hint="default" w:ascii="Times New Roman" w:hAnsi="Times New Roman" w:eastAsia="宋体" w:cs="Times New Roman"/>
                <w:kern w:val="0"/>
                <w:sz w:val="21"/>
                <w:szCs w:val="21"/>
                <w:lang w:val="en-US" w:eastAsia="zh-CN" w:bidi="ar-SA"/>
              </w:rPr>
              <w:t>km范围</w:t>
            </w:r>
          </w:p>
        </w:tc>
      </w:tr>
      <w:tr w14:paraId="12092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2413" w:type="dxa"/>
            <w:vAlign w:val="center"/>
          </w:tcPr>
          <w:p w14:paraId="3001FD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生态环境</w:t>
            </w:r>
          </w:p>
        </w:tc>
        <w:tc>
          <w:tcPr>
            <w:tcW w:w="6091" w:type="dxa"/>
            <w:vAlign w:val="center"/>
          </w:tcPr>
          <w:p w14:paraId="44C244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eastAsia" w:cs="Times New Roman"/>
                <w:kern w:val="0"/>
                <w:sz w:val="21"/>
                <w:szCs w:val="21"/>
                <w:highlight w:val="none"/>
                <w:lang w:val="en-US" w:eastAsia="zh-CN" w:bidi="ar-SA"/>
              </w:rPr>
              <w:t>4.3km×8km的矩形区域</w:t>
            </w:r>
            <w:r>
              <w:rPr>
                <w:rFonts w:hint="eastAsia" w:ascii="Times New Roman" w:hAnsi="Times New Roman" w:eastAsia="宋体" w:cs="Times New Roman"/>
                <w:kern w:val="0"/>
                <w:sz w:val="21"/>
                <w:szCs w:val="21"/>
                <w:highlight w:val="none"/>
                <w:lang w:val="en-US" w:eastAsia="zh-CN" w:bidi="ar-SA"/>
              </w:rPr>
              <w:t>，</w:t>
            </w:r>
            <w:r>
              <w:rPr>
                <w:rFonts w:hint="eastAsia" w:cs="Times New Roman"/>
                <w:kern w:val="0"/>
                <w:sz w:val="21"/>
                <w:szCs w:val="21"/>
                <w:highlight w:val="none"/>
                <w:lang w:val="en-US" w:eastAsia="zh-CN" w:bidi="ar-SA"/>
              </w:rPr>
              <w:t>包含全部</w:t>
            </w:r>
            <w:r>
              <w:rPr>
                <w:rFonts w:hint="eastAsia" w:ascii="Times New Roman" w:hAnsi="Times New Roman" w:eastAsia="宋体" w:cs="Times New Roman"/>
                <w:kern w:val="0"/>
                <w:sz w:val="21"/>
                <w:szCs w:val="21"/>
                <w:highlight w:val="none"/>
                <w:lang w:val="en-US" w:eastAsia="zh-CN" w:bidi="ar-SA"/>
              </w:rPr>
              <w:t>有机肥还田</w:t>
            </w:r>
            <w:r>
              <w:rPr>
                <w:rFonts w:hint="default" w:ascii="Times New Roman" w:hAnsi="Times New Roman" w:eastAsia="宋体" w:cs="Times New Roman"/>
                <w:kern w:val="0"/>
                <w:sz w:val="21"/>
                <w:szCs w:val="21"/>
                <w:highlight w:val="none"/>
                <w:lang w:val="en-US" w:eastAsia="zh-CN" w:bidi="ar-SA"/>
              </w:rPr>
              <w:t>区域</w:t>
            </w:r>
          </w:p>
        </w:tc>
      </w:tr>
      <w:tr w14:paraId="2508D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413" w:type="dxa"/>
            <w:vAlign w:val="center"/>
          </w:tcPr>
          <w:p w14:paraId="67EAC9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环境风险</w:t>
            </w:r>
          </w:p>
        </w:tc>
        <w:tc>
          <w:tcPr>
            <w:tcW w:w="6091" w:type="dxa"/>
            <w:vAlign w:val="center"/>
          </w:tcPr>
          <w:p w14:paraId="74C104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w:t>
            </w:r>
          </w:p>
        </w:tc>
      </w:tr>
    </w:tbl>
    <w:p w14:paraId="701B53B4">
      <w:pPr>
        <w:keepNext w:val="0"/>
        <w:keepLines w:val="0"/>
        <w:pageBreakBefore w:val="0"/>
        <w:widowControl w:val="0"/>
        <w:kinsoku/>
        <w:wordWrap/>
        <w:overflowPunct/>
        <w:topLinePunct w:val="0"/>
        <w:autoSpaceDE/>
        <w:autoSpaceDN/>
        <w:bidi w:val="0"/>
        <w:adjustRightInd/>
        <w:snapToGrid/>
        <w:spacing w:before="0" w:after="0" w:line="460" w:lineRule="exact"/>
        <w:jc w:val="both"/>
        <w:textAlignment w:val="auto"/>
        <w:outlineLvl w:val="2"/>
        <w:rPr>
          <w:rFonts w:hint="default" w:ascii="Times New Roman" w:hAnsi="Times New Roman" w:eastAsia="宋体" w:cs="Times New Roman"/>
          <w:b/>
          <w:bCs/>
          <w:color w:val="auto"/>
          <w:kern w:val="2"/>
          <w:sz w:val="28"/>
          <w:szCs w:val="28"/>
          <w:highlight w:val="yellow"/>
          <w:lang w:val="en-US" w:eastAsia="zh-CN" w:bidi="ar-SA"/>
        </w:rPr>
      </w:pPr>
      <w:bookmarkStart w:id="232" w:name="_Toc28044"/>
      <w:bookmarkStart w:id="233" w:name="_Toc25717"/>
      <w:bookmarkStart w:id="234" w:name="_Toc13755"/>
      <w:r>
        <w:rPr>
          <w:rFonts w:hint="default" w:ascii="Times New Roman" w:hAnsi="Times New Roman" w:eastAsia="宋体" w:cs="Times New Roman"/>
          <w:b/>
          <w:bCs/>
          <w:color w:val="auto"/>
          <w:kern w:val="2"/>
          <w:sz w:val="28"/>
          <w:szCs w:val="28"/>
          <w:highlight w:val="none"/>
          <w:lang w:val="en-US" w:eastAsia="zh-CN" w:bidi="ar-SA"/>
        </w:rPr>
        <w:t>2.</w:t>
      </w:r>
      <w:r>
        <w:rPr>
          <w:rFonts w:hint="eastAsia" w:cs="Times New Roman"/>
          <w:b/>
          <w:bCs/>
          <w:color w:val="auto"/>
          <w:kern w:val="2"/>
          <w:sz w:val="28"/>
          <w:szCs w:val="28"/>
          <w:highlight w:val="none"/>
          <w:lang w:val="en-US" w:eastAsia="zh-CN" w:bidi="ar-SA"/>
        </w:rPr>
        <w:t>7</w:t>
      </w:r>
      <w:r>
        <w:rPr>
          <w:rFonts w:hint="default" w:ascii="Times New Roman" w:hAnsi="Times New Roman" w:eastAsia="宋体" w:cs="Times New Roman"/>
          <w:b/>
          <w:bCs/>
          <w:color w:val="auto"/>
          <w:kern w:val="2"/>
          <w:sz w:val="28"/>
          <w:szCs w:val="28"/>
          <w:highlight w:val="none"/>
          <w:lang w:val="en-US" w:eastAsia="zh-CN" w:bidi="ar-SA"/>
        </w:rPr>
        <w:t>.2环境敏感目标分布</w:t>
      </w:r>
      <w:bookmarkEnd w:id="232"/>
      <w:bookmarkEnd w:id="233"/>
      <w:bookmarkEnd w:id="234"/>
    </w:p>
    <w:p w14:paraId="5431A9A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eastAsia="宋体" w:cs="Times New Roman"/>
          <w:kern w:val="2"/>
          <w:sz w:val="24"/>
          <w:szCs w:val="24"/>
          <w:lang w:val="en-US" w:eastAsia="zh-CN" w:bidi="ar-SA"/>
        </w:rPr>
        <w:t>本项目</w:t>
      </w:r>
      <w:r>
        <w:rPr>
          <w:rFonts w:hint="eastAsia" w:ascii="Times New Roman" w:hAnsi="Times New Roman" w:cs="Times New Roman"/>
          <w:color w:val="000000"/>
          <w:sz w:val="24"/>
          <w:lang w:val="en-US" w:eastAsia="zh-CN"/>
        </w:rPr>
        <w:t>选址位于</w:t>
      </w:r>
      <w:r>
        <w:rPr>
          <w:rFonts w:hint="eastAsia" w:cs="Times New Roman"/>
          <w:color w:val="000000"/>
          <w:kern w:val="2"/>
          <w:sz w:val="24"/>
          <w:szCs w:val="24"/>
          <w:lang w:val="en-US" w:eastAsia="zh-CN" w:bidi="ar-SA"/>
        </w:rPr>
        <w:t>第七师胡杨河市125团（柳沟镇）14连瓜村西区323号</w:t>
      </w:r>
      <w:r>
        <w:rPr>
          <w:rFonts w:hint="default" w:ascii="Times New Roman" w:hAnsi="Times New Roman" w:cs="Times New Roman"/>
          <w:color w:val="000000"/>
          <w:sz w:val="24"/>
          <w:szCs w:val="24"/>
        </w:rPr>
        <w:t>，</w:t>
      </w:r>
      <w:r>
        <w:rPr>
          <w:rFonts w:hint="eastAsia" w:cs="Times New Roman"/>
          <w:color w:val="000000"/>
          <w:sz w:val="24"/>
          <w:szCs w:val="24"/>
          <w:lang w:val="en-US" w:eastAsia="zh-CN"/>
        </w:rPr>
        <w:t>东侧、南侧、北侧为道路，</w:t>
      </w:r>
      <w:r>
        <w:rPr>
          <w:rFonts w:hint="default" w:ascii="Times New Roman" w:hAnsi="Times New Roman" w:cs="Times New Roman"/>
          <w:color w:val="000000"/>
          <w:sz w:val="24"/>
          <w:szCs w:val="24"/>
          <w:lang w:val="en-US" w:eastAsia="zh-CN"/>
        </w:rPr>
        <w:t>东侧</w:t>
      </w:r>
      <w:r>
        <w:rPr>
          <w:rFonts w:hint="eastAsia" w:cs="Times New Roman"/>
          <w:color w:val="000000"/>
          <w:sz w:val="24"/>
          <w:szCs w:val="24"/>
          <w:lang w:val="en-US" w:eastAsia="zh-CN"/>
        </w:rPr>
        <w:t>隔道路为125团14连耕地，南侧隔道路为胡杨河市金逸养殖农民专业合作社，北侧隔道路为胡杨河鑫风苑养殖场</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highlight w:val="none"/>
          <w:lang w:val="en-US" w:eastAsia="zh-CN"/>
        </w:rPr>
        <w:t>西侧</w:t>
      </w:r>
      <w:r>
        <w:rPr>
          <w:rFonts w:hint="eastAsia" w:cs="Times New Roman"/>
          <w:color w:val="000000"/>
          <w:sz w:val="24"/>
          <w:szCs w:val="24"/>
          <w:highlight w:val="none"/>
          <w:lang w:val="en-US" w:eastAsia="zh-CN"/>
        </w:rPr>
        <w:t>为林地</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rPr>
        <w:t>项目区地势平坦、开阔。</w:t>
      </w:r>
      <w:r>
        <w:rPr>
          <w:rFonts w:hint="default" w:ascii="Times New Roman" w:hAnsi="Times New Roman" w:eastAsia="宋体" w:cs="Times New Roman"/>
          <w:color w:val="000000"/>
          <w:sz w:val="24"/>
          <w:szCs w:val="24"/>
          <w:highlight w:val="none"/>
          <w:lang w:val="en-US" w:eastAsia="zh-CN" w:bidi="ar-SA"/>
        </w:rPr>
        <w:t>本项目不属于特殊或重要生态敏感区，附近无国家及省级确定的风景名胜区、历史遗迹等保护区，也无重点保护生态品种及濒危生物物种，文物古迹等</w:t>
      </w:r>
      <w:r>
        <w:rPr>
          <w:rFonts w:hint="eastAsia" w:ascii="Times New Roman" w:hAnsi="Times New Roman" w:cs="Times New Roman"/>
          <w:color w:val="000000"/>
          <w:sz w:val="24"/>
          <w:szCs w:val="24"/>
          <w:highlight w:val="none"/>
          <w:lang w:val="en-US" w:eastAsia="zh-CN" w:bidi="ar-SA"/>
        </w:rPr>
        <w:t>，存在</w:t>
      </w:r>
      <w:r>
        <w:rPr>
          <w:rFonts w:hint="eastAsia" w:cs="Times New Roman"/>
          <w:color w:val="auto"/>
          <w:sz w:val="24"/>
          <w:szCs w:val="24"/>
          <w:lang w:val="en-US" w:eastAsia="zh-CN" w:bidi="ar-SA"/>
        </w:rPr>
        <w:t>14连</w:t>
      </w:r>
      <w:r>
        <w:rPr>
          <w:rFonts w:hint="eastAsia" w:ascii="Times New Roman" w:hAnsi="Times New Roman" w:cs="Times New Roman"/>
          <w:color w:val="000000"/>
          <w:sz w:val="24"/>
          <w:szCs w:val="24"/>
          <w:highlight w:val="none"/>
          <w:lang w:val="en-US" w:eastAsia="zh-CN" w:bidi="ar-SA"/>
        </w:rPr>
        <w:t>等环境空气敏感目标</w:t>
      </w:r>
      <w:r>
        <w:rPr>
          <w:rFonts w:hint="eastAsia" w:cs="Times New Roman"/>
          <w:color w:val="000000"/>
          <w:sz w:val="24"/>
          <w:szCs w:val="24"/>
          <w:highlight w:val="none"/>
          <w:lang w:val="en-US" w:eastAsia="zh-CN" w:bidi="ar-SA"/>
        </w:rPr>
        <w:t>；耕地</w:t>
      </w:r>
      <w:r>
        <w:rPr>
          <w:rFonts w:hint="eastAsia" w:ascii="Times New Roman" w:hAnsi="Times New Roman" w:cs="Times New Roman"/>
          <w:color w:val="000000"/>
          <w:sz w:val="24"/>
          <w:szCs w:val="24"/>
          <w:highlight w:val="none"/>
          <w:lang w:val="en-US" w:eastAsia="zh-CN" w:bidi="ar-SA"/>
        </w:rPr>
        <w:t>等土壤环境敏感目标</w:t>
      </w:r>
      <w:r>
        <w:rPr>
          <w:rFonts w:hint="eastAsia" w:cs="Times New Roman"/>
          <w:color w:val="000000"/>
          <w:sz w:val="24"/>
          <w:szCs w:val="24"/>
          <w:highlight w:val="none"/>
          <w:lang w:val="en-US" w:eastAsia="zh-CN" w:bidi="ar-SA"/>
        </w:rPr>
        <w:t>；场直二支渠</w:t>
      </w:r>
      <w:r>
        <w:rPr>
          <w:rFonts w:hint="eastAsia" w:ascii="Times New Roman" w:hAnsi="Times New Roman" w:cs="Times New Roman"/>
          <w:color w:val="000000"/>
          <w:sz w:val="24"/>
          <w:lang w:val="en-US" w:eastAsia="zh-CN"/>
        </w:rPr>
        <w:t>等地表水敏感目标</w:t>
      </w:r>
      <w:r>
        <w:rPr>
          <w:rFonts w:hint="default" w:ascii="Times New Roman" w:hAnsi="Times New Roman" w:cs="Times New Roman"/>
          <w:color w:val="000000"/>
          <w:sz w:val="24"/>
          <w:lang w:val="en-US" w:eastAsia="zh-CN"/>
        </w:rPr>
        <w:t>。</w:t>
      </w:r>
      <w:r>
        <w:rPr>
          <w:rFonts w:hint="default" w:ascii="Times New Roman" w:hAnsi="Times New Roman" w:eastAsia="宋体" w:cs="Times New Roman"/>
          <w:sz w:val="24"/>
          <w:szCs w:val="24"/>
        </w:rPr>
        <w:t>本项目环境保护目标情况见表</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7</w:t>
      </w:r>
      <w:r>
        <w:rPr>
          <w:rFonts w:hint="default" w:ascii="Times New Roman" w:hAnsi="Times New Roman" w:eastAsia="宋体" w:cs="Times New Roman"/>
          <w:sz w:val="24"/>
          <w:szCs w:val="24"/>
          <w:lang w:val="en-US" w:eastAsia="zh-CN"/>
        </w:rPr>
        <w:t>-2</w:t>
      </w:r>
      <w:r>
        <w:rPr>
          <w:rFonts w:hint="eastAsia" w:cs="Times New Roman"/>
          <w:sz w:val="24"/>
          <w:szCs w:val="24"/>
          <w:lang w:val="en-US" w:eastAsia="zh-CN"/>
        </w:rPr>
        <w:t>，本项目环境保护目标图见图2.7-2。</w:t>
      </w:r>
      <w:r>
        <w:rPr>
          <w:rFonts w:hint="eastAsia" w:ascii="Times New Roman" w:hAnsi="Times New Roman" w:cs="Times New Roman"/>
          <w:sz w:val="24"/>
          <w:szCs w:val="24"/>
          <w:lang w:val="en-US" w:eastAsia="zh-CN"/>
        </w:rPr>
        <w:t xml:space="preserve">   </w:t>
      </w:r>
    </w:p>
    <w:p w14:paraId="051E7BCD">
      <w:pPr>
        <w:keepNext w:val="0"/>
        <w:keepLines w:val="0"/>
        <w:pageBreakBefore w:val="0"/>
        <w:widowControl w:val="0"/>
        <w:kinsoku/>
        <w:wordWrap/>
        <w:overflowPunct/>
        <w:topLinePunct w:val="0"/>
        <w:autoSpaceDE/>
        <w:autoSpaceDN/>
        <w:bidi w:val="0"/>
        <w:adjustRightInd/>
        <w:snapToGrid/>
        <w:spacing w:line="460" w:lineRule="exact"/>
        <w:ind w:firstLine="470" w:firstLineChars="196"/>
        <w:jc w:val="center"/>
        <w:textAlignment w:val="auto"/>
        <w:rPr>
          <w:rFonts w:hint="default" w:ascii="Times New Roman" w:hAnsi="Times New Roman" w:eastAsia="宋体" w:cs="Times New Roman"/>
          <w:b/>
          <w:sz w:val="24"/>
          <w:szCs w:val="24"/>
          <w:lang w:bidi="ar"/>
        </w:rPr>
      </w:pPr>
      <w:r>
        <w:rPr>
          <w:rFonts w:hint="default" w:ascii="Times New Roman" w:hAnsi="Times New Roman" w:eastAsia="宋体" w:cs="Times New Roman"/>
          <w:b/>
          <w:sz w:val="24"/>
          <w:szCs w:val="24"/>
          <w:lang w:bidi="ar"/>
        </w:rPr>
        <w:t>表2.</w:t>
      </w:r>
      <w:r>
        <w:rPr>
          <w:rFonts w:hint="eastAsia" w:cs="Times New Roman"/>
          <w:b/>
          <w:sz w:val="24"/>
          <w:szCs w:val="24"/>
          <w:lang w:val="en-US" w:eastAsia="zh-CN" w:bidi="ar"/>
        </w:rPr>
        <w:t>7</w:t>
      </w:r>
      <w:r>
        <w:rPr>
          <w:rFonts w:hint="default" w:ascii="Times New Roman" w:hAnsi="Times New Roman" w:eastAsia="宋体" w:cs="Times New Roman"/>
          <w:b/>
          <w:sz w:val="24"/>
          <w:szCs w:val="24"/>
          <w:lang w:bidi="ar"/>
        </w:rPr>
        <w:t>-2敏感目标分布一览表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16"/>
        <w:gridCol w:w="766"/>
        <w:gridCol w:w="727"/>
        <w:gridCol w:w="684"/>
        <w:gridCol w:w="739"/>
        <w:gridCol w:w="465"/>
        <w:gridCol w:w="495"/>
        <w:gridCol w:w="688"/>
        <w:gridCol w:w="2"/>
        <w:gridCol w:w="1100"/>
        <w:gridCol w:w="1922"/>
      </w:tblGrid>
      <w:tr w14:paraId="21A07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916" w:type="dxa"/>
            <w:vMerge w:val="restart"/>
            <w:tcBorders>
              <w:tl2br w:val="nil"/>
              <w:tr2bl w:val="nil"/>
            </w:tcBorders>
            <w:noWrap w:val="0"/>
            <w:vAlign w:val="center"/>
          </w:tcPr>
          <w:p w14:paraId="6010A8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kern w:val="0"/>
                <w:sz w:val="21"/>
                <w:szCs w:val="21"/>
              </w:rPr>
            </w:pPr>
            <w:r>
              <w:rPr>
                <w:rFonts w:hint="default" w:ascii="Times New Roman" w:hAnsi="Times New Roman" w:eastAsia="宋体" w:cs="Times New Roman"/>
                <w:b/>
                <w:bCs w:val="0"/>
                <w:kern w:val="0"/>
                <w:sz w:val="21"/>
                <w:szCs w:val="21"/>
              </w:rPr>
              <w:t>保护类型</w:t>
            </w:r>
          </w:p>
        </w:tc>
        <w:tc>
          <w:tcPr>
            <w:tcW w:w="766" w:type="dxa"/>
            <w:vMerge w:val="restart"/>
            <w:tcBorders>
              <w:tl2br w:val="nil"/>
              <w:tr2bl w:val="nil"/>
            </w:tcBorders>
            <w:noWrap w:val="0"/>
            <w:vAlign w:val="center"/>
          </w:tcPr>
          <w:p w14:paraId="6C743E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kern w:val="0"/>
                <w:sz w:val="21"/>
                <w:szCs w:val="21"/>
                <w:lang w:eastAsia="zh-CN"/>
              </w:rPr>
            </w:pPr>
            <w:r>
              <w:rPr>
                <w:rFonts w:hint="eastAsia" w:ascii="Times New Roman" w:hAnsi="Times New Roman" w:cs="Times New Roman"/>
                <w:b/>
                <w:bCs w:val="0"/>
                <w:kern w:val="0"/>
                <w:sz w:val="21"/>
                <w:szCs w:val="21"/>
                <w:lang w:val="en-US" w:eastAsia="zh-CN"/>
              </w:rPr>
              <w:t>名称</w:t>
            </w:r>
          </w:p>
        </w:tc>
        <w:tc>
          <w:tcPr>
            <w:tcW w:w="1411" w:type="dxa"/>
            <w:gridSpan w:val="2"/>
            <w:tcBorders>
              <w:tl2br w:val="nil"/>
              <w:tr2bl w:val="nil"/>
            </w:tcBorders>
            <w:noWrap w:val="0"/>
            <w:vAlign w:val="center"/>
          </w:tcPr>
          <w:p w14:paraId="26569C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val="0"/>
                <w:kern w:val="0"/>
                <w:sz w:val="21"/>
                <w:szCs w:val="21"/>
                <w:lang w:eastAsia="zh-CN"/>
              </w:rPr>
            </w:pPr>
            <w:r>
              <w:rPr>
                <w:rFonts w:hint="eastAsia" w:ascii="Times New Roman" w:hAnsi="Times New Roman" w:cs="Times New Roman"/>
                <w:b/>
                <w:bCs w:val="0"/>
                <w:kern w:val="0"/>
                <w:sz w:val="21"/>
                <w:szCs w:val="21"/>
                <w:lang w:val="en-US" w:eastAsia="zh-CN"/>
              </w:rPr>
              <w:t>坐标</w:t>
            </w:r>
          </w:p>
        </w:tc>
        <w:tc>
          <w:tcPr>
            <w:tcW w:w="739" w:type="dxa"/>
            <w:vMerge w:val="restart"/>
            <w:tcBorders>
              <w:tl2br w:val="nil"/>
              <w:tr2bl w:val="nil"/>
            </w:tcBorders>
            <w:noWrap w:val="0"/>
            <w:vAlign w:val="center"/>
          </w:tcPr>
          <w:p w14:paraId="1C1BF9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val="0"/>
                <w:kern w:val="0"/>
                <w:sz w:val="21"/>
                <w:szCs w:val="21"/>
                <w:lang w:eastAsia="zh-CN"/>
              </w:rPr>
            </w:pPr>
            <w:r>
              <w:rPr>
                <w:rFonts w:hint="eastAsia" w:ascii="Times New Roman" w:hAnsi="Times New Roman" w:cs="Times New Roman"/>
                <w:b/>
                <w:bCs w:val="0"/>
                <w:kern w:val="0"/>
                <w:sz w:val="21"/>
                <w:szCs w:val="21"/>
                <w:lang w:val="en-US" w:eastAsia="zh-CN"/>
              </w:rPr>
              <w:t>保护对象</w:t>
            </w:r>
          </w:p>
        </w:tc>
        <w:tc>
          <w:tcPr>
            <w:tcW w:w="960" w:type="dxa"/>
            <w:gridSpan w:val="2"/>
            <w:vMerge w:val="restart"/>
            <w:tcBorders>
              <w:tl2br w:val="nil"/>
              <w:tr2bl w:val="nil"/>
            </w:tcBorders>
            <w:noWrap w:val="0"/>
            <w:vAlign w:val="center"/>
          </w:tcPr>
          <w:p w14:paraId="142BA6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val="0"/>
                <w:kern w:val="0"/>
                <w:sz w:val="21"/>
                <w:szCs w:val="21"/>
                <w:lang w:val="en-US" w:eastAsia="zh-CN"/>
              </w:rPr>
            </w:pPr>
            <w:r>
              <w:rPr>
                <w:rFonts w:hint="eastAsia" w:ascii="Times New Roman" w:hAnsi="Times New Roman" w:cs="Times New Roman"/>
                <w:b/>
                <w:bCs w:val="0"/>
                <w:kern w:val="0"/>
                <w:sz w:val="21"/>
                <w:szCs w:val="21"/>
                <w:lang w:val="en-US" w:eastAsia="zh-CN"/>
              </w:rPr>
              <w:t>保护内容</w:t>
            </w:r>
          </w:p>
        </w:tc>
        <w:tc>
          <w:tcPr>
            <w:tcW w:w="688" w:type="dxa"/>
            <w:vMerge w:val="restart"/>
            <w:tcBorders>
              <w:tl2br w:val="nil"/>
              <w:tr2bl w:val="nil"/>
            </w:tcBorders>
            <w:noWrap w:val="0"/>
            <w:vAlign w:val="center"/>
          </w:tcPr>
          <w:p w14:paraId="64EAC6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kern w:val="0"/>
                <w:sz w:val="21"/>
                <w:szCs w:val="21"/>
                <w:lang w:val="en-US" w:eastAsia="zh-CN"/>
              </w:rPr>
            </w:pPr>
            <w:r>
              <w:rPr>
                <w:rFonts w:hint="eastAsia" w:ascii="Times New Roman" w:hAnsi="Times New Roman" w:cs="Times New Roman"/>
                <w:b/>
                <w:bCs w:val="0"/>
                <w:kern w:val="0"/>
                <w:sz w:val="21"/>
                <w:szCs w:val="21"/>
                <w:lang w:val="en-US" w:eastAsia="zh-CN"/>
              </w:rPr>
              <w:t>相对厂址方位</w:t>
            </w:r>
          </w:p>
        </w:tc>
        <w:tc>
          <w:tcPr>
            <w:tcW w:w="1102" w:type="dxa"/>
            <w:gridSpan w:val="2"/>
            <w:vMerge w:val="restart"/>
            <w:tcBorders>
              <w:tl2br w:val="nil"/>
              <w:tr2bl w:val="nil"/>
            </w:tcBorders>
            <w:noWrap w:val="0"/>
            <w:vAlign w:val="center"/>
          </w:tcPr>
          <w:p w14:paraId="0D280F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val="0"/>
                <w:kern w:val="0"/>
                <w:sz w:val="21"/>
                <w:szCs w:val="21"/>
                <w:lang w:val="en-US" w:eastAsia="zh-CN"/>
              </w:rPr>
            </w:pPr>
            <w:r>
              <w:rPr>
                <w:rFonts w:hint="eastAsia" w:ascii="Times New Roman" w:hAnsi="Times New Roman" w:cs="Times New Roman"/>
                <w:b/>
                <w:bCs w:val="0"/>
                <w:kern w:val="0"/>
                <w:sz w:val="21"/>
                <w:szCs w:val="21"/>
                <w:lang w:val="en-US" w:eastAsia="zh-CN"/>
              </w:rPr>
              <w:t>相对厂界距离/m</w:t>
            </w:r>
          </w:p>
        </w:tc>
        <w:tc>
          <w:tcPr>
            <w:tcW w:w="1922" w:type="dxa"/>
            <w:vMerge w:val="restart"/>
            <w:tcBorders>
              <w:tl2br w:val="nil"/>
              <w:tr2bl w:val="nil"/>
            </w:tcBorders>
            <w:noWrap w:val="0"/>
            <w:vAlign w:val="center"/>
          </w:tcPr>
          <w:p w14:paraId="0A49CC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val="0"/>
                <w:kern w:val="0"/>
                <w:sz w:val="21"/>
                <w:szCs w:val="21"/>
                <w:lang w:eastAsia="zh-CN"/>
              </w:rPr>
            </w:pPr>
            <w:r>
              <w:rPr>
                <w:rFonts w:hint="eastAsia" w:cs="Times New Roman"/>
                <w:b/>
                <w:bCs w:val="0"/>
                <w:kern w:val="0"/>
                <w:sz w:val="21"/>
                <w:szCs w:val="21"/>
                <w:lang w:val="en-US" w:eastAsia="zh-CN"/>
              </w:rPr>
              <w:t>环境功能区</w:t>
            </w:r>
          </w:p>
        </w:tc>
      </w:tr>
      <w:tr w14:paraId="021BE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916" w:type="dxa"/>
            <w:vMerge w:val="continue"/>
            <w:tcBorders>
              <w:tl2br w:val="nil"/>
              <w:tr2bl w:val="nil"/>
            </w:tcBorders>
            <w:noWrap w:val="0"/>
            <w:vAlign w:val="center"/>
          </w:tcPr>
          <w:p w14:paraId="68E8C6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rPr>
            </w:pPr>
          </w:p>
        </w:tc>
        <w:tc>
          <w:tcPr>
            <w:tcW w:w="766" w:type="dxa"/>
            <w:vMerge w:val="continue"/>
            <w:tcBorders>
              <w:tl2br w:val="nil"/>
              <w:tr2bl w:val="nil"/>
            </w:tcBorders>
            <w:noWrap w:val="0"/>
            <w:vAlign w:val="center"/>
          </w:tcPr>
          <w:p w14:paraId="78F62B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rPr>
            </w:pPr>
          </w:p>
        </w:tc>
        <w:tc>
          <w:tcPr>
            <w:tcW w:w="727" w:type="dxa"/>
            <w:tcBorders>
              <w:tl2br w:val="nil"/>
              <w:tr2bl w:val="nil"/>
            </w:tcBorders>
            <w:noWrap w:val="0"/>
            <w:vAlign w:val="center"/>
          </w:tcPr>
          <w:p w14:paraId="5EA4A2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val="0"/>
                <w:kern w:val="0"/>
                <w:sz w:val="21"/>
                <w:szCs w:val="21"/>
                <w:lang w:val="en-US" w:eastAsia="zh-CN"/>
              </w:rPr>
            </w:pPr>
            <w:r>
              <w:rPr>
                <w:rFonts w:hint="eastAsia" w:ascii="Times New Roman" w:hAnsi="Times New Roman" w:cs="Times New Roman"/>
                <w:b/>
                <w:bCs w:val="0"/>
                <w:kern w:val="0"/>
                <w:sz w:val="21"/>
                <w:szCs w:val="21"/>
                <w:lang w:val="en-US" w:eastAsia="zh-CN"/>
              </w:rPr>
              <w:t>X</w:t>
            </w:r>
          </w:p>
        </w:tc>
        <w:tc>
          <w:tcPr>
            <w:tcW w:w="684" w:type="dxa"/>
            <w:tcBorders>
              <w:tl2br w:val="nil"/>
              <w:tr2bl w:val="nil"/>
            </w:tcBorders>
            <w:noWrap w:val="0"/>
            <w:vAlign w:val="center"/>
          </w:tcPr>
          <w:p w14:paraId="0BCEF9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val="0"/>
                <w:kern w:val="0"/>
                <w:sz w:val="21"/>
                <w:szCs w:val="21"/>
                <w:lang w:val="en-US" w:eastAsia="zh-CN"/>
              </w:rPr>
            </w:pPr>
            <w:r>
              <w:rPr>
                <w:rFonts w:hint="eastAsia" w:ascii="Times New Roman" w:hAnsi="Times New Roman" w:cs="Times New Roman"/>
                <w:b/>
                <w:bCs w:val="0"/>
                <w:kern w:val="0"/>
                <w:sz w:val="21"/>
                <w:szCs w:val="21"/>
                <w:lang w:val="en-US" w:eastAsia="zh-CN"/>
              </w:rPr>
              <w:t>Y</w:t>
            </w:r>
          </w:p>
        </w:tc>
        <w:tc>
          <w:tcPr>
            <w:tcW w:w="739" w:type="dxa"/>
            <w:vMerge w:val="continue"/>
            <w:tcBorders>
              <w:tl2br w:val="nil"/>
              <w:tr2bl w:val="nil"/>
            </w:tcBorders>
            <w:noWrap w:val="0"/>
            <w:vAlign w:val="center"/>
          </w:tcPr>
          <w:p w14:paraId="7D004C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bCs w:val="0"/>
                <w:kern w:val="0"/>
                <w:sz w:val="21"/>
                <w:szCs w:val="21"/>
                <w:lang w:val="en-US" w:eastAsia="zh-CN"/>
              </w:rPr>
            </w:pPr>
          </w:p>
        </w:tc>
        <w:tc>
          <w:tcPr>
            <w:tcW w:w="960" w:type="dxa"/>
            <w:gridSpan w:val="2"/>
            <w:vMerge w:val="continue"/>
            <w:tcBorders>
              <w:tl2br w:val="nil"/>
              <w:tr2bl w:val="nil"/>
            </w:tcBorders>
            <w:noWrap w:val="0"/>
            <w:vAlign w:val="center"/>
          </w:tcPr>
          <w:p w14:paraId="051B99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bCs w:val="0"/>
                <w:kern w:val="0"/>
                <w:sz w:val="21"/>
                <w:szCs w:val="21"/>
                <w:lang w:val="en-US" w:eastAsia="zh-CN"/>
              </w:rPr>
            </w:pPr>
          </w:p>
        </w:tc>
        <w:tc>
          <w:tcPr>
            <w:tcW w:w="688" w:type="dxa"/>
            <w:vMerge w:val="continue"/>
            <w:tcBorders>
              <w:tl2br w:val="nil"/>
              <w:tr2bl w:val="nil"/>
            </w:tcBorders>
            <w:noWrap w:val="0"/>
            <w:vAlign w:val="center"/>
          </w:tcPr>
          <w:p w14:paraId="324CA4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bCs w:val="0"/>
                <w:kern w:val="0"/>
                <w:sz w:val="21"/>
                <w:szCs w:val="21"/>
                <w:lang w:val="en-US" w:eastAsia="zh-CN"/>
              </w:rPr>
            </w:pPr>
          </w:p>
        </w:tc>
        <w:tc>
          <w:tcPr>
            <w:tcW w:w="1102" w:type="dxa"/>
            <w:gridSpan w:val="2"/>
            <w:vMerge w:val="continue"/>
            <w:tcBorders>
              <w:tl2br w:val="nil"/>
              <w:tr2bl w:val="nil"/>
            </w:tcBorders>
            <w:noWrap w:val="0"/>
            <w:vAlign w:val="center"/>
          </w:tcPr>
          <w:p w14:paraId="64EEB8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bCs w:val="0"/>
                <w:kern w:val="0"/>
                <w:sz w:val="21"/>
                <w:szCs w:val="21"/>
                <w:lang w:val="en-US" w:eastAsia="zh-CN"/>
              </w:rPr>
            </w:pPr>
          </w:p>
        </w:tc>
        <w:tc>
          <w:tcPr>
            <w:tcW w:w="1922" w:type="dxa"/>
            <w:vMerge w:val="continue"/>
            <w:tcBorders>
              <w:tl2br w:val="nil"/>
              <w:tr2bl w:val="nil"/>
            </w:tcBorders>
            <w:noWrap w:val="0"/>
            <w:vAlign w:val="center"/>
          </w:tcPr>
          <w:p w14:paraId="6D4D6E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bCs w:val="0"/>
                <w:kern w:val="0"/>
                <w:sz w:val="21"/>
                <w:szCs w:val="21"/>
                <w:lang w:val="en-US" w:eastAsia="zh-CN"/>
              </w:rPr>
            </w:pPr>
          </w:p>
        </w:tc>
      </w:tr>
      <w:tr w14:paraId="1B740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39" w:hRule="atLeast"/>
          <w:jc w:val="center"/>
        </w:trPr>
        <w:tc>
          <w:tcPr>
            <w:tcW w:w="916" w:type="dxa"/>
            <w:tcBorders>
              <w:tl2br w:val="nil"/>
              <w:tr2bl w:val="nil"/>
            </w:tcBorders>
            <w:noWrap w:val="0"/>
            <w:vAlign w:val="center"/>
          </w:tcPr>
          <w:p w14:paraId="7D9882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空气环境</w:t>
            </w:r>
          </w:p>
        </w:tc>
        <w:tc>
          <w:tcPr>
            <w:tcW w:w="766" w:type="dxa"/>
            <w:tcBorders>
              <w:tl2br w:val="nil"/>
              <w:tr2bl w:val="nil"/>
            </w:tcBorders>
            <w:noWrap w:val="0"/>
            <w:vAlign w:val="center"/>
          </w:tcPr>
          <w:p w14:paraId="4EE944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125团14连</w:t>
            </w:r>
          </w:p>
        </w:tc>
        <w:tc>
          <w:tcPr>
            <w:tcW w:w="727" w:type="dxa"/>
            <w:tcBorders>
              <w:tl2br w:val="nil"/>
              <w:tr2bl w:val="nil"/>
            </w:tcBorders>
            <w:noWrap w:val="0"/>
            <w:vAlign w:val="center"/>
          </w:tcPr>
          <w:p w14:paraId="5F9D2A8D">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b w:val="0"/>
                <w:bCs w:val="0"/>
                <w:sz w:val="21"/>
                <w:szCs w:val="21"/>
                <w:lang w:val="en-US" w:eastAsia="zh-CN"/>
              </w:rPr>
              <w:t>44°44′29.442″</w:t>
            </w:r>
          </w:p>
        </w:tc>
        <w:tc>
          <w:tcPr>
            <w:tcW w:w="684" w:type="dxa"/>
            <w:tcBorders>
              <w:tl2br w:val="nil"/>
              <w:tr2bl w:val="nil"/>
            </w:tcBorders>
            <w:noWrap w:val="0"/>
            <w:vAlign w:val="center"/>
          </w:tcPr>
          <w:p w14:paraId="2E5E06EC">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rightChars="0" w:firstLine="0" w:firstLineChars="0"/>
              <w:jc w:val="center"/>
              <w:textAlignment w:val="auto"/>
              <w:rPr>
                <w:rFonts w:hint="eastAsia"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b w:val="0"/>
                <w:bCs w:val="0"/>
                <w:sz w:val="21"/>
                <w:szCs w:val="21"/>
                <w:lang w:val="en-US" w:eastAsia="zh-CN"/>
              </w:rPr>
              <w:t>84°30′16.31″</w:t>
            </w:r>
          </w:p>
        </w:tc>
        <w:tc>
          <w:tcPr>
            <w:tcW w:w="739" w:type="dxa"/>
            <w:tcBorders>
              <w:tl2br w:val="nil"/>
              <w:tr2bl w:val="nil"/>
            </w:tcBorders>
            <w:noWrap w:val="0"/>
            <w:vAlign w:val="center"/>
          </w:tcPr>
          <w:p w14:paraId="5D4645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居民区</w:t>
            </w:r>
          </w:p>
        </w:tc>
        <w:tc>
          <w:tcPr>
            <w:tcW w:w="465" w:type="dxa"/>
            <w:tcBorders>
              <w:tl2br w:val="nil"/>
              <w:tr2bl w:val="nil"/>
            </w:tcBorders>
            <w:noWrap w:val="0"/>
            <w:vAlign w:val="center"/>
          </w:tcPr>
          <w:p w14:paraId="3BB788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居民</w:t>
            </w:r>
          </w:p>
        </w:tc>
        <w:tc>
          <w:tcPr>
            <w:tcW w:w="495" w:type="dxa"/>
            <w:tcBorders>
              <w:tl2br w:val="nil"/>
              <w:tr2bl w:val="nil"/>
            </w:tcBorders>
            <w:noWrap w:val="0"/>
            <w:vAlign w:val="center"/>
          </w:tcPr>
          <w:p w14:paraId="183F4E70">
            <w:pPr>
              <w:spacing w:line="240" w:lineRule="auto"/>
              <w:jc w:val="center"/>
              <w:rPr>
                <w:rFonts w:hint="eastAsia" w:ascii="Times New Roman" w:hAnsi="Times New Roman" w:eastAsia="宋体" w:cs="Times New Roman"/>
                <w:color w:val="000000"/>
                <w:kern w:val="0"/>
                <w:sz w:val="21"/>
                <w:szCs w:val="21"/>
                <w:lang w:val="en-US" w:eastAsia="zh-CN"/>
              </w:rPr>
            </w:pPr>
            <w:r>
              <w:rPr>
                <w:rFonts w:hint="eastAsia" w:cs="Times New Roman"/>
                <w:color w:val="000000"/>
                <w:kern w:val="0"/>
                <w:sz w:val="21"/>
                <w:szCs w:val="24"/>
                <w:lang w:val="en-US" w:eastAsia="zh-CN"/>
              </w:rPr>
              <w:t>1000</w:t>
            </w:r>
            <w:r>
              <w:rPr>
                <w:rFonts w:hint="eastAsia" w:ascii="Times New Roman" w:hAnsi="Times New Roman" w:eastAsia="宋体" w:cs="Times New Roman"/>
                <w:color w:val="000000"/>
                <w:kern w:val="0"/>
                <w:sz w:val="21"/>
                <w:szCs w:val="24"/>
                <w:lang w:val="en-US" w:eastAsia="zh-CN"/>
              </w:rPr>
              <w:t>人</w:t>
            </w:r>
          </w:p>
        </w:tc>
        <w:tc>
          <w:tcPr>
            <w:tcW w:w="688" w:type="dxa"/>
            <w:tcBorders>
              <w:tl2br w:val="nil"/>
              <w:tr2bl w:val="nil"/>
            </w:tcBorders>
            <w:noWrap w:val="0"/>
            <w:vAlign w:val="center"/>
          </w:tcPr>
          <w:p w14:paraId="393DBD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E</w:t>
            </w:r>
          </w:p>
        </w:tc>
        <w:tc>
          <w:tcPr>
            <w:tcW w:w="1102" w:type="dxa"/>
            <w:gridSpan w:val="2"/>
            <w:tcBorders>
              <w:tl2br w:val="nil"/>
              <w:tr2bl w:val="nil"/>
            </w:tcBorders>
            <w:noWrap w:val="0"/>
            <w:vAlign w:val="center"/>
          </w:tcPr>
          <w:p w14:paraId="613786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520</w:t>
            </w:r>
          </w:p>
        </w:tc>
        <w:tc>
          <w:tcPr>
            <w:tcW w:w="1922" w:type="dxa"/>
            <w:tcBorders>
              <w:tl2br w:val="nil"/>
              <w:tr2bl w:val="nil"/>
            </w:tcBorders>
            <w:noWrap w:val="0"/>
            <w:vAlign w:val="center"/>
          </w:tcPr>
          <w:p w14:paraId="32148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环境空气质量二类区</w:t>
            </w:r>
          </w:p>
        </w:tc>
      </w:tr>
      <w:tr w14:paraId="49D747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916" w:type="dxa"/>
            <w:tcBorders>
              <w:tl2br w:val="nil"/>
              <w:tr2bl w:val="nil"/>
            </w:tcBorders>
            <w:noWrap w:val="0"/>
            <w:vAlign w:val="center"/>
          </w:tcPr>
          <w:p w14:paraId="667347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声环境</w:t>
            </w:r>
          </w:p>
        </w:tc>
        <w:tc>
          <w:tcPr>
            <w:tcW w:w="5666" w:type="dxa"/>
            <w:gridSpan w:val="9"/>
            <w:tcBorders>
              <w:tl2br w:val="nil"/>
              <w:tr2bl w:val="nil"/>
            </w:tcBorders>
            <w:noWrap w:val="0"/>
            <w:vAlign w:val="center"/>
          </w:tcPr>
          <w:p w14:paraId="3CED8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color w:val="000000"/>
                <w:kern w:val="0"/>
                <w:sz w:val="21"/>
                <w:szCs w:val="24"/>
                <w:highlight w:val="none"/>
                <w:lang w:val="en-US" w:eastAsia="zh-CN" w:bidi="ar-SA"/>
              </w:rPr>
              <w:t>周边0.2km范围无声环境敏感目标</w:t>
            </w:r>
          </w:p>
        </w:tc>
        <w:tc>
          <w:tcPr>
            <w:tcW w:w="1922" w:type="dxa"/>
            <w:tcBorders>
              <w:tl2br w:val="nil"/>
              <w:tr2bl w:val="nil"/>
            </w:tcBorders>
            <w:noWrap w:val="0"/>
            <w:vAlign w:val="center"/>
          </w:tcPr>
          <w:p w14:paraId="36077E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val="en-US" w:eastAsia="zh-CN"/>
              </w:rPr>
              <w:t>声环境功能区2类</w:t>
            </w:r>
          </w:p>
        </w:tc>
      </w:tr>
      <w:tr w14:paraId="17A17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95" w:hRule="atLeast"/>
          <w:jc w:val="center"/>
        </w:trPr>
        <w:tc>
          <w:tcPr>
            <w:tcW w:w="916" w:type="dxa"/>
            <w:tcBorders>
              <w:tl2br w:val="nil"/>
              <w:tr2bl w:val="nil"/>
            </w:tcBorders>
            <w:noWrap w:val="0"/>
            <w:vAlign w:val="center"/>
          </w:tcPr>
          <w:p w14:paraId="3E3EF4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eastAsia" w:cs="Times New Roman"/>
                <w:kern w:val="0"/>
                <w:sz w:val="21"/>
                <w:szCs w:val="21"/>
                <w:lang w:val="en-US" w:eastAsia="zh-CN"/>
              </w:rPr>
              <w:t>地表</w:t>
            </w:r>
            <w:r>
              <w:rPr>
                <w:rFonts w:hint="default" w:ascii="Times New Roman" w:hAnsi="Times New Roman" w:eastAsia="宋体" w:cs="Times New Roman"/>
                <w:kern w:val="0"/>
                <w:sz w:val="21"/>
                <w:szCs w:val="21"/>
                <w:lang w:eastAsia="zh-CN"/>
              </w:rPr>
              <w:t>水环境</w:t>
            </w:r>
          </w:p>
        </w:tc>
        <w:tc>
          <w:tcPr>
            <w:tcW w:w="766" w:type="dxa"/>
            <w:tcBorders>
              <w:tl2br w:val="nil"/>
              <w:tr2bl w:val="nil"/>
            </w:tcBorders>
            <w:noWrap w:val="0"/>
            <w:vAlign w:val="center"/>
          </w:tcPr>
          <w:p w14:paraId="3C179B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lang w:val="en-US" w:eastAsia="zh-CN"/>
              </w:rPr>
            </w:pPr>
            <w:r>
              <w:rPr>
                <w:rFonts w:hint="eastAsia" w:cs="Times New Roman"/>
                <w:kern w:val="0"/>
                <w:sz w:val="21"/>
                <w:szCs w:val="21"/>
                <w:lang w:val="en-US" w:eastAsia="zh-CN"/>
              </w:rPr>
              <w:t>场直二支渠</w:t>
            </w:r>
          </w:p>
        </w:tc>
        <w:tc>
          <w:tcPr>
            <w:tcW w:w="727" w:type="dxa"/>
            <w:tcBorders>
              <w:tl2br w:val="nil"/>
              <w:tr2bl w:val="nil"/>
            </w:tcBorders>
            <w:noWrap w:val="0"/>
            <w:vAlign w:val="center"/>
          </w:tcPr>
          <w:p w14:paraId="28DF26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44°44′54.779″</w:t>
            </w:r>
          </w:p>
        </w:tc>
        <w:tc>
          <w:tcPr>
            <w:tcW w:w="684" w:type="dxa"/>
            <w:tcBorders>
              <w:tl2br w:val="nil"/>
              <w:tr2bl w:val="nil"/>
            </w:tcBorders>
            <w:noWrap w:val="0"/>
            <w:vAlign w:val="center"/>
          </w:tcPr>
          <w:p w14:paraId="4A73A5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84°29′10.729″</w:t>
            </w:r>
          </w:p>
        </w:tc>
        <w:tc>
          <w:tcPr>
            <w:tcW w:w="739" w:type="dxa"/>
            <w:tcBorders>
              <w:tl2br w:val="nil"/>
              <w:tr2bl w:val="nil"/>
            </w:tcBorders>
            <w:noWrap w:val="0"/>
            <w:vAlign w:val="center"/>
          </w:tcPr>
          <w:p w14:paraId="6ACD3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场直二支渠</w:t>
            </w:r>
          </w:p>
        </w:tc>
        <w:tc>
          <w:tcPr>
            <w:tcW w:w="960" w:type="dxa"/>
            <w:gridSpan w:val="2"/>
            <w:tcBorders>
              <w:tl2br w:val="nil"/>
              <w:tr2bl w:val="nil"/>
            </w:tcBorders>
            <w:noWrap w:val="0"/>
            <w:vAlign w:val="center"/>
          </w:tcPr>
          <w:p w14:paraId="3AB3E9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kern w:val="0"/>
                <w:sz w:val="21"/>
                <w:szCs w:val="21"/>
                <w:lang w:val="en-US" w:eastAsia="zh-CN"/>
              </w:rPr>
            </w:pPr>
            <w:r>
              <w:rPr>
                <w:rFonts w:hint="eastAsia" w:cs="Times New Roman"/>
                <w:kern w:val="0"/>
                <w:sz w:val="21"/>
                <w:szCs w:val="21"/>
                <w:lang w:val="en-US" w:eastAsia="zh-CN"/>
              </w:rPr>
              <w:t>地表水</w:t>
            </w:r>
          </w:p>
        </w:tc>
        <w:tc>
          <w:tcPr>
            <w:tcW w:w="688" w:type="dxa"/>
            <w:tcBorders>
              <w:tl2br w:val="nil"/>
              <w:tr2bl w:val="nil"/>
            </w:tcBorders>
            <w:noWrap w:val="0"/>
            <w:vAlign w:val="center"/>
          </w:tcPr>
          <w:p w14:paraId="443F49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21"/>
                <w:szCs w:val="21"/>
                <w:lang w:val="en-US" w:eastAsia="zh-CN"/>
              </w:rPr>
            </w:pPr>
            <w:r>
              <w:rPr>
                <w:rFonts w:hint="eastAsia" w:cs="Times New Roman"/>
                <w:kern w:val="0"/>
                <w:sz w:val="21"/>
                <w:szCs w:val="21"/>
                <w:lang w:val="en-US" w:eastAsia="zh-CN"/>
              </w:rPr>
              <w:t>N</w:t>
            </w:r>
          </w:p>
        </w:tc>
        <w:tc>
          <w:tcPr>
            <w:tcW w:w="1102" w:type="dxa"/>
            <w:gridSpan w:val="2"/>
            <w:tcBorders>
              <w:tl2br w:val="nil"/>
              <w:tr2bl w:val="nil"/>
            </w:tcBorders>
            <w:noWrap w:val="0"/>
            <w:vAlign w:val="center"/>
          </w:tcPr>
          <w:p w14:paraId="32218B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21"/>
                <w:szCs w:val="21"/>
                <w:lang w:val="en-US" w:eastAsia="zh-CN"/>
              </w:rPr>
            </w:pPr>
            <w:r>
              <w:rPr>
                <w:rFonts w:hint="eastAsia" w:cs="Times New Roman"/>
                <w:kern w:val="0"/>
                <w:sz w:val="21"/>
                <w:szCs w:val="21"/>
                <w:lang w:val="en-US" w:eastAsia="zh-CN"/>
              </w:rPr>
              <w:t>150（粪污处理设施堆肥场、堆肥间等设施距离850m）</w:t>
            </w:r>
          </w:p>
        </w:tc>
        <w:tc>
          <w:tcPr>
            <w:tcW w:w="1922" w:type="dxa"/>
            <w:tcBorders>
              <w:tl2br w:val="nil"/>
              <w:tr2bl w:val="nil"/>
            </w:tcBorders>
            <w:noWrap w:val="0"/>
            <w:vAlign w:val="center"/>
          </w:tcPr>
          <w:p w14:paraId="399826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地表水</w:t>
            </w:r>
            <w:r>
              <w:rPr>
                <w:rFonts w:hint="default" w:ascii="Times New Roman" w:hAnsi="Times New Roman" w:eastAsia="宋体" w:cs="Times New Roman"/>
                <w:kern w:val="0"/>
                <w:sz w:val="21"/>
                <w:szCs w:val="21"/>
                <w:lang w:val="en-US" w:eastAsia="zh-CN"/>
              </w:rPr>
              <w:t>质量Ⅲ类</w:t>
            </w:r>
            <w:r>
              <w:rPr>
                <w:rFonts w:hint="eastAsia" w:ascii="Times New Roman" w:hAnsi="Times New Roman" w:eastAsia="宋体" w:cs="Times New Roman"/>
                <w:kern w:val="0"/>
                <w:sz w:val="21"/>
                <w:szCs w:val="21"/>
                <w:lang w:val="en-US" w:eastAsia="zh-CN"/>
              </w:rPr>
              <w:t>；</w:t>
            </w:r>
            <w:r>
              <w:rPr>
                <w:rFonts w:hint="eastAsia" w:ascii="Times New Roman" w:hAnsi="Times New Roman" w:cs="Times New Roman"/>
                <w:kern w:val="0"/>
                <w:sz w:val="21"/>
                <w:szCs w:val="21"/>
                <w:lang w:val="en-US" w:eastAsia="zh-CN"/>
              </w:rPr>
              <w:t>项目区</w:t>
            </w:r>
            <w:r>
              <w:rPr>
                <w:rFonts w:hint="eastAsia" w:cs="Times New Roman"/>
                <w:kern w:val="0"/>
                <w:sz w:val="21"/>
                <w:szCs w:val="21"/>
                <w:lang w:val="en-US" w:eastAsia="zh-CN"/>
              </w:rPr>
              <w:t>生活污水定期拉运至污水处理厂</w:t>
            </w:r>
            <w:r>
              <w:rPr>
                <w:rFonts w:hint="eastAsia" w:ascii="Times New Roman" w:hAnsi="Times New Roman" w:cs="Times New Roman"/>
                <w:kern w:val="0"/>
                <w:sz w:val="21"/>
                <w:szCs w:val="21"/>
                <w:lang w:val="en-US" w:eastAsia="zh-CN"/>
              </w:rPr>
              <w:t>，项目运行后与地表水无直接水力联系</w:t>
            </w:r>
          </w:p>
        </w:tc>
      </w:tr>
      <w:tr w14:paraId="19DBA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916" w:type="dxa"/>
            <w:tcBorders>
              <w:tl2br w:val="nil"/>
              <w:tr2bl w:val="nil"/>
            </w:tcBorders>
            <w:noWrap w:val="0"/>
            <w:vAlign w:val="center"/>
          </w:tcPr>
          <w:p w14:paraId="3065D7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地下水</w:t>
            </w:r>
            <w:r>
              <w:rPr>
                <w:rFonts w:hint="eastAsia" w:ascii="Times New Roman" w:hAnsi="Times New Roman" w:eastAsia="宋体" w:cs="Times New Roman"/>
                <w:kern w:val="0"/>
                <w:sz w:val="21"/>
                <w:szCs w:val="21"/>
                <w:lang w:val="en-US" w:eastAsia="zh-CN"/>
              </w:rPr>
              <w:t>环境</w:t>
            </w:r>
          </w:p>
        </w:tc>
        <w:tc>
          <w:tcPr>
            <w:tcW w:w="5666" w:type="dxa"/>
            <w:gridSpan w:val="9"/>
            <w:tcBorders>
              <w:tl2br w:val="nil"/>
              <w:tr2bl w:val="nil"/>
            </w:tcBorders>
            <w:noWrap w:val="0"/>
            <w:vAlign w:val="center"/>
          </w:tcPr>
          <w:p w14:paraId="5DCA59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eastAsia="zh-CN"/>
              </w:rPr>
            </w:pPr>
            <w:r>
              <w:rPr>
                <w:rFonts w:hint="eastAsia" w:cs="Times New Roman"/>
                <w:color w:val="000000"/>
                <w:kern w:val="0"/>
                <w:sz w:val="21"/>
                <w:szCs w:val="24"/>
                <w:highlight w:val="none"/>
                <w:lang w:val="en-US" w:eastAsia="zh-CN" w:bidi="ar-SA"/>
              </w:rPr>
              <w:t>项目区</w:t>
            </w:r>
            <w:r>
              <w:rPr>
                <w:rFonts w:hint="default" w:ascii="Times New Roman" w:hAnsi="Times New Roman" w:eastAsia="宋体" w:cs="Times New Roman"/>
                <w:color w:val="000000"/>
                <w:kern w:val="0"/>
                <w:sz w:val="21"/>
                <w:szCs w:val="24"/>
                <w:highlight w:val="none"/>
                <w:lang w:val="en-US" w:eastAsia="zh-CN" w:bidi="ar-SA"/>
              </w:rPr>
              <w:t>地下水区域约3km×2km的区域</w:t>
            </w:r>
            <w:r>
              <w:rPr>
                <w:rFonts w:hint="eastAsia" w:ascii="Times New Roman" w:hAnsi="Times New Roman" w:eastAsia="宋体" w:cs="Times New Roman"/>
                <w:color w:val="000000"/>
                <w:kern w:val="0"/>
                <w:sz w:val="21"/>
                <w:szCs w:val="24"/>
                <w:highlight w:val="none"/>
                <w:lang w:val="en-US" w:eastAsia="zh-CN" w:bidi="ar-SA"/>
              </w:rPr>
              <w:t>内无地下水环境敏感目标</w:t>
            </w:r>
          </w:p>
        </w:tc>
        <w:tc>
          <w:tcPr>
            <w:tcW w:w="1922" w:type="dxa"/>
            <w:tcBorders>
              <w:tl2br w:val="nil"/>
              <w:tr2bl w:val="nil"/>
            </w:tcBorders>
            <w:noWrap w:val="0"/>
            <w:vAlign w:val="center"/>
          </w:tcPr>
          <w:p w14:paraId="329695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val="en-US" w:eastAsia="zh-CN"/>
              </w:rPr>
              <w:t>地下水质量Ⅲ类</w:t>
            </w:r>
          </w:p>
        </w:tc>
      </w:tr>
      <w:tr w14:paraId="7FECDC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916" w:type="dxa"/>
            <w:tcBorders>
              <w:tl2br w:val="nil"/>
              <w:tr2bl w:val="nil"/>
            </w:tcBorders>
            <w:noWrap w:val="0"/>
            <w:vAlign w:val="center"/>
          </w:tcPr>
          <w:p w14:paraId="68C547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土壤环境</w:t>
            </w:r>
          </w:p>
        </w:tc>
        <w:tc>
          <w:tcPr>
            <w:tcW w:w="766" w:type="dxa"/>
            <w:tcBorders>
              <w:tl2br w:val="nil"/>
              <w:tr2bl w:val="nil"/>
            </w:tcBorders>
            <w:noWrap w:val="0"/>
            <w:vAlign w:val="center"/>
          </w:tcPr>
          <w:p w14:paraId="500B6A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eastAsia" w:cs="Times New Roman"/>
                <w:sz w:val="21"/>
                <w:szCs w:val="21"/>
                <w:lang w:val="en-US" w:eastAsia="zh-CN"/>
              </w:rPr>
              <w:t>耕地</w:t>
            </w:r>
          </w:p>
        </w:tc>
        <w:tc>
          <w:tcPr>
            <w:tcW w:w="727" w:type="dxa"/>
            <w:tcBorders>
              <w:tl2br w:val="nil"/>
              <w:tr2bl w:val="nil"/>
            </w:tcBorders>
            <w:noWrap w:val="0"/>
            <w:vAlign w:val="center"/>
          </w:tcPr>
          <w:p w14:paraId="0795CA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lang w:eastAsia="zh-CN"/>
              </w:rPr>
              <w:t>44°44′34.753″</w:t>
            </w:r>
          </w:p>
        </w:tc>
        <w:tc>
          <w:tcPr>
            <w:tcW w:w="684" w:type="dxa"/>
            <w:tcBorders>
              <w:tl2br w:val="nil"/>
              <w:tr2bl w:val="nil"/>
            </w:tcBorders>
            <w:noWrap w:val="0"/>
            <w:vAlign w:val="center"/>
          </w:tcPr>
          <w:p w14:paraId="5C4130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84°29′54.799″</w:t>
            </w:r>
          </w:p>
        </w:tc>
        <w:tc>
          <w:tcPr>
            <w:tcW w:w="739" w:type="dxa"/>
            <w:tcBorders>
              <w:tl2br w:val="nil"/>
              <w:tr2bl w:val="nil"/>
            </w:tcBorders>
            <w:noWrap w:val="0"/>
            <w:vAlign w:val="center"/>
          </w:tcPr>
          <w:p w14:paraId="323D2C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耕地</w:t>
            </w:r>
          </w:p>
        </w:tc>
        <w:tc>
          <w:tcPr>
            <w:tcW w:w="960" w:type="dxa"/>
            <w:gridSpan w:val="2"/>
            <w:tcBorders>
              <w:tl2br w:val="nil"/>
              <w:tr2bl w:val="nil"/>
            </w:tcBorders>
            <w:noWrap w:val="0"/>
            <w:vAlign w:val="center"/>
          </w:tcPr>
          <w:p w14:paraId="1AD777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土壤</w:t>
            </w:r>
          </w:p>
        </w:tc>
        <w:tc>
          <w:tcPr>
            <w:tcW w:w="690" w:type="dxa"/>
            <w:gridSpan w:val="2"/>
            <w:tcBorders>
              <w:tl2br w:val="nil"/>
              <w:tr2bl w:val="nil"/>
            </w:tcBorders>
            <w:noWrap w:val="0"/>
            <w:vAlign w:val="center"/>
          </w:tcPr>
          <w:p w14:paraId="315159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E</w:t>
            </w:r>
          </w:p>
        </w:tc>
        <w:tc>
          <w:tcPr>
            <w:tcW w:w="1100" w:type="dxa"/>
            <w:tcBorders>
              <w:tl2br w:val="nil"/>
              <w:tr2bl w:val="nil"/>
            </w:tcBorders>
            <w:noWrap w:val="0"/>
            <w:vAlign w:val="center"/>
          </w:tcPr>
          <w:p w14:paraId="41E048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35</w:t>
            </w:r>
          </w:p>
        </w:tc>
        <w:tc>
          <w:tcPr>
            <w:tcW w:w="1922" w:type="dxa"/>
            <w:tcBorders>
              <w:tl2br w:val="nil"/>
              <w:tr2bl w:val="nil"/>
            </w:tcBorders>
            <w:noWrap w:val="0"/>
            <w:vAlign w:val="center"/>
          </w:tcPr>
          <w:p w14:paraId="2EE0C1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val="en-US" w:eastAsia="zh-CN"/>
              </w:rPr>
              <w:t>农用地土壤污染风险管控标准</w:t>
            </w:r>
          </w:p>
        </w:tc>
      </w:tr>
      <w:tr w14:paraId="0A09C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916" w:type="dxa"/>
            <w:tcBorders>
              <w:tl2br w:val="nil"/>
              <w:tr2bl w:val="nil"/>
            </w:tcBorders>
            <w:noWrap w:val="0"/>
            <w:vAlign w:val="center"/>
          </w:tcPr>
          <w:p w14:paraId="736942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生态环境</w:t>
            </w:r>
          </w:p>
        </w:tc>
        <w:tc>
          <w:tcPr>
            <w:tcW w:w="5666" w:type="dxa"/>
            <w:gridSpan w:val="9"/>
            <w:tcBorders>
              <w:tl2br w:val="nil"/>
              <w:tr2bl w:val="nil"/>
            </w:tcBorders>
            <w:noWrap w:val="0"/>
            <w:vAlign w:val="center"/>
          </w:tcPr>
          <w:p w14:paraId="65634909">
            <w:pPr>
              <w:widowControl w:val="0"/>
              <w:spacing w:line="240" w:lineRule="auto"/>
              <w:jc w:val="center"/>
              <w:rPr>
                <w:rFonts w:hint="default" w:ascii="Times New Roman" w:hAnsi="Times New Roman" w:eastAsia="宋体" w:cs="Times New Roman"/>
                <w:kern w:val="0"/>
                <w:sz w:val="21"/>
                <w:szCs w:val="21"/>
              </w:rPr>
            </w:pPr>
            <w:r>
              <w:rPr>
                <w:rFonts w:hint="default" w:ascii="Times New Roman" w:hAnsi="Times New Roman" w:eastAsia="宋体" w:cs="Times New Roman"/>
                <w:color w:val="000000"/>
                <w:kern w:val="0"/>
                <w:sz w:val="21"/>
                <w:szCs w:val="21"/>
                <w:highlight w:val="none"/>
                <w:lang w:val="en-US" w:eastAsia="zh-CN" w:bidi="ar-SA"/>
              </w:rPr>
              <w:t>项目区及周边</w:t>
            </w:r>
            <w:r>
              <w:rPr>
                <w:rFonts w:hint="eastAsia" w:cs="Times New Roman"/>
                <w:color w:val="000000"/>
                <w:kern w:val="0"/>
                <w:sz w:val="21"/>
                <w:szCs w:val="24"/>
                <w:highlight w:val="none"/>
                <w:lang w:val="en-US" w:eastAsia="zh-CN" w:bidi="ar-SA"/>
              </w:rPr>
              <w:t>4.3</w:t>
            </w:r>
            <w:r>
              <w:rPr>
                <w:rFonts w:hint="default" w:ascii="Times New Roman" w:hAnsi="Times New Roman" w:eastAsia="宋体" w:cs="Times New Roman"/>
                <w:color w:val="000000"/>
                <w:kern w:val="0"/>
                <w:sz w:val="21"/>
                <w:szCs w:val="24"/>
                <w:highlight w:val="none"/>
                <w:lang w:val="en-US" w:eastAsia="zh-CN" w:bidi="ar-SA"/>
              </w:rPr>
              <w:t>km×</w:t>
            </w:r>
            <w:r>
              <w:rPr>
                <w:rFonts w:hint="eastAsia" w:cs="Times New Roman"/>
                <w:color w:val="000000"/>
                <w:kern w:val="0"/>
                <w:sz w:val="21"/>
                <w:szCs w:val="24"/>
                <w:highlight w:val="none"/>
                <w:lang w:val="en-US" w:eastAsia="zh-CN" w:bidi="ar-SA"/>
              </w:rPr>
              <w:t>8</w:t>
            </w:r>
            <w:r>
              <w:rPr>
                <w:rFonts w:hint="default" w:ascii="Times New Roman" w:hAnsi="Times New Roman" w:eastAsia="宋体" w:cs="Times New Roman"/>
                <w:color w:val="000000"/>
                <w:kern w:val="0"/>
                <w:sz w:val="21"/>
                <w:szCs w:val="24"/>
                <w:highlight w:val="none"/>
                <w:lang w:val="en-US" w:eastAsia="zh-CN" w:bidi="ar-SA"/>
              </w:rPr>
              <w:t>km</w:t>
            </w:r>
            <w:r>
              <w:rPr>
                <w:rFonts w:hint="default" w:ascii="Times New Roman" w:hAnsi="Times New Roman" w:eastAsia="宋体" w:cs="Times New Roman"/>
                <w:color w:val="000000"/>
                <w:kern w:val="0"/>
                <w:sz w:val="21"/>
                <w:szCs w:val="21"/>
                <w:highlight w:val="none"/>
                <w:lang w:val="en-US" w:eastAsia="zh-CN" w:bidi="ar-SA"/>
              </w:rPr>
              <w:t>范围</w:t>
            </w:r>
            <w:r>
              <w:rPr>
                <w:rFonts w:hint="eastAsia" w:ascii="Times New Roman" w:hAnsi="Times New Roman" w:eastAsia="宋体" w:cs="Times New Roman"/>
                <w:color w:val="000000"/>
                <w:kern w:val="0"/>
                <w:sz w:val="21"/>
                <w:szCs w:val="21"/>
                <w:highlight w:val="none"/>
                <w:lang w:val="en-US" w:eastAsia="zh-CN" w:bidi="ar-SA"/>
              </w:rPr>
              <w:t>内无生态环境敏感目标</w:t>
            </w:r>
          </w:p>
        </w:tc>
        <w:tc>
          <w:tcPr>
            <w:tcW w:w="1922" w:type="dxa"/>
            <w:tcBorders>
              <w:tl2br w:val="nil"/>
              <w:tr2bl w:val="nil"/>
            </w:tcBorders>
            <w:noWrap w:val="0"/>
            <w:vAlign w:val="center"/>
          </w:tcPr>
          <w:p w14:paraId="1739586A">
            <w:pPr>
              <w:widowControl w:val="0"/>
              <w:spacing w:line="240" w:lineRule="auto"/>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color w:val="000000"/>
                <w:kern w:val="0"/>
                <w:sz w:val="21"/>
                <w:szCs w:val="24"/>
                <w:highlight w:val="none"/>
                <w:lang w:val="en-US" w:eastAsia="zh-CN" w:bidi="ar-SA"/>
              </w:rPr>
              <w:t>地形地貌、植被、水土保持、动物、土地利用</w:t>
            </w:r>
          </w:p>
        </w:tc>
      </w:tr>
      <w:tr w14:paraId="435DA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916" w:type="dxa"/>
            <w:tcBorders>
              <w:tl2br w:val="nil"/>
              <w:tr2bl w:val="nil"/>
            </w:tcBorders>
            <w:noWrap w:val="0"/>
            <w:vAlign w:val="center"/>
          </w:tcPr>
          <w:p w14:paraId="65F5C6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环境风险</w:t>
            </w:r>
          </w:p>
        </w:tc>
        <w:tc>
          <w:tcPr>
            <w:tcW w:w="5666" w:type="dxa"/>
            <w:gridSpan w:val="9"/>
            <w:tcBorders>
              <w:tl2br w:val="nil"/>
              <w:tr2bl w:val="nil"/>
            </w:tcBorders>
            <w:noWrap w:val="0"/>
            <w:vAlign w:val="center"/>
          </w:tcPr>
          <w:p w14:paraId="4919040A">
            <w:pPr>
              <w:widowControl w:val="0"/>
              <w:spacing w:line="240" w:lineRule="auto"/>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color w:val="000000"/>
                <w:kern w:val="0"/>
                <w:sz w:val="21"/>
                <w:szCs w:val="21"/>
                <w:highlight w:val="none"/>
                <w:lang w:val="en-US" w:eastAsia="zh-CN" w:bidi="ar-SA"/>
              </w:rPr>
              <w:t>项目区范围</w:t>
            </w:r>
            <w:r>
              <w:rPr>
                <w:rFonts w:hint="eastAsia" w:ascii="Times New Roman" w:hAnsi="Times New Roman" w:eastAsia="宋体" w:cs="Times New Roman"/>
                <w:color w:val="000000"/>
                <w:kern w:val="0"/>
                <w:sz w:val="21"/>
                <w:szCs w:val="21"/>
                <w:highlight w:val="none"/>
                <w:lang w:val="en-US" w:eastAsia="zh-CN" w:bidi="ar-SA"/>
              </w:rPr>
              <w:t>内无环境风险敏感目标</w:t>
            </w:r>
          </w:p>
        </w:tc>
        <w:tc>
          <w:tcPr>
            <w:tcW w:w="1922" w:type="dxa"/>
            <w:tcBorders>
              <w:tl2br w:val="nil"/>
              <w:tr2bl w:val="nil"/>
            </w:tcBorders>
            <w:noWrap w:val="0"/>
            <w:vAlign w:val="center"/>
          </w:tcPr>
          <w:p w14:paraId="52AA7686">
            <w:pPr>
              <w:widowControl w:val="0"/>
              <w:spacing w:line="240" w:lineRule="auto"/>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color w:val="000000"/>
                <w:kern w:val="0"/>
                <w:sz w:val="21"/>
                <w:szCs w:val="24"/>
                <w:highlight w:val="none"/>
                <w:lang w:val="en-US" w:eastAsia="zh-CN" w:bidi="ar-SA"/>
              </w:rPr>
              <w:t>降低环境风险发生概率，保证环境风险发生时能够得到及时控制</w:t>
            </w:r>
          </w:p>
        </w:tc>
      </w:tr>
    </w:tbl>
    <w:p w14:paraId="386468E6">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235" w:name="_Toc370052946"/>
      <w:bookmarkStart w:id="236" w:name="_Toc1662"/>
      <w:bookmarkStart w:id="237" w:name="_Toc32061"/>
      <w:bookmarkStart w:id="238" w:name="_Toc28171"/>
      <w:bookmarkStart w:id="239" w:name="_Toc23026"/>
      <w:bookmarkStart w:id="240" w:name="_Toc38885392"/>
      <w:bookmarkStart w:id="241" w:name="_Toc8719"/>
      <w:r>
        <w:rPr>
          <w:rFonts w:hint="default" w:ascii="Times New Roman" w:hAnsi="Times New Roman" w:eastAsia="宋体" w:cs="Times New Roman"/>
          <w:b/>
          <w:bCs/>
          <w:kern w:val="2"/>
          <w:sz w:val="30"/>
          <w:szCs w:val="30"/>
          <w:lang w:val="en-US" w:eastAsia="zh-CN" w:bidi="ar-SA"/>
        </w:rPr>
        <w:t>2.</w:t>
      </w:r>
      <w:r>
        <w:rPr>
          <w:rFonts w:hint="eastAsia" w:ascii="Times New Roman" w:hAnsi="Times New Roman" w:eastAsia="宋体" w:cs="Times New Roman"/>
          <w:b/>
          <w:bCs/>
          <w:kern w:val="2"/>
          <w:sz w:val="30"/>
          <w:szCs w:val="30"/>
          <w:lang w:val="en-US" w:eastAsia="zh-CN" w:bidi="ar-SA"/>
        </w:rPr>
        <w:t>8</w:t>
      </w:r>
      <w:r>
        <w:rPr>
          <w:rFonts w:hint="default" w:ascii="Times New Roman" w:hAnsi="Times New Roman" w:eastAsia="宋体" w:cs="Times New Roman"/>
          <w:b/>
          <w:bCs/>
          <w:kern w:val="2"/>
          <w:sz w:val="30"/>
          <w:szCs w:val="30"/>
          <w:lang w:val="en-US" w:eastAsia="zh-CN" w:bidi="ar-SA"/>
        </w:rPr>
        <w:t>选址合理性分析</w:t>
      </w:r>
      <w:bookmarkEnd w:id="235"/>
      <w:bookmarkEnd w:id="236"/>
      <w:bookmarkEnd w:id="237"/>
      <w:bookmarkEnd w:id="238"/>
      <w:bookmarkEnd w:id="239"/>
      <w:bookmarkEnd w:id="240"/>
      <w:bookmarkEnd w:id="241"/>
    </w:p>
    <w:p w14:paraId="493FA8BD">
      <w:pPr>
        <w:keepNext w:val="0"/>
        <w:keepLines w:val="0"/>
        <w:widowControl w:val="0"/>
        <w:spacing w:before="0" w:after="0" w:line="360" w:lineRule="auto"/>
        <w:jc w:val="both"/>
        <w:outlineLvl w:val="2"/>
        <w:rPr>
          <w:rFonts w:hint="eastAsia" w:ascii="Times New Roman" w:hAnsi="Times New Roman" w:eastAsia="宋体" w:cs="Times New Roman"/>
          <w:b/>
          <w:bCs/>
          <w:kern w:val="2"/>
          <w:sz w:val="28"/>
          <w:szCs w:val="28"/>
          <w:lang w:val="en-US" w:eastAsia="zh-CN" w:bidi="ar-SA"/>
        </w:rPr>
      </w:pPr>
      <w:bookmarkStart w:id="242" w:name="_Toc308253335"/>
      <w:bookmarkStart w:id="243" w:name="_Toc308253146"/>
      <w:r>
        <w:rPr>
          <w:rFonts w:hint="default" w:ascii="Times New Roman" w:hAnsi="Times New Roman" w:eastAsia="宋体" w:cs="Times New Roman"/>
          <w:b/>
          <w:bCs/>
          <w:kern w:val="2"/>
          <w:sz w:val="28"/>
          <w:szCs w:val="28"/>
          <w:lang w:val="en-US" w:eastAsia="zh-CN" w:bidi="ar-SA"/>
        </w:rPr>
        <w:t>2.</w:t>
      </w:r>
      <w:r>
        <w:rPr>
          <w:rFonts w:hint="eastAsia" w:ascii="Times New Roman" w:hAnsi="Times New Roman" w:eastAsia="宋体" w:cs="Times New Roman"/>
          <w:b/>
          <w:bCs/>
          <w:kern w:val="2"/>
          <w:sz w:val="28"/>
          <w:szCs w:val="28"/>
          <w:lang w:val="en-US" w:eastAsia="zh-CN" w:bidi="ar-SA"/>
        </w:rPr>
        <w:t>8</w:t>
      </w:r>
      <w:r>
        <w:rPr>
          <w:rFonts w:hint="default" w:ascii="Times New Roman" w:hAnsi="Times New Roman" w:eastAsia="宋体" w:cs="Times New Roman"/>
          <w:b/>
          <w:bCs/>
          <w:kern w:val="2"/>
          <w:sz w:val="28"/>
          <w:szCs w:val="28"/>
          <w:lang w:val="en-US" w:eastAsia="zh-CN" w:bidi="ar-SA"/>
        </w:rPr>
        <w:t>.1</w:t>
      </w:r>
      <w:r>
        <w:rPr>
          <w:rFonts w:hint="eastAsia" w:ascii="Times New Roman" w:hAnsi="Times New Roman" w:eastAsia="宋体" w:cs="Times New Roman"/>
          <w:b/>
          <w:bCs/>
          <w:kern w:val="2"/>
          <w:sz w:val="28"/>
          <w:szCs w:val="28"/>
          <w:lang w:val="en-US" w:eastAsia="zh-CN" w:bidi="ar-SA"/>
        </w:rPr>
        <w:t>选址合理性</w:t>
      </w:r>
    </w:p>
    <w:p w14:paraId="2D83C3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w:t>
      </w:r>
      <w:r>
        <w:rPr>
          <w:rFonts w:hint="eastAsia" w:ascii="Times New Roman" w:hAnsi="Times New Roman" w:cs="Times New Roman"/>
          <w:color w:val="000000"/>
          <w:sz w:val="24"/>
          <w:lang w:val="en-US" w:eastAsia="zh-CN"/>
        </w:rPr>
        <w:t>选址位于</w:t>
      </w:r>
      <w:r>
        <w:rPr>
          <w:rFonts w:hint="eastAsia" w:cs="Times New Roman"/>
          <w:color w:val="000000"/>
          <w:kern w:val="2"/>
          <w:sz w:val="24"/>
          <w:szCs w:val="24"/>
          <w:lang w:val="en-US" w:eastAsia="zh-CN" w:bidi="ar-SA"/>
        </w:rPr>
        <w:t>第七师胡杨河市125团（柳沟镇）14连瓜村西区323号</w:t>
      </w:r>
      <w:r>
        <w:rPr>
          <w:rFonts w:hint="eastAsia" w:cs="Times New Roman"/>
          <w:color w:val="000000"/>
          <w:sz w:val="24"/>
          <w:szCs w:val="24"/>
          <w:lang w:val="en-US" w:eastAsia="zh-CN"/>
        </w:rPr>
        <w:t>，东侧、南侧、北侧为道路，</w:t>
      </w:r>
      <w:r>
        <w:rPr>
          <w:rFonts w:hint="default" w:ascii="Times New Roman" w:hAnsi="Times New Roman" w:cs="Times New Roman"/>
          <w:color w:val="000000"/>
          <w:sz w:val="24"/>
          <w:szCs w:val="24"/>
          <w:lang w:val="en-US" w:eastAsia="zh-CN"/>
        </w:rPr>
        <w:t>东侧</w:t>
      </w:r>
      <w:r>
        <w:rPr>
          <w:rFonts w:hint="eastAsia" w:cs="Times New Roman"/>
          <w:color w:val="000000"/>
          <w:sz w:val="24"/>
          <w:szCs w:val="24"/>
          <w:lang w:val="en-US" w:eastAsia="zh-CN"/>
        </w:rPr>
        <w:t>隔道路为125团14连耕地，南侧隔道路为胡杨河市金逸养殖农民专业合作社，北侧隔道路为胡杨河鑫风苑养殖场</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highlight w:val="none"/>
          <w:lang w:val="en-US" w:eastAsia="zh-CN"/>
        </w:rPr>
        <w:t>西侧</w:t>
      </w:r>
      <w:r>
        <w:rPr>
          <w:rFonts w:hint="eastAsia" w:cs="Times New Roman"/>
          <w:color w:val="000000"/>
          <w:sz w:val="24"/>
          <w:szCs w:val="24"/>
          <w:highlight w:val="none"/>
          <w:lang w:val="en-US" w:eastAsia="zh-CN"/>
        </w:rPr>
        <w:t>为林地</w:t>
      </w:r>
      <w:r>
        <w:rPr>
          <w:rFonts w:hint="eastAsia" w:ascii="Times New Roman" w:hAnsi="Times New Roman" w:cs="Times New Roman"/>
          <w:color w:val="000000"/>
          <w:sz w:val="24"/>
          <w:szCs w:val="24"/>
          <w:highlight w:val="none"/>
          <w:lang w:val="en-US" w:eastAsia="zh-CN"/>
        </w:rPr>
        <w:t>。</w:t>
      </w:r>
      <w:r>
        <w:rPr>
          <w:rFonts w:hint="eastAsia" w:cs="Times New Roman"/>
          <w:sz w:val="24"/>
          <w:szCs w:val="24"/>
          <w:highlight w:val="none"/>
          <w:lang w:val="en-US" w:eastAsia="zh-CN"/>
        </w:rPr>
        <w:t>根据</w:t>
      </w:r>
      <w:r>
        <w:rPr>
          <w:rFonts w:hint="eastAsia" w:cs="Times New Roman"/>
          <w:kern w:val="2"/>
          <w:sz w:val="24"/>
          <w:szCs w:val="24"/>
          <w:highlight w:val="none"/>
          <w:lang w:val="en-US" w:eastAsia="zh-CN" w:bidi="ar-SA"/>
        </w:rPr>
        <w:t>建设项目与第七师125团签订的设施农用地使用协议以及与125团14连签订的设施农用地代建协议，明确用地面积共计12公顷</w:t>
      </w:r>
      <w:r>
        <w:rPr>
          <w:rFonts w:hint="eastAsia" w:cs="宋体"/>
          <w:color w:val="auto"/>
          <w:kern w:val="0"/>
          <w:sz w:val="24"/>
          <w:szCs w:val="22"/>
          <w:highlight w:val="none"/>
          <w:lang w:val="en-US" w:eastAsia="zh-CN" w:bidi="ar-SA"/>
        </w:rPr>
        <w:t>，</w:t>
      </w:r>
      <w:r>
        <w:rPr>
          <w:rFonts w:hint="eastAsia" w:cs="Times New Roman"/>
          <w:kern w:val="2"/>
          <w:sz w:val="24"/>
          <w:szCs w:val="24"/>
          <w:highlight w:val="none"/>
          <w:lang w:val="en-US" w:eastAsia="zh-CN" w:bidi="ar-SA"/>
        </w:rPr>
        <w:t>用作设施农用地</w:t>
      </w:r>
      <w:r>
        <w:rPr>
          <w:rFonts w:hint="eastAsia" w:ascii="Times New Roman" w:hAnsi="Times New Roman" w:eastAsia="宋体" w:cs="Times New Roman"/>
          <w:kern w:val="2"/>
          <w:sz w:val="24"/>
          <w:szCs w:val="24"/>
          <w:highlight w:val="none"/>
          <w:lang w:val="en-US" w:eastAsia="zh-CN" w:bidi="ar-SA"/>
        </w:rPr>
        <w:t>。</w:t>
      </w:r>
      <w:r>
        <w:rPr>
          <w:rFonts w:hint="eastAsia" w:ascii="Times New Roman" w:hAnsi="Times New Roman" w:eastAsia="宋体" w:cs="Times New Roman"/>
          <w:kern w:val="2"/>
          <w:sz w:val="24"/>
          <w:szCs w:val="24"/>
          <w:lang w:val="en-US" w:eastAsia="zh-CN" w:bidi="ar-SA"/>
        </w:rPr>
        <w:t>项目用地不属于自然保护区、风景名胜区、饮用水水源保护区、基本农田保护区和其他特别保护的区域，符合选址的要求。</w:t>
      </w:r>
    </w:p>
    <w:p w14:paraId="79B9CD79">
      <w:pPr>
        <w:adjustRightInd w:val="0"/>
        <w:snapToGrid w:val="0"/>
        <w:spacing w:line="360" w:lineRule="auto"/>
        <w:ind w:firstLine="480" w:firstLineChars="200"/>
        <w:rPr>
          <w:rFonts w:hint="eastAsia" w:eastAsia="宋体"/>
          <w:kern w:val="1"/>
          <w:sz w:val="24"/>
          <w:lang w:val="en-US" w:eastAsia="zh-CN"/>
        </w:rPr>
      </w:pPr>
      <w:r>
        <w:rPr>
          <w:rFonts w:hint="eastAsia" w:ascii="Times New Roman" w:eastAsia="宋体"/>
          <w:kern w:val="1"/>
          <w:sz w:val="24"/>
          <w:lang w:val="en-US" w:eastAsia="zh-CN"/>
        </w:rPr>
        <w:t>本项目</w:t>
      </w:r>
      <w:r>
        <w:rPr>
          <w:rFonts w:hint="eastAsia" w:eastAsia="宋体"/>
          <w:kern w:val="1"/>
          <w:sz w:val="24"/>
          <w:lang w:val="en-US" w:eastAsia="zh-CN"/>
        </w:rPr>
        <w:t>不</w:t>
      </w:r>
      <w:r>
        <w:rPr>
          <w:rFonts w:hint="eastAsia" w:ascii="Times New Roman" w:eastAsia="宋体"/>
          <w:kern w:val="1"/>
          <w:sz w:val="24"/>
          <w:lang w:val="en-US" w:eastAsia="zh-CN"/>
        </w:rPr>
        <w:t>位于</w:t>
      </w:r>
      <w:r>
        <w:rPr>
          <w:rFonts w:hint="eastAsia" w:cs="Times New Roman"/>
          <w:sz w:val="24"/>
          <w:szCs w:val="24"/>
          <w:highlight w:val="none"/>
          <w:lang w:val="en-US" w:eastAsia="zh-CN"/>
        </w:rPr>
        <w:t>《第七师畜禽养殖禁养区和限养区划定工作实施方案》划定的</w:t>
      </w:r>
      <w:r>
        <w:rPr>
          <w:rFonts w:hint="eastAsia" w:eastAsia="宋体"/>
          <w:kern w:val="1"/>
          <w:sz w:val="24"/>
          <w:lang w:val="en-US" w:eastAsia="zh-CN"/>
        </w:rPr>
        <w:t>禁养区</w:t>
      </w:r>
      <w:r>
        <w:rPr>
          <w:rFonts w:hint="eastAsia" w:ascii="Times New Roman" w:eastAsia="宋体"/>
          <w:kern w:val="1"/>
          <w:sz w:val="24"/>
          <w:lang w:val="en-US" w:eastAsia="zh-CN"/>
        </w:rPr>
        <w:t>、</w:t>
      </w:r>
      <w:r>
        <w:rPr>
          <w:rFonts w:hint="eastAsia" w:ascii="Times New Roman"/>
          <w:kern w:val="1"/>
          <w:sz w:val="24"/>
          <w:lang w:val="en-US" w:eastAsia="zh-CN"/>
        </w:rPr>
        <w:t>限养区</w:t>
      </w:r>
      <w:r>
        <w:rPr>
          <w:rFonts w:hint="eastAsia" w:ascii="Times New Roman" w:eastAsia="宋体"/>
          <w:kern w:val="1"/>
          <w:sz w:val="24"/>
          <w:lang w:val="en-US" w:eastAsia="zh-CN"/>
        </w:rPr>
        <w:t>范围内，不涉及</w:t>
      </w:r>
      <w:r>
        <w:rPr>
          <w:rFonts w:hint="eastAsia" w:eastAsia="宋体"/>
          <w:kern w:val="1"/>
          <w:sz w:val="24"/>
          <w:lang w:val="en-US" w:eastAsia="zh-CN"/>
        </w:rPr>
        <w:t>法律法规规定的其他禁止建设养殖场的区域。</w:t>
      </w:r>
    </w:p>
    <w:p w14:paraId="7F89C2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default" w:ascii="Times New Roman" w:hAnsi="Times New Roman" w:eastAsia="宋体" w:cs="Times New Roman"/>
          <w:kern w:val="2"/>
          <w:sz w:val="24"/>
          <w:szCs w:val="24"/>
          <w:lang w:val="en-US" w:eastAsia="zh-CN" w:bidi="ar-SA"/>
        </w:rPr>
        <w:t>根据《新疆生产建设兵团第七师胡杨河市国土空间总体规划 （2021</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2035年）》，本项目位于</w:t>
      </w:r>
      <w:r>
        <w:rPr>
          <w:rFonts w:hint="eastAsia" w:cs="Times New Roman"/>
          <w:kern w:val="2"/>
          <w:sz w:val="24"/>
          <w:szCs w:val="24"/>
          <w:lang w:val="en-US" w:eastAsia="zh-CN" w:bidi="ar-SA"/>
        </w:rPr>
        <w:t>农产品主产</w:t>
      </w:r>
      <w:r>
        <w:rPr>
          <w:rFonts w:hint="default" w:ascii="Times New Roman" w:hAnsi="Times New Roman" w:eastAsia="宋体" w:cs="Times New Roman"/>
          <w:kern w:val="2"/>
          <w:sz w:val="24"/>
          <w:szCs w:val="24"/>
          <w:lang w:val="en-US" w:eastAsia="zh-CN" w:bidi="ar-SA"/>
        </w:rPr>
        <w:t>区，</w:t>
      </w:r>
      <w:r>
        <w:rPr>
          <w:rFonts w:hint="eastAsia" w:cs="Times New Roman"/>
          <w:kern w:val="2"/>
          <w:sz w:val="24"/>
          <w:szCs w:val="24"/>
          <w:lang w:val="en-US" w:eastAsia="zh-CN" w:bidi="ar-SA"/>
        </w:rPr>
        <w:t>不属于城镇规划区范围内</w:t>
      </w:r>
      <w:r>
        <w:rPr>
          <w:rFonts w:hint="default" w:ascii="Times New Roman" w:hAnsi="Times New Roman" w:eastAsia="宋体" w:cs="Times New Roman"/>
          <w:kern w:val="2"/>
          <w:sz w:val="24"/>
          <w:szCs w:val="24"/>
          <w:lang w:val="en-US" w:eastAsia="zh-CN" w:bidi="ar-SA"/>
        </w:rPr>
        <w:t>，用地不涉及永久基本农田以及生态保护红线。用地符合国土空间规划和用途管制要求。本项目在</w:t>
      </w:r>
      <w:r>
        <w:rPr>
          <w:rFonts w:hint="eastAsia" w:cs="Times New Roman"/>
          <w:kern w:val="2"/>
          <w:sz w:val="24"/>
          <w:szCs w:val="24"/>
          <w:lang w:val="en-US" w:eastAsia="zh-CN" w:bidi="ar-SA"/>
        </w:rPr>
        <w:t>第七师胡杨河市</w:t>
      </w:r>
      <w:r>
        <w:rPr>
          <w:rFonts w:hint="default" w:ascii="Times New Roman" w:hAnsi="Times New Roman" w:eastAsia="宋体" w:cs="Times New Roman"/>
          <w:kern w:val="2"/>
          <w:sz w:val="24"/>
          <w:szCs w:val="24"/>
          <w:lang w:val="en-US" w:eastAsia="zh-CN" w:bidi="ar-SA"/>
        </w:rPr>
        <w:t>总体规划位置图见图</w:t>
      </w:r>
      <w:r>
        <w:rPr>
          <w:rFonts w:hint="eastAsia" w:cs="Times New Roman"/>
          <w:kern w:val="2"/>
          <w:sz w:val="24"/>
          <w:szCs w:val="24"/>
          <w:lang w:val="en-US" w:eastAsia="zh-CN" w:bidi="ar-SA"/>
        </w:rPr>
        <w:t>2.8</w:t>
      </w:r>
      <w:r>
        <w:rPr>
          <w:rFonts w:hint="default" w:ascii="Times New Roman" w:hAnsi="Times New Roman" w:eastAsia="宋体" w:cs="Times New Roman"/>
          <w:kern w:val="2"/>
          <w:sz w:val="24"/>
          <w:szCs w:val="24"/>
          <w:lang w:val="en-US" w:eastAsia="zh-CN" w:bidi="ar-SA"/>
        </w:rPr>
        <w:t>-1</w:t>
      </w:r>
      <w:r>
        <w:rPr>
          <w:rFonts w:hint="eastAsia" w:cs="Times New Roman"/>
          <w:kern w:val="2"/>
          <w:sz w:val="24"/>
          <w:szCs w:val="24"/>
          <w:lang w:val="en-US" w:eastAsia="zh-CN" w:bidi="ar-SA"/>
        </w:rPr>
        <w:t>，本项目在第七师胡杨河市生态保护格局位置图见图2.8-2</w:t>
      </w:r>
      <w:r>
        <w:rPr>
          <w:rFonts w:hint="default" w:ascii="Times New Roman" w:hAnsi="Times New Roman" w:eastAsia="宋体" w:cs="Times New Roman"/>
          <w:kern w:val="2"/>
          <w:sz w:val="24"/>
          <w:szCs w:val="24"/>
          <w:lang w:val="en-US" w:eastAsia="zh-CN" w:bidi="ar-SA"/>
        </w:rPr>
        <w:t>。</w:t>
      </w:r>
    </w:p>
    <w:p w14:paraId="69AF81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对照《畜禽养殖业污染防治技术规范》（HJ/T81-2001）、《畜禽养殖业污染治理工程技术规范》（HJ497-2009）</w:t>
      </w:r>
      <w:r>
        <w:rPr>
          <w:rFonts w:hint="eastAsia" w:cs="Times New Roman"/>
          <w:kern w:val="2"/>
          <w:sz w:val="24"/>
          <w:szCs w:val="24"/>
          <w:lang w:val="en-US" w:eastAsia="zh-CN" w:bidi="ar-SA"/>
        </w:rPr>
        <w:t>、</w:t>
      </w:r>
      <w:r>
        <w:rPr>
          <w:rFonts w:hint="eastAsia" w:cs="宋体"/>
          <w:snapToGrid w:val="0"/>
          <w:color w:val="auto"/>
          <w:sz w:val="24"/>
          <w:szCs w:val="21"/>
          <w:lang w:val="en-US" w:eastAsia="zh-CN" w:bidi="ar-SA"/>
        </w:rPr>
        <w:t>《畜禽粪便无害化处理技术规范》（GB/T 36195-2018）</w:t>
      </w:r>
      <w:r>
        <w:rPr>
          <w:rFonts w:hint="eastAsia" w:ascii="Times New Roman" w:hAnsi="Times New Roman" w:eastAsia="宋体" w:cs="Times New Roman"/>
          <w:kern w:val="2"/>
          <w:sz w:val="24"/>
          <w:szCs w:val="24"/>
          <w:lang w:val="en-US" w:eastAsia="zh-CN" w:bidi="ar-SA"/>
        </w:rPr>
        <w:t>、《畜禽场场区设计技术规范》（NY/T 682 -2023）</w:t>
      </w:r>
      <w:r>
        <w:rPr>
          <w:rFonts w:hint="default" w:ascii="Times New Roman" w:hAnsi="Times New Roman" w:eastAsia="宋体" w:cs="Times New Roman"/>
          <w:kern w:val="2"/>
          <w:sz w:val="24"/>
          <w:szCs w:val="24"/>
          <w:lang w:val="en-US" w:eastAsia="zh-CN" w:bidi="ar-SA"/>
        </w:rPr>
        <w:t>和《新疆维吾尔自治区环境保护条例》（2017年1月1日）及其他法律法规的要求，本项目选址合理性分析详见表2.</w:t>
      </w:r>
      <w:r>
        <w:rPr>
          <w:rFonts w:hint="eastAsia" w:ascii="Times New Roman" w:hAnsi="Times New Roman" w:eastAsia="宋体" w:cs="Times New Roman"/>
          <w:kern w:val="2"/>
          <w:sz w:val="24"/>
          <w:szCs w:val="24"/>
          <w:lang w:val="en-US" w:eastAsia="zh-CN" w:bidi="ar-SA"/>
        </w:rPr>
        <w:t>8</w:t>
      </w:r>
      <w:r>
        <w:rPr>
          <w:rFonts w:hint="default" w:ascii="Times New Roman" w:hAnsi="Times New Roman" w:eastAsia="宋体" w:cs="Times New Roman"/>
          <w:kern w:val="2"/>
          <w:sz w:val="24"/>
          <w:szCs w:val="24"/>
          <w:lang w:val="en-US" w:eastAsia="zh-CN" w:bidi="ar-SA"/>
        </w:rPr>
        <w:t>-1。</w:t>
      </w:r>
    </w:p>
    <w:p w14:paraId="36D0DB2D">
      <w:pPr>
        <w:keepNext w:val="0"/>
        <w:keepLines w:val="0"/>
        <w:pageBreakBefore w:val="0"/>
        <w:widowControl w:val="0"/>
        <w:kinsoku/>
        <w:wordWrap/>
        <w:overflowPunct/>
        <w:topLinePunct w:val="0"/>
        <w:autoSpaceDE/>
        <w:autoSpaceDN/>
        <w:bidi w:val="0"/>
        <w:adjustRightInd/>
        <w:snapToGrid/>
        <w:spacing w:line="360" w:lineRule="auto"/>
        <w:ind w:firstLine="470" w:firstLineChars="196"/>
        <w:jc w:val="center"/>
        <w:textAlignment w:val="auto"/>
        <w:rPr>
          <w:rFonts w:hint="default" w:ascii="Times New Roman" w:hAnsi="Times New Roman" w:eastAsia="宋体" w:cs="Times New Roman"/>
          <w:b/>
          <w:sz w:val="24"/>
          <w:szCs w:val="24"/>
          <w:lang w:bidi="ar"/>
        </w:rPr>
      </w:pPr>
      <w:r>
        <w:rPr>
          <w:rFonts w:hint="default" w:ascii="Times New Roman" w:hAnsi="Times New Roman" w:eastAsia="宋体" w:cs="Times New Roman"/>
          <w:b/>
          <w:sz w:val="24"/>
          <w:szCs w:val="24"/>
          <w:lang w:bidi="ar"/>
        </w:rPr>
        <w:t>表2.</w:t>
      </w:r>
      <w:r>
        <w:rPr>
          <w:rFonts w:hint="eastAsia" w:ascii="Times New Roman" w:hAnsi="Times New Roman" w:eastAsia="宋体" w:cs="Times New Roman"/>
          <w:b/>
          <w:sz w:val="24"/>
          <w:szCs w:val="24"/>
          <w:lang w:val="en-US" w:eastAsia="zh-CN" w:bidi="ar"/>
        </w:rPr>
        <w:t>8</w:t>
      </w:r>
      <w:r>
        <w:rPr>
          <w:rFonts w:hint="default" w:ascii="Times New Roman" w:hAnsi="Times New Roman" w:eastAsia="宋体" w:cs="Times New Roman"/>
          <w:b/>
          <w:sz w:val="24"/>
          <w:szCs w:val="24"/>
          <w:lang w:bidi="ar"/>
        </w:rPr>
        <w:t>-1项目厂址选择合理性论证</w:t>
      </w:r>
    </w:p>
    <w:tbl>
      <w:tblPr>
        <w:tblStyle w:val="20"/>
        <w:tblW w:w="85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247"/>
        <w:gridCol w:w="3686"/>
        <w:gridCol w:w="2872"/>
        <w:gridCol w:w="725"/>
      </w:tblGrid>
      <w:tr w14:paraId="38D26D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933" w:type="dxa"/>
            <w:gridSpan w:val="2"/>
            <w:noWrap w:val="0"/>
            <w:vAlign w:val="center"/>
          </w:tcPr>
          <w:p w14:paraId="75C5E5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有关选址的具体规定与要求</w:t>
            </w:r>
          </w:p>
        </w:tc>
        <w:tc>
          <w:tcPr>
            <w:tcW w:w="2872" w:type="dxa"/>
            <w:noWrap w:val="0"/>
            <w:vAlign w:val="center"/>
          </w:tcPr>
          <w:p w14:paraId="0E2820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本项目选址实际情况</w:t>
            </w:r>
          </w:p>
        </w:tc>
        <w:tc>
          <w:tcPr>
            <w:tcW w:w="725" w:type="dxa"/>
            <w:noWrap w:val="0"/>
            <w:vAlign w:val="center"/>
          </w:tcPr>
          <w:p w14:paraId="06A704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符合性分析</w:t>
            </w:r>
          </w:p>
        </w:tc>
      </w:tr>
      <w:tr w14:paraId="4A1BD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restart"/>
            <w:noWrap w:val="0"/>
            <w:vAlign w:val="center"/>
          </w:tcPr>
          <w:p w14:paraId="1D0CEE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HJ/T81-2001</w:t>
            </w:r>
          </w:p>
        </w:tc>
        <w:tc>
          <w:tcPr>
            <w:tcW w:w="3686" w:type="dxa"/>
            <w:noWrap w:val="0"/>
            <w:vAlign w:val="center"/>
          </w:tcPr>
          <w:p w14:paraId="4FA9414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禁止在下列区域内建设畜禽养殖场：</w:t>
            </w:r>
          </w:p>
          <w:p w14:paraId="74E4F20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w:t>
            </w:r>
            <w:r>
              <w:rPr>
                <w:rFonts w:hint="eastAsia" w:cs="Times New Roman"/>
                <w:sz w:val="21"/>
                <w:szCs w:val="21"/>
                <w:lang w:eastAsia="zh-CN"/>
              </w:rPr>
              <w:t>.</w:t>
            </w:r>
            <w:r>
              <w:rPr>
                <w:rFonts w:hint="default" w:ascii="Times New Roman" w:hAnsi="Times New Roman" w:eastAsia="宋体" w:cs="Times New Roman"/>
                <w:sz w:val="21"/>
                <w:szCs w:val="21"/>
              </w:rPr>
              <w:t>生活饮用水水源保护区、风景名胜区、自然保护区的核心区及缓冲区；</w:t>
            </w:r>
          </w:p>
          <w:p w14:paraId="28C89B5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b</w:t>
            </w:r>
            <w:r>
              <w:rPr>
                <w:rFonts w:hint="eastAsia" w:cs="Times New Roman"/>
                <w:sz w:val="21"/>
                <w:szCs w:val="21"/>
                <w:lang w:eastAsia="zh-CN"/>
              </w:rPr>
              <w:t>.</w:t>
            </w:r>
            <w:r>
              <w:rPr>
                <w:rFonts w:hint="default" w:ascii="Times New Roman" w:hAnsi="Times New Roman" w:eastAsia="宋体" w:cs="Times New Roman"/>
                <w:sz w:val="21"/>
                <w:szCs w:val="21"/>
              </w:rPr>
              <w:t>城市和城镇居民区，包括文教科研区、医疗区、商业区、工业区、游览区等人口集中地区；</w:t>
            </w:r>
          </w:p>
          <w:p w14:paraId="1B72A91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w:t>
            </w:r>
            <w:r>
              <w:rPr>
                <w:rFonts w:hint="eastAsia" w:cs="Times New Roman"/>
                <w:sz w:val="21"/>
                <w:szCs w:val="21"/>
                <w:lang w:eastAsia="zh-CN"/>
              </w:rPr>
              <w:t>.</w:t>
            </w:r>
            <w:r>
              <w:rPr>
                <w:rFonts w:hint="default" w:ascii="Times New Roman" w:hAnsi="Times New Roman" w:eastAsia="宋体" w:cs="Times New Roman"/>
                <w:sz w:val="21"/>
                <w:szCs w:val="21"/>
              </w:rPr>
              <w:t>县级人民政府依法划定的禁养区域；</w:t>
            </w:r>
          </w:p>
          <w:p w14:paraId="0D949B4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d</w:t>
            </w:r>
            <w:r>
              <w:rPr>
                <w:rFonts w:hint="eastAsia" w:cs="Times New Roman"/>
                <w:sz w:val="21"/>
                <w:szCs w:val="21"/>
                <w:lang w:eastAsia="zh-CN"/>
              </w:rPr>
              <w:t>.</w:t>
            </w:r>
            <w:r>
              <w:rPr>
                <w:rFonts w:hint="default" w:ascii="Times New Roman" w:hAnsi="Times New Roman" w:eastAsia="宋体" w:cs="Times New Roman"/>
                <w:sz w:val="21"/>
                <w:szCs w:val="21"/>
              </w:rPr>
              <w:t>国家或地方法律、法规规定需要特殊保护的</w:t>
            </w:r>
            <w:r>
              <w:rPr>
                <w:rFonts w:hint="eastAsia" w:cs="Times New Roman"/>
                <w:sz w:val="21"/>
                <w:szCs w:val="21"/>
                <w:lang w:val="en-US" w:eastAsia="zh-CN"/>
              </w:rPr>
              <w:t>其他</w:t>
            </w:r>
            <w:r>
              <w:rPr>
                <w:rFonts w:hint="default" w:ascii="Times New Roman" w:hAnsi="Times New Roman" w:eastAsia="宋体" w:cs="Times New Roman"/>
                <w:sz w:val="21"/>
                <w:szCs w:val="21"/>
              </w:rPr>
              <w:t>区域。</w:t>
            </w:r>
          </w:p>
        </w:tc>
        <w:tc>
          <w:tcPr>
            <w:tcW w:w="2872" w:type="dxa"/>
            <w:noWrap w:val="0"/>
            <w:vAlign w:val="center"/>
          </w:tcPr>
          <w:p w14:paraId="5B7B43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本项目位于</w:t>
            </w:r>
            <w:r>
              <w:rPr>
                <w:rFonts w:hint="eastAsia" w:cs="Times New Roman"/>
                <w:sz w:val="21"/>
                <w:szCs w:val="21"/>
                <w:lang w:val="en-US" w:eastAsia="zh-CN"/>
              </w:rPr>
              <w:t>第七师胡杨河市125团14连</w:t>
            </w:r>
            <w:r>
              <w:rPr>
                <w:rFonts w:hint="default" w:ascii="Times New Roman" w:hAnsi="Times New Roman" w:eastAsia="宋体" w:cs="Times New Roman"/>
                <w:sz w:val="21"/>
                <w:szCs w:val="21"/>
              </w:rPr>
              <w:t>，不属于保护区核心区及缓冲区，</w:t>
            </w:r>
            <w:r>
              <w:rPr>
                <w:rFonts w:hint="default" w:ascii="Times New Roman" w:hAnsi="Times New Roman" w:eastAsia="宋体" w:cs="Times New Roman"/>
                <w:sz w:val="21"/>
                <w:szCs w:val="21"/>
                <w:lang w:val="en-US" w:eastAsia="zh-CN"/>
              </w:rPr>
              <w:t>根据生态环境部部长信箱《关于畜禽养殖业选址问题的回复》，</w:t>
            </w:r>
            <w:r>
              <w:rPr>
                <w:rFonts w:hint="eastAsia" w:cs="Times New Roman"/>
                <w:sz w:val="21"/>
                <w:szCs w:val="21"/>
                <w:lang w:val="en-US" w:eastAsia="zh-CN"/>
              </w:rPr>
              <w:t>“</w:t>
            </w:r>
            <w:r>
              <w:rPr>
                <w:rFonts w:hint="default" w:ascii="Times New Roman" w:hAnsi="Times New Roman" w:eastAsia="宋体" w:cs="Times New Roman"/>
                <w:sz w:val="21"/>
                <w:szCs w:val="21"/>
                <w:lang w:val="en-US" w:eastAsia="zh-CN"/>
              </w:rPr>
              <w:t>村屯居民区不属于城市和城镇居民区</w:t>
            </w:r>
            <w:r>
              <w:rPr>
                <w:rFonts w:hint="eastAsia" w:cs="Times New Roman"/>
                <w:sz w:val="21"/>
                <w:szCs w:val="21"/>
                <w:lang w:val="en-US" w:eastAsia="zh-CN"/>
              </w:rPr>
              <w:t>”，因此本项目</w:t>
            </w:r>
            <w:r>
              <w:rPr>
                <w:rFonts w:hint="default" w:ascii="Times New Roman" w:hAnsi="Times New Roman" w:eastAsia="宋体" w:cs="Times New Roman"/>
                <w:sz w:val="21"/>
                <w:szCs w:val="21"/>
              </w:rPr>
              <w:t>不在城市和城镇居民区人口集中地区，不在禁养区及其他需要特殊保护区域</w:t>
            </w:r>
          </w:p>
        </w:tc>
        <w:tc>
          <w:tcPr>
            <w:tcW w:w="725" w:type="dxa"/>
            <w:noWrap w:val="0"/>
            <w:vAlign w:val="center"/>
          </w:tcPr>
          <w:p w14:paraId="74F967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5D948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continue"/>
            <w:noWrap w:val="0"/>
            <w:vAlign w:val="center"/>
          </w:tcPr>
          <w:p w14:paraId="4B44B75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p>
        </w:tc>
        <w:tc>
          <w:tcPr>
            <w:tcW w:w="3686" w:type="dxa"/>
            <w:noWrap w:val="0"/>
            <w:vAlign w:val="center"/>
          </w:tcPr>
          <w:p w14:paraId="03D7E13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畜禽粪便储存设施必须远离各类功能地表水体（距离不得小于400m）要求，并应设在养殖场生产及生活管理区的常年主导风向的下风向或侧风向处。</w:t>
            </w:r>
          </w:p>
        </w:tc>
        <w:tc>
          <w:tcPr>
            <w:tcW w:w="2872" w:type="dxa"/>
            <w:noWrap w:val="0"/>
            <w:vAlign w:val="center"/>
          </w:tcPr>
          <w:p w14:paraId="58C5CCC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Cs/>
                <w:sz w:val="21"/>
                <w:szCs w:val="21"/>
              </w:rPr>
            </w:pPr>
            <w:r>
              <w:rPr>
                <w:rFonts w:hint="eastAsia" w:cs="Times New Roman"/>
                <w:sz w:val="21"/>
                <w:szCs w:val="21"/>
                <w:lang w:val="en-US" w:eastAsia="zh-CN"/>
              </w:rPr>
              <w:t>本项目</w:t>
            </w:r>
            <w:r>
              <w:rPr>
                <w:rFonts w:hint="eastAsia" w:cs="Times New Roman"/>
                <w:color w:val="auto"/>
                <w:sz w:val="21"/>
                <w:szCs w:val="21"/>
                <w:lang w:val="en-US" w:eastAsia="zh-CN"/>
              </w:rPr>
              <w:t>堆肥场、堆肥间等粪污处理设施距离场直二支渠850m</w:t>
            </w:r>
            <w:r>
              <w:rPr>
                <w:rFonts w:hint="default" w:ascii="Times New Roman" w:hAnsi="Times New Roman" w:eastAsia="宋体" w:cs="Times New Roman"/>
                <w:sz w:val="21"/>
                <w:szCs w:val="21"/>
              </w:rPr>
              <w:t>，并设在养殖场生产及生活管理区的常年主导风向</w:t>
            </w:r>
            <w:r>
              <w:rPr>
                <w:rFonts w:hint="eastAsia" w:ascii="Times New Roman" w:hAnsi="Times New Roman" w:eastAsia="宋体" w:cs="Times New Roman"/>
                <w:sz w:val="21"/>
                <w:szCs w:val="21"/>
                <w:lang w:val="en-US" w:eastAsia="zh-CN"/>
              </w:rPr>
              <w:t>的</w:t>
            </w:r>
            <w:r>
              <w:rPr>
                <w:rFonts w:hint="default" w:ascii="Times New Roman" w:hAnsi="Times New Roman" w:eastAsia="宋体" w:cs="Times New Roman"/>
                <w:sz w:val="21"/>
                <w:szCs w:val="21"/>
              </w:rPr>
              <w:t>侧风向处。</w:t>
            </w:r>
          </w:p>
        </w:tc>
        <w:tc>
          <w:tcPr>
            <w:tcW w:w="725" w:type="dxa"/>
            <w:noWrap w:val="0"/>
            <w:vAlign w:val="center"/>
          </w:tcPr>
          <w:p w14:paraId="16AD2D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符合</w:t>
            </w:r>
          </w:p>
        </w:tc>
      </w:tr>
      <w:tr w14:paraId="6ACBD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restart"/>
            <w:noWrap w:val="0"/>
            <w:vAlign w:val="center"/>
          </w:tcPr>
          <w:p w14:paraId="17C632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HJ497-2009</w:t>
            </w:r>
          </w:p>
        </w:tc>
        <w:tc>
          <w:tcPr>
            <w:tcW w:w="3686" w:type="dxa"/>
            <w:noWrap w:val="0"/>
            <w:vAlign w:val="center"/>
          </w:tcPr>
          <w:p w14:paraId="5B68EB4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畜禽养殖业污染治理工程应与养殖场生产区、居民区等建筑保持一定的卫生防护距离，设置在畜禽养殖场的生产区、生活区主导风向的下风向或侧风向处</w:t>
            </w:r>
          </w:p>
        </w:tc>
        <w:tc>
          <w:tcPr>
            <w:tcW w:w="2872" w:type="dxa"/>
            <w:noWrap w:val="0"/>
            <w:vAlign w:val="center"/>
          </w:tcPr>
          <w:p w14:paraId="0F73FEC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highlight w:val="yellow"/>
              </w:rPr>
            </w:pPr>
            <w:r>
              <w:rPr>
                <w:rFonts w:hint="default" w:ascii="Times New Roman" w:hAnsi="Times New Roman" w:eastAsia="宋体" w:cs="Times New Roman"/>
                <w:sz w:val="21"/>
                <w:szCs w:val="21"/>
                <w:highlight w:val="none"/>
              </w:rPr>
              <w:t>畜禽养殖业污染治理工程与养殖场生产区、居民区等建筑保持一定的卫生防护距离，设置在畜禽养殖场的生产区、生活区主导风向的侧风向处</w:t>
            </w:r>
          </w:p>
        </w:tc>
        <w:tc>
          <w:tcPr>
            <w:tcW w:w="725" w:type="dxa"/>
            <w:noWrap w:val="0"/>
            <w:vAlign w:val="center"/>
          </w:tcPr>
          <w:p w14:paraId="694E32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符合</w:t>
            </w:r>
          </w:p>
        </w:tc>
      </w:tr>
      <w:tr w14:paraId="15912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continue"/>
            <w:noWrap w:val="0"/>
            <w:vAlign w:val="center"/>
          </w:tcPr>
          <w:p w14:paraId="10F000B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p>
        </w:tc>
        <w:tc>
          <w:tcPr>
            <w:tcW w:w="3686" w:type="dxa"/>
            <w:noWrap w:val="0"/>
            <w:vAlign w:val="center"/>
          </w:tcPr>
          <w:p w14:paraId="3B04744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畜禽养殖业污染治理工程的位置应有利于排放、资源化利用和运输，并留有扩建的余地，方便施工、运行和维护</w:t>
            </w:r>
          </w:p>
        </w:tc>
        <w:tc>
          <w:tcPr>
            <w:tcW w:w="2872" w:type="dxa"/>
            <w:noWrap w:val="0"/>
            <w:vAlign w:val="center"/>
          </w:tcPr>
          <w:p w14:paraId="755F884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highlight w:val="yellow"/>
                <w:lang w:eastAsia="zh-CN"/>
              </w:rPr>
            </w:pPr>
            <w:r>
              <w:rPr>
                <w:rFonts w:hint="default" w:ascii="Times New Roman" w:hAnsi="Times New Roman" w:eastAsia="宋体" w:cs="Times New Roman"/>
                <w:sz w:val="21"/>
                <w:szCs w:val="21"/>
                <w:highlight w:val="none"/>
              </w:rPr>
              <w:t>畜禽养殖业污染治理工程的位置应有利于排放、资源化利用和运输，并留有扩建的余地，方便施工、运行和维护</w:t>
            </w:r>
            <w:r>
              <w:rPr>
                <w:rFonts w:hint="default" w:ascii="Times New Roman" w:hAnsi="Times New Roman" w:eastAsia="宋体" w:cs="Times New Roman"/>
                <w:sz w:val="21"/>
                <w:szCs w:val="21"/>
                <w:highlight w:val="none"/>
                <w:lang w:eastAsia="zh-CN"/>
              </w:rPr>
              <w:t>。</w:t>
            </w:r>
          </w:p>
        </w:tc>
        <w:tc>
          <w:tcPr>
            <w:tcW w:w="725" w:type="dxa"/>
            <w:noWrap w:val="0"/>
            <w:vAlign w:val="center"/>
          </w:tcPr>
          <w:p w14:paraId="1F0E7B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符合</w:t>
            </w:r>
          </w:p>
        </w:tc>
      </w:tr>
      <w:tr w14:paraId="4DF04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30" w:hRule="atLeast"/>
          <w:jc w:val="center"/>
        </w:trPr>
        <w:tc>
          <w:tcPr>
            <w:tcW w:w="1247" w:type="dxa"/>
            <w:noWrap w:val="0"/>
            <w:vAlign w:val="center"/>
          </w:tcPr>
          <w:p w14:paraId="2ECADA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《新疆维吾尔自治区环境保护条例》</w:t>
            </w:r>
          </w:p>
        </w:tc>
        <w:tc>
          <w:tcPr>
            <w:tcW w:w="3686" w:type="dxa"/>
            <w:noWrap w:val="0"/>
            <w:vAlign w:val="center"/>
          </w:tcPr>
          <w:p w14:paraId="7D0D3AF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森林公园、世界自然和文化遗产地、文物保护单位保护范围及其他历史、文化、自然保护地禁止建设畜禽养殖场</w:t>
            </w:r>
          </w:p>
        </w:tc>
        <w:tc>
          <w:tcPr>
            <w:tcW w:w="2872" w:type="dxa"/>
            <w:noWrap w:val="0"/>
            <w:vAlign w:val="center"/>
          </w:tcPr>
          <w:p w14:paraId="298454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本项目选址位于</w:t>
            </w:r>
            <w:r>
              <w:rPr>
                <w:rFonts w:hint="eastAsia" w:cs="Times New Roman"/>
                <w:sz w:val="21"/>
                <w:szCs w:val="21"/>
                <w:lang w:val="en-US" w:eastAsia="zh-CN"/>
              </w:rPr>
              <w:t>第七师胡杨河市125团14连</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评价范围内无生态优先管控单元</w:t>
            </w:r>
          </w:p>
        </w:tc>
        <w:tc>
          <w:tcPr>
            <w:tcW w:w="725" w:type="dxa"/>
            <w:noWrap w:val="0"/>
            <w:vAlign w:val="center"/>
          </w:tcPr>
          <w:p w14:paraId="581600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符合</w:t>
            </w:r>
          </w:p>
        </w:tc>
      </w:tr>
      <w:tr w14:paraId="7B51E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noWrap w:val="0"/>
            <w:vAlign w:val="center"/>
          </w:tcPr>
          <w:p w14:paraId="693E67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《动物防疫条件审查办法》</w:t>
            </w:r>
          </w:p>
        </w:tc>
        <w:tc>
          <w:tcPr>
            <w:tcW w:w="3686" w:type="dxa"/>
            <w:noWrap w:val="0"/>
            <w:vAlign w:val="center"/>
          </w:tcPr>
          <w:p w14:paraId="2AF08F3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距离生活饮用水源地、城镇居民区500m以上，距离交通干道500m以上</w:t>
            </w:r>
          </w:p>
        </w:tc>
        <w:tc>
          <w:tcPr>
            <w:tcW w:w="2872" w:type="dxa"/>
            <w:noWrap w:val="0"/>
            <w:vAlign w:val="center"/>
          </w:tcPr>
          <w:p w14:paraId="34F0BF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周边500m无</w:t>
            </w:r>
            <w:r>
              <w:rPr>
                <w:rFonts w:hint="default" w:ascii="Times New Roman" w:hAnsi="Times New Roman" w:eastAsia="宋体" w:cs="Times New Roman"/>
                <w:sz w:val="21"/>
                <w:szCs w:val="21"/>
              </w:rPr>
              <w:t>生活饮用水源地、</w:t>
            </w:r>
            <w:r>
              <w:rPr>
                <w:rFonts w:hint="eastAsia" w:ascii="Times New Roman" w:hAnsi="Times New Roman" w:eastAsia="宋体" w:cs="Times New Roman"/>
                <w:sz w:val="21"/>
                <w:szCs w:val="21"/>
                <w:lang w:val="en-US" w:eastAsia="zh-CN"/>
              </w:rPr>
              <w:t>无城镇居民区</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周围500m无交通干道</w:t>
            </w:r>
          </w:p>
        </w:tc>
        <w:tc>
          <w:tcPr>
            <w:tcW w:w="725" w:type="dxa"/>
            <w:noWrap w:val="0"/>
            <w:vAlign w:val="center"/>
          </w:tcPr>
          <w:p w14:paraId="5ACEC9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符合</w:t>
            </w:r>
          </w:p>
        </w:tc>
      </w:tr>
      <w:tr w14:paraId="2DE1C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restart"/>
            <w:noWrap w:val="0"/>
            <w:vAlign w:val="center"/>
          </w:tcPr>
          <w:p w14:paraId="467AC3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GB/T 36195-2018</w:t>
            </w:r>
          </w:p>
        </w:tc>
        <w:tc>
          <w:tcPr>
            <w:tcW w:w="3686" w:type="dxa"/>
            <w:noWrap w:val="0"/>
            <w:vAlign w:val="center"/>
          </w:tcPr>
          <w:p w14:paraId="00ADEE5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新建、扩建和改建畜禽养殖场和养殖小区应设置粪污处理区</w:t>
            </w:r>
            <w:r>
              <w:rPr>
                <w:rFonts w:hint="eastAsia" w:cs="Times New Roman"/>
                <w:sz w:val="21"/>
                <w:szCs w:val="21"/>
                <w:lang w:eastAsia="zh-CN"/>
              </w:rPr>
              <w:t>，</w:t>
            </w:r>
            <w:r>
              <w:rPr>
                <w:rFonts w:hint="default" w:ascii="Times New Roman" w:hAnsi="Times New Roman" w:eastAsia="宋体" w:cs="Times New Roman"/>
                <w:sz w:val="21"/>
                <w:szCs w:val="21"/>
              </w:rPr>
              <w:t>建设畜禽粪便处理设施</w:t>
            </w:r>
            <w:r>
              <w:rPr>
                <w:rFonts w:hint="eastAsia" w:cs="Times New Roman"/>
                <w:sz w:val="21"/>
                <w:szCs w:val="21"/>
                <w:lang w:eastAsia="zh-CN"/>
              </w:rPr>
              <w:t>；</w:t>
            </w:r>
            <w:r>
              <w:rPr>
                <w:rFonts w:hint="default" w:ascii="Times New Roman" w:hAnsi="Times New Roman" w:eastAsia="宋体" w:cs="Times New Roman"/>
                <w:sz w:val="21"/>
                <w:szCs w:val="21"/>
              </w:rPr>
              <w:t>没有粪污处理设施的应补建。</w:t>
            </w:r>
          </w:p>
        </w:tc>
        <w:tc>
          <w:tcPr>
            <w:tcW w:w="2872" w:type="dxa"/>
            <w:noWrap w:val="0"/>
            <w:vAlign w:val="center"/>
          </w:tcPr>
          <w:p w14:paraId="053DBC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本项目配套堆肥场等粪污处理设施等</w:t>
            </w:r>
          </w:p>
        </w:tc>
        <w:tc>
          <w:tcPr>
            <w:tcW w:w="725" w:type="dxa"/>
            <w:noWrap w:val="0"/>
            <w:vAlign w:val="center"/>
          </w:tcPr>
          <w:p w14:paraId="3BC346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7F1BE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continue"/>
            <w:noWrap w:val="0"/>
            <w:vAlign w:val="center"/>
          </w:tcPr>
          <w:p w14:paraId="226C0D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p>
        </w:tc>
        <w:tc>
          <w:tcPr>
            <w:tcW w:w="3686" w:type="dxa"/>
            <w:noWrap w:val="0"/>
            <w:vAlign w:val="center"/>
          </w:tcPr>
          <w:p w14:paraId="29A74F9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畜禽养殖场、养殖小区的粪污处理区布局应按照 NY/T 682的规定执行。</w:t>
            </w:r>
          </w:p>
        </w:tc>
        <w:tc>
          <w:tcPr>
            <w:tcW w:w="2872" w:type="dxa"/>
            <w:noWrap w:val="0"/>
            <w:vAlign w:val="center"/>
          </w:tcPr>
          <w:p w14:paraId="2FF032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粪污处理区布局</w:t>
            </w:r>
            <w:r>
              <w:rPr>
                <w:rFonts w:hint="eastAsia" w:cs="Times New Roman"/>
                <w:sz w:val="21"/>
                <w:szCs w:val="21"/>
                <w:lang w:val="en-US" w:eastAsia="zh-CN"/>
              </w:rPr>
              <w:t>满足</w:t>
            </w:r>
            <w:r>
              <w:rPr>
                <w:rFonts w:hint="default" w:ascii="Times New Roman" w:hAnsi="Times New Roman" w:eastAsia="宋体" w:cs="Times New Roman"/>
                <w:sz w:val="21"/>
                <w:szCs w:val="21"/>
              </w:rPr>
              <w:t>NY/T682 -</w:t>
            </w:r>
            <w:r>
              <w:rPr>
                <w:rFonts w:hint="eastAsia" w:ascii="Times New Roman" w:hAnsi="Times New Roman" w:eastAsia="宋体" w:cs="Times New Roman"/>
                <w:sz w:val="21"/>
                <w:szCs w:val="21"/>
                <w:lang w:val="en-US" w:eastAsia="zh-CN"/>
              </w:rPr>
              <w:t>2023</w:t>
            </w:r>
            <w:r>
              <w:rPr>
                <w:rFonts w:hint="eastAsia" w:cs="Times New Roman"/>
                <w:sz w:val="21"/>
                <w:szCs w:val="21"/>
                <w:lang w:val="en-US" w:eastAsia="zh-CN"/>
              </w:rPr>
              <w:t>相关要求</w:t>
            </w:r>
          </w:p>
        </w:tc>
        <w:tc>
          <w:tcPr>
            <w:tcW w:w="725" w:type="dxa"/>
            <w:noWrap w:val="0"/>
            <w:vAlign w:val="center"/>
          </w:tcPr>
          <w:p w14:paraId="2C5EA9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2D6AE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47" w:type="dxa"/>
            <w:vMerge w:val="restart"/>
            <w:noWrap w:val="0"/>
            <w:vAlign w:val="center"/>
          </w:tcPr>
          <w:p w14:paraId="21998C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NY/T682 -</w:t>
            </w:r>
            <w:r>
              <w:rPr>
                <w:rFonts w:hint="eastAsia" w:ascii="Times New Roman" w:hAnsi="Times New Roman" w:eastAsia="宋体" w:cs="Times New Roman"/>
                <w:sz w:val="21"/>
                <w:szCs w:val="21"/>
                <w:lang w:val="en-US" w:eastAsia="zh-CN"/>
              </w:rPr>
              <w:t>2023</w:t>
            </w:r>
          </w:p>
        </w:tc>
        <w:tc>
          <w:tcPr>
            <w:tcW w:w="3686" w:type="dxa"/>
            <w:noWrap w:val="0"/>
            <w:vAlign w:val="center"/>
          </w:tcPr>
          <w:p w14:paraId="4CB8F63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畜禽场选址应具备相应土地使用协议或国土部门颁发的土地使用证书</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且符合当地土地利用发展规划、城乡建设发展规划和环境保护规划的要求。</w:t>
            </w:r>
          </w:p>
        </w:tc>
        <w:tc>
          <w:tcPr>
            <w:tcW w:w="2872" w:type="dxa"/>
            <w:noWrap w:val="0"/>
            <w:vAlign w:val="center"/>
          </w:tcPr>
          <w:p w14:paraId="00BD7C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本项目用地</w:t>
            </w:r>
            <w:r>
              <w:rPr>
                <w:rFonts w:hint="eastAsia" w:ascii="Times New Roman" w:hAnsi="Times New Roman" w:eastAsia="宋体" w:cs="Times New Roman"/>
                <w:sz w:val="21"/>
                <w:szCs w:val="21"/>
                <w:lang w:val="en-US" w:eastAsia="zh-CN"/>
              </w:rPr>
              <w:t>符合</w:t>
            </w:r>
            <w:r>
              <w:rPr>
                <w:rFonts w:hint="eastAsia" w:cs="Times New Roman"/>
                <w:sz w:val="21"/>
                <w:szCs w:val="21"/>
                <w:lang w:val="en-US" w:eastAsia="zh-CN"/>
              </w:rPr>
              <w:t>第七师胡杨河市国土空间规划</w:t>
            </w:r>
          </w:p>
        </w:tc>
        <w:tc>
          <w:tcPr>
            <w:tcW w:w="725" w:type="dxa"/>
            <w:noWrap w:val="0"/>
            <w:vAlign w:val="center"/>
          </w:tcPr>
          <w:p w14:paraId="76291F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19B89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continue"/>
            <w:noWrap w:val="0"/>
            <w:vAlign w:val="center"/>
          </w:tcPr>
          <w:p w14:paraId="0E0837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p>
        </w:tc>
        <w:tc>
          <w:tcPr>
            <w:tcW w:w="3686" w:type="dxa"/>
            <w:noWrap w:val="0"/>
            <w:vAlign w:val="center"/>
          </w:tcPr>
          <w:p w14:paraId="456F925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场址选址应符合动物防疫条件</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并对周边的天然屏障、人工屏障、行政区划、饲养环境、动物分布等情况</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以及动物</w:t>
            </w:r>
            <w:r>
              <w:rPr>
                <w:rFonts w:hint="eastAsia" w:cs="Times New Roman"/>
                <w:sz w:val="21"/>
                <w:szCs w:val="21"/>
                <w:lang w:eastAsia="zh-CN"/>
              </w:rPr>
              <w:t>疫情</w:t>
            </w:r>
            <w:r>
              <w:rPr>
                <w:rFonts w:hint="default" w:ascii="Times New Roman" w:hAnsi="Times New Roman" w:eastAsia="宋体" w:cs="Times New Roman"/>
                <w:sz w:val="21"/>
                <w:szCs w:val="21"/>
              </w:rPr>
              <w:t>的发生、流行状况等因素进行风险评估</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根据评估结果确认选址。</w:t>
            </w:r>
          </w:p>
        </w:tc>
        <w:tc>
          <w:tcPr>
            <w:tcW w:w="2872" w:type="dxa"/>
            <w:noWrap w:val="0"/>
            <w:vAlign w:val="center"/>
          </w:tcPr>
          <w:p w14:paraId="3AEEB3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本项目用地符合《动物防疫条件审查办法》，本项目环境风险章节对动物疫情环境风险进行评估，采取措施后环境风险较小</w:t>
            </w:r>
          </w:p>
        </w:tc>
        <w:tc>
          <w:tcPr>
            <w:tcW w:w="725" w:type="dxa"/>
            <w:noWrap w:val="0"/>
            <w:vAlign w:val="center"/>
          </w:tcPr>
          <w:p w14:paraId="27CBC0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13F09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continue"/>
            <w:noWrap w:val="0"/>
            <w:vAlign w:val="center"/>
          </w:tcPr>
          <w:p w14:paraId="0A1BA5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p>
        </w:tc>
        <w:tc>
          <w:tcPr>
            <w:tcW w:w="3686" w:type="dxa"/>
            <w:noWrap w:val="0"/>
            <w:vAlign w:val="center"/>
          </w:tcPr>
          <w:p w14:paraId="49C4354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场址应水源充足</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水质符合生产生活用水要求</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排水畅通</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供电可靠</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交通便利</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地质条件能满足工程建设要求。</w:t>
            </w:r>
          </w:p>
        </w:tc>
        <w:tc>
          <w:tcPr>
            <w:tcW w:w="2872" w:type="dxa"/>
            <w:noWrap w:val="0"/>
            <w:vAlign w:val="center"/>
          </w:tcPr>
          <w:p w14:paraId="1E9ACA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本项目水源为</w:t>
            </w:r>
            <w:r>
              <w:rPr>
                <w:rFonts w:hint="eastAsia" w:cs="Times New Roman"/>
                <w:sz w:val="21"/>
                <w:szCs w:val="21"/>
                <w:lang w:val="en-US" w:eastAsia="zh-CN"/>
              </w:rPr>
              <w:t>市政管网</w:t>
            </w:r>
            <w:r>
              <w:rPr>
                <w:rFonts w:hint="eastAsia" w:ascii="Times New Roman" w:hAnsi="Times New Roman" w:eastAsia="宋体" w:cs="Times New Roman"/>
                <w:sz w:val="21"/>
                <w:szCs w:val="21"/>
                <w:lang w:val="en-US" w:eastAsia="zh-CN"/>
              </w:rPr>
              <w:t>供给，用水满足</w:t>
            </w:r>
            <w:r>
              <w:rPr>
                <w:rFonts w:hint="default" w:ascii="Times New Roman" w:hAnsi="Times New Roman" w:eastAsia="宋体" w:cs="Times New Roman"/>
                <w:sz w:val="21"/>
                <w:szCs w:val="21"/>
              </w:rPr>
              <w:t>生产生活用水要求</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排水畅通</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供电为市政电网供电，</w:t>
            </w:r>
            <w:r>
              <w:rPr>
                <w:rFonts w:hint="default" w:ascii="Times New Roman" w:hAnsi="Times New Roman" w:eastAsia="宋体" w:cs="Times New Roman"/>
                <w:sz w:val="21"/>
                <w:szCs w:val="21"/>
              </w:rPr>
              <w:t>供电可靠</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本项目区域交通便利，</w:t>
            </w:r>
            <w:r>
              <w:rPr>
                <w:rFonts w:hint="eastAsia" w:cs="Times New Roman"/>
                <w:sz w:val="21"/>
                <w:szCs w:val="21"/>
                <w:lang w:val="en-US" w:eastAsia="zh-CN"/>
              </w:rPr>
              <w:t>选址</w:t>
            </w:r>
            <w:r>
              <w:rPr>
                <w:rFonts w:hint="eastAsia" w:ascii="Times New Roman" w:hAnsi="Times New Roman" w:eastAsia="宋体" w:cs="Times New Roman"/>
                <w:sz w:val="21"/>
                <w:szCs w:val="21"/>
                <w:lang w:val="en-US" w:eastAsia="zh-CN"/>
              </w:rPr>
              <w:t>条件满足建场需要。</w:t>
            </w:r>
          </w:p>
        </w:tc>
        <w:tc>
          <w:tcPr>
            <w:tcW w:w="725" w:type="dxa"/>
            <w:noWrap w:val="0"/>
            <w:vAlign w:val="center"/>
          </w:tcPr>
          <w:p w14:paraId="421482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1D630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continue"/>
            <w:noWrap w:val="0"/>
            <w:vAlign w:val="center"/>
          </w:tcPr>
          <w:p w14:paraId="56EC2D9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p>
        </w:tc>
        <w:tc>
          <w:tcPr>
            <w:tcW w:w="3686" w:type="dxa"/>
            <w:noWrap w:val="0"/>
            <w:vAlign w:val="center"/>
          </w:tcPr>
          <w:p w14:paraId="77C9907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场址周围宜具备粪污消纳条件</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畜禽场建设需通过环境影响评价。</w:t>
            </w:r>
          </w:p>
        </w:tc>
        <w:tc>
          <w:tcPr>
            <w:tcW w:w="2872" w:type="dxa"/>
            <w:noWrap w:val="0"/>
            <w:vAlign w:val="center"/>
          </w:tcPr>
          <w:p w14:paraId="06330D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本项目设置配套的粪污处理设施。</w:t>
            </w:r>
          </w:p>
        </w:tc>
        <w:tc>
          <w:tcPr>
            <w:tcW w:w="725" w:type="dxa"/>
            <w:noWrap w:val="0"/>
            <w:vAlign w:val="center"/>
          </w:tcPr>
          <w:p w14:paraId="521BCB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r w14:paraId="341BA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247" w:type="dxa"/>
            <w:vMerge w:val="continue"/>
            <w:noWrap w:val="0"/>
            <w:vAlign w:val="center"/>
          </w:tcPr>
          <w:p w14:paraId="267472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rPr>
            </w:pPr>
          </w:p>
        </w:tc>
        <w:tc>
          <w:tcPr>
            <w:tcW w:w="3686" w:type="dxa"/>
            <w:noWrap w:val="0"/>
            <w:vAlign w:val="center"/>
          </w:tcPr>
          <w:p w14:paraId="69EB6B5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以下地区或地段不应建场</w:t>
            </w:r>
            <w:r>
              <w:rPr>
                <w:rFonts w:hint="eastAsia" w:ascii="Times New Roman" w:hAnsi="Times New Roman" w:eastAsia="宋体" w:cs="Times New Roman"/>
                <w:sz w:val="21"/>
                <w:szCs w:val="21"/>
                <w:lang w:eastAsia="zh-CN"/>
              </w:rPr>
              <w:t>：</w:t>
            </w:r>
          </w:p>
          <w:p w14:paraId="587EDD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生活饮用水的水源保护区</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风景名胜区</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以及自然保护区的核心区和缓冲区</w:t>
            </w:r>
            <w:r>
              <w:rPr>
                <w:rFonts w:hint="eastAsia" w:ascii="Times New Roman" w:hAnsi="Times New Roman" w:eastAsia="宋体" w:cs="Times New Roman"/>
                <w:sz w:val="21"/>
                <w:szCs w:val="21"/>
                <w:lang w:eastAsia="zh-CN"/>
              </w:rPr>
              <w:t>；</w:t>
            </w:r>
          </w:p>
          <w:p w14:paraId="27932A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城镇居民区、文化教育科学研究区等人口集中区域</w:t>
            </w:r>
            <w:r>
              <w:rPr>
                <w:rFonts w:hint="eastAsia" w:ascii="Times New Roman" w:hAnsi="Times New Roman" w:eastAsia="宋体" w:cs="Times New Roman"/>
                <w:sz w:val="21"/>
                <w:szCs w:val="21"/>
                <w:lang w:eastAsia="zh-CN"/>
              </w:rPr>
              <w:t>；</w:t>
            </w:r>
          </w:p>
          <w:p w14:paraId="3085EE6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受洪水或山洪威胁及泥石流</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滑坡等自然灾害多发地带</w:t>
            </w:r>
            <w:r>
              <w:rPr>
                <w:rFonts w:hint="eastAsia" w:ascii="Times New Roman" w:hAnsi="Times New Roman" w:eastAsia="宋体" w:cs="Times New Roman"/>
                <w:sz w:val="21"/>
                <w:szCs w:val="21"/>
                <w:lang w:eastAsia="zh-CN"/>
              </w:rPr>
              <w:t>；</w:t>
            </w:r>
          </w:p>
          <w:p w14:paraId="7131F26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法律法规规定的其他禁养区域。</w:t>
            </w:r>
          </w:p>
        </w:tc>
        <w:tc>
          <w:tcPr>
            <w:tcW w:w="2872" w:type="dxa"/>
            <w:noWrap w:val="0"/>
            <w:vAlign w:val="center"/>
          </w:tcPr>
          <w:p w14:paraId="2D681C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本项目用地范围内不涉及生活饮用水的水源保护区，风景名胜区，以及自然保护区的核心区和缓冲区；</w:t>
            </w:r>
          </w:p>
          <w:p w14:paraId="781EA0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城镇居民区、文化教育科学研究区等人口集中区域；</w:t>
            </w:r>
          </w:p>
          <w:p w14:paraId="1E9E7E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受洪水或山洪威胁及泥石流，滑坡等自然灾害多发地带；</w:t>
            </w:r>
          </w:p>
          <w:p w14:paraId="298B82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第七师胡杨河市</w:t>
            </w:r>
            <w:r>
              <w:rPr>
                <w:rFonts w:hint="eastAsia" w:ascii="Times New Roman" w:hAnsi="Times New Roman" w:eastAsia="宋体" w:cs="Times New Roman"/>
                <w:sz w:val="21"/>
                <w:szCs w:val="21"/>
                <w:lang w:val="en-US" w:eastAsia="zh-CN"/>
              </w:rPr>
              <w:t>划定的禁养区。</w:t>
            </w:r>
          </w:p>
        </w:tc>
        <w:tc>
          <w:tcPr>
            <w:tcW w:w="725" w:type="dxa"/>
            <w:noWrap w:val="0"/>
            <w:vAlign w:val="center"/>
          </w:tcPr>
          <w:p w14:paraId="5E8F0E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符合</w:t>
            </w:r>
          </w:p>
        </w:tc>
      </w:tr>
    </w:tbl>
    <w:p w14:paraId="007E6940">
      <w:pPr>
        <w:keepNext w:val="0"/>
        <w:keepLines w:val="0"/>
        <w:widowControl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2.8.2</w:t>
      </w:r>
      <w:r>
        <w:rPr>
          <w:rFonts w:hint="default" w:ascii="Times New Roman" w:hAnsi="Times New Roman" w:eastAsia="宋体" w:cs="Times New Roman"/>
          <w:b/>
          <w:bCs/>
          <w:kern w:val="2"/>
          <w:sz w:val="28"/>
          <w:szCs w:val="28"/>
          <w:lang w:val="en-US" w:eastAsia="zh-CN" w:bidi="ar-SA"/>
        </w:rPr>
        <w:t>环境容量</w:t>
      </w:r>
    </w:p>
    <w:p w14:paraId="111EF6F3">
      <w:pPr>
        <w:overflowPunct w:val="0"/>
        <w:autoSpaceDE w:val="0"/>
        <w:autoSpaceDN w:val="0"/>
        <w:adjustRightInd w:val="0"/>
        <w:snapToGrid w:val="0"/>
        <w:spacing w:line="500" w:lineRule="exact"/>
        <w:ind w:firstLine="480" w:firstLineChars="200"/>
        <w:rPr>
          <w:rFonts w:hint="default" w:ascii="Times New Roman" w:hAnsi="Times New Roman" w:eastAsia="宋体" w:cs="Times New Roman"/>
          <w:color w:val="000000"/>
          <w:sz w:val="24"/>
          <w:szCs w:val="24"/>
          <w:lang w:val="en-US" w:eastAsia="zh-CN" w:bidi="en-US"/>
        </w:rPr>
      </w:pPr>
      <w:r>
        <w:rPr>
          <w:rFonts w:ascii="Times New Roman" w:hAnsi="Times New Roman" w:eastAsia="宋体" w:cs="Times New Roman"/>
          <w:color w:val="000000"/>
          <w:sz w:val="24"/>
          <w:szCs w:val="22"/>
          <w:highlight w:val="none"/>
        </w:rPr>
        <w:t>项目评价区内现状环境空气评价因子</w:t>
      </w:r>
      <w:r>
        <w:rPr>
          <w:rFonts w:hint="eastAsia" w:ascii="Times New Roman" w:hAnsi="Times New Roman" w:eastAsia="宋体" w:cs="Times New Roman"/>
          <w:color w:val="000000"/>
          <w:sz w:val="24"/>
          <w:szCs w:val="22"/>
          <w:highlight w:val="none"/>
        </w:rPr>
        <w:t>年评价指标</w:t>
      </w:r>
      <w:r>
        <w:rPr>
          <w:rFonts w:hint="eastAsia" w:ascii="Times New Roman" w:hAnsi="Times New Roman" w:eastAsia="宋体" w:cs="Times New Roman"/>
          <w:color w:val="000000"/>
          <w:sz w:val="24"/>
          <w:szCs w:val="22"/>
          <w:highlight w:val="none"/>
          <w:lang w:val="en-US" w:eastAsia="zh-CN"/>
        </w:rPr>
        <w:t>达标</w:t>
      </w:r>
      <w:r>
        <w:rPr>
          <w:rFonts w:hint="eastAsia" w:ascii="Times New Roman" w:hAnsi="Times New Roman" w:eastAsia="宋体" w:cs="Times New Roman"/>
          <w:color w:val="000000"/>
          <w:sz w:val="24"/>
          <w:szCs w:val="22"/>
          <w:highlight w:val="none"/>
        </w:rPr>
        <w:t>，为达标区</w:t>
      </w:r>
      <w:r>
        <w:rPr>
          <w:rFonts w:ascii="Times New Roman" w:hAnsi="Times New Roman" w:eastAsia="宋体" w:cs="Times New Roman"/>
          <w:color w:val="000000"/>
          <w:sz w:val="24"/>
          <w:szCs w:val="22"/>
          <w:highlight w:val="none"/>
        </w:rPr>
        <w:t>，环境空气质量现状</w:t>
      </w:r>
      <w:r>
        <w:rPr>
          <w:rFonts w:hint="eastAsia" w:ascii="Times New Roman" w:hAnsi="Times New Roman" w:eastAsia="宋体" w:cs="Times New Roman"/>
          <w:color w:val="000000"/>
          <w:sz w:val="24"/>
          <w:szCs w:val="22"/>
          <w:highlight w:val="none"/>
          <w:lang w:val="en-US" w:eastAsia="zh-CN"/>
        </w:rPr>
        <w:t>良好</w:t>
      </w:r>
      <w:r>
        <w:rPr>
          <w:rFonts w:ascii="Times New Roman" w:hAnsi="Times New Roman" w:eastAsia="宋体" w:cs="Times New Roman"/>
          <w:color w:val="000000"/>
          <w:sz w:val="24"/>
          <w:szCs w:val="22"/>
          <w:highlight w:val="none"/>
        </w:rPr>
        <w:t>；本项目使用清洁能源—电能作为热源；区域内地下水体均满足水环境功能区划要求，评价指标均符合评价标准中的Ⅲ类标准，尚有一定环境容量；评价区环境噪声优于《声环境质量标准》（GB3096-2008）中的</w:t>
      </w:r>
      <w:r>
        <w:rPr>
          <w:rFonts w:hint="eastAsia" w:ascii="Times New Roman" w:hAnsi="Times New Roman" w:eastAsia="宋体" w:cs="Times New Roman"/>
          <w:color w:val="000000"/>
          <w:sz w:val="24"/>
          <w:szCs w:val="22"/>
          <w:highlight w:val="none"/>
          <w:lang w:val="en-US" w:eastAsia="zh-CN"/>
        </w:rPr>
        <w:t>2</w:t>
      </w:r>
      <w:r>
        <w:rPr>
          <w:rFonts w:hint="eastAsia" w:ascii="Times New Roman" w:hAnsi="Times New Roman" w:eastAsia="宋体" w:cs="Times New Roman"/>
          <w:color w:val="000000"/>
          <w:sz w:val="24"/>
          <w:szCs w:val="22"/>
          <w:highlight w:val="none"/>
          <w:lang w:eastAsia="zh-CN"/>
        </w:rPr>
        <w:t>类</w:t>
      </w:r>
      <w:r>
        <w:rPr>
          <w:rFonts w:ascii="Times New Roman" w:hAnsi="Times New Roman" w:eastAsia="宋体" w:cs="Times New Roman"/>
          <w:color w:val="000000"/>
          <w:sz w:val="24"/>
          <w:szCs w:val="22"/>
          <w:highlight w:val="none"/>
        </w:rPr>
        <w:t>标准，</w:t>
      </w:r>
      <w:r>
        <w:rPr>
          <w:rFonts w:hint="eastAsia" w:ascii="Times New Roman" w:hAnsi="Times New Roman" w:eastAsia="宋体" w:cs="Times New Roman"/>
          <w:color w:val="000000"/>
          <w:sz w:val="24"/>
          <w:szCs w:val="22"/>
          <w:highlight w:val="none"/>
          <w:lang w:val="en-US" w:eastAsia="zh-CN"/>
        </w:rPr>
        <w:t>在采取声环境治理措施情况下，对周边声环境保护目标影响较小</w:t>
      </w:r>
      <w:r>
        <w:rPr>
          <w:rFonts w:ascii="Times New Roman" w:hAnsi="Times New Roman" w:eastAsia="宋体" w:cs="Times New Roman"/>
          <w:color w:val="000000"/>
          <w:sz w:val="24"/>
          <w:szCs w:val="22"/>
          <w:highlight w:val="none"/>
        </w:rPr>
        <w:t>。</w:t>
      </w:r>
      <w:r>
        <w:rPr>
          <w:rFonts w:hint="eastAsia" w:ascii="Times New Roman" w:hAnsi="Times New Roman" w:eastAsia="宋体" w:cs="Times New Roman"/>
          <w:color w:val="000000"/>
          <w:sz w:val="24"/>
          <w:szCs w:val="24"/>
          <w:lang w:val="en-US" w:eastAsia="zh-CN" w:bidi="en-US"/>
        </w:rPr>
        <w:t>项目所在区域地势开阔、环境容量大，有利于污染物的扩散和稀释，从选址区域气象条件因素分析，附近的环境敏感点较少，环境敏感度较低。</w:t>
      </w:r>
    </w:p>
    <w:p w14:paraId="11252769">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本项目投产后，区域水、气、声环境质量现状良好，尚有较大的环境容量空间，污染物达标排放，对区域环境影响不大，区域环境仍可保持现有功能水平。因此，项目选址从环境容量角度分析是可行的。</w:t>
      </w:r>
    </w:p>
    <w:p w14:paraId="74F533BD">
      <w:pPr>
        <w:keepNext w:val="0"/>
        <w:keepLines w:val="0"/>
        <w:widowControl w:val="0"/>
        <w:spacing w:before="0" w:after="0" w:line="360" w:lineRule="auto"/>
        <w:jc w:val="both"/>
        <w:outlineLvl w:val="2"/>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2.8.3区域主导风向</w:t>
      </w:r>
    </w:p>
    <w:p w14:paraId="2F489252">
      <w:pPr>
        <w:pageBreakBefore w:val="0"/>
        <w:kinsoku/>
        <w:wordWrap/>
        <w:topLinePunct w:val="0"/>
        <w:bidi w:val="0"/>
        <w:adjustRightInd/>
        <w:snapToGrid/>
        <w:spacing w:line="360" w:lineRule="auto"/>
        <w:ind w:firstLine="480" w:firstLineChars="200"/>
        <w:rPr>
          <w:rFonts w:ascii="Times New Roman" w:hAnsi="Times New Roman" w:eastAsia="宋体" w:cs="Times New Roman"/>
          <w:color w:val="FF0000"/>
          <w:sz w:val="24"/>
          <w:szCs w:val="22"/>
          <w:highlight w:val="none"/>
        </w:rPr>
      </w:pPr>
      <w:r>
        <w:rPr>
          <w:rFonts w:hint="eastAsia" w:ascii="Times New Roman" w:hAnsi="Times New Roman" w:eastAsia="宋体" w:cs="Times New Roman"/>
          <w:color w:val="000000"/>
          <w:sz w:val="24"/>
          <w:szCs w:val="24"/>
          <w:lang w:val="en-US" w:eastAsia="zh-CN" w:bidi="en-US"/>
        </w:rPr>
        <w:t>项目区所在地区全年主导风向为西北风</w:t>
      </w:r>
      <w:r>
        <w:rPr>
          <w:rFonts w:ascii="Times New Roman" w:hAnsi="Times New Roman" w:eastAsia="宋体" w:cs="Times New Roman"/>
          <w:color w:val="000000"/>
          <w:sz w:val="24"/>
          <w:szCs w:val="22"/>
          <w:highlight w:val="none"/>
        </w:rPr>
        <w:t>，</w:t>
      </w:r>
      <w:r>
        <w:rPr>
          <w:rFonts w:hint="eastAsia" w:ascii="Times New Roman" w:hAnsi="Times New Roman" w:eastAsia="宋体" w:cs="Times New Roman"/>
          <w:color w:val="000000"/>
          <w:sz w:val="24"/>
          <w:szCs w:val="22"/>
          <w:highlight w:val="none"/>
          <w:lang w:val="en-US" w:eastAsia="zh-CN"/>
        </w:rPr>
        <w:t>存在</w:t>
      </w:r>
      <w:r>
        <w:rPr>
          <w:rFonts w:hint="eastAsia" w:cs="Times New Roman"/>
          <w:color w:val="auto"/>
          <w:sz w:val="24"/>
          <w:szCs w:val="24"/>
          <w:lang w:val="en-US" w:eastAsia="zh-CN" w:bidi="ar-SA"/>
        </w:rPr>
        <w:t>14连</w:t>
      </w:r>
      <w:r>
        <w:rPr>
          <w:rFonts w:hint="eastAsia" w:ascii="Times New Roman" w:hAnsi="Times New Roman" w:eastAsia="宋体" w:cs="Times New Roman"/>
          <w:color w:val="000000"/>
          <w:sz w:val="24"/>
          <w:szCs w:val="22"/>
          <w:highlight w:val="none"/>
          <w:lang w:val="en-US" w:eastAsia="zh-CN"/>
        </w:rPr>
        <w:t>等环境空气敏感目标，项目距离最近的环境空气敏感目标</w:t>
      </w:r>
      <w:r>
        <w:rPr>
          <w:rFonts w:hint="eastAsia" w:cs="Times New Roman"/>
          <w:color w:val="auto"/>
          <w:sz w:val="24"/>
          <w:szCs w:val="24"/>
          <w:lang w:val="en-US" w:eastAsia="zh-CN" w:bidi="ar-SA"/>
        </w:rPr>
        <w:t>14</w:t>
      </w:r>
      <w:r>
        <w:rPr>
          <w:rFonts w:hint="eastAsia" w:cs="Times New Roman"/>
          <w:color w:val="000000"/>
          <w:sz w:val="24"/>
          <w:szCs w:val="22"/>
          <w:highlight w:val="none"/>
          <w:lang w:val="en-US" w:eastAsia="zh-CN"/>
        </w:rPr>
        <w:t>连520</w:t>
      </w:r>
      <w:r>
        <w:rPr>
          <w:rFonts w:hint="eastAsia" w:ascii="Times New Roman" w:hAnsi="Times New Roman" w:eastAsia="宋体" w:cs="Times New Roman"/>
          <w:color w:val="000000"/>
          <w:sz w:val="24"/>
          <w:szCs w:val="22"/>
          <w:highlight w:val="none"/>
          <w:lang w:val="en-US" w:eastAsia="zh-CN"/>
        </w:rPr>
        <w:t>m，</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根据</w:t>
      </w:r>
      <w:r>
        <w:rPr>
          <w:rFonts w:hint="eastAsia" w:cs="Times New Roman"/>
          <w:color w:val="000000" w:themeColor="text1"/>
          <w:sz w:val="24"/>
          <w:szCs w:val="22"/>
          <w:highlight w:val="none"/>
          <w:lang w:val="en-US" w:eastAsia="zh-CN"/>
          <w14:textFill>
            <w14:solidFill>
              <w14:schemeClr w14:val="tx1"/>
            </w14:solidFill>
          </w14:textFill>
        </w:rPr>
        <w:t>估算</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w:t>
      </w:r>
      <w:r>
        <w:rPr>
          <w:rFonts w:hint="eastAsia" w:cs="Times New Roman"/>
          <w:color w:val="auto"/>
          <w:sz w:val="24"/>
          <w:highlight w:val="none"/>
          <w:lang w:val="en-US" w:eastAsia="zh-CN"/>
        </w:rPr>
        <w:t>全厂叠加后距离厂界500m处无组织</w:t>
      </w:r>
      <w:r>
        <w:rPr>
          <w:rFonts w:hint="default" w:ascii="Times New Roman" w:hAnsi="Times New Roman" w:eastAsia="宋体" w:cs="Times New Roman"/>
          <w:color w:val="auto"/>
          <w:sz w:val="24"/>
          <w:highlight w:val="none"/>
        </w:rPr>
        <w:t>最大落地浓度</w:t>
      </w:r>
      <w:r>
        <w:rPr>
          <w:rFonts w:hint="eastAsia" w:cs="Times New Roman"/>
          <w:color w:val="auto"/>
          <w:sz w:val="24"/>
          <w:highlight w:val="none"/>
          <w:lang w:val="en-US" w:eastAsia="zh-CN"/>
        </w:rPr>
        <w:t>均</w:t>
      </w:r>
      <w:r>
        <w:rPr>
          <w:rFonts w:hint="default" w:ascii="Times New Roman" w:hAnsi="Times New Roman" w:eastAsia="宋体" w:cs="Times New Roman"/>
          <w:color w:val="auto"/>
          <w:sz w:val="24"/>
          <w:highlight w:val="none"/>
        </w:rPr>
        <w:t>出现在</w:t>
      </w:r>
      <w:r>
        <w:rPr>
          <w:rFonts w:hint="eastAsia" w:cs="Times New Roman"/>
          <w:color w:val="auto"/>
          <w:sz w:val="24"/>
          <w:highlight w:val="none"/>
          <w:lang w:val="en-US" w:eastAsia="zh-CN"/>
        </w:rPr>
        <w:t>养殖区</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距离厂界500m处TSP</w:t>
      </w:r>
      <w:r>
        <w:rPr>
          <w:rFonts w:hint="default" w:ascii="Times New Roman" w:hAnsi="Times New Roman" w:eastAsia="宋体" w:cs="Times New Roman"/>
          <w:color w:val="auto"/>
          <w:sz w:val="24"/>
          <w:highlight w:val="none"/>
        </w:rPr>
        <w:t>最大落地浓度为</w:t>
      </w:r>
      <w:r>
        <w:rPr>
          <w:rFonts w:hint="default" w:ascii="Times New Roman" w:hAnsi="Times New Roman" w:eastAsia="宋体" w:cs="Times New Roman"/>
          <w:color w:val="auto"/>
          <w:sz w:val="24"/>
          <w:highlight w:val="none"/>
          <w:lang w:val="en-US" w:eastAsia="zh-CN"/>
        </w:rPr>
        <w:t>0.044662</w:t>
      </w:r>
      <w:r>
        <w:rPr>
          <w:rFonts w:hint="default" w:ascii="Times New Roman" w:hAnsi="Times New Roman" w:eastAsia="宋体" w:cs="Times New Roman"/>
          <w:color w:val="auto"/>
          <w:sz w:val="24"/>
          <w:highlight w:val="none"/>
        </w:rPr>
        <w:t>mg/m</w:t>
      </w:r>
      <w:r>
        <w:rPr>
          <w:rFonts w:hint="default" w:ascii="Times New Roman" w:hAnsi="Times New Roman" w:eastAsia="宋体" w:cs="Times New Roman"/>
          <w:color w:val="auto"/>
          <w:sz w:val="24"/>
          <w:highlight w:val="none"/>
          <w:vertAlign w:val="superscript"/>
        </w:rPr>
        <w:t>3</w:t>
      </w:r>
      <w:r>
        <w:rPr>
          <w:rFonts w:hint="eastAsia" w:eastAsia="宋体" w:cs="Times New Roman"/>
          <w:color w:val="auto"/>
          <w:sz w:val="24"/>
          <w:highlight w:val="none"/>
          <w:vertAlign w:val="baseline"/>
          <w:lang w:eastAsia="zh-CN"/>
        </w:rPr>
        <w:t>、</w:t>
      </w:r>
      <w:r>
        <w:rPr>
          <w:rFonts w:hint="default" w:ascii="Times New Roman" w:hAnsi="Times New Roman" w:eastAsia="宋体" w:cs="Times New Roman"/>
          <w:color w:val="auto"/>
          <w:sz w:val="24"/>
          <w:highlight w:val="none"/>
        </w:rPr>
        <w:t>H</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S最大落地浓度为</w:t>
      </w:r>
      <w:r>
        <w:rPr>
          <w:rFonts w:hint="default" w:ascii="Times New Roman" w:hAnsi="Times New Roman" w:eastAsia="宋体" w:cs="Times New Roman"/>
          <w:color w:val="auto"/>
          <w:sz w:val="24"/>
          <w:highlight w:val="none"/>
          <w:lang w:val="en-US" w:eastAsia="zh-CN"/>
        </w:rPr>
        <w:t>0.000</w:t>
      </w:r>
      <w:r>
        <w:rPr>
          <w:rFonts w:hint="eastAsia" w:cs="Times New Roman"/>
          <w:color w:val="auto"/>
          <w:sz w:val="24"/>
          <w:highlight w:val="none"/>
          <w:lang w:val="en-US" w:eastAsia="zh-CN"/>
        </w:rPr>
        <w:t>305</w:t>
      </w:r>
      <w:r>
        <w:rPr>
          <w:rFonts w:hint="default" w:ascii="Times New Roman" w:hAnsi="Times New Roman" w:eastAsia="宋体" w:cs="Times New Roman"/>
          <w:color w:val="auto"/>
          <w:sz w:val="24"/>
          <w:highlight w:val="none"/>
        </w:rPr>
        <w:t>mg/m</w:t>
      </w:r>
      <w:r>
        <w:rPr>
          <w:rFonts w:hint="default" w:ascii="Times New Roman" w:hAnsi="Times New Roman" w:eastAsia="宋体" w:cs="Times New Roman"/>
          <w:color w:val="auto"/>
          <w:sz w:val="24"/>
          <w:highlight w:val="none"/>
          <w:vertAlign w:val="superscript"/>
        </w:rPr>
        <w:t>3</w:t>
      </w:r>
      <w:r>
        <w:rPr>
          <w:rFonts w:hint="eastAsia" w:cs="Times New Roman"/>
          <w:color w:val="auto"/>
          <w:sz w:val="24"/>
          <w:highlight w:val="none"/>
          <w:vertAlign w:val="baseline"/>
          <w:lang w:eastAsia="zh-CN"/>
        </w:rPr>
        <w:t>，</w:t>
      </w:r>
      <w:r>
        <w:rPr>
          <w:rFonts w:hint="default" w:ascii="Times New Roman" w:hAnsi="Times New Roman" w:eastAsia="宋体" w:cs="Times New Roman"/>
          <w:color w:val="auto"/>
          <w:sz w:val="24"/>
          <w:highlight w:val="none"/>
        </w:rPr>
        <w:t>NH</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最大落地浓度为</w:t>
      </w:r>
      <w:r>
        <w:rPr>
          <w:rFonts w:hint="default" w:ascii="Times New Roman" w:hAnsi="Times New Roman" w:eastAsia="宋体" w:cs="Times New Roman"/>
          <w:color w:val="auto"/>
          <w:sz w:val="24"/>
          <w:highlight w:val="none"/>
          <w:lang w:val="en-US" w:eastAsia="zh-CN"/>
        </w:rPr>
        <w:t>0.018697</w:t>
      </w:r>
      <w:r>
        <w:rPr>
          <w:rFonts w:hint="default" w:ascii="Times New Roman" w:hAnsi="Times New Roman" w:eastAsia="宋体" w:cs="Times New Roman"/>
          <w:color w:val="auto"/>
          <w:sz w:val="24"/>
          <w:highlight w:val="none"/>
        </w:rPr>
        <w:t>mg/m</w:t>
      </w:r>
      <w:r>
        <w:rPr>
          <w:rFonts w:hint="default" w:ascii="Times New Roman" w:hAnsi="Times New Roman" w:eastAsia="宋体" w:cs="Times New Roman"/>
          <w:color w:val="auto"/>
          <w:sz w:val="24"/>
          <w:highlight w:val="none"/>
          <w:vertAlign w:val="superscript"/>
        </w:rPr>
        <w:t>3</w:t>
      </w:r>
      <w:r>
        <w:rPr>
          <w:rFonts w:hint="eastAsia" w:eastAsia="宋体" w:cs="Times New Roman"/>
          <w:color w:val="auto"/>
          <w:sz w:val="24"/>
          <w:highlight w:val="none"/>
          <w:vertAlign w:val="baseline"/>
          <w:lang w:eastAsia="zh-CN"/>
        </w:rPr>
        <w:t>（</w:t>
      </w:r>
      <w:r>
        <w:rPr>
          <w:rFonts w:hint="eastAsia" w:cs="Times New Roman"/>
          <w:color w:val="auto"/>
          <w:sz w:val="24"/>
          <w:highlight w:val="none"/>
          <w:vertAlign w:val="baseline"/>
          <w:lang w:val="en-US" w:eastAsia="zh-CN"/>
        </w:rPr>
        <w:t>9.35</w:t>
      </w:r>
      <w:r>
        <w:rPr>
          <w:rFonts w:hint="eastAsia" w:eastAsia="宋体" w:cs="Times New Roman"/>
          <w:color w:val="auto"/>
          <w:sz w:val="24"/>
          <w:highlight w:val="none"/>
          <w:vertAlign w:val="baseline"/>
          <w:lang w:val="en-US" w:eastAsia="zh-CN"/>
        </w:rPr>
        <w:t>%</w:t>
      </w:r>
      <w:r>
        <w:rPr>
          <w:rFonts w:hint="eastAsia" w:eastAsia="宋体" w:cs="Times New Roman"/>
          <w:color w:val="auto"/>
          <w:sz w:val="24"/>
          <w:highlight w:val="none"/>
          <w:vertAlign w:val="baseline"/>
          <w:lang w:eastAsia="zh-CN"/>
        </w:rPr>
        <w:t>）</w:t>
      </w:r>
      <w:r>
        <w:rPr>
          <w:rFonts w:hint="eastAsia" w:cs="Times New Roman"/>
          <w:color w:val="auto"/>
          <w:sz w:val="24"/>
          <w:highlight w:val="none"/>
          <w:vertAlign w:val="baseline"/>
          <w:lang w:eastAsia="zh-CN"/>
        </w:rPr>
        <w:t>，</w:t>
      </w:r>
      <w:r>
        <w:rPr>
          <w:rFonts w:hint="default" w:ascii="Times New Roman" w:hAnsi="Times New Roman" w:eastAsia="宋体" w:cs="Times New Roman"/>
          <w:color w:val="auto"/>
          <w:sz w:val="24"/>
          <w:highlight w:val="none"/>
        </w:rPr>
        <w:t>均小于周界外浓度最高点允许排放浓度，无超标现象</w:t>
      </w:r>
      <w:r>
        <w:rPr>
          <w:rFonts w:hint="eastAsia" w:cs="Times New Roman"/>
          <w:color w:val="000000" w:themeColor="text1"/>
          <w:sz w:val="24"/>
          <w:szCs w:val="22"/>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污染物最大落地浓度</w:t>
      </w:r>
      <w:r>
        <w:rPr>
          <w:rFonts w:hint="eastAsia" w:cs="Times New Roman"/>
          <w:color w:val="000000" w:themeColor="text1"/>
          <w:sz w:val="24"/>
          <w:szCs w:val="22"/>
          <w:highlight w:val="none"/>
          <w:lang w:val="en-US" w:eastAsia="zh-CN"/>
          <w14:textFill>
            <w14:solidFill>
              <w14:schemeClr w14:val="tx1"/>
            </w14:solidFill>
          </w14:textFill>
        </w:rPr>
        <w:t>均能满足相关标准要求</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，对环境敏感目标影响较小。</w:t>
      </w:r>
    </w:p>
    <w:p w14:paraId="3DB6DF3C">
      <w:pPr>
        <w:keepNext w:val="0"/>
        <w:keepLines w:val="0"/>
        <w:widowControl w:val="0"/>
        <w:spacing w:before="0" w:after="0" w:line="360" w:lineRule="auto"/>
        <w:jc w:val="both"/>
        <w:outlineLvl w:val="2"/>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2.8.4防护距离</w:t>
      </w:r>
    </w:p>
    <w:p w14:paraId="6AF600E9">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根据《环境影响评价技术导则</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大气环境》（HJ2.2-2018）中的大气环境防护距离的要求，本项目厂界浓度满足大气污染物厂界浓度限值，因此本</w:t>
      </w:r>
      <w:r>
        <w:rPr>
          <w:rFonts w:hint="eastAsia" w:cs="Times New Roman"/>
          <w:color w:val="000000"/>
          <w:sz w:val="24"/>
          <w:szCs w:val="22"/>
          <w:lang w:eastAsia="zh-CN"/>
        </w:rPr>
        <w:t>项目</w:t>
      </w:r>
      <w:r>
        <w:rPr>
          <w:rFonts w:ascii="Times New Roman" w:hAnsi="Times New Roman" w:eastAsia="宋体" w:cs="Times New Roman"/>
          <w:color w:val="000000"/>
          <w:sz w:val="24"/>
          <w:szCs w:val="22"/>
        </w:rPr>
        <w:t>不设置大气环境防护距离。</w:t>
      </w:r>
    </w:p>
    <w:p w14:paraId="73F0621D">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000000"/>
          <w:sz w:val="24"/>
          <w:szCs w:val="22"/>
          <w:lang w:val="en-US" w:eastAsia="zh-CN"/>
        </w:rPr>
      </w:pPr>
      <w:r>
        <w:rPr>
          <w:rFonts w:hint="eastAsia" w:ascii="Times New Roman" w:hAnsi="Times New Roman" w:eastAsia="宋体" w:cs="Times New Roman"/>
          <w:color w:val="000000" w:themeColor="text1"/>
          <w:sz w:val="24"/>
          <w:szCs w:val="22"/>
          <w:lang w:val="en-US" w:eastAsia="zh-CN"/>
          <w14:textFill>
            <w14:solidFill>
              <w14:schemeClr w14:val="tx1"/>
            </w14:solidFill>
          </w14:textFill>
        </w:rPr>
        <w:t>本项目设置</w:t>
      </w:r>
      <w:r>
        <w:rPr>
          <w:rFonts w:hint="eastAsia" w:cs="Times New Roman"/>
          <w:color w:val="000000" w:themeColor="text1"/>
          <w:sz w:val="24"/>
          <w:szCs w:val="22"/>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00m卫生防护距离，防护距离内</w:t>
      </w:r>
      <w:r>
        <w:rPr>
          <w:rFonts w:hint="eastAsia" w:cs="Times New Roman"/>
          <w:color w:val="000000" w:themeColor="text1"/>
          <w:sz w:val="24"/>
          <w:szCs w:val="22"/>
          <w:lang w:val="en-US" w:eastAsia="zh-CN"/>
          <w14:textFill>
            <w14:solidFill>
              <w14:schemeClr w14:val="tx1"/>
            </w14:solidFill>
          </w14:textFill>
        </w:rPr>
        <w:t>仅为畜禽养殖企业，</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不存在</w:t>
      </w:r>
      <w:r>
        <w:rPr>
          <w:rFonts w:ascii="Times New Roman" w:hAnsi="Times New Roman" w:eastAsia="宋体" w:cs="Times New Roman"/>
          <w:color w:val="000000" w:themeColor="text1"/>
          <w:sz w:val="24"/>
          <w:szCs w:val="22"/>
          <w14:textFill>
            <w14:solidFill>
              <w14:schemeClr w14:val="tx1"/>
            </w14:solidFill>
          </w14:textFill>
        </w:rPr>
        <w:t>生活饮用水水源保护区、风景名胜区、自然保护区的核心区及缓冲区；城市和城镇居民区，包括文教科研区、医疗区、商业区、工业区、游览区等人口集中地区；依法划定的禁养区域；国家或地方</w:t>
      </w:r>
      <w:r>
        <w:rPr>
          <w:rFonts w:hint="eastAsia" w:cs="Times New Roman"/>
          <w:color w:val="000000" w:themeColor="text1"/>
          <w:sz w:val="24"/>
          <w:szCs w:val="22"/>
          <w:lang w:eastAsia="zh-CN"/>
          <w14:textFill>
            <w14:solidFill>
              <w14:schemeClr w14:val="tx1"/>
            </w14:solidFill>
          </w14:textFill>
        </w:rPr>
        <w:t>法律法规</w:t>
      </w:r>
      <w:r>
        <w:rPr>
          <w:rFonts w:ascii="Times New Roman" w:hAnsi="Times New Roman" w:eastAsia="宋体" w:cs="Times New Roman"/>
          <w:color w:val="000000" w:themeColor="text1"/>
          <w:sz w:val="24"/>
          <w:szCs w:val="22"/>
          <w14:textFill>
            <w14:solidFill>
              <w14:schemeClr w14:val="tx1"/>
            </w14:solidFill>
          </w14:textFill>
        </w:rPr>
        <w:t>规定需特殊保护的</w:t>
      </w:r>
      <w:r>
        <w:rPr>
          <w:rFonts w:hint="eastAsia" w:cs="Times New Roman"/>
          <w:color w:val="000000" w:themeColor="text1"/>
          <w:sz w:val="24"/>
          <w:szCs w:val="22"/>
          <w:lang w:eastAsia="zh-CN"/>
          <w14:textFill>
            <w14:solidFill>
              <w14:schemeClr w14:val="tx1"/>
            </w14:solidFill>
          </w14:textFill>
        </w:rPr>
        <w:t>其他</w:t>
      </w:r>
      <w:r>
        <w:rPr>
          <w:rFonts w:ascii="Times New Roman" w:hAnsi="Times New Roman" w:eastAsia="宋体" w:cs="Times New Roman"/>
          <w:color w:val="000000" w:themeColor="text1"/>
          <w:sz w:val="24"/>
          <w:szCs w:val="22"/>
          <w14:textFill>
            <w14:solidFill>
              <w14:schemeClr w14:val="tx1"/>
            </w14:solidFill>
          </w14:textFill>
        </w:rPr>
        <w:t>区域</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等《畜禽养殖业污染防治技术规范》禁止建设区域。因此本项目符合卫生防护距离要求</w:t>
      </w:r>
      <w:r>
        <w:rPr>
          <w:rFonts w:hint="eastAsia" w:ascii="Times New Roman" w:hAnsi="Times New Roman" w:eastAsia="宋体" w:cs="Times New Roman"/>
          <w:color w:val="000000"/>
          <w:sz w:val="24"/>
          <w:szCs w:val="22"/>
          <w:lang w:val="en-US" w:eastAsia="zh-CN"/>
        </w:rPr>
        <w:t>。</w:t>
      </w:r>
    </w:p>
    <w:p w14:paraId="1561A869">
      <w:pPr>
        <w:keepNext w:val="0"/>
        <w:keepLines w:val="0"/>
        <w:widowControl w:val="0"/>
        <w:spacing w:before="0" w:after="0" w:line="360" w:lineRule="auto"/>
        <w:jc w:val="both"/>
        <w:outlineLvl w:val="2"/>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2.8.</w:t>
      </w:r>
      <w:r>
        <w:rPr>
          <w:rFonts w:hint="eastAsia" w:cs="Times New Roman"/>
          <w:b/>
          <w:bCs/>
          <w:kern w:val="2"/>
          <w:sz w:val="28"/>
          <w:szCs w:val="28"/>
          <w:lang w:val="en-US" w:eastAsia="zh-CN" w:bidi="ar-SA"/>
        </w:rPr>
        <w:t>5粪污消纳土地承载力</w:t>
      </w:r>
      <w:r>
        <w:rPr>
          <w:rFonts w:hint="eastAsia" w:ascii="Times New Roman" w:hAnsi="Times New Roman" w:eastAsia="宋体" w:cs="Times New Roman"/>
          <w:b/>
          <w:bCs/>
          <w:kern w:val="2"/>
          <w:sz w:val="28"/>
          <w:szCs w:val="28"/>
          <w:lang w:val="en-US" w:eastAsia="zh-CN" w:bidi="ar-SA"/>
        </w:rPr>
        <w:t>分析</w:t>
      </w:r>
    </w:p>
    <w:p w14:paraId="591EE94C">
      <w:pPr>
        <w:widowControl/>
        <w:spacing w:line="360" w:lineRule="auto"/>
        <w:ind w:firstLine="482"/>
        <w:rPr>
          <w:rFonts w:hint="default"/>
          <w:bCs/>
          <w:color w:val="000000"/>
          <w:sz w:val="24"/>
          <w:lang w:val="en-US" w:eastAsia="zh-CN"/>
        </w:rPr>
      </w:pPr>
      <w:r>
        <w:rPr>
          <w:rFonts w:hint="eastAsia" w:ascii="Times New Roman" w:hAnsi="Times New Roman" w:eastAsia="宋体" w:cs="Times New Roman"/>
          <w:color w:val="000000" w:themeColor="text1"/>
          <w:sz w:val="24"/>
          <w:szCs w:val="22"/>
          <w:lang w:val="en-US" w:eastAsia="zh-CN"/>
          <w14:textFill>
            <w14:solidFill>
              <w14:schemeClr w14:val="tx1"/>
            </w14:solidFill>
          </w14:textFill>
        </w:rPr>
        <w:t>本项目选址位于</w:t>
      </w:r>
      <w:r>
        <w:rPr>
          <w:rFonts w:hint="eastAsia" w:cs="Times New Roman"/>
          <w:color w:val="000000" w:themeColor="text1"/>
          <w:sz w:val="24"/>
          <w:szCs w:val="22"/>
          <w:lang w:val="en-US" w:eastAsia="zh-CN"/>
          <w14:textFill>
            <w14:solidFill>
              <w14:schemeClr w14:val="tx1"/>
            </w14:solidFill>
          </w14:textFill>
        </w:rPr>
        <w:t>125团14连</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，本项目与</w:t>
      </w:r>
      <w:r>
        <w:rPr>
          <w:rFonts w:hint="eastAsia" w:cs="Times New Roman"/>
          <w:color w:val="000000" w:themeColor="text1"/>
          <w:sz w:val="24"/>
          <w:szCs w:val="22"/>
          <w:lang w:val="en-US" w:eastAsia="zh-CN"/>
          <w14:textFill>
            <w14:solidFill>
              <w14:schemeClr w14:val="tx1"/>
            </w14:solidFill>
          </w14:textFill>
        </w:rPr>
        <w:t>125团6连</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签订</w:t>
      </w:r>
      <w:r>
        <w:rPr>
          <w:rFonts w:hint="eastAsia" w:cs="Times New Roman"/>
          <w:color w:val="000000" w:themeColor="text1"/>
          <w:sz w:val="24"/>
          <w:szCs w:val="22"/>
          <w:lang w:val="en-US" w:eastAsia="zh-CN"/>
          <w14:textFill>
            <w14:solidFill>
              <w14:schemeClr w14:val="tx1"/>
            </w14:solidFill>
          </w14:textFill>
        </w:rPr>
        <w:t>350</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公顷消纳农田，均位于本项目周边</w:t>
      </w:r>
      <w:r>
        <w:rPr>
          <w:rFonts w:hint="eastAsia" w:cs="Times New Roman"/>
          <w:color w:val="000000" w:themeColor="text1"/>
          <w:sz w:val="24"/>
          <w:szCs w:val="22"/>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km以内，运输距离短，能够充分消纳本项目</w:t>
      </w:r>
      <w:r>
        <w:rPr>
          <w:rFonts w:hint="eastAsia" w:cs="Times New Roman"/>
          <w:color w:val="000000" w:themeColor="text1"/>
          <w:sz w:val="24"/>
          <w:szCs w:val="22"/>
          <w:lang w:val="en-US" w:eastAsia="zh-CN"/>
          <w14:textFill>
            <w14:solidFill>
              <w14:schemeClr w14:val="tx1"/>
            </w14:solidFill>
          </w14:textFill>
        </w:rPr>
        <w:t>固态肥</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。根据</w:t>
      </w:r>
      <w:r>
        <w:rPr>
          <w:rFonts w:hint="eastAsia" w:cs="Times New Roman"/>
          <w:bCs/>
          <w:color w:val="000000"/>
          <w:sz w:val="24"/>
          <w:lang w:val="en-US" w:eastAsia="zh-CN"/>
        </w:rPr>
        <w:t>《畜禽粪肥还田技术规范》（GB/T25246—2025）施肥量计算结果，</w:t>
      </w:r>
      <w:r>
        <w:rPr>
          <w:rFonts w:hint="eastAsia" w:cs="Times New Roman"/>
          <w:color w:val="auto"/>
          <w:kern w:val="2"/>
          <w:sz w:val="24"/>
          <w:szCs w:val="24"/>
          <w:highlight w:val="none"/>
          <w:lang w:val="en-US" w:eastAsia="zh-CN" w:bidi="ar-SA"/>
        </w:rPr>
        <w:t>本项目还田固态肥3623.89t/a，总氮22.90t/a，总磷4.02t/a</w:t>
      </w:r>
      <w:r>
        <w:rPr>
          <w:rFonts w:hint="eastAsia" w:cs="Times New Roman"/>
          <w:color w:val="auto"/>
          <w:sz w:val="24"/>
          <w:szCs w:val="24"/>
          <w:highlight w:val="none"/>
          <w:lang w:val="en-US" w:eastAsia="zh-CN" w:bidi="ar-SA"/>
        </w:rPr>
        <w:t>。</w:t>
      </w:r>
      <w:r>
        <w:rPr>
          <w:rFonts w:hint="eastAsia" w:cs="Times New Roman"/>
          <w:color w:val="auto"/>
          <w:kern w:val="2"/>
          <w:sz w:val="24"/>
          <w:szCs w:val="24"/>
          <w:highlight w:val="none"/>
          <w:lang w:val="en-US" w:eastAsia="zh-CN" w:bidi="ar-SA"/>
        </w:rPr>
        <w:t>因此氮元素核算共需要120.53公顷，磷元素核算共需要23.65公顷；本项目共签订5250亩地（折合350公顷）用于粪肥还田，均能满足氮、磷元素还田所需</w:t>
      </w:r>
      <w:r>
        <w:rPr>
          <w:rFonts w:hint="eastAsia" w:eastAsia="宋体"/>
          <w:bCs/>
          <w:color w:val="000000"/>
          <w:sz w:val="24"/>
        </w:rPr>
        <w:t>一倍以上的土地</w:t>
      </w:r>
      <w:r>
        <w:rPr>
          <w:rFonts w:hint="eastAsia" w:cs="Times New Roman"/>
          <w:color w:val="auto"/>
          <w:kern w:val="2"/>
          <w:sz w:val="24"/>
          <w:szCs w:val="24"/>
          <w:highlight w:val="none"/>
          <w:lang w:val="en-US" w:eastAsia="zh-CN" w:bidi="ar-SA"/>
        </w:rPr>
        <w:t>面积，</w:t>
      </w:r>
      <w:r>
        <w:rPr>
          <w:rFonts w:ascii="Segoe UI" w:hAnsi="Segoe UI" w:eastAsia="Segoe UI" w:cs="Segoe UI"/>
          <w:i w:val="0"/>
          <w:iCs w:val="0"/>
          <w:caps w:val="0"/>
          <w:color w:val="0F1115"/>
          <w:spacing w:val="0"/>
          <w:sz w:val="24"/>
          <w:szCs w:val="24"/>
          <w:shd w:val="clear" w:fill="FFFFFF"/>
        </w:rPr>
        <w:t>确保粪污全部资源化利用</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整体畜禽粪污土地承载力不超载，实现种养平衡。</w:t>
      </w:r>
    </w:p>
    <w:p w14:paraId="7372B5EE">
      <w:pPr>
        <w:keepNext w:val="0"/>
        <w:keepLines w:val="0"/>
        <w:widowControl w:val="0"/>
        <w:spacing w:before="0" w:after="0" w:line="360" w:lineRule="auto"/>
        <w:jc w:val="both"/>
        <w:outlineLvl w:val="2"/>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2.8.</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环境敏感性分析</w:t>
      </w:r>
    </w:p>
    <w:p w14:paraId="3E2037FF">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从环境敏感性看，</w:t>
      </w:r>
      <w:r>
        <w:rPr>
          <w:rFonts w:hint="eastAsia" w:ascii="Times New Roman" w:hAnsi="Times New Roman" w:eastAsia="宋体" w:cs="Times New Roman"/>
          <w:color w:val="000000"/>
          <w:sz w:val="24"/>
          <w:szCs w:val="22"/>
          <w:lang w:val="en-US" w:eastAsia="zh-CN"/>
        </w:rPr>
        <w:t>项目</w:t>
      </w:r>
      <w:r>
        <w:rPr>
          <w:rFonts w:ascii="Times New Roman" w:hAnsi="Times New Roman" w:eastAsia="宋体" w:cs="Times New Roman"/>
          <w:color w:val="000000"/>
          <w:sz w:val="24"/>
          <w:szCs w:val="22"/>
        </w:rPr>
        <w:t>评价区无国家及省级确定的风景名胜、历史遗迹等保护区；无饮用水水源保护区；厂区内无特殊自然观赏价值较高的景观，也不属于土地荒漠化地区。</w:t>
      </w:r>
    </w:p>
    <w:p w14:paraId="5EF54773">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综上所述，按</w:t>
      </w:r>
      <w:r>
        <w:rPr>
          <w:rFonts w:hint="eastAsia" w:cs="Times New Roman"/>
          <w:color w:val="000000"/>
          <w:sz w:val="24"/>
          <w:szCs w:val="22"/>
          <w:lang w:val="en-US" w:eastAsia="zh-CN"/>
        </w:rPr>
        <w:t>生态环境部</w:t>
      </w:r>
      <w:r>
        <w:rPr>
          <w:rFonts w:ascii="Times New Roman" w:hAnsi="Times New Roman" w:eastAsia="宋体" w:cs="Times New Roman"/>
          <w:color w:val="000000"/>
          <w:sz w:val="24"/>
          <w:szCs w:val="22"/>
        </w:rPr>
        <w:t>制定的</w:t>
      </w:r>
      <w:r>
        <w:rPr>
          <w:rFonts w:hint="eastAsia" w:ascii="Times New Roman" w:hAnsi="Times New Roman" w:eastAsia="宋体" w:cs="Times New Roman"/>
          <w:color w:val="000000"/>
          <w:sz w:val="24"/>
          <w:szCs w:val="22"/>
          <w:lang w:eastAsia="zh-CN"/>
        </w:rPr>
        <w:t>《</w:t>
      </w:r>
      <w:r>
        <w:rPr>
          <w:rFonts w:ascii="Times New Roman" w:hAnsi="Times New Roman" w:eastAsia="宋体" w:cs="Times New Roman"/>
          <w:color w:val="000000"/>
          <w:sz w:val="24"/>
          <w:szCs w:val="22"/>
        </w:rPr>
        <w:t>建设项目环境影响评价分类管理名录</w:t>
      </w:r>
      <w:r>
        <w:rPr>
          <w:rFonts w:hint="eastAsia" w:ascii="Times New Roman" w:hAnsi="Times New Roman" w:eastAsia="宋体" w:cs="Times New Roman"/>
          <w:color w:val="000000"/>
          <w:sz w:val="24"/>
          <w:szCs w:val="22"/>
          <w:lang w:eastAsia="zh-CN"/>
        </w:rPr>
        <w:t>》</w:t>
      </w:r>
      <w:r>
        <w:rPr>
          <w:rFonts w:ascii="Times New Roman" w:hAnsi="Times New Roman" w:eastAsia="宋体" w:cs="Times New Roman"/>
          <w:color w:val="000000"/>
          <w:sz w:val="24"/>
          <w:szCs w:val="22"/>
        </w:rPr>
        <w:t>中关于环境敏感因素的界定原则，经调查本项目选址地区不属于特殊保护地区、社会关注区和特殊地貌景观区，也无重点保护生态品种及濒危生物物种，文物古迹等，区域环境敏感因素较少。</w:t>
      </w:r>
    </w:p>
    <w:bookmarkEnd w:id="242"/>
    <w:bookmarkEnd w:id="243"/>
    <w:p w14:paraId="2F999B3C">
      <w:pPr>
        <w:keepNext w:val="0"/>
        <w:keepLines w:val="0"/>
        <w:widowControl w:val="0"/>
        <w:spacing w:before="0" w:after="0" w:line="360" w:lineRule="auto"/>
        <w:jc w:val="both"/>
        <w:outlineLvl w:val="2"/>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2.8.</w:t>
      </w:r>
      <w:r>
        <w:rPr>
          <w:rFonts w:hint="eastAsia" w:cs="Times New Roman"/>
          <w:b/>
          <w:bCs/>
          <w:kern w:val="2"/>
          <w:sz w:val="28"/>
          <w:szCs w:val="28"/>
          <w:lang w:val="en-US" w:eastAsia="zh-CN" w:bidi="ar-SA"/>
        </w:rPr>
        <w:t>7</w:t>
      </w:r>
      <w:r>
        <w:rPr>
          <w:rFonts w:hint="eastAsia" w:ascii="Times New Roman" w:hAnsi="Times New Roman" w:eastAsia="宋体" w:cs="Times New Roman"/>
          <w:b/>
          <w:bCs/>
          <w:kern w:val="2"/>
          <w:sz w:val="28"/>
          <w:szCs w:val="28"/>
          <w:lang w:val="en-US" w:eastAsia="zh-CN" w:bidi="ar-SA"/>
        </w:rPr>
        <w:t>小结</w:t>
      </w:r>
    </w:p>
    <w:p w14:paraId="46B3F156">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000000"/>
          <w:sz w:val="24"/>
          <w:szCs w:val="22"/>
          <w:highlight w:val="none"/>
          <w:lang w:val="en-US" w:eastAsia="zh-CN"/>
        </w:rPr>
      </w:pPr>
      <w:r>
        <w:rPr>
          <w:rFonts w:hint="eastAsia" w:ascii="Times New Roman" w:hAnsi="Times New Roman" w:eastAsia="宋体" w:cs="Times New Roman"/>
          <w:color w:val="000000"/>
          <w:sz w:val="24"/>
          <w:szCs w:val="22"/>
          <w:highlight w:val="none"/>
        </w:rPr>
        <w:t>项目位于</w:t>
      </w:r>
      <w:r>
        <w:rPr>
          <w:rFonts w:hint="eastAsia" w:ascii="Times New Roman" w:hAnsi="Times New Roman" w:eastAsia="宋体" w:cs="Times New Roman"/>
          <w:color w:val="000000"/>
          <w:sz w:val="24"/>
          <w:szCs w:val="22"/>
          <w:highlight w:val="none"/>
          <w:lang w:val="en-US" w:eastAsia="zh-CN"/>
        </w:rPr>
        <w:t>第七师胡杨河市125团14连</w:t>
      </w:r>
      <w:r>
        <w:rPr>
          <w:rFonts w:hint="eastAsia" w:ascii="Times New Roman" w:hAnsi="Times New Roman" w:eastAsia="宋体" w:cs="Times New Roman"/>
          <w:color w:val="000000"/>
          <w:sz w:val="24"/>
          <w:szCs w:val="22"/>
          <w:highlight w:val="none"/>
        </w:rPr>
        <w:t>，</w:t>
      </w:r>
      <w:r>
        <w:rPr>
          <w:rFonts w:hint="eastAsia" w:ascii="Times New Roman" w:hAnsi="Times New Roman" w:eastAsia="宋体" w:cs="Times New Roman"/>
          <w:color w:val="000000"/>
          <w:sz w:val="24"/>
          <w:szCs w:val="22"/>
          <w:highlight w:val="none"/>
          <w:lang w:val="en-US" w:eastAsia="zh-CN"/>
        </w:rPr>
        <w:t>不属于</w:t>
      </w:r>
      <w:r>
        <w:rPr>
          <w:rFonts w:hint="eastAsia" w:cs="Times New Roman"/>
          <w:sz w:val="24"/>
          <w:szCs w:val="24"/>
          <w:highlight w:val="none"/>
          <w:lang w:val="en-US" w:eastAsia="zh-CN"/>
        </w:rPr>
        <w:t>《第七师畜禽养殖禁养区和限养区划定工作实施方案》</w:t>
      </w:r>
      <w:r>
        <w:rPr>
          <w:rFonts w:hint="eastAsia" w:ascii="Times New Roman" w:hAnsi="Times New Roman" w:eastAsia="宋体" w:cs="Times New Roman"/>
          <w:color w:val="000000"/>
          <w:sz w:val="24"/>
          <w:szCs w:val="22"/>
          <w:highlight w:val="none"/>
          <w:lang w:val="en-US" w:eastAsia="zh-CN"/>
        </w:rPr>
        <w:t>划定的禁养区、限养区范围内</w:t>
      </w:r>
      <w:r>
        <w:rPr>
          <w:rFonts w:hint="eastAsia" w:ascii="Times New Roman" w:hAnsi="Times New Roman" w:eastAsia="宋体" w:cs="Times New Roman"/>
          <w:color w:val="000000"/>
          <w:sz w:val="24"/>
          <w:szCs w:val="22"/>
          <w:highlight w:val="none"/>
        </w:rPr>
        <w:t>，与当地功能区划相符。</w:t>
      </w:r>
    </w:p>
    <w:p w14:paraId="4DB7CF20">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项目厂址未选择在环境敏感区域，厂址附近无国家及省级确定的风景、历史遗迹等保护区，区域内也无特殊自然观赏价值较高的景观。</w:t>
      </w:r>
    </w:p>
    <w:p w14:paraId="4B846DC8">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本项目符合</w:t>
      </w:r>
      <w:r>
        <w:rPr>
          <w:rFonts w:hint="eastAsia" w:ascii="Times New Roman" w:hAnsi="Times New Roman" w:eastAsia="宋体" w:cs="Times New Roman"/>
          <w:color w:val="000000"/>
          <w:sz w:val="24"/>
          <w:szCs w:val="22"/>
          <w:highlight w:val="none"/>
          <w:lang w:val="en-US" w:eastAsia="zh-CN"/>
        </w:rPr>
        <w:t>法律法规以及相关畜禽养殖规范要求</w:t>
      </w:r>
      <w:r>
        <w:rPr>
          <w:rFonts w:ascii="Times New Roman" w:hAnsi="Times New Roman" w:eastAsia="宋体" w:cs="Times New Roman"/>
          <w:color w:val="000000"/>
          <w:sz w:val="24"/>
          <w:szCs w:val="22"/>
          <w:highlight w:val="none"/>
        </w:rPr>
        <w:t>，建设区域环境质量现状良好，区域环境敏感程度较低，环境容量有富余，项目正常生产对环境的影响不大，环境风险水平可接受，结合环境影响预测评价结果综合分析，</w:t>
      </w:r>
      <w:r>
        <w:rPr>
          <w:rFonts w:hint="eastAsia" w:ascii="Times New Roman" w:hAnsi="Times New Roman" w:eastAsia="宋体" w:cs="Times New Roman"/>
          <w:color w:val="000000"/>
          <w:sz w:val="24"/>
          <w:szCs w:val="22"/>
          <w:highlight w:val="none"/>
          <w:lang w:val="en-US" w:eastAsia="zh-CN"/>
        </w:rPr>
        <w:t>选址</w:t>
      </w:r>
      <w:r>
        <w:rPr>
          <w:rFonts w:ascii="Times New Roman" w:hAnsi="Times New Roman" w:eastAsia="宋体" w:cs="Times New Roman"/>
          <w:color w:val="000000"/>
          <w:sz w:val="24"/>
          <w:szCs w:val="22"/>
          <w:highlight w:val="none"/>
        </w:rPr>
        <w:t>合理可行</w:t>
      </w:r>
      <w:r>
        <w:rPr>
          <w:rFonts w:hint="eastAsia" w:ascii="Times New Roman" w:hAnsi="Times New Roman" w:eastAsia="宋体" w:cs="Times New Roman"/>
          <w:color w:val="000000"/>
          <w:sz w:val="24"/>
          <w:szCs w:val="22"/>
          <w:highlight w:val="none"/>
        </w:rPr>
        <w:t>。</w:t>
      </w:r>
    </w:p>
    <w:p w14:paraId="55D32A62">
      <w:pPr>
        <w:keepNext w:val="0"/>
        <w:keepLines w:val="0"/>
        <w:pageBreakBefore w:val="0"/>
        <w:wordWrap/>
        <w:topLinePunct w:val="0"/>
        <w:bidi w:val="0"/>
        <w:adjustRightInd/>
        <w:snapToGrid/>
        <w:spacing w:line="360" w:lineRule="auto"/>
        <w:rPr>
          <w:rFonts w:hint="default" w:ascii="Times New Roman" w:hAnsi="Times New Roman" w:eastAsia="宋体" w:cs="Times New Roman"/>
          <w:sz w:val="24"/>
          <w:szCs w:val="24"/>
          <w:lang w:eastAsia="zh-CN"/>
        </w:rPr>
        <w:sectPr>
          <w:pgSz w:w="11906" w:h="16838"/>
          <w:pgMar w:top="1440" w:right="1797" w:bottom="1440" w:left="1797" w:header="851" w:footer="1026" w:gutter="0"/>
          <w:pgBorders>
            <w:top w:val="none" w:sz="0" w:space="0"/>
            <w:left w:val="none" w:sz="0" w:space="0"/>
            <w:bottom w:val="none" w:sz="0" w:space="0"/>
            <w:right w:val="none" w:sz="0" w:space="0"/>
          </w:pgBorders>
          <w:pgNumType w:fmt="numberInDash"/>
          <w:cols w:space="720" w:num="1"/>
          <w:docGrid w:type="linesAndChars" w:linePitch="312" w:charSpace="0"/>
        </w:sectPr>
      </w:pPr>
    </w:p>
    <w:p w14:paraId="35BDFE47">
      <w:pPr>
        <w:widowControl/>
        <w:spacing w:line="360" w:lineRule="auto"/>
        <w:jc w:val="both"/>
        <w:outlineLvl w:val="0"/>
        <w:rPr>
          <w:rFonts w:hint="default" w:ascii="Times New Roman" w:hAnsi="Times New Roman" w:eastAsia="宋体" w:cs="Times New Roman"/>
          <w:b/>
          <w:kern w:val="44"/>
          <w:sz w:val="32"/>
          <w:szCs w:val="32"/>
          <w:lang w:val="en-US" w:eastAsia="zh-CN" w:bidi="ar-SA"/>
        </w:rPr>
      </w:pPr>
      <w:bookmarkStart w:id="244" w:name="_Toc337673462"/>
      <w:bookmarkStart w:id="245" w:name="_Toc472451893"/>
      <w:bookmarkStart w:id="246" w:name="_Toc329682893"/>
      <w:bookmarkStart w:id="247" w:name="_Toc16730"/>
      <w:bookmarkStart w:id="248" w:name="_Toc263850726"/>
      <w:bookmarkStart w:id="249" w:name="_Toc5732"/>
      <w:bookmarkStart w:id="250" w:name="_Toc16895"/>
      <w:bookmarkStart w:id="251" w:name="_Toc12826"/>
      <w:bookmarkStart w:id="252" w:name="_Toc31266"/>
      <w:bookmarkStart w:id="253" w:name="_Toc23897"/>
      <w:bookmarkStart w:id="254" w:name="_Toc30293"/>
      <w:r>
        <w:rPr>
          <w:rFonts w:hint="default" w:ascii="Times New Roman" w:hAnsi="Times New Roman" w:eastAsia="宋体" w:cs="Times New Roman"/>
          <w:b/>
          <w:kern w:val="44"/>
          <w:sz w:val="32"/>
          <w:szCs w:val="32"/>
          <w:lang w:val="en-US" w:eastAsia="zh-CN" w:bidi="ar-SA"/>
        </w:rPr>
        <w:t>3、</w:t>
      </w:r>
      <w:bookmarkEnd w:id="244"/>
      <w:bookmarkEnd w:id="245"/>
      <w:bookmarkEnd w:id="246"/>
      <w:bookmarkEnd w:id="247"/>
      <w:bookmarkEnd w:id="248"/>
      <w:r>
        <w:rPr>
          <w:rFonts w:hint="default" w:ascii="Times New Roman" w:hAnsi="Times New Roman" w:eastAsia="宋体" w:cs="Times New Roman"/>
          <w:b/>
          <w:kern w:val="44"/>
          <w:sz w:val="32"/>
          <w:szCs w:val="32"/>
          <w:lang w:val="en-US" w:eastAsia="zh-CN" w:bidi="ar-SA"/>
        </w:rPr>
        <w:t>建设项目工程分析</w:t>
      </w:r>
      <w:bookmarkEnd w:id="249"/>
      <w:bookmarkEnd w:id="250"/>
      <w:bookmarkEnd w:id="251"/>
      <w:bookmarkEnd w:id="252"/>
      <w:bookmarkEnd w:id="253"/>
      <w:bookmarkEnd w:id="254"/>
    </w:p>
    <w:p w14:paraId="68A3E500">
      <w:pPr>
        <w:widowControl w:val="0"/>
        <w:bidi w:val="0"/>
        <w:spacing w:before="120" w:after="120" w:line="360" w:lineRule="auto"/>
        <w:jc w:val="both"/>
        <w:outlineLvl w:val="1"/>
        <w:rPr>
          <w:rFonts w:hint="default" w:ascii="Times New Roman" w:hAnsi="Times New Roman" w:eastAsia="宋体" w:cs="Times New Roman"/>
          <w:b/>
          <w:bCs/>
          <w:kern w:val="2"/>
          <w:sz w:val="30"/>
          <w:szCs w:val="30"/>
          <w:lang w:val="en-US" w:eastAsia="zh-CN" w:bidi="ar-SA"/>
        </w:rPr>
      </w:pPr>
      <w:bookmarkStart w:id="255" w:name="_Toc31549"/>
      <w:bookmarkStart w:id="256" w:name="_Toc12917"/>
      <w:bookmarkStart w:id="257" w:name="_Toc28435"/>
      <w:bookmarkStart w:id="258" w:name="_Toc24811"/>
      <w:bookmarkStart w:id="259" w:name="_Toc14845"/>
      <w:r>
        <w:rPr>
          <w:rFonts w:hint="default" w:ascii="Times New Roman" w:hAnsi="Times New Roman" w:eastAsia="宋体" w:cs="Times New Roman"/>
          <w:b/>
          <w:bCs/>
          <w:kern w:val="2"/>
          <w:sz w:val="30"/>
          <w:szCs w:val="30"/>
          <w:lang w:val="en-US" w:eastAsia="zh-CN" w:bidi="ar-SA"/>
        </w:rPr>
        <w:t>3.1</w:t>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"_Toc394331562"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现有工程回顾性调查及评价</w:t>
      </w:r>
      <w:r>
        <w:rPr>
          <w:rFonts w:hint="default" w:ascii="Times New Roman" w:hAnsi="Times New Roman" w:eastAsia="宋体" w:cs="Times New Roman"/>
          <w:b/>
          <w:bCs/>
          <w:kern w:val="2"/>
          <w:sz w:val="30"/>
          <w:szCs w:val="30"/>
          <w:lang w:val="en-US" w:eastAsia="zh-CN" w:bidi="ar-SA"/>
        </w:rPr>
        <w:fldChar w:fldCharType="end"/>
      </w:r>
      <w:bookmarkEnd w:id="255"/>
      <w:bookmarkEnd w:id="256"/>
      <w:bookmarkEnd w:id="257"/>
      <w:bookmarkEnd w:id="258"/>
      <w:bookmarkEnd w:id="259"/>
    </w:p>
    <w:p w14:paraId="050EAE7F">
      <w:pPr>
        <w:keepNext w:val="0"/>
        <w:keepLines w:val="0"/>
        <w:widowControl w:val="0"/>
        <w:bidi w:val="0"/>
        <w:spacing w:before="0" w:after="0" w:line="360" w:lineRule="auto"/>
        <w:jc w:val="both"/>
        <w:outlineLvl w:val="2"/>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3.1.1地理位置</w:t>
      </w:r>
    </w:p>
    <w:p w14:paraId="0D597B33">
      <w:pPr>
        <w:spacing w:line="360" w:lineRule="auto"/>
        <w:ind w:firstLine="480" w:firstLineChars="200"/>
        <w:rPr>
          <w:rFonts w:hint="default" w:ascii="宋体" w:hAnsi="宋体" w:eastAsia="宋体" w:cs="Times New Roman"/>
          <w:lang w:val="en-US" w:eastAsia="zh-CN"/>
        </w:rPr>
      </w:pPr>
      <w:r>
        <w:rPr>
          <w:rFonts w:hint="eastAsia" w:cs="Times New Roman"/>
          <w:color w:val="000000"/>
          <w:kern w:val="2"/>
          <w:sz w:val="24"/>
          <w:szCs w:val="24"/>
          <w:lang w:val="en-US" w:eastAsia="zh-CN" w:bidi="ar-SA"/>
        </w:rPr>
        <w:t>第七师胡杨河市125团（柳沟镇）14连瓜村西区323号</w:t>
      </w:r>
      <w:r>
        <w:rPr>
          <w:rFonts w:hint="default" w:ascii="Times New Roman" w:hAnsi="Times New Roman" w:eastAsia="宋体" w:cs="Times New Roman"/>
          <w:color w:val="000000"/>
          <w:kern w:val="2"/>
          <w:sz w:val="24"/>
          <w:szCs w:val="24"/>
          <w:lang w:val="en-US" w:eastAsia="zh-CN" w:bidi="ar-SA"/>
        </w:rPr>
        <w:t>。场界中心地理坐标为：E84°29′41.203″，</w:t>
      </w:r>
      <w:r>
        <w:rPr>
          <w:rFonts w:hint="eastAsia" w:cs="Times New Roman"/>
          <w:color w:val="000000"/>
          <w:kern w:val="2"/>
          <w:sz w:val="24"/>
          <w:szCs w:val="24"/>
          <w:lang w:val="en-US" w:eastAsia="zh-CN" w:bidi="ar-SA"/>
        </w:rPr>
        <w:t>N</w:t>
      </w:r>
      <w:r>
        <w:rPr>
          <w:rFonts w:hint="default" w:ascii="Times New Roman" w:hAnsi="Times New Roman" w:eastAsia="宋体" w:cs="Times New Roman"/>
          <w:color w:val="000000"/>
          <w:kern w:val="2"/>
          <w:sz w:val="24"/>
          <w:szCs w:val="24"/>
          <w:lang w:val="en-US" w:eastAsia="zh-CN" w:bidi="ar-SA"/>
        </w:rPr>
        <w:t>44°44′38.982″</w:t>
      </w:r>
      <w:r>
        <w:rPr>
          <w:rFonts w:hint="default" w:ascii="Times New Roman" w:hAnsi="Times New Roman" w:eastAsia="宋体" w:cs="Times New Roman"/>
          <w:color w:val="000000"/>
          <w:sz w:val="24"/>
          <w:szCs w:val="24"/>
          <w:highlight w:val="none"/>
          <w:lang w:val="en-US" w:eastAsia="zh-CN" w:bidi="ar-SA"/>
        </w:rPr>
        <w:t>。</w:t>
      </w:r>
    </w:p>
    <w:p w14:paraId="3C6389EE">
      <w:pPr>
        <w:keepNext w:val="0"/>
        <w:keepLines w:val="0"/>
        <w:widowControl w:val="0"/>
        <w:bidi w:val="0"/>
        <w:spacing w:before="0" w:after="0" w:line="360" w:lineRule="auto"/>
        <w:jc w:val="both"/>
        <w:outlineLvl w:val="2"/>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3.1.2现有工程环保</w:t>
      </w:r>
      <w:r>
        <w:rPr>
          <w:rFonts w:hint="eastAsia" w:ascii="Times New Roman" w:hAnsi="Times New Roman" w:cs="Times New Roman"/>
          <w:b/>
          <w:bCs/>
          <w:sz w:val="28"/>
          <w:szCs w:val="28"/>
          <w:lang w:val="en-US" w:eastAsia="zh-CN" w:bidi="ar-SA"/>
        </w:rPr>
        <w:t>“</w:t>
      </w:r>
      <w:r>
        <w:rPr>
          <w:rFonts w:hint="eastAsia" w:ascii="Times New Roman" w:hAnsi="Times New Roman" w:eastAsia="宋体" w:cs="Times New Roman"/>
          <w:b/>
          <w:bCs/>
          <w:sz w:val="28"/>
          <w:szCs w:val="28"/>
          <w:lang w:val="en-US" w:eastAsia="zh-CN" w:bidi="ar-SA"/>
        </w:rPr>
        <w:t>三同时</w:t>
      </w:r>
      <w:r>
        <w:rPr>
          <w:rFonts w:hint="eastAsia" w:ascii="Times New Roman" w:hAnsi="Times New Roman" w:cs="Times New Roman"/>
          <w:b/>
          <w:bCs/>
          <w:sz w:val="28"/>
          <w:szCs w:val="28"/>
          <w:lang w:val="en-US" w:eastAsia="zh-CN" w:bidi="ar-SA"/>
        </w:rPr>
        <w:t>”</w:t>
      </w:r>
      <w:r>
        <w:rPr>
          <w:rFonts w:hint="default" w:ascii="Times New Roman" w:hAnsi="Times New Roman" w:eastAsia="宋体" w:cs="Times New Roman"/>
          <w:b/>
          <w:bCs/>
          <w:sz w:val="28"/>
          <w:szCs w:val="28"/>
          <w:lang w:val="en-US" w:eastAsia="zh-CN" w:bidi="ar-SA"/>
        </w:rPr>
        <w:t>履行情况</w:t>
      </w:r>
    </w:p>
    <w:p w14:paraId="4E5ADA39">
      <w:pPr>
        <w:widowControl w:val="0"/>
        <w:adjustRightInd w:val="0"/>
        <w:snapToGrid w:val="0"/>
        <w:spacing w:line="360" w:lineRule="auto"/>
        <w:ind w:left="0"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现有工程环保</w:t>
      </w:r>
      <w:r>
        <w:rPr>
          <w:rFonts w:hint="eastAsia" w:ascii="Times New Roman" w:hAnsi="Times New Roman"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三同时</w:t>
      </w:r>
      <w:r>
        <w:rPr>
          <w:rFonts w:hint="eastAsia" w:ascii="Times New Roman" w:hAnsi="Times New Roman"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履行情况见表3.1-1。</w:t>
      </w:r>
    </w:p>
    <w:p w14:paraId="3D3122A1">
      <w:pPr>
        <w:widowControl w:val="0"/>
        <w:adjustRightInd w:val="0"/>
        <w:snapToGrid w:val="0"/>
        <w:spacing w:line="360" w:lineRule="auto"/>
        <w:ind w:left="0"/>
        <w:jc w:val="center"/>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表3.1-1现有工程获得环评及验收的情况一览表</w:t>
      </w:r>
    </w:p>
    <w:tbl>
      <w:tblPr>
        <w:tblStyle w:val="20"/>
        <w:tblW w:w="487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37"/>
        <w:gridCol w:w="880"/>
        <w:gridCol w:w="1935"/>
        <w:gridCol w:w="1935"/>
        <w:gridCol w:w="542"/>
        <w:gridCol w:w="1246"/>
        <w:gridCol w:w="1436"/>
      </w:tblGrid>
      <w:tr w14:paraId="16B89E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 w:type="pct"/>
            <w:tcBorders>
              <w:tl2br w:val="nil"/>
              <w:tr2bl w:val="nil"/>
            </w:tcBorders>
            <w:noWrap w:val="0"/>
            <w:vAlign w:val="center"/>
          </w:tcPr>
          <w:p w14:paraId="4ECDDFF5">
            <w:pPr>
              <w:widowControl w:val="0"/>
              <w:adjustRightInd w:val="0"/>
              <w:snapToGrid w:val="0"/>
              <w:ind w:left="0"/>
              <w:jc w:val="center"/>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序号</w:t>
            </w:r>
          </w:p>
        </w:tc>
        <w:tc>
          <w:tcPr>
            <w:tcW w:w="529" w:type="pct"/>
            <w:tcBorders>
              <w:tl2br w:val="nil"/>
              <w:tr2bl w:val="nil"/>
            </w:tcBorders>
            <w:noWrap w:val="0"/>
            <w:vAlign w:val="center"/>
          </w:tcPr>
          <w:p w14:paraId="6A2002BB">
            <w:pPr>
              <w:widowControl w:val="0"/>
              <w:adjustRightInd w:val="0"/>
              <w:snapToGrid w:val="0"/>
              <w:ind w:left="0"/>
              <w:jc w:val="center"/>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项目名称</w:t>
            </w:r>
          </w:p>
        </w:tc>
        <w:tc>
          <w:tcPr>
            <w:tcW w:w="1164" w:type="pct"/>
            <w:tcBorders>
              <w:tl2br w:val="nil"/>
              <w:tr2bl w:val="nil"/>
            </w:tcBorders>
            <w:noWrap w:val="0"/>
            <w:vAlign w:val="center"/>
          </w:tcPr>
          <w:p w14:paraId="3649F865">
            <w:pPr>
              <w:widowControl w:val="0"/>
              <w:adjustRightInd w:val="0"/>
              <w:snapToGrid w:val="0"/>
              <w:ind w:left="0"/>
              <w:jc w:val="center"/>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环评批复</w:t>
            </w:r>
          </w:p>
        </w:tc>
        <w:tc>
          <w:tcPr>
            <w:tcW w:w="1164" w:type="pct"/>
            <w:tcBorders>
              <w:tl2br w:val="nil"/>
              <w:tr2bl w:val="nil"/>
            </w:tcBorders>
            <w:noWrap w:val="0"/>
            <w:vAlign w:val="center"/>
          </w:tcPr>
          <w:p w14:paraId="322A4DB2">
            <w:pPr>
              <w:widowControl w:val="0"/>
              <w:adjustRightInd w:val="0"/>
              <w:snapToGrid w:val="0"/>
              <w:ind w:left="0"/>
              <w:jc w:val="center"/>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验收批复</w:t>
            </w:r>
          </w:p>
        </w:tc>
        <w:tc>
          <w:tcPr>
            <w:tcW w:w="326" w:type="pct"/>
            <w:tcBorders>
              <w:tl2br w:val="nil"/>
              <w:tr2bl w:val="nil"/>
            </w:tcBorders>
            <w:noWrap w:val="0"/>
            <w:vAlign w:val="center"/>
          </w:tcPr>
          <w:p w14:paraId="463DDF11">
            <w:pPr>
              <w:widowControl w:val="0"/>
              <w:adjustRightInd w:val="0"/>
              <w:snapToGrid w:val="0"/>
              <w:ind w:left="0"/>
              <w:jc w:val="center"/>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备注</w:t>
            </w:r>
          </w:p>
        </w:tc>
        <w:tc>
          <w:tcPr>
            <w:tcW w:w="749" w:type="pct"/>
            <w:tcBorders>
              <w:tl2br w:val="nil"/>
              <w:tr2bl w:val="nil"/>
            </w:tcBorders>
            <w:noWrap w:val="0"/>
            <w:vAlign w:val="center"/>
          </w:tcPr>
          <w:p w14:paraId="494B8049">
            <w:pPr>
              <w:pStyle w:val="42"/>
              <w:bidi w:val="0"/>
              <w:rPr>
                <w:rFonts w:hint="default" w:ascii="Times New Roman" w:hAnsi="Times New Roman" w:eastAsia="宋体" w:cs="Times New Roman"/>
                <w:b/>
                <w:kern w:val="2"/>
                <w:sz w:val="21"/>
                <w:szCs w:val="21"/>
                <w:lang w:val="en-US" w:eastAsia="zh-CN" w:bidi="ar-SA"/>
              </w:rPr>
            </w:pPr>
            <w:r>
              <w:rPr>
                <w:rFonts w:hint="eastAsia"/>
                <w:b/>
                <w:bCs/>
                <w:lang w:val="en-US" w:eastAsia="zh-CN"/>
              </w:rPr>
              <w:t>排污许可证</w:t>
            </w:r>
          </w:p>
        </w:tc>
        <w:tc>
          <w:tcPr>
            <w:tcW w:w="863" w:type="pct"/>
            <w:tcBorders>
              <w:tl2br w:val="nil"/>
              <w:tr2bl w:val="nil"/>
            </w:tcBorders>
            <w:noWrap w:val="0"/>
            <w:vAlign w:val="center"/>
          </w:tcPr>
          <w:p w14:paraId="119E22CF">
            <w:pPr>
              <w:pStyle w:val="42"/>
              <w:bidi w:val="0"/>
              <w:rPr>
                <w:rFonts w:hint="default"/>
                <w:b/>
                <w:bCs/>
                <w:lang w:val="en-US" w:eastAsia="zh-CN"/>
              </w:rPr>
            </w:pPr>
            <w:r>
              <w:rPr>
                <w:rFonts w:hint="eastAsia"/>
                <w:b/>
                <w:bCs/>
                <w:lang w:val="en-US" w:eastAsia="zh-CN"/>
              </w:rPr>
              <w:t>应急预案</w:t>
            </w:r>
          </w:p>
        </w:tc>
      </w:tr>
      <w:tr w14:paraId="241E2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202" w:type="pct"/>
            <w:tcBorders>
              <w:tl2br w:val="nil"/>
              <w:tr2bl w:val="nil"/>
            </w:tcBorders>
            <w:noWrap w:val="0"/>
            <w:vAlign w:val="center"/>
          </w:tcPr>
          <w:p w14:paraId="36935EBA">
            <w:pPr>
              <w:widowControl w:val="0"/>
              <w:adjustRightInd w:val="0"/>
              <w:snapToGrid w:val="0"/>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529" w:type="pct"/>
            <w:tcBorders>
              <w:tl2br w:val="nil"/>
              <w:tr2bl w:val="nil"/>
            </w:tcBorders>
            <w:noWrap w:val="0"/>
            <w:vAlign w:val="center"/>
          </w:tcPr>
          <w:p w14:paraId="7838A626">
            <w:pPr>
              <w:widowControl w:val="0"/>
              <w:adjustRightInd w:val="0"/>
              <w:snapToGrid w:val="0"/>
              <w:ind w:left="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胡杨河市鑫驰农牧有限责任公司育肥牛养殖建设项目</w:t>
            </w:r>
          </w:p>
        </w:tc>
        <w:tc>
          <w:tcPr>
            <w:tcW w:w="1164" w:type="pct"/>
            <w:tcBorders>
              <w:tl2br w:val="nil"/>
              <w:tr2bl w:val="nil"/>
            </w:tcBorders>
            <w:noWrap w:val="0"/>
            <w:vAlign w:val="center"/>
          </w:tcPr>
          <w:p w14:paraId="240CDC2D">
            <w:pPr>
              <w:widowControl w:val="0"/>
              <w:adjustRightInd w:val="0"/>
              <w:snapToGrid w:val="0"/>
              <w:ind w:left="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项目于2026年7月22日在建设项目环境影响登记表备案系统（新疆生产建设兵团）登记备案，备案号：202666070300000016。</w:t>
            </w:r>
          </w:p>
        </w:tc>
        <w:tc>
          <w:tcPr>
            <w:tcW w:w="1164" w:type="pct"/>
            <w:tcBorders>
              <w:tl2br w:val="nil"/>
              <w:tr2bl w:val="nil"/>
            </w:tcBorders>
            <w:noWrap w:val="0"/>
            <w:vAlign w:val="center"/>
          </w:tcPr>
          <w:p w14:paraId="5415AEBA">
            <w:pPr>
              <w:widowControl w:val="0"/>
              <w:adjustRightInd w:val="0"/>
              <w:snapToGrid w:val="0"/>
              <w:ind w:left="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根据2019年4月30日的部长信箱对《关于环评登记表项目是否要进行环保验收的回复》，不需要对编制环境影响登记表的建设项目开展环保验收。</w:t>
            </w:r>
          </w:p>
        </w:tc>
        <w:tc>
          <w:tcPr>
            <w:tcW w:w="326" w:type="pct"/>
            <w:tcBorders>
              <w:tl2br w:val="nil"/>
              <w:tr2bl w:val="nil"/>
            </w:tcBorders>
            <w:noWrap w:val="0"/>
            <w:vAlign w:val="center"/>
          </w:tcPr>
          <w:p w14:paraId="2F7DC284">
            <w:pPr>
              <w:widowControl w:val="0"/>
              <w:adjustRightInd w:val="0"/>
              <w:snapToGrid w:val="0"/>
              <w:ind w:left="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现有工程</w:t>
            </w:r>
          </w:p>
        </w:tc>
        <w:tc>
          <w:tcPr>
            <w:tcW w:w="749" w:type="pct"/>
            <w:tcBorders>
              <w:tl2br w:val="nil"/>
              <w:tr2bl w:val="nil"/>
            </w:tcBorders>
            <w:noWrap w:val="0"/>
            <w:vAlign w:val="center"/>
          </w:tcPr>
          <w:p w14:paraId="63E02A8A">
            <w:pPr>
              <w:pStyle w:val="42"/>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863" w:type="pct"/>
            <w:tcBorders>
              <w:tl2br w:val="nil"/>
              <w:tr2bl w:val="nil"/>
            </w:tcBorders>
            <w:noWrap w:val="0"/>
            <w:vAlign w:val="center"/>
          </w:tcPr>
          <w:p w14:paraId="1AB6CB08">
            <w:pPr>
              <w:pStyle w:val="42"/>
              <w:bidi w:val="0"/>
              <w:rPr>
                <w:rFonts w:hint="default"/>
                <w:lang w:val="en-US" w:eastAsia="zh-CN"/>
              </w:rPr>
            </w:pPr>
            <w:r>
              <w:rPr>
                <w:rFonts w:hint="eastAsia"/>
                <w:lang w:val="en-US" w:eastAsia="zh-CN"/>
              </w:rPr>
              <w:t>-</w:t>
            </w:r>
          </w:p>
        </w:tc>
      </w:tr>
    </w:tbl>
    <w:p w14:paraId="6AAB0DD9">
      <w:pPr>
        <w:widowControl w:val="0"/>
        <w:adjustRightInd w:val="0"/>
        <w:snapToGrid w:val="0"/>
        <w:spacing w:line="360" w:lineRule="auto"/>
        <w:ind w:firstLine="480" w:firstLineChars="200"/>
        <w:jc w:val="both"/>
        <w:rPr>
          <w:rFonts w:hint="default" w:ascii="Times New Roman" w:hAnsi="Times New Roman"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目前现有工程</w:t>
      </w:r>
      <w:r>
        <w:rPr>
          <w:rFonts w:hint="default" w:ascii="Times New Roman" w:hAnsi="Times New Roman" w:eastAsia="宋体" w:cs="Times New Roman"/>
          <w:kern w:val="2"/>
          <w:sz w:val="24"/>
          <w:szCs w:val="24"/>
          <w:lang w:val="en-US" w:eastAsia="zh-CN" w:bidi="ar-SA"/>
        </w:rPr>
        <w:t>正常</w:t>
      </w:r>
      <w:r>
        <w:rPr>
          <w:rFonts w:hint="eastAsia" w:ascii="Times New Roman" w:hAnsi="Times New Roman" w:eastAsia="宋体" w:cs="Times New Roman"/>
          <w:kern w:val="2"/>
          <w:sz w:val="24"/>
          <w:szCs w:val="24"/>
          <w:lang w:val="en-US" w:eastAsia="zh-CN" w:bidi="ar-SA"/>
        </w:rPr>
        <w:t>运行，年存栏育肥牛419头</w:t>
      </w:r>
      <w:r>
        <w:rPr>
          <w:rFonts w:hint="default" w:ascii="Times New Roman" w:hAnsi="Times New Roman" w:eastAsia="宋体" w:cs="Times New Roman"/>
          <w:kern w:val="2"/>
          <w:sz w:val="24"/>
          <w:szCs w:val="24"/>
          <w:lang w:val="en-US" w:eastAsia="zh-CN" w:bidi="ar-SA"/>
        </w:rPr>
        <w:t>。</w:t>
      </w:r>
    </w:p>
    <w:p w14:paraId="7BA080BC">
      <w:pPr>
        <w:widowControl w:val="0"/>
        <w:adjustRightInd w:val="0"/>
        <w:snapToGrid w:val="0"/>
        <w:spacing w:line="360" w:lineRule="auto"/>
        <w:jc w:val="both"/>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3.1.3现有工程概况</w:t>
      </w:r>
    </w:p>
    <w:p w14:paraId="3FF372C0">
      <w:pPr>
        <w:widowControl w:val="0"/>
        <w:bidi w:val="0"/>
        <w:spacing w:line="360" w:lineRule="auto"/>
        <w:jc w:val="both"/>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3.1.3.1基本情况</w:t>
      </w:r>
    </w:p>
    <w:p w14:paraId="08BE776D">
      <w:pPr>
        <w:spacing w:line="360" w:lineRule="auto"/>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胡杨河市鑫驰农牧有限责任公司育肥牛养殖建设项目（以下简称“现有工程”）租赁第七师一二五团鑫鹏源养殖农民专业合作社牛场已建占地面积共2800平方米牛舍4栋（北侧4座）、占地面积共32900m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运动场16座、占地面积共3780m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饲喂凉棚6座、租赁占地面积350m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TMR搅拌站1座等主体工程；配套占地面积280m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办公室1座以及占地面积18m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消毒室一座等辅助工程；配套占地面积分别为280m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饲喂通道4座、占地4500m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饲草料堆放场地1座、占地面积350m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饲料库房1座、占地面积280m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精饲料库房1座等储运工程；在第七师一二五团鑫鹏源养殖农民专业合作社牛场租赁内容基础上增设4座运动场占地面积共4500m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；增设4座牛圈占地面积分别600m</w:t>
      </w:r>
      <w:r>
        <w:rPr>
          <w:rFonts w:hint="eastAsia" w:ascii="Times New Roman" w:hAnsi="Times New Roman" w:eastAsia="宋体" w:cs="Times New Roman"/>
          <w:color w:val="000000"/>
          <w:kern w:val="2"/>
          <w:sz w:val="24"/>
          <w:szCs w:val="24"/>
          <w:vertAlign w:val="superscript"/>
          <w:lang w:val="en-US" w:eastAsia="zh-CN" w:bidi="ar-SA"/>
        </w:rPr>
        <w:t>2</w:t>
      </w:r>
      <w:r>
        <w:rPr>
          <w:rFonts w:hint="eastAsia" w:ascii="Times New Roman" w:hAnsi="Times New Roman" w:eastAsia="宋体" w:cs="Times New Roman"/>
          <w:color w:val="000000"/>
          <w:kern w:val="2"/>
          <w:sz w:val="24"/>
          <w:szCs w:val="24"/>
          <w:lang w:val="en-US" w:eastAsia="zh-CN" w:bidi="ar-SA"/>
        </w:rPr>
        <w:t>；配套供水、供电、供热系统等公用工程，建成后胡杨河市鑫驰农牧有限责任公司存栏419头育肥牛。</w:t>
      </w:r>
    </w:p>
    <w:p w14:paraId="63A358F7">
      <w:pPr>
        <w:widowControl w:val="0"/>
        <w:spacing w:line="360" w:lineRule="auto"/>
        <w:ind w:firstLine="480" w:firstLineChars="200"/>
        <w:jc w:val="left"/>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kern w:val="2"/>
          <w:sz w:val="24"/>
          <w:szCs w:val="24"/>
          <w:lang w:val="en-US" w:eastAsia="zh-CN" w:bidi="ar-SA"/>
        </w:rPr>
        <w:t>现有工程</w:t>
      </w:r>
      <w:r>
        <w:rPr>
          <w:rFonts w:hint="default" w:ascii="Times New Roman" w:hAnsi="Times New Roman" w:eastAsia="宋体" w:cs="Times New Roman"/>
          <w:color w:val="000000"/>
          <w:sz w:val="24"/>
          <w:szCs w:val="24"/>
          <w:lang w:eastAsia="zh-CN"/>
        </w:rPr>
        <w:t>组成情况一览表见</w:t>
      </w:r>
      <w:r>
        <w:rPr>
          <w:rFonts w:hint="default" w:ascii="Times New Roman" w:hAnsi="Times New Roman" w:eastAsia="宋体" w:cs="Times New Roman"/>
          <w:color w:val="000000"/>
          <w:sz w:val="24"/>
          <w:szCs w:val="24"/>
        </w:rPr>
        <w:t>表3.</w:t>
      </w:r>
      <w:r>
        <w:rPr>
          <w:rFonts w:hint="eastAsia" w:cs="Times New Roman"/>
          <w:color w:val="000000"/>
          <w:sz w:val="24"/>
          <w:szCs w:val="24"/>
          <w:lang w:val="en-US" w:eastAsia="zh-CN"/>
        </w:rPr>
        <w:t>1</w:t>
      </w:r>
      <w:r>
        <w:rPr>
          <w:rFonts w:hint="default" w:ascii="Times New Roman" w:hAnsi="Times New Roman" w:eastAsia="宋体" w:cs="Times New Roman"/>
          <w:color w:val="000000"/>
          <w:sz w:val="24"/>
          <w:szCs w:val="24"/>
        </w:rPr>
        <w:t>-1。</w:t>
      </w:r>
    </w:p>
    <w:p w14:paraId="13E7A919">
      <w:pPr>
        <w:widowControl w:val="0"/>
        <w:spacing w:line="360" w:lineRule="auto"/>
        <w:ind w:firstLine="0" w:firstLineChars="0"/>
        <w:jc w:val="center"/>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color w:val="000000"/>
          <w:kern w:val="2"/>
          <w:sz w:val="24"/>
          <w:szCs w:val="24"/>
          <w:lang w:val="en-US" w:eastAsia="zh-CN" w:bidi="ar-SA"/>
        </w:rPr>
        <w:t>表3.</w:t>
      </w:r>
      <w:r>
        <w:rPr>
          <w:rFonts w:hint="eastAsia" w:cs="Times New Roman"/>
          <w:b/>
          <w:bCs/>
          <w:color w:val="000000"/>
          <w:kern w:val="2"/>
          <w:sz w:val="24"/>
          <w:szCs w:val="24"/>
          <w:lang w:val="en-US" w:eastAsia="zh-CN" w:bidi="ar-SA"/>
        </w:rPr>
        <w:t>1</w:t>
      </w:r>
      <w:r>
        <w:rPr>
          <w:rFonts w:hint="default" w:ascii="Times New Roman" w:hAnsi="Times New Roman" w:eastAsia="宋体" w:cs="Times New Roman"/>
          <w:b/>
          <w:bCs/>
          <w:color w:val="000000"/>
          <w:kern w:val="2"/>
          <w:sz w:val="24"/>
          <w:szCs w:val="24"/>
          <w:lang w:val="en-US" w:eastAsia="zh-CN" w:bidi="ar-SA"/>
        </w:rPr>
        <w:noBreakHyphen/>
      </w:r>
      <w:r>
        <w:rPr>
          <w:rFonts w:hint="eastAsia" w:ascii="Times New Roman" w:hAnsi="Times New Roman" w:eastAsia="宋体" w:cs="Times New Roman"/>
          <w:b/>
          <w:bCs/>
          <w:color w:val="000000"/>
          <w:kern w:val="2"/>
          <w:sz w:val="24"/>
          <w:szCs w:val="24"/>
          <w:lang w:val="en-US" w:eastAsia="zh-CN" w:bidi="ar-SA"/>
        </w:rPr>
        <w:t>2现有</w:t>
      </w:r>
      <w:r>
        <w:rPr>
          <w:rFonts w:hint="default" w:ascii="Times New Roman" w:hAnsi="Times New Roman" w:eastAsia="宋体" w:cs="Times New Roman"/>
          <w:b/>
          <w:bCs/>
          <w:color w:val="000000"/>
          <w:kern w:val="2"/>
          <w:sz w:val="24"/>
          <w:szCs w:val="24"/>
          <w:lang w:val="en-US" w:eastAsia="zh-CN" w:bidi="ar-SA"/>
        </w:rPr>
        <w:t>工程组成表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26"/>
        <w:gridCol w:w="859"/>
        <w:gridCol w:w="952"/>
        <w:gridCol w:w="4524"/>
        <w:gridCol w:w="1243"/>
      </w:tblGrid>
      <w:tr w14:paraId="4C564E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noWrap w:val="0"/>
            <w:vAlign w:val="center"/>
          </w:tcPr>
          <w:p w14:paraId="46A1CF40">
            <w:pPr>
              <w:spacing w:line="240" w:lineRule="auto"/>
              <w:jc w:val="center"/>
              <w:rPr>
                <w:rFonts w:hint="default" w:ascii="Times New Roman" w:hAnsi="Times New Roman" w:eastAsia="宋体" w:cs="Times New Roman"/>
                <w:b/>
                <w:bCs/>
                <w:color w:val="auto"/>
                <w:spacing w:val="3"/>
                <w:kern w:val="0"/>
                <w:sz w:val="21"/>
                <w:szCs w:val="21"/>
              </w:rPr>
            </w:pPr>
            <w:r>
              <w:rPr>
                <w:rFonts w:hint="default" w:ascii="Times New Roman" w:hAnsi="Times New Roman" w:eastAsia="宋体" w:cs="Times New Roman"/>
                <w:b/>
                <w:bCs/>
                <w:color w:val="auto"/>
                <w:spacing w:val="3"/>
                <w:kern w:val="0"/>
                <w:sz w:val="21"/>
                <w:szCs w:val="21"/>
              </w:rPr>
              <w:t>工程</w:t>
            </w:r>
          </w:p>
          <w:p w14:paraId="5E70CB51">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3"/>
                <w:kern w:val="0"/>
                <w:sz w:val="21"/>
                <w:szCs w:val="21"/>
              </w:rPr>
              <w:t>类别</w:t>
            </w:r>
          </w:p>
        </w:tc>
        <w:tc>
          <w:tcPr>
            <w:tcW w:w="1811" w:type="dxa"/>
            <w:gridSpan w:val="2"/>
            <w:noWrap w:val="0"/>
            <w:vAlign w:val="center"/>
          </w:tcPr>
          <w:p w14:paraId="1931381D">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4524" w:type="dxa"/>
            <w:noWrap w:val="0"/>
            <w:vAlign w:val="center"/>
          </w:tcPr>
          <w:p w14:paraId="6DE84A01">
            <w:pPr>
              <w:spacing w:line="240" w:lineRule="auto"/>
              <w:jc w:val="center"/>
              <w:rPr>
                <w:rFonts w:hint="default" w:ascii="Times New Roman" w:hAnsi="Times New Roman" w:eastAsia="宋体" w:cs="Times New Roman"/>
                <w:b/>
                <w:bCs/>
                <w:color w:val="auto"/>
                <w:spacing w:val="3"/>
                <w:kern w:val="0"/>
                <w:sz w:val="21"/>
                <w:szCs w:val="21"/>
                <w:lang w:val="en-US" w:eastAsia="zh-CN"/>
              </w:rPr>
            </w:pPr>
            <w:r>
              <w:rPr>
                <w:rFonts w:hint="eastAsia" w:cs="Times New Roman"/>
                <w:b/>
                <w:bCs/>
                <w:color w:val="auto"/>
                <w:spacing w:val="3"/>
                <w:kern w:val="0"/>
                <w:sz w:val="21"/>
                <w:szCs w:val="21"/>
                <w:lang w:val="en-US" w:eastAsia="zh-CN"/>
              </w:rPr>
              <w:t>建设内容</w:t>
            </w:r>
          </w:p>
        </w:tc>
        <w:tc>
          <w:tcPr>
            <w:tcW w:w="1243" w:type="dxa"/>
            <w:noWrap w:val="0"/>
            <w:vAlign w:val="center"/>
          </w:tcPr>
          <w:p w14:paraId="43121DCF">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3"/>
                <w:kern w:val="0"/>
                <w:sz w:val="21"/>
                <w:szCs w:val="21"/>
              </w:rPr>
              <w:t>备注</w:t>
            </w:r>
          </w:p>
        </w:tc>
      </w:tr>
      <w:tr w14:paraId="19D2C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926" w:type="dxa"/>
            <w:vMerge w:val="restart"/>
            <w:noWrap w:val="0"/>
            <w:vAlign w:val="center"/>
          </w:tcPr>
          <w:p w14:paraId="40847F0E">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主体</w:t>
            </w:r>
          </w:p>
          <w:p w14:paraId="3DF17360">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工程</w:t>
            </w:r>
          </w:p>
        </w:tc>
        <w:tc>
          <w:tcPr>
            <w:tcW w:w="859" w:type="dxa"/>
            <w:vMerge w:val="restart"/>
            <w:noWrap w:val="0"/>
            <w:vAlign w:val="center"/>
          </w:tcPr>
          <w:p w14:paraId="1BA8BD0E">
            <w:pPr>
              <w:widowControl w:val="0"/>
              <w:tabs>
                <w:tab w:val="left" w:pos="1119"/>
              </w:tabs>
              <w:topLinePunct/>
              <w:adjustRightInd w:val="0"/>
              <w:snapToGrid w:val="0"/>
              <w:spacing w:after="120"/>
              <w:ind w:left="0" w:leftChars="0"/>
              <w:jc w:val="center"/>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养殖区</w:t>
            </w:r>
          </w:p>
        </w:tc>
        <w:tc>
          <w:tcPr>
            <w:tcW w:w="952" w:type="dxa"/>
            <w:noWrap w:val="0"/>
            <w:vAlign w:val="center"/>
          </w:tcPr>
          <w:p w14:paraId="7FBCC975">
            <w:pPr>
              <w:widowControl w:val="0"/>
              <w:tabs>
                <w:tab w:val="left" w:pos="1119"/>
              </w:tabs>
              <w:topLinePunct/>
              <w:adjustRightInd w:val="0"/>
              <w:snapToGrid w:val="0"/>
              <w:spacing w:after="120"/>
              <w:ind w:left="0" w:leftChars="0"/>
              <w:jc w:val="center"/>
              <w:rPr>
                <w:rFonts w:hint="default" w:ascii="Times New Roman" w:hAnsi="Times New Roman" w:eastAsia="宋体" w:cs="Times New Roman"/>
                <w:color w:val="auto"/>
                <w:kern w:val="44"/>
                <w:sz w:val="21"/>
                <w:szCs w:val="21"/>
                <w:lang w:val="en-US" w:eastAsia="zh-CN" w:bidi="ar-SA"/>
              </w:rPr>
            </w:pPr>
            <w:r>
              <w:rPr>
                <w:rFonts w:hint="eastAsia" w:cs="Times New Roman"/>
                <w:color w:val="auto"/>
                <w:kern w:val="44"/>
                <w:sz w:val="21"/>
                <w:szCs w:val="21"/>
                <w:lang w:val="en-US" w:eastAsia="zh-CN" w:bidi="ar-SA"/>
              </w:rPr>
              <w:t>牛舍</w:t>
            </w:r>
          </w:p>
        </w:tc>
        <w:tc>
          <w:tcPr>
            <w:tcW w:w="4524" w:type="dxa"/>
            <w:noWrap w:val="0"/>
            <w:vAlign w:val="center"/>
          </w:tcPr>
          <w:p w14:paraId="7B1D1F03">
            <w:pPr>
              <w:spacing w:line="240" w:lineRule="auto"/>
              <w:jc w:val="center"/>
              <w:rPr>
                <w:rFonts w:hint="default" w:eastAsia="宋体" w:cs="Times New Roman"/>
                <w:color w:val="auto"/>
                <w:kern w:val="44"/>
                <w:sz w:val="21"/>
                <w:szCs w:val="21"/>
                <w:highlight w:val="yellow"/>
                <w:vertAlign w:val="baseline"/>
                <w:lang w:val="en-US" w:eastAsia="zh-CN"/>
              </w:rPr>
            </w:pPr>
            <w:r>
              <w:rPr>
                <w:rFonts w:hint="eastAsia" w:cs="Times New Roman"/>
                <w:color w:val="auto"/>
                <w:kern w:val="44"/>
                <w:sz w:val="21"/>
                <w:szCs w:val="21"/>
                <w:highlight w:val="none"/>
                <w:lang w:val="en-US" w:eastAsia="zh-CN"/>
              </w:rPr>
              <w:t>4座，占地面积共2800m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，每座分别为700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4976762A">
            <w:pPr>
              <w:ind w:left="0" w:left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租赁</w:t>
            </w:r>
          </w:p>
        </w:tc>
      </w:tr>
      <w:tr w14:paraId="44B79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26" w:type="dxa"/>
            <w:vMerge w:val="continue"/>
            <w:noWrap w:val="0"/>
            <w:vAlign w:val="center"/>
          </w:tcPr>
          <w:p w14:paraId="2FF6A148">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70B63AF8">
            <w:pPr>
              <w:widowControl w:val="0"/>
              <w:tabs>
                <w:tab w:val="left" w:pos="1119"/>
              </w:tabs>
              <w:topLinePunct/>
              <w:adjustRightInd w:val="0"/>
              <w:snapToGrid w:val="0"/>
              <w:spacing w:after="120"/>
              <w:ind w:left="0" w:leftChars="0"/>
              <w:jc w:val="center"/>
              <w:rPr>
                <w:rFonts w:hint="eastAsia" w:eastAsia="宋体" w:cs="Times New Roman"/>
                <w:color w:val="auto"/>
                <w:kern w:val="2"/>
                <w:sz w:val="21"/>
                <w:szCs w:val="21"/>
                <w:lang w:val="en-US" w:eastAsia="zh-CN" w:bidi="ar-SA"/>
              </w:rPr>
            </w:pPr>
          </w:p>
        </w:tc>
        <w:tc>
          <w:tcPr>
            <w:tcW w:w="952" w:type="dxa"/>
            <w:noWrap w:val="0"/>
            <w:vAlign w:val="center"/>
          </w:tcPr>
          <w:p w14:paraId="01DE2B06">
            <w:pPr>
              <w:widowControl w:val="0"/>
              <w:tabs>
                <w:tab w:val="left" w:pos="1119"/>
              </w:tabs>
              <w:topLinePunct/>
              <w:adjustRightInd w:val="0"/>
              <w:snapToGrid w:val="0"/>
              <w:spacing w:after="120"/>
              <w:ind w:left="0" w:leftChars="0"/>
              <w:jc w:val="center"/>
              <w:rPr>
                <w:rFonts w:hint="eastAsia" w:cs="Times New Roman"/>
                <w:color w:val="auto"/>
                <w:kern w:val="44"/>
                <w:sz w:val="21"/>
                <w:szCs w:val="21"/>
                <w:lang w:val="en-US" w:eastAsia="zh-CN" w:bidi="ar-SA"/>
              </w:rPr>
            </w:pPr>
            <w:r>
              <w:rPr>
                <w:rFonts w:hint="eastAsia" w:ascii="Times New Roman" w:hAnsi="Times New Roman" w:eastAsia="宋体" w:cs="Times New Roman"/>
                <w:color w:val="auto"/>
                <w:kern w:val="44"/>
                <w:sz w:val="21"/>
                <w:szCs w:val="21"/>
                <w:lang w:val="en-US" w:eastAsia="zh-CN" w:bidi="ar-SA"/>
              </w:rPr>
              <w:t>运动场</w:t>
            </w:r>
          </w:p>
        </w:tc>
        <w:tc>
          <w:tcPr>
            <w:tcW w:w="4524" w:type="dxa"/>
            <w:noWrap w:val="0"/>
            <w:vAlign w:val="center"/>
          </w:tcPr>
          <w:p w14:paraId="1B157D4C">
            <w:pPr>
              <w:spacing w:line="240" w:lineRule="auto"/>
              <w:jc w:val="center"/>
              <w:rPr>
                <w:rFonts w:hint="default" w:cs="Times New Roman"/>
                <w:color w:val="auto"/>
                <w:kern w:val="44"/>
                <w:sz w:val="21"/>
                <w:szCs w:val="21"/>
                <w:highlight w:val="none"/>
                <w:lang w:val="en-US" w:eastAsia="zh-CN"/>
              </w:rPr>
            </w:pPr>
            <w:r>
              <w:rPr>
                <w:rFonts w:hint="eastAsia" w:cs="Times New Roman"/>
                <w:color w:val="auto"/>
                <w:kern w:val="44"/>
                <w:sz w:val="21"/>
                <w:szCs w:val="21"/>
                <w:highlight w:val="none"/>
                <w:vertAlign w:val="baseline"/>
                <w:lang w:val="en-US" w:eastAsia="zh-CN"/>
              </w:rPr>
              <w:t>围栏式，16座，其中8座占地面积均为2100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，2座3500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，4座1750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，2座1050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，占地面积共32900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50407162">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租赁</w:t>
            </w:r>
          </w:p>
        </w:tc>
      </w:tr>
      <w:tr w14:paraId="673DA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926" w:type="dxa"/>
            <w:vMerge w:val="continue"/>
            <w:noWrap w:val="0"/>
            <w:vAlign w:val="center"/>
          </w:tcPr>
          <w:p w14:paraId="1F795541">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5BF4887C">
            <w:pPr>
              <w:widowControl w:val="0"/>
              <w:tabs>
                <w:tab w:val="left" w:pos="1119"/>
              </w:tabs>
              <w:topLinePunct/>
              <w:adjustRightInd w:val="0"/>
              <w:snapToGrid w:val="0"/>
              <w:spacing w:after="120"/>
              <w:ind w:left="0" w:leftChars="0"/>
              <w:jc w:val="center"/>
              <w:rPr>
                <w:rFonts w:hint="eastAsia" w:eastAsia="宋体" w:cs="Times New Roman"/>
                <w:color w:val="auto"/>
                <w:kern w:val="2"/>
                <w:sz w:val="21"/>
                <w:szCs w:val="21"/>
                <w:lang w:val="en-US" w:eastAsia="zh-CN" w:bidi="ar-SA"/>
              </w:rPr>
            </w:pPr>
          </w:p>
        </w:tc>
        <w:tc>
          <w:tcPr>
            <w:tcW w:w="952" w:type="dxa"/>
            <w:noWrap w:val="0"/>
            <w:vAlign w:val="center"/>
          </w:tcPr>
          <w:p w14:paraId="37D40F53">
            <w:pPr>
              <w:widowControl w:val="0"/>
              <w:tabs>
                <w:tab w:val="left" w:pos="1119"/>
              </w:tabs>
              <w:topLinePunct/>
              <w:adjustRightInd w:val="0"/>
              <w:snapToGrid w:val="0"/>
              <w:spacing w:after="120"/>
              <w:ind w:left="0" w:leftChars="0"/>
              <w:jc w:val="center"/>
              <w:rPr>
                <w:rFonts w:hint="default" w:ascii="Times New Roman" w:hAnsi="Times New Roman" w:eastAsia="宋体" w:cs="Times New Roman"/>
                <w:color w:val="auto"/>
                <w:kern w:val="44"/>
                <w:sz w:val="21"/>
                <w:szCs w:val="21"/>
                <w:lang w:val="en-US" w:eastAsia="zh-CN" w:bidi="ar-SA"/>
              </w:rPr>
            </w:pPr>
            <w:r>
              <w:rPr>
                <w:rFonts w:hint="eastAsia" w:eastAsia="宋体" w:cs="Times New Roman"/>
                <w:color w:val="auto"/>
                <w:kern w:val="44"/>
                <w:sz w:val="21"/>
                <w:szCs w:val="21"/>
                <w:lang w:val="en-US" w:eastAsia="zh-CN" w:bidi="ar-SA"/>
              </w:rPr>
              <w:t>饲喂凉棚</w:t>
            </w:r>
          </w:p>
        </w:tc>
        <w:tc>
          <w:tcPr>
            <w:tcW w:w="4524" w:type="dxa"/>
            <w:noWrap w:val="0"/>
            <w:vAlign w:val="center"/>
          </w:tcPr>
          <w:p w14:paraId="49FF4B3D">
            <w:pPr>
              <w:spacing w:line="240" w:lineRule="auto"/>
              <w:jc w:val="center"/>
              <w:rPr>
                <w:rFonts w:hint="eastAsia" w:cs="Times New Roman"/>
                <w:color w:val="auto"/>
                <w:kern w:val="44"/>
                <w:sz w:val="21"/>
                <w:szCs w:val="21"/>
                <w:highlight w:val="none"/>
                <w:lang w:val="en-US" w:eastAsia="zh-CN"/>
              </w:rPr>
            </w:pPr>
            <w:r>
              <w:rPr>
                <w:rFonts w:hint="eastAsia" w:cs="Times New Roman"/>
                <w:color w:val="auto"/>
                <w:kern w:val="44"/>
                <w:sz w:val="21"/>
                <w:szCs w:val="21"/>
                <w:highlight w:val="none"/>
                <w:vertAlign w:val="baseline"/>
                <w:lang w:val="en-US" w:eastAsia="zh-CN"/>
              </w:rPr>
              <w:t>6座，2座占地面积分别为490m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w:t>
            </w:r>
            <w:r>
              <w:rPr>
                <w:rFonts w:hint="eastAsia" w:cs="Times New Roman"/>
                <w:color w:val="auto"/>
                <w:kern w:val="44"/>
                <w:sz w:val="21"/>
                <w:szCs w:val="21"/>
                <w:highlight w:val="none"/>
                <w:lang w:val="en-US" w:eastAsia="zh-CN"/>
              </w:rPr>
              <w:t>4座占地面积</w:t>
            </w:r>
            <w:r>
              <w:rPr>
                <w:rFonts w:hint="eastAsia" w:cs="Times New Roman"/>
                <w:color w:val="auto"/>
                <w:kern w:val="44"/>
                <w:sz w:val="21"/>
                <w:szCs w:val="21"/>
                <w:highlight w:val="none"/>
                <w:vertAlign w:val="baseline"/>
                <w:lang w:val="en-US" w:eastAsia="zh-CN"/>
              </w:rPr>
              <w:t>分别为700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70E5299D">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租赁</w:t>
            </w:r>
          </w:p>
        </w:tc>
      </w:tr>
      <w:tr w14:paraId="66E7C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continue"/>
            <w:noWrap w:val="0"/>
            <w:vAlign w:val="center"/>
          </w:tcPr>
          <w:p w14:paraId="691D219B">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restart"/>
            <w:noWrap w:val="0"/>
            <w:vAlign w:val="center"/>
          </w:tcPr>
          <w:p w14:paraId="53EA1610">
            <w:pPr>
              <w:widowControl w:val="0"/>
              <w:tabs>
                <w:tab w:val="left" w:pos="1119"/>
              </w:tabs>
              <w:topLinePunct/>
              <w:adjustRightInd w:val="0"/>
              <w:snapToGrid w:val="0"/>
              <w:spacing w:after="120"/>
              <w:ind w:left="0" w:leftChars="0"/>
              <w:jc w:val="center"/>
              <w:rPr>
                <w:rFonts w:hint="default"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饲料加工区</w:t>
            </w:r>
          </w:p>
        </w:tc>
        <w:tc>
          <w:tcPr>
            <w:tcW w:w="952" w:type="dxa"/>
            <w:vMerge w:val="restart"/>
            <w:noWrap w:val="0"/>
            <w:vAlign w:val="center"/>
          </w:tcPr>
          <w:p w14:paraId="7E0958A9">
            <w:pPr>
              <w:widowControl w:val="0"/>
              <w:tabs>
                <w:tab w:val="left" w:pos="1119"/>
              </w:tabs>
              <w:topLinePunct/>
              <w:adjustRightInd w:val="0"/>
              <w:snapToGrid w:val="0"/>
              <w:spacing w:after="120"/>
              <w:ind w:left="0" w:leftChars="0"/>
              <w:jc w:val="center"/>
              <w:rPr>
                <w:rFonts w:hint="default" w:cs="Times New Roman"/>
                <w:color w:val="auto"/>
                <w:kern w:val="44"/>
                <w:sz w:val="21"/>
                <w:szCs w:val="21"/>
                <w:highlight w:val="yellow"/>
                <w:lang w:val="en-US" w:eastAsia="zh-CN" w:bidi="ar-SA"/>
              </w:rPr>
            </w:pPr>
            <w:r>
              <w:rPr>
                <w:rFonts w:hint="eastAsia" w:cs="Times New Roman"/>
                <w:color w:val="auto"/>
                <w:kern w:val="44"/>
                <w:sz w:val="21"/>
                <w:szCs w:val="21"/>
                <w:highlight w:val="none"/>
                <w:lang w:val="en-US" w:eastAsia="zh-CN" w:bidi="ar-SA"/>
              </w:rPr>
              <w:t>TMR搅拌站</w:t>
            </w:r>
          </w:p>
        </w:tc>
        <w:tc>
          <w:tcPr>
            <w:tcW w:w="4524" w:type="dxa"/>
            <w:noWrap w:val="0"/>
            <w:vAlign w:val="center"/>
          </w:tcPr>
          <w:p w14:paraId="01C20F86">
            <w:pPr>
              <w:spacing w:line="240" w:lineRule="auto"/>
              <w:jc w:val="center"/>
              <w:rPr>
                <w:rFonts w:hint="default" w:cs="Times New Roman"/>
                <w:color w:val="auto"/>
                <w:kern w:val="44"/>
                <w:sz w:val="21"/>
                <w:szCs w:val="21"/>
                <w:highlight w:val="none"/>
                <w:lang w:val="en-US" w:eastAsia="zh-CN"/>
              </w:rPr>
            </w:pPr>
            <w:r>
              <w:rPr>
                <w:rFonts w:hint="eastAsia" w:cs="Times New Roman"/>
                <w:color w:val="auto"/>
                <w:kern w:val="44"/>
                <w:sz w:val="21"/>
                <w:szCs w:val="21"/>
                <w:highlight w:val="none"/>
                <w:lang w:val="en-US" w:eastAsia="zh-CN"/>
              </w:rPr>
              <w:t>1座，1F，占地面积350m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31586528">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租赁</w:t>
            </w:r>
          </w:p>
        </w:tc>
      </w:tr>
      <w:tr w14:paraId="56677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926" w:type="dxa"/>
            <w:vMerge w:val="continue"/>
            <w:noWrap w:val="0"/>
            <w:vAlign w:val="center"/>
          </w:tcPr>
          <w:p w14:paraId="6C5AF2F0">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3380C422">
            <w:pPr>
              <w:widowControl w:val="0"/>
              <w:tabs>
                <w:tab w:val="left" w:pos="1119"/>
              </w:tabs>
              <w:topLinePunct/>
              <w:adjustRightInd w:val="0"/>
              <w:snapToGrid w:val="0"/>
              <w:spacing w:after="120"/>
              <w:ind w:left="0" w:leftChars="0"/>
              <w:jc w:val="center"/>
              <w:rPr>
                <w:rFonts w:hint="default" w:eastAsia="宋体" w:cs="Times New Roman"/>
                <w:color w:val="auto"/>
                <w:kern w:val="2"/>
                <w:sz w:val="21"/>
                <w:szCs w:val="21"/>
                <w:lang w:val="en-US" w:eastAsia="zh-CN" w:bidi="ar-SA"/>
              </w:rPr>
            </w:pPr>
          </w:p>
        </w:tc>
        <w:tc>
          <w:tcPr>
            <w:tcW w:w="952" w:type="dxa"/>
            <w:vMerge w:val="continue"/>
            <w:noWrap w:val="0"/>
            <w:vAlign w:val="center"/>
          </w:tcPr>
          <w:p w14:paraId="347DD905">
            <w:pPr>
              <w:widowControl w:val="0"/>
              <w:tabs>
                <w:tab w:val="left" w:pos="1119"/>
              </w:tabs>
              <w:topLinePunct/>
              <w:adjustRightInd w:val="0"/>
              <w:snapToGrid w:val="0"/>
              <w:spacing w:after="120"/>
              <w:ind w:left="0" w:leftChars="0"/>
              <w:jc w:val="center"/>
              <w:rPr>
                <w:rFonts w:hint="default" w:cs="Times New Roman"/>
                <w:color w:val="auto"/>
                <w:kern w:val="44"/>
                <w:sz w:val="21"/>
                <w:szCs w:val="21"/>
                <w:highlight w:val="yellow"/>
                <w:lang w:val="en-US" w:eastAsia="zh-CN" w:bidi="ar-SA"/>
              </w:rPr>
            </w:pPr>
          </w:p>
        </w:tc>
        <w:tc>
          <w:tcPr>
            <w:tcW w:w="4524" w:type="dxa"/>
            <w:noWrap w:val="0"/>
            <w:vAlign w:val="center"/>
          </w:tcPr>
          <w:p w14:paraId="27E1B540">
            <w:pPr>
              <w:spacing w:line="240" w:lineRule="auto"/>
              <w:jc w:val="center"/>
              <w:rPr>
                <w:rFonts w:hint="default" w:ascii="Times New Roman" w:hAnsi="Times New Roman" w:eastAsia="宋体" w:cs="Times New Roman"/>
                <w:color w:val="auto"/>
                <w:kern w:val="44"/>
                <w:sz w:val="21"/>
                <w:szCs w:val="21"/>
                <w:highlight w:val="yellow"/>
                <w:lang w:val="en-US" w:eastAsia="zh-CN"/>
              </w:rPr>
            </w:pPr>
            <w:r>
              <w:rPr>
                <w:rFonts w:hint="eastAsia" w:cs="Times New Roman"/>
                <w:color w:val="auto"/>
                <w:kern w:val="44"/>
                <w:sz w:val="21"/>
                <w:szCs w:val="21"/>
                <w:highlight w:val="none"/>
                <w:lang w:val="en-US" w:eastAsia="zh-CN"/>
              </w:rPr>
              <w:t>内设TMR、饲料加工设备等</w:t>
            </w:r>
          </w:p>
        </w:tc>
        <w:tc>
          <w:tcPr>
            <w:tcW w:w="1243" w:type="dxa"/>
            <w:noWrap w:val="0"/>
            <w:vAlign w:val="center"/>
          </w:tcPr>
          <w:p w14:paraId="6E410BC8">
            <w:pPr>
              <w:ind w:left="0"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新建</w:t>
            </w:r>
          </w:p>
        </w:tc>
      </w:tr>
      <w:tr w14:paraId="3E42A2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926" w:type="dxa"/>
            <w:vMerge w:val="continue"/>
            <w:noWrap w:val="0"/>
            <w:vAlign w:val="center"/>
          </w:tcPr>
          <w:p w14:paraId="1BF58F8D">
            <w:pPr>
              <w:spacing w:line="240" w:lineRule="auto"/>
              <w:jc w:val="center"/>
              <w:rPr>
                <w:rFonts w:hint="default" w:ascii="Times New Roman" w:hAnsi="Times New Roman" w:eastAsia="宋体" w:cs="Times New Roman"/>
                <w:color w:val="auto"/>
                <w:sz w:val="21"/>
                <w:szCs w:val="21"/>
                <w:lang w:val="en-US" w:eastAsia="zh-CN"/>
              </w:rPr>
            </w:pPr>
          </w:p>
        </w:tc>
        <w:tc>
          <w:tcPr>
            <w:tcW w:w="859" w:type="dxa"/>
            <w:noWrap w:val="0"/>
            <w:vAlign w:val="center"/>
          </w:tcPr>
          <w:p w14:paraId="718FEABF">
            <w:pPr>
              <w:widowControl w:val="0"/>
              <w:tabs>
                <w:tab w:val="left" w:pos="1119"/>
              </w:tabs>
              <w:topLinePunct/>
              <w:adjustRightInd w:val="0"/>
              <w:snapToGrid w:val="0"/>
              <w:spacing w:after="120"/>
              <w:ind w:left="0" w:leftChars="0"/>
              <w:jc w:val="center"/>
              <w:rPr>
                <w:rFonts w:hint="default"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粪污处理区</w:t>
            </w:r>
          </w:p>
        </w:tc>
        <w:tc>
          <w:tcPr>
            <w:tcW w:w="952" w:type="dxa"/>
            <w:noWrap w:val="0"/>
            <w:vAlign w:val="center"/>
          </w:tcPr>
          <w:p w14:paraId="513EA2C7">
            <w:pPr>
              <w:widowControl w:val="0"/>
              <w:tabs>
                <w:tab w:val="left" w:pos="1119"/>
              </w:tabs>
              <w:topLinePunct/>
              <w:adjustRightInd w:val="0"/>
              <w:snapToGrid w:val="0"/>
              <w:spacing w:after="120"/>
              <w:ind w:left="0" w:leftChars="0"/>
              <w:jc w:val="center"/>
              <w:rPr>
                <w:rFonts w:hint="default" w:cs="Times New Roman"/>
                <w:color w:val="auto"/>
                <w:kern w:val="44"/>
                <w:sz w:val="21"/>
                <w:szCs w:val="21"/>
                <w:highlight w:val="yellow"/>
                <w:lang w:val="en-US" w:eastAsia="zh-CN" w:bidi="ar-SA"/>
              </w:rPr>
            </w:pPr>
            <w:r>
              <w:rPr>
                <w:rFonts w:hint="eastAsia" w:cs="Times New Roman"/>
                <w:color w:val="auto"/>
                <w:kern w:val="44"/>
                <w:sz w:val="21"/>
                <w:szCs w:val="21"/>
                <w:highlight w:val="none"/>
                <w:lang w:val="en-US" w:eastAsia="zh-CN" w:bidi="ar-SA"/>
              </w:rPr>
              <w:t>堆肥场</w:t>
            </w:r>
          </w:p>
        </w:tc>
        <w:tc>
          <w:tcPr>
            <w:tcW w:w="4524" w:type="dxa"/>
            <w:noWrap w:val="0"/>
            <w:vAlign w:val="center"/>
          </w:tcPr>
          <w:p w14:paraId="1ECCF824">
            <w:pPr>
              <w:spacing w:line="240" w:lineRule="auto"/>
              <w:jc w:val="center"/>
              <w:rPr>
                <w:rFonts w:hint="default" w:cs="Times New Roman"/>
                <w:color w:val="auto"/>
                <w:kern w:val="44"/>
                <w:sz w:val="21"/>
                <w:szCs w:val="21"/>
                <w:highlight w:val="none"/>
                <w:lang w:val="en-US" w:eastAsia="zh-CN"/>
              </w:rPr>
            </w:pPr>
            <w:r>
              <w:rPr>
                <w:rFonts w:hint="eastAsia" w:cs="Times New Roman"/>
                <w:color w:val="auto"/>
                <w:kern w:val="44"/>
                <w:sz w:val="21"/>
                <w:szCs w:val="21"/>
                <w:highlight w:val="none"/>
                <w:lang w:val="en-US" w:eastAsia="zh-CN"/>
              </w:rPr>
              <w:t>占地面积4000m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68CBBC77">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租赁</w:t>
            </w:r>
          </w:p>
        </w:tc>
      </w:tr>
      <w:tr w14:paraId="3BD21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26" w:type="dxa"/>
            <w:vMerge w:val="restart"/>
            <w:noWrap w:val="0"/>
            <w:vAlign w:val="center"/>
          </w:tcPr>
          <w:p w14:paraId="57B7144F">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辅助</w:t>
            </w:r>
          </w:p>
          <w:p w14:paraId="3A7833CF">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工程</w:t>
            </w:r>
          </w:p>
        </w:tc>
        <w:tc>
          <w:tcPr>
            <w:tcW w:w="1811" w:type="dxa"/>
            <w:gridSpan w:val="2"/>
            <w:noWrap w:val="0"/>
            <w:vAlign w:val="center"/>
          </w:tcPr>
          <w:p w14:paraId="1C8E9AF7">
            <w:pPr>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办公室</w:t>
            </w:r>
          </w:p>
        </w:tc>
        <w:tc>
          <w:tcPr>
            <w:tcW w:w="4524" w:type="dxa"/>
            <w:noWrap w:val="0"/>
            <w:vAlign w:val="center"/>
          </w:tcPr>
          <w:p w14:paraId="57CE2E2D">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val="en-US" w:eastAsia="zh-CN"/>
              </w:rPr>
              <w:t>座</w:t>
            </w:r>
            <w:r>
              <w:rPr>
                <w:rFonts w:hint="eastAsia" w:cs="Times New Roman"/>
                <w:color w:val="auto"/>
                <w:sz w:val="21"/>
                <w:szCs w:val="21"/>
                <w:lang w:val="en-US" w:eastAsia="zh-CN"/>
              </w:rPr>
              <w:t>，砖混，</w:t>
            </w:r>
            <w:r>
              <w:rPr>
                <w:rFonts w:hint="eastAsia" w:ascii="Times New Roman" w:hAnsi="Times New Roman" w:eastAsia="宋体" w:cs="Times New Roman"/>
                <w:color w:val="auto"/>
                <w:sz w:val="21"/>
                <w:szCs w:val="21"/>
                <w:lang w:val="en-US" w:eastAsia="zh-CN"/>
              </w:rPr>
              <w:t>1F</w:t>
            </w:r>
            <w:r>
              <w:rPr>
                <w:rFonts w:hint="default" w:ascii="Times New Roman" w:hAnsi="Times New Roman" w:eastAsia="宋体" w:cs="Times New Roman"/>
                <w:color w:val="auto"/>
                <w:sz w:val="21"/>
                <w:szCs w:val="21"/>
              </w:rPr>
              <w:t>，</w:t>
            </w:r>
            <w:r>
              <w:rPr>
                <w:rFonts w:hint="eastAsia" w:cs="Times New Roman"/>
                <w:color w:val="auto"/>
                <w:sz w:val="21"/>
                <w:szCs w:val="21"/>
                <w:highlight w:val="none"/>
                <w:lang w:val="en-US" w:eastAsia="zh-CN"/>
              </w:rPr>
              <w:t>占地面积280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p>
        </w:tc>
        <w:tc>
          <w:tcPr>
            <w:tcW w:w="1243" w:type="dxa"/>
            <w:noWrap w:val="0"/>
            <w:vAlign w:val="center"/>
          </w:tcPr>
          <w:p w14:paraId="3CFF3E19">
            <w:pPr>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租赁</w:t>
            </w:r>
          </w:p>
        </w:tc>
      </w:tr>
      <w:tr w14:paraId="5AA804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6" w:hRule="atLeast"/>
          <w:jc w:val="center"/>
        </w:trPr>
        <w:tc>
          <w:tcPr>
            <w:tcW w:w="926" w:type="dxa"/>
            <w:vMerge w:val="continue"/>
            <w:noWrap w:val="0"/>
            <w:vAlign w:val="center"/>
          </w:tcPr>
          <w:p w14:paraId="0F9291A4">
            <w:pPr>
              <w:spacing w:line="240" w:lineRule="auto"/>
              <w:jc w:val="center"/>
              <w:rPr>
                <w:rFonts w:hint="default" w:ascii="Times New Roman" w:hAnsi="Times New Roman" w:eastAsia="宋体" w:cs="Times New Roman"/>
                <w:color w:val="000000"/>
                <w:sz w:val="21"/>
                <w:szCs w:val="21"/>
              </w:rPr>
            </w:pPr>
          </w:p>
        </w:tc>
        <w:tc>
          <w:tcPr>
            <w:tcW w:w="1811" w:type="dxa"/>
            <w:gridSpan w:val="2"/>
            <w:noWrap w:val="0"/>
            <w:vAlign w:val="center"/>
          </w:tcPr>
          <w:p w14:paraId="314B9F24">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消毒室</w:t>
            </w:r>
          </w:p>
        </w:tc>
        <w:tc>
          <w:tcPr>
            <w:tcW w:w="4524" w:type="dxa"/>
            <w:noWrap w:val="0"/>
            <w:vAlign w:val="center"/>
          </w:tcPr>
          <w:p w14:paraId="4560F40A">
            <w:pPr>
              <w:spacing w:line="240" w:lineRule="auto"/>
              <w:jc w:val="center"/>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lang w:val="en-US" w:eastAsia="zh-CN"/>
              </w:rPr>
              <w:t>1座，占地面积</w:t>
            </w:r>
            <w:r>
              <w:rPr>
                <w:rFonts w:hint="eastAsia" w:cs="Times New Roman"/>
                <w:color w:val="000000"/>
                <w:sz w:val="21"/>
                <w:szCs w:val="21"/>
                <w:highlight w:val="none"/>
                <w:lang w:val="en-US" w:eastAsia="zh-CN"/>
              </w:rPr>
              <w:t>18</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68A792A2">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auto"/>
                <w:sz w:val="21"/>
                <w:szCs w:val="21"/>
                <w:lang w:val="en-US" w:eastAsia="zh-CN"/>
              </w:rPr>
              <w:t>租赁</w:t>
            </w:r>
          </w:p>
        </w:tc>
      </w:tr>
      <w:tr w14:paraId="63297D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926" w:type="dxa"/>
            <w:vMerge w:val="restart"/>
            <w:noWrap w:val="0"/>
            <w:vAlign w:val="center"/>
          </w:tcPr>
          <w:p w14:paraId="6C3CB817">
            <w:pPr>
              <w:spacing w:line="240" w:lineRule="auto"/>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储运</w:t>
            </w:r>
          </w:p>
          <w:p w14:paraId="5FC5E376">
            <w:pPr>
              <w:spacing w:line="240" w:lineRule="auto"/>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工程</w:t>
            </w:r>
          </w:p>
        </w:tc>
        <w:tc>
          <w:tcPr>
            <w:tcW w:w="1811" w:type="dxa"/>
            <w:gridSpan w:val="2"/>
            <w:noWrap w:val="0"/>
            <w:vAlign w:val="center"/>
          </w:tcPr>
          <w:p w14:paraId="744AF97D">
            <w:pPr>
              <w:widowControl w:val="0"/>
              <w:tabs>
                <w:tab w:val="left" w:pos="1119"/>
              </w:tabs>
              <w:topLinePunct/>
              <w:adjustRightInd w:val="0"/>
              <w:snapToGrid w:val="0"/>
              <w:spacing w:after="120"/>
              <w:ind w:left="0" w:leftChars="0"/>
              <w:jc w:val="center"/>
              <w:rPr>
                <w:rFonts w:hint="eastAsia" w:cs="Times New Roman"/>
                <w:color w:val="auto"/>
                <w:sz w:val="21"/>
                <w:szCs w:val="21"/>
                <w:highlight w:val="none"/>
                <w:lang w:val="en-US" w:eastAsia="zh-CN"/>
              </w:rPr>
            </w:pPr>
            <w:r>
              <w:rPr>
                <w:rFonts w:hint="eastAsia" w:ascii="Times New Roman" w:hAnsi="Times New Roman" w:eastAsia="宋体" w:cs="Times New Roman"/>
                <w:color w:val="auto"/>
                <w:kern w:val="44"/>
                <w:sz w:val="21"/>
                <w:szCs w:val="21"/>
                <w:lang w:val="en-US" w:eastAsia="zh-CN" w:bidi="ar-SA"/>
              </w:rPr>
              <w:t>饲喂通道</w:t>
            </w:r>
          </w:p>
        </w:tc>
        <w:tc>
          <w:tcPr>
            <w:tcW w:w="4524" w:type="dxa"/>
            <w:noWrap w:val="0"/>
            <w:vAlign w:val="center"/>
          </w:tcPr>
          <w:p w14:paraId="09CC8D89">
            <w:pPr>
              <w:spacing w:line="240" w:lineRule="auto"/>
              <w:jc w:val="center"/>
              <w:rPr>
                <w:rFonts w:hint="eastAsia" w:cs="Times New Roman"/>
                <w:color w:val="auto"/>
                <w:sz w:val="21"/>
                <w:szCs w:val="21"/>
                <w:lang w:val="en-US" w:eastAsia="zh-CN"/>
              </w:rPr>
            </w:pPr>
            <w:r>
              <w:rPr>
                <w:rFonts w:hint="eastAsia" w:cs="Times New Roman"/>
                <w:color w:val="auto"/>
                <w:kern w:val="44"/>
                <w:sz w:val="21"/>
                <w:szCs w:val="21"/>
                <w:highlight w:val="none"/>
                <w:lang w:val="en-US" w:eastAsia="zh-CN"/>
              </w:rPr>
              <w:t>4座，占地面积分别为280m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，均为混凝土饲喂通道</w:t>
            </w:r>
          </w:p>
        </w:tc>
        <w:tc>
          <w:tcPr>
            <w:tcW w:w="1243" w:type="dxa"/>
            <w:noWrap w:val="0"/>
            <w:vAlign w:val="center"/>
          </w:tcPr>
          <w:p w14:paraId="70AD1174">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租赁</w:t>
            </w:r>
          </w:p>
        </w:tc>
      </w:tr>
      <w:tr w14:paraId="3CD37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926" w:type="dxa"/>
            <w:vMerge w:val="continue"/>
            <w:noWrap w:val="0"/>
            <w:vAlign w:val="center"/>
          </w:tcPr>
          <w:p w14:paraId="2793C00B">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2B71840D">
            <w:pPr>
              <w:spacing w:line="240" w:lineRule="auto"/>
              <w:jc w:val="center"/>
              <w:rPr>
                <w:rFonts w:hint="eastAsia" w:cs="Times New Roman"/>
                <w:color w:val="auto"/>
                <w:sz w:val="21"/>
                <w:szCs w:val="21"/>
                <w:highlight w:val="none"/>
                <w:lang w:val="en-US" w:eastAsia="zh-CN"/>
              </w:rPr>
            </w:pPr>
            <w:r>
              <w:rPr>
                <w:rFonts w:hint="eastAsia" w:cs="Times New Roman"/>
                <w:color w:val="000000"/>
                <w:sz w:val="21"/>
                <w:szCs w:val="21"/>
                <w:highlight w:val="none"/>
                <w:lang w:val="en-US" w:eastAsia="zh-CN"/>
              </w:rPr>
              <w:t>防疫药品库</w:t>
            </w:r>
          </w:p>
        </w:tc>
        <w:tc>
          <w:tcPr>
            <w:tcW w:w="4524" w:type="dxa"/>
            <w:noWrap w:val="0"/>
            <w:vAlign w:val="center"/>
          </w:tcPr>
          <w:p w14:paraId="5391A8FE">
            <w:pPr>
              <w:spacing w:line="240" w:lineRule="auto"/>
              <w:jc w:val="center"/>
              <w:rPr>
                <w:rFonts w:hint="eastAsia" w:cs="Times New Roman"/>
                <w:color w:val="auto"/>
                <w:sz w:val="21"/>
                <w:szCs w:val="21"/>
                <w:lang w:val="en-US" w:eastAsia="zh-CN"/>
              </w:rPr>
            </w:pPr>
            <w:r>
              <w:rPr>
                <w:rFonts w:hint="default" w:ascii="Times New Roman" w:hAnsi="Times New Roman" w:eastAsia="宋体" w:cs="Times New Roman"/>
                <w:color w:val="000000"/>
                <w:sz w:val="21"/>
                <w:szCs w:val="21"/>
                <w:highlight w:val="none"/>
              </w:rPr>
              <w:t>1</w:t>
            </w:r>
            <w:r>
              <w:rPr>
                <w:rFonts w:hint="default" w:ascii="Times New Roman" w:hAnsi="Times New Roman" w:eastAsia="宋体" w:cs="Times New Roman"/>
                <w:color w:val="000000"/>
                <w:sz w:val="21"/>
                <w:szCs w:val="21"/>
                <w:highlight w:val="none"/>
                <w:lang w:val="en-US" w:eastAsia="zh-CN"/>
              </w:rPr>
              <w:t>座</w:t>
            </w:r>
            <w:r>
              <w:rPr>
                <w:rFonts w:hint="eastAsia" w:ascii="Times New Roman" w:hAnsi="Times New Roman" w:eastAsia="宋体" w:cs="Times New Roman"/>
                <w:color w:val="000000"/>
                <w:sz w:val="21"/>
                <w:szCs w:val="21"/>
                <w:highlight w:val="none"/>
                <w:lang w:val="en-US" w:eastAsia="zh-CN"/>
              </w:rPr>
              <w:t>，1F</w:t>
            </w:r>
            <w:r>
              <w:rPr>
                <w:rFonts w:hint="default" w:ascii="Times New Roman" w:hAnsi="Times New Roman" w:eastAsia="宋体" w:cs="Times New Roman"/>
                <w:color w:val="000000"/>
                <w:sz w:val="21"/>
                <w:szCs w:val="21"/>
                <w:highlight w:val="none"/>
              </w:rPr>
              <w:t>，</w:t>
            </w:r>
            <w:r>
              <w:rPr>
                <w:rFonts w:hint="eastAsia" w:ascii="Times New Roman" w:hAnsi="Times New Roman" w:eastAsia="宋体" w:cs="Times New Roman"/>
                <w:color w:val="000000"/>
                <w:sz w:val="21"/>
                <w:szCs w:val="21"/>
                <w:highlight w:val="none"/>
                <w:lang w:val="en-US" w:eastAsia="zh-CN"/>
              </w:rPr>
              <w:t>占地面积</w:t>
            </w:r>
            <w:r>
              <w:rPr>
                <w:rFonts w:hint="eastAsia" w:cs="Times New Roman"/>
                <w:color w:val="000000"/>
                <w:sz w:val="21"/>
                <w:szCs w:val="21"/>
                <w:highlight w:val="none"/>
                <w:lang w:val="en-US" w:eastAsia="zh-CN"/>
              </w:rPr>
              <w:t>18</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7872C0A6">
            <w:pPr>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租赁</w:t>
            </w:r>
          </w:p>
        </w:tc>
      </w:tr>
      <w:tr w14:paraId="16C7E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926" w:type="dxa"/>
            <w:vMerge w:val="continue"/>
            <w:noWrap w:val="0"/>
            <w:vAlign w:val="center"/>
          </w:tcPr>
          <w:p w14:paraId="2E995F96">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73456716">
            <w:pPr>
              <w:spacing w:line="240" w:lineRule="auto"/>
              <w:jc w:val="center"/>
              <w:rPr>
                <w:rFonts w:hint="eastAsia" w:cs="Times New Roman"/>
                <w:color w:val="000000"/>
                <w:sz w:val="21"/>
                <w:szCs w:val="21"/>
                <w:highlight w:val="none"/>
                <w:lang w:val="en-US" w:eastAsia="zh-CN"/>
              </w:rPr>
            </w:pPr>
            <w:r>
              <w:rPr>
                <w:rFonts w:hint="eastAsia" w:cs="Times New Roman"/>
                <w:color w:val="000000"/>
                <w:sz w:val="21"/>
                <w:szCs w:val="21"/>
                <w:highlight w:val="none"/>
                <w:lang w:val="en-US" w:eastAsia="zh-CN"/>
              </w:rPr>
              <w:t>饲草料堆放场地</w:t>
            </w:r>
          </w:p>
        </w:tc>
        <w:tc>
          <w:tcPr>
            <w:tcW w:w="4524" w:type="dxa"/>
            <w:noWrap w:val="0"/>
            <w:vAlign w:val="center"/>
          </w:tcPr>
          <w:p w14:paraId="505EDDD1">
            <w:pPr>
              <w:spacing w:line="240" w:lineRule="auto"/>
              <w:jc w:val="center"/>
              <w:rPr>
                <w:rFonts w:hint="default" w:cs="Times New Roman"/>
                <w:color w:val="000000"/>
                <w:sz w:val="21"/>
                <w:szCs w:val="21"/>
                <w:highlight w:val="none"/>
                <w:lang w:val="en-US" w:eastAsia="zh-CN"/>
              </w:rPr>
            </w:pPr>
            <w:r>
              <w:rPr>
                <w:rFonts w:hint="eastAsia" w:cs="Times New Roman"/>
                <w:color w:val="000000"/>
                <w:sz w:val="21"/>
                <w:szCs w:val="21"/>
                <w:lang w:val="en-US" w:eastAsia="zh-CN"/>
              </w:rPr>
              <w:t>1座，</w:t>
            </w:r>
            <w:r>
              <w:rPr>
                <w:rFonts w:hint="eastAsia" w:cs="Times New Roman"/>
                <w:color w:val="000000"/>
                <w:sz w:val="21"/>
                <w:szCs w:val="21"/>
                <w:highlight w:val="none"/>
                <w:lang w:val="en-US" w:eastAsia="zh-CN"/>
              </w:rPr>
              <w:t>占地</w:t>
            </w:r>
            <w:r>
              <w:rPr>
                <w:rFonts w:hint="eastAsia" w:cs="Times New Roman"/>
                <w:color w:val="000000"/>
                <w:sz w:val="21"/>
                <w:szCs w:val="21"/>
                <w:lang w:val="en-US" w:eastAsia="zh-CN"/>
              </w:rPr>
              <w:t>4500</w:t>
            </w:r>
            <w:r>
              <w:rPr>
                <w:rFonts w:hint="default" w:ascii="Times New Roman" w:hAnsi="Times New Roman" w:eastAsia="宋体" w:cs="Times New Roman"/>
                <w:color w:val="auto"/>
                <w:kern w:val="44"/>
                <w:sz w:val="21"/>
                <w:szCs w:val="21"/>
                <w:highlight w:val="none"/>
                <w:lang w:val="en-US" w:eastAsia="zh-CN"/>
              </w:rPr>
              <w:t>m</w:t>
            </w:r>
            <w:r>
              <w:rPr>
                <w:rFonts w:hint="default" w:ascii="Times New Roman" w:hAnsi="Times New Roman" w:eastAsia="宋体" w:cs="Times New Roman"/>
                <w:color w:val="auto"/>
                <w:kern w:val="44"/>
                <w:sz w:val="21"/>
                <w:szCs w:val="21"/>
                <w:highlight w:val="none"/>
                <w:vertAlign w:val="superscript"/>
                <w:lang w:val="en-US" w:eastAsia="zh-CN"/>
              </w:rPr>
              <w:t>2</w:t>
            </w:r>
          </w:p>
        </w:tc>
        <w:tc>
          <w:tcPr>
            <w:tcW w:w="1243" w:type="dxa"/>
            <w:noWrap w:val="0"/>
            <w:vAlign w:val="center"/>
          </w:tcPr>
          <w:p w14:paraId="007D78F6">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auto"/>
                <w:sz w:val="21"/>
                <w:szCs w:val="21"/>
                <w:lang w:val="en-US" w:eastAsia="zh-CN"/>
              </w:rPr>
              <w:t>租赁</w:t>
            </w:r>
          </w:p>
        </w:tc>
      </w:tr>
      <w:tr w14:paraId="56D0F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continue"/>
            <w:noWrap w:val="0"/>
            <w:vAlign w:val="center"/>
          </w:tcPr>
          <w:p w14:paraId="32D1596E">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346840EB">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饲料库房</w:t>
            </w:r>
          </w:p>
        </w:tc>
        <w:tc>
          <w:tcPr>
            <w:tcW w:w="4524" w:type="dxa"/>
            <w:noWrap w:val="0"/>
            <w:vAlign w:val="center"/>
          </w:tcPr>
          <w:p w14:paraId="4D31A9C1">
            <w:pPr>
              <w:spacing w:line="240" w:lineRule="auto"/>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sz w:val="21"/>
                <w:szCs w:val="21"/>
                <w:highlight w:val="none"/>
              </w:rPr>
              <w:t>1</w:t>
            </w:r>
            <w:r>
              <w:rPr>
                <w:rFonts w:hint="default" w:ascii="Times New Roman" w:hAnsi="Times New Roman" w:eastAsia="宋体" w:cs="Times New Roman"/>
                <w:color w:val="000000"/>
                <w:sz w:val="21"/>
                <w:szCs w:val="21"/>
                <w:highlight w:val="none"/>
                <w:lang w:val="en-US" w:eastAsia="zh-CN"/>
              </w:rPr>
              <w:t>座</w:t>
            </w:r>
            <w:r>
              <w:rPr>
                <w:rFonts w:hint="eastAsia" w:ascii="Times New Roman" w:hAnsi="Times New Roman" w:eastAsia="宋体" w:cs="Times New Roman"/>
                <w:color w:val="000000"/>
                <w:sz w:val="21"/>
                <w:szCs w:val="21"/>
                <w:highlight w:val="none"/>
                <w:lang w:val="en-US" w:eastAsia="zh-CN"/>
              </w:rPr>
              <w:t>，1F</w:t>
            </w:r>
            <w:r>
              <w:rPr>
                <w:rFonts w:hint="default" w:ascii="Times New Roman" w:hAnsi="Times New Roman" w:eastAsia="宋体" w:cs="Times New Roman"/>
                <w:color w:val="000000"/>
                <w:sz w:val="21"/>
                <w:szCs w:val="21"/>
                <w:highlight w:val="none"/>
              </w:rPr>
              <w:t>，</w:t>
            </w:r>
            <w:r>
              <w:rPr>
                <w:rFonts w:hint="eastAsia" w:ascii="Times New Roman" w:hAnsi="Times New Roman" w:eastAsia="宋体" w:cs="Times New Roman"/>
                <w:color w:val="000000"/>
                <w:sz w:val="21"/>
                <w:szCs w:val="21"/>
                <w:highlight w:val="none"/>
                <w:lang w:val="en-US" w:eastAsia="zh-CN"/>
              </w:rPr>
              <w:t>占地面积</w:t>
            </w:r>
            <w:r>
              <w:rPr>
                <w:rFonts w:hint="eastAsia" w:cs="Times New Roman"/>
                <w:color w:val="000000"/>
                <w:sz w:val="21"/>
                <w:szCs w:val="21"/>
                <w:highlight w:val="none"/>
                <w:lang w:val="en-US" w:eastAsia="zh-CN"/>
              </w:rPr>
              <w:t>350</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4649382E">
            <w:pPr>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租赁</w:t>
            </w:r>
          </w:p>
        </w:tc>
      </w:tr>
      <w:tr w14:paraId="09E4B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continue"/>
            <w:noWrap w:val="0"/>
            <w:vAlign w:val="center"/>
          </w:tcPr>
          <w:p w14:paraId="3A29F9B8">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7012A6C3">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精饲料库房</w:t>
            </w:r>
          </w:p>
        </w:tc>
        <w:tc>
          <w:tcPr>
            <w:tcW w:w="4524" w:type="dxa"/>
            <w:noWrap w:val="0"/>
            <w:vAlign w:val="center"/>
          </w:tcPr>
          <w:p w14:paraId="391BE001">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sz w:val="21"/>
                <w:szCs w:val="21"/>
                <w:highlight w:val="none"/>
              </w:rPr>
              <w:t>1</w:t>
            </w:r>
            <w:r>
              <w:rPr>
                <w:rFonts w:hint="default" w:ascii="Times New Roman" w:hAnsi="Times New Roman" w:eastAsia="宋体" w:cs="Times New Roman"/>
                <w:color w:val="000000"/>
                <w:sz w:val="21"/>
                <w:szCs w:val="21"/>
                <w:highlight w:val="none"/>
                <w:lang w:val="en-US" w:eastAsia="zh-CN"/>
              </w:rPr>
              <w:t>座</w:t>
            </w:r>
            <w:r>
              <w:rPr>
                <w:rFonts w:hint="eastAsia" w:ascii="Times New Roman" w:hAnsi="Times New Roman" w:eastAsia="宋体" w:cs="Times New Roman"/>
                <w:color w:val="000000"/>
                <w:sz w:val="21"/>
                <w:szCs w:val="21"/>
                <w:highlight w:val="none"/>
                <w:lang w:val="en-US" w:eastAsia="zh-CN"/>
              </w:rPr>
              <w:t>，1F</w:t>
            </w:r>
            <w:r>
              <w:rPr>
                <w:rFonts w:hint="default" w:ascii="Times New Roman" w:hAnsi="Times New Roman" w:eastAsia="宋体" w:cs="Times New Roman"/>
                <w:color w:val="000000"/>
                <w:sz w:val="21"/>
                <w:szCs w:val="21"/>
                <w:highlight w:val="none"/>
              </w:rPr>
              <w:t>，</w:t>
            </w:r>
            <w:r>
              <w:rPr>
                <w:rFonts w:hint="eastAsia" w:ascii="Times New Roman" w:hAnsi="Times New Roman" w:eastAsia="宋体" w:cs="Times New Roman"/>
                <w:color w:val="000000"/>
                <w:sz w:val="21"/>
                <w:szCs w:val="21"/>
                <w:highlight w:val="none"/>
                <w:lang w:val="en-US" w:eastAsia="zh-CN"/>
              </w:rPr>
              <w:t>占地面积</w:t>
            </w:r>
            <w:r>
              <w:rPr>
                <w:rFonts w:hint="eastAsia" w:cs="Times New Roman"/>
                <w:color w:val="000000"/>
                <w:sz w:val="21"/>
                <w:szCs w:val="21"/>
                <w:highlight w:val="none"/>
                <w:lang w:val="en-US" w:eastAsia="zh-CN"/>
              </w:rPr>
              <w:t>280</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33E63083">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lang w:val="en-US" w:eastAsia="zh-CN"/>
              </w:rPr>
              <w:t>租赁</w:t>
            </w:r>
          </w:p>
        </w:tc>
      </w:tr>
      <w:tr w14:paraId="160D2E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restart"/>
            <w:noWrap w:val="0"/>
            <w:vAlign w:val="center"/>
          </w:tcPr>
          <w:p w14:paraId="24CE2559">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公用</w:t>
            </w:r>
          </w:p>
          <w:p w14:paraId="54B9BBEA">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工程</w:t>
            </w:r>
          </w:p>
        </w:tc>
        <w:tc>
          <w:tcPr>
            <w:tcW w:w="1811" w:type="dxa"/>
            <w:gridSpan w:val="2"/>
            <w:noWrap w:val="0"/>
            <w:vAlign w:val="center"/>
          </w:tcPr>
          <w:p w14:paraId="24F51C40">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pacing w:val="3"/>
                <w:kern w:val="0"/>
                <w:sz w:val="21"/>
                <w:szCs w:val="21"/>
              </w:rPr>
              <w:t>供水</w:t>
            </w:r>
          </w:p>
        </w:tc>
        <w:tc>
          <w:tcPr>
            <w:tcW w:w="4524" w:type="dxa"/>
            <w:noWrap w:val="0"/>
            <w:vAlign w:val="center"/>
          </w:tcPr>
          <w:p w14:paraId="10A7E8F4">
            <w:pPr>
              <w:spacing w:line="240" w:lineRule="auto"/>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铺设供水管网输送新鲜水至项目区供应生产生活用水</w:t>
            </w:r>
          </w:p>
        </w:tc>
        <w:tc>
          <w:tcPr>
            <w:tcW w:w="1243" w:type="dxa"/>
            <w:noWrap w:val="0"/>
            <w:vAlign w:val="center"/>
          </w:tcPr>
          <w:p w14:paraId="6FFDCCB4">
            <w:pPr>
              <w:spacing w:line="240" w:lineRule="auto"/>
              <w:jc w:val="center"/>
              <w:rPr>
                <w:rFonts w:hint="default" w:ascii="Times New Roman" w:hAnsi="Times New Roman" w:eastAsia="宋体" w:cs="Times New Roman"/>
                <w:color w:val="000000"/>
                <w:sz w:val="21"/>
                <w:szCs w:val="21"/>
                <w:lang w:val="en-US" w:eastAsia="zh-CN"/>
              </w:rPr>
            </w:pPr>
            <w:r>
              <w:rPr>
                <w:rFonts w:hint="eastAsia" w:cs="Times New Roman"/>
                <w:color w:val="auto"/>
                <w:sz w:val="21"/>
                <w:szCs w:val="21"/>
                <w:lang w:val="en-US" w:eastAsia="zh-CN"/>
              </w:rPr>
              <w:t>租赁</w:t>
            </w:r>
          </w:p>
        </w:tc>
      </w:tr>
      <w:tr w14:paraId="79C927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41894B18">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restart"/>
            <w:noWrap w:val="0"/>
            <w:vAlign w:val="center"/>
          </w:tcPr>
          <w:p w14:paraId="68F3A25E">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排水</w:t>
            </w:r>
          </w:p>
        </w:tc>
        <w:tc>
          <w:tcPr>
            <w:tcW w:w="4524" w:type="dxa"/>
            <w:noWrap w:val="0"/>
            <w:vAlign w:val="center"/>
          </w:tcPr>
          <w:p w14:paraId="7E85A7A6">
            <w:pPr>
              <w:spacing w:line="240" w:lineRule="auto"/>
              <w:jc w:val="center"/>
              <w:rPr>
                <w:rFonts w:hint="default" w:ascii="Times New Roman" w:hAnsi="Times New Roman" w:eastAsia="宋体" w:cs="Times New Roman"/>
                <w:bCs/>
                <w:sz w:val="21"/>
                <w:szCs w:val="21"/>
              </w:rPr>
            </w:pPr>
            <w:r>
              <w:rPr>
                <w:rFonts w:hint="eastAsia" w:cs="Times New Roman"/>
                <w:color w:val="000000"/>
                <w:sz w:val="21"/>
                <w:szCs w:val="21"/>
                <w:lang w:val="en-US" w:eastAsia="zh-CN"/>
              </w:rPr>
              <w:t>牛尿经发酵垫料消纳，</w:t>
            </w:r>
            <w:r>
              <w:rPr>
                <w:rFonts w:hint="default" w:ascii="Times New Roman" w:hAnsi="Times New Roman" w:eastAsia="宋体" w:cs="Times New Roman"/>
                <w:bCs/>
                <w:color w:val="000000"/>
                <w:sz w:val="21"/>
                <w:szCs w:val="21"/>
              </w:rPr>
              <w:t>无</w:t>
            </w:r>
            <w:r>
              <w:rPr>
                <w:rFonts w:hint="eastAsia" w:cs="Times New Roman"/>
                <w:bCs/>
                <w:color w:val="000000"/>
                <w:sz w:val="21"/>
                <w:szCs w:val="21"/>
                <w:lang w:val="en-US" w:eastAsia="zh-CN"/>
              </w:rPr>
              <w:t>养殖</w:t>
            </w:r>
            <w:r>
              <w:rPr>
                <w:rFonts w:hint="default" w:ascii="Times New Roman" w:hAnsi="Times New Roman" w:eastAsia="宋体" w:cs="Times New Roman"/>
                <w:bCs/>
                <w:color w:val="000000"/>
                <w:sz w:val="21"/>
                <w:szCs w:val="21"/>
              </w:rPr>
              <w:t>废水排放</w:t>
            </w:r>
          </w:p>
        </w:tc>
        <w:tc>
          <w:tcPr>
            <w:tcW w:w="1243" w:type="dxa"/>
            <w:noWrap w:val="0"/>
            <w:vAlign w:val="center"/>
          </w:tcPr>
          <w:p w14:paraId="6E818A57">
            <w:pPr>
              <w:spacing w:line="240" w:lineRule="auto"/>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w:t>
            </w:r>
          </w:p>
        </w:tc>
      </w:tr>
      <w:tr w14:paraId="393AF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6419DAD2">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continue"/>
            <w:noWrap w:val="0"/>
            <w:vAlign w:val="center"/>
          </w:tcPr>
          <w:p w14:paraId="6940589A">
            <w:pPr>
              <w:spacing w:line="240" w:lineRule="auto"/>
              <w:jc w:val="center"/>
              <w:rPr>
                <w:rFonts w:hint="default" w:ascii="Times New Roman" w:hAnsi="Times New Roman" w:eastAsia="宋体" w:cs="Times New Roman"/>
                <w:color w:val="000000"/>
                <w:sz w:val="21"/>
                <w:szCs w:val="21"/>
              </w:rPr>
            </w:pPr>
          </w:p>
        </w:tc>
        <w:tc>
          <w:tcPr>
            <w:tcW w:w="4524" w:type="dxa"/>
            <w:noWrap w:val="0"/>
            <w:vAlign w:val="center"/>
          </w:tcPr>
          <w:p w14:paraId="3121679B">
            <w:pPr>
              <w:spacing w:line="240" w:lineRule="auto"/>
              <w:jc w:val="center"/>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员工均为周边连队居民，不在项目区内食宿，生活污水均依托居民住房已有污水设施，项目区无生活污水</w:t>
            </w:r>
          </w:p>
        </w:tc>
        <w:tc>
          <w:tcPr>
            <w:tcW w:w="1243" w:type="dxa"/>
            <w:noWrap w:val="0"/>
            <w:vAlign w:val="center"/>
          </w:tcPr>
          <w:p w14:paraId="76E8BAEC">
            <w:pPr>
              <w:spacing w:line="240" w:lineRule="auto"/>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依托</w:t>
            </w:r>
          </w:p>
        </w:tc>
      </w:tr>
      <w:tr w14:paraId="71845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45289E73">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noWrap w:val="0"/>
            <w:vAlign w:val="center"/>
          </w:tcPr>
          <w:p w14:paraId="3799DF39">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供电</w:t>
            </w:r>
          </w:p>
        </w:tc>
        <w:tc>
          <w:tcPr>
            <w:tcW w:w="4524" w:type="dxa"/>
            <w:noWrap w:val="0"/>
            <w:vAlign w:val="center"/>
          </w:tcPr>
          <w:p w14:paraId="6EE91E96">
            <w:pPr>
              <w:spacing w:line="240" w:lineRule="auto"/>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市政电网供给</w:t>
            </w:r>
          </w:p>
        </w:tc>
        <w:tc>
          <w:tcPr>
            <w:tcW w:w="1243" w:type="dxa"/>
            <w:noWrap w:val="0"/>
            <w:vAlign w:val="center"/>
          </w:tcPr>
          <w:p w14:paraId="0599FD1A">
            <w:pPr>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000000"/>
                <w:sz w:val="21"/>
                <w:szCs w:val="21"/>
                <w:lang w:val="en-US" w:eastAsia="zh-CN"/>
              </w:rPr>
              <w:t>依托</w:t>
            </w:r>
          </w:p>
        </w:tc>
      </w:tr>
      <w:tr w14:paraId="17CE5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restart"/>
            <w:noWrap w:val="0"/>
            <w:vAlign w:val="center"/>
          </w:tcPr>
          <w:p w14:paraId="7D8178CA">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环保</w:t>
            </w:r>
          </w:p>
          <w:p w14:paraId="2F2FF149">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工程</w:t>
            </w:r>
          </w:p>
        </w:tc>
        <w:tc>
          <w:tcPr>
            <w:tcW w:w="1811" w:type="dxa"/>
            <w:gridSpan w:val="2"/>
            <w:vMerge w:val="restart"/>
            <w:noWrap w:val="0"/>
            <w:vAlign w:val="center"/>
          </w:tcPr>
          <w:p w14:paraId="216E4D28">
            <w:pPr>
              <w:adjustRightInd w:val="0"/>
              <w:snapToGrid w:val="0"/>
              <w:spacing w:line="240" w:lineRule="auto"/>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废气处理</w:t>
            </w:r>
          </w:p>
        </w:tc>
        <w:tc>
          <w:tcPr>
            <w:tcW w:w="4524" w:type="dxa"/>
            <w:noWrap w:val="0"/>
            <w:vAlign w:val="center"/>
          </w:tcPr>
          <w:p w14:paraId="74D37835">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科学配比饲料、</w:t>
            </w:r>
            <w:r>
              <w:rPr>
                <w:rFonts w:hint="default" w:ascii="Times New Roman" w:hAnsi="Times New Roman" w:eastAsia="宋体" w:cs="Times New Roman"/>
                <w:color w:val="auto"/>
                <w:sz w:val="21"/>
                <w:szCs w:val="21"/>
                <w:vertAlign w:val="baseline"/>
                <w:lang w:val="en-US" w:eastAsia="zh-CN"/>
              </w:rPr>
              <w:t>喷洒除臭剂</w:t>
            </w:r>
            <w:r>
              <w:rPr>
                <w:rFonts w:hint="eastAsia" w:ascii="Times New Roman" w:hAnsi="Times New Roman" w:eastAsia="宋体" w:cs="Times New Roman"/>
                <w:color w:val="auto"/>
                <w:sz w:val="21"/>
                <w:szCs w:val="21"/>
                <w:vertAlign w:val="baseline"/>
                <w:lang w:val="en-US" w:eastAsia="zh-CN"/>
              </w:rPr>
              <w:t>、加强厂区绿化控制养殖恶臭</w:t>
            </w:r>
            <w:r>
              <w:rPr>
                <w:rFonts w:hint="eastAsia" w:eastAsia="宋体" w:cs="Times New Roman"/>
                <w:color w:val="auto"/>
                <w:kern w:val="0"/>
                <w:sz w:val="21"/>
                <w:szCs w:val="24"/>
                <w:highlight w:val="none"/>
                <w:lang w:val="en-US" w:eastAsia="zh-CN" w:bidi="ar-SA"/>
              </w:rPr>
              <w:t>。</w:t>
            </w:r>
          </w:p>
        </w:tc>
        <w:tc>
          <w:tcPr>
            <w:tcW w:w="1243" w:type="dxa"/>
            <w:noWrap w:val="0"/>
            <w:vAlign w:val="center"/>
          </w:tcPr>
          <w:p w14:paraId="3745FFAD">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新建</w:t>
            </w:r>
          </w:p>
        </w:tc>
      </w:tr>
      <w:tr w14:paraId="0F495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1869B4D4">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continue"/>
            <w:noWrap w:val="0"/>
            <w:vAlign w:val="center"/>
          </w:tcPr>
          <w:p w14:paraId="50A01CDB">
            <w:pPr>
              <w:adjustRightInd w:val="0"/>
              <w:snapToGrid w:val="0"/>
              <w:spacing w:line="240" w:lineRule="auto"/>
              <w:jc w:val="center"/>
              <w:rPr>
                <w:rFonts w:hint="default" w:ascii="Times New Roman" w:hAnsi="Times New Roman" w:eastAsia="宋体" w:cs="Times New Roman"/>
                <w:color w:val="000000"/>
                <w:sz w:val="21"/>
                <w:szCs w:val="21"/>
                <w:lang w:eastAsia="zh-CN"/>
              </w:rPr>
            </w:pPr>
          </w:p>
        </w:tc>
        <w:tc>
          <w:tcPr>
            <w:tcW w:w="4524" w:type="dxa"/>
            <w:noWrap w:val="0"/>
            <w:vAlign w:val="center"/>
          </w:tcPr>
          <w:p w14:paraId="5B5E0ADB">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饲料搅拌粉尘设置洒水降尘+润湿搅拌工艺控制</w:t>
            </w:r>
          </w:p>
        </w:tc>
        <w:tc>
          <w:tcPr>
            <w:tcW w:w="1243" w:type="dxa"/>
            <w:noWrap w:val="0"/>
            <w:vAlign w:val="center"/>
          </w:tcPr>
          <w:p w14:paraId="1BB0CF4D">
            <w:pPr>
              <w:spacing w:line="240" w:lineRule="auto"/>
              <w:jc w:val="center"/>
              <w:rPr>
                <w:rFonts w:hint="eastAsia" w:cs="Times New Roman"/>
                <w:color w:val="auto"/>
                <w:sz w:val="21"/>
                <w:szCs w:val="21"/>
                <w:lang w:val="en-US" w:eastAsia="zh-CN"/>
              </w:rPr>
            </w:pPr>
            <w:r>
              <w:rPr>
                <w:rFonts w:hint="eastAsia" w:cs="Times New Roman"/>
                <w:color w:val="000000"/>
                <w:sz w:val="21"/>
                <w:szCs w:val="21"/>
                <w:lang w:val="en-US" w:eastAsia="zh-CN"/>
              </w:rPr>
              <w:t>新建</w:t>
            </w:r>
          </w:p>
        </w:tc>
      </w:tr>
      <w:tr w14:paraId="2C128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64FF030A">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restart"/>
            <w:noWrap w:val="0"/>
            <w:vAlign w:val="center"/>
          </w:tcPr>
          <w:p w14:paraId="1EF28236">
            <w:pPr>
              <w:adjustRightInd w:val="0"/>
              <w:snapToGrid w:val="0"/>
              <w:spacing w:line="240" w:lineRule="auto"/>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color w:val="000000"/>
                <w:sz w:val="21"/>
                <w:szCs w:val="21"/>
              </w:rPr>
              <w:t>废水处理</w:t>
            </w:r>
          </w:p>
        </w:tc>
        <w:tc>
          <w:tcPr>
            <w:tcW w:w="4524" w:type="dxa"/>
            <w:noWrap w:val="0"/>
            <w:vAlign w:val="center"/>
          </w:tcPr>
          <w:p w14:paraId="071E5917">
            <w:pPr>
              <w:spacing w:line="240" w:lineRule="auto"/>
              <w:jc w:val="center"/>
              <w:rPr>
                <w:rFonts w:hint="eastAsia" w:ascii="Times New Roman" w:hAnsi="Times New Roman" w:eastAsia="宋体" w:cs="Times New Roman"/>
                <w:color w:val="auto"/>
                <w:sz w:val="21"/>
                <w:szCs w:val="21"/>
                <w:lang w:val="en-US" w:eastAsia="zh-CN"/>
              </w:rPr>
            </w:pPr>
            <w:r>
              <w:rPr>
                <w:rFonts w:hint="eastAsia" w:cs="Times New Roman"/>
                <w:color w:val="000000"/>
                <w:sz w:val="21"/>
                <w:szCs w:val="21"/>
                <w:lang w:val="en-US" w:eastAsia="zh-CN"/>
              </w:rPr>
              <w:t>牛尿经发酵垫料消纳，</w:t>
            </w:r>
            <w:r>
              <w:rPr>
                <w:rFonts w:hint="default" w:ascii="Times New Roman" w:hAnsi="Times New Roman" w:eastAsia="宋体" w:cs="Times New Roman"/>
                <w:bCs/>
                <w:color w:val="000000"/>
                <w:sz w:val="21"/>
                <w:szCs w:val="21"/>
              </w:rPr>
              <w:t>无</w:t>
            </w:r>
            <w:r>
              <w:rPr>
                <w:rFonts w:hint="eastAsia" w:cs="Times New Roman"/>
                <w:bCs/>
                <w:color w:val="000000"/>
                <w:sz w:val="21"/>
                <w:szCs w:val="21"/>
                <w:lang w:val="en-US" w:eastAsia="zh-CN"/>
              </w:rPr>
              <w:t>养殖</w:t>
            </w:r>
            <w:r>
              <w:rPr>
                <w:rFonts w:hint="default" w:ascii="Times New Roman" w:hAnsi="Times New Roman" w:eastAsia="宋体" w:cs="Times New Roman"/>
                <w:bCs/>
                <w:color w:val="000000"/>
                <w:sz w:val="21"/>
                <w:szCs w:val="21"/>
              </w:rPr>
              <w:t>废水排放</w:t>
            </w:r>
          </w:p>
        </w:tc>
        <w:tc>
          <w:tcPr>
            <w:tcW w:w="1243" w:type="dxa"/>
            <w:noWrap w:val="0"/>
            <w:vAlign w:val="center"/>
          </w:tcPr>
          <w:p w14:paraId="57055D5D">
            <w:pPr>
              <w:spacing w:line="240" w:lineRule="auto"/>
              <w:jc w:val="center"/>
              <w:rPr>
                <w:rFonts w:hint="eastAsia" w:ascii="Times New Roman" w:hAnsi="Times New Roman" w:eastAsia="宋体" w:cs="Times New Roman"/>
                <w:color w:val="auto"/>
                <w:sz w:val="21"/>
                <w:szCs w:val="21"/>
                <w:lang w:val="en-US" w:eastAsia="zh-CN"/>
              </w:rPr>
            </w:pPr>
            <w:r>
              <w:rPr>
                <w:rFonts w:hint="eastAsia" w:cs="Times New Roman"/>
                <w:bCs/>
                <w:sz w:val="21"/>
                <w:szCs w:val="21"/>
                <w:lang w:val="en-US" w:eastAsia="zh-CN"/>
              </w:rPr>
              <w:t>/</w:t>
            </w:r>
          </w:p>
        </w:tc>
      </w:tr>
      <w:tr w14:paraId="2CED4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367202FC">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continue"/>
            <w:noWrap w:val="0"/>
            <w:vAlign w:val="center"/>
          </w:tcPr>
          <w:p w14:paraId="20B50C9C">
            <w:pPr>
              <w:adjustRightInd w:val="0"/>
              <w:snapToGrid w:val="0"/>
              <w:spacing w:line="240" w:lineRule="auto"/>
              <w:jc w:val="center"/>
              <w:rPr>
                <w:rFonts w:hint="default" w:ascii="Times New Roman" w:hAnsi="Times New Roman" w:eastAsia="宋体" w:cs="Times New Roman"/>
                <w:color w:val="000000"/>
                <w:sz w:val="21"/>
                <w:szCs w:val="21"/>
              </w:rPr>
            </w:pPr>
          </w:p>
        </w:tc>
        <w:tc>
          <w:tcPr>
            <w:tcW w:w="4524" w:type="dxa"/>
            <w:noWrap w:val="0"/>
            <w:vAlign w:val="center"/>
          </w:tcPr>
          <w:p w14:paraId="09DCBC7F">
            <w:pPr>
              <w:spacing w:line="240" w:lineRule="auto"/>
              <w:jc w:val="center"/>
              <w:rPr>
                <w:rFonts w:hint="eastAsia"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员工均为周边连队居民，不在项目区内食宿，生活污水均依托居民住房已有污水设施，项目区无生活污水</w:t>
            </w:r>
          </w:p>
        </w:tc>
        <w:tc>
          <w:tcPr>
            <w:tcW w:w="1243" w:type="dxa"/>
            <w:noWrap w:val="0"/>
            <w:vAlign w:val="center"/>
          </w:tcPr>
          <w:p w14:paraId="23F075E9">
            <w:pPr>
              <w:spacing w:line="240" w:lineRule="auto"/>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依托</w:t>
            </w:r>
          </w:p>
        </w:tc>
      </w:tr>
      <w:tr w14:paraId="0DB0E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926" w:type="dxa"/>
            <w:vMerge w:val="continue"/>
            <w:noWrap w:val="0"/>
            <w:vAlign w:val="center"/>
          </w:tcPr>
          <w:p w14:paraId="6BB7F312">
            <w:pPr>
              <w:spacing w:line="240" w:lineRule="auto"/>
              <w:jc w:val="center"/>
              <w:rPr>
                <w:rFonts w:hint="default" w:ascii="Times New Roman" w:hAnsi="Times New Roman" w:eastAsia="宋体" w:cs="Times New Roman"/>
                <w:color w:val="000000"/>
                <w:spacing w:val="3"/>
                <w:kern w:val="0"/>
                <w:sz w:val="21"/>
                <w:szCs w:val="21"/>
              </w:rPr>
            </w:pPr>
          </w:p>
        </w:tc>
        <w:tc>
          <w:tcPr>
            <w:tcW w:w="859" w:type="dxa"/>
            <w:vMerge w:val="restart"/>
            <w:noWrap w:val="0"/>
            <w:vAlign w:val="center"/>
          </w:tcPr>
          <w:p w14:paraId="5B1093A6">
            <w:pPr>
              <w:adjustRightInd w:val="0"/>
              <w:snapToGrid w:val="0"/>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固体废物处理</w:t>
            </w:r>
          </w:p>
        </w:tc>
        <w:tc>
          <w:tcPr>
            <w:tcW w:w="952" w:type="dxa"/>
            <w:noWrap w:val="0"/>
            <w:vAlign w:val="center"/>
          </w:tcPr>
          <w:p w14:paraId="7648A611">
            <w:pPr>
              <w:adjustRightInd w:val="0"/>
              <w:snapToGrid w:val="0"/>
              <w:spacing w:line="240" w:lineRule="auto"/>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牛粪及废发酵垫料</w:t>
            </w:r>
          </w:p>
        </w:tc>
        <w:tc>
          <w:tcPr>
            <w:tcW w:w="4524" w:type="dxa"/>
            <w:noWrap w:val="0"/>
            <w:vAlign w:val="center"/>
          </w:tcPr>
          <w:p w14:paraId="388DA77E">
            <w:pPr>
              <w:spacing w:line="240" w:lineRule="auto"/>
              <w:jc w:val="center"/>
              <w:rPr>
                <w:rFonts w:hint="default" w:eastAsia="宋体" w:cs="Times New Roman"/>
                <w:color w:val="auto"/>
                <w:sz w:val="21"/>
                <w:szCs w:val="21"/>
                <w:lang w:val="en-US" w:eastAsia="zh-CN"/>
              </w:rPr>
            </w:pPr>
            <w:r>
              <w:rPr>
                <w:rFonts w:hint="eastAsia" w:cs="Times New Roman"/>
                <w:color w:val="auto"/>
                <w:sz w:val="21"/>
                <w:szCs w:val="21"/>
                <w:lang w:val="en-US" w:eastAsia="zh-CN"/>
              </w:rPr>
              <w:t>经原位发酵床发酵完毕后还田</w:t>
            </w:r>
          </w:p>
        </w:tc>
        <w:tc>
          <w:tcPr>
            <w:tcW w:w="1243" w:type="dxa"/>
            <w:noWrap w:val="0"/>
            <w:vAlign w:val="center"/>
          </w:tcPr>
          <w:p w14:paraId="0C1077FC">
            <w:pPr>
              <w:spacing w:line="240" w:lineRule="auto"/>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新建</w:t>
            </w:r>
          </w:p>
        </w:tc>
      </w:tr>
      <w:tr w14:paraId="3BCF0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4F64FBF9">
            <w:pPr>
              <w:spacing w:line="240" w:lineRule="auto"/>
              <w:jc w:val="center"/>
              <w:rPr>
                <w:rFonts w:hint="default" w:ascii="Times New Roman" w:hAnsi="Times New Roman" w:eastAsia="宋体" w:cs="Times New Roman"/>
                <w:color w:val="000000"/>
                <w:spacing w:val="3"/>
                <w:kern w:val="0"/>
                <w:sz w:val="21"/>
                <w:szCs w:val="21"/>
              </w:rPr>
            </w:pPr>
          </w:p>
        </w:tc>
        <w:tc>
          <w:tcPr>
            <w:tcW w:w="859" w:type="dxa"/>
            <w:vMerge w:val="continue"/>
            <w:noWrap w:val="0"/>
            <w:vAlign w:val="center"/>
          </w:tcPr>
          <w:p w14:paraId="3AE1C0DD">
            <w:pPr>
              <w:spacing w:line="240" w:lineRule="auto"/>
              <w:jc w:val="center"/>
              <w:rPr>
                <w:rFonts w:hint="default" w:ascii="Times New Roman" w:hAnsi="Times New Roman" w:eastAsia="宋体" w:cs="Times New Roman"/>
                <w:bCs/>
                <w:color w:val="000000"/>
                <w:sz w:val="21"/>
                <w:szCs w:val="21"/>
              </w:rPr>
            </w:pPr>
          </w:p>
        </w:tc>
        <w:tc>
          <w:tcPr>
            <w:tcW w:w="952" w:type="dxa"/>
            <w:noWrap w:val="0"/>
            <w:vAlign w:val="center"/>
          </w:tcPr>
          <w:p w14:paraId="2CE33647">
            <w:pPr>
              <w:spacing w:line="240" w:lineRule="auto"/>
              <w:jc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sz w:val="21"/>
                <w:szCs w:val="21"/>
              </w:rPr>
              <w:t>医疗废物</w:t>
            </w:r>
          </w:p>
        </w:tc>
        <w:tc>
          <w:tcPr>
            <w:tcW w:w="4524" w:type="dxa"/>
            <w:noWrap w:val="0"/>
            <w:vAlign w:val="center"/>
          </w:tcPr>
          <w:p w14:paraId="045774BD">
            <w:pPr>
              <w:spacing w:line="240" w:lineRule="auto"/>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由兽医回收，不在厂区内暂存</w:t>
            </w:r>
          </w:p>
        </w:tc>
        <w:tc>
          <w:tcPr>
            <w:tcW w:w="1243" w:type="dxa"/>
            <w:noWrap w:val="0"/>
            <w:vAlign w:val="center"/>
          </w:tcPr>
          <w:p w14:paraId="203547CB">
            <w:pPr>
              <w:spacing w:line="240" w:lineRule="auto"/>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w:t>
            </w:r>
          </w:p>
        </w:tc>
      </w:tr>
      <w:tr w14:paraId="09785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505559AA">
            <w:pPr>
              <w:spacing w:line="240" w:lineRule="auto"/>
              <w:jc w:val="center"/>
              <w:rPr>
                <w:rFonts w:hint="default" w:ascii="Times New Roman" w:hAnsi="Times New Roman" w:eastAsia="宋体" w:cs="Times New Roman"/>
                <w:color w:val="000000"/>
                <w:spacing w:val="3"/>
                <w:kern w:val="0"/>
                <w:sz w:val="21"/>
                <w:szCs w:val="21"/>
              </w:rPr>
            </w:pPr>
          </w:p>
        </w:tc>
        <w:tc>
          <w:tcPr>
            <w:tcW w:w="859" w:type="dxa"/>
            <w:vMerge w:val="continue"/>
            <w:noWrap w:val="0"/>
            <w:vAlign w:val="center"/>
          </w:tcPr>
          <w:p w14:paraId="632AC225">
            <w:pPr>
              <w:spacing w:line="240" w:lineRule="auto"/>
              <w:jc w:val="center"/>
              <w:rPr>
                <w:rFonts w:hint="default" w:ascii="Times New Roman" w:hAnsi="Times New Roman" w:eastAsia="宋体" w:cs="Times New Roman"/>
                <w:color w:val="000000"/>
                <w:spacing w:val="3"/>
                <w:kern w:val="0"/>
                <w:sz w:val="21"/>
                <w:szCs w:val="21"/>
              </w:rPr>
            </w:pPr>
          </w:p>
        </w:tc>
        <w:tc>
          <w:tcPr>
            <w:tcW w:w="952" w:type="dxa"/>
            <w:noWrap w:val="0"/>
            <w:vAlign w:val="center"/>
          </w:tcPr>
          <w:p w14:paraId="5B77E249">
            <w:pPr>
              <w:spacing w:line="240" w:lineRule="auto"/>
              <w:jc w:val="center"/>
              <w:rPr>
                <w:rFonts w:hint="default" w:ascii="Times New Roman" w:hAnsi="Times New Roman" w:eastAsia="宋体" w:cs="Times New Roman"/>
                <w:color w:val="000000"/>
                <w:spacing w:val="3"/>
                <w:kern w:val="0"/>
                <w:sz w:val="21"/>
                <w:szCs w:val="21"/>
                <w:lang w:eastAsia="zh-CN"/>
              </w:rPr>
            </w:pPr>
            <w:r>
              <w:rPr>
                <w:rFonts w:hint="default" w:ascii="Times New Roman" w:hAnsi="Times New Roman" w:eastAsia="宋体" w:cs="Times New Roman"/>
                <w:color w:val="000000"/>
                <w:spacing w:val="3"/>
                <w:kern w:val="0"/>
                <w:sz w:val="21"/>
                <w:szCs w:val="21"/>
              </w:rPr>
              <w:t>病死</w:t>
            </w:r>
            <w:r>
              <w:rPr>
                <w:rFonts w:hint="eastAsia" w:ascii="Times New Roman" w:hAnsi="Times New Roman" w:eastAsia="宋体" w:cs="Times New Roman"/>
                <w:color w:val="000000"/>
                <w:spacing w:val="3"/>
                <w:kern w:val="0"/>
                <w:sz w:val="21"/>
                <w:szCs w:val="21"/>
                <w:lang w:val="en-US" w:eastAsia="zh-CN"/>
              </w:rPr>
              <w:t>牛</w:t>
            </w:r>
            <w:r>
              <w:rPr>
                <w:rFonts w:hint="default" w:ascii="Times New Roman" w:hAnsi="Times New Roman" w:eastAsia="宋体" w:cs="Times New Roman"/>
                <w:color w:val="000000"/>
                <w:spacing w:val="3"/>
                <w:kern w:val="0"/>
                <w:sz w:val="21"/>
                <w:szCs w:val="21"/>
              </w:rPr>
              <w:t>尸</w:t>
            </w:r>
          </w:p>
        </w:tc>
        <w:tc>
          <w:tcPr>
            <w:tcW w:w="4524" w:type="dxa"/>
            <w:noWrap w:val="0"/>
            <w:vAlign w:val="center"/>
          </w:tcPr>
          <w:p w14:paraId="7936E327">
            <w:pPr>
              <w:spacing w:line="240" w:lineRule="auto"/>
              <w:jc w:val="center"/>
              <w:rPr>
                <w:rFonts w:hint="default" w:ascii="Times New Roman" w:hAnsi="Times New Roman" w:eastAsia="宋体" w:cs="Times New Roman"/>
                <w:color w:val="auto"/>
                <w:sz w:val="21"/>
                <w:szCs w:val="21"/>
              </w:rPr>
            </w:pPr>
            <w:r>
              <w:rPr>
                <w:rFonts w:hint="eastAsia" w:eastAsia="宋体" w:cs="Times New Roman"/>
                <w:color w:val="auto"/>
                <w:sz w:val="21"/>
                <w:szCs w:val="21"/>
                <w:lang w:val="en-US" w:eastAsia="zh-CN"/>
              </w:rPr>
              <w:t>委托胡杨河市题桥环保科技有限公司进行无害化处置</w:t>
            </w:r>
          </w:p>
        </w:tc>
        <w:tc>
          <w:tcPr>
            <w:tcW w:w="1243" w:type="dxa"/>
            <w:noWrap w:val="0"/>
            <w:vAlign w:val="center"/>
          </w:tcPr>
          <w:p w14:paraId="73FF207F">
            <w:pPr>
              <w:spacing w:line="240" w:lineRule="auto"/>
              <w:jc w:val="center"/>
              <w:rPr>
                <w:rFonts w:hint="default" w:ascii="Times New Roman" w:hAnsi="Times New Roman" w:eastAsia="宋体" w:cs="Times New Roman"/>
                <w:color w:val="auto"/>
                <w:sz w:val="21"/>
                <w:szCs w:val="21"/>
              </w:rPr>
            </w:pPr>
            <w:r>
              <w:rPr>
                <w:rFonts w:hint="eastAsia" w:cs="Times New Roman"/>
                <w:color w:val="000000"/>
                <w:sz w:val="21"/>
                <w:szCs w:val="21"/>
                <w:lang w:val="en-US" w:eastAsia="zh-CN"/>
              </w:rPr>
              <w:t>依托</w:t>
            </w:r>
          </w:p>
        </w:tc>
      </w:tr>
      <w:tr w14:paraId="53FEA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72F5D1BD">
            <w:pPr>
              <w:spacing w:line="240" w:lineRule="auto"/>
              <w:jc w:val="center"/>
              <w:rPr>
                <w:rFonts w:hint="default" w:ascii="Times New Roman" w:hAnsi="Times New Roman" w:eastAsia="宋体" w:cs="Times New Roman"/>
                <w:color w:val="000000"/>
                <w:spacing w:val="3"/>
                <w:sz w:val="21"/>
                <w:szCs w:val="21"/>
              </w:rPr>
            </w:pPr>
          </w:p>
        </w:tc>
        <w:tc>
          <w:tcPr>
            <w:tcW w:w="859" w:type="dxa"/>
            <w:vMerge w:val="continue"/>
            <w:noWrap w:val="0"/>
            <w:vAlign w:val="center"/>
          </w:tcPr>
          <w:p w14:paraId="5F891147">
            <w:pPr>
              <w:spacing w:line="240" w:lineRule="auto"/>
              <w:jc w:val="center"/>
              <w:rPr>
                <w:rFonts w:hint="default" w:ascii="Times New Roman" w:hAnsi="Times New Roman" w:eastAsia="宋体" w:cs="Times New Roman"/>
                <w:color w:val="000000"/>
                <w:spacing w:val="3"/>
                <w:sz w:val="21"/>
                <w:szCs w:val="21"/>
              </w:rPr>
            </w:pPr>
          </w:p>
        </w:tc>
        <w:tc>
          <w:tcPr>
            <w:tcW w:w="952" w:type="dxa"/>
            <w:noWrap w:val="0"/>
            <w:vAlign w:val="center"/>
          </w:tcPr>
          <w:p w14:paraId="7124C267">
            <w:pPr>
              <w:spacing w:line="240" w:lineRule="auto"/>
              <w:jc w:val="center"/>
              <w:rPr>
                <w:rFonts w:hint="default" w:ascii="Times New Roman" w:hAnsi="Times New Roman" w:eastAsia="宋体" w:cs="Times New Roman"/>
                <w:color w:val="000000"/>
                <w:spacing w:val="3"/>
                <w:sz w:val="21"/>
                <w:szCs w:val="21"/>
                <w:lang w:val="en-US" w:eastAsia="zh-CN"/>
              </w:rPr>
            </w:pPr>
            <w:r>
              <w:rPr>
                <w:rFonts w:hint="eastAsia" w:eastAsia="宋体" w:cs="Times New Roman"/>
                <w:color w:val="000000"/>
                <w:spacing w:val="3"/>
                <w:sz w:val="21"/>
                <w:szCs w:val="21"/>
                <w:lang w:val="en-US" w:eastAsia="zh-CN"/>
              </w:rPr>
              <w:t>废包装材料</w:t>
            </w:r>
          </w:p>
        </w:tc>
        <w:tc>
          <w:tcPr>
            <w:tcW w:w="4524" w:type="dxa"/>
            <w:noWrap w:val="0"/>
            <w:vAlign w:val="center"/>
          </w:tcPr>
          <w:p w14:paraId="7F66A01E">
            <w:pPr>
              <w:spacing w:line="240" w:lineRule="auto"/>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分类暂存</w:t>
            </w:r>
            <w:r>
              <w:rPr>
                <w:rFonts w:hint="eastAsia" w:cs="Times New Roman"/>
                <w:color w:val="000000"/>
                <w:sz w:val="21"/>
                <w:szCs w:val="21"/>
                <w:lang w:val="en-US" w:eastAsia="zh-CN"/>
              </w:rPr>
              <w:t>于消毒室内</w:t>
            </w:r>
            <w:r>
              <w:rPr>
                <w:rFonts w:hint="default" w:ascii="Times New Roman" w:hAnsi="Times New Roman" w:eastAsia="宋体" w:cs="Times New Roman"/>
                <w:color w:val="000000"/>
                <w:sz w:val="21"/>
                <w:szCs w:val="21"/>
                <w:lang w:val="en-US" w:eastAsia="zh-CN"/>
              </w:rPr>
              <w:t>，定期</w:t>
            </w:r>
            <w:r>
              <w:rPr>
                <w:rFonts w:hint="eastAsia" w:cs="Times New Roman"/>
                <w:color w:val="000000"/>
                <w:sz w:val="21"/>
                <w:szCs w:val="21"/>
                <w:lang w:val="en-US" w:eastAsia="zh-CN"/>
              </w:rPr>
              <w:t>由原厂回收</w:t>
            </w:r>
          </w:p>
        </w:tc>
        <w:tc>
          <w:tcPr>
            <w:tcW w:w="1243" w:type="dxa"/>
            <w:noWrap w:val="0"/>
            <w:vAlign w:val="center"/>
          </w:tcPr>
          <w:p w14:paraId="0E664885">
            <w:pPr>
              <w:spacing w:line="240" w:lineRule="auto"/>
              <w:jc w:val="center"/>
              <w:rPr>
                <w:rFonts w:hint="eastAsia" w:ascii="Times New Roman" w:hAnsi="Times New Roman" w:eastAsia="宋体" w:cs="Times New Roman"/>
                <w:bCs/>
                <w:sz w:val="21"/>
                <w:szCs w:val="21"/>
                <w:lang w:val="en-US" w:eastAsia="zh-CN"/>
              </w:rPr>
            </w:pPr>
            <w:r>
              <w:rPr>
                <w:rFonts w:hint="eastAsia" w:cs="Times New Roman"/>
                <w:color w:val="000000"/>
                <w:sz w:val="21"/>
                <w:szCs w:val="21"/>
                <w:lang w:val="en-US" w:eastAsia="zh-CN"/>
              </w:rPr>
              <w:t>新建</w:t>
            </w:r>
          </w:p>
        </w:tc>
      </w:tr>
      <w:tr w14:paraId="1C7BC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125C1EC6">
            <w:pPr>
              <w:spacing w:line="240" w:lineRule="auto"/>
              <w:jc w:val="center"/>
              <w:rPr>
                <w:rFonts w:hint="default" w:ascii="Times New Roman" w:hAnsi="Times New Roman" w:eastAsia="宋体" w:cs="Times New Roman"/>
                <w:color w:val="000000"/>
                <w:spacing w:val="3"/>
                <w:sz w:val="21"/>
                <w:szCs w:val="21"/>
              </w:rPr>
            </w:pPr>
          </w:p>
        </w:tc>
        <w:tc>
          <w:tcPr>
            <w:tcW w:w="859" w:type="dxa"/>
            <w:vMerge w:val="continue"/>
            <w:noWrap w:val="0"/>
            <w:vAlign w:val="center"/>
          </w:tcPr>
          <w:p w14:paraId="546AA043">
            <w:pPr>
              <w:spacing w:line="240" w:lineRule="auto"/>
              <w:jc w:val="center"/>
              <w:rPr>
                <w:rFonts w:hint="default" w:ascii="Times New Roman" w:hAnsi="Times New Roman" w:eastAsia="宋体" w:cs="Times New Roman"/>
                <w:color w:val="000000"/>
                <w:spacing w:val="3"/>
                <w:sz w:val="21"/>
                <w:szCs w:val="21"/>
              </w:rPr>
            </w:pPr>
          </w:p>
        </w:tc>
        <w:tc>
          <w:tcPr>
            <w:tcW w:w="952" w:type="dxa"/>
            <w:noWrap w:val="0"/>
            <w:vAlign w:val="center"/>
          </w:tcPr>
          <w:p w14:paraId="686DF29A">
            <w:pPr>
              <w:spacing w:line="240" w:lineRule="auto"/>
              <w:jc w:val="center"/>
              <w:rPr>
                <w:rFonts w:hint="default" w:ascii="Times New Roman" w:hAnsi="Times New Roman" w:eastAsia="宋体" w:cs="Times New Roman"/>
                <w:color w:val="000000"/>
                <w:spacing w:val="3"/>
                <w:sz w:val="21"/>
                <w:szCs w:val="21"/>
              </w:rPr>
            </w:pPr>
            <w:r>
              <w:rPr>
                <w:rFonts w:hint="default" w:ascii="Times New Roman" w:hAnsi="Times New Roman" w:eastAsia="宋体" w:cs="Times New Roman"/>
                <w:color w:val="000000"/>
                <w:spacing w:val="3"/>
                <w:sz w:val="21"/>
                <w:szCs w:val="21"/>
              </w:rPr>
              <w:t>生活垃圾</w:t>
            </w:r>
          </w:p>
        </w:tc>
        <w:tc>
          <w:tcPr>
            <w:tcW w:w="4524" w:type="dxa"/>
            <w:noWrap w:val="0"/>
            <w:vAlign w:val="center"/>
          </w:tcPr>
          <w:p w14:paraId="1307CB65">
            <w:pPr>
              <w:spacing w:line="240" w:lineRule="auto"/>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生活垃圾箱，</w:t>
            </w:r>
            <w:r>
              <w:rPr>
                <w:rFonts w:hint="default" w:ascii="Times New Roman" w:hAnsi="Times New Roman" w:eastAsia="宋体" w:cs="Times New Roman"/>
                <w:color w:val="000000"/>
                <w:sz w:val="21"/>
                <w:szCs w:val="21"/>
              </w:rPr>
              <w:t>委托环卫部门清运处理</w:t>
            </w:r>
          </w:p>
        </w:tc>
        <w:tc>
          <w:tcPr>
            <w:tcW w:w="1243" w:type="dxa"/>
            <w:noWrap w:val="0"/>
            <w:vAlign w:val="center"/>
          </w:tcPr>
          <w:p w14:paraId="280C69F9">
            <w:pPr>
              <w:spacing w:line="240" w:lineRule="auto"/>
              <w:jc w:val="center"/>
              <w:rPr>
                <w:rFonts w:hint="eastAsia" w:ascii="Times New Roman" w:hAnsi="Times New Roman" w:eastAsia="宋体" w:cs="Times New Roman"/>
                <w:bCs/>
                <w:sz w:val="21"/>
                <w:szCs w:val="21"/>
                <w:lang w:val="en-US" w:eastAsia="zh-CN"/>
              </w:rPr>
            </w:pPr>
            <w:r>
              <w:rPr>
                <w:rFonts w:hint="eastAsia" w:cs="Times New Roman"/>
                <w:color w:val="000000"/>
                <w:sz w:val="21"/>
                <w:szCs w:val="21"/>
                <w:lang w:val="en-US" w:eastAsia="zh-CN"/>
              </w:rPr>
              <w:t>新建</w:t>
            </w:r>
          </w:p>
        </w:tc>
      </w:tr>
    </w:tbl>
    <w:p w14:paraId="10DA8BA5">
      <w:pPr>
        <w:widowControl w:val="0"/>
        <w:overflowPunct w:val="0"/>
        <w:autoSpaceDE w:val="0"/>
        <w:autoSpaceDN w:val="0"/>
        <w:bidi w:val="0"/>
        <w:adjustRightInd w:val="0"/>
        <w:snapToGrid w:val="0"/>
        <w:spacing w:line="360" w:lineRule="auto"/>
        <w:ind w:firstLine="482" w:firstLineChars="200"/>
        <w:jc w:val="both"/>
        <w:outlineLvl w:val="3"/>
        <w:rPr>
          <w:rFonts w:hint="default" w:ascii="Times New Roman" w:hAnsi="Times New Roman" w:eastAsia="宋体" w:cs="Times New Roman"/>
          <w:b/>
          <w:color w:val="auto"/>
          <w:kern w:val="0"/>
          <w:sz w:val="24"/>
          <w:szCs w:val="24"/>
          <w:lang w:val="en-US" w:eastAsia="zh-CN" w:bidi="ar-SA"/>
        </w:rPr>
      </w:pPr>
      <w:r>
        <w:rPr>
          <w:rFonts w:hint="default" w:ascii="Times New Roman" w:hAnsi="Times New Roman" w:eastAsia="宋体" w:cs="Times New Roman"/>
          <w:b/>
          <w:color w:val="auto"/>
          <w:kern w:val="0"/>
          <w:sz w:val="24"/>
          <w:szCs w:val="24"/>
          <w:lang w:val="en-US" w:eastAsia="zh-CN" w:bidi="ar-SA"/>
        </w:rPr>
        <w:t>3.1.</w:t>
      </w:r>
      <w:r>
        <w:rPr>
          <w:rFonts w:hint="eastAsia" w:ascii="Times New Roman" w:hAnsi="Times New Roman" w:cs="Times New Roman"/>
          <w:b/>
          <w:color w:val="auto"/>
          <w:kern w:val="0"/>
          <w:sz w:val="24"/>
          <w:szCs w:val="24"/>
          <w:lang w:val="en-US" w:eastAsia="zh-CN" w:bidi="ar-SA"/>
        </w:rPr>
        <w:t>2</w:t>
      </w:r>
      <w:r>
        <w:rPr>
          <w:rFonts w:hint="default" w:ascii="Times New Roman" w:hAnsi="Times New Roman" w:eastAsia="宋体" w:cs="Times New Roman"/>
          <w:b/>
          <w:color w:val="auto"/>
          <w:kern w:val="0"/>
          <w:sz w:val="24"/>
          <w:szCs w:val="24"/>
          <w:lang w:val="en-US" w:eastAsia="zh-CN" w:bidi="ar-SA"/>
        </w:rPr>
        <w:t>.</w:t>
      </w:r>
      <w:r>
        <w:rPr>
          <w:rFonts w:hint="eastAsia" w:ascii="Times New Roman" w:hAnsi="Times New Roman" w:cs="Times New Roman"/>
          <w:b/>
          <w:color w:val="auto"/>
          <w:kern w:val="0"/>
          <w:sz w:val="24"/>
          <w:szCs w:val="24"/>
          <w:lang w:val="en-US" w:eastAsia="zh-CN" w:bidi="ar-SA"/>
        </w:rPr>
        <w:t>2</w:t>
      </w:r>
      <w:r>
        <w:rPr>
          <w:rFonts w:hint="eastAsia" w:ascii="Times New Roman" w:hAnsi="Times New Roman" w:eastAsia="宋体" w:cs="Times New Roman"/>
          <w:b/>
          <w:color w:val="auto"/>
          <w:kern w:val="0"/>
          <w:sz w:val="24"/>
          <w:szCs w:val="24"/>
          <w:lang w:val="en-US" w:eastAsia="zh-CN" w:bidi="ar-SA"/>
        </w:rPr>
        <w:t>现有</w:t>
      </w:r>
      <w:r>
        <w:rPr>
          <w:rFonts w:hint="default" w:ascii="Times New Roman" w:hAnsi="Times New Roman" w:eastAsia="宋体" w:cs="Times New Roman"/>
          <w:b/>
          <w:color w:val="auto"/>
          <w:kern w:val="0"/>
          <w:sz w:val="24"/>
          <w:szCs w:val="24"/>
          <w:lang w:val="en-US" w:eastAsia="zh-CN" w:bidi="ar-SA"/>
        </w:rPr>
        <w:t>工程原料消耗</w:t>
      </w:r>
    </w:p>
    <w:p w14:paraId="40721431">
      <w:pPr>
        <w:overflowPunct w:val="0"/>
        <w:autoSpaceDE w:val="0"/>
        <w:autoSpaceDN w:val="0"/>
        <w:adjustRightInd/>
        <w:snapToGrid/>
        <w:spacing w:after="0" w:line="360" w:lineRule="auto"/>
        <w:ind w:firstLine="480" w:firstLineChars="200"/>
        <w:jc w:val="left"/>
        <w:rPr>
          <w:rFonts w:hint="default" w:ascii="Times New Roman" w:hAnsi="Times New Roman" w:eastAsia="宋体" w:cs="Times New Roman"/>
          <w:b w:val="0"/>
          <w:bCs/>
          <w:color w:val="000000"/>
          <w:sz w:val="24"/>
          <w:szCs w:val="21"/>
          <w:lang w:val="en-US" w:eastAsia="zh-CN" w:bidi="ar-SA"/>
        </w:rPr>
      </w:pPr>
      <w:r>
        <w:rPr>
          <w:rFonts w:hint="eastAsia" w:ascii="Times New Roman" w:hAnsi="Times New Roman" w:eastAsia="宋体" w:cs="Times New Roman"/>
          <w:b w:val="0"/>
          <w:bCs/>
          <w:color w:val="000000"/>
          <w:sz w:val="24"/>
          <w:szCs w:val="21"/>
          <w:lang w:val="en-US" w:eastAsia="zh-CN" w:bidi="ar-SA"/>
        </w:rPr>
        <w:t>现有工程</w:t>
      </w:r>
      <w:r>
        <w:rPr>
          <w:rFonts w:hint="default" w:ascii="Times New Roman" w:hAnsi="Times New Roman" w:eastAsia="宋体" w:cs="Times New Roman"/>
          <w:b w:val="0"/>
          <w:bCs/>
          <w:color w:val="000000"/>
          <w:sz w:val="24"/>
          <w:szCs w:val="21"/>
          <w:lang w:val="en-US" w:eastAsia="zh-CN" w:bidi="ar-SA"/>
        </w:rPr>
        <w:t>使用的原辅材料表</w:t>
      </w:r>
      <w:r>
        <w:rPr>
          <w:rFonts w:hint="eastAsia" w:ascii="Times New Roman" w:hAnsi="Times New Roman" w:eastAsia="宋体" w:cs="Times New Roman"/>
          <w:b w:val="0"/>
          <w:bCs/>
          <w:color w:val="000000"/>
          <w:sz w:val="24"/>
          <w:szCs w:val="21"/>
          <w:lang w:val="en-US" w:eastAsia="zh-CN" w:bidi="ar-SA"/>
        </w:rPr>
        <w:t>3.1-3</w:t>
      </w:r>
      <w:r>
        <w:rPr>
          <w:rFonts w:hint="default" w:ascii="Times New Roman" w:hAnsi="Times New Roman" w:eastAsia="宋体" w:cs="Times New Roman"/>
          <w:b w:val="0"/>
          <w:bCs/>
          <w:color w:val="000000"/>
          <w:sz w:val="24"/>
          <w:szCs w:val="21"/>
          <w:lang w:val="en-US" w:eastAsia="zh-CN" w:bidi="ar-SA"/>
        </w:rPr>
        <w:t>。</w:t>
      </w:r>
    </w:p>
    <w:p w14:paraId="6A36964D">
      <w:pPr>
        <w:overflowPunct w:val="0"/>
        <w:autoSpaceDE w:val="0"/>
        <w:autoSpaceDN w:val="0"/>
        <w:bidi w:val="0"/>
        <w:adjustRightInd w:val="0"/>
        <w:snapToGrid w:val="0"/>
        <w:spacing w:line="360" w:lineRule="auto"/>
        <w:ind w:left="0" w:leftChars="0" w:firstLine="0" w:firstLineChars="0"/>
        <w:jc w:val="center"/>
        <w:rPr>
          <w:rFonts w:hint="default" w:ascii="Times New Roman" w:hAnsi="Times New Roman" w:eastAsia="宋体" w:cs="Times New Roman"/>
          <w:b/>
          <w:bCs/>
          <w:color w:val="auto"/>
          <w:kern w:val="2"/>
          <w:sz w:val="24"/>
          <w:szCs w:val="24"/>
          <w:lang w:val="en-US" w:eastAsia="zh-CN"/>
        </w:rPr>
      </w:pPr>
      <w:r>
        <w:rPr>
          <w:rFonts w:hint="default" w:ascii="Times New Roman" w:hAnsi="Times New Roman" w:eastAsia="宋体" w:cs="Times New Roman"/>
          <w:b/>
          <w:bCs/>
          <w:color w:val="auto"/>
          <w:kern w:val="2"/>
          <w:sz w:val="24"/>
          <w:szCs w:val="24"/>
          <w:lang w:val="en-US" w:eastAsia="zh-CN"/>
        </w:rPr>
        <w:t>表</w:t>
      </w:r>
      <w:r>
        <w:rPr>
          <w:rFonts w:hint="eastAsia" w:ascii="Times New Roman" w:hAnsi="Times New Roman" w:eastAsia="宋体" w:cs="Times New Roman"/>
          <w:b/>
          <w:bCs/>
          <w:color w:val="auto"/>
          <w:kern w:val="2"/>
          <w:sz w:val="24"/>
          <w:szCs w:val="24"/>
          <w:lang w:val="en-US" w:eastAsia="zh-CN"/>
        </w:rPr>
        <w:t>3.1-3现有工程</w:t>
      </w:r>
      <w:r>
        <w:rPr>
          <w:rFonts w:hint="default" w:ascii="Times New Roman" w:hAnsi="Times New Roman" w:eastAsia="宋体" w:cs="Times New Roman"/>
          <w:b/>
          <w:bCs/>
          <w:color w:val="auto"/>
          <w:kern w:val="2"/>
          <w:sz w:val="24"/>
          <w:szCs w:val="24"/>
          <w:lang w:val="en-US" w:eastAsia="zh-CN"/>
        </w:rPr>
        <w:t>原辅材料一览表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440"/>
        <w:gridCol w:w="1456"/>
        <w:gridCol w:w="1225"/>
        <w:gridCol w:w="1752"/>
        <w:gridCol w:w="1978"/>
      </w:tblGrid>
      <w:tr w14:paraId="6BD0A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noWrap w:val="0"/>
            <w:vAlign w:val="center"/>
          </w:tcPr>
          <w:p w14:paraId="2CF3A5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序号</w:t>
            </w:r>
          </w:p>
        </w:tc>
        <w:tc>
          <w:tcPr>
            <w:tcW w:w="1440" w:type="dxa"/>
            <w:noWrap w:val="0"/>
            <w:vAlign w:val="center"/>
          </w:tcPr>
          <w:p w14:paraId="1BDACF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原料名称</w:t>
            </w:r>
          </w:p>
        </w:tc>
        <w:tc>
          <w:tcPr>
            <w:tcW w:w="1456" w:type="dxa"/>
            <w:noWrap w:val="0"/>
            <w:vAlign w:val="center"/>
          </w:tcPr>
          <w:p w14:paraId="66C66C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年用量</w:t>
            </w:r>
          </w:p>
        </w:tc>
        <w:tc>
          <w:tcPr>
            <w:tcW w:w="1225" w:type="dxa"/>
            <w:noWrap w:val="0"/>
            <w:vAlign w:val="center"/>
          </w:tcPr>
          <w:p w14:paraId="77B0BA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运输方式</w:t>
            </w:r>
          </w:p>
        </w:tc>
        <w:tc>
          <w:tcPr>
            <w:tcW w:w="1752" w:type="dxa"/>
            <w:noWrap w:val="0"/>
            <w:vAlign w:val="center"/>
          </w:tcPr>
          <w:p w14:paraId="05CE5B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来源</w:t>
            </w:r>
          </w:p>
        </w:tc>
        <w:tc>
          <w:tcPr>
            <w:tcW w:w="1978" w:type="dxa"/>
            <w:noWrap w:val="0"/>
            <w:vAlign w:val="center"/>
          </w:tcPr>
          <w:p w14:paraId="107011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存储方式</w:t>
            </w:r>
          </w:p>
        </w:tc>
      </w:tr>
      <w:tr w14:paraId="3F2A4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04" w:type="dxa"/>
            <w:gridSpan w:val="6"/>
            <w:noWrap w:val="0"/>
            <w:vAlign w:val="center"/>
          </w:tcPr>
          <w:p w14:paraId="3C751C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sz w:val="21"/>
                <w:szCs w:val="21"/>
                <w:lang w:val="zh-CN" w:eastAsia="zh-CN" w:bidi="ar-SA"/>
              </w:rPr>
              <w:t>原辅料消耗</w:t>
            </w:r>
          </w:p>
        </w:tc>
      </w:tr>
      <w:tr w14:paraId="69EA3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noWrap w:val="0"/>
            <w:vAlign w:val="center"/>
          </w:tcPr>
          <w:p w14:paraId="133BFB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1</w:t>
            </w:r>
          </w:p>
        </w:tc>
        <w:tc>
          <w:tcPr>
            <w:tcW w:w="1440" w:type="dxa"/>
            <w:noWrap w:val="0"/>
            <w:vAlign w:val="center"/>
          </w:tcPr>
          <w:p w14:paraId="6F90F7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饲料</w:t>
            </w:r>
          </w:p>
        </w:tc>
        <w:tc>
          <w:tcPr>
            <w:tcW w:w="1456" w:type="dxa"/>
            <w:noWrap w:val="0"/>
            <w:vAlign w:val="center"/>
          </w:tcPr>
          <w:p w14:paraId="4FCCC9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3058.7</w:t>
            </w:r>
            <w:r>
              <w:rPr>
                <w:rFonts w:hint="default" w:ascii="Times New Roman" w:hAnsi="Times New Roman" w:eastAsia="宋体" w:cs="Times New Roman"/>
                <w:color w:val="auto"/>
                <w:kern w:val="2"/>
                <w:sz w:val="21"/>
                <w:szCs w:val="21"/>
              </w:rPr>
              <w:t>t</w:t>
            </w:r>
          </w:p>
        </w:tc>
        <w:tc>
          <w:tcPr>
            <w:tcW w:w="1225" w:type="dxa"/>
            <w:noWrap w:val="0"/>
            <w:vAlign w:val="center"/>
          </w:tcPr>
          <w:p w14:paraId="0336C1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752" w:type="dxa"/>
            <w:noWrap w:val="0"/>
            <w:vAlign w:val="center"/>
          </w:tcPr>
          <w:p w14:paraId="4A6E4C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配套种植以及周边市场采购</w:t>
            </w:r>
          </w:p>
        </w:tc>
        <w:tc>
          <w:tcPr>
            <w:tcW w:w="1978" w:type="dxa"/>
            <w:noWrap w:val="0"/>
            <w:vAlign w:val="center"/>
          </w:tcPr>
          <w:p w14:paraId="416BAB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每日外购，不在厂区暂存</w:t>
            </w:r>
            <w:r>
              <w:rPr>
                <w:rFonts w:hint="eastAsia" w:cs="Times New Roman"/>
                <w:color w:val="auto"/>
                <w:kern w:val="2"/>
                <w:sz w:val="21"/>
                <w:szCs w:val="21"/>
                <w:lang w:eastAsia="zh-CN"/>
              </w:rPr>
              <w:t>；</w:t>
            </w:r>
            <w:r>
              <w:rPr>
                <w:rFonts w:hint="eastAsia" w:cs="Times New Roman"/>
                <w:color w:val="auto"/>
                <w:kern w:val="2"/>
                <w:sz w:val="21"/>
                <w:szCs w:val="21"/>
                <w:lang w:val="en-US" w:eastAsia="zh-CN"/>
              </w:rPr>
              <w:t>精饲料25kg/袋</w:t>
            </w:r>
          </w:p>
        </w:tc>
      </w:tr>
      <w:tr w14:paraId="12F3AC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shd w:val="clear" w:color="auto" w:fill="auto"/>
            <w:noWrap w:val="0"/>
            <w:vAlign w:val="center"/>
          </w:tcPr>
          <w:p w14:paraId="59C336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rPr>
              <w:t>2</w:t>
            </w:r>
          </w:p>
        </w:tc>
        <w:tc>
          <w:tcPr>
            <w:tcW w:w="1440" w:type="dxa"/>
            <w:noWrap w:val="0"/>
            <w:vAlign w:val="center"/>
          </w:tcPr>
          <w:p w14:paraId="737770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除臭剂</w:t>
            </w:r>
          </w:p>
        </w:tc>
        <w:tc>
          <w:tcPr>
            <w:tcW w:w="1456" w:type="dxa"/>
            <w:noWrap w:val="0"/>
            <w:vAlign w:val="center"/>
          </w:tcPr>
          <w:p w14:paraId="54812B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0.3t</w:t>
            </w:r>
          </w:p>
        </w:tc>
        <w:tc>
          <w:tcPr>
            <w:tcW w:w="1225" w:type="dxa"/>
            <w:noWrap w:val="0"/>
            <w:vAlign w:val="center"/>
          </w:tcPr>
          <w:p w14:paraId="2DAD90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752" w:type="dxa"/>
            <w:noWrap w:val="0"/>
            <w:vAlign w:val="center"/>
          </w:tcPr>
          <w:p w14:paraId="3A69DE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kern w:val="2"/>
                <w:sz w:val="21"/>
                <w:szCs w:val="21"/>
                <w:lang w:val="en-US" w:eastAsia="zh-CN"/>
              </w:rPr>
            </w:pPr>
            <w:r>
              <w:rPr>
                <w:rFonts w:hint="default" w:ascii="Times New Roman" w:hAnsi="Times New Roman" w:eastAsia="宋体" w:cs="Times New Roman"/>
                <w:color w:val="auto"/>
                <w:kern w:val="2"/>
                <w:sz w:val="21"/>
                <w:szCs w:val="21"/>
              </w:rPr>
              <w:t>周边市场采购</w:t>
            </w:r>
          </w:p>
        </w:tc>
        <w:tc>
          <w:tcPr>
            <w:tcW w:w="1978" w:type="dxa"/>
            <w:noWrap w:val="0"/>
            <w:vAlign w:val="center"/>
          </w:tcPr>
          <w:p w14:paraId="2A300B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kern w:val="2"/>
                <w:sz w:val="21"/>
                <w:szCs w:val="21"/>
                <w:lang w:val="en-US" w:eastAsia="zh-CN"/>
              </w:rPr>
            </w:pPr>
            <w:r>
              <w:rPr>
                <w:rFonts w:hint="eastAsia" w:cs="Times New Roman"/>
                <w:color w:val="auto"/>
                <w:kern w:val="2"/>
                <w:sz w:val="21"/>
                <w:szCs w:val="21"/>
                <w:lang w:val="en-US" w:eastAsia="zh-CN"/>
              </w:rPr>
              <w:t>袋装，25kg/袋，入场后消毒室内暂存</w:t>
            </w:r>
          </w:p>
        </w:tc>
      </w:tr>
      <w:tr w14:paraId="3BF50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53" w:type="dxa"/>
            <w:shd w:val="clear" w:color="auto" w:fill="auto"/>
            <w:noWrap w:val="0"/>
            <w:vAlign w:val="center"/>
          </w:tcPr>
          <w:p w14:paraId="245E29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rPr>
              <w:t>3</w:t>
            </w:r>
          </w:p>
        </w:tc>
        <w:tc>
          <w:tcPr>
            <w:tcW w:w="1440" w:type="dxa"/>
            <w:noWrap w:val="0"/>
            <w:vAlign w:val="center"/>
          </w:tcPr>
          <w:p w14:paraId="1F838F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highlight w:val="yellow"/>
                <w:lang w:val="en-US" w:eastAsia="zh-CN"/>
              </w:rPr>
            </w:pPr>
            <w:r>
              <w:rPr>
                <w:rFonts w:hint="eastAsia" w:cs="Times New Roman"/>
                <w:color w:val="auto"/>
                <w:kern w:val="2"/>
                <w:sz w:val="21"/>
                <w:szCs w:val="21"/>
                <w:highlight w:val="none"/>
                <w:lang w:val="en-US" w:eastAsia="zh-CN"/>
              </w:rPr>
              <w:t>生石灰</w:t>
            </w:r>
          </w:p>
        </w:tc>
        <w:tc>
          <w:tcPr>
            <w:tcW w:w="1456" w:type="dxa"/>
            <w:noWrap w:val="0"/>
            <w:vAlign w:val="center"/>
          </w:tcPr>
          <w:p w14:paraId="59A0B6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2t</w:t>
            </w:r>
          </w:p>
        </w:tc>
        <w:tc>
          <w:tcPr>
            <w:tcW w:w="1225" w:type="dxa"/>
            <w:noWrap w:val="0"/>
            <w:vAlign w:val="center"/>
          </w:tcPr>
          <w:p w14:paraId="1CFA0F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752" w:type="dxa"/>
            <w:noWrap w:val="0"/>
            <w:vAlign w:val="center"/>
          </w:tcPr>
          <w:p w14:paraId="09C550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978" w:type="dxa"/>
            <w:noWrap w:val="0"/>
            <w:vAlign w:val="center"/>
          </w:tcPr>
          <w:p w14:paraId="424148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rPr>
            </w:pPr>
            <w:r>
              <w:rPr>
                <w:rFonts w:hint="eastAsia" w:cs="Times New Roman"/>
                <w:color w:val="auto"/>
                <w:kern w:val="2"/>
                <w:sz w:val="21"/>
                <w:szCs w:val="21"/>
                <w:lang w:val="en-US" w:eastAsia="zh-CN"/>
              </w:rPr>
              <w:t>袋装，25kg/袋，入场后消毒室内暂存</w:t>
            </w:r>
          </w:p>
        </w:tc>
      </w:tr>
      <w:tr w14:paraId="3D6C5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shd w:val="clear" w:color="auto" w:fill="auto"/>
            <w:noWrap w:val="0"/>
            <w:vAlign w:val="center"/>
          </w:tcPr>
          <w:p w14:paraId="450DAD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rPr>
              <w:t>4</w:t>
            </w:r>
          </w:p>
        </w:tc>
        <w:tc>
          <w:tcPr>
            <w:tcW w:w="1440" w:type="dxa"/>
            <w:noWrap w:val="0"/>
            <w:vAlign w:val="center"/>
          </w:tcPr>
          <w:p w14:paraId="2AC997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防疫药品</w:t>
            </w:r>
          </w:p>
        </w:tc>
        <w:tc>
          <w:tcPr>
            <w:tcW w:w="1456" w:type="dxa"/>
            <w:noWrap w:val="0"/>
            <w:vAlign w:val="center"/>
          </w:tcPr>
          <w:p w14:paraId="7B37B3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0.2</w:t>
            </w:r>
            <w:r>
              <w:rPr>
                <w:rFonts w:hint="default" w:ascii="Times New Roman" w:hAnsi="Times New Roman" w:eastAsia="宋体" w:cs="Times New Roman"/>
                <w:color w:val="auto"/>
                <w:kern w:val="2"/>
                <w:sz w:val="21"/>
                <w:szCs w:val="21"/>
              </w:rPr>
              <w:t>t</w:t>
            </w:r>
          </w:p>
        </w:tc>
        <w:tc>
          <w:tcPr>
            <w:tcW w:w="1225" w:type="dxa"/>
            <w:noWrap w:val="0"/>
            <w:vAlign w:val="center"/>
          </w:tcPr>
          <w:p w14:paraId="017088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752" w:type="dxa"/>
            <w:noWrap w:val="0"/>
            <w:vAlign w:val="center"/>
          </w:tcPr>
          <w:p w14:paraId="7CF62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当地兽医站</w:t>
            </w:r>
          </w:p>
        </w:tc>
        <w:tc>
          <w:tcPr>
            <w:tcW w:w="1978" w:type="dxa"/>
            <w:noWrap w:val="0"/>
            <w:vAlign w:val="center"/>
          </w:tcPr>
          <w:p w14:paraId="251286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桶装</w:t>
            </w:r>
            <w:r>
              <w:rPr>
                <w:rFonts w:hint="eastAsia" w:cs="Times New Roman"/>
                <w:color w:val="auto"/>
                <w:kern w:val="2"/>
                <w:sz w:val="21"/>
                <w:szCs w:val="21"/>
                <w:lang w:eastAsia="zh-CN"/>
              </w:rPr>
              <w:t>，</w:t>
            </w:r>
            <w:r>
              <w:rPr>
                <w:rFonts w:hint="eastAsia" w:cs="Times New Roman"/>
                <w:color w:val="auto"/>
                <w:kern w:val="2"/>
                <w:sz w:val="21"/>
                <w:szCs w:val="21"/>
                <w:lang w:val="en-US" w:eastAsia="zh-CN"/>
              </w:rPr>
              <w:t>由兽医带入厂，不在厂区内暂存</w:t>
            </w:r>
          </w:p>
        </w:tc>
      </w:tr>
      <w:tr w14:paraId="5D138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shd w:val="clear" w:color="auto" w:fill="auto"/>
            <w:noWrap w:val="0"/>
            <w:vAlign w:val="center"/>
          </w:tcPr>
          <w:p w14:paraId="37F87D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kern w:val="2"/>
                <w:sz w:val="21"/>
                <w:szCs w:val="21"/>
                <w:lang w:val="en-US" w:eastAsia="zh-CN"/>
              </w:rPr>
            </w:pPr>
            <w:r>
              <w:rPr>
                <w:rFonts w:hint="eastAsia" w:cs="Times New Roman"/>
                <w:color w:val="000000"/>
                <w:kern w:val="2"/>
                <w:sz w:val="21"/>
                <w:szCs w:val="21"/>
                <w:lang w:val="en-US" w:eastAsia="zh-CN"/>
              </w:rPr>
              <w:t>5</w:t>
            </w:r>
          </w:p>
        </w:tc>
        <w:tc>
          <w:tcPr>
            <w:tcW w:w="1440" w:type="dxa"/>
            <w:noWrap w:val="0"/>
            <w:vAlign w:val="center"/>
          </w:tcPr>
          <w:p w14:paraId="6A7509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发酵垫料</w:t>
            </w:r>
          </w:p>
        </w:tc>
        <w:tc>
          <w:tcPr>
            <w:tcW w:w="1456" w:type="dxa"/>
            <w:noWrap w:val="0"/>
            <w:vAlign w:val="center"/>
          </w:tcPr>
          <w:p w14:paraId="548EAC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kern w:val="2"/>
                <w:sz w:val="21"/>
                <w:szCs w:val="21"/>
                <w:lang w:val="en-US" w:eastAsia="zh-CN"/>
              </w:rPr>
            </w:pPr>
            <w:r>
              <w:rPr>
                <w:rFonts w:hint="eastAsia" w:cs="Times New Roman"/>
                <w:color w:val="auto"/>
                <w:kern w:val="2"/>
                <w:sz w:val="21"/>
                <w:szCs w:val="21"/>
                <w:lang w:val="en-US" w:eastAsia="zh-CN"/>
              </w:rPr>
              <w:t>20t</w:t>
            </w:r>
          </w:p>
        </w:tc>
        <w:tc>
          <w:tcPr>
            <w:tcW w:w="1225" w:type="dxa"/>
            <w:noWrap w:val="0"/>
            <w:vAlign w:val="center"/>
          </w:tcPr>
          <w:p w14:paraId="582F1E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752" w:type="dxa"/>
            <w:noWrap w:val="0"/>
            <w:vAlign w:val="center"/>
          </w:tcPr>
          <w:p w14:paraId="1A1599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978" w:type="dxa"/>
            <w:noWrap w:val="0"/>
            <w:vAlign w:val="center"/>
          </w:tcPr>
          <w:p w14:paraId="7E05BB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袋装，编织袋装，60kg/袋，入场后直接在圈舍、运动场内摊铺</w:t>
            </w:r>
          </w:p>
        </w:tc>
      </w:tr>
      <w:tr w14:paraId="42EB7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04" w:type="dxa"/>
            <w:gridSpan w:val="6"/>
            <w:noWrap w:val="0"/>
            <w:vAlign w:val="center"/>
          </w:tcPr>
          <w:p w14:paraId="5474A5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sz w:val="21"/>
                <w:szCs w:val="21"/>
                <w:lang w:val="zh-CN" w:eastAsia="zh-CN" w:bidi="ar-SA"/>
              </w:rPr>
              <w:t>动力消耗</w:t>
            </w:r>
          </w:p>
        </w:tc>
      </w:tr>
      <w:tr w14:paraId="506CC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noWrap w:val="0"/>
            <w:vAlign w:val="center"/>
          </w:tcPr>
          <w:p w14:paraId="55E9DB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eastAsia" w:cs="Times New Roman"/>
                <w:color w:val="000000"/>
                <w:kern w:val="2"/>
                <w:sz w:val="21"/>
                <w:szCs w:val="21"/>
                <w:lang w:val="en-US" w:eastAsia="zh-CN"/>
              </w:rPr>
              <w:t>6</w:t>
            </w:r>
          </w:p>
        </w:tc>
        <w:tc>
          <w:tcPr>
            <w:tcW w:w="1440" w:type="dxa"/>
            <w:noWrap w:val="0"/>
            <w:vAlign w:val="center"/>
          </w:tcPr>
          <w:p w14:paraId="0BC474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新鲜水</w:t>
            </w:r>
          </w:p>
        </w:tc>
        <w:tc>
          <w:tcPr>
            <w:tcW w:w="1456" w:type="dxa"/>
            <w:noWrap w:val="0"/>
            <w:vAlign w:val="center"/>
          </w:tcPr>
          <w:p w14:paraId="1E811B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eastAsia" w:eastAsia="宋体" w:cs="Times New Roman"/>
                <w:color w:val="auto"/>
                <w:kern w:val="2"/>
                <w:sz w:val="21"/>
                <w:szCs w:val="21"/>
                <w:lang w:val="en-US" w:eastAsia="zh-CN"/>
              </w:rPr>
              <w:t>6117.4m</w:t>
            </w:r>
            <w:r>
              <w:rPr>
                <w:rFonts w:hint="eastAsia" w:eastAsia="宋体" w:cs="Times New Roman"/>
                <w:color w:val="auto"/>
                <w:kern w:val="2"/>
                <w:sz w:val="21"/>
                <w:szCs w:val="21"/>
                <w:vertAlign w:val="superscript"/>
                <w:lang w:val="en-US" w:eastAsia="zh-CN"/>
              </w:rPr>
              <w:t>3</w:t>
            </w:r>
          </w:p>
        </w:tc>
        <w:tc>
          <w:tcPr>
            <w:tcW w:w="1225" w:type="dxa"/>
            <w:noWrap w:val="0"/>
            <w:vAlign w:val="center"/>
          </w:tcPr>
          <w:p w14:paraId="544088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w:t>
            </w:r>
          </w:p>
        </w:tc>
        <w:tc>
          <w:tcPr>
            <w:tcW w:w="1752" w:type="dxa"/>
            <w:noWrap w:val="0"/>
            <w:vAlign w:val="center"/>
          </w:tcPr>
          <w:p w14:paraId="476297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000000"/>
                <w:kern w:val="2"/>
                <w:sz w:val="21"/>
                <w:szCs w:val="21"/>
                <w:lang w:val="en-US" w:eastAsia="zh-CN"/>
              </w:rPr>
              <w:t>供水管网供给</w:t>
            </w:r>
          </w:p>
        </w:tc>
        <w:tc>
          <w:tcPr>
            <w:tcW w:w="1978" w:type="dxa"/>
            <w:noWrap w:val="0"/>
            <w:vAlign w:val="center"/>
          </w:tcPr>
          <w:p w14:paraId="2CE278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w:t>
            </w:r>
          </w:p>
        </w:tc>
      </w:tr>
      <w:tr w14:paraId="68A9C0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noWrap w:val="0"/>
            <w:vAlign w:val="center"/>
          </w:tcPr>
          <w:p w14:paraId="3C7F2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eastAsia" w:cs="Times New Roman"/>
                <w:color w:val="000000"/>
                <w:kern w:val="2"/>
                <w:sz w:val="21"/>
                <w:szCs w:val="21"/>
                <w:lang w:val="en-US" w:eastAsia="zh-CN"/>
              </w:rPr>
              <w:t>7</w:t>
            </w:r>
          </w:p>
        </w:tc>
        <w:tc>
          <w:tcPr>
            <w:tcW w:w="1440" w:type="dxa"/>
            <w:noWrap w:val="0"/>
            <w:vAlign w:val="center"/>
          </w:tcPr>
          <w:p w14:paraId="54AD9D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电</w:t>
            </w:r>
          </w:p>
        </w:tc>
        <w:tc>
          <w:tcPr>
            <w:tcW w:w="1456" w:type="dxa"/>
            <w:noWrap w:val="0"/>
            <w:vAlign w:val="center"/>
          </w:tcPr>
          <w:p w14:paraId="101E53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eastAsia" w:cs="Times New Roman"/>
                <w:color w:val="000000"/>
                <w:kern w:val="2"/>
                <w:sz w:val="21"/>
                <w:szCs w:val="21"/>
                <w:lang w:val="en-US" w:eastAsia="zh-CN"/>
              </w:rPr>
              <w:t>2</w:t>
            </w:r>
            <w:r>
              <w:rPr>
                <w:rFonts w:hint="default" w:ascii="Times New Roman" w:hAnsi="Times New Roman" w:eastAsia="宋体" w:cs="Times New Roman"/>
                <w:color w:val="000000"/>
                <w:kern w:val="2"/>
                <w:sz w:val="21"/>
                <w:szCs w:val="21"/>
              </w:rPr>
              <w:t>万kWh</w:t>
            </w:r>
          </w:p>
        </w:tc>
        <w:tc>
          <w:tcPr>
            <w:tcW w:w="1225" w:type="dxa"/>
            <w:noWrap w:val="0"/>
            <w:vAlign w:val="center"/>
          </w:tcPr>
          <w:p w14:paraId="444B88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电网</w:t>
            </w:r>
          </w:p>
        </w:tc>
        <w:tc>
          <w:tcPr>
            <w:tcW w:w="1752" w:type="dxa"/>
            <w:noWrap w:val="0"/>
            <w:vAlign w:val="center"/>
          </w:tcPr>
          <w:p w14:paraId="410ECC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供电网</w:t>
            </w:r>
          </w:p>
        </w:tc>
        <w:tc>
          <w:tcPr>
            <w:tcW w:w="1978" w:type="dxa"/>
            <w:noWrap w:val="0"/>
            <w:vAlign w:val="center"/>
          </w:tcPr>
          <w:p w14:paraId="5ABB2D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w:t>
            </w:r>
          </w:p>
        </w:tc>
      </w:tr>
    </w:tbl>
    <w:p w14:paraId="4E302CFB">
      <w:pPr>
        <w:widowControl w:val="0"/>
        <w:overflowPunct w:val="0"/>
        <w:autoSpaceDE w:val="0"/>
        <w:autoSpaceDN w:val="0"/>
        <w:bidi w:val="0"/>
        <w:adjustRightInd w:val="0"/>
        <w:snapToGrid w:val="0"/>
        <w:spacing w:line="360" w:lineRule="auto"/>
        <w:ind w:firstLine="482" w:firstLineChars="200"/>
        <w:jc w:val="both"/>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3.1.</w:t>
      </w:r>
      <w:r>
        <w:rPr>
          <w:rFonts w:hint="eastAsia" w:ascii="Times New Roman" w:hAnsi="Times New Roman"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ascii="Times New Roman" w:hAnsi="Times New Roman" w:cs="Times New Roman"/>
          <w:b/>
          <w:kern w:val="0"/>
          <w:sz w:val="24"/>
          <w:szCs w:val="24"/>
          <w:lang w:val="en-US" w:eastAsia="zh-CN" w:bidi="ar-SA"/>
        </w:rPr>
        <w:t>3</w:t>
      </w:r>
      <w:r>
        <w:rPr>
          <w:rFonts w:hint="eastAsia" w:ascii="Times New Roman" w:hAnsi="Times New Roman" w:eastAsia="宋体" w:cs="Times New Roman"/>
          <w:b/>
          <w:color w:val="auto"/>
          <w:kern w:val="0"/>
          <w:sz w:val="24"/>
          <w:szCs w:val="24"/>
          <w:lang w:val="en-US" w:eastAsia="zh-CN" w:bidi="ar-SA"/>
        </w:rPr>
        <w:t>现有</w:t>
      </w:r>
      <w:r>
        <w:rPr>
          <w:rFonts w:hint="default" w:ascii="Times New Roman" w:hAnsi="Times New Roman" w:eastAsia="宋体" w:cs="Times New Roman"/>
          <w:b/>
          <w:color w:val="auto"/>
          <w:kern w:val="0"/>
          <w:sz w:val="24"/>
          <w:szCs w:val="24"/>
          <w:lang w:val="en-US" w:eastAsia="zh-CN" w:bidi="ar-SA"/>
        </w:rPr>
        <w:t>工程</w:t>
      </w:r>
      <w:r>
        <w:rPr>
          <w:rFonts w:hint="default" w:ascii="Times New Roman" w:hAnsi="Times New Roman" w:eastAsia="宋体" w:cs="Times New Roman"/>
          <w:b/>
          <w:kern w:val="0"/>
          <w:sz w:val="24"/>
          <w:szCs w:val="24"/>
          <w:lang w:val="en-US" w:eastAsia="zh-CN" w:bidi="ar-SA"/>
        </w:rPr>
        <w:t>公用工程</w:t>
      </w:r>
    </w:p>
    <w:p w14:paraId="5BBE5AAA">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（1）给水</w:t>
      </w:r>
    </w:p>
    <w:p w14:paraId="5C888A8B">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现有工程用水主要</w:t>
      </w:r>
      <w:r>
        <w:rPr>
          <w:rFonts w:hint="default" w:ascii="Times New Roman" w:hAnsi="Times New Roman" w:eastAsia="宋体" w:cs="宋体"/>
          <w:color w:val="auto"/>
          <w:kern w:val="0"/>
          <w:sz w:val="24"/>
          <w:szCs w:val="22"/>
          <w:lang w:val="en-US" w:eastAsia="zh-CN"/>
        </w:rPr>
        <w:t>为生产</w:t>
      </w:r>
      <w:r>
        <w:rPr>
          <w:rFonts w:hint="eastAsia" w:cs="宋体"/>
          <w:color w:val="auto"/>
          <w:kern w:val="0"/>
          <w:sz w:val="24"/>
          <w:szCs w:val="22"/>
          <w:lang w:val="en-US" w:eastAsia="zh-CN"/>
        </w:rPr>
        <w:t>用水，员工均为14连队居民，共4人，不在厂区内食宿，饮用水均为瓶装水，生产用水量共计6117.4m</w:t>
      </w:r>
      <w:r>
        <w:rPr>
          <w:rFonts w:hint="eastAsia" w:cs="宋体"/>
          <w:color w:val="auto"/>
          <w:kern w:val="0"/>
          <w:sz w:val="24"/>
          <w:szCs w:val="22"/>
          <w:vertAlign w:val="superscript"/>
          <w:lang w:val="en-US" w:eastAsia="zh-CN"/>
        </w:rPr>
        <w:t>3</w:t>
      </w:r>
      <w:r>
        <w:rPr>
          <w:rFonts w:hint="eastAsia" w:cs="宋体"/>
          <w:color w:val="auto"/>
          <w:kern w:val="0"/>
          <w:sz w:val="24"/>
          <w:szCs w:val="22"/>
          <w:lang w:val="en-US" w:eastAsia="zh-CN"/>
        </w:rPr>
        <w:t>/a</w:t>
      </w:r>
      <w:r>
        <w:rPr>
          <w:rFonts w:hint="default" w:ascii="Times New Roman" w:hAnsi="Times New Roman" w:eastAsia="宋体" w:cs="宋体"/>
          <w:color w:val="auto"/>
          <w:kern w:val="0"/>
          <w:sz w:val="24"/>
          <w:szCs w:val="22"/>
          <w:lang w:val="en-US" w:eastAsia="zh-CN"/>
        </w:rPr>
        <w:t>。用水由</w:t>
      </w:r>
      <w:r>
        <w:rPr>
          <w:rFonts w:hint="eastAsia" w:cs="宋体"/>
          <w:color w:val="auto"/>
          <w:kern w:val="0"/>
          <w:sz w:val="24"/>
          <w:szCs w:val="22"/>
          <w:lang w:val="en-US" w:eastAsia="zh-CN"/>
        </w:rPr>
        <w:t>市政</w:t>
      </w:r>
      <w:r>
        <w:rPr>
          <w:rFonts w:hint="default" w:ascii="Times New Roman" w:hAnsi="Times New Roman" w:eastAsia="宋体" w:cs="宋体"/>
          <w:color w:val="auto"/>
          <w:kern w:val="0"/>
          <w:sz w:val="24"/>
          <w:szCs w:val="22"/>
          <w:lang w:val="en-US" w:eastAsia="zh-CN"/>
        </w:rPr>
        <w:t>给水管网供给，能够满足项目用水的需求。</w:t>
      </w:r>
    </w:p>
    <w:p w14:paraId="6740ED72">
      <w:pPr>
        <w:spacing w:line="360" w:lineRule="auto"/>
        <w:ind w:firstLine="480" w:firstLineChars="200"/>
        <w:rPr>
          <w:rFonts w:hint="default" w:ascii="Times New Roman" w:hAnsi="Times New Roman" w:eastAsia="宋体" w:cs="Times New Roman"/>
          <w:color w:val="000000"/>
          <w:kern w:val="2"/>
          <w:sz w:val="24"/>
          <w:szCs w:val="24"/>
        </w:rPr>
      </w:pPr>
      <w:r>
        <w:rPr>
          <w:rFonts w:hint="eastAsia" w:ascii="Times New Roman" w:hAnsi="Times New Roman" w:eastAsia="宋体" w:cs="Times New Roman"/>
          <w:kern w:val="2"/>
          <w:sz w:val="24"/>
          <w:szCs w:val="24"/>
          <w:lang w:val="en-US" w:eastAsia="zh-CN"/>
        </w:rPr>
        <w:t>养殖用水</w:t>
      </w:r>
      <w:r>
        <w:rPr>
          <w:rFonts w:hint="default" w:ascii="Times New Roman" w:hAnsi="Times New Roman" w:eastAsia="宋体" w:cs="Times New Roman"/>
          <w:kern w:val="2"/>
          <w:sz w:val="24"/>
          <w:szCs w:val="24"/>
        </w:rPr>
        <w:t>：</w:t>
      </w:r>
      <w:r>
        <w:rPr>
          <w:rFonts w:hint="eastAsia" w:ascii="Times New Roman" w:hAnsi="Times New Roman" w:eastAsia="宋体" w:cs="Times New Roman"/>
          <w:color w:val="000000"/>
          <w:kern w:val="2"/>
          <w:sz w:val="24"/>
          <w:szCs w:val="24"/>
          <w:lang w:val="en-US" w:eastAsia="zh-CN"/>
        </w:rPr>
        <w:t>现有工程</w:t>
      </w:r>
      <w:r>
        <w:rPr>
          <w:rFonts w:hint="default" w:ascii="Times New Roman" w:hAnsi="Times New Roman" w:eastAsia="宋体" w:cs="Times New Roman"/>
          <w:color w:val="000000"/>
          <w:kern w:val="2"/>
          <w:sz w:val="24"/>
          <w:szCs w:val="24"/>
        </w:rPr>
        <w:t>投入运营存栏</w:t>
      </w:r>
      <w:r>
        <w:rPr>
          <w:rFonts w:hint="eastAsia" w:ascii="Times New Roman" w:hAnsi="Times New Roman" w:eastAsia="宋体" w:cs="Times New Roman"/>
          <w:color w:val="000000"/>
          <w:kern w:val="2"/>
          <w:sz w:val="24"/>
          <w:szCs w:val="24"/>
          <w:lang w:val="en-US" w:eastAsia="zh-CN"/>
        </w:rPr>
        <w:t>肉牛419</w:t>
      </w:r>
      <w:r>
        <w:rPr>
          <w:rFonts w:hint="default" w:ascii="Times New Roman" w:hAnsi="Times New Roman" w:eastAsia="宋体" w:cs="Times New Roman"/>
          <w:color w:val="000000"/>
          <w:kern w:val="2"/>
          <w:sz w:val="24"/>
          <w:szCs w:val="24"/>
        </w:rPr>
        <w:t>头</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根据建设单位提供资料</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本项目</w:t>
      </w:r>
      <w:r>
        <w:rPr>
          <w:rFonts w:hint="eastAsia" w:ascii="Times New Roman" w:hAnsi="Times New Roman" w:eastAsia="宋体" w:cs="Times New Roman"/>
          <w:color w:val="000000"/>
          <w:kern w:val="2"/>
          <w:sz w:val="24"/>
          <w:szCs w:val="24"/>
          <w:lang w:val="en-US" w:eastAsia="zh-CN"/>
        </w:rPr>
        <w:t>养殖用水约为6117.4</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/a</w:t>
      </w:r>
      <w:r>
        <w:rPr>
          <w:rFonts w:hint="default" w:ascii="Times New Roman" w:hAnsi="Times New Roman" w:eastAsia="宋体" w:cs="Times New Roman"/>
          <w:color w:val="000000"/>
          <w:kern w:val="2"/>
          <w:sz w:val="24"/>
          <w:szCs w:val="24"/>
          <w:lang w:eastAsia="zh-CN"/>
        </w:rPr>
        <w:t>。</w:t>
      </w:r>
    </w:p>
    <w:p w14:paraId="78CC93A2">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（2）排水</w:t>
      </w:r>
    </w:p>
    <w:p w14:paraId="015FF0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2"/>
          <w:sz w:val="24"/>
          <w:szCs w:val="24"/>
          <w:lang w:val="en-US" w:eastAsia="zh-CN"/>
        </w:rPr>
      </w:pPr>
      <w:r>
        <w:rPr>
          <w:rFonts w:hint="eastAsia" w:cs="宋体"/>
          <w:color w:val="auto"/>
          <w:kern w:val="0"/>
          <w:sz w:val="24"/>
          <w:szCs w:val="22"/>
          <w:lang w:val="en-US" w:eastAsia="zh-CN"/>
        </w:rPr>
        <w:t>现有工程</w:t>
      </w:r>
      <w:r>
        <w:rPr>
          <w:rFonts w:hint="default" w:ascii="Times New Roman" w:hAnsi="Times New Roman" w:eastAsia="宋体" w:cs="Times New Roman"/>
          <w:color w:val="auto"/>
          <w:kern w:val="2"/>
          <w:sz w:val="24"/>
          <w:szCs w:val="24"/>
        </w:rPr>
        <w:t>员工均为</w:t>
      </w:r>
      <w:r>
        <w:rPr>
          <w:rFonts w:hint="eastAsia" w:ascii="Times New Roman" w:hAnsi="Times New Roman" w:eastAsia="宋体" w:cs="Times New Roman"/>
          <w:color w:val="auto"/>
          <w:kern w:val="2"/>
          <w:sz w:val="24"/>
          <w:szCs w:val="24"/>
          <w:lang w:val="en-US" w:eastAsia="zh-CN"/>
        </w:rPr>
        <w:t>14</w:t>
      </w:r>
      <w:r>
        <w:rPr>
          <w:rFonts w:hint="default" w:ascii="Times New Roman" w:hAnsi="Times New Roman" w:eastAsia="宋体" w:cs="Times New Roman"/>
          <w:color w:val="auto"/>
          <w:kern w:val="2"/>
          <w:sz w:val="24"/>
          <w:szCs w:val="24"/>
        </w:rPr>
        <w:t>连队居民，不在项目区内食宿，生活污水均依托居民住房已有污水设施，项目区无生活污水</w:t>
      </w:r>
      <w:r>
        <w:rPr>
          <w:rFonts w:hint="eastAsia" w:ascii="Times New Roman" w:hAnsi="Times New Roman" w:eastAsia="宋体" w:cs="Times New Roman"/>
          <w:color w:val="auto"/>
          <w:kern w:val="2"/>
          <w:sz w:val="24"/>
          <w:szCs w:val="24"/>
          <w:lang w:val="en-US" w:eastAsia="zh-CN"/>
        </w:rPr>
        <w:t>.</w:t>
      </w:r>
    </w:p>
    <w:p w14:paraId="458D091D">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现有工程牛舍</w:t>
      </w:r>
      <w:r>
        <w:rPr>
          <w:rFonts w:hint="eastAsia" w:ascii="Times New Roman" w:hAnsi="Times New Roman" w:eastAsia="宋体" w:cs="Times New Roman"/>
          <w:color w:val="000000"/>
          <w:kern w:val="2"/>
          <w:sz w:val="24"/>
          <w:szCs w:val="24"/>
          <w:lang w:val="en-US" w:eastAsia="zh-CN"/>
        </w:rPr>
        <w:t>铺设发酵垫料，能够有效吸收牛尿，无养殖废水外排</w:t>
      </w:r>
      <w:r>
        <w:rPr>
          <w:rFonts w:hint="default" w:ascii="Times New Roman" w:hAnsi="Times New Roman" w:eastAsia="宋体" w:cs="宋体"/>
          <w:color w:val="auto"/>
          <w:kern w:val="0"/>
          <w:sz w:val="24"/>
          <w:szCs w:val="22"/>
          <w:lang w:val="en-US" w:eastAsia="zh-CN"/>
        </w:rPr>
        <w:t>。</w:t>
      </w:r>
    </w:p>
    <w:p w14:paraId="71F3D270">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（3）供电</w:t>
      </w:r>
    </w:p>
    <w:p w14:paraId="025ED203">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本项目生产、生活用电由园区供电网供给，经厂区配电室降压后，再引至各建筑物配电箱作为生产、生活电源，年用电量</w:t>
      </w:r>
      <w:r>
        <w:rPr>
          <w:rFonts w:hint="eastAsia" w:cs="宋体"/>
          <w:color w:val="auto"/>
          <w:kern w:val="0"/>
          <w:sz w:val="24"/>
          <w:szCs w:val="22"/>
          <w:lang w:val="en-US" w:eastAsia="zh-CN"/>
        </w:rPr>
        <w:t>2</w:t>
      </w:r>
      <w:r>
        <w:rPr>
          <w:rFonts w:hint="default" w:ascii="Times New Roman" w:hAnsi="Times New Roman" w:eastAsia="宋体" w:cs="宋体"/>
          <w:color w:val="auto"/>
          <w:kern w:val="0"/>
          <w:sz w:val="24"/>
          <w:szCs w:val="22"/>
          <w:lang w:val="en-US" w:eastAsia="zh-CN"/>
        </w:rPr>
        <w:t>万</w:t>
      </w:r>
      <w:r>
        <w:rPr>
          <w:rFonts w:hint="eastAsia" w:cs="宋体"/>
          <w:color w:val="auto"/>
          <w:kern w:val="0"/>
          <w:sz w:val="24"/>
          <w:szCs w:val="22"/>
          <w:lang w:val="en-US" w:eastAsia="zh-CN"/>
        </w:rPr>
        <w:t>kW</w:t>
      </w:r>
      <w:r>
        <w:rPr>
          <w:rFonts w:hint="default" w:ascii="Times New Roman" w:hAnsi="Times New Roman" w:eastAsia="宋体" w:cs="宋体"/>
          <w:color w:val="auto"/>
          <w:kern w:val="0"/>
          <w:sz w:val="24"/>
          <w:szCs w:val="22"/>
          <w:lang w:val="en-US" w:eastAsia="zh-CN"/>
        </w:rPr>
        <w:t>•h。</w:t>
      </w:r>
    </w:p>
    <w:p w14:paraId="7B43A729">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（4）供暖</w:t>
      </w:r>
    </w:p>
    <w:p w14:paraId="313034D5">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本项目冬季</w:t>
      </w:r>
      <w:r>
        <w:rPr>
          <w:rFonts w:hint="eastAsia" w:cs="宋体"/>
          <w:color w:val="auto"/>
          <w:kern w:val="0"/>
          <w:sz w:val="24"/>
          <w:szCs w:val="22"/>
          <w:lang w:val="en-US" w:eastAsia="zh-CN"/>
        </w:rPr>
        <w:t>生产无需供热，员工不在厂区内食宿，生活无需供热</w:t>
      </w:r>
      <w:r>
        <w:rPr>
          <w:rFonts w:hint="default" w:ascii="Times New Roman" w:hAnsi="Times New Roman" w:eastAsia="宋体" w:cs="宋体"/>
          <w:color w:val="auto"/>
          <w:kern w:val="0"/>
          <w:sz w:val="24"/>
          <w:szCs w:val="22"/>
          <w:lang w:val="en-US" w:eastAsia="zh-CN"/>
        </w:rPr>
        <w:t>。</w:t>
      </w:r>
    </w:p>
    <w:p w14:paraId="0C01A1AA">
      <w:pPr>
        <w:keepNext w:val="0"/>
        <w:keepLines w:val="0"/>
        <w:widowControl w:val="0"/>
        <w:overflowPunct w:val="0"/>
        <w:autoSpaceDE w:val="0"/>
        <w:autoSpaceDN w:val="0"/>
        <w:bidi w:val="0"/>
        <w:adjustRightInd w:val="0"/>
        <w:snapToGrid w:val="0"/>
        <w:spacing w:before="0" w:after="0" w:line="360" w:lineRule="auto"/>
        <w:jc w:val="both"/>
        <w:outlineLvl w:val="2"/>
        <w:rPr>
          <w:rFonts w:hint="default" w:ascii="Times New Roman" w:hAnsi="Times New Roman" w:eastAsia="宋体" w:cs="Times New Roman"/>
          <w:b/>
          <w:bCs/>
          <w:kern w:val="0"/>
          <w:sz w:val="28"/>
          <w:szCs w:val="28"/>
          <w:lang w:val="en-US" w:eastAsia="zh-CN" w:bidi="ar-SA"/>
        </w:rPr>
      </w:pPr>
      <w:r>
        <w:rPr>
          <w:rFonts w:hint="default" w:ascii="Times New Roman" w:hAnsi="Times New Roman" w:eastAsia="宋体" w:cs="Times New Roman"/>
          <w:b/>
          <w:bCs/>
          <w:kern w:val="0"/>
          <w:sz w:val="28"/>
          <w:szCs w:val="28"/>
          <w:lang w:val="en-US" w:eastAsia="zh-CN" w:bidi="ar-SA"/>
        </w:rPr>
        <w:t>3.1.</w:t>
      </w:r>
      <w:r>
        <w:rPr>
          <w:rFonts w:hint="eastAsia" w:ascii="Times New Roman" w:hAnsi="Times New Roman" w:cs="Times New Roman"/>
          <w:b/>
          <w:bCs/>
          <w:kern w:val="0"/>
          <w:sz w:val="28"/>
          <w:szCs w:val="28"/>
          <w:lang w:val="en-US" w:eastAsia="zh-CN" w:bidi="ar-SA"/>
        </w:rPr>
        <w:t>3</w:t>
      </w:r>
      <w:r>
        <w:rPr>
          <w:rFonts w:hint="default" w:ascii="Times New Roman" w:hAnsi="Times New Roman" w:eastAsia="宋体" w:cs="Times New Roman"/>
          <w:b/>
          <w:bCs/>
          <w:kern w:val="0"/>
          <w:sz w:val="28"/>
          <w:szCs w:val="28"/>
          <w:lang w:val="en-US" w:eastAsia="zh-CN" w:bidi="ar-SA"/>
        </w:rPr>
        <w:t>总平面布置</w:t>
      </w:r>
    </w:p>
    <w:p w14:paraId="67874D94">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sz w:val="24"/>
          <w:szCs w:val="24"/>
          <w:lang w:val="en-US" w:eastAsia="zh-CN"/>
        </w:rPr>
        <w:t>总平面布置遵循紧凑布局、节约用地的原则，根据建设单位发展需要对工程的整体要求，在满足生产工艺和结合公用设施的前提下进行厂区总平面布置，并符合消防、规划等部门要求。根据项目实际可利用场地和自然</w:t>
      </w:r>
      <w:r>
        <w:rPr>
          <w:rFonts w:hint="eastAsia" w:ascii="Times New Roman" w:hAnsi="Times New Roman" w:cs="Times New Roman"/>
          <w:sz w:val="24"/>
          <w:szCs w:val="24"/>
          <w:lang w:val="en-US" w:eastAsia="zh-CN"/>
        </w:rPr>
        <w:t>地貌</w:t>
      </w:r>
      <w:r>
        <w:rPr>
          <w:rFonts w:hint="eastAsia" w:ascii="Times New Roman" w:hAnsi="Times New Roman" w:eastAsia="宋体" w:cs="Times New Roman"/>
          <w:sz w:val="24"/>
          <w:szCs w:val="24"/>
          <w:lang w:val="en-US" w:eastAsia="zh-CN"/>
        </w:rPr>
        <w:t>特征，将生产区域与生活区域分成两个区域布置。</w:t>
      </w:r>
      <w:r>
        <w:rPr>
          <w:rFonts w:hint="default" w:ascii="Times New Roman" w:hAnsi="Times New Roman" w:eastAsia="宋体" w:cs="Times New Roman"/>
          <w:color w:val="auto"/>
          <w:kern w:val="2"/>
          <w:sz w:val="24"/>
          <w:szCs w:val="24"/>
          <w:lang w:val="en-US" w:eastAsia="zh-CN"/>
        </w:rPr>
        <w:t>本项目设置一处进出口，位于厂区</w:t>
      </w:r>
      <w:r>
        <w:rPr>
          <w:rFonts w:hint="eastAsia" w:cs="Times New Roman"/>
          <w:color w:val="auto"/>
          <w:kern w:val="2"/>
          <w:sz w:val="24"/>
          <w:szCs w:val="24"/>
          <w:lang w:val="en-US" w:eastAsia="zh-CN"/>
        </w:rPr>
        <w:t>东</w:t>
      </w:r>
      <w:r>
        <w:rPr>
          <w:rFonts w:hint="default" w:ascii="Times New Roman" w:hAnsi="Times New Roman" w:eastAsia="宋体" w:cs="Times New Roman"/>
          <w:color w:val="auto"/>
          <w:kern w:val="2"/>
          <w:sz w:val="24"/>
          <w:szCs w:val="24"/>
          <w:lang w:val="en-US" w:eastAsia="zh-CN"/>
        </w:rPr>
        <w:t>侧，并配套建设有</w:t>
      </w:r>
      <w:r>
        <w:rPr>
          <w:rFonts w:hint="eastAsia" w:cs="Times New Roman"/>
          <w:color w:val="auto"/>
          <w:kern w:val="2"/>
          <w:sz w:val="24"/>
          <w:szCs w:val="24"/>
          <w:lang w:val="en-US" w:eastAsia="zh-CN"/>
        </w:rPr>
        <w:t>消毒室</w:t>
      </w:r>
      <w:r>
        <w:rPr>
          <w:rFonts w:hint="default" w:ascii="Times New Roman" w:hAnsi="Times New Roman" w:eastAsia="宋体" w:cs="Times New Roman"/>
          <w:color w:val="auto"/>
          <w:kern w:val="2"/>
          <w:sz w:val="24"/>
          <w:szCs w:val="24"/>
          <w:lang w:val="en-US" w:eastAsia="zh-CN"/>
        </w:rPr>
        <w:t>，办公室布置在大门右侧，</w:t>
      </w:r>
      <w:r>
        <w:rPr>
          <w:rFonts w:hint="eastAsia" w:ascii="Times New Roman" w:hAnsi="Times New Roman" w:eastAsia="宋体" w:cs="Times New Roman"/>
          <w:color w:val="auto"/>
          <w:kern w:val="2"/>
          <w:sz w:val="24"/>
          <w:szCs w:val="24"/>
          <w:lang w:val="en-US" w:eastAsia="zh-CN"/>
        </w:rPr>
        <w:t>独立布设。</w:t>
      </w:r>
    </w:p>
    <w:p w14:paraId="0513BC54">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2"/>
          <w:sz w:val="24"/>
          <w:szCs w:val="24"/>
          <w:lang w:val="en-US" w:eastAsia="zh-CN"/>
        </w:rPr>
      </w:pPr>
      <w:r>
        <w:rPr>
          <w:rFonts w:hint="eastAsia" w:cs="Times New Roman"/>
          <w:color w:val="auto"/>
          <w:kern w:val="2"/>
          <w:sz w:val="24"/>
          <w:szCs w:val="24"/>
          <w:lang w:val="en-US" w:eastAsia="zh-CN"/>
        </w:rPr>
        <w:t>租赁的4栋牛舍均</w:t>
      </w:r>
      <w:r>
        <w:rPr>
          <w:rFonts w:hint="default" w:ascii="Times New Roman" w:hAnsi="Times New Roman" w:eastAsia="宋体" w:cs="Times New Roman"/>
          <w:color w:val="auto"/>
          <w:kern w:val="2"/>
          <w:sz w:val="24"/>
          <w:szCs w:val="24"/>
          <w:lang w:val="en-US" w:eastAsia="zh-CN"/>
        </w:rPr>
        <w:t>位于</w:t>
      </w:r>
      <w:r>
        <w:rPr>
          <w:rFonts w:hint="eastAsia" w:ascii="Times New Roman" w:hAnsi="Times New Roman" w:eastAsia="宋体" w:cs="Times New Roman"/>
          <w:color w:val="auto"/>
          <w:kern w:val="2"/>
          <w:sz w:val="24"/>
          <w:szCs w:val="24"/>
          <w:lang w:val="en-US" w:eastAsia="zh-CN"/>
        </w:rPr>
        <w:t>项目区北侧</w:t>
      </w:r>
      <w:r>
        <w:rPr>
          <w:rFonts w:hint="default" w:ascii="Times New Roman" w:hAnsi="Times New Roman" w:eastAsia="宋体" w:cs="Times New Roman"/>
          <w:color w:val="auto"/>
          <w:kern w:val="2"/>
          <w:sz w:val="24"/>
          <w:szCs w:val="24"/>
          <w:lang w:val="en-US" w:eastAsia="zh-CN"/>
        </w:rPr>
        <w:t>，</w:t>
      </w:r>
      <w:r>
        <w:rPr>
          <w:rFonts w:hint="eastAsia" w:cs="Times New Roman"/>
          <w:color w:val="auto"/>
          <w:kern w:val="2"/>
          <w:sz w:val="24"/>
          <w:szCs w:val="24"/>
          <w:lang w:val="en-US" w:eastAsia="zh-CN"/>
        </w:rPr>
        <w:t>每栋牛舍南北两侧均布设有运动场，便于育肥牛活动，配套饲喂通道、饲喂凉棚等设施，饲料加工设施均布设于项目区西侧，临近养殖区布设</w:t>
      </w:r>
      <w:r>
        <w:rPr>
          <w:rFonts w:hint="default" w:ascii="Times New Roman" w:hAnsi="Times New Roman" w:eastAsia="宋体" w:cs="Times New Roman"/>
          <w:color w:val="auto"/>
          <w:kern w:val="2"/>
          <w:sz w:val="24"/>
          <w:szCs w:val="24"/>
          <w:lang w:val="en-US" w:eastAsia="zh-CN"/>
        </w:rPr>
        <w:t>，厂房前为停车场，便于物料及产品的运输。</w:t>
      </w:r>
    </w:p>
    <w:p w14:paraId="16A8DE45">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2"/>
          <w:szCs w:val="24"/>
          <w:lang w:val="en-US" w:eastAsia="zh-CN"/>
        </w:rP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imes New Roman" w:hAnsi="Times New Roman" w:eastAsia="宋体" w:cs="Times New Roman"/>
          <w:sz w:val="24"/>
          <w:szCs w:val="24"/>
          <w:lang w:val="en-US" w:eastAsia="zh-CN"/>
        </w:rPr>
        <w:t>厂区内道路：厂区内道路设计合理布局，依据不同分区，构成整体按一横一纵的结构布局。道路等级分为厂内主、次干道两级布置，道路断面为6m</w:t>
      </w:r>
      <w:r>
        <w:rPr>
          <w:rFonts w:hint="eastAsia" w:cs="Times New Roman"/>
          <w:sz w:val="24"/>
          <w:szCs w:val="24"/>
          <w:lang w:val="en-US" w:eastAsia="zh-CN"/>
        </w:rPr>
        <w:t>。</w:t>
      </w:r>
    </w:p>
    <w:p w14:paraId="114CD914">
      <w:pPr>
        <w:pStyle w:val="17"/>
        <w:keepNext w:val="0"/>
        <w:keepLines w:val="0"/>
        <w:widowControl/>
        <w:suppressLineNumbers w:val="0"/>
        <w:jc w:val="center"/>
      </w:pPr>
      <w:r>
        <w:rPr>
          <w:sz w:val="28"/>
        </w:rPr>
        <mc:AlternateContent>
          <mc:Choice Requires="wpg">
            <w:drawing>
              <wp:anchor distT="0" distB="0" distL="114300" distR="114300" simplePos="0" relativeHeight="251680768" behindDoc="0" locked="0" layoutInCell="1" allowOverlap="1">
                <wp:simplePos x="0" y="0"/>
                <wp:positionH relativeFrom="column">
                  <wp:posOffset>2306955</wp:posOffset>
                </wp:positionH>
                <wp:positionV relativeFrom="paragraph">
                  <wp:posOffset>4364990</wp:posOffset>
                </wp:positionV>
                <wp:extent cx="3764280" cy="3976370"/>
                <wp:effectExtent l="11430" t="35560" r="15240" b="7620"/>
                <wp:wrapNone/>
                <wp:docPr id="84" name="组合 84"/>
                <wp:cNvGraphicFramePr/>
                <a:graphic xmlns:a="http://schemas.openxmlformats.org/drawingml/2006/main">
                  <a:graphicData uri="http://schemas.microsoft.com/office/word/2010/wordprocessingGroup">
                    <wpg:wgp>
                      <wpg:cNvGrpSpPr/>
                      <wpg:grpSpPr>
                        <a:xfrm>
                          <a:off x="0" y="0"/>
                          <a:ext cx="3764280" cy="3976370"/>
                          <a:chOff x="8172" y="1475527"/>
                          <a:chExt cx="5928" cy="6262"/>
                        </a:xfrm>
                      </wpg:grpSpPr>
                      <wpg:grpSp>
                        <wpg:cNvPr id="83" name="组合 83"/>
                        <wpg:cNvGrpSpPr/>
                        <wpg:grpSpPr>
                          <a:xfrm>
                            <a:off x="8172" y="1475527"/>
                            <a:ext cx="1515" cy="4772"/>
                            <a:chOff x="8172" y="1475527"/>
                            <a:chExt cx="1515" cy="4772"/>
                          </a:xfrm>
                        </wpg:grpSpPr>
                        <wps:wsp>
                          <wps:cNvPr id="8" name="矩形 8"/>
                          <wps:cNvSpPr/>
                          <wps:spPr>
                            <a:xfrm rot="300000">
                              <a:off x="8172" y="1480082"/>
                              <a:ext cx="991" cy="217"/>
                            </a:xfrm>
                            <a:prstGeom prst="rect">
                              <a:avLst/>
                            </a:prstGeom>
                            <a:no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矩形 9"/>
                          <wps:cNvSpPr/>
                          <wps:spPr>
                            <a:xfrm rot="300000">
                              <a:off x="8261" y="1479064"/>
                              <a:ext cx="1007" cy="227"/>
                            </a:xfrm>
                            <a:prstGeom prst="rect">
                              <a:avLst/>
                            </a:prstGeom>
                            <a:no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 name="矩形 10"/>
                          <wps:cNvSpPr/>
                          <wps:spPr>
                            <a:xfrm rot="300000">
                              <a:off x="8515" y="1476593"/>
                              <a:ext cx="1065" cy="207"/>
                            </a:xfrm>
                            <a:prstGeom prst="rect">
                              <a:avLst/>
                            </a:prstGeom>
                            <a:no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矩形 11"/>
                          <wps:cNvSpPr/>
                          <wps:spPr>
                            <a:xfrm rot="300000">
                              <a:off x="8650" y="1475527"/>
                              <a:ext cx="1037" cy="208"/>
                            </a:xfrm>
                            <a:prstGeom prst="rect">
                              <a:avLst/>
                            </a:prstGeom>
                            <a:no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82" name="组合 82"/>
                        <wpg:cNvGrpSpPr/>
                        <wpg:grpSpPr>
                          <a:xfrm>
                            <a:off x="11940" y="1480619"/>
                            <a:ext cx="2160" cy="1170"/>
                            <a:chOff x="11940" y="1480619"/>
                            <a:chExt cx="2160" cy="1170"/>
                          </a:xfrm>
                        </wpg:grpSpPr>
                        <wps:wsp>
                          <wps:cNvPr id="79" name="文本框 79"/>
                          <wps:cNvSpPr txBox="1"/>
                          <wps:spPr>
                            <a:xfrm>
                              <a:off x="11940" y="1480619"/>
                              <a:ext cx="2160" cy="11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031A20">
                                <w:pPr>
                                  <w:rPr>
                                    <w:rFonts w:hint="eastAsia"/>
                                    <w:lang w:val="en-US" w:eastAsia="zh-CN"/>
                                  </w:rPr>
                                </w:pPr>
                                <w:r>
                                  <w:rPr>
                                    <w:rFonts w:hint="eastAsia"/>
                                    <w:lang w:val="en-US" w:eastAsia="zh-CN"/>
                                  </w:rPr>
                                  <w:t>图例：</w:t>
                                </w:r>
                              </w:p>
                              <w:p w14:paraId="68835C33">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现有工程</w:t>
                                </w:r>
                              </w:p>
                              <w:p w14:paraId="59141BDA">
                                <w:pPr>
                                  <w:rPr>
                                    <w:rFonts w:hint="default"/>
                                    <w:lang w:val="en-US" w:eastAsia="zh-CN"/>
                                  </w:rPr>
                                </w:pPr>
                                <w:r>
                                  <w:rPr>
                                    <w:rFonts w:hint="default"/>
                                    <w:lang w:val="en-US" w:eastAsia="zh-CN"/>
                                  </w:rPr>
                                  <w:t>胡杨河市月辰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0" name="矩形 80"/>
                          <wps:cNvSpPr/>
                          <wps:spPr>
                            <a:xfrm>
                              <a:off x="13651" y="1481400"/>
                              <a:ext cx="262" cy="147"/>
                            </a:xfrm>
                            <a:prstGeom prst="rect">
                              <a:avLst/>
                            </a:prstGeom>
                            <a:no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1" name="矩形 81"/>
                          <wps:cNvSpPr/>
                          <wps:spPr>
                            <a:xfrm>
                              <a:off x="13651" y="1481085"/>
                              <a:ext cx="262" cy="147"/>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81.65pt;margin-top:343.7pt;height:313.1pt;width:296.4pt;z-index:251680768;mso-width-relative:page;mso-height-relative:page;" coordorigin="8172,1475527" coordsize="5928,6262" o:gfxdata="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">
                <o:lock v:ext="edit" aspectratio="f"/>
                <v:group id="_x0000_s1026" o:spid="_x0000_s1026" o:spt="203" style="position:absolute;left:8172;top:1475527;height:4772;width:1515;" coordorigin="8172,1475527" coordsize="1515,4772" o:gfxdata="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taa5b0AAADbAAAADwAAAAAAAAABACAAAAAiAAAAZHJzL2Rvd25yZXYueG1s&#10;UEsBAhQAFAAAAAgAh07iQDMvBZ47AAAAOQAAABUAAAAAAAAAAQAgAAAADAEAAGRycy9ncm91cHNo&#10;YXBleG1sLnhtbFBLBQYAAAAABgAGAGABAADJAwAAAAA=&#10;">
                  <o:lock v:ext="edit" aspectratio="f"/>
                  <v:rect id="_x0000_s1026" o:spid="_x0000_s1026" o:spt="1" style="position:absolute;left:8172;top:1480082;height:217;width:991;rotation:327680f;v-text-anchor:middle;" filled="f" stroked="t" coordsize="21600,21600" o:gfxdata="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j0tb7gAAADaAAAA&#10;DwAAAAAAAAABACAAAAAiAAAAZHJzL2Rvd25yZXYueG1sUEsBAhQAFAAAAAgAh07iQDMvBZ47AAAA&#10;OQAAABAAAAAAAAAAAQAgAAAABwEAAGRycy9zaGFwZXhtbC54bWxQSwUGAAAAAAYABgBbAQAAsQMA&#10;AAAA&#10;">
                    <v:fill on="f" focussize="0,0"/>
                    <v:stroke weight="1pt" color="#2E54A1 [2404]" miterlimit="8" joinstyle="miter"/>
                    <v:imagedata o:title=""/>
                    <o:lock v:ext="edit" aspectratio="f"/>
                  </v:rect>
                  <v:rect id="_x0000_s1026" o:spid="_x0000_s1026" o:spt="1" style="position:absolute;left:8261;top:1479064;height:227;width:1007;rotation:327680f;v-text-anchor:middle;" filled="f" stroked="t" coordsize="21600,21600" o:gfxdata="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cYj0ugAAANoA&#10;AAAPAAAAAAAAAAEAIAAAACIAAABkcnMvZG93bnJldi54bWxQSwECFAAUAAAACACHTuJAMy8FnjsA&#10;AAA5AAAAEAAAAAAAAAABACAAAAAJAQAAZHJzL3NoYXBleG1sLnhtbFBLBQYAAAAABgAGAFsBAACz&#10;AwAAAAA=&#10;">
                    <v:fill on="f" focussize="0,0"/>
                    <v:stroke weight="1pt" color="#2E54A1 [2404]" miterlimit="8" joinstyle="miter"/>
                    <v:imagedata o:title=""/>
                    <o:lock v:ext="edit" aspectratio="f"/>
                  </v:rect>
                  <v:rect id="_x0000_s1026" o:spid="_x0000_s1026" o:spt="1" style="position:absolute;left:8515;top:1476593;height:207;width:1065;rotation:327680f;v-text-anchor:middle;" filled="f" stroked="t" coordsize="21600,21600" o:gfxdata="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hMdjvQAA&#10;ANsAAAAPAAAAAAAAAAEAIAAAACIAAABkcnMvZG93bnJldi54bWxQSwECFAAUAAAACACHTuJAMy8F&#10;njsAAAA5AAAAEAAAAAAAAAABACAAAAAMAQAAZHJzL3NoYXBleG1sLnhtbFBLBQYAAAAABgAGAFsB&#10;AAC2AwAAAAA=&#10;">
                    <v:fill on="f" focussize="0,0"/>
                    <v:stroke weight="1pt" color="#2E54A1 [2404]" miterlimit="8" joinstyle="miter"/>
                    <v:imagedata o:title=""/>
                    <o:lock v:ext="edit" aspectratio="f"/>
                  </v:rect>
                  <v:rect id="_x0000_s1026" o:spid="_x0000_s1026" o:spt="1" style="position:absolute;left:8650;top:1475527;height:208;width:1037;rotation:327680f;v-text-anchor:middle;" filled="f" stroked="t" coordsize="21600,21600" o:gfxdata="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PIYvi5AAAA2wAA&#10;AA8AAAAAAAAAAQAgAAAAIgAAAGRycy9kb3ducmV2LnhtbFBLAQIUABQAAAAIAIdO4kAzLwWeOwAA&#10;ADkAAAAQAAAAAAAAAAEAIAAAAAgBAABkcnMvc2hhcGV4bWwueG1sUEsFBgAAAAAGAAYAWwEAALID&#10;AAAAAA==&#10;">
                    <v:fill on="f" focussize="0,0"/>
                    <v:stroke weight="1pt" color="#2E54A1 [2404]" miterlimit="8" joinstyle="miter"/>
                    <v:imagedata o:title=""/>
                    <o:lock v:ext="edit" aspectratio="f"/>
                  </v:rect>
                </v:group>
                <v:group id="_x0000_s1026" o:spid="_x0000_s1026" o:spt="203" style="position:absolute;left:11940;top:1480619;height:1170;width:2160;" coordorigin="11940,1480619" coordsize="2160,1170" o:gfxdata="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aP36+AAAA2w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11940;top:1480619;height:1170;width:2160;" fillcolor="#FFFFFF [3201]" filled="t" stroked="t" coordsize="21600,21600" o:gfxdata="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Ec4b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4B031A20">
                          <w:pPr>
                            <w:rPr>
                              <w:rFonts w:hint="eastAsia"/>
                              <w:lang w:val="en-US" w:eastAsia="zh-CN"/>
                            </w:rPr>
                          </w:pPr>
                          <w:r>
                            <w:rPr>
                              <w:rFonts w:hint="eastAsia"/>
                              <w:lang w:val="en-US" w:eastAsia="zh-CN"/>
                            </w:rPr>
                            <w:t>图例：</w:t>
                          </w:r>
                        </w:p>
                        <w:p w14:paraId="68835C33">
                          <w:p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现有工程</w:t>
                          </w:r>
                        </w:p>
                        <w:p w14:paraId="59141BDA">
                          <w:pPr>
                            <w:rPr>
                              <w:rFonts w:hint="default"/>
                              <w:lang w:val="en-US" w:eastAsia="zh-CN"/>
                            </w:rPr>
                          </w:pPr>
                          <w:r>
                            <w:rPr>
                              <w:rFonts w:hint="default"/>
                              <w:lang w:val="en-US" w:eastAsia="zh-CN"/>
                            </w:rPr>
                            <w:t>胡杨河市月辰</w:t>
                          </w:r>
                        </w:p>
                      </w:txbxContent>
                    </v:textbox>
                  </v:shape>
                  <v:rect id="_x0000_s1026" o:spid="_x0000_s1026" o:spt="1" style="position:absolute;left:13651;top:1481400;height:147;width:262;v-text-anchor:middle;" filled="f" stroked="t" coordsize="21600,21600" o:gfxdata="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CYO8rsAAADb&#10;AAAADwAAAAAAAAABACAAAAAiAAAAZHJzL2Rvd25yZXYueG1sUEsBAhQAFAAAAAgAh07iQDMvBZ47&#10;AAAAOQAAABAAAAAAAAAAAQAgAAAACgEAAGRycy9zaGFwZXhtbC54bWxQSwUGAAAAAAYABgBbAQAA&#10;tAMAAAAA&#10;">
                    <v:fill on="f" focussize="0,0"/>
                    <v:stroke weight="1pt" color="#2E54A1 [2404]" miterlimit="8" joinstyle="miter"/>
                    <v:imagedata o:title=""/>
                    <o:lock v:ext="edit" aspectratio="f"/>
                  </v:rect>
                  <v:rect id="_x0000_s1026" o:spid="_x0000_s1026" o:spt="1" style="position:absolute;left:13651;top:1481085;height:147;width:262;v-text-anchor:middle;" filled="f" stroked="t" coordsize="21600,21600" o:gfxdata="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rq4B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rect>
                </v:group>
              </v:group>
            </w:pict>
          </mc:Fallback>
        </mc:AlternateContent>
      </w:r>
      <w:r>
        <w:drawing>
          <wp:inline distT="0" distB="0" distL="114300" distR="114300">
            <wp:extent cx="4163695" cy="8083550"/>
            <wp:effectExtent l="0" t="0" r="8255" b="12700"/>
            <wp:docPr id="85"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 descr="IMG_256"/>
                    <pic:cNvPicPr>
                      <a:picLocks noChangeAspect="1"/>
                    </pic:cNvPicPr>
                  </pic:nvPicPr>
                  <pic:blipFill>
                    <a:blip r:embed="rId23"/>
                    <a:stretch>
                      <a:fillRect/>
                    </a:stretch>
                  </pic:blipFill>
                  <pic:spPr>
                    <a:xfrm>
                      <a:off x="0" y="0"/>
                      <a:ext cx="4163695" cy="8083550"/>
                    </a:xfrm>
                    <a:prstGeom prst="rect">
                      <a:avLst/>
                    </a:prstGeom>
                    <a:noFill/>
                    <a:ln w="9525">
                      <a:noFill/>
                    </a:ln>
                  </pic:spPr>
                </pic:pic>
              </a:graphicData>
            </a:graphic>
          </wp:inline>
        </w:drawing>
      </w:r>
    </w:p>
    <w:p w14:paraId="13F7B01F">
      <w:pPr>
        <w:overflowPunct w:val="0"/>
        <w:autoSpaceDE w:val="0"/>
        <w:autoSpaceDN w:val="0"/>
        <w:bidi w:val="0"/>
        <w:adjustRightInd w:val="0"/>
        <w:snapToGrid w:val="0"/>
        <w:spacing w:line="360" w:lineRule="auto"/>
        <w:ind w:left="0" w:leftChars="0" w:firstLine="0" w:firstLineChars="0"/>
        <w:jc w:val="center"/>
        <w:rPr>
          <w:rFonts w:hint="default" w:ascii="Times New Roman" w:hAnsi="Times New Roman" w:eastAsia="宋体" w:cs="Times New Roman"/>
          <w:b/>
          <w:bCs/>
          <w:color w:val="auto"/>
          <w:kern w:val="2"/>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imes New Roman" w:hAnsi="Times New Roman" w:eastAsia="宋体" w:cs="Times New Roman"/>
          <w:b/>
          <w:bCs/>
          <w:color w:val="auto"/>
          <w:kern w:val="2"/>
          <w:sz w:val="24"/>
          <w:szCs w:val="24"/>
          <w:lang w:val="en-US" w:eastAsia="zh-CN"/>
        </w:rPr>
        <w:t>图3.1-1 现有工程平面布置图</w:t>
      </w:r>
    </w:p>
    <w:p w14:paraId="425871A1">
      <w:pPr>
        <w:keepNext w:val="0"/>
        <w:keepLines w:val="0"/>
        <w:widowControl w:val="0"/>
        <w:overflowPunct w:val="0"/>
        <w:autoSpaceDE w:val="0"/>
        <w:autoSpaceDN w:val="0"/>
        <w:bidi w:val="0"/>
        <w:adjustRightInd w:val="0"/>
        <w:snapToGrid w:val="0"/>
        <w:spacing w:before="0" w:after="0" w:line="360" w:lineRule="auto"/>
        <w:jc w:val="both"/>
        <w:outlineLvl w:val="2"/>
        <w:rPr>
          <w:rFonts w:hint="default" w:ascii="Times New Roman" w:hAnsi="Times New Roman" w:eastAsia="宋体" w:cs="Times New Roman"/>
          <w:b/>
          <w:bCs/>
          <w:kern w:val="0"/>
          <w:sz w:val="28"/>
          <w:szCs w:val="28"/>
          <w:lang w:val="en-US" w:eastAsia="zh-CN" w:bidi="ar-SA"/>
        </w:rPr>
      </w:pPr>
      <w:r>
        <w:rPr>
          <w:rFonts w:hint="default" w:ascii="Times New Roman" w:hAnsi="Times New Roman" w:eastAsia="宋体" w:cs="Times New Roman"/>
          <w:b/>
          <w:bCs/>
          <w:kern w:val="0"/>
          <w:sz w:val="28"/>
          <w:szCs w:val="28"/>
          <w:lang w:val="en-US" w:eastAsia="zh-CN" w:bidi="ar-SA"/>
        </w:rPr>
        <w:t>3.1.</w:t>
      </w:r>
      <w:r>
        <w:rPr>
          <w:rFonts w:hint="eastAsia" w:cs="Times New Roman"/>
          <w:b/>
          <w:bCs/>
          <w:kern w:val="0"/>
          <w:sz w:val="28"/>
          <w:szCs w:val="28"/>
          <w:lang w:val="en-US" w:eastAsia="zh-CN" w:bidi="ar-SA"/>
        </w:rPr>
        <w:t>4</w:t>
      </w:r>
      <w:r>
        <w:rPr>
          <w:rFonts w:hint="eastAsia" w:ascii="Times New Roman" w:hAnsi="Times New Roman" w:eastAsia="宋体" w:cs="Times New Roman"/>
          <w:b/>
          <w:bCs/>
          <w:kern w:val="0"/>
          <w:sz w:val="28"/>
          <w:szCs w:val="28"/>
          <w:lang w:val="en-US" w:eastAsia="zh-CN" w:bidi="ar-SA"/>
        </w:rPr>
        <w:t>现有</w:t>
      </w:r>
      <w:r>
        <w:rPr>
          <w:rFonts w:hint="default" w:ascii="Times New Roman" w:hAnsi="Times New Roman" w:eastAsia="宋体" w:cs="Times New Roman"/>
          <w:b/>
          <w:bCs/>
          <w:kern w:val="0"/>
          <w:sz w:val="28"/>
          <w:szCs w:val="28"/>
          <w:lang w:val="en-US" w:eastAsia="zh-CN" w:bidi="ar-SA"/>
        </w:rPr>
        <w:t>工程生产工艺</w:t>
      </w:r>
    </w:p>
    <w:p w14:paraId="069F8273">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3.1.4.1养殖</w:t>
      </w:r>
    </w:p>
    <w:p w14:paraId="6F5059EB">
      <w:pPr>
        <w:keepNext w:val="0"/>
        <w:keepLines w:val="0"/>
        <w:pageBreakBefore w:val="0"/>
        <w:widowControl/>
        <w:wordWrap/>
        <w:topLinePunct w:val="0"/>
        <w:bidi w:val="0"/>
        <w:adjustRightInd/>
        <w:snapToGrid/>
        <w:spacing w:line="360" w:lineRule="auto"/>
        <w:ind w:firstLine="482"/>
        <w:rPr>
          <w:rFonts w:hint="default" w:ascii="Times New Roman" w:hAnsi="Times New Roman" w:eastAsia="宋体" w:cs="Times New Roman"/>
          <w:kern w:val="2"/>
          <w:sz w:val="24"/>
          <w:szCs w:val="24"/>
        </w:rPr>
      </w:pPr>
      <w:r>
        <w:rPr>
          <w:rFonts w:hint="eastAsia" w:ascii="Times New Roman" w:hAnsi="Times New Roman" w:eastAsia="宋体" w:cs="Times New Roman"/>
          <w:kern w:val="2"/>
          <w:sz w:val="24"/>
          <w:szCs w:val="24"/>
          <w:lang w:val="en-US" w:eastAsia="zh-CN"/>
        </w:rPr>
        <w:t>现有工程</w:t>
      </w:r>
      <w:r>
        <w:rPr>
          <w:rFonts w:hint="default" w:ascii="Times New Roman" w:hAnsi="Times New Roman" w:eastAsia="宋体" w:cs="Times New Roman"/>
          <w:kern w:val="2"/>
          <w:sz w:val="24"/>
          <w:szCs w:val="24"/>
        </w:rPr>
        <w:t>年</w:t>
      </w:r>
      <w:r>
        <w:rPr>
          <w:rFonts w:hint="eastAsia" w:ascii="Times New Roman" w:hAnsi="Times New Roman" w:eastAsia="宋体" w:cs="Times New Roman"/>
          <w:kern w:val="2"/>
          <w:sz w:val="24"/>
          <w:szCs w:val="24"/>
          <w:lang w:val="en-US" w:eastAsia="zh-CN"/>
        </w:rPr>
        <w:t>存栏</w:t>
      </w:r>
      <w:r>
        <w:rPr>
          <w:rFonts w:hint="default" w:ascii="Times New Roman" w:hAnsi="Times New Roman" w:eastAsia="宋体" w:cs="Times New Roman"/>
          <w:kern w:val="2"/>
          <w:sz w:val="24"/>
          <w:szCs w:val="24"/>
        </w:rPr>
        <w:t>育肥</w:t>
      </w:r>
      <w:r>
        <w:rPr>
          <w:rFonts w:hint="eastAsia" w:ascii="Times New Roman" w:hAnsi="Times New Roman" w:eastAsia="宋体" w:cs="Times New Roman"/>
          <w:kern w:val="2"/>
          <w:sz w:val="24"/>
          <w:szCs w:val="24"/>
          <w:lang w:val="en-US" w:eastAsia="zh-CN"/>
        </w:rPr>
        <w:t>牛</w:t>
      </w:r>
      <w:r>
        <w:rPr>
          <w:rFonts w:hint="eastAsia" w:cs="Times New Roman"/>
          <w:kern w:val="2"/>
          <w:sz w:val="24"/>
          <w:szCs w:val="24"/>
          <w:lang w:val="en-US" w:eastAsia="zh-CN"/>
        </w:rPr>
        <w:t>419</w:t>
      </w:r>
      <w:r>
        <w:rPr>
          <w:rFonts w:hint="default" w:ascii="Times New Roman" w:hAnsi="Times New Roman" w:eastAsia="宋体" w:cs="Times New Roman"/>
          <w:kern w:val="2"/>
          <w:sz w:val="24"/>
          <w:szCs w:val="24"/>
        </w:rPr>
        <w:t>头，采取</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引进良种、科学育肥、封闭管理、</w:t>
      </w:r>
      <w:r>
        <w:rPr>
          <w:rFonts w:hint="default" w:ascii="Times New Roman" w:hAnsi="Times New Roman" w:eastAsia="宋体" w:cs="Times New Roman"/>
          <w:kern w:val="2"/>
          <w:sz w:val="24"/>
          <w:szCs w:val="24"/>
          <w:highlight w:val="none"/>
          <w:lang w:val="en-US" w:eastAsia="zh-CN"/>
        </w:rPr>
        <w:t>全进全出</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的生态标准养殖模式</w:t>
      </w:r>
      <w:r>
        <w:rPr>
          <w:rFonts w:hint="default" w:ascii="Times New Roman" w:hAnsi="Times New Roman" w:eastAsia="宋体" w:cs="Times New Roman"/>
          <w:kern w:val="2"/>
          <w:sz w:val="24"/>
          <w:szCs w:val="24"/>
        </w:rPr>
        <w:t>。按照标准化</w:t>
      </w:r>
      <w:r>
        <w:rPr>
          <w:rFonts w:hint="eastAsia" w:ascii="Times New Roman" w:hAnsi="Times New Roman" w:eastAsia="宋体" w:cs="Times New Roman"/>
          <w:kern w:val="2"/>
          <w:sz w:val="24"/>
          <w:szCs w:val="24"/>
          <w:lang w:val="en-US" w:eastAsia="zh-CN"/>
        </w:rPr>
        <w:t>养殖</w:t>
      </w:r>
      <w:r>
        <w:rPr>
          <w:rFonts w:hint="default" w:ascii="Times New Roman" w:hAnsi="Times New Roman" w:eastAsia="宋体" w:cs="Times New Roman"/>
          <w:kern w:val="2"/>
          <w:sz w:val="24"/>
          <w:szCs w:val="24"/>
        </w:rPr>
        <w:t>要求，实施专业化生产、标准化管理、规模化经营，对</w:t>
      </w:r>
      <w:r>
        <w:rPr>
          <w:rFonts w:hint="eastAsia" w:cs="Times New Roman"/>
          <w:kern w:val="2"/>
          <w:sz w:val="24"/>
          <w:szCs w:val="24"/>
          <w:lang w:val="en-US" w:eastAsia="zh-CN"/>
        </w:rPr>
        <w:t>牛圈</w:t>
      </w:r>
      <w:r>
        <w:rPr>
          <w:rFonts w:hint="default" w:ascii="Times New Roman" w:hAnsi="Times New Roman" w:eastAsia="宋体" w:cs="Times New Roman"/>
          <w:kern w:val="2"/>
          <w:sz w:val="24"/>
          <w:szCs w:val="24"/>
        </w:rPr>
        <w:t>、设备、品种选育、环境控制、防疫保健等有较高要求。</w:t>
      </w:r>
    </w:p>
    <w:p w14:paraId="7A49EBF8">
      <w:pPr>
        <w:keepNext w:val="0"/>
        <w:keepLines w:val="0"/>
        <w:pageBreakBefore w:val="0"/>
        <w:widowControl/>
        <w:wordWrap/>
        <w:topLinePunct w:val="0"/>
        <w:bidi w:val="0"/>
        <w:adjustRightInd/>
        <w:snapToGrid/>
        <w:spacing w:line="360" w:lineRule="auto"/>
        <w:ind w:firstLine="482"/>
        <w:rPr>
          <w:rFonts w:hint="default" w:ascii="Times New Roman" w:hAnsi="Times New Roman" w:eastAsia="宋体" w:cs="Times New Roman"/>
          <w:kern w:val="2"/>
          <w:sz w:val="24"/>
          <w:szCs w:val="24"/>
        </w:rPr>
      </w:pPr>
      <w:r>
        <w:rPr>
          <w:rFonts w:hint="eastAsia" w:ascii="Times New Roman" w:hAnsi="Times New Roman" w:eastAsia="宋体" w:cs="Times New Roman"/>
          <w:kern w:val="2"/>
          <w:sz w:val="24"/>
          <w:szCs w:val="24"/>
          <w:lang w:val="en-US" w:eastAsia="zh-CN"/>
        </w:rPr>
        <w:t>现有工程</w:t>
      </w:r>
      <w:r>
        <w:rPr>
          <w:rFonts w:hint="default" w:ascii="Times New Roman" w:hAnsi="Times New Roman" w:eastAsia="宋体" w:cs="Times New Roman"/>
          <w:kern w:val="2"/>
          <w:sz w:val="24"/>
          <w:szCs w:val="24"/>
        </w:rPr>
        <w:t>运营期</w:t>
      </w:r>
      <w:r>
        <w:rPr>
          <w:rFonts w:hint="eastAsia" w:ascii="Times New Roman" w:hAnsi="Times New Roman" w:eastAsia="宋体" w:cs="Times New Roman"/>
          <w:kern w:val="2"/>
          <w:sz w:val="24"/>
          <w:szCs w:val="24"/>
          <w:lang w:val="en-US" w:eastAsia="zh-CN"/>
        </w:rPr>
        <w:t>育肥牛</w:t>
      </w:r>
      <w:r>
        <w:rPr>
          <w:rFonts w:hint="default" w:ascii="Times New Roman" w:hAnsi="Times New Roman" w:eastAsia="宋体" w:cs="Times New Roman"/>
          <w:kern w:val="2"/>
          <w:sz w:val="24"/>
          <w:szCs w:val="24"/>
        </w:rPr>
        <w:t>养殖</w:t>
      </w:r>
      <w:r>
        <w:rPr>
          <w:rFonts w:hint="default" w:ascii="Times New Roman" w:hAnsi="Times New Roman" w:eastAsia="宋体" w:cs="Times New Roman"/>
          <w:kern w:val="2"/>
          <w:sz w:val="24"/>
          <w:szCs w:val="24"/>
          <w:lang w:eastAsia="zh-CN"/>
        </w:rPr>
        <w:t>工艺流程图</w:t>
      </w:r>
      <w:r>
        <w:rPr>
          <w:rFonts w:hint="default" w:ascii="Times New Roman" w:hAnsi="Times New Roman" w:eastAsia="宋体" w:cs="Times New Roman"/>
          <w:kern w:val="2"/>
          <w:sz w:val="24"/>
          <w:szCs w:val="24"/>
        </w:rPr>
        <w:t>详见图</w:t>
      </w:r>
      <w:r>
        <w:rPr>
          <w:rFonts w:hint="default" w:ascii="Times New Roman" w:hAnsi="Times New Roman" w:eastAsia="宋体" w:cs="Times New Roman"/>
          <w:kern w:val="2"/>
          <w:sz w:val="24"/>
          <w:szCs w:val="24"/>
          <w:lang w:val="en-US" w:eastAsia="zh-CN"/>
        </w:rPr>
        <w:t>3</w:t>
      </w:r>
      <w:r>
        <w:rPr>
          <w:rFonts w:hint="default" w:ascii="Times New Roman" w:hAnsi="Times New Roman" w:eastAsia="宋体" w:cs="Times New Roman"/>
          <w:kern w:val="2"/>
          <w:sz w:val="24"/>
          <w:szCs w:val="24"/>
        </w:rPr>
        <w:t>.</w:t>
      </w:r>
      <w:r>
        <w:rPr>
          <w:rFonts w:hint="eastAsia" w:cs="Times New Roman"/>
          <w:kern w:val="2"/>
          <w:sz w:val="24"/>
          <w:szCs w:val="24"/>
          <w:lang w:val="en-US" w:eastAsia="zh-CN"/>
        </w:rPr>
        <w:t>1</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2</w:t>
      </w:r>
      <w:r>
        <w:rPr>
          <w:rFonts w:hint="default" w:ascii="Times New Roman" w:hAnsi="Times New Roman" w:eastAsia="宋体" w:cs="Times New Roman"/>
          <w:kern w:val="2"/>
          <w:sz w:val="24"/>
          <w:szCs w:val="24"/>
        </w:rPr>
        <w:t>。</w:t>
      </w:r>
    </w:p>
    <w:p w14:paraId="327B39A6">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r>
        <w:rPr>
          <w:rFonts w:ascii="Times New Roman" w:hAnsi="Times New Roman" w:eastAsia="宋体" w:cs="Times New Roman"/>
          <w:sz w:val="24"/>
        </w:rPr>
        <mc:AlternateContent>
          <mc:Choice Requires="wpg">
            <w:drawing>
              <wp:anchor distT="0" distB="0" distL="114300" distR="114300" simplePos="0" relativeHeight="251679744" behindDoc="0" locked="0" layoutInCell="1" allowOverlap="1">
                <wp:simplePos x="0" y="0"/>
                <wp:positionH relativeFrom="column">
                  <wp:posOffset>1701165</wp:posOffset>
                </wp:positionH>
                <wp:positionV relativeFrom="paragraph">
                  <wp:posOffset>145415</wp:posOffset>
                </wp:positionV>
                <wp:extent cx="1838325" cy="3296920"/>
                <wp:effectExtent l="4445" t="4445" r="5080" b="13335"/>
                <wp:wrapNone/>
                <wp:docPr id="53" name="组合 53"/>
                <wp:cNvGraphicFramePr/>
                <a:graphic xmlns:a="http://schemas.openxmlformats.org/drawingml/2006/main">
                  <a:graphicData uri="http://schemas.microsoft.com/office/word/2010/wordprocessingGroup">
                    <wpg:wgp>
                      <wpg:cNvGrpSpPr/>
                      <wpg:grpSpPr>
                        <a:xfrm>
                          <a:off x="0" y="0"/>
                          <a:ext cx="1838325" cy="3296789"/>
                          <a:chOff x="8012" y="879738"/>
                          <a:chExt cx="2925" cy="5940"/>
                        </a:xfrm>
                      </wpg:grpSpPr>
                      <wpg:grpSp>
                        <wpg:cNvPr id="56" name="组合 2"/>
                        <wpg:cNvGrpSpPr/>
                        <wpg:grpSpPr>
                          <a:xfrm>
                            <a:off x="8402" y="879738"/>
                            <a:ext cx="2101" cy="2226"/>
                            <a:chOff x="8325" y="1064814"/>
                            <a:chExt cx="2101" cy="1988"/>
                          </a:xfrm>
                        </wpg:grpSpPr>
                        <wps:wsp>
                          <wps:cNvPr id="60" name="文本框 47"/>
                          <wps:cNvSpPr txBox="1"/>
                          <wps:spPr>
                            <a:xfrm>
                              <a:off x="8505" y="1064814"/>
                              <a:ext cx="1740" cy="958"/>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9D1475">
                                <w:pPr>
                                  <w:spacing w:line="240" w:lineRule="auto"/>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购进6月龄断奶犊牛100-150kg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 name="直接箭头连接符 114"/>
                          <wps:cNvCnPr>
                            <a:stCxn id="47" idx="2"/>
                            <a:endCxn id="121" idx="0"/>
                          </wps:cNvCnPr>
                          <wps:spPr>
                            <a:xfrm>
                              <a:off x="9375" y="1065772"/>
                              <a:ext cx="1" cy="450"/>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72" name="文本框 121"/>
                          <wps:cNvSpPr txBox="1"/>
                          <wps:spPr>
                            <a:xfrm>
                              <a:off x="8325" y="1066222"/>
                              <a:ext cx="2101" cy="58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7B8AB8">
                                <w:pPr>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育肥适应期10</w:t>
                                </w:r>
                                <w:r>
                                  <w:rPr>
                                    <w:rFonts w:hint="eastAsia" w:ascii="Times New Roman" w:hAnsi="Times New Roman" w:eastAsia="宋体" w:cs="Times New Roman"/>
                                    <w:lang w:val="en-US" w:eastAsia="zh-CN"/>
                                  </w:rPr>
                                  <w:t>天</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73" name="直接箭头连接符 37"/>
                        <wps:cNvCnPr>
                          <a:endCxn id="43" idx="0"/>
                        </wps:cNvCnPr>
                        <wps:spPr>
                          <a:xfrm>
                            <a:off x="9437" y="881966"/>
                            <a:ext cx="1" cy="503"/>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74" name="文本框 43"/>
                        <wps:cNvSpPr txBox="1"/>
                        <wps:spPr>
                          <a:xfrm>
                            <a:off x="8124" y="882469"/>
                            <a:ext cx="2626" cy="65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B1FFD1">
                              <w:pPr>
                                <w:jc w:val="center"/>
                                <w:rPr>
                                  <w:rFonts w:hint="default" w:eastAsia="宋体"/>
                                  <w:lang w:val="en-US" w:eastAsia="zh-CN"/>
                                </w:rPr>
                              </w:pPr>
                              <w:r>
                                <w:rPr>
                                  <w:rFonts w:hint="eastAsia" w:eastAsia="宋体"/>
                                  <w:lang w:val="en-US" w:eastAsia="zh-CN"/>
                                </w:rPr>
                                <w:t>6个月</w:t>
                              </w:r>
                              <w:r>
                                <w:rPr>
                                  <w:rFonts w:hint="default" w:eastAsia="宋体"/>
                                  <w:lang w:val="en-US" w:eastAsia="zh-CN"/>
                                </w:rPr>
                                <w:t>架子牛生长阶段</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5" name="直接箭头连接符 44"/>
                        <wps:cNvCnPr>
                          <a:endCxn id="99" idx="0"/>
                        </wps:cNvCnPr>
                        <wps:spPr>
                          <a:xfrm>
                            <a:off x="9428" y="883121"/>
                            <a:ext cx="1" cy="503"/>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76" name="文本框 99"/>
                        <wps:cNvSpPr txBox="1"/>
                        <wps:spPr>
                          <a:xfrm>
                            <a:off x="8207" y="883625"/>
                            <a:ext cx="2443" cy="65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B38597">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6个月</w:t>
                              </w:r>
                              <w:r>
                                <w:rPr>
                                  <w:rFonts w:hint="default" w:ascii="Times New Roman" w:hAnsi="Times New Roman" w:eastAsia="宋体" w:cs="Times New Roman"/>
                                  <w:kern w:val="2"/>
                                  <w:sz w:val="21"/>
                                  <w:szCs w:val="21"/>
                                  <w:lang w:val="en-US" w:eastAsia="zh-CN"/>
                                </w:rPr>
                                <w:t>强度肥育阶段</w:t>
                              </w:r>
                            </w:p>
                            <w:p w14:paraId="35F0B840">
                              <w:pPr>
                                <w:rPr>
                                  <w:rFonts w:hint="default"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7" name="直接箭头连接符 103"/>
                        <wps:cNvCnPr>
                          <a:endCxn id="104" idx="0"/>
                        </wps:cNvCnPr>
                        <wps:spPr>
                          <a:xfrm>
                            <a:off x="9474" y="884292"/>
                            <a:ext cx="1" cy="503"/>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78" name="文本框 104"/>
                        <wps:cNvSpPr txBox="1"/>
                        <wps:spPr>
                          <a:xfrm>
                            <a:off x="8012" y="884795"/>
                            <a:ext cx="2925" cy="883"/>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91AEDF">
                              <w:pPr>
                                <w:spacing w:line="240" w:lineRule="auto"/>
                                <w:jc w:val="center"/>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商品肉牛，生长至出售约1</w:t>
                              </w:r>
                              <w:r>
                                <w:rPr>
                                  <w:rFonts w:hint="eastAsia" w:eastAsia="宋体" w:cs="Times New Roman"/>
                                  <w:kern w:val="2"/>
                                  <w:sz w:val="21"/>
                                  <w:szCs w:val="24"/>
                                  <w:lang w:val="en-US" w:eastAsia="zh-CN"/>
                                </w:rPr>
                                <w:t>8</w:t>
                              </w:r>
                              <w:r>
                                <w:rPr>
                                  <w:rFonts w:hint="eastAsia" w:ascii="Times New Roman" w:hAnsi="Times New Roman" w:eastAsia="宋体" w:cs="Times New Roman"/>
                                  <w:kern w:val="2"/>
                                  <w:sz w:val="21"/>
                                  <w:szCs w:val="24"/>
                                  <w:lang w:val="en-US" w:eastAsia="zh-CN"/>
                                </w:rPr>
                                <w:t>月月龄550kg以上。</w:t>
                              </w:r>
                            </w:p>
                            <w:p w14:paraId="66C2BF7B">
                              <w:pPr>
                                <w:rPr>
                                  <w:rFonts w:hint="default" w:ascii="Times New Roman" w:hAnsi="Times New Roman" w:eastAsia="宋体" w:cs="Times New Roman"/>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33.95pt;margin-top:11.45pt;height:259.6pt;width:144.75pt;z-index:251679744;mso-width-relative:page;mso-height-relative:page;" coordorigin="8012,879738" coordsize="2925,5940" o:gfxdata="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">
                <o:lock v:ext="edit" aspectratio="f"/>
                <v:group id="组合 2" o:spid="_x0000_s1026" o:spt="203" style="position:absolute;left:8402;top:879738;height:2226;width:2101;" coordorigin="8325,1064814" coordsize="2101,1988"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shape id="文本框 47" o:spid="_x0000_s1026" o:spt="202" type="#_x0000_t202" style="position:absolute;left:8505;top:1064814;height:958;width:1740;v-text-anchor:middle;" fillcolor="#FFFFFF" filled="t" stroked="t" coordsize="21600,21600" o:gfxdata="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sqkue5AAAA2w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w:txbxContent>
                        <w:p w14:paraId="659D1475">
                          <w:pPr>
                            <w:spacing w:line="240" w:lineRule="auto"/>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购进6月龄断奶犊牛100-150kg</w:t>
                          </w:r>
                        </w:p>
                      </w:txbxContent>
                    </v:textbox>
                  </v:shape>
                  <v:shape id="直接箭头连接符 114" o:spid="_x0000_s1026" o:spt="32" type="#_x0000_t32" style="position:absolute;left:9375;top:1065772;height:450;width:1;" filled="f" stroked="t" coordsize="21600,21600" o:gfxdata="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JZI74A&#10;AADbAAAADwAAAAAAAAABACAAAAAiAAAAZHJzL2Rvd25yZXYueG1sUEsBAhQAFAAAAAgAh07iQDMv&#10;BZ47AAAAOQAAABAAAAAAAAAAAQAgAAAADQEAAGRycy9zaGFwZXhtbC54bWxQSwUGAAAAAAYABgBb&#10;AQAAtwMAAAAA&#10;">
                    <v:fill on="f" focussize="0,0"/>
                    <v:stroke weight="1pt" color="#000000 [3204]" miterlimit="8" joinstyle="miter" endarrow="block" endarrowwidth="wide"/>
                    <v:imagedata o:title=""/>
                    <o:lock v:ext="edit" aspectratio="f"/>
                  </v:shape>
                  <v:shape id="文本框 121" o:spid="_x0000_s1026" o:spt="202" type="#_x0000_t202" style="position:absolute;left:8325;top:1066222;height:580;width:2101;v-text-anchor:middle;" fillcolor="#FFFFFF" filled="t" stroked="t" coordsize="21600,21600" o:gfxdata="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tP9a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3C7B8AB8">
                          <w:pPr>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育肥适应期10</w:t>
                          </w:r>
                          <w:r>
                            <w:rPr>
                              <w:rFonts w:hint="eastAsia" w:ascii="Times New Roman" w:hAnsi="Times New Roman" w:eastAsia="宋体" w:cs="Times New Roman"/>
                              <w:lang w:val="en-US" w:eastAsia="zh-CN"/>
                            </w:rPr>
                            <w:t>天</w:t>
                          </w:r>
                        </w:p>
                      </w:txbxContent>
                    </v:textbox>
                  </v:shape>
                </v:group>
                <v:shape id="直接箭头连接符 37" o:spid="_x0000_s1026" o:spt="32" type="#_x0000_t32" style="position:absolute;left:9437;top:881966;height:503;width:1;" filled="f" stroked="t" coordsize="21600,21600" o:gfxdata="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xdqZb4A&#10;AADbAAAADwAAAAAAAAABACAAAAAiAAAAZHJzL2Rvd25yZXYueG1sUEsBAhQAFAAAAAgAh07iQDMv&#10;BZ47AAAAOQAAABAAAAAAAAAAAQAgAAAADQEAAGRycy9zaGFwZXhtbC54bWxQSwUGAAAAAAYABgBb&#10;AQAAtwMAAAAA&#10;">
                  <v:fill on="f" focussize="0,0"/>
                  <v:stroke weight="1pt" color="#000000 [3204]" miterlimit="8" joinstyle="miter" endarrow="block" endarrowwidth="wide"/>
                  <v:imagedata o:title=""/>
                  <o:lock v:ext="edit" aspectratio="f"/>
                </v:shape>
                <v:shape id="文本框 43" o:spid="_x0000_s1026" o:spt="202" type="#_x0000_t202" style="position:absolute;left:8124;top:882469;height:650;width:2626;v-text-anchor:middle;" fillcolor="#FFFFFF" filled="t" stroked="t" coordsize="21600,21600" o:gfxdata="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yAI5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54B1FFD1">
                        <w:pPr>
                          <w:jc w:val="center"/>
                          <w:rPr>
                            <w:rFonts w:hint="default" w:eastAsia="宋体"/>
                            <w:lang w:val="en-US" w:eastAsia="zh-CN"/>
                          </w:rPr>
                        </w:pPr>
                        <w:r>
                          <w:rPr>
                            <w:rFonts w:hint="eastAsia" w:eastAsia="宋体"/>
                            <w:lang w:val="en-US" w:eastAsia="zh-CN"/>
                          </w:rPr>
                          <w:t>6个月</w:t>
                        </w:r>
                        <w:r>
                          <w:rPr>
                            <w:rFonts w:hint="default" w:eastAsia="宋体"/>
                            <w:lang w:val="en-US" w:eastAsia="zh-CN"/>
                          </w:rPr>
                          <w:t>架子牛生长阶段</w:t>
                        </w:r>
                      </w:p>
                    </w:txbxContent>
                  </v:textbox>
                </v:shape>
                <v:shape id="直接箭头连接符 44" o:spid="_x0000_s1026" o:spt="32" type="#_x0000_t32" style="position:absolute;left:9428;top:883121;height:503;width:1;" filled="f" stroked="t" coordsize="21600,21600" o:gfxdata="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JXir4A&#10;AADbAAAADwAAAAAAAAABACAAAAAiAAAAZHJzL2Rvd25yZXYueG1sUEsBAhQAFAAAAAgAh07iQDMv&#10;BZ47AAAAOQAAABAAAAAAAAAAAQAgAAAADQEAAGRycy9zaGFwZXhtbC54bWxQSwUGAAAAAAYABgBb&#10;AQAAtwMAAAAA&#10;">
                  <v:fill on="f" focussize="0,0"/>
                  <v:stroke weight="1pt" color="#000000 [3204]" miterlimit="8" joinstyle="miter" endarrow="block" endarrowwidth="wide"/>
                  <v:imagedata o:title=""/>
                  <o:lock v:ext="edit" aspectratio="f"/>
                </v:shape>
                <v:shape id="文本框 99" o:spid="_x0000_s1026" o:spt="202" type="#_x0000_t202" style="position:absolute;left:8207;top:883625;height:650;width:2443;v-text-anchor:middle;" fillcolor="#FFFFFF" filled="t" stroked="t" coordsize="21600,21600" o:gfxdata="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WOdW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7FB38597">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6个月</w:t>
                        </w:r>
                        <w:r>
                          <w:rPr>
                            <w:rFonts w:hint="default" w:ascii="Times New Roman" w:hAnsi="Times New Roman" w:eastAsia="宋体" w:cs="Times New Roman"/>
                            <w:kern w:val="2"/>
                            <w:sz w:val="21"/>
                            <w:szCs w:val="21"/>
                            <w:lang w:val="en-US" w:eastAsia="zh-CN"/>
                          </w:rPr>
                          <w:t>强度肥育阶段</w:t>
                        </w:r>
                      </w:p>
                      <w:p w14:paraId="35F0B840">
                        <w:pPr>
                          <w:rPr>
                            <w:rFonts w:hint="default" w:eastAsia="宋体"/>
                            <w:lang w:val="en-US" w:eastAsia="zh-CN"/>
                          </w:rPr>
                        </w:pPr>
                      </w:p>
                    </w:txbxContent>
                  </v:textbox>
                </v:shape>
                <v:shape id="直接箭头连接符 103" o:spid="_x0000_s1026" o:spt="32" type="#_x0000_t32" style="position:absolute;left:9474;top:884292;height:503;width:1;" filled="f" stroked="t" coordsize="21600,21600" o:gfxdata="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xsZr4A&#10;AADbAAAADwAAAAAAAAABACAAAAAiAAAAZHJzL2Rvd25yZXYueG1sUEsBAhQAFAAAAAgAh07iQDMv&#10;BZ47AAAAOQAAABAAAAAAAAAAAQAgAAAADQEAAGRycy9zaGFwZXhtbC54bWxQSwUGAAAAAAYABgBb&#10;AQAAtwMAAAAA&#10;">
                  <v:fill on="f" focussize="0,0"/>
                  <v:stroke weight="1pt" color="#000000 [3204]" miterlimit="8" joinstyle="miter" endarrow="block" endarrowwidth="wide"/>
                  <v:imagedata o:title=""/>
                  <o:lock v:ext="edit" aspectratio="f"/>
                </v:shape>
                <v:shape id="文本框 104" o:spid="_x0000_s1026" o:spt="202" type="#_x0000_t202" style="position:absolute;left:8012;top:884795;height:883;width:2925;v-text-anchor:middle;" fillcolor="#FFFFFF" filled="t" stroked="t" coordsize="21600,21600" o:gfxdata="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IUIPLsAAADb&#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7F91AEDF">
                        <w:pPr>
                          <w:spacing w:line="240" w:lineRule="auto"/>
                          <w:jc w:val="center"/>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商品肉牛，生长至出售约1</w:t>
                        </w:r>
                        <w:r>
                          <w:rPr>
                            <w:rFonts w:hint="eastAsia" w:eastAsia="宋体" w:cs="Times New Roman"/>
                            <w:kern w:val="2"/>
                            <w:sz w:val="21"/>
                            <w:szCs w:val="24"/>
                            <w:lang w:val="en-US" w:eastAsia="zh-CN"/>
                          </w:rPr>
                          <w:t>8</w:t>
                        </w:r>
                        <w:r>
                          <w:rPr>
                            <w:rFonts w:hint="eastAsia" w:ascii="Times New Roman" w:hAnsi="Times New Roman" w:eastAsia="宋体" w:cs="Times New Roman"/>
                            <w:kern w:val="2"/>
                            <w:sz w:val="21"/>
                            <w:szCs w:val="24"/>
                            <w:lang w:val="en-US" w:eastAsia="zh-CN"/>
                          </w:rPr>
                          <w:t>月月龄550kg以上。</w:t>
                        </w:r>
                      </w:p>
                      <w:p w14:paraId="66C2BF7B">
                        <w:pPr>
                          <w:rPr>
                            <w:rFonts w:hint="default" w:ascii="Times New Roman" w:hAnsi="Times New Roman" w:eastAsia="宋体" w:cs="Times New Roman"/>
                            <w:lang w:val="en-US" w:eastAsia="zh-CN"/>
                          </w:rPr>
                        </w:pPr>
                      </w:p>
                    </w:txbxContent>
                  </v:textbox>
                </v:shape>
              </v:group>
            </w:pict>
          </mc:Fallback>
        </mc:AlternateContent>
      </w:r>
    </w:p>
    <w:p w14:paraId="1B6ACAF6">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3E6EA78A">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1BF4C902">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571AEAA2">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3AE235EF">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400AFB1D">
      <w:pPr>
        <w:keepNext w:val="0"/>
        <w:keepLines w:val="0"/>
        <w:pageBreakBefore w:val="0"/>
        <w:widowControl/>
        <w:wordWrap/>
        <w:topLinePunct w:val="0"/>
        <w:bidi w:val="0"/>
        <w:adjustRightInd/>
        <w:snapToGrid/>
        <w:spacing w:line="360" w:lineRule="auto"/>
        <w:jc w:val="both"/>
        <w:rPr>
          <w:rFonts w:hint="default" w:ascii="Times New Roman" w:hAnsi="Times New Roman" w:eastAsia="宋体" w:cs="Times New Roman"/>
          <w:b/>
          <w:kern w:val="2"/>
          <w:sz w:val="24"/>
          <w:szCs w:val="24"/>
        </w:rPr>
      </w:pPr>
    </w:p>
    <w:p w14:paraId="7D961F55">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72840C19">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5968D305">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7F46E87E">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02F0C1F4">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3EA79987">
      <w:pPr>
        <w:keepNext w:val="0"/>
        <w:keepLines w:val="0"/>
        <w:pageBreakBefore w:val="0"/>
        <w:widowControl/>
        <w:wordWrap/>
        <w:topLinePunct w:val="0"/>
        <w:bidi w:val="0"/>
        <w:adjustRightInd/>
        <w:snapToGrid/>
        <w:spacing w:line="360" w:lineRule="auto"/>
        <w:jc w:val="center"/>
        <w:rPr>
          <w:rFonts w:hint="default" w:ascii="Times New Roman" w:hAnsi="Times New Roman" w:eastAsia="宋体" w:cs="Times New Roman"/>
          <w:b/>
          <w:kern w:val="2"/>
          <w:sz w:val="24"/>
          <w:szCs w:val="24"/>
          <w:lang w:val="en-US" w:eastAsia="zh-CN"/>
        </w:rPr>
      </w:pPr>
      <w:r>
        <w:rPr>
          <w:rFonts w:hint="default" w:ascii="Times New Roman" w:hAnsi="Times New Roman" w:eastAsia="宋体" w:cs="Times New Roman"/>
          <w:b/>
          <w:kern w:val="2"/>
          <w:sz w:val="24"/>
          <w:szCs w:val="24"/>
        </w:rPr>
        <w:t>图3.</w:t>
      </w:r>
      <w:r>
        <w:rPr>
          <w:rFonts w:hint="eastAsia" w:cs="Times New Roman"/>
          <w:b/>
          <w:kern w:val="2"/>
          <w:sz w:val="24"/>
          <w:szCs w:val="24"/>
          <w:lang w:val="en-US" w:eastAsia="zh-CN"/>
        </w:rPr>
        <w:t>1-2</w:t>
      </w:r>
      <w:r>
        <w:rPr>
          <w:rFonts w:hint="default" w:ascii="Times New Roman" w:hAnsi="Times New Roman" w:eastAsia="宋体" w:cs="Times New Roman"/>
          <w:b/>
          <w:kern w:val="2"/>
          <w:sz w:val="24"/>
          <w:szCs w:val="24"/>
        </w:rPr>
        <w:t>育肥</w:t>
      </w:r>
      <w:r>
        <w:rPr>
          <w:rFonts w:hint="eastAsia" w:ascii="Times New Roman" w:hAnsi="Times New Roman" w:eastAsia="宋体" w:cs="Times New Roman"/>
          <w:b/>
          <w:kern w:val="2"/>
          <w:sz w:val="24"/>
          <w:szCs w:val="24"/>
          <w:lang w:val="en-US" w:eastAsia="zh-CN"/>
        </w:rPr>
        <w:t>牛</w:t>
      </w:r>
      <w:r>
        <w:rPr>
          <w:rFonts w:hint="default" w:ascii="Times New Roman" w:hAnsi="Times New Roman" w:eastAsia="宋体" w:cs="Times New Roman"/>
          <w:b/>
          <w:kern w:val="2"/>
          <w:sz w:val="24"/>
          <w:szCs w:val="24"/>
        </w:rPr>
        <w:t>养殖工艺流程</w:t>
      </w:r>
    </w:p>
    <w:p w14:paraId="33FC50BF">
      <w:pPr>
        <w:keepNext w:val="0"/>
        <w:keepLines w:val="0"/>
        <w:pageBreakBefore w:val="0"/>
        <w:widowControl/>
        <w:wordWrap/>
        <w:topLinePunct w:val="0"/>
        <w:bidi w:val="0"/>
        <w:adjustRightInd/>
        <w:snapToGrid/>
        <w:spacing w:line="360" w:lineRule="auto"/>
        <w:ind w:firstLine="482"/>
        <w:rPr>
          <w:rFonts w:hint="eastAsia"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本项目采用适合本区域肉牛生产的散栏式育肥技术</w:t>
      </w:r>
      <w:r>
        <w:rPr>
          <w:rFonts w:hint="eastAsia" w:cs="Times New Roman"/>
          <w:kern w:val="2"/>
          <w:sz w:val="24"/>
          <w:szCs w:val="24"/>
          <w:lang w:val="en-US" w:eastAsia="zh-CN"/>
        </w:rPr>
        <w:t>，不拴系，无固定床位，自由采食，自由饮水，自由运动。</w:t>
      </w:r>
      <w:r>
        <w:rPr>
          <w:rFonts w:hint="eastAsia" w:ascii="Times New Roman" w:hAnsi="Times New Roman" w:eastAsia="宋体" w:cs="Times New Roman"/>
          <w:kern w:val="2"/>
          <w:sz w:val="24"/>
          <w:szCs w:val="24"/>
          <w:lang w:val="en-US" w:eastAsia="zh-CN"/>
        </w:rPr>
        <w:t>在育肥生产上采取犊牛分段育肥模式。从周边肉牛繁育场、养殖大户收购6月龄断奶的牛犊，进厂先进行消毒、防疫，经检疫后在厂区内育肥适应10天，经确定健康状况符合要求后，分配至各</w:t>
      </w:r>
      <w:r>
        <w:rPr>
          <w:rFonts w:hint="eastAsia" w:cs="Times New Roman"/>
          <w:kern w:val="2"/>
          <w:sz w:val="24"/>
          <w:szCs w:val="24"/>
          <w:lang w:val="en-US" w:eastAsia="zh-CN"/>
        </w:rPr>
        <w:t>牛圈</w:t>
      </w:r>
      <w:r>
        <w:rPr>
          <w:rFonts w:hint="eastAsia" w:ascii="Times New Roman" w:hAnsi="Times New Roman" w:eastAsia="宋体" w:cs="Times New Roman"/>
          <w:kern w:val="2"/>
          <w:sz w:val="24"/>
          <w:szCs w:val="24"/>
          <w:lang w:val="en-US" w:eastAsia="zh-CN"/>
        </w:rPr>
        <w:t>进行培育经过</w:t>
      </w:r>
      <w:r>
        <w:rPr>
          <w:rFonts w:hint="eastAsia" w:eastAsia="宋体" w:cs="Times New Roman"/>
          <w:kern w:val="2"/>
          <w:sz w:val="24"/>
          <w:szCs w:val="24"/>
          <w:lang w:val="en-US" w:eastAsia="zh-CN"/>
        </w:rPr>
        <w:t>6</w:t>
      </w:r>
      <w:r>
        <w:rPr>
          <w:rFonts w:hint="eastAsia" w:ascii="Times New Roman" w:hAnsi="Times New Roman" w:eastAsia="宋体" w:cs="Times New Roman"/>
          <w:kern w:val="2"/>
          <w:sz w:val="24"/>
          <w:szCs w:val="24"/>
          <w:lang w:val="en-US" w:eastAsia="zh-CN"/>
        </w:rPr>
        <w:t>个月育成，体重达330kg以上。进行育肥后期强化育肥</w:t>
      </w:r>
      <w:r>
        <w:rPr>
          <w:rFonts w:hint="eastAsia" w:eastAsia="宋体" w:cs="Times New Roman"/>
          <w:kern w:val="2"/>
          <w:sz w:val="24"/>
          <w:szCs w:val="24"/>
          <w:lang w:val="en-US" w:eastAsia="zh-CN"/>
        </w:rPr>
        <w:t>6</w:t>
      </w:r>
      <w:r>
        <w:rPr>
          <w:rFonts w:hint="eastAsia" w:ascii="Times New Roman" w:hAnsi="Times New Roman" w:eastAsia="宋体" w:cs="Times New Roman"/>
          <w:kern w:val="2"/>
          <w:sz w:val="24"/>
          <w:szCs w:val="24"/>
          <w:lang w:val="en-US" w:eastAsia="zh-CN"/>
        </w:rPr>
        <w:t>个月，到1</w:t>
      </w:r>
      <w:r>
        <w:rPr>
          <w:rFonts w:hint="eastAsia" w:eastAsia="宋体" w:cs="Times New Roman"/>
          <w:kern w:val="2"/>
          <w:sz w:val="24"/>
          <w:szCs w:val="24"/>
          <w:lang w:val="en-US" w:eastAsia="zh-CN"/>
        </w:rPr>
        <w:t>8</w:t>
      </w:r>
      <w:r>
        <w:rPr>
          <w:rFonts w:hint="eastAsia" w:ascii="Times New Roman" w:hAnsi="Times New Roman" w:eastAsia="宋体" w:cs="Times New Roman"/>
          <w:kern w:val="2"/>
          <w:sz w:val="24"/>
          <w:szCs w:val="24"/>
          <w:lang w:val="en-US" w:eastAsia="zh-CN"/>
        </w:rPr>
        <w:t>月龄出栏上市，活重达550</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650kg。</w:t>
      </w:r>
    </w:p>
    <w:p w14:paraId="7D803FD8">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ascii="Times New Roman" w:hAnsi="Times New Roman" w:eastAsia="宋体" w:cs="Times New Roman"/>
          <w:b/>
          <w:kern w:val="2"/>
          <w:sz w:val="24"/>
          <w:szCs w:val="24"/>
          <w:lang w:val="en-US" w:eastAsia="zh-CN" w:bidi="ar-SA"/>
        </w:rPr>
        <w:t>1.4</w:t>
      </w:r>
      <w:r>
        <w:rPr>
          <w:rFonts w:hint="default" w:ascii="Times New Roman" w:hAnsi="Times New Roman" w:eastAsia="宋体" w:cs="Times New Roman"/>
          <w:b/>
          <w:kern w:val="2"/>
          <w:sz w:val="24"/>
          <w:szCs w:val="24"/>
          <w:lang w:val="en-US" w:eastAsia="zh-CN" w:bidi="ar-SA"/>
        </w:rPr>
        <w:t>.2配套工艺</w:t>
      </w:r>
    </w:p>
    <w:p w14:paraId="40F5574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0"/>
          <w:sz w:val="24"/>
          <w:szCs w:val="24"/>
          <w:lang w:val="en-US" w:eastAsia="zh-CN"/>
        </w:rPr>
        <w:t>1</w:t>
      </w: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0"/>
          <w:sz w:val="24"/>
          <w:szCs w:val="24"/>
          <w:lang w:val="en-US" w:eastAsia="zh-CN"/>
        </w:rPr>
        <w:t>饲草料加工</w:t>
      </w:r>
    </w:p>
    <w:p w14:paraId="46E5866F">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①</w:t>
      </w:r>
      <w:r>
        <w:rPr>
          <w:rFonts w:hint="default" w:ascii="Times New Roman" w:hAnsi="Times New Roman" w:eastAsia="宋体" w:cs="Times New Roman"/>
          <w:kern w:val="2"/>
          <w:sz w:val="24"/>
          <w:szCs w:val="24"/>
          <w:lang w:val="en-US" w:eastAsia="zh-CN"/>
        </w:rPr>
        <w:t>青</w:t>
      </w:r>
      <w:r>
        <w:rPr>
          <w:rFonts w:hint="eastAsia" w:ascii="Times New Roman" w:hAnsi="Times New Roman" w:eastAsia="宋体" w:cs="Times New Roman"/>
          <w:kern w:val="2"/>
          <w:sz w:val="24"/>
          <w:szCs w:val="24"/>
          <w:lang w:val="en-US" w:eastAsia="zh-CN"/>
        </w:rPr>
        <w:t>储料</w:t>
      </w:r>
    </w:p>
    <w:p w14:paraId="201F8DDC">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val="en-US" w:eastAsia="zh-CN"/>
        </w:rPr>
        <w:t>外购</w:t>
      </w:r>
      <w:r>
        <w:rPr>
          <w:rFonts w:hint="default" w:ascii="Times New Roman" w:hAnsi="Times New Roman" w:eastAsia="宋体" w:cs="Times New Roman"/>
          <w:color w:val="auto"/>
          <w:kern w:val="0"/>
          <w:sz w:val="24"/>
          <w:szCs w:val="24"/>
          <w:lang w:val="en-US" w:eastAsia="zh-CN"/>
        </w:rPr>
        <w:t>在乳熟后期至蜡熟前期刈割</w:t>
      </w:r>
      <w:r>
        <w:rPr>
          <w:rFonts w:hint="eastAsia" w:ascii="Times New Roman" w:hAnsi="Times New Roman" w:eastAsia="宋体" w:cs="Times New Roman"/>
          <w:color w:val="auto"/>
          <w:kern w:val="0"/>
          <w:sz w:val="24"/>
          <w:szCs w:val="24"/>
          <w:lang w:val="en-US" w:eastAsia="zh-CN"/>
        </w:rPr>
        <w:t>的玉米青料入场，入场为已经切碎的原料（</w:t>
      </w:r>
      <w:r>
        <w:rPr>
          <w:rFonts w:hint="default" w:ascii="Times New Roman" w:hAnsi="Times New Roman" w:eastAsia="宋体" w:cs="Times New Roman"/>
          <w:color w:val="auto"/>
          <w:kern w:val="0"/>
          <w:sz w:val="24"/>
          <w:szCs w:val="24"/>
          <w:lang w:val="en-US" w:eastAsia="zh-CN"/>
        </w:rPr>
        <w:t>一般玉米秆铡成2</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3厘米长</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将新鲜的</w:t>
      </w:r>
      <w:r>
        <w:rPr>
          <w:rFonts w:hint="eastAsia" w:ascii="Times New Roman" w:hAnsi="Times New Roman" w:eastAsia="宋体" w:cs="Times New Roman"/>
          <w:color w:val="auto"/>
          <w:kern w:val="0"/>
          <w:sz w:val="24"/>
          <w:szCs w:val="24"/>
          <w:lang w:val="en-US" w:eastAsia="zh-CN"/>
        </w:rPr>
        <w:t>青储料投入饲草堆放场地，饲草堆放场地倾斜布设，南高北低，高处为进出口，其余三侧均设置围挡，青储原料入场后需要压实，</w:t>
      </w:r>
      <w:r>
        <w:rPr>
          <w:rFonts w:hint="default" w:ascii="Times New Roman" w:hAnsi="Times New Roman" w:eastAsia="宋体" w:cs="Times New Roman"/>
          <w:color w:val="auto"/>
          <w:kern w:val="0"/>
          <w:sz w:val="24"/>
          <w:szCs w:val="24"/>
          <w:lang w:val="en-US" w:eastAsia="zh-CN"/>
        </w:rPr>
        <w:t>把铡碎的原料逐层装入</w:t>
      </w:r>
      <w:r>
        <w:rPr>
          <w:rFonts w:hint="eastAsia" w:ascii="Times New Roman" w:hAnsi="Times New Roman" w:eastAsia="宋体" w:cs="Times New Roman"/>
          <w:color w:val="auto"/>
          <w:kern w:val="0"/>
          <w:sz w:val="24"/>
          <w:szCs w:val="24"/>
          <w:lang w:val="en-US" w:eastAsia="zh-CN"/>
        </w:rPr>
        <w:t>饲草堆放场地发酵池内，池底部填一层10—15厘米厚的干秸秆，每装填20—40厘米压实一次，</w:t>
      </w:r>
      <w:r>
        <w:rPr>
          <w:rFonts w:hint="default" w:ascii="Times New Roman" w:hAnsi="Times New Roman" w:eastAsia="宋体" w:cs="Times New Roman"/>
          <w:color w:val="auto"/>
          <w:kern w:val="0"/>
          <w:sz w:val="24"/>
          <w:szCs w:val="24"/>
          <w:lang w:val="en-US" w:eastAsia="zh-CN"/>
        </w:rPr>
        <w:t>植物组织能渗出大量汁液，有利于乳酸菌生长，加速</w:t>
      </w:r>
      <w:r>
        <w:rPr>
          <w:rFonts w:hint="eastAsia" w:ascii="Times New Roman" w:hAnsi="Times New Roman" w:eastAsia="宋体" w:cs="Times New Roman"/>
          <w:color w:val="auto"/>
          <w:kern w:val="0"/>
          <w:sz w:val="24"/>
          <w:szCs w:val="24"/>
          <w:lang w:val="en-US" w:eastAsia="zh-CN"/>
        </w:rPr>
        <w:t>青储</w:t>
      </w:r>
      <w:r>
        <w:rPr>
          <w:rFonts w:hint="default" w:ascii="Times New Roman" w:hAnsi="Times New Roman" w:eastAsia="宋体" w:cs="Times New Roman"/>
          <w:color w:val="auto"/>
          <w:kern w:val="0"/>
          <w:sz w:val="24"/>
          <w:szCs w:val="24"/>
          <w:lang w:val="en-US" w:eastAsia="zh-CN"/>
        </w:rPr>
        <w:t>过程；若2天内不能填满时，要采用逐层压实的方法，以减少原料与空气的接触的时间。覆盖密封塑料布，隔绝空气，在厌氧的条件下经过乳酸菌的发酵，使原料中所含糖分变为乳酸。</w:t>
      </w:r>
      <w:r>
        <w:rPr>
          <w:rFonts w:hint="eastAsia" w:ascii="Times New Roman" w:hAnsi="Times New Roman" w:eastAsia="宋体" w:cs="Times New Roman"/>
          <w:color w:val="auto"/>
          <w:kern w:val="0"/>
          <w:sz w:val="24"/>
          <w:szCs w:val="24"/>
          <w:lang w:val="en-US" w:eastAsia="zh-CN"/>
        </w:rPr>
        <w:t>经过35—45天发酵后即可开窖饲用</w:t>
      </w:r>
      <w:r>
        <w:rPr>
          <w:rFonts w:hint="default"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开窖取用时，应从一端开始，垂直断面逐段取用，开窖面的大小根据牲畜的日喂量而定，现取现用，取后及时封盖窖口，防止二次发酵导致霉变。</w:t>
      </w:r>
    </w:p>
    <w:p w14:paraId="0C1FBC69">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②精饲料</w:t>
      </w:r>
    </w:p>
    <w:p w14:paraId="30CDAA94">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本项目购买袋装精饲料，根据育肥牛不同生长阶段的日粮配方，搭配粗饲料、青储料使用。</w:t>
      </w:r>
    </w:p>
    <w:p w14:paraId="49039DE8">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③粗饲料</w:t>
      </w:r>
    </w:p>
    <w:p w14:paraId="60FD54C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按照饲料多样性搭配的原则，外购麦草、玉米秸秆等入场后进入饲料加工车间的饲料粉碎机先进行粉碎，粉碎后经固定式TMR机与青储料、精饲料按照不同生长阶段的日粮配方进行混合后，由撒料车沿各饲喂通道投喂。</w:t>
      </w:r>
    </w:p>
    <w:p w14:paraId="6EA3B01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color w:val="auto"/>
          <w:kern w:val="0"/>
          <w:sz w:val="24"/>
          <w:szCs w:val="24"/>
          <w:lang w:val="en-US" w:eastAsia="zh-CN"/>
        </w:rPr>
        <w:t>此过程会产生饲料粉碎粉尘G1、</w:t>
      </w:r>
      <w:r>
        <w:rPr>
          <w:rFonts w:hint="eastAsia" w:ascii="Times New Roman" w:hAnsi="Times New Roman" w:eastAsia="宋体" w:cs="Times New Roman"/>
          <w:kern w:val="2"/>
          <w:sz w:val="24"/>
          <w:szCs w:val="24"/>
          <w:lang w:val="en-US" w:eastAsia="zh-CN"/>
        </w:rPr>
        <w:t>饲料搅拌粉尘</w:t>
      </w:r>
      <w:r>
        <w:rPr>
          <w:rFonts w:hint="default" w:ascii="Times New Roman" w:hAnsi="Times New Roman" w:eastAsia="宋体" w:cs="Times New Roman"/>
          <w:kern w:val="2"/>
          <w:sz w:val="24"/>
          <w:szCs w:val="24"/>
          <w:lang w:val="en-US" w:eastAsia="zh-CN"/>
        </w:rPr>
        <w:t>G</w:t>
      </w:r>
      <w:r>
        <w:rPr>
          <w:rFonts w:hint="eastAsia" w:ascii="Times New Roman" w:hAnsi="Times New Roman" w:eastAsia="宋体" w:cs="Times New Roman"/>
          <w:kern w:val="2"/>
          <w:sz w:val="24"/>
          <w:szCs w:val="24"/>
          <w:lang w:val="en-US" w:eastAsia="zh-CN"/>
        </w:rPr>
        <w:t>2、饲料撒料粉尘G3、移动源撒料车尾气G4、</w:t>
      </w:r>
      <w:r>
        <w:rPr>
          <w:rFonts w:hint="eastAsia" w:ascii="Times New Roman" w:hAnsi="Times New Roman" w:eastAsia="宋体" w:cs="Times New Roman"/>
          <w:color w:val="auto"/>
          <w:sz w:val="24"/>
          <w:szCs w:val="24"/>
          <w:lang w:val="en-US" w:eastAsia="zh-CN"/>
        </w:rPr>
        <w:t>废包装材料S1、粉碎机噪声N1、固定式TMR噪声N2、移动源</w:t>
      </w:r>
      <w:r>
        <w:rPr>
          <w:rFonts w:hint="eastAsia" w:ascii="Times New Roman" w:hAnsi="Times New Roman" w:eastAsia="宋体" w:cs="Times New Roman"/>
          <w:color w:val="auto"/>
          <w:kern w:val="0"/>
          <w:sz w:val="24"/>
          <w:szCs w:val="24"/>
          <w:lang w:val="en-US" w:eastAsia="zh-CN"/>
        </w:rPr>
        <w:t>撒料车</w:t>
      </w:r>
      <w:r>
        <w:rPr>
          <w:rFonts w:hint="eastAsia" w:ascii="Times New Roman" w:hAnsi="Times New Roman" w:eastAsia="宋体" w:cs="Times New Roman"/>
          <w:color w:val="auto"/>
          <w:sz w:val="24"/>
          <w:szCs w:val="24"/>
          <w:lang w:val="en-US" w:eastAsia="zh-CN"/>
        </w:rPr>
        <w:t>噪声N3。</w:t>
      </w:r>
    </w:p>
    <w:p w14:paraId="0A37EE1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kern w:val="2"/>
          <w:sz w:val="24"/>
          <w:szCs w:val="24"/>
          <w:lang w:val="en-US" w:eastAsia="zh-CN"/>
        </w:rPr>
        <w:t xml:space="preserve">牛粪清理 </w:t>
      </w:r>
    </w:p>
    <w:p w14:paraId="2119313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项目牛圈垫料采用清粪车进行垫料清理，清粪车主要由刮粪板、动力装置、传送装置、封闭车斗组成。清粪时，动力装置通过链条带动刮粪板沿着牛床地面前行，刮粪板将地面混合粪便的垫料收集入封闭传送装置送入封闭车斗，</w:t>
      </w:r>
      <w:r>
        <w:rPr>
          <w:rFonts w:hint="eastAsia" w:cs="Times New Roman"/>
          <w:kern w:val="2"/>
          <w:sz w:val="24"/>
          <w:szCs w:val="24"/>
          <w:lang w:val="en-US" w:eastAsia="zh-CN"/>
        </w:rPr>
        <w:t>牛粪两年一清理，清理</w:t>
      </w:r>
      <w:r>
        <w:rPr>
          <w:rFonts w:hint="eastAsia" w:ascii="Times New Roman" w:hAnsi="Times New Roman" w:eastAsia="宋体" w:cs="Times New Roman"/>
          <w:kern w:val="2"/>
          <w:sz w:val="24"/>
          <w:szCs w:val="24"/>
          <w:lang w:val="en-US" w:eastAsia="zh-CN"/>
        </w:rPr>
        <w:t>运至堆肥</w:t>
      </w:r>
      <w:r>
        <w:rPr>
          <w:rFonts w:hint="eastAsia" w:cs="Times New Roman"/>
          <w:kern w:val="2"/>
          <w:sz w:val="24"/>
          <w:szCs w:val="24"/>
          <w:lang w:val="en-US" w:eastAsia="zh-CN"/>
        </w:rPr>
        <w:t>场</w:t>
      </w:r>
      <w:r>
        <w:rPr>
          <w:rFonts w:hint="eastAsia" w:ascii="Times New Roman" w:hAnsi="Times New Roman" w:eastAsia="宋体" w:cs="Times New Roman"/>
          <w:kern w:val="2"/>
          <w:sz w:val="24"/>
          <w:szCs w:val="24"/>
          <w:lang w:val="en-US" w:eastAsia="zh-CN"/>
        </w:rPr>
        <w:t>进行</w:t>
      </w:r>
      <w:r>
        <w:rPr>
          <w:rFonts w:hint="eastAsia" w:cs="Times New Roman"/>
          <w:kern w:val="2"/>
          <w:sz w:val="24"/>
          <w:szCs w:val="24"/>
          <w:lang w:val="en-US" w:eastAsia="zh-CN"/>
        </w:rPr>
        <w:t>堆肥</w:t>
      </w:r>
      <w:r>
        <w:rPr>
          <w:rFonts w:hint="eastAsia" w:ascii="Times New Roman" w:hAnsi="Times New Roman" w:eastAsia="宋体" w:cs="Times New Roman"/>
          <w:kern w:val="2"/>
          <w:sz w:val="24"/>
          <w:szCs w:val="24"/>
          <w:lang w:val="en-US" w:eastAsia="zh-CN"/>
        </w:rPr>
        <w:t xml:space="preserve">。由于清粪过程不进行翻抛，因此清粪粉尘忽略不计。此过程产生移动源清粪车噪声N5、牛粪及废发酵垫料S2。 </w:t>
      </w:r>
    </w:p>
    <w:p w14:paraId="22DD6C0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color w:val="auto"/>
          <w:kern w:val="0"/>
          <w:sz w:val="24"/>
          <w:szCs w:val="24"/>
          <w:lang w:val="en-US" w:eastAsia="zh-CN"/>
        </w:rPr>
        <w:t>根据建设单位提供材料，现有工程发酵床可以使用24个月，24个月后进行清粪，</w:t>
      </w:r>
      <w:r>
        <w:rPr>
          <w:rFonts w:hint="eastAsia" w:ascii="Times New Roman" w:hAnsi="Times New Roman" w:eastAsia="宋体" w:cs="Times New Roman"/>
          <w:kern w:val="2"/>
          <w:sz w:val="24"/>
          <w:szCs w:val="24"/>
          <w:lang w:val="en-US" w:eastAsia="zh-CN"/>
        </w:rPr>
        <w:t>由清粪车将牛圈</w:t>
      </w:r>
      <w:r>
        <w:rPr>
          <w:rFonts w:hint="eastAsia" w:cs="Times New Roman"/>
          <w:kern w:val="2"/>
          <w:sz w:val="24"/>
          <w:szCs w:val="24"/>
          <w:lang w:val="en-US" w:eastAsia="zh-CN"/>
        </w:rPr>
        <w:t>牛粪</w:t>
      </w:r>
      <w:r>
        <w:rPr>
          <w:rFonts w:hint="eastAsia" w:ascii="Times New Roman" w:hAnsi="Times New Roman" w:eastAsia="宋体" w:cs="Times New Roman"/>
          <w:kern w:val="2"/>
          <w:sz w:val="24"/>
          <w:szCs w:val="24"/>
          <w:lang w:val="en-US" w:eastAsia="zh-CN"/>
        </w:rPr>
        <w:t>清理完成，进行</w:t>
      </w:r>
      <w:r>
        <w:rPr>
          <w:rFonts w:hint="eastAsia" w:cs="Times New Roman"/>
          <w:kern w:val="2"/>
          <w:sz w:val="24"/>
          <w:szCs w:val="24"/>
          <w:lang w:val="en-US" w:eastAsia="zh-CN"/>
        </w:rPr>
        <w:t>牛圈、饲喂凉棚以及运动场</w:t>
      </w:r>
      <w:r>
        <w:rPr>
          <w:rFonts w:hint="eastAsia" w:ascii="Times New Roman" w:hAnsi="Times New Roman" w:eastAsia="宋体" w:cs="Times New Roman"/>
          <w:kern w:val="2"/>
          <w:sz w:val="24"/>
          <w:szCs w:val="24"/>
          <w:lang w:val="en-US" w:eastAsia="zh-CN"/>
        </w:rPr>
        <w:t>整体消毒。更换清理下来的</w:t>
      </w:r>
      <w:r>
        <w:rPr>
          <w:rFonts w:hint="eastAsia" w:cs="Times New Roman"/>
          <w:kern w:val="2"/>
          <w:sz w:val="24"/>
          <w:szCs w:val="24"/>
          <w:lang w:val="en-US" w:eastAsia="zh-CN"/>
        </w:rPr>
        <w:t>牛粪送至堆肥区暂存后还田</w:t>
      </w:r>
      <w:r>
        <w:rPr>
          <w:rFonts w:hint="eastAsia" w:ascii="Times New Roman" w:hAnsi="Times New Roman" w:eastAsia="宋体" w:cs="Times New Roman"/>
          <w:kern w:val="2"/>
          <w:sz w:val="24"/>
          <w:szCs w:val="24"/>
          <w:lang w:val="en-US" w:eastAsia="zh-CN"/>
        </w:rPr>
        <w:t>。</w:t>
      </w:r>
      <w:r>
        <w:rPr>
          <w:rFonts w:hint="eastAsia" w:cs="Times New Roman"/>
          <w:kern w:val="2"/>
          <w:sz w:val="24"/>
          <w:szCs w:val="24"/>
          <w:lang w:val="en-US" w:eastAsia="zh-CN"/>
        </w:rPr>
        <w:t>此过程产生卸料粉尘G5、暂存粉尘G6。</w:t>
      </w:r>
      <w:r>
        <w:rPr>
          <w:rFonts w:hint="eastAsia" w:ascii="Times New Roman" w:hAnsi="Times New Roman" w:eastAsia="宋体" w:cs="Times New Roman"/>
          <w:kern w:val="2"/>
          <w:sz w:val="24"/>
          <w:szCs w:val="24"/>
          <w:lang w:val="en-US" w:eastAsia="zh-CN"/>
        </w:rPr>
        <w:t xml:space="preserve"> </w:t>
      </w:r>
    </w:p>
    <w:p w14:paraId="71D8118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3</w:t>
      </w:r>
      <w:r>
        <w:rPr>
          <w:rFonts w:hint="default" w:ascii="Times New Roman" w:hAnsi="Times New Roman" w:eastAsia="宋体" w:cs="Times New Roman"/>
          <w:kern w:val="2"/>
          <w:sz w:val="24"/>
          <w:szCs w:val="24"/>
          <w:lang w:eastAsia="zh-CN"/>
        </w:rPr>
        <w:t>）消毒</w:t>
      </w:r>
    </w:p>
    <w:p w14:paraId="526FE2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kern w:val="2"/>
          <w:sz w:val="24"/>
          <w:szCs w:val="24"/>
          <w:lang w:val="en-US" w:eastAsia="zh-CN"/>
        </w:rPr>
        <w:t>项目区门口道路采用均匀撒布生石灰消毒，每两周撒布一次，无需用水</w:t>
      </w:r>
      <w:r>
        <w:rPr>
          <w:rFonts w:hint="default" w:ascii="Times New Roman" w:hAnsi="Times New Roman" w:eastAsia="宋体" w:cs="Times New Roman"/>
          <w:kern w:val="2"/>
          <w:sz w:val="24"/>
          <w:szCs w:val="24"/>
          <w:lang w:val="en-US" w:eastAsia="zh-CN"/>
        </w:rPr>
        <w:t>。</w:t>
      </w:r>
      <w:r>
        <w:rPr>
          <w:rFonts w:hint="eastAsia" w:ascii="Times New Roman" w:hAnsi="Times New Roman" w:eastAsia="宋体" w:cs="Times New Roman"/>
          <w:kern w:val="2"/>
          <w:sz w:val="24"/>
          <w:szCs w:val="24"/>
          <w:lang w:val="en-US" w:eastAsia="zh-CN"/>
        </w:rPr>
        <w:t>消毒过程会产生</w:t>
      </w:r>
      <w:r>
        <w:rPr>
          <w:rFonts w:hint="eastAsia" w:ascii="Times New Roman" w:hAnsi="Times New Roman" w:eastAsia="宋体" w:cs="Times New Roman"/>
          <w:color w:val="auto"/>
          <w:sz w:val="24"/>
          <w:szCs w:val="24"/>
          <w:lang w:val="en-US" w:eastAsia="zh-CN"/>
        </w:rPr>
        <w:t>废包装材料S1。</w:t>
      </w:r>
    </w:p>
    <w:p w14:paraId="20116F78">
      <w:pPr>
        <w:keepNext w:val="0"/>
        <w:keepLines w:val="0"/>
        <w:widowControl w:val="0"/>
        <w:overflowPunct w:val="0"/>
        <w:autoSpaceDE w:val="0"/>
        <w:autoSpaceDN w:val="0"/>
        <w:bidi w:val="0"/>
        <w:adjustRightInd w:val="0"/>
        <w:snapToGrid w:val="0"/>
        <w:spacing w:before="0" w:after="0" w:line="360" w:lineRule="auto"/>
        <w:jc w:val="both"/>
        <w:outlineLvl w:val="2"/>
        <w:rPr>
          <w:rFonts w:hint="eastAsia" w:ascii="Times New Roman" w:hAnsi="Times New Roman" w:eastAsia="宋体" w:cs="Times New Roman"/>
          <w:b/>
          <w:bCs/>
          <w:kern w:val="0"/>
          <w:sz w:val="28"/>
          <w:szCs w:val="28"/>
          <w:lang w:val="en-US" w:eastAsia="zh-CN" w:bidi="ar-SA"/>
        </w:rPr>
      </w:pPr>
      <w:r>
        <w:rPr>
          <w:rFonts w:hint="eastAsia" w:ascii="Times New Roman" w:hAnsi="Times New Roman" w:eastAsia="宋体" w:cs="Times New Roman"/>
          <w:b/>
          <w:bCs/>
          <w:kern w:val="0"/>
          <w:sz w:val="28"/>
          <w:szCs w:val="28"/>
          <w:lang w:val="en-US" w:eastAsia="zh-CN" w:bidi="ar-SA"/>
        </w:rPr>
        <w:t>3.1.5现有工程污染物排放</w:t>
      </w:r>
    </w:p>
    <w:p w14:paraId="734BA77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由于现有工程仅登记备案，运行期间未进行监测，无环评报告，因此采用本项目源强核算方法进行核算。</w:t>
      </w:r>
    </w:p>
    <w:p w14:paraId="3712A2F0">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ascii="Times New Roman" w:hAnsi="Times New Roman" w:eastAsia="宋体" w:cs="Times New Roman"/>
          <w:b/>
          <w:kern w:val="2"/>
          <w:sz w:val="24"/>
          <w:szCs w:val="24"/>
          <w:lang w:val="en-US" w:eastAsia="zh-CN" w:bidi="ar-SA"/>
        </w:rPr>
        <w:t>1.5</w:t>
      </w:r>
      <w:r>
        <w:rPr>
          <w:rFonts w:hint="default" w:ascii="Times New Roman" w:hAnsi="Times New Roman" w:eastAsia="宋体" w:cs="Times New Roman"/>
          <w:b/>
          <w:kern w:val="2"/>
          <w:sz w:val="24"/>
          <w:szCs w:val="24"/>
          <w:lang w:val="en-US" w:eastAsia="zh-CN" w:bidi="ar-SA"/>
        </w:rPr>
        <w:t>.1废气</w:t>
      </w:r>
    </w:p>
    <w:p w14:paraId="3119A898">
      <w:pPr>
        <w:widowControl w:val="0"/>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highlight w:val="none"/>
          <w:lang w:val="en-US" w:eastAsia="zh-CN"/>
        </w:rPr>
      </w:pPr>
      <w:r>
        <w:rPr>
          <w:rFonts w:hint="eastAsia" w:ascii="Times New Roman" w:hAnsi="Times New Roman" w:eastAsia="宋体" w:cs="Times New Roman"/>
          <w:kern w:val="2"/>
          <w:sz w:val="24"/>
          <w:szCs w:val="24"/>
          <w:highlight w:val="none"/>
          <w:lang w:val="en-US" w:eastAsia="zh-CN"/>
        </w:rPr>
        <w:t>现有工程</w:t>
      </w:r>
      <w:r>
        <w:rPr>
          <w:rFonts w:hint="default" w:ascii="Times New Roman" w:hAnsi="Times New Roman" w:eastAsia="宋体" w:cs="Times New Roman"/>
          <w:kern w:val="2"/>
          <w:sz w:val="24"/>
          <w:szCs w:val="24"/>
          <w:highlight w:val="none"/>
        </w:rPr>
        <w:t>主要的大气污染源包括：</w:t>
      </w:r>
      <w:r>
        <w:rPr>
          <w:rFonts w:hint="default" w:ascii="Times New Roman" w:hAnsi="Times New Roman" w:eastAsia="宋体" w:cs="Times New Roman"/>
          <w:color w:val="auto"/>
          <w:sz w:val="24"/>
          <w:szCs w:val="24"/>
          <w:highlight w:val="none"/>
          <w:lang w:val="en-US" w:eastAsia="zh-CN"/>
        </w:rPr>
        <w:t>养殖</w:t>
      </w:r>
      <w:r>
        <w:rPr>
          <w:rFonts w:hint="default" w:ascii="Times New Roman" w:hAnsi="Times New Roman" w:eastAsia="宋体" w:cs="Times New Roman"/>
          <w:color w:val="auto"/>
          <w:sz w:val="24"/>
          <w:szCs w:val="24"/>
          <w:highlight w:val="none"/>
          <w:lang w:eastAsia="zh-CN"/>
        </w:rPr>
        <w:t>恶臭</w:t>
      </w:r>
      <w:r>
        <w:rPr>
          <w:rFonts w:hint="eastAsia" w:ascii="Times New Roman" w:hAnsi="Times New Roman" w:eastAsia="宋体" w:cs="Times New Roman"/>
          <w:color w:val="auto"/>
          <w:sz w:val="24"/>
          <w:szCs w:val="24"/>
          <w:highlight w:val="none"/>
          <w:lang w:val="en-US" w:eastAsia="zh-CN"/>
        </w:rPr>
        <w:t>、饲料粉碎粉尘</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饲料搅拌粉尘</w:t>
      </w:r>
      <w:r>
        <w:rPr>
          <w:rFonts w:hint="eastAsia" w:ascii="Times New Roman" w:hAnsi="Times New Roman" w:eastAsia="宋体" w:cs="Times New Roman"/>
          <w:color w:val="auto"/>
          <w:sz w:val="24"/>
          <w:szCs w:val="24"/>
          <w:highlight w:val="none"/>
          <w:lang w:val="en-US" w:eastAsia="zh-CN"/>
        </w:rPr>
        <w:t>、饲料撒料粉尘</w:t>
      </w:r>
      <w:r>
        <w:rPr>
          <w:rFonts w:hint="eastAsia" w:cs="Times New Roman"/>
          <w:color w:val="auto"/>
          <w:sz w:val="24"/>
          <w:szCs w:val="24"/>
          <w:highlight w:val="none"/>
          <w:lang w:val="en-US" w:eastAsia="zh-CN"/>
        </w:rPr>
        <w:t>、堆肥区废气（卸料、暂存粉尘）</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移动源尾气</w:t>
      </w:r>
      <w:r>
        <w:rPr>
          <w:rFonts w:hint="eastAsia" w:ascii="Times New Roman" w:hAnsi="Times New Roman" w:eastAsia="宋体" w:cs="Times New Roman"/>
          <w:snapToGrid w:val="0"/>
          <w:color w:val="auto"/>
          <w:sz w:val="24"/>
          <w:szCs w:val="24"/>
          <w:highlight w:val="none"/>
          <w:lang w:val="en-US" w:eastAsia="zh-CN" w:bidi="ar-SA"/>
        </w:rPr>
        <w:t>。</w:t>
      </w:r>
    </w:p>
    <w:p w14:paraId="5A9CF13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val="en-US" w:eastAsia="zh-CN"/>
        </w:rPr>
        <w:t>养殖</w:t>
      </w:r>
      <w:r>
        <w:rPr>
          <w:rFonts w:hint="default" w:ascii="Times New Roman" w:hAnsi="Times New Roman" w:eastAsia="宋体" w:cs="Times New Roman"/>
          <w:color w:val="auto"/>
          <w:sz w:val="24"/>
          <w:szCs w:val="24"/>
          <w:lang w:eastAsia="zh-CN"/>
        </w:rPr>
        <w:t>恶臭</w:t>
      </w:r>
    </w:p>
    <w:p w14:paraId="1B0D875C">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运行期恶臭气体主</w:t>
      </w:r>
      <w:r>
        <w:rPr>
          <w:rFonts w:hint="eastAsia" w:ascii="Times New Roman" w:hAnsi="Times New Roman" w:eastAsia="宋体" w:cs="Times New Roman"/>
          <w:color w:val="auto"/>
          <w:sz w:val="24"/>
          <w:szCs w:val="24"/>
          <w:lang w:eastAsia="zh-CN"/>
        </w:rPr>
        <w:t>要是</w:t>
      </w:r>
      <w:r>
        <w:rPr>
          <w:rFonts w:hint="default" w:ascii="Times New Roman" w:hAnsi="Times New Roman" w:eastAsia="宋体" w:cs="Times New Roman"/>
          <w:color w:val="auto"/>
          <w:sz w:val="24"/>
          <w:szCs w:val="24"/>
        </w:rPr>
        <w:t>粪污分解产生的。目前已鉴定出的恶臭成分有94种，这些恶臭成分可分为挥发性脂肪酸、醇类、酚类、酸类、醛类、酮类、胺类、硫醇类，以及含氮杂环化合物等9类有机化合物和氨、硫化氢两种无机物。其中主要恶臭物质为硫化氢、氨、乙烯醇、二甲基硫醚、甲胺、三甲胺等物质，刺激人的嗅觉器官，引起人的厌恶或不愉快。各组分排放量很低，但成分复杂。气味大小与臭气在空气中的浓度有关。本环评主要考虑恶臭气体中含量较高的硫化氢、氨两种恶臭物质。</w:t>
      </w:r>
    </w:p>
    <w:p w14:paraId="558B9149">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color w:val="auto"/>
          <w:sz w:val="24"/>
          <w:szCs w:val="24"/>
        </w:rPr>
      </w:pPr>
      <w:r>
        <w:rPr>
          <w:rFonts w:hint="eastAsia" w:ascii="Times New Roman" w:hAnsi="Times New Roman" w:eastAsia="宋体" w:cs="Times New Roman"/>
          <w:kern w:val="2"/>
          <w:sz w:val="24"/>
          <w:szCs w:val="24"/>
          <w:highlight w:val="none"/>
          <w:lang w:val="en-US" w:eastAsia="zh-CN"/>
        </w:rPr>
        <w:t>现有工程</w:t>
      </w:r>
      <w:r>
        <w:rPr>
          <w:rFonts w:hint="eastAsia" w:ascii="Times New Roman" w:hAnsi="Times New Roman" w:eastAsia="宋体" w:cs="Times New Roman"/>
          <w:color w:val="auto"/>
          <w:sz w:val="24"/>
          <w:szCs w:val="24"/>
          <w:lang w:val="en-US" w:eastAsia="zh-CN"/>
        </w:rPr>
        <w:t>养殖场场界内</w:t>
      </w:r>
      <w:r>
        <w:rPr>
          <w:rFonts w:hint="default" w:ascii="Times New Roman" w:hAnsi="Times New Roman" w:eastAsia="宋体" w:cs="Times New Roman"/>
          <w:color w:val="auto"/>
          <w:sz w:val="24"/>
          <w:szCs w:val="24"/>
        </w:rPr>
        <w:t>恶臭排放源包括：圈舍</w:t>
      </w:r>
      <w:r>
        <w:rPr>
          <w:rFonts w:hint="eastAsia" w:ascii="Times New Roman" w:hAnsi="Times New Roman" w:eastAsia="宋体" w:cs="Times New Roman"/>
          <w:color w:val="auto"/>
          <w:sz w:val="24"/>
          <w:szCs w:val="24"/>
          <w:lang w:val="en-US" w:eastAsia="zh-CN"/>
        </w:rPr>
        <w:t>、储存</w:t>
      </w:r>
      <w:r>
        <w:rPr>
          <w:rFonts w:hint="default" w:ascii="Times New Roman" w:hAnsi="Times New Roman" w:eastAsia="宋体" w:cs="Times New Roman"/>
          <w:color w:val="auto"/>
          <w:sz w:val="24"/>
          <w:szCs w:val="24"/>
          <w:lang w:val="en-US" w:eastAsia="zh-CN"/>
        </w:rPr>
        <w:t>整个过程</w:t>
      </w:r>
      <w:r>
        <w:rPr>
          <w:rFonts w:hint="default" w:ascii="Times New Roman" w:hAnsi="Times New Roman" w:eastAsia="宋体" w:cs="Times New Roman"/>
          <w:color w:val="auto"/>
          <w:sz w:val="24"/>
          <w:szCs w:val="24"/>
        </w:rPr>
        <w:t>等</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目前发酵床未进行清理，无还田过程</w:t>
      </w:r>
      <w:r>
        <w:rPr>
          <w:rFonts w:hint="default" w:ascii="Times New Roman" w:hAnsi="Times New Roman" w:eastAsia="宋体" w:cs="Times New Roman"/>
          <w:color w:val="auto"/>
          <w:sz w:val="24"/>
          <w:szCs w:val="24"/>
        </w:rPr>
        <w:t>。</w:t>
      </w:r>
    </w:p>
    <w:p w14:paraId="1F6457FD">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根据王文林等《畜禽养殖氨排放清单研究现状与实证》《生态与农村环境学报》2018年第9期813-820以及《大气氨源排放清单编制技术指南（试行）》，氨排放系数核算公式如式：</w:t>
      </w:r>
    </w:p>
    <w:p w14:paraId="15195EDB">
      <w:pPr>
        <w:keepNext w:val="0"/>
        <w:keepLines w:val="0"/>
        <w:pageBreakBefore w:val="0"/>
        <w:wordWrap/>
        <w:topLinePunct w:val="0"/>
        <w:bidi w:val="0"/>
        <w:adjustRightInd/>
        <w:snapToGrid/>
        <w:spacing w:line="360" w:lineRule="auto"/>
        <w:jc w:val="center"/>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drawing>
          <wp:inline distT="0" distB="0" distL="114300" distR="114300">
            <wp:extent cx="5391150" cy="426085"/>
            <wp:effectExtent l="0" t="0" r="0" b="12065"/>
            <wp:docPr id="118" name="图片 118" descr="172361432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1723614323704"/>
                    <pic:cNvPicPr>
                      <a:picLocks noChangeAspect="1"/>
                    </pic:cNvPicPr>
                  </pic:nvPicPr>
                  <pic:blipFill>
                    <a:blip r:embed="rId24"/>
                    <a:stretch>
                      <a:fillRect/>
                    </a:stretch>
                  </pic:blipFill>
                  <pic:spPr>
                    <a:xfrm>
                      <a:off x="0" y="0"/>
                      <a:ext cx="5391150" cy="426085"/>
                    </a:xfrm>
                    <a:prstGeom prst="rect">
                      <a:avLst/>
                    </a:prstGeom>
                  </pic:spPr>
                </pic:pic>
              </a:graphicData>
            </a:graphic>
          </wp:inline>
        </w:drawing>
      </w:r>
      <w:r>
        <w:rPr>
          <w:rFonts w:hint="eastAsia" w:ascii="Times New Roman" w:hAnsi="Times New Roman" w:eastAsia="宋体" w:cs="Times New Roman"/>
          <w:b w:val="0"/>
          <w:bCs w:val="0"/>
          <w:color w:val="auto"/>
          <w:sz w:val="24"/>
          <w:szCs w:val="24"/>
          <w:lang w:val="en-US" w:eastAsia="zh-CN"/>
        </w:rPr>
        <w:drawing>
          <wp:inline distT="0" distB="0" distL="114300" distR="114300">
            <wp:extent cx="2573655" cy="721360"/>
            <wp:effectExtent l="0" t="0" r="17145" b="2540"/>
            <wp:docPr id="119" name="图片 119" descr="172360848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1723608487849"/>
                    <pic:cNvPicPr>
                      <a:picLocks noChangeAspect="1"/>
                    </pic:cNvPicPr>
                  </pic:nvPicPr>
                  <pic:blipFill>
                    <a:blip r:embed="rId25"/>
                    <a:stretch>
                      <a:fillRect/>
                    </a:stretch>
                  </pic:blipFill>
                  <pic:spPr>
                    <a:xfrm>
                      <a:off x="0" y="0"/>
                      <a:ext cx="2573655" cy="721360"/>
                    </a:xfrm>
                    <a:prstGeom prst="rect">
                      <a:avLst/>
                    </a:prstGeom>
                  </pic:spPr>
                </pic:pic>
              </a:graphicData>
            </a:graphic>
          </wp:inline>
        </w:drawing>
      </w:r>
    </w:p>
    <w:p w14:paraId="465E243B">
      <w:pPr>
        <w:widowControl w:val="0"/>
        <w:tabs>
          <w:tab w:val="left" w:pos="1845"/>
        </w:tabs>
        <w:autoSpaceDE w:val="0"/>
        <w:autoSpaceDN w:val="0"/>
        <w:adjustRightInd w:val="0"/>
        <w:snapToGrid w:val="0"/>
        <w:spacing w:line="240" w:lineRule="auto"/>
        <w:ind w:firstLine="0" w:firstLineChars="0"/>
        <w:jc w:val="center"/>
        <w:rPr>
          <w:rFonts w:hint="eastAsia" w:ascii="宋体" w:hAnsi="Calibri" w:eastAsia="宋体" w:cs="宋体"/>
          <w:b/>
          <w:color w:val="000000"/>
          <w:kern w:val="2"/>
          <w:sz w:val="24"/>
          <w:szCs w:val="24"/>
          <w:lang w:val="en-US" w:eastAsia="zh-CN" w:bidi="ar-SA"/>
        </w:rPr>
      </w:pPr>
      <w:r>
        <w:rPr>
          <w:rFonts w:hint="eastAsia" w:ascii="宋体" w:hAnsi="Calibri" w:eastAsia="宋体" w:cs="宋体"/>
          <w:b/>
          <w:color w:val="000000"/>
          <w:kern w:val="2"/>
          <w:sz w:val="24"/>
          <w:szCs w:val="24"/>
          <w:lang w:val="en-US" w:eastAsia="zh-CN" w:bidi="ar-SA"/>
        </w:rPr>
        <w:drawing>
          <wp:inline distT="0" distB="0" distL="114300" distR="114300">
            <wp:extent cx="2295525" cy="688975"/>
            <wp:effectExtent l="0" t="0" r="9525" b="15875"/>
            <wp:docPr id="120" name="图片 120" descr="172360854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1723608548230"/>
                    <pic:cNvPicPr>
                      <a:picLocks noChangeAspect="1"/>
                    </pic:cNvPicPr>
                  </pic:nvPicPr>
                  <pic:blipFill>
                    <a:blip r:embed="rId26"/>
                    <a:stretch>
                      <a:fillRect/>
                    </a:stretch>
                  </pic:blipFill>
                  <pic:spPr>
                    <a:xfrm>
                      <a:off x="0" y="0"/>
                      <a:ext cx="2295525" cy="688975"/>
                    </a:xfrm>
                    <a:prstGeom prst="rect">
                      <a:avLst/>
                    </a:prstGeom>
                  </pic:spPr>
                </pic:pic>
              </a:graphicData>
            </a:graphic>
          </wp:inline>
        </w:drawing>
      </w:r>
    </w:p>
    <w:p w14:paraId="7784D6F6">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式中E</w:t>
      </w:r>
      <w:r>
        <w:rPr>
          <w:rFonts w:hint="eastAsia" w:ascii="Times New Roman" w:hAnsi="Times New Roman" w:eastAsia="宋体" w:cs="Times New Roman"/>
          <w:b w:val="0"/>
          <w:bCs w:val="0"/>
          <w:color w:val="auto"/>
          <w:sz w:val="24"/>
          <w:szCs w:val="24"/>
          <w:vertAlign w:val="subscript"/>
          <w:lang w:val="en-US" w:eastAsia="zh-CN"/>
        </w:rPr>
        <w:t>畜禽</w:t>
      </w:r>
      <w:r>
        <w:rPr>
          <w:rFonts w:hint="eastAsia" w:ascii="Times New Roman" w:hAnsi="Times New Roman" w:eastAsia="宋体" w:cs="Times New Roman"/>
          <w:b w:val="0"/>
          <w:bCs w:val="0"/>
          <w:color w:val="auto"/>
          <w:sz w:val="24"/>
          <w:szCs w:val="24"/>
          <w:lang w:val="en-US" w:eastAsia="zh-CN"/>
        </w:rPr>
        <w:t>为畜禽养殖圈舍、储存、施肥环节氨排放量，畜禽排泄物释放大气氨包含户外、圈舍－液态、圈舍－固态、存储－液态、存储－固态、施肥－液态、施肥－固态共7个部分，kg/a；</w:t>
      </w:r>
    </w:p>
    <w:p w14:paraId="6A321AD7">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集约化养殖条件下畜禽排泄物在室内户外分别占100%和0。</w:t>
      </w:r>
    </w:p>
    <w:p w14:paraId="6CB7CEE3">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w:t>
      </w:r>
      <w:r>
        <w:rPr>
          <w:rFonts w:hint="eastAsia" w:ascii="Times New Roman" w:hAnsi="Times New Roman" w:eastAsia="宋体" w:cs="Times New Roman"/>
          <w:b w:val="0"/>
          <w:bCs w:val="0"/>
          <w:color w:val="auto"/>
          <w:sz w:val="24"/>
          <w:szCs w:val="24"/>
          <w:vertAlign w:val="subscript"/>
          <w:lang w:val="en-US" w:eastAsia="zh-CN"/>
        </w:rPr>
        <w:t>圈舍－液态</w:t>
      </w:r>
      <w:r>
        <w:rPr>
          <w:rFonts w:hint="eastAsia" w:ascii="Times New Roman" w:hAnsi="Times New Roman" w:eastAsia="宋体" w:cs="Times New Roman"/>
          <w:b w:val="0"/>
          <w:bCs w:val="0"/>
          <w:color w:val="auto"/>
          <w:sz w:val="24"/>
          <w:szCs w:val="24"/>
          <w:lang w:val="en-US" w:eastAsia="zh-CN"/>
        </w:rPr>
        <w:t>为圈舍环节液态粪污单位牲畜氨排放量，kg/a；387.88</w:t>
      </w:r>
    </w:p>
    <w:p w14:paraId="495B0FC8">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w:t>
      </w:r>
      <w:r>
        <w:rPr>
          <w:rFonts w:hint="eastAsia" w:ascii="Times New Roman" w:hAnsi="Times New Roman" w:eastAsia="宋体" w:cs="Times New Roman"/>
          <w:b w:val="0"/>
          <w:bCs w:val="0"/>
          <w:color w:val="auto"/>
          <w:sz w:val="24"/>
          <w:szCs w:val="24"/>
          <w:vertAlign w:val="subscript"/>
          <w:lang w:val="en-US" w:eastAsia="zh-CN"/>
        </w:rPr>
        <w:t>圈舍－固态</w:t>
      </w:r>
      <w:r>
        <w:rPr>
          <w:rFonts w:hint="eastAsia" w:ascii="Times New Roman" w:hAnsi="Times New Roman" w:eastAsia="宋体" w:cs="Times New Roman"/>
          <w:b w:val="0"/>
          <w:bCs w:val="0"/>
          <w:color w:val="auto"/>
          <w:sz w:val="24"/>
          <w:szCs w:val="24"/>
          <w:lang w:val="en-US" w:eastAsia="zh-CN"/>
        </w:rPr>
        <w:t>为圈舍环节固态粪污单位牲畜氨排放量，kg/a；214.16</w:t>
      </w:r>
    </w:p>
    <w:p w14:paraId="16FDFA11">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w:t>
      </w:r>
      <w:r>
        <w:rPr>
          <w:rFonts w:hint="eastAsia" w:ascii="Times New Roman" w:hAnsi="Times New Roman" w:eastAsia="宋体" w:cs="Times New Roman"/>
          <w:b w:val="0"/>
          <w:bCs w:val="0"/>
          <w:color w:val="auto"/>
          <w:sz w:val="24"/>
          <w:szCs w:val="24"/>
          <w:vertAlign w:val="subscript"/>
          <w:lang w:val="en-US" w:eastAsia="zh-CN"/>
        </w:rPr>
        <w:t>圈舍－液态</w:t>
      </w:r>
      <w:r>
        <w:rPr>
          <w:rFonts w:hint="eastAsia" w:ascii="Times New Roman" w:hAnsi="Times New Roman" w:eastAsia="宋体" w:cs="Times New Roman"/>
          <w:b w:val="0"/>
          <w:bCs w:val="0"/>
          <w:color w:val="auto"/>
          <w:sz w:val="24"/>
          <w:szCs w:val="24"/>
          <w:lang w:val="en-US" w:eastAsia="zh-CN"/>
        </w:rPr>
        <w:t>为圈舍内液态排泄阶段总铵态氮，kg/a；3435.53</w:t>
      </w:r>
    </w:p>
    <w:p w14:paraId="7E6D9C23">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w:t>
      </w:r>
      <w:r>
        <w:rPr>
          <w:rFonts w:hint="eastAsia" w:ascii="Times New Roman" w:hAnsi="Times New Roman" w:eastAsia="宋体" w:cs="Times New Roman"/>
          <w:b w:val="0"/>
          <w:bCs w:val="0"/>
          <w:color w:val="auto"/>
          <w:sz w:val="24"/>
          <w:szCs w:val="24"/>
          <w:vertAlign w:val="subscript"/>
          <w:lang w:val="en-US" w:eastAsia="zh-CN"/>
        </w:rPr>
        <w:t>圈舍－固态</w:t>
      </w:r>
      <w:r>
        <w:rPr>
          <w:rFonts w:hint="eastAsia" w:ascii="Times New Roman" w:hAnsi="Times New Roman" w:eastAsia="宋体" w:cs="Times New Roman"/>
          <w:b w:val="0"/>
          <w:bCs w:val="0"/>
          <w:color w:val="auto"/>
          <w:sz w:val="24"/>
          <w:szCs w:val="24"/>
          <w:lang w:val="en-US" w:eastAsia="zh-CN"/>
        </w:rPr>
        <w:t>为圈舍内固态排泄阶段总铵态氮，kg/a；1896.89</w:t>
      </w:r>
    </w:p>
    <w:p w14:paraId="74F786EB">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X</w:t>
      </w:r>
      <w:r>
        <w:rPr>
          <w:rFonts w:hint="eastAsia" w:ascii="Times New Roman" w:hAnsi="Times New Roman" w:eastAsia="宋体" w:cs="Times New Roman"/>
          <w:b w:val="0"/>
          <w:bCs w:val="0"/>
          <w:color w:val="auto"/>
          <w:sz w:val="24"/>
          <w:szCs w:val="24"/>
          <w:vertAlign w:val="subscript"/>
          <w:lang w:val="en-US" w:eastAsia="zh-CN"/>
        </w:rPr>
        <w:t>液</w:t>
      </w:r>
      <w:r>
        <w:rPr>
          <w:rFonts w:hint="eastAsia" w:ascii="Times New Roman" w:hAnsi="Times New Roman" w:eastAsia="宋体" w:cs="Times New Roman"/>
          <w:b w:val="0"/>
          <w:bCs w:val="0"/>
          <w:color w:val="auto"/>
          <w:sz w:val="24"/>
          <w:szCs w:val="24"/>
          <w:lang w:val="en-US" w:eastAsia="zh-CN"/>
        </w:rPr>
        <w:t>为液态粪肥质量占总粪肥质量的比例，％；集约化养殖中畜类取50%</w:t>
      </w:r>
    </w:p>
    <w:p w14:paraId="401F9F1E">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EF</w:t>
      </w:r>
      <w:r>
        <w:rPr>
          <w:rFonts w:hint="eastAsia" w:ascii="Times New Roman" w:hAnsi="Times New Roman" w:eastAsia="宋体" w:cs="Times New Roman"/>
          <w:b w:val="0"/>
          <w:bCs w:val="0"/>
          <w:color w:val="auto"/>
          <w:sz w:val="24"/>
          <w:szCs w:val="24"/>
          <w:vertAlign w:val="subscript"/>
          <w:lang w:val="en-US" w:eastAsia="zh-CN"/>
        </w:rPr>
        <w:t>圈舍－液态</w:t>
      </w:r>
      <w:r>
        <w:rPr>
          <w:rFonts w:hint="eastAsia" w:ascii="Times New Roman" w:hAnsi="Times New Roman" w:eastAsia="宋体" w:cs="Times New Roman"/>
          <w:b w:val="0"/>
          <w:bCs w:val="0"/>
          <w:color w:val="auto"/>
          <w:sz w:val="24"/>
          <w:szCs w:val="24"/>
          <w:lang w:val="en-US" w:eastAsia="zh-CN"/>
        </w:rPr>
        <w:t>、EF</w:t>
      </w:r>
      <w:r>
        <w:rPr>
          <w:rFonts w:hint="eastAsia" w:ascii="Times New Roman" w:hAnsi="Times New Roman" w:eastAsia="宋体" w:cs="Times New Roman"/>
          <w:b w:val="0"/>
          <w:bCs w:val="0"/>
          <w:color w:val="auto"/>
          <w:sz w:val="24"/>
          <w:szCs w:val="24"/>
          <w:vertAlign w:val="subscript"/>
          <w:lang w:val="en-US" w:eastAsia="zh-CN"/>
        </w:rPr>
        <w:t>圈舍－固态</w:t>
      </w:r>
      <w:r>
        <w:rPr>
          <w:rFonts w:hint="eastAsia" w:ascii="Times New Roman" w:hAnsi="Times New Roman" w:eastAsia="宋体" w:cs="Times New Roman"/>
          <w:b w:val="0"/>
          <w:bCs w:val="0"/>
          <w:color w:val="auto"/>
          <w:sz w:val="24"/>
          <w:szCs w:val="24"/>
          <w:lang w:val="en-US" w:eastAsia="zh-CN"/>
        </w:rPr>
        <w:t>分别为</w:t>
      </w:r>
      <w:r>
        <w:rPr>
          <w:rFonts w:hint="eastAsia" w:cs="Times New Roman"/>
          <w:b w:val="0"/>
          <w:bCs w:val="0"/>
          <w:color w:val="auto"/>
          <w:sz w:val="24"/>
          <w:szCs w:val="24"/>
          <w:lang w:val="en-US" w:eastAsia="zh-CN"/>
        </w:rPr>
        <w:t>圈舍</w:t>
      </w:r>
      <w:r>
        <w:rPr>
          <w:rFonts w:hint="eastAsia" w:ascii="Times New Roman" w:hAnsi="Times New Roman" w:eastAsia="宋体" w:cs="Times New Roman"/>
          <w:b w:val="0"/>
          <w:bCs w:val="0"/>
          <w:color w:val="auto"/>
          <w:sz w:val="24"/>
          <w:szCs w:val="24"/>
          <w:lang w:val="en-US" w:eastAsia="zh-CN"/>
        </w:rPr>
        <w:t>环境下液态、固态粪便的氨挥发率，％；本项目圈舍冬季不供暖，温度为环境温度，年平均温度小于10℃，因此固态9.3，液态9.3</w:t>
      </w:r>
    </w:p>
    <w:p w14:paraId="69059C01">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畜禽养殖业氮－大气氨转换系数；1.214</w:t>
      </w:r>
    </w:p>
    <w:p w14:paraId="7B3E6F2F">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TAN室内，户外=畜禽年内饲养量×单位畜禽排泄量×含氮量×铵态氮比例× 室内户外比。集约化养殖条件下畜禽排泄物在室内户外分别占100%和0。尿液6871.06kg/a；粪便3793.77kg/a；</w:t>
      </w:r>
    </w:p>
    <w:p w14:paraId="51C41591">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η</w:t>
      </w:r>
      <w:r>
        <w:rPr>
          <w:rFonts w:hint="eastAsia" w:ascii="Times New Roman" w:hAnsi="Times New Roman" w:eastAsia="宋体" w:cs="Times New Roman"/>
          <w:b w:val="0"/>
          <w:bCs w:val="0"/>
          <w:color w:val="auto"/>
          <w:sz w:val="24"/>
          <w:szCs w:val="24"/>
          <w:lang w:val="en-US" w:eastAsia="zh-CN"/>
        </w:rPr>
        <w:t>为TAN转化率，即粪便氮排泄量中总铵态氮比例，％；60</w:t>
      </w:r>
    </w:p>
    <w:p w14:paraId="3F940751">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根据《大气氨源排放清单编制技术指南（试行）</w:t>
      </w:r>
      <w:r>
        <w:rPr>
          <w:rFonts w:hint="eastAsia" w:cs="Times New Roman"/>
          <w:b w:val="0"/>
          <w:bCs w:val="0"/>
          <w:color w:val="auto"/>
          <w:sz w:val="24"/>
          <w:szCs w:val="24"/>
          <w:lang w:val="en-US" w:eastAsia="zh-CN"/>
        </w:rPr>
        <w:t>》《</w:t>
      </w:r>
      <w:r>
        <w:rPr>
          <w:rFonts w:hint="default" w:ascii="Times New Roman" w:hAnsi="Times New Roman" w:eastAsia="宋体" w:cs="Times New Roman"/>
          <w:color w:val="auto"/>
          <w:kern w:val="2"/>
          <w:sz w:val="24"/>
          <w:szCs w:val="24"/>
          <w:lang w:val="en-US" w:eastAsia="zh-CN"/>
        </w:rPr>
        <w:t>第一次全国污染源普查畜禽养殖业源产排污系数手册</w:t>
      </w:r>
      <w:r>
        <w:rPr>
          <w:rFonts w:hint="default" w:ascii="Times New Roman" w:hAnsi="Times New Roman" w:eastAsia="宋体" w:cs="Times New Roman"/>
          <w:color w:val="auto"/>
          <w:kern w:val="2"/>
          <w:sz w:val="24"/>
          <w:szCs w:val="24"/>
        </w:rPr>
        <w:t>》</w:t>
      </w:r>
      <w:r>
        <w:rPr>
          <w:rFonts w:hint="eastAsia" w:cs="Times New Roman"/>
          <w:color w:val="auto"/>
          <w:kern w:val="2"/>
          <w:sz w:val="24"/>
          <w:szCs w:val="24"/>
          <w:lang w:val="en-US" w:eastAsia="zh-CN"/>
        </w:rPr>
        <w:t>以及</w:t>
      </w:r>
      <w:r>
        <w:rPr>
          <w:rFonts w:hint="eastAsia" w:ascii="Times New Roman" w:hAnsi="Times New Roman" w:eastAsia="宋体" w:cs="Times New Roman"/>
          <w:color w:val="auto"/>
          <w:sz w:val="24"/>
          <w:lang w:val="en-US" w:eastAsia="zh-CN"/>
        </w:rPr>
        <w:t>《排污许可证申请与核发技术规范 畜禽养殖行业》（HJ1029-2019）</w:t>
      </w:r>
      <w:r>
        <w:rPr>
          <w:rFonts w:hint="eastAsia" w:ascii="Times New Roman" w:hAnsi="Times New Roman" w:eastAsia="宋体" w:cs="Times New Roman"/>
          <w:b w:val="0"/>
          <w:bCs w:val="0"/>
          <w:color w:val="auto"/>
          <w:sz w:val="24"/>
          <w:szCs w:val="24"/>
          <w:lang w:val="en-US" w:eastAsia="zh-CN"/>
        </w:rPr>
        <w:t>，畜禽粪便排泄物铵态氮量的估算参数见表3.3-2。</w:t>
      </w:r>
    </w:p>
    <w:p w14:paraId="538FF23D">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eastAsia" w:ascii="Times New Roman" w:hAnsi="Times New Roman" w:eastAsia="宋体" w:cs="Times New Roman"/>
          <w:b/>
          <w:bCs/>
          <w:color w:val="auto"/>
          <w:sz w:val="24"/>
          <w:szCs w:val="24"/>
          <w:lang w:val="en-US" w:eastAsia="zh-CN"/>
        </w:rPr>
        <w:t>3.</w:t>
      </w:r>
      <w:r>
        <w:rPr>
          <w:rFonts w:hint="eastAsia" w:cs="Times New Roman"/>
          <w:b/>
          <w:bCs/>
          <w:color w:val="auto"/>
          <w:sz w:val="24"/>
          <w:szCs w:val="24"/>
          <w:lang w:val="en-US" w:eastAsia="zh-CN"/>
        </w:rPr>
        <w:t>1-4</w:t>
      </w:r>
      <w:r>
        <w:rPr>
          <w:rFonts w:hint="eastAsia" w:ascii="Times New Roman" w:hAnsi="Times New Roman" w:eastAsia="宋体" w:cs="Times New Roman"/>
          <w:b/>
          <w:bCs/>
          <w:color w:val="auto"/>
          <w:sz w:val="24"/>
          <w:szCs w:val="24"/>
          <w:lang w:val="en-US" w:eastAsia="zh-CN"/>
        </w:rPr>
        <w:t>畜禽粪便排泄物铵态氮量的估算相关参数</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553"/>
        <w:gridCol w:w="1558"/>
        <w:gridCol w:w="787"/>
        <w:gridCol w:w="787"/>
        <w:gridCol w:w="1487"/>
        <w:gridCol w:w="740"/>
        <w:gridCol w:w="741"/>
      </w:tblGrid>
      <w:tr w14:paraId="77453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tcBorders>
              <w:tl2br w:val="nil"/>
              <w:tr2bl w:val="nil"/>
            </w:tcBorders>
            <w:vAlign w:val="center"/>
          </w:tcPr>
          <w:p w14:paraId="3FD10B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畜禽种类</w:t>
            </w:r>
          </w:p>
        </w:tc>
        <w:tc>
          <w:tcPr>
            <w:tcW w:w="1553" w:type="dxa"/>
            <w:vMerge w:val="restart"/>
            <w:tcBorders>
              <w:tl2br w:val="nil"/>
              <w:tr2bl w:val="nil"/>
            </w:tcBorders>
            <w:vAlign w:val="center"/>
          </w:tcPr>
          <w:p w14:paraId="523F9C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饲养周期（d）</w:t>
            </w:r>
          </w:p>
        </w:tc>
        <w:tc>
          <w:tcPr>
            <w:tcW w:w="1558" w:type="dxa"/>
            <w:vMerge w:val="restart"/>
            <w:tcBorders>
              <w:tl2br w:val="nil"/>
              <w:tr2bl w:val="nil"/>
            </w:tcBorders>
            <w:vAlign w:val="center"/>
          </w:tcPr>
          <w:p w14:paraId="270501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畜禽年内饲养量（头）</w:t>
            </w:r>
          </w:p>
        </w:tc>
        <w:tc>
          <w:tcPr>
            <w:tcW w:w="1574" w:type="dxa"/>
            <w:gridSpan w:val="2"/>
            <w:tcBorders>
              <w:tl2br w:val="nil"/>
              <w:tr2bl w:val="nil"/>
            </w:tcBorders>
            <w:vAlign w:val="center"/>
          </w:tcPr>
          <w:p w14:paraId="2A705F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排泄量（kg/天/头）</w:t>
            </w:r>
          </w:p>
        </w:tc>
        <w:tc>
          <w:tcPr>
            <w:tcW w:w="1487" w:type="dxa"/>
            <w:vMerge w:val="restart"/>
            <w:tcBorders>
              <w:tl2br w:val="nil"/>
              <w:tr2bl w:val="nil"/>
            </w:tcBorders>
            <w:vAlign w:val="center"/>
          </w:tcPr>
          <w:p w14:paraId="6B43AB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cs="Times New Roman"/>
                <w:b/>
                <w:bCs/>
                <w:color w:val="auto"/>
                <w:sz w:val="21"/>
                <w:szCs w:val="21"/>
                <w:vertAlign w:val="baseline"/>
                <w:lang w:val="en-US" w:eastAsia="zh-CN"/>
              </w:rPr>
            </w:pPr>
            <w:r>
              <w:rPr>
                <w:rFonts w:hint="default" w:eastAsia="宋体" w:cs="Times New Roman"/>
                <w:b/>
                <w:bCs/>
                <w:color w:val="auto"/>
                <w:sz w:val="21"/>
                <w:szCs w:val="21"/>
                <w:vertAlign w:val="baseline"/>
                <w:lang w:val="en-US" w:eastAsia="zh-CN"/>
              </w:rPr>
              <w:t xml:space="preserve">铵态氮比例 </w:t>
            </w:r>
            <w:r>
              <w:rPr>
                <w:rFonts w:hint="eastAsia" w:cs="Times New Roman"/>
                <w:b/>
                <w:bCs/>
                <w:color w:val="auto"/>
                <w:sz w:val="21"/>
                <w:szCs w:val="21"/>
                <w:vertAlign w:val="baseline"/>
                <w:lang w:val="en-US" w:eastAsia="zh-CN"/>
              </w:rPr>
              <w:t>（</w:t>
            </w:r>
            <w:r>
              <w:rPr>
                <w:rFonts w:hint="default" w:eastAsia="宋体" w:cs="Times New Roman"/>
                <w:b/>
                <w:bCs/>
                <w:color w:val="auto"/>
                <w:sz w:val="21"/>
                <w:szCs w:val="21"/>
                <w:vertAlign w:val="baseline"/>
                <w:lang w:val="en-US" w:eastAsia="zh-CN"/>
              </w:rPr>
              <w:t>%</w:t>
            </w:r>
            <w:r>
              <w:rPr>
                <w:rFonts w:hint="eastAsia" w:cs="Times New Roman"/>
                <w:b/>
                <w:bCs/>
                <w:color w:val="auto"/>
                <w:sz w:val="21"/>
                <w:szCs w:val="21"/>
                <w:vertAlign w:val="baseline"/>
                <w:lang w:val="en-US" w:eastAsia="zh-CN"/>
              </w:rPr>
              <w:t>）</w:t>
            </w:r>
          </w:p>
        </w:tc>
        <w:tc>
          <w:tcPr>
            <w:tcW w:w="1481" w:type="dxa"/>
            <w:gridSpan w:val="2"/>
            <w:tcBorders>
              <w:tl2br w:val="nil"/>
              <w:tr2bl w:val="nil"/>
            </w:tcBorders>
            <w:vAlign w:val="center"/>
          </w:tcPr>
          <w:p w14:paraId="207BAF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cs="Times New Roman"/>
                <w:b/>
                <w:bCs/>
                <w:color w:val="auto"/>
                <w:sz w:val="21"/>
                <w:szCs w:val="21"/>
                <w:vertAlign w:val="baseline"/>
                <w:lang w:val="en-US" w:eastAsia="zh-CN"/>
              </w:rPr>
            </w:pPr>
            <w:r>
              <w:rPr>
                <w:rFonts w:hint="default" w:eastAsia="宋体" w:cs="Times New Roman"/>
                <w:b/>
                <w:bCs/>
                <w:color w:val="auto"/>
                <w:sz w:val="21"/>
                <w:szCs w:val="21"/>
                <w:vertAlign w:val="baseline"/>
                <w:lang w:val="en-US" w:eastAsia="zh-CN"/>
              </w:rPr>
              <w:t>含氮量</w:t>
            </w:r>
            <w:r>
              <w:rPr>
                <w:rFonts w:hint="eastAsia" w:cs="Times New Roman"/>
                <w:b/>
                <w:bCs/>
                <w:color w:val="auto"/>
                <w:sz w:val="21"/>
                <w:szCs w:val="21"/>
                <w:vertAlign w:val="baseline"/>
                <w:lang w:val="en-US" w:eastAsia="zh-CN"/>
              </w:rPr>
              <w:t>（</w:t>
            </w:r>
            <w:r>
              <w:rPr>
                <w:rFonts w:hint="default" w:eastAsia="宋体" w:cs="Times New Roman"/>
                <w:b/>
                <w:bCs/>
                <w:color w:val="auto"/>
                <w:sz w:val="21"/>
                <w:szCs w:val="21"/>
                <w:vertAlign w:val="baseline"/>
                <w:lang w:val="en-US" w:eastAsia="zh-CN"/>
              </w:rPr>
              <w:t>%</w:t>
            </w:r>
            <w:r>
              <w:rPr>
                <w:rFonts w:hint="eastAsia" w:cs="Times New Roman"/>
                <w:b/>
                <w:bCs/>
                <w:color w:val="auto"/>
                <w:sz w:val="21"/>
                <w:szCs w:val="21"/>
                <w:vertAlign w:val="baseline"/>
                <w:lang w:val="en-US" w:eastAsia="zh-CN"/>
              </w:rPr>
              <w:t>）</w:t>
            </w:r>
          </w:p>
        </w:tc>
      </w:tr>
      <w:tr w14:paraId="2299D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tcBorders>
              <w:tl2br w:val="nil"/>
              <w:tr2bl w:val="nil"/>
            </w:tcBorders>
            <w:vAlign w:val="center"/>
          </w:tcPr>
          <w:p w14:paraId="48D997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b/>
                <w:bCs/>
                <w:color w:val="auto"/>
                <w:sz w:val="21"/>
                <w:szCs w:val="21"/>
                <w:vertAlign w:val="baseline"/>
                <w:lang w:val="en-US" w:eastAsia="zh-CN"/>
              </w:rPr>
            </w:pPr>
          </w:p>
        </w:tc>
        <w:tc>
          <w:tcPr>
            <w:tcW w:w="1553" w:type="dxa"/>
            <w:vMerge w:val="continue"/>
            <w:tcBorders>
              <w:tl2br w:val="nil"/>
              <w:tr2bl w:val="nil"/>
            </w:tcBorders>
            <w:vAlign w:val="center"/>
          </w:tcPr>
          <w:p w14:paraId="244604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p>
        </w:tc>
        <w:tc>
          <w:tcPr>
            <w:tcW w:w="1558" w:type="dxa"/>
            <w:vMerge w:val="continue"/>
            <w:tcBorders>
              <w:tl2br w:val="nil"/>
              <w:tr2bl w:val="nil"/>
            </w:tcBorders>
            <w:vAlign w:val="center"/>
          </w:tcPr>
          <w:p w14:paraId="60FAF9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p>
        </w:tc>
        <w:tc>
          <w:tcPr>
            <w:tcW w:w="787" w:type="dxa"/>
            <w:tcBorders>
              <w:tl2br w:val="nil"/>
              <w:tr2bl w:val="nil"/>
            </w:tcBorders>
            <w:vAlign w:val="center"/>
          </w:tcPr>
          <w:p w14:paraId="3E7244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尿液</w:t>
            </w:r>
          </w:p>
        </w:tc>
        <w:tc>
          <w:tcPr>
            <w:tcW w:w="787" w:type="dxa"/>
            <w:tcBorders>
              <w:tl2br w:val="nil"/>
              <w:tr2bl w:val="nil"/>
            </w:tcBorders>
            <w:vAlign w:val="center"/>
          </w:tcPr>
          <w:p w14:paraId="017343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sz w:val="21"/>
                <w:szCs w:val="21"/>
                <w:vertAlign w:val="baseline"/>
              </w:rPr>
              <w:t>粪便</w:t>
            </w:r>
          </w:p>
        </w:tc>
        <w:tc>
          <w:tcPr>
            <w:tcW w:w="1487" w:type="dxa"/>
            <w:vMerge w:val="continue"/>
            <w:tcBorders>
              <w:tl2br w:val="nil"/>
              <w:tr2bl w:val="nil"/>
            </w:tcBorders>
            <w:vAlign w:val="center"/>
          </w:tcPr>
          <w:p w14:paraId="5C8D3F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p>
        </w:tc>
        <w:tc>
          <w:tcPr>
            <w:tcW w:w="740" w:type="dxa"/>
            <w:tcBorders>
              <w:tl2br w:val="nil"/>
              <w:tr2bl w:val="nil"/>
            </w:tcBorders>
            <w:vAlign w:val="center"/>
          </w:tcPr>
          <w:p w14:paraId="512702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eastAsia" w:ascii="Times New Roman" w:hAnsi="Times New Roman" w:eastAsia="宋体" w:cs="Times New Roman"/>
                <w:b/>
                <w:bCs/>
                <w:color w:val="auto"/>
                <w:sz w:val="21"/>
                <w:szCs w:val="21"/>
                <w:vertAlign w:val="baseline"/>
                <w:lang w:val="en-US" w:eastAsia="zh-CN"/>
              </w:rPr>
              <w:t>尿液</w:t>
            </w:r>
          </w:p>
        </w:tc>
        <w:tc>
          <w:tcPr>
            <w:tcW w:w="741" w:type="dxa"/>
            <w:tcBorders>
              <w:tl2br w:val="nil"/>
              <w:tr2bl w:val="nil"/>
            </w:tcBorders>
            <w:vAlign w:val="center"/>
          </w:tcPr>
          <w:p w14:paraId="18E3B1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sz w:val="21"/>
                <w:szCs w:val="21"/>
                <w:vertAlign w:val="baseline"/>
              </w:rPr>
              <w:t>粪便</w:t>
            </w:r>
          </w:p>
        </w:tc>
      </w:tr>
      <w:tr w14:paraId="7CB4C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tcBorders>
              <w:tl2br w:val="nil"/>
              <w:tr2bl w:val="nil"/>
            </w:tcBorders>
            <w:vAlign w:val="center"/>
          </w:tcPr>
          <w:p w14:paraId="4E4C58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肉牛</w:t>
            </w:r>
          </w:p>
        </w:tc>
        <w:tc>
          <w:tcPr>
            <w:tcW w:w="1553" w:type="dxa"/>
            <w:tcBorders>
              <w:tl2br w:val="nil"/>
              <w:tr2bl w:val="nil"/>
            </w:tcBorders>
            <w:vAlign w:val="center"/>
          </w:tcPr>
          <w:p w14:paraId="58123A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365</w:t>
            </w:r>
          </w:p>
        </w:tc>
        <w:tc>
          <w:tcPr>
            <w:tcW w:w="1558" w:type="dxa"/>
            <w:tcBorders>
              <w:tl2br w:val="nil"/>
              <w:tr2bl w:val="nil"/>
            </w:tcBorders>
            <w:vAlign w:val="center"/>
          </w:tcPr>
          <w:p w14:paraId="57F828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419</w:t>
            </w:r>
          </w:p>
        </w:tc>
        <w:tc>
          <w:tcPr>
            <w:tcW w:w="787" w:type="dxa"/>
            <w:tcBorders>
              <w:tl2br w:val="nil"/>
              <w:tr2bl w:val="nil"/>
            </w:tcBorders>
            <w:vAlign w:val="center"/>
          </w:tcPr>
          <w:p w14:paraId="07CA84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8.32</w:t>
            </w:r>
          </w:p>
        </w:tc>
        <w:tc>
          <w:tcPr>
            <w:tcW w:w="787" w:type="dxa"/>
            <w:tcBorders>
              <w:tl2br w:val="nil"/>
              <w:tr2bl w:val="nil"/>
            </w:tcBorders>
            <w:vAlign w:val="center"/>
          </w:tcPr>
          <w:p w14:paraId="7D1A08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10.88</w:t>
            </w:r>
          </w:p>
        </w:tc>
        <w:tc>
          <w:tcPr>
            <w:tcW w:w="1487" w:type="dxa"/>
            <w:tcBorders>
              <w:tl2br w:val="nil"/>
              <w:tr2bl w:val="nil"/>
            </w:tcBorders>
            <w:vAlign w:val="center"/>
          </w:tcPr>
          <w:p w14:paraId="772CB2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60</w:t>
            </w:r>
          </w:p>
        </w:tc>
        <w:tc>
          <w:tcPr>
            <w:tcW w:w="740" w:type="dxa"/>
            <w:tcBorders>
              <w:tl2br w:val="nil"/>
              <w:tr2bl w:val="nil"/>
            </w:tcBorders>
            <w:vAlign w:val="center"/>
          </w:tcPr>
          <w:p w14:paraId="7FE709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0.90</w:t>
            </w:r>
          </w:p>
        </w:tc>
        <w:tc>
          <w:tcPr>
            <w:tcW w:w="741" w:type="dxa"/>
            <w:tcBorders>
              <w:tl2br w:val="nil"/>
              <w:tr2bl w:val="nil"/>
            </w:tcBorders>
            <w:vAlign w:val="center"/>
          </w:tcPr>
          <w:p w14:paraId="426B42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0.38</w:t>
            </w:r>
          </w:p>
        </w:tc>
      </w:tr>
    </w:tbl>
    <w:p w14:paraId="7CF44CAE">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存储环节氨排放系数核算公式如式：</w:t>
      </w:r>
    </w:p>
    <w:p w14:paraId="7E5FBC0A">
      <w:pPr>
        <w:bidi w:val="0"/>
        <w:ind w:firstLine="418" w:firstLine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drawing>
          <wp:inline distT="0" distB="0" distL="114300" distR="114300">
            <wp:extent cx="2470785" cy="720090"/>
            <wp:effectExtent l="0" t="0" r="5715" b="3810"/>
            <wp:docPr id="122" name="图片 122" descr="1723609366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1723609366054"/>
                    <pic:cNvPicPr>
                      <a:picLocks noChangeAspect="1"/>
                    </pic:cNvPicPr>
                  </pic:nvPicPr>
                  <pic:blipFill>
                    <a:blip r:embed="rId27"/>
                    <a:stretch>
                      <a:fillRect/>
                    </a:stretch>
                  </pic:blipFill>
                  <pic:spPr>
                    <a:xfrm>
                      <a:off x="0" y="0"/>
                      <a:ext cx="2470785" cy="720090"/>
                    </a:xfrm>
                    <a:prstGeom prst="rect">
                      <a:avLst/>
                    </a:prstGeom>
                  </pic:spPr>
                </pic:pic>
              </a:graphicData>
            </a:graphic>
          </wp:inline>
        </w:drawing>
      </w:r>
    </w:p>
    <w:p w14:paraId="54420825">
      <w:pPr>
        <w:widowControl w:val="0"/>
        <w:tabs>
          <w:tab w:val="left" w:pos="1845"/>
        </w:tabs>
        <w:autoSpaceDE w:val="0"/>
        <w:autoSpaceDN w:val="0"/>
        <w:adjustRightInd w:val="0"/>
        <w:snapToGrid w:val="0"/>
        <w:spacing w:line="240" w:lineRule="auto"/>
        <w:ind w:firstLine="0" w:firstLineChars="0"/>
        <w:jc w:val="center"/>
        <w:rPr>
          <w:rFonts w:hint="default" w:ascii="宋体" w:hAnsi="Calibri" w:eastAsia="宋体" w:cs="宋体"/>
          <w:b/>
          <w:color w:val="000000"/>
          <w:kern w:val="2"/>
          <w:sz w:val="24"/>
          <w:szCs w:val="24"/>
          <w:lang w:val="en-US" w:eastAsia="zh-CN" w:bidi="ar-SA"/>
        </w:rPr>
      </w:pPr>
      <w:r>
        <w:rPr>
          <w:rFonts w:hint="default" w:ascii="宋体" w:hAnsi="Calibri" w:eastAsia="宋体" w:cs="宋体"/>
          <w:b/>
          <w:color w:val="000000"/>
          <w:kern w:val="2"/>
          <w:sz w:val="24"/>
          <w:szCs w:val="24"/>
          <w:lang w:val="en-US" w:eastAsia="zh-CN" w:bidi="ar-SA"/>
        </w:rPr>
        <w:drawing>
          <wp:inline distT="0" distB="0" distL="114300" distR="114300">
            <wp:extent cx="4208780" cy="918845"/>
            <wp:effectExtent l="0" t="0" r="1270" b="14605"/>
            <wp:docPr id="123" name="图片 123" descr="1723609414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1723609414447"/>
                    <pic:cNvPicPr>
                      <a:picLocks noChangeAspect="1"/>
                    </pic:cNvPicPr>
                  </pic:nvPicPr>
                  <pic:blipFill>
                    <a:blip r:embed="rId28"/>
                    <a:stretch>
                      <a:fillRect/>
                    </a:stretch>
                  </pic:blipFill>
                  <pic:spPr>
                    <a:xfrm>
                      <a:off x="0" y="0"/>
                      <a:ext cx="4208780" cy="918845"/>
                    </a:xfrm>
                    <a:prstGeom prst="rect">
                      <a:avLst/>
                    </a:prstGeom>
                  </pic:spPr>
                </pic:pic>
              </a:graphicData>
            </a:graphic>
          </wp:inline>
        </w:drawing>
      </w:r>
    </w:p>
    <w:p w14:paraId="422569BB">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式中E</w:t>
      </w:r>
      <w:r>
        <w:rPr>
          <w:rFonts w:hint="eastAsia" w:ascii="Times New Roman" w:hAnsi="Times New Roman" w:eastAsia="宋体" w:cs="Times New Roman"/>
          <w:b w:val="0"/>
          <w:bCs w:val="0"/>
          <w:color w:val="auto"/>
          <w:sz w:val="24"/>
          <w:szCs w:val="24"/>
          <w:vertAlign w:val="subscript"/>
          <w:lang w:val="en-US" w:eastAsia="zh-CN"/>
        </w:rPr>
        <w:t>存储－液态</w:t>
      </w:r>
      <w:r>
        <w:rPr>
          <w:rFonts w:hint="eastAsia" w:ascii="Times New Roman" w:hAnsi="Times New Roman" w:eastAsia="宋体" w:cs="Times New Roman"/>
          <w:b w:val="0"/>
          <w:bCs w:val="0"/>
          <w:color w:val="auto"/>
          <w:sz w:val="24"/>
          <w:szCs w:val="24"/>
          <w:lang w:val="en-US" w:eastAsia="zh-CN"/>
        </w:rPr>
        <w:t>为存储环节液态粪污单位牲畜氨排放量，kg/a；0</w:t>
      </w:r>
    </w:p>
    <w:p w14:paraId="771A86CF">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w:t>
      </w:r>
      <w:r>
        <w:rPr>
          <w:rFonts w:hint="eastAsia" w:ascii="Times New Roman" w:hAnsi="Times New Roman" w:eastAsia="宋体" w:cs="Times New Roman"/>
          <w:b w:val="0"/>
          <w:bCs w:val="0"/>
          <w:color w:val="auto"/>
          <w:sz w:val="24"/>
          <w:szCs w:val="24"/>
          <w:vertAlign w:val="subscript"/>
          <w:lang w:val="en-US" w:eastAsia="zh-CN"/>
        </w:rPr>
        <w:t>存储－固态</w:t>
      </w:r>
      <w:r>
        <w:rPr>
          <w:rFonts w:hint="eastAsia" w:ascii="Times New Roman" w:hAnsi="Times New Roman" w:eastAsia="宋体" w:cs="Times New Roman"/>
          <w:b w:val="0"/>
          <w:bCs w:val="0"/>
          <w:color w:val="auto"/>
          <w:sz w:val="24"/>
          <w:szCs w:val="24"/>
          <w:lang w:val="en-US" w:eastAsia="zh-CN"/>
        </w:rPr>
        <w:t>为存储环节固态粪污单位牲畜氨排放量，kg/a；87.72</w:t>
      </w:r>
    </w:p>
    <w:p w14:paraId="49701047">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A</w:t>
      </w:r>
      <w:r>
        <w:rPr>
          <w:rFonts w:hint="eastAsia" w:ascii="Times New Roman" w:hAnsi="Times New Roman" w:eastAsia="宋体" w:cs="Times New Roman"/>
          <w:b w:val="0"/>
          <w:bCs w:val="0"/>
          <w:color w:val="auto"/>
          <w:sz w:val="24"/>
          <w:szCs w:val="24"/>
          <w:highlight w:val="none"/>
          <w:vertAlign w:val="subscript"/>
          <w:lang w:val="en-US" w:eastAsia="zh-CN"/>
        </w:rPr>
        <w:t>存储－液态</w:t>
      </w:r>
      <w:r>
        <w:rPr>
          <w:rFonts w:hint="eastAsia" w:ascii="Times New Roman" w:hAnsi="Times New Roman" w:eastAsia="宋体" w:cs="Times New Roman"/>
          <w:b w:val="0"/>
          <w:bCs w:val="0"/>
          <w:color w:val="auto"/>
          <w:sz w:val="24"/>
          <w:szCs w:val="24"/>
          <w:highlight w:val="none"/>
          <w:lang w:val="en-US" w:eastAsia="zh-CN"/>
        </w:rPr>
        <w:t xml:space="preserve">为存储环节液态排泄阶段总铵态氮，kg/a；0 </w:t>
      </w:r>
    </w:p>
    <w:p w14:paraId="13203904">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w:t>
      </w:r>
      <w:r>
        <w:rPr>
          <w:rFonts w:hint="eastAsia" w:ascii="Times New Roman" w:hAnsi="Times New Roman" w:eastAsia="宋体" w:cs="Times New Roman"/>
          <w:b w:val="0"/>
          <w:bCs w:val="0"/>
          <w:color w:val="auto"/>
          <w:sz w:val="24"/>
          <w:szCs w:val="24"/>
          <w:vertAlign w:val="subscript"/>
          <w:lang w:val="en-US" w:eastAsia="zh-CN"/>
        </w:rPr>
        <w:t>存储－固态</w:t>
      </w:r>
      <w:r>
        <w:rPr>
          <w:rFonts w:hint="eastAsia" w:ascii="Times New Roman" w:hAnsi="Times New Roman" w:eastAsia="宋体" w:cs="Times New Roman"/>
          <w:b w:val="0"/>
          <w:bCs w:val="0"/>
          <w:color w:val="auto"/>
          <w:sz w:val="24"/>
          <w:szCs w:val="24"/>
          <w:lang w:val="en-US" w:eastAsia="zh-CN"/>
        </w:rPr>
        <w:t>为存储环节固态排泄阶段总铵态氮，kg/a；1720.48</w:t>
      </w:r>
    </w:p>
    <w:p w14:paraId="622061F8">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EF</w:t>
      </w:r>
      <w:r>
        <w:rPr>
          <w:rFonts w:hint="eastAsia" w:ascii="Times New Roman" w:hAnsi="Times New Roman" w:eastAsia="宋体" w:cs="Times New Roman"/>
          <w:b w:val="0"/>
          <w:bCs w:val="0"/>
          <w:color w:val="auto"/>
          <w:sz w:val="24"/>
          <w:szCs w:val="24"/>
          <w:vertAlign w:val="subscript"/>
          <w:lang w:val="en-US" w:eastAsia="zh-CN"/>
        </w:rPr>
        <w:t>存储－液态</w:t>
      </w:r>
      <w:r>
        <w:rPr>
          <w:rFonts w:hint="eastAsia" w:ascii="Times New Roman" w:hAnsi="Times New Roman" w:eastAsia="宋体" w:cs="Times New Roman"/>
          <w:b w:val="0"/>
          <w:bCs w:val="0"/>
          <w:color w:val="auto"/>
          <w:sz w:val="24"/>
          <w:szCs w:val="24"/>
          <w:lang w:val="en-US" w:eastAsia="zh-CN"/>
        </w:rPr>
        <w:t>、EF</w:t>
      </w:r>
      <w:r>
        <w:rPr>
          <w:rFonts w:hint="eastAsia" w:ascii="Times New Roman" w:hAnsi="Times New Roman" w:eastAsia="宋体" w:cs="Times New Roman"/>
          <w:b w:val="0"/>
          <w:bCs w:val="0"/>
          <w:color w:val="auto"/>
          <w:sz w:val="24"/>
          <w:szCs w:val="24"/>
          <w:vertAlign w:val="subscript"/>
          <w:lang w:val="en-US" w:eastAsia="zh-CN"/>
        </w:rPr>
        <w:t>存储－固态</w:t>
      </w:r>
      <w:r>
        <w:rPr>
          <w:rFonts w:hint="eastAsia" w:ascii="Times New Roman" w:hAnsi="Times New Roman" w:eastAsia="宋体" w:cs="Times New Roman"/>
          <w:b w:val="0"/>
          <w:bCs w:val="0"/>
          <w:color w:val="auto"/>
          <w:sz w:val="24"/>
          <w:szCs w:val="24"/>
          <w:lang w:val="en-US" w:eastAsia="zh-CN"/>
        </w:rPr>
        <w:t>分别为存储环节环境下液态、固态粪便的氨挥发率，％；液态15.8，固态4.2</w:t>
      </w:r>
    </w:p>
    <w:p w14:paraId="4D7D7B85">
      <w:pPr>
        <w:keepNext w:val="0"/>
        <w:keepLines w:val="0"/>
        <w:pageBreakBefore w:val="0"/>
        <w:wordWrap/>
        <w:topLinePunct w:val="0"/>
        <w:bidi w:val="0"/>
        <w:adjustRightInd/>
        <w:snapToGrid/>
        <w:spacing w:line="360" w:lineRule="auto"/>
        <w:ind w:firstLine="48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现有工程在正常管理状态下，育肥牛尿液在发酵床发酵过程中均能被发酵垫料以及牛粪吸收，因此本项目不计算存储液态；</w:t>
      </w:r>
    </w:p>
    <w:p w14:paraId="38EBF8B1">
      <w:pPr>
        <w:keepNext w:val="0"/>
        <w:keepLines w:val="0"/>
        <w:pageBreakBefore w:val="0"/>
        <w:wordWrap/>
        <w:topLinePunct w:val="0"/>
        <w:bidi w:val="0"/>
        <w:adjustRightInd/>
        <w:snapToGrid/>
        <w:spacing w:line="360" w:lineRule="auto"/>
        <w:ind w:firstLine="48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EN</w:t>
      </w:r>
      <w:r>
        <w:rPr>
          <w:rFonts w:hint="eastAsia" w:ascii="Times New Roman" w:hAnsi="Times New Roman" w:eastAsia="宋体" w:cs="Times New Roman"/>
          <w:b w:val="0"/>
          <w:bCs w:val="0"/>
          <w:color w:val="auto"/>
          <w:sz w:val="24"/>
          <w:szCs w:val="24"/>
          <w:vertAlign w:val="subscript"/>
          <w:lang w:val="en-US" w:eastAsia="zh-CN"/>
        </w:rPr>
        <w:t>圈舍－固态</w:t>
      </w:r>
      <w:r>
        <w:rPr>
          <w:rFonts w:hint="eastAsia" w:ascii="Times New Roman" w:hAnsi="Times New Roman" w:eastAsia="宋体" w:cs="Times New Roman"/>
          <w:b w:val="0"/>
          <w:bCs w:val="0"/>
          <w:color w:val="auto"/>
          <w:sz w:val="24"/>
          <w:szCs w:val="24"/>
          <w:lang w:val="en-US" w:eastAsia="zh-CN"/>
        </w:rPr>
        <w:t>取值24966*9.3%=176.41kg/a</w:t>
      </w:r>
    </w:p>
    <w:p w14:paraId="6E2DFA30">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lang w:val="en-US" w:eastAsia="zh-CN"/>
        </w:rPr>
        <w:t>养殖恶臭氨产生统计见表3.1-5：</w:t>
      </w:r>
    </w:p>
    <w:p w14:paraId="116434BB">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eastAsia" w:ascii="Times New Roman" w:hAnsi="Times New Roman" w:eastAsia="宋体" w:cs="Times New Roman"/>
          <w:b/>
          <w:bCs/>
          <w:color w:val="auto"/>
          <w:sz w:val="24"/>
          <w:szCs w:val="24"/>
          <w:lang w:val="en-US" w:eastAsia="zh-CN"/>
        </w:rPr>
        <w:t>3.1-5现有工程养殖区恶臭氨产生</w:t>
      </w:r>
      <w:r>
        <w:rPr>
          <w:rFonts w:hint="default" w:ascii="Times New Roman" w:hAnsi="Times New Roman" w:eastAsia="宋体" w:cs="Times New Roman"/>
          <w:b/>
          <w:bCs/>
          <w:color w:val="auto"/>
          <w:sz w:val="24"/>
          <w:szCs w:val="24"/>
          <w:lang w:val="en-US" w:eastAsia="zh-CN"/>
        </w:rPr>
        <w:t>统计</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426"/>
        <w:gridCol w:w="1425"/>
        <w:gridCol w:w="1890"/>
        <w:gridCol w:w="2707"/>
      </w:tblGrid>
      <w:tr w14:paraId="61319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6" w:type="dxa"/>
            <w:tcBorders>
              <w:tl2br w:val="nil"/>
              <w:tr2bl w:val="nil"/>
            </w:tcBorders>
            <w:vAlign w:val="center"/>
          </w:tcPr>
          <w:p w14:paraId="7E4B3C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养殖方式</w:t>
            </w:r>
          </w:p>
        </w:tc>
        <w:tc>
          <w:tcPr>
            <w:tcW w:w="1426" w:type="dxa"/>
            <w:tcBorders>
              <w:tl2br w:val="nil"/>
              <w:tr2bl w:val="nil"/>
            </w:tcBorders>
            <w:vAlign w:val="center"/>
          </w:tcPr>
          <w:p w14:paraId="5970B2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ascii="Times New Roman" w:hAnsi="Times New Roman" w:eastAsia="宋体" w:cs="Times New Roman"/>
                <w:b/>
                <w:bCs/>
                <w:color w:val="auto"/>
                <w:sz w:val="21"/>
                <w:szCs w:val="21"/>
                <w:vertAlign w:val="baseline"/>
                <w:lang w:val="en-US" w:eastAsia="zh-CN"/>
              </w:rPr>
              <w:t>栏舍</w:t>
            </w:r>
            <w:r>
              <w:rPr>
                <w:rFonts w:hint="default" w:ascii="Times New Roman" w:hAnsi="Times New Roman" w:eastAsia="宋体" w:cs="Times New Roman"/>
                <w:b/>
                <w:bCs/>
                <w:color w:val="auto"/>
                <w:sz w:val="21"/>
                <w:szCs w:val="21"/>
                <w:vertAlign w:val="baseline"/>
                <w:lang w:val="en-US" w:eastAsia="zh-CN"/>
              </w:rPr>
              <w:t>NH</w:t>
            </w:r>
            <w:r>
              <w:rPr>
                <w:rFonts w:hint="default" w:ascii="Times New Roman" w:hAnsi="Times New Roman" w:eastAsia="宋体" w:cs="Times New Roman"/>
                <w:b/>
                <w:bCs/>
                <w:color w:val="auto"/>
                <w:sz w:val="21"/>
                <w:szCs w:val="21"/>
                <w:vertAlign w:val="subscript"/>
                <w:lang w:val="en-US" w:eastAsia="zh-CN"/>
              </w:rPr>
              <w:t>3</w:t>
            </w:r>
          </w:p>
          <w:p w14:paraId="7D0F9A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rPr>
            </w:pPr>
            <w:r>
              <w:rPr>
                <w:rFonts w:hint="eastAsia" w:ascii="Times New Roman" w:hAnsi="Times New Roman" w:eastAsia="宋体" w:cs="Times New Roman"/>
                <w:b/>
                <w:bCs/>
                <w:color w:val="auto"/>
                <w:sz w:val="21"/>
                <w:szCs w:val="21"/>
                <w:vertAlign w:val="baseline"/>
                <w:lang w:val="en-US" w:eastAsia="zh-CN"/>
              </w:rPr>
              <w:t>kg/a</w:t>
            </w:r>
          </w:p>
        </w:tc>
        <w:tc>
          <w:tcPr>
            <w:tcW w:w="1425" w:type="dxa"/>
            <w:tcBorders>
              <w:tl2br w:val="nil"/>
              <w:tr2bl w:val="nil"/>
            </w:tcBorders>
            <w:vAlign w:val="center"/>
          </w:tcPr>
          <w:p w14:paraId="3AB5E9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ascii="Times New Roman" w:hAnsi="Times New Roman" w:eastAsia="宋体" w:cs="Times New Roman"/>
                <w:b/>
                <w:bCs/>
                <w:color w:val="auto"/>
                <w:sz w:val="21"/>
                <w:szCs w:val="21"/>
                <w:vertAlign w:val="baseline"/>
                <w:lang w:val="en-US" w:eastAsia="zh-CN"/>
              </w:rPr>
              <w:t>存储</w:t>
            </w:r>
            <w:r>
              <w:rPr>
                <w:rFonts w:hint="default" w:ascii="Times New Roman" w:hAnsi="Times New Roman" w:eastAsia="宋体" w:cs="Times New Roman"/>
                <w:b/>
                <w:bCs/>
                <w:color w:val="auto"/>
                <w:sz w:val="21"/>
                <w:szCs w:val="21"/>
                <w:vertAlign w:val="baseline"/>
                <w:lang w:val="en-US" w:eastAsia="zh-CN"/>
              </w:rPr>
              <w:t>NH</w:t>
            </w:r>
            <w:r>
              <w:rPr>
                <w:rFonts w:hint="default" w:ascii="Times New Roman" w:hAnsi="Times New Roman" w:eastAsia="宋体" w:cs="Times New Roman"/>
                <w:b/>
                <w:bCs/>
                <w:color w:val="auto"/>
                <w:sz w:val="21"/>
                <w:szCs w:val="21"/>
                <w:vertAlign w:val="subscript"/>
                <w:lang w:val="en-US" w:eastAsia="zh-CN"/>
              </w:rPr>
              <w:t>3</w:t>
            </w:r>
          </w:p>
          <w:p w14:paraId="7C4CFE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eastAsia" w:ascii="Times New Roman" w:hAnsi="Times New Roman" w:eastAsia="宋体" w:cs="Times New Roman"/>
                <w:b/>
                <w:bCs/>
                <w:color w:val="auto"/>
                <w:sz w:val="21"/>
                <w:szCs w:val="21"/>
                <w:vertAlign w:val="baseline"/>
                <w:lang w:val="en-US" w:eastAsia="zh-CN"/>
              </w:rPr>
              <w:t>kg/a</w:t>
            </w:r>
          </w:p>
        </w:tc>
        <w:tc>
          <w:tcPr>
            <w:tcW w:w="1890" w:type="dxa"/>
            <w:tcBorders>
              <w:tl2br w:val="nil"/>
              <w:tr2bl w:val="nil"/>
            </w:tcBorders>
            <w:vAlign w:val="center"/>
          </w:tcPr>
          <w:p w14:paraId="609828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ascii="Times New Roman" w:hAnsi="Times New Roman" w:eastAsia="宋体" w:cs="Times New Roman"/>
                <w:b/>
                <w:bCs/>
                <w:color w:val="auto"/>
                <w:sz w:val="21"/>
                <w:szCs w:val="21"/>
                <w:vertAlign w:val="baseline"/>
                <w:lang w:val="en-US" w:eastAsia="zh-CN"/>
              </w:rPr>
              <w:t>施肥</w:t>
            </w:r>
            <w:r>
              <w:rPr>
                <w:rFonts w:hint="default" w:ascii="Times New Roman" w:hAnsi="Times New Roman" w:eastAsia="宋体" w:cs="Times New Roman"/>
                <w:b/>
                <w:bCs/>
                <w:color w:val="auto"/>
                <w:sz w:val="21"/>
                <w:szCs w:val="21"/>
                <w:vertAlign w:val="baseline"/>
                <w:lang w:val="en-US" w:eastAsia="zh-CN"/>
              </w:rPr>
              <w:t>NH</w:t>
            </w:r>
            <w:r>
              <w:rPr>
                <w:rFonts w:hint="default" w:ascii="Times New Roman" w:hAnsi="Times New Roman" w:eastAsia="宋体" w:cs="Times New Roman"/>
                <w:b/>
                <w:bCs/>
                <w:color w:val="auto"/>
                <w:sz w:val="21"/>
                <w:szCs w:val="21"/>
                <w:vertAlign w:val="subscript"/>
                <w:lang w:val="en-US" w:eastAsia="zh-CN"/>
              </w:rPr>
              <w:t>3</w:t>
            </w:r>
          </w:p>
          <w:p w14:paraId="4FD311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ascii="Times New Roman" w:hAnsi="Times New Roman" w:eastAsia="宋体" w:cs="Times New Roman"/>
                <w:b/>
                <w:bCs/>
                <w:color w:val="auto"/>
                <w:sz w:val="21"/>
                <w:szCs w:val="21"/>
                <w:vertAlign w:val="baseline"/>
                <w:lang w:val="en-US" w:eastAsia="zh-CN"/>
              </w:rPr>
              <w:t>kg/a</w:t>
            </w:r>
          </w:p>
        </w:tc>
        <w:tc>
          <w:tcPr>
            <w:tcW w:w="2707" w:type="dxa"/>
            <w:tcBorders>
              <w:tl2br w:val="nil"/>
              <w:tr2bl w:val="nil"/>
            </w:tcBorders>
            <w:vAlign w:val="center"/>
          </w:tcPr>
          <w:p w14:paraId="75A445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总计t/a</w:t>
            </w:r>
          </w:p>
        </w:tc>
      </w:tr>
      <w:tr w14:paraId="64F09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6" w:type="dxa"/>
            <w:tcBorders>
              <w:tl2br w:val="nil"/>
              <w:tr2bl w:val="nil"/>
            </w:tcBorders>
            <w:vAlign w:val="center"/>
          </w:tcPr>
          <w:p w14:paraId="52BAAE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集约化养殖</w:t>
            </w:r>
          </w:p>
        </w:tc>
        <w:tc>
          <w:tcPr>
            <w:tcW w:w="1426" w:type="dxa"/>
            <w:tcBorders>
              <w:tl2br w:val="nil"/>
              <w:tr2bl w:val="nil"/>
            </w:tcBorders>
            <w:vAlign w:val="center"/>
          </w:tcPr>
          <w:p w14:paraId="590364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602.04</w:t>
            </w:r>
          </w:p>
        </w:tc>
        <w:tc>
          <w:tcPr>
            <w:tcW w:w="1425" w:type="dxa"/>
            <w:tcBorders>
              <w:tl2br w:val="nil"/>
              <w:tr2bl w:val="nil"/>
            </w:tcBorders>
            <w:vAlign w:val="center"/>
          </w:tcPr>
          <w:p w14:paraId="32CD9B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87.72</w:t>
            </w:r>
          </w:p>
        </w:tc>
        <w:tc>
          <w:tcPr>
            <w:tcW w:w="1890" w:type="dxa"/>
            <w:tcBorders>
              <w:tl2br w:val="nil"/>
              <w:tr2bl w:val="nil"/>
            </w:tcBorders>
            <w:vAlign w:val="center"/>
          </w:tcPr>
          <w:p w14:paraId="67C59E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w:t>
            </w:r>
          </w:p>
        </w:tc>
        <w:tc>
          <w:tcPr>
            <w:tcW w:w="2707" w:type="dxa"/>
            <w:tcBorders>
              <w:tl2br w:val="nil"/>
              <w:tr2bl w:val="nil"/>
            </w:tcBorders>
            <w:vAlign w:val="center"/>
          </w:tcPr>
          <w:p w14:paraId="075FF7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0.69t/a</w:t>
            </w:r>
          </w:p>
        </w:tc>
      </w:tr>
    </w:tbl>
    <w:p w14:paraId="1361F669">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eastAsia="宋体" w:cs="Times New Roman"/>
          <w:color w:val="auto"/>
          <w:sz w:val="24"/>
          <w:szCs w:val="24"/>
          <w:highlight w:val="none"/>
          <w:lang w:val="en-US" w:eastAsia="zh-CN"/>
        </w:rPr>
        <w:t>根据《除臭菌株对NH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和H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S释放及物质转化的影响》（农业环境科学学报，2011年第3期30卷）硫化氢的产生主要在于高温堆肥</w:t>
      </w:r>
      <w:r>
        <w:rPr>
          <w:rFonts w:hint="eastAsia" w:ascii="Times New Roman" w:hAnsi="Times New Roman" w:eastAsia="宋体" w:cs="Times New Roman"/>
          <w:color w:val="auto"/>
          <w:sz w:val="24"/>
          <w:szCs w:val="24"/>
          <w:highlight w:val="none"/>
          <w:lang w:val="en-US" w:eastAsia="zh-CN"/>
        </w:rPr>
        <w:t>，养殖区产生的粪便同样会产生</w:t>
      </w:r>
      <w:r>
        <w:rPr>
          <w:rFonts w:hint="default" w:ascii="Times New Roman" w:hAnsi="Times New Roman" w:eastAsia="宋体" w:cs="Times New Roman"/>
          <w:color w:val="auto"/>
          <w:sz w:val="24"/>
          <w:szCs w:val="24"/>
          <w:highlight w:val="none"/>
          <w:lang w:val="en-US" w:eastAsia="zh-CN"/>
        </w:rPr>
        <w:t>硫化氢，</w:t>
      </w:r>
      <w:r>
        <w:rPr>
          <w:rFonts w:hint="eastAsia" w:ascii="Times New Roman" w:hAnsi="Times New Roman" w:eastAsia="宋体" w:cs="Times New Roman"/>
          <w:color w:val="auto"/>
          <w:sz w:val="24"/>
          <w:szCs w:val="24"/>
          <w:highlight w:val="none"/>
          <w:lang w:val="en-US" w:eastAsia="zh-CN"/>
        </w:rPr>
        <w:t>参考高温堆肥硫化氢产量计算。</w:t>
      </w:r>
      <w:r>
        <w:rPr>
          <w:rFonts w:hint="default" w:ascii="Times New Roman" w:hAnsi="Times New Roman" w:eastAsia="宋体" w:cs="Times New Roman"/>
          <w:color w:val="auto"/>
          <w:sz w:val="24"/>
          <w:szCs w:val="24"/>
          <w:highlight w:val="none"/>
          <w:lang w:val="en-US" w:eastAsia="zh-CN"/>
        </w:rPr>
        <w:t>高温期各处理的H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S释放量均占总释放量的85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左右</w:t>
      </w: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sz w:val="24"/>
          <w:szCs w:val="24"/>
          <w:highlight w:val="none"/>
          <w:lang w:eastAsia="zh-CN"/>
        </w:rPr>
        <w:t>《规模畜禽养殖场污染防治最佳可行技术指南（试行）》畜禽养殖主要固体污染物</w:t>
      </w:r>
      <w:r>
        <w:rPr>
          <w:rFonts w:hint="default" w:ascii="Times New Roman" w:hAnsi="Times New Roman" w:eastAsia="宋体" w:cs="Times New Roman"/>
          <w:color w:val="auto"/>
          <w:sz w:val="24"/>
          <w:szCs w:val="24"/>
          <w:highlight w:val="none"/>
          <w:lang w:val="en-US" w:eastAsia="zh-CN"/>
        </w:rPr>
        <w:t>TS为20%，根据《畜禽粪便堆肥过程中含硫恶臭排放规律及原位控制机制研究》堆肥过程中总硫损失为初始总硫的3.9</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18.3%，H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S恶臭气体形式损失的硫占堆肥过程中初始总硫损失的0.097%。</w:t>
      </w:r>
      <w:r>
        <w:rPr>
          <w:rFonts w:hint="eastAsia" w:ascii="Times New Roman" w:hAnsi="Times New Roman" w:eastAsia="宋体" w:cs="Times New Roman"/>
          <w:color w:val="auto"/>
          <w:sz w:val="24"/>
          <w:szCs w:val="24"/>
          <w:highlight w:val="none"/>
          <w:lang w:val="en-US" w:eastAsia="zh-CN"/>
        </w:rPr>
        <w:t>现有</w:t>
      </w:r>
      <w:r>
        <w:rPr>
          <w:rFonts w:hint="default" w:ascii="Times New Roman" w:hAnsi="Times New Roman" w:eastAsia="宋体" w:cs="Times New Roman"/>
          <w:color w:val="auto"/>
          <w:sz w:val="24"/>
          <w:szCs w:val="24"/>
          <w:highlight w:val="none"/>
          <w:lang w:val="en-US" w:eastAsia="zh-CN"/>
        </w:rPr>
        <w:t>粪便产量为</w:t>
      </w:r>
      <w:r>
        <w:rPr>
          <w:rFonts w:hint="eastAsia" w:cs="Times New Roman"/>
          <w:color w:val="auto"/>
          <w:sz w:val="24"/>
          <w:szCs w:val="24"/>
          <w:highlight w:val="none"/>
          <w:lang w:val="en-US" w:eastAsia="zh-CN"/>
        </w:rPr>
        <w:t>1663.93</w:t>
      </w:r>
      <w:r>
        <w:rPr>
          <w:rFonts w:hint="default" w:ascii="Times New Roman" w:hAnsi="Times New Roman" w:eastAsia="宋体" w:cs="Times New Roman"/>
          <w:color w:val="auto"/>
          <w:sz w:val="24"/>
          <w:szCs w:val="24"/>
          <w:highlight w:val="none"/>
          <w:lang w:val="en-US" w:eastAsia="zh-CN"/>
        </w:rPr>
        <w:t>t/a，因此</w:t>
      </w:r>
      <w:r>
        <w:rPr>
          <w:rFonts w:hint="eastAsia" w:ascii="Times New Roman" w:hAnsi="Times New Roman" w:eastAsia="宋体" w:cs="Times New Roman"/>
          <w:color w:val="auto"/>
          <w:sz w:val="24"/>
          <w:szCs w:val="24"/>
          <w:highlight w:val="none"/>
          <w:lang w:val="en-US" w:eastAsia="zh-CN"/>
        </w:rPr>
        <w:t>养殖区</w:t>
      </w:r>
      <w:r>
        <w:rPr>
          <w:rFonts w:hint="default" w:ascii="Times New Roman" w:hAnsi="Times New Roman" w:eastAsia="宋体" w:cs="Times New Roman"/>
          <w:color w:val="auto"/>
          <w:sz w:val="24"/>
          <w:szCs w:val="24"/>
          <w:highlight w:val="none"/>
          <w:lang w:val="en-US" w:eastAsia="zh-CN"/>
        </w:rPr>
        <w:t>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S产生量为</w:t>
      </w:r>
      <w:r>
        <w:rPr>
          <w:rFonts w:hint="eastAsia" w:cs="Times New Roman"/>
          <w:color w:val="auto"/>
          <w:sz w:val="24"/>
          <w:szCs w:val="24"/>
          <w:highlight w:val="none"/>
          <w:lang w:val="en-US" w:eastAsia="zh-CN"/>
        </w:rPr>
        <w:t>0.01</w:t>
      </w:r>
      <w:r>
        <w:rPr>
          <w:rFonts w:hint="default" w:ascii="Times New Roman" w:hAnsi="Times New Roman" w:eastAsia="宋体" w:cs="Times New Roman"/>
          <w:color w:val="auto"/>
          <w:sz w:val="24"/>
          <w:szCs w:val="24"/>
          <w:highlight w:val="none"/>
          <w:lang w:val="en-US" w:eastAsia="zh-CN"/>
        </w:rPr>
        <w:t>t/a。</w:t>
      </w:r>
    </w:p>
    <w:p w14:paraId="1BAE5401">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现有工程</w:t>
      </w:r>
      <w:r>
        <w:rPr>
          <w:rFonts w:hint="eastAsia" w:eastAsia="宋体" w:cs="Times New Roman"/>
          <w:b w:val="0"/>
          <w:bCs w:val="0"/>
          <w:color w:val="auto"/>
          <w:sz w:val="24"/>
          <w:szCs w:val="24"/>
          <w:lang w:val="en-US" w:eastAsia="zh-CN"/>
        </w:rPr>
        <w:t>养殖</w:t>
      </w:r>
      <w:r>
        <w:rPr>
          <w:rFonts w:hint="eastAsia" w:ascii="Times New Roman" w:hAnsi="Times New Roman" w:eastAsia="宋体" w:cs="Times New Roman"/>
          <w:b w:val="0"/>
          <w:bCs w:val="0"/>
          <w:color w:val="auto"/>
          <w:sz w:val="24"/>
          <w:szCs w:val="24"/>
          <w:lang w:val="en-US" w:eastAsia="zh-CN"/>
        </w:rPr>
        <w:t>恶臭的产生及排放情况见表</w:t>
      </w:r>
      <w:r>
        <w:rPr>
          <w:rFonts w:hint="eastAsia" w:cs="Times New Roman"/>
          <w:b w:val="0"/>
          <w:bCs w:val="0"/>
          <w:color w:val="auto"/>
          <w:sz w:val="24"/>
          <w:szCs w:val="24"/>
          <w:lang w:val="en-US" w:eastAsia="zh-CN"/>
        </w:rPr>
        <w:t>3.1-6</w:t>
      </w:r>
      <w:r>
        <w:rPr>
          <w:rFonts w:hint="eastAsia" w:ascii="Times New Roman" w:hAnsi="Times New Roman" w:eastAsia="宋体" w:cs="Times New Roman"/>
          <w:b w:val="0"/>
          <w:bCs w:val="0"/>
          <w:color w:val="auto"/>
          <w:sz w:val="24"/>
          <w:szCs w:val="24"/>
          <w:lang w:val="en-US" w:eastAsia="zh-CN"/>
        </w:rPr>
        <w:t>。</w:t>
      </w:r>
    </w:p>
    <w:p w14:paraId="5FB1715A">
      <w:pPr>
        <w:keepNext w:val="0"/>
        <w:keepLines w:val="0"/>
        <w:pageBreakBefore w:val="0"/>
        <w:wordWrap/>
        <w:topLinePunct w:val="0"/>
        <w:bidi w:val="0"/>
        <w:adjustRightInd/>
        <w:snapToGrid/>
        <w:spacing w:line="360" w:lineRule="auto"/>
        <w:jc w:val="center"/>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1-6现有工程</w:t>
      </w:r>
      <w:r>
        <w:rPr>
          <w:rFonts w:hint="eastAsia" w:eastAsia="宋体" w:cs="Times New Roman"/>
          <w:b/>
          <w:bCs/>
          <w:color w:val="auto"/>
          <w:sz w:val="24"/>
          <w:szCs w:val="24"/>
          <w:lang w:val="en-US" w:eastAsia="zh-CN"/>
        </w:rPr>
        <w:t>养殖区</w:t>
      </w:r>
      <w:r>
        <w:rPr>
          <w:rFonts w:hint="eastAsia" w:ascii="Times New Roman" w:hAnsi="Times New Roman" w:eastAsia="宋体" w:cs="Times New Roman"/>
          <w:b/>
          <w:bCs/>
          <w:color w:val="auto"/>
          <w:sz w:val="24"/>
          <w:szCs w:val="24"/>
          <w:lang w:val="en-US" w:eastAsia="zh-CN"/>
        </w:rPr>
        <w:t>恶臭产生及排放情况一览表</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282"/>
        <w:gridCol w:w="1089"/>
        <w:gridCol w:w="1065"/>
        <w:gridCol w:w="1755"/>
        <w:gridCol w:w="1867"/>
      </w:tblGrid>
      <w:tr w14:paraId="265A1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6" w:type="dxa"/>
            <w:vMerge w:val="restart"/>
            <w:tcBorders>
              <w:tl2br w:val="nil"/>
              <w:tr2bl w:val="nil"/>
            </w:tcBorders>
            <w:vAlign w:val="center"/>
          </w:tcPr>
          <w:p w14:paraId="754C002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lang w:val="en-US" w:eastAsia="zh-CN"/>
              </w:rPr>
            </w:pPr>
            <w:r>
              <w:rPr>
                <w:rFonts w:hint="eastAsia" w:eastAsia="宋体" w:cs="Times New Roman"/>
                <w:b/>
                <w:bCs/>
                <w:color w:val="auto"/>
                <w:sz w:val="21"/>
                <w:szCs w:val="21"/>
                <w:vertAlign w:val="baseline"/>
                <w:lang w:val="en-US" w:eastAsia="zh-CN"/>
              </w:rPr>
              <w:t>养殖类型</w:t>
            </w:r>
          </w:p>
        </w:tc>
        <w:tc>
          <w:tcPr>
            <w:tcW w:w="1282" w:type="dxa"/>
            <w:vMerge w:val="restart"/>
            <w:tcBorders>
              <w:tl2br w:val="nil"/>
              <w:tr2bl w:val="nil"/>
            </w:tcBorders>
            <w:vAlign w:val="center"/>
          </w:tcPr>
          <w:p w14:paraId="6DF03048">
            <w:pPr>
              <w:keepNext w:val="0"/>
              <w:keepLines w:val="0"/>
              <w:pageBreakBefore w:val="0"/>
              <w:kinsoku/>
              <w:wordWrap/>
              <w:overflowPunct/>
              <w:topLinePunct w:val="0"/>
              <w:autoSpaceDE/>
              <w:autoSpaceDN/>
              <w:bidi w:val="0"/>
              <w:adjustRightInd/>
              <w:snapToGrid/>
              <w:spacing w:line="360" w:lineRule="exact"/>
              <w:jc w:val="center"/>
              <w:rPr>
                <w:rFonts w:hint="eastAsia" w:ascii="Times New Roman" w:hAnsi="Times New Roman" w:eastAsia="宋体" w:cs="Times New Roman"/>
                <w:b/>
                <w:bCs/>
                <w:color w:val="auto"/>
                <w:sz w:val="21"/>
                <w:szCs w:val="21"/>
                <w:vertAlign w:val="baseline"/>
                <w:lang w:val="en-US" w:eastAsia="zh-CN"/>
              </w:rPr>
            </w:pPr>
            <w:r>
              <w:rPr>
                <w:rFonts w:hint="eastAsia" w:eastAsia="宋体" w:cs="Times New Roman"/>
                <w:b/>
                <w:bCs/>
                <w:color w:val="auto"/>
                <w:sz w:val="21"/>
                <w:szCs w:val="21"/>
                <w:vertAlign w:val="baseline"/>
                <w:lang w:val="en-US" w:eastAsia="zh-CN"/>
              </w:rPr>
              <w:t>存栏</w:t>
            </w:r>
            <w:r>
              <w:rPr>
                <w:rFonts w:hint="eastAsia" w:ascii="Times New Roman" w:hAnsi="Times New Roman" w:eastAsia="宋体" w:cs="Times New Roman"/>
                <w:b/>
                <w:bCs/>
                <w:color w:val="auto"/>
                <w:sz w:val="21"/>
                <w:szCs w:val="21"/>
                <w:vertAlign w:val="baseline"/>
                <w:lang w:val="en-US" w:eastAsia="zh-CN"/>
              </w:rPr>
              <w:t>数</w:t>
            </w:r>
          </w:p>
          <w:p w14:paraId="08E3000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（头）</w:t>
            </w:r>
          </w:p>
        </w:tc>
        <w:tc>
          <w:tcPr>
            <w:tcW w:w="2154" w:type="dxa"/>
            <w:gridSpan w:val="2"/>
            <w:tcBorders>
              <w:tl2br w:val="nil"/>
              <w:tr2bl w:val="nil"/>
            </w:tcBorders>
            <w:vAlign w:val="center"/>
          </w:tcPr>
          <w:p w14:paraId="4203FAE2">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产生量t</w:t>
            </w:r>
            <w:r>
              <w:rPr>
                <w:rFonts w:hint="default" w:ascii="Times New Roman" w:hAnsi="Times New Roman" w:eastAsia="宋体" w:cs="Times New Roman"/>
                <w:b/>
                <w:bCs/>
                <w:color w:val="auto"/>
                <w:szCs w:val="21"/>
                <w:u w:val="none"/>
                <w:lang w:val="en-US" w:eastAsia="zh-CN" w:bidi="ar"/>
              </w:rPr>
              <w:t>/a</w:t>
            </w:r>
          </w:p>
        </w:tc>
        <w:tc>
          <w:tcPr>
            <w:tcW w:w="3622" w:type="dxa"/>
            <w:gridSpan w:val="2"/>
            <w:tcBorders>
              <w:tl2br w:val="nil"/>
              <w:tr2bl w:val="nil"/>
            </w:tcBorders>
            <w:vAlign w:val="center"/>
          </w:tcPr>
          <w:p w14:paraId="5D8F3AA1">
            <w:pPr>
              <w:keepNext w:val="0"/>
              <w:keepLines w:val="0"/>
              <w:widowControl/>
              <w:suppressLineNumbers w:val="0"/>
              <w:jc w:val="center"/>
              <w:textAlignment w:val="center"/>
              <w:rPr>
                <w:rFonts w:hint="eastAsia" w:ascii="Times New Roman" w:hAnsi="Times New Roman" w:eastAsia="宋体" w:cs="Times New Roman"/>
                <w:b/>
                <w:bCs/>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排放量t</w:t>
            </w:r>
            <w:r>
              <w:rPr>
                <w:rFonts w:hint="default" w:ascii="Times New Roman" w:hAnsi="Times New Roman" w:eastAsia="宋体" w:cs="Times New Roman"/>
                <w:b/>
                <w:bCs/>
                <w:color w:val="auto"/>
                <w:szCs w:val="21"/>
                <w:u w:val="none"/>
                <w:lang w:val="en-US" w:eastAsia="zh-CN" w:bidi="ar"/>
              </w:rPr>
              <w:t>/a</w:t>
            </w:r>
          </w:p>
        </w:tc>
      </w:tr>
      <w:tr w14:paraId="5010E6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6" w:type="dxa"/>
            <w:vMerge w:val="continue"/>
            <w:tcBorders>
              <w:tl2br w:val="nil"/>
              <w:tr2bl w:val="nil"/>
            </w:tcBorders>
            <w:vAlign w:val="center"/>
          </w:tcPr>
          <w:p w14:paraId="4F89508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rPr>
            </w:pPr>
          </w:p>
        </w:tc>
        <w:tc>
          <w:tcPr>
            <w:tcW w:w="1282" w:type="dxa"/>
            <w:vMerge w:val="continue"/>
            <w:tcBorders>
              <w:tl2br w:val="nil"/>
              <w:tr2bl w:val="nil"/>
            </w:tcBorders>
            <w:vAlign w:val="center"/>
          </w:tcPr>
          <w:p w14:paraId="42784A0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rPr>
            </w:pPr>
          </w:p>
        </w:tc>
        <w:tc>
          <w:tcPr>
            <w:tcW w:w="1089" w:type="dxa"/>
            <w:tcBorders>
              <w:tl2br w:val="nil"/>
              <w:tr2bl w:val="nil"/>
            </w:tcBorders>
            <w:vAlign w:val="center"/>
          </w:tcPr>
          <w:p w14:paraId="731BCC80">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NH</w:t>
            </w:r>
            <w:r>
              <w:rPr>
                <w:rFonts w:hint="default" w:eastAsia="宋体"/>
                <w:b/>
                <w:bCs/>
                <w:color w:val="auto"/>
                <w:szCs w:val="21"/>
                <w:u w:val="none"/>
                <w:vertAlign w:val="subscript"/>
                <w:lang w:val="en-US" w:eastAsia="zh-CN" w:bidi="ar"/>
              </w:rPr>
              <w:t>3</w:t>
            </w:r>
          </w:p>
        </w:tc>
        <w:tc>
          <w:tcPr>
            <w:tcW w:w="1065" w:type="dxa"/>
            <w:tcBorders>
              <w:tl2br w:val="nil"/>
              <w:tr2bl w:val="nil"/>
            </w:tcBorders>
            <w:vAlign w:val="center"/>
          </w:tcPr>
          <w:p w14:paraId="20E31580">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H</w:t>
            </w:r>
            <w:r>
              <w:rPr>
                <w:rFonts w:hint="default" w:eastAsia="宋体"/>
                <w:b/>
                <w:bCs/>
                <w:color w:val="auto"/>
                <w:szCs w:val="21"/>
                <w:u w:val="none"/>
                <w:vertAlign w:val="subscript"/>
                <w:lang w:val="en-US" w:eastAsia="zh-CN" w:bidi="ar"/>
              </w:rPr>
              <w:t>2</w:t>
            </w:r>
            <w:r>
              <w:rPr>
                <w:rFonts w:hint="default" w:ascii="Times New Roman" w:hAnsi="Times New Roman" w:eastAsia="宋体" w:cs="Times New Roman"/>
                <w:b/>
                <w:bCs/>
                <w:color w:val="auto"/>
                <w:szCs w:val="21"/>
                <w:u w:val="none"/>
                <w:lang w:val="en-US" w:eastAsia="zh-CN" w:bidi="ar"/>
              </w:rPr>
              <w:t>S</w:t>
            </w:r>
          </w:p>
        </w:tc>
        <w:tc>
          <w:tcPr>
            <w:tcW w:w="1755" w:type="dxa"/>
            <w:tcBorders>
              <w:tl2br w:val="nil"/>
              <w:tr2bl w:val="nil"/>
            </w:tcBorders>
            <w:vAlign w:val="center"/>
          </w:tcPr>
          <w:p w14:paraId="2EFE741E">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NH</w:t>
            </w:r>
            <w:r>
              <w:rPr>
                <w:rFonts w:hint="default" w:eastAsia="宋体"/>
                <w:b/>
                <w:bCs/>
                <w:color w:val="auto"/>
                <w:szCs w:val="21"/>
                <w:u w:val="none"/>
                <w:vertAlign w:val="subscript"/>
                <w:lang w:val="en-US" w:eastAsia="zh-CN" w:bidi="ar"/>
              </w:rPr>
              <w:t>3</w:t>
            </w:r>
          </w:p>
        </w:tc>
        <w:tc>
          <w:tcPr>
            <w:tcW w:w="1867" w:type="dxa"/>
            <w:tcBorders>
              <w:tl2br w:val="nil"/>
              <w:tr2bl w:val="nil"/>
            </w:tcBorders>
            <w:vAlign w:val="center"/>
          </w:tcPr>
          <w:p w14:paraId="38755983">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H</w:t>
            </w:r>
            <w:r>
              <w:rPr>
                <w:rFonts w:hint="default" w:eastAsia="宋体"/>
                <w:b/>
                <w:bCs/>
                <w:color w:val="auto"/>
                <w:szCs w:val="21"/>
                <w:u w:val="none"/>
                <w:vertAlign w:val="subscript"/>
                <w:lang w:val="en-US" w:eastAsia="zh-CN" w:bidi="ar"/>
              </w:rPr>
              <w:t>2</w:t>
            </w:r>
            <w:r>
              <w:rPr>
                <w:rFonts w:hint="default" w:ascii="Times New Roman" w:hAnsi="Times New Roman" w:eastAsia="宋体" w:cs="Times New Roman"/>
                <w:b/>
                <w:bCs/>
                <w:color w:val="auto"/>
                <w:szCs w:val="21"/>
                <w:u w:val="none"/>
                <w:lang w:val="en-US" w:eastAsia="zh-CN" w:bidi="ar"/>
              </w:rPr>
              <w:t>S</w:t>
            </w:r>
          </w:p>
        </w:tc>
      </w:tr>
      <w:tr w14:paraId="54AD07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tcBorders>
              <w:tl2br w:val="nil"/>
              <w:tr2bl w:val="nil"/>
            </w:tcBorders>
            <w:vAlign w:val="center"/>
          </w:tcPr>
          <w:p w14:paraId="726A21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color w:val="auto"/>
                <w:sz w:val="21"/>
                <w:szCs w:val="21"/>
                <w:vertAlign w:val="baseline"/>
                <w:lang w:val="en-US" w:eastAsia="zh-CN"/>
              </w:rPr>
            </w:pPr>
            <w:r>
              <w:rPr>
                <w:rFonts w:hint="eastAsia" w:eastAsia="宋体" w:cs="Times New Roman"/>
                <w:color w:val="auto"/>
                <w:sz w:val="21"/>
                <w:szCs w:val="21"/>
                <w:vertAlign w:val="baseline"/>
                <w:lang w:val="en-US" w:eastAsia="zh-CN"/>
              </w:rPr>
              <w:t>肉牛</w:t>
            </w:r>
          </w:p>
        </w:tc>
        <w:tc>
          <w:tcPr>
            <w:tcW w:w="1282" w:type="dxa"/>
            <w:tcBorders>
              <w:tl2br w:val="nil"/>
              <w:tr2bl w:val="nil"/>
            </w:tcBorders>
            <w:vAlign w:val="center"/>
          </w:tcPr>
          <w:p w14:paraId="3B927B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i w:val="0"/>
                <w:iCs w:val="0"/>
                <w:color w:val="auto"/>
                <w:kern w:val="0"/>
                <w:sz w:val="21"/>
                <w:szCs w:val="21"/>
                <w:u w:val="none"/>
                <w:lang w:val="en-US" w:eastAsia="zh-CN" w:bidi="ar"/>
              </w:rPr>
              <w:t>419</w:t>
            </w:r>
          </w:p>
        </w:tc>
        <w:tc>
          <w:tcPr>
            <w:tcW w:w="1089" w:type="dxa"/>
            <w:tcBorders>
              <w:tl2br w:val="nil"/>
              <w:tr2bl w:val="nil"/>
            </w:tcBorders>
            <w:vAlign w:val="center"/>
          </w:tcPr>
          <w:p w14:paraId="2D4C51A6">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0.69</w:t>
            </w:r>
          </w:p>
        </w:tc>
        <w:tc>
          <w:tcPr>
            <w:tcW w:w="1065" w:type="dxa"/>
            <w:tcBorders>
              <w:tl2br w:val="nil"/>
              <w:tr2bl w:val="nil"/>
            </w:tcBorders>
            <w:vAlign w:val="center"/>
          </w:tcPr>
          <w:p w14:paraId="27884472">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0.01</w:t>
            </w:r>
          </w:p>
        </w:tc>
        <w:tc>
          <w:tcPr>
            <w:tcW w:w="1755" w:type="dxa"/>
            <w:tcBorders>
              <w:tl2br w:val="nil"/>
              <w:tr2bl w:val="nil"/>
            </w:tcBorders>
            <w:vAlign w:val="center"/>
          </w:tcPr>
          <w:p w14:paraId="3E114285">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0.08</w:t>
            </w:r>
          </w:p>
        </w:tc>
        <w:tc>
          <w:tcPr>
            <w:tcW w:w="1867" w:type="dxa"/>
            <w:tcBorders>
              <w:tl2br w:val="nil"/>
              <w:tr2bl w:val="nil"/>
            </w:tcBorders>
            <w:vAlign w:val="center"/>
          </w:tcPr>
          <w:p w14:paraId="5E688971">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0.001</w:t>
            </w:r>
          </w:p>
        </w:tc>
      </w:tr>
    </w:tbl>
    <w:p w14:paraId="6973A9E3">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Cs/>
          <w:color w:val="auto"/>
          <w:kern w:val="2"/>
          <w:sz w:val="24"/>
          <w:szCs w:val="24"/>
          <w:lang w:val="en-US" w:eastAsia="zh-CN" w:bidi="ar-SA"/>
        </w:rPr>
      </w:pPr>
      <w:r>
        <w:rPr>
          <w:rFonts w:hint="eastAsia" w:ascii="Times New Roman" w:hAnsi="Times New Roman" w:eastAsia="宋体" w:cs="Times New Roman"/>
          <w:b w:val="0"/>
          <w:bCs w:val="0"/>
          <w:color w:val="auto"/>
          <w:sz w:val="24"/>
          <w:szCs w:val="24"/>
          <w:lang w:val="en-US" w:eastAsia="zh-CN"/>
        </w:rPr>
        <w:t>根据《自然科学》现代化农业，2011年第6期（总第383期）</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微生物除臭剂研究进展</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（赵晓锋、隋文志）的资料，经国家环境分析测试中心和陕西环境监测中心测试养殖场生物除臭剂（大力克、万洁芬等）对NH</w:t>
      </w:r>
      <w:r>
        <w:rPr>
          <w:rFonts w:hint="eastAsia" w:ascii="Times New Roman" w:hAnsi="Times New Roman" w:eastAsia="宋体" w:cs="Times New Roman"/>
          <w:b w:val="0"/>
          <w:bCs w:val="0"/>
          <w:color w:val="auto"/>
          <w:sz w:val="24"/>
          <w:szCs w:val="24"/>
          <w:vertAlign w:val="subscript"/>
          <w:lang w:val="en-US" w:eastAsia="zh-CN"/>
        </w:rPr>
        <w:t>3</w:t>
      </w:r>
      <w:r>
        <w:rPr>
          <w:rFonts w:hint="eastAsia" w:ascii="Times New Roman" w:hAnsi="Times New Roman" w:eastAsia="宋体" w:cs="Times New Roman"/>
          <w:b w:val="0"/>
          <w:bCs w:val="0"/>
          <w:color w:val="auto"/>
          <w:sz w:val="24"/>
          <w:szCs w:val="24"/>
          <w:lang w:val="en-US" w:eastAsia="zh-CN"/>
        </w:rPr>
        <w:t>和H</w:t>
      </w:r>
      <w:r>
        <w:rPr>
          <w:rFonts w:hint="eastAsia" w:ascii="Times New Roman" w:hAnsi="Times New Roman" w:eastAsia="宋体" w:cs="Times New Roman"/>
          <w:b w:val="0"/>
          <w:bCs w:val="0"/>
          <w:color w:val="auto"/>
          <w:sz w:val="24"/>
          <w:szCs w:val="24"/>
          <w:vertAlign w:val="subscript"/>
          <w:lang w:val="en-US" w:eastAsia="zh-CN"/>
        </w:rPr>
        <w:t>2</w:t>
      </w:r>
      <w:r>
        <w:rPr>
          <w:rFonts w:hint="eastAsia" w:ascii="Times New Roman" w:hAnsi="Times New Roman" w:eastAsia="宋体" w:cs="Times New Roman"/>
          <w:b w:val="0"/>
          <w:bCs w:val="0"/>
          <w:color w:val="auto"/>
          <w:sz w:val="24"/>
          <w:szCs w:val="24"/>
          <w:lang w:val="en-US" w:eastAsia="zh-CN"/>
        </w:rPr>
        <w:t>S的去除效率分别为92.6%和89%</w:t>
      </w:r>
      <w:r>
        <w:rPr>
          <w:rFonts w:hint="eastAsia" w:cs="Times New Roman"/>
          <w:b w:val="0"/>
          <w:bCs w:val="0"/>
          <w:color w:val="auto"/>
          <w:sz w:val="24"/>
          <w:szCs w:val="24"/>
          <w:lang w:val="en-US" w:eastAsia="zh-CN"/>
        </w:rPr>
        <w:t>；参照</w:t>
      </w:r>
      <w:r>
        <w:rPr>
          <w:rFonts w:hint="eastAsia" w:ascii="Times New Roman" w:hAnsi="Times New Roman" w:eastAsia="宋体" w:cs="Times New Roman"/>
          <w:snapToGrid w:val="0"/>
          <w:color w:val="000000"/>
          <w:sz w:val="24"/>
          <w:szCs w:val="24"/>
          <w:highlight w:val="none"/>
          <w:lang w:val="en-US" w:eastAsia="zh-CN" w:bidi="ar-SA"/>
        </w:rPr>
        <w:t>《第二次全国污染源普查工业污染源产排污系数手册（试用版）》生物除臭处理效率88%，</w:t>
      </w:r>
      <w:r>
        <w:rPr>
          <w:rFonts w:hint="eastAsia" w:eastAsia="宋体" w:cs="Times New Roman"/>
          <w:b w:val="0"/>
          <w:bCs w:val="0"/>
          <w:color w:val="auto"/>
          <w:sz w:val="24"/>
          <w:szCs w:val="24"/>
          <w:lang w:val="en-US" w:eastAsia="zh-CN"/>
        </w:rPr>
        <w:t>均以</w:t>
      </w:r>
      <w:r>
        <w:rPr>
          <w:rFonts w:hint="eastAsia" w:cs="Times New Roman"/>
          <w:b w:val="0"/>
          <w:bCs w:val="0"/>
          <w:color w:val="auto"/>
          <w:sz w:val="24"/>
          <w:szCs w:val="24"/>
          <w:lang w:val="en-US" w:eastAsia="zh-CN"/>
        </w:rPr>
        <w:t>88</w:t>
      </w:r>
      <w:r>
        <w:rPr>
          <w:rFonts w:hint="eastAsia" w:eastAsia="宋体" w:cs="Times New Roman"/>
          <w:b w:val="0"/>
          <w:bCs w:val="0"/>
          <w:color w:val="auto"/>
          <w:sz w:val="24"/>
          <w:szCs w:val="24"/>
          <w:lang w:val="en-US" w:eastAsia="zh-CN"/>
        </w:rPr>
        <w:t>%计</w:t>
      </w:r>
      <w:r>
        <w:rPr>
          <w:rFonts w:hint="eastAsia" w:ascii="Times New Roman" w:hAnsi="Times New Roman" w:eastAsia="宋体" w:cs="Times New Roman"/>
          <w:b w:val="0"/>
          <w:bCs w:val="0"/>
          <w:color w:val="auto"/>
          <w:sz w:val="24"/>
          <w:szCs w:val="24"/>
          <w:lang w:val="en-US" w:eastAsia="zh-CN"/>
        </w:rPr>
        <w:t>。</w:t>
      </w:r>
    </w:p>
    <w:p w14:paraId="35536E2A">
      <w:pPr>
        <w:numPr>
          <w:ilvl w:val="0"/>
          <w:numId w:val="0"/>
        </w:numPr>
        <w:spacing w:line="360" w:lineRule="auto"/>
        <w:ind w:left="0" w:leftChars="0" w:firstLine="480" w:firstLineChars="200"/>
        <w:rPr>
          <w:rFonts w:hint="default" w:ascii="Times New Roman" w:hAnsi="Times New Roman" w:eastAsia="宋体" w:cs="Times New Roman"/>
          <w:lang w:val="en-US" w:eastAsia="zh-CN"/>
        </w:rPr>
      </w:pPr>
      <w:r>
        <w:rPr>
          <w:rFonts w:hint="eastAsia" w:ascii="Times New Roman" w:hAnsi="Times New Roman" w:eastAsia="宋体" w:cs="Times New Roman"/>
          <w:bCs/>
          <w:color w:val="auto"/>
          <w:kern w:val="2"/>
          <w:sz w:val="24"/>
          <w:szCs w:val="24"/>
          <w:lang w:val="en-US" w:eastAsia="zh-CN" w:bidi="ar-SA"/>
        </w:rPr>
        <w:t>（2）</w:t>
      </w:r>
      <w:r>
        <w:rPr>
          <w:rFonts w:hint="eastAsia" w:ascii="Times New Roman" w:hAnsi="Times New Roman" w:eastAsia="宋体" w:cs="Times New Roman"/>
          <w:bCs/>
          <w:color w:val="auto"/>
          <w:sz w:val="24"/>
          <w:lang w:val="en-US" w:eastAsia="zh-CN"/>
        </w:rPr>
        <w:t>饲料粉碎、搅拌粉尘</w:t>
      </w:r>
    </w:p>
    <w:p w14:paraId="5FF18201">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现有工程设置TMR搅拌站，内设饲料粉碎机以及固定式TMR搅拌设备，粗饲料入场后需进行破碎，破碎后与青储料、精饲料一同投入固定式TMR搅拌设备进行搅拌，根据《排放源统计调查产排污核算方法和系数手册》132饲料加工行业系数手册，配合饲料粉碎+混合+制粒（可不制粒）+除尘产污系数0.043千克/吨产品，现有工程</w:t>
      </w:r>
      <w:r>
        <w:rPr>
          <w:rFonts w:hint="eastAsia" w:ascii="Times New Roman" w:hAnsi="Times New Roman" w:eastAsia="宋体" w:cs="Times New Roman"/>
          <w:sz w:val="24"/>
          <w:szCs w:val="24"/>
          <w:lang w:val="en-US" w:eastAsia="zh-CN"/>
        </w:rPr>
        <w:t>混合饲料共计3058.7t/a</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b w:val="0"/>
          <w:bCs w:val="0"/>
          <w:color w:val="auto"/>
          <w:sz w:val="24"/>
          <w:szCs w:val="24"/>
          <w:lang w:val="en-US" w:eastAsia="zh-CN"/>
        </w:rPr>
        <w:t>因此饲料破碎、搅拌粉尘0.13t/a。</w:t>
      </w:r>
    </w:p>
    <w:p w14:paraId="2CA2340B">
      <w:pPr>
        <w:spacing w:line="360" w:lineRule="auto"/>
        <w:ind w:firstLine="482"/>
        <w:rPr>
          <w:rFonts w:hint="eastAsia" w:ascii="Times New Roman" w:hAnsi="Times New Roman" w:eastAsia="宋体" w:cs="Times New Roman"/>
          <w:bCs/>
          <w:color w:val="auto"/>
          <w:sz w:val="24"/>
          <w:lang w:eastAsia="zh-CN"/>
        </w:rPr>
      </w:pPr>
      <w:r>
        <w:rPr>
          <w:rFonts w:hint="eastAsia" w:ascii="Times New Roman" w:hAnsi="Times New Roman" w:eastAsia="宋体" w:cs="Times New Roman"/>
          <w:bCs/>
          <w:color w:val="auto"/>
          <w:sz w:val="24"/>
          <w:lang w:val="en-US" w:eastAsia="zh-CN"/>
        </w:rPr>
        <w:t>（3）</w:t>
      </w:r>
      <w:r>
        <w:rPr>
          <w:rFonts w:hint="eastAsia" w:ascii="Times New Roman" w:hAnsi="Times New Roman" w:eastAsia="宋体" w:cs="Times New Roman"/>
          <w:kern w:val="2"/>
          <w:sz w:val="24"/>
          <w:szCs w:val="24"/>
          <w:lang w:val="en-US" w:eastAsia="zh-CN"/>
        </w:rPr>
        <w:t>饲料撒料粉尘</w:t>
      </w:r>
    </w:p>
    <w:p w14:paraId="6D42BC6B">
      <w:pPr>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宋体"/>
          <w:b w:val="0"/>
          <w:color w:val="000000"/>
          <w:spacing w:val="0"/>
          <w:w w:val="100"/>
          <w:position w:val="0"/>
          <w:sz w:val="24"/>
          <w:szCs w:val="24"/>
          <w:lang w:val="en-US" w:eastAsia="zh-CN"/>
        </w:rPr>
      </w:pPr>
      <w:r>
        <w:rPr>
          <w:rFonts w:hint="eastAsia" w:ascii="Times New Roman" w:hAnsi="Times New Roman" w:eastAsia="宋体" w:cs="Times New Roman"/>
          <w:b w:val="0"/>
          <w:bCs w:val="0"/>
          <w:color w:val="auto"/>
          <w:sz w:val="24"/>
          <w:szCs w:val="24"/>
          <w:lang w:val="en-US" w:eastAsia="zh-CN"/>
        </w:rPr>
        <w:t>现有工程</w:t>
      </w:r>
      <w:r>
        <w:rPr>
          <w:rFonts w:hint="eastAsia" w:ascii="Times New Roman" w:hAnsi="Times New Roman" w:eastAsia="宋体" w:cs="宋体"/>
          <w:b w:val="0"/>
          <w:color w:val="000000"/>
          <w:spacing w:val="0"/>
          <w:w w:val="100"/>
          <w:position w:val="0"/>
          <w:sz w:val="24"/>
          <w:szCs w:val="24"/>
        </w:rPr>
        <w:t>采用</w:t>
      </w:r>
      <w:r>
        <w:rPr>
          <w:rFonts w:hint="eastAsia" w:ascii="Times New Roman" w:hAnsi="Times New Roman" w:eastAsia="宋体" w:cs="宋体"/>
          <w:b w:val="0"/>
          <w:color w:val="000000"/>
          <w:spacing w:val="0"/>
          <w:w w:val="100"/>
          <w:position w:val="0"/>
          <w:sz w:val="24"/>
          <w:szCs w:val="24"/>
          <w:lang w:val="en-US" w:eastAsia="zh-CN"/>
        </w:rPr>
        <w:t>撒料车</w:t>
      </w:r>
      <w:r>
        <w:rPr>
          <w:rFonts w:hint="eastAsia" w:ascii="Times New Roman" w:hAnsi="Times New Roman" w:eastAsia="宋体" w:cs="宋体"/>
          <w:b w:val="0"/>
          <w:color w:val="000000"/>
          <w:spacing w:val="0"/>
          <w:w w:val="100"/>
          <w:position w:val="0"/>
          <w:sz w:val="24"/>
          <w:szCs w:val="24"/>
        </w:rPr>
        <w:t>喂养，</w:t>
      </w:r>
      <w:r>
        <w:rPr>
          <w:rFonts w:hint="eastAsia" w:ascii="Times New Roman" w:hAnsi="Times New Roman" w:eastAsia="宋体" w:cs="宋体"/>
          <w:b w:val="0"/>
          <w:color w:val="000000"/>
          <w:spacing w:val="0"/>
          <w:w w:val="100"/>
          <w:position w:val="0"/>
          <w:sz w:val="24"/>
          <w:szCs w:val="24"/>
          <w:lang w:val="en-US" w:eastAsia="zh-CN"/>
        </w:rPr>
        <w:t>搅拌后的</w:t>
      </w:r>
      <w:r>
        <w:rPr>
          <w:rFonts w:hint="eastAsia" w:ascii="Times New Roman" w:hAnsi="Times New Roman" w:eastAsia="宋体" w:cs="宋体"/>
          <w:b w:val="0"/>
          <w:color w:val="000000"/>
          <w:spacing w:val="0"/>
          <w:w w:val="100"/>
          <w:position w:val="0"/>
          <w:sz w:val="24"/>
          <w:szCs w:val="24"/>
          <w:lang w:eastAsia="zh-CN"/>
        </w:rPr>
        <w:t>“</w:t>
      </w:r>
      <w:r>
        <w:rPr>
          <w:rFonts w:hint="eastAsia" w:ascii="Times New Roman" w:hAnsi="Times New Roman" w:eastAsia="宋体" w:cs="宋体"/>
          <w:b w:val="0"/>
          <w:color w:val="000000"/>
          <w:spacing w:val="0"/>
          <w:w w:val="100"/>
          <w:position w:val="0"/>
          <w:sz w:val="24"/>
          <w:szCs w:val="24"/>
        </w:rPr>
        <w:t>全价日粮</w:t>
      </w:r>
      <w:r>
        <w:rPr>
          <w:rFonts w:hint="eastAsia" w:ascii="Times New Roman" w:hAnsi="Times New Roman" w:eastAsia="宋体" w:cs="宋体"/>
          <w:b w:val="0"/>
          <w:color w:val="000000"/>
          <w:spacing w:val="0"/>
          <w:w w:val="100"/>
          <w:position w:val="0"/>
          <w:sz w:val="24"/>
          <w:szCs w:val="24"/>
          <w:lang w:eastAsia="zh-CN"/>
        </w:rPr>
        <w:t>”</w:t>
      </w:r>
      <w:r>
        <w:rPr>
          <w:rFonts w:hint="eastAsia" w:ascii="Times New Roman" w:hAnsi="Times New Roman" w:eastAsia="宋体" w:cs="宋体"/>
          <w:b w:val="0"/>
          <w:color w:val="000000"/>
          <w:spacing w:val="0"/>
          <w:w w:val="100"/>
          <w:position w:val="0"/>
          <w:sz w:val="24"/>
          <w:szCs w:val="24"/>
        </w:rPr>
        <w:t>，</w:t>
      </w:r>
      <w:r>
        <w:rPr>
          <w:rFonts w:hint="eastAsia" w:ascii="Times New Roman" w:hAnsi="Times New Roman" w:eastAsia="宋体" w:cs="宋体"/>
          <w:b w:val="0"/>
          <w:color w:val="000000"/>
          <w:spacing w:val="0"/>
          <w:w w:val="100"/>
          <w:position w:val="0"/>
          <w:sz w:val="24"/>
          <w:szCs w:val="24"/>
          <w:lang w:val="en-US" w:eastAsia="zh-CN"/>
        </w:rPr>
        <w:t>由撒料车</w:t>
      </w:r>
      <w:r>
        <w:rPr>
          <w:rFonts w:hint="eastAsia" w:ascii="Times New Roman" w:hAnsi="Times New Roman" w:eastAsia="宋体" w:cs="宋体"/>
          <w:b w:val="0"/>
          <w:color w:val="000000"/>
          <w:spacing w:val="0"/>
          <w:w w:val="100"/>
          <w:position w:val="0"/>
          <w:sz w:val="24"/>
          <w:szCs w:val="24"/>
        </w:rPr>
        <w:t>运到</w:t>
      </w:r>
      <w:r>
        <w:rPr>
          <w:rFonts w:hint="eastAsia" w:ascii="Times New Roman" w:hAnsi="Times New Roman" w:eastAsia="宋体" w:cs="宋体"/>
          <w:b w:val="0"/>
          <w:color w:val="000000"/>
          <w:spacing w:val="0"/>
          <w:w w:val="100"/>
          <w:position w:val="0"/>
          <w:sz w:val="24"/>
          <w:szCs w:val="24"/>
          <w:lang w:val="en-US" w:eastAsia="zh-CN"/>
        </w:rPr>
        <w:t>饲喂通道</w:t>
      </w:r>
      <w:r>
        <w:rPr>
          <w:rFonts w:hint="eastAsia" w:ascii="Times New Roman" w:hAnsi="Times New Roman" w:eastAsia="宋体" w:cs="宋体"/>
          <w:b w:val="0"/>
          <w:color w:val="000000"/>
          <w:spacing w:val="0"/>
          <w:w w:val="100"/>
          <w:position w:val="0"/>
          <w:sz w:val="24"/>
          <w:szCs w:val="24"/>
        </w:rPr>
        <w:t>分发。在</w:t>
      </w:r>
      <w:r>
        <w:rPr>
          <w:rFonts w:hint="eastAsia" w:ascii="Times New Roman" w:hAnsi="Times New Roman" w:eastAsia="宋体" w:cs="宋体"/>
          <w:b w:val="0"/>
          <w:color w:val="000000"/>
          <w:spacing w:val="0"/>
          <w:w w:val="100"/>
          <w:position w:val="0"/>
          <w:sz w:val="24"/>
          <w:szCs w:val="24"/>
          <w:lang w:val="en-US" w:eastAsia="zh-CN"/>
        </w:rPr>
        <w:t>撒料</w:t>
      </w:r>
      <w:r>
        <w:rPr>
          <w:rFonts w:hint="eastAsia" w:ascii="Times New Roman" w:hAnsi="Times New Roman" w:eastAsia="宋体" w:cs="宋体"/>
          <w:b w:val="0"/>
          <w:color w:val="000000"/>
          <w:spacing w:val="0"/>
          <w:w w:val="100"/>
          <w:position w:val="0"/>
          <w:sz w:val="24"/>
          <w:szCs w:val="24"/>
        </w:rPr>
        <w:t>过程中会产生少量粉尘</w:t>
      </w:r>
      <w:r>
        <w:rPr>
          <w:rFonts w:hint="eastAsia" w:ascii="Times New Roman" w:hAnsi="Times New Roman" w:eastAsia="宋体" w:cs="宋体"/>
          <w:b w:val="0"/>
          <w:color w:val="000000"/>
          <w:spacing w:val="0"/>
          <w:w w:val="100"/>
          <w:position w:val="0"/>
          <w:sz w:val="24"/>
          <w:szCs w:val="24"/>
          <w:lang w:eastAsia="zh-CN"/>
        </w:rPr>
        <w:t>。</w:t>
      </w:r>
    </w:p>
    <w:p w14:paraId="65966F70">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宋体"/>
          <w:b w:val="0"/>
          <w:spacing w:val="0"/>
          <w:w w:val="100"/>
          <w:position w:val="0"/>
          <w:sz w:val="24"/>
          <w:szCs w:val="24"/>
          <w:lang w:val="en-US" w:eastAsia="zh-CN"/>
        </w:rPr>
        <w:t>根据</w:t>
      </w:r>
      <w:r>
        <w:rPr>
          <w:rFonts w:hint="default"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sz w:val="24"/>
          <w:szCs w:val="24"/>
        </w:rPr>
        <w:t>排放源统计调查产排污核算方法和系数手册</w:t>
      </w:r>
      <w:r>
        <w:rPr>
          <w:rFonts w:hint="default" w:ascii="Times New Roman" w:hAnsi="Times New Roman" w:eastAsia="宋体" w:cs="Times New Roman"/>
          <w:color w:val="auto"/>
          <w:kern w:val="0"/>
          <w:sz w:val="24"/>
          <w:szCs w:val="24"/>
          <w:lang w:val="en-US" w:eastAsia="zh-CN"/>
        </w:rPr>
        <w:t>》132 饲料加工行业系数表，</w:t>
      </w:r>
      <w:r>
        <w:rPr>
          <w:rFonts w:hint="default" w:ascii="Times New Roman" w:hAnsi="Times New Roman" w:eastAsia="宋体" w:cs="Times New Roman"/>
          <w:sz w:val="24"/>
          <w:szCs w:val="24"/>
        </w:rPr>
        <w:t>配合饲料玉米、蛋白质类原料（豆粕等）、维生素等＜10万吨/年</w:t>
      </w:r>
      <w:r>
        <w:rPr>
          <w:rFonts w:hint="default" w:ascii="Times New Roman" w:hAnsi="Times New Roman" w:eastAsia="宋体" w:cs="Times New Roman"/>
          <w:sz w:val="24"/>
          <w:szCs w:val="24"/>
          <w:lang w:val="en-US" w:eastAsia="zh-CN"/>
        </w:rPr>
        <w:t>颗粒物产污系数0.043</w:t>
      </w:r>
      <w:r>
        <w:rPr>
          <w:rFonts w:hint="default" w:ascii="Times New Roman" w:hAnsi="Times New Roman" w:eastAsia="宋体" w:cs="Times New Roman"/>
          <w:sz w:val="24"/>
          <w:szCs w:val="24"/>
        </w:rPr>
        <w:t>千克/吨产品</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混合饲料共计3058.7t/a</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颗粒物产生量为</w:t>
      </w:r>
      <w:r>
        <w:rPr>
          <w:rFonts w:hint="eastAsia" w:ascii="Times New Roman" w:hAnsi="Times New Roman" w:eastAsia="宋体" w:cs="Times New Roman"/>
          <w:sz w:val="24"/>
          <w:szCs w:val="24"/>
          <w:lang w:val="en-US" w:eastAsia="zh-CN"/>
        </w:rPr>
        <w:t>0.13</w:t>
      </w:r>
      <w:r>
        <w:rPr>
          <w:rFonts w:hint="default" w:ascii="Times New Roman" w:hAnsi="Times New Roman" w:eastAsia="宋体" w:cs="Times New Roman"/>
          <w:sz w:val="24"/>
          <w:szCs w:val="24"/>
          <w:lang w:val="en-US" w:eastAsia="zh-CN"/>
        </w:rPr>
        <w:t>t/a</w:t>
      </w:r>
      <w:r>
        <w:rPr>
          <w:rFonts w:hint="eastAsia" w:ascii="Times New Roman" w:hAnsi="Times New Roman" w:eastAsia="宋体" w:cs="宋体"/>
          <w:b w:val="0"/>
          <w:spacing w:val="0"/>
          <w:w w:val="100"/>
          <w:position w:val="0"/>
          <w:sz w:val="24"/>
          <w:szCs w:val="24"/>
          <w:lang w:val="en-US" w:eastAsia="zh-CN"/>
        </w:rPr>
        <w:t>。</w:t>
      </w:r>
    </w:p>
    <w:p w14:paraId="4F992110">
      <w:pPr>
        <w:spacing w:line="360" w:lineRule="auto"/>
        <w:ind w:firstLine="482"/>
        <w:rPr>
          <w:rFonts w:hint="eastAsia" w:ascii="Times New Roman" w:hAnsi="Times New Roman" w:eastAsia="宋体" w:cs="Times New Roman"/>
          <w:snapToGrid w:val="0"/>
          <w:color w:val="000000"/>
          <w:kern w:val="0"/>
          <w:sz w:val="24"/>
          <w:szCs w:val="24"/>
          <w:highlight w:val="none"/>
          <w:lang w:val="en-US" w:eastAsia="zh-CN" w:bidi="ar-SA"/>
        </w:rPr>
      </w:pPr>
      <w:r>
        <w:rPr>
          <w:rFonts w:hint="eastAsia" w:ascii="Times New Roman" w:hAnsi="Times New Roman" w:eastAsia="宋体" w:cs="Times New Roman"/>
          <w:snapToGrid w:val="0"/>
          <w:color w:val="000000"/>
          <w:kern w:val="0"/>
          <w:sz w:val="24"/>
          <w:szCs w:val="24"/>
          <w:highlight w:val="none"/>
          <w:lang w:val="en-US" w:eastAsia="zh-CN" w:bidi="ar-SA"/>
        </w:rPr>
        <w:t>（4）堆肥区废气</w:t>
      </w:r>
    </w:p>
    <w:p w14:paraId="15FCD3E8">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堆肥区粪便及发酵垫料卸料、暂存会产生粉尘以及恶臭污染物，其中养殖恶臭包括全厂粪污存储恶臭，因此堆肥区暂存不再重复计算，因此只计算卸料、暂存粉尘。</w:t>
      </w:r>
    </w:p>
    <w:p w14:paraId="0E8EDABB">
      <w:pPr>
        <w:overflowPunct w:val="0"/>
        <w:autoSpaceDE w:val="0"/>
        <w:autoSpaceDN w:val="0"/>
        <w:bidi w:val="0"/>
        <w:adjustRightInd w:val="0"/>
        <w:snapToGrid w:val="0"/>
        <w:spacing w:line="360" w:lineRule="auto"/>
        <w:ind w:firstLine="480" w:firstLineChars="200"/>
        <w:rPr>
          <w:rFonts w:ascii="宋体" w:hAnsi="宋体" w:eastAsia="宋体" w:cs="宋体"/>
          <w:color w:val="auto"/>
          <w:kern w:val="0"/>
          <w:sz w:val="24"/>
          <w:szCs w:val="24"/>
        </w:rPr>
      </w:pPr>
      <w:r>
        <w:rPr>
          <w:rFonts w:hint="eastAsia" w:ascii="Times New Roman" w:hAnsi="Times New Roman" w:eastAsia="宋体" w:cs="Times New Roman"/>
          <w:color w:val="auto"/>
          <w:kern w:val="0"/>
          <w:sz w:val="24"/>
          <w:szCs w:val="24"/>
          <w:lang w:val="en-US" w:eastAsia="zh-CN" w:bidi="ar-SA"/>
        </w:rPr>
        <w:t>根据</w:t>
      </w:r>
      <w:r>
        <w:rPr>
          <w:rFonts w:hint="default" w:ascii="Times New Roman" w:hAnsi="Times New Roman" w:eastAsia="宋体" w:cs="Times New Roman"/>
          <w:snapToGrid w:val="0"/>
          <w:color w:val="000000"/>
          <w:kern w:val="0"/>
          <w:sz w:val="24"/>
          <w:szCs w:val="24"/>
        </w:rPr>
        <w:t>《排放源统计调查产排污核算方法和系数手册》工业源固体物料堆场</w:t>
      </w:r>
      <w:r>
        <w:rPr>
          <w:rFonts w:hint="eastAsia" w:ascii="Times New Roman" w:hAnsi="Times New Roman" w:eastAsia="宋体" w:cs="Times New Roman"/>
          <w:snapToGrid w:val="0"/>
          <w:color w:val="000000"/>
          <w:kern w:val="0"/>
          <w:sz w:val="24"/>
          <w:szCs w:val="24"/>
          <w:lang w:val="en-US" w:eastAsia="zh-CN"/>
        </w:rPr>
        <w:t>颗粒物核算系数手册，</w:t>
      </w:r>
      <w:r>
        <w:rPr>
          <w:rFonts w:ascii="宋体" w:hAnsi="宋体" w:eastAsia="宋体" w:cs="宋体"/>
          <w:color w:val="auto"/>
          <w:kern w:val="0"/>
          <w:sz w:val="24"/>
          <w:szCs w:val="24"/>
        </w:rPr>
        <w:t>工业企业固体物料堆存颗粒物包括装卸场尘和风蚀扬尘，颗粒物产生量核算公式如下：</w:t>
      </w:r>
    </w:p>
    <w:p w14:paraId="14309B76">
      <w:pPr>
        <w:widowControl w:val="0"/>
        <w:autoSpaceDE/>
        <w:autoSpaceDN/>
        <w:adjustRightInd/>
        <w:spacing w:after="120" w:line="360" w:lineRule="auto"/>
        <w:ind w:left="420" w:leftChars="200" w:firstLine="420" w:firstLineChars="200"/>
        <w:jc w:val="both"/>
        <w:textAlignment w:val="auto"/>
        <w:rPr>
          <w:rFonts w:hint="eastAsia" w:ascii="Times New Roman" w:hAnsi="Times New Roman" w:eastAsia="宋体" w:cs="宋体"/>
          <w:color w:val="auto"/>
          <w:kern w:val="2"/>
          <w:sz w:val="21"/>
          <w:szCs w:val="24"/>
          <w:lang w:val="en-US" w:eastAsia="zh-CN" w:bidi="ar-SA"/>
        </w:rPr>
      </w:pPr>
      <w:r>
        <w:rPr>
          <w:rFonts w:hint="eastAsia" w:ascii="Times New Roman" w:hAnsi="Times New Roman" w:eastAsia="宋体" w:cs="宋体"/>
          <w:color w:val="auto"/>
          <w:kern w:val="2"/>
          <w:sz w:val="21"/>
          <w:szCs w:val="24"/>
          <w:lang w:val="en-US" w:eastAsia="zh-CN" w:bidi="ar-SA"/>
        </w:rPr>
        <w:drawing>
          <wp:inline distT="0" distB="0" distL="114300" distR="114300">
            <wp:extent cx="4171950" cy="390525"/>
            <wp:effectExtent l="0" t="0" r="0" b="9525"/>
            <wp:docPr id="95" name="图片 95" descr="167567176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1675671764033"/>
                    <pic:cNvPicPr>
                      <a:picLocks noChangeAspect="1"/>
                    </pic:cNvPicPr>
                  </pic:nvPicPr>
                  <pic:blipFill>
                    <a:blip r:embed="rId29"/>
                    <a:stretch>
                      <a:fillRect/>
                    </a:stretch>
                  </pic:blipFill>
                  <pic:spPr>
                    <a:xfrm>
                      <a:off x="0" y="0"/>
                      <a:ext cx="4171950" cy="390525"/>
                    </a:xfrm>
                    <a:prstGeom prst="rect">
                      <a:avLst/>
                    </a:prstGeom>
                  </pic:spPr>
                </pic:pic>
              </a:graphicData>
            </a:graphic>
          </wp:inline>
        </w:drawing>
      </w:r>
    </w:p>
    <w:p w14:paraId="411FE492">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式中：P 指颗粒物产生量（单位：吨）；0.06 </w:t>
      </w:r>
    </w:p>
    <w:p w14:paraId="7B257D8C">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ZCy指装卸扬尘产生量（单位：吨）； </w:t>
      </w:r>
    </w:p>
    <w:p w14:paraId="0731A835">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FCy指风蚀扬尘产生量（单位：吨）； </w:t>
      </w:r>
    </w:p>
    <w:p w14:paraId="14132371">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Nc指年物料运载车次（单位：车）；取值</w:t>
      </w:r>
      <w:r>
        <w:rPr>
          <w:rFonts w:hint="eastAsia" w:ascii="Times New Roman" w:hAnsi="Times New Roman" w:eastAsia="宋体" w:cs="Times New Roman"/>
          <w:color w:val="auto"/>
          <w:kern w:val="2"/>
          <w:sz w:val="24"/>
          <w:szCs w:val="24"/>
          <w:highlight w:val="none"/>
          <w:lang w:val="en-US" w:eastAsia="zh-CN" w:bidi="ar-SA"/>
        </w:rPr>
        <w:t>25</w:t>
      </w:r>
    </w:p>
    <w:p w14:paraId="3B74DAD0">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D指单车平均运载量（单位：吨/车）；取值20吨/车</w:t>
      </w:r>
    </w:p>
    <w:p w14:paraId="44341FDD">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（a/b）指装卸扬尘概化系数（单位：千克/吨），a指各省风速概化系数，0.0011，b指物料含水率概化系数，0.0702（含水率低于30%）</w:t>
      </w:r>
    </w:p>
    <w:p w14:paraId="704DBD83">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E</w:t>
      </w:r>
      <w:r>
        <w:rPr>
          <w:rFonts w:hint="eastAsia" w:ascii="Times New Roman" w:hAnsi="Times New Roman" w:eastAsia="宋体" w:cs="Times New Roman"/>
          <w:color w:val="auto"/>
          <w:kern w:val="2"/>
          <w:sz w:val="24"/>
          <w:szCs w:val="24"/>
          <w:vertAlign w:val="subscript"/>
          <w:lang w:val="en-US" w:eastAsia="zh-CN" w:bidi="ar-SA"/>
        </w:rPr>
        <w:t>f</w:t>
      </w:r>
      <w:r>
        <w:rPr>
          <w:rFonts w:hint="eastAsia" w:ascii="Times New Roman" w:hAnsi="Times New Roman" w:eastAsia="宋体" w:cs="Times New Roman"/>
          <w:color w:val="auto"/>
          <w:kern w:val="2"/>
          <w:sz w:val="24"/>
          <w:szCs w:val="24"/>
          <w:lang w:val="en-US" w:eastAsia="zh-CN" w:bidi="ar-SA"/>
        </w:rPr>
        <w:t>指堆场风蚀扬尘概化系数，（单位：千克/平方米）；0</w:t>
      </w:r>
    </w:p>
    <w:p w14:paraId="67B2BB19">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S指堆场占地面积（单位：平方米）。占地面积为4000m</w:t>
      </w:r>
      <w:r>
        <w:rPr>
          <w:rFonts w:hint="eastAsia" w:ascii="Times New Roman" w:hAnsi="Times New Roman" w:eastAsia="宋体" w:cs="Times New Roman"/>
          <w:color w:val="auto"/>
          <w:kern w:val="2"/>
          <w:sz w:val="24"/>
          <w:szCs w:val="24"/>
          <w:vertAlign w:val="superscript"/>
          <w:lang w:val="en-US" w:eastAsia="zh-CN" w:bidi="ar-SA"/>
        </w:rPr>
        <w:t>2</w:t>
      </w:r>
      <w:r>
        <w:rPr>
          <w:rFonts w:hint="eastAsia" w:ascii="Times New Roman" w:hAnsi="Times New Roman" w:eastAsia="宋体" w:cs="Times New Roman"/>
          <w:color w:val="auto"/>
          <w:kern w:val="2"/>
          <w:sz w:val="24"/>
          <w:szCs w:val="24"/>
          <w:lang w:val="en-US" w:eastAsia="zh-CN" w:bidi="ar-SA"/>
        </w:rPr>
        <w:t>。</w:t>
      </w:r>
    </w:p>
    <w:p w14:paraId="4B4C6D4C">
      <w:pPr>
        <w:widowControl w:val="0"/>
        <w:autoSpaceDE/>
        <w:autoSpaceDN/>
        <w:adjustRightInd/>
        <w:spacing w:after="120" w:line="360" w:lineRule="auto"/>
        <w:ind w:left="0" w:leftChars="0" w:firstLine="42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宋体"/>
          <w:color w:val="auto"/>
          <w:kern w:val="2"/>
          <w:sz w:val="21"/>
          <w:szCs w:val="24"/>
          <w:lang w:val="en-US" w:eastAsia="zh-CN" w:bidi="ar-SA"/>
        </w:rPr>
        <w:drawing>
          <wp:anchor distT="0" distB="0" distL="114300" distR="114300" simplePos="0" relativeHeight="251682816" behindDoc="1" locked="0" layoutInCell="1" allowOverlap="1">
            <wp:simplePos x="0" y="0"/>
            <wp:positionH relativeFrom="column">
              <wp:posOffset>1179195</wp:posOffset>
            </wp:positionH>
            <wp:positionV relativeFrom="paragraph">
              <wp:posOffset>151130</wp:posOffset>
            </wp:positionV>
            <wp:extent cx="2724150" cy="457200"/>
            <wp:effectExtent l="0" t="0" r="0" b="0"/>
            <wp:wrapNone/>
            <wp:docPr id="124" name="图片 124" descr="167567193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1675671937219"/>
                    <pic:cNvPicPr>
                      <a:picLocks noChangeAspect="1"/>
                    </pic:cNvPicPr>
                  </pic:nvPicPr>
                  <pic:blipFill>
                    <a:blip r:embed="rId30"/>
                    <a:stretch>
                      <a:fillRect/>
                    </a:stretch>
                  </pic:blipFill>
                  <pic:spPr>
                    <a:xfrm>
                      <a:off x="0" y="0"/>
                      <a:ext cx="2724150" cy="457200"/>
                    </a:xfrm>
                    <a:prstGeom prst="rect">
                      <a:avLst/>
                    </a:prstGeom>
                  </pic:spPr>
                </pic:pic>
              </a:graphicData>
            </a:graphic>
          </wp:anchor>
        </w:drawing>
      </w:r>
      <w:r>
        <w:rPr>
          <w:rFonts w:hint="eastAsia" w:ascii="Times New Roman" w:hAnsi="Times New Roman" w:eastAsia="宋体" w:cs="Times New Roman"/>
          <w:color w:val="auto"/>
          <w:kern w:val="2"/>
          <w:sz w:val="24"/>
          <w:szCs w:val="24"/>
          <w:lang w:val="en-US" w:eastAsia="zh-CN" w:bidi="ar-SA"/>
        </w:rPr>
        <w:t>工业企业固体物料堆场颗粒物排放量核算公式如下：</w:t>
      </w:r>
    </w:p>
    <w:p w14:paraId="43CA2630">
      <w:pPr>
        <w:widowControl w:val="0"/>
        <w:autoSpaceDE/>
        <w:autoSpaceDN/>
        <w:adjustRightInd/>
        <w:spacing w:after="120" w:line="360" w:lineRule="auto"/>
        <w:ind w:left="0" w:leftChars="0" w:firstLine="0" w:firstLineChars="0"/>
        <w:jc w:val="both"/>
        <w:textAlignment w:val="auto"/>
        <w:rPr>
          <w:rFonts w:hint="eastAsia" w:ascii="Times New Roman" w:hAnsi="Times New Roman" w:eastAsia="宋体" w:cs="Times New Roman"/>
          <w:color w:val="auto"/>
          <w:kern w:val="2"/>
          <w:sz w:val="24"/>
          <w:szCs w:val="24"/>
          <w:lang w:val="en-US" w:eastAsia="zh-CN" w:bidi="ar-SA"/>
        </w:rPr>
      </w:pPr>
    </w:p>
    <w:p w14:paraId="222284E1">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式中：P 指颗粒物产生量（单位：吨）； </w:t>
      </w:r>
    </w:p>
    <w:p w14:paraId="03756F92">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Uc指颗粒物排放量（单位：吨）； </w:t>
      </w:r>
    </w:p>
    <w:p w14:paraId="69C66754">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Cm指颗粒物控制措施控制效率（单位：%）；0%</w:t>
      </w:r>
    </w:p>
    <w:p w14:paraId="6451483D">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Tm指堆场类型控制效率（单位：%）。敞开式0%。</w:t>
      </w:r>
    </w:p>
    <w:p w14:paraId="466176C6">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经计算，无组织颗粒物产生量为0.01t/a。</w:t>
      </w:r>
    </w:p>
    <w:p w14:paraId="563319F0">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w:t>
      </w:r>
      <w:r>
        <w:rPr>
          <w:rFonts w:hint="eastAsia" w:cs="Times New Roman"/>
          <w:snapToGrid w:val="0"/>
          <w:color w:val="000000"/>
          <w:sz w:val="24"/>
          <w:szCs w:val="24"/>
          <w:highlight w:val="none"/>
          <w:lang w:val="en-US" w:eastAsia="zh-CN" w:bidi="ar-SA"/>
        </w:rPr>
        <w:t>5</w:t>
      </w:r>
      <w:r>
        <w:rPr>
          <w:rFonts w:hint="eastAsia" w:ascii="Times New Roman" w:hAnsi="Times New Roman" w:eastAsia="宋体" w:cs="Times New Roman"/>
          <w:snapToGrid w:val="0"/>
          <w:color w:val="000000"/>
          <w:sz w:val="24"/>
          <w:szCs w:val="24"/>
          <w:highlight w:val="none"/>
          <w:lang w:val="en-US" w:eastAsia="zh-CN" w:bidi="ar-SA"/>
        </w:rPr>
        <w:t>）机械车辆尾气</w:t>
      </w:r>
    </w:p>
    <w:p w14:paraId="15E78386">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根据《环境影响评价技术导则 大气环境》（HJ2.2-2018）“对于编制报告书的工业项目，分析调查受本项目物料及产品运输影响新增的交通运输移动源，包括运输方式、新增交通流量、排放污染物及排放量”。</w:t>
      </w:r>
    </w:p>
    <w:p w14:paraId="2EA82FFE">
      <w:pPr>
        <w:snapToGrid w:val="0"/>
        <w:spacing w:line="360" w:lineRule="auto"/>
        <w:ind w:firstLine="480" w:firstLineChars="200"/>
        <w:rPr>
          <w:rFonts w:hint="eastAsia" w:ascii="Times New Roman" w:hAnsi="Times New Roman" w:eastAsia="宋体" w:cs="Times New Roman"/>
          <w:snapToGrid w:val="0"/>
          <w:color w:val="000000"/>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燃油机械和汽车尾气中的污染物为燃料燃烧后的产物，主要有NO</w:t>
      </w:r>
      <w:r>
        <w:rPr>
          <w:rFonts w:hint="eastAsia" w:ascii="Times New Roman" w:hAnsi="Times New Roman" w:eastAsia="宋体" w:cs="Times New Roman"/>
          <w:color w:val="000000"/>
          <w:sz w:val="24"/>
          <w:szCs w:val="24"/>
          <w:highlight w:val="none"/>
          <w:lang w:val="en-US" w:eastAsia="zh-CN"/>
        </w:rPr>
        <w:t>x</w:t>
      </w:r>
      <w:r>
        <w:rPr>
          <w:rFonts w:hint="default" w:ascii="Times New Roman" w:hAnsi="Times New Roman" w:eastAsia="宋体" w:cs="Times New Roman"/>
          <w:color w:val="000000"/>
          <w:sz w:val="24"/>
          <w:szCs w:val="24"/>
          <w:highlight w:val="none"/>
          <w:lang w:val="en-US" w:eastAsia="zh-CN"/>
        </w:rPr>
        <w:t>、CO及</w:t>
      </w:r>
      <w:r>
        <w:rPr>
          <w:rFonts w:hint="eastAsia" w:ascii="Times New Roman" w:hAnsi="Times New Roman" w:eastAsia="宋体" w:cs="Times New Roman"/>
          <w:color w:val="000000"/>
          <w:sz w:val="24"/>
          <w:szCs w:val="24"/>
          <w:highlight w:val="none"/>
          <w:lang w:val="en-US" w:eastAsia="zh-CN"/>
        </w:rPr>
        <w:t>THC</w:t>
      </w:r>
      <w:r>
        <w:rPr>
          <w:rFonts w:hint="default" w:ascii="Times New Roman" w:hAnsi="Times New Roman" w:eastAsia="宋体" w:cs="Times New Roman"/>
          <w:color w:val="000000"/>
          <w:sz w:val="24"/>
          <w:szCs w:val="24"/>
          <w:highlight w:val="none"/>
          <w:lang w:val="en-US" w:eastAsia="zh-CN"/>
        </w:rPr>
        <w:t>等，生产过程中要求使用尾气达标车辆及设备，使用优质燃料。废气污染源具有间歇性和流动性，废气量较小，对周边环境影响较小</w:t>
      </w:r>
      <w:r>
        <w:rPr>
          <w:rFonts w:hint="eastAsia" w:ascii="Times New Roman" w:hAnsi="Times New Roman" w:eastAsia="宋体" w:cs="Times New Roman"/>
          <w:color w:val="000000"/>
          <w:sz w:val="24"/>
          <w:szCs w:val="24"/>
          <w:highlight w:val="none"/>
          <w:lang w:val="en-US" w:eastAsia="zh-CN"/>
        </w:rPr>
        <w:t>，因此仅定性分析，不进行量化计算</w:t>
      </w:r>
      <w:r>
        <w:rPr>
          <w:rFonts w:hint="default" w:ascii="Times New Roman" w:hAnsi="Times New Roman" w:eastAsia="宋体" w:cs="Times New Roman"/>
          <w:color w:val="000000"/>
          <w:sz w:val="24"/>
          <w:szCs w:val="24"/>
          <w:highlight w:val="none"/>
          <w:lang w:val="en-US" w:eastAsia="zh-CN"/>
        </w:rPr>
        <w:t>。</w:t>
      </w:r>
    </w:p>
    <w:p w14:paraId="426939FE">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3.</w:t>
      </w:r>
      <w:r>
        <w:rPr>
          <w:rFonts w:hint="eastAsia" w:ascii="Times New Roman" w:hAnsi="Times New Roman" w:eastAsia="宋体" w:cs="Times New Roman"/>
          <w:b/>
          <w:color w:val="auto"/>
          <w:kern w:val="2"/>
          <w:sz w:val="24"/>
          <w:szCs w:val="24"/>
          <w:lang w:val="en-US" w:eastAsia="zh-CN" w:bidi="ar-SA"/>
        </w:rPr>
        <w:t>1.5</w:t>
      </w:r>
      <w:r>
        <w:rPr>
          <w:rFonts w:hint="default" w:ascii="Times New Roman" w:hAnsi="Times New Roman" w:eastAsia="宋体" w:cs="Times New Roman"/>
          <w:b/>
          <w:color w:val="auto"/>
          <w:kern w:val="2"/>
          <w:sz w:val="24"/>
          <w:szCs w:val="24"/>
          <w:lang w:val="en-US" w:eastAsia="zh-CN" w:bidi="ar-SA"/>
        </w:rPr>
        <w:t>.2废水</w:t>
      </w:r>
    </w:p>
    <w:p w14:paraId="31FAF048">
      <w:pPr>
        <w:keepNext w:val="0"/>
        <w:keepLines w:val="0"/>
        <w:pageBreakBefore w:val="0"/>
        <w:wordWrap/>
        <w:topLinePunct w:val="0"/>
        <w:bidi w:val="0"/>
        <w:adjustRightInd/>
        <w:snapToGrid/>
        <w:spacing w:line="360" w:lineRule="auto"/>
        <w:ind w:firstLine="482"/>
        <w:rPr>
          <w:rFonts w:hint="default" w:ascii="Times New Roman" w:hAnsi="Times New Roman" w:eastAsia="宋体" w:cs="Times New Roman"/>
        </w:rPr>
      </w:pPr>
      <w:r>
        <w:rPr>
          <w:rFonts w:hint="eastAsia" w:ascii="Times New Roman" w:hAnsi="Times New Roman" w:eastAsia="宋体" w:cs="Times New Roman"/>
          <w:b w:val="0"/>
          <w:bCs w:val="0"/>
          <w:color w:val="auto"/>
          <w:sz w:val="24"/>
          <w:szCs w:val="24"/>
          <w:lang w:val="en-US" w:eastAsia="zh-CN"/>
        </w:rPr>
        <w:t>现有工程</w:t>
      </w:r>
      <w:r>
        <w:rPr>
          <w:rFonts w:hint="eastAsia" w:ascii="Times New Roman" w:hAnsi="Times New Roman" w:eastAsia="宋体" w:cs="Times New Roman"/>
          <w:color w:val="000000"/>
          <w:kern w:val="2"/>
          <w:sz w:val="24"/>
          <w:szCs w:val="24"/>
          <w:lang w:val="en-US" w:eastAsia="zh-CN"/>
        </w:rPr>
        <w:t>牛</w:t>
      </w:r>
      <w:r>
        <w:rPr>
          <w:rFonts w:hint="default" w:ascii="Times New Roman" w:hAnsi="Times New Roman" w:eastAsia="宋体" w:cs="Times New Roman"/>
          <w:color w:val="000000"/>
          <w:kern w:val="2"/>
          <w:sz w:val="24"/>
          <w:szCs w:val="24"/>
        </w:rPr>
        <w:t>尿液产生量约为</w:t>
      </w:r>
      <w:r>
        <w:rPr>
          <w:rFonts w:hint="eastAsia" w:ascii="Times New Roman" w:hAnsi="Times New Roman" w:eastAsia="宋体" w:cs="Times New Roman"/>
          <w:color w:val="000000"/>
          <w:kern w:val="2"/>
          <w:sz w:val="24"/>
          <w:szCs w:val="24"/>
          <w:lang w:val="en-US" w:eastAsia="zh-CN"/>
        </w:rPr>
        <w:t>3.49</w:t>
      </w:r>
      <w:r>
        <w:rPr>
          <w:rFonts w:hint="default" w:ascii="Times New Roman" w:hAnsi="Times New Roman" w:eastAsia="宋体" w:cs="Times New Roman"/>
          <w:color w:val="000000"/>
          <w:kern w:val="0"/>
          <w:sz w:val="24"/>
          <w:szCs w:val="24"/>
        </w:rPr>
        <w:t>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2"/>
          <w:sz w:val="24"/>
          <w:szCs w:val="24"/>
        </w:rPr>
        <w:t>/d，</w:t>
      </w:r>
      <w:r>
        <w:rPr>
          <w:rFonts w:hint="eastAsia" w:ascii="Times New Roman" w:hAnsi="Times New Roman" w:eastAsia="宋体" w:cs="Times New Roman"/>
          <w:color w:val="000000"/>
          <w:kern w:val="2"/>
          <w:sz w:val="24"/>
          <w:szCs w:val="24"/>
          <w:lang w:val="en-US" w:eastAsia="zh-CN"/>
        </w:rPr>
        <w:t>1272.42</w:t>
      </w:r>
      <w:r>
        <w:rPr>
          <w:rFonts w:hint="default" w:ascii="Times New Roman" w:hAnsi="Times New Roman" w:eastAsia="宋体" w:cs="Times New Roman"/>
          <w:color w:val="000000"/>
          <w:kern w:val="0"/>
          <w:sz w:val="24"/>
          <w:szCs w:val="24"/>
        </w:rPr>
        <w:t>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2"/>
          <w:sz w:val="24"/>
          <w:szCs w:val="24"/>
        </w:rPr>
        <w:t>/a</w:t>
      </w:r>
      <w:r>
        <w:rPr>
          <w:rFonts w:hint="eastAsia"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污染因子主要为COD、</w:t>
      </w:r>
      <w:r>
        <w:rPr>
          <w:rFonts w:hint="eastAsia" w:ascii="Times New Roman" w:hAnsi="Times New Roman" w:eastAsia="宋体" w:cs="Times New Roman"/>
          <w:color w:val="000000"/>
          <w:kern w:val="2"/>
          <w:sz w:val="24"/>
          <w:szCs w:val="24"/>
          <w:lang w:val="en-US" w:eastAsia="zh-CN"/>
        </w:rPr>
        <w:t>TN</w:t>
      </w:r>
      <w:r>
        <w:rPr>
          <w:rFonts w:hint="default" w:ascii="Times New Roman" w:hAnsi="Times New Roman" w:eastAsia="宋体" w:cs="Times New Roman"/>
          <w:color w:val="000000"/>
          <w:kern w:val="2"/>
          <w:sz w:val="24"/>
          <w:szCs w:val="24"/>
        </w:rPr>
        <w:t>、NH</w:t>
      </w:r>
      <w:r>
        <w:rPr>
          <w:rFonts w:hint="default" w:ascii="Times New Roman" w:hAnsi="Times New Roman" w:eastAsia="宋体" w:cs="Times New Roman"/>
          <w:color w:val="000000"/>
          <w:kern w:val="2"/>
          <w:sz w:val="24"/>
          <w:szCs w:val="24"/>
          <w:vertAlign w:val="subscript"/>
        </w:rPr>
        <w:t>3</w:t>
      </w:r>
      <w:r>
        <w:rPr>
          <w:rFonts w:hint="default" w:ascii="Times New Roman" w:hAnsi="Times New Roman" w:eastAsia="宋体" w:cs="Times New Roman"/>
          <w:color w:val="000000"/>
          <w:kern w:val="2"/>
          <w:sz w:val="24"/>
          <w:szCs w:val="24"/>
        </w:rPr>
        <w:t>-N和</w:t>
      </w:r>
      <w:r>
        <w:rPr>
          <w:rFonts w:hint="eastAsia" w:ascii="Times New Roman" w:hAnsi="Times New Roman" w:eastAsia="宋体" w:cs="Times New Roman"/>
          <w:color w:val="000000"/>
          <w:kern w:val="2"/>
          <w:sz w:val="24"/>
          <w:szCs w:val="24"/>
          <w:lang w:val="en-US" w:eastAsia="zh-CN"/>
        </w:rPr>
        <w:t>TP</w:t>
      </w:r>
      <w:r>
        <w:rPr>
          <w:rFonts w:hint="default"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auto"/>
          <w:sz w:val="24"/>
          <w:szCs w:val="24"/>
          <w:lang w:val="en-US" w:eastAsia="zh-CN"/>
        </w:rPr>
        <w:t>根据《排污许可证申请与核发技术规范 畜禽养殖行业》（HJ1029-2019）</w:t>
      </w:r>
      <w:r>
        <w:rPr>
          <w:rFonts w:hint="default" w:ascii="Times New Roman" w:hAnsi="Times New Roman" w:eastAsia="宋体" w:cs="Times New Roman"/>
          <w:color w:val="auto"/>
          <w:sz w:val="24"/>
          <w:szCs w:val="24"/>
        </w:rPr>
        <w:t>污水污染物产生量</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经发酵垫料处理后，</w:t>
      </w:r>
      <w:r>
        <w:rPr>
          <w:rFonts w:hint="eastAsia" w:ascii="Times New Roman" w:hAnsi="Times New Roman" w:eastAsia="宋体" w:cs="Times New Roman"/>
          <w:color w:val="auto"/>
          <w:kern w:val="2"/>
          <w:sz w:val="24"/>
          <w:szCs w:val="24"/>
          <w:lang w:val="en-US" w:eastAsia="zh-CN"/>
        </w:rPr>
        <w:t>根据《第一次全国污染源普查畜禽养殖业源产排污系数手册》，西北区畜禽养殖场育肥肉牛垫草垫料各污染物排污系数均为0</w:t>
      </w:r>
      <w:r>
        <w:rPr>
          <w:rFonts w:hint="eastAsia" w:ascii="Times New Roman" w:hAnsi="Times New Roman" w:eastAsia="宋体" w:cs="Times New Roman"/>
          <w:color w:val="auto"/>
          <w:sz w:val="24"/>
          <w:szCs w:val="24"/>
          <w:highlight w:val="none"/>
          <w:lang w:val="en-US" w:eastAsia="zh-CN" w:bidi="ar-SA"/>
        </w:rPr>
        <w:t>。</w:t>
      </w:r>
    </w:p>
    <w:p w14:paraId="61C7F6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b w:val="0"/>
          <w:bCs w:val="0"/>
          <w:color w:val="auto"/>
          <w:sz w:val="24"/>
          <w:szCs w:val="24"/>
          <w:lang w:val="en-US" w:eastAsia="zh-CN"/>
        </w:rPr>
        <w:t>现有工程</w:t>
      </w:r>
      <w:r>
        <w:rPr>
          <w:rFonts w:hint="default" w:ascii="Times New Roman" w:hAnsi="Times New Roman" w:eastAsia="宋体" w:cs="Times New Roman"/>
          <w:color w:val="auto"/>
          <w:sz w:val="24"/>
          <w:szCs w:val="24"/>
        </w:rPr>
        <w:t>运营期</w:t>
      </w:r>
      <w:r>
        <w:rPr>
          <w:rFonts w:hint="eastAsia" w:ascii="Times New Roman" w:hAnsi="Times New Roman" w:eastAsia="宋体" w:cs="Times New Roman"/>
          <w:color w:val="auto"/>
          <w:sz w:val="24"/>
          <w:szCs w:val="24"/>
          <w:lang w:val="en-US" w:eastAsia="zh-CN"/>
        </w:rPr>
        <w:t>生产废水</w:t>
      </w:r>
      <w:r>
        <w:rPr>
          <w:rFonts w:hint="default" w:ascii="Times New Roman" w:hAnsi="Times New Roman" w:eastAsia="宋体" w:cs="Times New Roman"/>
          <w:color w:val="auto"/>
          <w:sz w:val="24"/>
          <w:szCs w:val="24"/>
        </w:rPr>
        <w:t>产生情况见表</w:t>
      </w:r>
      <w:r>
        <w:rPr>
          <w:rFonts w:hint="eastAsia" w:ascii="Times New Roman" w:hAnsi="Times New Roman" w:eastAsia="宋体" w:cs="Times New Roman"/>
          <w:color w:val="auto"/>
          <w:sz w:val="24"/>
          <w:szCs w:val="24"/>
          <w:lang w:val="en-US" w:eastAsia="zh-CN"/>
        </w:rPr>
        <w:t>3.1-7</w:t>
      </w:r>
      <w:r>
        <w:rPr>
          <w:rFonts w:hint="default" w:ascii="Times New Roman" w:hAnsi="Times New Roman" w:eastAsia="宋体" w:cs="Times New Roman"/>
          <w:color w:val="auto"/>
          <w:sz w:val="24"/>
          <w:szCs w:val="24"/>
        </w:rPr>
        <w:t>。</w:t>
      </w:r>
    </w:p>
    <w:p w14:paraId="0A37D44E">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color w:val="auto"/>
          <w:kern w:val="2"/>
          <w:sz w:val="24"/>
          <w:szCs w:val="28"/>
          <w:lang w:val="en-US" w:eastAsia="zh-CN" w:bidi="ar-SA"/>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3.1-7现有工程</w:t>
      </w:r>
      <w:r>
        <w:rPr>
          <w:rFonts w:hint="default" w:ascii="Times New Roman" w:hAnsi="Times New Roman" w:eastAsia="宋体" w:cs="Times New Roman"/>
          <w:b/>
          <w:bCs/>
          <w:color w:val="auto"/>
          <w:sz w:val="24"/>
          <w:szCs w:val="24"/>
          <w:lang w:val="en-US" w:eastAsia="zh-CN"/>
        </w:rPr>
        <w:t>运营期生产废水</w:t>
      </w:r>
      <w:r>
        <w:rPr>
          <w:rFonts w:hint="eastAsia" w:ascii="Times New Roman" w:hAnsi="Times New Roman" w:eastAsia="宋体" w:cs="Times New Roman"/>
          <w:b/>
          <w:bCs/>
          <w:color w:val="auto"/>
          <w:sz w:val="24"/>
          <w:szCs w:val="24"/>
          <w:lang w:val="en-US" w:eastAsia="zh-CN"/>
        </w:rPr>
        <w:t>产生情况</w:t>
      </w:r>
      <w:r>
        <w:rPr>
          <w:rFonts w:hint="default" w:ascii="Times New Roman" w:hAnsi="Times New Roman" w:eastAsia="宋体" w:cs="Times New Roman"/>
          <w:b/>
          <w:bCs/>
          <w:color w:val="auto"/>
          <w:sz w:val="24"/>
          <w:szCs w:val="24"/>
          <w:lang w:val="en-US" w:eastAsia="zh-CN"/>
        </w:rPr>
        <w:t>一览表</w:t>
      </w:r>
    </w:p>
    <w:tbl>
      <w:tblPr>
        <w:tblStyle w:val="20"/>
        <w:tblW w:w="498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9"/>
        <w:gridCol w:w="844"/>
        <w:gridCol w:w="697"/>
        <w:gridCol w:w="1427"/>
        <w:gridCol w:w="740"/>
        <w:gridCol w:w="866"/>
        <w:gridCol w:w="866"/>
        <w:gridCol w:w="866"/>
        <w:gridCol w:w="867"/>
        <w:gridCol w:w="866"/>
      </w:tblGrid>
      <w:tr w14:paraId="36223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restart"/>
            <w:tcBorders>
              <w:tl2br w:val="nil"/>
              <w:tr2bl w:val="nil"/>
            </w:tcBorders>
            <w:shd w:val="clear" w:color="auto" w:fill="auto"/>
            <w:noWrap w:val="0"/>
            <w:vAlign w:val="center"/>
          </w:tcPr>
          <w:p w14:paraId="57FB45B9">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废水种类</w:t>
            </w:r>
          </w:p>
        </w:tc>
        <w:tc>
          <w:tcPr>
            <w:tcW w:w="4128" w:type="pct"/>
            <w:gridSpan w:val="8"/>
            <w:tcBorders>
              <w:tl2br w:val="nil"/>
              <w:tr2bl w:val="nil"/>
            </w:tcBorders>
            <w:shd w:val="clear" w:color="auto" w:fill="auto"/>
            <w:noWrap/>
            <w:vAlign w:val="center"/>
          </w:tcPr>
          <w:p w14:paraId="57B805B3">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2"/>
                <w:sz w:val="24"/>
                <w:szCs w:val="28"/>
                <w:highlight w:val="none"/>
                <w:lang w:val="en-US" w:eastAsia="zh-CN" w:bidi="ar-SA"/>
              </w:rPr>
            </w:pPr>
            <w:r>
              <w:rPr>
                <w:rFonts w:hint="default" w:ascii="Times New Roman" w:hAnsi="Times New Roman" w:eastAsia="宋体" w:cs="Times New Roman"/>
                <w:b/>
                <w:bCs/>
                <w:color w:val="auto"/>
                <w:kern w:val="2"/>
                <w:sz w:val="24"/>
                <w:szCs w:val="28"/>
                <w:highlight w:val="none"/>
                <w:lang w:val="en-US" w:eastAsia="zh-CN" w:bidi="ar-SA"/>
              </w:rPr>
              <w:t>污染物</w:t>
            </w:r>
          </w:p>
        </w:tc>
        <w:tc>
          <w:tcPr>
            <w:tcW w:w="498" w:type="pct"/>
            <w:vMerge w:val="restart"/>
            <w:tcBorders>
              <w:tl2br w:val="nil"/>
              <w:tr2bl w:val="nil"/>
            </w:tcBorders>
            <w:shd w:val="clear" w:color="auto" w:fill="auto"/>
            <w:noWrap w:val="0"/>
            <w:vAlign w:val="center"/>
          </w:tcPr>
          <w:p w14:paraId="5A1CDD76">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治理措施</w:t>
            </w:r>
          </w:p>
        </w:tc>
      </w:tr>
      <w:tr w14:paraId="65402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73" w:type="pct"/>
            <w:vMerge w:val="continue"/>
            <w:tcBorders>
              <w:tl2br w:val="nil"/>
              <w:tr2bl w:val="nil"/>
            </w:tcBorders>
            <w:shd w:val="clear" w:color="auto" w:fill="auto"/>
            <w:noWrap w:val="0"/>
            <w:vAlign w:val="center"/>
          </w:tcPr>
          <w:p w14:paraId="7126CB8B">
            <w:pPr>
              <w:widowControl/>
              <w:overflowPunct/>
              <w:autoSpaceDE/>
              <w:autoSpaceDN/>
              <w:adjustRightInd/>
              <w:snapToGrid/>
              <w:spacing w:before="0" w:after="0" w:line="240" w:lineRule="auto"/>
              <w:ind w:left="0" w:right="0" w:firstLine="0" w:firstLineChars="0"/>
              <w:jc w:val="left"/>
              <w:rPr>
                <w:rFonts w:hint="default" w:ascii="Times New Roman" w:hAnsi="Times New Roman" w:eastAsia="宋体" w:cs="Times New Roman"/>
                <w:b/>
                <w:bCs/>
                <w:color w:val="auto"/>
                <w:kern w:val="0"/>
                <w:sz w:val="21"/>
                <w:szCs w:val="21"/>
                <w:highlight w:val="none"/>
              </w:rPr>
            </w:pPr>
          </w:p>
        </w:tc>
        <w:tc>
          <w:tcPr>
            <w:tcW w:w="485" w:type="pct"/>
            <w:tcBorders>
              <w:tl2br w:val="nil"/>
              <w:tr2bl w:val="nil"/>
            </w:tcBorders>
            <w:shd w:val="clear" w:color="auto" w:fill="auto"/>
            <w:noWrap w:val="0"/>
            <w:vAlign w:val="center"/>
          </w:tcPr>
          <w:p w14:paraId="72FF65E2">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产生量</w:t>
            </w:r>
            <w:r>
              <w:rPr>
                <w:rFonts w:hint="eastAsia" w:ascii="Times New Roman" w:hAnsi="Times New Roman" w:eastAsia="宋体" w:cs="Times New Roman"/>
                <w:b/>
                <w:bCs/>
                <w:color w:val="auto"/>
                <w:kern w:val="0"/>
                <w:sz w:val="21"/>
                <w:szCs w:val="21"/>
                <w:highlight w:val="none"/>
                <w:lang w:eastAsia="zh-CN"/>
              </w:rPr>
              <w:t>（</w:t>
            </w:r>
            <w:r>
              <w:rPr>
                <w:rFonts w:hint="default" w:ascii="Times New Roman" w:hAnsi="Times New Roman" w:eastAsia="宋体" w:cs="Times New Roman"/>
                <w:b/>
                <w:bCs/>
                <w:color w:val="auto"/>
                <w:kern w:val="0"/>
                <w:sz w:val="21"/>
                <w:szCs w:val="21"/>
                <w:highlight w:val="none"/>
              </w:rPr>
              <w:t>t/a</w:t>
            </w:r>
            <w:r>
              <w:rPr>
                <w:rFonts w:hint="eastAsia" w:ascii="Times New Roman" w:hAnsi="Times New Roman" w:eastAsia="宋体" w:cs="Times New Roman"/>
                <w:b/>
                <w:bCs/>
                <w:color w:val="auto"/>
                <w:kern w:val="0"/>
                <w:sz w:val="21"/>
                <w:szCs w:val="21"/>
                <w:highlight w:val="none"/>
                <w:lang w:eastAsia="zh-CN"/>
              </w:rPr>
              <w:t>）</w:t>
            </w:r>
          </w:p>
        </w:tc>
        <w:tc>
          <w:tcPr>
            <w:tcW w:w="401" w:type="pct"/>
            <w:tcBorders>
              <w:tl2br w:val="nil"/>
              <w:tr2bl w:val="nil"/>
            </w:tcBorders>
            <w:shd w:val="clear" w:color="auto" w:fill="auto"/>
            <w:noWrap w:val="0"/>
            <w:vAlign w:val="center"/>
          </w:tcPr>
          <w:p w14:paraId="196A83A6">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污染物</w:t>
            </w:r>
          </w:p>
        </w:tc>
        <w:tc>
          <w:tcPr>
            <w:tcW w:w="821" w:type="pct"/>
            <w:tcBorders>
              <w:tl2br w:val="nil"/>
              <w:tr2bl w:val="nil"/>
            </w:tcBorders>
            <w:shd w:val="clear" w:color="auto" w:fill="auto"/>
            <w:noWrap w:val="0"/>
            <w:vAlign w:val="center"/>
          </w:tcPr>
          <w:p w14:paraId="4C1C68FA">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eastAsia="宋体" w:cs="Times New Roman"/>
                <w:b/>
                <w:bCs/>
                <w:color w:val="auto"/>
                <w:kern w:val="0"/>
                <w:sz w:val="21"/>
                <w:szCs w:val="21"/>
                <w:highlight w:val="none"/>
                <w:lang w:val="en-US" w:eastAsia="zh-CN"/>
              </w:rPr>
              <w:t>产污系数</w:t>
            </w:r>
          </w:p>
        </w:tc>
        <w:tc>
          <w:tcPr>
            <w:tcW w:w="425" w:type="pct"/>
            <w:tcBorders>
              <w:tl2br w:val="nil"/>
              <w:tr2bl w:val="nil"/>
            </w:tcBorders>
            <w:shd w:val="clear" w:color="auto" w:fill="auto"/>
            <w:noWrap w:val="0"/>
            <w:vAlign w:val="center"/>
          </w:tcPr>
          <w:p w14:paraId="0476DC27">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rPr>
            </w:pPr>
            <w:r>
              <w:rPr>
                <w:rFonts w:hint="eastAsia" w:ascii="Times New Roman" w:hAnsi="Times New Roman" w:eastAsia="宋体" w:cs="Times New Roman"/>
                <w:b/>
                <w:bCs/>
                <w:color w:val="auto"/>
                <w:kern w:val="0"/>
                <w:sz w:val="21"/>
                <w:szCs w:val="21"/>
                <w:highlight w:val="none"/>
                <w:lang w:val="en-US" w:eastAsia="zh-CN"/>
              </w:rPr>
              <w:t>产生</w:t>
            </w:r>
            <w:r>
              <w:rPr>
                <w:rFonts w:hint="default" w:ascii="Times New Roman" w:hAnsi="Times New Roman" w:eastAsia="宋体" w:cs="Times New Roman"/>
                <w:b/>
                <w:bCs/>
                <w:color w:val="auto"/>
                <w:kern w:val="0"/>
                <w:sz w:val="21"/>
                <w:szCs w:val="21"/>
                <w:highlight w:val="none"/>
              </w:rPr>
              <w:t>量t/a</w:t>
            </w:r>
          </w:p>
        </w:tc>
        <w:tc>
          <w:tcPr>
            <w:tcW w:w="498" w:type="pct"/>
            <w:tcBorders>
              <w:tl2br w:val="nil"/>
              <w:tr2bl w:val="nil"/>
            </w:tcBorders>
            <w:shd w:val="clear" w:color="auto" w:fill="auto"/>
            <w:noWrap w:val="0"/>
            <w:vAlign w:val="center"/>
          </w:tcPr>
          <w:p w14:paraId="03D82B84">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产生浓度mg/L</w:t>
            </w:r>
          </w:p>
        </w:tc>
        <w:tc>
          <w:tcPr>
            <w:tcW w:w="498" w:type="pct"/>
            <w:tcBorders>
              <w:tl2br w:val="nil"/>
              <w:tr2bl w:val="nil"/>
            </w:tcBorders>
            <w:shd w:val="clear" w:color="auto" w:fill="auto"/>
            <w:noWrap/>
            <w:vAlign w:val="center"/>
          </w:tcPr>
          <w:p w14:paraId="11B3841A">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处理效率%</w:t>
            </w:r>
          </w:p>
        </w:tc>
        <w:tc>
          <w:tcPr>
            <w:tcW w:w="498" w:type="pct"/>
            <w:tcBorders>
              <w:tl2br w:val="nil"/>
              <w:tr2bl w:val="nil"/>
            </w:tcBorders>
            <w:shd w:val="clear" w:color="auto" w:fill="auto"/>
            <w:noWrap/>
            <w:vAlign w:val="center"/>
          </w:tcPr>
          <w:p w14:paraId="404889FB">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排放浓度mg/L</w:t>
            </w:r>
          </w:p>
        </w:tc>
        <w:tc>
          <w:tcPr>
            <w:tcW w:w="498" w:type="pct"/>
            <w:tcBorders>
              <w:tl2br w:val="nil"/>
              <w:tr2bl w:val="nil"/>
            </w:tcBorders>
            <w:shd w:val="clear" w:color="auto" w:fill="auto"/>
            <w:noWrap/>
            <w:vAlign w:val="center"/>
          </w:tcPr>
          <w:p w14:paraId="2051E609">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rPr>
              <w:t>排放</w:t>
            </w:r>
            <w:r>
              <w:rPr>
                <w:rFonts w:hint="default" w:ascii="Times New Roman" w:hAnsi="Times New Roman" w:eastAsia="宋体" w:cs="Times New Roman"/>
                <w:b/>
                <w:bCs/>
                <w:color w:val="auto"/>
                <w:kern w:val="0"/>
                <w:sz w:val="21"/>
                <w:szCs w:val="21"/>
                <w:highlight w:val="none"/>
              </w:rPr>
              <w:t>量t/a</w:t>
            </w:r>
          </w:p>
        </w:tc>
        <w:tc>
          <w:tcPr>
            <w:tcW w:w="498" w:type="pct"/>
            <w:vMerge w:val="continue"/>
            <w:tcBorders>
              <w:tl2br w:val="nil"/>
              <w:tr2bl w:val="nil"/>
            </w:tcBorders>
            <w:noWrap w:val="0"/>
            <w:vAlign w:val="center"/>
          </w:tcPr>
          <w:p w14:paraId="3BF7F46B">
            <w:pPr>
              <w:widowControl/>
              <w:overflowPunct/>
              <w:autoSpaceDE/>
              <w:autoSpaceDN/>
              <w:adjustRightInd/>
              <w:snapToGrid/>
              <w:spacing w:before="0" w:after="0" w:line="240" w:lineRule="auto"/>
              <w:ind w:left="0" w:right="0" w:firstLine="0" w:firstLineChars="0"/>
              <w:jc w:val="left"/>
              <w:rPr>
                <w:rFonts w:hint="default" w:ascii="Times New Roman" w:hAnsi="Times New Roman" w:eastAsia="宋体" w:cs="Times New Roman"/>
                <w:b/>
                <w:bCs/>
                <w:color w:val="auto"/>
                <w:kern w:val="0"/>
                <w:sz w:val="21"/>
                <w:szCs w:val="21"/>
                <w:highlight w:val="none"/>
              </w:rPr>
            </w:pPr>
          </w:p>
        </w:tc>
      </w:tr>
      <w:tr w14:paraId="33433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restart"/>
            <w:tcBorders>
              <w:tl2br w:val="nil"/>
              <w:tr2bl w:val="nil"/>
            </w:tcBorders>
            <w:shd w:val="clear" w:color="auto" w:fill="auto"/>
            <w:noWrap w:val="0"/>
            <w:vAlign w:val="center"/>
          </w:tcPr>
          <w:p w14:paraId="49C220A3">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生产废水</w:t>
            </w:r>
          </w:p>
        </w:tc>
        <w:tc>
          <w:tcPr>
            <w:tcW w:w="485" w:type="pct"/>
            <w:vMerge w:val="restart"/>
            <w:tcBorders>
              <w:tl2br w:val="nil"/>
              <w:tr2bl w:val="nil"/>
            </w:tcBorders>
            <w:shd w:val="clear" w:color="auto" w:fill="auto"/>
            <w:noWrap w:val="0"/>
            <w:vAlign w:val="center"/>
          </w:tcPr>
          <w:p w14:paraId="7874126C">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1272.42</w:t>
            </w:r>
          </w:p>
        </w:tc>
        <w:tc>
          <w:tcPr>
            <w:tcW w:w="401" w:type="pct"/>
            <w:tcBorders>
              <w:tl2br w:val="nil"/>
              <w:tr2bl w:val="nil"/>
            </w:tcBorders>
            <w:shd w:val="clear" w:color="auto" w:fill="auto"/>
            <w:noWrap w:val="0"/>
            <w:vAlign w:val="center"/>
          </w:tcPr>
          <w:p w14:paraId="3CC8DA3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COD</w:t>
            </w:r>
          </w:p>
        </w:tc>
        <w:tc>
          <w:tcPr>
            <w:tcW w:w="821" w:type="pct"/>
            <w:tcBorders>
              <w:tl2br w:val="nil"/>
              <w:tr2bl w:val="nil"/>
            </w:tcBorders>
            <w:shd w:val="clear" w:color="auto" w:fill="auto"/>
            <w:noWrap w:val="0"/>
            <w:vAlign w:val="center"/>
          </w:tcPr>
          <w:p w14:paraId="7119786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sz w:val="21"/>
                <w:szCs w:val="21"/>
                <w:lang w:val="en-US" w:eastAsia="zh-CN"/>
              </w:rPr>
              <w:t>175.3</w:t>
            </w:r>
            <w:r>
              <w:rPr>
                <w:rFonts w:hint="eastAsia" w:ascii="Times New Roman" w:hAnsi="Times New Roman" w:eastAsia="宋体" w:cs="Times New Roman"/>
                <w:b w:val="0"/>
                <w:bCs/>
                <w:color w:val="auto"/>
                <w:sz w:val="21"/>
                <w:szCs w:val="21"/>
                <w:lang w:val="en-US" w:eastAsia="zh-CN"/>
              </w:rPr>
              <w:t>g/d▪头/只</w:t>
            </w:r>
          </w:p>
        </w:tc>
        <w:tc>
          <w:tcPr>
            <w:tcW w:w="425" w:type="pct"/>
            <w:tcBorders>
              <w:tl2br w:val="nil"/>
              <w:tr2bl w:val="nil"/>
            </w:tcBorders>
            <w:shd w:val="clear" w:color="auto" w:fill="auto"/>
            <w:noWrap w:val="0"/>
            <w:vAlign w:val="center"/>
          </w:tcPr>
          <w:p w14:paraId="30B1EC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26.81</w:t>
            </w:r>
          </w:p>
        </w:tc>
        <w:tc>
          <w:tcPr>
            <w:tcW w:w="866" w:type="dxa"/>
            <w:tcBorders>
              <w:tl2br w:val="nil"/>
              <w:tr2bl w:val="nil"/>
            </w:tcBorders>
            <w:shd w:val="clear" w:color="auto" w:fill="auto"/>
            <w:noWrap w:val="0"/>
            <w:vAlign w:val="center"/>
          </w:tcPr>
          <w:p w14:paraId="20C4B5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21069.70 </w:t>
            </w:r>
          </w:p>
        </w:tc>
        <w:tc>
          <w:tcPr>
            <w:tcW w:w="498" w:type="pct"/>
            <w:tcBorders>
              <w:tl2br w:val="nil"/>
              <w:tr2bl w:val="nil"/>
            </w:tcBorders>
            <w:shd w:val="clear" w:color="auto" w:fill="auto"/>
            <w:noWrap/>
            <w:vAlign w:val="center"/>
          </w:tcPr>
          <w:p w14:paraId="5B1972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34B5F5D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47802AE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498" w:type="pct"/>
            <w:vMerge w:val="restart"/>
            <w:tcBorders>
              <w:tl2br w:val="nil"/>
              <w:tr2bl w:val="nil"/>
            </w:tcBorders>
            <w:noWrap w:val="0"/>
            <w:vAlign w:val="center"/>
          </w:tcPr>
          <w:p w14:paraId="62A6FA6B">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经发酵垫料消纳后不外排</w:t>
            </w:r>
          </w:p>
        </w:tc>
      </w:tr>
      <w:tr w14:paraId="656D2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373" w:type="pct"/>
            <w:vMerge w:val="continue"/>
            <w:tcBorders>
              <w:tl2br w:val="nil"/>
              <w:tr2bl w:val="nil"/>
            </w:tcBorders>
            <w:shd w:val="clear" w:color="auto" w:fill="auto"/>
            <w:noWrap w:val="0"/>
            <w:vAlign w:val="center"/>
          </w:tcPr>
          <w:p w14:paraId="6C31C279">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182C145B">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7353FB0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TN</w:t>
            </w:r>
          </w:p>
        </w:tc>
        <w:tc>
          <w:tcPr>
            <w:tcW w:w="821" w:type="pct"/>
            <w:tcBorders>
              <w:tl2br w:val="nil"/>
              <w:tr2bl w:val="nil"/>
            </w:tcBorders>
            <w:shd w:val="clear" w:color="auto" w:fill="auto"/>
            <w:noWrap w:val="0"/>
            <w:vAlign w:val="center"/>
          </w:tcPr>
          <w:p w14:paraId="7FFE2532">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b w:val="0"/>
                <w:bCs/>
                <w:color w:val="auto"/>
                <w:sz w:val="21"/>
                <w:szCs w:val="21"/>
                <w:lang w:val="en-US" w:eastAsia="zh-CN"/>
              </w:rPr>
              <w:t>38.8g/d▪头/只</w:t>
            </w:r>
          </w:p>
        </w:tc>
        <w:tc>
          <w:tcPr>
            <w:tcW w:w="425" w:type="pct"/>
            <w:tcBorders>
              <w:tl2br w:val="nil"/>
              <w:tr2bl w:val="nil"/>
            </w:tcBorders>
            <w:shd w:val="clear" w:color="auto" w:fill="auto"/>
            <w:noWrap w:val="0"/>
            <w:vAlign w:val="center"/>
          </w:tcPr>
          <w:p w14:paraId="01B61B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5.93</w:t>
            </w:r>
          </w:p>
        </w:tc>
        <w:tc>
          <w:tcPr>
            <w:tcW w:w="866" w:type="dxa"/>
            <w:tcBorders>
              <w:tl2br w:val="nil"/>
              <w:tr2bl w:val="nil"/>
            </w:tcBorders>
            <w:shd w:val="clear" w:color="auto" w:fill="auto"/>
            <w:noWrap w:val="0"/>
            <w:vAlign w:val="center"/>
          </w:tcPr>
          <w:p w14:paraId="0C2B3A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4663.46 </w:t>
            </w:r>
          </w:p>
        </w:tc>
        <w:tc>
          <w:tcPr>
            <w:tcW w:w="498" w:type="pct"/>
            <w:tcBorders>
              <w:tl2br w:val="nil"/>
              <w:tr2bl w:val="nil"/>
            </w:tcBorders>
            <w:shd w:val="clear" w:color="auto" w:fill="auto"/>
            <w:noWrap/>
            <w:vAlign w:val="center"/>
          </w:tcPr>
          <w:p w14:paraId="1E1252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48B1E50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34E06A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c>
          <w:tcPr>
            <w:tcW w:w="498" w:type="pct"/>
            <w:vMerge w:val="continue"/>
            <w:tcBorders>
              <w:tl2br w:val="nil"/>
              <w:tr2bl w:val="nil"/>
            </w:tcBorders>
            <w:noWrap w:val="0"/>
            <w:vAlign w:val="center"/>
          </w:tcPr>
          <w:p w14:paraId="33098A6F">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r>
      <w:tr w14:paraId="061D72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continue"/>
            <w:tcBorders>
              <w:tl2br w:val="nil"/>
              <w:tr2bl w:val="nil"/>
            </w:tcBorders>
            <w:shd w:val="clear" w:color="auto" w:fill="auto"/>
            <w:noWrap w:val="0"/>
            <w:vAlign w:val="center"/>
          </w:tcPr>
          <w:p w14:paraId="622CBE2B">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59BC0FEE">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50F5ED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color w:val="auto"/>
                <w:kern w:val="0"/>
                <w:sz w:val="21"/>
                <w:szCs w:val="21"/>
                <w:highlight w:val="none"/>
                <w:lang w:val="en-US" w:eastAsia="zh-CN"/>
              </w:rPr>
              <w:t>TP</w:t>
            </w:r>
          </w:p>
        </w:tc>
        <w:tc>
          <w:tcPr>
            <w:tcW w:w="821" w:type="pct"/>
            <w:tcBorders>
              <w:tl2br w:val="nil"/>
              <w:tr2bl w:val="nil"/>
            </w:tcBorders>
            <w:shd w:val="clear" w:color="auto" w:fill="auto"/>
            <w:noWrap w:val="0"/>
            <w:vAlign w:val="center"/>
          </w:tcPr>
          <w:p w14:paraId="34B642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b w:val="0"/>
                <w:bCs/>
                <w:color w:val="auto"/>
                <w:sz w:val="21"/>
                <w:szCs w:val="21"/>
                <w:lang w:val="en-US" w:eastAsia="zh-CN"/>
              </w:rPr>
              <w:t>2.4g/d▪头/只</w:t>
            </w:r>
          </w:p>
        </w:tc>
        <w:tc>
          <w:tcPr>
            <w:tcW w:w="425" w:type="pct"/>
            <w:tcBorders>
              <w:tl2br w:val="nil"/>
              <w:tr2bl w:val="nil"/>
            </w:tcBorders>
            <w:shd w:val="clear" w:color="auto" w:fill="auto"/>
            <w:noWrap w:val="0"/>
            <w:vAlign w:val="center"/>
          </w:tcPr>
          <w:p w14:paraId="5AFFA6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0.37</w:t>
            </w:r>
          </w:p>
        </w:tc>
        <w:tc>
          <w:tcPr>
            <w:tcW w:w="866" w:type="dxa"/>
            <w:tcBorders>
              <w:tl2br w:val="nil"/>
              <w:tr2bl w:val="nil"/>
            </w:tcBorders>
            <w:shd w:val="clear" w:color="auto" w:fill="auto"/>
            <w:noWrap w:val="0"/>
            <w:vAlign w:val="center"/>
          </w:tcPr>
          <w:p w14:paraId="7ABBD1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288.46 </w:t>
            </w:r>
          </w:p>
        </w:tc>
        <w:tc>
          <w:tcPr>
            <w:tcW w:w="498" w:type="pct"/>
            <w:tcBorders>
              <w:tl2br w:val="nil"/>
              <w:tr2bl w:val="nil"/>
            </w:tcBorders>
            <w:shd w:val="clear" w:color="auto" w:fill="auto"/>
            <w:noWrap/>
            <w:vAlign w:val="center"/>
          </w:tcPr>
          <w:p w14:paraId="19AE6EF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21118C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192F19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c>
          <w:tcPr>
            <w:tcW w:w="498" w:type="pct"/>
            <w:vMerge w:val="continue"/>
            <w:tcBorders>
              <w:tl2br w:val="nil"/>
              <w:tr2bl w:val="nil"/>
            </w:tcBorders>
            <w:noWrap w:val="0"/>
            <w:vAlign w:val="center"/>
          </w:tcPr>
          <w:p w14:paraId="6A53D4D1">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r>
      <w:tr w14:paraId="47F6A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continue"/>
            <w:tcBorders>
              <w:tl2br w:val="nil"/>
              <w:tr2bl w:val="nil"/>
            </w:tcBorders>
            <w:shd w:val="clear" w:color="auto" w:fill="auto"/>
            <w:noWrap w:val="0"/>
            <w:vAlign w:val="center"/>
          </w:tcPr>
          <w:p w14:paraId="4C22FB84">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115E0DD5">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1AE8567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NH</w:t>
            </w:r>
            <w:r>
              <w:rPr>
                <w:rFonts w:hint="default" w:ascii="Times New Roman" w:hAnsi="Times New Roman" w:eastAsia="宋体" w:cs="Times New Roman"/>
                <w:b w:val="0"/>
                <w:bCs w:val="0"/>
                <w:color w:val="auto"/>
                <w:sz w:val="21"/>
                <w:szCs w:val="21"/>
                <w:highlight w:val="none"/>
                <w:u w:val="none"/>
                <w:vertAlign w:val="subscript"/>
                <w:lang w:val="en-US" w:eastAsia="zh-CN" w:bidi="ar"/>
              </w:rPr>
              <w:t>3</w:t>
            </w:r>
            <w:r>
              <w:rPr>
                <w:rFonts w:hint="default" w:ascii="Times New Roman" w:hAnsi="Times New Roman" w:eastAsia="宋体" w:cs="Times New Roman"/>
                <w:b w:val="0"/>
                <w:bCs w:val="0"/>
                <w:color w:val="auto"/>
                <w:sz w:val="21"/>
                <w:szCs w:val="21"/>
                <w:highlight w:val="none"/>
                <w:u w:val="none"/>
                <w:lang w:val="en-US" w:eastAsia="zh-CN" w:bidi="ar"/>
              </w:rPr>
              <w:t>-N</w:t>
            </w:r>
          </w:p>
        </w:tc>
        <w:tc>
          <w:tcPr>
            <w:tcW w:w="821" w:type="pct"/>
            <w:tcBorders>
              <w:tl2br w:val="nil"/>
              <w:tr2bl w:val="nil"/>
            </w:tcBorders>
            <w:shd w:val="clear" w:color="auto" w:fill="auto"/>
            <w:noWrap w:val="0"/>
            <w:vAlign w:val="center"/>
          </w:tcPr>
          <w:p w14:paraId="6659FE84">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sz w:val="21"/>
                <w:szCs w:val="21"/>
                <w:lang w:val="en-US" w:eastAsia="zh-CN"/>
              </w:rPr>
              <w:t>24.3</w:t>
            </w:r>
            <w:r>
              <w:rPr>
                <w:rFonts w:hint="eastAsia" w:ascii="Times New Roman" w:hAnsi="Times New Roman" w:eastAsia="宋体" w:cs="Times New Roman"/>
                <w:b w:val="0"/>
                <w:bCs/>
                <w:color w:val="auto"/>
                <w:sz w:val="21"/>
                <w:szCs w:val="21"/>
                <w:lang w:val="en-US" w:eastAsia="zh-CN"/>
              </w:rPr>
              <w:t>g/d▪头/只</w:t>
            </w:r>
          </w:p>
        </w:tc>
        <w:tc>
          <w:tcPr>
            <w:tcW w:w="425" w:type="pct"/>
            <w:tcBorders>
              <w:tl2br w:val="nil"/>
              <w:tr2bl w:val="nil"/>
            </w:tcBorders>
            <w:shd w:val="clear" w:color="auto" w:fill="auto"/>
            <w:noWrap w:val="0"/>
            <w:vAlign w:val="center"/>
          </w:tcPr>
          <w:p w14:paraId="1511AF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3.72</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866" w:type="dxa"/>
            <w:tcBorders>
              <w:tl2br w:val="nil"/>
              <w:tr2bl w:val="nil"/>
            </w:tcBorders>
            <w:shd w:val="clear" w:color="auto" w:fill="auto"/>
            <w:noWrap w:val="0"/>
            <w:vAlign w:val="center"/>
          </w:tcPr>
          <w:p w14:paraId="54CB56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2920.67 </w:t>
            </w:r>
          </w:p>
        </w:tc>
        <w:tc>
          <w:tcPr>
            <w:tcW w:w="498" w:type="pct"/>
            <w:tcBorders>
              <w:tl2br w:val="nil"/>
              <w:tr2bl w:val="nil"/>
            </w:tcBorders>
            <w:shd w:val="clear" w:color="auto" w:fill="auto"/>
            <w:noWrap/>
            <w:vAlign w:val="center"/>
          </w:tcPr>
          <w:p w14:paraId="7ED429C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18FC938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35C693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w:t>
            </w:r>
          </w:p>
        </w:tc>
        <w:tc>
          <w:tcPr>
            <w:tcW w:w="498" w:type="pct"/>
            <w:vMerge w:val="continue"/>
            <w:tcBorders>
              <w:tl2br w:val="nil"/>
              <w:tr2bl w:val="nil"/>
            </w:tcBorders>
            <w:noWrap w:val="0"/>
            <w:vAlign w:val="center"/>
          </w:tcPr>
          <w:p w14:paraId="297579C0">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r>
    </w:tbl>
    <w:p w14:paraId="7827AF9F">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3.</w:t>
      </w:r>
      <w:r>
        <w:rPr>
          <w:rFonts w:hint="eastAsia" w:ascii="Times New Roman" w:hAnsi="Times New Roman" w:eastAsia="宋体" w:cs="Times New Roman"/>
          <w:b/>
          <w:color w:val="auto"/>
          <w:kern w:val="2"/>
          <w:sz w:val="24"/>
          <w:szCs w:val="24"/>
          <w:lang w:val="en-US" w:eastAsia="zh-CN" w:bidi="ar-SA"/>
        </w:rPr>
        <w:t>1.5</w:t>
      </w:r>
      <w:r>
        <w:rPr>
          <w:rFonts w:hint="default" w:ascii="Times New Roman" w:hAnsi="Times New Roman" w:eastAsia="宋体" w:cs="Times New Roman"/>
          <w:b/>
          <w:color w:val="auto"/>
          <w:kern w:val="2"/>
          <w:sz w:val="24"/>
          <w:szCs w:val="24"/>
          <w:lang w:val="en-US" w:eastAsia="zh-CN" w:bidi="ar-SA"/>
        </w:rPr>
        <w:t>.3噪声</w:t>
      </w:r>
    </w:p>
    <w:p w14:paraId="7379C30C">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运营期间，</w:t>
      </w:r>
      <w:r>
        <w:rPr>
          <w:rFonts w:hint="eastAsia" w:ascii="Times New Roman" w:hAnsi="Times New Roman" w:eastAsia="宋体"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US" w:eastAsia="zh-CN" w:bidi="ar-SA"/>
        </w:rPr>
        <w:t>噪声主要来源于</w:t>
      </w:r>
      <w:r>
        <w:rPr>
          <w:rFonts w:hint="eastAsia" w:ascii="Times New Roman" w:hAnsi="Times New Roman" w:eastAsia="宋体" w:cs="Times New Roman"/>
          <w:color w:val="auto"/>
          <w:kern w:val="2"/>
          <w:sz w:val="24"/>
          <w:szCs w:val="24"/>
          <w:lang w:val="en-US" w:eastAsia="zh-CN" w:bidi="ar-SA"/>
        </w:rPr>
        <w:t>牛</w:t>
      </w:r>
      <w:r>
        <w:rPr>
          <w:rFonts w:hint="default" w:ascii="Times New Roman" w:hAnsi="Times New Roman" w:eastAsia="宋体" w:cs="Times New Roman"/>
          <w:color w:val="auto"/>
          <w:kern w:val="2"/>
          <w:sz w:val="24"/>
          <w:szCs w:val="24"/>
          <w:lang w:val="en-US" w:eastAsia="zh-CN" w:bidi="ar-SA"/>
        </w:rPr>
        <w:t>的噪声</w:t>
      </w:r>
      <w:r>
        <w:rPr>
          <w:rFonts w:hint="eastAsia" w:ascii="Times New Roman" w:hAnsi="Times New Roman" w:eastAsia="宋体" w:cs="Times New Roman"/>
          <w:color w:val="auto"/>
          <w:kern w:val="2"/>
          <w:sz w:val="24"/>
          <w:szCs w:val="24"/>
          <w:lang w:val="en-US" w:eastAsia="zh-CN" w:bidi="ar-SA"/>
        </w:rPr>
        <w:t>以及养殖区</w:t>
      </w:r>
      <w:r>
        <w:rPr>
          <w:rFonts w:hint="default" w:ascii="Times New Roman" w:hAnsi="Times New Roman" w:eastAsia="宋体" w:cs="Times New Roman"/>
          <w:color w:val="auto"/>
          <w:kern w:val="2"/>
          <w:sz w:val="24"/>
          <w:szCs w:val="24"/>
          <w:lang w:val="en-US" w:eastAsia="zh-CN" w:bidi="ar-SA"/>
        </w:rPr>
        <w:t>设备运行噪声。</w:t>
      </w:r>
      <w:r>
        <w:rPr>
          <w:rFonts w:hint="eastAsia" w:ascii="Times New Roman" w:hAnsi="Times New Roman" w:eastAsia="宋体"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US" w:eastAsia="zh-CN" w:bidi="ar-SA"/>
        </w:rPr>
        <w:t>主要设备有</w:t>
      </w:r>
      <w:r>
        <w:rPr>
          <w:rFonts w:hint="default" w:ascii="Times New Roman" w:hAnsi="Times New Roman" w:eastAsia="宋体" w:cs="Times New Roman"/>
          <w:color w:val="auto"/>
          <w:kern w:val="2"/>
          <w:sz w:val="24"/>
          <w:szCs w:val="24"/>
          <w:highlight w:val="none"/>
          <w:lang w:val="en-US" w:eastAsia="zh-CN" w:bidi="ar-SA"/>
        </w:rPr>
        <w:t>水泵</w:t>
      </w:r>
      <w:r>
        <w:rPr>
          <w:rFonts w:hint="eastAsia" w:ascii="Times New Roman" w:hAnsi="Times New Roman" w:eastAsia="宋体" w:cs="Times New Roman"/>
          <w:color w:val="auto"/>
          <w:kern w:val="2"/>
          <w:sz w:val="24"/>
          <w:szCs w:val="24"/>
          <w:highlight w:val="none"/>
          <w:lang w:val="en-US" w:eastAsia="zh-CN" w:bidi="ar-SA"/>
        </w:rPr>
        <w:t>、铲车、撒料车、运输车辆</w:t>
      </w:r>
      <w:r>
        <w:rPr>
          <w:rFonts w:hint="default" w:ascii="Times New Roman" w:hAnsi="Times New Roman" w:eastAsia="宋体" w:cs="Times New Roman"/>
          <w:color w:val="auto"/>
          <w:kern w:val="2"/>
          <w:sz w:val="24"/>
          <w:szCs w:val="24"/>
          <w:lang w:val="en-US" w:eastAsia="zh-CN" w:bidi="ar-SA"/>
        </w:rPr>
        <w:t>等。</w:t>
      </w:r>
      <w:r>
        <w:rPr>
          <w:rFonts w:hint="eastAsia" w:ascii="Times New Roman" w:hAnsi="Times New Roman" w:eastAsia="宋体"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US" w:eastAsia="zh-CN" w:bidi="ar-SA"/>
        </w:rPr>
        <w:t>噪声源强约为</w:t>
      </w:r>
      <w:r>
        <w:rPr>
          <w:rFonts w:hint="eastAsia" w:ascii="Times New Roman" w:hAnsi="Times New Roman" w:eastAsia="宋体" w:cs="Times New Roman"/>
          <w:color w:val="auto"/>
          <w:kern w:val="2"/>
          <w:sz w:val="24"/>
          <w:szCs w:val="24"/>
          <w:lang w:val="en-US" w:eastAsia="zh-CN" w:bidi="ar-SA"/>
        </w:rPr>
        <w:t>70-90</w:t>
      </w:r>
      <w:r>
        <w:rPr>
          <w:rFonts w:hint="default" w:ascii="Times New Roman" w:hAnsi="Times New Roman" w:eastAsia="宋体" w:cs="Times New Roman"/>
          <w:color w:val="auto"/>
          <w:kern w:val="2"/>
          <w:sz w:val="24"/>
          <w:szCs w:val="24"/>
          <w:lang w:val="en-US" w:eastAsia="zh-CN" w:bidi="ar-SA"/>
        </w:rPr>
        <w:t>dB（A）。</w:t>
      </w:r>
      <w:r>
        <w:rPr>
          <w:rFonts w:hint="eastAsia" w:ascii="Times New Roman" w:hAnsi="Times New Roman" w:eastAsia="宋体" w:cs="Times New Roman"/>
          <w:color w:val="auto"/>
          <w:kern w:val="2"/>
          <w:sz w:val="24"/>
          <w:szCs w:val="24"/>
          <w:lang w:val="en-US" w:eastAsia="zh-CN" w:bidi="ar-SA"/>
        </w:rPr>
        <w:t>饲料加工区设置饲料粉碎机、固定式</w:t>
      </w:r>
      <w:r>
        <w:rPr>
          <w:rFonts w:hint="eastAsia" w:ascii="Times New Roman" w:hAnsi="Times New Roman" w:eastAsia="宋体" w:cs="Times New Roman"/>
          <w:color w:val="auto"/>
          <w:kern w:val="2"/>
          <w:sz w:val="24"/>
          <w:szCs w:val="24"/>
          <w:highlight w:val="none"/>
          <w:lang w:val="en-US" w:eastAsia="zh-CN" w:bidi="ar-SA"/>
        </w:rPr>
        <w:t>TMR机</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噪声设备</w:t>
      </w:r>
      <w:r>
        <w:rPr>
          <w:rFonts w:hint="eastAsia" w:ascii="Times New Roman" w:hAnsi="Times New Roman" w:eastAsia="宋体" w:cs="Times New Roman"/>
          <w:color w:val="auto"/>
          <w:kern w:val="2"/>
          <w:sz w:val="24"/>
          <w:szCs w:val="24"/>
          <w:lang w:val="en-US" w:eastAsia="zh-CN" w:bidi="ar-SA"/>
        </w:rPr>
        <w:t>均</w:t>
      </w:r>
      <w:r>
        <w:rPr>
          <w:rFonts w:hint="default" w:ascii="Times New Roman" w:hAnsi="Times New Roman" w:eastAsia="宋体" w:cs="Times New Roman"/>
          <w:color w:val="auto"/>
          <w:kern w:val="2"/>
          <w:sz w:val="24"/>
          <w:szCs w:val="24"/>
          <w:lang w:val="en-US" w:eastAsia="zh-CN" w:bidi="ar-SA"/>
        </w:rPr>
        <w:t>置于室内。噪声源强约为</w:t>
      </w:r>
      <w:r>
        <w:rPr>
          <w:rFonts w:hint="eastAsia" w:ascii="Times New Roman" w:hAnsi="Times New Roman" w:eastAsia="宋体" w:cs="Times New Roman"/>
          <w:color w:val="auto"/>
          <w:kern w:val="2"/>
          <w:sz w:val="24"/>
          <w:szCs w:val="24"/>
          <w:lang w:val="en-US" w:eastAsia="zh-CN" w:bidi="ar-SA"/>
        </w:rPr>
        <w:t>80~95</w:t>
      </w:r>
      <w:r>
        <w:rPr>
          <w:rFonts w:hint="default" w:ascii="Times New Roman" w:hAnsi="Times New Roman" w:eastAsia="宋体" w:cs="Times New Roman"/>
          <w:color w:val="auto"/>
          <w:kern w:val="2"/>
          <w:sz w:val="24"/>
          <w:szCs w:val="24"/>
          <w:lang w:val="en-US" w:eastAsia="zh-CN" w:bidi="ar-SA"/>
        </w:rPr>
        <w:t>dB（A）</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主要噪声源声压级及控制措施见表3.</w:t>
      </w:r>
      <w:r>
        <w:rPr>
          <w:rFonts w:hint="eastAsia" w:ascii="Times New Roman" w:hAnsi="Times New Roman" w:eastAsia="宋体" w:cs="Times New Roman"/>
          <w:color w:val="auto"/>
          <w:kern w:val="2"/>
          <w:sz w:val="24"/>
          <w:szCs w:val="24"/>
          <w:lang w:val="en-US" w:eastAsia="zh-CN" w:bidi="ar-SA"/>
        </w:rPr>
        <w:t>1-8</w:t>
      </w:r>
      <w:r>
        <w:rPr>
          <w:rFonts w:hint="default" w:ascii="Times New Roman" w:hAnsi="Times New Roman" w:eastAsia="宋体" w:cs="Times New Roman"/>
          <w:color w:val="auto"/>
          <w:kern w:val="2"/>
          <w:sz w:val="24"/>
          <w:szCs w:val="24"/>
          <w:lang w:val="en-US" w:eastAsia="zh-CN" w:bidi="ar-SA"/>
        </w:rPr>
        <w:t>。</w:t>
      </w:r>
    </w:p>
    <w:p w14:paraId="4DFE0389">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w:t>
      </w:r>
      <w:r>
        <w:rPr>
          <w:rFonts w:hint="eastAsia" w:ascii="Times New Roman" w:hAnsi="Times New Roman" w:eastAsia="宋体" w:cs="Times New Roman"/>
          <w:b/>
          <w:bCs/>
          <w:color w:val="auto"/>
          <w:sz w:val="24"/>
          <w:szCs w:val="24"/>
          <w:lang w:val="en-US" w:eastAsia="zh-CN"/>
        </w:rPr>
        <w:t>.1-8</w:t>
      </w:r>
      <w:r>
        <w:rPr>
          <w:rFonts w:hint="default" w:ascii="Times New Roman" w:hAnsi="Times New Roman" w:eastAsia="宋体" w:cs="Times New Roman"/>
          <w:b/>
          <w:bCs/>
          <w:color w:val="auto"/>
          <w:sz w:val="24"/>
          <w:szCs w:val="24"/>
          <w:lang w:val="en-US" w:eastAsia="zh-CN"/>
        </w:rPr>
        <w:t>设备</w:t>
      </w:r>
      <w:r>
        <w:rPr>
          <w:rFonts w:hint="eastAsia" w:ascii="Times New Roman" w:hAnsi="Times New Roman" w:eastAsia="宋体" w:cs="Times New Roman"/>
          <w:b/>
          <w:bCs/>
          <w:color w:val="auto"/>
          <w:sz w:val="24"/>
          <w:szCs w:val="24"/>
          <w:lang w:val="en-US" w:eastAsia="zh-CN"/>
        </w:rPr>
        <w:t>噪声源</w:t>
      </w:r>
      <w:r>
        <w:rPr>
          <w:rFonts w:hint="default" w:ascii="Times New Roman" w:hAnsi="Times New Roman" w:eastAsia="宋体" w:cs="Times New Roman"/>
          <w:b/>
          <w:bCs/>
          <w:color w:val="auto"/>
          <w:sz w:val="24"/>
          <w:szCs w:val="24"/>
          <w:lang w:val="en-US" w:eastAsia="zh-CN"/>
        </w:rPr>
        <w:t>声压级</w:t>
      </w:r>
    </w:p>
    <w:tbl>
      <w:tblPr>
        <w:tblStyle w:val="20"/>
        <w:tblW w:w="487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7"/>
        <w:gridCol w:w="880"/>
        <w:gridCol w:w="920"/>
        <w:gridCol w:w="984"/>
        <w:gridCol w:w="1413"/>
        <w:gridCol w:w="2284"/>
        <w:gridCol w:w="1446"/>
      </w:tblGrid>
      <w:tr w14:paraId="23D4CF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shd w:val="clear" w:color="auto" w:fill="auto"/>
            <w:vAlign w:val="center"/>
          </w:tcPr>
          <w:p w14:paraId="475F4EE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Times New Roman" w:hAnsi="Times New Roman" w:eastAsia="宋体" w:cs="宋体"/>
                <w:b/>
                <w:bCs/>
                <w:color w:val="auto"/>
                <w:sz w:val="21"/>
                <w:szCs w:val="21"/>
                <w:lang w:val="en-US" w:eastAsia="zh-CN" w:bidi="ar-SA"/>
              </w:rPr>
            </w:pPr>
            <w:r>
              <w:rPr>
                <w:rFonts w:ascii="Times New Roman" w:hAnsi="Times New Roman" w:eastAsia="宋体" w:cs="宋体"/>
                <w:b/>
                <w:bCs/>
                <w:color w:val="auto"/>
                <w:sz w:val="21"/>
                <w:szCs w:val="21"/>
                <w:lang w:val="en-US" w:eastAsia="zh-CN" w:bidi="ar-SA"/>
              </w:rPr>
              <w:t>序号</w:t>
            </w:r>
          </w:p>
        </w:tc>
        <w:tc>
          <w:tcPr>
            <w:tcW w:w="1058" w:type="pct"/>
            <w:gridSpan w:val="2"/>
            <w:shd w:val="clear" w:color="auto" w:fill="auto"/>
            <w:vAlign w:val="center"/>
          </w:tcPr>
          <w:p w14:paraId="25EB2CB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声源</w:t>
            </w:r>
          </w:p>
        </w:tc>
        <w:tc>
          <w:tcPr>
            <w:tcW w:w="578" w:type="pct"/>
            <w:shd w:val="clear" w:color="auto" w:fill="auto"/>
            <w:vAlign w:val="center"/>
          </w:tcPr>
          <w:p w14:paraId="34CB068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b/>
                <w:bCs/>
                <w:color w:val="auto"/>
                <w:sz w:val="21"/>
                <w:szCs w:val="21"/>
                <w:lang w:val="en-US" w:eastAsia="zh-CN" w:bidi="ar-SA"/>
              </w:rPr>
            </w:pPr>
            <w:r>
              <w:rPr>
                <w:rFonts w:ascii="Times New Roman" w:hAnsi="Times New Roman" w:eastAsia="宋体" w:cs="宋体"/>
                <w:b/>
                <w:bCs/>
                <w:color w:val="auto"/>
                <w:sz w:val="21"/>
                <w:szCs w:val="21"/>
                <w:lang w:val="en-US" w:eastAsia="zh-CN" w:bidi="ar-SA"/>
              </w:rPr>
              <w:t>数量</w:t>
            </w:r>
          </w:p>
        </w:tc>
        <w:tc>
          <w:tcPr>
            <w:tcW w:w="830" w:type="pct"/>
            <w:shd w:val="clear" w:color="auto" w:fill="auto"/>
            <w:vAlign w:val="center"/>
          </w:tcPr>
          <w:p w14:paraId="1892D2AE">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声功率级</w:t>
            </w:r>
            <w:r>
              <w:rPr>
                <w:rFonts w:ascii="Times New Roman" w:hAnsi="Times New Roman" w:eastAsia="宋体" w:cs="宋体"/>
                <w:b/>
                <w:bCs/>
                <w:color w:val="auto"/>
                <w:sz w:val="21"/>
                <w:szCs w:val="21"/>
                <w:lang w:val="en-US" w:eastAsia="zh-CN" w:bidi="ar-SA"/>
              </w:rPr>
              <w:t>dB</w:t>
            </w:r>
            <w:r>
              <w:rPr>
                <w:rFonts w:hint="eastAsia" w:ascii="Times New Roman" w:hAnsi="Times New Roman" w:eastAsia="宋体" w:cs="宋体"/>
                <w:b/>
                <w:bCs/>
                <w:color w:val="auto"/>
                <w:sz w:val="21"/>
                <w:szCs w:val="21"/>
                <w:lang w:val="en-US" w:eastAsia="zh-CN" w:bidi="ar-SA"/>
              </w:rPr>
              <w:t>（</w:t>
            </w:r>
            <w:r>
              <w:rPr>
                <w:rFonts w:ascii="Times New Roman" w:hAnsi="Times New Roman" w:eastAsia="宋体" w:cs="宋体"/>
                <w:b/>
                <w:bCs/>
                <w:color w:val="auto"/>
                <w:sz w:val="21"/>
                <w:szCs w:val="21"/>
                <w:lang w:val="en-US" w:eastAsia="zh-CN" w:bidi="ar-SA"/>
              </w:rPr>
              <w:t>A</w:t>
            </w:r>
            <w:r>
              <w:rPr>
                <w:rFonts w:hint="eastAsia" w:ascii="Times New Roman" w:hAnsi="Times New Roman" w:eastAsia="宋体" w:cs="宋体"/>
                <w:b/>
                <w:bCs/>
                <w:color w:val="auto"/>
                <w:sz w:val="21"/>
                <w:szCs w:val="21"/>
                <w:lang w:val="en-US" w:eastAsia="zh-CN" w:bidi="ar-SA"/>
              </w:rPr>
              <w:t>）</w:t>
            </w:r>
          </w:p>
        </w:tc>
        <w:tc>
          <w:tcPr>
            <w:tcW w:w="1342" w:type="pct"/>
            <w:shd w:val="clear" w:color="auto" w:fill="auto"/>
            <w:vAlign w:val="center"/>
          </w:tcPr>
          <w:p w14:paraId="0C242B5F">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治理措施</w:t>
            </w:r>
          </w:p>
        </w:tc>
        <w:tc>
          <w:tcPr>
            <w:tcW w:w="850" w:type="pct"/>
            <w:shd w:val="clear" w:color="auto" w:fill="auto"/>
            <w:vAlign w:val="center"/>
          </w:tcPr>
          <w:p w14:paraId="088037DE">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降噪效果</w:t>
            </w:r>
            <w:r>
              <w:rPr>
                <w:rFonts w:ascii="Times New Roman" w:hAnsi="Times New Roman" w:eastAsia="宋体" w:cs="宋体"/>
                <w:b/>
                <w:bCs/>
                <w:color w:val="auto"/>
                <w:sz w:val="21"/>
                <w:szCs w:val="21"/>
                <w:lang w:val="en-US" w:eastAsia="zh-CN" w:bidi="ar-SA"/>
              </w:rPr>
              <w:t>dB</w:t>
            </w:r>
            <w:r>
              <w:rPr>
                <w:rFonts w:hint="eastAsia" w:ascii="Times New Roman" w:hAnsi="Times New Roman" w:eastAsia="宋体" w:cs="宋体"/>
                <w:b/>
                <w:bCs/>
                <w:color w:val="auto"/>
                <w:sz w:val="21"/>
                <w:szCs w:val="21"/>
                <w:lang w:val="en-US" w:eastAsia="zh-CN" w:bidi="ar-SA"/>
              </w:rPr>
              <w:t>（</w:t>
            </w:r>
            <w:r>
              <w:rPr>
                <w:rFonts w:ascii="Times New Roman" w:hAnsi="Times New Roman" w:eastAsia="宋体" w:cs="宋体"/>
                <w:b/>
                <w:bCs/>
                <w:color w:val="auto"/>
                <w:sz w:val="21"/>
                <w:szCs w:val="21"/>
                <w:lang w:val="en-US" w:eastAsia="zh-CN" w:bidi="ar-SA"/>
              </w:rPr>
              <w:t>A</w:t>
            </w:r>
            <w:r>
              <w:rPr>
                <w:rFonts w:hint="eastAsia" w:ascii="Times New Roman" w:hAnsi="Times New Roman" w:eastAsia="宋体" w:cs="宋体"/>
                <w:b/>
                <w:bCs/>
                <w:color w:val="auto"/>
                <w:sz w:val="21"/>
                <w:szCs w:val="21"/>
                <w:lang w:val="en-US" w:eastAsia="zh-CN" w:bidi="ar-SA"/>
              </w:rPr>
              <w:t>）</w:t>
            </w:r>
          </w:p>
        </w:tc>
      </w:tr>
      <w:tr w14:paraId="7ACF8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339" w:type="pct"/>
            <w:shd w:val="clear" w:color="auto" w:fill="auto"/>
            <w:vAlign w:val="center"/>
          </w:tcPr>
          <w:p w14:paraId="456C497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1</w:t>
            </w:r>
          </w:p>
        </w:tc>
        <w:tc>
          <w:tcPr>
            <w:tcW w:w="517" w:type="pct"/>
            <w:vMerge w:val="restart"/>
            <w:shd w:val="clear" w:color="auto" w:fill="auto"/>
            <w:vAlign w:val="center"/>
          </w:tcPr>
          <w:p w14:paraId="4AF4D2C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宋体"/>
                <w:color w:val="auto"/>
                <w:sz w:val="21"/>
                <w:szCs w:val="21"/>
                <w:lang w:val="en-US" w:eastAsia="zh-CN" w:bidi="ar-SA"/>
              </w:rPr>
            </w:pPr>
            <w:r>
              <w:rPr>
                <w:rFonts w:hint="eastAsia" w:ascii="Times New Roman" w:hAnsi="Times New Roman" w:eastAsia="宋体" w:cs="宋体"/>
                <w:color w:val="auto"/>
                <w:sz w:val="21"/>
                <w:szCs w:val="21"/>
                <w:lang w:val="en-US" w:eastAsia="zh-CN" w:bidi="ar-SA"/>
              </w:rPr>
              <w:t>养殖区</w:t>
            </w:r>
          </w:p>
        </w:tc>
        <w:tc>
          <w:tcPr>
            <w:tcW w:w="540" w:type="pct"/>
            <w:shd w:val="clear" w:color="auto" w:fill="auto"/>
            <w:vAlign w:val="center"/>
          </w:tcPr>
          <w:p w14:paraId="411661C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r>
              <w:rPr>
                <w:rFonts w:hint="eastAsia" w:ascii="Times New Roman" w:hAnsi="Times New Roman" w:eastAsia="宋体" w:cs="宋体"/>
                <w:color w:val="auto"/>
                <w:sz w:val="21"/>
                <w:szCs w:val="21"/>
                <w:lang w:val="en-US" w:eastAsia="zh-CN" w:bidi="ar-SA"/>
              </w:rPr>
              <w:t>牛叫</w:t>
            </w:r>
          </w:p>
        </w:tc>
        <w:tc>
          <w:tcPr>
            <w:tcW w:w="578" w:type="pct"/>
            <w:shd w:val="clear" w:color="auto" w:fill="auto"/>
            <w:vAlign w:val="center"/>
          </w:tcPr>
          <w:p w14:paraId="2D1C3B4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w:t>
            </w:r>
          </w:p>
        </w:tc>
        <w:tc>
          <w:tcPr>
            <w:tcW w:w="830" w:type="pct"/>
            <w:shd w:val="clear" w:color="auto" w:fill="auto"/>
            <w:vAlign w:val="center"/>
          </w:tcPr>
          <w:p w14:paraId="652AFABE">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70</w:t>
            </w:r>
          </w:p>
        </w:tc>
        <w:tc>
          <w:tcPr>
            <w:tcW w:w="1342" w:type="pct"/>
            <w:shd w:val="clear" w:color="auto" w:fill="auto"/>
            <w:vAlign w:val="center"/>
          </w:tcPr>
          <w:p w14:paraId="1886273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隔音，避免牛受惊扰，之间互相顶撞</w:t>
            </w:r>
          </w:p>
        </w:tc>
        <w:tc>
          <w:tcPr>
            <w:tcW w:w="850" w:type="pct"/>
            <w:shd w:val="clear" w:color="auto" w:fill="auto"/>
            <w:vAlign w:val="center"/>
          </w:tcPr>
          <w:p w14:paraId="63177B6E">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13217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39" w:type="pct"/>
            <w:shd w:val="clear" w:color="auto" w:fill="auto"/>
            <w:vAlign w:val="center"/>
          </w:tcPr>
          <w:p w14:paraId="7746C44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2</w:t>
            </w:r>
          </w:p>
        </w:tc>
        <w:tc>
          <w:tcPr>
            <w:tcW w:w="517" w:type="pct"/>
            <w:vMerge w:val="continue"/>
            <w:shd w:val="clear" w:color="auto" w:fill="auto"/>
            <w:vAlign w:val="center"/>
          </w:tcPr>
          <w:p w14:paraId="0F401F2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p>
        </w:tc>
        <w:tc>
          <w:tcPr>
            <w:tcW w:w="540" w:type="pct"/>
            <w:shd w:val="clear" w:color="auto" w:fill="auto"/>
            <w:vAlign w:val="center"/>
          </w:tcPr>
          <w:p w14:paraId="145772E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撒料车</w:t>
            </w:r>
          </w:p>
        </w:tc>
        <w:tc>
          <w:tcPr>
            <w:tcW w:w="578" w:type="pct"/>
            <w:shd w:val="clear" w:color="auto" w:fill="auto"/>
            <w:vAlign w:val="center"/>
          </w:tcPr>
          <w:p w14:paraId="7B108EF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2台</w:t>
            </w:r>
          </w:p>
        </w:tc>
        <w:tc>
          <w:tcPr>
            <w:tcW w:w="830" w:type="pct"/>
            <w:shd w:val="clear" w:color="auto" w:fill="auto"/>
            <w:vAlign w:val="center"/>
          </w:tcPr>
          <w:p w14:paraId="64F770D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80</w:t>
            </w:r>
          </w:p>
        </w:tc>
        <w:tc>
          <w:tcPr>
            <w:tcW w:w="1342" w:type="pct"/>
            <w:vMerge w:val="restart"/>
            <w:shd w:val="clear" w:color="auto" w:fill="auto"/>
            <w:vAlign w:val="center"/>
          </w:tcPr>
          <w:p w14:paraId="73C3232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spacing w:val="-1"/>
                <w:sz w:val="21"/>
                <w:szCs w:val="21"/>
                <w:lang w:val="en-US" w:eastAsia="zh-CN"/>
              </w:rPr>
              <w:t>基础减振+距离衰减</w:t>
            </w:r>
          </w:p>
        </w:tc>
        <w:tc>
          <w:tcPr>
            <w:tcW w:w="850" w:type="pct"/>
            <w:shd w:val="clear" w:color="auto" w:fill="auto"/>
            <w:vAlign w:val="center"/>
          </w:tcPr>
          <w:p w14:paraId="03EFD4D2">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rPr>
            </w:pPr>
            <w:r>
              <w:rPr>
                <w:rFonts w:hint="eastAsia" w:ascii="Times New Roman" w:hAnsi="Times New Roman" w:eastAsia="宋体" w:cs="Times New Roman"/>
                <w:color w:val="auto"/>
                <w:kern w:val="2"/>
                <w:sz w:val="21"/>
                <w:szCs w:val="20"/>
                <w:lang w:val="en-US" w:eastAsia="zh-CN"/>
              </w:rPr>
              <w:t>20</w:t>
            </w:r>
          </w:p>
        </w:tc>
      </w:tr>
      <w:tr w14:paraId="00F8F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39" w:type="pct"/>
            <w:shd w:val="clear" w:color="auto" w:fill="auto"/>
            <w:vAlign w:val="center"/>
          </w:tcPr>
          <w:p w14:paraId="674109F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3</w:t>
            </w:r>
          </w:p>
        </w:tc>
        <w:tc>
          <w:tcPr>
            <w:tcW w:w="517" w:type="pct"/>
            <w:vMerge w:val="continue"/>
            <w:shd w:val="clear" w:color="auto" w:fill="auto"/>
            <w:vAlign w:val="center"/>
          </w:tcPr>
          <w:p w14:paraId="2EB9A8C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540" w:type="pct"/>
            <w:shd w:val="clear" w:color="auto" w:fill="auto"/>
            <w:vAlign w:val="center"/>
          </w:tcPr>
          <w:p w14:paraId="7C1881F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铲车</w:t>
            </w:r>
          </w:p>
        </w:tc>
        <w:tc>
          <w:tcPr>
            <w:tcW w:w="578" w:type="pct"/>
            <w:shd w:val="clear" w:color="auto" w:fill="auto"/>
            <w:vAlign w:val="center"/>
          </w:tcPr>
          <w:p w14:paraId="696985B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2台</w:t>
            </w:r>
          </w:p>
        </w:tc>
        <w:tc>
          <w:tcPr>
            <w:tcW w:w="830" w:type="pct"/>
            <w:shd w:val="clear" w:color="auto" w:fill="auto"/>
            <w:vAlign w:val="center"/>
          </w:tcPr>
          <w:p w14:paraId="0B23CBFF">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90</w:t>
            </w:r>
          </w:p>
        </w:tc>
        <w:tc>
          <w:tcPr>
            <w:tcW w:w="1342" w:type="pct"/>
            <w:vMerge w:val="continue"/>
            <w:shd w:val="clear" w:color="auto" w:fill="auto"/>
            <w:vAlign w:val="center"/>
          </w:tcPr>
          <w:p w14:paraId="794F83D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p>
        </w:tc>
        <w:tc>
          <w:tcPr>
            <w:tcW w:w="850" w:type="pct"/>
            <w:shd w:val="clear" w:color="auto" w:fill="auto"/>
            <w:vAlign w:val="center"/>
          </w:tcPr>
          <w:p w14:paraId="62D1DB67">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0A29B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51494CF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4</w:t>
            </w:r>
          </w:p>
        </w:tc>
        <w:tc>
          <w:tcPr>
            <w:tcW w:w="517" w:type="pct"/>
            <w:vMerge w:val="continue"/>
            <w:shd w:val="clear" w:color="auto" w:fill="auto"/>
            <w:vAlign w:val="center"/>
          </w:tcPr>
          <w:p w14:paraId="65392CC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p>
        </w:tc>
        <w:tc>
          <w:tcPr>
            <w:tcW w:w="540" w:type="pct"/>
            <w:shd w:val="clear" w:color="auto" w:fill="auto"/>
            <w:vAlign w:val="center"/>
          </w:tcPr>
          <w:p w14:paraId="5AAF562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r>
              <w:rPr>
                <w:rFonts w:hint="eastAsia" w:ascii="Times New Roman" w:hAnsi="Times New Roman" w:eastAsia="宋体" w:cs="宋体"/>
                <w:color w:val="auto"/>
                <w:sz w:val="21"/>
                <w:szCs w:val="21"/>
                <w:lang w:val="en-US" w:eastAsia="zh-CN" w:bidi="ar-SA"/>
              </w:rPr>
              <w:t>水泵</w:t>
            </w:r>
          </w:p>
        </w:tc>
        <w:tc>
          <w:tcPr>
            <w:tcW w:w="578" w:type="pct"/>
            <w:shd w:val="clear" w:color="auto" w:fill="auto"/>
            <w:vAlign w:val="center"/>
          </w:tcPr>
          <w:p w14:paraId="3963CF5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1台</w:t>
            </w:r>
          </w:p>
        </w:tc>
        <w:tc>
          <w:tcPr>
            <w:tcW w:w="830" w:type="pct"/>
            <w:shd w:val="clear" w:color="auto" w:fill="auto"/>
            <w:vAlign w:val="center"/>
          </w:tcPr>
          <w:p w14:paraId="31B6FCA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宋体"/>
                <w:color w:val="auto"/>
                <w:sz w:val="21"/>
                <w:szCs w:val="21"/>
                <w:lang w:val="en-US" w:eastAsia="zh-CN" w:bidi="ar-SA"/>
              </w:rPr>
            </w:pPr>
            <w:r>
              <w:rPr>
                <w:rFonts w:hint="eastAsia" w:ascii="Times New Roman" w:hAnsi="Times New Roman" w:eastAsia="宋体" w:cs="Times New Roman"/>
                <w:color w:val="auto"/>
                <w:kern w:val="2"/>
                <w:sz w:val="21"/>
                <w:szCs w:val="20"/>
                <w:lang w:val="en-US" w:eastAsia="zh-CN" w:bidi="ar-SA"/>
              </w:rPr>
              <w:t>85</w:t>
            </w:r>
          </w:p>
        </w:tc>
        <w:tc>
          <w:tcPr>
            <w:tcW w:w="1342" w:type="pct"/>
            <w:vMerge w:val="continue"/>
            <w:shd w:val="clear" w:color="auto" w:fill="auto"/>
            <w:vAlign w:val="center"/>
          </w:tcPr>
          <w:p w14:paraId="50618B7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p>
        </w:tc>
        <w:tc>
          <w:tcPr>
            <w:tcW w:w="850" w:type="pct"/>
            <w:shd w:val="clear" w:color="auto" w:fill="auto"/>
            <w:vAlign w:val="center"/>
          </w:tcPr>
          <w:p w14:paraId="01B645CB">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rPr>
            </w:pPr>
            <w:r>
              <w:rPr>
                <w:rFonts w:hint="eastAsia" w:ascii="Times New Roman" w:hAnsi="Times New Roman" w:eastAsia="宋体" w:cs="Times New Roman"/>
                <w:color w:val="auto"/>
                <w:kern w:val="2"/>
                <w:sz w:val="21"/>
                <w:szCs w:val="20"/>
                <w:lang w:val="en-US" w:eastAsia="zh-CN"/>
              </w:rPr>
              <w:t>20</w:t>
            </w:r>
          </w:p>
        </w:tc>
      </w:tr>
      <w:tr w14:paraId="2E416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61BA79F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5</w:t>
            </w:r>
          </w:p>
        </w:tc>
        <w:tc>
          <w:tcPr>
            <w:tcW w:w="517" w:type="pct"/>
            <w:vMerge w:val="continue"/>
            <w:shd w:val="clear" w:color="auto" w:fill="auto"/>
            <w:vAlign w:val="center"/>
          </w:tcPr>
          <w:p w14:paraId="0A627B0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p>
        </w:tc>
        <w:tc>
          <w:tcPr>
            <w:tcW w:w="540" w:type="pct"/>
            <w:shd w:val="clear" w:color="auto" w:fill="auto"/>
            <w:vAlign w:val="center"/>
          </w:tcPr>
          <w:p w14:paraId="3AD10E8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宋体"/>
                <w:color w:val="auto"/>
                <w:sz w:val="21"/>
                <w:szCs w:val="21"/>
                <w:lang w:val="en-US" w:eastAsia="zh-CN" w:bidi="ar-SA"/>
              </w:rPr>
            </w:pPr>
            <w:r>
              <w:rPr>
                <w:rFonts w:hint="eastAsia" w:ascii="Times New Roman" w:hAnsi="Times New Roman" w:eastAsia="宋体" w:cs="宋体"/>
                <w:color w:val="auto"/>
                <w:sz w:val="21"/>
                <w:szCs w:val="21"/>
                <w:lang w:val="en-US" w:eastAsia="zh-CN" w:bidi="ar-SA"/>
              </w:rPr>
              <w:t>运输车辆</w:t>
            </w:r>
          </w:p>
        </w:tc>
        <w:tc>
          <w:tcPr>
            <w:tcW w:w="578" w:type="pct"/>
            <w:shd w:val="clear" w:color="auto" w:fill="auto"/>
            <w:vAlign w:val="center"/>
          </w:tcPr>
          <w:p w14:paraId="53F6CC6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1台</w:t>
            </w:r>
          </w:p>
        </w:tc>
        <w:tc>
          <w:tcPr>
            <w:tcW w:w="830" w:type="pct"/>
            <w:shd w:val="clear" w:color="auto" w:fill="auto"/>
            <w:vAlign w:val="center"/>
          </w:tcPr>
          <w:p w14:paraId="2098D61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90</w:t>
            </w:r>
          </w:p>
        </w:tc>
        <w:tc>
          <w:tcPr>
            <w:tcW w:w="1342" w:type="pct"/>
            <w:vMerge w:val="continue"/>
            <w:shd w:val="clear" w:color="auto" w:fill="auto"/>
            <w:vAlign w:val="center"/>
          </w:tcPr>
          <w:p w14:paraId="794E21E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p>
        </w:tc>
        <w:tc>
          <w:tcPr>
            <w:tcW w:w="850" w:type="pct"/>
            <w:shd w:val="clear" w:color="auto" w:fill="auto"/>
            <w:vAlign w:val="center"/>
          </w:tcPr>
          <w:p w14:paraId="61CC4CBE">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5549E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2C0D9CA7">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6</w:t>
            </w:r>
          </w:p>
        </w:tc>
        <w:tc>
          <w:tcPr>
            <w:tcW w:w="517" w:type="pct"/>
            <w:vMerge w:val="restart"/>
            <w:shd w:val="clear" w:color="auto" w:fill="auto"/>
            <w:vAlign w:val="center"/>
          </w:tcPr>
          <w:p w14:paraId="0275996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宋体"/>
                <w:color w:val="auto"/>
                <w:sz w:val="21"/>
                <w:szCs w:val="21"/>
                <w:lang w:val="en-US" w:eastAsia="zh-CN" w:bidi="ar-SA"/>
              </w:rPr>
            </w:pPr>
            <w:r>
              <w:rPr>
                <w:rFonts w:hint="eastAsia" w:ascii="Times New Roman" w:hAnsi="Times New Roman" w:eastAsia="宋体" w:cs="Times New Roman"/>
                <w:sz w:val="21"/>
                <w:szCs w:val="21"/>
                <w:lang w:val="en-US" w:eastAsia="zh-CN"/>
              </w:rPr>
              <w:t>饲料加工区</w:t>
            </w:r>
          </w:p>
        </w:tc>
        <w:tc>
          <w:tcPr>
            <w:tcW w:w="540" w:type="pct"/>
            <w:shd w:val="clear" w:color="auto" w:fill="auto"/>
            <w:vAlign w:val="center"/>
          </w:tcPr>
          <w:p w14:paraId="5A7B4CA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饲料粉碎机</w:t>
            </w:r>
          </w:p>
        </w:tc>
        <w:tc>
          <w:tcPr>
            <w:tcW w:w="578" w:type="pct"/>
            <w:shd w:val="clear" w:color="auto" w:fill="auto"/>
            <w:vAlign w:val="center"/>
          </w:tcPr>
          <w:p w14:paraId="49FC244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1台</w:t>
            </w:r>
          </w:p>
        </w:tc>
        <w:tc>
          <w:tcPr>
            <w:tcW w:w="830" w:type="pct"/>
            <w:shd w:val="clear" w:color="auto" w:fill="auto"/>
            <w:vAlign w:val="center"/>
          </w:tcPr>
          <w:p w14:paraId="00FE4EE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95</w:t>
            </w:r>
          </w:p>
        </w:tc>
        <w:tc>
          <w:tcPr>
            <w:tcW w:w="1342" w:type="pct"/>
            <w:vMerge w:val="restart"/>
            <w:shd w:val="clear" w:color="auto" w:fill="auto"/>
            <w:vAlign w:val="center"/>
          </w:tcPr>
          <w:p w14:paraId="33175D9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spacing w:val="-1"/>
                <w:sz w:val="21"/>
                <w:szCs w:val="21"/>
              </w:rPr>
              <w:t>减振+建筑物隔声</w:t>
            </w:r>
          </w:p>
        </w:tc>
        <w:tc>
          <w:tcPr>
            <w:tcW w:w="850" w:type="pct"/>
            <w:shd w:val="clear" w:color="auto" w:fill="auto"/>
            <w:vAlign w:val="center"/>
          </w:tcPr>
          <w:p w14:paraId="39B96DEF">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1181A1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2EF0BFD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7</w:t>
            </w:r>
          </w:p>
        </w:tc>
        <w:tc>
          <w:tcPr>
            <w:tcW w:w="517" w:type="pct"/>
            <w:vMerge w:val="continue"/>
            <w:shd w:val="clear" w:color="auto" w:fill="auto"/>
            <w:vAlign w:val="center"/>
          </w:tcPr>
          <w:p w14:paraId="25C12AC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z w:val="21"/>
                <w:szCs w:val="21"/>
                <w:lang w:val="en-US" w:eastAsia="zh-CN"/>
              </w:rPr>
            </w:pPr>
          </w:p>
        </w:tc>
        <w:tc>
          <w:tcPr>
            <w:tcW w:w="540" w:type="pct"/>
            <w:shd w:val="clear" w:color="auto" w:fill="auto"/>
            <w:vAlign w:val="center"/>
          </w:tcPr>
          <w:p w14:paraId="6C65ADD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auto"/>
                <w:kern w:val="0"/>
                <w:sz w:val="21"/>
                <w:szCs w:val="21"/>
                <w:lang w:val="en-US" w:eastAsia="zh-CN" w:bidi="ar-SA"/>
              </w:rPr>
              <w:t>固定式</w:t>
            </w:r>
            <w:r>
              <w:rPr>
                <w:rFonts w:hint="default" w:ascii="Times New Roman" w:hAnsi="Times New Roman" w:eastAsia="宋体" w:cs="Times New Roman"/>
                <w:color w:val="auto"/>
                <w:kern w:val="0"/>
                <w:sz w:val="21"/>
                <w:szCs w:val="21"/>
                <w:lang w:val="en-US" w:eastAsia="zh-CN" w:bidi="ar-SA"/>
              </w:rPr>
              <w:t>TMR机</w:t>
            </w:r>
          </w:p>
        </w:tc>
        <w:tc>
          <w:tcPr>
            <w:tcW w:w="578" w:type="pct"/>
            <w:shd w:val="clear" w:color="auto" w:fill="auto"/>
            <w:vAlign w:val="center"/>
          </w:tcPr>
          <w:p w14:paraId="2FC68CA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1台</w:t>
            </w:r>
          </w:p>
        </w:tc>
        <w:tc>
          <w:tcPr>
            <w:tcW w:w="830" w:type="pct"/>
            <w:shd w:val="clear" w:color="auto" w:fill="auto"/>
            <w:vAlign w:val="center"/>
          </w:tcPr>
          <w:p w14:paraId="5C1FA6B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80</w:t>
            </w:r>
          </w:p>
        </w:tc>
        <w:tc>
          <w:tcPr>
            <w:tcW w:w="1342" w:type="pct"/>
            <w:vMerge w:val="continue"/>
            <w:shd w:val="clear" w:color="auto" w:fill="auto"/>
            <w:vAlign w:val="center"/>
          </w:tcPr>
          <w:p w14:paraId="2C8FB35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spacing w:val="-1"/>
                <w:sz w:val="21"/>
                <w:szCs w:val="21"/>
              </w:rPr>
            </w:pPr>
          </w:p>
        </w:tc>
        <w:tc>
          <w:tcPr>
            <w:tcW w:w="850" w:type="pct"/>
            <w:shd w:val="clear" w:color="auto" w:fill="auto"/>
            <w:vAlign w:val="center"/>
          </w:tcPr>
          <w:p w14:paraId="47AAB2B3">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bl>
    <w:p w14:paraId="61B8D81D">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3.</w:t>
      </w:r>
      <w:r>
        <w:rPr>
          <w:rFonts w:hint="eastAsia" w:ascii="Times New Roman" w:hAnsi="Times New Roman" w:eastAsia="宋体" w:cs="Times New Roman"/>
          <w:b/>
          <w:color w:val="auto"/>
          <w:kern w:val="2"/>
          <w:sz w:val="24"/>
          <w:szCs w:val="24"/>
          <w:lang w:val="en-US" w:eastAsia="zh-CN" w:bidi="ar-SA"/>
        </w:rPr>
        <w:t>1.5</w:t>
      </w:r>
      <w:r>
        <w:rPr>
          <w:rFonts w:hint="default" w:ascii="Times New Roman" w:hAnsi="Times New Roman" w:eastAsia="宋体" w:cs="Times New Roman"/>
          <w:b/>
          <w:color w:val="auto"/>
          <w:kern w:val="2"/>
          <w:sz w:val="24"/>
          <w:szCs w:val="24"/>
          <w:lang w:val="en-US" w:eastAsia="zh-CN" w:bidi="ar-SA"/>
        </w:rPr>
        <w:t>.4固体废物</w:t>
      </w:r>
    </w:p>
    <w:p w14:paraId="25A3F8E6">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现有工程</w:t>
      </w:r>
      <w:r>
        <w:rPr>
          <w:rFonts w:hint="default" w:ascii="Times New Roman" w:hAnsi="Times New Roman" w:eastAsia="宋体" w:cs="Times New Roman"/>
          <w:color w:val="auto"/>
          <w:sz w:val="24"/>
          <w:szCs w:val="24"/>
        </w:rPr>
        <w:t>产生的固体废物主要</w:t>
      </w:r>
      <w:r>
        <w:rPr>
          <w:rFonts w:hint="eastAsia" w:ascii="Times New Roman" w:hAnsi="Times New Roman" w:eastAsia="宋体" w:cs="Times New Roman"/>
          <w:color w:val="auto"/>
          <w:sz w:val="24"/>
          <w:szCs w:val="24"/>
          <w:lang w:val="en-US" w:eastAsia="zh-CN"/>
        </w:rPr>
        <w:t>为</w:t>
      </w:r>
      <w:r>
        <w:rPr>
          <w:rFonts w:hint="default" w:ascii="Times New Roman" w:hAnsi="Times New Roman" w:eastAsia="宋体" w:cs="Times New Roman"/>
          <w:color w:val="auto"/>
          <w:sz w:val="24"/>
          <w:szCs w:val="24"/>
        </w:rPr>
        <w:t>生活垃圾</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牛粪及废发酵垫</w:t>
      </w:r>
      <w:r>
        <w:rPr>
          <w:rFonts w:hint="eastAsia" w:ascii="Times New Roman" w:hAnsi="Times New Roman" w:eastAsia="宋体" w:cs="Times New Roman"/>
          <w:color w:val="auto"/>
          <w:sz w:val="24"/>
          <w:szCs w:val="24"/>
          <w:lang w:val="en-US" w:eastAsia="zh-CN"/>
        </w:rPr>
        <w:t>、病死牛</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000000"/>
          <w:kern w:val="2"/>
          <w:sz w:val="24"/>
          <w:szCs w:val="24"/>
          <w:highlight w:val="none"/>
          <w:lang w:val="en-US" w:eastAsia="zh-CN" w:bidi="ar-SA"/>
        </w:rPr>
        <w:t>废包装材料</w:t>
      </w:r>
      <w:r>
        <w:rPr>
          <w:rFonts w:hint="eastAsia" w:ascii="Times New Roman" w:hAnsi="Times New Roman" w:eastAsia="宋体" w:cs="Times New Roman"/>
          <w:color w:val="auto"/>
          <w:sz w:val="24"/>
          <w:szCs w:val="24"/>
          <w:lang w:val="en-US" w:eastAsia="zh-CN"/>
        </w:rPr>
        <w:t>、医疗废物、除尘灰</w:t>
      </w:r>
      <w:r>
        <w:rPr>
          <w:rFonts w:hint="default" w:ascii="Times New Roman" w:hAnsi="Times New Roman" w:eastAsia="宋体" w:cs="Times New Roman"/>
          <w:color w:val="auto"/>
          <w:sz w:val="24"/>
          <w:szCs w:val="24"/>
        </w:rPr>
        <w:t>和</w:t>
      </w:r>
      <w:r>
        <w:rPr>
          <w:rFonts w:hint="eastAsia" w:ascii="Times New Roman" w:hAnsi="Times New Roman" w:eastAsia="宋体" w:cs="Times New Roman"/>
          <w:color w:val="auto"/>
          <w:sz w:val="24"/>
          <w:szCs w:val="24"/>
          <w:lang w:val="en-US" w:eastAsia="zh-CN"/>
        </w:rPr>
        <w:t>废填料</w:t>
      </w:r>
      <w:r>
        <w:rPr>
          <w:rFonts w:hint="default" w:ascii="Times New Roman" w:hAnsi="Times New Roman" w:eastAsia="宋体" w:cs="Times New Roman"/>
          <w:color w:val="auto"/>
          <w:sz w:val="24"/>
          <w:szCs w:val="24"/>
        </w:rPr>
        <w:t>。</w:t>
      </w:r>
    </w:p>
    <w:p w14:paraId="075727B9">
      <w:pPr>
        <w:keepNext w:val="0"/>
        <w:keepLines w:val="0"/>
        <w:pageBreakBefore w:val="0"/>
        <w:numPr>
          <w:ilvl w:val="0"/>
          <w:numId w:val="9"/>
        </w:numPr>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生活垃圾</w:t>
      </w:r>
    </w:p>
    <w:p w14:paraId="19AD3A5E">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现有工程</w:t>
      </w:r>
      <w:r>
        <w:rPr>
          <w:rFonts w:hint="default" w:ascii="Times New Roman" w:hAnsi="Times New Roman" w:eastAsia="宋体" w:cs="Times New Roman"/>
          <w:color w:val="auto"/>
          <w:sz w:val="24"/>
          <w:szCs w:val="24"/>
        </w:rPr>
        <w:t>生活垃圾主要是员工日常办公产生的废物。</w:t>
      </w:r>
      <w:r>
        <w:rPr>
          <w:rFonts w:hint="eastAsia" w:ascii="Times New Roman" w:hAnsi="Times New Roman" w:eastAsia="宋体" w:cs="Times New Roman"/>
          <w:color w:val="auto"/>
          <w:sz w:val="24"/>
          <w:szCs w:val="24"/>
          <w:lang w:val="en-US" w:eastAsia="zh-CN"/>
        </w:rPr>
        <w:t>现有工程劳动定员4</w:t>
      </w:r>
      <w:r>
        <w:rPr>
          <w:rFonts w:hint="default" w:ascii="Times New Roman" w:hAnsi="Times New Roman" w:eastAsia="宋体" w:cs="Times New Roman"/>
          <w:color w:val="auto"/>
          <w:sz w:val="24"/>
          <w:szCs w:val="24"/>
        </w:rPr>
        <w:t>人，</w:t>
      </w:r>
      <w:r>
        <w:rPr>
          <w:rFonts w:hint="eastAsia" w:ascii="Times New Roman" w:hAnsi="Times New Roman" w:eastAsia="宋体" w:cs="Times New Roman"/>
          <w:color w:val="auto"/>
          <w:sz w:val="24"/>
          <w:szCs w:val="24"/>
          <w:lang w:val="en-US" w:eastAsia="zh-CN"/>
        </w:rPr>
        <w:t>办公</w:t>
      </w:r>
      <w:r>
        <w:rPr>
          <w:rFonts w:hint="default" w:ascii="Times New Roman" w:hAnsi="Times New Roman" w:eastAsia="宋体" w:cs="Times New Roman"/>
          <w:color w:val="auto"/>
          <w:sz w:val="24"/>
          <w:szCs w:val="24"/>
        </w:rPr>
        <w:t>垃圾按每人每天</w:t>
      </w:r>
      <w:r>
        <w:rPr>
          <w:rFonts w:hint="eastAsia" w:ascii="Times New Roman" w:hAnsi="Times New Roman" w:eastAsia="宋体" w:cs="Times New Roman"/>
          <w:color w:val="auto"/>
          <w:sz w:val="24"/>
          <w:szCs w:val="24"/>
          <w:lang w:val="en-US" w:eastAsia="zh-CN"/>
        </w:rPr>
        <w:t>0.5</w:t>
      </w:r>
      <w:r>
        <w:rPr>
          <w:rFonts w:hint="default" w:ascii="Times New Roman" w:hAnsi="Times New Roman" w:eastAsia="宋体" w:cs="Times New Roman"/>
          <w:color w:val="auto"/>
          <w:sz w:val="24"/>
          <w:szCs w:val="24"/>
        </w:rPr>
        <w:t>kg/d计，生活垃圾产生量约为</w:t>
      </w:r>
      <w:r>
        <w:rPr>
          <w:rFonts w:hint="eastAsia" w:ascii="Times New Roman" w:hAnsi="Times New Roman" w:eastAsia="宋体" w:cs="Times New Roman"/>
          <w:color w:val="auto"/>
          <w:sz w:val="24"/>
          <w:szCs w:val="24"/>
          <w:lang w:val="en-US" w:eastAsia="zh-CN"/>
        </w:rPr>
        <w:t>0.73</w:t>
      </w:r>
      <w:r>
        <w:rPr>
          <w:rFonts w:hint="default" w:ascii="Times New Roman" w:hAnsi="Times New Roman" w:eastAsia="宋体" w:cs="Times New Roman"/>
          <w:color w:val="auto"/>
          <w:sz w:val="24"/>
          <w:szCs w:val="24"/>
        </w:rPr>
        <w:t>t/a。生活垃圾</w:t>
      </w:r>
      <w:r>
        <w:rPr>
          <w:rFonts w:hint="eastAsia" w:ascii="Times New Roman" w:hAnsi="Times New Roman" w:eastAsia="宋体" w:cs="Times New Roman"/>
          <w:color w:val="auto"/>
          <w:sz w:val="24"/>
          <w:szCs w:val="24"/>
          <w:lang w:val="en-US" w:eastAsia="zh-CN"/>
        </w:rPr>
        <w:t>集中收集后</w:t>
      </w:r>
      <w:r>
        <w:rPr>
          <w:rFonts w:hint="default" w:ascii="Times New Roman" w:hAnsi="Times New Roman" w:eastAsia="宋体" w:cs="Times New Roman"/>
          <w:color w:val="auto"/>
          <w:sz w:val="24"/>
          <w:szCs w:val="24"/>
        </w:rPr>
        <w:t>，委托环卫部门</w:t>
      </w:r>
      <w:r>
        <w:rPr>
          <w:rFonts w:hint="eastAsia" w:ascii="Times New Roman" w:hAnsi="Times New Roman" w:eastAsia="宋体" w:cs="Times New Roman"/>
          <w:color w:val="auto"/>
          <w:sz w:val="24"/>
          <w:szCs w:val="24"/>
          <w:lang w:val="en-US" w:eastAsia="zh-CN"/>
        </w:rPr>
        <w:t>定期</w:t>
      </w:r>
      <w:r>
        <w:rPr>
          <w:rFonts w:hint="default" w:ascii="Times New Roman" w:hAnsi="Times New Roman" w:eastAsia="宋体" w:cs="Times New Roman"/>
          <w:color w:val="auto"/>
          <w:sz w:val="24"/>
          <w:szCs w:val="24"/>
        </w:rPr>
        <w:t>清运。</w:t>
      </w:r>
    </w:p>
    <w:p w14:paraId="0858F77E">
      <w:pPr>
        <w:keepNext w:val="0"/>
        <w:keepLines w:val="0"/>
        <w:pageBreakBefore w:val="0"/>
        <w:numPr>
          <w:ilvl w:val="0"/>
          <w:numId w:val="9"/>
        </w:numPr>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养殖区固废</w:t>
      </w:r>
    </w:p>
    <w:p w14:paraId="564D9E95">
      <w:pPr>
        <w:keepNext w:val="0"/>
        <w:keepLines w:val="0"/>
        <w:pageBreakBefore w:val="0"/>
        <w:numPr>
          <w:ilvl w:val="0"/>
          <w:numId w:val="0"/>
        </w:numPr>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①牛粪及废发酵垫</w:t>
      </w:r>
    </w:p>
    <w:p w14:paraId="7FDB5B6C">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《排污许可证申请与核发技术规范 畜禽养殖行业》（HJ1029-2019）</w:t>
      </w:r>
      <w:r>
        <w:rPr>
          <w:rFonts w:hint="eastAsia" w:cs="Times New Roman"/>
          <w:color w:val="auto"/>
          <w:sz w:val="24"/>
          <w:lang w:val="en-US" w:eastAsia="zh-CN"/>
        </w:rPr>
        <w:t>肉牛粪便产生量10.88kg/d·头</w:t>
      </w:r>
      <w:r>
        <w:rPr>
          <w:rFonts w:hint="eastAsia" w:ascii="Times New Roman" w:hAnsi="Times New Roman" w:eastAsia="宋体" w:cs="Times New Roman"/>
          <w:color w:val="auto"/>
          <w:sz w:val="24"/>
          <w:lang w:val="en-US" w:eastAsia="zh-CN"/>
        </w:rPr>
        <w:t>，则本项目运营期</w:t>
      </w:r>
      <w:r>
        <w:rPr>
          <w:rFonts w:hint="eastAsia" w:eastAsia="宋体" w:cs="Times New Roman"/>
          <w:color w:val="auto"/>
          <w:sz w:val="24"/>
          <w:szCs w:val="24"/>
          <w:lang w:val="en-US" w:eastAsia="zh-CN"/>
        </w:rPr>
        <w:t>牛粪</w:t>
      </w:r>
      <w:r>
        <w:rPr>
          <w:rFonts w:hint="eastAsia" w:ascii="Times New Roman" w:hAnsi="Times New Roman" w:eastAsia="宋体" w:cs="Times New Roman"/>
          <w:color w:val="auto"/>
          <w:sz w:val="24"/>
          <w:lang w:val="en-US" w:eastAsia="zh-CN"/>
        </w:rPr>
        <w:t>产生量为</w:t>
      </w:r>
      <w:r>
        <w:rPr>
          <w:rFonts w:hint="eastAsia" w:cs="Times New Roman"/>
          <w:color w:val="auto"/>
          <w:sz w:val="24"/>
          <w:lang w:val="en-US" w:eastAsia="zh-CN"/>
        </w:rPr>
        <w:t>1663.93</w:t>
      </w:r>
      <w:r>
        <w:rPr>
          <w:rFonts w:hint="eastAsia" w:ascii="Times New Roman" w:hAnsi="Times New Roman" w:eastAsia="宋体" w:cs="Times New Roman"/>
          <w:color w:val="auto"/>
          <w:sz w:val="24"/>
          <w:lang w:val="en-US" w:eastAsia="zh-CN"/>
        </w:rPr>
        <w:t>t/a</w:t>
      </w:r>
      <w:r>
        <w:rPr>
          <w:rFonts w:hint="default" w:ascii="Times New Roman" w:hAnsi="Times New Roman" w:eastAsia="宋体" w:cs="Times New Roman"/>
          <w:color w:val="auto"/>
          <w:sz w:val="24"/>
          <w:szCs w:val="24"/>
        </w:rPr>
        <w:t>。</w:t>
      </w:r>
    </w:p>
    <w:p w14:paraId="53D8115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生物菌发酵床技术铺设垫床一般采用</w:t>
      </w:r>
      <w:r>
        <w:rPr>
          <w:rFonts w:hint="eastAsia" w:ascii="Times New Roman" w:hAnsi="Times New Roman" w:eastAsia="宋体" w:cs="Times New Roman"/>
          <w:color w:val="auto"/>
          <w:kern w:val="0"/>
          <w:sz w:val="24"/>
          <w:szCs w:val="24"/>
          <w:lang w:val="en-US" w:eastAsia="zh-CN"/>
        </w:rPr>
        <w:t>玉米秸秆、稻草、锯末和稻壳</w:t>
      </w:r>
      <w:r>
        <w:rPr>
          <w:rFonts w:hint="eastAsia" w:ascii="Times New Roman" w:hAnsi="Times New Roman" w:eastAsia="宋体" w:cs="Times New Roman"/>
          <w:color w:val="auto"/>
          <w:sz w:val="24"/>
          <w:szCs w:val="24"/>
          <w:lang w:val="en-US" w:eastAsia="zh-CN"/>
        </w:rPr>
        <w:t>等农业材料。牛粪和牛尿液均进入垫草垫料中，经牛踩结形成粪床。其中牛尿在发酵过程中蒸发损耗，垫料每两年集中清理一次，根据建设单位提供材料，发酵垫料更换量共为</w:t>
      </w:r>
      <w:r>
        <w:rPr>
          <w:rFonts w:hint="eastAsia" w:ascii="Times New Roman" w:hAnsi="Times New Roman" w:eastAsia="宋体" w:cs="Times New Roman"/>
          <w:color w:val="auto"/>
          <w:sz w:val="24"/>
          <w:szCs w:val="24"/>
          <w:highlight w:val="none"/>
          <w:lang w:val="en-US" w:eastAsia="zh-CN"/>
        </w:rPr>
        <w:t>20</w:t>
      </w:r>
      <w:r>
        <w:rPr>
          <w:rFonts w:hint="eastAsia" w:ascii="Times New Roman" w:hAnsi="Times New Roman" w:eastAsia="宋体" w:cs="Times New Roman"/>
          <w:color w:val="auto"/>
          <w:sz w:val="24"/>
          <w:szCs w:val="24"/>
          <w:lang w:val="en-US" w:eastAsia="zh-CN"/>
        </w:rPr>
        <w:t>t/a，定期更换的废发酵垫料与牛粪一同</w:t>
      </w:r>
      <w:r>
        <w:rPr>
          <w:rFonts w:hint="eastAsia" w:cs="Times New Roman"/>
          <w:color w:val="auto"/>
          <w:sz w:val="24"/>
          <w:szCs w:val="24"/>
          <w:lang w:val="en-US" w:eastAsia="zh-CN"/>
        </w:rPr>
        <w:t>在堆肥区暂存后还田，现有工程配套500亩农田用于还田，均种植棉花</w:t>
      </w:r>
      <w:r>
        <w:rPr>
          <w:rFonts w:hint="eastAsia" w:ascii="Times New Roman" w:hAnsi="Times New Roman" w:eastAsia="宋体" w:cs="Times New Roman"/>
          <w:color w:val="auto"/>
          <w:sz w:val="24"/>
          <w:szCs w:val="24"/>
          <w:lang w:val="en-US" w:eastAsia="zh-CN"/>
        </w:rPr>
        <w:t>。</w:t>
      </w:r>
    </w:p>
    <w:p w14:paraId="42F8E7C1">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②</w:t>
      </w:r>
      <w:r>
        <w:rPr>
          <w:rFonts w:hint="default" w:ascii="Times New Roman" w:hAnsi="Times New Roman" w:eastAsia="宋体" w:cs="Times New Roman"/>
          <w:color w:val="auto"/>
          <w:sz w:val="24"/>
          <w:szCs w:val="24"/>
        </w:rPr>
        <w:t>病死</w:t>
      </w:r>
      <w:r>
        <w:rPr>
          <w:rFonts w:hint="eastAsia" w:ascii="Times New Roman" w:hAnsi="Times New Roman" w:eastAsia="宋体" w:cs="Times New Roman"/>
          <w:color w:val="auto"/>
          <w:sz w:val="24"/>
          <w:szCs w:val="24"/>
          <w:lang w:val="en-US" w:eastAsia="zh-CN"/>
        </w:rPr>
        <w:t>牛</w:t>
      </w:r>
    </w:p>
    <w:p w14:paraId="3543E2A6">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w:t>
      </w:r>
      <w:r>
        <w:rPr>
          <w:rFonts w:hint="eastAsia" w:ascii="Times New Roman" w:hAnsi="Times New Roman" w:eastAsia="宋体" w:cs="Times New Roman"/>
          <w:color w:val="auto"/>
          <w:sz w:val="24"/>
          <w:szCs w:val="24"/>
          <w:lang w:val="en-US" w:eastAsia="zh-CN"/>
        </w:rPr>
        <w:t>建设单位提供资料，育肥牛及成年死亡率较低，在1‰左右</w:t>
      </w:r>
      <w:r>
        <w:rPr>
          <w:rFonts w:hint="default" w:ascii="Times New Roman" w:hAnsi="Times New Roman" w:eastAsia="宋体" w:cs="Times New Roman"/>
          <w:color w:val="auto"/>
          <w:sz w:val="24"/>
          <w:szCs w:val="24"/>
        </w:rPr>
        <w:t>，平均重量以</w:t>
      </w:r>
      <w:r>
        <w:rPr>
          <w:rFonts w:hint="eastAsia" w:ascii="Times New Roman" w:hAnsi="Times New Roman" w:eastAsia="宋体" w:cs="Times New Roman"/>
          <w:color w:val="auto"/>
          <w:sz w:val="24"/>
          <w:szCs w:val="24"/>
          <w:lang w:val="en-US" w:eastAsia="zh-CN"/>
        </w:rPr>
        <w:t>300</w:t>
      </w:r>
      <w:r>
        <w:rPr>
          <w:rFonts w:hint="default" w:ascii="Times New Roman" w:hAnsi="Times New Roman" w:eastAsia="宋体" w:cs="Times New Roman"/>
          <w:color w:val="auto"/>
          <w:sz w:val="24"/>
          <w:szCs w:val="24"/>
        </w:rPr>
        <w:t>kg/头计。</w:t>
      </w:r>
      <w:r>
        <w:rPr>
          <w:rFonts w:hint="eastAsia" w:ascii="Times New Roman" w:hAnsi="Times New Roman" w:eastAsia="宋体" w:cs="Times New Roman"/>
          <w:color w:val="auto"/>
          <w:sz w:val="24"/>
          <w:szCs w:val="24"/>
          <w:lang w:val="en-US" w:eastAsia="zh-CN"/>
        </w:rPr>
        <w:t>现有工程</w:t>
      </w:r>
      <w:r>
        <w:rPr>
          <w:rFonts w:hint="default" w:ascii="Times New Roman" w:hAnsi="Times New Roman" w:eastAsia="宋体" w:cs="Times New Roman"/>
          <w:color w:val="auto"/>
          <w:sz w:val="24"/>
          <w:szCs w:val="24"/>
        </w:rPr>
        <w:t>按照养殖场年存栏量</w:t>
      </w:r>
      <w:r>
        <w:rPr>
          <w:rFonts w:hint="eastAsia" w:ascii="Times New Roman" w:hAnsi="Times New Roman" w:eastAsia="宋体" w:cs="Times New Roman"/>
          <w:color w:val="auto"/>
          <w:sz w:val="24"/>
          <w:szCs w:val="24"/>
          <w:lang w:val="en-US" w:eastAsia="zh-CN"/>
        </w:rPr>
        <w:t>419</w:t>
      </w:r>
      <w:r>
        <w:rPr>
          <w:rFonts w:hint="default" w:ascii="Times New Roman" w:hAnsi="Times New Roman" w:eastAsia="宋体" w:cs="Times New Roman"/>
          <w:color w:val="auto"/>
          <w:sz w:val="24"/>
          <w:szCs w:val="24"/>
        </w:rPr>
        <w:t>头计算，则</w:t>
      </w:r>
      <w:r>
        <w:rPr>
          <w:rFonts w:hint="eastAsia" w:ascii="Times New Roman" w:hAnsi="Times New Roman" w:eastAsia="宋体" w:cs="Times New Roman"/>
          <w:color w:val="auto"/>
          <w:sz w:val="24"/>
          <w:szCs w:val="24"/>
          <w:lang w:val="en-US" w:eastAsia="zh-CN"/>
        </w:rPr>
        <w:t>现有工程病死牛</w:t>
      </w:r>
      <w:r>
        <w:rPr>
          <w:rFonts w:hint="default" w:ascii="Times New Roman" w:hAnsi="Times New Roman" w:eastAsia="宋体" w:cs="Times New Roman"/>
          <w:color w:val="auto"/>
          <w:sz w:val="24"/>
          <w:szCs w:val="24"/>
        </w:rPr>
        <w:t>产生量约</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头/年</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0.3t/a</w:t>
      </w:r>
      <w:r>
        <w:rPr>
          <w:rFonts w:hint="default" w:ascii="Times New Roman" w:hAnsi="Times New Roman" w:eastAsia="宋体" w:cs="Times New Roman"/>
          <w:color w:val="auto"/>
          <w:sz w:val="24"/>
          <w:szCs w:val="24"/>
        </w:rPr>
        <w:t>。</w:t>
      </w:r>
    </w:p>
    <w:p w14:paraId="380DD639">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rPr>
        <w:t>《国家危险废物名录（</w:t>
      </w:r>
      <w:r>
        <w:rPr>
          <w:rFonts w:hint="eastAsia" w:ascii="Times New Roman" w:hAnsi="Times New Roman" w:eastAsia="宋体" w:cs="Times New Roman"/>
          <w:color w:val="auto"/>
          <w:sz w:val="24"/>
          <w:szCs w:val="24"/>
          <w:lang w:val="en-US" w:eastAsia="zh-CN"/>
        </w:rPr>
        <w:t>2021</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版</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常见问题解答</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原农业部发布的《病死及病害动物无害化处理技术规范》（农医发〔2017〕25号）也明确了病死及病害动物和相关动物产品无害化处理操作技术。因此，为防治动物传染病而需要收集和处置的废物由农业农村部门按照有关法律法规和技术规范进行监管，可以实现废物的无害化处理和污染防治目的，《名录》不再将其列入。”</w:t>
      </w:r>
    </w:p>
    <w:p w14:paraId="26AB5475">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根据《关于病害动物无害化处理有关意见的复函》（环办函〔2014〕789号），病害动物无害化处理不宜</w:t>
      </w:r>
      <w:r>
        <w:rPr>
          <w:rFonts w:hint="eastAsia" w:cs="Times New Roman"/>
          <w:color w:val="auto"/>
          <w:sz w:val="24"/>
          <w:szCs w:val="24"/>
          <w:lang w:val="en-US" w:eastAsia="zh-CN"/>
        </w:rPr>
        <w:t>再</w:t>
      </w:r>
      <w:r>
        <w:rPr>
          <w:rFonts w:hint="eastAsia" w:ascii="Times New Roman" w:hAnsi="Times New Roman" w:eastAsia="宋体" w:cs="Times New Roman"/>
          <w:color w:val="auto"/>
          <w:sz w:val="24"/>
          <w:szCs w:val="24"/>
          <w:lang w:val="en-US" w:eastAsia="zh-CN"/>
        </w:rPr>
        <w:t>认定为危险废物集中处置项目。</w:t>
      </w:r>
    </w:p>
    <w:p w14:paraId="5A492216">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lang w:val="en-US" w:eastAsia="zh-CN"/>
        </w:rPr>
        <w:t>因此病死牛为一般固废，现有工程委托病死畜禽无害化处理单位处理本项目病死牛，由病死畜禽无害化处理单位配套的病死畜禽专用运输车辆运输。</w:t>
      </w:r>
    </w:p>
    <w:p w14:paraId="36488E0F">
      <w:pPr>
        <w:keepNext w:val="0"/>
        <w:keepLines w:val="0"/>
        <w:pageBreakBefore w:val="0"/>
        <w:numPr>
          <w:ilvl w:val="0"/>
          <w:numId w:val="0"/>
        </w:numPr>
        <w:wordWrap/>
        <w:topLinePunct w:val="0"/>
        <w:bidi w:val="0"/>
        <w:adjustRightInd/>
        <w:snapToGrid/>
        <w:spacing w:line="360" w:lineRule="auto"/>
        <w:ind w:left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③废包装材料</w:t>
      </w:r>
    </w:p>
    <w:p w14:paraId="594DEACB">
      <w:pPr>
        <w:keepNext w:val="0"/>
        <w:keepLines w:val="0"/>
        <w:pageBreakBefore w:val="0"/>
        <w:numPr>
          <w:ilvl w:val="0"/>
          <w:numId w:val="0"/>
        </w:numPr>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废包装物主要为精饲料袋、生物除臭剂包装桶、消毒剂包装袋，约2.5t/a</w:t>
      </w:r>
      <w:r>
        <w:rPr>
          <w:rFonts w:hint="eastAsia" w:cs="Times New Roman"/>
          <w:color w:val="auto"/>
          <w:sz w:val="24"/>
          <w:szCs w:val="24"/>
          <w:highlight w:val="none"/>
          <w:lang w:val="en-US" w:eastAsia="zh-CN"/>
        </w:rPr>
        <w:t>，其中</w:t>
      </w:r>
      <w:r>
        <w:rPr>
          <w:rFonts w:hint="eastAsia" w:ascii="Times New Roman" w:hAnsi="Times New Roman" w:eastAsia="宋体" w:cs="Times New Roman"/>
          <w:color w:val="auto"/>
          <w:sz w:val="24"/>
          <w:szCs w:val="24"/>
          <w:highlight w:val="none"/>
          <w:lang w:val="en-US" w:eastAsia="zh-CN"/>
        </w:rPr>
        <w:t>消毒剂包装袋0.003t/a，</w:t>
      </w:r>
      <w:r>
        <w:rPr>
          <w:rFonts w:hint="eastAsia" w:cs="Times New Roman"/>
          <w:color w:val="auto"/>
          <w:sz w:val="24"/>
          <w:szCs w:val="24"/>
          <w:highlight w:val="none"/>
          <w:lang w:val="en-US" w:eastAsia="zh-CN"/>
        </w:rPr>
        <w:t>分类暂存于消毒室内，定期由原厂回收</w:t>
      </w:r>
      <w:r>
        <w:rPr>
          <w:rFonts w:hint="eastAsia" w:ascii="Times New Roman" w:hAnsi="Times New Roman" w:eastAsia="宋体" w:cs="Times New Roman"/>
          <w:color w:val="000000"/>
          <w:kern w:val="2"/>
          <w:sz w:val="24"/>
          <w:szCs w:val="24"/>
          <w:highlight w:val="none"/>
          <w:lang w:val="en-US" w:eastAsia="zh-CN" w:bidi="ar-SA"/>
        </w:rPr>
        <w:t>。</w:t>
      </w:r>
    </w:p>
    <w:p w14:paraId="68C8F232">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④医疗废物</w:t>
      </w:r>
    </w:p>
    <w:p w14:paraId="75B2C94C">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现有工程</w:t>
      </w:r>
      <w:r>
        <w:rPr>
          <w:rFonts w:hint="default" w:ascii="Times New Roman" w:hAnsi="Times New Roman" w:eastAsia="宋体" w:cs="Times New Roman"/>
          <w:color w:val="auto"/>
          <w:sz w:val="24"/>
          <w:szCs w:val="24"/>
        </w:rPr>
        <w:t>防疫过程将会产生医疗废物，其主要为一次性注射器、医用手套等，分类收集打包，</w:t>
      </w:r>
      <w:r>
        <w:rPr>
          <w:rFonts w:hint="eastAsia" w:ascii="Times New Roman" w:hAnsi="Times New Roman" w:eastAsia="宋体" w:cs="Times New Roman"/>
          <w:color w:val="auto"/>
          <w:sz w:val="24"/>
          <w:szCs w:val="24"/>
          <w:lang w:val="en-US" w:eastAsia="zh-CN"/>
        </w:rPr>
        <w:t>全部由兽医</w:t>
      </w:r>
      <w:r>
        <w:rPr>
          <w:rFonts w:hint="eastAsia" w:cs="Times New Roman"/>
          <w:color w:val="auto"/>
          <w:sz w:val="24"/>
          <w:szCs w:val="24"/>
          <w:lang w:val="en-US" w:eastAsia="zh-CN"/>
        </w:rPr>
        <w:t>回收</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现有工程兽用医疗废物产生量约为0.01t/a</w:t>
      </w:r>
      <w:r>
        <w:rPr>
          <w:rFonts w:hint="default" w:ascii="Times New Roman" w:hAnsi="Times New Roman" w:eastAsia="宋体" w:cs="Times New Roman"/>
          <w:color w:val="auto"/>
          <w:sz w:val="24"/>
          <w:szCs w:val="24"/>
        </w:rPr>
        <w:t>。</w:t>
      </w:r>
    </w:p>
    <w:p w14:paraId="5FF2A9AF">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color w:val="auto"/>
          <w:sz w:val="24"/>
          <w:szCs w:val="24"/>
          <w:lang w:val="en-US" w:eastAsia="zh-CN"/>
        </w:rPr>
        <w:t>现有工程</w:t>
      </w:r>
      <w:r>
        <w:rPr>
          <w:rFonts w:hint="default" w:ascii="Times New Roman" w:hAnsi="Times New Roman" w:eastAsia="宋体" w:cs="Times New Roman"/>
          <w:color w:val="auto"/>
          <w:kern w:val="2"/>
          <w:sz w:val="24"/>
          <w:szCs w:val="24"/>
          <w:lang w:val="en-US" w:eastAsia="zh-CN" w:bidi="ar-SA"/>
        </w:rPr>
        <w:t>运营期污染物排放量汇总情况见表</w:t>
      </w:r>
      <w:r>
        <w:rPr>
          <w:rFonts w:hint="eastAsia" w:ascii="Times New Roman" w:hAnsi="Times New Roman" w:eastAsia="宋体" w:cs="Times New Roman"/>
          <w:color w:val="auto"/>
          <w:kern w:val="2"/>
          <w:sz w:val="24"/>
          <w:szCs w:val="24"/>
          <w:lang w:val="en-US" w:eastAsia="zh-CN" w:bidi="ar-SA"/>
        </w:rPr>
        <w:t>3.1-9</w:t>
      </w:r>
      <w:r>
        <w:rPr>
          <w:rFonts w:hint="default" w:ascii="Times New Roman" w:hAnsi="Times New Roman" w:eastAsia="宋体" w:cs="Times New Roman"/>
          <w:color w:val="auto"/>
          <w:kern w:val="2"/>
          <w:sz w:val="24"/>
          <w:szCs w:val="24"/>
          <w:lang w:val="en-US" w:eastAsia="zh-CN" w:bidi="ar-SA"/>
        </w:rPr>
        <w:t>。</w:t>
      </w:r>
    </w:p>
    <w:p w14:paraId="356AC969">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3.1-9</w:t>
      </w:r>
      <w:r>
        <w:rPr>
          <w:rFonts w:hint="default" w:ascii="Times New Roman" w:hAnsi="Times New Roman" w:eastAsia="宋体" w:cs="Times New Roman"/>
          <w:b/>
          <w:bCs/>
          <w:color w:val="auto"/>
          <w:sz w:val="24"/>
          <w:szCs w:val="24"/>
          <w:lang w:val="en-US" w:eastAsia="zh-CN"/>
        </w:rPr>
        <w:t>污染物产生和排放量汇总表</w:t>
      </w:r>
    </w:p>
    <w:tbl>
      <w:tblPr>
        <w:tblStyle w:val="20"/>
        <w:tblW w:w="850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78"/>
        <w:gridCol w:w="1050"/>
        <w:gridCol w:w="1260"/>
        <w:gridCol w:w="1210"/>
        <w:gridCol w:w="2980"/>
        <w:gridCol w:w="1229"/>
      </w:tblGrid>
      <w:tr w14:paraId="34B5B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8" w:type="dxa"/>
            <w:noWrap w:val="0"/>
            <w:vAlign w:val="center"/>
          </w:tcPr>
          <w:p w14:paraId="67FFC2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内容</w:t>
            </w:r>
          </w:p>
          <w:p w14:paraId="410335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类型</w:t>
            </w:r>
          </w:p>
        </w:tc>
        <w:tc>
          <w:tcPr>
            <w:tcW w:w="1050" w:type="dxa"/>
            <w:noWrap w:val="0"/>
            <w:vAlign w:val="center"/>
          </w:tcPr>
          <w:p w14:paraId="325302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排放源</w:t>
            </w:r>
          </w:p>
        </w:tc>
        <w:tc>
          <w:tcPr>
            <w:tcW w:w="1260" w:type="dxa"/>
            <w:noWrap w:val="0"/>
            <w:vAlign w:val="center"/>
          </w:tcPr>
          <w:p w14:paraId="207B31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污染物</w:t>
            </w:r>
          </w:p>
        </w:tc>
        <w:tc>
          <w:tcPr>
            <w:tcW w:w="1210" w:type="dxa"/>
            <w:noWrap w:val="0"/>
            <w:vAlign w:val="center"/>
          </w:tcPr>
          <w:p w14:paraId="172FD2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产生量（t/a）</w:t>
            </w:r>
          </w:p>
        </w:tc>
        <w:tc>
          <w:tcPr>
            <w:tcW w:w="2980" w:type="dxa"/>
            <w:noWrap w:val="0"/>
            <w:vAlign w:val="center"/>
          </w:tcPr>
          <w:p w14:paraId="002349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val="0"/>
                <w:color w:val="auto"/>
                <w:sz w:val="21"/>
                <w:szCs w:val="21"/>
                <w:lang w:eastAsia="zh-CN"/>
              </w:rPr>
            </w:pPr>
            <w:r>
              <w:rPr>
                <w:rFonts w:hint="eastAsia" w:ascii="Times New Roman" w:hAnsi="Times New Roman" w:eastAsia="宋体" w:cs="Times New Roman"/>
                <w:b/>
                <w:bCs w:val="0"/>
                <w:color w:val="auto"/>
                <w:sz w:val="21"/>
                <w:szCs w:val="21"/>
                <w:lang w:val="en-US" w:eastAsia="zh-CN"/>
              </w:rPr>
              <w:t>治理措施</w:t>
            </w:r>
          </w:p>
        </w:tc>
        <w:tc>
          <w:tcPr>
            <w:tcW w:w="1229" w:type="dxa"/>
            <w:noWrap w:val="0"/>
            <w:vAlign w:val="center"/>
          </w:tcPr>
          <w:p w14:paraId="24E1E1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排放量（t/a）</w:t>
            </w:r>
          </w:p>
        </w:tc>
      </w:tr>
      <w:tr w14:paraId="7326C4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15" w:hRule="atLeast"/>
          <w:jc w:val="center"/>
        </w:trPr>
        <w:tc>
          <w:tcPr>
            <w:tcW w:w="778" w:type="dxa"/>
            <w:vMerge w:val="restart"/>
            <w:noWrap w:val="0"/>
            <w:vAlign w:val="center"/>
          </w:tcPr>
          <w:p w14:paraId="3C3350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大气</w:t>
            </w:r>
          </w:p>
          <w:p w14:paraId="54CD7E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污染</w:t>
            </w:r>
          </w:p>
        </w:tc>
        <w:tc>
          <w:tcPr>
            <w:tcW w:w="1050" w:type="dxa"/>
            <w:vMerge w:val="restart"/>
            <w:noWrap w:val="0"/>
            <w:vAlign w:val="center"/>
          </w:tcPr>
          <w:p w14:paraId="291F2A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养殖区</w:t>
            </w:r>
          </w:p>
        </w:tc>
        <w:tc>
          <w:tcPr>
            <w:tcW w:w="1260" w:type="dxa"/>
            <w:noWrap w:val="0"/>
            <w:vAlign w:val="center"/>
          </w:tcPr>
          <w:p w14:paraId="47537B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NH</w:t>
            </w:r>
            <w:r>
              <w:rPr>
                <w:rFonts w:hint="default" w:ascii="Times New Roman" w:hAnsi="Times New Roman" w:eastAsia="宋体" w:cs="Times New Roman"/>
                <w:bCs/>
                <w:color w:val="auto"/>
                <w:sz w:val="21"/>
                <w:szCs w:val="21"/>
                <w:vertAlign w:val="subscript"/>
              </w:rPr>
              <w:t>3</w:t>
            </w:r>
          </w:p>
        </w:tc>
        <w:tc>
          <w:tcPr>
            <w:tcW w:w="1210" w:type="dxa"/>
            <w:noWrap w:val="0"/>
            <w:vAlign w:val="center"/>
          </w:tcPr>
          <w:p w14:paraId="6C670D2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vertAlign w:val="baseline"/>
                <w:lang w:val="en-US" w:eastAsia="zh-CN"/>
              </w:rPr>
              <w:t>0.69</w:t>
            </w:r>
          </w:p>
        </w:tc>
        <w:tc>
          <w:tcPr>
            <w:tcW w:w="2980" w:type="dxa"/>
            <w:vMerge w:val="restart"/>
            <w:noWrap w:val="0"/>
            <w:vAlign w:val="center"/>
          </w:tcPr>
          <w:p w14:paraId="0D399D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控制饲养密度+及时清理粪污+场区绿化+喷洒生物除臭剂</w:t>
            </w:r>
          </w:p>
        </w:tc>
        <w:tc>
          <w:tcPr>
            <w:tcW w:w="1229" w:type="dxa"/>
            <w:noWrap w:val="0"/>
            <w:vAlign w:val="center"/>
          </w:tcPr>
          <w:p w14:paraId="7AE0D94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0.08</w:t>
            </w:r>
          </w:p>
        </w:tc>
      </w:tr>
      <w:tr w14:paraId="479056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58328B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79459D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260" w:type="dxa"/>
            <w:noWrap w:val="0"/>
            <w:vAlign w:val="center"/>
          </w:tcPr>
          <w:p w14:paraId="7EB75B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H</w:t>
            </w:r>
            <w:r>
              <w:rPr>
                <w:rFonts w:hint="default" w:ascii="Times New Roman" w:hAnsi="Times New Roman" w:eastAsia="宋体" w:cs="Times New Roman"/>
                <w:bCs/>
                <w:color w:val="auto"/>
                <w:sz w:val="21"/>
                <w:szCs w:val="21"/>
                <w:vertAlign w:val="subscript"/>
              </w:rPr>
              <w:t>2</w:t>
            </w:r>
            <w:r>
              <w:rPr>
                <w:rFonts w:hint="default" w:ascii="Times New Roman" w:hAnsi="Times New Roman" w:eastAsia="宋体" w:cs="Times New Roman"/>
                <w:bCs/>
                <w:color w:val="auto"/>
                <w:sz w:val="21"/>
                <w:szCs w:val="21"/>
              </w:rPr>
              <w:t>S</w:t>
            </w:r>
          </w:p>
        </w:tc>
        <w:tc>
          <w:tcPr>
            <w:tcW w:w="1210" w:type="dxa"/>
            <w:noWrap w:val="0"/>
            <w:vAlign w:val="center"/>
          </w:tcPr>
          <w:p w14:paraId="5D8A4E7A">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2980" w:type="dxa"/>
            <w:vMerge w:val="continue"/>
            <w:noWrap w:val="0"/>
            <w:vAlign w:val="center"/>
          </w:tcPr>
          <w:p w14:paraId="7D0E12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p>
        </w:tc>
        <w:tc>
          <w:tcPr>
            <w:tcW w:w="1229" w:type="dxa"/>
            <w:noWrap w:val="0"/>
            <w:vAlign w:val="center"/>
          </w:tcPr>
          <w:p w14:paraId="04D1215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ascii="Times New Roman" w:hAnsi="Times New Roman" w:eastAsia="宋体" w:cs="Times New Roman"/>
                <w:i w:val="0"/>
                <w:iCs w:val="0"/>
                <w:color w:val="000000"/>
                <w:kern w:val="0"/>
                <w:sz w:val="21"/>
                <w:szCs w:val="21"/>
                <w:u w:val="none"/>
                <w:lang w:val="en-US" w:eastAsia="zh-CN" w:bidi="ar"/>
              </w:rPr>
              <w:t>01</w:t>
            </w:r>
          </w:p>
        </w:tc>
      </w:tr>
      <w:tr w14:paraId="6CF6A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0" w:hRule="atLeast"/>
          <w:jc w:val="center"/>
        </w:trPr>
        <w:tc>
          <w:tcPr>
            <w:tcW w:w="778" w:type="dxa"/>
            <w:vMerge w:val="continue"/>
            <w:noWrap w:val="0"/>
            <w:vAlign w:val="center"/>
          </w:tcPr>
          <w:p w14:paraId="6BE408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2DC2F8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260" w:type="dxa"/>
            <w:noWrap w:val="0"/>
            <w:vAlign w:val="center"/>
          </w:tcPr>
          <w:p w14:paraId="54D137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TSP</w:t>
            </w:r>
          </w:p>
        </w:tc>
        <w:tc>
          <w:tcPr>
            <w:tcW w:w="1210" w:type="dxa"/>
            <w:shd w:val="clear" w:color="auto" w:fill="auto"/>
            <w:noWrap w:val="0"/>
            <w:vAlign w:val="center"/>
          </w:tcPr>
          <w:p w14:paraId="6F8AE7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0.1</w:t>
            </w:r>
            <w:r>
              <w:rPr>
                <w:rFonts w:hint="eastAsia" w:cs="Times New Roman"/>
                <w:i w:val="0"/>
                <w:iCs w:val="0"/>
                <w:color w:val="000000"/>
                <w:kern w:val="0"/>
                <w:sz w:val="21"/>
                <w:szCs w:val="21"/>
                <w:u w:val="none"/>
                <w:lang w:val="en-US" w:eastAsia="zh-CN" w:bidi="ar"/>
              </w:rPr>
              <w:t>3</w:t>
            </w:r>
          </w:p>
        </w:tc>
        <w:tc>
          <w:tcPr>
            <w:tcW w:w="2980" w:type="dxa"/>
            <w:noWrap w:val="0"/>
            <w:vAlign w:val="center"/>
          </w:tcPr>
          <w:p w14:paraId="7745DA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润湿搅拌工艺</w:t>
            </w:r>
          </w:p>
        </w:tc>
        <w:tc>
          <w:tcPr>
            <w:tcW w:w="1229" w:type="dxa"/>
            <w:shd w:val="clear" w:color="auto" w:fill="auto"/>
            <w:noWrap w:val="0"/>
            <w:vAlign w:val="center"/>
          </w:tcPr>
          <w:p w14:paraId="4856E4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0.13</w:t>
            </w:r>
          </w:p>
        </w:tc>
      </w:tr>
      <w:tr w14:paraId="51C2E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845" w:hRule="atLeast"/>
          <w:jc w:val="center"/>
        </w:trPr>
        <w:tc>
          <w:tcPr>
            <w:tcW w:w="778" w:type="dxa"/>
            <w:vMerge w:val="continue"/>
            <w:noWrap w:val="0"/>
            <w:vAlign w:val="center"/>
          </w:tcPr>
          <w:p w14:paraId="3796F3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noWrap w:val="0"/>
            <w:vAlign w:val="center"/>
          </w:tcPr>
          <w:p w14:paraId="288BC7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饲料加工区</w:t>
            </w:r>
          </w:p>
        </w:tc>
        <w:tc>
          <w:tcPr>
            <w:tcW w:w="1260" w:type="dxa"/>
            <w:noWrap w:val="0"/>
            <w:vAlign w:val="center"/>
          </w:tcPr>
          <w:p w14:paraId="48EA9B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TSP</w:t>
            </w:r>
          </w:p>
        </w:tc>
        <w:tc>
          <w:tcPr>
            <w:tcW w:w="1210" w:type="dxa"/>
            <w:shd w:val="clear" w:color="auto" w:fill="auto"/>
            <w:noWrap w:val="0"/>
            <w:vAlign w:val="center"/>
          </w:tcPr>
          <w:p w14:paraId="43CD5B0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0.13</w:t>
            </w:r>
          </w:p>
        </w:tc>
        <w:tc>
          <w:tcPr>
            <w:tcW w:w="2980" w:type="dxa"/>
            <w:noWrap w:val="0"/>
            <w:vAlign w:val="center"/>
          </w:tcPr>
          <w:p w14:paraId="5BE280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润湿搅拌工艺</w:t>
            </w:r>
          </w:p>
        </w:tc>
        <w:tc>
          <w:tcPr>
            <w:tcW w:w="1229" w:type="dxa"/>
            <w:shd w:val="clear" w:color="auto" w:fill="auto"/>
            <w:noWrap w:val="0"/>
            <w:vAlign w:val="center"/>
          </w:tcPr>
          <w:p w14:paraId="553C349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0.13</w:t>
            </w:r>
          </w:p>
        </w:tc>
      </w:tr>
      <w:tr w14:paraId="14F9C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845" w:hRule="atLeast"/>
          <w:jc w:val="center"/>
        </w:trPr>
        <w:tc>
          <w:tcPr>
            <w:tcW w:w="778" w:type="dxa"/>
            <w:vMerge w:val="continue"/>
            <w:noWrap w:val="0"/>
            <w:vAlign w:val="center"/>
          </w:tcPr>
          <w:p w14:paraId="117B9E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noWrap w:val="0"/>
            <w:vAlign w:val="center"/>
          </w:tcPr>
          <w:p w14:paraId="5A4B72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堆肥区</w:t>
            </w:r>
          </w:p>
        </w:tc>
        <w:tc>
          <w:tcPr>
            <w:tcW w:w="1260" w:type="dxa"/>
            <w:noWrap w:val="0"/>
            <w:vAlign w:val="center"/>
          </w:tcPr>
          <w:p w14:paraId="569266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TSP</w:t>
            </w:r>
          </w:p>
        </w:tc>
        <w:tc>
          <w:tcPr>
            <w:tcW w:w="1210" w:type="dxa"/>
            <w:shd w:val="clear" w:color="auto" w:fill="auto"/>
            <w:noWrap w:val="0"/>
            <w:vAlign w:val="center"/>
          </w:tcPr>
          <w:p w14:paraId="213944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0.01</w:t>
            </w:r>
          </w:p>
        </w:tc>
        <w:tc>
          <w:tcPr>
            <w:tcW w:w="2980" w:type="dxa"/>
            <w:noWrap w:val="0"/>
            <w:vAlign w:val="center"/>
          </w:tcPr>
          <w:p w14:paraId="31C83D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c>
          <w:tcPr>
            <w:tcW w:w="1229" w:type="dxa"/>
            <w:shd w:val="clear" w:color="auto" w:fill="auto"/>
            <w:noWrap w:val="0"/>
            <w:vAlign w:val="center"/>
          </w:tcPr>
          <w:p w14:paraId="71B0DA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0.01</w:t>
            </w:r>
          </w:p>
        </w:tc>
      </w:tr>
      <w:tr w14:paraId="0D37D8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restart"/>
            <w:noWrap w:val="0"/>
            <w:vAlign w:val="center"/>
          </w:tcPr>
          <w:p w14:paraId="108178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水污染</w:t>
            </w:r>
          </w:p>
        </w:tc>
        <w:tc>
          <w:tcPr>
            <w:tcW w:w="1050" w:type="dxa"/>
            <w:vMerge w:val="restart"/>
            <w:noWrap w:val="0"/>
            <w:vAlign w:val="center"/>
          </w:tcPr>
          <w:p w14:paraId="1CFFA3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养殖废水</w:t>
            </w:r>
          </w:p>
        </w:tc>
        <w:tc>
          <w:tcPr>
            <w:tcW w:w="1260" w:type="dxa"/>
            <w:noWrap w:val="0"/>
            <w:vAlign w:val="center"/>
          </w:tcPr>
          <w:p w14:paraId="0D6FA456">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COD</w:t>
            </w:r>
          </w:p>
        </w:tc>
        <w:tc>
          <w:tcPr>
            <w:tcW w:w="1210" w:type="dxa"/>
            <w:noWrap w:val="0"/>
            <w:vAlign w:val="center"/>
          </w:tcPr>
          <w:p w14:paraId="678EC4C5">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26.81</w:t>
            </w:r>
          </w:p>
        </w:tc>
        <w:tc>
          <w:tcPr>
            <w:tcW w:w="2980" w:type="dxa"/>
            <w:vMerge w:val="restart"/>
            <w:noWrap w:val="0"/>
            <w:vAlign w:val="center"/>
          </w:tcPr>
          <w:p w14:paraId="0B36CD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color w:val="auto"/>
                <w:kern w:val="0"/>
                <w:sz w:val="21"/>
                <w:szCs w:val="21"/>
                <w:highlight w:val="none"/>
                <w:lang w:val="en-US" w:eastAsia="zh-CN"/>
              </w:rPr>
              <w:t>经发酵垫料消纳后不外排</w:t>
            </w:r>
          </w:p>
        </w:tc>
        <w:tc>
          <w:tcPr>
            <w:tcW w:w="1229" w:type="dxa"/>
            <w:noWrap w:val="0"/>
            <w:vAlign w:val="center"/>
          </w:tcPr>
          <w:p w14:paraId="0AAB989A">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0</w:t>
            </w:r>
          </w:p>
        </w:tc>
      </w:tr>
      <w:tr w14:paraId="4C460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6BAC1C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3D30AA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7A104A8E">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color w:val="auto"/>
                <w:kern w:val="0"/>
                <w:sz w:val="21"/>
                <w:szCs w:val="21"/>
                <w:highlight w:val="none"/>
                <w:lang w:val="en-US" w:eastAsia="zh-CN"/>
              </w:rPr>
              <w:t>TN</w:t>
            </w:r>
          </w:p>
        </w:tc>
        <w:tc>
          <w:tcPr>
            <w:tcW w:w="1210" w:type="dxa"/>
            <w:noWrap w:val="0"/>
            <w:vAlign w:val="center"/>
          </w:tcPr>
          <w:p w14:paraId="11AA7B57">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5.93</w:t>
            </w:r>
          </w:p>
        </w:tc>
        <w:tc>
          <w:tcPr>
            <w:tcW w:w="2980" w:type="dxa"/>
            <w:vMerge w:val="continue"/>
            <w:noWrap w:val="0"/>
            <w:vAlign w:val="center"/>
          </w:tcPr>
          <w:p w14:paraId="397E91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29" w:type="dxa"/>
            <w:noWrap w:val="0"/>
            <w:vAlign w:val="center"/>
          </w:tcPr>
          <w:p w14:paraId="7EA0B52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0</w:t>
            </w:r>
          </w:p>
        </w:tc>
      </w:tr>
      <w:tr w14:paraId="3131BA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402370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547643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0AA4FA79">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color w:val="auto"/>
                <w:kern w:val="0"/>
                <w:sz w:val="21"/>
                <w:szCs w:val="21"/>
                <w:highlight w:val="none"/>
                <w:lang w:val="en-US" w:eastAsia="zh-CN"/>
              </w:rPr>
              <w:t>TP</w:t>
            </w:r>
          </w:p>
        </w:tc>
        <w:tc>
          <w:tcPr>
            <w:tcW w:w="1210" w:type="dxa"/>
            <w:noWrap w:val="0"/>
            <w:vAlign w:val="center"/>
          </w:tcPr>
          <w:p w14:paraId="5799B384">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0.37</w:t>
            </w:r>
          </w:p>
        </w:tc>
        <w:tc>
          <w:tcPr>
            <w:tcW w:w="2980" w:type="dxa"/>
            <w:vMerge w:val="continue"/>
            <w:noWrap w:val="0"/>
            <w:vAlign w:val="center"/>
          </w:tcPr>
          <w:p w14:paraId="0343F3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29" w:type="dxa"/>
            <w:noWrap w:val="0"/>
            <w:vAlign w:val="center"/>
          </w:tcPr>
          <w:p w14:paraId="54E8DB50">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0</w:t>
            </w:r>
          </w:p>
        </w:tc>
      </w:tr>
      <w:tr w14:paraId="7A6C7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5370D0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518AE2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1DCE1D48">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NH</w:t>
            </w:r>
            <w:r>
              <w:rPr>
                <w:rFonts w:hint="default" w:ascii="Times New Roman" w:hAnsi="Times New Roman" w:eastAsia="宋体" w:cs="Times New Roman"/>
                <w:b w:val="0"/>
                <w:bCs w:val="0"/>
                <w:color w:val="auto"/>
                <w:sz w:val="21"/>
                <w:szCs w:val="21"/>
                <w:highlight w:val="none"/>
                <w:u w:val="none"/>
                <w:vertAlign w:val="subscript"/>
                <w:lang w:val="en-US" w:eastAsia="zh-CN" w:bidi="ar"/>
              </w:rPr>
              <w:t>3</w:t>
            </w:r>
            <w:r>
              <w:rPr>
                <w:rFonts w:hint="default" w:ascii="Times New Roman" w:hAnsi="Times New Roman" w:eastAsia="宋体" w:cs="Times New Roman"/>
                <w:b w:val="0"/>
                <w:bCs w:val="0"/>
                <w:color w:val="auto"/>
                <w:sz w:val="21"/>
                <w:szCs w:val="21"/>
                <w:highlight w:val="none"/>
                <w:u w:val="none"/>
                <w:lang w:val="en-US" w:eastAsia="zh-CN" w:bidi="ar"/>
              </w:rPr>
              <w:t>-N</w:t>
            </w:r>
          </w:p>
        </w:tc>
        <w:tc>
          <w:tcPr>
            <w:tcW w:w="1210" w:type="dxa"/>
            <w:noWrap w:val="0"/>
            <w:vAlign w:val="center"/>
          </w:tcPr>
          <w:p w14:paraId="587B2CBE">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3.72</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2980" w:type="dxa"/>
            <w:vMerge w:val="continue"/>
            <w:noWrap w:val="0"/>
            <w:vAlign w:val="center"/>
          </w:tcPr>
          <w:p w14:paraId="2C5C0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29" w:type="dxa"/>
            <w:noWrap w:val="0"/>
            <w:vAlign w:val="center"/>
          </w:tcPr>
          <w:p w14:paraId="6C62202A">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0</w:t>
            </w:r>
          </w:p>
        </w:tc>
      </w:tr>
      <w:tr w14:paraId="61DCA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6" w:hRule="atLeast"/>
          <w:jc w:val="center"/>
        </w:trPr>
        <w:tc>
          <w:tcPr>
            <w:tcW w:w="778" w:type="dxa"/>
            <w:vMerge w:val="restart"/>
            <w:noWrap w:val="0"/>
            <w:vAlign w:val="center"/>
          </w:tcPr>
          <w:p w14:paraId="76A79A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eastAsia="zh-CN"/>
              </w:rPr>
              <w:t>噪声</w:t>
            </w:r>
          </w:p>
        </w:tc>
        <w:tc>
          <w:tcPr>
            <w:tcW w:w="1050" w:type="dxa"/>
            <w:noWrap w:val="0"/>
            <w:vAlign w:val="center"/>
          </w:tcPr>
          <w:p w14:paraId="2AB270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养殖区</w:t>
            </w:r>
          </w:p>
        </w:tc>
        <w:tc>
          <w:tcPr>
            <w:tcW w:w="1260" w:type="dxa"/>
            <w:vMerge w:val="restart"/>
            <w:noWrap w:val="0"/>
            <w:vAlign w:val="center"/>
          </w:tcPr>
          <w:p w14:paraId="04F87F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L</w:t>
            </w:r>
            <w:r>
              <w:rPr>
                <w:rFonts w:hint="eastAsia" w:ascii="Times New Roman" w:hAnsi="Times New Roman" w:eastAsia="宋体" w:cs="Times New Roman"/>
                <w:bCs/>
                <w:color w:val="auto"/>
                <w:sz w:val="21"/>
                <w:szCs w:val="21"/>
                <w:vertAlign w:val="subscript"/>
                <w:lang w:val="en-US" w:eastAsia="zh-CN"/>
              </w:rPr>
              <w:t>Aeq</w:t>
            </w:r>
          </w:p>
        </w:tc>
        <w:tc>
          <w:tcPr>
            <w:tcW w:w="1210" w:type="dxa"/>
            <w:noWrap w:val="0"/>
            <w:vAlign w:val="center"/>
          </w:tcPr>
          <w:p w14:paraId="268039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70-</w:t>
            </w:r>
            <w:r>
              <w:rPr>
                <w:rFonts w:hint="eastAsia" w:ascii="Times New Roman" w:hAnsi="Times New Roman" w:eastAsia="宋体" w:cs="Times New Roman"/>
                <w:bCs/>
                <w:color w:val="auto"/>
                <w:sz w:val="21"/>
                <w:szCs w:val="21"/>
                <w:lang w:val="en-US" w:eastAsia="zh-CN"/>
              </w:rPr>
              <w:t>90</w:t>
            </w:r>
            <w:r>
              <w:rPr>
                <w:rFonts w:hint="default" w:ascii="Times New Roman" w:hAnsi="Times New Roman" w:eastAsia="宋体" w:cs="Times New Roman"/>
                <w:bCs/>
                <w:color w:val="auto"/>
                <w:sz w:val="21"/>
                <w:szCs w:val="21"/>
              </w:rPr>
              <w:t>dB</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A</w:t>
            </w:r>
            <w:r>
              <w:rPr>
                <w:rFonts w:hint="default" w:ascii="Times New Roman" w:hAnsi="Times New Roman" w:eastAsia="宋体" w:cs="Times New Roman"/>
                <w:bCs/>
                <w:color w:val="auto"/>
                <w:sz w:val="21"/>
                <w:szCs w:val="21"/>
                <w:lang w:eastAsia="zh-CN"/>
              </w:rPr>
              <w:t>）</w:t>
            </w:r>
          </w:p>
        </w:tc>
        <w:tc>
          <w:tcPr>
            <w:tcW w:w="2980" w:type="dxa"/>
            <w:vMerge w:val="restart"/>
            <w:noWrap w:val="0"/>
            <w:vAlign w:val="center"/>
          </w:tcPr>
          <w:p w14:paraId="47155B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基础减振、建筑物隔声、距离衰减</w:t>
            </w:r>
          </w:p>
        </w:tc>
        <w:tc>
          <w:tcPr>
            <w:tcW w:w="1229" w:type="dxa"/>
            <w:vMerge w:val="restart"/>
            <w:noWrap w:val="0"/>
            <w:vAlign w:val="center"/>
          </w:tcPr>
          <w:p w14:paraId="0DCF61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highlight w:val="none"/>
                <w:lang w:val="en-US" w:eastAsia="zh-CN"/>
              </w:rPr>
              <w:t>50-75</w:t>
            </w:r>
            <w:r>
              <w:rPr>
                <w:rFonts w:hint="default" w:ascii="Times New Roman" w:hAnsi="Times New Roman" w:eastAsia="宋体" w:cs="Times New Roman"/>
                <w:bCs/>
                <w:color w:val="auto"/>
                <w:sz w:val="21"/>
                <w:szCs w:val="21"/>
                <w:highlight w:val="none"/>
              </w:rPr>
              <w:t>dB</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A</w:t>
            </w:r>
            <w:r>
              <w:rPr>
                <w:rFonts w:hint="default" w:ascii="Times New Roman" w:hAnsi="Times New Roman" w:eastAsia="宋体" w:cs="Times New Roman"/>
                <w:bCs/>
                <w:color w:val="auto"/>
                <w:sz w:val="21"/>
                <w:szCs w:val="21"/>
                <w:highlight w:val="none"/>
                <w:lang w:eastAsia="zh-CN"/>
              </w:rPr>
              <w:t>）</w:t>
            </w:r>
          </w:p>
        </w:tc>
      </w:tr>
      <w:tr w14:paraId="408755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6" w:hRule="atLeast"/>
          <w:jc w:val="center"/>
        </w:trPr>
        <w:tc>
          <w:tcPr>
            <w:tcW w:w="778" w:type="dxa"/>
            <w:vMerge w:val="continue"/>
            <w:noWrap w:val="0"/>
            <w:vAlign w:val="center"/>
          </w:tcPr>
          <w:p w14:paraId="5046E9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p>
        </w:tc>
        <w:tc>
          <w:tcPr>
            <w:tcW w:w="1050" w:type="dxa"/>
            <w:noWrap w:val="0"/>
            <w:vAlign w:val="center"/>
          </w:tcPr>
          <w:p w14:paraId="061F37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饲料加工</w:t>
            </w:r>
            <w:r>
              <w:rPr>
                <w:rFonts w:hint="eastAsia" w:cs="Times New Roman"/>
                <w:bCs/>
                <w:color w:val="auto"/>
                <w:sz w:val="21"/>
                <w:szCs w:val="21"/>
                <w:lang w:val="en-US" w:eastAsia="zh-CN"/>
              </w:rPr>
              <w:t>区</w:t>
            </w:r>
          </w:p>
        </w:tc>
        <w:tc>
          <w:tcPr>
            <w:tcW w:w="1260" w:type="dxa"/>
            <w:vMerge w:val="continue"/>
            <w:noWrap w:val="0"/>
            <w:vAlign w:val="center"/>
          </w:tcPr>
          <w:p w14:paraId="488946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10" w:type="dxa"/>
            <w:noWrap w:val="0"/>
            <w:vAlign w:val="center"/>
          </w:tcPr>
          <w:p w14:paraId="146445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80~95dB</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A</w:t>
            </w:r>
            <w:r>
              <w:rPr>
                <w:rFonts w:hint="default" w:ascii="Times New Roman" w:hAnsi="Times New Roman" w:eastAsia="宋体" w:cs="Times New Roman"/>
                <w:bCs/>
                <w:color w:val="auto"/>
                <w:sz w:val="21"/>
                <w:szCs w:val="21"/>
                <w:lang w:eastAsia="zh-CN"/>
              </w:rPr>
              <w:t>）</w:t>
            </w:r>
          </w:p>
        </w:tc>
        <w:tc>
          <w:tcPr>
            <w:tcW w:w="2980" w:type="dxa"/>
            <w:vMerge w:val="continue"/>
            <w:noWrap w:val="0"/>
            <w:vAlign w:val="center"/>
          </w:tcPr>
          <w:p w14:paraId="62F6CB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29" w:type="dxa"/>
            <w:vMerge w:val="continue"/>
            <w:noWrap w:val="0"/>
            <w:vAlign w:val="center"/>
          </w:tcPr>
          <w:p w14:paraId="316C98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highlight w:val="none"/>
                <w:lang w:val="en-US" w:eastAsia="zh-CN"/>
              </w:rPr>
            </w:pPr>
          </w:p>
        </w:tc>
      </w:tr>
      <w:tr w14:paraId="0C489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0" w:hRule="atLeast"/>
          <w:jc w:val="center"/>
        </w:trPr>
        <w:tc>
          <w:tcPr>
            <w:tcW w:w="778" w:type="dxa"/>
            <w:vMerge w:val="restart"/>
            <w:noWrap w:val="0"/>
            <w:vAlign w:val="center"/>
          </w:tcPr>
          <w:p w14:paraId="203751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固体废弃物</w:t>
            </w:r>
          </w:p>
        </w:tc>
        <w:tc>
          <w:tcPr>
            <w:tcW w:w="1050" w:type="dxa"/>
            <w:vMerge w:val="restart"/>
            <w:noWrap w:val="0"/>
            <w:vAlign w:val="center"/>
          </w:tcPr>
          <w:p w14:paraId="406C95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养殖区</w:t>
            </w:r>
          </w:p>
        </w:tc>
        <w:tc>
          <w:tcPr>
            <w:tcW w:w="1260" w:type="dxa"/>
            <w:noWrap w:val="0"/>
            <w:vAlign w:val="center"/>
          </w:tcPr>
          <w:p w14:paraId="5595FA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牛粪及废发酵垫料</w:t>
            </w:r>
          </w:p>
        </w:tc>
        <w:tc>
          <w:tcPr>
            <w:tcW w:w="1210" w:type="dxa"/>
            <w:noWrap w:val="0"/>
            <w:vAlign w:val="center"/>
          </w:tcPr>
          <w:p w14:paraId="6D53EC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lang w:val="en-US" w:eastAsia="zh-CN"/>
              </w:rPr>
              <w:t>16</w:t>
            </w:r>
            <w:r>
              <w:rPr>
                <w:rFonts w:hint="eastAsia" w:cs="Times New Roman"/>
                <w:bCs/>
                <w:color w:val="auto"/>
                <w:sz w:val="21"/>
                <w:szCs w:val="21"/>
                <w:lang w:val="en-US" w:eastAsia="zh-CN"/>
              </w:rPr>
              <w:t>8</w:t>
            </w:r>
            <w:r>
              <w:rPr>
                <w:rFonts w:hint="default" w:ascii="Times New Roman" w:hAnsi="Times New Roman" w:eastAsia="宋体" w:cs="Times New Roman"/>
                <w:bCs/>
                <w:color w:val="auto"/>
                <w:sz w:val="21"/>
                <w:szCs w:val="21"/>
                <w:lang w:val="en-US" w:eastAsia="zh-CN"/>
              </w:rPr>
              <w:t>3.93</w:t>
            </w:r>
          </w:p>
        </w:tc>
        <w:tc>
          <w:tcPr>
            <w:tcW w:w="2980" w:type="dxa"/>
            <w:noWrap w:val="0"/>
            <w:vAlign w:val="center"/>
          </w:tcPr>
          <w:p w14:paraId="6D38B2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集中清理后堆肥</w:t>
            </w:r>
          </w:p>
        </w:tc>
        <w:tc>
          <w:tcPr>
            <w:tcW w:w="1229" w:type="dxa"/>
            <w:noWrap w:val="0"/>
            <w:vAlign w:val="center"/>
          </w:tcPr>
          <w:p w14:paraId="4E90A7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w:t>
            </w:r>
          </w:p>
        </w:tc>
      </w:tr>
      <w:tr w14:paraId="40F807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0" w:hRule="atLeast"/>
          <w:jc w:val="center"/>
        </w:trPr>
        <w:tc>
          <w:tcPr>
            <w:tcW w:w="778" w:type="dxa"/>
            <w:vMerge w:val="continue"/>
            <w:noWrap w:val="0"/>
            <w:vAlign w:val="center"/>
          </w:tcPr>
          <w:p w14:paraId="107342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2BFD5E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00A093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病死</w:t>
            </w:r>
            <w:r>
              <w:rPr>
                <w:rFonts w:hint="eastAsia" w:ascii="Times New Roman" w:hAnsi="Times New Roman" w:eastAsia="宋体" w:cs="Times New Roman"/>
                <w:bCs/>
                <w:color w:val="auto"/>
                <w:sz w:val="21"/>
                <w:szCs w:val="21"/>
                <w:lang w:val="en-US" w:eastAsia="zh-CN"/>
              </w:rPr>
              <w:t>牛</w:t>
            </w:r>
            <w:r>
              <w:rPr>
                <w:rFonts w:hint="default" w:ascii="Times New Roman" w:hAnsi="Times New Roman" w:eastAsia="宋体" w:cs="Times New Roman"/>
                <w:bCs/>
                <w:color w:val="auto"/>
                <w:sz w:val="21"/>
                <w:szCs w:val="21"/>
              </w:rPr>
              <w:t>尸体</w:t>
            </w:r>
          </w:p>
        </w:tc>
        <w:tc>
          <w:tcPr>
            <w:tcW w:w="1210" w:type="dxa"/>
            <w:noWrap w:val="0"/>
            <w:vAlign w:val="center"/>
          </w:tcPr>
          <w:p w14:paraId="0B44C0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3</w:t>
            </w:r>
          </w:p>
        </w:tc>
        <w:tc>
          <w:tcPr>
            <w:tcW w:w="2980" w:type="dxa"/>
            <w:noWrap w:val="0"/>
            <w:vAlign w:val="center"/>
          </w:tcPr>
          <w:p w14:paraId="60CC01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委托病死畜禽无害化处置单位进行无害化处置</w:t>
            </w:r>
          </w:p>
        </w:tc>
        <w:tc>
          <w:tcPr>
            <w:tcW w:w="1229" w:type="dxa"/>
            <w:noWrap w:val="0"/>
            <w:vAlign w:val="center"/>
          </w:tcPr>
          <w:p w14:paraId="6CE790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rPr>
            </w:pPr>
            <w:r>
              <w:rPr>
                <w:rFonts w:hint="eastAsia" w:ascii="Times New Roman" w:hAnsi="Times New Roman" w:eastAsia="宋体" w:cs="Times New Roman"/>
                <w:color w:val="auto"/>
                <w:sz w:val="21"/>
                <w:szCs w:val="21"/>
                <w:lang w:val="en-US" w:eastAsia="zh-CN"/>
              </w:rPr>
              <w:t>0</w:t>
            </w:r>
          </w:p>
        </w:tc>
      </w:tr>
      <w:tr w14:paraId="08DF2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 w:hRule="atLeast"/>
          <w:jc w:val="center"/>
        </w:trPr>
        <w:tc>
          <w:tcPr>
            <w:tcW w:w="778" w:type="dxa"/>
            <w:vMerge w:val="continue"/>
            <w:noWrap w:val="0"/>
            <w:vAlign w:val="center"/>
          </w:tcPr>
          <w:p w14:paraId="5A55BE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7023BE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3B5CA7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废包装材料</w:t>
            </w:r>
          </w:p>
        </w:tc>
        <w:tc>
          <w:tcPr>
            <w:tcW w:w="1210" w:type="dxa"/>
            <w:noWrap w:val="0"/>
            <w:vAlign w:val="center"/>
          </w:tcPr>
          <w:p w14:paraId="4E8569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2.5</w:t>
            </w:r>
          </w:p>
        </w:tc>
        <w:tc>
          <w:tcPr>
            <w:tcW w:w="2980" w:type="dxa"/>
            <w:noWrap w:val="0"/>
            <w:vAlign w:val="center"/>
          </w:tcPr>
          <w:p w14:paraId="02112C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分类暂存于消毒室内，</w:t>
            </w:r>
            <w:r>
              <w:rPr>
                <w:rFonts w:hint="eastAsia" w:cs="Times New Roman"/>
                <w:bCs/>
                <w:color w:val="auto"/>
                <w:sz w:val="21"/>
                <w:szCs w:val="21"/>
                <w:lang w:val="en-US" w:eastAsia="zh-CN"/>
              </w:rPr>
              <w:t>原厂回收</w:t>
            </w:r>
          </w:p>
        </w:tc>
        <w:tc>
          <w:tcPr>
            <w:tcW w:w="1229" w:type="dxa"/>
            <w:noWrap w:val="0"/>
            <w:vAlign w:val="center"/>
          </w:tcPr>
          <w:p w14:paraId="2E3104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rPr>
            </w:pPr>
            <w:r>
              <w:rPr>
                <w:rFonts w:hint="eastAsia" w:ascii="Times New Roman" w:hAnsi="Times New Roman" w:eastAsia="宋体" w:cs="Times New Roman"/>
                <w:color w:val="auto"/>
                <w:sz w:val="21"/>
                <w:szCs w:val="21"/>
                <w:lang w:val="en-US" w:eastAsia="zh-CN"/>
              </w:rPr>
              <w:t>0</w:t>
            </w:r>
          </w:p>
        </w:tc>
      </w:tr>
      <w:tr w14:paraId="63FEA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0" w:hRule="atLeast"/>
          <w:jc w:val="center"/>
        </w:trPr>
        <w:tc>
          <w:tcPr>
            <w:tcW w:w="778" w:type="dxa"/>
            <w:vMerge w:val="continue"/>
            <w:noWrap w:val="0"/>
            <w:vAlign w:val="center"/>
          </w:tcPr>
          <w:p w14:paraId="369F4A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6A3054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63C78A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医疗废物</w:t>
            </w:r>
          </w:p>
        </w:tc>
        <w:tc>
          <w:tcPr>
            <w:tcW w:w="1210" w:type="dxa"/>
            <w:noWrap w:val="0"/>
            <w:vAlign w:val="center"/>
          </w:tcPr>
          <w:p w14:paraId="2BF5E8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01</w:t>
            </w:r>
          </w:p>
        </w:tc>
        <w:tc>
          <w:tcPr>
            <w:tcW w:w="2980" w:type="dxa"/>
            <w:noWrap w:val="0"/>
            <w:vAlign w:val="center"/>
          </w:tcPr>
          <w:p w14:paraId="052E40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color w:val="auto"/>
                <w:sz w:val="21"/>
                <w:szCs w:val="21"/>
                <w:lang w:val="en-US" w:eastAsia="zh-CN"/>
              </w:rPr>
              <w:t>由兽医回收</w:t>
            </w:r>
            <w:r>
              <w:rPr>
                <w:rFonts w:hint="eastAsia" w:ascii="Times New Roman" w:hAnsi="Times New Roman" w:eastAsia="宋体" w:cs="Times New Roman"/>
                <w:color w:val="auto"/>
                <w:sz w:val="21"/>
                <w:szCs w:val="21"/>
                <w:lang w:val="en-US" w:eastAsia="zh-CN"/>
              </w:rPr>
              <w:t>，委托</w:t>
            </w:r>
            <w:r>
              <w:rPr>
                <w:rFonts w:hint="default" w:ascii="Times New Roman" w:hAnsi="Times New Roman" w:eastAsia="宋体" w:cs="Times New Roman"/>
                <w:color w:val="auto"/>
                <w:sz w:val="21"/>
                <w:szCs w:val="21"/>
              </w:rPr>
              <w:t>有资质的单位</w:t>
            </w:r>
            <w:r>
              <w:rPr>
                <w:rFonts w:hint="eastAsia" w:ascii="Times New Roman" w:hAnsi="Times New Roman" w:eastAsia="宋体" w:cs="Times New Roman"/>
                <w:color w:val="auto"/>
                <w:sz w:val="21"/>
                <w:szCs w:val="21"/>
                <w:lang w:val="en-US" w:eastAsia="zh-CN"/>
              </w:rPr>
              <w:t>运输</w:t>
            </w:r>
            <w:r>
              <w:rPr>
                <w:rFonts w:hint="default" w:ascii="Times New Roman" w:hAnsi="Times New Roman" w:eastAsia="宋体" w:cs="Times New Roman"/>
                <w:color w:val="auto"/>
                <w:sz w:val="21"/>
                <w:szCs w:val="21"/>
              </w:rPr>
              <w:t>处置</w:t>
            </w:r>
          </w:p>
        </w:tc>
        <w:tc>
          <w:tcPr>
            <w:tcW w:w="1229" w:type="dxa"/>
            <w:noWrap w:val="0"/>
            <w:vAlign w:val="center"/>
          </w:tcPr>
          <w:p w14:paraId="6B68D3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p>
        </w:tc>
      </w:tr>
      <w:tr w14:paraId="7A598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0" w:hRule="atLeast"/>
          <w:jc w:val="center"/>
        </w:trPr>
        <w:tc>
          <w:tcPr>
            <w:tcW w:w="778" w:type="dxa"/>
            <w:vMerge w:val="continue"/>
            <w:noWrap w:val="0"/>
            <w:vAlign w:val="center"/>
          </w:tcPr>
          <w:p w14:paraId="759BAD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noWrap w:val="0"/>
            <w:vAlign w:val="center"/>
          </w:tcPr>
          <w:p w14:paraId="0AAC7C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生活区</w:t>
            </w:r>
          </w:p>
        </w:tc>
        <w:tc>
          <w:tcPr>
            <w:tcW w:w="1260" w:type="dxa"/>
            <w:noWrap w:val="0"/>
            <w:vAlign w:val="center"/>
          </w:tcPr>
          <w:p w14:paraId="710A16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生活垃圾</w:t>
            </w:r>
          </w:p>
        </w:tc>
        <w:tc>
          <w:tcPr>
            <w:tcW w:w="1210" w:type="dxa"/>
            <w:noWrap w:val="0"/>
            <w:vAlign w:val="center"/>
          </w:tcPr>
          <w:p w14:paraId="07DAF8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0.73</w:t>
            </w:r>
          </w:p>
        </w:tc>
        <w:tc>
          <w:tcPr>
            <w:tcW w:w="2980" w:type="dxa"/>
            <w:noWrap w:val="0"/>
            <w:vAlign w:val="center"/>
          </w:tcPr>
          <w:p w14:paraId="578AAC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定期委托环卫部门定期清运</w:t>
            </w:r>
          </w:p>
        </w:tc>
        <w:tc>
          <w:tcPr>
            <w:tcW w:w="1229" w:type="dxa"/>
            <w:noWrap w:val="0"/>
            <w:vAlign w:val="center"/>
          </w:tcPr>
          <w:p w14:paraId="56A3A8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0</w:t>
            </w:r>
          </w:p>
        </w:tc>
      </w:tr>
    </w:tbl>
    <w:p w14:paraId="45205797">
      <w:pPr>
        <w:keepNext w:val="0"/>
        <w:keepLines w:val="0"/>
        <w:widowControl w:val="0"/>
        <w:bidi w:val="0"/>
        <w:spacing w:before="0" w:after="0" w:line="360" w:lineRule="auto"/>
        <w:jc w:val="both"/>
        <w:outlineLvl w:val="2"/>
        <w:rPr>
          <w:rFonts w:hint="default" w:ascii="Times New Roman" w:hAnsi="Times New Roman" w:eastAsia="宋体" w:cs="Times New Roman"/>
          <w:b/>
          <w:bCs/>
          <w:kern w:val="0"/>
          <w:sz w:val="28"/>
          <w:szCs w:val="28"/>
          <w:lang w:val="en-US" w:eastAsia="zh-CN" w:bidi="ar-SA"/>
        </w:rPr>
      </w:pPr>
      <w:r>
        <w:rPr>
          <w:rFonts w:hint="eastAsia" w:ascii="Times New Roman" w:hAnsi="Times New Roman" w:eastAsia="宋体" w:cs="Times New Roman"/>
          <w:b/>
          <w:bCs/>
          <w:kern w:val="0"/>
          <w:sz w:val="28"/>
          <w:szCs w:val="28"/>
          <w:lang w:val="en-US" w:eastAsia="zh-CN" w:bidi="ar-SA"/>
        </w:rPr>
        <w:t>3.1.</w:t>
      </w:r>
      <w:r>
        <w:rPr>
          <w:rFonts w:hint="eastAsia" w:cs="Times New Roman"/>
          <w:b/>
          <w:bCs/>
          <w:kern w:val="0"/>
          <w:sz w:val="28"/>
          <w:szCs w:val="28"/>
          <w:lang w:val="en-US" w:eastAsia="zh-CN" w:bidi="ar-SA"/>
        </w:rPr>
        <w:t>6</w:t>
      </w:r>
      <w:r>
        <w:rPr>
          <w:rFonts w:hint="eastAsia" w:ascii="Times New Roman" w:hAnsi="Times New Roman" w:eastAsia="宋体" w:cs="Times New Roman"/>
          <w:b/>
          <w:bCs/>
          <w:kern w:val="0"/>
          <w:sz w:val="28"/>
          <w:szCs w:val="28"/>
          <w:lang w:val="en-US" w:eastAsia="zh-CN" w:bidi="ar-SA"/>
        </w:rPr>
        <w:t>现有</w:t>
      </w:r>
      <w:r>
        <w:rPr>
          <w:rFonts w:hint="default" w:ascii="Times New Roman" w:hAnsi="Times New Roman" w:eastAsia="宋体" w:cs="Times New Roman"/>
          <w:b/>
          <w:bCs/>
          <w:kern w:val="0"/>
          <w:sz w:val="28"/>
          <w:szCs w:val="28"/>
          <w:lang w:val="en-US" w:eastAsia="zh-CN" w:bidi="ar-SA"/>
        </w:rPr>
        <w:t>工程总量排放</w:t>
      </w:r>
    </w:p>
    <w:p w14:paraId="58700E36">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现有工程仅为登记备案</w:t>
      </w:r>
      <w:r>
        <w:rPr>
          <w:rFonts w:hint="default"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不涉及</w:t>
      </w:r>
      <w:r>
        <w:rPr>
          <w:rFonts w:hint="default" w:ascii="Times New Roman" w:hAnsi="Times New Roman" w:eastAsia="宋体" w:cs="宋体"/>
          <w:kern w:val="0"/>
          <w:sz w:val="24"/>
          <w:szCs w:val="24"/>
          <w:lang w:val="en-US" w:eastAsia="zh-CN" w:bidi="ar-SA"/>
        </w:rPr>
        <w:t>总量控制指标。</w:t>
      </w:r>
    </w:p>
    <w:p w14:paraId="1D534384">
      <w:pPr>
        <w:keepNext w:val="0"/>
        <w:keepLines w:val="0"/>
        <w:widowControl w:val="0"/>
        <w:bidi w:val="0"/>
        <w:spacing w:before="0" w:after="0" w:line="360" w:lineRule="auto"/>
        <w:jc w:val="both"/>
        <w:outlineLvl w:val="2"/>
        <w:rPr>
          <w:rFonts w:hint="default" w:ascii="Times New Roman" w:hAnsi="Times New Roman" w:eastAsia="宋体" w:cs="Times New Roman"/>
          <w:b/>
          <w:bCs/>
          <w:kern w:val="0"/>
          <w:sz w:val="28"/>
          <w:szCs w:val="28"/>
          <w:lang w:val="en-US" w:eastAsia="zh-CN" w:bidi="ar-SA"/>
        </w:rPr>
      </w:pPr>
      <w:r>
        <w:rPr>
          <w:rFonts w:hint="default" w:ascii="Times New Roman" w:hAnsi="Times New Roman" w:eastAsia="宋体" w:cs="Times New Roman"/>
          <w:b/>
          <w:bCs/>
          <w:kern w:val="0"/>
          <w:sz w:val="28"/>
          <w:szCs w:val="28"/>
          <w:lang w:val="en-US" w:eastAsia="zh-CN" w:bidi="ar-SA"/>
        </w:rPr>
        <w:t>3.1.</w:t>
      </w:r>
      <w:r>
        <w:rPr>
          <w:rFonts w:hint="eastAsia" w:cs="Times New Roman"/>
          <w:b/>
          <w:bCs/>
          <w:kern w:val="0"/>
          <w:sz w:val="28"/>
          <w:szCs w:val="28"/>
          <w:lang w:val="en-US" w:eastAsia="zh-CN" w:bidi="ar-SA"/>
        </w:rPr>
        <w:t>7</w:t>
      </w:r>
      <w:r>
        <w:rPr>
          <w:rFonts w:hint="eastAsia" w:ascii="Times New Roman" w:hAnsi="Times New Roman" w:cs="Times New Roman"/>
          <w:b/>
          <w:bCs/>
          <w:kern w:val="0"/>
          <w:sz w:val="28"/>
          <w:szCs w:val="28"/>
          <w:lang w:val="en-US" w:eastAsia="zh-CN" w:bidi="ar-SA"/>
        </w:rPr>
        <w:t>现有</w:t>
      </w:r>
      <w:r>
        <w:rPr>
          <w:rFonts w:hint="eastAsia" w:ascii="Times New Roman" w:hAnsi="Times New Roman" w:eastAsia="宋体" w:cs="Times New Roman"/>
          <w:b/>
          <w:bCs/>
          <w:kern w:val="0"/>
          <w:sz w:val="28"/>
          <w:szCs w:val="28"/>
          <w:lang w:val="en-US" w:eastAsia="zh-CN" w:bidi="ar-SA"/>
        </w:rPr>
        <w:t>工程</w:t>
      </w:r>
      <w:r>
        <w:rPr>
          <w:rFonts w:hint="default" w:ascii="Times New Roman" w:hAnsi="Times New Roman" w:eastAsia="宋体" w:cs="Times New Roman"/>
          <w:b/>
          <w:bCs/>
          <w:kern w:val="0"/>
          <w:sz w:val="28"/>
          <w:szCs w:val="28"/>
          <w:lang w:val="en-US" w:eastAsia="zh-CN" w:bidi="ar-SA"/>
        </w:rPr>
        <w:t>存在的环保问题及解决方案</w:t>
      </w:r>
    </w:p>
    <w:p w14:paraId="29C5D4CA">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kern w:val="0"/>
          <w:sz w:val="24"/>
          <w:szCs w:val="24"/>
          <w:lang w:val="en-US" w:eastAsia="zh-CN"/>
        </w:rPr>
      </w:pPr>
      <w:r>
        <w:rPr>
          <w:rFonts w:hint="eastAsia" w:cs="Times New Roman"/>
          <w:color w:val="000000"/>
          <w:kern w:val="0"/>
          <w:sz w:val="24"/>
          <w:szCs w:val="24"/>
          <w:highlight w:val="none"/>
          <w:lang w:val="en-US" w:eastAsia="zh-CN" w:bidi="ar-SA"/>
        </w:rPr>
        <w:t>现有工程未</w:t>
      </w:r>
      <w:r>
        <w:rPr>
          <w:rFonts w:hint="eastAsia" w:ascii="Times New Roman" w:hAnsi="Times New Roman" w:eastAsia="宋体" w:cs="Times New Roman"/>
          <w:color w:val="auto"/>
          <w:kern w:val="2"/>
          <w:sz w:val="24"/>
          <w:szCs w:val="24"/>
          <w:lang w:val="en-US" w:eastAsia="zh-CN"/>
        </w:rPr>
        <w:t>申领固定污染源排污登记回执，无排污许可执行报告相关内容，因此未制定监测计划，未进行例行监测。</w:t>
      </w:r>
      <w:r>
        <w:rPr>
          <w:rFonts w:hint="eastAsia" w:cs="Times New Roman"/>
          <w:color w:val="000000"/>
          <w:kern w:val="0"/>
          <w:sz w:val="24"/>
          <w:szCs w:val="24"/>
          <w:highlight w:val="none"/>
          <w:lang w:val="en-US" w:eastAsia="zh-CN" w:bidi="ar-SA"/>
        </w:rPr>
        <w:t>现有工程自验收以来未收到环保督察问题以及执法检查问题。</w:t>
      </w:r>
    </w:p>
    <w:p w14:paraId="306B8E34">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根据现场踏勘和现行环保要求，现有工程存在如下环境问题：</w:t>
      </w:r>
    </w:p>
    <w:p w14:paraId="2A7F9F40">
      <w:pPr>
        <w:numPr>
          <w:ilvl w:val="0"/>
          <w:numId w:val="10"/>
        </w:numPr>
        <w:overflowPunct w:val="0"/>
        <w:autoSpaceDE w:val="0"/>
        <w:autoSpaceDN w:val="0"/>
        <w:bidi w:val="0"/>
        <w:adjustRightInd w:val="0"/>
        <w:snapToGrid w:val="0"/>
        <w:spacing w:before="0" w:after="0" w:line="360" w:lineRule="auto"/>
        <w:ind w:right="0" w:rightChars="0" w:firstLine="480" w:firstLineChars="200"/>
        <w:jc w:val="left"/>
        <w:rPr>
          <w:rFonts w:hint="eastAsia"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存在问题</w:t>
      </w:r>
      <w:r>
        <w:rPr>
          <w:rFonts w:hint="eastAsia" w:cs="宋体"/>
          <w:color w:val="auto"/>
          <w:kern w:val="0"/>
          <w:sz w:val="24"/>
          <w:szCs w:val="22"/>
          <w:lang w:val="en-US" w:eastAsia="zh-CN"/>
        </w:rPr>
        <w:t>：</w:t>
      </w:r>
    </w:p>
    <w:p w14:paraId="38D8C5D3">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1.建设单位环保手续不全，未申领排污许可证，未编制突发环境事件应急预案；</w:t>
      </w:r>
    </w:p>
    <w:p w14:paraId="074B01E2">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2.现有运动场发酵垫料太少，未分层铺设，运动场地面采用原土夯实，防渗不满足《环境影响评价技术导则 地下水环境》（HJ 610-2016）分区防渗要求</w:t>
      </w:r>
      <w:r>
        <w:rPr>
          <w:rFonts w:hint="eastAsia" w:cs="宋体"/>
          <w:color w:val="auto"/>
          <w:kern w:val="0"/>
          <w:sz w:val="24"/>
          <w:szCs w:val="22"/>
          <w:lang w:val="en-US" w:eastAsia="zh-CN"/>
        </w:rPr>
        <w:t>，固体粪便以及废发酵垫料两年一清理，清理后在堆肥区暂存后直接还田</w:t>
      </w:r>
      <w:r>
        <w:rPr>
          <w:rFonts w:hint="eastAsia" w:ascii="Times New Roman" w:hAnsi="Times New Roman" w:eastAsia="宋体" w:cs="宋体"/>
          <w:color w:val="auto"/>
          <w:kern w:val="0"/>
          <w:sz w:val="24"/>
          <w:szCs w:val="22"/>
          <w:lang w:val="en-US" w:eastAsia="zh-CN"/>
        </w:rPr>
        <w:t>；</w:t>
      </w:r>
    </w:p>
    <w:p w14:paraId="11C3DEAE">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eastAsia"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3.</w:t>
      </w:r>
      <w:r>
        <w:rPr>
          <w:rFonts w:hint="eastAsia" w:ascii="Times New Roman" w:hAnsi="Times New Roman" w:eastAsia="宋体" w:cs="宋体"/>
          <w:color w:val="auto"/>
          <w:kern w:val="0"/>
          <w:sz w:val="24"/>
          <w:szCs w:val="22"/>
          <w:lang w:val="en-US" w:eastAsia="zh-CN"/>
        </w:rPr>
        <w:t>饲料加工区未设置废气收集、治理措施；</w:t>
      </w:r>
    </w:p>
    <w:p w14:paraId="07AFB790">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eastAsia" w:ascii="Times New Roman" w:hAnsi="Times New Roman" w:eastAsia="宋体" w:cs="Times New Roman"/>
          <w:color w:val="000000"/>
          <w:kern w:val="2"/>
          <w:sz w:val="24"/>
          <w:szCs w:val="20"/>
          <w:highlight w:val="none"/>
          <w:lang w:val="en-US" w:eastAsia="zh-CN"/>
        </w:rPr>
      </w:pPr>
      <w:r>
        <w:rPr>
          <w:rFonts w:hint="eastAsia" w:cs="宋体"/>
          <w:color w:val="auto"/>
          <w:kern w:val="0"/>
          <w:sz w:val="24"/>
          <w:szCs w:val="22"/>
          <w:lang w:val="en-US" w:eastAsia="zh-CN"/>
        </w:rPr>
        <w:t>4.废消毒剂包装袋暂存</w:t>
      </w:r>
      <w:r>
        <w:rPr>
          <w:rFonts w:hint="eastAsia" w:ascii="Times New Roman" w:hAnsi="Times New Roman" w:eastAsia="宋体" w:cs="Times New Roman"/>
          <w:color w:val="auto"/>
          <w:kern w:val="2"/>
          <w:sz w:val="24"/>
          <w:szCs w:val="24"/>
          <w:lang w:val="en-US" w:eastAsia="zh-CN" w:bidi="ar-SA"/>
        </w:rPr>
        <w:t>设施不符合要求，未按照</w:t>
      </w:r>
      <w:r>
        <w:rPr>
          <w:rFonts w:hint="default" w:ascii="Times New Roman" w:hAnsi="Times New Roman" w:eastAsia="宋体" w:cs="Times New Roman"/>
          <w:color w:val="000000"/>
          <w:sz w:val="24"/>
          <w:szCs w:val="24"/>
          <w:highlight w:val="none"/>
          <w:lang w:val="en-US" w:eastAsia="zh-CN" w:bidi="ar-SA"/>
        </w:rPr>
        <w:t>《危险废物贮存污染控制标准》（GB18597-2023）</w:t>
      </w:r>
      <w:r>
        <w:rPr>
          <w:rFonts w:hint="eastAsia" w:ascii="Times New Roman" w:hAnsi="Times New Roman" w:eastAsia="宋体" w:cs="Times New Roman"/>
          <w:color w:val="000000"/>
          <w:sz w:val="24"/>
          <w:szCs w:val="24"/>
          <w:highlight w:val="none"/>
          <w:lang w:val="en-US" w:eastAsia="zh-CN" w:bidi="ar-SA"/>
        </w:rPr>
        <w:t>设置</w:t>
      </w:r>
      <w:r>
        <w:rPr>
          <w:rFonts w:hint="eastAsia" w:ascii="Times New Roman" w:hAnsi="Times New Roman" w:eastAsia="宋体" w:cs="Times New Roman"/>
          <w:color w:val="000000"/>
          <w:kern w:val="2"/>
          <w:sz w:val="24"/>
          <w:szCs w:val="24"/>
          <w:highlight w:val="none"/>
          <w:lang w:val="en-US" w:eastAsia="zh-CN" w:bidi="ar-SA"/>
        </w:rPr>
        <w:t>防风、防晒、防雨、防漏、防渗、防腐以及其他环境污染防治措施</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不满足</w:t>
      </w:r>
      <w:r>
        <w:rPr>
          <w:rFonts w:hint="eastAsia" w:ascii="Times New Roman" w:hAnsi="Times New Roman" w:eastAsia="宋体" w:cs="Times New Roman"/>
          <w:color w:val="000000"/>
          <w:kern w:val="2"/>
          <w:sz w:val="24"/>
          <w:szCs w:val="20"/>
          <w:highlight w:val="none"/>
          <w:lang w:val="en-US" w:eastAsia="zh-CN"/>
        </w:rPr>
        <w:t>《危险废物贮存污染控制标准》（GB18597-2023）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w:t>
      </w:r>
    </w:p>
    <w:p w14:paraId="424E86BF">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5.医疗废物未在厂区内设置暂存设施；</w:t>
      </w:r>
    </w:p>
    <w:p w14:paraId="7951C686">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eastAsia"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6.</w:t>
      </w:r>
      <w:r>
        <w:rPr>
          <w:rFonts w:hint="eastAsia" w:ascii="Times New Roman" w:hAnsi="Times New Roman" w:eastAsia="宋体" w:cs="宋体"/>
          <w:color w:val="auto"/>
          <w:kern w:val="0"/>
          <w:sz w:val="24"/>
          <w:szCs w:val="22"/>
          <w:lang w:val="en-US" w:eastAsia="zh-CN"/>
        </w:rPr>
        <w:t>未建立固废台账</w:t>
      </w:r>
      <w:r>
        <w:rPr>
          <w:rFonts w:hint="eastAsia" w:cs="宋体"/>
          <w:color w:val="auto"/>
          <w:kern w:val="0"/>
          <w:sz w:val="24"/>
          <w:szCs w:val="22"/>
          <w:lang w:val="en-US" w:eastAsia="zh-CN"/>
        </w:rPr>
        <w:t>；</w:t>
      </w:r>
    </w:p>
    <w:p w14:paraId="31D88899">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default"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7</w:t>
      </w:r>
      <w:r>
        <w:rPr>
          <w:rFonts w:hint="eastAsia" w:ascii="Times New Roman" w:hAnsi="Times New Roman" w:eastAsia="宋体" w:cs="宋体"/>
          <w:color w:val="auto"/>
          <w:kern w:val="0"/>
          <w:sz w:val="24"/>
          <w:szCs w:val="22"/>
          <w:lang w:val="en-US" w:eastAsia="zh-CN"/>
        </w:rPr>
        <w:t>.未制定监测计划</w:t>
      </w:r>
      <w:r>
        <w:rPr>
          <w:rFonts w:hint="eastAsia" w:cs="宋体"/>
          <w:color w:val="auto"/>
          <w:kern w:val="0"/>
          <w:sz w:val="24"/>
          <w:szCs w:val="22"/>
          <w:lang w:val="en-US" w:eastAsia="zh-CN"/>
        </w:rPr>
        <w:t>；</w:t>
      </w:r>
    </w:p>
    <w:p w14:paraId="596378B0">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eastAsia"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8</w:t>
      </w:r>
      <w:r>
        <w:rPr>
          <w:rFonts w:hint="eastAsia" w:ascii="Times New Roman" w:hAnsi="Times New Roman" w:eastAsia="宋体" w:cs="宋体"/>
          <w:color w:val="auto"/>
          <w:kern w:val="0"/>
          <w:sz w:val="24"/>
          <w:szCs w:val="22"/>
          <w:lang w:val="en-US" w:eastAsia="zh-CN"/>
        </w:rPr>
        <w:t>.厂区内未按照</w:t>
      </w:r>
      <w:r>
        <w:rPr>
          <w:rFonts w:hint="default" w:ascii="Times New Roman" w:hAnsi="Times New Roman" w:eastAsia="宋体" w:cs="宋体"/>
          <w:color w:val="000000"/>
          <w:kern w:val="0"/>
          <w:sz w:val="24"/>
          <w:szCs w:val="22"/>
          <w:lang w:val="en-US" w:eastAsia="zh-CN"/>
        </w:rPr>
        <w:t>《排污口规范化整治技术要求（试行）》（环监</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1996</w:t>
      </w:r>
      <w:r>
        <w:rPr>
          <w:rFonts w:hint="eastAsia" w:ascii="Times New Roman" w:hAnsi="Times New Roman" w:eastAsia="宋体" w:cs="Times New Roman"/>
          <w:sz w:val="24"/>
          <w:lang w:eastAsia="zh-CN"/>
        </w:rPr>
        <w:t>〕</w:t>
      </w:r>
      <w:r>
        <w:rPr>
          <w:rFonts w:hint="default" w:ascii="Times New Roman" w:hAnsi="Times New Roman" w:eastAsia="宋体" w:cs="宋体"/>
          <w:color w:val="000000"/>
          <w:kern w:val="0"/>
          <w:sz w:val="24"/>
          <w:szCs w:val="22"/>
          <w:lang w:val="en-US" w:eastAsia="zh-CN"/>
        </w:rPr>
        <w:t>470号）</w:t>
      </w:r>
      <w:r>
        <w:rPr>
          <w:rFonts w:hint="eastAsia" w:ascii="Times New Roman" w:hAnsi="Times New Roman" w:eastAsia="宋体" w:cs="宋体"/>
          <w:color w:val="000000"/>
          <w:kern w:val="0"/>
          <w:sz w:val="24"/>
          <w:szCs w:val="22"/>
          <w:lang w:val="en-US" w:eastAsia="zh-CN"/>
        </w:rPr>
        <w:t>、</w:t>
      </w:r>
      <w:r>
        <w:rPr>
          <w:rFonts w:hint="eastAsia" w:ascii="Times New Roman" w:hAnsi="Times New Roman" w:eastAsia="宋体" w:cs="宋体"/>
          <w:color w:val="auto"/>
          <w:kern w:val="0"/>
          <w:sz w:val="24"/>
          <w:szCs w:val="22"/>
          <w:lang w:val="en-US" w:eastAsia="zh-CN"/>
        </w:rPr>
        <w:t>《环境保护图形标志—排放口（源）》（GB15562.1-1995）</w:t>
      </w:r>
      <w:r>
        <w:rPr>
          <w:rFonts w:hint="eastAsia" w:cs="宋体"/>
          <w:color w:val="auto"/>
          <w:kern w:val="0"/>
          <w:sz w:val="24"/>
          <w:szCs w:val="22"/>
          <w:lang w:val="en-US" w:eastAsia="zh-CN"/>
        </w:rPr>
        <w:t>、</w:t>
      </w:r>
      <w:r>
        <w:rPr>
          <w:rFonts w:hint="eastAsia" w:ascii="Times New Roman" w:hAnsi="Times New Roman" w:eastAsia="宋体" w:cs="Times New Roman"/>
          <w:color w:val="000000"/>
          <w:kern w:val="2"/>
          <w:sz w:val="24"/>
          <w:szCs w:val="24"/>
          <w:highlight w:val="none"/>
          <w:lang w:val="en-US" w:eastAsia="zh-CN" w:bidi="ar-SA"/>
        </w:rPr>
        <w:t>《危险废物识别标志设置技术规范》（HJ 1276-2022）</w:t>
      </w:r>
      <w:r>
        <w:rPr>
          <w:rFonts w:hint="eastAsia" w:ascii="Times New Roman" w:hAnsi="Times New Roman" w:eastAsia="宋体" w:cs="Times New Roman"/>
          <w:sz w:val="24"/>
          <w:lang w:eastAsia="zh-CN"/>
        </w:rPr>
        <w:t>、《医疗废物集中处置技术规范（试行）》（环发〔2003〕206号）</w:t>
      </w:r>
      <w:r>
        <w:rPr>
          <w:rFonts w:hint="eastAsia" w:ascii="Times New Roman" w:hAnsi="Times New Roman" w:eastAsia="宋体" w:cs="宋体"/>
          <w:color w:val="000000"/>
          <w:kern w:val="0"/>
          <w:sz w:val="24"/>
          <w:szCs w:val="22"/>
          <w:lang w:val="en-US" w:eastAsia="zh-CN"/>
        </w:rPr>
        <w:t>以及《地下水环境监测技术规范》（HJ 164-2020）</w:t>
      </w:r>
      <w:r>
        <w:rPr>
          <w:rFonts w:hint="eastAsia" w:ascii="Times New Roman" w:hAnsi="Times New Roman" w:eastAsia="宋体" w:cs="宋体"/>
          <w:color w:val="auto"/>
          <w:kern w:val="0"/>
          <w:sz w:val="24"/>
          <w:szCs w:val="22"/>
          <w:lang w:val="en-US" w:eastAsia="zh-CN"/>
        </w:rPr>
        <w:t>进行排污口规范化管理。</w:t>
      </w:r>
    </w:p>
    <w:p w14:paraId="1C84CD4A">
      <w:pPr>
        <w:numPr>
          <w:ilvl w:val="0"/>
          <w:numId w:val="0"/>
        </w:numPr>
        <w:overflowPunct w:val="0"/>
        <w:autoSpaceDE w:val="0"/>
        <w:autoSpaceDN w:val="0"/>
        <w:bidi w:val="0"/>
        <w:adjustRightInd w:val="0"/>
        <w:snapToGrid w:val="0"/>
        <w:spacing w:before="0" w:after="0" w:line="360" w:lineRule="auto"/>
        <w:ind w:right="0" w:rightChars="0" w:firstLine="480" w:firstLineChars="200"/>
        <w:jc w:val="left"/>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 xml:space="preserve"> </w:t>
      </w:r>
      <w:r>
        <w:rPr>
          <w:rFonts w:hint="eastAsia" w:cs="宋体"/>
          <w:color w:val="auto"/>
          <w:kern w:val="0"/>
          <w:sz w:val="24"/>
          <w:szCs w:val="22"/>
          <w:lang w:val="en-US" w:eastAsia="zh-CN"/>
        </w:rPr>
        <w:t>（2）</w:t>
      </w:r>
      <w:r>
        <w:rPr>
          <w:rFonts w:hint="eastAsia" w:ascii="Times New Roman" w:hAnsi="Times New Roman" w:eastAsia="宋体" w:cs="宋体"/>
          <w:color w:val="auto"/>
          <w:kern w:val="0"/>
          <w:sz w:val="24"/>
          <w:szCs w:val="22"/>
          <w:lang w:val="en-US" w:eastAsia="zh-CN"/>
        </w:rPr>
        <w:t>解决方案：</w:t>
      </w:r>
    </w:p>
    <w:p w14:paraId="5BFAF747">
      <w:pPr>
        <w:overflowPunct/>
        <w:autoSpaceDE/>
        <w:autoSpaceDN/>
        <w:bidi w:val="0"/>
        <w:adjustRightInd/>
        <w:snapToGrid/>
        <w:spacing w:line="360" w:lineRule="auto"/>
        <w:ind w:firstLine="480" w:firstLineChars="200"/>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1.</w:t>
      </w:r>
      <w:r>
        <w:rPr>
          <w:rFonts w:hint="eastAsia" w:ascii="Times New Roman" w:hAnsi="Times New Roman" w:eastAsia="宋体" w:cs="宋体"/>
          <w:color w:val="000000"/>
          <w:kern w:val="0"/>
          <w:sz w:val="24"/>
          <w:szCs w:val="22"/>
          <w:lang w:val="en-US" w:eastAsia="zh-CN"/>
        </w:rPr>
        <w:t>建议本项目取得批复后，与现有工程一同</w:t>
      </w:r>
      <w:r>
        <w:rPr>
          <w:rFonts w:hint="eastAsia" w:cs="宋体"/>
          <w:color w:val="000000"/>
          <w:kern w:val="0"/>
          <w:sz w:val="24"/>
          <w:szCs w:val="22"/>
          <w:lang w:val="en-US" w:eastAsia="zh-CN"/>
        </w:rPr>
        <w:t>按照要求进行</w:t>
      </w:r>
      <w:r>
        <w:rPr>
          <w:rFonts w:hint="eastAsia" w:ascii="Times New Roman" w:hAnsi="Times New Roman" w:eastAsia="宋体" w:cs="宋体"/>
          <w:color w:val="000000"/>
          <w:kern w:val="0"/>
          <w:sz w:val="24"/>
          <w:szCs w:val="22"/>
          <w:lang w:val="en-US" w:eastAsia="zh-CN"/>
        </w:rPr>
        <w:t>排污许可申领、建设项目竣工环境保护验收以及</w:t>
      </w:r>
      <w:r>
        <w:rPr>
          <w:rFonts w:hint="eastAsia" w:cs="宋体"/>
          <w:color w:val="000000"/>
          <w:kern w:val="0"/>
          <w:sz w:val="24"/>
          <w:szCs w:val="22"/>
          <w:lang w:val="en-US" w:eastAsia="zh-CN"/>
        </w:rPr>
        <w:t>编制</w:t>
      </w:r>
      <w:r>
        <w:rPr>
          <w:rFonts w:hint="eastAsia" w:ascii="Times New Roman" w:hAnsi="Times New Roman" w:eastAsia="宋体" w:cs="宋体"/>
          <w:color w:val="000000"/>
          <w:kern w:val="0"/>
          <w:sz w:val="24"/>
          <w:szCs w:val="22"/>
          <w:lang w:val="en-US" w:eastAsia="zh-CN"/>
        </w:rPr>
        <w:t>突发环境事件应急预案并报</w:t>
      </w:r>
      <w:r>
        <w:rPr>
          <w:rFonts w:hint="eastAsia" w:cs="宋体"/>
          <w:color w:val="000000"/>
          <w:kern w:val="0"/>
          <w:sz w:val="24"/>
          <w:szCs w:val="22"/>
          <w:lang w:val="en-US" w:eastAsia="zh-CN"/>
        </w:rPr>
        <w:t>第七师胡杨河市</w:t>
      </w:r>
      <w:r>
        <w:rPr>
          <w:rFonts w:hint="eastAsia" w:ascii="Times New Roman" w:hAnsi="Times New Roman" w:eastAsia="宋体" w:cs="宋体"/>
          <w:color w:val="000000"/>
          <w:kern w:val="0"/>
          <w:sz w:val="24"/>
          <w:szCs w:val="22"/>
          <w:lang w:val="en-US" w:eastAsia="zh-CN"/>
        </w:rPr>
        <w:t>生态环境局备案，本项目建成后建议现有工程与本项目一同进行竣工环境保护验收；</w:t>
      </w:r>
    </w:p>
    <w:p w14:paraId="287A2154">
      <w:pPr>
        <w:overflowPunct/>
        <w:autoSpaceDE/>
        <w:autoSpaceDN/>
        <w:bidi w:val="0"/>
        <w:adjustRightInd/>
        <w:snapToGrid/>
        <w:spacing w:line="360" w:lineRule="auto"/>
        <w:ind w:firstLine="480" w:firstLineChars="200"/>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2.</w:t>
      </w:r>
      <w:r>
        <w:rPr>
          <w:rFonts w:hint="eastAsia" w:ascii="Times New Roman" w:hAnsi="Times New Roman" w:eastAsia="宋体" w:cs="Times New Roman"/>
          <w:color w:val="auto"/>
          <w:kern w:val="0"/>
          <w:sz w:val="24"/>
          <w:szCs w:val="24"/>
          <w:lang w:val="en-US" w:eastAsia="zh-CN"/>
        </w:rPr>
        <w:t>根据《排污单位环境管理台账及排污许可证执行报告技术规范总则（试行）》（HJ944-2018），环境管理台账指排污单位根据排污许可证的规定，对自行监测、落实各项环境管理要求等行为的具体记录，包括电子台账和纸质台账两种。环境管理台账记录内容包括生产设施基本信息、生产设施运行管理信息、污染防治设施运行管理信息、监测记录信息及其他环境管理信息等。</w:t>
      </w:r>
    </w:p>
    <w:p w14:paraId="31130DD3">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right="0" w:rightChars="0" w:firstLine="480" w:firstLineChars="200"/>
        <w:jc w:val="left"/>
        <w:textAlignment w:val="auto"/>
        <w:rPr>
          <w:rFonts w:hint="default" w:ascii="Times New Roman" w:hAnsi="Times New Roman" w:eastAsia="宋体" w:cs="宋体"/>
          <w:color w:val="000000"/>
          <w:kern w:val="0"/>
          <w:sz w:val="24"/>
          <w:szCs w:val="22"/>
          <w:lang w:val="en-US" w:eastAsia="zh-CN"/>
        </w:rPr>
      </w:pPr>
      <w:r>
        <w:rPr>
          <w:rFonts w:hint="eastAsia" w:ascii="Times New Roman" w:hAnsi="Times New Roman" w:eastAsia="宋体" w:cs="宋体"/>
          <w:color w:val="000000"/>
          <w:kern w:val="0"/>
          <w:sz w:val="24"/>
          <w:szCs w:val="22"/>
          <w:lang w:val="en-US" w:eastAsia="zh-CN"/>
        </w:rPr>
        <w:t>3、</w:t>
      </w:r>
      <w:r>
        <w:rPr>
          <w:rFonts w:hint="default" w:ascii="Times New Roman" w:hAnsi="Times New Roman" w:eastAsia="宋体" w:cs="宋体"/>
          <w:color w:val="000000"/>
          <w:kern w:val="0"/>
          <w:sz w:val="24"/>
          <w:szCs w:val="22"/>
          <w:lang w:val="en-US" w:eastAsia="zh-CN"/>
        </w:rPr>
        <w:t>按照《排污单位自行监测技术指南 总则》（HJ819-2017）、《排污单位自行监测技术指南 畜禽养殖行业》（HJ1252-2022）、</w:t>
      </w:r>
      <w:r>
        <w:rPr>
          <w:rFonts w:hint="eastAsia" w:ascii="Times New Roman" w:hAnsi="Times New Roman" w:eastAsia="宋体" w:cs="Times New Roman"/>
          <w:color w:val="000000"/>
          <w:kern w:val="0"/>
          <w:sz w:val="24"/>
          <w:szCs w:val="20"/>
          <w:highlight w:val="none"/>
          <w:lang w:val="en-US" w:eastAsia="zh-CN"/>
        </w:rPr>
        <w:t>《地下水环境监测技术规范》（HJ164-2020）</w:t>
      </w:r>
      <w:r>
        <w:rPr>
          <w:rFonts w:hint="eastAsia" w:cs="Times New Roman"/>
          <w:color w:val="000000"/>
          <w:kern w:val="0"/>
          <w:sz w:val="24"/>
          <w:szCs w:val="20"/>
          <w:highlight w:val="none"/>
          <w:lang w:val="en-US" w:eastAsia="zh-CN"/>
        </w:rPr>
        <w:t>以及</w:t>
      </w:r>
      <w:r>
        <w:rPr>
          <w:rFonts w:hint="eastAsia" w:ascii="Times New Roman" w:hAnsi="Times New Roman" w:eastAsia="宋体" w:cs="Times New Roman"/>
          <w:color w:val="000000"/>
          <w:kern w:val="0"/>
          <w:sz w:val="24"/>
          <w:szCs w:val="20"/>
          <w:highlight w:val="none"/>
          <w:lang w:eastAsia="zh-CN"/>
        </w:rPr>
        <w:t>《</w:t>
      </w:r>
      <w:r>
        <w:rPr>
          <w:rFonts w:hint="eastAsia" w:ascii="Times New Roman" w:hAnsi="Times New Roman" w:eastAsia="宋体" w:cs="Times New Roman"/>
          <w:color w:val="000000"/>
          <w:kern w:val="0"/>
          <w:sz w:val="24"/>
          <w:szCs w:val="20"/>
          <w:highlight w:val="none"/>
        </w:rPr>
        <w:t>工业企业土壤和地下水自行监测技术指南（试行）</w:t>
      </w:r>
      <w:r>
        <w:rPr>
          <w:rFonts w:hint="eastAsia" w:ascii="Times New Roman" w:hAnsi="Times New Roman" w:eastAsia="宋体" w:cs="Times New Roman"/>
          <w:color w:val="000000"/>
          <w:kern w:val="0"/>
          <w:sz w:val="24"/>
          <w:szCs w:val="20"/>
          <w:highlight w:val="none"/>
          <w:lang w:eastAsia="zh-CN"/>
        </w:rPr>
        <w:t>》（HJ 1209</w:t>
      </w:r>
      <w:r>
        <w:rPr>
          <w:rFonts w:hint="eastAsia" w:ascii="Times New Roman" w:hAnsi="Times New Roman" w:eastAsia="宋体"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eastAsia="zh-CN"/>
        </w:rPr>
        <w:t>2021）</w:t>
      </w:r>
      <w:r>
        <w:rPr>
          <w:rFonts w:hint="default" w:ascii="Times New Roman" w:hAnsi="Times New Roman" w:eastAsia="宋体" w:cs="宋体"/>
          <w:color w:val="000000"/>
          <w:kern w:val="0"/>
          <w:sz w:val="24"/>
          <w:szCs w:val="22"/>
          <w:lang w:val="en-US" w:eastAsia="zh-CN"/>
        </w:rPr>
        <w:t>等规范、指南制定监测计划</w:t>
      </w:r>
      <w:r>
        <w:rPr>
          <w:rFonts w:hint="eastAsia" w:ascii="Times New Roman" w:hAnsi="Times New Roman" w:eastAsia="宋体" w:cs="宋体"/>
          <w:color w:val="000000"/>
          <w:kern w:val="0"/>
          <w:sz w:val="24"/>
          <w:szCs w:val="22"/>
          <w:lang w:val="en-US" w:eastAsia="zh-CN"/>
        </w:rPr>
        <w:t>，并定期进行监测。</w:t>
      </w:r>
    </w:p>
    <w:p w14:paraId="6891185F">
      <w:pPr>
        <w:overflowPunct/>
        <w:autoSpaceDE/>
        <w:autoSpaceDN/>
        <w:bidi w:val="0"/>
        <w:adjustRightInd/>
        <w:snapToGrid/>
        <w:spacing w:line="360" w:lineRule="auto"/>
        <w:ind w:firstLine="480" w:firstLineChars="200"/>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宋体"/>
          <w:color w:val="000000"/>
          <w:kern w:val="0"/>
          <w:sz w:val="24"/>
          <w:szCs w:val="22"/>
          <w:lang w:val="en-US" w:eastAsia="zh-CN"/>
        </w:rPr>
        <w:t>4.</w:t>
      </w:r>
      <w:r>
        <w:rPr>
          <w:rFonts w:hint="default" w:ascii="Times New Roman" w:hAnsi="Times New Roman" w:eastAsia="宋体" w:cs="宋体"/>
          <w:color w:val="000000"/>
          <w:kern w:val="0"/>
          <w:sz w:val="24"/>
          <w:szCs w:val="22"/>
          <w:lang w:val="en-US" w:eastAsia="zh-CN"/>
        </w:rPr>
        <w:t>按照《排污口规范化整治技术要求（试行）》（环监</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1996</w:t>
      </w:r>
      <w:r>
        <w:rPr>
          <w:rFonts w:hint="eastAsia" w:ascii="Times New Roman" w:hAnsi="Times New Roman" w:eastAsia="宋体" w:cs="Times New Roman"/>
          <w:sz w:val="24"/>
          <w:lang w:eastAsia="zh-CN"/>
        </w:rPr>
        <w:t>〕</w:t>
      </w:r>
      <w:r>
        <w:rPr>
          <w:rFonts w:hint="default" w:ascii="Times New Roman" w:hAnsi="Times New Roman" w:eastAsia="宋体" w:cs="宋体"/>
          <w:color w:val="000000"/>
          <w:kern w:val="0"/>
          <w:sz w:val="24"/>
          <w:szCs w:val="22"/>
          <w:lang w:val="en-US" w:eastAsia="zh-CN"/>
        </w:rPr>
        <w:t>470号）、《环境保护图形标志—排放口（源）》（GB15562.1-1995）、</w:t>
      </w:r>
      <w:r>
        <w:rPr>
          <w:rFonts w:hint="eastAsia" w:ascii="Times New Roman" w:hAnsi="Times New Roman" w:eastAsia="宋体" w:cs="Times New Roman"/>
          <w:color w:val="000000"/>
          <w:kern w:val="2"/>
          <w:sz w:val="24"/>
          <w:szCs w:val="24"/>
          <w:highlight w:val="none"/>
          <w:lang w:val="en-US" w:eastAsia="zh-CN" w:bidi="ar-SA"/>
        </w:rPr>
        <w:t>《危险废物识别标志设置技术规范》（HJ 1276-2022）</w:t>
      </w:r>
      <w:r>
        <w:rPr>
          <w:rFonts w:hint="eastAsia" w:ascii="Times New Roman" w:hAnsi="Times New Roman" w:eastAsia="宋体" w:cs="Times New Roman"/>
          <w:sz w:val="24"/>
          <w:lang w:eastAsia="zh-CN"/>
        </w:rPr>
        <w:t>、《医疗废物集中处置技术规范（试行）》（环发〔2003〕206号）</w:t>
      </w:r>
      <w:r>
        <w:rPr>
          <w:rFonts w:hint="default" w:ascii="Times New Roman" w:hAnsi="Times New Roman" w:eastAsia="宋体" w:cs="宋体"/>
          <w:color w:val="000000"/>
          <w:kern w:val="0"/>
          <w:sz w:val="24"/>
          <w:szCs w:val="22"/>
          <w:lang w:val="en-US" w:eastAsia="zh-CN"/>
        </w:rPr>
        <w:t>以及《地下水环境监测技术规范》（HJ 164-2020）进行排污口规范化管理</w:t>
      </w:r>
      <w:r>
        <w:rPr>
          <w:rFonts w:hint="eastAsia" w:ascii="Times New Roman" w:hAnsi="Times New Roman" w:eastAsia="宋体" w:cs="Times New Roman"/>
          <w:color w:val="auto"/>
          <w:kern w:val="0"/>
          <w:sz w:val="24"/>
          <w:szCs w:val="24"/>
          <w:lang w:val="en-US" w:eastAsia="zh-CN"/>
        </w:rPr>
        <w:t>。</w:t>
      </w:r>
    </w:p>
    <w:p w14:paraId="2140E640">
      <w:pPr>
        <w:overflowPunct/>
        <w:autoSpaceDE/>
        <w:autoSpaceDN/>
        <w:bidi w:val="0"/>
        <w:adjustRightInd/>
        <w:snapToGrid/>
        <w:spacing w:line="360" w:lineRule="auto"/>
        <w:ind w:firstLine="480" w:firstLineChars="200"/>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（3）“以新带老”措施：</w:t>
      </w:r>
    </w:p>
    <w:p w14:paraId="1EB82CDB">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1</w:t>
      </w:r>
      <w:r>
        <w:rPr>
          <w:rFonts w:hint="eastAsia" w:ascii="Times New Roman" w:hAnsi="Times New Roman" w:eastAsia="宋体" w:cs="Times New Roman"/>
          <w:color w:val="auto"/>
          <w:kern w:val="0"/>
          <w:sz w:val="24"/>
          <w:szCs w:val="24"/>
          <w:lang w:val="en-US" w:eastAsia="zh-CN"/>
        </w:rPr>
        <w:t>.本项目</w:t>
      </w:r>
      <w:r>
        <w:rPr>
          <w:rFonts w:hint="eastAsia" w:ascii="Times New Roman" w:hAnsi="Times New Roman" w:eastAsia="宋体" w:cs="宋体"/>
          <w:color w:val="auto"/>
          <w:kern w:val="0"/>
          <w:sz w:val="24"/>
          <w:szCs w:val="22"/>
          <w:lang w:val="en-US" w:eastAsia="zh-CN"/>
        </w:rPr>
        <w:t>运动场</w:t>
      </w:r>
      <w:r>
        <w:rPr>
          <w:rFonts w:hint="eastAsia" w:cs="Times New Roman"/>
          <w:color w:val="auto"/>
          <w:kern w:val="0"/>
          <w:sz w:val="24"/>
          <w:szCs w:val="24"/>
          <w:lang w:val="en-US" w:eastAsia="zh-CN"/>
        </w:rPr>
        <w:t>在原土</w:t>
      </w:r>
      <w:r>
        <w:rPr>
          <w:rFonts w:hint="default" w:ascii="Times New Roman" w:hAnsi="Times New Roman" w:eastAsia="宋体" w:cs="Times New Roman"/>
          <w:color w:val="000000"/>
          <w:kern w:val="2"/>
          <w:sz w:val="24"/>
          <w:szCs w:val="20"/>
          <w:highlight w:val="none"/>
          <w:lang w:val="en-US" w:eastAsia="zh-CN"/>
        </w:rPr>
        <w:t>夯实</w:t>
      </w:r>
      <w:r>
        <w:rPr>
          <w:rFonts w:hint="eastAsia" w:ascii="Times New Roman" w:hAnsi="Times New Roman" w:eastAsia="宋体" w:cs="Times New Roman"/>
          <w:color w:val="000000"/>
          <w:kern w:val="2"/>
          <w:sz w:val="24"/>
          <w:szCs w:val="20"/>
          <w:highlight w:val="none"/>
          <w:lang w:val="en-US" w:eastAsia="zh-CN"/>
        </w:rPr>
        <w:t>的基础上增设</w:t>
      </w:r>
      <w:r>
        <w:rPr>
          <w:rFonts w:hint="eastAsia" w:cs="Times New Roman"/>
          <w:color w:val="000000"/>
          <w:kern w:val="2"/>
          <w:sz w:val="24"/>
          <w:szCs w:val="20"/>
          <w:highlight w:val="none"/>
          <w:lang w:val="en-US" w:eastAsia="zh-CN"/>
        </w:rPr>
        <w:t>3</w:t>
      </w:r>
      <w:r>
        <w:rPr>
          <w:rFonts w:hint="default" w:ascii="Times New Roman" w:hAnsi="Times New Roman" w:eastAsia="宋体" w:cs="Times New Roman"/>
          <w:color w:val="000000"/>
          <w:kern w:val="2"/>
          <w:sz w:val="24"/>
          <w:szCs w:val="20"/>
          <w:highlight w:val="none"/>
          <w:lang w:val="en-US" w:eastAsia="zh-CN"/>
        </w:rPr>
        <w:t>mm厚高密度聚乙烯膜（HDPE）</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。各运动场、牛舍、饲喂凉棚均增设</w:t>
      </w:r>
      <w:r>
        <w:rPr>
          <w:rFonts w:hint="eastAsia" w:ascii="Times New Roman" w:hAnsi="Times New Roman" w:eastAsia="宋体" w:cs="Times New Roman"/>
          <w:color w:val="auto"/>
          <w:kern w:val="0"/>
          <w:sz w:val="24"/>
          <w:szCs w:val="24"/>
          <w:lang w:val="en-US" w:eastAsia="zh-CN"/>
        </w:rPr>
        <w:t>原位发酵床养殖技术用于无害化处理粪污，在运动场内直接铺设发酵垫料，垫料厚度夏天为</w:t>
      </w:r>
      <w:r>
        <w:rPr>
          <w:rFonts w:hint="eastAsia" w:cs="Times New Roman"/>
          <w:color w:val="auto"/>
          <w:kern w:val="0"/>
          <w:sz w:val="24"/>
          <w:szCs w:val="24"/>
          <w:lang w:val="en-US" w:eastAsia="zh-CN"/>
        </w:rPr>
        <w:t>30</w:t>
      </w:r>
      <w:r>
        <w:rPr>
          <w:rFonts w:hint="eastAsia" w:ascii="Times New Roman" w:hAnsi="Times New Roman" w:eastAsia="宋体" w:cs="Times New Roman"/>
          <w:color w:val="auto"/>
          <w:kern w:val="0"/>
          <w:sz w:val="24"/>
          <w:szCs w:val="24"/>
          <w:lang w:val="en-US" w:eastAsia="zh-CN"/>
        </w:rPr>
        <w:t>cm，冬季为</w:t>
      </w:r>
      <w:r>
        <w:rPr>
          <w:rFonts w:hint="eastAsia" w:cs="Times New Roman"/>
          <w:color w:val="auto"/>
          <w:kern w:val="0"/>
          <w:sz w:val="24"/>
          <w:szCs w:val="24"/>
          <w:lang w:val="en-US" w:eastAsia="zh-CN"/>
        </w:rPr>
        <w:t>70</w:t>
      </w:r>
      <w:r>
        <w:rPr>
          <w:rFonts w:hint="eastAsia" w:ascii="Times New Roman" w:hAnsi="Times New Roman" w:eastAsia="宋体" w:cs="Times New Roman"/>
          <w:color w:val="auto"/>
          <w:kern w:val="0"/>
          <w:sz w:val="24"/>
          <w:szCs w:val="24"/>
          <w:lang w:val="en-US" w:eastAsia="zh-CN"/>
        </w:rPr>
        <w:t>cm。垫料底层可先铺</w:t>
      </w:r>
      <w:r>
        <w:rPr>
          <w:rFonts w:hint="eastAsia" w:cs="Times New Roman"/>
          <w:color w:val="auto"/>
          <w:kern w:val="0"/>
          <w:sz w:val="24"/>
          <w:szCs w:val="24"/>
          <w:lang w:val="en-US" w:eastAsia="zh-CN"/>
        </w:rPr>
        <w:t>10～20</w:t>
      </w:r>
      <w:r>
        <w:rPr>
          <w:rFonts w:hint="eastAsia" w:ascii="Times New Roman" w:hAnsi="Times New Roman" w:eastAsia="宋体" w:cs="Times New Roman"/>
          <w:color w:val="auto"/>
          <w:kern w:val="0"/>
          <w:sz w:val="24"/>
          <w:szCs w:val="24"/>
          <w:lang w:val="en-US" w:eastAsia="zh-CN"/>
        </w:rPr>
        <w:t>cm的碎玉米秸秆，中间一层铺上稻草、锯末和稻壳等，然后按0.5</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1.0L/m</w:t>
      </w:r>
      <w:r>
        <w:rPr>
          <w:rFonts w:hint="eastAsia" w:ascii="Times New Roman" w:hAnsi="Times New Roman" w:eastAsia="宋体" w:cs="Times New Roman"/>
          <w:color w:val="auto"/>
          <w:kern w:val="0"/>
          <w:sz w:val="24"/>
          <w:szCs w:val="24"/>
          <w:vertAlign w:val="superscript"/>
          <w:lang w:val="en-US" w:eastAsia="zh-CN"/>
        </w:rPr>
        <w:t>2</w:t>
      </w:r>
      <w:r>
        <w:rPr>
          <w:rFonts w:hint="eastAsia" w:ascii="Times New Roman" w:hAnsi="Times New Roman" w:eastAsia="宋体" w:cs="Times New Roman"/>
          <w:color w:val="auto"/>
          <w:kern w:val="0"/>
          <w:sz w:val="24"/>
          <w:szCs w:val="24"/>
          <w:lang w:val="en-US" w:eastAsia="zh-CN"/>
        </w:rPr>
        <w:t>喷洒发酵菌（液体），充分混合搅拌均匀，使垫料</w:t>
      </w:r>
      <w:r>
        <w:rPr>
          <w:rFonts w:hint="eastAsia" w:eastAsia="宋体" w:cs="Times New Roman"/>
          <w:color w:val="auto"/>
          <w:kern w:val="0"/>
          <w:sz w:val="24"/>
          <w:szCs w:val="24"/>
          <w:lang w:val="en-US" w:eastAsia="zh-CN"/>
        </w:rPr>
        <w:t>水分</w:t>
      </w:r>
      <w:r>
        <w:rPr>
          <w:rFonts w:hint="eastAsia" w:ascii="Times New Roman" w:hAnsi="Times New Roman" w:eastAsia="宋体" w:cs="Times New Roman"/>
          <w:color w:val="auto"/>
          <w:kern w:val="0"/>
          <w:sz w:val="24"/>
          <w:szCs w:val="24"/>
          <w:lang w:val="en-US" w:eastAsia="zh-CN"/>
        </w:rPr>
        <w:t>保持在40%〜50%。</w:t>
      </w:r>
      <w:r>
        <w:rPr>
          <w:rFonts w:hint="eastAsia" w:cs="Times New Roman"/>
          <w:color w:val="auto"/>
          <w:kern w:val="0"/>
          <w:sz w:val="24"/>
          <w:szCs w:val="24"/>
          <w:lang w:val="en-US" w:eastAsia="zh-CN"/>
        </w:rPr>
        <w:t>上面</w:t>
      </w:r>
      <w:r>
        <w:rPr>
          <w:rFonts w:hint="eastAsia" w:ascii="Times New Roman" w:hAnsi="Times New Roman" w:eastAsia="宋体" w:cs="Times New Roman"/>
          <w:color w:val="auto"/>
          <w:kern w:val="0"/>
          <w:sz w:val="24"/>
          <w:szCs w:val="24"/>
          <w:lang w:val="en-US" w:eastAsia="zh-CN"/>
        </w:rPr>
        <w:t>用干的碎秸秆覆盖，发酵好的垫料摊开整平，3d即可使用。进牛之前要预先发酵，使材料的温度</w:t>
      </w:r>
      <w:r>
        <w:rPr>
          <w:rFonts w:hint="eastAsia" w:cs="Times New Roman"/>
          <w:color w:val="auto"/>
          <w:kern w:val="0"/>
          <w:sz w:val="24"/>
          <w:szCs w:val="24"/>
          <w:lang w:val="en-US" w:eastAsia="zh-CN"/>
        </w:rPr>
        <w:t>达到</w:t>
      </w:r>
      <w:r>
        <w:rPr>
          <w:rFonts w:hint="eastAsia" w:ascii="Times New Roman" w:hAnsi="Times New Roman" w:eastAsia="宋体" w:cs="Times New Roman"/>
          <w:color w:val="auto"/>
          <w:kern w:val="0"/>
          <w:sz w:val="24"/>
          <w:szCs w:val="24"/>
          <w:lang w:val="en-US" w:eastAsia="zh-CN"/>
        </w:rPr>
        <w:t>50℃，以杀死病原菌和寄生虫卵，而50℃高温有利于乳酸菌、酵母菌、光合细菌等益生菌的繁殖。</w:t>
      </w:r>
      <w:r>
        <w:rPr>
          <w:rFonts w:hint="eastAsia" w:cs="Times New Roman"/>
          <w:color w:val="auto"/>
          <w:kern w:val="0"/>
          <w:sz w:val="24"/>
          <w:szCs w:val="24"/>
          <w:lang w:val="en-US" w:eastAsia="zh-CN"/>
        </w:rPr>
        <w:t>冬季每层增加</w:t>
      </w:r>
      <w:r>
        <w:rPr>
          <w:rFonts w:hint="eastAsia" w:ascii="Times New Roman" w:hAnsi="Times New Roman" w:eastAsia="宋体" w:cs="Times New Roman"/>
          <w:color w:val="auto"/>
          <w:kern w:val="0"/>
          <w:sz w:val="24"/>
          <w:szCs w:val="24"/>
          <w:lang w:val="en-US" w:eastAsia="zh-CN"/>
        </w:rPr>
        <w:t>垫料约10 cm，注意保持垫料干燥</w:t>
      </w:r>
      <w:r>
        <w:rPr>
          <w:rFonts w:hint="eastAsia" w:cs="Times New Roman"/>
          <w:color w:val="auto"/>
          <w:kern w:val="0"/>
          <w:sz w:val="24"/>
          <w:szCs w:val="24"/>
          <w:lang w:val="en-US" w:eastAsia="zh-CN"/>
        </w:rPr>
        <w:t>。建议现有工程粪便及废发酵垫料在每年牛出栏后统一清理，和本项目粪便及废发酵垫料一同运输至堆肥间翻抛、混料以及少量不合格品二次发酵后还田；</w:t>
      </w:r>
    </w:p>
    <w:p w14:paraId="20413FCD">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宋体"/>
          <w:color w:val="auto"/>
          <w:kern w:val="0"/>
          <w:sz w:val="24"/>
          <w:szCs w:val="22"/>
          <w:lang w:val="en-US" w:eastAsia="zh-CN"/>
        </w:rPr>
      </w:pPr>
      <w:r>
        <w:rPr>
          <w:rFonts w:hint="eastAsia" w:cs="Times New Roman"/>
          <w:color w:val="auto"/>
          <w:kern w:val="0"/>
          <w:sz w:val="24"/>
          <w:szCs w:val="24"/>
          <w:lang w:val="en-US" w:eastAsia="zh-CN"/>
        </w:rPr>
        <w:t>2.本项目建成后，对饲料加工区饲料粉碎、固定式TMR设备增设包围型集气罩+袋式除尘+15m排气筒，处理后颗粒物满足</w:t>
      </w:r>
      <w:r>
        <w:rPr>
          <w:rFonts w:hint="eastAsia" w:ascii="Times New Roman" w:hAnsi="Times New Roman" w:eastAsia="宋体" w:cs="宋体"/>
          <w:color w:val="auto"/>
          <w:kern w:val="0"/>
          <w:sz w:val="24"/>
          <w:szCs w:val="22"/>
          <w:lang w:val="en-US" w:eastAsia="zh-CN"/>
        </w:rPr>
        <w:t>《大气污染物综合排放标准》（GB 16297-1996）表2 新污染源大气污染物排放限值要求</w:t>
      </w:r>
      <w:r>
        <w:rPr>
          <w:rFonts w:hint="eastAsia" w:cs="宋体"/>
          <w:color w:val="auto"/>
          <w:kern w:val="0"/>
          <w:sz w:val="24"/>
          <w:szCs w:val="22"/>
          <w:lang w:val="en-US" w:eastAsia="zh-CN"/>
        </w:rPr>
        <w:t>；</w:t>
      </w:r>
    </w:p>
    <w:p w14:paraId="4B8FFDDE">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3.本项目设置</w:t>
      </w:r>
      <w:r>
        <w:rPr>
          <w:rFonts w:hint="eastAsia" w:cs="Times New Roman"/>
          <w:color w:val="auto"/>
          <w:sz w:val="24"/>
          <w:szCs w:val="24"/>
          <w:highlight w:val="none"/>
          <w:lang w:val="en-US" w:eastAsia="zh-CN"/>
        </w:rPr>
        <w:t>10m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危险废物贮存点，用于贮存本项目以及现有工程废消毒剂包装材料，</w:t>
      </w:r>
      <w:r>
        <w:rPr>
          <w:rFonts w:hint="eastAsia" w:ascii="Times New Roman" w:hAnsi="Times New Roman" w:eastAsia="宋体" w:cs="Times New Roman"/>
          <w:sz w:val="24"/>
          <w:lang w:val="en-US" w:eastAsia="zh-CN"/>
        </w:rPr>
        <w:t>危险废物</w:t>
      </w:r>
      <w:r>
        <w:rPr>
          <w:rFonts w:hint="eastAsia" w:ascii="Times New Roman" w:hAnsi="Times New Roman" w:eastAsia="宋体" w:cs="Times New Roman"/>
          <w:sz w:val="24"/>
        </w:rPr>
        <w:t>最终交</w:t>
      </w:r>
      <w:r>
        <w:rPr>
          <w:rFonts w:hint="default" w:ascii="Times New Roman" w:hAnsi="Times New Roman" w:eastAsia="宋体" w:cs="Times New Roman"/>
          <w:sz w:val="24"/>
        </w:rPr>
        <w:t>由</w:t>
      </w:r>
      <w:r>
        <w:rPr>
          <w:rFonts w:hint="eastAsia" w:ascii="Times New Roman" w:hAnsi="Times New Roman" w:eastAsia="宋体" w:cs="Times New Roman"/>
          <w:sz w:val="24"/>
        </w:rPr>
        <w:t>有资质</w:t>
      </w:r>
      <w:r>
        <w:rPr>
          <w:rFonts w:hint="default" w:ascii="Times New Roman" w:hAnsi="Times New Roman" w:eastAsia="宋体" w:cs="Times New Roman"/>
          <w:sz w:val="24"/>
        </w:rPr>
        <w:t>单位</w:t>
      </w:r>
      <w:r>
        <w:rPr>
          <w:rFonts w:hint="eastAsia" w:ascii="Times New Roman" w:hAnsi="Times New Roman" w:eastAsia="宋体" w:cs="Times New Roman"/>
          <w:sz w:val="24"/>
          <w:lang w:val="en-US" w:eastAsia="zh-CN"/>
        </w:rPr>
        <w:t>运输</w:t>
      </w:r>
      <w:r>
        <w:rPr>
          <w:rFonts w:hint="eastAsia" w:ascii="Times New Roman" w:hAnsi="Times New Roman" w:eastAsia="宋体" w:cs="Times New Roman"/>
          <w:sz w:val="24"/>
        </w:rPr>
        <w:t>处置。</w:t>
      </w:r>
      <w:r>
        <w:rPr>
          <w:rFonts w:hint="eastAsia" w:cs="Times New Roman"/>
          <w:color w:val="auto"/>
          <w:sz w:val="24"/>
          <w:szCs w:val="24"/>
          <w:highlight w:val="none"/>
          <w:lang w:val="en-US" w:eastAsia="zh-CN"/>
        </w:rPr>
        <w:t>危险废物贮存点</w:t>
      </w:r>
      <w:r>
        <w:rPr>
          <w:rFonts w:hint="eastAsia" w:ascii="Times New Roman" w:hAnsi="Times New Roman" w:eastAsia="宋体" w:cs="Times New Roman"/>
          <w:color w:val="000000"/>
          <w:kern w:val="2"/>
          <w:sz w:val="24"/>
          <w:szCs w:val="24"/>
          <w:highlight w:val="none"/>
          <w:lang w:val="en-US" w:eastAsia="zh-CN" w:bidi="ar-SA"/>
        </w:rPr>
        <w:t>设置防风、防晒、防雨、防漏、防渗、防腐以及其他环境污染防治措施</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0"/>
          <w:highlight w:val="none"/>
          <w:lang w:val="en-US" w:eastAsia="zh-CN"/>
        </w:rPr>
        <w:t>防渗方案</w:t>
      </w:r>
      <w:r>
        <w:rPr>
          <w:rFonts w:hint="default" w:ascii="Times New Roman" w:hAnsi="Times New Roman" w:eastAsia="宋体" w:cs="Times New Roman"/>
          <w:color w:val="000000"/>
          <w:kern w:val="2"/>
          <w:sz w:val="24"/>
          <w:szCs w:val="20"/>
          <w:highlight w:val="none"/>
          <w:lang w:val="en-US" w:eastAsia="zh-CN"/>
        </w:rPr>
        <w:t>黏土夯实+2mm厚高密度聚乙烯膜（HDPE）+外保护（20mm水泥）</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。危险废物贮存库地面满足《危险废物贮存污染控制标准》（GB18597-2023）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highlight w:val="none"/>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相关要求；危险废物贮存库围堰满足《危险废物贮存污染控制标准》（GB18597-2023）</w:t>
      </w:r>
      <w:r>
        <w:rPr>
          <w:rFonts w:hint="eastAsia" w:cs="Times New Roman"/>
          <w:color w:val="000000"/>
          <w:kern w:val="2"/>
          <w:sz w:val="24"/>
          <w:szCs w:val="20"/>
          <w:highlight w:val="none"/>
          <w:lang w:val="en-US" w:eastAsia="zh-CN"/>
        </w:rPr>
        <w:t>“</w:t>
      </w:r>
      <w:r>
        <w:rPr>
          <w:rFonts w:hint="default" w:ascii="Times New Roman" w:hAnsi="Times New Roman" w:eastAsia="宋体" w:cs="Times New Roman"/>
          <w:color w:val="auto"/>
          <w:kern w:val="0"/>
          <w:sz w:val="24"/>
          <w:szCs w:val="24"/>
          <w:highlight w:val="none"/>
        </w:rPr>
        <w:t>贮存的危险废物直接接触地面的，还应进行基础防渗，防渗层为至少1m厚黏土层（渗透系数不大于10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7</w:t>
      </w:r>
      <w:r>
        <w:rPr>
          <w:rFonts w:hint="default" w:ascii="Times New Roman" w:hAnsi="Times New Roman" w:eastAsia="宋体" w:cs="Times New Roman"/>
          <w:color w:val="auto"/>
          <w:kern w:val="0"/>
          <w:sz w:val="24"/>
          <w:szCs w:val="24"/>
          <w:highlight w:val="none"/>
        </w:rPr>
        <w:t>cm/s），或至少2mm厚高密度聚乙烯膜等人工防渗材料（渗透系数不大于10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10</w:t>
      </w:r>
      <w:r>
        <w:rPr>
          <w:rFonts w:hint="default" w:ascii="Times New Roman" w:hAnsi="Times New Roman" w:eastAsia="宋体" w:cs="Times New Roman"/>
          <w:color w:val="auto"/>
          <w:kern w:val="0"/>
          <w:sz w:val="24"/>
          <w:szCs w:val="24"/>
          <w:highlight w:val="none"/>
        </w:rPr>
        <w:t>cm/s），或其他防渗性能等效的材料</w:t>
      </w:r>
      <w:r>
        <w:rPr>
          <w:rFonts w:hint="default" w:ascii="Times New Roman" w:hAnsi="Times New Roman" w:eastAsia="宋体" w:cs="Times New Roman"/>
          <w:color w:val="000000"/>
          <w:kern w:val="2"/>
          <w:sz w:val="24"/>
          <w:szCs w:val="20"/>
          <w:highlight w:val="none"/>
          <w:lang w:val="en-US" w:eastAsia="zh-CN"/>
        </w:rPr>
        <w:t>。</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w:t>
      </w:r>
    </w:p>
    <w:p w14:paraId="3C9B2DC4">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eastAsia" w:ascii="Times New Roman" w:hAnsi="Times New Roman" w:eastAsia="宋体" w:cs="Times New Roman"/>
          <w:color w:val="000000"/>
          <w:kern w:val="2"/>
          <w:sz w:val="24"/>
          <w:szCs w:val="20"/>
          <w:highlight w:val="none"/>
          <w:lang w:val="en-US" w:eastAsia="zh-CN"/>
        </w:rPr>
      </w:pPr>
      <w:r>
        <w:rPr>
          <w:rFonts w:hint="eastAsia" w:ascii="Times New Roman" w:hAnsi="Times New Roman" w:eastAsia="宋体" w:cs="Times New Roman"/>
          <w:color w:val="000000"/>
          <w:kern w:val="2"/>
          <w:sz w:val="24"/>
          <w:szCs w:val="24"/>
          <w:highlight w:val="none"/>
          <w:lang w:val="en-US" w:eastAsia="zh-CN" w:bidi="ar-SA"/>
        </w:rPr>
        <w:t>4.</w:t>
      </w:r>
      <w:r>
        <w:rPr>
          <w:rFonts w:hint="default" w:ascii="Times New Roman" w:hAnsi="Times New Roman" w:eastAsia="宋体" w:cs="Times New Roman"/>
          <w:sz w:val="24"/>
        </w:rPr>
        <w:t>本项目</w:t>
      </w:r>
      <w:r>
        <w:rPr>
          <w:rFonts w:hint="eastAsia" w:ascii="Times New Roman" w:hAnsi="Times New Roman" w:eastAsia="宋体" w:cs="Times New Roman"/>
          <w:sz w:val="24"/>
          <w:lang w:val="en-US" w:eastAsia="zh-CN"/>
        </w:rPr>
        <w:t>新增20</w:t>
      </w:r>
      <w:r>
        <w:rPr>
          <w:rFonts w:hint="default" w:ascii="Times New Roman" w:hAnsi="Times New Roman" w:eastAsia="宋体" w:cs="Times New Roman"/>
          <w:color w:val="000000"/>
          <w:sz w:val="24"/>
        </w:rPr>
        <w:t>m</w:t>
      </w:r>
      <w:r>
        <w:rPr>
          <w:rFonts w:hint="eastAsia" w:ascii="Times New Roman" w:hAnsi="Times New Roman" w:eastAsia="宋体" w:cs="Times New Roman"/>
          <w:color w:val="000000"/>
          <w:sz w:val="24"/>
          <w:vertAlign w:val="superscript"/>
          <w:lang w:val="en-US" w:eastAsia="zh-CN"/>
        </w:rPr>
        <w:t>2</w:t>
      </w:r>
      <w:r>
        <w:rPr>
          <w:rFonts w:hint="eastAsia" w:ascii="Times New Roman" w:hAnsi="Times New Roman" w:eastAsia="宋体" w:cs="Times New Roman"/>
          <w:sz w:val="24"/>
        </w:rPr>
        <w:t>医疗</w:t>
      </w:r>
      <w:r>
        <w:rPr>
          <w:rFonts w:hint="default" w:ascii="Times New Roman" w:hAnsi="Times New Roman" w:eastAsia="宋体" w:cs="Times New Roman"/>
          <w:sz w:val="24"/>
        </w:rPr>
        <w:t>废物</w:t>
      </w:r>
      <w:r>
        <w:rPr>
          <w:rFonts w:hint="eastAsia" w:ascii="Times New Roman" w:hAnsi="Times New Roman" w:eastAsia="宋体" w:cs="Times New Roman"/>
          <w:sz w:val="24"/>
        </w:rPr>
        <w:t>暂存间</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作为本项目以及现有工程医疗废物暂存设施，</w:t>
      </w:r>
      <w:r>
        <w:rPr>
          <w:rFonts w:hint="eastAsia" w:ascii="Times New Roman" w:hAnsi="Times New Roman" w:eastAsia="宋体" w:cs="Times New Roman"/>
          <w:sz w:val="24"/>
        </w:rPr>
        <w:t>对医疗废弃物进行分类暂存</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设计符合</w:t>
      </w:r>
      <w:r>
        <w:rPr>
          <w:rFonts w:hint="eastAsia" w:ascii="Times New Roman" w:hAnsi="Times New Roman" w:eastAsia="宋体" w:cs="Times New Roman"/>
          <w:sz w:val="24"/>
        </w:rPr>
        <w:t>《</w:t>
      </w:r>
      <w:r>
        <w:rPr>
          <w:rFonts w:hint="default" w:ascii="Times New Roman" w:hAnsi="Times New Roman" w:eastAsia="宋体" w:cs="Times New Roman"/>
          <w:sz w:val="24"/>
        </w:rPr>
        <w:t>医疗废物集中处置技术规范（试行）</w:t>
      </w:r>
      <w:r>
        <w:rPr>
          <w:rFonts w:hint="eastAsia" w:ascii="Times New Roman" w:hAnsi="Times New Roman" w:eastAsia="宋体" w:cs="Times New Roman"/>
          <w:sz w:val="24"/>
        </w:rPr>
        <w:t>》规定</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医疗废物最终交</w:t>
      </w:r>
      <w:r>
        <w:rPr>
          <w:rFonts w:hint="default" w:ascii="Times New Roman" w:hAnsi="Times New Roman" w:eastAsia="宋体" w:cs="Times New Roman"/>
          <w:sz w:val="24"/>
        </w:rPr>
        <w:t>由</w:t>
      </w:r>
      <w:r>
        <w:rPr>
          <w:rFonts w:hint="eastAsia" w:ascii="Times New Roman" w:hAnsi="Times New Roman" w:eastAsia="宋体" w:cs="Times New Roman"/>
          <w:sz w:val="24"/>
        </w:rPr>
        <w:t>有资质</w:t>
      </w:r>
      <w:r>
        <w:rPr>
          <w:rFonts w:hint="default" w:ascii="Times New Roman" w:hAnsi="Times New Roman" w:eastAsia="宋体" w:cs="Times New Roman"/>
          <w:sz w:val="24"/>
        </w:rPr>
        <w:t>单位</w:t>
      </w:r>
      <w:r>
        <w:rPr>
          <w:rFonts w:hint="eastAsia" w:ascii="Times New Roman" w:hAnsi="Times New Roman" w:eastAsia="宋体" w:cs="Times New Roman"/>
          <w:sz w:val="24"/>
          <w:lang w:val="en-US" w:eastAsia="zh-CN"/>
        </w:rPr>
        <w:t>运输</w:t>
      </w:r>
      <w:r>
        <w:rPr>
          <w:rFonts w:hint="eastAsia" w:ascii="Times New Roman" w:hAnsi="Times New Roman" w:eastAsia="宋体" w:cs="Times New Roman"/>
          <w:sz w:val="24"/>
        </w:rPr>
        <w:t>处置。医疗</w:t>
      </w:r>
      <w:r>
        <w:rPr>
          <w:rFonts w:hint="default" w:ascii="Times New Roman" w:hAnsi="Times New Roman" w:eastAsia="宋体" w:cs="Times New Roman"/>
          <w:sz w:val="24"/>
        </w:rPr>
        <w:t>废物</w:t>
      </w:r>
      <w:r>
        <w:rPr>
          <w:rFonts w:hint="eastAsia" w:ascii="Times New Roman" w:hAnsi="Times New Roman" w:eastAsia="宋体" w:cs="Times New Roman"/>
          <w:sz w:val="24"/>
        </w:rPr>
        <w:t>暂存间</w:t>
      </w:r>
      <w:r>
        <w:rPr>
          <w:rFonts w:hint="eastAsia" w:ascii="Times New Roman" w:hAnsi="Times New Roman" w:eastAsia="宋体" w:cs="Times New Roman"/>
          <w:color w:val="000000"/>
          <w:kern w:val="2"/>
          <w:sz w:val="24"/>
          <w:szCs w:val="20"/>
          <w:highlight w:val="none"/>
          <w:lang w:val="en-US" w:eastAsia="zh-CN"/>
        </w:rPr>
        <w:t>防渗方案</w:t>
      </w:r>
      <w:r>
        <w:rPr>
          <w:rFonts w:hint="default" w:ascii="Times New Roman" w:hAnsi="Times New Roman" w:eastAsia="宋体" w:cs="Times New Roman"/>
          <w:color w:val="000000"/>
          <w:kern w:val="2"/>
          <w:sz w:val="24"/>
          <w:szCs w:val="20"/>
          <w:highlight w:val="none"/>
          <w:lang w:val="en-US" w:eastAsia="zh-CN"/>
        </w:rPr>
        <w:t>黏土夯实+2mm厚高密度聚乙烯膜（HDPE）+外保护（20mm水泥）</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。满足《医疗废物管理条例》</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医疗废物的暂时贮存设施、设备，应当远离医疗区、食品加工区和人员活动区以及生活垃圾存放场所，并设置明显的警示标识和防渗漏、防鼠、防蚊蝇、防蟑螂、防盗以及预防儿童接触等安全措施。</w:t>
      </w:r>
      <w:r>
        <w:rPr>
          <w:rFonts w:hint="eastAsia" w:cs="Times New Roman"/>
          <w:color w:val="000000"/>
          <w:kern w:val="2"/>
          <w:sz w:val="24"/>
          <w:szCs w:val="20"/>
          <w:highlight w:val="none"/>
          <w:lang w:val="en-US" w:eastAsia="zh-CN"/>
        </w:rPr>
        <w:t>”以及</w:t>
      </w:r>
      <w:r>
        <w:rPr>
          <w:rFonts w:hint="eastAsia" w:ascii="Times New Roman" w:hAnsi="Times New Roman" w:eastAsia="宋体" w:cs="Times New Roman"/>
          <w:color w:val="000000"/>
          <w:kern w:val="2"/>
          <w:sz w:val="24"/>
          <w:szCs w:val="20"/>
          <w:highlight w:val="none"/>
          <w:lang w:val="en-US" w:eastAsia="zh-CN"/>
        </w:rPr>
        <w:t>《危险废物贮存污染控制标准》（GB18597-2023）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w:t>
      </w:r>
    </w:p>
    <w:p w14:paraId="3B577AC0">
      <w:pPr>
        <w:overflowPunct/>
        <w:autoSpaceDE/>
        <w:autoSpaceDN/>
        <w:bidi w:val="0"/>
        <w:adjustRightInd/>
        <w:snapToGrid/>
        <w:spacing w:line="360" w:lineRule="auto"/>
        <w:ind w:firstLine="480" w:firstLineChars="200"/>
        <w:rPr>
          <w:rFonts w:hint="eastAsia" w:ascii="Times New Roman" w:hAnsi="Times New Roman" w:eastAsia="宋体" w:cs="Times New Roman"/>
          <w:kern w:val="0"/>
          <w:sz w:val="24"/>
          <w:szCs w:val="24"/>
          <w:lang w:val="zh-CN" w:eastAsia="zh-CN"/>
        </w:rPr>
      </w:pPr>
      <w:r>
        <w:rPr>
          <w:rFonts w:hint="eastAsia" w:ascii="Times New Roman" w:hAnsi="Times New Roman" w:eastAsia="宋体" w:cs="Times New Roman"/>
          <w:kern w:val="0"/>
          <w:sz w:val="24"/>
          <w:szCs w:val="24"/>
          <w:lang w:val="zh-CN" w:eastAsia="zh-CN"/>
        </w:rPr>
        <w:t>建设单位在本项目建成投运前，应按要求对现有厂区内存在的环保问题进行整改落实，具体要求见表</w:t>
      </w:r>
      <w:r>
        <w:rPr>
          <w:rFonts w:hint="eastAsia" w:ascii="Times New Roman" w:hAnsi="Times New Roman" w:cs="Times New Roman"/>
          <w:kern w:val="0"/>
          <w:sz w:val="24"/>
          <w:szCs w:val="24"/>
          <w:lang w:val="en-US" w:eastAsia="zh-CN"/>
        </w:rPr>
        <w:t>3.1-</w:t>
      </w:r>
      <w:r>
        <w:rPr>
          <w:rFonts w:hint="eastAsia" w:cs="Times New Roman"/>
          <w:kern w:val="0"/>
          <w:sz w:val="24"/>
          <w:szCs w:val="24"/>
          <w:lang w:val="en-US" w:eastAsia="zh-CN"/>
        </w:rPr>
        <w:t>10</w:t>
      </w:r>
      <w:r>
        <w:rPr>
          <w:rFonts w:hint="eastAsia" w:ascii="Times New Roman" w:hAnsi="Times New Roman" w:eastAsia="宋体" w:cs="Times New Roman"/>
          <w:kern w:val="0"/>
          <w:sz w:val="24"/>
          <w:szCs w:val="24"/>
          <w:lang w:val="zh-CN" w:eastAsia="zh-CN"/>
        </w:rPr>
        <w:t>。</w:t>
      </w:r>
    </w:p>
    <w:p w14:paraId="4EBA7232">
      <w:pPr>
        <w:widowControl/>
        <w:overflowPunct/>
        <w:autoSpaceDE/>
        <w:autoSpaceDN/>
        <w:adjustRightInd/>
        <w:snapToGrid/>
        <w:spacing w:after="80" w:line="360" w:lineRule="auto"/>
        <w:ind w:firstLine="0" w:firstLineChars="0"/>
        <w:jc w:val="center"/>
        <w:rPr>
          <w:rFonts w:hint="eastAsia" w:ascii="Times New Roman" w:hAnsi="Times New Roman" w:eastAsia="宋体" w:cs="Times New Roman"/>
          <w:b/>
          <w:color w:val="000000"/>
          <w:kern w:val="0"/>
          <w:sz w:val="24"/>
          <w:szCs w:val="24"/>
          <w:highlight w:val="none"/>
          <w:lang w:val="zh-CN" w:eastAsia="zh-CN" w:bidi="en-US"/>
        </w:rPr>
      </w:pPr>
      <w:r>
        <w:rPr>
          <w:rFonts w:hint="eastAsia" w:ascii="Times New Roman" w:hAnsi="Times New Roman" w:eastAsia="宋体" w:cs="Times New Roman"/>
          <w:b/>
          <w:color w:val="000000"/>
          <w:kern w:val="0"/>
          <w:sz w:val="24"/>
          <w:szCs w:val="24"/>
          <w:highlight w:val="none"/>
          <w:lang w:val="zh-CN" w:eastAsia="zh-CN" w:bidi="en-US"/>
        </w:rPr>
        <w:t>表</w:t>
      </w:r>
      <w:r>
        <w:rPr>
          <w:rFonts w:hint="eastAsia" w:ascii="Times New Roman" w:hAnsi="Times New Roman" w:eastAsia="宋体" w:cs="Times New Roman"/>
          <w:b/>
          <w:color w:val="000000"/>
          <w:kern w:val="0"/>
          <w:sz w:val="24"/>
          <w:szCs w:val="24"/>
          <w:highlight w:val="none"/>
          <w:lang w:val="en-US" w:eastAsia="zh-CN" w:bidi="en-US"/>
        </w:rPr>
        <w:t>3.</w:t>
      </w:r>
      <w:r>
        <w:rPr>
          <w:rFonts w:hint="eastAsia" w:ascii="Times New Roman" w:hAnsi="Times New Roman" w:cs="Times New Roman"/>
          <w:b/>
          <w:color w:val="000000"/>
          <w:kern w:val="0"/>
          <w:sz w:val="24"/>
          <w:szCs w:val="24"/>
          <w:highlight w:val="none"/>
          <w:lang w:val="en-US" w:eastAsia="zh-CN" w:bidi="en-US"/>
        </w:rPr>
        <w:t>1</w:t>
      </w:r>
      <w:r>
        <w:rPr>
          <w:rFonts w:hint="eastAsia" w:ascii="Times New Roman" w:hAnsi="Times New Roman" w:eastAsia="宋体" w:cs="Times New Roman"/>
          <w:b/>
          <w:color w:val="000000"/>
          <w:kern w:val="0"/>
          <w:sz w:val="24"/>
          <w:szCs w:val="24"/>
          <w:highlight w:val="none"/>
          <w:lang w:val="zh-CN" w:eastAsia="zh-CN" w:bidi="en-US"/>
        </w:rPr>
        <w:t>-</w:t>
      </w:r>
      <w:r>
        <w:rPr>
          <w:rFonts w:hint="eastAsia" w:cs="Times New Roman"/>
          <w:b/>
          <w:color w:val="000000"/>
          <w:kern w:val="0"/>
          <w:sz w:val="24"/>
          <w:szCs w:val="24"/>
          <w:highlight w:val="none"/>
          <w:lang w:val="en-US" w:eastAsia="zh-CN" w:bidi="en-US"/>
        </w:rPr>
        <w:t>10</w:t>
      </w:r>
      <w:r>
        <w:rPr>
          <w:rFonts w:hint="eastAsia" w:ascii="Times New Roman" w:hAnsi="Times New Roman" w:eastAsia="宋体" w:cs="Times New Roman"/>
          <w:b/>
          <w:color w:val="000000"/>
          <w:kern w:val="0"/>
          <w:sz w:val="24"/>
          <w:szCs w:val="24"/>
          <w:highlight w:val="none"/>
          <w:lang w:val="en-US" w:eastAsia="zh-CN" w:bidi="en-US"/>
        </w:rPr>
        <w:t>整改</w:t>
      </w:r>
      <w:r>
        <w:rPr>
          <w:rFonts w:hint="eastAsia" w:ascii="Times New Roman" w:hAnsi="Times New Roman" w:eastAsia="宋体" w:cs="Times New Roman"/>
          <w:b/>
          <w:color w:val="000000"/>
          <w:kern w:val="0"/>
          <w:sz w:val="24"/>
          <w:szCs w:val="24"/>
          <w:highlight w:val="none"/>
          <w:lang w:val="zh-CN" w:eastAsia="zh-CN" w:bidi="en-US"/>
        </w:rPr>
        <w:t>措施一览表</w:t>
      </w:r>
    </w:p>
    <w:tbl>
      <w:tblPr>
        <w:tblStyle w:val="20"/>
        <w:tblW w:w="543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11"/>
        <w:gridCol w:w="2292"/>
        <w:gridCol w:w="974"/>
        <w:gridCol w:w="4424"/>
        <w:gridCol w:w="972"/>
      </w:tblGrid>
      <w:tr w14:paraId="3BF670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17EA127C">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000000"/>
                <w:kern w:val="2"/>
                <w:sz w:val="21"/>
                <w:szCs w:val="21"/>
                <w:lang w:val="zh-CN" w:eastAsia="zh-CN" w:bidi="ar-SA"/>
              </w:rPr>
            </w:pPr>
            <w:r>
              <w:rPr>
                <w:rFonts w:hint="default" w:ascii="Times New Roman" w:hAnsi="Times New Roman" w:eastAsia="宋体" w:cs="Times New Roman"/>
                <w:b/>
                <w:bCs/>
                <w:color w:val="000000"/>
                <w:kern w:val="2"/>
                <w:sz w:val="21"/>
                <w:szCs w:val="21"/>
                <w:lang w:val="zh-CN" w:eastAsia="zh-CN" w:bidi="ar-SA"/>
              </w:rPr>
              <w:t>序号</w:t>
            </w:r>
          </w:p>
        </w:tc>
        <w:tc>
          <w:tcPr>
            <w:tcW w:w="1235" w:type="pct"/>
            <w:tcBorders>
              <w:tl2br w:val="nil"/>
              <w:tr2bl w:val="nil"/>
            </w:tcBorders>
            <w:noWrap w:val="0"/>
            <w:vAlign w:val="center"/>
          </w:tcPr>
          <w:p w14:paraId="01DD4E57">
            <w:pPr>
              <w:keepNext w:val="0"/>
              <w:keepLines w:val="0"/>
              <w:pageBreakBefore w:val="0"/>
              <w:widowControl/>
              <w:tabs>
                <w:tab w:val="left" w:pos="420"/>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000000"/>
                <w:kern w:val="2"/>
                <w:sz w:val="21"/>
                <w:szCs w:val="21"/>
                <w:lang w:val="zh-CN" w:eastAsia="zh-CN" w:bidi="ar-SA"/>
              </w:rPr>
            </w:pPr>
            <w:r>
              <w:rPr>
                <w:rFonts w:hint="default" w:ascii="Times New Roman" w:hAnsi="Times New Roman" w:eastAsia="宋体" w:cs="Times New Roman"/>
                <w:b/>
                <w:bCs/>
                <w:color w:val="000000"/>
                <w:kern w:val="2"/>
                <w:sz w:val="21"/>
                <w:szCs w:val="21"/>
                <w:lang w:val="zh-CN" w:eastAsia="zh-CN" w:bidi="ar-SA"/>
              </w:rPr>
              <w:t>主要环境问题</w:t>
            </w:r>
          </w:p>
        </w:tc>
        <w:tc>
          <w:tcPr>
            <w:tcW w:w="525" w:type="pct"/>
            <w:tcBorders>
              <w:tl2br w:val="nil"/>
              <w:tr2bl w:val="nil"/>
            </w:tcBorders>
            <w:noWrap w:val="0"/>
            <w:vAlign w:val="center"/>
          </w:tcPr>
          <w:p w14:paraId="47DC0ABE">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000000"/>
                <w:kern w:val="2"/>
                <w:sz w:val="21"/>
                <w:szCs w:val="21"/>
                <w:lang w:val="zh-CN" w:eastAsia="zh-CN" w:bidi="ar-SA"/>
              </w:rPr>
            </w:pPr>
            <w:r>
              <w:rPr>
                <w:rFonts w:hint="default" w:ascii="Times New Roman" w:hAnsi="Times New Roman" w:eastAsia="宋体" w:cs="Times New Roman"/>
                <w:b/>
                <w:bCs/>
                <w:color w:val="000000"/>
                <w:kern w:val="2"/>
                <w:sz w:val="21"/>
                <w:szCs w:val="21"/>
                <w:lang w:val="zh-CN" w:eastAsia="zh-CN" w:bidi="ar-SA"/>
              </w:rPr>
              <w:t>整改措施</w:t>
            </w:r>
          </w:p>
        </w:tc>
        <w:tc>
          <w:tcPr>
            <w:tcW w:w="2385" w:type="pct"/>
            <w:tcBorders>
              <w:tl2br w:val="nil"/>
              <w:tr2bl w:val="nil"/>
            </w:tcBorders>
            <w:noWrap w:val="0"/>
            <w:vAlign w:val="center"/>
          </w:tcPr>
          <w:p w14:paraId="0239C533">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000000"/>
                <w:kern w:val="2"/>
                <w:sz w:val="21"/>
                <w:szCs w:val="21"/>
                <w:lang w:val="zh-CN" w:eastAsia="zh-CN" w:bidi="ar-SA"/>
              </w:rPr>
            </w:pPr>
            <w:r>
              <w:rPr>
                <w:rFonts w:hint="default" w:ascii="Times New Roman" w:hAnsi="Times New Roman" w:eastAsia="宋体" w:cs="Times New Roman"/>
                <w:b/>
                <w:bCs/>
                <w:color w:val="000000"/>
                <w:kern w:val="2"/>
                <w:sz w:val="21"/>
                <w:szCs w:val="21"/>
                <w:lang w:val="zh-CN" w:eastAsia="zh-CN" w:bidi="ar-SA"/>
              </w:rPr>
              <w:t>具体要求</w:t>
            </w:r>
          </w:p>
        </w:tc>
        <w:tc>
          <w:tcPr>
            <w:tcW w:w="524" w:type="pct"/>
            <w:tcBorders>
              <w:tl2br w:val="nil"/>
              <w:tr2bl w:val="nil"/>
            </w:tcBorders>
            <w:noWrap w:val="0"/>
            <w:vAlign w:val="center"/>
          </w:tcPr>
          <w:p w14:paraId="6E3ADEF6">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000000"/>
                <w:kern w:val="2"/>
                <w:sz w:val="21"/>
                <w:szCs w:val="21"/>
                <w:lang w:val="en-US" w:eastAsia="zh-CN" w:bidi="ar-SA"/>
              </w:rPr>
            </w:pPr>
            <w:r>
              <w:rPr>
                <w:rFonts w:hint="eastAsia" w:ascii="Times New Roman" w:hAnsi="Times New Roman" w:cs="Times New Roman"/>
                <w:b/>
                <w:bCs/>
                <w:color w:val="000000"/>
                <w:kern w:val="2"/>
                <w:sz w:val="21"/>
                <w:szCs w:val="21"/>
                <w:lang w:val="en-US" w:eastAsia="zh-CN" w:bidi="ar-SA"/>
              </w:rPr>
              <w:t>整改时限</w:t>
            </w:r>
          </w:p>
        </w:tc>
      </w:tr>
      <w:tr w14:paraId="506865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47E47716">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1</w:t>
            </w:r>
          </w:p>
        </w:tc>
        <w:tc>
          <w:tcPr>
            <w:tcW w:w="1235" w:type="pct"/>
            <w:tcBorders>
              <w:tl2br w:val="nil"/>
              <w:tr2bl w:val="nil"/>
            </w:tcBorders>
            <w:noWrap w:val="0"/>
            <w:vAlign w:val="center"/>
          </w:tcPr>
          <w:p w14:paraId="5A416987">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eastAsia" w:ascii="Times New Roman" w:hAnsi="Times New Roman" w:eastAsia="宋体" w:cs="Times New Roman"/>
                <w:color w:val="000000"/>
                <w:kern w:val="2"/>
                <w:sz w:val="21"/>
                <w:szCs w:val="21"/>
                <w:lang w:val="en-US" w:eastAsia="zh-CN" w:bidi="ar-SA"/>
              </w:rPr>
              <w:t>建设单位环保手续不全，未申领排污许可证，未编制突发环境事件应急预案；</w:t>
            </w:r>
          </w:p>
        </w:tc>
        <w:tc>
          <w:tcPr>
            <w:tcW w:w="525" w:type="pct"/>
            <w:tcBorders>
              <w:tl2br w:val="nil"/>
              <w:tr2bl w:val="nil"/>
            </w:tcBorders>
            <w:noWrap w:val="0"/>
            <w:vAlign w:val="center"/>
          </w:tcPr>
          <w:p w14:paraId="5F49D71A">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完善环保手续</w:t>
            </w:r>
          </w:p>
        </w:tc>
        <w:tc>
          <w:tcPr>
            <w:tcW w:w="2385" w:type="pct"/>
            <w:tcBorders>
              <w:tl2br w:val="nil"/>
              <w:tr2bl w:val="nil"/>
            </w:tcBorders>
            <w:noWrap w:val="0"/>
            <w:vAlign w:val="center"/>
          </w:tcPr>
          <w:p w14:paraId="22E6D39D">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建议本项目取得批复后，与现有工程一同按照要求进行排污许可申领、建设项目竣工环境保护验收以及编制突发环境事件应急预案并报第七师胡杨河市生态环境局备案，本项目建成后建议现有工程与本项目一同进行竣工环境保护验收；</w:t>
            </w:r>
          </w:p>
        </w:tc>
        <w:tc>
          <w:tcPr>
            <w:tcW w:w="524" w:type="pct"/>
            <w:tcBorders>
              <w:tl2br w:val="nil"/>
              <w:tr2bl w:val="nil"/>
            </w:tcBorders>
            <w:noWrap w:val="0"/>
            <w:vAlign w:val="center"/>
          </w:tcPr>
          <w:p w14:paraId="3742EBA6">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202</w:t>
            </w:r>
            <w:r>
              <w:rPr>
                <w:rFonts w:hint="eastAsia" w:cs="Times New Roman"/>
                <w:color w:val="000000"/>
                <w:kern w:val="2"/>
                <w:sz w:val="21"/>
                <w:szCs w:val="21"/>
                <w:lang w:val="en-US" w:eastAsia="zh-CN" w:bidi="ar-SA"/>
              </w:rPr>
              <w:t>7</w:t>
            </w:r>
            <w:r>
              <w:rPr>
                <w:rFonts w:hint="eastAsia" w:ascii="Times New Roman" w:hAnsi="Times New Roman" w:cs="Times New Roman"/>
                <w:color w:val="000000"/>
                <w:kern w:val="2"/>
                <w:sz w:val="21"/>
                <w:szCs w:val="21"/>
                <w:lang w:val="en-US" w:eastAsia="zh-CN" w:bidi="ar-SA"/>
              </w:rPr>
              <w:t>年12月</w:t>
            </w:r>
            <w:r>
              <w:rPr>
                <w:rFonts w:hint="eastAsia" w:cs="Times New Roman"/>
                <w:color w:val="000000"/>
                <w:kern w:val="2"/>
                <w:sz w:val="21"/>
                <w:szCs w:val="21"/>
                <w:lang w:val="en-US" w:eastAsia="zh-CN" w:bidi="ar-SA"/>
              </w:rPr>
              <w:t>3</w:t>
            </w:r>
            <w:r>
              <w:rPr>
                <w:rFonts w:hint="eastAsia" w:ascii="Times New Roman" w:hAnsi="Times New Roman" w:cs="Times New Roman"/>
                <w:color w:val="000000"/>
                <w:kern w:val="2"/>
                <w:sz w:val="21"/>
                <w:szCs w:val="21"/>
                <w:lang w:val="en-US" w:eastAsia="zh-CN" w:bidi="ar-SA"/>
              </w:rPr>
              <w:t>1日</w:t>
            </w:r>
          </w:p>
        </w:tc>
      </w:tr>
      <w:tr w14:paraId="4B1898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1E417CE1">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zh-CN" w:eastAsia="zh-CN" w:bidi="ar-SA"/>
              </w:rPr>
              <w:t>2</w:t>
            </w:r>
          </w:p>
        </w:tc>
        <w:tc>
          <w:tcPr>
            <w:tcW w:w="1235" w:type="pct"/>
            <w:tcBorders>
              <w:tl2br w:val="nil"/>
              <w:tr2bl w:val="nil"/>
            </w:tcBorders>
            <w:noWrap w:val="0"/>
            <w:vAlign w:val="center"/>
          </w:tcPr>
          <w:p w14:paraId="61E46EF6">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现有运动场发酵垫料太少，未分层铺设，运动场地面采用原土夯实，防渗不满足《环境影响评价技术导则 地下水环境》（HJ 610-2016）分区防渗要求；</w:t>
            </w:r>
          </w:p>
        </w:tc>
        <w:tc>
          <w:tcPr>
            <w:tcW w:w="525" w:type="pct"/>
            <w:vMerge w:val="restart"/>
            <w:tcBorders>
              <w:tl2br w:val="nil"/>
              <w:tr2bl w:val="nil"/>
            </w:tcBorders>
            <w:noWrap w:val="0"/>
            <w:vAlign w:val="center"/>
          </w:tcPr>
          <w:p w14:paraId="7A4ECF19">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kern w:val="2"/>
                <w:sz w:val="21"/>
                <w:szCs w:val="21"/>
                <w:lang w:val="en-US" w:eastAsia="zh-CN"/>
              </w:rPr>
            </w:pPr>
            <w:r>
              <w:rPr>
                <w:rFonts w:hint="eastAsia" w:cs="Times New Roman"/>
                <w:color w:val="000000"/>
                <w:kern w:val="2"/>
                <w:sz w:val="21"/>
                <w:szCs w:val="21"/>
                <w:lang w:val="en-US" w:eastAsia="zh-CN" w:bidi="ar-SA"/>
              </w:rPr>
              <w:t>“以新带老”措施</w:t>
            </w:r>
          </w:p>
        </w:tc>
        <w:tc>
          <w:tcPr>
            <w:tcW w:w="2385" w:type="pct"/>
            <w:tcBorders>
              <w:tl2br w:val="nil"/>
              <w:tr2bl w:val="nil"/>
            </w:tcBorders>
            <w:noWrap w:val="0"/>
            <w:vAlign w:val="center"/>
          </w:tcPr>
          <w:p w14:paraId="7DB8B2FF">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本项目运动场在原土夯实的基础上增设3mm厚高密度聚乙烯膜（HDPE），设计满足《环境影响评价技术导则 地下水环境》（HJ 610-2016）要求：等效黏土防渗层Mb≥6.0m，K≤1×10-7cm/s。各运动场、牛舍、饲喂凉棚均增设原位发酵床养殖技术用于无害化处理粪污，在运动场内直接铺设发酵垫料，垫料厚度夏天为30cm，冬季为</w:t>
            </w:r>
            <w:r>
              <w:rPr>
                <w:rFonts w:hint="eastAsia" w:cs="Times New Roman"/>
                <w:color w:val="000000"/>
                <w:kern w:val="2"/>
                <w:sz w:val="21"/>
                <w:szCs w:val="21"/>
                <w:lang w:val="en-US" w:eastAsia="zh-CN" w:bidi="ar-SA"/>
              </w:rPr>
              <w:t>7</w:t>
            </w:r>
            <w:r>
              <w:rPr>
                <w:rFonts w:hint="default" w:ascii="Times New Roman" w:hAnsi="Times New Roman" w:eastAsia="宋体" w:cs="Times New Roman"/>
                <w:color w:val="000000"/>
                <w:kern w:val="2"/>
                <w:sz w:val="21"/>
                <w:szCs w:val="21"/>
                <w:lang w:val="zh-CN" w:eastAsia="zh-CN" w:bidi="ar-SA"/>
              </w:rPr>
              <w:t>0cm。垫料底层可先铺10～20cm的碎玉米秸秆，中间一层铺上稻草、锯末和稻壳等，然后按0.5—1.0L/m2喷洒发酵菌（液体），充分混合搅拌均匀，使垫料水分保持在40%〜50%。上面用干的碎秸秆覆盖，发酵好的垫料摊开整平，3d即可使用。进牛之前要预先发酵，使材料的温度达到50℃，以杀死病原菌和寄生虫卵，而50℃高温有利于乳酸菌、酵母菌、光合细菌等益生菌的繁殖。冬季每层增加垫料约10 cm，注意保持垫料干燥。建议现有工程粪便及废发酵垫料在每年牛出栏后统一清理，和本项目粪便及废发酵垫料一同运输至堆肥间翻抛、混料以及少量不合格品二次发酵后还田；</w:t>
            </w:r>
          </w:p>
        </w:tc>
        <w:tc>
          <w:tcPr>
            <w:tcW w:w="524" w:type="pct"/>
            <w:tcBorders>
              <w:tl2br w:val="nil"/>
              <w:tr2bl w:val="nil"/>
            </w:tcBorders>
            <w:noWrap w:val="0"/>
            <w:vAlign w:val="center"/>
          </w:tcPr>
          <w:p w14:paraId="594BFC41">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202</w:t>
            </w:r>
            <w:r>
              <w:rPr>
                <w:rFonts w:hint="eastAsia" w:cs="Times New Roman"/>
                <w:color w:val="000000"/>
                <w:kern w:val="2"/>
                <w:sz w:val="21"/>
                <w:szCs w:val="21"/>
                <w:lang w:val="en-US" w:eastAsia="zh-CN" w:bidi="ar-SA"/>
              </w:rPr>
              <w:t>7</w:t>
            </w:r>
            <w:r>
              <w:rPr>
                <w:rFonts w:hint="eastAsia" w:ascii="Times New Roman" w:hAnsi="Times New Roman" w:cs="Times New Roman"/>
                <w:color w:val="000000"/>
                <w:kern w:val="2"/>
                <w:sz w:val="21"/>
                <w:szCs w:val="21"/>
                <w:lang w:val="en-US" w:eastAsia="zh-CN" w:bidi="ar-SA"/>
              </w:rPr>
              <w:t>年12月</w:t>
            </w:r>
            <w:r>
              <w:rPr>
                <w:rFonts w:hint="eastAsia" w:cs="Times New Roman"/>
                <w:color w:val="000000"/>
                <w:kern w:val="2"/>
                <w:sz w:val="21"/>
                <w:szCs w:val="21"/>
                <w:lang w:val="en-US" w:eastAsia="zh-CN" w:bidi="ar-SA"/>
              </w:rPr>
              <w:t>3</w:t>
            </w:r>
            <w:r>
              <w:rPr>
                <w:rFonts w:hint="eastAsia" w:ascii="Times New Roman" w:hAnsi="Times New Roman" w:cs="Times New Roman"/>
                <w:color w:val="000000"/>
                <w:kern w:val="2"/>
                <w:sz w:val="21"/>
                <w:szCs w:val="21"/>
                <w:lang w:val="en-US" w:eastAsia="zh-CN" w:bidi="ar-SA"/>
              </w:rPr>
              <w:t>1日</w:t>
            </w:r>
          </w:p>
        </w:tc>
      </w:tr>
      <w:tr w14:paraId="2D87F1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1B48A118">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zh-CN" w:eastAsia="zh-CN" w:bidi="ar-SA"/>
              </w:rPr>
              <w:t>3</w:t>
            </w:r>
          </w:p>
        </w:tc>
        <w:tc>
          <w:tcPr>
            <w:tcW w:w="1235" w:type="pct"/>
            <w:tcBorders>
              <w:tl2br w:val="nil"/>
              <w:tr2bl w:val="nil"/>
            </w:tcBorders>
            <w:noWrap w:val="0"/>
            <w:vAlign w:val="center"/>
          </w:tcPr>
          <w:p w14:paraId="56669ADF">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饲料加工区未设置废气收集、治理措施；</w:t>
            </w:r>
          </w:p>
        </w:tc>
        <w:tc>
          <w:tcPr>
            <w:tcW w:w="525" w:type="pct"/>
            <w:vMerge w:val="continue"/>
            <w:tcBorders>
              <w:tl2br w:val="nil"/>
              <w:tr2bl w:val="nil"/>
            </w:tcBorders>
            <w:noWrap w:val="0"/>
            <w:vAlign w:val="center"/>
          </w:tcPr>
          <w:p w14:paraId="52EF5719">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kern w:val="2"/>
                <w:sz w:val="21"/>
                <w:szCs w:val="21"/>
                <w:lang w:val="en-US" w:eastAsia="zh-CN"/>
              </w:rPr>
            </w:pPr>
          </w:p>
        </w:tc>
        <w:tc>
          <w:tcPr>
            <w:tcW w:w="2385" w:type="pct"/>
            <w:tcBorders>
              <w:tl2br w:val="nil"/>
              <w:tr2bl w:val="nil"/>
            </w:tcBorders>
            <w:noWrap w:val="0"/>
            <w:vAlign w:val="center"/>
          </w:tcPr>
          <w:p w14:paraId="2E623941">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本项目建成后，对饲料加工区饲料粉碎、固定式TMR设备增设包围型集气罩+袋式除尘+15m排气筒，处理后颗粒物满足《大气污染物综合排放标准》（GB 16297-1996）表2 新污染源大气污染物排放限值要求；</w:t>
            </w:r>
          </w:p>
        </w:tc>
        <w:tc>
          <w:tcPr>
            <w:tcW w:w="524" w:type="pct"/>
            <w:tcBorders>
              <w:tl2br w:val="nil"/>
              <w:tr2bl w:val="nil"/>
            </w:tcBorders>
            <w:noWrap w:val="0"/>
            <w:vAlign w:val="center"/>
          </w:tcPr>
          <w:p w14:paraId="4B6E6554">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202</w:t>
            </w:r>
            <w:r>
              <w:rPr>
                <w:rFonts w:hint="eastAsia" w:cs="Times New Roman"/>
                <w:color w:val="000000"/>
                <w:kern w:val="2"/>
                <w:sz w:val="21"/>
                <w:szCs w:val="21"/>
                <w:lang w:val="en-US" w:eastAsia="zh-CN" w:bidi="ar-SA"/>
              </w:rPr>
              <w:t>7</w:t>
            </w:r>
            <w:r>
              <w:rPr>
                <w:rFonts w:hint="eastAsia" w:ascii="Times New Roman" w:hAnsi="Times New Roman" w:cs="Times New Roman"/>
                <w:color w:val="000000"/>
                <w:kern w:val="2"/>
                <w:sz w:val="21"/>
                <w:szCs w:val="21"/>
                <w:lang w:val="en-US" w:eastAsia="zh-CN" w:bidi="ar-SA"/>
              </w:rPr>
              <w:t>年12月</w:t>
            </w:r>
            <w:r>
              <w:rPr>
                <w:rFonts w:hint="eastAsia" w:cs="Times New Roman"/>
                <w:color w:val="000000"/>
                <w:kern w:val="2"/>
                <w:sz w:val="21"/>
                <w:szCs w:val="21"/>
                <w:lang w:val="en-US" w:eastAsia="zh-CN" w:bidi="ar-SA"/>
              </w:rPr>
              <w:t>3</w:t>
            </w:r>
            <w:r>
              <w:rPr>
                <w:rFonts w:hint="eastAsia" w:ascii="Times New Roman" w:hAnsi="Times New Roman" w:cs="Times New Roman"/>
                <w:color w:val="000000"/>
                <w:kern w:val="2"/>
                <w:sz w:val="21"/>
                <w:szCs w:val="21"/>
                <w:lang w:val="en-US" w:eastAsia="zh-CN" w:bidi="ar-SA"/>
              </w:rPr>
              <w:t>1日</w:t>
            </w:r>
          </w:p>
        </w:tc>
      </w:tr>
      <w:tr w14:paraId="02D5AB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11FBC2F5">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zh-CN" w:eastAsia="zh-CN" w:bidi="ar-SA"/>
              </w:rPr>
              <w:t>4</w:t>
            </w:r>
          </w:p>
        </w:tc>
        <w:tc>
          <w:tcPr>
            <w:tcW w:w="1235" w:type="pct"/>
            <w:tcBorders>
              <w:tl2br w:val="nil"/>
              <w:tr2bl w:val="nil"/>
            </w:tcBorders>
            <w:noWrap w:val="0"/>
            <w:vAlign w:val="center"/>
          </w:tcPr>
          <w:p w14:paraId="4EF8802F">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废消毒剂包装袋暂存设施不符合要求，未按照《危险废物贮存污染控制标准》（GB18597-2023）设置防风、防晒、防雨、防漏、防渗、防腐以及其他环境污染防治措施，不满足《危险废物贮存污染控制标准》（GB18597-2023）</w:t>
            </w:r>
            <w:r>
              <w:rPr>
                <w:rFonts w:hint="eastAsia" w:ascii="Times New Roman" w:hAnsi="Times New Roman" w:eastAsia="宋体" w:cs="Times New Roman"/>
                <w:color w:val="000000"/>
                <w:kern w:val="2"/>
                <w:sz w:val="21"/>
                <w:szCs w:val="21"/>
                <w:lang w:val="zh-CN" w:eastAsia="zh-CN" w:bidi="ar-SA"/>
              </w:rPr>
              <w:t>“</w:t>
            </w:r>
            <w:r>
              <w:rPr>
                <w:rFonts w:hint="default" w:ascii="Times New Roman" w:hAnsi="Times New Roman" w:eastAsia="宋体" w:cs="Times New Roman"/>
                <w:color w:val="000000"/>
                <w:kern w:val="2"/>
                <w:sz w:val="21"/>
                <w:szCs w:val="21"/>
                <w:lang w:val="zh-CN" w:eastAsia="zh-CN" w:bidi="ar-SA"/>
              </w:rPr>
              <w:t>贮存设施地面与裙脚应采取表面防渗措施；表面防渗材料应与所接触的物料或污染物相容，可采用抗渗混凝土、高密度聚乙烯膜、钠基膨润土防水毯或其他防渗性能等效的材料。</w:t>
            </w:r>
            <w:r>
              <w:rPr>
                <w:rFonts w:hint="eastAsia" w:ascii="Times New Roman" w:hAnsi="Times New Roman" w:eastAsia="宋体" w:cs="Times New Roman"/>
                <w:color w:val="000000"/>
                <w:kern w:val="2"/>
                <w:sz w:val="21"/>
                <w:szCs w:val="21"/>
                <w:lang w:val="zh-CN" w:eastAsia="zh-CN" w:bidi="ar-SA"/>
              </w:rPr>
              <w:t>”</w:t>
            </w:r>
            <w:r>
              <w:rPr>
                <w:rFonts w:hint="default" w:ascii="Times New Roman" w:hAnsi="Times New Roman" w:eastAsia="宋体" w:cs="Times New Roman"/>
                <w:color w:val="000000"/>
                <w:kern w:val="2"/>
                <w:sz w:val="21"/>
                <w:szCs w:val="21"/>
                <w:lang w:val="zh-CN" w:eastAsia="zh-CN" w:bidi="ar-SA"/>
              </w:rPr>
              <w:t>相关要求；</w:t>
            </w:r>
          </w:p>
        </w:tc>
        <w:tc>
          <w:tcPr>
            <w:tcW w:w="525" w:type="pct"/>
            <w:vMerge w:val="continue"/>
            <w:tcBorders>
              <w:tl2br w:val="nil"/>
              <w:tr2bl w:val="nil"/>
            </w:tcBorders>
            <w:noWrap w:val="0"/>
            <w:vAlign w:val="center"/>
          </w:tcPr>
          <w:p w14:paraId="048B246F">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kern w:val="2"/>
                <w:sz w:val="21"/>
                <w:szCs w:val="21"/>
                <w:lang w:val="en-US" w:eastAsia="zh-CN"/>
              </w:rPr>
            </w:pPr>
          </w:p>
        </w:tc>
        <w:tc>
          <w:tcPr>
            <w:tcW w:w="2385" w:type="pct"/>
            <w:tcBorders>
              <w:tl2br w:val="nil"/>
              <w:tr2bl w:val="nil"/>
            </w:tcBorders>
            <w:noWrap w:val="0"/>
            <w:vAlign w:val="center"/>
          </w:tcPr>
          <w:p w14:paraId="7E64FB53">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eastAsia" w:ascii="Times New Roman" w:hAnsi="Times New Roman" w:eastAsia="宋体" w:cs="Times New Roman"/>
                <w:color w:val="000000"/>
                <w:kern w:val="2"/>
                <w:sz w:val="21"/>
                <w:szCs w:val="21"/>
                <w:highlight w:val="none"/>
                <w:lang w:val="en-US" w:eastAsia="zh-CN" w:bidi="ar-SA"/>
              </w:rPr>
              <w:t>本项目设置</w:t>
            </w:r>
            <w:r>
              <w:rPr>
                <w:rFonts w:hint="eastAsia" w:cs="Times New Roman"/>
                <w:color w:val="auto"/>
                <w:sz w:val="21"/>
                <w:szCs w:val="21"/>
                <w:highlight w:val="none"/>
                <w:lang w:val="en-US" w:eastAsia="zh-CN"/>
              </w:rPr>
              <w:t>10m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危险废物贮存点，用于贮存本项目以及现有工程废消毒剂包装材料，</w:t>
            </w:r>
            <w:r>
              <w:rPr>
                <w:rFonts w:hint="eastAsia" w:ascii="Times New Roman" w:hAnsi="Times New Roman" w:eastAsia="宋体" w:cs="Times New Roman"/>
                <w:sz w:val="21"/>
                <w:szCs w:val="21"/>
                <w:lang w:val="en-US" w:eastAsia="zh-CN"/>
              </w:rPr>
              <w:t>危险废物</w:t>
            </w:r>
            <w:r>
              <w:rPr>
                <w:rFonts w:hint="eastAsia" w:ascii="Times New Roman" w:hAnsi="Times New Roman" w:eastAsia="宋体" w:cs="Times New Roman"/>
                <w:sz w:val="21"/>
                <w:szCs w:val="21"/>
              </w:rPr>
              <w:t>最终交</w:t>
            </w:r>
            <w:r>
              <w:rPr>
                <w:rFonts w:hint="default" w:ascii="Times New Roman" w:hAnsi="Times New Roman" w:eastAsia="宋体" w:cs="Times New Roman"/>
                <w:sz w:val="21"/>
                <w:szCs w:val="21"/>
              </w:rPr>
              <w:t>由</w:t>
            </w:r>
            <w:r>
              <w:rPr>
                <w:rFonts w:hint="eastAsia" w:ascii="Times New Roman" w:hAnsi="Times New Roman" w:eastAsia="宋体" w:cs="Times New Roman"/>
                <w:sz w:val="21"/>
                <w:szCs w:val="21"/>
              </w:rPr>
              <w:t>有资质</w:t>
            </w:r>
            <w:r>
              <w:rPr>
                <w:rFonts w:hint="default" w:ascii="Times New Roman" w:hAnsi="Times New Roman" w:eastAsia="宋体" w:cs="Times New Roman"/>
                <w:sz w:val="21"/>
                <w:szCs w:val="21"/>
              </w:rPr>
              <w:t>单位</w:t>
            </w:r>
            <w:r>
              <w:rPr>
                <w:rFonts w:hint="eastAsia" w:ascii="Times New Roman" w:hAnsi="Times New Roman" w:eastAsia="宋体" w:cs="Times New Roman"/>
                <w:sz w:val="21"/>
                <w:szCs w:val="21"/>
                <w:lang w:val="en-US" w:eastAsia="zh-CN"/>
              </w:rPr>
              <w:t>运输</w:t>
            </w:r>
            <w:r>
              <w:rPr>
                <w:rFonts w:hint="eastAsia" w:ascii="Times New Roman" w:hAnsi="Times New Roman" w:eastAsia="宋体" w:cs="Times New Roman"/>
                <w:sz w:val="21"/>
                <w:szCs w:val="21"/>
              </w:rPr>
              <w:t>处置。</w:t>
            </w:r>
            <w:r>
              <w:rPr>
                <w:rFonts w:hint="eastAsia" w:cs="Times New Roman"/>
                <w:color w:val="auto"/>
                <w:sz w:val="21"/>
                <w:szCs w:val="21"/>
                <w:highlight w:val="none"/>
                <w:lang w:val="en-US" w:eastAsia="zh-CN"/>
              </w:rPr>
              <w:t>危险废物贮存点</w:t>
            </w:r>
            <w:r>
              <w:rPr>
                <w:rFonts w:hint="eastAsia" w:ascii="Times New Roman" w:hAnsi="Times New Roman" w:eastAsia="宋体" w:cs="Times New Roman"/>
                <w:color w:val="000000"/>
                <w:kern w:val="2"/>
                <w:sz w:val="21"/>
                <w:szCs w:val="21"/>
                <w:highlight w:val="none"/>
                <w:lang w:val="en-US" w:eastAsia="zh-CN" w:bidi="ar-SA"/>
              </w:rPr>
              <w:t>设置防风、防晒、防雨、防漏、防渗、防腐以及其他环境污染防治措施</w:t>
            </w:r>
            <w:r>
              <w:rPr>
                <w:rFonts w:hint="default" w:ascii="Times New Roman" w:hAnsi="Times New Roman" w:eastAsia="宋体" w:cs="Times New Roman"/>
                <w:color w:val="000000"/>
                <w:kern w:val="2"/>
                <w:sz w:val="21"/>
                <w:szCs w:val="21"/>
                <w:highlight w:val="none"/>
                <w:lang w:val="en-US" w:eastAsia="zh-CN" w:bidi="ar-SA"/>
              </w:rPr>
              <w:t>，</w:t>
            </w:r>
            <w:r>
              <w:rPr>
                <w:rFonts w:hint="eastAsia" w:ascii="Times New Roman" w:hAnsi="Times New Roman" w:eastAsia="宋体" w:cs="Times New Roman"/>
                <w:color w:val="000000"/>
                <w:kern w:val="2"/>
                <w:sz w:val="21"/>
                <w:szCs w:val="21"/>
                <w:highlight w:val="none"/>
                <w:lang w:val="en-US" w:eastAsia="zh-CN"/>
              </w:rPr>
              <w:t>防渗方案</w:t>
            </w:r>
            <w:r>
              <w:rPr>
                <w:rFonts w:hint="default" w:ascii="Times New Roman" w:hAnsi="Times New Roman" w:eastAsia="宋体" w:cs="Times New Roman"/>
                <w:color w:val="000000"/>
                <w:kern w:val="2"/>
                <w:sz w:val="21"/>
                <w:szCs w:val="21"/>
                <w:highlight w:val="none"/>
                <w:lang w:val="en-US" w:eastAsia="zh-CN"/>
              </w:rPr>
              <w:t>黏土夯实+2mm厚高密度聚乙烯膜（HDPE）+外保护（20mm水泥）</w:t>
            </w:r>
            <w:r>
              <w:rPr>
                <w:rFonts w:hint="eastAsia" w:ascii="Times New Roman" w:hAnsi="Times New Roman" w:eastAsia="宋体" w:cs="Times New Roman"/>
                <w:color w:val="000000"/>
                <w:kern w:val="2"/>
                <w:sz w:val="21"/>
                <w:szCs w:val="21"/>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1"/>
                <w:szCs w:val="21"/>
                <w:highlight w:val="none"/>
                <w:lang w:val="en-US" w:eastAsia="zh-CN"/>
              </w:rPr>
              <w:t>：等效黏土防渗层Mb≥6.0m，K≤1×10</w:t>
            </w:r>
            <w:r>
              <w:rPr>
                <w:rFonts w:hint="eastAsia" w:ascii="Times New Roman" w:hAnsi="Times New Roman" w:eastAsia="宋体" w:cs="Times New Roman"/>
                <w:color w:val="000000"/>
                <w:kern w:val="2"/>
                <w:sz w:val="21"/>
                <w:szCs w:val="21"/>
                <w:highlight w:val="none"/>
                <w:vertAlign w:val="superscript"/>
                <w:lang w:val="en-US" w:eastAsia="zh-CN"/>
              </w:rPr>
              <w:t>-7</w:t>
            </w:r>
            <w:r>
              <w:rPr>
                <w:rFonts w:hint="default" w:ascii="Times New Roman" w:hAnsi="Times New Roman" w:eastAsia="宋体" w:cs="Times New Roman"/>
                <w:color w:val="000000"/>
                <w:kern w:val="2"/>
                <w:sz w:val="21"/>
                <w:szCs w:val="21"/>
                <w:highlight w:val="none"/>
                <w:lang w:val="en-US" w:eastAsia="zh-CN"/>
              </w:rPr>
              <w:t>cm/s</w:t>
            </w:r>
            <w:r>
              <w:rPr>
                <w:rFonts w:hint="eastAsia" w:ascii="Times New Roman" w:hAnsi="Times New Roman" w:eastAsia="宋体" w:cs="Times New Roman"/>
                <w:color w:val="000000"/>
                <w:kern w:val="2"/>
                <w:sz w:val="21"/>
                <w:szCs w:val="21"/>
                <w:highlight w:val="none"/>
                <w:lang w:val="en-US" w:eastAsia="zh-CN"/>
              </w:rPr>
              <w:t>。危险废物贮存库地面满足《危险废物贮存污染控制标准》（GB18597-2023）</w:t>
            </w:r>
            <w:r>
              <w:rPr>
                <w:rFonts w:hint="eastAsia" w:cs="Times New Roman"/>
                <w:color w:val="000000"/>
                <w:kern w:val="2"/>
                <w:sz w:val="21"/>
                <w:szCs w:val="21"/>
                <w:highlight w:val="none"/>
                <w:lang w:val="en-US" w:eastAsia="zh-CN"/>
              </w:rPr>
              <w:t>“</w:t>
            </w:r>
            <w:r>
              <w:rPr>
                <w:rFonts w:ascii="宋体" w:hAnsi="宋体" w:eastAsia="宋体" w:cs="宋体"/>
                <w:color w:val="auto"/>
                <w:kern w:val="0"/>
                <w:sz w:val="21"/>
                <w:szCs w:val="21"/>
                <w:highlight w:val="none"/>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1"/>
                <w:szCs w:val="21"/>
                <w:highlight w:val="none"/>
                <w:lang w:val="en-US" w:eastAsia="zh-CN"/>
              </w:rPr>
              <w:t>”</w:t>
            </w:r>
            <w:r>
              <w:rPr>
                <w:rFonts w:hint="eastAsia" w:ascii="Times New Roman" w:hAnsi="Times New Roman" w:eastAsia="宋体" w:cs="Times New Roman"/>
                <w:color w:val="000000"/>
                <w:kern w:val="2"/>
                <w:sz w:val="21"/>
                <w:szCs w:val="21"/>
                <w:highlight w:val="none"/>
                <w:lang w:val="en-US" w:eastAsia="zh-CN"/>
              </w:rPr>
              <w:t>相关要求；危险废物贮存库围堰满足《危险废物贮存污染控制标准》（GB18597-2023）</w:t>
            </w:r>
            <w:r>
              <w:rPr>
                <w:rFonts w:hint="eastAsia" w:cs="Times New Roman"/>
                <w:color w:val="000000"/>
                <w:kern w:val="2"/>
                <w:sz w:val="21"/>
                <w:szCs w:val="21"/>
                <w:highlight w:val="none"/>
                <w:lang w:val="en-US" w:eastAsia="zh-CN"/>
              </w:rPr>
              <w:t>“</w:t>
            </w:r>
            <w:r>
              <w:rPr>
                <w:rFonts w:hint="default" w:ascii="Times New Roman" w:hAnsi="Times New Roman" w:eastAsia="宋体" w:cs="Times New Roman"/>
                <w:color w:val="auto"/>
                <w:kern w:val="0"/>
                <w:sz w:val="21"/>
                <w:szCs w:val="21"/>
                <w:highlight w:val="none"/>
              </w:rPr>
              <w:t>贮存的危险废物直接接触地面的，还应进行基础防渗，防渗层为至少1m厚黏土层（渗透系数不大于10</w:t>
            </w:r>
            <w:r>
              <w:rPr>
                <w:rFonts w:hint="eastAsia" w:ascii="Times New Roman" w:hAnsi="Times New Roman" w:eastAsia="宋体" w:cs="Times New Roman"/>
                <w:color w:val="000000"/>
                <w:kern w:val="2"/>
                <w:sz w:val="21"/>
                <w:szCs w:val="21"/>
                <w:highlight w:val="none"/>
                <w:vertAlign w:val="superscript"/>
                <w:lang w:val="en-US" w:eastAsia="zh-CN"/>
              </w:rPr>
              <w:t>-</w:t>
            </w:r>
            <w:r>
              <w:rPr>
                <w:rFonts w:hint="default" w:ascii="Times New Roman" w:hAnsi="Times New Roman" w:eastAsia="宋体" w:cs="Times New Roman"/>
                <w:color w:val="auto"/>
                <w:kern w:val="0"/>
                <w:sz w:val="21"/>
                <w:szCs w:val="21"/>
                <w:highlight w:val="none"/>
                <w:vertAlign w:val="superscript"/>
              </w:rPr>
              <w:t>7</w:t>
            </w:r>
            <w:r>
              <w:rPr>
                <w:rFonts w:hint="default" w:ascii="Times New Roman" w:hAnsi="Times New Roman" w:eastAsia="宋体" w:cs="Times New Roman"/>
                <w:color w:val="auto"/>
                <w:kern w:val="0"/>
                <w:sz w:val="21"/>
                <w:szCs w:val="21"/>
                <w:highlight w:val="none"/>
              </w:rPr>
              <w:t>cm/s），或至少2mm厚高密度聚乙烯膜等人工防渗材料（渗透系数不大于10</w:t>
            </w:r>
            <w:r>
              <w:rPr>
                <w:rFonts w:hint="eastAsia" w:ascii="Times New Roman" w:hAnsi="Times New Roman" w:eastAsia="宋体" w:cs="Times New Roman"/>
                <w:color w:val="000000"/>
                <w:kern w:val="2"/>
                <w:sz w:val="21"/>
                <w:szCs w:val="21"/>
                <w:highlight w:val="none"/>
                <w:vertAlign w:val="superscript"/>
                <w:lang w:val="en-US" w:eastAsia="zh-CN"/>
              </w:rPr>
              <w:t>-</w:t>
            </w:r>
            <w:r>
              <w:rPr>
                <w:rFonts w:hint="default" w:ascii="Times New Roman" w:hAnsi="Times New Roman" w:eastAsia="宋体" w:cs="Times New Roman"/>
                <w:color w:val="auto"/>
                <w:kern w:val="0"/>
                <w:sz w:val="21"/>
                <w:szCs w:val="21"/>
                <w:highlight w:val="none"/>
                <w:vertAlign w:val="superscript"/>
              </w:rPr>
              <w:t>10</w:t>
            </w:r>
            <w:r>
              <w:rPr>
                <w:rFonts w:hint="default" w:ascii="Times New Roman" w:hAnsi="Times New Roman" w:eastAsia="宋体" w:cs="Times New Roman"/>
                <w:color w:val="auto"/>
                <w:kern w:val="0"/>
                <w:sz w:val="21"/>
                <w:szCs w:val="21"/>
                <w:highlight w:val="none"/>
              </w:rPr>
              <w:t>cm/s），或其他防渗性能等效的材料</w:t>
            </w:r>
            <w:r>
              <w:rPr>
                <w:rFonts w:hint="default" w:ascii="Times New Roman" w:hAnsi="Times New Roman" w:eastAsia="宋体" w:cs="Times New Roman"/>
                <w:color w:val="000000"/>
                <w:kern w:val="2"/>
                <w:sz w:val="21"/>
                <w:szCs w:val="21"/>
                <w:highlight w:val="none"/>
                <w:lang w:val="en-US" w:eastAsia="zh-CN"/>
              </w:rPr>
              <w:t>。</w:t>
            </w:r>
            <w:r>
              <w:rPr>
                <w:rFonts w:hint="eastAsia" w:cs="Times New Roman"/>
                <w:color w:val="000000"/>
                <w:kern w:val="2"/>
                <w:sz w:val="21"/>
                <w:szCs w:val="21"/>
                <w:highlight w:val="none"/>
                <w:lang w:val="en-US" w:eastAsia="zh-CN"/>
              </w:rPr>
              <w:t>”</w:t>
            </w:r>
            <w:r>
              <w:rPr>
                <w:rFonts w:hint="eastAsia" w:ascii="Times New Roman" w:hAnsi="Times New Roman" w:eastAsia="宋体" w:cs="Times New Roman"/>
                <w:color w:val="000000"/>
                <w:kern w:val="2"/>
                <w:sz w:val="21"/>
                <w:szCs w:val="21"/>
                <w:highlight w:val="none"/>
                <w:lang w:val="en-US" w:eastAsia="zh-CN"/>
              </w:rPr>
              <w:t>；</w:t>
            </w:r>
          </w:p>
        </w:tc>
        <w:tc>
          <w:tcPr>
            <w:tcW w:w="524" w:type="pct"/>
            <w:tcBorders>
              <w:tl2br w:val="nil"/>
              <w:tr2bl w:val="nil"/>
            </w:tcBorders>
            <w:noWrap w:val="0"/>
            <w:vAlign w:val="center"/>
          </w:tcPr>
          <w:p w14:paraId="09234D0C">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202</w:t>
            </w:r>
            <w:r>
              <w:rPr>
                <w:rFonts w:hint="eastAsia" w:cs="Times New Roman"/>
                <w:color w:val="000000"/>
                <w:kern w:val="2"/>
                <w:sz w:val="21"/>
                <w:szCs w:val="21"/>
                <w:lang w:val="en-US" w:eastAsia="zh-CN" w:bidi="ar-SA"/>
              </w:rPr>
              <w:t>7</w:t>
            </w:r>
            <w:r>
              <w:rPr>
                <w:rFonts w:hint="eastAsia" w:ascii="Times New Roman" w:hAnsi="Times New Roman" w:cs="Times New Roman"/>
                <w:color w:val="000000"/>
                <w:kern w:val="2"/>
                <w:sz w:val="21"/>
                <w:szCs w:val="21"/>
                <w:lang w:val="en-US" w:eastAsia="zh-CN" w:bidi="ar-SA"/>
              </w:rPr>
              <w:t>年12月</w:t>
            </w:r>
            <w:r>
              <w:rPr>
                <w:rFonts w:hint="eastAsia" w:cs="Times New Roman"/>
                <w:color w:val="000000"/>
                <w:kern w:val="2"/>
                <w:sz w:val="21"/>
                <w:szCs w:val="21"/>
                <w:lang w:val="en-US" w:eastAsia="zh-CN" w:bidi="ar-SA"/>
              </w:rPr>
              <w:t>3</w:t>
            </w:r>
            <w:r>
              <w:rPr>
                <w:rFonts w:hint="eastAsia" w:ascii="Times New Roman" w:hAnsi="Times New Roman" w:cs="Times New Roman"/>
                <w:color w:val="000000"/>
                <w:kern w:val="2"/>
                <w:sz w:val="21"/>
                <w:szCs w:val="21"/>
                <w:lang w:val="en-US" w:eastAsia="zh-CN" w:bidi="ar-SA"/>
              </w:rPr>
              <w:t>1日</w:t>
            </w:r>
          </w:p>
        </w:tc>
      </w:tr>
      <w:tr w14:paraId="07E44A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098D8651">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zh-CN" w:eastAsia="zh-CN" w:bidi="ar-SA"/>
              </w:rPr>
              <w:t>5</w:t>
            </w:r>
          </w:p>
        </w:tc>
        <w:tc>
          <w:tcPr>
            <w:tcW w:w="1235" w:type="pct"/>
            <w:tcBorders>
              <w:tl2br w:val="nil"/>
              <w:tr2bl w:val="nil"/>
            </w:tcBorders>
            <w:noWrap w:val="0"/>
            <w:vAlign w:val="center"/>
          </w:tcPr>
          <w:p w14:paraId="29839FBA">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医疗废物未在厂区内设置暂存设施；</w:t>
            </w:r>
          </w:p>
        </w:tc>
        <w:tc>
          <w:tcPr>
            <w:tcW w:w="525" w:type="pct"/>
            <w:vMerge w:val="continue"/>
            <w:tcBorders>
              <w:tl2br w:val="nil"/>
              <w:tr2bl w:val="nil"/>
            </w:tcBorders>
            <w:noWrap w:val="0"/>
            <w:vAlign w:val="center"/>
          </w:tcPr>
          <w:p w14:paraId="1BC386CD">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kern w:val="2"/>
                <w:sz w:val="21"/>
                <w:szCs w:val="21"/>
                <w:lang w:val="en-US" w:eastAsia="zh-CN"/>
              </w:rPr>
            </w:pPr>
          </w:p>
        </w:tc>
        <w:tc>
          <w:tcPr>
            <w:tcW w:w="2385" w:type="pct"/>
            <w:tcBorders>
              <w:tl2br w:val="nil"/>
              <w:tr2bl w:val="nil"/>
            </w:tcBorders>
            <w:noWrap w:val="0"/>
            <w:vAlign w:val="center"/>
          </w:tcPr>
          <w:p w14:paraId="2880D5B6">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sz w:val="21"/>
                <w:szCs w:val="21"/>
              </w:rPr>
              <w:t>本项目</w:t>
            </w:r>
            <w:r>
              <w:rPr>
                <w:rFonts w:hint="eastAsia" w:ascii="Times New Roman" w:hAnsi="Times New Roman" w:eastAsia="宋体" w:cs="Times New Roman"/>
                <w:sz w:val="21"/>
                <w:szCs w:val="21"/>
                <w:lang w:val="en-US" w:eastAsia="zh-CN"/>
              </w:rPr>
              <w:t>新增20</w:t>
            </w:r>
            <w:r>
              <w:rPr>
                <w:rFonts w:hint="default" w:ascii="Times New Roman" w:hAnsi="Times New Roman" w:eastAsia="宋体" w:cs="Times New Roman"/>
                <w:color w:val="000000"/>
                <w:sz w:val="21"/>
                <w:szCs w:val="21"/>
              </w:rPr>
              <w:t>m</w:t>
            </w:r>
            <w:r>
              <w:rPr>
                <w:rFonts w:hint="eastAsia" w:ascii="Times New Roman" w:hAnsi="Times New Roman" w:eastAsia="宋体" w:cs="Times New Roman"/>
                <w:color w:val="000000"/>
                <w:sz w:val="21"/>
                <w:szCs w:val="21"/>
                <w:vertAlign w:val="superscript"/>
                <w:lang w:val="en-US" w:eastAsia="zh-CN"/>
              </w:rPr>
              <w:t>2</w:t>
            </w:r>
            <w:r>
              <w:rPr>
                <w:rFonts w:hint="eastAsia" w:ascii="Times New Roman" w:hAnsi="Times New Roman" w:eastAsia="宋体" w:cs="Times New Roman"/>
                <w:sz w:val="21"/>
                <w:szCs w:val="21"/>
              </w:rPr>
              <w:t>医疗</w:t>
            </w:r>
            <w:r>
              <w:rPr>
                <w:rFonts w:hint="default" w:ascii="Times New Roman" w:hAnsi="Times New Roman" w:eastAsia="宋体" w:cs="Times New Roman"/>
                <w:sz w:val="21"/>
                <w:szCs w:val="21"/>
              </w:rPr>
              <w:t>废物</w:t>
            </w:r>
            <w:r>
              <w:rPr>
                <w:rFonts w:hint="eastAsia" w:ascii="Times New Roman" w:hAnsi="Times New Roman" w:eastAsia="宋体" w:cs="Times New Roman"/>
                <w:sz w:val="21"/>
                <w:szCs w:val="21"/>
              </w:rPr>
              <w:t>暂存间</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作为本项目以及现有工程医疗废物暂存设施，</w:t>
            </w:r>
            <w:r>
              <w:rPr>
                <w:rFonts w:hint="eastAsia" w:ascii="Times New Roman" w:hAnsi="Times New Roman" w:eastAsia="宋体" w:cs="Times New Roman"/>
                <w:sz w:val="21"/>
                <w:szCs w:val="21"/>
              </w:rPr>
              <w:t>对医疗废弃物进行分类暂存</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设计符合</w:t>
            </w:r>
            <w:r>
              <w:rPr>
                <w:rFonts w:hint="eastAsia" w:ascii="Times New Roman" w:hAnsi="Times New Roman" w:eastAsia="宋体" w:cs="Times New Roman"/>
                <w:sz w:val="21"/>
                <w:szCs w:val="21"/>
              </w:rPr>
              <w:t>《</w:t>
            </w:r>
            <w:r>
              <w:rPr>
                <w:rFonts w:hint="default" w:ascii="Times New Roman" w:hAnsi="Times New Roman" w:eastAsia="宋体" w:cs="Times New Roman"/>
                <w:sz w:val="21"/>
                <w:szCs w:val="21"/>
              </w:rPr>
              <w:t>医疗废物集中处置技术规范（试行）</w:t>
            </w:r>
            <w:r>
              <w:rPr>
                <w:rFonts w:hint="eastAsia" w:ascii="Times New Roman" w:hAnsi="Times New Roman" w:eastAsia="宋体" w:cs="Times New Roman"/>
                <w:sz w:val="21"/>
                <w:szCs w:val="21"/>
              </w:rPr>
              <w:t>》规定</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医疗废物最终交</w:t>
            </w:r>
            <w:r>
              <w:rPr>
                <w:rFonts w:hint="default" w:ascii="Times New Roman" w:hAnsi="Times New Roman" w:eastAsia="宋体" w:cs="Times New Roman"/>
                <w:sz w:val="21"/>
                <w:szCs w:val="21"/>
              </w:rPr>
              <w:t>由</w:t>
            </w:r>
            <w:r>
              <w:rPr>
                <w:rFonts w:hint="eastAsia" w:ascii="Times New Roman" w:hAnsi="Times New Roman" w:eastAsia="宋体" w:cs="Times New Roman"/>
                <w:sz w:val="21"/>
                <w:szCs w:val="21"/>
              </w:rPr>
              <w:t>有资质</w:t>
            </w:r>
            <w:r>
              <w:rPr>
                <w:rFonts w:hint="default" w:ascii="Times New Roman" w:hAnsi="Times New Roman" w:eastAsia="宋体" w:cs="Times New Roman"/>
                <w:sz w:val="21"/>
                <w:szCs w:val="21"/>
              </w:rPr>
              <w:t>单位</w:t>
            </w:r>
            <w:r>
              <w:rPr>
                <w:rFonts w:hint="eastAsia" w:ascii="Times New Roman" w:hAnsi="Times New Roman" w:eastAsia="宋体" w:cs="Times New Roman"/>
                <w:sz w:val="21"/>
                <w:szCs w:val="21"/>
                <w:lang w:val="en-US" w:eastAsia="zh-CN"/>
              </w:rPr>
              <w:t>运输</w:t>
            </w:r>
            <w:r>
              <w:rPr>
                <w:rFonts w:hint="eastAsia" w:ascii="Times New Roman" w:hAnsi="Times New Roman" w:eastAsia="宋体" w:cs="Times New Roman"/>
                <w:sz w:val="21"/>
                <w:szCs w:val="21"/>
              </w:rPr>
              <w:t>处置。医疗</w:t>
            </w:r>
            <w:r>
              <w:rPr>
                <w:rFonts w:hint="default" w:ascii="Times New Roman" w:hAnsi="Times New Roman" w:eastAsia="宋体" w:cs="Times New Roman"/>
                <w:sz w:val="21"/>
                <w:szCs w:val="21"/>
              </w:rPr>
              <w:t>废物</w:t>
            </w:r>
            <w:r>
              <w:rPr>
                <w:rFonts w:hint="eastAsia" w:ascii="Times New Roman" w:hAnsi="Times New Roman" w:eastAsia="宋体" w:cs="Times New Roman"/>
                <w:sz w:val="21"/>
                <w:szCs w:val="21"/>
              </w:rPr>
              <w:t>暂存间</w:t>
            </w:r>
            <w:r>
              <w:rPr>
                <w:rFonts w:hint="eastAsia" w:ascii="Times New Roman" w:hAnsi="Times New Roman" w:eastAsia="宋体" w:cs="Times New Roman"/>
                <w:color w:val="000000"/>
                <w:kern w:val="2"/>
                <w:sz w:val="21"/>
                <w:szCs w:val="21"/>
                <w:highlight w:val="none"/>
                <w:lang w:val="en-US" w:eastAsia="zh-CN"/>
              </w:rPr>
              <w:t>防渗方案</w:t>
            </w:r>
            <w:r>
              <w:rPr>
                <w:rFonts w:hint="default" w:ascii="Times New Roman" w:hAnsi="Times New Roman" w:eastAsia="宋体" w:cs="Times New Roman"/>
                <w:color w:val="000000"/>
                <w:kern w:val="2"/>
                <w:sz w:val="21"/>
                <w:szCs w:val="21"/>
                <w:highlight w:val="none"/>
                <w:lang w:val="en-US" w:eastAsia="zh-CN"/>
              </w:rPr>
              <w:t>黏土夯实+2mm厚高密度聚乙烯膜（HDPE）+外保护（20mm水泥）</w:t>
            </w:r>
            <w:r>
              <w:rPr>
                <w:rFonts w:hint="eastAsia" w:ascii="Times New Roman" w:hAnsi="Times New Roman" w:eastAsia="宋体" w:cs="Times New Roman"/>
                <w:color w:val="000000"/>
                <w:kern w:val="2"/>
                <w:sz w:val="21"/>
                <w:szCs w:val="21"/>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1"/>
                <w:szCs w:val="21"/>
                <w:highlight w:val="none"/>
                <w:lang w:val="en-US" w:eastAsia="zh-CN"/>
              </w:rPr>
              <w:t>：等效黏土防渗层Mb≥6.0m，K≤1×10</w:t>
            </w:r>
            <w:r>
              <w:rPr>
                <w:rFonts w:hint="eastAsia" w:ascii="Times New Roman" w:hAnsi="Times New Roman" w:eastAsia="宋体" w:cs="Times New Roman"/>
                <w:color w:val="000000"/>
                <w:kern w:val="2"/>
                <w:sz w:val="21"/>
                <w:szCs w:val="21"/>
                <w:highlight w:val="none"/>
                <w:vertAlign w:val="superscript"/>
                <w:lang w:val="en-US" w:eastAsia="zh-CN"/>
              </w:rPr>
              <w:t>-7</w:t>
            </w:r>
            <w:r>
              <w:rPr>
                <w:rFonts w:hint="default" w:ascii="Times New Roman" w:hAnsi="Times New Roman" w:eastAsia="宋体" w:cs="Times New Roman"/>
                <w:color w:val="000000"/>
                <w:kern w:val="2"/>
                <w:sz w:val="21"/>
                <w:szCs w:val="21"/>
                <w:highlight w:val="none"/>
                <w:lang w:val="en-US" w:eastAsia="zh-CN"/>
              </w:rPr>
              <w:t>cm/s</w:t>
            </w:r>
            <w:r>
              <w:rPr>
                <w:rFonts w:hint="eastAsia" w:ascii="Times New Roman" w:hAnsi="Times New Roman" w:eastAsia="宋体" w:cs="Times New Roman"/>
                <w:color w:val="000000"/>
                <w:kern w:val="2"/>
                <w:sz w:val="21"/>
                <w:szCs w:val="21"/>
                <w:highlight w:val="none"/>
                <w:lang w:val="en-US" w:eastAsia="zh-CN"/>
              </w:rPr>
              <w:t>。满足《医疗废物管理条例》</w:t>
            </w:r>
            <w:r>
              <w:rPr>
                <w:rFonts w:hint="eastAsia" w:cs="Times New Roman"/>
                <w:color w:val="000000"/>
                <w:kern w:val="2"/>
                <w:sz w:val="21"/>
                <w:szCs w:val="21"/>
                <w:highlight w:val="none"/>
                <w:lang w:val="en-US" w:eastAsia="zh-CN"/>
              </w:rPr>
              <w:t>“</w:t>
            </w:r>
            <w:r>
              <w:rPr>
                <w:rFonts w:hint="eastAsia" w:ascii="Times New Roman" w:hAnsi="Times New Roman" w:eastAsia="宋体" w:cs="Times New Roman"/>
                <w:color w:val="000000"/>
                <w:kern w:val="2"/>
                <w:sz w:val="21"/>
                <w:szCs w:val="21"/>
                <w:highlight w:val="none"/>
                <w:lang w:val="en-US" w:eastAsia="zh-CN"/>
              </w:rPr>
              <w:t>医疗废物的暂时贮存设施、设备，应当远离医疗区、食品加工区和人员活动区以及生活垃圾存放场所，并设置明显的警示标识和防渗漏、防鼠、防蚊蝇、防蟑螂、防盗以及预防儿童接触等安全措施。</w:t>
            </w:r>
            <w:r>
              <w:rPr>
                <w:rFonts w:hint="eastAsia" w:cs="Times New Roman"/>
                <w:color w:val="000000"/>
                <w:kern w:val="2"/>
                <w:sz w:val="21"/>
                <w:szCs w:val="21"/>
                <w:highlight w:val="none"/>
                <w:lang w:val="en-US" w:eastAsia="zh-CN"/>
              </w:rPr>
              <w:t>”以及</w:t>
            </w:r>
            <w:r>
              <w:rPr>
                <w:rFonts w:hint="eastAsia" w:ascii="Times New Roman" w:hAnsi="Times New Roman" w:eastAsia="宋体" w:cs="Times New Roman"/>
                <w:color w:val="000000"/>
                <w:kern w:val="2"/>
                <w:sz w:val="21"/>
                <w:szCs w:val="21"/>
                <w:highlight w:val="none"/>
                <w:lang w:val="en-US" w:eastAsia="zh-CN"/>
              </w:rPr>
              <w:t>《危险废物贮存污染控制标准》（GB18597-2023）</w:t>
            </w:r>
            <w:r>
              <w:rPr>
                <w:rFonts w:hint="eastAsia" w:cs="Times New Roman"/>
                <w:color w:val="000000"/>
                <w:kern w:val="2"/>
                <w:sz w:val="21"/>
                <w:szCs w:val="21"/>
                <w:highlight w:val="none"/>
                <w:lang w:val="en-US" w:eastAsia="zh-CN"/>
              </w:rPr>
              <w:t>“</w:t>
            </w:r>
            <w:r>
              <w:rPr>
                <w:rFonts w:ascii="宋体" w:hAnsi="宋体" w:eastAsia="宋体" w:cs="宋体"/>
                <w:color w:val="auto"/>
                <w:kern w:val="0"/>
                <w:sz w:val="21"/>
                <w:szCs w:val="21"/>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1"/>
                <w:szCs w:val="21"/>
                <w:highlight w:val="none"/>
                <w:lang w:val="en-US" w:eastAsia="zh-CN"/>
              </w:rPr>
              <w:t>”</w:t>
            </w:r>
            <w:r>
              <w:rPr>
                <w:rFonts w:hint="eastAsia" w:ascii="Times New Roman" w:hAnsi="Times New Roman" w:eastAsia="宋体" w:cs="Times New Roman"/>
                <w:color w:val="000000"/>
                <w:kern w:val="2"/>
                <w:sz w:val="21"/>
                <w:szCs w:val="21"/>
                <w:highlight w:val="none"/>
                <w:lang w:val="en-US" w:eastAsia="zh-CN"/>
              </w:rPr>
              <w:t>相关要求。</w:t>
            </w:r>
          </w:p>
        </w:tc>
        <w:tc>
          <w:tcPr>
            <w:tcW w:w="524" w:type="pct"/>
            <w:tcBorders>
              <w:tl2br w:val="nil"/>
              <w:tr2bl w:val="nil"/>
            </w:tcBorders>
            <w:noWrap w:val="0"/>
            <w:vAlign w:val="center"/>
          </w:tcPr>
          <w:p w14:paraId="6B7CCD2E">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202</w:t>
            </w:r>
            <w:r>
              <w:rPr>
                <w:rFonts w:hint="eastAsia" w:cs="Times New Roman"/>
                <w:color w:val="000000"/>
                <w:kern w:val="2"/>
                <w:sz w:val="21"/>
                <w:szCs w:val="21"/>
                <w:lang w:val="en-US" w:eastAsia="zh-CN" w:bidi="ar-SA"/>
              </w:rPr>
              <w:t>7</w:t>
            </w:r>
            <w:r>
              <w:rPr>
                <w:rFonts w:hint="eastAsia" w:ascii="Times New Roman" w:hAnsi="Times New Roman" w:cs="Times New Roman"/>
                <w:color w:val="000000"/>
                <w:kern w:val="2"/>
                <w:sz w:val="21"/>
                <w:szCs w:val="21"/>
                <w:lang w:val="en-US" w:eastAsia="zh-CN" w:bidi="ar-SA"/>
              </w:rPr>
              <w:t>年12月</w:t>
            </w:r>
            <w:r>
              <w:rPr>
                <w:rFonts w:hint="eastAsia" w:cs="Times New Roman"/>
                <w:color w:val="000000"/>
                <w:kern w:val="2"/>
                <w:sz w:val="21"/>
                <w:szCs w:val="21"/>
                <w:lang w:val="en-US" w:eastAsia="zh-CN" w:bidi="ar-SA"/>
              </w:rPr>
              <w:t>3</w:t>
            </w:r>
            <w:r>
              <w:rPr>
                <w:rFonts w:hint="eastAsia" w:ascii="Times New Roman" w:hAnsi="Times New Roman" w:cs="Times New Roman"/>
                <w:color w:val="000000"/>
                <w:kern w:val="2"/>
                <w:sz w:val="21"/>
                <w:szCs w:val="21"/>
                <w:lang w:val="en-US" w:eastAsia="zh-CN" w:bidi="ar-SA"/>
              </w:rPr>
              <w:t>1日</w:t>
            </w:r>
          </w:p>
        </w:tc>
      </w:tr>
      <w:tr w14:paraId="204514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548893EB">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6</w:t>
            </w:r>
          </w:p>
        </w:tc>
        <w:tc>
          <w:tcPr>
            <w:tcW w:w="1235" w:type="pct"/>
            <w:tcBorders>
              <w:tl2br w:val="nil"/>
              <w:tr2bl w:val="nil"/>
            </w:tcBorders>
            <w:noWrap w:val="0"/>
            <w:vAlign w:val="center"/>
          </w:tcPr>
          <w:p w14:paraId="5AFA5321">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未建立固废台账；</w:t>
            </w:r>
          </w:p>
        </w:tc>
        <w:tc>
          <w:tcPr>
            <w:tcW w:w="525" w:type="pct"/>
            <w:tcBorders>
              <w:tl2br w:val="nil"/>
              <w:tr2bl w:val="nil"/>
            </w:tcBorders>
            <w:noWrap w:val="0"/>
            <w:vAlign w:val="center"/>
          </w:tcPr>
          <w:p w14:paraId="33AA9583">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kern w:val="2"/>
                <w:sz w:val="21"/>
                <w:szCs w:val="21"/>
                <w:lang w:val="en-US" w:eastAsia="zh-CN"/>
              </w:rPr>
              <w:t>及时建立固废台账</w:t>
            </w:r>
          </w:p>
        </w:tc>
        <w:tc>
          <w:tcPr>
            <w:tcW w:w="2385" w:type="pct"/>
            <w:tcBorders>
              <w:tl2br w:val="nil"/>
              <w:tr2bl w:val="nil"/>
            </w:tcBorders>
            <w:noWrap w:val="0"/>
            <w:vAlign w:val="center"/>
          </w:tcPr>
          <w:p w14:paraId="6A8FDB1B">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根据《排污单位环境管理台账及排污许可证执行报告技术规范总则（试行）》（HJ944-2018），环境管理台账指排污单位根据排污许可证的规定，对自行监测、落实各项环境管理要求等行为的具体记录，包括电子台账和纸质台账两种。环境管理台账记录内容包括生产设施基本信息、生产设施运行管理信息、污染防治设施运行管理信息、监测记录信息及其他环境管理信息等。</w:t>
            </w:r>
          </w:p>
        </w:tc>
        <w:tc>
          <w:tcPr>
            <w:tcW w:w="524" w:type="pct"/>
            <w:tcBorders>
              <w:tl2br w:val="nil"/>
              <w:tr2bl w:val="nil"/>
            </w:tcBorders>
            <w:noWrap w:val="0"/>
            <w:vAlign w:val="center"/>
          </w:tcPr>
          <w:p w14:paraId="5A6A24CB">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2026年12月31日</w:t>
            </w:r>
          </w:p>
        </w:tc>
      </w:tr>
      <w:tr w14:paraId="402D32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1D443EEC">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zh-CN" w:eastAsia="zh-CN" w:bidi="ar-SA"/>
              </w:rPr>
              <w:t>7</w:t>
            </w:r>
          </w:p>
        </w:tc>
        <w:tc>
          <w:tcPr>
            <w:tcW w:w="1235" w:type="pct"/>
            <w:tcBorders>
              <w:tl2br w:val="nil"/>
              <w:tr2bl w:val="nil"/>
            </w:tcBorders>
            <w:noWrap w:val="0"/>
            <w:vAlign w:val="center"/>
          </w:tcPr>
          <w:p w14:paraId="7BEC4551">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未制定监测计划；</w:t>
            </w:r>
          </w:p>
        </w:tc>
        <w:tc>
          <w:tcPr>
            <w:tcW w:w="525" w:type="pct"/>
            <w:tcBorders>
              <w:tl2br w:val="nil"/>
              <w:tr2bl w:val="nil"/>
            </w:tcBorders>
            <w:noWrap w:val="0"/>
            <w:vAlign w:val="center"/>
          </w:tcPr>
          <w:p w14:paraId="468EE523">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cs="Times New Roman"/>
                <w:kern w:val="2"/>
                <w:sz w:val="21"/>
                <w:szCs w:val="21"/>
                <w:lang w:val="en-US" w:eastAsia="zh-CN"/>
              </w:rPr>
            </w:pPr>
            <w:r>
              <w:rPr>
                <w:rFonts w:hint="eastAsia" w:cs="Times New Roman"/>
                <w:kern w:val="2"/>
                <w:sz w:val="21"/>
                <w:szCs w:val="21"/>
                <w:lang w:val="en-US" w:eastAsia="zh-CN"/>
              </w:rPr>
              <w:t>制定监测计划并定期监测</w:t>
            </w:r>
          </w:p>
        </w:tc>
        <w:tc>
          <w:tcPr>
            <w:tcW w:w="2385" w:type="pct"/>
            <w:tcBorders>
              <w:tl2br w:val="nil"/>
              <w:tr2bl w:val="nil"/>
            </w:tcBorders>
            <w:noWrap w:val="0"/>
            <w:vAlign w:val="center"/>
          </w:tcPr>
          <w:p w14:paraId="502CE1A2">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right="0" w:rightChars="0" w:firstLine="420" w:firstLineChars="20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宋体"/>
                <w:color w:val="000000"/>
                <w:kern w:val="0"/>
                <w:sz w:val="21"/>
                <w:szCs w:val="21"/>
                <w:lang w:val="en-US" w:eastAsia="zh-CN"/>
              </w:rPr>
              <w:t>按照《排污单位自行监测技术指南 总则》（HJ819-2017）、《排污单位自行监测技术指南 畜禽养殖行业》（HJ1252-2022）、</w:t>
            </w:r>
            <w:r>
              <w:rPr>
                <w:rFonts w:hint="eastAsia" w:ascii="Times New Roman" w:hAnsi="Times New Roman" w:eastAsia="宋体" w:cs="Times New Roman"/>
                <w:color w:val="000000"/>
                <w:kern w:val="0"/>
                <w:sz w:val="21"/>
                <w:szCs w:val="21"/>
                <w:highlight w:val="none"/>
                <w:lang w:val="en-US" w:eastAsia="zh-CN"/>
              </w:rPr>
              <w:t>《地下水环境监测技术规范》（HJ164-2020）</w:t>
            </w:r>
            <w:r>
              <w:rPr>
                <w:rFonts w:hint="eastAsia" w:cs="Times New Roman"/>
                <w:color w:val="000000"/>
                <w:kern w:val="0"/>
                <w:sz w:val="21"/>
                <w:szCs w:val="21"/>
                <w:highlight w:val="none"/>
                <w:lang w:val="en-US" w:eastAsia="zh-CN"/>
              </w:rPr>
              <w:t>以及</w:t>
            </w:r>
            <w:r>
              <w:rPr>
                <w:rFonts w:hint="eastAsia" w:ascii="Times New Roman" w:hAnsi="Times New Roman" w:eastAsia="宋体" w:cs="Times New Roman"/>
                <w:color w:val="000000"/>
                <w:kern w:val="0"/>
                <w:sz w:val="21"/>
                <w:szCs w:val="21"/>
                <w:highlight w:val="none"/>
                <w:lang w:eastAsia="zh-CN"/>
              </w:rPr>
              <w:t>《</w:t>
            </w:r>
            <w:r>
              <w:rPr>
                <w:rFonts w:hint="eastAsia" w:ascii="Times New Roman" w:hAnsi="Times New Roman" w:eastAsia="宋体" w:cs="Times New Roman"/>
                <w:color w:val="000000"/>
                <w:kern w:val="0"/>
                <w:sz w:val="21"/>
                <w:szCs w:val="21"/>
                <w:highlight w:val="none"/>
              </w:rPr>
              <w:t>工业企业土壤和地下水自行监测技术指南（试行）</w:t>
            </w:r>
            <w:r>
              <w:rPr>
                <w:rFonts w:hint="eastAsia" w:ascii="Times New Roman" w:hAnsi="Times New Roman" w:eastAsia="宋体" w:cs="Times New Roman"/>
                <w:color w:val="000000"/>
                <w:kern w:val="0"/>
                <w:sz w:val="21"/>
                <w:szCs w:val="21"/>
                <w:highlight w:val="none"/>
                <w:lang w:eastAsia="zh-CN"/>
              </w:rPr>
              <w:t>》（HJ 1209</w:t>
            </w:r>
            <w:r>
              <w:rPr>
                <w:rFonts w:hint="eastAsia" w:ascii="Times New Roman" w:hAnsi="Times New Roman" w:eastAsia="宋体" w:cs="Times New Roman"/>
                <w:color w:val="000000"/>
                <w:kern w:val="0"/>
                <w:sz w:val="21"/>
                <w:szCs w:val="21"/>
                <w:highlight w:val="none"/>
                <w:lang w:val="en-US" w:eastAsia="zh-CN"/>
              </w:rPr>
              <w:t>-</w:t>
            </w:r>
            <w:r>
              <w:rPr>
                <w:rFonts w:hint="eastAsia" w:ascii="Times New Roman" w:hAnsi="Times New Roman" w:eastAsia="宋体" w:cs="Times New Roman"/>
                <w:color w:val="000000"/>
                <w:kern w:val="0"/>
                <w:sz w:val="21"/>
                <w:szCs w:val="21"/>
                <w:highlight w:val="none"/>
                <w:lang w:eastAsia="zh-CN"/>
              </w:rPr>
              <w:t>2021）</w:t>
            </w:r>
            <w:r>
              <w:rPr>
                <w:rFonts w:hint="default" w:ascii="Times New Roman" w:hAnsi="Times New Roman" w:eastAsia="宋体" w:cs="宋体"/>
                <w:color w:val="000000"/>
                <w:kern w:val="0"/>
                <w:sz w:val="21"/>
                <w:szCs w:val="21"/>
                <w:lang w:val="en-US" w:eastAsia="zh-CN"/>
              </w:rPr>
              <w:t>等规范、指南制定监测计划</w:t>
            </w:r>
            <w:r>
              <w:rPr>
                <w:rFonts w:hint="eastAsia" w:ascii="Times New Roman" w:hAnsi="Times New Roman" w:eastAsia="宋体" w:cs="宋体"/>
                <w:color w:val="000000"/>
                <w:kern w:val="0"/>
                <w:sz w:val="21"/>
                <w:szCs w:val="21"/>
                <w:lang w:val="en-US" w:eastAsia="zh-CN"/>
              </w:rPr>
              <w:t>，并定期进行监测。</w:t>
            </w:r>
          </w:p>
        </w:tc>
        <w:tc>
          <w:tcPr>
            <w:tcW w:w="524" w:type="pct"/>
            <w:tcBorders>
              <w:tl2br w:val="nil"/>
              <w:tr2bl w:val="nil"/>
            </w:tcBorders>
            <w:noWrap w:val="0"/>
            <w:vAlign w:val="center"/>
          </w:tcPr>
          <w:p w14:paraId="7E108536">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color w:val="000000"/>
                <w:kern w:val="2"/>
                <w:sz w:val="21"/>
                <w:szCs w:val="21"/>
                <w:lang w:val="en-US" w:eastAsia="zh-CN" w:bidi="ar-SA"/>
              </w:rPr>
            </w:pPr>
            <w:r>
              <w:rPr>
                <w:rFonts w:hint="eastAsia" w:cs="Times New Roman"/>
                <w:color w:val="000000"/>
                <w:kern w:val="2"/>
                <w:sz w:val="21"/>
                <w:szCs w:val="21"/>
                <w:lang w:val="en-US" w:eastAsia="zh-CN" w:bidi="ar-SA"/>
              </w:rPr>
              <w:t>2026年12月31日</w:t>
            </w:r>
          </w:p>
        </w:tc>
      </w:tr>
      <w:tr w14:paraId="644E9F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29" w:type="pct"/>
            <w:tcBorders>
              <w:tl2br w:val="nil"/>
              <w:tr2bl w:val="nil"/>
            </w:tcBorders>
            <w:noWrap w:val="0"/>
            <w:vAlign w:val="center"/>
          </w:tcPr>
          <w:p w14:paraId="674FEF54">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zh-CN" w:eastAsia="zh-CN" w:bidi="ar-SA"/>
              </w:rPr>
              <w:t>8</w:t>
            </w:r>
          </w:p>
        </w:tc>
        <w:tc>
          <w:tcPr>
            <w:tcW w:w="1235" w:type="pct"/>
            <w:tcBorders>
              <w:tl2br w:val="nil"/>
              <w:tr2bl w:val="nil"/>
            </w:tcBorders>
            <w:noWrap w:val="0"/>
            <w:vAlign w:val="center"/>
          </w:tcPr>
          <w:p w14:paraId="402E3CB0">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Times New Roman"/>
                <w:color w:val="000000"/>
                <w:kern w:val="2"/>
                <w:sz w:val="21"/>
                <w:szCs w:val="21"/>
                <w:lang w:val="zh-CN" w:eastAsia="zh-CN" w:bidi="ar-SA"/>
              </w:rPr>
              <w:t>厂区内未按照《排污口规范化整治技术要求（试行）》（环监〔1996〕470号）、《环境保护图形标志—排放口（源）》（GB15562.1-1995）、《危险废物识别标志设置技术规范》（HJ 1276-2022）、《医疗废物集中处置技术规范（试行）》（环发〔2003〕206号）以及《地下水环境监测技术规范》（HJ 164-2020）进行排污口规范化管理。</w:t>
            </w:r>
          </w:p>
        </w:tc>
        <w:tc>
          <w:tcPr>
            <w:tcW w:w="525" w:type="pct"/>
            <w:tcBorders>
              <w:tl2br w:val="nil"/>
              <w:tr2bl w:val="nil"/>
            </w:tcBorders>
            <w:noWrap w:val="0"/>
            <w:vAlign w:val="center"/>
          </w:tcPr>
          <w:p w14:paraId="6DF08BAA">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kern w:val="2"/>
                <w:sz w:val="21"/>
                <w:szCs w:val="21"/>
                <w:lang w:val="en-US" w:eastAsia="zh-CN"/>
              </w:rPr>
            </w:pPr>
            <w:r>
              <w:rPr>
                <w:rFonts w:hint="default" w:ascii="Times New Roman" w:hAnsi="Times New Roman" w:eastAsia="宋体" w:cs="宋体"/>
                <w:color w:val="000000"/>
                <w:kern w:val="0"/>
                <w:sz w:val="21"/>
                <w:szCs w:val="21"/>
                <w:lang w:val="en-US" w:eastAsia="zh-CN"/>
              </w:rPr>
              <w:t>排污口规范化管理</w:t>
            </w:r>
          </w:p>
        </w:tc>
        <w:tc>
          <w:tcPr>
            <w:tcW w:w="2385" w:type="pct"/>
            <w:tcBorders>
              <w:tl2br w:val="nil"/>
              <w:tr2bl w:val="nil"/>
            </w:tcBorders>
            <w:noWrap w:val="0"/>
            <w:vAlign w:val="center"/>
          </w:tcPr>
          <w:p w14:paraId="5463E201">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000000"/>
                <w:kern w:val="2"/>
                <w:sz w:val="21"/>
                <w:szCs w:val="21"/>
                <w:lang w:val="zh-CN" w:eastAsia="zh-CN" w:bidi="ar-SA"/>
              </w:rPr>
            </w:pPr>
            <w:r>
              <w:rPr>
                <w:rFonts w:hint="default" w:ascii="Times New Roman" w:hAnsi="Times New Roman" w:eastAsia="宋体" w:cs="宋体"/>
                <w:color w:val="000000"/>
                <w:kern w:val="0"/>
                <w:sz w:val="21"/>
                <w:szCs w:val="21"/>
                <w:lang w:val="en-US" w:eastAsia="zh-CN"/>
              </w:rPr>
              <w:t>按照《排污口规范化整治技术要求（试行）》（环监</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1996</w:t>
            </w:r>
            <w:r>
              <w:rPr>
                <w:rFonts w:hint="eastAsia" w:ascii="Times New Roman" w:hAnsi="Times New Roman" w:eastAsia="宋体" w:cs="Times New Roman"/>
                <w:sz w:val="21"/>
                <w:szCs w:val="21"/>
                <w:lang w:eastAsia="zh-CN"/>
              </w:rPr>
              <w:t>〕</w:t>
            </w:r>
            <w:r>
              <w:rPr>
                <w:rFonts w:hint="default" w:ascii="Times New Roman" w:hAnsi="Times New Roman" w:eastAsia="宋体" w:cs="宋体"/>
                <w:color w:val="000000"/>
                <w:kern w:val="0"/>
                <w:sz w:val="21"/>
                <w:szCs w:val="21"/>
                <w:lang w:val="en-US" w:eastAsia="zh-CN"/>
              </w:rPr>
              <w:t>470号）、《环境保护图形标志—排放口（源）》（GB15562.1-1995）、</w:t>
            </w:r>
            <w:r>
              <w:rPr>
                <w:rFonts w:hint="eastAsia" w:ascii="Times New Roman" w:hAnsi="Times New Roman" w:eastAsia="宋体" w:cs="Times New Roman"/>
                <w:color w:val="000000"/>
                <w:kern w:val="2"/>
                <w:sz w:val="21"/>
                <w:szCs w:val="21"/>
                <w:highlight w:val="none"/>
                <w:lang w:val="en-US" w:eastAsia="zh-CN" w:bidi="ar-SA"/>
              </w:rPr>
              <w:t>《危险废物识别标志设置技术规范》（HJ 1276-2022）</w:t>
            </w:r>
            <w:r>
              <w:rPr>
                <w:rFonts w:hint="eastAsia" w:ascii="Times New Roman" w:hAnsi="Times New Roman" w:eastAsia="宋体" w:cs="Times New Roman"/>
                <w:sz w:val="21"/>
                <w:szCs w:val="21"/>
                <w:lang w:eastAsia="zh-CN"/>
              </w:rPr>
              <w:t>、《医疗废物集中处置技术规范（试行）》（环发〔2003〕206号）</w:t>
            </w:r>
            <w:r>
              <w:rPr>
                <w:rFonts w:hint="default" w:ascii="Times New Roman" w:hAnsi="Times New Roman" w:eastAsia="宋体" w:cs="宋体"/>
                <w:color w:val="000000"/>
                <w:kern w:val="0"/>
                <w:sz w:val="21"/>
                <w:szCs w:val="21"/>
                <w:lang w:val="en-US" w:eastAsia="zh-CN"/>
              </w:rPr>
              <w:t>以及《地下水环境监测技术规范》（HJ 164-2020）进行排污口规范化管理</w:t>
            </w:r>
            <w:r>
              <w:rPr>
                <w:rFonts w:hint="eastAsia" w:ascii="Times New Roman" w:hAnsi="Times New Roman" w:eastAsia="宋体" w:cs="Times New Roman"/>
                <w:color w:val="auto"/>
                <w:kern w:val="0"/>
                <w:sz w:val="21"/>
                <w:szCs w:val="21"/>
                <w:lang w:val="en-US" w:eastAsia="zh-CN"/>
              </w:rPr>
              <w:t>。</w:t>
            </w:r>
          </w:p>
        </w:tc>
        <w:tc>
          <w:tcPr>
            <w:tcW w:w="524" w:type="pct"/>
            <w:tcBorders>
              <w:tl2br w:val="nil"/>
              <w:tr2bl w:val="nil"/>
            </w:tcBorders>
            <w:noWrap w:val="0"/>
            <w:vAlign w:val="center"/>
          </w:tcPr>
          <w:p w14:paraId="09F0C979">
            <w:pPr>
              <w:keepNext w:val="0"/>
              <w:keepLines w:val="0"/>
              <w:pageBreakBefore w:val="0"/>
              <w:widowControl/>
              <w:tabs>
                <w:tab w:val="left" w:pos="420"/>
              </w:tabs>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val="en-US" w:eastAsia="zh-CN" w:bidi="ar-SA"/>
              </w:rPr>
              <w:t>202</w:t>
            </w:r>
            <w:r>
              <w:rPr>
                <w:rFonts w:hint="eastAsia" w:cs="Times New Roman"/>
                <w:color w:val="000000"/>
                <w:kern w:val="2"/>
                <w:sz w:val="21"/>
                <w:szCs w:val="21"/>
                <w:lang w:val="en-US" w:eastAsia="zh-CN" w:bidi="ar-SA"/>
              </w:rPr>
              <w:t>7</w:t>
            </w:r>
            <w:r>
              <w:rPr>
                <w:rFonts w:hint="eastAsia" w:ascii="Times New Roman" w:hAnsi="Times New Roman" w:cs="Times New Roman"/>
                <w:color w:val="000000"/>
                <w:kern w:val="2"/>
                <w:sz w:val="21"/>
                <w:szCs w:val="21"/>
                <w:lang w:val="en-US" w:eastAsia="zh-CN" w:bidi="ar-SA"/>
              </w:rPr>
              <w:t>年12月</w:t>
            </w:r>
            <w:r>
              <w:rPr>
                <w:rFonts w:hint="eastAsia" w:cs="Times New Roman"/>
                <w:color w:val="000000"/>
                <w:kern w:val="2"/>
                <w:sz w:val="21"/>
                <w:szCs w:val="21"/>
                <w:lang w:val="en-US" w:eastAsia="zh-CN" w:bidi="ar-SA"/>
              </w:rPr>
              <w:t>3</w:t>
            </w:r>
            <w:r>
              <w:rPr>
                <w:rFonts w:hint="eastAsia" w:ascii="Times New Roman" w:hAnsi="Times New Roman" w:cs="Times New Roman"/>
                <w:color w:val="000000"/>
                <w:kern w:val="2"/>
                <w:sz w:val="21"/>
                <w:szCs w:val="21"/>
                <w:lang w:val="en-US" w:eastAsia="zh-CN" w:bidi="ar-SA"/>
              </w:rPr>
              <w:t>1日</w:t>
            </w:r>
          </w:p>
        </w:tc>
      </w:tr>
    </w:tbl>
    <w:p w14:paraId="32B6ADCB">
      <w:pPr>
        <w:keepNext w:val="0"/>
        <w:keepLines w:val="0"/>
        <w:widowControl w:val="0"/>
        <w:overflowPunct w:val="0"/>
        <w:autoSpaceDE w:val="0"/>
        <w:autoSpaceDN w:val="0"/>
        <w:bidi w:val="0"/>
        <w:adjustRightInd w:val="0"/>
        <w:snapToGrid w:val="0"/>
        <w:spacing w:before="0" w:after="0" w:line="360" w:lineRule="auto"/>
        <w:ind w:firstLine="562" w:firstLineChars="200"/>
        <w:jc w:val="both"/>
        <w:outlineLvl w:val="2"/>
        <w:rPr>
          <w:rFonts w:hint="default" w:ascii="Times New Roman" w:hAnsi="Times New Roman" w:eastAsia="宋体" w:cs="Times New Roman"/>
          <w:b/>
          <w:bCs/>
          <w:kern w:val="0"/>
          <w:sz w:val="28"/>
          <w:szCs w:val="28"/>
          <w:lang w:val="en-US" w:eastAsia="zh-CN" w:bidi="ar-SA"/>
        </w:rPr>
      </w:pPr>
      <w:r>
        <w:rPr>
          <w:rFonts w:hint="eastAsia" w:ascii="Times New Roman" w:hAnsi="Times New Roman" w:eastAsia="宋体" w:cs="Times New Roman"/>
          <w:b/>
          <w:bCs/>
          <w:kern w:val="0"/>
          <w:sz w:val="28"/>
          <w:szCs w:val="28"/>
          <w:lang w:val="en-US" w:eastAsia="zh-CN" w:bidi="ar-SA"/>
        </w:rPr>
        <w:t>3.1.</w:t>
      </w:r>
      <w:r>
        <w:rPr>
          <w:rFonts w:hint="eastAsia" w:cs="Times New Roman"/>
          <w:b/>
          <w:bCs/>
          <w:kern w:val="0"/>
          <w:sz w:val="28"/>
          <w:szCs w:val="28"/>
          <w:lang w:val="en-US" w:eastAsia="zh-CN" w:bidi="ar-SA"/>
        </w:rPr>
        <w:t>8“</w:t>
      </w:r>
      <w:r>
        <w:rPr>
          <w:rFonts w:hint="eastAsia" w:ascii="Times New Roman" w:hAnsi="Times New Roman" w:eastAsia="宋体" w:cs="Times New Roman"/>
          <w:b/>
          <w:bCs/>
          <w:kern w:val="0"/>
          <w:sz w:val="28"/>
          <w:szCs w:val="28"/>
          <w:lang w:val="en-US" w:eastAsia="zh-CN" w:bidi="ar-SA"/>
        </w:rPr>
        <w:t>三本账</w:t>
      </w:r>
      <w:r>
        <w:rPr>
          <w:rFonts w:hint="eastAsia" w:cs="Times New Roman"/>
          <w:b/>
          <w:bCs/>
          <w:kern w:val="0"/>
          <w:sz w:val="28"/>
          <w:szCs w:val="28"/>
          <w:lang w:val="en-US" w:eastAsia="zh-CN" w:bidi="ar-SA"/>
        </w:rPr>
        <w:t>”</w:t>
      </w:r>
    </w:p>
    <w:p w14:paraId="3A5C63A8">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宋体"/>
          <w:color w:val="auto"/>
          <w:kern w:val="0"/>
          <w:sz w:val="24"/>
          <w:szCs w:val="24"/>
          <w:highlight w:val="none"/>
          <w:lang w:val="en-US" w:eastAsia="zh-CN" w:bidi="ar-SA"/>
        </w:rPr>
      </w:pPr>
      <w:r>
        <w:rPr>
          <w:rFonts w:hint="eastAsia" w:ascii="Times New Roman" w:hAnsi="Times New Roman" w:eastAsia="宋体" w:cs="宋体"/>
          <w:color w:val="auto"/>
          <w:kern w:val="0"/>
          <w:sz w:val="24"/>
          <w:szCs w:val="22"/>
          <w:highlight w:val="none"/>
          <w:lang w:val="en-US" w:eastAsia="zh-CN"/>
        </w:rPr>
        <w:t>由于本项目位于现有工程内，因此进行</w:t>
      </w:r>
      <w:r>
        <w:rPr>
          <w:rFonts w:hint="eastAsia" w:cs="宋体"/>
          <w:color w:val="auto"/>
          <w:kern w:val="0"/>
          <w:sz w:val="24"/>
          <w:szCs w:val="22"/>
          <w:highlight w:val="none"/>
          <w:lang w:val="en-US" w:eastAsia="zh-CN"/>
        </w:rPr>
        <w:t>“</w:t>
      </w:r>
      <w:r>
        <w:rPr>
          <w:rFonts w:hint="eastAsia" w:ascii="Times New Roman" w:hAnsi="Times New Roman" w:eastAsia="宋体" w:cs="宋体"/>
          <w:color w:val="auto"/>
          <w:kern w:val="0"/>
          <w:sz w:val="24"/>
          <w:szCs w:val="22"/>
          <w:highlight w:val="none"/>
          <w:lang w:val="en-US" w:eastAsia="zh-CN"/>
        </w:rPr>
        <w:t>三本账</w:t>
      </w:r>
      <w:r>
        <w:rPr>
          <w:rFonts w:hint="eastAsia" w:cs="宋体"/>
          <w:color w:val="auto"/>
          <w:kern w:val="0"/>
          <w:sz w:val="24"/>
          <w:szCs w:val="22"/>
          <w:highlight w:val="none"/>
          <w:lang w:val="en-US" w:eastAsia="zh-CN"/>
        </w:rPr>
        <w:t>”</w:t>
      </w:r>
      <w:r>
        <w:rPr>
          <w:rFonts w:hint="eastAsia" w:ascii="Times New Roman" w:hAnsi="Times New Roman" w:eastAsia="宋体" w:cs="宋体"/>
          <w:color w:val="auto"/>
          <w:kern w:val="0"/>
          <w:sz w:val="24"/>
          <w:szCs w:val="22"/>
          <w:highlight w:val="none"/>
          <w:lang w:val="en-US" w:eastAsia="zh-CN"/>
        </w:rPr>
        <w:t>分析。</w:t>
      </w:r>
      <w:r>
        <w:rPr>
          <w:rFonts w:hint="default" w:ascii="Times New Roman" w:hAnsi="Times New Roman" w:eastAsia="宋体" w:cs="宋体"/>
          <w:color w:val="auto"/>
          <w:kern w:val="0"/>
          <w:sz w:val="24"/>
          <w:szCs w:val="24"/>
          <w:highlight w:val="none"/>
          <w:lang w:val="en-US" w:eastAsia="zh-CN" w:bidi="ar-SA"/>
        </w:rPr>
        <w:t>本项目建成后污染物减排情况见下表：</w:t>
      </w:r>
    </w:p>
    <w:p w14:paraId="73ADD60B">
      <w:pPr>
        <w:widowControl w:val="0"/>
        <w:overflowPunct/>
        <w:autoSpaceDE/>
        <w:autoSpaceDN/>
        <w:adjustRightInd/>
        <w:snapToGrid/>
        <w:spacing w:line="360" w:lineRule="auto"/>
        <w:ind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表</w:t>
      </w:r>
      <w:r>
        <w:rPr>
          <w:rFonts w:hint="eastAsia" w:ascii="Times New Roman" w:hAnsi="Times New Roman" w:eastAsia="宋体" w:cs="Times New Roman"/>
          <w:b/>
          <w:color w:val="auto"/>
          <w:kern w:val="2"/>
          <w:sz w:val="24"/>
          <w:szCs w:val="24"/>
          <w:highlight w:val="none"/>
          <w:lang w:val="en-US" w:eastAsia="zh-CN" w:bidi="ar-SA"/>
        </w:rPr>
        <w:t>3.1-</w:t>
      </w:r>
      <w:r>
        <w:rPr>
          <w:rFonts w:hint="eastAsia" w:cs="Times New Roman"/>
          <w:b/>
          <w:color w:val="auto"/>
          <w:kern w:val="2"/>
          <w:sz w:val="24"/>
          <w:szCs w:val="24"/>
          <w:highlight w:val="none"/>
          <w:lang w:val="en-US" w:eastAsia="zh-CN" w:bidi="ar-SA"/>
        </w:rPr>
        <w:t>7</w:t>
      </w:r>
      <w:r>
        <w:rPr>
          <w:rFonts w:hint="default" w:ascii="Times New Roman" w:hAnsi="Times New Roman" w:eastAsia="宋体" w:cs="Times New Roman"/>
          <w:b/>
          <w:color w:val="auto"/>
          <w:kern w:val="2"/>
          <w:sz w:val="24"/>
          <w:szCs w:val="24"/>
          <w:highlight w:val="none"/>
          <w:lang w:val="en-US" w:eastAsia="zh-CN" w:bidi="ar-SA"/>
        </w:rPr>
        <w:t>项目</w:t>
      </w:r>
      <w:r>
        <w:rPr>
          <w:rFonts w:hint="eastAsia" w:cs="Times New Roman"/>
          <w:b/>
          <w:color w:val="auto"/>
          <w:kern w:val="2"/>
          <w:sz w:val="24"/>
          <w:szCs w:val="24"/>
          <w:highlight w:val="none"/>
          <w:lang w:val="en-US" w:eastAsia="zh-CN" w:bidi="ar-SA"/>
        </w:rPr>
        <w:t>“</w:t>
      </w:r>
      <w:r>
        <w:rPr>
          <w:rFonts w:hint="eastAsia" w:ascii="Times New Roman" w:hAnsi="Times New Roman" w:eastAsia="宋体" w:cs="Times New Roman"/>
          <w:b/>
          <w:color w:val="auto"/>
          <w:kern w:val="2"/>
          <w:sz w:val="24"/>
          <w:szCs w:val="24"/>
          <w:highlight w:val="none"/>
          <w:lang w:val="en-US" w:eastAsia="zh-CN" w:bidi="ar-SA"/>
        </w:rPr>
        <w:t>三本账</w:t>
      </w:r>
      <w:r>
        <w:rPr>
          <w:rFonts w:hint="eastAsia" w:cs="Times New Roman"/>
          <w:b/>
          <w:color w:val="auto"/>
          <w:kern w:val="2"/>
          <w:sz w:val="24"/>
          <w:szCs w:val="24"/>
          <w:highlight w:val="none"/>
          <w:lang w:val="en-US" w:eastAsia="zh-CN" w:bidi="ar-SA"/>
        </w:rPr>
        <w:t>”</w:t>
      </w:r>
      <w:r>
        <w:rPr>
          <w:rFonts w:hint="default" w:ascii="Times New Roman" w:hAnsi="Times New Roman" w:eastAsia="宋体" w:cs="Times New Roman"/>
          <w:b/>
          <w:color w:val="auto"/>
          <w:kern w:val="2"/>
          <w:sz w:val="24"/>
          <w:szCs w:val="24"/>
          <w:highlight w:val="none"/>
          <w:lang w:val="en-US" w:eastAsia="zh-CN" w:bidi="ar-SA"/>
        </w:rPr>
        <w:t xml:space="preserve"> 单位：t/a</w:t>
      </w:r>
    </w:p>
    <w:tbl>
      <w:tblPr>
        <w:tblStyle w:val="20"/>
        <w:tblW w:w="487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1"/>
        <w:gridCol w:w="1"/>
        <w:gridCol w:w="3"/>
        <w:gridCol w:w="904"/>
        <w:gridCol w:w="1"/>
        <w:gridCol w:w="5"/>
        <w:gridCol w:w="1122"/>
        <w:gridCol w:w="1104"/>
        <w:gridCol w:w="1213"/>
        <w:gridCol w:w="1301"/>
        <w:gridCol w:w="1140"/>
      </w:tblGrid>
      <w:tr w14:paraId="514ED4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7" w:type="pct"/>
            <w:gridSpan w:val="4"/>
            <w:tcBorders>
              <w:tl2br w:val="nil"/>
              <w:tr2bl w:val="nil"/>
            </w:tcBorders>
            <w:shd w:val="clear" w:color="auto" w:fill="auto"/>
            <w:noWrap/>
            <w:vAlign w:val="center"/>
          </w:tcPr>
          <w:p w14:paraId="106D51F7">
            <w:pPr>
              <w:widowControl/>
              <w:overflowPunct/>
              <w:autoSpaceDE/>
              <w:autoSpaceDN/>
              <w:adjustRightInd/>
              <w:snapToGrid/>
              <w:spacing w:line="320" w:lineRule="exact"/>
              <w:ind w:firstLine="0" w:firstLineChars="0"/>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污染物名称</w:t>
            </w:r>
          </w:p>
        </w:tc>
        <w:tc>
          <w:tcPr>
            <w:tcW w:w="535" w:type="pct"/>
            <w:gridSpan w:val="3"/>
            <w:tcBorders>
              <w:tl2br w:val="nil"/>
              <w:tr2bl w:val="nil"/>
            </w:tcBorders>
            <w:shd w:val="clear" w:color="auto" w:fill="auto"/>
            <w:noWrap w:val="0"/>
            <w:vAlign w:val="center"/>
          </w:tcPr>
          <w:p w14:paraId="04F8149C">
            <w:pPr>
              <w:widowControl/>
              <w:overflowPunct/>
              <w:autoSpaceDE/>
              <w:autoSpaceDN/>
              <w:adjustRightInd/>
              <w:snapToGrid/>
              <w:spacing w:line="320" w:lineRule="exact"/>
              <w:ind w:firstLine="0" w:firstLineChars="0"/>
              <w:jc w:val="center"/>
              <w:rPr>
                <w:rFonts w:hint="eastAsia" w:ascii="Times New Roman" w:hAnsi="Times New Roman" w:eastAsia="宋体" w:cs="Times New Roman"/>
                <w:b w:val="0"/>
                <w:bCs w:val="0"/>
                <w:color w:val="auto"/>
                <w:kern w:val="0"/>
                <w:sz w:val="21"/>
                <w:szCs w:val="21"/>
                <w:highlight w:val="none"/>
                <w:lang w:val="en-US" w:eastAsia="zh-CN"/>
              </w:rPr>
            </w:pPr>
            <w:r>
              <w:rPr>
                <w:rFonts w:hint="eastAsia" w:ascii="Times New Roman" w:hAnsi="Times New Roman" w:eastAsia="宋体" w:cs="Times New Roman"/>
                <w:b w:val="0"/>
                <w:bCs w:val="0"/>
                <w:color w:val="auto"/>
                <w:kern w:val="0"/>
                <w:sz w:val="21"/>
                <w:szCs w:val="21"/>
                <w:highlight w:val="none"/>
                <w:lang w:val="en-US" w:eastAsia="zh-CN"/>
              </w:rPr>
              <w:t>现有工程</w:t>
            </w:r>
            <w:r>
              <w:rPr>
                <w:rFonts w:hint="default" w:ascii="Times New Roman" w:hAnsi="Times New Roman" w:eastAsia="宋体" w:cs="Times New Roman"/>
                <w:b w:val="0"/>
                <w:bCs w:val="0"/>
                <w:color w:val="auto"/>
                <w:kern w:val="0"/>
                <w:sz w:val="21"/>
                <w:szCs w:val="21"/>
                <w:highlight w:val="none"/>
                <w:lang w:val="en-US" w:eastAsia="zh-CN"/>
              </w:rPr>
              <w:t>排放量</w:t>
            </w:r>
          </w:p>
        </w:tc>
        <w:tc>
          <w:tcPr>
            <w:tcW w:w="659" w:type="pct"/>
            <w:tcBorders>
              <w:tl2br w:val="nil"/>
              <w:tr2bl w:val="nil"/>
            </w:tcBorders>
            <w:shd w:val="clear" w:color="auto" w:fill="auto"/>
            <w:noWrap w:val="0"/>
            <w:vAlign w:val="center"/>
          </w:tcPr>
          <w:p w14:paraId="44B43A44">
            <w:pPr>
              <w:widowControl/>
              <w:overflowPunct/>
              <w:autoSpaceDE/>
              <w:autoSpaceDN/>
              <w:adjustRightInd/>
              <w:snapToGrid/>
              <w:spacing w:line="320" w:lineRule="exact"/>
              <w:ind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eastAsia" w:ascii="Times New Roman" w:hAnsi="Times New Roman" w:eastAsia="宋体" w:cs="Times New Roman"/>
                <w:b w:val="0"/>
                <w:bCs w:val="0"/>
                <w:color w:val="auto"/>
                <w:kern w:val="0"/>
                <w:sz w:val="21"/>
                <w:szCs w:val="21"/>
                <w:highlight w:val="none"/>
                <w:lang w:val="en-US" w:eastAsia="zh-CN"/>
              </w:rPr>
              <w:t>现有工程许可量</w:t>
            </w:r>
          </w:p>
        </w:tc>
        <w:tc>
          <w:tcPr>
            <w:tcW w:w="649" w:type="pct"/>
            <w:tcBorders>
              <w:tl2br w:val="nil"/>
              <w:tr2bl w:val="nil"/>
            </w:tcBorders>
            <w:shd w:val="clear" w:color="auto" w:fill="auto"/>
            <w:noWrap w:val="0"/>
            <w:vAlign w:val="center"/>
          </w:tcPr>
          <w:p w14:paraId="3605431C">
            <w:pPr>
              <w:widowControl/>
              <w:overflowPunct/>
              <w:autoSpaceDE/>
              <w:autoSpaceDN/>
              <w:adjustRightInd/>
              <w:snapToGrid/>
              <w:spacing w:line="320" w:lineRule="exact"/>
              <w:ind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本次项目排放量</w:t>
            </w:r>
          </w:p>
        </w:tc>
        <w:tc>
          <w:tcPr>
            <w:tcW w:w="713" w:type="pct"/>
            <w:tcBorders>
              <w:tl2br w:val="nil"/>
              <w:tr2bl w:val="nil"/>
            </w:tcBorders>
            <w:shd w:val="clear" w:color="auto" w:fill="auto"/>
            <w:noWrap w:val="0"/>
            <w:vAlign w:val="center"/>
          </w:tcPr>
          <w:p w14:paraId="5F4900F1">
            <w:pPr>
              <w:widowControl/>
              <w:overflowPunct/>
              <w:autoSpaceDE/>
              <w:autoSpaceDN/>
              <w:adjustRightInd/>
              <w:snapToGrid/>
              <w:spacing w:line="320" w:lineRule="exact"/>
              <w:ind w:firstLine="0" w:firstLineChars="0"/>
              <w:jc w:val="center"/>
              <w:rPr>
                <w:rFonts w:hint="default" w:ascii="Times New Roman" w:hAnsi="Times New Roman" w:eastAsia="宋体" w:cs="Times New Roman"/>
                <w:b w:val="0"/>
                <w:bCs w:val="0"/>
                <w:color w:val="auto"/>
                <w:kern w:val="0"/>
                <w:sz w:val="21"/>
                <w:szCs w:val="21"/>
                <w:highlight w:val="none"/>
                <w:lang w:eastAsia="zh-CN"/>
              </w:rPr>
            </w:pPr>
            <w:r>
              <w:rPr>
                <w:rFonts w:hint="eastAsia" w:cs="Times New Roman"/>
                <w:b w:val="0"/>
                <w:bCs w:val="0"/>
                <w:color w:val="auto"/>
                <w:kern w:val="0"/>
                <w:sz w:val="21"/>
                <w:szCs w:val="21"/>
                <w:highlight w:val="none"/>
                <w:lang w:eastAsia="zh-CN"/>
              </w:rPr>
              <w:t>“</w:t>
            </w:r>
            <w:r>
              <w:rPr>
                <w:rFonts w:hint="default" w:ascii="Times New Roman" w:hAnsi="Times New Roman" w:eastAsia="宋体" w:cs="Times New Roman"/>
                <w:b w:val="0"/>
                <w:bCs w:val="0"/>
                <w:color w:val="auto"/>
                <w:kern w:val="0"/>
                <w:sz w:val="21"/>
                <w:szCs w:val="21"/>
                <w:highlight w:val="none"/>
              </w:rPr>
              <w:t>以新带老</w:t>
            </w:r>
            <w:r>
              <w:rPr>
                <w:rFonts w:hint="eastAsia" w:cs="Times New Roman"/>
                <w:b w:val="0"/>
                <w:bCs w:val="0"/>
                <w:color w:val="auto"/>
                <w:kern w:val="0"/>
                <w:sz w:val="21"/>
                <w:szCs w:val="21"/>
                <w:highlight w:val="none"/>
                <w:lang w:eastAsia="zh-CN"/>
              </w:rPr>
              <w:t>”</w:t>
            </w:r>
            <w:r>
              <w:rPr>
                <w:rFonts w:hint="default" w:ascii="Times New Roman" w:hAnsi="Times New Roman" w:eastAsia="宋体" w:cs="Times New Roman"/>
                <w:b w:val="0"/>
                <w:bCs w:val="0"/>
                <w:color w:val="auto"/>
                <w:kern w:val="0"/>
                <w:sz w:val="21"/>
                <w:szCs w:val="21"/>
                <w:highlight w:val="none"/>
                <w:lang w:val="en-US" w:eastAsia="zh-CN"/>
              </w:rPr>
              <w:t>削减量</w:t>
            </w:r>
          </w:p>
        </w:tc>
        <w:tc>
          <w:tcPr>
            <w:tcW w:w="764" w:type="pct"/>
            <w:tcBorders>
              <w:tl2br w:val="nil"/>
              <w:tr2bl w:val="nil"/>
            </w:tcBorders>
            <w:shd w:val="clear" w:color="auto" w:fill="auto"/>
            <w:noWrap w:val="0"/>
            <w:vAlign w:val="center"/>
          </w:tcPr>
          <w:p w14:paraId="644D6A53">
            <w:pPr>
              <w:widowControl/>
              <w:overflowPunct/>
              <w:autoSpaceDE/>
              <w:autoSpaceDN/>
              <w:adjustRightInd/>
              <w:snapToGrid/>
              <w:spacing w:line="320" w:lineRule="exact"/>
              <w:ind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总排放量</w:t>
            </w:r>
          </w:p>
        </w:tc>
        <w:tc>
          <w:tcPr>
            <w:tcW w:w="670" w:type="pct"/>
            <w:tcBorders>
              <w:tl2br w:val="nil"/>
              <w:tr2bl w:val="nil"/>
            </w:tcBorders>
            <w:shd w:val="clear" w:color="auto" w:fill="auto"/>
            <w:noWrap w:val="0"/>
            <w:vAlign w:val="center"/>
          </w:tcPr>
          <w:p w14:paraId="192F4AB1">
            <w:pPr>
              <w:widowControl/>
              <w:overflowPunct/>
              <w:autoSpaceDE/>
              <w:autoSpaceDN/>
              <w:adjustRightInd/>
              <w:snapToGrid/>
              <w:spacing w:line="320" w:lineRule="exact"/>
              <w:ind w:firstLine="0" w:firstLineChars="0"/>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排放增减量</w:t>
            </w:r>
          </w:p>
        </w:tc>
      </w:tr>
      <w:tr w14:paraId="5A3579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restart"/>
            <w:tcBorders>
              <w:tl2br w:val="nil"/>
              <w:tr2bl w:val="nil"/>
            </w:tcBorders>
            <w:shd w:val="clear" w:color="auto" w:fill="auto"/>
            <w:noWrap/>
            <w:vAlign w:val="center"/>
          </w:tcPr>
          <w:p w14:paraId="6F746C73">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宋体"/>
                <w:snapToGrid w:val="0"/>
                <w:color w:val="000000"/>
                <w:kern w:val="21"/>
                <w:sz w:val="21"/>
                <w:szCs w:val="21"/>
                <w:highlight w:val="none"/>
                <w:lang w:val="en-US" w:eastAsia="zh-CN" w:bidi="ar-SA"/>
              </w:rPr>
              <w:t>废气</w:t>
            </w:r>
          </w:p>
        </w:tc>
        <w:tc>
          <w:tcPr>
            <w:tcW w:w="588" w:type="pct"/>
            <w:tcBorders>
              <w:tl2br w:val="nil"/>
              <w:tr2bl w:val="nil"/>
            </w:tcBorders>
            <w:shd w:val="clear" w:color="auto" w:fill="auto"/>
            <w:noWrap/>
            <w:vAlign w:val="center"/>
          </w:tcPr>
          <w:p w14:paraId="6A4F7D4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颗粒物</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533" w:type="pct"/>
            <w:gridSpan w:val="3"/>
            <w:tcBorders>
              <w:tl2br w:val="nil"/>
              <w:tr2bl w:val="nil"/>
            </w:tcBorders>
            <w:shd w:val="clear" w:color="auto" w:fill="auto"/>
            <w:noWrap/>
            <w:vAlign w:val="center"/>
          </w:tcPr>
          <w:p w14:paraId="0F4B341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0.14</w:t>
            </w:r>
          </w:p>
        </w:tc>
        <w:tc>
          <w:tcPr>
            <w:tcW w:w="663" w:type="pct"/>
            <w:gridSpan w:val="3"/>
            <w:tcBorders>
              <w:tl2br w:val="nil"/>
              <w:tr2bl w:val="nil"/>
            </w:tcBorders>
            <w:shd w:val="clear" w:color="auto" w:fill="auto"/>
            <w:noWrap w:val="0"/>
            <w:vAlign w:val="center"/>
          </w:tcPr>
          <w:p w14:paraId="785BD01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649" w:type="pct"/>
            <w:tcBorders>
              <w:tl2br w:val="nil"/>
              <w:tr2bl w:val="nil"/>
            </w:tcBorders>
            <w:shd w:val="clear" w:color="auto" w:fill="auto"/>
            <w:noWrap w:val="0"/>
            <w:vAlign w:val="center"/>
          </w:tcPr>
          <w:p w14:paraId="3C4A9C6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713" w:type="pct"/>
            <w:tcBorders>
              <w:tl2br w:val="nil"/>
              <w:tr2bl w:val="nil"/>
            </w:tcBorders>
            <w:shd w:val="clear" w:color="auto" w:fill="auto"/>
            <w:noWrap w:val="0"/>
            <w:vAlign w:val="center"/>
          </w:tcPr>
          <w:p w14:paraId="50A3DFA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0.112</w:t>
            </w:r>
          </w:p>
        </w:tc>
        <w:tc>
          <w:tcPr>
            <w:tcW w:w="1301" w:type="dxa"/>
            <w:tcBorders>
              <w:tl2br w:val="nil"/>
              <w:tr2bl w:val="nil"/>
            </w:tcBorders>
            <w:shd w:val="clear" w:color="auto" w:fill="auto"/>
            <w:noWrap/>
            <w:vAlign w:val="center"/>
          </w:tcPr>
          <w:p w14:paraId="10F1241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1.158</w:t>
            </w:r>
          </w:p>
        </w:tc>
        <w:tc>
          <w:tcPr>
            <w:tcW w:w="1140" w:type="dxa"/>
            <w:tcBorders>
              <w:tl2br w:val="nil"/>
              <w:tr2bl w:val="nil"/>
            </w:tcBorders>
            <w:shd w:val="clear" w:color="auto" w:fill="auto"/>
            <w:noWrap/>
            <w:vAlign w:val="center"/>
          </w:tcPr>
          <w:p w14:paraId="561FC9C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1.018</w:t>
            </w:r>
          </w:p>
        </w:tc>
      </w:tr>
      <w:tr w14:paraId="7F723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ign w:val="center"/>
          </w:tcPr>
          <w:p w14:paraId="0F73C6D7">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588" w:type="pct"/>
            <w:tcBorders>
              <w:tl2br w:val="nil"/>
              <w:tr2bl w:val="nil"/>
            </w:tcBorders>
            <w:shd w:val="clear" w:color="auto" w:fill="auto"/>
            <w:noWrap/>
            <w:vAlign w:val="center"/>
          </w:tcPr>
          <w:p w14:paraId="362D199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氨</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533" w:type="pct"/>
            <w:gridSpan w:val="3"/>
            <w:tcBorders>
              <w:tl2br w:val="nil"/>
              <w:tr2bl w:val="nil"/>
            </w:tcBorders>
            <w:shd w:val="clear" w:color="auto" w:fill="auto"/>
            <w:noWrap/>
            <w:vAlign w:val="center"/>
          </w:tcPr>
          <w:p w14:paraId="1FAA86D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0.08</w:t>
            </w:r>
          </w:p>
        </w:tc>
        <w:tc>
          <w:tcPr>
            <w:tcW w:w="663" w:type="pct"/>
            <w:gridSpan w:val="3"/>
            <w:tcBorders>
              <w:tl2br w:val="nil"/>
              <w:tr2bl w:val="nil"/>
            </w:tcBorders>
            <w:shd w:val="clear" w:color="auto" w:fill="auto"/>
            <w:noWrap w:val="0"/>
            <w:vAlign w:val="center"/>
          </w:tcPr>
          <w:p w14:paraId="58710FD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649" w:type="pct"/>
            <w:tcBorders>
              <w:tl2br w:val="nil"/>
              <w:tr2bl w:val="nil"/>
            </w:tcBorders>
            <w:shd w:val="clear" w:color="auto" w:fill="auto"/>
            <w:noWrap w:val="0"/>
            <w:vAlign w:val="center"/>
          </w:tcPr>
          <w:p w14:paraId="4D015B6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713" w:type="pct"/>
            <w:tcBorders>
              <w:tl2br w:val="nil"/>
              <w:tr2bl w:val="nil"/>
            </w:tcBorders>
            <w:shd w:val="clear" w:color="auto" w:fill="auto"/>
            <w:noWrap w:val="0"/>
            <w:vAlign w:val="center"/>
          </w:tcPr>
          <w:p w14:paraId="0A19A7D4">
            <w:pPr>
              <w:widowControl/>
              <w:overflowPunct/>
              <w:autoSpaceDE/>
              <w:autoSpaceDN/>
              <w:adjustRightInd/>
              <w:snapToGrid/>
              <w:spacing w:line="320" w:lineRule="exact"/>
              <w:ind w:firstLine="0" w:firstLine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46021B57">
            <w:pPr>
              <w:keepNext w:val="0"/>
              <w:keepLines w:val="0"/>
              <w:widowControl/>
              <w:suppressLineNumbers w:val="0"/>
              <w:jc w:val="center"/>
              <w:textAlignment w:val="center"/>
              <w:rPr>
                <w:rFonts w:hint="default" w:ascii="Times New Roman" w:hAnsi="Times New Roman" w:eastAsia="宋体" w:cs="Times New Roman"/>
                <w:color w:val="auto"/>
                <w:kern w:val="2"/>
                <w:sz w:val="21"/>
                <w:szCs w:val="22"/>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1140" w:type="dxa"/>
            <w:tcBorders>
              <w:tl2br w:val="nil"/>
              <w:tr2bl w:val="nil"/>
            </w:tcBorders>
            <w:shd w:val="clear" w:color="auto" w:fill="auto"/>
            <w:noWrap/>
            <w:vAlign w:val="center"/>
          </w:tcPr>
          <w:p w14:paraId="272B1741">
            <w:pPr>
              <w:keepNext w:val="0"/>
              <w:keepLines w:val="0"/>
              <w:widowControl/>
              <w:suppressLineNumbers w:val="0"/>
              <w:jc w:val="center"/>
              <w:textAlignment w:val="center"/>
              <w:rPr>
                <w:rFonts w:hint="default" w:ascii="Times New Roman" w:hAnsi="Times New Roman" w:eastAsia="宋体" w:cs="Times New Roman"/>
                <w:color w:val="auto"/>
                <w:kern w:val="2"/>
                <w:sz w:val="21"/>
                <w:szCs w:val="22"/>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1.69</w:t>
            </w:r>
          </w:p>
        </w:tc>
      </w:tr>
      <w:tr w14:paraId="318BD9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ign w:val="center"/>
          </w:tcPr>
          <w:p w14:paraId="3AF5B59E">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588" w:type="pct"/>
            <w:tcBorders>
              <w:tl2br w:val="nil"/>
              <w:tr2bl w:val="nil"/>
            </w:tcBorders>
            <w:shd w:val="clear" w:color="auto" w:fill="auto"/>
            <w:noWrap/>
            <w:vAlign w:val="center"/>
          </w:tcPr>
          <w:p w14:paraId="52506F6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硫化氢</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533" w:type="pct"/>
            <w:gridSpan w:val="3"/>
            <w:tcBorders>
              <w:tl2br w:val="nil"/>
              <w:tr2bl w:val="nil"/>
            </w:tcBorders>
            <w:shd w:val="clear" w:color="auto" w:fill="auto"/>
            <w:noWrap/>
            <w:vAlign w:val="center"/>
          </w:tcPr>
          <w:p w14:paraId="478511E9">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ascii="Times New Roman" w:hAnsi="Times New Roman" w:eastAsia="宋体" w:cs="Times New Roman"/>
                <w:i w:val="0"/>
                <w:iCs w:val="0"/>
                <w:color w:val="000000"/>
                <w:kern w:val="0"/>
                <w:sz w:val="21"/>
                <w:szCs w:val="21"/>
                <w:u w:val="none"/>
                <w:lang w:val="en-US" w:eastAsia="zh-CN" w:bidi="ar"/>
              </w:rPr>
              <w:t>01</w:t>
            </w:r>
          </w:p>
        </w:tc>
        <w:tc>
          <w:tcPr>
            <w:tcW w:w="663" w:type="pct"/>
            <w:gridSpan w:val="3"/>
            <w:tcBorders>
              <w:tl2br w:val="nil"/>
              <w:tr2bl w:val="nil"/>
            </w:tcBorders>
            <w:shd w:val="clear" w:color="auto" w:fill="auto"/>
            <w:noWrap w:val="0"/>
            <w:vAlign w:val="center"/>
          </w:tcPr>
          <w:p w14:paraId="1BF7520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649" w:type="pct"/>
            <w:tcBorders>
              <w:tl2br w:val="nil"/>
              <w:tr2bl w:val="nil"/>
            </w:tcBorders>
            <w:shd w:val="clear" w:color="auto" w:fill="auto"/>
            <w:noWrap w:val="0"/>
            <w:vAlign w:val="center"/>
          </w:tcPr>
          <w:p w14:paraId="7F85E138">
            <w:pPr>
              <w:keepNext w:val="0"/>
              <w:keepLines w:val="0"/>
              <w:widowControl/>
              <w:suppressLineNumbers w:val="0"/>
              <w:jc w:val="center"/>
              <w:textAlignment w:val="center"/>
              <w:rPr>
                <w:rFonts w:hint="eastAsia"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713" w:type="pct"/>
            <w:tcBorders>
              <w:tl2br w:val="nil"/>
              <w:tr2bl w:val="nil"/>
            </w:tcBorders>
            <w:shd w:val="clear" w:color="auto" w:fill="auto"/>
            <w:noWrap w:val="0"/>
            <w:vAlign w:val="center"/>
          </w:tcPr>
          <w:p w14:paraId="3044F6D8">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54E56C4E">
            <w:pPr>
              <w:keepNext w:val="0"/>
              <w:keepLines w:val="0"/>
              <w:widowControl/>
              <w:suppressLineNumbers w:val="0"/>
              <w:jc w:val="center"/>
              <w:textAlignment w:val="center"/>
              <w:rPr>
                <w:rFonts w:hint="eastAsia" w:cs="Times New Roman"/>
                <w:color w:val="auto"/>
                <w:kern w:val="2"/>
                <w:sz w:val="21"/>
                <w:szCs w:val="22"/>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0.025</w:t>
            </w:r>
          </w:p>
        </w:tc>
        <w:tc>
          <w:tcPr>
            <w:tcW w:w="1140" w:type="dxa"/>
            <w:tcBorders>
              <w:tl2br w:val="nil"/>
              <w:tr2bl w:val="nil"/>
            </w:tcBorders>
            <w:shd w:val="clear" w:color="auto" w:fill="auto"/>
            <w:noWrap/>
            <w:vAlign w:val="center"/>
          </w:tcPr>
          <w:p w14:paraId="0A18A6DD">
            <w:pPr>
              <w:keepNext w:val="0"/>
              <w:keepLines w:val="0"/>
              <w:widowControl/>
              <w:suppressLineNumbers w:val="0"/>
              <w:jc w:val="center"/>
              <w:textAlignment w:val="center"/>
              <w:rPr>
                <w:rFonts w:hint="eastAsia" w:ascii="Times New Roman" w:hAnsi="Times New Roman" w:eastAsia="宋体" w:cs="Times New Roman"/>
                <w:color w:val="auto"/>
                <w:kern w:val="2"/>
                <w:sz w:val="21"/>
                <w:szCs w:val="22"/>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0.024</w:t>
            </w:r>
          </w:p>
        </w:tc>
      </w:tr>
      <w:tr w14:paraId="09995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restart"/>
            <w:tcBorders>
              <w:tl2br w:val="nil"/>
              <w:tr2bl w:val="nil"/>
            </w:tcBorders>
            <w:shd w:val="clear" w:color="auto" w:fill="auto"/>
            <w:noWrap/>
            <w:vAlign w:val="center"/>
          </w:tcPr>
          <w:p w14:paraId="698FE35C">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宋体"/>
                <w:snapToGrid w:val="0"/>
                <w:color w:val="000000"/>
                <w:kern w:val="21"/>
                <w:sz w:val="21"/>
                <w:szCs w:val="21"/>
                <w:highlight w:val="none"/>
                <w:lang w:val="en-US" w:eastAsia="zh-CN" w:bidi="ar-SA"/>
              </w:rPr>
              <w:t>废水</w:t>
            </w:r>
          </w:p>
        </w:tc>
        <w:tc>
          <w:tcPr>
            <w:tcW w:w="589" w:type="pct"/>
            <w:gridSpan w:val="2"/>
            <w:tcBorders>
              <w:tl2br w:val="nil"/>
              <w:tr2bl w:val="nil"/>
            </w:tcBorders>
            <w:shd w:val="clear" w:color="auto" w:fill="auto"/>
            <w:noWrap/>
            <w:vAlign w:val="center"/>
          </w:tcPr>
          <w:p w14:paraId="3A2F88C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COD</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Times New Roman" w:hAnsi="Times New Roman" w:eastAsia="宋体" w:cs="Times New Roman"/>
                <w:i w:val="0"/>
                <w:iCs w:val="0"/>
                <w:color w:val="000000"/>
                <w:kern w:val="0"/>
                <w:sz w:val="21"/>
                <w:szCs w:val="21"/>
                <w:u w:val="none"/>
                <w:lang w:val="en-US" w:eastAsia="zh-CN" w:bidi="ar"/>
              </w:rPr>
              <w:t>）</w:t>
            </w:r>
          </w:p>
        </w:tc>
        <w:tc>
          <w:tcPr>
            <w:tcW w:w="533" w:type="pct"/>
            <w:gridSpan w:val="3"/>
            <w:tcBorders>
              <w:tl2br w:val="nil"/>
              <w:tr2bl w:val="nil"/>
            </w:tcBorders>
            <w:shd w:val="clear" w:color="auto" w:fill="auto"/>
            <w:noWrap/>
            <w:vAlign w:val="center"/>
          </w:tcPr>
          <w:p w14:paraId="2C9D869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0"/>
                <w:sz w:val="21"/>
                <w:szCs w:val="21"/>
                <w:highlight w:val="none"/>
                <w:lang w:val="en-US" w:eastAsia="zh-CN"/>
              </w:rPr>
              <w:t>0</w:t>
            </w:r>
          </w:p>
        </w:tc>
        <w:tc>
          <w:tcPr>
            <w:tcW w:w="662" w:type="pct"/>
            <w:gridSpan w:val="2"/>
            <w:tcBorders>
              <w:tl2br w:val="nil"/>
              <w:tr2bl w:val="nil"/>
            </w:tcBorders>
            <w:shd w:val="clear" w:color="auto" w:fill="auto"/>
            <w:noWrap w:val="0"/>
            <w:vAlign w:val="center"/>
          </w:tcPr>
          <w:p w14:paraId="0342989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649" w:type="pct"/>
            <w:tcBorders>
              <w:tl2br w:val="nil"/>
              <w:tr2bl w:val="nil"/>
            </w:tcBorders>
            <w:shd w:val="clear" w:color="auto" w:fill="auto"/>
            <w:noWrap w:val="0"/>
            <w:vAlign w:val="center"/>
          </w:tcPr>
          <w:p w14:paraId="3662819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0.13</w:t>
            </w:r>
          </w:p>
        </w:tc>
        <w:tc>
          <w:tcPr>
            <w:tcW w:w="713" w:type="pct"/>
            <w:tcBorders>
              <w:tl2br w:val="nil"/>
              <w:tr2bl w:val="nil"/>
            </w:tcBorders>
            <w:shd w:val="clear" w:color="auto" w:fill="auto"/>
            <w:noWrap w:val="0"/>
            <w:vAlign w:val="center"/>
          </w:tcPr>
          <w:p w14:paraId="503CA4FF">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07396D5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0.13</w:t>
            </w:r>
          </w:p>
        </w:tc>
        <w:tc>
          <w:tcPr>
            <w:tcW w:w="670" w:type="pct"/>
            <w:tcBorders>
              <w:tl2br w:val="nil"/>
              <w:tr2bl w:val="nil"/>
            </w:tcBorders>
            <w:shd w:val="clear" w:color="auto" w:fill="auto"/>
            <w:noWrap/>
            <w:vAlign w:val="center"/>
          </w:tcPr>
          <w:p w14:paraId="39DAD5B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13</w:t>
            </w:r>
          </w:p>
        </w:tc>
      </w:tr>
      <w:tr w14:paraId="44DA1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0"/>
            <w:vAlign w:val="center"/>
          </w:tcPr>
          <w:p w14:paraId="6F238A59">
            <w:pPr>
              <w:widowControl w:val="0"/>
              <w:overflowPunct w:val="0"/>
              <w:autoSpaceDE w:val="0"/>
              <w:autoSpaceDN w:val="0"/>
              <w:adjustRightInd w:val="0"/>
              <w:snapToGrid w:val="0"/>
              <w:spacing w:before="0" w:beforeLines="0" w:after="0" w:afterLines="0" w:line="240" w:lineRule="auto"/>
              <w:ind w:left="0" w:leftChars="0" w:right="0" w:rightChars="0" w:firstLine="420" w:firstLineChars="200"/>
              <w:jc w:val="center"/>
              <w:rPr>
                <w:rFonts w:hint="default" w:ascii="Times New Roman" w:hAnsi="Times New Roman" w:eastAsia="宋体" w:cs="Times New Roman"/>
                <w:color w:val="auto"/>
                <w:kern w:val="0"/>
                <w:sz w:val="21"/>
                <w:szCs w:val="21"/>
                <w:highlight w:val="none"/>
              </w:rPr>
            </w:pPr>
          </w:p>
        </w:tc>
        <w:tc>
          <w:tcPr>
            <w:tcW w:w="589" w:type="pct"/>
            <w:gridSpan w:val="2"/>
            <w:tcBorders>
              <w:tl2br w:val="nil"/>
              <w:tr2bl w:val="nil"/>
            </w:tcBorders>
            <w:shd w:val="clear" w:color="auto" w:fill="auto"/>
            <w:noWrap/>
            <w:vAlign w:val="center"/>
          </w:tcPr>
          <w:p w14:paraId="617933B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rPr>
            </w:pPr>
            <w:r>
              <w:rPr>
                <w:rFonts w:hint="eastAsia" w:ascii="宋体" w:hAnsi="宋体" w:eastAsia="宋体" w:cs="宋体"/>
                <w:i w:val="0"/>
                <w:iCs w:val="0"/>
                <w:color w:val="000000"/>
                <w:kern w:val="0"/>
                <w:sz w:val="21"/>
                <w:szCs w:val="21"/>
                <w:u w:val="none"/>
                <w:lang w:val="en-US" w:eastAsia="zh-CN" w:bidi="ar"/>
              </w:rPr>
              <w:t>氨氮（</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533" w:type="pct"/>
            <w:gridSpan w:val="3"/>
            <w:tcBorders>
              <w:tl2br w:val="nil"/>
              <w:tr2bl w:val="nil"/>
            </w:tcBorders>
            <w:shd w:val="clear" w:color="auto" w:fill="auto"/>
            <w:noWrap/>
            <w:vAlign w:val="center"/>
          </w:tcPr>
          <w:p w14:paraId="76E6C28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i w:val="0"/>
                <w:iCs w:val="0"/>
                <w:color w:val="000000"/>
                <w:kern w:val="0"/>
                <w:sz w:val="21"/>
                <w:szCs w:val="21"/>
                <w:u w:val="none"/>
                <w:lang w:val="en-US" w:eastAsia="zh-CN" w:bidi="ar"/>
              </w:rPr>
              <w:t>0</w:t>
            </w:r>
          </w:p>
        </w:tc>
        <w:tc>
          <w:tcPr>
            <w:tcW w:w="662" w:type="pct"/>
            <w:gridSpan w:val="2"/>
            <w:tcBorders>
              <w:tl2br w:val="nil"/>
              <w:tr2bl w:val="nil"/>
            </w:tcBorders>
            <w:shd w:val="clear" w:color="auto" w:fill="auto"/>
            <w:noWrap w:val="0"/>
            <w:vAlign w:val="center"/>
          </w:tcPr>
          <w:p w14:paraId="7341011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649" w:type="pct"/>
            <w:tcBorders>
              <w:tl2br w:val="nil"/>
              <w:tr2bl w:val="nil"/>
            </w:tcBorders>
            <w:shd w:val="clear" w:color="auto" w:fill="auto"/>
            <w:noWrap w:val="0"/>
            <w:vAlign w:val="center"/>
          </w:tcPr>
          <w:p w14:paraId="66A8A51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713" w:type="pct"/>
            <w:tcBorders>
              <w:tl2br w:val="nil"/>
              <w:tr2bl w:val="nil"/>
            </w:tcBorders>
            <w:shd w:val="clear" w:color="auto" w:fill="auto"/>
            <w:noWrap w:val="0"/>
            <w:vAlign w:val="center"/>
          </w:tcPr>
          <w:p w14:paraId="6CE4444E">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0</w:t>
            </w:r>
          </w:p>
        </w:tc>
        <w:tc>
          <w:tcPr>
            <w:tcW w:w="1301" w:type="dxa"/>
            <w:tcBorders>
              <w:tl2br w:val="nil"/>
              <w:tr2bl w:val="nil"/>
            </w:tcBorders>
            <w:shd w:val="clear" w:color="auto" w:fill="auto"/>
            <w:noWrap/>
            <w:vAlign w:val="center"/>
          </w:tcPr>
          <w:p w14:paraId="1168060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70" w:type="pct"/>
            <w:tcBorders>
              <w:tl2br w:val="nil"/>
              <w:tr2bl w:val="nil"/>
            </w:tcBorders>
            <w:shd w:val="clear" w:color="auto" w:fill="auto"/>
            <w:noWrap/>
            <w:vAlign w:val="center"/>
          </w:tcPr>
          <w:p w14:paraId="12D8AA9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1</w:t>
            </w:r>
          </w:p>
        </w:tc>
      </w:tr>
      <w:tr w14:paraId="00481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tcBorders>
              <w:tl2br w:val="nil"/>
              <w:tr2bl w:val="nil"/>
            </w:tcBorders>
            <w:shd w:val="clear" w:color="auto" w:fill="auto"/>
            <w:noWrap w:val="0"/>
            <w:vAlign w:val="center"/>
          </w:tcPr>
          <w:p w14:paraId="65B9E806">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生活垃圾</w:t>
            </w:r>
          </w:p>
        </w:tc>
        <w:tc>
          <w:tcPr>
            <w:tcW w:w="588" w:type="pct"/>
            <w:tcBorders>
              <w:tl2br w:val="nil"/>
              <w:tr2bl w:val="nil"/>
            </w:tcBorders>
            <w:shd w:val="clear" w:color="auto" w:fill="auto"/>
            <w:noWrap/>
            <w:vAlign w:val="center"/>
          </w:tcPr>
          <w:p w14:paraId="4597C3AF">
            <w:pPr>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000000"/>
                <w:kern w:val="0"/>
                <w:sz w:val="21"/>
                <w:szCs w:val="21"/>
                <w:lang w:val="en-US" w:eastAsia="zh-CN"/>
              </w:rPr>
              <w:t>生活垃圾</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533" w:type="pct"/>
            <w:gridSpan w:val="3"/>
            <w:tcBorders>
              <w:tl2br w:val="nil"/>
              <w:tr2bl w:val="nil"/>
            </w:tcBorders>
            <w:shd w:val="clear" w:color="auto" w:fill="auto"/>
            <w:noWrap/>
            <w:vAlign w:val="center"/>
          </w:tcPr>
          <w:p w14:paraId="5A72F89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i w:val="0"/>
                <w:iCs w:val="0"/>
                <w:color w:val="000000"/>
                <w:kern w:val="0"/>
                <w:sz w:val="21"/>
                <w:szCs w:val="21"/>
                <w:u w:val="none"/>
                <w:lang w:val="en-US" w:eastAsia="zh-CN" w:bidi="ar"/>
              </w:rPr>
              <w:t>0.73</w:t>
            </w:r>
          </w:p>
        </w:tc>
        <w:tc>
          <w:tcPr>
            <w:tcW w:w="663" w:type="pct"/>
            <w:gridSpan w:val="3"/>
            <w:tcBorders>
              <w:tl2br w:val="nil"/>
              <w:tr2bl w:val="nil"/>
            </w:tcBorders>
            <w:shd w:val="clear" w:color="auto" w:fill="auto"/>
            <w:noWrap w:val="0"/>
            <w:vAlign w:val="center"/>
          </w:tcPr>
          <w:p w14:paraId="68E17F3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649" w:type="pct"/>
            <w:tcBorders>
              <w:tl2br w:val="nil"/>
              <w:tr2bl w:val="nil"/>
            </w:tcBorders>
            <w:shd w:val="clear" w:color="auto" w:fill="auto"/>
            <w:noWrap w:val="0"/>
            <w:vAlign w:val="center"/>
          </w:tcPr>
          <w:p w14:paraId="7FE311B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4.38</w:t>
            </w:r>
          </w:p>
        </w:tc>
        <w:tc>
          <w:tcPr>
            <w:tcW w:w="713" w:type="pct"/>
            <w:tcBorders>
              <w:tl2br w:val="nil"/>
              <w:tr2bl w:val="nil"/>
            </w:tcBorders>
            <w:shd w:val="clear" w:color="auto" w:fill="auto"/>
            <w:noWrap w:val="0"/>
            <w:vAlign w:val="center"/>
          </w:tcPr>
          <w:p w14:paraId="2512D386">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0</w:t>
            </w:r>
          </w:p>
        </w:tc>
        <w:tc>
          <w:tcPr>
            <w:tcW w:w="764" w:type="pct"/>
            <w:tcBorders>
              <w:tl2br w:val="nil"/>
              <w:tr2bl w:val="nil"/>
            </w:tcBorders>
            <w:shd w:val="clear" w:color="auto" w:fill="auto"/>
            <w:noWrap/>
            <w:vAlign w:val="center"/>
          </w:tcPr>
          <w:p w14:paraId="1BF44D8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i w:val="0"/>
                <w:iCs w:val="0"/>
                <w:color w:val="000000"/>
                <w:kern w:val="0"/>
                <w:sz w:val="21"/>
                <w:szCs w:val="21"/>
                <w:u w:val="none"/>
                <w:lang w:val="en-US" w:eastAsia="zh-CN" w:bidi="ar"/>
              </w:rPr>
              <w:t>5.11</w:t>
            </w:r>
          </w:p>
        </w:tc>
        <w:tc>
          <w:tcPr>
            <w:tcW w:w="670" w:type="pct"/>
            <w:tcBorders>
              <w:tl2br w:val="nil"/>
              <w:tr2bl w:val="nil"/>
            </w:tcBorders>
            <w:shd w:val="clear" w:color="auto" w:fill="auto"/>
            <w:noWrap/>
            <w:vAlign w:val="center"/>
          </w:tcPr>
          <w:p w14:paraId="443D415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eastAsia" w:cs="Times New Roman"/>
                <w:i w:val="0"/>
                <w:iCs w:val="0"/>
                <w:color w:val="000000"/>
                <w:kern w:val="0"/>
                <w:sz w:val="21"/>
                <w:szCs w:val="21"/>
                <w:u w:val="none"/>
                <w:lang w:val="en-US" w:eastAsia="zh-CN" w:bidi="ar"/>
              </w:rPr>
              <w:t>4.38</w:t>
            </w:r>
          </w:p>
        </w:tc>
      </w:tr>
      <w:tr w14:paraId="7A1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restart"/>
            <w:tcBorders>
              <w:tl2br w:val="nil"/>
              <w:tr2bl w:val="nil"/>
            </w:tcBorders>
            <w:shd w:val="clear" w:color="auto" w:fill="auto"/>
            <w:noWrap w:val="0"/>
            <w:vAlign w:val="center"/>
          </w:tcPr>
          <w:p w14:paraId="771021C6">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r>
              <w:rPr>
                <w:rFonts w:hint="eastAsia" w:ascii="Times New Roman" w:hAnsi="Times New Roman" w:eastAsia="宋体" w:cs="宋体"/>
                <w:snapToGrid w:val="0"/>
                <w:color w:val="000000"/>
                <w:kern w:val="21"/>
                <w:sz w:val="21"/>
                <w:szCs w:val="21"/>
                <w:highlight w:val="none"/>
                <w:lang w:val="en-US" w:eastAsia="zh-CN" w:bidi="ar-SA"/>
              </w:rPr>
              <w:t>一般工业固体废物</w:t>
            </w:r>
          </w:p>
        </w:tc>
        <w:tc>
          <w:tcPr>
            <w:tcW w:w="589" w:type="pct"/>
            <w:gridSpan w:val="2"/>
            <w:tcBorders>
              <w:tl2br w:val="nil"/>
              <w:tr2bl w:val="nil"/>
            </w:tcBorders>
            <w:shd w:val="clear" w:color="auto" w:fill="auto"/>
            <w:noWrap/>
            <w:vAlign w:val="center"/>
          </w:tcPr>
          <w:p w14:paraId="5E5063D8">
            <w:pPr>
              <w:widowControl w:val="0"/>
              <w:overflowPunct w:val="0"/>
              <w:autoSpaceDE w:val="0"/>
              <w:autoSpaceDN w:val="0"/>
              <w:bidi w:val="0"/>
              <w:adjustRightInd w:val="0"/>
              <w:snapToGrid w:val="0"/>
              <w:spacing w:line="300" w:lineRule="atLeast"/>
              <w:ind w:firstLine="0" w:firstLineChars="0"/>
              <w:jc w:val="center"/>
              <w:textAlignment w:val="baseline"/>
              <w:rPr>
                <w:rFonts w:hint="eastAsia" w:ascii="Times New Roman" w:hAnsi="Times New Roman" w:eastAsia="宋体" w:cs="Times New Roman"/>
                <w:color w:val="000000"/>
                <w:kern w:val="0"/>
                <w:sz w:val="21"/>
                <w:szCs w:val="21"/>
                <w:lang w:val="en-US" w:eastAsia="zh-CN" w:bidi="ar-SA"/>
              </w:rPr>
            </w:pPr>
            <w:r>
              <w:rPr>
                <w:rFonts w:hint="eastAsia" w:cs="Times New Roman"/>
                <w:color w:val="auto"/>
                <w:kern w:val="0"/>
                <w:sz w:val="21"/>
                <w:szCs w:val="22"/>
                <w:lang w:val="en-US" w:eastAsia="zh-CN" w:bidi="ar-SA"/>
              </w:rPr>
              <w:t>废包装材料</w:t>
            </w:r>
            <w:r>
              <w:rPr>
                <w:rFonts w:hint="eastAsia" w:ascii="Times New Roman" w:hAnsi="Times New Roman" w:eastAsia="宋体" w:cs="宋体"/>
                <w:snapToGrid w:val="0"/>
                <w:color w:val="000000"/>
                <w:kern w:val="21"/>
                <w:sz w:val="21"/>
                <w:szCs w:val="21"/>
                <w:highlight w:val="none"/>
                <w:lang w:val="en-US" w:eastAsia="zh-CN" w:bidi="ar-SA"/>
              </w:rPr>
              <w:t>（t/a）</w:t>
            </w:r>
          </w:p>
        </w:tc>
        <w:tc>
          <w:tcPr>
            <w:tcW w:w="533" w:type="pct"/>
            <w:gridSpan w:val="3"/>
            <w:tcBorders>
              <w:tl2br w:val="nil"/>
              <w:tr2bl w:val="nil"/>
            </w:tcBorders>
            <w:shd w:val="clear" w:color="auto" w:fill="auto"/>
            <w:noWrap/>
            <w:vAlign w:val="center"/>
          </w:tcPr>
          <w:p w14:paraId="086C10DD">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2.497</w:t>
            </w:r>
          </w:p>
        </w:tc>
        <w:tc>
          <w:tcPr>
            <w:tcW w:w="662" w:type="pct"/>
            <w:gridSpan w:val="2"/>
            <w:tcBorders>
              <w:tl2br w:val="nil"/>
              <w:tr2bl w:val="nil"/>
            </w:tcBorders>
            <w:shd w:val="clear" w:color="auto" w:fill="auto"/>
            <w:noWrap w:val="0"/>
            <w:vAlign w:val="center"/>
          </w:tcPr>
          <w:p w14:paraId="6410FC2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57D63E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11.04</w:t>
            </w:r>
          </w:p>
        </w:tc>
        <w:tc>
          <w:tcPr>
            <w:tcW w:w="713" w:type="pct"/>
            <w:tcBorders>
              <w:tl2br w:val="nil"/>
              <w:tr2bl w:val="nil"/>
            </w:tcBorders>
            <w:shd w:val="clear" w:color="auto" w:fill="auto"/>
            <w:noWrap w:val="0"/>
            <w:vAlign w:val="center"/>
          </w:tcPr>
          <w:p w14:paraId="18AC964D">
            <w:pPr>
              <w:widowControl/>
              <w:overflowPunct/>
              <w:autoSpaceDE/>
              <w:autoSpaceDN/>
              <w:adjustRightInd/>
              <w:snapToGrid/>
              <w:spacing w:line="320" w:lineRule="exact"/>
              <w:ind w:firstLine="0" w:firstLine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18A1A0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13.537</w:t>
            </w:r>
          </w:p>
        </w:tc>
        <w:tc>
          <w:tcPr>
            <w:tcW w:w="1140" w:type="dxa"/>
            <w:tcBorders>
              <w:tl2br w:val="nil"/>
              <w:tr2bl w:val="nil"/>
            </w:tcBorders>
            <w:shd w:val="clear" w:color="auto" w:fill="auto"/>
            <w:noWrap/>
            <w:vAlign w:val="center"/>
          </w:tcPr>
          <w:p w14:paraId="6C73EF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11.04</w:t>
            </w:r>
          </w:p>
        </w:tc>
      </w:tr>
      <w:tr w14:paraId="2D63C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0"/>
            <w:vAlign w:val="center"/>
          </w:tcPr>
          <w:p w14:paraId="1E46D501">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589" w:type="pct"/>
            <w:gridSpan w:val="2"/>
            <w:tcBorders>
              <w:tl2br w:val="nil"/>
              <w:tr2bl w:val="nil"/>
            </w:tcBorders>
            <w:shd w:val="clear" w:color="auto" w:fill="auto"/>
            <w:noWrap/>
            <w:vAlign w:val="center"/>
          </w:tcPr>
          <w:p w14:paraId="63025FEA">
            <w:pPr>
              <w:widowControl w:val="0"/>
              <w:overflowPunct w:val="0"/>
              <w:autoSpaceDE w:val="0"/>
              <w:autoSpaceDN w:val="0"/>
              <w:bidi w:val="0"/>
              <w:adjustRightInd w:val="0"/>
              <w:snapToGrid w:val="0"/>
              <w:spacing w:line="300" w:lineRule="atLeast"/>
              <w:ind w:firstLine="0" w:firstLineChars="0"/>
              <w:jc w:val="center"/>
              <w:textAlignment w:val="baseline"/>
              <w:rPr>
                <w:rFonts w:hint="eastAsia" w:ascii="Times New Roman" w:hAnsi="Times New Roman" w:eastAsia="宋体" w:cs="Times New Roman"/>
                <w:color w:val="000000"/>
                <w:kern w:val="0"/>
                <w:sz w:val="21"/>
                <w:szCs w:val="21"/>
                <w:lang w:val="en-US" w:eastAsia="zh-CN" w:bidi="ar-SA"/>
              </w:rPr>
            </w:pPr>
            <w:r>
              <w:rPr>
                <w:rFonts w:hint="eastAsia" w:cs="Times New Roman"/>
                <w:color w:val="auto"/>
                <w:kern w:val="0"/>
                <w:sz w:val="21"/>
                <w:szCs w:val="21"/>
                <w:highlight w:val="none"/>
                <w:lang w:val="en-US" w:eastAsia="zh-CN" w:bidi="ar"/>
              </w:rPr>
              <w:t>牛粪及发酵垫料</w:t>
            </w:r>
            <w:r>
              <w:rPr>
                <w:rFonts w:hint="eastAsia" w:ascii="Times New Roman" w:hAnsi="Times New Roman" w:eastAsia="宋体" w:cs="宋体"/>
                <w:snapToGrid w:val="0"/>
                <w:color w:val="000000"/>
                <w:kern w:val="21"/>
                <w:sz w:val="21"/>
                <w:szCs w:val="21"/>
                <w:highlight w:val="none"/>
                <w:lang w:val="en-US" w:eastAsia="zh-CN" w:bidi="ar-SA"/>
              </w:rPr>
              <w:t>（t/a）</w:t>
            </w:r>
          </w:p>
        </w:tc>
        <w:tc>
          <w:tcPr>
            <w:tcW w:w="533" w:type="pct"/>
            <w:gridSpan w:val="3"/>
            <w:tcBorders>
              <w:tl2br w:val="nil"/>
              <w:tr2bl w:val="nil"/>
            </w:tcBorders>
            <w:shd w:val="clear" w:color="auto" w:fill="auto"/>
            <w:noWrap/>
            <w:vAlign w:val="center"/>
          </w:tcPr>
          <w:p w14:paraId="627630D9">
            <w:pPr>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Cs/>
                <w:color w:val="auto"/>
                <w:sz w:val="21"/>
                <w:szCs w:val="21"/>
                <w:lang w:val="en-US" w:eastAsia="zh-CN"/>
              </w:rPr>
              <w:t>16</w:t>
            </w:r>
            <w:r>
              <w:rPr>
                <w:rFonts w:hint="eastAsia" w:cs="Times New Roman"/>
                <w:bCs/>
                <w:color w:val="auto"/>
                <w:sz w:val="21"/>
                <w:szCs w:val="21"/>
                <w:lang w:val="en-US" w:eastAsia="zh-CN"/>
              </w:rPr>
              <w:t>8</w:t>
            </w:r>
            <w:r>
              <w:rPr>
                <w:rFonts w:hint="default" w:ascii="Times New Roman" w:hAnsi="Times New Roman" w:eastAsia="宋体" w:cs="Times New Roman"/>
                <w:bCs/>
                <w:color w:val="auto"/>
                <w:sz w:val="21"/>
                <w:szCs w:val="21"/>
                <w:lang w:val="en-US" w:eastAsia="zh-CN"/>
              </w:rPr>
              <w:t>3.93</w:t>
            </w:r>
          </w:p>
        </w:tc>
        <w:tc>
          <w:tcPr>
            <w:tcW w:w="662" w:type="pct"/>
            <w:gridSpan w:val="2"/>
            <w:tcBorders>
              <w:tl2br w:val="nil"/>
              <w:tr2bl w:val="nil"/>
            </w:tcBorders>
            <w:shd w:val="clear" w:color="auto" w:fill="auto"/>
            <w:noWrap w:val="0"/>
            <w:vAlign w:val="center"/>
          </w:tcPr>
          <w:p w14:paraId="33710AB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070EB1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12133.6</w:t>
            </w:r>
          </w:p>
        </w:tc>
        <w:tc>
          <w:tcPr>
            <w:tcW w:w="713" w:type="pct"/>
            <w:tcBorders>
              <w:tl2br w:val="nil"/>
              <w:tr2bl w:val="nil"/>
            </w:tcBorders>
            <w:shd w:val="clear" w:color="auto" w:fill="auto"/>
            <w:noWrap w:val="0"/>
            <w:vAlign w:val="center"/>
          </w:tcPr>
          <w:p w14:paraId="57FC55B2">
            <w:pPr>
              <w:widowControl/>
              <w:overflowPunct/>
              <w:autoSpaceDE/>
              <w:autoSpaceDN/>
              <w:adjustRightInd/>
              <w:snapToGrid/>
              <w:spacing w:line="320" w:lineRule="exact"/>
              <w:ind w:firstLine="0" w:firstLine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0B1145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13817.53</w:t>
            </w:r>
          </w:p>
        </w:tc>
        <w:tc>
          <w:tcPr>
            <w:tcW w:w="1140" w:type="dxa"/>
            <w:tcBorders>
              <w:tl2br w:val="nil"/>
              <w:tr2bl w:val="nil"/>
            </w:tcBorders>
            <w:shd w:val="clear" w:color="auto" w:fill="auto"/>
            <w:noWrap/>
            <w:vAlign w:val="center"/>
          </w:tcPr>
          <w:p w14:paraId="002891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12133.6</w:t>
            </w:r>
          </w:p>
        </w:tc>
      </w:tr>
      <w:tr w14:paraId="743D0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0"/>
            <w:vAlign w:val="center"/>
          </w:tcPr>
          <w:p w14:paraId="507C80DD">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589" w:type="pct"/>
            <w:gridSpan w:val="2"/>
            <w:tcBorders>
              <w:tl2br w:val="nil"/>
              <w:tr2bl w:val="nil"/>
            </w:tcBorders>
            <w:shd w:val="clear" w:color="auto" w:fill="auto"/>
            <w:noWrap/>
            <w:vAlign w:val="center"/>
          </w:tcPr>
          <w:p w14:paraId="5285022C">
            <w:pPr>
              <w:widowControl w:val="0"/>
              <w:overflowPunct w:val="0"/>
              <w:autoSpaceDE w:val="0"/>
              <w:autoSpaceDN w:val="0"/>
              <w:bidi w:val="0"/>
              <w:adjustRightInd w:val="0"/>
              <w:snapToGrid w:val="0"/>
              <w:spacing w:line="300" w:lineRule="atLeast"/>
              <w:ind w:firstLine="0" w:firstLineChars="0"/>
              <w:jc w:val="center"/>
              <w:textAlignment w:val="baseline"/>
              <w:rPr>
                <w:rFonts w:hint="eastAsia" w:ascii="Times New Roman" w:hAnsi="Times New Roman" w:eastAsia="宋体" w:cs="Times New Roman"/>
                <w:color w:val="000000"/>
                <w:kern w:val="0"/>
                <w:sz w:val="21"/>
                <w:szCs w:val="21"/>
                <w:lang w:val="en-US" w:eastAsia="zh-CN" w:bidi="ar-SA"/>
              </w:rPr>
            </w:pPr>
            <w:r>
              <w:rPr>
                <w:rFonts w:hint="eastAsia" w:cs="宋体"/>
                <w:snapToGrid w:val="0"/>
                <w:color w:val="000000"/>
                <w:kern w:val="21"/>
                <w:sz w:val="21"/>
                <w:szCs w:val="21"/>
                <w:highlight w:val="none"/>
                <w:lang w:val="en-US" w:eastAsia="zh-CN" w:bidi="ar-SA"/>
              </w:rPr>
              <w:t>病死牛</w:t>
            </w:r>
            <w:r>
              <w:rPr>
                <w:rFonts w:hint="eastAsia" w:ascii="Times New Roman" w:hAnsi="Times New Roman" w:eastAsia="宋体" w:cs="宋体"/>
                <w:snapToGrid w:val="0"/>
                <w:color w:val="000000"/>
                <w:kern w:val="21"/>
                <w:sz w:val="21"/>
                <w:szCs w:val="21"/>
                <w:highlight w:val="none"/>
                <w:lang w:val="en-US" w:eastAsia="zh-CN" w:bidi="ar-SA"/>
              </w:rPr>
              <w:t>（t/a）</w:t>
            </w:r>
          </w:p>
        </w:tc>
        <w:tc>
          <w:tcPr>
            <w:tcW w:w="533" w:type="pct"/>
            <w:gridSpan w:val="3"/>
            <w:tcBorders>
              <w:tl2br w:val="nil"/>
              <w:tr2bl w:val="nil"/>
            </w:tcBorders>
            <w:shd w:val="clear" w:color="auto" w:fill="auto"/>
            <w:noWrap/>
            <w:vAlign w:val="center"/>
          </w:tcPr>
          <w:p w14:paraId="26B1AAB0">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宋体"/>
                <w:color w:val="auto"/>
                <w:kern w:val="0"/>
                <w:sz w:val="21"/>
                <w:szCs w:val="21"/>
                <w:lang w:val="en-US" w:eastAsia="zh-CN"/>
              </w:rPr>
              <w:t>0.3</w:t>
            </w:r>
          </w:p>
        </w:tc>
        <w:tc>
          <w:tcPr>
            <w:tcW w:w="662" w:type="pct"/>
            <w:gridSpan w:val="2"/>
            <w:tcBorders>
              <w:tl2br w:val="nil"/>
              <w:tr2bl w:val="nil"/>
            </w:tcBorders>
            <w:shd w:val="clear" w:color="auto" w:fill="auto"/>
            <w:noWrap w:val="0"/>
            <w:vAlign w:val="center"/>
          </w:tcPr>
          <w:p w14:paraId="5C84CCF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5D080F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0.9</w:t>
            </w:r>
          </w:p>
        </w:tc>
        <w:tc>
          <w:tcPr>
            <w:tcW w:w="713" w:type="pct"/>
            <w:tcBorders>
              <w:tl2br w:val="nil"/>
              <w:tr2bl w:val="nil"/>
            </w:tcBorders>
            <w:shd w:val="clear" w:color="auto" w:fill="auto"/>
            <w:noWrap w:val="0"/>
            <w:vAlign w:val="center"/>
          </w:tcPr>
          <w:p w14:paraId="6D9C9B80">
            <w:pPr>
              <w:widowControl/>
              <w:overflowPunct/>
              <w:autoSpaceDE/>
              <w:autoSpaceDN/>
              <w:adjustRightInd/>
              <w:snapToGrid/>
              <w:spacing w:line="320" w:lineRule="exact"/>
              <w:ind w:firstLine="0" w:firstLine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301AA4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140" w:type="dxa"/>
            <w:tcBorders>
              <w:tl2br w:val="nil"/>
              <w:tr2bl w:val="nil"/>
            </w:tcBorders>
            <w:shd w:val="clear" w:color="auto" w:fill="auto"/>
            <w:noWrap/>
            <w:vAlign w:val="center"/>
          </w:tcPr>
          <w:p w14:paraId="2E9362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0.9</w:t>
            </w:r>
          </w:p>
        </w:tc>
      </w:tr>
      <w:tr w14:paraId="1C1E7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0"/>
            <w:vAlign w:val="center"/>
          </w:tcPr>
          <w:p w14:paraId="0E9E6A28">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589" w:type="pct"/>
            <w:gridSpan w:val="2"/>
            <w:tcBorders>
              <w:tl2br w:val="nil"/>
              <w:tr2bl w:val="nil"/>
            </w:tcBorders>
            <w:shd w:val="clear" w:color="auto" w:fill="auto"/>
            <w:noWrap/>
            <w:vAlign w:val="center"/>
          </w:tcPr>
          <w:p w14:paraId="4AE5426E">
            <w:pPr>
              <w:widowControl w:val="0"/>
              <w:overflowPunct w:val="0"/>
              <w:autoSpaceDE w:val="0"/>
              <w:autoSpaceDN w:val="0"/>
              <w:bidi w:val="0"/>
              <w:adjustRightInd w:val="0"/>
              <w:snapToGrid w:val="0"/>
              <w:spacing w:line="300" w:lineRule="atLeast"/>
              <w:ind w:firstLine="0" w:firstLineChars="0"/>
              <w:jc w:val="center"/>
              <w:textAlignment w:val="baseline"/>
              <w:rPr>
                <w:rFonts w:hint="eastAsia"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auto"/>
                <w:kern w:val="0"/>
                <w:sz w:val="21"/>
                <w:szCs w:val="22"/>
                <w:lang w:val="en-US" w:eastAsia="zh-CN" w:bidi="ar-SA"/>
              </w:rPr>
              <w:t>废</w:t>
            </w:r>
            <w:r>
              <w:rPr>
                <w:rFonts w:hint="eastAsia" w:cs="Times New Roman"/>
                <w:color w:val="auto"/>
                <w:kern w:val="0"/>
                <w:sz w:val="21"/>
                <w:szCs w:val="22"/>
                <w:lang w:val="en-US" w:eastAsia="zh-CN" w:bidi="ar-SA"/>
              </w:rPr>
              <w:t>填料</w:t>
            </w:r>
            <w:r>
              <w:rPr>
                <w:rFonts w:hint="eastAsia" w:ascii="Times New Roman" w:hAnsi="Times New Roman" w:eastAsia="宋体" w:cs="宋体"/>
                <w:snapToGrid w:val="0"/>
                <w:color w:val="000000"/>
                <w:kern w:val="21"/>
                <w:sz w:val="21"/>
                <w:szCs w:val="21"/>
                <w:highlight w:val="none"/>
                <w:lang w:val="en-US" w:eastAsia="zh-CN" w:bidi="ar-SA"/>
              </w:rPr>
              <w:t>（t/a）</w:t>
            </w:r>
          </w:p>
        </w:tc>
        <w:tc>
          <w:tcPr>
            <w:tcW w:w="533" w:type="pct"/>
            <w:gridSpan w:val="3"/>
            <w:tcBorders>
              <w:tl2br w:val="nil"/>
              <w:tr2bl w:val="nil"/>
            </w:tcBorders>
            <w:shd w:val="clear" w:color="auto" w:fill="auto"/>
            <w:noWrap/>
            <w:vAlign w:val="center"/>
          </w:tcPr>
          <w:p w14:paraId="6F6D2D2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c>
          <w:tcPr>
            <w:tcW w:w="662" w:type="pct"/>
            <w:gridSpan w:val="2"/>
            <w:tcBorders>
              <w:tl2br w:val="nil"/>
              <w:tr2bl w:val="nil"/>
            </w:tcBorders>
            <w:shd w:val="clear" w:color="auto" w:fill="auto"/>
            <w:noWrap w:val="0"/>
            <w:vAlign w:val="center"/>
          </w:tcPr>
          <w:p w14:paraId="13001B1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2542FA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713" w:type="pct"/>
            <w:tcBorders>
              <w:tl2br w:val="nil"/>
              <w:tr2bl w:val="nil"/>
            </w:tcBorders>
            <w:shd w:val="clear" w:color="auto" w:fill="auto"/>
            <w:noWrap w:val="0"/>
            <w:vAlign w:val="center"/>
          </w:tcPr>
          <w:p w14:paraId="037F027C">
            <w:pPr>
              <w:widowControl/>
              <w:overflowPunct/>
              <w:autoSpaceDE/>
              <w:autoSpaceDN/>
              <w:adjustRightInd/>
              <w:snapToGrid/>
              <w:spacing w:line="320" w:lineRule="exact"/>
              <w:ind w:firstLine="0" w:firstLine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3EDA18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1140" w:type="dxa"/>
            <w:tcBorders>
              <w:tl2br w:val="nil"/>
              <w:tr2bl w:val="nil"/>
            </w:tcBorders>
            <w:shd w:val="clear" w:color="auto" w:fill="auto"/>
            <w:noWrap/>
            <w:vAlign w:val="center"/>
          </w:tcPr>
          <w:p w14:paraId="66AA65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0.5</w:t>
            </w:r>
          </w:p>
        </w:tc>
      </w:tr>
      <w:tr w14:paraId="2BB40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0"/>
            <w:vAlign w:val="center"/>
          </w:tcPr>
          <w:p w14:paraId="337F4213">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589" w:type="pct"/>
            <w:gridSpan w:val="2"/>
            <w:tcBorders>
              <w:tl2br w:val="nil"/>
              <w:tr2bl w:val="nil"/>
            </w:tcBorders>
            <w:shd w:val="clear" w:color="auto" w:fill="auto"/>
            <w:noWrap/>
            <w:vAlign w:val="center"/>
          </w:tcPr>
          <w:p w14:paraId="7846084A">
            <w:pPr>
              <w:widowControl w:val="0"/>
              <w:overflowPunct w:val="0"/>
              <w:autoSpaceDE w:val="0"/>
              <w:autoSpaceDN w:val="0"/>
              <w:bidi w:val="0"/>
              <w:adjustRightInd w:val="0"/>
              <w:snapToGrid w:val="0"/>
              <w:spacing w:line="300" w:lineRule="atLeast"/>
              <w:ind w:firstLine="0" w:firstLineChars="0"/>
              <w:jc w:val="center"/>
              <w:textAlignment w:val="baseline"/>
              <w:rPr>
                <w:rFonts w:hint="eastAsia" w:ascii="Times New Roman" w:hAnsi="Times New Roman" w:eastAsia="宋体" w:cs="Times New Roman"/>
                <w:color w:val="auto"/>
                <w:kern w:val="0"/>
                <w:sz w:val="21"/>
                <w:szCs w:val="22"/>
                <w:lang w:val="en-US" w:eastAsia="zh-CN" w:bidi="ar-SA"/>
              </w:rPr>
            </w:pPr>
            <w:r>
              <w:rPr>
                <w:rFonts w:hint="eastAsia" w:ascii="Times New Roman" w:hAnsi="Times New Roman" w:eastAsia="宋体" w:cs="宋体"/>
                <w:snapToGrid w:val="0"/>
                <w:color w:val="000000"/>
                <w:kern w:val="21"/>
                <w:sz w:val="21"/>
                <w:szCs w:val="21"/>
                <w:highlight w:val="none"/>
                <w:lang w:val="en-US" w:eastAsia="zh-CN" w:bidi="ar-SA"/>
              </w:rPr>
              <w:t>除尘灰（t/a）</w:t>
            </w:r>
          </w:p>
        </w:tc>
        <w:tc>
          <w:tcPr>
            <w:tcW w:w="533" w:type="pct"/>
            <w:gridSpan w:val="3"/>
            <w:tcBorders>
              <w:tl2br w:val="nil"/>
              <w:tr2bl w:val="nil"/>
            </w:tcBorders>
            <w:shd w:val="clear" w:color="auto" w:fill="auto"/>
            <w:noWrap/>
            <w:vAlign w:val="center"/>
          </w:tcPr>
          <w:p w14:paraId="07F8552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c>
          <w:tcPr>
            <w:tcW w:w="662" w:type="pct"/>
            <w:gridSpan w:val="2"/>
            <w:tcBorders>
              <w:tl2br w:val="nil"/>
              <w:tr2bl w:val="nil"/>
            </w:tcBorders>
            <w:shd w:val="clear" w:color="auto" w:fill="auto"/>
            <w:noWrap w:val="0"/>
            <w:vAlign w:val="center"/>
          </w:tcPr>
          <w:p w14:paraId="6ACD259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13DE2C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713" w:type="pct"/>
            <w:tcBorders>
              <w:tl2br w:val="nil"/>
              <w:tr2bl w:val="nil"/>
            </w:tcBorders>
            <w:shd w:val="clear" w:color="auto" w:fill="auto"/>
            <w:noWrap w:val="0"/>
            <w:vAlign w:val="center"/>
          </w:tcPr>
          <w:p w14:paraId="528DA2D5">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14CE66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1140" w:type="dxa"/>
            <w:tcBorders>
              <w:tl2br w:val="nil"/>
              <w:tr2bl w:val="nil"/>
            </w:tcBorders>
            <w:shd w:val="clear" w:color="auto" w:fill="auto"/>
            <w:noWrap/>
            <w:vAlign w:val="center"/>
          </w:tcPr>
          <w:p w14:paraId="0D677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1.65</w:t>
            </w:r>
          </w:p>
        </w:tc>
      </w:tr>
      <w:tr w14:paraId="7ADB2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0"/>
            <w:vAlign w:val="center"/>
          </w:tcPr>
          <w:p w14:paraId="30DF1209">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589" w:type="pct"/>
            <w:gridSpan w:val="2"/>
            <w:tcBorders>
              <w:tl2br w:val="nil"/>
              <w:tr2bl w:val="nil"/>
            </w:tcBorders>
            <w:shd w:val="clear" w:color="auto" w:fill="auto"/>
            <w:noWrap/>
            <w:vAlign w:val="center"/>
          </w:tcPr>
          <w:p w14:paraId="73467BE2">
            <w:pPr>
              <w:widowControl w:val="0"/>
              <w:overflowPunct w:val="0"/>
              <w:autoSpaceDE w:val="0"/>
              <w:autoSpaceDN w:val="0"/>
              <w:bidi w:val="0"/>
              <w:adjustRightInd w:val="0"/>
              <w:snapToGrid w:val="0"/>
              <w:spacing w:line="300" w:lineRule="atLeast"/>
              <w:ind w:firstLine="0" w:firstLineChars="0"/>
              <w:jc w:val="center"/>
              <w:textAlignment w:val="baseline"/>
              <w:rPr>
                <w:rFonts w:hint="default" w:ascii="Times New Roman" w:hAnsi="Times New Roman" w:eastAsia="宋体" w:cs="宋体"/>
                <w:snapToGrid w:val="0"/>
                <w:color w:val="000000"/>
                <w:kern w:val="21"/>
                <w:sz w:val="21"/>
                <w:szCs w:val="21"/>
                <w:highlight w:val="none"/>
                <w:lang w:val="en-US" w:eastAsia="zh-CN" w:bidi="ar-SA"/>
              </w:rPr>
            </w:pPr>
            <w:r>
              <w:rPr>
                <w:rFonts w:hint="eastAsia" w:cs="宋体"/>
                <w:snapToGrid w:val="0"/>
                <w:color w:val="000000"/>
                <w:kern w:val="21"/>
                <w:sz w:val="21"/>
                <w:szCs w:val="21"/>
                <w:highlight w:val="none"/>
                <w:lang w:val="en-US" w:eastAsia="zh-CN" w:bidi="ar-SA"/>
              </w:rPr>
              <w:t>废布袋</w:t>
            </w:r>
            <w:r>
              <w:rPr>
                <w:rFonts w:hint="eastAsia" w:ascii="Times New Roman" w:hAnsi="Times New Roman" w:eastAsia="宋体" w:cs="宋体"/>
                <w:snapToGrid w:val="0"/>
                <w:color w:val="000000"/>
                <w:kern w:val="21"/>
                <w:sz w:val="21"/>
                <w:szCs w:val="21"/>
                <w:highlight w:val="none"/>
                <w:lang w:val="en-US" w:eastAsia="zh-CN" w:bidi="ar-SA"/>
              </w:rPr>
              <w:t>（t/a）</w:t>
            </w:r>
          </w:p>
        </w:tc>
        <w:tc>
          <w:tcPr>
            <w:tcW w:w="533" w:type="pct"/>
            <w:gridSpan w:val="3"/>
            <w:tcBorders>
              <w:tl2br w:val="nil"/>
              <w:tr2bl w:val="nil"/>
            </w:tcBorders>
            <w:shd w:val="clear" w:color="auto" w:fill="auto"/>
            <w:noWrap/>
            <w:vAlign w:val="center"/>
          </w:tcPr>
          <w:p w14:paraId="26296AA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c>
          <w:tcPr>
            <w:tcW w:w="662" w:type="pct"/>
            <w:gridSpan w:val="2"/>
            <w:tcBorders>
              <w:tl2br w:val="nil"/>
              <w:tr2bl w:val="nil"/>
            </w:tcBorders>
            <w:shd w:val="clear" w:color="auto" w:fill="auto"/>
            <w:noWrap w:val="0"/>
            <w:vAlign w:val="center"/>
          </w:tcPr>
          <w:p w14:paraId="284B38E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0AA95C6D">
            <w:pPr>
              <w:keepNext w:val="0"/>
              <w:keepLines w:val="0"/>
              <w:widowControl/>
              <w:suppressLineNumbers w:val="0"/>
              <w:jc w:val="center"/>
              <w:textAlignment w:val="center"/>
              <w:rPr>
                <w:rFonts w:hint="eastAsia" w:cs="Times New Roman"/>
                <w:color w:val="auto"/>
                <w:kern w:val="0"/>
                <w:sz w:val="21"/>
                <w:szCs w:val="21"/>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0.4</w:t>
            </w:r>
          </w:p>
        </w:tc>
        <w:tc>
          <w:tcPr>
            <w:tcW w:w="713" w:type="pct"/>
            <w:tcBorders>
              <w:tl2br w:val="nil"/>
              <w:tr2bl w:val="nil"/>
            </w:tcBorders>
            <w:shd w:val="clear" w:color="auto" w:fill="auto"/>
            <w:noWrap w:val="0"/>
            <w:vAlign w:val="center"/>
          </w:tcPr>
          <w:p w14:paraId="1970B08C">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w:t>
            </w:r>
          </w:p>
        </w:tc>
        <w:tc>
          <w:tcPr>
            <w:tcW w:w="1301" w:type="dxa"/>
            <w:tcBorders>
              <w:tl2br w:val="nil"/>
              <w:tr2bl w:val="nil"/>
            </w:tcBorders>
            <w:shd w:val="clear" w:color="auto" w:fill="auto"/>
            <w:noWrap/>
            <w:vAlign w:val="center"/>
          </w:tcPr>
          <w:p w14:paraId="64B08744">
            <w:pPr>
              <w:keepNext w:val="0"/>
              <w:keepLines w:val="0"/>
              <w:widowControl/>
              <w:suppressLineNumbers w:val="0"/>
              <w:jc w:val="center"/>
              <w:textAlignment w:val="center"/>
              <w:rPr>
                <w:rFonts w:hint="eastAsia" w:cs="Times New Roman"/>
                <w:color w:val="auto"/>
                <w:kern w:val="0"/>
                <w:sz w:val="21"/>
                <w:szCs w:val="21"/>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0.4</w:t>
            </w:r>
          </w:p>
        </w:tc>
        <w:tc>
          <w:tcPr>
            <w:tcW w:w="1140" w:type="dxa"/>
            <w:tcBorders>
              <w:tl2br w:val="nil"/>
              <w:tr2bl w:val="nil"/>
            </w:tcBorders>
            <w:shd w:val="clear" w:color="auto" w:fill="auto"/>
            <w:noWrap/>
            <w:vAlign w:val="center"/>
          </w:tcPr>
          <w:p w14:paraId="2414BAA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0.4</w:t>
            </w:r>
          </w:p>
        </w:tc>
      </w:tr>
      <w:tr w14:paraId="7CFB0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restart"/>
            <w:tcBorders>
              <w:tl2br w:val="nil"/>
              <w:tr2bl w:val="nil"/>
            </w:tcBorders>
            <w:shd w:val="clear" w:color="auto" w:fill="auto"/>
            <w:noWrap w:val="0"/>
            <w:vAlign w:val="center"/>
          </w:tcPr>
          <w:p w14:paraId="09F68D8E">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宋体"/>
                <w:snapToGrid w:val="0"/>
                <w:color w:val="000000"/>
                <w:kern w:val="21"/>
                <w:sz w:val="21"/>
                <w:szCs w:val="21"/>
                <w:highlight w:val="none"/>
                <w:lang w:val="en-US" w:eastAsia="zh-CN" w:bidi="ar-SA"/>
              </w:rPr>
              <w:t>危险废物</w:t>
            </w:r>
          </w:p>
        </w:tc>
        <w:tc>
          <w:tcPr>
            <w:tcW w:w="588" w:type="pct"/>
            <w:tcBorders>
              <w:tl2br w:val="nil"/>
              <w:tr2bl w:val="nil"/>
            </w:tcBorders>
            <w:shd w:val="clear" w:color="auto" w:fill="auto"/>
            <w:noWrap/>
            <w:vAlign w:val="center"/>
          </w:tcPr>
          <w:p w14:paraId="4F16C2B3">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rPr>
            </w:pPr>
            <w:r>
              <w:rPr>
                <w:rFonts w:hint="eastAsia" w:cs="Times New Roman"/>
                <w:color w:val="auto"/>
                <w:kern w:val="0"/>
                <w:sz w:val="21"/>
                <w:szCs w:val="22"/>
                <w:lang w:val="en-US" w:eastAsia="zh-CN" w:bidi="ar-SA"/>
              </w:rPr>
              <w:t>废消毒剂包装材料</w:t>
            </w:r>
            <w:r>
              <w:rPr>
                <w:rFonts w:hint="eastAsia" w:ascii="Times New Roman" w:hAnsi="Times New Roman" w:eastAsia="宋体" w:cs="宋体"/>
                <w:snapToGrid w:val="0"/>
                <w:color w:val="000000"/>
                <w:kern w:val="21"/>
                <w:sz w:val="21"/>
                <w:szCs w:val="21"/>
                <w:highlight w:val="none"/>
                <w:lang w:val="en-US" w:eastAsia="zh-CN" w:bidi="ar-SA"/>
              </w:rPr>
              <w:t>（t/a）</w:t>
            </w:r>
          </w:p>
        </w:tc>
        <w:tc>
          <w:tcPr>
            <w:tcW w:w="533" w:type="pct"/>
            <w:gridSpan w:val="3"/>
            <w:tcBorders>
              <w:tl2br w:val="nil"/>
              <w:tr2bl w:val="nil"/>
            </w:tcBorders>
            <w:shd w:val="clear" w:color="auto" w:fill="auto"/>
            <w:noWrap/>
            <w:vAlign w:val="center"/>
          </w:tcPr>
          <w:p w14:paraId="6201AC3D">
            <w:pPr>
              <w:widowControl w:val="0"/>
              <w:overflowPunct w:val="0"/>
              <w:autoSpaceDE w:val="0"/>
              <w:autoSpaceDN w:val="0"/>
              <w:bidi w:val="0"/>
              <w:adjustRightInd w:val="0"/>
              <w:snapToGrid w:val="0"/>
              <w:spacing w:line="300" w:lineRule="atLeast"/>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2"/>
                <w:highlight w:val="none"/>
                <w:lang w:val="en-US" w:eastAsia="zh-CN" w:bidi="ar-SA"/>
              </w:rPr>
              <w:t>0.003</w:t>
            </w:r>
          </w:p>
        </w:tc>
        <w:tc>
          <w:tcPr>
            <w:tcW w:w="663" w:type="pct"/>
            <w:gridSpan w:val="3"/>
            <w:tcBorders>
              <w:tl2br w:val="nil"/>
              <w:tr2bl w:val="nil"/>
            </w:tcBorders>
            <w:shd w:val="clear" w:color="auto" w:fill="auto"/>
            <w:noWrap w:val="0"/>
            <w:vAlign w:val="center"/>
          </w:tcPr>
          <w:p w14:paraId="402228C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36064D0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0.09</w:t>
            </w:r>
          </w:p>
        </w:tc>
        <w:tc>
          <w:tcPr>
            <w:tcW w:w="713" w:type="pct"/>
            <w:tcBorders>
              <w:tl2br w:val="nil"/>
              <w:tr2bl w:val="nil"/>
            </w:tcBorders>
            <w:shd w:val="clear" w:color="auto" w:fill="auto"/>
            <w:noWrap w:val="0"/>
            <w:vAlign w:val="center"/>
          </w:tcPr>
          <w:p w14:paraId="47B79448">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0</w:t>
            </w:r>
          </w:p>
        </w:tc>
        <w:tc>
          <w:tcPr>
            <w:tcW w:w="1301" w:type="dxa"/>
            <w:tcBorders>
              <w:tl2br w:val="nil"/>
              <w:tr2bl w:val="nil"/>
            </w:tcBorders>
            <w:shd w:val="clear" w:color="auto" w:fill="auto"/>
            <w:noWrap w:val="0"/>
            <w:vAlign w:val="center"/>
          </w:tcPr>
          <w:p w14:paraId="689B9AE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0.093</w:t>
            </w:r>
          </w:p>
        </w:tc>
        <w:tc>
          <w:tcPr>
            <w:tcW w:w="1140" w:type="dxa"/>
            <w:tcBorders>
              <w:tl2br w:val="nil"/>
              <w:tr2bl w:val="nil"/>
            </w:tcBorders>
            <w:shd w:val="clear" w:color="auto" w:fill="auto"/>
            <w:noWrap/>
            <w:vAlign w:val="center"/>
          </w:tcPr>
          <w:p w14:paraId="3793D67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0.09</w:t>
            </w:r>
          </w:p>
        </w:tc>
      </w:tr>
      <w:tr w14:paraId="45BD0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6" w:type="pct"/>
            <w:vMerge w:val="continue"/>
            <w:tcBorders>
              <w:tl2br w:val="nil"/>
              <w:tr2bl w:val="nil"/>
            </w:tcBorders>
            <w:shd w:val="clear" w:color="auto" w:fill="auto"/>
            <w:noWrap w:val="0"/>
            <w:vAlign w:val="center"/>
          </w:tcPr>
          <w:p w14:paraId="4A0C9C41">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rPr>
            </w:pPr>
          </w:p>
        </w:tc>
        <w:tc>
          <w:tcPr>
            <w:tcW w:w="588" w:type="pct"/>
            <w:tcBorders>
              <w:tl2br w:val="nil"/>
              <w:tr2bl w:val="nil"/>
            </w:tcBorders>
            <w:shd w:val="clear" w:color="auto" w:fill="auto"/>
            <w:noWrap/>
            <w:vAlign w:val="center"/>
          </w:tcPr>
          <w:p w14:paraId="13A2A489">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rPr>
            </w:pPr>
            <w:r>
              <w:rPr>
                <w:rFonts w:hint="eastAsia" w:cs="宋体"/>
                <w:snapToGrid w:val="0"/>
                <w:color w:val="000000"/>
                <w:kern w:val="21"/>
                <w:sz w:val="21"/>
                <w:szCs w:val="21"/>
                <w:highlight w:val="none"/>
                <w:lang w:val="en-US" w:eastAsia="zh-CN" w:bidi="ar-SA"/>
              </w:rPr>
              <w:t>医疗废物</w:t>
            </w:r>
            <w:r>
              <w:rPr>
                <w:rFonts w:hint="eastAsia" w:ascii="Times New Roman" w:hAnsi="Times New Roman" w:eastAsia="宋体" w:cs="宋体"/>
                <w:snapToGrid w:val="0"/>
                <w:color w:val="000000"/>
                <w:kern w:val="21"/>
                <w:sz w:val="21"/>
                <w:szCs w:val="21"/>
                <w:highlight w:val="none"/>
                <w:lang w:val="en-US" w:eastAsia="zh-CN" w:bidi="ar-SA"/>
              </w:rPr>
              <w:t>（t/a）</w:t>
            </w:r>
          </w:p>
        </w:tc>
        <w:tc>
          <w:tcPr>
            <w:tcW w:w="533" w:type="pct"/>
            <w:gridSpan w:val="3"/>
            <w:tcBorders>
              <w:tl2br w:val="nil"/>
              <w:tr2bl w:val="nil"/>
            </w:tcBorders>
            <w:shd w:val="clear" w:color="auto" w:fill="auto"/>
            <w:noWrap/>
            <w:vAlign w:val="center"/>
          </w:tcPr>
          <w:p w14:paraId="711B7F98">
            <w:pPr>
              <w:widowControl w:val="0"/>
              <w:overflowPunct w:val="0"/>
              <w:autoSpaceDE w:val="0"/>
              <w:autoSpaceDN w:val="0"/>
              <w:bidi w:val="0"/>
              <w:adjustRightInd w:val="0"/>
              <w:snapToGrid w:val="0"/>
              <w:spacing w:line="300" w:lineRule="atLeast"/>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0.01</w:t>
            </w:r>
          </w:p>
        </w:tc>
        <w:tc>
          <w:tcPr>
            <w:tcW w:w="663" w:type="pct"/>
            <w:gridSpan w:val="3"/>
            <w:tcBorders>
              <w:tl2br w:val="nil"/>
              <w:tr2bl w:val="nil"/>
            </w:tcBorders>
            <w:shd w:val="clear" w:color="auto" w:fill="auto"/>
            <w:noWrap w:val="0"/>
            <w:vAlign w:val="center"/>
          </w:tcPr>
          <w:p w14:paraId="1A5832D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4" w:type="dxa"/>
            <w:tcBorders>
              <w:tl2br w:val="nil"/>
              <w:tr2bl w:val="nil"/>
            </w:tcBorders>
            <w:shd w:val="clear" w:color="auto" w:fill="auto"/>
            <w:noWrap w:val="0"/>
            <w:vAlign w:val="center"/>
          </w:tcPr>
          <w:p w14:paraId="5E6CB90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713" w:type="pct"/>
            <w:tcBorders>
              <w:tl2br w:val="nil"/>
              <w:tr2bl w:val="nil"/>
            </w:tcBorders>
            <w:shd w:val="clear" w:color="auto" w:fill="auto"/>
            <w:noWrap w:val="0"/>
            <w:vAlign w:val="center"/>
          </w:tcPr>
          <w:p w14:paraId="350D10A4">
            <w:pPr>
              <w:widowControl/>
              <w:overflowPunct/>
              <w:autoSpaceDE/>
              <w:autoSpaceDN/>
              <w:adjustRightInd/>
              <w:snapToGrid/>
              <w:spacing w:line="320" w:lineRule="exact"/>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0</w:t>
            </w:r>
          </w:p>
        </w:tc>
        <w:tc>
          <w:tcPr>
            <w:tcW w:w="1301" w:type="dxa"/>
            <w:tcBorders>
              <w:tl2br w:val="nil"/>
              <w:tr2bl w:val="nil"/>
            </w:tcBorders>
            <w:shd w:val="clear" w:color="auto" w:fill="auto"/>
            <w:noWrap w:val="0"/>
            <w:vAlign w:val="center"/>
          </w:tcPr>
          <w:p w14:paraId="099959B4">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0.21</w:t>
            </w:r>
          </w:p>
        </w:tc>
        <w:tc>
          <w:tcPr>
            <w:tcW w:w="1140" w:type="dxa"/>
            <w:tcBorders>
              <w:tl2br w:val="nil"/>
              <w:tr2bl w:val="nil"/>
            </w:tcBorders>
            <w:shd w:val="clear" w:color="auto" w:fill="auto"/>
            <w:noWrap/>
            <w:vAlign w:val="center"/>
          </w:tcPr>
          <w:p w14:paraId="2A316FB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0.2</w:t>
            </w:r>
          </w:p>
        </w:tc>
      </w:tr>
    </w:tbl>
    <w:p w14:paraId="6CAF3BE3">
      <w:pPr>
        <w:keepNext w:val="0"/>
        <w:keepLines w:val="0"/>
        <w:widowControl w:val="0"/>
        <w:spacing w:before="0" w:after="0" w:line="360" w:lineRule="auto"/>
        <w:jc w:val="both"/>
        <w:outlineLvl w:val="1"/>
        <w:rPr>
          <w:rFonts w:hint="default" w:ascii="Times New Roman" w:hAnsi="Times New Roman" w:eastAsia="宋体" w:cs="Times New Roman"/>
          <w:b/>
          <w:bCs/>
          <w:kern w:val="2"/>
          <w:sz w:val="30"/>
          <w:szCs w:val="30"/>
          <w:lang w:val="en-US" w:eastAsia="zh-CN" w:bidi="ar-SA"/>
        </w:rPr>
        <w:sectPr>
          <w:pgSz w:w="11906" w:h="16838"/>
          <w:pgMar w:top="1814" w:right="1701" w:bottom="1418" w:left="1701" w:header="1134" w:footer="851" w:gutter="0"/>
          <w:pgBorders>
            <w:top w:val="none" w:sz="0" w:space="0"/>
            <w:left w:val="none" w:sz="0" w:space="0"/>
            <w:bottom w:val="none" w:sz="0" w:space="0"/>
            <w:right w:val="none" w:sz="0" w:space="0"/>
          </w:pgBorders>
          <w:pgNumType w:fmt="numberInDash"/>
          <w:cols w:space="720" w:num="1"/>
          <w:docGrid w:type="lines" w:linePitch="312" w:charSpace="0"/>
        </w:sectPr>
      </w:pPr>
    </w:p>
    <w:p w14:paraId="13AD2F00">
      <w:pPr>
        <w:keepNext w:val="0"/>
        <w:keepLines w:val="0"/>
        <w:widowControl w:val="0"/>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260" w:name="_Toc9987"/>
      <w:r>
        <w:rPr>
          <w:rFonts w:hint="default" w:ascii="Times New Roman" w:hAnsi="Times New Roman" w:eastAsia="宋体" w:cs="Times New Roman"/>
          <w:b/>
          <w:bCs/>
          <w:kern w:val="2"/>
          <w:sz w:val="30"/>
          <w:szCs w:val="30"/>
          <w:lang w:val="en-US" w:eastAsia="zh-CN" w:bidi="ar-SA"/>
        </w:rPr>
        <w:t>3.</w:t>
      </w:r>
      <w:r>
        <w:rPr>
          <w:rFonts w:hint="eastAsia" w:cs="Times New Roman"/>
          <w:b/>
          <w:bCs/>
          <w:kern w:val="2"/>
          <w:sz w:val="30"/>
          <w:szCs w:val="30"/>
          <w:lang w:val="en-US" w:eastAsia="zh-CN" w:bidi="ar-SA"/>
        </w:rPr>
        <w:t>2</w:t>
      </w:r>
      <w:r>
        <w:rPr>
          <w:rFonts w:hint="default" w:ascii="Times New Roman" w:hAnsi="Times New Roman" w:eastAsia="宋体" w:cs="Times New Roman"/>
          <w:b/>
          <w:bCs/>
          <w:kern w:val="2"/>
          <w:sz w:val="30"/>
          <w:szCs w:val="30"/>
          <w:lang w:val="en-US" w:eastAsia="zh-CN" w:bidi="ar-SA"/>
        </w:rPr>
        <w:t>工程概况</w:t>
      </w:r>
      <w:bookmarkEnd w:id="260"/>
    </w:p>
    <w:p w14:paraId="4E13E61D">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261" w:name="_Toc30358"/>
      <w:bookmarkStart w:id="262" w:name="_Toc22266"/>
      <w:r>
        <w:rPr>
          <w:rFonts w:hint="default"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.1项目概况</w:t>
      </w:r>
      <w:bookmarkEnd w:id="261"/>
      <w:bookmarkEnd w:id="262"/>
    </w:p>
    <w:p w14:paraId="5CB650D4">
      <w:pPr>
        <w:widowControl w:val="0"/>
        <w:numPr>
          <w:ilvl w:val="0"/>
          <w:numId w:val="0"/>
        </w:numPr>
        <w:spacing w:line="360" w:lineRule="auto"/>
        <w:ind w:firstLine="480" w:firstLineChars="200"/>
        <w:jc w:val="both"/>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项目名称：胡杨河市鑫驰农牧有限责任公司育肥牛养殖改扩建建设项目</w:t>
      </w:r>
    </w:p>
    <w:p w14:paraId="6387054F">
      <w:pPr>
        <w:widowControl w:val="0"/>
        <w:numPr>
          <w:ilvl w:val="0"/>
          <w:numId w:val="0"/>
        </w:numPr>
        <w:spacing w:line="360" w:lineRule="auto"/>
        <w:ind w:firstLine="480" w:firstLineChars="200"/>
        <w:jc w:val="both"/>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（2）</w:t>
      </w:r>
      <w:r>
        <w:rPr>
          <w:rFonts w:hint="default" w:ascii="Times New Roman" w:hAnsi="Times New Roman" w:eastAsia="宋体" w:cs="Times New Roman"/>
          <w:color w:val="000000"/>
          <w:kern w:val="2"/>
          <w:sz w:val="24"/>
          <w:szCs w:val="24"/>
          <w:lang w:val="en-US" w:eastAsia="zh-CN" w:bidi="ar-SA"/>
        </w:rPr>
        <w:t>建设单位：</w:t>
      </w:r>
      <w:bookmarkStart w:id="263" w:name="_Toc287434123"/>
      <w:bookmarkStart w:id="264" w:name="_Toc287433921"/>
      <w:bookmarkStart w:id="265" w:name="_Toc287433051"/>
      <w:r>
        <w:rPr>
          <w:rFonts w:hint="default" w:ascii="Times New Roman" w:hAnsi="Times New Roman" w:eastAsia="宋体" w:cs="Times New Roman"/>
          <w:color w:val="000000"/>
          <w:kern w:val="2"/>
          <w:sz w:val="24"/>
          <w:szCs w:val="24"/>
          <w:lang w:val="en-US" w:eastAsia="zh-CN" w:bidi="ar-SA"/>
        </w:rPr>
        <w:t>胡杨河市鑫驰农牧有限责任公司</w:t>
      </w:r>
    </w:p>
    <w:p w14:paraId="112B10ED">
      <w:pPr>
        <w:widowControl w:val="0"/>
        <w:spacing w:line="360" w:lineRule="auto"/>
        <w:ind w:firstLine="480" w:firstLineChars="200"/>
        <w:jc w:val="both"/>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（3）建设性质</w:t>
      </w:r>
      <w:bookmarkEnd w:id="263"/>
      <w:bookmarkEnd w:id="264"/>
      <w:bookmarkEnd w:id="265"/>
      <w:r>
        <w:rPr>
          <w:rFonts w:hint="default" w:ascii="Times New Roman" w:hAnsi="Times New Roman" w:eastAsia="宋体" w:cs="Times New Roman"/>
          <w:color w:val="000000"/>
          <w:kern w:val="2"/>
          <w:sz w:val="24"/>
          <w:szCs w:val="24"/>
          <w:lang w:val="en-US" w:eastAsia="zh-CN" w:bidi="ar-SA"/>
        </w:rPr>
        <w:t>：</w:t>
      </w:r>
      <w:r>
        <w:rPr>
          <w:rFonts w:hint="eastAsia" w:cs="Times New Roman"/>
          <w:color w:val="000000"/>
          <w:kern w:val="2"/>
          <w:sz w:val="24"/>
          <w:szCs w:val="24"/>
          <w:lang w:val="en-US" w:eastAsia="zh-CN" w:bidi="ar-SA"/>
        </w:rPr>
        <w:t>改扩建</w:t>
      </w:r>
    </w:p>
    <w:p w14:paraId="44AF4134">
      <w:pPr>
        <w:widowControl w:val="0"/>
        <w:spacing w:line="360" w:lineRule="auto"/>
        <w:ind w:firstLine="480" w:firstLineChars="200"/>
        <w:jc w:val="both"/>
        <w:rPr>
          <w:rFonts w:hint="default" w:ascii="Times New Roman" w:hAnsi="Times New Roman" w:eastAsia="宋体" w:cs="Times New Roman"/>
          <w:color w:val="000000"/>
          <w:kern w:val="2"/>
          <w:sz w:val="24"/>
          <w:szCs w:val="24"/>
          <w:lang w:val="en-US" w:eastAsia="zh-CN" w:bidi="ar-SA"/>
        </w:rPr>
      </w:pPr>
      <w:bookmarkStart w:id="266" w:name="_Toc287433922"/>
      <w:bookmarkStart w:id="267" w:name="_Toc287433052"/>
      <w:bookmarkStart w:id="268" w:name="_Toc287434124"/>
      <w:r>
        <w:rPr>
          <w:rFonts w:hint="default" w:ascii="Times New Roman" w:hAnsi="Times New Roman" w:eastAsia="宋体" w:cs="Times New Roman"/>
          <w:color w:val="000000"/>
          <w:kern w:val="2"/>
          <w:sz w:val="24"/>
          <w:szCs w:val="24"/>
          <w:lang w:val="en-US" w:eastAsia="zh-CN" w:bidi="ar-SA"/>
        </w:rPr>
        <w:t>（4）建设地点</w:t>
      </w:r>
      <w:bookmarkEnd w:id="266"/>
      <w:bookmarkEnd w:id="267"/>
      <w:bookmarkEnd w:id="268"/>
      <w:r>
        <w:rPr>
          <w:rFonts w:hint="default" w:ascii="Times New Roman" w:hAnsi="Times New Roman" w:eastAsia="宋体" w:cs="Times New Roman"/>
          <w:color w:val="000000"/>
          <w:kern w:val="2"/>
          <w:sz w:val="24"/>
          <w:szCs w:val="24"/>
          <w:lang w:val="en-US" w:eastAsia="zh-CN" w:bidi="ar-SA"/>
        </w:rPr>
        <w:t>：</w:t>
      </w:r>
      <w:bookmarkStart w:id="269" w:name="_Toc287433923"/>
      <w:bookmarkStart w:id="270" w:name="_Toc287434125"/>
      <w:bookmarkStart w:id="271" w:name="_Toc287433053"/>
      <w:r>
        <w:rPr>
          <w:rFonts w:hint="eastAsia" w:cs="Times New Roman"/>
          <w:color w:val="000000"/>
          <w:kern w:val="2"/>
          <w:sz w:val="24"/>
          <w:szCs w:val="24"/>
          <w:lang w:val="en-US" w:eastAsia="zh-CN" w:bidi="ar-SA"/>
        </w:rPr>
        <w:t>第七师胡杨河市125团（柳沟镇）14连瓜村西区323号</w:t>
      </w:r>
      <w:r>
        <w:rPr>
          <w:rFonts w:hint="default" w:ascii="Times New Roman" w:hAnsi="Times New Roman" w:eastAsia="宋体" w:cs="Times New Roman"/>
          <w:color w:val="000000"/>
          <w:kern w:val="2"/>
          <w:sz w:val="24"/>
          <w:szCs w:val="24"/>
          <w:lang w:val="en-US" w:eastAsia="zh-CN" w:bidi="ar-SA"/>
        </w:rPr>
        <w:t>。场界中心地理坐标为：E84°29′41.203″，</w:t>
      </w:r>
      <w:r>
        <w:rPr>
          <w:rFonts w:hint="eastAsia" w:cs="Times New Roman"/>
          <w:color w:val="000000"/>
          <w:kern w:val="2"/>
          <w:sz w:val="24"/>
          <w:szCs w:val="24"/>
          <w:lang w:val="en-US" w:eastAsia="zh-CN" w:bidi="ar-SA"/>
        </w:rPr>
        <w:t>N</w:t>
      </w:r>
      <w:r>
        <w:rPr>
          <w:rFonts w:hint="default" w:ascii="Times New Roman" w:hAnsi="Times New Roman" w:eastAsia="宋体" w:cs="Times New Roman"/>
          <w:color w:val="000000"/>
          <w:kern w:val="2"/>
          <w:sz w:val="24"/>
          <w:szCs w:val="24"/>
          <w:lang w:val="en-US" w:eastAsia="zh-CN" w:bidi="ar-SA"/>
        </w:rPr>
        <w:t>44°44′38.982″。</w:t>
      </w:r>
    </w:p>
    <w:p w14:paraId="484D9C52">
      <w:pPr>
        <w:widowControl w:val="0"/>
        <w:spacing w:line="360" w:lineRule="auto"/>
        <w:ind w:firstLine="480" w:firstLineChars="200"/>
        <w:jc w:val="both"/>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（5）项目投资</w:t>
      </w:r>
      <w:bookmarkEnd w:id="269"/>
      <w:bookmarkEnd w:id="270"/>
      <w:bookmarkEnd w:id="271"/>
      <w:r>
        <w:rPr>
          <w:rFonts w:hint="default"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snapToGrid w:val="0"/>
          <w:color w:val="auto"/>
          <w:kern w:val="2"/>
          <w:sz w:val="24"/>
          <w:szCs w:val="24"/>
          <w:lang w:val="en-US" w:eastAsia="zh-CN" w:bidi="ar-SA"/>
        </w:rPr>
        <w:t>项目总投资</w:t>
      </w:r>
      <w:r>
        <w:rPr>
          <w:rFonts w:hint="eastAsia" w:cs="Times New Roman"/>
          <w:snapToGrid w:val="0"/>
          <w:color w:val="auto"/>
          <w:kern w:val="2"/>
          <w:sz w:val="24"/>
          <w:szCs w:val="24"/>
          <w:lang w:val="en-US" w:eastAsia="zh-CN" w:bidi="ar-SA"/>
        </w:rPr>
        <w:t>655.8</w:t>
      </w:r>
      <w:r>
        <w:rPr>
          <w:rFonts w:hint="eastAsia" w:ascii="Times New Roman" w:hAnsi="Times New Roman" w:eastAsia="宋体" w:cs="Times New Roman"/>
          <w:snapToGrid w:val="0"/>
          <w:color w:val="auto"/>
          <w:kern w:val="2"/>
          <w:sz w:val="24"/>
          <w:szCs w:val="24"/>
          <w:lang w:val="en-US" w:eastAsia="zh-CN" w:bidi="ar-SA"/>
        </w:rPr>
        <w:t>万元</w:t>
      </w:r>
      <w:r>
        <w:rPr>
          <w:rFonts w:hint="default" w:ascii="Times New Roman" w:hAnsi="Times New Roman" w:eastAsia="宋体" w:cs="Times New Roman"/>
          <w:snapToGrid w:val="0"/>
          <w:color w:val="auto"/>
          <w:kern w:val="2"/>
          <w:sz w:val="24"/>
          <w:szCs w:val="24"/>
          <w:lang w:val="en-US" w:eastAsia="zh-CN" w:bidi="ar-SA"/>
        </w:rPr>
        <w:t>，均为企业自筹资金。</w:t>
      </w:r>
    </w:p>
    <w:p w14:paraId="63164AF0">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（6）建设规模：</w:t>
      </w:r>
      <w:r>
        <w:rPr>
          <w:rFonts w:hint="default" w:ascii="Times New Roman" w:hAnsi="Times New Roman" w:eastAsia="宋体" w:cs="Times New Roman"/>
          <w:color w:val="auto"/>
          <w:kern w:val="2"/>
          <w:sz w:val="24"/>
          <w:szCs w:val="24"/>
          <w:lang w:val="en-US" w:eastAsia="zh-CN" w:bidi="ar-SA"/>
        </w:rPr>
        <w:t>本项目存栏</w:t>
      </w:r>
      <w:r>
        <w:rPr>
          <w:rFonts w:hint="eastAsia" w:ascii="Times New Roman" w:hAnsi="Times New Roman" w:eastAsia="宋体" w:cs="Times New Roman"/>
          <w:color w:val="auto"/>
          <w:kern w:val="2"/>
          <w:sz w:val="24"/>
          <w:szCs w:val="24"/>
          <w:lang w:val="en-US" w:eastAsia="zh-CN" w:bidi="ar-SA"/>
        </w:rPr>
        <w:t>育肥</w:t>
      </w:r>
      <w:r>
        <w:rPr>
          <w:rFonts w:hint="eastAsia" w:cs="Times New Roman"/>
          <w:color w:val="auto"/>
          <w:kern w:val="2"/>
          <w:sz w:val="24"/>
          <w:szCs w:val="24"/>
          <w:lang w:val="en-US" w:eastAsia="zh-CN" w:bidi="ar-SA"/>
        </w:rPr>
        <w:t>牛3000</w:t>
      </w:r>
      <w:r>
        <w:rPr>
          <w:rFonts w:hint="default" w:ascii="Times New Roman" w:hAnsi="Times New Roman" w:eastAsia="宋体" w:cs="Times New Roman"/>
          <w:color w:val="auto"/>
          <w:kern w:val="2"/>
          <w:sz w:val="24"/>
          <w:szCs w:val="24"/>
          <w:lang w:val="en-US" w:eastAsia="zh-CN" w:bidi="ar-SA"/>
        </w:rPr>
        <w:t>头。</w:t>
      </w:r>
    </w:p>
    <w:p w14:paraId="1B3B8213">
      <w:pPr>
        <w:spacing w:line="360" w:lineRule="auto"/>
        <w:ind w:firstLine="480" w:firstLineChars="200"/>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eastAsia="宋体" w:cs="Times New Roman"/>
          <w:color w:val="000000"/>
          <w:sz w:val="24"/>
          <w:szCs w:val="24"/>
          <w:highlight w:val="none"/>
        </w:rPr>
        <w:t>（7）</w:t>
      </w:r>
      <w:r>
        <w:rPr>
          <w:rFonts w:hint="default" w:ascii="Times New Roman" w:hAnsi="Times New Roman" w:eastAsia="宋体" w:cs="Times New Roman"/>
          <w:bCs/>
          <w:color w:val="000000"/>
          <w:sz w:val="24"/>
          <w:szCs w:val="24"/>
          <w:highlight w:val="none"/>
        </w:rPr>
        <w:t>占地面积：</w:t>
      </w:r>
      <w:r>
        <w:rPr>
          <w:rFonts w:hint="default" w:ascii="Times New Roman" w:hAnsi="Times New Roman" w:eastAsia="宋体" w:cs="Times New Roman"/>
          <w:color w:val="auto"/>
          <w:kern w:val="2"/>
          <w:sz w:val="24"/>
          <w:szCs w:val="24"/>
          <w:highlight w:val="none"/>
          <w:lang w:val="en-US" w:eastAsia="zh-CN" w:bidi="ar-SA"/>
        </w:rPr>
        <w:t>项目</w:t>
      </w:r>
      <w:r>
        <w:rPr>
          <w:rFonts w:hint="eastAsia" w:cs="Times New Roman"/>
          <w:color w:val="auto"/>
          <w:kern w:val="2"/>
          <w:sz w:val="24"/>
          <w:szCs w:val="24"/>
          <w:highlight w:val="none"/>
          <w:lang w:val="en-US" w:eastAsia="zh-CN" w:bidi="ar-SA"/>
        </w:rPr>
        <w:t>总</w:t>
      </w:r>
      <w:r>
        <w:rPr>
          <w:rFonts w:hint="eastAsia" w:ascii="Times New Roman" w:hAnsi="Times New Roman" w:eastAsia="宋体" w:cs="Times New Roman"/>
          <w:color w:val="auto"/>
          <w:kern w:val="2"/>
          <w:sz w:val="24"/>
          <w:szCs w:val="24"/>
          <w:highlight w:val="none"/>
          <w:lang w:val="en-US" w:eastAsia="zh-CN" w:bidi="ar-SA"/>
        </w:rPr>
        <w:t>占地面积</w:t>
      </w:r>
      <w:r>
        <w:rPr>
          <w:rFonts w:hint="eastAsia" w:cs="Times New Roman"/>
          <w:color w:val="auto"/>
          <w:kern w:val="2"/>
          <w:sz w:val="24"/>
          <w:szCs w:val="24"/>
          <w:highlight w:val="none"/>
          <w:lang w:val="en-US" w:eastAsia="zh-CN" w:bidi="ar-SA"/>
        </w:rPr>
        <w:t>12公顷，约180亩，无新增用地，均为现有工程租赁设施农用地</w:t>
      </w:r>
      <w:r>
        <w:rPr>
          <w:rFonts w:hint="eastAsia" w:ascii="Times New Roman" w:hAnsi="Times New Roman" w:eastAsia="宋体" w:cs="Times New Roman"/>
          <w:color w:val="auto"/>
          <w:kern w:val="2"/>
          <w:sz w:val="24"/>
          <w:szCs w:val="24"/>
          <w:highlight w:val="none"/>
          <w:lang w:val="en-US" w:eastAsia="zh-CN" w:bidi="ar-SA"/>
        </w:rPr>
        <w:t>。</w:t>
      </w:r>
    </w:p>
    <w:p w14:paraId="03811C59">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（8）工作制度：本项目</w:t>
      </w:r>
      <w:r>
        <w:rPr>
          <w:rFonts w:hint="eastAsia" w:cs="Times New Roman"/>
          <w:color w:val="auto"/>
          <w:kern w:val="2"/>
          <w:sz w:val="24"/>
          <w:szCs w:val="24"/>
          <w:lang w:val="en-US" w:eastAsia="zh-CN" w:bidi="ar-SA"/>
        </w:rPr>
        <w:t>养殖</w:t>
      </w:r>
      <w:r>
        <w:rPr>
          <w:rFonts w:hint="default" w:ascii="Times New Roman" w:hAnsi="Times New Roman" w:eastAsia="宋体" w:cs="Times New Roman"/>
          <w:color w:val="auto"/>
          <w:kern w:val="2"/>
          <w:sz w:val="24"/>
          <w:szCs w:val="24"/>
          <w:lang w:val="en-US" w:eastAsia="zh-CN" w:bidi="ar-SA"/>
        </w:rPr>
        <w:t>年工作365d，每天3班制工作制度，每班工作8小时</w:t>
      </w:r>
      <w:r>
        <w:rPr>
          <w:rFonts w:hint="eastAsia" w:cs="Times New Roman"/>
          <w:color w:val="auto"/>
          <w:kern w:val="2"/>
          <w:sz w:val="24"/>
          <w:szCs w:val="24"/>
          <w:lang w:val="en-US" w:eastAsia="zh-CN" w:bidi="ar-SA"/>
        </w:rPr>
        <w:t>。</w:t>
      </w:r>
    </w:p>
    <w:p w14:paraId="602C82FB">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lang w:val="en-US" w:eastAsia="zh-CN" w:bidi="ar-SA"/>
        </w:rPr>
        <w:t>（9）劳动定员：</w:t>
      </w:r>
      <w:r>
        <w:rPr>
          <w:rFonts w:hint="default" w:ascii="Times New Roman" w:hAnsi="Times New Roman" w:eastAsia="宋体" w:cs="Times New Roman"/>
          <w:color w:val="auto"/>
          <w:kern w:val="2"/>
          <w:sz w:val="24"/>
          <w:szCs w:val="24"/>
          <w:highlight w:val="none"/>
          <w:lang w:val="en-US" w:eastAsia="zh-CN" w:bidi="ar-SA"/>
        </w:rPr>
        <w:t>本项目</w:t>
      </w:r>
      <w:r>
        <w:rPr>
          <w:rFonts w:hint="eastAsia" w:cs="Times New Roman"/>
          <w:color w:val="auto"/>
          <w:kern w:val="2"/>
          <w:sz w:val="24"/>
          <w:szCs w:val="24"/>
          <w:highlight w:val="none"/>
          <w:lang w:val="en-US" w:eastAsia="zh-CN" w:bidi="ar-SA"/>
        </w:rPr>
        <w:t>新增</w:t>
      </w:r>
      <w:r>
        <w:rPr>
          <w:rFonts w:hint="eastAsia" w:ascii="Times New Roman" w:hAnsi="Times New Roman" w:eastAsia="宋体" w:cs="Times New Roman"/>
          <w:color w:val="auto"/>
          <w:kern w:val="2"/>
          <w:sz w:val="24"/>
          <w:szCs w:val="24"/>
          <w:highlight w:val="none"/>
          <w:lang w:val="en-US" w:eastAsia="zh-CN" w:bidi="ar-SA"/>
        </w:rPr>
        <w:t>劳动定员</w:t>
      </w:r>
      <w:r>
        <w:rPr>
          <w:rFonts w:hint="eastAsia" w:cs="Times New Roman"/>
          <w:color w:val="auto"/>
          <w:kern w:val="2"/>
          <w:sz w:val="24"/>
          <w:szCs w:val="24"/>
          <w:highlight w:val="none"/>
          <w:lang w:val="en-US" w:eastAsia="zh-CN" w:bidi="ar-SA"/>
        </w:rPr>
        <w:t>12</w:t>
      </w:r>
      <w:r>
        <w:rPr>
          <w:rFonts w:hint="eastAsia" w:ascii="Times New Roman" w:hAnsi="Times New Roman" w:eastAsia="宋体" w:cs="Times New Roman"/>
          <w:color w:val="auto"/>
          <w:kern w:val="2"/>
          <w:sz w:val="24"/>
          <w:szCs w:val="24"/>
          <w:highlight w:val="none"/>
          <w:lang w:val="en-US" w:eastAsia="zh-CN" w:bidi="ar-SA"/>
        </w:rPr>
        <w:t>人</w:t>
      </w:r>
      <w:r>
        <w:rPr>
          <w:rFonts w:hint="default" w:ascii="Times New Roman" w:hAnsi="Times New Roman" w:eastAsia="宋体" w:cs="Times New Roman"/>
          <w:color w:val="auto"/>
          <w:kern w:val="2"/>
          <w:sz w:val="24"/>
          <w:szCs w:val="24"/>
          <w:highlight w:val="none"/>
          <w:lang w:val="en-US" w:eastAsia="zh-CN" w:bidi="ar-SA"/>
        </w:rPr>
        <w:t>。</w:t>
      </w:r>
    </w:p>
    <w:p w14:paraId="355D6045">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（10）建设时序：本项目</w:t>
      </w:r>
      <w:r>
        <w:rPr>
          <w:rFonts w:hint="eastAsia" w:ascii="Times New Roman" w:hAnsi="Times New Roman" w:eastAsia="宋体" w:cs="Times New Roman"/>
          <w:color w:val="auto"/>
          <w:kern w:val="0"/>
          <w:sz w:val="24"/>
          <w:szCs w:val="22"/>
          <w:lang w:val="en-US" w:eastAsia="zh-CN"/>
        </w:rPr>
        <w:t>计划于2026年9月开工，计划2027年12月完工，施工期15个月。</w:t>
      </w:r>
    </w:p>
    <w:p w14:paraId="36709C72">
      <w:pPr>
        <w:keepNext w:val="0"/>
        <w:keepLines w:val="0"/>
        <w:pageBreakBefore w:val="0"/>
        <w:widowControl w:val="0"/>
        <w:numPr>
          <w:ilvl w:val="2"/>
          <w:numId w:val="0"/>
        </w:numPr>
        <w:kinsoku/>
        <w:wordWrap/>
        <w:overflowPunct/>
        <w:topLinePunct w:val="0"/>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kern w:val="2"/>
          <w:sz w:val="28"/>
          <w:szCs w:val="28"/>
          <w:lang w:val="en-US" w:eastAsia="zh-CN" w:bidi="ar-SA"/>
        </w:rPr>
      </w:pPr>
      <w:bookmarkStart w:id="272" w:name="_Toc3768"/>
      <w:bookmarkStart w:id="273" w:name="_Toc22600"/>
      <w:r>
        <w:rPr>
          <w:rFonts w:hint="default"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.2建设内容</w:t>
      </w:r>
      <w:bookmarkEnd w:id="272"/>
      <w:bookmarkEnd w:id="273"/>
    </w:p>
    <w:p w14:paraId="10446FBE">
      <w:pPr>
        <w:spacing w:line="360" w:lineRule="auto"/>
        <w:ind w:firstLine="480" w:firstLineChars="200"/>
        <w:rPr>
          <w:rFonts w:hint="default" w:cs="Times New Roman"/>
          <w:color w:val="auto"/>
          <w:sz w:val="24"/>
          <w:highlight w:val="none"/>
          <w:lang w:val="en-US" w:eastAsia="zh-CN"/>
        </w:rPr>
      </w:pPr>
      <w:r>
        <w:rPr>
          <w:rFonts w:hint="eastAsia" w:cs="Times New Roman"/>
          <w:color w:val="auto"/>
          <w:sz w:val="24"/>
          <w:highlight w:val="none"/>
          <w:lang w:val="en-US" w:eastAsia="zh-CN"/>
        </w:rPr>
        <w:t>（1）建设内容</w:t>
      </w:r>
    </w:p>
    <w:p w14:paraId="46F94256">
      <w:pPr>
        <w:spacing w:line="360" w:lineRule="auto"/>
        <w:ind w:firstLine="480" w:firstLineChars="200"/>
        <w:rPr>
          <w:rFonts w:hint="default" w:cs="Times New Roman"/>
          <w:color w:val="auto"/>
          <w:sz w:val="24"/>
          <w:highlight w:val="none"/>
          <w:lang w:val="en-US" w:eastAsia="zh-CN"/>
        </w:rPr>
      </w:pPr>
      <w:r>
        <w:rPr>
          <w:rFonts w:hint="eastAsia" w:cs="Times New Roman"/>
          <w:color w:val="auto"/>
          <w:sz w:val="24"/>
          <w:highlight w:val="none"/>
          <w:lang w:val="en-US" w:eastAsia="zh-CN"/>
        </w:rPr>
        <w:t>本项目依托现有工程12公顷设施农用地，养殖区依托现有工程占地面积共2800m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牛舍4座、占地面积共32900m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运动场16座、占地面积共980m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饲喂凉棚2座，改建现有工程4座700m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饲喂凉棚为牛舍，新建</w:t>
      </w:r>
      <w:r>
        <w:rPr>
          <w:rFonts w:hint="eastAsia" w:cs="Times New Roman"/>
          <w:color w:val="auto"/>
          <w:kern w:val="44"/>
          <w:sz w:val="24"/>
          <w:szCs w:val="24"/>
          <w:highlight w:val="none"/>
          <w:lang w:val="en-US" w:eastAsia="zh-CN"/>
        </w:rPr>
        <w:t>占地面积分别1125m</w:t>
      </w:r>
      <w:r>
        <w:rPr>
          <w:rFonts w:hint="eastAsia" w:cs="Times New Roman"/>
          <w:color w:val="auto"/>
          <w:kern w:val="44"/>
          <w:sz w:val="24"/>
          <w:szCs w:val="24"/>
          <w:highlight w:val="none"/>
          <w:vertAlign w:val="superscript"/>
          <w:lang w:val="en-US" w:eastAsia="zh-CN"/>
        </w:rPr>
        <w:t>2</w:t>
      </w:r>
      <w:r>
        <w:rPr>
          <w:rFonts w:hint="eastAsia" w:cs="Times New Roman"/>
          <w:color w:val="auto"/>
          <w:sz w:val="24"/>
          <w:highlight w:val="none"/>
          <w:lang w:val="en-US" w:eastAsia="zh-CN"/>
        </w:rPr>
        <w:t>运动场</w:t>
      </w:r>
      <w:r>
        <w:rPr>
          <w:rFonts w:hint="eastAsia" w:cs="Times New Roman"/>
          <w:color w:val="auto"/>
          <w:kern w:val="44"/>
          <w:sz w:val="24"/>
          <w:szCs w:val="24"/>
          <w:highlight w:val="none"/>
          <w:lang w:val="en-US" w:eastAsia="zh-CN"/>
        </w:rPr>
        <w:t>4座等主体工程</w:t>
      </w:r>
      <w:r>
        <w:rPr>
          <w:rFonts w:hint="eastAsia" w:cs="Times New Roman"/>
          <w:color w:val="auto"/>
          <w:sz w:val="24"/>
          <w:highlight w:val="none"/>
          <w:lang w:val="en-US" w:eastAsia="zh-CN"/>
        </w:rPr>
        <w:t>；饲料加工区依托现有工程占地面积350m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TMR搅拌站1座，新增TMR、撒料车等设备，依托现有工程占地面积280m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办公室1座以及占地面积18m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消毒室一座，新建占地面积共120m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员工宿舍6座，占地面积100m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隔离圈1座等辅助工程。依托现有工程</w:t>
      </w:r>
      <w:r>
        <w:rPr>
          <w:rFonts w:hint="eastAsia" w:cs="Times New Roman"/>
          <w:color w:val="auto"/>
          <w:sz w:val="24"/>
          <w:highlight w:val="none"/>
          <w:lang w:val="en-US" w:eastAsia="zh-CN"/>
        </w:rPr>
        <w:t>占地面积分别为280m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饲喂通道4座、</w:t>
      </w:r>
      <w:r>
        <w:rPr>
          <w:rFonts w:hint="eastAsia" w:cs="Times New Roman"/>
          <w:color w:val="auto"/>
          <w:sz w:val="24"/>
          <w:highlight w:val="none"/>
          <w:vertAlign w:val="baseline"/>
          <w:lang w:val="en-US" w:eastAsia="zh-CN"/>
        </w:rPr>
        <w:t>占地4500m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饲草料堆放场地1座、占地面积350m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饲料库房1座、占地面积280m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精饲料库房1座，新建</w:t>
      </w:r>
      <w:r>
        <w:rPr>
          <w:rFonts w:hint="eastAsia" w:cs="Times New Roman"/>
          <w:color w:val="auto"/>
          <w:sz w:val="24"/>
          <w:highlight w:val="none"/>
          <w:lang w:val="en-US" w:eastAsia="zh-CN"/>
        </w:rPr>
        <w:t>占地面积分别为280m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饲喂通道2座、</w:t>
      </w:r>
      <w:r>
        <w:rPr>
          <w:rFonts w:hint="eastAsia" w:cs="Times New Roman"/>
          <w:color w:val="auto"/>
          <w:sz w:val="24"/>
          <w:highlight w:val="none"/>
          <w:vertAlign w:val="baseline"/>
          <w:lang w:val="en-US" w:eastAsia="zh-CN"/>
        </w:rPr>
        <w:t>占地面积350m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库房1座以及占地面积18m</w:t>
      </w:r>
      <w:r>
        <w:rPr>
          <w:rFonts w:hint="eastAsia"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防疫药品库房1座等储运工程。依托现有工程</w:t>
      </w:r>
      <w:r>
        <w:rPr>
          <w:rFonts w:hint="eastAsia" w:cs="Times New Roman"/>
          <w:color w:val="auto"/>
          <w:sz w:val="24"/>
          <w:highlight w:val="none"/>
          <w:lang w:val="en-US" w:eastAsia="zh-CN"/>
        </w:rPr>
        <w:t>供水、供电、供热系统等公用工程，本项目建成后存栏育肥牛3000头，全厂存栏共计3419头育肥牛。</w:t>
      </w:r>
    </w:p>
    <w:p w14:paraId="0A7CEAD0">
      <w:pPr>
        <w:widowControl w:val="0"/>
        <w:spacing w:line="360" w:lineRule="auto"/>
        <w:ind w:firstLine="480" w:firstLineChars="200"/>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本项目</w:t>
      </w:r>
      <w:r>
        <w:rPr>
          <w:rFonts w:hint="default" w:ascii="Times New Roman" w:hAnsi="Times New Roman" w:eastAsia="宋体" w:cs="Times New Roman"/>
          <w:color w:val="000000"/>
          <w:sz w:val="24"/>
          <w:szCs w:val="24"/>
          <w:lang w:eastAsia="zh-CN"/>
        </w:rPr>
        <w:t>工程组成情况一览表见</w:t>
      </w:r>
      <w:r>
        <w:rPr>
          <w:rFonts w:hint="default" w:ascii="Times New Roman" w:hAnsi="Times New Roman" w:eastAsia="宋体" w:cs="Times New Roman"/>
          <w:color w:val="000000"/>
          <w:sz w:val="24"/>
          <w:szCs w:val="24"/>
        </w:rPr>
        <w:t>表3.</w:t>
      </w:r>
      <w:r>
        <w:rPr>
          <w:rFonts w:hint="eastAsia" w:cs="Times New Roman"/>
          <w:color w:val="000000"/>
          <w:sz w:val="24"/>
          <w:szCs w:val="24"/>
          <w:lang w:val="en-US" w:eastAsia="zh-CN"/>
        </w:rPr>
        <w:t>2</w:t>
      </w:r>
      <w:r>
        <w:rPr>
          <w:rFonts w:hint="default" w:ascii="Times New Roman" w:hAnsi="Times New Roman" w:eastAsia="宋体" w:cs="Times New Roman"/>
          <w:color w:val="000000"/>
          <w:sz w:val="24"/>
          <w:szCs w:val="24"/>
        </w:rPr>
        <w:t>-1。</w:t>
      </w:r>
    </w:p>
    <w:p w14:paraId="25807672">
      <w:pPr>
        <w:widowControl w:val="0"/>
        <w:spacing w:line="360" w:lineRule="auto"/>
        <w:ind w:firstLine="0" w:firstLineChars="0"/>
        <w:jc w:val="center"/>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color w:val="000000"/>
          <w:kern w:val="2"/>
          <w:sz w:val="24"/>
          <w:szCs w:val="24"/>
          <w:lang w:val="en-US" w:eastAsia="zh-CN" w:bidi="ar-SA"/>
        </w:rPr>
        <w:t>表3.</w:t>
      </w:r>
      <w:r>
        <w:rPr>
          <w:rFonts w:hint="eastAsia" w:cs="Times New Roman"/>
          <w:b/>
          <w:bCs/>
          <w:color w:val="000000"/>
          <w:kern w:val="2"/>
          <w:sz w:val="24"/>
          <w:szCs w:val="24"/>
          <w:lang w:val="en-US" w:eastAsia="zh-CN" w:bidi="ar-SA"/>
        </w:rPr>
        <w:t>2</w:t>
      </w:r>
      <w:r>
        <w:rPr>
          <w:rFonts w:hint="default" w:ascii="Times New Roman" w:hAnsi="Times New Roman" w:eastAsia="宋体" w:cs="Times New Roman"/>
          <w:b/>
          <w:bCs/>
          <w:color w:val="000000"/>
          <w:kern w:val="2"/>
          <w:sz w:val="24"/>
          <w:szCs w:val="24"/>
          <w:lang w:val="en-US" w:eastAsia="zh-CN" w:bidi="ar-SA"/>
        </w:rPr>
        <w:noBreakHyphen/>
      </w:r>
      <w:r>
        <w:rPr>
          <w:rFonts w:hint="default" w:ascii="Times New Roman" w:hAnsi="Times New Roman" w:eastAsia="宋体" w:cs="Times New Roman"/>
          <w:b/>
          <w:bCs/>
          <w:color w:val="000000"/>
          <w:kern w:val="2"/>
          <w:sz w:val="24"/>
          <w:szCs w:val="24"/>
          <w:lang w:val="en-US" w:eastAsia="zh-CN" w:bidi="ar-SA"/>
        </w:rPr>
        <w:t>1本项目工程组成表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26"/>
        <w:gridCol w:w="859"/>
        <w:gridCol w:w="952"/>
        <w:gridCol w:w="4524"/>
        <w:gridCol w:w="1243"/>
      </w:tblGrid>
      <w:tr w14:paraId="19574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noWrap w:val="0"/>
            <w:vAlign w:val="center"/>
          </w:tcPr>
          <w:p w14:paraId="3B4D9555">
            <w:pPr>
              <w:spacing w:line="240" w:lineRule="auto"/>
              <w:jc w:val="center"/>
              <w:rPr>
                <w:rFonts w:hint="default" w:ascii="Times New Roman" w:hAnsi="Times New Roman" w:eastAsia="宋体" w:cs="Times New Roman"/>
                <w:b/>
                <w:bCs/>
                <w:color w:val="auto"/>
                <w:spacing w:val="3"/>
                <w:kern w:val="0"/>
                <w:sz w:val="21"/>
                <w:szCs w:val="21"/>
              </w:rPr>
            </w:pPr>
            <w:r>
              <w:rPr>
                <w:rFonts w:hint="default" w:ascii="Times New Roman" w:hAnsi="Times New Roman" w:eastAsia="宋体" w:cs="Times New Roman"/>
                <w:b/>
                <w:bCs/>
                <w:color w:val="auto"/>
                <w:spacing w:val="3"/>
                <w:kern w:val="0"/>
                <w:sz w:val="21"/>
                <w:szCs w:val="21"/>
              </w:rPr>
              <w:t>工程</w:t>
            </w:r>
          </w:p>
          <w:p w14:paraId="222406A9">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3"/>
                <w:kern w:val="0"/>
                <w:sz w:val="21"/>
                <w:szCs w:val="21"/>
              </w:rPr>
              <w:t>类别</w:t>
            </w:r>
          </w:p>
        </w:tc>
        <w:tc>
          <w:tcPr>
            <w:tcW w:w="1811" w:type="dxa"/>
            <w:gridSpan w:val="2"/>
            <w:noWrap w:val="0"/>
            <w:vAlign w:val="center"/>
          </w:tcPr>
          <w:p w14:paraId="20826D6A">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4524" w:type="dxa"/>
            <w:noWrap w:val="0"/>
            <w:vAlign w:val="center"/>
          </w:tcPr>
          <w:p w14:paraId="4A657BDD">
            <w:pPr>
              <w:spacing w:line="240" w:lineRule="auto"/>
              <w:jc w:val="center"/>
              <w:rPr>
                <w:rFonts w:hint="default" w:ascii="Times New Roman" w:hAnsi="Times New Roman" w:eastAsia="宋体" w:cs="Times New Roman"/>
                <w:b/>
                <w:bCs/>
                <w:color w:val="auto"/>
                <w:spacing w:val="3"/>
                <w:kern w:val="0"/>
                <w:sz w:val="21"/>
                <w:szCs w:val="21"/>
                <w:lang w:val="en-US" w:eastAsia="zh-CN"/>
              </w:rPr>
            </w:pPr>
            <w:r>
              <w:rPr>
                <w:rFonts w:hint="eastAsia" w:cs="Times New Roman"/>
                <w:b/>
                <w:bCs/>
                <w:color w:val="auto"/>
                <w:spacing w:val="3"/>
                <w:kern w:val="0"/>
                <w:sz w:val="21"/>
                <w:szCs w:val="21"/>
                <w:lang w:val="en-US" w:eastAsia="zh-CN"/>
              </w:rPr>
              <w:t>租赁养殖基地内容</w:t>
            </w:r>
          </w:p>
        </w:tc>
        <w:tc>
          <w:tcPr>
            <w:tcW w:w="1243" w:type="dxa"/>
            <w:noWrap w:val="0"/>
            <w:vAlign w:val="center"/>
          </w:tcPr>
          <w:p w14:paraId="4A191FBD">
            <w:pPr>
              <w:spacing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3"/>
                <w:kern w:val="0"/>
                <w:sz w:val="21"/>
                <w:szCs w:val="21"/>
              </w:rPr>
              <w:t>备注</w:t>
            </w:r>
          </w:p>
        </w:tc>
      </w:tr>
      <w:tr w14:paraId="327F5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926" w:type="dxa"/>
            <w:vMerge w:val="restart"/>
            <w:noWrap w:val="0"/>
            <w:vAlign w:val="center"/>
          </w:tcPr>
          <w:p w14:paraId="258A60AD">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主体</w:t>
            </w:r>
          </w:p>
          <w:p w14:paraId="03E7A22F">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工程</w:t>
            </w:r>
          </w:p>
        </w:tc>
        <w:tc>
          <w:tcPr>
            <w:tcW w:w="859" w:type="dxa"/>
            <w:vMerge w:val="restart"/>
            <w:noWrap w:val="0"/>
            <w:vAlign w:val="center"/>
          </w:tcPr>
          <w:p w14:paraId="6BB1BE41">
            <w:pPr>
              <w:widowControl w:val="0"/>
              <w:tabs>
                <w:tab w:val="left" w:pos="1119"/>
              </w:tabs>
              <w:topLinePunct/>
              <w:adjustRightInd w:val="0"/>
              <w:snapToGrid w:val="0"/>
              <w:spacing w:after="120"/>
              <w:ind w:left="0" w:leftChars="0"/>
              <w:jc w:val="center"/>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养殖区</w:t>
            </w:r>
          </w:p>
        </w:tc>
        <w:tc>
          <w:tcPr>
            <w:tcW w:w="952" w:type="dxa"/>
            <w:vMerge w:val="restart"/>
            <w:noWrap w:val="0"/>
            <w:vAlign w:val="center"/>
          </w:tcPr>
          <w:p w14:paraId="45CAB7C4">
            <w:pPr>
              <w:widowControl w:val="0"/>
              <w:tabs>
                <w:tab w:val="left" w:pos="1119"/>
              </w:tabs>
              <w:topLinePunct/>
              <w:adjustRightInd w:val="0"/>
              <w:snapToGrid w:val="0"/>
              <w:spacing w:after="120"/>
              <w:ind w:left="0" w:leftChars="0"/>
              <w:jc w:val="center"/>
              <w:rPr>
                <w:rFonts w:hint="default" w:ascii="Times New Roman" w:hAnsi="Times New Roman" w:eastAsia="宋体" w:cs="Times New Roman"/>
                <w:color w:val="auto"/>
                <w:kern w:val="44"/>
                <w:sz w:val="21"/>
                <w:szCs w:val="21"/>
                <w:lang w:val="en-US" w:eastAsia="zh-CN" w:bidi="ar-SA"/>
              </w:rPr>
            </w:pPr>
            <w:r>
              <w:rPr>
                <w:rFonts w:hint="eastAsia" w:cs="Times New Roman"/>
                <w:color w:val="auto"/>
                <w:kern w:val="44"/>
                <w:sz w:val="21"/>
                <w:szCs w:val="21"/>
                <w:lang w:val="en-US" w:eastAsia="zh-CN" w:bidi="ar-SA"/>
              </w:rPr>
              <w:t>牛舍</w:t>
            </w:r>
          </w:p>
        </w:tc>
        <w:tc>
          <w:tcPr>
            <w:tcW w:w="4524" w:type="dxa"/>
            <w:noWrap w:val="0"/>
            <w:vAlign w:val="center"/>
          </w:tcPr>
          <w:p w14:paraId="4E916B1C">
            <w:pPr>
              <w:spacing w:line="240" w:lineRule="auto"/>
              <w:jc w:val="center"/>
              <w:rPr>
                <w:rFonts w:hint="default" w:eastAsia="宋体" w:cs="Times New Roman"/>
                <w:color w:val="auto"/>
                <w:kern w:val="44"/>
                <w:sz w:val="21"/>
                <w:szCs w:val="21"/>
                <w:highlight w:val="yellow"/>
                <w:vertAlign w:val="baseline"/>
                <w:lang w:val="en-US" w:eastAsia="zh-CN"/>
              </w:rPr>
            </w:pPr>
            <w:r>
              <w:rPr>
                <w:rFonts w:hint="eastAsia" w:cs="Times New Roman"/>
                <w:color w:val="auto"/>
                <w:kern w:val="44"/>
                <w:sz w:val="21"/>
                <w:szCs w:val="21"/>
                <w:highlight w:val="none"/>
                <w:lang w:val="en-US" w:eastAsia="zh-CN"/>
              </w:rPr>
              <w:t>4座，占地面积共2800m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，每座分别为700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327F49C5">
            <w:pPr>
              <w:ind w:left="0" w:left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依托</w:t>
            </w:r>
          </w:p>
        </w:tc>
      </w:tr>
      <w:tr w14:paraId="5AD03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continue"/>
            <w:noWrap w:val="0"/>
            <w:vAlign w:val="center"/>
          </w:tcPr>
          <w:p w14:paraId="64C533D6">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1F94287A">
            <w:pPr>
              <w:widowControl w:val="0"/>
              <w:tabs>
                <w:tab w:val="left" w:pos="1119"/>
              </w:tabs>
              <w:topLinePunct/>
              <w:adjustRightInd w:val="0"/>
              <w:snapToGrid w:val="0"/>
              <w:spacing w:after="120"/>
              <w:ind w:left="0" w:leftChars="0"/>
              <w:jc w:val="center"/>
              <w:rPr>
                <w:rFonts w:hint="eastAsia" w:eastAsia="宋体" w:cs="Times New Roman"/>
                <w:color w:val="auto"/>
                <w:kern w:val="2"/>
                <w:sz w:val="21"/>
                <w:szCs w:val="21"/>
                <w:lang w:val="en-US" w:eastAsia="zh-CN" w:bidi="ar-SA"/>
              </w:rPr>
            </w:pPr>
          </w:p>
        </w:tc>
        <w:tc>
          <w:tcPr>
            <w:tcW w:w="952" w:type="dxa"/>
            <w:vMerge w:val="continue"/>
            <w:noWrap w:val="0"/>
            <w:vAlign w:val="center"/>
          </w:tcPr>
          <w:p w14:paraId="7398FE19">
            <w:pPr>
              <w:widowControl w:val="0"/>
              <w:tabs>
                <w:tab w:val="left" w:pos="1119"/>
              </w:tabs>
              <w:topLinePunct/>
              <w:adjustRightInd w:val="0"/>
              <w:snapToGrid w:val="0"/>
              <w:spacing w:after="120"/>
              <w:ind w:left="0" w:leftChars="0"/>
              <w:jc w:val="center"/>
              <w:rPr>
                <w:rFonts w:hint="eastAsia" w:cs="Times New Roman"/>
                <w:color w:val="auto"/>
                <w:kern w:val="44"/>
                <w:sz w:val="21"/>
                <w:szCs w:val="21"/>
                <w:lang w:val="en-US" w:eastAsia="zh-CN" w:bidi="ar-SA"/>
              </w:rPr>
            </w:pPr>
          </w:p>
        </w:tc>
        <w:tc>
          <w:tcPr>
            <w:tcW w:w="4524" w:type="dxa"/>
            <w:noWrap w:val="0"/>
            <w:vAlign w:val="center"/>
          </w:tcPr>
          <w:p w14:paraId="0A7A10E4">
            <w:pPr>
              <w:spacing w:line="240" w:lineRule="auto"/>
              <w:jc w:val="center"/>
              <w:rPr>
                <w:rFonts w:hint="default" w:cs="Times New Roman"/>
                <w:color w:val="auto"/>
                <w:kern w:val="44"/>
                <w:sz w:val="21"/>
                <w:szCs w:val="21"/>
                <w:highlight w:val="none"/>
                <w:vertAlign w:val="baseline"/>
                <w:lang w:val="en-US" w:eastAsia="zh-CN"/>
              </w:rPr>
            </w:pPr>
            <w:r>
              <w:rPr>
                <w:rFonts w:hint="eastAsia" w:cs="Times New Roman"/>
                <w:color w:val="auto"/>
                <w:kern w:val="44"/>
                <w:sz w:val="21"/>
                <w:szCs w:val="21"/>
                <w:highlight w:val="none"/>
                <w:lang w:val="en-US" w:eastAsia="zh-CN"/>
              </w:rPr>
              <w:t>4座，改建4座饲喂凉棚，</w:t>
            </w:r>
            <w:r>
              <w:rPr>
                <w:rFonts w:hint="eastAsia" w:cs="Times New Roman"/>
                <w:color w:val="auto"/>
                <w:kern w:val="44"/>
                <w:sz w:val="21"/>
                <w:szCs w:val="21"/>
                <w:highlight w:val="none"/>
                <w:vertAlign w:val="baseline"/>
                <w:lang w:val="en-US" w:eastAsia="zh-CN"/>
              </w:rPr>
              <w:t>每座分别为700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，增加围挡、防风措施</w:t>
            </w:r>
          </w:p>
        </w:tc>
        <w:tc>
          <w:tcPr>
            <w:tcW w:w="1243" w:type="dxa"/>
            <w:noWrap w:val="0"/>
            <w:vAlign w:val="center"/>
          </w:tcPr>
          <w:p w14:paraId="2F5C5510">
            <w:pPr>
              <w:ind w:left="0"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改建</w:t>
            </w:r>
          </w:p>
        </w:tc>
      </w:tr>
      <w:tr w14:paraId="645575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26" w:type="dxa"/>
            <w:vMerge w:val="continue"/>
            <w:noWrap w:val="0"/>
            <w:vAlign w:val="center"/>
          </w:tcPr>
          <w:p w14:paraId="5DE4CCAE">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0021DC37">
            <w:pPr>
              <w:widowControl w:val="0"/>
              <w:tabs>
                <w:tab w:val="left" w:pos="1119"/>
              </w:tabs>
              <w:topLinePunct/>
              <w:adjustRightInd w:val="0"/>
              <w:snapToGrid w:val="0"/>
              <w:spacing w:after="120"/>
              <w:ind w:left="0" w:leftChars="0"/>
              <w:jc w:val="center"/>
              <w:rPr>
                <w:rFonts w:hint="eastAsia" w:eastAsia="宋体" w:cs="Times New Roman"/>
                <w:color w:val="auto"/>
                <w:kern w:val="2"/>
                <w:sz w:val="21"/>
                <w:szCs w:val="21"/>
                <w:lang w:val="en-US" w:eastAsia="zh-CN" w:bidi="ar-SA"/>
              </w:rPr>
            </w:pPr>
          </w:p>
        </w:tc>
        <w:tc>
          <w:tcPr>
            <w:tcW w:w="952" w:type="dxa"/>
            <w:vMerge w:val="restart"/>
            <w:noWrap w:val="0"/>
            <w:vAlign w:val="center"/>
          </w:tcPr>
          <w:p w14:paraId="523AAEBD">
            <w:pPr>
              <w:widowControl w:val="0"/>
              <w:tabs>
                <w:tab w:val="left" w:pos="1119"/>
              </w:tabs>
              <w:topLinePunct/>
              <w:adjustRightInd w:val="0"/>
              <w:snapToGrid w:val="0"/>
              <w:spacing w:after="120"/>
              <w:ind w:left="0" w:leftChars="0"/>
              <w:jc w:val="center"/>
              <w:rPr>
                <w:rFonts w:hint="eastAsia" w:cs="Times New Roman"/>
                <w:color w:val="auto"/>
                <w:kern w:val="44"/>
                <w:sz w:val="21"/>
                <w:szCs w:val="21"/>
                <w:lang w:val="en-US" w:eastAsia="zh-CN" w:bidi="ar-SA"/>
              </w:rPr>
            </w:pPr>
            <w:r>
              <w:rPr>
                <w:rFonts w:hint="eastAsia" w:ascii="Times New Roman" w:hAnsi="Times New Roman" w:eastAsia="宋体" w:cs="Times New Roman"/>
                <w:color w:val="auto"/>
                <w:kern w:val="44"/>
                <w:sz w:val="21"/>
                <w:szCs w:val="21"/>
                <w:lang w:val="en-US" w:eastAsia="zh-CN" w:bidi="ar-SA"/>
              </w:rPr>
              <w:t>运动场</w:t>
            </w:r>
          </w:p>
        </w:tc>
        <w:tc>
          <w:tcPr>
            <w:tcW w:w="4524" w:type="dxa"/>
            <w:noWrap w:val="0"/>
            <w:vAlign w:val="center"/>
          </w:tcPr>
          <w:p w14:paraId="723BBC48">
            <w:pPr>
              <w:spacing w:line="240" w:lineRule="auto"/>
              <w:jc w:val="center"/>
              <w:rPr>
                <w:rFonts w:hint="default" w:cs="Times New Roman"/>
                <w:color w:val="auto"/>
                <w:kern w:val="44"/>
                <w:sz w:val="21"/>
                <w:szCs w:val="21"/>
                <w:highlight w:val="none"/>
                <w:vertAlign w:val="baseline"/>
                <w:lang w:val="en-US" w:eastAsia="zh-CN"/>
              </w:rPr>
            </w:pPr>
            <w:r>
              <w:rPr>
                <w:rFonts w:hint="eastAsia" w:cs="Times New Roman"/>
                <w:color w:val="auto"/>
                <w:kern w:val="44"/>
                <w:sz w:val="21"/>
                <w:szCs w:val="21"/>
                <w:highlight w:val="none"/>
                <w:vertAlign w:val="baseline"/>
                <w:lang w:val="en-US" w:eastAsia="zh-CN"/>
              </w:rPr>
              <w:t>围栏式，16座，其中8座占地面积均为2100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，2座3500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，4座1750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，2座1050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，占地面积共32900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55E8F57C">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依托</w:t>
            </w:r>
          </w:p>
        </w:tc>
      </w:tr>
      <w:tr w14:paraId="65A8F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26" w:type="dxa"/>
            <w:vMerge w:val="continue"/>
            <w:noWrap w:val="0"/>
            <w:vAlign w:val="center"/>
          </w:tcPr>
          <w:p w14:paraId="6A8B1450">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77E1777D">
            <w:pPr>
              <w:widowControl w:val="0"/>
              <w:tabs>
                <w:tab w:val="left" w:pos="1119"/>
              </w:tabs>
              <w:topLinePunct/>
              <w:adjustRightInd w:val="0"/>
              <w:snapToGrid w:val="0"/>
              <w:spacing w:after="120"/>
              <w:ind w:left="0" w:leftChars="0"/>
              <w:jc w:val="center"/>
              <w:rPr>
                <w:rFonts w:hint="eastAsia" w:eastAsia="宋体" w:cs="Times New Roman"/>
                <w:color w:val="auto"/>
                <w:kern w:val="2"/>
                <w:sz w:val="21"/>
                <w:szCs w:val="21"/>
                <w:lang w:val="en-US" w:eastAsia="zh-CN" w:bidi="ar-SA"/>
              </w:rPr>
            </w:pPr>
          </w:p>
        </w:tc>
        <w:tc>
          <w:tcPr>
            <w:tcW w:w="952" w:type="dxa"/>
            <w:vMerge w:val="continue"/>
            <w:noWrap w:val="0"/>
            <w:vAlign w:val="center"/>
          </w:tcPr>
          <w:p w14:paraId="513098C1">
            <w:pPr>
              <w:widowControl w:val="0"/>
              <w:tabs>
                <w:tab w:val="left" w:pos="1119"/>
              </w:tabs>
              <w:topLinePunct/>
              <w:adjustRightInd w:val="0"/>
              <w:snapToGrid w:val="0"/>
              <w:spacing w:after="120"/>
              <w:ind w:left="0" w:leftChars="0"/>
              <w:jc w:val="center"/>
              <w:rPr>
                <w:rFonts w:hint="eastAsia" w:ascii="Times New Roman" w:hAnsi="Times New Roman" w:eastAsia="宋体" w:cs="Times New Roman"/>
                <w:color w:val="auto"/>
                <w:kern w:val="44"/>
                <w:sz w:val="21"/>
                <w:szCs w:val="21"/>
                <w:lang w:val="en-US" w:eastAsia="zh-CN" w:bidi="ar-SA"/>
              </w:rPr>
            </w:pPr>
          </w:p>
        </w:tc>
        <w:tc>
          <w:tcPr>
            <w:tcW w:w="4524" w:type="dxa"/>
            <w:noWrap w:val="0"/>
            <w:vAlign w:val="center"/>
          </w:tcPr>
          <w:p w14:paraId="67B6082F">
            <w:pPr>
              <w:spacing w:line="240" w:lineRule="auto"/>
              <w:jc w:val="center"/>
              <w:rPr>
                <w:rFonts w:hint="eastAsia" w:cs="Times New Roman"/>
                <w:color w:val="auto"/>
                <w:kern w:val="44"/>
                <w:sz w:val="21"/>
                <w:szCs w:val="21"/>
                <w:highlight w:val="none"/>
                <w:vertAlign w:val="baseline"/>
                <w:lang w:val="en-US" w:eastAsia="zh-CN"/>
              </w:rPr>
            </w:pPr>
            <w:r>
              <w:rPr>
                <w:rFonts w:hint="eastAsia" w:cs="Times New Roman"/>
                <w:color w:val="auto"/>
                <w:kern w:val="44"/>
                <w:sz w:val="21"/>
                <w:szCs w:val="21"/>
                <w:highlight w:val="none"/>
                <w:vertAlign w:val="baseline"/>
                <w:lang w:val="en-US" w:eastAsia="zh-CN"/>
              </w:rPr>
              <w:t>围栏式，</w:t>
            </w:r>
            <w:r>
              <w:rPr>
                <w:rFonts w:hint="eastAsia" w:cs="Times New Roman"/>
                <w:color w:val="auto"/>
                <w:sz w:val="21"/>
                <w:szCs w:val="21"/>
                <w:highlight w:val="none"/>
                <w:lang w:val="en-US" w:eastAsia="zh-CN"/>
              </w:rPr>
              <w:t>4座，占地面积共4500</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lang w:val="en-US" w:eastAsia="zh-CN"/>
              </w:rPr>
              <w:t>，</w:t>
            </w:r>
            <w:r>
              <w:rPr>
                <w:rFonts w:hint="eastAsia" w:cs="Times New Roman"/>
                <w:color w:val="auto"/>
                <w:kern w:val="44"/>
                <w:sz w:val="21"/>
                <w:szCs w:val="21"/>
                <w:highlight w:val="none"/>
                <w:vertAlign w:val="baseline"/>
                <w:lang w:val="en-US" w:eastAsia="zh-CN"/>
              </w:rPr>
              <w:t>每座分别为1125</w:t>
            </w:r>
            <w:r>
              <w:rPr>
                <w:rFonts w:hint="eastAsia" w:cs="Times New Roman"/>
                <w:color w:val="auto"/>
                <w:kern w:val="44"/>
                <w:sz w:val="21"/>
                <w:szCs w:val="21"/>
                <w:highlight w:val="none"/>
                <w:lang w:val="en-US" w:eastAsia="zh-CN"/>
              </w:rPr>
              <w:t>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7510227C">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新建</w:t>
            </w:r>
          </w:p>
        </w:tc>
      </w:tr>
      <w:tr w14:paraId="1C617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926" w:type="dxa"/>
            <w:vMerge w:val="continue"/>
            <w:noWrap w:val="0"/>
            <w:vAlign w:val="center"/>
          </w:tcPr>
          <w:p w14:paraId="3A99D713">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60810239">
            <w:pPr>
              <w:widowControl w:val="0"/>
              <w:tabs>
                <w:tab w:val="left" w:pos="1119"/>
              </w:tabs>
              <w:topLinePunct/>
              <w:adjustRightInd w:val="0"/>
              <w:snapToGrid w:val="0"/>
              <w:spacing w:after="120"/>
              <w:ind w:left="0" w:leftChars="0"/>
              <w:jc w:val="center"/>
              <w:rPr>
                <w:rFonts w:hint="eastAsia" w:eastAsia="宋体" w:cs="Times New Roman"/>
                <w:color w:val="auto"/>
                <w:kern w:val="2"/>
                <w:sz w:val="21"/>
                <w:szCs w:val="21"/>
                <w:lang w:val="en-US" w:eastAsia="zh-CN" w:bidi="ar-SA"/>
              </w:rPr>
            </w:pPr>
          </w:p>
        </w:tc>
        <w:tc>
          <w:tcPr>
            <w:tcW w:w="952" w:type="dxa"/>
            <w:noWrap w:val="0"/>
            <w:vAlign w:val="center"/>
          </w:tcPr>
          <w:p w14:paraId="3049AFD0">
            <w:pPr>
              <w:widowControl w:val="0"/>
              <w:tabs>
                <w:tab w:val="left" w:pos="1119"/>
              </w:tabs>
              <w:topLinePunct/>
              <w:adjustRightInd w:val="0"/>
              <w:snapToGrid w:val="0"/>
              <w:spacing w:after="120"/>
              <w:ind w:left="0" w:leftChars="0"/>
              <w:jc w:val="center"/>
              <w:rPr>
                <w:rFonts w:hint="default" w:ascii="Times New Roman" w:hAnsi="Times New Roman" w:eastAsia="宋体" w:cs="Times New Roman"/>
                <w:color w:val="auto"/>
                <w:kern w:val="44"/>
                <w:sz w:val="21"/>
                <w:szCs w:val="21"/>
                <w:lang w:val="en-US" w:eastAsia="zh-CN" w:bidi="ar-SA"/>
              </w:rPr>
            </w:pPr>
            <w:r>
              <w:rPr>
                <w:rFonts w:hint="eastAsia" w:eastAsia="宋体" w:cs="Times New Roman"/>
                <w:color w:val="auto"/>
                <w:kern w:val="44"/>
                <w:sz w:val="21"/>
                <w:szCs w:val="21"/>
                <w:lang w:val="en-US" w:eastAsia="zh-CN" w:bidi="ar-SA"/>
              </w:rPr>
              <w:t>饲喂凉棚</w:t>
            </w:r>
          </w:p>
        </w:tc>
        <w:tc>
          <w:tcPr>
            <w:tcW w:w="4524" w:type="dxa"/>
            <w:noWrap w:val="0"/>
            <w:vAlign w:val="center"/>
          </w:tcPr>
          <w:p w14:paraId="3B7D9381">
            <w:pPr>
              <w:spacing w:line="240" w:lineRule="auto"/>
              <w:jc w:val="center"/>
              <w:rPr>
                <w:rFonts w:hint="eastAsia" w:cs="Times New Roman"/>
                <w:color w:val="auto"/>
                <w:kern w:val="44"/>
                <w:sz w:val="21"/>
                <w:szCs w:val="21"/>
                <w:highlight w:val="none"/>
                <w:lang w:val="en-US" w:eastAsia="zh-CN"/>
              </w:rPr>
            </w:pPr>
            <w:r>
              <w:rPr>
                <w:rFonts w:hint="eastAsia" w:cs="Times New Roman"/>
                <w:color w:val="auto"/>
                <w:kern w:val="44"/>
                <w:sz w:val="21"/>
                <w:szCs w:val="21"/>
                <w:highlight w:val="none"/>
                <w:vertAlign w:val="baseline"/>
                <w:lang w:val="en-US" w:eastAsia="zh-CN"/>
              </w:rPr>
              <w:t>2座，占地面积分别为490m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，设置饮水、防晒遮雨等设施</w:t>
            </w:r>
          </w:p>
        </w:tc>
        <w:tc>
          <w:tcPr>
            <w:tcW w:w="1243" w:type="dxa"/>
            <w:noWrap w:val="0"/>
            <w:vAlign w:val="center"/>
          </w:tcPr>
          <w:p w14:paraId="6F2885F5">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依托</w:t>
            </w:r>
          </w:p>
        </w:tc>
      </w:tr>
      <w:tr w14:paraId="26C413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continue"/>
            <w:noWrap w:val="0"/>
            <w:vAlign w:val="center"/>
          </w:tcPr>
          <w:p w14:paraId="02776895">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restart"/>
            <w:noWrap w:val="0"/>
            <w:vAlign w:val="center"/>
          </w:tcPr>
          <w:p w14:paraId="088BCDEB">
            <w:pPr>
              <w:widowControl w:val="0"/>
              <w:tabs>
                <w:tab w:val="left" w:pos="1119"/>
              </w:tabs>
              <w:topLinePunct/>
              <w:adjustRightInd w:val="0"/>
              <w:snapToGrid w:val="0"/>
              <w:spacing w:after="120"/>
              <w:ind w:left="0" w:leftChars="0"/>
              <w:jc w:val="center"/>
              <w:rPr>
                <w:rFonts w:hint="default"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饲料加工区</w:t>
            </w:r>
          </w:p>
        </w:tc>
        <w:tc>
          <w:tcPr>
            <w:tcW w:w="952" w:type="dxa"/>
            <w:vMerge w:val="restart"/>
            <w:noWrap w:val="0"/>
            <w:vAlign w:val="center"/>
          </w:tcPr>
          <w:p w14:paraId="1A56BA10">
            <w:pPr>
              <w:widowControl w:val="0"/>
              <w:tabs>
                <w:tab w:val="left" w:pos="1119"/>
              </w:tabs>
              <w:topLinePunct/>
              <w:adjustRightInd w:val="0"/>
              <w:snapToGrid w:val="0"/>
              <w:spacing w:after="120"/>
              <w:ind w:left="0" w:leftChars="0"/>
              <w:jc w:val="center"/>
              <w:rPr>
                <w:rFonts w:hint="default" w:cs="Times New Roman"/>
                <w:color w:val="auto"/>
                <w:kern w:val="44"/>
                <w:sz w:val="21"/>
                <w:szCs w:val="21"/>
                <w:highlight w:val="yellow"/>
                <w:lang w:val="en-US" w:eastAsia="zh-CN" w:bidi="ar-SA"/>
              </w:rPr>
            </w:pPr>
            <w:r>
              <w:rPr>
                <w:rFonts w:hint="eastAsia" w:cs="Times New Roman"/>
                <w:color w:val="auto"/>
                <w:kern w:val="44"/>
                <w:sz w:val="21"/>
                <w:szCs w:val="21"/>
                <w:highlight w:val="none"/>
                <w:lang w:val="en-US" w:eastAsia="zh-CN" w:bidi="ar-SA"/>
              </w:rPr>
              <w:t>TMR搅拌站</w:t>
            </w:r>
          </w:p>
        </w:tc>
        <w:tc>
          <w:tcPr>
            <w:tcW w:w="4524" w:type="dxa"/>
            <w:noWrap w:val="0"/>
            <w:vAlign w:val="center"/>
          </w:tcPr>
          <w:p w14:paraId="4348C5CA">
            <w:pPr>
              <w:spacing w:line="240" w:lineRule="auto"/>
              <w:jc w:val="center"/>
              <w:rPr>
                <w:rFonts w:hint="default" w:cs="Times New Roman"/>
                <w:color w:val="auto"/>
                <w:kern w:val="44"/>
                <w:sz w:val="21"/>
                <w:szCs w:val="21"/>
                <w:highlight w:val="none"/>
                <w:lang w:val="en-US" w:eastAsia="zh-CN"/>
              </w:rPr>
            </w:pPr>
            <w:r>
              <w:rPr>
                <w:rFonts w:hint="eastAsia" w:cs="Times New Roman"/>
                <w:color w:val="auto"/>
                <w:kern w:val="44"/>
                <w:sz w:val="21"/>
                <w:szCs w:val="21"/>
                <w:highlight w:val="none"/>
                <w:lang w:val="en-US" w:eastAsia="zh-CN"/>
              </w:rPr>
              <w:t>1座，1F，占地面积350m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22A1DE3E">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依托</w:t>
            </w:r>
          </w:p>
        </w:tc>
      </w:tr>
      <w:tr w14:paraId="13752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926" w:type="dxa"/>
            <w:vMerge w:val="continue"/>
            <w:noWrap w:val="0"/>
            <w:vAlign w:val="center"/>
          </w:tcPr>
          <w:p w14:paraId="33531BFD">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59162A3E">
            <w:pPr>
              <w:widowControl w:val="0"/>
              <w:tabs>
                <w:tab w:val="left" w:pos="1119"/>
              </w:tabs>
              <w:topLinePunct/>
              <w:adjustRightInd w:val="0"/>
              <w:snapToGrid w:val="0"/>
              <w:spacing w:after="120"/>
              <w:ind w:left="0" w:leftChars="0"/>
              <w:jc w:val="center"/>
              <w:rPr>
                <w:rFonts w:hint="default" w:eastAsia="宋体" w:cs="Times New Roman"/>
                <w:color w:val="auto"/>
                <w:kern w:val="2"/>
                <w:sz w:val="21"/>
                <w:szCs w:val="21"/>
                <w:lang w:val="en-US" w:eastAsia="zh-CN" w:bidi="ar-SA"/>
              </w:rPr>
            </w:pPr>
          </w:p>
        </w:tc>
        <w:tc>
          <w:tcPr>
            <w:tcW w:w="952" w:type="dxa"/>
            <w:vMerge w:val="continue"/>
            <w:noWrap w:val="0"/>
            <w:vAlign w:val="center"/>
          </w:tcPr>
          <w:p w14:paraId="1AF6CA7C">
            <w:pPr>
              <w:widowControl w:val="0"/>
              <w:tabs>
                <w:tab w:val="left" w:pos="1119"/>
              </w:tabs>
              <w:topLinePunct/>
              <w:adjustRightInd w:val="0"/>
              <w:snapToGrid w:val="0"/>
              <w:spacing w:after="120"/>
              <w:ind w:left="0" w:leftChars="0"/>
              <w:jc w:val="center"/>
              <w:rPr>
                <w:rFonts w:hint="default" w:cs="Times New Roman"/>
                <w:color w:val="auto"/>
                <w:kern w:val="44"/>
                <w:sz w:val="21"/>
                <w:szCs w:val="21"/>
                <w:highlight w:val="yellow"/>
                <w:lang w:val="en-US" w:eastAsia="zh-CN" w:bidi="ar-SA"/>
              </w:rPr>
            </w:pPr>
          </w:p>
        </w:tc>
        <w:tc>
          <w:tcPr>
            <w:tcW w:w="4524" w:type="dxa"/>
            <w:noWrap w:val="0"/>
            <w:vAlign w:val="center"/>
          </w:tcPr>
          <w:p w14:paraId="59B3457D">
            <w:pPr>
              <w:spacing w:line="240" w:lineRule="auto"/>
              <w:jc w:val="center"/>
              <w:rPr>
                <w:rFonts w:hint="default" w:ascii="Times New Roman" w:hAnsi="Times New Roman" w:eastAsia="宋体" w:cs="Times New Roman"/>
                <w:color w:val="auto"/>
                <w:kern w:val="44"/>
                <w:sz w:val="21"/>
                <w:szCs w:val="21"/>
                <w:highlight w:val="yellow"/>
                <w:lang w:val="en-US" w:eastAsia="zh-CN"/>
              </w:rPr>
            </w:pPr>
            <w:r>
              <w:rPr>
                <w:rFonts w:hint="eastAsia" w:cs="Times New Roman"/>
                <w:color w:val="auto"/>
                <w:kern w:val="44"/>
                <w:sz w:val="21"/>
                <w:szCs w:val="21"/>
                <w:highlight w:val="none"/>
                <w:lang w:val="en-US" w:eastAsia="zh-CN"/>
              </w:rPr>
              <w:t>内设TMR、饲料加工设备等</w:t>
            </w:r>
          </w:p>
        </w:tc>
        <w:tc>
          <w:tcPr>
            <w:tcW w:w="1243" w:type="dxa"/>
            <w:noWrap w:val="0"/>
            <w:vAlign w:val="center"/>
          </w:tcPr>
          <w:p w14:paraId="3766054E">
            <w:pPr>
              <w:ind w:left="0"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新建</w:t>
            </w:r>
          </w:p>
        </w:tc>
      </w:tr>
      <w:tr w14:paraId="345E7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926" w:type="dxa"/>
            <w:vMerge w:val="continue"/>
            <w:noWrap w:val="0"/>
            <w:vAlign w:val="center"/>
          </w:tcPr>
          <w:p w14:paraId="0ED0F85A">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restart"/>
            <w:noWrap w:val="0"/>
            <w:vAlign w:val="center"/>
          </w:tcPr>
          <w:p w14:paraId="30D905C5">
            <w:pPr>
              <w:widowControl w:val="0"/>
              <w:tabs>
                <w:tab w:val="left" w:pos="1119"/>
              </w:tabs>
              <w:topLinePunct/>
              <w:adjustRightInd w:val="0"/>
              <w:snapToGrid w:val="0"/>
              <w:spacing w:after="120"/>
              <w:ind w:left="0" w:leftChars="0"/>
              <w:jc w:val="center"/>
              <w:rPr>
                <w:rFonts w:hint="default"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粪污处理区</w:t>
            </w:r>
          </w:p>
        </w:tc>
        <w:tc>
          <w:tcPr>
            <w:tcW w:w="952" w:type="dxa"/>
            <w:vMerge w:val="restart"/>
            <w:noWrap w:val="0"/>
            <w:vAlign w:val="center"/>
          </w:tcPr>
          <w:p w14:paraId="39669546">
            <w:pPr>
              <w:widowControl w:val="0"/>
              <w:tabs>
                <w:tab w:val="left" w:pos="1119"/>
              </w:tabs>
              <w:topLinePunct/>
              <w:adjustRightInd w:val="0"/>
              <w:snapToGrid w:val="0"/>
              <w:spacing w:after="120"/>
              <w:ind w:left="0" w:leftChars="0"/>
              <w:jc w:val="center"/>
              <w:rPr>
                <w:rFonts w:hint="default" w:cs="Times New Roman"/>
                <w:color w:val="auto"/>
                <w:kern w:val="44"/>
                <w:sz w:val="21"/>
                <w:szCs w:val="21"/>
                <w:highlight w:val="yellow"/>
                <w:lang w:val="en-US" w:eastAsia="zh-CN" w:bidi="ar-SA"/>
              </w:rPr>
            </w:pPr>
            <w:r>
              <w:rPr>
                <w:rFonts w:hint="eastAsia" w:cs="Times New Roman"/>
                <w:color w:val="auto"/>
                <w:kern w:val="44"/>
                <w:sz w:val="21"/>
                <w:szCs w:val="21"/>
                <w:highlight w:val="none"/>
                <w:lang w:val="en-US" w:eastAsia="zh-CN" w:bidi="ar-SA"/>
              </w:rPr>
              <w:t>堆肥场</w:t>
            </w:r>
          </w:p>
        </w:tc>
        <w:tc>
          <w:tcPr>
            <w:tcW w:w="4524" w:type="dxa"/>
            <w:noWrap w:val="0"/>
            <w:vAlign w:val="center"/>
          </w:tcPr>
          <w:p w14:paraId="3768263A">
            <w:pPr>
              <w:spacing w:line="240" w:lineRule="auto"/>
              <w:jc w:val="center"/>
              <w:rPr>
                <w:rFonts w:hint="default" w:cs="Times New Roman"/>
                <w:color w:val="auto"/>
                <w:kern w:val="44"/>
                <w:sz w:val="21"/>
                <w:szCs w:val="21"/>
                <w:highlight w:val="none"/>
                <w:lang w:val="en-US" w:eastAsia="zh-CN"/>
              </w:rPr>
            </w:pPr>
            <w:r>
              <w:rPr>
                <w:rFonts w:hint="eastAsia" w:cs="Times New Roman"/>
                <w:color w:val="auto"/>
                <w:kern w:val="44"/>
                <w:sz w:val="21"/>
                <w:szCs w:val="21"/>
                <w:highlight w:val="none"/>
                <w:lang w:val="en-US" w:eastAsia="zh-CN"/>
              </w:rPr>
              <w:t>占地面积4000m</w:t>
            </w:r>
            <w:r>
              <w:rPr>
                <w:rFonts w:hint="eastAsia" w:cs="Times New Roman"/>
                <w:color w:val="auto"/>
                <w:kern w:val="44"/>
                <w:sz w:val="21"/>
                <w:szCs w:val="21"/>
                <w:highlight w:val="none"/>
                <w:vertAlign w:val="superscript"/>
                <w:lang w:val="en-US" w:eastAsia="zh-CN"/>
              </w:rPr>
              <w:t>2</w:t>
            </w:r>
          </w:p>
        </w:tc>
        <w:tc>
          <w:tcPr>
            <w:tcW w:w="1243" w:type="dxa"/>
            <w:noWrap w:val="0"/>
            <w:vAlign w:val="center"/>
          </w:tcPr>
          <w:p w14:paraId="2CF0E2A6">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依托</w:t>
            </w:r>
          </w:p>
        </w:tc>
      </w:tr>
      <w:tr w14:paraId="3CE59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926" w:type="dxa"/>
            <w:vMerge w:val="continue"/>
            <w:noWrap w:val="0"/>
            <w:vAlign w:val="center"/>
          </w:tcPr>
          <w:p w14:paraId="4FC84504">
            <w:pPr>
              <w:spacing w:line="240" w:lineRule="auto"/>
              <w:jc w:val="center"/>
              <w:rPr>
                <w:rFonts w:hint="default" w:ascii="Times New Roman" w:hAnsi="Times New Roman" w:eastAsia="宋体" w:cs="Times New Roman"/>
                <w:color w:val="auto"/>
                <w:sz w:val="21"/>
                <w:szCs w:val="21"/>
                <w:lang w:val="en-US" w:eastAsia="zh-CN"/>
              </w:rPr>
            </w:pPr>
          </w:p>
        </w:tc>
        <w:tc>
          <w:tcPr>
            <w:tcW w:w="859" w:type="dxa"/>
            <w:vMerge w:val="continue"/>
            <w:noWrap w:val="0"/>
            <w:vAlign w:val="center"/>
          </w:tcPr>
          <w:p w14:paraId="4932508A">
            <w:pPr>
              <w:widowControl w:val="0"/>
              <w:tabs>
                <w:tab w:val="left" w:pos="1119"/>
              </w:tabs>
              <w:topLinePunct/>
              <w:adjustRightInd w:val="0"/>
              <w:snapToGrid w:val="0"/>
              <w:spacing w:after="120"/>
              <w:ind w:left="0" w:leftChars="0"/>
              <w:jc w:val="center"/>
              <w:rPr>
                <w:rFonts w:hint="eastAsia" w:cs="Times New Roman"/>
                <w:color w:val="auto"/>
                <w:kern w:val="2"/>
                <w:sz w:val="21"/>
                <w:szCs w:val="21"/>
                <w:lang w:val="en-US" w:eastAsia="zh-CN" w:bidi="ar-SA"/>
              </w:rPr>
            </w:pPr>
          </w:p>
        </w:tc>
        <w:tc>
          <w:tcPr>
            <w:tcW w:w="952" w:type="dxa"/>
            <w:vMerge w:val="continue"/>
            <w:noWrap w:val="0"/>
            <w:vAlign w:val="center"/>
          </w:tcPr>
          <w:p w14:paraId="2B83D964">
            <w:pPr>
              <w:widowControl w:val="0"/>
              <w:tabs>
                <w:tab w:val="left" w:pos="1119"/>
              </w:tabs>
              <w:topLinePunct/>
              <w:adjustRightInd w:val="0"/>
              <w:snapToGrid w:val="0"/>
              <w:spacing w:after="120"/>
              <w:ind w:left="0" w:leftChars="0"/>
              <w:jc w:val="center"/>
              <w:rPr>
                <w:rFonts w:hint="eastAsia" w:cs="Times New Roman"/>
                <w:color w:val="auto"/>
                <w:kern w:val="44"/>
                <w:sz w:val="21"/>
                <w:szCs w:val="21"/>
                <w:highlight w:val="none"/>
                <w:lang w:val="en-US" w:eastAsia="zh-CN" w:bidi="ar-SA"/>
              </w:rPr>
            </w:pPr>
          </w:p>
        </w:tc>
        <w:tc>
          <w:tcPr>
            <w:tcW w:w="4524" w:type="dxa"/>
            <w:noWrap w:val="0"/>
            <w:vAlign w:val="center"/>
          </w:tcPr>
          <w:p w14:paraId="045FCE0F">
            <w:pPr>
              <w:spacing w:line="240" w:lineRule="auto"/>
              <w:jc w:val="center"/>
              <w:rPr>
                <w:rFonts w:hint="default" w:cs="Times New Roman"/>
                <w:color w:val="auto"/>
                <w:kern w:val="44"/>
                <w:sz w:val="21"/>
                <w:szCs w:val="21"/>
                <w:highlight w:val="none"/>
                <w:lang w:val="en-US" w:eastAsia="zh-CN"/>
              </w:rPr>
            </w:pPr>
            <w:r>
              <w:rPr>
                <w:rFonts w:hint="eastAsia" w:cs="Times New Roman"/>
                <w:color w:val="auto"/>
                <w:kern w:val="44"/>
                <w:sz w:val="21"/>
                <w:szCs w:val="21"/>
                <w:highlight w:val="none"/>
                <w:lang w:val="en-US" w:eastAsia="zh-CN"/>
              </w:rPr>
              <w:t>内设堆肥间1座，占地面积800m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lang w:val="en-US" w:eastAsia="zh-CN"/>
              </w:rPr>
              <w:t>，1F，内设翻抛机、发酵槽等设备以及200m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lang w:val="en-US" w:eastAsia="zh-CN"/>
              </w:rPr>
              <w:t>成品肥暂存区；</w:t>
            </w:r>
            <w:r>
              <w:rPr>
                <w:rFonts w:hint="eastAsia" w:cs="宋体"/>
                <w:color w:val="auto"/>
                <w:sz w:val="21"/>
                <w:szCs w:val="21"/>
                <w:highlight w:val="none"/>
                <w:lang w:val="en-US" w:eastAsia="zh-CN" w:bidi="ar-SA"/>
              </w:rPr>
              <w:t>发酵槽占地面积60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cs="Times New Roman"/>
                <w:color w:val="000000"/>
                <w:kern w:val="0"/>
                <w:sz w:val="21"/>
                <w:szCs w:val="24"/>
                <w:highlight w:val="none"/>
                <w:lang w:val="en-US" w:eastAsia="zh-CN" w:bidi="ar-SA"/>
              </w:rPr>
              <w:t>，1座</w:t>
            </w:r>
          </w:p>
        </w:tc>
        <w:tc>
          <w:tcPr>
            <w:tcW w:w="1243" w:type="dxa"/>
            <w:noWrap w:val="0"/>
            <w:vAlign w:val="center"/>
          </w:tcPr>
          <w:p w14:paraId="53F10BFE">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新建</w:t>
            </w:r>
          </w:p>
        </w:tc>
      </w:tr>
      <w:tr w14:paraId="0AB38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26" w:type="dxa"/>
            <w:vMerge w:val="restart"/>
            <w:noWrap w:val="0"/>
            <w:vAlign w:val="center"/>
          </w:tcPr>
          <w:p w14:paraId="105164D9">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辅助</w:t>
            </w:r>
          </w:p>
          <w:p w14:paraId="5CC7D46D">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工程</w:t>
            </w:r>
          </w:p>
        </w:tc>
        <w:tc>
          <w:tcPr>
            <w:tcW w:w="1811" w:type="dxa"/>
            <w:gridSpan w:val="2"/>
            <w:noWrap w:val="0"/>
            <w:vAlign w:val="center"/>
          </w:tcPr>
          <w:p w14:paraId="25E110DE">
            <w:pPr>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办公室</w:t>
            </w:r>
          </w:p>
        </w:tc>
        <w:tc>
          <w:tcPr>
            <w:tcW w:w="4524" w:type="dxa"/>
            <w:noWrap w:val="0"/>
            <w:vAlign w:val="center"/>
          </w:tcPr>
          <w:p w14:paraId="281A20FA">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val="en-US" w:eastAsia="zh-CN"/>
              </w:rPr>
              <w:t>座</w:t>
            </w:r>
            <w:r>
              <w:rPr>
                <w:rFonts w:hint="eastAsia" w:cs="Times New Roman"/>
                <w:color w:val="auto"/>
                <w:sz w:val="21"/>
                <w:szCs w:val="21"/>
                <w:lang w:val="en-US" w:eastAsia="zh-CN"/>
              </w:rPr>
              <w:t>，砖混，</w:t>
            </w:r>
            <w:r>
              <w:rPr>
                <w:rFonts w:hint="eastAsia" w:ascii="Times New Roman" w:hAnsi="Times New Roman" w:eastAsia="宋体" w:cs="Times New Roman"/>
                <w:color w:val="auto"/>
                <w:sz w:val="21"/>
                <w:szCs w:val="21"/>
                <w:lang w:val="en-US" w:eastAsia="zh-CN"/>
              </w:rPr>
              <w:t>1F</w:t>
            </w:r>
            <w:r>
              <w:rPr>
                <w:rFonts w:hint="default" w:ascii="Times New Roman" w:hAnsi="Times New Roman" w:eastAsia="宋体" w:cs="Times New Roman"/>
                <w:color w:val="auto"/>
                <w:sz w:val="21"/>
                <w:szCs w:val="21"/>
              </w:rPr>
              <w:t>，</w:t>
            </w:r>
            <w:r>
              <w:rPr>
                <w:rFonts w:hint="eastAsia" w:cs="Times New Roman"/>
                <w:color w:val="auto"/>
                <w:sz w:val="21"/>
                <w:szCs w:val="21"/>
                <w:highlight w:val="none"/>
                <w:lang w:val="en-US" w:eastAsia="zh-CN"/>
              </w:rPr>
              <w:t>占地面积280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p>
        </w:tc>
        <w:tc>
          <w:tcPr>
            <w:tcW w:w="1243" w:type="dxa"/>
            <w:noWrap w:val="0"/>
            <w:vAlign w:val="center"/>
          </w:tcPr>
          <w:p w14:paraId="6D9FC50D">
            <w:pPr>
              <w:spacing w:line="240" w:lineRule="auto"/>
              <w:jc w:val="center"/>
              <w:rPr>
                <w:rFonts w:hint="eastAsia" w:cs="Times New Roman"/>
                <w:color w:val="auto"/>
                <w:sz w:val="21"/>
                <w:szCs w:val="21"/>
                <w:lang w:val="en-US" w:eastAsia="zh-CN"/>
              </w:rPr>
            </w:pPr>
            <w:r>
              <w:rPr>
                <w:rFonts w:hint="eastAsia" w:cs="Times New Roman"/>
                <w:color w:val="auto"/>
                <w:sz w:val="21"/>
                <w:szCs w:val="21"/>
                <w:highlight w:val="none"/>
                <w:lang w:val="en-US" w:eastAsia="zh-CN"/>
              </w:rPr>
              <w:t>依托</w:t>
            </w:r>
          </w:p>
        </w:tc>
      </w:tr>
      <w:tr w14:paraId="1F7EB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926" w:type="dxa"/>
            <w:vMerge w:val="continue"/>
            <w:noWrap w:val="0"/>
            <w:vAlign w:val="center"/>
          </w:tcPr>
          <w:p w14:paraId="693B9F34">
            <w:pPr>
              <w:spacing w:line="240" w:lineRule="auto"/>
              <w:jc w:val="center"/>
              <w:rPr>
                <w:rFonts w:hint="default" w:ascii="Times New Roman" w:hAnsi="Times New Roman" w:eastAsia="宋体" w:cs="Times New Roman"/>
                <w:color w:val="000000"/>
                <w:sz w:val="21"/>
                <w:szCs w:val="21"/>
              </w:rPr>
            </w:pPr>
          </w:p>
        </w:tc>
        <w:tc>
          <w:tcPr>
            <w:tcW w:w="1811" w:type="dxa"/>
            <w:gridSpan w:val="2"/>
            <w:noWrap w:val="0"/>
            <w:vAlign w:val="center"/>
          </w:tcPr>
          <w:p w14:paraId="2C4D0B51">
            <w:pPr>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宿舍</w:t>
            </w:r>
          </w:p>
        </w:tc>
        <w:tc>
          <w:tcPr>
            <w:tcW w:w="4524" w:type="dxa"/>
            <w:noWrap w:val="0"/>
            <w:vAlign w:val="center"/>
          </w:tcPr>
          <w:p w14:paraId="1847F1D4">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6间员工宿舍，砖混，</w:t>
            </w:r>
            <w:r>
              <w:rPr>
                <w:rFonts w:hint="eastAsia" w:ascii="Times New Roman" w:hAnsi="Times New Roman" w:eastAsia="宋体" w:cs="Times New Roman"/>
                <w:color w:val="auto"/>
                <w:sz w:val="21"/>
                <w:szCs w:val="21"/>
                <w:lang w:val="en-US" w:eastAsia="zh-CN"/>
              </w:rPr>
              <w:t>1F</w:t>
            </w:r>
            <w:r>
              <w:rPr>
                <w:rFonts w:hint="default" w:ascii="Times New Roman" w:hAnsi="Times New Roman" w:eastAsia="宋体" w:cs="Times New Roman"/>
                <w:color w:val="auto"/>
                <w:sz w:val="21"/>
                <w:szCs w:val="21"/>
              </w:rPr>
              <w:t>，</w:t>
            </w:r>
            <w:r>
              <w:rPr>
                <w:rFonts w:hint="eastAsia" w:cs="Times New Roman"/>
                <w:color w:val="auto"/>
                <w:sz w:val="21"/>
                <w:szCs w:val="21"/>
                <w:highlight w:val="none"/>
                <w:lang w:val="en-US" w:eastAsia="zh-CN"/>
              </w:rPr>
              <w:t>占地面积共120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单间20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p>
        </w:tc>
        <w:tc>
          <w:tcPr>
            <w:tcW w:w="1243" w:type="dxa"/>
            <w:noWrap w:val="0"/>
            <w:vAlign w:val="center"/>
          </w:tcPr>
          <w:p w14:paraId="3182C92B">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59C78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6" w:hRule="atLeast"/>
          <w:jc w:val="center"/>
        </w:trPr>
        <w:tc>
          <w:tcPr>
            <w:tcW w:w="926" w:type="dxa"/>
            <w:vMerge w:val="continue"/>
            <w:noWrap w:val="0"/>
            <w:vAlign w:val="center"/>
          </w:tcPr>
          <w:p w14:paraId="4F7E09D3">
            <w:pPr>
              <w:spacing w:line="240" w:lineRule="auto"/>
              <w:jc w:val="center"/>
              <w:rPr>
                <w:rFonts w:hint="default" w:ascii="Times New Roman" w:hAnsi="Times New Roman" w:eastAsia="宋体" w:cs="Times New Roman"/>
                <w:color w:val="000000"/>
                <w:sz w:val="21"/>
                <w:szCs w:val="21"/>
              </w:rPr>
            </w:pPr>
          </w:p>
        </w:tc>
        <w:tc>
          <w:tcPr>
            <w:tcW w:w="1811" w:type="dxa"/>
            <w:gridSpan w:val="2"/>
            <w:noWrap w:val="0"/>
            <w:vAlign w:val="center"/>
          </w:tcPr>
          <w:p w14:paraId="2B7BD55C">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消毒室</w:t>
            </w:r>
          </w:p>
        </w:tc>
        <w:tc>
          <w:tcPr>
            <w:tcW w:w="4524" w:type="dxa"/>
            <w:noWrap w:val="0"/>
            <w:vAlign w:val="center"/>
          </w:tcPr>
          <w:p w14:paraId="4A445EBF">
            <w:pPr>
              <w:spacing w:line="240" w:lineRule="auto"/>
              <w:jc w:val="center"/>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lang w:val="en-US" w:eastAsia="zh-CN"/>
              </w:rPr>
              <w:t>1座，占地面积</w:t>
            </w:r>
            <w:r>
              <w:rPr>
                <w:rFonts w:hint="eastAsia" w:cs="Times New Roman"/>
                <w:color w:val="000000"/>
                <w:sz w:val="21"/>
                <w:szCs w:val="21"/>
                <w:highlight w:val="none"/>
                <w:lang w:val="en-US" w:eastAsia="zh-CN"/>
              </w:rPr>
              <w:t>18</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66C986A0">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auto"/>
                <w:sz w:val="21"/>
                <w:szCs w:val="21"/>
                <w:highlight w:val="none"/>
                <w:lang w:val="en-US" w:eastAsia="zh-CN"/>
              </w:rPr>
              <w:t>依托</w:t>
            </w:r>
          </w:p>
        </w:tc>
      </w:tr>
      <w:tr w14:paraId="449240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8" w:hRule="atLeast"/>
          <w:jc w:val="center"/>
        </w:trPr>
        <w:tc>
          <w:tcPr>
            <w:tcW w:w="926" w:type="dxa"/>
            <w:vMerge w:val="continue"/>
            <w:noWrap w:val="0"/>
            <w:vAlign w:val="center"/>
          </w:tcPr>
          <w:p w14:paraId="2BD984D2">
            <w:pPr>
              <w:spacing w:line="240" w:lineRule="auto"/>
              <w:jc w:val="center"/>
              <w:rPr>
                <w:rFonts w:hint="default" w:ascii="Times New Roman" w:hAnsi="Times New Roman" w:eastAsia="宋体" w:cs="Times New Roman"/>
                <w:color w:val="000000"/>
                <w:sz w:val="21"/>
                <w:szCs w:val="21"/>
              </w:rPr>
            </w:pPr>
          </w:p>
        </w:tc>
        <w:tc>
          <w:tcPr>
            <w:tcW w:w="1811" w:type="dxa"/>
            <w:gridSpan w:val="2"/>
            <w:noWrap w:val="0"/>
            <w:vAlign w:val="center"/>
          </w:tcPr>
          <w:p w14:paraId="0A6ED86F">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隔离圈</w:t>
            </w:r>
          </w:p>
        </w:tc>
        <w:tc>
          <w:tcPr>
            <w:tcW w:w="4524" w:type="dxa"/>
            <w:noWrap w:val="0"/>
            <w:vAlign w:val="center"/>
          </w:tcPr>
          <w:p w14:paraId="104BA314">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1座，占地面积</w:t>
            </w:r>
            <w:r>
              <w:rPr>
                <w:rFonts w:hint="eastAsia" w:cs="Times New Roman"/>
                <w:color w:val="000000"/>
                <w:sz w:val="21"/>
                <w:szCs w:val="21"/>
                <w:highlight w:val="none"/>
                <w:lang w:val="en-US" w:eastAsia="zh-CN"/>
              </w:rPr>
              <w:t>100</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7899BB0D">
            <w:pPr>
              <w:spacing w:line="240" w:lineRule="auto"/>
              <w:jc w:val="center"/>
              <w:rPr>
                <w:rFonts w:hint="default" w:ascii="Times New Roman" w:hAnsi="Times New Roman" w:eastAsia="宋体" w:cs="Times New Roman"/>
                <w:color w:val="000000"/>
                <w:sz w:val="21"/>
                <w:szCs w:val="21"/>
                <w:highlight w:val="yellow"/>
                <w:lang w:val="en-US" w:eastAsia="zh-CN"/>
              </w:rPr>
            </w:pPr>
            <w:r>
              <w:rPr>
                <w:rFonts w:hint="eastAsia" w:cs="Times New Roman"/>
                <w:color w:val="auto"/>
                <w:sz w:val="21"/>
                <w:szCs w:val="21"/>
                <w:highlight w:val="none"/>
                <w:lang w:val="en-US" w:eastAsia="zh-CN"/>
              </w:rPr>
              <w:t>新建</w:t>
            </w:r>
          </w:p>
        </w:tc>
      </w:tr>
      <w:tr w14:paraId="5E9F7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926" w:type="dxa"/>
            <w:vMerge w:val="restart"/>
            <w:noWrap w:val="0"/>
            <w:vAlign w:val="center"/>
          </w:tcPr>
          <w:p w14:paraId="1C6E3539">
            <w:pPr>
              <w:spacing w:line="240" w:lineRule="auto"/>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储运</w:t>
            </w:r>
          </w:p>
          <w:p w14:paraId="411D18AA">
            <w:pPr>
              <w:spacing w:line="240" w:lineRule="auto"/>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工程</w:t>
            </w:r>
          </w:p>
        </w:tc>
        <w:tc>
          <w:tcPr>
            <w:tcW w:w="1811" w:type="dxa"/>
            <w:gridSpan w:val="2"/>
            <w:vMerge w:val="restart"/>
            <w:noWrap w:val="0"/>
            <w:vAlign w:val="center"/>
          </w:tcPr>
          <w:p w14:paraId="7A12859A">
            <w:pPr>
              <w:widowControl w:val="0"/>
              <w:tabs>
                <w:tab w:val="left" w:pos="1119"/>
              </w:tabs>
              <w:topLinePunct/>
              <w:adjustRightInd w:val="0"/>
              <w:snapToGrid w:val="0"/>
              <w:spacing w:after="120"/>
              <w:ind w:left="0" w:leftChars="0"/>
              <w:jc w:val="center"/>
              <w:rPr>
                <w:rFonts w:hint="eastAsia" w:cs="Times New Roman"/>
                <w:color w:val="auto"/>
                <w:sz w:val="21"/>
                <w:szCs w:val="21"/>
                <w:highlight w:val="none"/>
                <w:lang w:val="en-US" w:eastAsia="zh-CN"/>
              </w:rPr>
            </w:pPr>
            <w:r>
              <w:rPr>
                <w:rFonts w:hint="eastAsia" w:ascii="Times New Roman" w:hAnsi="Times New Roman" w:eastAsia="宋体" w:cs="Times New Roman"/>
                <w:color w:val="auto"/>
                <w:kern w:val="44"/>
                <w:sz w:val="21"/>
                <w:szCs w:val="21"/>
                <w:lang w:val="en-US" w:eastAsia="zh-CN" w:bidi="ar-SA"/>
              </w:rPr>
              <w:t>饲喂通道</w:t>
            </w:r>
          </w:p>
        </w:tc>
        <w:tc>
          <w:tcPr>
            <w:tcW w:w="4524" w:type="dxa"/>
            <w:noWrap w:val="0"/>
            <w:vAlign w:val="center"/>
          </w:tcPr>
          <w:p w14:paraId="2B9A0FF6">
            <w:pPr>
              <w:spacing w:line="240" w:lineRule="auto"/>
              <w:jc w:val="center"/>
              <w:rPr>
                <w:rFonts w:hint="eastAsia" w:cs="Times New Roman"/>
                <w:color w:val="auto"/>
                <w:sz w:val="21"/>
                <w:szCs w:val="21"/>
                <w:lang w:val="en-US" w:eastAsia="zh-CN"/>
              </w:rPr>
            </w:pPr>
            <w:r>
              <w:rPr>
                <w:rFonts w:hint="eastAsia" w:cs="Times New Roman"/>
                <w:color w:val="auto"/>
                <w:kern w:val="44"/>
                <w:sz w:val="21"/>
                <w:szCs w:val="21"/>
                <w:highlight w:val="none"/>
                <w:lang w:val="en-US" w:eastAsia="zh-CN"/>
              </w:rPr>
              <w:t>4座，占地面积分别为280m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vertAlign w:val="baseline"/>
                <w:lang w:val="en-US" w:eastAsia="zh-CN"/>
              </w:rPr>
              <w:t>，均为混凝土饲喂通道</w:t>
            </w:r>
          </w:p>
        </w:tc>
        <w:tc>
          <w:tcPr>
            <w:tcW w:w="1243" w:type="dxa"/>
            <w:noWrap w:val="0"/>
            <w:vAlign w:val="center"/>
          </w:tcPr>
          <w:p w14:paraId="2197F8E0">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依托</w:t>
            </w:r>
          </w:p>
        </w:tc>
      </w:tr>
      <w:tr w14:paraId="28100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926" w:type="dxa"/>
            <w:vMerge w:val="continue"/>
            <w:noWrap w:val="0"/>
            <w:vAlign w:val="center"/>
          </w:tcPr>
          <w:p w14:paraId="04C6E8EC">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vMerge w:val="continue"/>
            <w:noWrap w:val="0"/>
            <w:vAlign w:val="center"/>
          </w:tcPr>
          <w:p w14:paraId="59007B71">
            <w:pPr>
              <w:widowControl w:val="0"/>
              <w:tabs>
                <w:tab w:val="left" w:pos="1119"/>
              </w:tabs>
              <w:topLinePunct/>
              <w:adjustRightInd w:val="0"/>
              <w:snapToGrid w:val="0"/>
              <w:spacing w:after="120"/>
              <w:ind w:left="0" w:leftChars="0"/>
              <w:jc w:val="center"/>
              <w:rPr>
                <w:rFonts w:hint="eastAsia" w:cs="Times New Roman"/>
                <w:color w:val="auto"/>
                <w:sz w:val="21"/>
                <w:szCs w:val="21"/>
                <w:highlight w:val="none"/>
                <w:lang w:val="en-US" w:eastAsia="zh-CN"/>
              </w:rPr>
            </w:pPr>
          </w:p>
        </w:tc>
        <w:tc>
          <w:tcPr>
            <w:tcW w:w="4524" w:type="dxa"/>
            <w:noWrap w:val="0"/>
            <w:vAlign w:val="center"/>
          </w:tcPr>
          <w:p w14:paraId="1106623E">
            <w:pPr>
              <w:spacing w:line="240" w:lineRule="auto"/>
              <w:jc w:val="center"/>
              <w:rPr>
                <w:rFonts w:hint="eastAsia" w:cs="Times New Roman"/>
                <w:color w:val="auto"/>
                <w:sz w:val="21"/>
                <w:szCs w:val="21"/>
                <w:lang w:val="en-US" w:eastAsia="zh-CN"/>
              </w:rPr>
            </w:pPr>
            <w:r>
              <w:rPr>
                <w:rFonts w:hint="eastAsia" w:cs="Times New Roman"/>
                <w:color w:val="auto"/>
                <w:kern w:val="44"/>
                <w:sz w:val="21"/>
                <w:szCs w:val="21"/>
                <w:highlight w:val="none"/>
                <w:lang w:val="en-US" w:eastAsia="zh-CN"/>
              </w:rPr>
              <w:t>2座，占地面积分别为280m</w:t>
            </w:r>
            <w:r>
              <w:rPr>
                <w:rFonts w:hint="eastAsia" w:cs="Times New Roman"/>
                <w:color w:val="auto"/>
                <w:kern w:val="44"/>
                <w:sz w:val="21"/>
                <w:szCs w:val="21"/>
                <w:highlight w:val="none"/>
                <w:vertAlign w:val="superscript"/>
                <w:lang w:val="en-US" w:eastAsia="zh-CN"/>
              </w:rPr>
              <w:t>2</w:t>
            </w:r>
            <w:r>
              <w:rPr>
                <w:rFonts w:hint="eastAsia" w:cs="Times New Roman"/>
                <w:color w:val="auto"/>
                <w:kern w:val="44"/>
                <w:sz w:val="21"/>
                <w:szCs w:val="21"/>
                <w:highlight w:val="none"/>
                <w:lang w:val="en-US" w:eastAsia="zh-CN"/>
              </w:rPr>
              <w:t>，均为</w:t>
            </w:r>
            <w:r>
              <w:rPr>
                <w:rFonts w:hint="eastAsia" w:cs="Times New Roman"/>
                <w:color w:val="auto"/>
                <w:kern w:val="44"/>
                <w:sz w:val="21"/>
                <w:szCs w:val="21"/>
                <w:highlight w:val="none"/>
                <w:vertAlign w:val="baseline"/>
                <w:lang w:val="en-US" w:eastAsia="zh-CN"/>
              </w:rPr>
              <w:t>混凝土饲喂通道</w:t>
            </w:r>
          </w:p>
        </w:tc>
        <w:tc>
          <w:tcPr>
            <w:tcW w:w="1243" w:type="dxa"/>
            <w:noWrap w:val="0"/>
            <w:vAlign w:val="center"/>
          </w:tcPr>
          <w:p w14:paraId="21362C97">
            <w:pPr>
              <w:ind w:left="0" w:leftChars="0"/>
              <w:jc w:val="center"/>
              <w:rPr>
                <w:rFonts w:hint="eastAsia" w:cs="Times New Roman"/>
                <w:color w:val="auto"/>
                <w:sz w:val="21"/>
                <w:szCs w:val="21"/>
                <w:lang w:val="en-US" w:eastAsia="zh-CN"/>
              </w:rPr>
            </w:pPr>
            <w:r>
              <w:rPr>
                <w:rFonts w:hint="eastAsia" w:cs="Times New Roman"/>
                <w:color w:val="auto"/>
                <w:sz w:val="21"/>
                <w:szCs w:val="21"/>
                <w:lang w:val="en-US" w:eastAsia="zh-CN"/>
              </w:rPr>
              <w:t>新建</w:t>
            </w:r>
          </w:p>
        </w:tc>
      </w:tr>
      <w:tr w14:paraId="5C852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926" w:type="dxa"/>
            <w:vMerge w:val="continue"/>
            <w:noWrap w:val="0"/>
            <w:vAlign w:val="center"/>
          </w:tcPr>
          <w:p w14:paraId="50008666">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07BB63CC">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库房</w:t>
            </w:r>
          </w:p>
        </w:tc>
        <w:tc>
          <w:tcPr>
            <w:tcW w:w="4524" w:type="dxa"/>
            <w:noWrap w:val="0"/>
            <w:vAlign w:val="center"/>
          </w:tcPr>
          <w:p w14:paraId="6140220D">
            <w:pPr>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1座，占地面积350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p>
        </w:tc>
        <w:tc>
          <w:tcPr>
            <w:tcW w:w="1243" w:type="dxa"/>
            <w:noWrap w:val="0"/>
            <w:vAlign w:val="center"/>
          </w:tcPr>
          <w:p w14:paraId="59FACEDD">
            <w:pPr>
              <w:spacing w:line="240" w:lineRule="auto"/>
              <w:jc w:val="center"/>
              <w:rPr>
                <w:rFonts w:hint="eastAsia" w:cs="Times New Roman"/>
                <w:color w:val="auto"/>
                <w:sz w:val="21"/>
                <w:szCs w:val="21"/>
                <w:lang w:val="en-US" w:eastAsia="zh-CN"/>
              </w:rPr>
            </w:pPr>
            <w:r>
              <w:rPr>
                <w:rFonts w:hint="eastAsia" w:cs="Times New Roman"/>
                <w:color w:val="auto"/>
                <w:sz w:val="21"/>
                <w:szCs w:val="21"/>
                <w:lang w:val="en-US" w:eastAsia="zh-CN"/>
              </w:rPr>
              <w:t>新建</w:t>
            </w:r>
          </w:p>
        </w:tc>
      </w:tr>
      <w:tr w14:paraId="6D431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926" w:type="dxa"/>
            <w:vMerge w:val="continue"/>
            <w:noWrap w:val="0"/>
            <w:vAlign w:val="center"/>
          </w:tcPr>
          <w:p w14:paraId="095D22F8">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30E89BBD">
            <w:pPr>
              <w:spacing w:line="240" w:lineRule="auto"/>
              <w:jc w:val="center"/>
              <w:rPr>
                <w:rFonts w:hint="eastAsia" w:cs="Times New Roman"/>
                <w:color w:val="auto"/>
                <w:sz w:val="21"/>
                <w:szCs w:val="21"/>
                <w:highlight w:val="none"/>
                <w:lang w:val="en-US" w:eastAsia="zh-CN"/>
              </w:rPr>
            </w:pPr>
            <w:r>
              <w:rPr>
                <w:rFonts w:hint="eastAsia" w:cs="Times New Roman"/>
                <w:color w:val="000000"/>
                <w:sz w:val="21"/>
                <w:szCs w:val="21"/>
                <w:highlight w:val="none"/>
                <w:lang w:val="en-US" w:eastAsia="zh-CN"/>
              </w:rPr>
              <w:t>防疫药品库</w:t>
            </w:r>
          </w:p>
        </w:tc>
        <w:tc>
          <w:tcPr>
            <w:tcW w:w="4524" w:type="dxa"/>
            <w:noWrap w:val="0"/>
            <w:vAlign w:val="center"/>
          </w:tcPr>
          <w:p w14:paraId="69C7AE00">
            <w:pPr>
              <w:spacing w:line="240" w:lineRule="auto"/>
              <w:jc w:val="center"/>
              <w:rPr>
                <w:rFonts w:hint="eastAsia" w:cs="Times New Roman"/>
                <w:color w:val="auto"/>
                <w:sz w:val="21"/>
                <w:szCs w:val="21"/>
                <w:lang w:val="en-US" w:eastAsia="zh-CN"/>
              </w:rPr>
            </w:pPr>
            <w:r>
              <w:rPr>
                <w:rFonts w:hint="default" w:ascii="Times New Roman" w:hAnsi="Times New Roman" w:eastAsia="宋体" w:cs="Times New Roman"/>
                <w:color w:val="000000"/>
                <w:sz w:val="21"/>
                <w:szCs w:val="21"/>
                <w:highlight w:val="none"/>
              </w:rPr>
              <w:t>1</w:t>
            </w:r>
            <w:r>
              <w:rPr>
                <w:rFonts w:hint="default" w:ascii="Times New Roman" w:hAnsi="Times New Roman" w:eastAsia="宋体" w:cs="Times New Roman"/>
                <w:color w:val="000000"/>
                <w:sz w:val="21"/>
                <w:szCs w:val="21"/>
                <w:highlight w:val="none"/>
                <w:lang w:val="en-US" w:eastAsia="zh-CN"/>
              </w:rPr>
              <w:t>座</w:t>
            </w:r>
            <w:r>
              <w:rPr>
                <w:rFonts w:hint="eastAsia" w:ascii="Times New Roman" w:hAnsi="Times New Roman" w:eastAsia="宋体" w:cs="Times New Roman"/>
                <w:color w:val="000000"/>
                <w:sz w:val="21"/>
                <w:szCs w:val="21"/>
                <w:highlight w:val="none"/>
                <w:lang w:val="en-US" w:eastAsia="zh-CN"/>
              </w:rPr>
              <w:t>，1F</w:t>
            </w:r>
            <w:r>
              <w:rPr>
                <w:rFonts w:hint="default" w:ascii="Times New Roman" w:hAnsi="Times New Roman" w:eastAsia="宋体" w:cs="Times New Roman"/>
                <w:color w:val="000000"/>
                <w:sz w:val="21"/>
                <w:szCs w:val="21"/>
                <w:highlight w:val="none"/>
              </w:rPr>
              <w:t>，</w:t>
            </w:r>
            <w:r>
              <w:rPr>
                <w:rFonts w:hint="eastAsia" w:ascii="Times New Roman" w:hAnsi="Times New Roman" w:eastAsia="宋体" w:cs="Times New Roman"/>
                <w:color w:val="000000"/>
                <w:sz w:val="21"/>
                <w:szCs w:val="21"/>
                <w:highlight w:val="none"/>
                <w:lang w:val="en-US" w:eastAsia="zh-CN"/>
              </w:rPr>
              <w:t>占地面积</w:t>
            </w:r>
            <w:r>
              <w:rPr>
                <w:rFonts w:hint="eastAsia" w:cs="Times New Roman"/>
                <w:color w:val="000000"/>
                <w:sz w:val="21"/>
                <w:szCs w:val="21"/>
                <w:highlight w:val="none"/>
                <w:lang w:val="en-US" w:eastAsia="zh-CN"/>
              </w:rPr>
              <w:t>18</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4A6CD89D">
            <w:pPr>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依托</w:t>
            </w:r>
          </w:p>
        </w:tc>
      </w:tr>
      <w:tr w14:paraId="4AF98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926" w:type="dxa"/>
            <w:vMerge w:val="continue"/>
            <w:noWrap w:val="0"/>
            <w:vAlign w:val="center"/>
          </w:tcPr>
          <w:p w14:paraId="6DB69BA2">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69D70EAA">
            <w:pPr>
              <w:spacing w:line="240" w:lineRule="auto"/>
              <w:jc w:val="center"/>
              <w:rPr>
                <w:rFonts w:hint="eastAsia" w:cs="Times New Roman"/>
                <w:color w:val="000000"/>
                <w:sz w:val="21"/>
                <w:szCs w:val="21"/>
                <w:highlight w:val="none"/>
                <w:lang w:val="en-US" w:eastAsia="zh-CN"/>
              </w:rPr>
            </w:pPr>
            <w:r>
              <w:rPr>
                <w:rFonts w:hint="eastAsia" w:cs="Times New Roman"/>
                <w:color w:val="000000"/>
                <w:sz w:val="21"/>
                <w:szCs w:val="21"/>
                <w:highlight w:val="none"/>
                <w:lang w:val="en-US" w:eastAsia="zh-CN"/>
              </w:rPr>
              <w:t>饲草料堆放场地</w:t>
            </w:r>
          </w:p>
        </w:tc>
        <w:tc>
          <w:tcPr>
            <w:tcW w:w="4524" w:type="dxa"/>
            <w:noWrap w:val="0"/>
            <w:vAlign w:val="center"/>
          </w:tcPr>
          <w:p w14:paraId="24A3174A">
            <w:pPr>
              <w:spacing w:line="240" w:lineRule="auto"/>
              <w:jc w:val="center"/>
              <w:rPr>
                <w:rFonts w:hint="default" w:cs="Times New Roman"/>
                <w:color w:val="000000"/>
                <w:sz w:val="21"/>
                <w:szCs w:val="21"/>
                <w:highlight w:val="none"/>
                <w:lang w:val="en-US" w:eastAsia="zh-CN"/>
              </w:rPr>
            </w:pPr>
            <w:r>
              <w:rPr>
                <w:rFonts w:hint="eastAsia" w:cs="Times New Roman"/>
                <w:color w:val="000000"/>
                <w:sz w:val="21"/>
                <w:szCs w:val="21"/>
                <w:lang w:val="en-US" w:eastAsia="zh-CN"/>
              </w:rPr>
              <w:t>1座，</w:t>
            </w:r>
            <w:r>
              <w:rPr>
                <w:rFonts w:hint="eastAsia" w:cs="Times New Roman"/>
                <w:color w:val="000000"/>
                <w:sz w:val="21"/>
                <w:szCs w:val="21"/>
                <w:highlight w:val="none"/>
                <w:lang w:val="en-US" w:eastAsia="zh-CN"/>
              </w:rPr>
              <w:t>占地</w:t>
            </w:r>
            <w:r>
              <w:rPr>
                <w:rFonts w:hint="eastAsia" w:cs="Times New Roman"/>
                <w:color w:val="000000"/>
                <w:sz w:val="21"/>
                <w:szCs w:val="21"/>
                <w:lang w:val="en-US" w:eastAsia="zh-CN"/>
              </w:rPr>
              <w:t>4500</w:t>
            </w:r>
            <w:r>
              <w:rPr>
                <w:rFonts w:hint="default" w:ascii="Times New Roman" w:hAnsi="Times New Roman" w:eastAsia="宋体" w:cs="Times New Roman"/>
                <w:color w:val="auto"/>
                <w:kern w:val="44"/>
                <w:sz w:val="21"/>
                <w:szCs w:val="21"/>
                <w:highlight w:val="none"/>
                <w:lang w:val="en-US" w:eastAsia="zh-CN"/>
              </w:rPr>
              <w:t>m</w:t>
            </w:r>
            <w:r>
              <w:rPr>
                <w:rFonts w:hint="default" w:ascii="Times New Roman" w:hAnsi="Times New Roman" w:eastAsia="宋体" w:cs="Times New Roman"/>
                <w:color w:val="auto"/>
                <w:kern w:val="44"/>
                <w:sz w:val="21"/>
                <w:szCs w:val="21"/>
                <w:highlight w:val="none"/>
                <w:vertAlign w:val="superscript"/>
                <w:lang w:val="en-US" w:eastAsia="zh-CN"/>
              </w:rPr>
              <w:t>2</w:t>
            </w:r>
          </w:p>
        </w:tc>
        <w:tc>
          <w:tcPr>
            <w:tcW w:w="1243" w:type="dxa"/>
            <w:noWrap w:val="0"/>
            <w:vAlign w:val="center"/>
          </w:tcPr>
          <w:p w14:paraId="37250B13">
            <w:pPr>
              <w:spacing w:line="240" w:lineRule="auto"/>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依托</w:t>
            </w:r>
          </w:p>
        </w:tc>
      </w:tr>
      <w:tr w14:paraId="78B5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continue"/>
            <w:noWrap w:val="0"/>
            <w:vAlign w:val="center"/>
          </w:tcPr>
          <w:p w14:paraId="17E7237F">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49C27D4E">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饲料库房</w:t>
            </w:r>
          </w:p>
        </w:tc>
        <w:tc>
          <w:tcPr>
            <w:tcW w:w="4524" w:type="dxa"/>
            <w:noWrap w:val="0"/>
            <w:vAlign w:val="center"/>
          </w:tcPr>
          <w:p w14:paraId="41D900B3">
            <w:pPr>
              <w:spacing w:line="240" w:lineRule="auto"/>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sz w:val="21"/>
                <w:szCs w:val="21"/>
                <w:highlight w:val="none"/>
              </w:rPr>
              <w:t>1</w:t>
            </w:r>
            <w:r>
              <w:rPr>
                <w:rFonts w:hint="default" w:ascii="Times New Roman" w:hAnsi="Times New Roman" w:eastAsia="宋体" w:cs="Times New Roman"/>
                <w:color w:val="000000"/>
                <w:sz w:val="21"/>
                <w:szCs w:val="21"/>
                <w:highlight w:val="none"/>
                <w:lang w:val="en-US" w:eastAsia="zh-CN"/>
              </w:rPr>
              <w:t>座</w:t>
            </w:r>
            <w:r>
              <w:rPr>
                <w:rFonts w:hint="eastAsia" w:ascii="Times New Roman" w:hAnsi="Times New Roman" w:eastAsia="宋体" w:cs="Times New Roman"/>
                <w:color w:val="000000"/>
                <w:sz w:val="21"/>
                <w:szCs w:val="21"/>
                <w:highlight w:val="none"/>
                <w:lang w:val="en-US" w:eastAsia="zh-CN"/>
              </w:rPr>
              <w:t>，1F</w:t>
            </w:r>
            <w:r>
              <w:rPr>
                <w:rFonts w:hint="default" w:ascii="Times New Roman" w:hAnsi="Times New Roman" w:eastAsia="宋体" w:cs="Times New Roman"/>
                <w:color w:val="000000"/>
                <w:sz w:val="21"/>
                <w:szCs w:val="21"/>
                <w:highlight w:val="none"/>
              </w:rPr>
              <w:t>，</w:t>
            </w:r>
            <w:r>
              <w:rPr>
                <w:rFonts w:hint="eastAsia" w:ascii="Times New Roman" w:hAnsi="Times New Roman" w:eastAsia="宋体" w:cs="Times New Roman"/>
                <w:color w:val="000000"/>
                <w:sz w:val="21"/>
                <w:szCs w:val="21"/>
                <w:highlight w:val="none"/>
                <w:lang w:val="en-US" w:eastAsia="zh-CN"/>
              </w:rPr>
              <w:t>占地面积</w:t>
            </w:r>
            <w:r>
              <w:rPr>
                <w:rFonts w:hint="eastAsia" w:cs="Times New Roman"/>
                <w:color w:val="000000"/>
                <w:sz w:val="21"/>
                <w:szCs w:val="21"/>
                <w:highlight w:val="none"/>
                <w:lang w:val="en-US" w:eastAsia="zh-CN"/>
              </w:rPr>
              <w:t>350</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04909576">
            <w:pPr>
              <w:spacing w:line="240" w:lineRule="auto"/>
              <w:jc w:val="center"/>
              <w:rPr>
                <w:rFonts w:hint="eastAsia" w:cs="Times New Roman"/>
                <w:color w:val="auto"/>
                <w:sz w:val="21"/>
                <w:szCs w:val="21"/>
                <w:lang w:val="en-US" w:eastAsia="zh-CN"/>
              </w:rPr>
            </w:pPr>
            <w:r>
              <w:rPr>
                <w:rFonts w:hint="eastAsia" w:cs="Times New Roman"/>
                <w:color w:val="000000"/>
                <w:sz w:val="21"/>
                <w:szCs w:val="21"/>
                <w:highlight w:val="none"/>
                <w:lang w:val="en-US" w:eastAsia="zh-CN"/>
              </w:rPr>
              <w:t>依托</w:t>
            </w:r>
          </w:p>
        </w:tc>
      </w:tr>
      <w:tr w14:paraId="3B9C4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continue"/>
            <w:noWrap w:val="0"/>
            <w:vAlign w:val="center"/>
          </w:tcPr>
          <w:p w14:paraId="38FE6A44">
            <w:pPr>
              <w:spacing w:line="240" w:lineRule="auto"/>
              <w:jc w:val="center"/>
              <w:rPr>
                <w:rFonts w:hint="eastAsia" w:ascii="Times New Roman" w:hAnsi="Times New Roman" w:eastAsia="宋体" w:cs="Times New Roman"/>
                <w:color w:val="000000"/>
                <w:sz w:val="21"/>
                <w:szCs w:val="21"/>
                <w:lang w:val="en-US" w:eastAsia="zh-CN"/>
              </w:rPr>
            </w:pPr>
          </w:p>
        </w:tc>
        <w:tc>
          <w:tcPr>
            <w:tcW w:w="1811" w:type="dxa"/>
            <w:gridSpan w:val="2"/>
            <w:noWrap w:val="0"/>
            <w:vAlign w:val="center"/>
          </w:tcPr>
          <w:p w14:paraId="4FC2EEBF">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精饲料库房</w:t>
            </w:r>
          </w:p>
        </w:tc>
        <w:tc>
          <w:tcPr>
            <w:tcW w:w="4524" w:type="dxa"/>
            <w:noWrap w:val="0"/>
            <w:vAlign w:val="center"/>
          </w:tcPr>
          <w:p w14:paraId="5DED7AA8">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sz w:val="21"/>
                <w:szCs w:val="21"/>
                <w:highlight w:val="none"/>
              </w:rPr>
              <w:t>1</w:t>
            </w:r>
            <w:r>
              <w:rPr>
                <w:rFonts w:hint="default" w:ascii="Times New Roman" w:hAnsi="Times New Roman" w:eastAsia="宋体" w:cs="Times New Roman"/>
                <w:color w:val="000000"/>
                <w:sz w:val="21"/>
                <w:szCs w:val="21"/>
                <w:highlight w:val="none"/>
                <w:lang w:val="en-US" w:eastAsia="zh-CN"/>
              </w:rPr>
              <w:t>座</w:t>
            </w:r>
            <w:r>
              <w:rPr>
                <w:rFonts w:hint="eastAsia" w:ascii="Times New Roman" w:hAnsi="Times New Roman" w:eastAsia="宋体" w:cs="Times New Roman"/>
                <w:color w:val="000000"/>
                <w:sz w:val="21"/>
                <w:szCs w:val="21"/>
                <w:highlight w:val="none"/>
                <w:lang w:val="en-US" w:eastAsia="zh-CN"/>
              </w:rPr>
              <w:t>，1F</w:t>
            </w:r>
            <w:r>
              <w:rPr>
                <w:rFonts w:hint="default" w:ascii="Times New Roman" w:hAnsi="Times New Roman" w:eastAsia="宋体" w:cs="Times New Roman"/>
                <w:color w:val="000000"/>
                <w:sz w:val="21"/>
                <w:szCs w:val="21"/>
                <w:highlight w:val="none"/>
              </w:rPr>
              <w:t>，</w:t>
            </w:r>
            <w:r>
              <w:rPr>
                <w:rFonts w:hint="eastAsia" w:ascii="Times New Roman" w:hAnsi="Times New Roman" w:eastAsia="宋体" w:cs="Times New Roman"/>
                <w:color w:val="000000"/>
                <w:sz w:val="21"/>
                <w:szCs w:val="21"/>
                <w:highlight w:val="none"/>
                <w:lang w:val="en-US" w:eastAsia="zh-CN"/>
              </w:rPr>
              <w:t>占地面积</w:t>
            </w:r>
            <w:r>
              <w:rPr>
                <w:rFonts w:hint="eastAsia" w:cs="Times New Roman"/>
                <w:color w:val="000000"/>
                <w:sz w:val="21"/>
                <w:szCs w:val="21"/>
                <w:highlight w:val="none"/>
                <w:lang w:val="en-US" w:eastAsia="zh-CN"/>
              </w:rPr>
              <w:t>280</w:t>
            </w:r>
            <w:r>
              <w:rPr>
                <w:rFonts w:hint="default" w:ascii="Times New Roman" w:hAnsi="Times New Roman" w:eastAsia="宋体" w:cs="Times New Roman"/>
                <w:color w:val="000000"/>
                <w:sz w:val="21"/>
                <w:szCs w:val="21"/>
                <w:highlight w:val="none"/>
              </w:rPr>
              <w:t>m</w:t>
            </w:r>
            <w:r>
              <w:rPr>
                <w:rFonts w:hint="default" w:ascii="Times New Roman" w:hAnsi="Times New Roman" w:eastAsia="宋体" w:cs="Times New Roman"/>
                <w:color w:val="000000"/>
                <w:sz w:val="21"/>
                <w:szCs w:val="21"/>
                <w:highlight w:val="none"/>
                <w:vertAlign w:val="superscript"/>
              </w:rPr>
              <w:t>2</w:t>
            </w:r>
          </w:p>
        </w:tc>
        <w:tc>
          <w:tcPr>
            <w:tcW w:w="1243" w:type="dxa"/>
            <w:noWrap w:val="0"/>
            <w:vAlign w:val="center"/>
          </w:tcPr>
          <w:p w14:paraId="1927A21B">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000000"/>
                <w:sz w:val="21"/>
                <w:szCs w:val="21"/>
                <w:highlight w:val="none"/>
                <w:lang w:val="en-US" w:eastAsia="zh-CN"/>
              </w:rPr>
              <w:t>依托</w:t>
            </w:r>
          </w:p>
        </w:tc>
      </w:tr>
      <w:tr w14:paraId="30D2C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26" w:type="dxa"/>
            <w:vMerge w:val="restart"/>
            <w:noWrap w:val="0"/>
            <w:vAlign w:val="center"/>
          </w:tcPr>
          <w:p w14:paraId="3469A32E">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公用</w:t>
            </w:r>
          </w:p>
          <w:p w14:paraId="666BAA48">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工程</w:t>
            </w:r>
          </w:p>
        </w:tc>
        <w:tc>
          <w:tcPr>
            <w:tcW w:w="1811" w:type="dxa"/>
            <w:gridSpan w:val="2"/>
            <w:noWrap w:val="0"/>
            <w:vAlign w:val="center"/>
          </w:tcPr>
          <w:p w14:paraId="07E98AC2">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pacing w:val="3"/>
                <w:kern w:val="0"/>
                <w:sz w:val="21"/>
                <w:szCs w:val="21"/>
              </w:rPr>
              <w:t>供水</w:t>
            </w:r>
          </w:p>
        </w:tc>
        <w:tc>
          <w:tcPr>
            <w:tcW w:w="4524" w:type="dxa"/>
            <w:noWrap w:val="0"/>
            <w:vAlign w:val="center"/>
          </w:tcPr>
          <w:p w14:paraId="7B90B2E3">
            <w:pPr>
              <w:spacing w:line="240" w:lineRule="auto"/>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铺设供水管网输送新鲜水至项目区供应生产生活用水</w:t>
            </w:r>
          </w:p>
        </w:tc>
        <w:tc>
          <w:tcPr>
            <w:tcW w:w="1243" w:type="dxa"/>
            <w:noWrap w:val="0"/>
            <w:vAlign w:val="center"/>
          </w:tcPr>
          <w:p w14:paraId="0D19EB0D">
            <w:pPr>
              <w:spacing w:line="240" w:lineRule="auto"/>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依托</w:t>
            </w:r>
          </w:p>
        </w:tc>
      </w:tr>
      <w:tr w14:paraId="50E47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926" w:type="dxa"/>
            <w:vMerge w:val="continue"/>
            <w:noWrap w:val="0"/>
            <w:vAlign w:val="center"/>
          </w:tcPr>
          <w:p w14:paraId="7EFB50DC">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restart"/>
            <w:noWrap w:val="0"/>
            <w:vAlign w:val="center"/>
          </w:tcPr>
          <w:p w14:paraId="55009689">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排水</w:t>
            </w:r>
          </w:p>
        </w:tc>
        <w:tc>
          <w:tcPr>
            <w:tcW w:w="4524" w:type="dxa"/>
            <w:noWrap w:val="0"/>
            <w:vAlign w:val="center"/>
          </w:tcPr>
          <w:p w14:paraId="78AD341B">
            <w:pPr>
              <w:spacing w:line="240" w:lineRule="auto"/>
              <w:jc w:val="center"/>
              <w:rPr>
                <w:rFonts w:hint="default" w:ascii="Times New Roman" w:hAnsi="Times New Roman" w:eastAsia="宋体" w:cs="Times New Roman"/>
                <w:bCs/>
                <w:sz w:val="21"/>
                <w:szCs w:val="21"/>
              </w:rPr>
            </w:pPr>
            <w:r>
              <w:rPr>
                <w:rFonts w:hint="eastAsia" w:cs="Times New Roman"/>
                <w:color w:val="000000"/>
                <w:sz w:val="21"/>
                <w:szCs w:val="21"/>
                <w:lang w:val="en-US" w:eastAsia="zh-CN"/>
              </w:rPr>
              <w:t>少量渗漏牛尿液经收集池收集后用于本项目堆肥</w:t>
            </w:r>
            <w:r>
              <w:rPr>
                <w:rFonts w:hint="default" w:ascii="Times New Roman" w:hAnsi="Times New Roman" w:eastAsia="宋体" w:cs="Times New Roman"/>
                <w:bCs/>
                <w:sz w:val="21"/>
                <w:szCs w:val="21"/>
              </w:rPr>
              <w:t>，</w:t>
            </w:r>
            <w:r>
              <w:rPr>
                <w:rFonts w:hint="eastAsia" w:ascii="Times New Roman" w:hAnsi="Times New Roman" w:eastAsia="宋体" w:cs="Times New Roman"/>
                <w:bCs/>
                <w:color w:val="000000"/>
                <w:sz w:val="21"/>
                <w:szCs w:val="21"/>
                <w:lang w:val="en-US" w:eastAsia="zh-CN"/>
              </w:rPr>
              <w:t>还田于</w:t>
            </w:r>
            <w:r>
              <w:rPr>
                <w:rFonts w:hint="eastAsia" w:eastAsia="宋体" w:cs="Times New Roman"/>
                <w:bCs/>
                <w:color w:val="000000"/>
                <w:sz w:val="21"/>
                <w:szCs w:val="21"/>
                <w:lang w:val="en-US" w:eastAsia="zh-CN"/>
              </w:rPr>
              <w:t>本项目</w:t>
            </w:r>
            <w:r>
              <w:rPr>
                <w:rFonts w:hint="eastAsia" w:cs="Times New Roman"/>
                <w:bCs/>
                <w:color w:val="000000"/>
                <w:sz w:val="21"/>
                <w:szCs w:val="21"/>
                <w:lang w:val="en-US" w:eastAsia="zh-CN"/>
              </w:rPr>
              <w:t>周边农田</w:t>
            </w:r>
            <w:r>
              <w:rPr>
                <w:rFonts w:hint="default" w:ascii="Times New Roman" w:hAnsi="Times New Roman" w:eastAsia="宋体" w:cs="Times New Roman"/>
                <w:bCs/>
                <w:color w:val="000000"/>
                <w:sz w:val="21"/>
                <w:szCs w:val="21"/>
              </w:rPr>
              <w:t>，无</w:t>
            </w:r>
            <w:r>
              <w:rPr>
                <w:rFonts w:hint="eastAsia" w:cs="Times New Roman"/>
                <w:bCs/>
                <w:color w:val="000000"/>
                <w:sz w:val="21"/>
                <w:szCs w:val="21"/>
                <w:lang w:val="en-US" w:eastAsia="zh-CN"/>
              </w:rPr>
              <w:t>养殖</w:t>
            </w:r>
            <w:r>
              <w:rPr>
                <w:rFonts w:hint="default" w:ascii="Times New Roman" w:hAnsi="Times New Roman" w:eastAsia="宋体" w:cs="Times New Roman"/>
                <w:bCs/>
                <w:color w:val="000000"/>
                <w:sz w:val="21"/>
                <w:szCs w:val="21"/>
              </w:rPr>
              <w:t>废水排放</w:t>
            </w:r>
          </w:p>
        </w:tc>
        <w:tc>
          <w:tcPr>
            <w:tcW w:w="1243" w:type="dxa"/>
            <w:noWrap w:val="0"/>
            <w:vAlign w:val="center"/>
          </w:tcPr>
          <w:p w14:paraId="2A2DADA7">
            <w:pPr>
              <w:spacing w:line="240" w:lineRule="auto"/>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新建</w:t>
            </w:r>
          </w:p>
        </w:tc>
      </w:tr>
      <w:tr w14:paraId="7BE88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1B9B91A6">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continue"/>
            <w:noWrap w:val="0"/>
            <w:vAlign w:val="center"/>
          </w:tcPr>
          <w:p w14:paraId="782DBC08">
            <w:pPr>
              <w:spacing w:line="240" w:lineRule="auto"/>
              <w:jc w:val="center"/>
              <w:rPr>
                <w:rFonts w:hint="default" w:ascii="Times New Roman" w:hAnsi="Times New Roman" w:eastAsia="宋体" w:cs="Times New Roman"/>
                <w:color w:val="000000"/>
                <w:sz w:val="21"/>
                <w:szCs w:val="21"/>
              </w:rPr>
            </w:pPr>
          </w:p>
        </w:tc>
        <w:tc>
          <w:tcPr>
            <w:tcW w:w="4524" w:type="dxa"/>
            <w:noWrap w:val="0"/>
            <w:vAlign w:val="center"/>
          </w:tcPr>
          <w:p w14:paraId="267D2D22">
            <w:pPr>
              <w:spacing w:line="240" w:lineRule="auto"/>
              <w:jc w:val="center"/>
              <w:rPr>
                <w:rFonts w:hint="eastAsia"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生活污水</w:t>
            </w:r>
            <w:r>
              <w:rPr>
                <w:rFonts w:hint="eastAsia" w:cs="Times New Roman"/>
                <w:color w:val="000000"/>
                <w:sz w:val="21"/>
                <w:szCs w:val="21"/>
                <w:lang w:val="en-US" w:eastAsia="zh-CN"/>
              </w:rPr>
              <w:t>由</w:t>
            </w:r>
            <w:r>
              <w:rPr>
                <w:rFonts w:hint="eastAsia" w:cs="Times New Roman"/>
                <w:color w:val="000000"/>
                <w:sz w:val="21"/>
                <w:szCs w:val="21"/>
                <w:highlight w:val="none"/>
                <w:lang w:val="en-US" w:eastAsia="zh-CN"/>
              </w:rPr>
              <w:t>20m</w:t>
            </w:r>
            <w:r>
              <w:rPr>
                <w:rFonts w:hint="eastAsia" w:cs="Times New Roman"/>
                <w:color w:val="000000"/>
                <w:sz w:val="21"/>
                <w:szCs w:val="21"/>
                <w:highlight w:val="none"/>
                <w:vertAlign w:val="superscript"/>
                <w:lang w:val="en-US" w:eastAsia="zh-CN"/>
              </w:rPr>
              <w:t>3</w:t>
            </w:r>
            <w:r>
              <w:rPr>
                <w:rFonts w:hint="eastAsia" w:ascii="Times New Roman" w:hAnsi="Times New Roman" w:eastAsia="宋体" w:cs="Times New Roman"/>
                <w:color w:val="000000"/>
                <w:sz w:val="21"/>
                <w:szCs w:val="21"/>
                <w:highlight w:val="none"/>
                <w:lang w:val="en-US" w:eastAsia="zh-CN"/>
              </w:rPr>
              <w:t>防渗化粪池</w:t>
            </w:r>
            <w:r>
              <w:rPr>
                <w:rFonts w:hint="eastAsia" w:ascii="Times New Roman" w:hAnsi="Times New Roman" w:eastAsia="宋体" w:cs="Times New Roman"/>
                <w:color w:val="000000"/>
                <w:sz w:val="21"/>
                <w:szCs w:val="21"/>
                <w:lang w:val="en-US" w:eastAsia="zh-CN"/>
              </w:rPr>
              <w:t>收集，</w:t>
            </w:r>
            <w:r>
              <w:rPr>
                <w:rFonts w:hint="eastAsia" w:cs="Times New Roman"/>
                <w:color w:val="000000"/>
                <w:sz w:val="21"/>
                <w:szCs w:val="21"/>
                <w:lang w:val="en-US" w:eastAsia="zh-CN"/>
              </w:rPr>
              <w:t>由吸污车拉运至污水处理厂处置</w:t>
            </w:r>
          </w:p>
        </w:tc>
        <w:tc>
          <w:tcPr>
            <w:tcW w:w="1243" w:type="dxa"/>
            <w:noWrap w:val="0"/>
            <w:vAlign w:val="center"/>
          </w:tcPr>
          <w:p w14:paraId="0DF2A526">
            <w:pPr>
              <w:spacing w:line="240" w:lineRule="auto"/>
              <w:jc w:val="center"/>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新建</w:t>
            </w:r>
          </w:p>
        </w:tc>
      </w:tr>
      <w:tr w14:paraId="12DFB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269CC07B">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noWrap w:val="0"/>
            <w:vAlign w:val="center"/>
          </w:tcPr>
          <w:p w14:paraId="6A1B7196">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供电</w:t>
            </w:r>
          </w:p>
        </w:tc>
        <w:tc>
          <w:tcPr>
            <w:tcW w:w="4524" w:type="dxa"/>
            <w:noWrap w:val="0"/>
            <w:vAlign w:val="center"/>
          </w:tcPr>
          <w:p w14:paraId="4AF95D90">
            <w:pPr>
              <w:spacing w:line="240" w:lineRule="auto"/>
              <w:jc w:val="center"/>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市政电网供给</w:t>
            </w:r>
          </w:p>
        </w:tc>
        <w:tc>
          <w:tcPr>
            <w:tcW w:w="1243" w:type="dxa"/>
            <w:noWrap w:val="0"/>
            <w:vAlign w:val="center"/>
          </w:tcPr>
          <w:p w14:paraId="56CE6508">
            <w:pPr>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000000"/>
                <w:sz w:val="21"/>
                <w:szCs w:val="21"/>
                <w:lang w:val="en-US" w:eastAsia="zh-CN"/>
              </w:rPr>
              <w:t>依托</w:t>
            </w:r>
          </w:p>
        </w:tc>
      </w:tr>
      <w:tr w14:paraId="15255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926" w:type="dxa"/>
            <w:vMerge w:val="continue"/>
            <w:noWrap w:val="0"/>
            <w:vAlign w:val="center"/>
          </w:tcPr>
          <w:p w14:paraId="4DB28E97">
            <w:pPr>
              <w:spacing w:line="240" w:lineRule="auto"/>
              <w:jc w:val="center"/>
              <w:rPr>
                <w:rFonts w:hint="default" w:ascii="Times New Roman" w:hAnsi="Times New Roman" w:eastAsia="宋体" w:cs="Times New Roman"/>
                <w:color w:val="auto"/>
                <w:spacing w:val="3"/>
                <w:kern w:val="0"/>
                <w:sz w:val="21"/>
                <w:szCs w:val="21"/>
              </w:rPr>
            </w:pPr>
          </w:p>
        </w:tc>
        <w:tc>
          <w:tcPr>
            <w:tcW w:w="1811" w:type="dxa"/>
            <w:gridSpan w:val="2"/>
            <w:noWrap w:val="0"/>
            <w:vAlign w:val="center"/>
          </w:tcPr>
          <w:p w14:paraId="1B1BBCF4">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供热</w:t>
            </w:r>
          </w:p>
        </w:tc>
        <w:tc>
          <w:tcPr>
            <w:tcW w:w="4524" w:type="dxa"/>
            <w:noWrap w:val="0"/>
            <w:vAlign w:val="center"/>
          </w:tcPr>
          <w:p w14:paraId="424783C4">
            <w:pPr>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设置</w:t>
            </w:r>
            <w:r>
              <w:rPr>
                <w:rFonts w:hint="eastAsia" w:ascii="Times New Roman" w:hAnsi="Times New Roman" w:eastAsia="宋体" w:cs="Times New Roman"/>
                <w:color w:val="auto"/>
                <w:sz w:val="21"/>
                <w:szCs w:val="21"/>
                <w:highlight w:val="none"/>
                <w:lang w:eastAsia="zh-CN"/>
              </w:rPr>
              <w:t>电加热设备</w:t>
            </w:r>
            <w:r>
              <w:rPr>
                <w:rFonts w:hint="default" w:ascii="Times New Roman" w:hAnsi="Times New Roman" w:eastAsia="宋体" w:cs="Times New Roman"/>
                <w:color w:val="auto"/>
                <w:sz w:val="21"/>
                <w:szCs w:val="21"/>
                <w:highlight w:val="none"/>
              </w:rPr>
              <w:t>供暖</w:t>
            </w:r>
          </w:p>
        </w:tc>
        <w:tc>
          <w:tcPr>
            <w:tcW w:w="1243" w:type="dxa"/>
            <w:noWrap w:val="0"/>
            <w:vAlign w:val="center"/>
          </w:tcPr>
          <w:p w14:paraId="4EB499C8">
            <w:pPr>
              <w:spacing w:line="240" w:lineRule="auto"/>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依托</w:t>
            </w:r>
          </w:p>
        </w:tc>
      </w:tr>
      <w:tr w14:paraId="68194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restart"/>
            <w:noWrap w:val="0"/>
            <w:vAlign w:val="center"/>
          </w:tcPr>
          <w:p w14:paraId="485CC0AF">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环保</w:t>
            </w:r>
          </w:p>
          <w:p w14:paraId="033D4F71">
            <w:pPr>
              <w:spacing w:line="240" w:lineRule="auto"/>
              <w:jc w:val="center"/>
              <w:rPr>
                <w:rFonts w:hint="default" w:ascii="Times New Roman" w:hAnsi="Times New Roman" w:eastAsia="宋体" w:cs="Times New Roman"/>
                <w:color w:val="000000"/>
                <w:spacing w:val="3"/>
                <w:kern w:val="0"/>
                <w:sz w:val="21"/>
                <w:szCs w:val="21"/>
              </w:rPr>
            </w:pPr>
            <w:r>
              <w:rPr>
                <w:rFonts w:hint="default" w:ascii="Times New Roman" w:hAnsi="Times New Roman" w:eastAsia="宋体" w:cs="Times New Roman"/>
                <w:color w:val="000000"/>
                <w:spacing w:val="3"/>
                <w:kern w:val="0"/>
                <w:sz w:val="21"/>
                <w:szCs w:val="21"/>
              </w:rPr>
              <w:t>工程</w:t>
            </w:r>
          </w:p>
        </w:tc>
        <w:tc>
          <w:tcPr>
            <w:tcW w:w="1811" w:type="dxa"/>
            <w:gridSpan w:val="2"/>
            <w:vMerge w:val="restart"/>
            <w:noWrap w:val="0"/>
            <w:vAlign w:val="center"/>
          </w:tcPr>
          <w:p w14:paraId="1CD1F2F5">
            <w:pPr>
              <w:adjustRightInd w:val="0"/>
              <w:snapToGrid w:val="0"/>
              <w:spacing w:line="240" w:lineRule="auto"/>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废气处理</w:t>
            </w:r>
          </w:p>
        </w:tc>
        <w:tc>
          <w:tcPr>
            <w:tcW w:w="4524" w:type="dxa"/>
            <w:noWrap w:val="0"/>
            <w:vAlign w:val="center"/>
          </w:tcPr>
          <w:p w14:paraId="40BD58A9">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科学配比饲料、</w:t>
            </w:r>
            <w:r>
              <w:rPr>
                <w:rFonts w:hint="default" w:ascii="Times New Roman" w:hAnsi="Times New Roman" w:eastAsia="宋体" w:cs="Times New Roman"/>
                <w:color w:val="auto"/>
                <w:sz w:val="21"/>
                <w:szCs w:val="21"/>
                <w:vertAlign w:val="baseline"/>
                <w:lang w:val="en-US" w:eastAsia="zh-CN"/>
              </w:rPr>
              <w:t>喷洒除臭剂</w:t>
            </w:r>
            <w:r>
              <w:rPr>
                <w:rFonts w:hint="eastAsia" w:ascii="Times New Roman" w:hAnsi="Times New Roman" w:eastAsia="宋体" w:cs="Times New Roman"/>
                <w:color w:val="auto"/>
                <w:sz w:val="21"/>
                <w:szCs w:val="21"/>
                <w:vertAlign w:val="baseline"/>
                <w:lang w:val="en-US" w:eastAsia="zh-CN"/>
              </w:rPr>
              <w:t>、加强厂区绿化控制养殖恶臭</w:t>
            </w:r>
            <w:r>
              <w:rPr>
                <w:rFonts w:hint="default" w:ascii="Times New Roman" w:hAnsi="Times New Roman" w:eastAsia="宋体" w:cs="Times New Roman"/>
                <w:color w:val="auto"/>
                <w:sz w:val="21"/>
                <w:szCs w:val="21"/>
                <w:vertAlign w:val="baseline"/>
                <w:lang w:val="en-US" w:eastAsia="zh-CN"/>
              </w:rPr>
              <w:t>；</w:t>
            </w:r>
            <w:r>
              <w:rPr>
                <w:rFonts w:hint="eastAsia" w:eastAsia="宋体" w:cs="Times New Roman"/>
                <w:color w:val="auto"/>
                <w:kern w:val="0"/>
                <w:sz w:val="21"/>
                <w:szCs w:val="24"/>
                <w:highlight w:val="none"/>
                <w:lang w:val="en-US" w:eastAsia="zh-CN" w:bidi="ar-SA"/>
              </w:rPr>
              <w:t>还田区设置适量轮作还田措施。</w:t>
            </w:r>
          </w:p>
        </w:tc>
        <w:tc>
          <w:tcPr>
            <w:tcW w:w="1243" w:type="dxa"/>
            <w:noWrap w:val="0"/>
            <w:vAlign w:val="center"/>
          </w:tcPr>
          <w:p w14:paraId="5332D967">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新建</w:t>
            </w:r>
          </w:p>
        </w:tc>
      </w:tr>
      <w:tr w14:paraId="4786C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61119029">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continue"/>
            <w:noWrap w:val="0"/>
            <w:vAlign w:val="center"/>
          </w:tcPr>
          <w:p w14:paraId="4911FB61">
            <w:pPr>
              <w:adjustRightInd w:val="0"/>
              <w:snapToGrid w:val="0"/>
              <w:spacing w:line="240" w:lineRule="auto"/>
              <w:jc w:val="center"/>
              <w:rPr>
                <w:rFonts w:hint="default" w:ascii="Times New Roman" w:hAnsi="Times New Roman" w:eastAsia="宋体" w:cs="Times New Roman"/>
                <w:color w:val="000000"/>
                <w:sz w:val="21"/>
                <w:szCs w:val="21"/>
                <w:lang w:eastAsia="zh-CN"/>
              </w:rPr>
            </w:pPr>
          </w:p>
        </w:tc>
        <w:tc>
          <w:tcPr>
            <w:tcW w:w="4524" w:type="dxa"/>
            <w:noWrap w:val="0"/>
            <w:vAlign w:val="center"/>
          </w:tcPr>
          <w:p w14:paraId="710B4B47">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饲料搅拌粉尘通过封闭式作业+润湿搅拌工艺控制</w:t>
            </w:r>
            <w:r>
              <w:rPr>
                <w:rFonts w:hint="eastAsia" w:cs="Times New Roman"/>
                <w:color w:val="auto"/>
                <w:sz w:val="21"/>
                <w:szCs w:val="21"/>
                <w:highlight w:val="none"/>
                <w:vertAlign w:val="baseline"/>
                <w:lang w:val="en-US" w:eastAsia="zh-CN"/>
              </w:rPr>
              <w:t>；饲料加工粉尘设置包围型集气罩+</w:t>
            </w:r>
            <w:r>
              <w:rPr>
                <w:rFonts w:hint="eastAsia" w:cs="Times New Roman"/>
                <w:color w:val="auto"/>
                <w:kern w:val="0"/>
                <w:sz w:val="21"/>
                <w:szCs w:val="24"/>
                <w:highlight w:val="none"/>
                <w:lang w:val="en-US" w:eastAsia="zh-CN" w:bidi="ar-SA"/>
              </w:rPr>
              <w:t>袋式除尘+15m排气筒</w:t>
            </w:r>
            <w:r>
              <w:rPr>
                <w:rFonts w:hint="eastAsia"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堆肥间</w:t>
            </w:r>
            <w:r>
              <w:rPr>
                <w:rFonts w:hint="eastAsia" w:eastAsia="宋体" w:cs="Times New Roman"/>
                <w:color w:val="auto"/>
                <w:sz w:val="21"/>
                <w:szCs w:val="21"/>
                <w:highlight w:val="none"/>
                <w:vertAlign w:val="baseline"/>
                <w:lang w:val="en-US" w:eastAsia="zh-CN"/>
              </w:rPr>
              <w:t>废气设置</w:t>
            </w:r>
            <w:r>
              <w:rPr>
                <w:rFonts w:hint="eastAsia" w:cs="Times New Roman"/>
                <w:color w:val="auto"/>
                <w:sz w:val="21"/>
                <w:szCs w:val="21"/>
                <w:highlight w:val="none"/>
                <w:vertAlign w:val="baseline"/>
                <w:lang w:val="en-US" w:eastAsia="zh-CN"/>
              </w:rPr>
              <w:t>负压抽风+</w:t>
            </w:r>
            <w:r>
              <w:rPr>
                <w:rFonts w:hint="eastAsia" w:eastAsia="宋体" w:cs="Times New Roman"/>
                <w:color w:val="auto"/>
                <w:kern w:val="0"/>
                <w:sz w:val="21"/>
                <w:szCs w:val="24"/>
                <w:highlight w:val="none"/>
                <w:lang w:val="en-US" w:eastAsia="zh-CN" w:bidi="ar-SA"/>
              </w:rPr>
              <w:t>袋式除尘+生物除臭（滴滤法）+15m排气筒；</w:t>
            </w:r>
            <w:r>
              <w:rPr>
                <w:rFonts w:hint="eastAsia" w:cs="Times New Roman"/>
                <w:color w:val="auto"/>
                <w:kern w:val="0"/>
                <w:sz w:val="21"/>
                <w:szCs w:val="24"/>
                <w:highlight w:val="none"/>
                <w:lang w:val="en-US" w:eastAsia="zh-CN" w:bidi="ar-SA"/>
              </w:rPr>
              <w:t>堆肥间</w:t>
            </w:r>
            <w:r>
              <w:rPr>
                <w:rFonts w:hint="eastAsia" w:eastAsia="宋体" w:cs="Times New Roman"/>
                <w:color w:val="auto"/>
                <w:kern w:val="0"/>
                <w:sz w:val="21"/>
                <w:szCs w:val="24"/>
                <w:highlight w:val="none"/>
                <w:lang w:val="en-US" w:eastAsia="zh-CN" w:bidi="ar-SA"/>
              </w:rPr>
              <w:t>设置封闭式作业</w:t>
            </w:r>
          </w:p>
        </w:tc>
        <w:tc>
          <w:tcPr>
            <w:tcW w:w="1243" w:type="dxa"/>
            <w:noWrap w:val="0"/>
            <w:vAlign w:val="center"/>
          </w:tcPr>
          <w:p w14:paraId="275C6449">
            <w:pPr>
              <w:spacing w:line="240" w:lineRule="auto"/>
              <w:jc w:val="center"/>
              <w:rPr>
                <w:rFonts w:hint="eastAsia" w:cs="Times New Roman"/>
                <w:color w:val="auto"/>
                <w:sz w:val="21"/>
                <w:szCs w:val="21"/>
                <w:lang w:val="en-US" w:eastAsia="zh-CN"/>
              </w:rPr>
            </w:pPr>
            <w:r>
              <w:rPr>
                <w:rFonts w:hint="eastAsia" w:cs="Times New Roman"/>
                <w:color w:val="000000"/>
                <w:sz w:val="21"/>
                <w:szCs w:val="21"/>
                <w:lang w:val="en-US" w:eastAsia="zh-CN"/>
              </w:rPr>
              <w:t>新建</w:t>
            </w:r>
          </w:p>
        </w:tc>
      </w:tr>
      <w:tr w14:paraId="39BDA1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05660A05">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restart"/>
            <w:noWrap w:val="0"/>
            <w:vAlign w:val="center"/>
          </w:tcPr>
          <w:p w14:paraId="784A54BB">
            <w:pPr>
              <w:adjustRightInd w:val="0"/>
              <w:snapToGrid w:val="0"/>
              <w:spacing w:line="240" w:lineRule="auto"/>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color w:val="000000"/>
                <w:sz w:val="21"/>
                <w:szCs w:val="21"/>
              </w:rPr>
              <w:t>废水处理</w:t>
            </w:r>
          </w:p>
        </w:tc>
        <w:tc>
          <w:tcPr>
            <w:tcW w:w="4524" w:type="dxa"/>
            <w:noWrap w:val="0"/>
            <w:vAlign w:val="center"/>
          </w:tcPr>
          <w:p w14:paraId="5E8AA2B4">
            <w:pPr>
              <w:spacing w:line="240" w:lineRule="auto"/>
              <w:jc w:val="center"/>
              <w:rPr>
                <w:rFonts w:hint="eastAsia" w:ascii="Times New Roman" w:hAnsi="Times New Roman" w:eastAsia="宋体" w:cs="Times New Roman"/>
                <w:color w:val="auto"/>
                <w:sz w:val="21"/>
                <w:szCs w:val="21"/>
                <w:lang w:val="en-US" w:eastAsia="zh-CN"/>
              </w:rPr>
            </w:pPr>
            <w:r>
              <w:rPr>
                <w:rFonts w:hint="eastAsia" w:eastAsia="宋体" w:cs="Times New Roman"/>
                <w:color w:val="000000"/>
                <w:sz w:val="21"/>
                <w:szCs w:val="21"/>
                <w:lang w:val="en-US" w:eastAsia="zh-CN"/>
              </w:rPr>
              <w:t>生活污水</w:t>
            </w:r>
            <w:r>
              <w:rPr>
                <w:rFonts w:hint="eastAsia" w:cs="Times New Roman"/>
                <w:color w:val="000000"/>
                <w:sz w:val="21"/>
                <w:szCs w:val="21"/>
                <w:lang w:val="en-US" w:eastAsia="zh-CN"/>
              </w:rPr>
              <w:t>由</w:t>
            </w:r>
            <w:r>
              <w:rPr>
                <w:rFonts w:hint="eastAsia" w:cs="Times New Roman"/>
                <w:color w:val="000000"/>
                <w:sz w:val="21"/>
                <w:szCs w:val="21"/>
                <w:highlight w:val="none"/>
                <w:lang w:val="en-US" w:eastAsia="zh-CN"/>
              </w:rPr>
              <w:t>20m</w:t>
            </w:r>
            <w:r>
              <w:rPr>
                <w:rFonts w:hint="eastAsia" w:cs="Times New Roman"/>
                <w:color w:val="000000"/>
                <w:sz w:val="21"/>
                <w:szCs w:val="21"/>
                <w:highlight w:val="none"/>
                <w:vertAlign w:val="superscript"/>
                <w:lang w:val="en-US" w:eastAsia="zh-CN"/>
              </w:rPr>
              <w:t>3</w:t>
            </w:r>
            <w:r>
              <w:rPr>
                <w:rFonts w:hint="eastAsia" w:ascii="Times New Roman" w:hAnsi="Times New Roman" w:eastAsia="宋体" w:cs="Times New Roman"/>
                <w:color w:val="000000"/>
                <w:sz w:val="21"/>
                <w:szCs w:val="21"/>
                <w:highlight w:val="none"/>
                <w:lang w:val="en-US" w:eastAsia="zh-CN"/>
              </w:rPr>
              <w:t>防渗化粪池</w:t>
            </w:r>
            <w:r>
              <w:rPr>
                <w:rFonts w:hint="eastAsia" w:ascii="Times New Roman" w:hAnsi="Times New Roman" w:eastAsia="宋体" w:cs="Times New Roman"/>
                <w:color w:val="000000"/>
                <w:sz w:val="21"/>
                <w:szCs w:val="21"/>
                <w:lang w:val="en-US" w:eastAsia="zh-CN"/>
              </w:rPr>
              <w:t>收集，</w:t>
            </w:r>
            <w:r>
              <w:rPr>
                <w:rFonts w:hint="eastAsia" w:cs="Times New Roman"/>
                <w:color w:val="000000"/>
                <w:sz w:val="21"/>
                <w:szCs w:val="21"/>
                <w:lang w:val="en-US" w:eastAsia="zh-CN"/>
              </w:rPr>
              <w:t>由吸污车拉运至污水处理厂处置</w:t>
            </w:r>
          </w:p>
        </w:tc>
        <w:tc>
          <w:tcPr>
            <w:tcW w:w="1243" w:type="dxa"/>
            <w:noWrap w:val="0"/>
            <w:vAlign w:val="center"/>
          </w:tcPr>
          <w:p w14:paraId="716E6B76">
            <w:pPr>
              <w:spacing w:line="240" w:lineRule="auto"/>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highlight w:val="none"/>
                <w:lang w:val="en-US" w:eastAsia="zh-CN"/>
              </w:rPr>
              <w:t>新建</w:t>
            </w:r>
          </w:p>
        </w:tc>
      </w:tr>
      <w:tr w14:paraId="3A4B5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39D8E384">
            <w:pPr>
              <w:spacing w:line="240" w:lineRule="auto"/>
              <w:jc w:val="center"/>
              <w:rPr>
                <w:rFonts w:hint="default" w:ascii="Times New Roman" w:hAnsi="Times New Roman" w:eastAsia="宋体" w:cs="Times New Roman"/>
                <w:color w:val="000000"/>
                <w:spacing w:val="3"/>
                <w:kern w:val="0"/>
                <w:sz w:val="21"/>
                <w:szCs w:val="21"/>
              </w:rPr>
            </w:pPr>
          </w:p>
        </w:tc>
        <w:tc>
          <w:tcPr>
            <w:tcW w:w="1811" w:type="dxa"/>
            <w:gridSpan w:val="2"/>
            <w:vMerge w:val="continue"/>
            <w:noWrap w:val="0"/>
            <w:vAlign w:val="center"/>
          </w:tcPr>
          <w:p w14:paraId="393246AC">
            <w:pPr>
              <w:adjustRightInd w:val="0"/>
              <w:snapToGrid w:val="0"/>
              <w:spacing w:line="240" w:lineRule="auto"/>
              <w:jc w:val="center"/>
              <w:rPr>
                <w:rFonts w:hint="default" w:ascii="Times New Roman" w:hAnsi="Times New Roman" w:eastAsia="宋体" w:cs="Times New Roman"/>
                <w:color w:val="000000"/>
                <w:sz w:val="21"/>
                <w:szCs w:val="21"/>
              </w:rPr>
            </w:pPr>
          </w:p>
        </w:tc>
        <w:tc>
          <w:tcPr>
            <w:tcW w:w="4524" w:type="dxa"/>
            <w:noWrap w:val="0"/>
            <w:vAlign w:val="center"/>
          </w:tcPr>
          <w:p w14:paraId="02EDBF7A">
            <w:pPr>
              <w:spacing w:line="240" w:lineRule="auto"/>
              <w:jc w:val="center"/>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少量渗漏牛尿液经收集池收集后用于本项目堆肥</w:t>
            </w:r>
            <w:r>
              <w:rPr>
                <w:rFonts w:hint="default" w:ascii="Times New Roman" w:hAnsi="Times New Roman" w:eastAsia="宋体" w:cs="Times New Roman"/>
                <w:bCs/>
                <w:sz w:val="21"/>
                <w:szCs w:val="21"/>
              </w:rPr>
              <w:t>，</w:t>
            </w:r>
            <w:r>
              <w:rPr>
                <w:rFonts w:hint="eastAsia" w:ascii="Times New Roman" w:hAnsi="Times New Roman" w:eastAsia="宋体" w:cs="Times New Roman"/>
                <w:bCs/>
                <w:color w:val="000000"/>
                <w:sz w:val="21"/>
                <w:szCs w:val="21"/>
                <w:lang w:val="en-US" w:eastAsia="zh-CN"/>
              </w:rPr>
              <w:t>还田于</w:t>
            </w:r>
            <w:r>
              <w:rPr>
                <w:rFonts w:hint="eastAsia" w:eastAsia="宋体" w:cs="Times New Roman"/>
                <w:bCs/>
                <w:color w:val="000000"/>
                <w:sz w:val="21"/>
                <w:szCs w:val="21"/>
                <w:lang w:val="en-US" w:eastAsia="zh-CN"/>
              </w:rPr>
              <w:t>本项目</w:t>
            </w:r>
            <w:r>
              <w:rPr>
                <w:rFonts w:hint="eastAsia" w:cs="Times New Roman"/>
                <w:bCs/>
                <w:color w:val="000000"/>
                <w:sz w:val="21"/>
                <w:szCs w:val="21"/>
                <w:lang w:val="en-US" w:eastAsia="zh-CN"/>
              </w:rPr>
              <w:t>周边农田</w:t>
            </w:r>
            <w:r>
              <w:rPr>
                <w:rFonts w:hint="default" w:ascii="Times New Roman" w:hAnsi="Times New Roman" w:eastAsia="宋体" w:cs="Times New Roman"/>
                <w:bCs/>
                <w:color w:val="000000"/>
                <w:sz w:val="21"/>
                <w:szCs w:val="21"/>
              </w:rPr>
              <w:t>，无</w:t>
            </w:r>
            <w:r>
              <w:rPr>
                <w:rFonts w:hint="eastAsia" w:cs="Times New Roman"/>
                <w:bCs/>
                <w:color w:val="000000"/>
                <w:sz w:val="21"/>
                <w:szCs w:val="21"/>
                <w:lang w:val="en-US" w:eastAsia="zh-CN"/>
              </w:rPr>
              <w:t>养殖</w:t>
            </w:r>
            <w:r>
              <w:rPr>
                <w:rFonts w:hint="default" w:ascii="Times New Roman" w:hAnsi="Times New Roman" w:eastAsia="宋体" w:cs="Times New Roman"/>
                <w:bCs/>
                <w:color w:val="000000"/>
                <w:sz w:val="21"/>
                <w:szCs w:val="21"/>
              </w:rPr>
              <w:t>废水排放</w:t>
            </w:r>
          </w:p>
        </w:tc>
        <w:tc>
          <w:tcPr>
            <w:tcW w:w="1243" w:type="dxa"/>
            <w:noWrap w:val="0"/>
            <w:vAlign w:val="center"/>
          </w:tcPr>
          <w:p w14:paraId="281EAFB0">
            <w:pPr>
              <w:spacing w:line="240" w:lineRule="auto"/>
              <w:jc w:val="center"/>
              <w:rPr>
                <w:rFonts w:hint="default" w:ascii="Times New Roman" w:hAnsi="Times New Roman" w:eastAsia="宋体" w:cs="Times New Roman"/>
                <w:bCs/>
                <w:sz w:val="21"/>
                <w:szCs w:val="21"/>
                <w:lang w:val="en-US" w:eastAsia="zh-CN"/>
              </w:rPr>
            </w:pPr>
            <w:r>
              <w:rPr>
                <w:rFonts w:hint="eastAsia" w:cs="Times New Roman"/>
                <w:color w:val="000000"/>
                <w:sz w:val="21"/>
                <w:szCs w:val="21"/>
                <w:lang w:val="en-US" w:eastAsia="zh-CN"/>
              </w:rPr>
              <w:t>新建</w:t>
            </w:r>
          </w:p>
        </w:tc>
      </w:tr>
      <w:tr w14:paraId="0F946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926" w:type="dxa"/>
            <w:vMerge w:val="continue"/>
            <w:noWrap w:val="0"/>
            <w:vAlign w:val="center"/>
          </w:tcPr>
          <w:p w14:paraId="4A051AC4">
            <w:pPr>
              <w:spacing w:line="240" w:lineRule="auto"/>
              <w:jc w:val="center"/>
              <w:rPr>
                <w:rFonts w:hint="default" w:ascii="Times New Roman" w:hAnsi="Times New Roman" w:eastAsia="宋体" w:cs="Times New Roman"/>
                <w:color w:val="000000"/>
                <w:spacing w:val="3"/>
                <w:kern w:val="0"/>
                <w:sz w:val="21"/>
                <w:szCs w:val="21"/>
              </w:rPr>
            </w:pPr>
          </w:p>
        </w:tc>
        <w:tc>
          <w:tcPr>
            <w:tcW w:w="859" w:type="dxa"/>
            <w:vMerge w:val="restart"/>
            <w:noWrap w:val="0"/>
            <w:vAlign w:val="center"/>
          </w:tcPr>
          <w:p w14:paraId="5F8702B5">
            <w:pPr>
              <w:adjustRightInd w:val="0"/>
              <w:snapToGrid w:val="0"/>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固体废物处理</w:t>
            </w:r>
          </w:p>
        </w:tc>
        <w:tc>
          <w:tcPr>
            <w:tcW w:w="952" w:type="dxa"/>
            <w:noWrap w:val="0"/>
            <w:vAlign w:val="center"/>
          </w:tcPr>
          <w:p w14:paraId="3E660F94">
            <w:pPr>
              <w:adjustRightInd w:val="0"/>
              <w:snapToGrid w:val="0"/>
              <w:spacing w:line="240" w:lineRule="auto"/>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牛粪及废发酵垫料</w:t>
            </w:r>
          </w:p>
        </w:tc>
        <w:tc>
          <w:tcPr>
            <w:tcW w:w="4524" w:type="dxa"/>
            <w:noWrap w:val="0"/>
            <w:vAlign w:val="center"/>
          </w:tcPr>
          <w:p w14:paraId="102A81B0">
            <w:pPr>
              <w:spacing w:line="240" w:lineRule="auto"/>
              <w:jc w:val="center"/>
              <w:rPr>
                <w:rFonts w:hint="default" w:eastAsia="宋体" w:cs="Times New Roman"/>
                <w:color w:val="auto"/>
                <w:sz w:val="21"/>
                <w:szCs w:val="21"/>
                <w:lang w:val="en-US" w:eastAsia="zh-CN"/>
              </w:rPr>
            </w:pPr>
            <w:r>
              <w:rPr>
                <w:rFonts w:hint="eastAsia" w:cs="Times New Roman"/>
                <w:color w:val="auto"/>
                <w:sz w:val="21"/>
                <w:szCs w:val="21"/>
                <w:lang w:val="en-US" w:eastAsia="zh-CN"/>
              </w:rPr>
              <w:t>经原位发酵床发酵完毕后在堆肥间翻抛后还田</w:t>
            </w:r>
          </w:p>
        </w:tc>
        <w:tc>
          <w:tcPr>
            <w:tcW w:w="1243" w:type="dxa"/>
            <w:noWrap w:val="0"/>
            <w:vAlign w:val="center"/>
          </w:tcPr>
          <w:p w14:paraId="5E6D7EDD">
            <w:pPr>
              <w:spacing w:line="240" w:lineRule="auto"/>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新建</w:t>
            </w:r>
          </w:p>
        </w:tc>
      </w:tr>
      <w:tr w14:paraId="07985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5DE55D08">
            <w:pPr>
              <w:spacing w:line="240" w:lineRule="auto"/>
              <w:jc w:val="center"/>
              <w:rPr>
                <w:rFonts w:hint="default" w:ascii="Times New Roman" w:hAnsi="Times New Roman" w:eastAsia="宋体" w:cs="Times New Roman"/>
                <w:color w:val="000000"/>
                <w:spacing w:val="3"/>
                <w:kern w:val="0"/>
                <w:sz w:val="21"/>
                <w:szCs w:val="21"/>
              </w:rPr>
            </w:pPr>
          </w:p>
        </w:tc>
        <w:tc>
          <w:tcPr>
            <w:tcW w:w="859" w:type="dxa"/>
            <w:vMerge w:val="continue"/>
            <w:noWrap w:val="0"/>
            <w:vAlign w:val="center"/>
          </w:tcPr>
          <w:p w14:paraId="3BDF8B99">
            <w:pPr>
              <w:spacing w:line="240" w:lineRule="auto"/>
              <w:jc w:val="center"/>
              <w:rPr>
                <w:rFonts w:hint="default" w:ascii="Times New Roman" w:hAnsi="Times New Roman" w:eastAsia="宋体" w:cs="Times New Roman"/>
                <w:bCs/>
                <w:color w:val="000000"/>
                <w:sz w:val="21"/>
                <w:szCs w:val="21"/>
              </w:rPr>
            </w:pPr>
          </w:p>
        </w:tc>
        <w:tc>
          <w:tcPr>
            <w:tcW w:w="952" w:type="dxa"/>
            <w:noWrap w:val="0"/>
            <w:vAlign w:val="center"/>
          </w:tcPr>
          <w:p w14:paraId="7A51284B">
            <w:pPr>
              <w:spacing w:line="240" w:lineRule="auto"/>
              <w:jc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sz w:val="21"/>
                <w:szCs w:val="21"/>
              </w:rPr>
              <w:t>医疗废物</w:t>
            </w:r>
          </w:p>
        </w:tc>
        <w:tc>
          <w:tcPr>
            <w:tcW w:w="4524" w:type="dxa"/>
            <w:noWrap w:val="0"/>
            <w:vAlign w:val="center"/>
          </w:tcPr>
          <w:p w14:paraId="3301F0AE">
            <w:pPr>
              <w:spacing w:line="240" w:lineRule="auto"/>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暂存于</w:t>
            </w:r>
            <w:r>
              <w:rPr>
                <w:rFonts w:hint="eastAsia"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lang w:val="en-US" w:eastAsia="zh-CN"/>
              </w:rPr>
              <w:t>m</w:t>
            </w:r>
            <w:r>
              <w:rPr>
                <w:rFonts w:hint="default" w:ascii="Times New Roman" w:hAnsi="Times New Roman" w:eastAsia="宋体" w:cs="Times New Roman"/>
                <w:color w:val="000000"/>
                <w:sz w:val="21"/>
                <w:szCs w:val="21"/>
                <w:vertAlign w:val="superscript"/>
                <w:lang w:val="en-US" w:eastAsia="zh-CN"/>
              </w:rPr>
              <w:t>2</w:t>
            </w:r>
            <w:r>
              <w:rPr>
                <w:rFonts w:hint="default" w:ascii="Times New Roman" w:hAnsi="Times New Roman" w:eastAsia="宋体" w:cs="Times New Roman"/>
                <w:color w:val="000000"/>
                <w:sz w:val="21"/>
                <w:szCs w:val="21"/>
                <w:lang w:eastAsia="zh-CN"/>
              </w:rPr>
              <w:t>医疗</w:t>
            </w:r>
            <w:r>
              <w:rPr>
                <w:rFonts w:hint="default" w:ascii="Times New Roman" w:hAnsi="Times New Roman" w:eastAsia="宋体" w:cs="Times New Roman"/>
                <w:color w:val="000000"/>
                <w:sz w:val="21"/>
                <w:szCs w:val="21"/>
                <w:lang w:val="en-US" w:eastAsia="zh-CN"/>
              </w:rPr>
              <w:t>废物</w:t>
            </w:r>
            <w:r>
              <w:rPr>
                <w:rFonts w:hint="default" w:ascii="Times New Roman" w:hAnsi="Times New Roman" w:eastAsia="宋体" w:cs="Times New Roman"/>
                <w:color w:val="000000"/>
                <w:sz w:val="21"/>
                <w:szCs w:val="21"/>
                <w:lang w:eastAsia="zh-CN"/>
              </w:rPr>
              <w:t>暂存间，</w:t>
            </w:r>
            <w:r>
              <w:rPr>
                <w:rFonts w:hint="eastAsia" w:cs="Times New Roman"/>
                <w:color w:val="000000"/>
                <w:sz w:val="21"/>
                <w:szCs w:val="21"/>
                <w:lang w:val="en-US" w:eastAsia="zh-CN"/>
              </w:rPr>
              <w:t>委托</w:t>
            </w:r>
            <w:r>
              <w:rPr>
                <w:rFonts w:hint="default" w:ascii="Times New Roman" w:hAnsi="Times New Roman" w:eastAsia="宋体" w:cs="Times New Roman"/>
                <w:color w:val="000000"/>
                <w:sz w:val="21"/>
                <w:szCs w:val="21"/>
              </w:rPr>
              <w:t>有资质的处理单位</w:t>
            </w:r>
            <w:r>
              <w:rPr>
                <w:rFonts w:hint="eastAsia" w:cs="Times New Roman"/>
                <w:color w:val="000000"/>
                <w:sz w:val="21"/>
                <w:szCs w:val="21"/>
                <w:lang w:val="en-US" w:eastAsia="zh-CN"/>
              </w:rPr>
              <w:t>运输处置</w:t>
            </w:r>
          </w:p>
        </w:tc>
        <w:tc>
          <w:tcPr>
            <w:tcW w:w="1243" w:type="dxa"/>
            <w:noWrap w:val="0"/>
            <w:vAlign w:val="center"/>
          </w:tcPr>
          <w:p w14:paraId="696998EF">
            <w:pPr>
              <w:spacing w:line="240" w:lineRule="auto"/>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新建</w:t>
            </w:r>
          </w:p>
        </w:tc>
      </w:tr>
      <w:tr w14:paraId="2D180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40BDF078">
            <w:pPr>
              <w:spacing w:line="240" w:lineRule="auto"/>
              <w:jc w:val="center"/>
              <w:rPr>
                <w:rFonts w:hint="default" w:ascii="Times New Roman" w:hAnsi="Times New Roman" w:eastAsia="宋体" w:cs="Times New Roman"/>
                <w:color w:val="000000"/>
                <w:spacing w:val="3"/>
                <w:kern w:val="0"/>
                <w:sz w:val="21"/>
                <w:szCs w:val="21"/>
              </w:rPr>
            </w:pPr>
          </w:p>
        </w:tc>
        <w:tc>
          <w:tcPr>
            <w:tcW w:w="859" w:type="dxa"/>
            <w:vMerge w:val="continue"/>
            <w:noWrap w:val="0"/>
            <w:vAlign w:val="center"/>
          </w:tcPr>
          <w:p w14:paraId="1155C9EE">
            <w:pPr>
              <w:spacing w:line="240" w:lineRule="auto"/>
              <w:jc w:val="center"/>
              <w:rPr>
                <w:rFonts w:hint="default" w:ascii="Times New Roman" w:hAnsi="Times New Roman" w:eastAsia="宋体" w:cs="Times New Roman"/>
                <w:color w:val="000000"/>
                <w:spacing w:val="3"/>
                <w:kern w:val="0"/>
                <w:sz w:val="21"/>
                <w:szCs w:val="21"/>
              </w:rPr>
            </w:pPr>
          </w:p>
        </w:tc>
        <w:tc>
          <w:tcPr>
            <w:tcW w:w="952" w:type="dxa"/>
            <w:noWrap w:val="0"/>
            <w:vAlign w:val="center"/>
          </w:tcPr>
          <w:p w14:paraId="50169AB3">
            <w:pPr>
              <w:spacing w:line="240" w:lineRule="auto"/>
              <w:jc w:val="center"/>
              <w:rPr>
                <w:rFonts w:hint="default" w:ascii="Times New Roman" w:hAnsi="Times New Roman" w:eastAsia="宋体" w:cs="Times New Roman"/>
                <w:color w:val="000000"/>
                <w:spacing w:val="3"/>
                <w:kern w:val="0"/>
                <w:sz w:val="21"/>
                <w:szCs w:val="21"/>
                <w:lang w:eastAsia="zh-CN"/>
              </w:rPr>
            </w:pPr>
            <w:r>
              <w:rPr>
                <w:rFonts w:hint="default" w:ascii="Times New Roman" w:hAnsi="Times New Roman" w:eastAsia="宋体" w:cs="Times New Roman"/>
                <w:color w:val="000000"/>
                <w:spacing w:val="3"/>
                <w:kern w:val="0"/>
                <w:sz w:val="21"/>
                <w:szCs w:val="21"/>
              </w:rPr>
              <w:t>病死</w:t>
            </w:r>
            <w:r>
              <w:rPr>
                <w:rFonts w:hint="eastAsia" w:ascii="Times New Roman" w:hAnsi="Times New Roman" w:eastAsia="宋体" w:cs="Times New Roman"/>
                <w:color w:val="000000"/>
                <w:spacing w:val="3"/>
                <w:kern w:val="0"/>
                <w:sz w:val="21"/>
                <w:szCs w:val="21"/>
                <w:lang w:val="en-US" w:eastAsia="zh-CN"/>
              </w:rPr>
              <w:t>牛</w:t>
            </w:r>
            <w:r>
              <w:rPr>
                <w:rFonts w:hint="default" w:ascii="Times New Roman" w:hAnsi="Times New Roman" w:eastAsia="宋体" w:cs="Times New Roman"/>
                <w:color w:val="000000"/>
                <w:spacing w:val="3"/>
                <w:kern w:val="0"/>
                <w:sz w:val="21"/>
                <w:szCs w:val="21"/>
              </w:rPr>
              <w:t>尸</w:t>
            </w:r>
          </w:p>
        </w:tc>
        <w:tc>
          <w:tcPr>
            <w:tcW w:w="4524" w:type="dxa"/>
            <w:noWrap w:val="0"/>
            <w:vAlign w:val="center"/>
          </w:tcPr>
          <w:p w14:paraId="6489419F">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000000"/>
                <w:sz w:val="21"/>
                <w:szCs w:val="21"/>
                <w:lang w:val="en-US" w:eastAsia="zh-CN"/>
              </w:rPr>
              <w:t>暂存于</w:t>
            </w:r>
            <w:r>
              <w:rPr>
                <w:rFonts w:hint="eastAsia"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lang w:val="en-US" w:eastAsia="zh-CN"/>
              </w:rPr>
              <w:t>m</w:t>
            </w:r>
            <w:r>
              <w:rPr>
                <w:rFonts w:hint="default" w:ascii="Times New Roman" w:hAnsi="Times New Roman" w:eastAsia="宋体" w:cs="Times New Roman"/>
                <w:color w:val="000000"/>
                <w:sz w:val="21"/>
                <w:szCs w:val="21"/>
                <w:vertAlign w:val="superscript"/>
                <w:lang w:val="en-US" w:eastAsia="zh-CN"/>
              </w:rPr>
              <w:t>2</w:t>
            </w:r>
            <w:r>
              <w:rPr>
                <w:rFonts w:hint="eastAsia" w:eastAsia="宋体" w:cs="Times New Roman"/>
                <w:color w:val="000000"/>
                <w:sz w:val="21"/>
                <w:szCs w:val="21"/>
                <w:lang w:val="en-US" w:eastAsia="zh-CN"/>
              </w:rPr>
              <w:t>病死牛</w:t>
            </w:r>
            <w:r>
              <w:rPr>
                <w:rFonts w:hint="default" w:ascii="Times New Roman" w:hAnsi="Times New Roman" w:eastAsia="宋体" w:cs="Times New Roman"/>
                <w:color w:val="000000"/>
                <w:sz w:val="21"/>
                <w:szCs w:val="21"/>
                <w:lang w:eastAsia="zh-CN"/>
              </w:rPr>
              <w:t>暂存间，</w:t>
            </w:r>
            <w:r>
              <w:rPr>
                <w:rFonts w:hint="eastAsia" w:eastAsia="宋体" w:cs="Times New Roman"/>
                <w:color w:val="auto"/>
                <w:sz w:val="21"/>
                <w:szCs w:val="21"/>
                <w:lang w:val="en-US" w:eastAsia="zh-CN"/>
              </w:rPr>
              <w:t>委托</w:t>
            </w:r>
            <w:r>
              <w:rPr>
                <w:rFonts w:hint="eastAsia" w:cs="Times New Roman"/>
                <w:color w:val="auto"/>
                <w:sz w:val="21"/>
                <w:szCs w:val="21"/>
                <w:lang w:val="en-US" w:eastAsia="zh-CN"/>
              </w:rPr>
              <w:t>病死畜禽无害化处置单位</w:t>
            </w:r>
            <w:r>
              <w:rPr>
                <w:rFonts w:hint="eastAsia" w:eastAsia="宋体" w:cs="Times New Roman"/>
                <w:color w:val="auto"/>
                <w:sz w:val="21"/>
                <w:szCs w:val="21"/>
                <w:lang w:val="en-US" w:eastAsia="zh-CN"/>
              </w:rPr>
              <w:t>进行无害化处置</w:t>
            </w:r>
          </w:p>
        </w:tc>
        <w:tc>
          <w:tcPr>
            <w:tcW w:w="1243" w:type="dxa"/>
            <w:noWrap w:val="0"/>
            <w:vAlign w:val="center"/>
          </w:tcPr>
          <w:p w14:paraId="227792E5">
            <w:pPr>
              <w:spacing w:line="240" w:lineRule="auto"/>
              <w:jc w:val="center"/>
              <w:rPr>
                <w:rFonts w:hint="default" w:ascii="Times New Roman" w:hAnsi="Times New Roman" w:eastAsia="宋体" w:cs="Times New Roman"/>
                <w:color w:val="auto"/>
                <w:sz w:val="21"/>
                <w:szCs w:val="21"/>
              </w:rPr>
            </w:pPr>
            <w:r>
              <w:rPr>
                <w:rFonts w:hint="eastAsia" w:cs="Times New Roman"/>
                <w:color w:val="000000"/>
                <w:sz w:val="21"/>
                <w:szCs w:val="21"/>
                <w:lang w:val="en-US" w:eastAsia="zh-CN"/>
              </w:rPr>
              <w:t>新建</w:t>
            </w:r>
          </w:p>
        </w:tc>
      </w:tr>
      <w:tr w14:paraId="0F972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0994D7FC">
            <w:pPr>
              <w:spacing w:line="240" w:lineRule="auto"/>
              <w:jc w:val="center"/>
              <w:rPr>
                <w:rFonts w:hint="default" w:ascii="Times New Roman" w:hAnsi="Times New Roman" w:eastAsia="宋体" w:cs="Times New Roman"/>
                <w:color w:val="000000"/>
                <w:spacing w:val="3"/>
                <w:sz w:val="21"/>
                <w:szCs w:val="21"/>
              </w:rPr>
            </w:pPr>
          </w:p>
        </w:tc>
        <w:tc>
          <w:tcPr>
            <w:tcW w:w="859" w:type="dxa"/>
            <w:vMerge w:val="continue"/>
            <w:noWrap w:val="0"/>
            <w:vAlign w:val="center"/>
          </w:tcPr>
          <w:p w14:paraId="4C27B9C3">
            <w:pPr>
              <w:spacing w:line="240" w:lineRule="auto"/>
              <w:jc w:val="center"/>
              <w:rPr>
                <w:rFonts w:hint="default" w:ascii="Times New Roman" w:hAnsi="Times New Roman" w:eastAsia="宋体" w:cs="Times New Roman"/>
                <w:color w:val="000000"/>
                <w:spacing w:val="3"/>
                <w:sz w:val="21"/>
                <w:szCs w:val="21"/>
              </w:rPr>
            </w:pPr>
          </w:p>
        </w:tc>
        <w:tc>
          <w:tcPr>
            <w:tcW w:w="952" w:type="dxa"/>
            <w:noWrap w:val="0"/>
            <w:vAlign w:val="center"/>
          </w:tcPr>
          <w:p w14:paraId="146A8111">
            <w:pPr>
              <w:spacing w:line="240" w:lineRule="auto"/>
              <w:jc w:val="center"/>
              <w:rPr>
                <w:rFonts w:hint="eastAsia" w:ascii="Times New Roman" w:hAnsi="Times New Roman" w:eastAsia="宋体" w:cs="Times New Roman"/>
                <w:color w:val="000000"/>
                <w:spacing w:val="3"/>
                <w:sz w:val="21"/>
                <w:szCs w:val="21"/>
                <w:highlight w:val="none"/>
                <w:lang w:val="en-US" w:eastAsia="zh-CN"/>
              </w:rPr>
            </w:pPr>
            <w:r>
              <w:rPr>
                <w:rFonts w:hint="eastAsia" w:eastAsia="宋体" w:cs="Times New Roman"/>
                <w:color w:val="000000"/>
                <w:spacing w:val="3"/>
                <w:sz w:val="21"/>
                <w:szCs w:val="21"/>
                <w:highlight w:val="none"/>
                <w:lang w:val="en-US" w:eastAsia="zh-CN"/>
              </w:rPr>
              <w:t>除尘灰</w:t>
            </w:r>
          </w:p>
        </w:tc>
        <w:tc>
          <w:tcPr>
            <w:tcW w:w="4524" w:type="dxa"/>
            <w:noWrap w:val="0"/>
            <w:vAlign w:val="center"/>
          </w:tcPr>
          <w:p w14:paraId="2C86B658">
            <w:pPr>
              <w:spacing w:line="240" w:lineRule="auto"/>
              <w:jc w:val="center"/>
              <w:rPr>
                <w:rFonts w:hint="eastAsia" w:eastAsia="宋体" w:cs="Times New Roman"/>
                <w:color w:val="000000"/>
                <w:sz w:val="21"/>
                <w:szCs w:val="21"/>
                <w:highlight w:val="none"/>
                <w:lang w:val="en-US" w:eastAsia="zh-CN"/>
              </w:rPr>
            </w:pPr>
            <w:r>
              <w:rPr>
                <w:rFonts w:hint="eastAsia" w:eastAsia="宋体" w:cs="Times New Roman"/>
                <w:color w:val="000000"/>
                <w:sz w:val="21"/>
                <w:szCs w:val="21"/>
                <w:highlight w:val="none"/>
                <w:lang w:val="en-US" w:eastAsia="zh-CN"/>
              </w:rPr>
              <w:t>集中收集后暂存于</w:t>
            </w:r>
            <w:r>
              <w:rPr>
                <w:rFonts w:hint="eastAsia" w:cs="Times New Roman"/>
                <w:color w:val="000000"/>
                <w:sz w:val="21"/>
                <w:szCs w:val="21"/>
                <w:highlight w:val="none"/>
                <w:lang w:val="en-US" w:eastAsia="zh-CN"/>
              </w:rPr>
              <w:t>堆肥间</w:t>
            </w:r>
            <w:r>
              <w:rPr>
                <w:rFonts w:hint="eastAsia" w:eastAsia="宋体" w:cs="Times New Roman"/>
                <w:color w:val="000000"/>
                <w:sz w:val="21"/>
                <w:szCs w:val="21"/>
                <w:highlight w:val="none"/>
                <w:lang w:val="en-US" w:eastAsia="zh-CN"/>
              </w:rPr>
              <w:t>内回用于</w:t>
            </w:r>
            <w:r>
              <w:rPr>
                <w:rFonts w:hint="eastAsia" w:cs="Times New Roman"/>
                <w:color w:val="000000"/>
                <w:sz w:val="21"/>
                <w:szCs w:val="21"/>
                <w:highlight w:val="none"/>
                <w:lang w:val="en-US" w:eastAsia="zh-CN"/>
              </w:rPr>
              <w:t>堆肥</w:t>
            </w:r>
          </w:p>
        </w:tc>
        <w:tc>
          <w:tcPr>
            <w:tcW w:w="1243" w:type="dxa"/>
            <w:noWrap w:val="0"/>
            <w:vAlign w:val="center"/>
          </w:tcPr>
          <w:p w14:paraId="3FF1E840">
            <w:pPr>
              <w:spacing w:line="240" w:lineRule="auto"/>
              <w:jc w:val="center"/>
              <w:rPr>
                <w:rFonts w:hint="default" w:ascii="Times New Roman" w:hAnsi="Times New Roman" w:eastAsia="宋体" w:cs="Times New Roman"/>
                <w:color w:val="000000"/>
                <w:sz w:val="21"/>
                <w:szCs w:val="21"/>
                <w:highlight w:val="yellow"/>
                <w:lang w:eastAsia="zh-CN"/>
              </w:rPr>
            </w:pPr>
            <w:r>
              <w:rPr>
                <w:rFonts w:hint="eastAsia" w:cs="Times New Roman"/>
                <w:color w:val="000000"/>
                <w:sz w:val="21"/>
                <w:szCs w:val="21"/>
                <w:lang w:val="en-US" w:eastAsia="zh-CN"/>
              </w:rPr>
              <w:t>新建</w:t>
            </w:r>
          </w:p>
        </w:tc>
      </w:tr>
      <w:tr w14:paraId="7C8B3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64C7C1E3">
            <w:pPr>
              <w:spacing w:line="240" w:lineRule="auto"/>
              <w:jc w:val="center"/>
              <w:rPr>
                <w:rFonts w:hint="default" w:ascii="Times New Roman" w:hAnsi="Times New Roman" w:eastAsia="宋体" w:cs="Times New Roman"/>
                <w:color w:val="000000"/>
                <w:spacing w:val="3"/>
                <w:sz w:val="21"/>
                <w:szCs w:val="21"/>
              </w:rPr>
            </w:pPr>
          </w:p>
        </w:tc>
        <w:tc>
          <w:tcPr>
            <w:tcW w:w="859" w:type="dxa"/>
            <w:vMerge w:val="continue"/>
            <w:noWrap w:val="0"/>
            <w:vAlign w:val="center"/>
          </w:tcPr>
          <w:p w14:paraId="5D22F68D">
            <w:pPr>
              <w:spacing w:line="240" w:lineRule="auto"/>
              <w:jc w:val="center"/>
              <w:rPr>
                <w:rFonts w:hint="default" w:ascii="Times New Roman" w:hAnsi="Times New Roman" w:eastAsia="宋体" w:cs="Times New Roman"/>
                <w:color w:val="000000"/>
                <w:spacing w:val="3"/>
                <w:sz w:val="21"/>
                <w:szCs w:val="21"/>
              </w:rPr>
            </w:pPr>
          </w:p>
        </w:tc>
        <w:tc>
          <w:tcPr>
            <w:tcW w:w="952" w:type="dxa"/>
            <w:noWrap w:val="0"/>
            <w:vAlign w:val="center"/>
          </w:tcPr>
          <w:p w14:paraId="1A5AC2C7">
            <w:pPr>
              <w:spacing w:line="240" w:lineRule="auto"/>
              <w:jc w:val="center"/>
              <w:rPr>
                <w:rFonts w:hint="default" w:ascii="Times New Roman" w:hAnsi="Times New Roman" w:eastAsia="宋体" w:cs="Times New Roman"/>
                <w:color w:val="000000"/>
                <w:spacing w:val="3"/>
                <w:sz w:val="21"/>
                <w:szCs w:val="21"/>
                <w:highlight w:val="none"/>
                <w:lang w:val="en-US" w:eastAsia="zh-CN"/>
              </w:rPr>
            </w:pPr>
            <w:r>
              <w:rPr>
                <w:rFonts w:hint="eastAsia" w:eastAsia="宋体" w:cs="Times New Roman"/>
                <w:color w:val="000000"/>
                <w:spacing w:val="3"/>
                <w:sz w:val="21"/>
                <w:szCs w:val="21"/>
                <w:highlight w:val="none"/>
                <w:lang w:val="en-US" w:eastAsia="zh-CN"/>
              </w:rPr>
              <w:t>废填料</w:t>
            </w:r>
          </w:p>
        </w:tc>
        <w:tc>
          <w:tcPr>
            <w:tcW w:w="4524" w:type="dxa"/>
            <w:noWrap w:val="0"/>
            <w:vAlign w:val="center"/>
          </w:tcPr>
          <w:p w14:paraId="45FC8BA4">
            <w:pPr>
              <w:spacing w:line="240" w:lineRule="auto"/>
              <w:jc w:val="center"/>
              <w:rPr>
                <w:rFonts w:hint="eastAsia" w:eastAsia="宋体" w:cs="Times New Roman"/>
                <w:color w:val="000000"/>
                <w:sz w:val="21"/>
                <w:szCs w:val="21"/>
                <w:highlight w:val="none"/>
                <w:lang w:val="en-US" w:eastAsia="zh-CN"/>
              </w:rPr>
            </w:pPr>
            <w:r>
              <w:rPr>
                <w:rFonts w:hint="eastAsia" w:eastAsia="宋体" w:cs="Times New Roman"/>
                <w:color w:val="000000"/>
                <w:sz w:val="21"/>
                <w:szCs w:val="21"/>
                <w:highlight w:val="none"/>
                <w:lang w:val="en-US" w:eastAsia="zh-CN"/>
              </w:rPr>
              <w:t>集中收集后暂存于</w:t>
            </w:r>
            <w:r>
              <w:rPr>
                <w:rFonts w:hint="eastAsia" w:cs="Times New Roman"/>
                <w:color w:val="000000"/>
                <w:sz w:val="21"/>
                <w:szCs w:val="21"/>
                <w:highlight w:val="none"/>
                <w:lang w:val="en-US" w:eastAsia="zh-CN"/>
              </w:rPr>
              <w:t>堆肥间</w:t>
            </w:r>
            <w:r>
              <w:rPr>
                <w:rFonts w:hint="eastAsia" w:eastAsia="宋体" w:cs="Times New Roman"/>
                <w:color w:val="000000"/>
                <w:sz w:val="21"/>
                <w:szCs w:val="21"/>
                <w:highlight w:val="none"/>
                <w:lang w:val="en-US" w:eastAsia="zh-CN"/>
              </w:rPr>
              <w:t>内，定期外售回收单位综合利用</w:t>
            </w:r>
          </w:p>
        </w:tc>
        <w:tc>
          <w:tcPr>
            <w:tcW w:w="1243" w:type="dxa"/>
            <w:noWrap w:val="0"/>
            <w:vAlign w:val="center"/>
          </w:tcPr>
          <w:p w14:paraId="5D52C12F">
            <w:pPr>
              <w:spacing w:line="240" w:lineRule="auto"/>
              <w:jc w:val="center"/>
              <w:rPr>
                <w:rFonts w:hint="eastAsia" w:ascii="Times New Roman" w:hAnsi="Times New Roman" w:eastAsia="宋体" w:cs="Times New Roman"/>
                <w:bCs/>
                <w:sz w:val="21"/>
                <w:szCs w:val="21"/>
                <w:highlight w:val="yellow"/>
                <w:lang w:val="en-US" w:eastAsia="zh-CN"/>
              </w:rPr>
            </w:pPr>
            <w:r>
              <w:rPr>
                <w:rFonts w:hint="eastAsia" w:cs="Times New Roman"/>
                <w:color w:val="000000"/>
                <w:sz w:val="21"/>
                <w:szCs w:val="21"/>
                <w:lang w:val="en-US" w:eastAsia="zh-CN"/>
              </w:rPr>
              <w:t>新建</w:t>
            </w:r>
          </w:p>
        </w:tc>
      </w:tr>
      <w:tr w14:paraId="2F7EC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6EAA1689">
            <w:pPr>
              <w:spacing w:line="240" w:lineRule="auto"/>
              <w:jc w:val="center"/>
              <w:rPr>
                <w:rFonts w:hint="default" w:ascii="Times New Roman" w:hAnsi="Times New Roman" w:eastAsia="宋体" w:cs="Times New Roman"/>
                <w:color w:val="000000"/>
                <w:spacing w:val="3"/>
                <w:sz w:val="21"/>
                <w:szCs w:val="21"/>
              </w:rPr>
            </w:pPr>
          </w:p>
        </w:tc>
        <w:tc>
          <w:tcPr>
            <w:tcW w:w="859" w:type="dxa"/>
            <w:vMerge w:val="continue"/>
            <w:noWrap w:val="0"/>
            <w:vAlign w:val="center"/>
          </w:tcPr>
          <w:p w14:paraId="79CDEA4C">
            <w:pPr>
              <w:spacing w:line="240" w:lineRule="auto"/>
              <w:jc w:val="center"/>
              <w:rPr>
                <w:rFonts w:hint="default" w:ascii="Times New Roman" w:hAnsi="Times New Roman" w:eastAsia="宋体" w:cs="Times New Roman"/>
                <w:color w:val="000000"/>
                <w:spacing w:val="3"/>
                <w:sz w:val="21"/>
                <w:szCs w:val="21"/>
              </w:rPr>
            </w:pPr>
          </w:p>
        </w:tc>
        <w:tc>
          <w:tcPr>
            <w:tcW w:w="952" w:type="dxa"/>
            <w:noWrap w:val="0"/>
            <w:vAlign w:val="center"/>
          </w:tcPr>
          <w:p w14:paraId="64CB662F">
            <w:pPr>
              <w:spacing w:line="240" w:lineRule="auto"/>
              <w:jc w:val="center"/>
              <w:rPr>
                <w:rFonts w:hint="default" w:ascii="Times New Roman" w:hAnsi="Times New Roman" w:eastAsia="宋体" w:cs="Times New Roman"/>
                <w:color w:val="000000"/>
                <w:spacing w:val="3"/>
                <w:sz w:val="21"/>
                <w:szCs w:val="21"/>
                <w:lang w:val="en-US" w:eastAsia="zh-CN"/>
              </w:rPr>
            </w:pPr>
            <w:r>
              <w:rPr>
                <w:rFonts w:hint="eastAsia" w:eastAsia="宋体" w:cs="Times New Roman"/>
                <w:color w:val="000000"/>
                <w:spacing w:val="3"/>
                <w:sz w:val="21"/>
                <w:szCs w:val="21"/>
                <w:lang w:val="en-US" w:eastAsia="zh-CN"/>
              </w:rPr>
              <w:t>废包装材料</w:t>
            </w:r>
          </w:p>
        </w:tc>
        <w:tc>
          <w:tcPr>
            <w:tcW w:w="4524" w:type="dxa"/>
            <w:noWrap w:val="0"/>
            <w:vAlign w:val="center"/>
          </w:tcPr>
          <w:p w14:paraId="25DC2AEE">
            <w:pPr>
              <w:spacing w:line="240" w:lineRule="auto"/>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分类暂存，定期外售回收单位综合利用</w:t>
            </w:r>
          </w:p>
        </w:tc>
        <w:tc>
          <w:tcPr>
            <w:tcW w:w="1243" w:type="dxa"/>
            <w:noWrap w:val="0"/>
            <w:vAlign w:val="center"/>
          </w:tcPr>
          <w:p w14:paraId="655EA0D7">
            <w:pPr>
              <w:spacing w:line="240" w:lineRule="auto"/>
              <w:jc w:val="center"/>
              <w:rPr>
                <w:rFonts w:hint="eastAsia" w:ascii="Times New Roman" w:hAnsi="Times New Roman" w:eastAsia="宋体" w:cs="Times New Roman"/>
                <w:bCs/>
                <w:sz w:val="21"/>
                <w:szCs w:val="21"/>
                <w:lang w:val="en-US" w:eastAsia="zh-CN"/>
              </w:rPr>
            </w:pPr>
            <w:r>
              <w:rPr>
                <w:rFonts w:hint="eastAsia" w:cs="Times New Roman"/>
                <w:color w:val="000000"/>
                <w:sz w:val="21"/>
                <w:szCs w:val="21"/>
                <w:lang w:val="en-US" w:eastAsia="zh-CN"/>
              </w:rPr>
              <w:t>新建</w:t>
            </w:r>
          </w:p>
        </w:tc>
      </w:tr>
      <w:tr w14:paraId="1359D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047FBDE0">
            <w:pPr>
              <w:spacing w:line="240" w:lineRule="auto"/>
              <w:jc w:val="center"/>
              <w:rPr>
                <w:rFonts w:hint="default" w:ascii="Times New Roman" w:hAnsi="Times New Roman" w:eastAsia="宋体" w:cs="Times New Roman"/>
                <w:color w:val="000000"/>
                <w:spacing w:val="3"/>
                <w:sz w:val="21"/>
                <w:szCs w:val="21"/>
              </w:rPr>
            </w:pPr>
          </w:p>
        </w:tc>
        <w:tc>
          <w:tcPr>
            <w:tcW w:w="859" w:type="dxa"/>
            <w:vMerge w:val="continue"/>
            <w:noWrap w:val="0"/>
            <w:vAlign w:val="center"/>
          </w:tcPr>
          <w:p w14:paraId="31CF6E6D">
            <w:pPr>
              <w:spacing w:line="240" w:lineRule="auto"/>
              <w:jc w:val="center"/>
              <w:rPr>
                <w:rFonts w:hint="default" w:ascii="Times New Roman" w:hAnsi="Times New Roman" w:eastAsia="宋体" w:cs="Times New Roman"/>
                <w:color w:val="000000"/>
                <w:spacing w:val="3"/>
                <w:sz w:val="21"/>
                <w:szCs w:val="21"/>
              </w:rPr>
            </w:pPr>
          </w:p>
        </w:tc>
        <w:tc>
          <w:tcPr>
            <w:tcW w:w="952" w:type="dxa"/>
            <w:noWrap w:val="0"/>
            <w:vAlign w:val="center"/>
          </w:tcPr>
          <w:p w14:paraId="721265C3">
            <w:pPr>
              <w:spacing w:line="240" w:lineRule="auto"/>
              <w:jc w:val="center"/>
              <w:rPr>
                <w:rFonts w:hint="default" w:eastAsia="宋体" w:cs="Times New Roman"/>
                <w:color w:val="000000"/>
                <w:spacing w:val="3"/>
                <w:sz w:val="21"/>
                <w:szCs w:val="21"/>
                <w:lang w:val="en-US" w:eastAsia="zh-CN"/>
              </w:rPr>
            </w:pPr>
            <w:r>
              <w:rPr>
                <w:rFonts w:hint="eastAsia" w:cs="Times New Roman"/>
                <w:color w:val="000000"/>
                <w:spacing w:val="3"/>
                <w:sz w:val="21"/>
                <w:szCs w:val="21"/>
                <w:lang w:val="en-US" w:eastAsia="zh-CN"/>
              </w:rPr>
              <w:t>废消毒剂包装材料</w:t>
            </w:r>
          </w:p>
        </w:tc>
        <w:tc>
          <w:tcPr>
            <w:tcW w:w="4524" w:type="dxa"/>
            <w:noWrap w:val="0"/>
            <w:vAlign w:val="center"/>
          </w:tcPr>
          <w:p w14:paraId="2E7D6C8B">
            <w:pPr>
              <w:spacing w:line="240" w:lineRule="auto"/>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暂存于10</w:t>
            </w:r>
            <w:r>
              <w:rPr>
                <w:rFonts w:hint="default" w:ascii="Times New Roman" w:hAnsi="Times New Roman" w:eastAsia="宋体" w:cs="Times New Roman"/>
                <w:color w:val="000000"/>
                <w:sz w:val="21"/>
                <w:szCs w:val="21"/>
                <w:lang w:val="en-US" w:eastAsia="zh-CN"/>
              </w:rPr>
              <w:t>m</w:t>
            </w:r>
            <w:r>
              <w:rPr>
                <w:rFonts w:hint="default" w:ascii="Times New Roman" w:hAnsi="Times New Roman" w:eastAsia="宋体" w:cs="Times New Roman"/>
                <w:color w:val="000000"/>
                <w:sz w:val="21"/>
                <w:szCs w:val="21"/>
                <w:vertAlign w:val="superscript"/>
                <w:lang w:val="en-US" w:eastAsia="zh-CN"/>
              </w:rPr>
              <w:t>2</w:t>
            </w:r>
            <w:r>
              <w:rPr>
                <w:rFonts w:hint="eastAsia" w:cs="Times New Roman"/>
                <w:color w:val="000000"/>
                <w:sz w:val="21"/>
                <w:szCs w:val="21"/>
                <w:lang w:val="en-US" w:eastAsia="zh-CN"/>
              </w:rPr>
              <w:t>危险废物贮存点</w:t>
            </w:r>
            <w:r>
              <w:rPr>
                <w:rFonts w:hint="default" w:ascii="Times New Roman" w:hAnsi="Times New Roman" w:eastAsia="宋体" w:cs="Times New Roman"/>
                <w:color w:val="000000"/>
                <w:sz w:val="21"/>
                <w:szCs w:val="21"/>
                <w:lang w:eastAsia="zh-CN"/>
              </w:rPr>
              <w:t>，</w:t>
            </w:r>
            <w:r>
              <w:rPr>
                <w:rFonts w:hint="eastAsia" w:cs="Times New Roman"/>
                <w:color w:val="auto"/>
                <w:sz w:val="21"/>
                <w:szCs w:val="21"/>
                <w:lang w:val="en-US" w:eastAsia="zh-CN"/>
              </w:rPr>
              <w:t>委托有资质的单位运输处置</w:t>
            </w:r>
          </w:p>
        </w:tc>
        <w:tc>
          <w:tcPr>
            <w:tcW w:w="1243" w:type="dxa"/>
            <w:noWrap w:val="0"/>
            <w:vAlign w:val="center"/>
          </w:tcPr>
          <w:p w14:paraId="6E566B45">
            <w:pPr>
              <w:bidi w:val="0"/>
              <w:jc w:val="center"/>
              <w:rPr>
                <w:rFonts w:hint="eastAsia" w:ascii="Times New Roman" w:hAnsi="Times New Roman" w:eastAsia="宋体" w:cs="Times New Roman"/>
                <w:kern w:val="2"/>
                <w:sz w:val="21"/>
                <w:szCs w:val="24"/>
                <w:lang w:val="en-US" w:eastAsia="zh-CN" w:bidi="ar-SA"/>
              </w:rPr>
            </w:pPr>
            <w:r>
              <w:rPr>
                <w:rFonts w:hint="eastAsia" w:cs="Times New Roman"/>
                <w:color w:val="000000"/>
                <w:sz w:val="21"/>
                <w:szCs w:val="21"/>
                <w:lang w:val="en-US" w:eastAsia="zh-CN"/>
              </w:rPr>
              <w:t>新建</w:t>
            </w:r>
          </w:p>
        </w:tc>
      </w:tr>
      <w:tr w14:paraId="6858F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26" w:type="dxa"/>
            <w:vMerge w:val="continue"/>
            <w:noWrap w:val="0"/>
            <w:vAlign w:val="center"/>
          </w:tcPr>
          <w:p w14:paraId="0E9117D6">
            <w:pPr>
              <w:spacing w:line="240" w:lineRule="auto"/>
              <w:jc w:val="center"/>
              <w:rPr>
                <w:rFonts w:hint="default" w:ascii="Times New Roman" w:hAnsi="Times New Roman" w:eastAsia="宋体" w:cs="Times New Roman"/>
                <w:color w:val="000000"/>
                <w:spacing w:val="3"/>
                <w:sz w:val="21"/>
                <w:szCs w:val="21"/>
              </w:rPr>
            </w:pPr>
          </w:p>
        </w:tc>
        <w:tc>
          <w:tcPr>
            <w:tcW w:w="859" w:type="dxa"/>
            <w:vMerge w:val="continue"/>
            <w:noWrap w:val="0"/>
            <w:vAlign w:val="center"/>
          </w:tcPr>
          <w:p w14:paraId="6DBA6104">
            <w:pPr>
              <w:spacing w:line="240" w:lineRule="auto"/>
              <w:jc w:val="center"/>
              <w:rPr>
                <w:rFonts w:hint="default" w:ascii="Times New Roman" w:hAnsi="Times New Roman" w:eastAsia="宋体" w:cs="Times New Roman"/>
                <w:color w:val="000000"/>
                <w:spacing w:val="3"/>
                <w:sz w:val="21"/>
                <w:szCs w:val="21"/>
              </w:rPr>
            </w:pPr>
          </w:p>
        </w:tc>
        <w:tc>
          <w:tcPr>
            <w:tcW w:w="952" w:type="dxa"/>
            <w:noWrap w:val="0"/>
            <w:vAlign w:val="center"/>
          </w:tcPr>
          <w:p w14:paraId="2F9BC457">
            <w:pPr>
              <w:spacing w:line="240" w:lineRule="auto"/>
              <w:jc w:val="center"/>
              <w:rPr>
                <w:rFonts w:hint="default" w:ascii="Times New Roman" w:hAnsi="Times New Roman" w:eastAsia="宋体" w:cs="Times New Roman"/>
                <w:color w:val="000000"/>
                <w:spacing w:val="3"/>
                <w:sz w:val="21"/>
                <w:szCs w:val="21"/>
              </w:rPr>
            </w:pPr>
            <w:r>
              <w:rPr>
                <w:rFonts w:hint="default" w:ascii="Times New Roman" w:hAnsi="Times New Roman" w:eastAsia="宋体" w:cs="Times New Roman"/>
                <w:color w:val="000000"/>
                <w:spacing w:val="3"/>
                <w:sz w:val="21"/>
                <w:szCs w:val="21"/>
              </w:rPr>
              <w:t>生活垃圾</w:t>
            </w:r>
          </w:p>
        </w:tc>
        <w:tc>
          <w:tcPr>
            <w:tcW w:w="4524" w:type="dxa"/>
            <w:noWrap w:val="0"/>
            <w:vAlign w:val="center"/>
          </w:tcPr>
          <w:p w14:paraId="2569C452">
            <w:pPr>
              <w:spacing w:line="240" w:lineRule="auto"/>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生活垃圾箱，</w:t>
            </w:r>
            <w:r>
              <w:rPr>
                <w:rFonts w:hint="default" w:ascii="Times New Roman" w:hAnsi="Times New Roman" w:eastAsia="宋体" w:cs="Times New Roman"/>
                <w:color w:val="000000"/>
                <w:sz w:val="21"/>
                <w:szCs w:val="21"/>
              </w:rPr>
              <w:t>委托环卫部门清运处理</w:t>
            </w:r>
          </w:p>
        </w:tc>
        <w:tc>
          <w:tcPr>
            <w:tcW w:w="1243" w:type="dxa"/>
            <w:noWrap w:val="0"/>
            <w:vAlign w:val="center"/>
          </w:tcPr>
          <w:p w14:paraId="678AD717">
            <w:pPr>
              <w:spacing w:line="240" w:lineRule="auto"/>
              <w:jc w:val="center"/>
              <w:rPr>
                <w:rFonts w:hint="eastAsia" w:ascii="Times New Roman" w:hAnsi="Times New Roman" w:eastAsia="宋体" w:cs="Times New Roman"/>
                <w:bCs/>
                <w:sz w:val="21"/>
                <w:szCs w:val="21"/>
                <w:lang w:val="en-US" w:eastAsia="zh-CN"/>
              </w:rPr>
            </w:pPr>
            <w:r>
              <w:rPr>
                <w:rFonts w:hint="eastAsia" w:cs="Times New Roman"/>
                <w:color w:val="000000"/>
                <w:sz w:val="21"/>
                <w:szCs w:val="21"/>
                <w:lang w:val="en-US" w:eastAsia="zh-CN"/>
              </w:rPr>
              <w:t>新建</w:t>
            </w:r>
          </w:p>
        </w:tc>
      </w:tr>
    </w:tbl>
    <w:p w14:paraId="0EEC989B">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lang w:val="en-US" w:eastAsia="zh-CN"/>
        </w:rPr>
      </w:pPr>
      <w:r>
        <w:rPr>
          <w:rFonts w:hint="default" w:ascii="Times New Roman" w:hAnsi="Times New Roman" w:eastAsia="宋体" w:cs="Times New Roman"/>
          <w:b/>
          <w:bCs/>
          <w:color w:val="000000"/>
          <w:kern w:val="2"/>
          <w:sz w:val="28"/>
          <w:szCs w:val="28"/>
          <w:lang w:val="en-US" w:eastAsia="zh-CN" w:bidi="ar-SA"/>
        </w:rPr>
        <w:t>3.</w:t>
      </w:r>
      <w:r>
        <w:rPr>
          <w:rFonts w:hint="eastAsia" w:cs="Times New Roman"/>
          <w:b/>
          <w:bCs/>
          <w:color w:val="000000"/>
          <w:kern w:val="2"/>
          <w:sz w:val="28"/>
          <w:szCs w:val="28"/>
          <w:lang w:val="en-US" w:eastAsia="zh-CN" w:bidi="ar-SA"/>
        </w:rPr>
        <w:t>2</w:t>
      </w:r>
      <w:r>
        <w:rPr>
          <w:rFonts w:hint="default" w:ascii="Times New Roman" w:hAnsi="Times New Roman" w:eastAsia="宋体" w:cs="Times New Roman"/>
          <w:b/>
          <w:bCs/>
          <w:color w:val="000000"/>
          <w:kern w:val="2"/>
          <w:sz w:val="28"/>
          <w:szCs w:val="28"/>
          <w:lang w:val="en-US" w:eastAsia="zh-CN" w:bidi="ar-SA"/>
        </w:rPr>
        <w:t>.3公用工程</w:t>
      </w:r>
    </w:p>
    <w:p w14:paraId="7BF32B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（1）供水</w:t>
      </w:r>
    </w:p>
    <w:p w14:paraId="50D5B6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rPr>
        <w:t>本项目</w:t>
      </w:r>
      <w:r>
        <w:rPr>
          <w:rFonts w:hint="eastAsia" w:ascii="Times New Roman" w:hAnsi="Times New Roman" w:cs="Times New Roman"/>
          <w:kern w:val="2"/>
          <w:sz w:val="24"/>
          <w:szCs w:val="24"/>
          <w:lang w:val="en-US" w:eastAsia="zh-CN"/>
        </w:rPr>
        <w:t>新鲜水</w:t>
      </w:r>
      <w:r>
        <w:rPr>
          <w:rFonts w:hint="default" w:ascii="Times New Roman" w:hAnsi="Times New Roman" w:eastAsia="宋体" w:cs="Times New Roman"/>
          <w:kern w:val="2"/>
          <w:sz w:val="24"/>
          <w:szCs w:val="24"/>
        </w:rPr>
        <w:t>总用水量为</w:t>
      </w:r>
      <w:r>
        <w:rPr>
          <w:rFonts w:hint="eastAsia" w:cs="Times New Roman"/>
          <w:kern w:val="2"/>
          <w:sz w:val="24"/>
          <w:szCs w:val="24"/>
          <w:lang w:val="en-US" w:eastAsia="zh-CN"/>
        </w:rPr>
        <w:t>54752.96</w:t>
      </w:r>
      <w:r>
        <w:rPr>
          <w:rFonts w:hint="default" w:ascii="Times New Roman" w:hAnsi="Times New Roman" w:eastAsia="宋体" w:cs="Times New Roman"/>
          <w:kern w:val="2"/>
          <w:sz w:val="24"/>
          <w:szCs w:val="24"/>
          <w:highlight w:val="none"/>
        </w:rPr>
        <w:t>m</w:t>
      </w:r>
      <w:r>
        <w:rPr>
          <w:rFonts w:hint="default" w:ascii="Times New Roman" w:hAnsi="Times New Roman" w:eastAsia="宋体" w:cs="Times New Roman"/>
          <w:kern w:val="2"/>
          <w:sz w:val="24"/>
          <w:szCs w:val="24"/>
          <w:highlight w:val="none"/>
          <w:vertAlign w:val="superscript"/>
        </w:rPr>
        <w:t>3</w:t>
      </w:r>
      <w:r>
        <w:rPr>
          <w:rFonts w:hint="default" w:ascii="Times New Roman" w:hAnsi="Times New Roman" w:eastAsia="宋体" w:cs="Times New Roman"/>
          <w:kern w:val="2"/>
          <w:sz w:val="24"/>
          <w:szCs w:val="24"/>
          <w:highlight w:val="none"/>
        </w:rPr>
        <w:t>/a。</w:t>
      </w:r>
      <w:r>
        <w:rPr>
          <w:rFonts w:hint="eastAsia" w:ascii="Times New Roman" w:hAnsi="Times New Roman" w:cs="Times New Roman"/>
          <w:kern w:val="2"/>
          <w:sz w:val="24"/>
          <w:szCs w:val="24"/>
          <w:highlight w:val="none"/>
          <w:lang w:val="en-US" w:eastAsia="zh-CN"/>
        </w:rPr>
        <w:t>新鲜水用水</w:t>
      </w:r>
      <w:r>
        <w:rPr>
          <w:rFonts w:hint="eastAsia" w:cs="Times New Roman"/>
          <w:kern w:val="2"/>
          <w:sz w:val="24"/>
          <w:szCs w:val="24"/>
          <w:lang w:val="en-US" w:eastAsia="zh-CN"/>
        </w:rPr>
        <w:t>为养殖生产用水以及生活用水，其中</w:t>
      </w:r>
      <w:r>
        <w:rPr>
          <w:rFonts w:hint="default" w:ascii="Times New Roman" w:hAnsi="Times New Roman" w:eastAsia="宋体" w:cs="Times New Roman"/>
          <w:kern w:val="2"/>
          <w:sz w:val="24"/>
          <w:szCs w:val="24"/>
        </w:rPr>
        <w:t>养殖生产用水包括</w:t>
      </w:r>
      <w:r>
        <w:rPr>
          <w:rFonts w:hint="eastAsia" w:ascii="Times New Roman" w:hAnsi="Times New Roman" w:cs="Times New Roman"/>
          <w:kern w:val="2"/>
          <w:sz w:val="24"/>
          <w:szCs w:val="24"/>
          <w:lang w:val="en-US" w:eastAsia="zh-CN"/>
        </w:rPr>
        <w:t>养殖</w:t>
      </w:r>
      <w:r>
        <w:rPr>
          <w:rFonts w:hint="default" w:ascii="Times New Roman" w:hAnsi="Times New Roman" w:eastAsia="宋体" w:cs="Times New Roman"/>
          <w:kern w:val="2"/>
          <w:sz w:val="24"/>
          <w:szCs w:val="24"/>
        </w:rPr>
        <w:t>用水</w:t>
      </w:r>
      <w:r>
        <w:rPr>
          <w:rFonts w:hint="eastAsia" w:ascii="Times New Roman" w:hAnsi="Times New Roman" w:cs="Times New Roman"/>
          <w:kern w:val="2"/>
          <w:sz w:val="24"/>
          <w:szCs w:val="24"/>
          <w:lang w:eastAsia="zh-CN"/>
        </w:rPr>
        <w:t>、</w:t>
      </w:r>
      <w:r>
        <w:rPr>
          <w:rFonts w:hint="eastAsia" w:ascii="Times New Roman" w:hAnsi="Times New Roman" w:cs="Times New Roman"/>
          <w:kern w:val="2"/>
          <w:sz w:val="24"/>
          <w:szCs w:val="24"/>
          <w:lang w:val="en-US" w:eastAsia="zh-CN"/>
        </w:rPr>
        <w:t>绿化用水、消毒用水以及饲料加工车间、堆肥间</w:t>
      </w:r>
      <w:r>
        <w:rPr>
          <w:rFonts w:hint="eastAsia" w:cs="Times New Roman"/>
          <w:kern w:val="2"/>
          <w:sz w:val="24"/>
          <w:szCs w:val="24"/>
          <w:lang w:val="en-US" w:eastAsia="zh-CN"/>
        </w:rPr>
        <w:t>降尘</w:t>
      </w:r>
      <w:r>
        <w:rPr>
          <w:rFonts w:hint="eastAsia" w:ascii="Times New Roman" w:hAnsi="Times New Roman" w:cs="Times New Roman"/>
          <w:kern w:val="2"/>
          <w:sz w:val="24"/>
          <w:szCs w:val="24"/>
          <w:lang w:val="en-US" w:eastAsia="zh-CN"/>
        </w:rPr>
        <w:t>用水</w:t>
      </w:r>
      <w:r>
        <w:rPr>
          <w:rFonts w:hint="default" w:ascii="Times New Roman" w:hAnsi="Times New Roman" w:eastAsia="宋体" w:cs="Times New Roman"/>
          <w:kern w:val="2"/>
          <w:sz w:val="24"/>
          <w:szCs w:val="24"/>
        </w:rPr>
        <w:t>。</w:t>
      </w:r>
    </w:p>
    <w:p w14:paraId="359054CB">
      <w:pPr>
        <w:spacing w:line="360" w:lineRule="auto"/>
        <w:ind w:firstLine="480" w:firstLineChars="200"/>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①</w:t>
      </w:r>
      <w:r>
        <w:rPr>
          <w:rFonts w:hint="eastAsia" w:ascii="Times New Roman" w:hAnsi="Times New Roman" w:eastAsia="宋体" w:cs="Times New Roman"/>
          <w:kern w:val="2"/>
          <w:sz w:val="24"/>
          <w:szCs w:val="24"/>
          <w:lang w:val="en-US" w:eastAsia="zh-CN"/>
        </w:rPr>
        <w:t>养殖生产用水</w:t>
      </w:r>
    </w:p>
    <w:p w14:paraId="20D6F865">
      <w:pPr>
        <w:spacing w:line="360" w:lineRule="auto"/>
        <w:ind w:firstLine="480" w:firstLineChars="200"/>
        <w:rPr>
          <w:rFonts w:hint="default" w:ascii="Times New Roman" w:hAnsi="Times New Roman" w:eastAsia="宋体" w:cs="Times New Roman"/>
          <w:color w:val="000000"/>
          <w:kern w:val="2"/>
          <w:sz w:val="24"/>
          <w:szCs w:val="24"/>
        </w:rPr>
      </w:pPr>
      <w:r>
        <w:rPr>
          <w:rFonts w:hint="eastAsia" w:ascii="Times New Roman" w:hAnsi="Times New Roman" w:eastAsia="宋体" w:cs="Times New Roman"/>
          <w:kern w:val="2"/>
          <w:sz w:val="24"/>
          <w:szCs w:val="24"/>
          <w:lang w:val="en-US" w:eastAsia="zh-CN"/>
        </w:rPr>
        <w:t>A.养殖用水</w:t>
      </w:r>
      <w:r>
        <w:rPr>
          <w:rFonts w:hint="default" w:ascii="Times New Roman" w:hAnsi="Times New Roman" w:eastAsia="宋体" w:cs="Times New Roman"/>
          <w:kern w:val="2"/>
          <w:sz w:val="24"/>
          <w:szCs w:val="24"/>
        </w:rPr>
        <w:t>：</w:t>
      </w:r>
      <w:r>
        <w:rPr>
          <w:rFonts w:hint="default" w:ascii="Times New Roman" w:hAnsi="Times New Roman" w:eastAsia="宋体" w:cs="Times New Roman"/>
          <w:color w:val="000000"/>
          <w:kern w:val="2"/>
          <w:sz w:val="24"/>
          <w:szCs w:val="24"/>
        </w:rPr>
        <w:t>本项目投入运营后存栏</w:t>
      </w:r>
      <w:r>
        <w:rPr>
          <w:rFonts w:hint="eastAsia" w:ascii="Times New Roman" w:hAnsi="Times New Roman" w:eastAsia="宋体" w:cs="Times New Roman"/>
          <w:color w:val="000000"/>
          <w:kern w:val="2"/>
          <w:sz w:val="24"/>
          <w:szCs w:val="24"/>
          <w:lang w:val="en-US" w:eastAsia="zh-CN"/>
        </w:rPr>
        <w:t>肉牛</w:t>
      </w:r>
      <w:r>
        <w:rPr>
          <w:rFonts w:hint="eastAsia" w:cs="Times New Roman"/>
          <w:color w:val="000000"/>
          <w:kern w:val="2"/>
          <w:sz w:val="24"/>
          <w:szCs w:val="24"/>
          <w:lang w:val="en-US" w:eastAsia="zh-CN"/>
        </w:rPr>
        <w:t>3</w:t>
      </w:r>
      <w:r>
        <w:rPr>
          <w:rFonts w:hint="eastAsia" w:ascii="Times New Roman" w:hAnsi="Times New Roman" w:eastAsia="宋体" w:cs="Times New Roman"/>
          <w:color w:val="000000"/>
          <w:kern w:val="2"/>
          <w:sz w:val="24"/>
          <w:szCs w:val="24"/>
          <w:lang w:val="en-US" w:eastAsia="zh-CN"/>
        </w:rPr>
        <w:t>00</w:t>
      </w:r>
      <w:r>
        <w:rPr>
          <w:rFonts w:hint="eastAsia" w:cs="Times New Roman"/>
          <w:color w:val="000000"/>
          <w:kern w:val="2"/>
          <w:sz w:val="24"/>
          <w:szCs w:val="24"/>
          <w:lang w:val="en-US" w:eastAsia="zh-CN"/>
        </w:rPr>
        <w:t>0</w:t>
      </w:r>
      <w:r>
        <w:rPr>
          <w:rFonts w:hint="default" w:ascii="Times New Roman" w:hAnsi="Times New Roman" w:eastAsia="宋体" w:cs="Times New Roman"/>
          <w:color w:val="000000"/>
          <w:kern w:val="2"/>
          <w:sz w:val="24"/>
          <w:szCs w:val="24"/>
        </w:rPr>
        <w:t>头</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根据</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lang w:val="en-US" w:eastAsia="zh-CN"/>
        </w:rPr>
        <w:t>新疆维吾尔自治区生活用水定额》</w:t>
      </w:r>
      <w:r>
        <w:rPr>
          <w:rFonts w:hint="default" w:ascii="Times New Roman" w:hAnsi="Times New Roman" w:eastAsia="宋体" w:cs="Times New Roman"/>
          <w:color w:val="000000"/>
          <w:kern w:val="2"/>
          <w:sz w:val="24"/>
          <w:szCs w:val="24"/>
        </w:rPr>
        <w:t>，</w:t>
      </w:r>
      <w:r>
        <w:rPr>
          <w:rFonts w:hint="eastAsia" w:ascii="Times New Roman" w:hAnsi="Times New Roman" w:eastAsia="宋体" w:cs="Times New Roman"/>
          <w:color w:val="000000"/>
          <w:kern w:val="2"/>
          <w:sz w:val="24"/>
          <w:szCs w:val="24"/>
          <w:lang w:val="en-US" w:eastAsia="zh-CN"/>
        </w:rPr>
        <w:t>大牲畜养殖用水量为35</w:t>
      </w:r>
      <w:r>
        <w:rPr>
          <w:rFonts w:hint="eastAsia" w:cs="Times New Roman"/>
          <w:color w:val="000000"/>
          <w:kern w:val="2"/>
          <w:sz w:val="24"/>
          <w:szCs w:val="24"/>
          <w:lang w:val="en-US" w:eastAsia="zh-CN"/>
        </w:rPr>
        <w:t>—</w:t>
      </w:r>
      <w:r>
        <w:rPr>
          <w:rFonts w:hint="eastAsia" w:ascii="Times New Roman" w:hAnsi="Times New Roman" w:eastAsia="宋体" w:cs="Times New Roman"/>
          <w:color w:val="000000"/>
          <w:kern w:val="2"/>
          <w:sz w:val="24"/>
          <w:szCs w:val="24"/>
          <w:lang w:val="en-US" w:eastAsia="zh-CN"/>
        </w:rPr>
        <w:t>40</w:t>
      </w:r>
      <w:r>
        <w:rPr>
          <w:rFonts w:hint="default" w:ascii="Times New Roman" w:hAnsi="Times New Roman" w:eastAsia="宋体" w:cs="Times New Roman"/>
          <w:color w:val="000000"/>
          <w:kern w:val="2"/>
          <w:sz w:val="24"/>
          <w:szCs w:val="24"/>
        </w:rPr>
        <w:t>L/头·</w:t>
      </w:r>
      <w:r>
        <w:rPr>
          <w:rFonts w:hint="eastAsia" w:ascii="Times New Roman" w:hAnsi="Times New Roman" w:eastAsia="宋体" w:cs="Times New Roman"/>
          <w:color w:val="000000"/>
          <w:kern w:val="2"/>
          <w:sz w:val="24"/>
          <w:szCs w:val="24"/>
          <w:lang w:val="en-US" w:eastAsia="zh-CN"/>
        </w:rPr>
        <w:t>日</w:t>
      </w:r>
      <w:r>
        <w:rPr>
          <w:rFonts w:hint="default" w:ascii="Times New Roman" w:hAnsi="Times New Roman" w:eastAsia="宋体" w:cs="Times New Roman"/>
          <w:color w:val="000000"/>
          <w:kern w:val="2"/>
          <w:sz w:val="24"/>
          <w:szCs w:val="24"/>
        </w:rPr>
        <w:t>，本项目</w:t>
      </w:r>
      <w:r>
        <w:rPr>
          <w:rFonts w:hint="eastAsia" w:ascii="Times New Roman" w:hAnsi="Times New Roman" w:eastAsia="宋体" w:cs="Times New Roman"/>
          <w:color w:val="000000"/>
          <w:kern w:val="2"/>
          <w:sz w:val="24"/>
          <w:szCs w:val="24"/>
          <w:lang w:val="en-US" w:eastAsia="zh-CN"/>
        </w:rPr>
        <w:t>养殖用水</w:t>
      </w:r>
      <w:r>
        <w:rPr>
          <w:rFonts w:hint="default" w:ascii="Times New Roman" w:hAnsi="Times New Roman" w:eastAsia="宋体" w:cs="Times New Roman"/>
          <w:color w:val="000000"/>
          <w:kern w:val="2"/>
          <w:sz w:val="24"/>
          <w:szCs w:val="24"/>
        </w:rPr>
        <w:t>为</w:t>
      </w:r>
      <w:r>
        <w:rPr>
          <w:rFonts w:hint="eastAsia" w:cs="Times New Roman"/>
          <w:kern w:val="2"/>
          <w:sz w:val="24"/>
          <w:szCs w:val="24"/>
          <w:lang w:val="en-US" w:eastAsia="zh-CN"/>
        </w:rPr>
        <w:t>120</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/d，</w:t>
      </w:r>
      <w:r>
        <w:rPr>
          <w:rFonts w:hint="eastAsia" w:cs="Times New Roman"/>
          <w:kern w:val="2"/>
          <w:sz w:val="24"/>
          <w:szCs w:val="24"/>
          <w:lang w:val="en-US" w:eastAsia="zh-CN"/>
        </w:rPr>
        <w:t>43800</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/a</w:t>
      </w:r>
      <w:r>
        <w:rPr>
          <w:rFonts w:hint="default" w:ascii="Times New Roman" w:hAnsi="Times New Roman" w:eastAsia="宋体" w:cs="Times New Roman"/>
          <w:color w:val="000000"/>
          <w:kern w:val="2"/>
          <w:sz w:val="24"/>
          <w:szCs w:val="24"/>
          <w:lang w:eastAsia="zh-CN"/>
        </w:rPr>
        <w:t>。</w:t>
      </w:r>
    </w:p>
    <w:p w14:paraId="0424423D">
      <w:pPr>
        <w:pageBreakBefore w:val="0"/>
        <w:wordWrap/>
        <w:topLinePunct w:val="0"/>
        <w:bidi w:val="0"/>
        <w:adjustRightInd/>
        <w:snapToGrid/>
        <w:spacing w:line="360" w:lineRule="auto"/>
        <w:ind w:firstLine="480" w:firstLineChars="200"/>
        <w:rPr>
          <w:rFonts w:hint="default" w:ascii="Times New Roman" w:hAnsi="Times New Roman" w:eastAsia="宋体" w:cs="Times New Roman"/>
          <w:kern w:val="2"/>
          <w:sz w:val="24"/>
          <w:szCs w:val="24"/>
          <w:highlight w:val="yellow"/>
        </w:rPr>
      </w:pPr>
      <w:r>
        <w:rPr>
          <w:rFonts w:hint="eastAsia" w:ascii="Times New Roman" w:hAnsi="Times New Roman" w:eastAsia="宋体" w:cs="Times New Roman"/>
          <w:kern w:val="2"/>
          <w:sz w:val="24"/>
          <w:szCs w:val="24"/>
          <w:highlight w:val="none"/>
          <w:lang w:val="en-US" w:eastAsia="zh-CN"/>
        </w:rPr>
        <w:t>B.</w:t>
      </w:r>
      <w:r>
        <w:rPr>
          <w:rFonts w:hint="default" w:ascii="Times New Roman" w:hAnsi="Times New Roman" w:eastAsia="宋体" w:cs="Times New Roman"/>
          <w:kern w:val="2"/>
          <w:sz w:val="24"/>
          <w:szCs w:val="24"/>
          <w:highlight w:val="none"/>
        </w:rPr>
        <w:t>绿化用水：</w:t>
      </w:r>
      <w:r>
        <w:rPr>
          <w:rFonts w:hint="default" w:ascii="Times New Roman" w:hAnsi="Times New Roman" w:eastAsia="宋体" w:cs="Times New Roman"/>
          <w:color w:val="auto"/>
          <w:kern w:val="2"/>
          <w:sz w:val="24"/>
          <w:szCs w:val="24"/>
          <w:highlight w:val="none"/>
        </w:rPr>
        <w:t>场区绿化面积为</w:t>
      </w:r>
      <w:r>
        <w:rPr>
          <w:rFonts w:hint="eastAsia" w:cs="Times New Roman"/>
          <w:color w:val="auto"/>
          <w:kern w:val="2"/>
          <w:sz w:val="24"/>
          <w:szCs w:val="24"/>
          <w:highlight w:val="none"/>
          <w:lang w:val="en-US" w:eastAsia="zh-CN"/>
        </w:rPr>
        <w:t>24000</w:t>
      </w:r>
      <w:r>
        <w:rPr>
          <w:rFonts w:hint="default" w:ascii="Times New Roman" w:hAnsi="Times New Roman" w:eastAsia="宋体" w:cs="Times New Roman"/>
          <w:color w:val="auto"/>
          <w:kern w:val="2"/>
          <w:sz w:val="24"/>
          <w:szCs w:val="24"/>
          <w:highlight w:val="none"/>
        </w:rPr>
        <w:t>m</w:t>
      </w:r>
      <w:r>
        <w:rPr>
          <w:rFonts w:hint="default" w:ascii="Times New Roman" w:hAnsi="Times New Roman" w:eastAsia="宋体" w:cs="Times New Roman"/>
          <w:color w:val="auto"/>
          <w:kern w:val="2"/>
          <w:sz w:val="24"/>
          <w:szCs w:val="24"/>
          <w:highlight w:val="none"/>
          <w:vertAlign w:val="superscript"/>
        </w:rPr>
        <w:t>2</w:t>
      </w:r>
      <w:r>
        <w:rPr>
          <w:rFonts w:hint="default" w:ascii="Times New Roman" w:hAnsi="Times New Roman" w:eastAsia="宋体" w:cs="Times New Roman"/>
          <w:color w:val="auto"/>
          <w:kern w:val="2"/>
          <w:sz w:val="24"/>
          <w:szCs w:val="24"/>
          <w:highlight w:val="none"/>
          <w:vertAlign w:val="baseline"/>
        </w:rPr>
        <w:t>（约合</w:t>
      </w:r>
      <w:r>
        <w:rPr>
          <w:rFonts w:hint="eastAsia" w:cs="Times New Roman"/>
          <w:color w:val="auto"/>
          <w:kern w:val="2"/>
          <w:sz w:val="24"/>
          <w:szCs w:val="24"/>
          <w:highlight w:val="none"/>
          <w:vertAlign w:val="baseline"/>
          <w:lang w:val="en-US" w:eastAsia="zh-CN"/>
        </w:rPr>
        <w:t>36</w:t>
      </w:r>
      <w:r>
        <w:rPr>
          <w:rFonts w:hint="default" w:ascii="Times New Roman" w:hAnsi="Times New Roman" w:eastAsia="宋体" w:cs="Times New Roman"/>
          <w:color w:val="auto"/>
          <w:kern w:val="2"/>
          <w:sz w:val="24"/>
          <w:szCs w:val="24"/>
          <w:highlight w:val="none"/>
          <w:vertAlign w:val="baseline"/>
        </w:rPr>
        <w:t>亩）</w:t>
      </w:r>
      <w:r>
        <w:rPr>
          <w:rFonts w:hint="default" w:ascii="Times New Roman" w:hAnsi="Times New Roman" w:eastAsia="宋体" w:cs="Times New Roman"/>
          <w:color w:val="auto"/>
          <w:kern w:val="2"/>
          <w:sz w:val="24"/>
          <w:szCs w:val="24"/>
          <w:highlight w:val="none"/>
        </w:rPr>
        <w:t>，</w:t>
      </w:r>
      <w:r>
        <w:rPr>
          <w:rFonts w:hint="default" w:ascii="Times New Roman" w:hAnsi="Times New Roman" w:eastAsia="宋体" w:cs="Times New Roman"/>
          <w:color w:val="auto"/>
          <w:kern w:val="2"/>
          <w:sz w:val="24"/>
          <w:szCs w:val="24"/>
          <w:lang w:val="en-US" w:eastAsia="zh-CN"/>
        </w:rPr>
        <w:t>根据《</w:t>
      </w:r>
      <w:r>
        <w:rPr>
          <w:rFonts w:hint="eastAsia" w:cs="Times New Roman"/>
          <w:color w:val="auto"/>
          <w:kern w:val="2"/>
          <w:sz w:val="24"/>
          <w:szCs w:val="24"/>
          <w:lang w:val="en-US" w:eastAsia="zh-CN"/>
        </w:rPr>
        <w:t>农业用水定额</w:t>
      </w:r>
      <w:r>
        <w:rPr>
          <w:rFonts w:hint="default" w:ascii="Times New Roman" w:hAnsi="Times New Roman" w:eastAsia="宋体" w:cs="Times New Roman"/>
          <w:color w:val="auto"/>
          <w:kern w:val="2"/>
          <w:sz w:val="24"/>
          <w:szCs w:val="24"/>
          <w:lang w:val="en-US" w:eastAsia="zh-CN"/>
        </w:rPr>
        <w:t>》（</w:t>
      </w:r>
      <w:r>
        <w:rPr>
          <w:rFonts w:hint="eastAsia" w:cs="Times New Roman"/>
          <w:color w:val="auto"/>
          <w:kern w:val="2"/>
          <w:sz w:val="24"/>
          <w:szCs w:val="24"/>
          <w:lang w:val="en-US" w:eastAsia="zh-CN"/>
        </w:rPr>
        <w:t>DB65/T3611-2023</w:t>
      </w:r>
      <w:r>
        <w:rPr>
          <w:rFonts w:hint="default" w:ascii="Times New Roman" w:hAnsi="Times New Roman" w:eastAsia="宋体" w:cs="Times New Roman"/>
          <w:color w:val="auto"/>
          <w:kern w:val="2"/>
          <w:sz w:val="24"/>
          <w:szCs w:val="24"/>
          <w:lang w:val="en-US" w:eastAsia="zh-CN"/>
        </w:rPr>
        <w:t>），本项目属于Ⅰ—</w:t>
      </w:r>
      <w:r>
        <w:rPr>
          <w:rFonts w:hint="eastAsia" w:cs="Times New Roman"/>
          <w:color w:val="auto"/>
          <w:kern w:val="2"/>
          <w:sz w:val="24"/>
          <w:szCs w:val="24"/>
          <w:lang w:val="en-US" w:eastAsia="zh-CN"/>
        </w:rPr>
        <w:t>03</w:t>
      </w:r>
      <w:r>
        <w:rPr>
          <w:rFonts w:hint="default" w:ascii="Times New Roman" w:hAnsi="Times New Roman" w:eastAsia="宋体" w:cs="Times New Roman"/>
          <w:color w:val="auto"/>
          <w:kern w:val="2"/>
          <w:sz w:val="24"/>
          <w:szCs w:val="24"/>
          <w:lang w:val="en-US" w:eastAsia="zh-CN"/>
        </w:rPr>
        <w:t xml:space="preserve"> 北疆塔城之南准噶尔盆地区域，</w:t>
      </w:r>
      <w:r>
        <w:rPr>
          <w:rFonts w:hint="eastAsia" w:cs="Times New Roman"/>
          <w:color w:val="auto"/>
          <w:kern w:val="2"/>
          <w:sz w:val="24"/>
          <w:szCs w:val="24"/>
          <w:lang w:val="en-US" w:eastAsia="zh-CN"/>
        </w:rPr>
        <w:t>种植林地</w:t>
      </w:r>
      <w:r>
        <w:rPr>
          <w:rFonts w:hint="default" w:ascii="Times New Roman" w:hAnsi="Times New Roman" w:eastAsia="宋体" w:cs="Times New Roman"/>
          <w:color w:val="auto"/>
          <w:kern w:val="2"/>
          <w:sz w:val="24"/>
          <w:szCs w:val="24"/>
        </w:rPr>
        <w:t>按灌溉期</w:t>
      </w:r>
      <w:r>
        <w:rPr>
          <w:rFonts w:hint="eastAsia" w:cs="Times New Roman"/>
          <w:color w:val="auto"/>
          <w:kern w:val="2"/>
          <w:sz w:val="24"/>
          <w:szCs w:val="24"/>
          <w:lang w:val="en-US" w:eastAsia="zh-CN"/>
        </w:rPr>
        <w:t>微灌（50%）</w:t>
      </w:r>
      <w:r>
        <w:rPr>
          <w:rFonts w:hint="default" w:ascii="Times New Roman" w:hAnsi="Times New Roman" w:eastAsia="宋体" w:cs="Times New Roman"/>
          <w:color w:val="auto"/>
          <w:kern w:val="2"/>
          <w:sz w:val="24"/>
          <w:szCs w:val="24"/>
        </w:rPr>
        <w:t>每</w:t>
      </w:r>
      <w:r>
        <w:rPr>
          <w:rFonts w:hint="default" w:ascii="Times New Roman" w:hAnsi="Times New Roman" w:eastAsia="宋体" w:cs="Times New Roman"/>
          <w:color w:val="auto"/>
          <w:kern w:val="2"/>
          <w:sz w:val="24"/>
          <w:szCs w:val="24"/>
          <w:lang w:val="en-US" w:eastAsia="zh-CN"/>
        </w:rPr>
        <w:t>亩</w:t>
      </w:r>
      <w:r>
        <w:rPr>
          <w:rFonts w:hint="default" w:ascii="Times New Roman" w:hAnsi="Times New Roman" w:eastAsia="宋体" w:cs="Times New Roman"/>
          <w:color w:val="auto"/>
          <w:kern w:val="2"/>
          <w:sz w:val="24"/>
          <w:szCs w:val="24"/>
        </w:rPr>
        <w:t>绿化用水</w:t>
      </w:r>
      <w:r>
        <w:rPr>
          <w:rFonts w:hint="eastAsia" w:cs="Times New Roman"/>
          <w:color w:val="auto"/>
          <w:kern w:val="2"/>
          <w:sz w:val="24"/>
          <w:szCs w:val="24"/>
          <w:lang w:val="en-US" w:eastAsia="zh-CN"/>
        </w:rPr>
        <w:t>265</w:t>
      </w:r>
      <w:r>
        <w:rPr>
          <w:rFonts w:hint="default" w:ascii="Times New Roman" w:hAnsi="Times New Roman" w:eastAsia="宋体" w:cs="Times New Roman"/>
          <w:color w:val="auto"/>
          <w:kern w:val="2"/>
          <w:sz w:val="24"/>
          <w:szCs w:val="24"/>
        </w:rPr>
        <w:t>m</w:t>
      </w:r>
      <w:r>
        <w:rPr>
          <w:rFonts w:hint="default" w:ascii="Times New Roman" w:hAnsi="Times New Roman" w:eastAsia="宋体" w:cs="Times New Roman"/>
          <w:color w:val="auto"/>
          <w:kern w:val="2"/>
          <w:sz w:val="24"/>
          <w:szCs w:val="24"/>
          <w:vertAlign w:val="superscript"/>
        </w:rPr>
        <w:t>3</w:t>
      </w:r>
      <w:r>
        <w:rPr>
          <w:rFonts w:hint="default" w:ascii="Times New Roman" w:hAnsi="Times New Roman" w:eastAsia="宋体" w:cs="Times New Roman"/>
          <w:color w:val="auto"/>
          <w:kern w:val="2"/>
          <w:sz w:val="24"/>
          <w:szCs w:val="24"/>
        </w:rPr>
        <w:t>计，</w:t>
      </w:r>
      <w:r>
        <w:rPr>
          <w:rFonts w:hint="default" w:ascii="Times New Roman" w:hAnsi="Times New Roman" w:eastAsia="宋体" w:cs="Times New Roman"/>
          <w:color w:val="auto"/>
          <w:kern w:val="2"/>
          <w:sz w:val="24"/>
          <w:szCs w:val="24"/>
          <w:highlight w:val="none"/>
        </w:rPr>
        <w:t>则绿化用水量为</w:t>
      </w:r>
      <w:r>
        <w:rPr>
          <w:rFonts w:hint="eastAsia" w:cs="Times New Roman"/>
          <w:color w:val="auto"/>
          <w:kern w:val="2"/>
          <w:sz w:val="24"/>
          <w:szCs w:val="24"/>
          <w:highlight w:val="none"/>
          <w:lang w:val="en-US" w:eastAsia="zh-CN"/>
        </w:rPr>
        <w:t>9540</w:t>
      </w:r>
      <w:r>
        <w:rPr>
          <w:rFonts w:hint="default" w:ascii="Times New Roman" w:hAnsi="Times New Roman" w:eastAsia="宋体" w:cs="Times New Roman"/>
          <w:color w:val="auto"/>
          <w:kern w:val="2"/>
          <w:sz w:val="24"/>
          <w:szCs w:val="24"/>
          <w:highlight w:val="none"/>
        </w:rPr>
        <w:t>m</w:t>
      </w:r>
      <w:r>
        <w:rPr>
          <w:rFonts w:hint="default" w:ascii="Times New Roman" w:hAnsi="Times New Roman" w:eastAsia="宋体" w:cs="Times New Roman"/>
          <w:color w:val="auto"/>
          <w:kern w:val="2"/>
          <w:sz w:val="24"/>
          <w:szCs w:val="24"/>
          <w:highlight w:val="none"/>
          <w:vertAlign w:val="superscript"/>
        </w:rPr>
        <w:t>3</w:t>
      </w:r>
      <w:r>
        <w:rPr>
          <w:rFonts w:hint="default" w:ascii="Times New Roman" w:hAnsi="Times New Roman" w:eastAsia="宋体" w:cs="Times New Roman"/>
          <w:color w:val="auto"/>
          <w:kern w:val="2"/>
          <w:sz w:val="24"/>
          <w:szCs w:val="24"/>
          <w:highlight w:val="none"/>
        </w:rPr>
        <w:t>/a。</w:t>
      </w:r>
    </w:p>
    <w:p w14:paraId="75C735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C.</w:t>
      </w:r>
      <w:r>
        <w:rPr>
          <w:rFonts w:hint="default" w:ascii="Times New Roman" w:hAnsi="Times New Roman" w:eastAsia="宋体" w:cs="Times New Roman"/>
          <w:kern w:val="2"/>
          <w:sz w:val="24"/>
          <w:szCs w:val="24"/>
          <w:lang w:val="en-US" w:eastAsia="zh-CN"/>
        </w:rPr>
        <w:t>消毒用水：</w:t>
      </w:r>
    </w:p>
    <w:p w14:paraId="1FC5F3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kern w:val="2"/>
          <w:sz w:val="24"/>
          <w:szCs w:val="24"/>
          <w:lang w:val="en-US" w:eastAsia="zh-CN"/>
        </w:rPr>
      </w:pPr>
      <w:r>
        <w:rPr>
          <w:rFonts w:hint="eastAsia" w:cs="Times New Roman"/>
          <w:kern w:val="2"/>
          <w:sz w:val="24"/>
          <w:szCs w:val="24"/>
          <w:lang w:val="en-US" w:eastAsia="zh-CN"/>
        </w:rPr>
        <w:t>本项目牛出栏后牛舍、运动场、饲喂凉棚经过干清粪不再进行清洗，直接进行全面消毒，因此本项目仅产生消毒用水。</w:t>
      </w:r>
    </w:p>
    <w:p w14:paraId="1E6CE3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kern w:val="2"/>
          <w:sz w:val="24"/>
          <w:szCs w:val="24"/>
          <w:lang w:val="en-US" w:eastAsia="zh-CN"/>
        </w:rPr>
      </w:pPr>
      <w:r>
        <w:rPr>
          <w:rFonts w:hint="eastAsia" w:cs="Times New Roman"/>
          <w:kern w:val="2"/>
          <w:sz w:val="24"/>
          <w:szCs w:val="24"/>
          <w:lang w:val="en-US" w:eastAsia="zh-CN"/>
        </w:rPr>
        <w:t>用具、饲喂通道消毒：由45%新洁尔灭配置0.1%新洁尔灭消毒液，每周消毒一次，饲喂通道以及用具占地面积共约2680m</w:t>
      </w:r>
      <w:r>
        <w:rPr>
          <w:rFonts w:hint="eastAsia" w:cs="Times New Roman"/>
          <w:kern w:val="2"/>
          <w:sz w:val="24"/>
          <w:szCs w:val="24"/>
          <w:vertAlign w:val="superscript"/>
          <w:lang w:val="en-US" w:eastAsia="zh-CN"/>
        </w:rPr>
        <w:t>2</w:t>
      </w:r>
      <w:r>
        <w:rPr>
          <w:rFonts w:hint="eastAsia" w:cs="Times New Roman"/>
          <w:kern w:val="2"/>
          <w:sz w:val="24"/>
          <w:szCs w:val="24"/>
          <w:lang w:val="en-US" w:eastAsia="zh-CN"/>
        </w:rPr>
        <w:t>，喷洒量200mL/m</w:t>
      </w:r>
      <w:r>
        <w:rPr>
          <w:rFonts w:hint="eastAsia" w:cs="Times New Roman"/>
          <w:kern w:val="2"/>
          <w:sz w:val="24"/>
          <w:szCs w:val="24"/>
          <w:vertAlign w:val="superscript"/>
          <w:lang w:val="en-US" w:eastAsia="zh-CN"/>
        </w:rPr>
        <w:t>2</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每年使用</w:t>
      </w:r>
      <w:r>
        <w:rPr>
          <w:rFonts w:hint="eastAsia" w:cs="Times New Roman"/>
          <w:kern w:val="2"/>
          <w:sz w:val="24"/>
          <w:szCs w:val="24"/>
          <w:lang w:val="en-US" w:eastAsia="zh-CN"/>
        </w:rPr>
        <w:t>0.1%新洁尔灭消毒液</w:t>
      </w:r>
      <w:r>
        <w:rPr>
          <w:rFonts w:hint="eastAsia" w:ascii="Times New Roman" w:hAnsi="Times New Roman" w:eastAsia="宋体" w:cs="Times New Roman"/>
          <w:kern w:val="2"/>
          <w:sz w:val="24"/>
          <w:szCs w:val="24"/>
          <w:lang w:val="en-US" w:eastAsia="zh-CN"/>
        </w:rPr>
        <w:t>量约为</w:t>
      </w:r>
      <w:r>
        <w:rPr>
          <w:rFonts w:hint="eastAsia" w:cs="Times New Roman"/>
          <w:kern w:val="2"/>
          <w:sz w:val="24"/>
          <w:szCs w:val="24"/>
          <w:lang w:val="en-US" w:eastAsia="zh-CN"/>
        </w:rPr>
        <w:t>27.87</w:t>
      </w:r>
      <w:r>
        <w:rPr>
          <w:rFonts w:hint="eastAsia" w:eastAsia="宋体" w:cs="Times New Roman"/>
          <w:kern w:val="2"/>
          <w:sz w:val="24"/>
          <w:szCs w:val="24"/>
          <w:lang w:val="en-US" w:eastAsia="zh-CN"/>
        </w:rPr>
        <w:t>m</w:t>
      </w:r>
      <w:r>
        <w:rPr>
          <w:rFonts w:hint="eastAsia"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w:t>
      </w:r>
      <w:r>
        <w:rPr>
          <w:rFonts w:hint="eastAsia" w:cs="Times New Roman"/>
          <w:kern w:val="2"/>
          <w:sz w:val="24"/>
          <w:szCs w:val="24"/>
          <w:lang w:val="en-US" w:eastAsia="zh-CN"/>
        </w:rPr>
        <w:t>45%新洁尔灭用量为0.06</w:t>
      </w:r>
      <w:r>
        <w:rPr>
          <w:rFonts w:hint="eastAsia" w:eastAsia="宋体" w:cs="Times New Roman"/>
          <w:kern w:val="2"/>
          <w:sz w:val="24"/>
          <w:szCs w:val="24"/>
          <w:lang w:val="en-US" w:eastAsia="zh-CN"/>
        </w:rPr>
        <w:t>m</w:t>
      </w:r>
      <w:r>
        <w:rPr>
          <w:rFonts w:hint="eastAsia" w:eastAsia="宋体" w:cs="Times New Roman"/>
          <w:kern w:val="2"/>
          <w:sz w:val="24"/>
          <w:szCs w:val="24"/>
          <w:vertAlign w:val="superscript"/>
          <w:lang w:val="en-US" w:eastAsia="zh-CN"/>
        </w:rPr>
        <w:t>3</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根据配比，</w:t>
      </w:r>
      <w:r>
        <w:rPr>
          <w:rFonts w:hint="default" w:ascii="Times New Roman" w:hAnsi="Times New Roman" w:eastAsia="宋体" w:cs="Times New Roman"/>
          <w:kern w:val="2"/>
          <w:sz w:val="24"/>
          <w:szCs w:val="24"/>
          <w:lang w:val="en-US" w:eastAsia="zh-CN"/>
        </w:rPr>
        <w:t>用于制备消毒剂用水量约</w:t>
      </w:r>
      <w:r>
        <w:rPr>
          <w:rFonts w:hint="eastAsia" w:cs="Times New Roman"/>
          <w:kern w:val="2"/>
          <w:sz w:val="24"/>
          <w:szCs w:val="24"/>
          <w:lang w:val="en-US" w:eastAsia="zh-CN"/>
        </w:rPr>
        <w:t>27.81</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eastAsia" w:cs="Times New Roman"/>
          <w:kern w:val="2"/>
          <w:sz w:val="24"/>
          <w:szCs w:val="24"/>
          <w:lang w:val="en-US" w:eastAsia="zh-CN"/>
        </w:rPr>
        <w:t>a</w:t>
      </w:r>
      <w:r>
        <w:rPr>
          <w:rFonts w:hint="eastAsia" w:eastAsia="宋体" w:cs="Times New Roman"/>
          <w:kern w:val="2"/>
          <w:sz w:val="24"/>
          <w:szCs w:val="24"/>
          <w:lang w:val="en-US" w:eastAsia="zh-CN"/>
        </w:rPr>
        <w:t>，配置时新鲜水先进行包装桶清洗，清洗水作为溶液配置用水</w:t>
      </w:r>
      <w:r>
        <w:rPr>
          <w:rFonts w:hint="eastAsia" w:cs="Times New Roman"/>
          <w:kern w:val="2"/>
          <w:sz w:val="24"/>
          <w:szCs w:val="24"/>
          <w:lang w:val="en-US" w:eastAsia="zh-CN"/>
        </w:rPr>
        <w:t>，1L的桶清洗约0.5L的水</w:t>
      </w:r>
      <w:r>
        <w:rPr>
          <w:rFonts w:hint="eastAsia" w:eastAsia="宋体" w:cs="Times New Roman"/>
          <w:kern w:val="2"/>
          <w:sz w:val="24"/>
          <w:szCs w:val="24"/>
          <w:lang w:val="en-US" w:eastAsia="zh-CN"/>
        </w:rPr>
        <w:t>，</w:t>
      </w:r>
      <w:r>
        <w:rPr>
          <w:rFonts w:hint="default" w:ascii="Times New Roman" w:hAnsi="Times New Roman" w:eastAsia="宋体" w:cs="Times New Roman"/>
          <w:kern w:val="2"/>
          <w:sz w:val="24"/>
          <w:szCs w:val="24"/>
          <w:lang w:val="en-US" w:eastAsia="zh-CN"/>
        </w:rPr>
        <w:t>用水量为</w:t>
      </w:r>
      <w:r>
        <w:rPr>
          <w:rFonts w:hint="eastAsia" w:cs="Times New Roman"/>
          <w:kern w:val="2"/>
          <w:sz w:val="24"/>
          <w:szCs w:val="24"/>
          <w:lang w:val="en-US" w:eastAsia="zh-CN"/>
        </w:rPr>
        <w:t>0.03</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a</w:t>
      </w:r>
      <w:r>
        <w:rPr>
          <w:rFonts w:hint="eastAsia" w:cs="Times New Roman"/>
          <w:kern w:val="2"/>
          <w:sz w:val="24"/>
          <w:szCs w:val="24"/>
          <w:lang w:val="en-US" w:eastAsia="zh-CN"/>
        </w:rPr>
        <w:t>，其中用具消毒后需清洗，用具面积约为1000m</w:t>
      </w:r>
      <w:r>
        <w:rPr>
          <w:rFonts w:hint="eastAsia" w:cs="Times New Roman"/>
          <w:kern w:val="2"/>
          <w:sz w:val="24"/>
          <w:szCs w:val="24"/>
          <w:vertAlign w:val="superscript"/>
          <w:lang w:val="en-US" w:eastAsia="zh-CN"/>
        </w:rPr>
        <w:t>2</w:t>
      </w:r>
      <w:r>
        <w:rPr>
          <w:rFonts w:hint="eastAsia" w:cs="Times New Roman"/>
          <w:kern w:val="2"/>
          <w:sz w:val="24"/>
          <w:szCs w:val="24"/>
          <w:lang w:val="en-US" w:eastAsia="zh-CN"/>
        </w:rPr>
        <w:t>，清洗用水约2L/m</w:t>
      </w:r>
      <w:r>
        <w:rPr>
          <w:rFonts w:hint="eastAsia" w:cs="Times New Roman"/>
          <w:kern w:val="2"/>
          <w:sz w:val="24"/>
          <w:szCs w:val="24"/>
          <w:vertAlign w:val="superscript"/>
          <w:lang w:val="en-US" w:eastAsia="zh-CN"/>
        </w:rPr>
        <w:t>2</w:t>
      </w:r>
      <w:r>
        <w:rPr>
          <w:rFonts w:hint="eastAsia" w:cs="Times New Roman"/>
          <w:kern w:val="2"/>
          <w:sz w:val="24"/>
          <w:szCs w:val="24"/>
          <w:lang w:val="en-US" w:eastAsia="zh-CN"/>
        </w:rPr>
        <w:t>，清洗用水约104</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eastAsia" w:cs="Times New Roman"/>
          <w:kern w:val="2"/>
          <w:sz w:val="24"/>
          <w:szCs w:val="24"/>
          <w:vertAlign w:val="baseline"/>
          <w:lang w:val="en-US" w:eastAsia="zh-CN"/>
        </w:rPr>
        <w:t>/a</w:t>
      </w:r>
      <w:r>
        <w:rPr>
          <w:rFonts w:hint="eastAsia" w:cs="Times New Roman"/>
          <w:kern w:val="2"/>
          <w:sz w:val="24"/>
          <w:szCs w:val="24"/>
          <w:vertAlign w:val="baseline"/>
          <w:lang w:eastAsia="zh-CN"/>
        </w:rPr>
        <w:t>，</w:t>
      </w:r>
      <w:r>
        <w:rPr>
          <w:rFonts w:hint="eastAsia" w:cs="Times New Roman"/>
          <w:kern w:val="2"/>
          <w:sz w:val="24"/>
          <w:szCs w:val="24"/>
          <w:vertAlign w:val="baseline"/>
          <w:lang w:val="en-US" w:eastAsia="zh-CN"/>
        </w:rPr>
        <w:t>清洗完毕后用于圈舍、道路消毒配水</w:t>
      </w:r>
      <w:r>
        <w:rPr>
          <w:rFonts w:hint="eastAsia" w:cs="Times New Roman"/>
          <w:kern w:val="2"/>
          <w:sz w:val="24"/>
          <w:szCs w:val="24"/>
          <w:lang w:val="en-US" w:eastAsia="zh-CN"/>
        </w:rPr>
        <w:t>，因此用具、饲喂通道消毒用水共为131.81</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eastAsia" w:cs="Times New Roman"/>
          <w:kern w:val="2"/>
          <w:sz w:val="24"/>
          <w:szCs w:val="24"/>
          <w:vertAlign w:val="baseline"/>
          <w:lang w:val="en-US" w:eastAsia="zh-CN"/>
        </w:rPr>
        <w:t>/a</w:t>
      </w:r>
      <w:r>
        <w:rPr>
          <w:rFonts w:hint="eastAsia" w:cs="Times New Roman"/>
          <w:kern w:val="2"/>
          <w:sz w:val="24"/>
          <w:szCs w:val="24"/>
          <w:lang w:val="en-US" w:eastAsia="zh-CN"/>
        </w:rPr>
        <w:t>。</w:t>
      </w:r>
    </w:p>
    <w:p w14:paraId="47EDC5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牛舍、运动场、饲喂凉棚、隔离圈</w:t>
      </w:r>
      <w:r>
        <w:rPr>
          <w:rFonts w:hint="eastAsia" w:eastAsia="宋体" w:cs="Times New Roman"/>
          <w:kern w:val="2"/>
          <w:sz w:val="24"/>
          <w:szCs w:val="24"/>
          <w:lang w:val="en-US" w:eastAsia="zh-CN"/>
        </w:rPr>
        <w:t>、</w:t>
      </w:r>
      <w:r>
        <w:rPr>
          <w:rFonts w:hint="eastAsia" w:cs="Times New Roman"/>
          <w:kern w:val="2"/>
          <w:sz w:val="24"/>
          <w:szCs w:val="24"/>
          <w:lang w:val="en-US" w:eastAsia="zh-CN"/>
        </w:rPr>
        <w:t>病死牛暂存间以及医疗废物暂存间需进行消毒</w:t>
      </w:r>
      <w:r>
        <w:rPr>
          <w:rFonts w:hint="eastAsia" w:ascii="Times New Roman" w:hAnsi="Times New Roman" w:cs="Times New Roman"/>
          <w:kern w:val="2"/>
          <w:sz w:val="24"/>
          <w:szCs w:val="24"/>
          <w:lang w:val="en-US" w:eastAsia="zh-CN"/>
        </w:rPr>
        <w:t>，</w:t>
      </w:r>
      <w:r>
        <w:rPr>
          <w:rFonts w:hint="default" w:ascii="Times New Roman" w:hAnsi="Times New Roman" w:eastAsia="宋体" w:cs="Times New Roman"/>
          <w:kern w:val="2"/>
          <w:sz w:val="24"/>
          <w:szCs w:val="24"/>
          <w:lang w:val="en-US" w:eastAsia="zh-CN"/>
        </w:rPr>
        <w:t>每周进行喷雾式消毒</w:t>
      </w:r>
      <w:r>
        <w:rPr>
          <w:rFonts w:hint="eastAsia" w:cs="Times New Roman"/>
          <w:kern w:val="2"/>
          <w:sz w:val="24"/>
          <w:szCs w:val="24"/>
          <w:lang w:val="en-US" w:eastAsia="zh-CN"/>
        </w:rPr>
        <w:t>2</w:t>
      </w:r>
      <w:r>
        <w:rPr>
          <w:rFonts w:hint="default" w:ascii="Times New Roman" w:hAnsi="Times New Roman" w:eastAsia="宋体" w:cs="Times New Roman"/>
          <w:kern w:val="2"/>
          <w:sz w:val="24"/>
          <w:szCs w:val="24"/>
          <w:lang w:val="en-US" w:eastAsia="zh-CN"/>
        </w:rPr>
        <w:t>次</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主要喷洒</w:t>
      </w:r>
      <w:r>
        <w:rPr>
          <w:rFonts w:hint="eastAsia" w:cs="Times New Roman"/>
          <w:kern w:val="2"/>
          <w:sz w:val="24"/>
          <w:szCs w:val="24"/>
          <w:lang w:val="en-US" w:eastAsia="zh-CN"/>
        </w:rPr>
        <w:t>0.025%复合</w:t>
      </w:r>
      <w:r>
        <w:rPr>
          <w:rFonts w:hint="eastAsia" w:cs="Times New Roman"/>
          <w:kern w:val="2"/>
          <w:sz w:val="24"/>
          <w:szCs w:val="24"/>
          <w:highlight w:val="none"/>
          <w:lang w:val="en-US" w:eastAsia="zh-CN"/>
        </w:rPr>
        <w:t>戊二醛溶液</w:t>
      </w:r>
      <w:r>
        <w:rPr>
          <w:rFonts w:hint="eastAsia" w:eastAsia="宋体" w:cs="Times New Roman"/>
          <w:kern w:val="2"/>
          <w:sz w:val="24"/>
          <w:szCs w:val="24"/>
          <w:lang w:val="en-US" w:eastAsia="zh-CN"/>
        </w:rPr>
        <w:t>，喷雾式消毒</w:t>
      </w:r>
      <w:r>
        <w:rPr>
          <w:rFonts w:hint="default" w:ascii="Times New Roman" w:hAnsi="Times New Roman" w:eastAsia="宋体" w:cs="Times New Roman"/>
          <w:kern w:val="2"/>
          <w:sz w:val="24"/>
          <w:szCs w:val="24"/>
          <w:lang w:val="en-US" w:eastAsia="zh-CN"/>
        </w:rPr>
        <w:t>，不会在厂区内形成径流，随之蒸发。</w:t>
      </w:r>
      <w:r>
        <w:rPr>
          <w:rFonts w:hint="eastAsia" w:cs="Times New Roman"/>
          <w:kern w:val="2"/>
          <w:sz w:val="24"/>
          <w:szCs w:val="24"/>
          <w:lang w:val="en-US" w:eastAsia="zh-CN"/>
        </w:rPr>
        <w:t>占地面</w:t>
      </w:r>
      <w:r>
        <w:rPr>
          <w:rFonts w:hint="eastAsia" w:cs="Times New Roman"/>
          <w:kern w:val="2"/>
          <w:sz w:val="24"/>
          <w:szCs w:val="24"/>
          <w:highlight w:val="none"/>
          <w:lang w:val="en-US" w:eastAsia="zh-CN"/>
        </w:rPr>
        <w:t>积共44120m</w:t>
      </w:r>
      <w:r>
        <w:rPr>
          <w:rFonts w:hint="eastAsia" w:cs="Times New Roman"/>
          <w:kern w:val="2"/>
          <w:sz w:val="24"/>
          <w:szCs w:val="24"/>
          <w:highlight w:val="none"/>
          <w:vertAlign w:val="superscript"/>
          <w:lang w:val="en-US" w:eastAsia="zh-CN"/>
        </w:rPr>
        <w:t>2</w:t>
      </w:r>
      <w:r>
        <w:rPr>
          <w:rFonts w:hint="eastAsia" w:cs="Times New Roman"/>
          <w:kern w:val="2"/>
          <w:sz w:val="24"/>
          <w:szCs w:val="24"/>
          <w:highlight w:val="none"/>
          <w:lang w:val="en-US" w:eastAsia="zh-CN"/>
        </w:rPr>
        <w:t>，</w:t>
      </w:r>
      <w:r>
        <w:rPr>
          <w:rFonts w:hint="eastAsia" w:cs="Times New Roman"/>
          <w:kern w:val="2"/>
          <w:sz w:val="24"/>
          <w:szCs w:val="24"/>
          <w:lang w:val="en-US" w:eastAsia="zh-CN"/>
        </w:rPr>
        <w:t>喷洒量200mL/m</w:t>
      </w:r>
      <w:r>
        <w:rPr>
          <w:rFonts w:hint="eastAsia" w:cs="Times New Roman"/>
          <w:kern w:val="2"/>
          <w:sz w:val="24"/>
          <w:szCs w:val="24"/>
          <w:vertAlign w:val="superscript"/>
          <w:lang w:val="en-US" w:eastAsia="zh-CN"/>
        </w:rPr>
        <w:t>2</w:t>
      </w:r>
      <w:r>
        <w:rPr>
          <w:rFonts w:hint="eastAsia" w:ascii="Times New Roman" w:hAnsi="Times New Roman" w:eastAsia="宋体" w:cs="Times New Roman"/>
          <w:kern w:val="2"/>
          <w:sz w:val="24"/>
          <w:szCs w:val="24"/>
          <w:lang w:val="en-US" w:eastAsia="zh-CN"/>
        </w:rPr>
        <w:t>，</w:t>
      </w:r>
      <w:r>
        <w:rPr>
          <w:rFonts w:hint="eastAsia" w:cs="Times New Roman"/>
          <w:kern w:val="2"/>
          <w:sz w:val="24"/>
          <w:szCs w:val="24"/>
          <w:lang w:val="en-US" w:eastAsia="zh-CN"/>
        </w:rPr>
        <w:t>917.70</w:t>
      </w:r>
      <w:r>
        <w:rPr>
          <w:rFonts w:hint="eastAsia" w:eastAsia="宋体" w:cs="Times New Roman"/>
          <w:kern w:val="2"/>
          <w:sz w:val="24"/>
          <w:szCs w:val="24"/>
          <w:lang w:val="en-US" w:eastAsia="zh-CN"/>
        </w:rPr>
        <w:t>m</w:t>
      </w:r>
      <w:r>
        <w:rPr>
          <w:rFonts w:hint="eastAsia"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，每年使用</w:t>
      </w:r>
      <w:r>
        <w:rPr>
          <w:rFonts w:hint="eastAsia" w:cs="Times New Roman"/>
          <w:kern w:val="2"/>
          <w:sz w:val="24"/>
          <w:szCs w:val="24"/>
          <w:lang w:val="en-US" w:eastAsia="zh-CN"/>
        </w:rPr>
        <w:t>20%复合</w:t>
      </w:r>
      <w:r>
        <w:rPr>
          <w:rFonts w:hint="eastAsia" w:cs="Times New Roman"/>
          <w:kern w:val="2"/>
          <w:sz w:val="24"/>
          <w:szCs w:val="24"/>
          <w:highlight w:val="none"/>
          <w:lang w:val="en-US" w:eastAsia="zh-CN"/>
        </w:rPr>
        <w:t>戊二醛</w:t>
      </w:r>
      <w:r>
        <w:rPr>
          <w:rFonts w:hint="eastAsia" w:ascii="Times New Roman" w:hAnsi="Times New Roman" w:eastAsia="宋体" w:cs="Times New Roman"/>
          <w:kern w:val="2"/>
          <w:sz w:val="24"/>
          <w:szCs w:val="24"/>
          <w:lang w:val="en-US" w:eastAsia="zh-CN"/>
        </w:rPr>
        <w:t>消毒剂量约为</w:t>
      </w:r>
      <w:r>
        <w:rPr>
          <w:rFonts w:hint="eastAsia" w:cs="Times New Roman"/>
          <w:kern w:val="2"/>
          <w:sz w:val="24"/>
          <w:szCs w:val="24"/>
          <w:lang w:val="en-US" w:eastAsia="zh-CN"/>
        </w:rPr>
        <w:t>1.15</w:t>
      </w:r>
      <w:r>
        <w:rPr>
          <w:rFonts w:hint="eastAsia" w:eastAsia="宋体" w:cs="Times New Roman"/>
          <w:kern w:val="2"/>
          <w:sz w:val="24"/>
          <w:szCs w:val="24"/>
          <w:lang w:val="en-US" w:eastAsia="zh-CN"/>
        </w:rPr>
        <w:t>m</w:t>
      </w:r>
      <w:r>
        <w:rPr>
          <w:rFonts w:hint="eastAsia"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，根据配比，</w:t>
      </w:r>
      <w:r>
        <w:rPr>
          <w:rFonts w:hint="default" w:ascii="Times New Roman" w:hAnsi="Times New Roman" w:eastAsia="宋体" w:cs="Times New Roman"/>
          <w:kern w:val="2"/>
          <w:sz w:val="24"/>
          <w:szCs w:val="24"/>
          <w:lang w:val="en-US" w:eastAsia="zh-CN"/>
        </w:rPr>
        <w:t>用于制备消毒剂用水量约</w:t>
      </w:r>
      <w:r>
        <w:rPr>
          <w:rFonts w:hint="eastAsia" w:cs="Times New Roman"/>
          <w:kern w:val="2"/>
          <w:sz w:val="24"/>
          <w:szCs w:val="24"/>
          <w:lang w:val="en-US" w:eastAsia="zh-CN"/>
        </w:rPr>
        <w:t>916.55</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eastAsia" w:cs="Times New Roman"/>
          <w:kern w:val="2"/>
          <w:sz w:val="24"/>
          <w:szCs w:val="24"/>
          <w:lang w:val="en-US" w:eastAsia="zh-CN"/>
        </w:rPr>
        <w:t>a，其中用具清洗水104</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eastAsia" w:cs="Times New Roman"/>
          <w:kern w:val="2"/>
          <w:sz w:val="24"/>
          <w:szCs w:val="24"/>
          <w:vertAlign w:val="baseline"/>
          <w:lang w:val="en-US" w:eastAsia="zh-CN"/>
        </w:rPr>
        <w:t>/a</w:t>
      </w:r>
      <w:r>
        <w:rPr>
          <w:rFonts w:hint="eastAsia" w:eastAsia="宋体" w:cs="Times New Roman"/>
          <w:kern w:val="2"/>
          <w:sz w:val="24"/>
          <w:szCs w:val="24"/>
          <w:lang w:val="en-US" w:eastAsia="zh-CN"/>
        </w:rPr>
        <w:t>，配置时新鲜水先进行包装桶清洗</w:t>
      </w:r>
      <w:r>
        <w:rPr>
          <w:rFonts w:hint="eastAsia" w:cs="Times New Roman"/>
          <w:kern w:val="2"/>
          <w:sz w:val="24"/>
          <w:szCs w:val="24"/>
          <w:lang w:val="en-US" w:eastAsia="zh-CN"/>
        </w:rPr>
        <w:t>，1L的桶清洗约0.5L的水</w:t>
      </w:r>
      <w:r>
        <w:rPr>
          <w:rFonts w:hint="eastAsia" w:eastAsia="宋体" w:cs="Times New Roman"/>
          <w:kern w:val="2"/>
          <w:sz w:val="24"/>
          <w:szCs w:val="24"/>
          <w:lang w:val="en-US" w:eastAsia="zh-CN"/>
        </w:rPr>
        <w:t>，清洗水作为溶液配置用水，</w:t>
      </w:r>
      <w:r>
        <w:rPr>
          <w:rFonts w:hint="default" w:ascii="Times New Roman" w:hAnsi="Times New Roman" w:eastAsia="宋体" w:cs="Times New Roman"/>
          <w:kern w:val="2"/>
          <w:sz w:val="24"/>
          <w:szCs w:val="24"/>
          <w:lang w:val="en-US" w:eastAsia="zh-CN"/>
        </w:rPr>
        <w:t>用水量为</w:t>
      </w:r>
      <w:r>
        <w:rPr>
          <w:rFonts w:hint="eastAsia" w:cs="Times New Roman"/>
          <w:kern w:val="2"/>
          <w:sz w:val="24"/>
          <w:szCs w:val="24"/>
          <w:lang w:val="en-US" w:eastAsia="zh-CN"/>
        </w:rPr>
        <w:t>0.58</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a</w:t>
      </w:r>
      <w:r>
        <w:rPr>
          <w:rFonts w:hint="eastAsia" w:ascii="Times New Roman" w:hAnsi="Times New Roman" w:eastAsia="宋体" w:cs="Times New Roman"/>
          <w:kern w:val="2"/>
          <w:sz w:val="24"/>
          <w:szCs w:val="24"/>
          <w:lang w:val="en-US" w:eastAsia="zh-CN"/>
        </w:rPr>
        <w:t>；因此本项目</w:t>
      </w:r>
      <w:r>
        <w:rPr>
          <w:rFonts w:hint="eastAsia" w:cs="Times New Roman"/>
          <w:kern w:val="2"/>
          <w:sz w:val="24"/>
          <w:szCs w:val="24"/>
          <w:lang w:val="en-US" w:eastAsia="zh-CN"/>
        </w:rPr>
        <w:t>牛舍、运动场、饲喂凉棚、隔离圈</w:t>
      </w:r>
      <w:r>
        <w:rPr>
          <w:rFonts w:hint="eastAsia" w:eastAsia="宋体" w:cs="Times New Roman"/>
          <w:kern w:val="2"/>
          <w:sz w:val="24"/>
          <w:szCs w:val="24"/>
          <w:lang w:val="en-US" w:eastAsia="zh-CN"/>
        </w:rPr>
        <w:t>、</w:t>
      </w:r>
      <w:r>
        <w:rPr>
          <w:rFonts w:hint="eastAsia" w:cs="Times New Roman"/>
          <w:kern w:val="2"/>
          <w:sz w:val="24"/>
          <w:szCs w:val="24"/>
          <w:lang w:val="en-US" w:eastAsia="zh-CN"/>
        </w:rPr>
        <w:t>病死牛暂存间以及医疗废物暂存间</w:t>
      </w:r>
      <w:r>
        <w:rPr>
          <w:rFonts w:hint="eastAsia" w:ascii="Times New Roman" w:hAnsi="Times New Roman" w:eastAsia="宋体" w:cs="Times New Roman"/>
          <w:kern w:val="2"/>
          <w:sz w:val="24"/>
          <w:szCs w:val="24"/>
          <w:lang w:val="en-US" w:eastAsia="zh-CN"/>
        </w:rPr>
        <w:t>消毒用水总量约为</w:t>
      </w:r>
      <w:r>
        <w:rPr>
          <w:rFonts w:hint="eastAsia" w:cs="Times New Roman"/>
          <w:kern w:val="2"/>
          <w:sz w:val="24"/>
          <w:szCs w:val="24"/>
          <w:lang w:val="en-US" w:eastAsia="zh-CN"/>
        </w:rPr>
        <w:t>812.55</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a</w:t>
      </w:r>
      <w:r>
        <w:rPr>
          <w:rFonts w:hint="default" w:ascii="Times New Roman" w:hAnsi="Times New Roman" w:eastAsia="宋体" w:cs="Times New Roman"/>
          <w:kern w:val="2"/>
          <w:sz w:val="24"/>
          <w:szCs w:val="24"/>
          <w:lang w:val="en-US" w:eastAsia="zh-CN"/>
        </w:rPr>
        <w:t>。</w:t>
      </w:r>
    </w:p>
    <w:p w14:paraId="0F7CD8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ascii="Times New Roman" w:hAnsi="Times New Roman" w:cs="Times New Roman"/>
          <w:kern w:val="2"/>
          <w:sz w:val="24"/>
          <w:szCs w:val="24"/>
          <w:lang w:val="en-US" w:eastAsia="zh-CN"/>
        </w:rPr>
        <w:t>项目区</w:t>
      </w:r>
      <w:r>
        <w:rPr>
          <w:rFonts w:hint="eastAsia" w:cs="Times New Roman"/>
          <w:kern w:val="2"/>
          <w:sz w:val="24"/>
          <w:szCs w:val="24"/>
          <w:lang w:val="en-US" w:eastAsia="zh-CN"/>
        </w:rPr>
        <w:t>入口以及进场道路采用均匀撒布生石灰消毒，每两周撒布一次，无需用水，</w:t>
      </w:r>
      <w:r>
        <w:rPr>
          <w:rFonts w:ascii="宋体" w:hAnsi="宋体" w:eastAsia="宋体" w:cs="宋体"/>
          <w:sz w:val="24"/>
          <w:szCs w:val="24"/>
        </w:rPr>
        <w:t>当场外有疫情威胁时，适当增加消毒次数</w:t>
      </w:r>
      <w:r>
        <w:rPr>
          <w:rFonts w:hint="default" w:ascii="Times New Roman" w:hAnsi="Times New Roman" w:eastAsia="宋体" w:cs="Times New Roman"/>
          <w:kern w:val="2"/>
          <w:sz w:val="24"/>
          <w:szCs w:val="24"/>
          <w:lang w:val="en-US" w:eastAsia="zh-CN"/>
        </w:rPr>
        <w:t>。</w:t>
      </w:r>
    </w:p>
    <w:p w14:paraId="5CA81D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Times New Roman" w:hAnsi="Times New Roman" w:eastAsia="宋体" w:cs="Times New Roman"/>
          <w:kern w:val="2"/>
          <w:sz w:val="24"/>
          <w:szCs w:val="24"/>
          <w:highlight w:val="none"/>
          <w:lang w:val="en-US" w:eastAsia="zh-CN"/>
        </w:rPr>
        <w:t>D.</w:t>
      </w:r>
      <w:r>
        <w:rPr>
          <w:rFonts w:hint="eastAsia" w:cs="Times New Roman"/>
          <w:kern w:val="2"/>
          <w:sz w:val="24"/>
          <w:szCs w:val="24"/>
          <w:lang w:val="en-US" w:eastAsia="zh-CN"/>
        </w:rPr>
        <w:t>堆肥区、饲料加工洒水降尘用水：</w:t>
      </w:r>
      <w:r>
        <w:rPr>
          <w:rFonts w:hint="eastAsia" w:ascii="Times New Roman" w:hAnsi="Times New Roman" w:eastAsia="宋体" w:cs="Times New Roman"/>
          <w:color w:val="000000"/>
          <w:kern w:val="2"/>
          <w:sz w:val="24"/>
          <w:szCs w:val="22"/>
          <w:lang w:val="en-US" w:eastAsia="zh-CN" w:bidi="ar-SA"/>
        </w:rPr>
        <w:t>本项目主要</w:t>
      </w:r>
      <w:r>
        <w:rPr>
          <w:rFonts w:hint="eastAsia" w:cs="Times New Roman"/>
          <w:color w:val="000000"/>
          <w:kern w:val="2"/>
          <w:sz w:val="24"/>
          <w:szCs w:val="22"/>
          <w:lang w:val="en-US" w:eastAsia="zh-CN" w:bidi="ar-SA"/>
        </w:rPr>
        <w:t>为非冬季期间</w:t>
      </w:r>
      <w:r>
        <w:rPr>
          <w:rFonts w:hint="eastAsia" w:ascii="Times New Roman" w:hAnsi="Times New Roman" w:eastAsia="宋体" w:cs="Times New Roman"/>
          <w:color w:val="000000"/>
          <w:kern w:val="2"/>
          <w:sz w:val="24"/>
          <w:szCs w:val="22"/>
          <w:lang w:val="en-US" w:eastAsia="zh-CN" w:bidi="ar-SA"/>
        </w:rPr>
        <w:t>车间</w:t>
      </w:r>
      <w:r>
        <w:rPr>
          <w:rFonts w:hint="eastAsia" w:cs="Times New Roman"/>
          <w:color w:val="000000"/>
          <w:kern w:val="2"/>
          <w:sz w:val="24"/>
          <w:szCs w:val="22"/>
          <w:lang w:val="en-US" w:eastAsia="zh-CN" w:bidi="ar-SA"/>
        </w:rPr>
        <w:t>内外</w:t>
      </w:r>
      <w:r>
        <w:rPr>
          <w:rFonts w:hint="eastAsia" w:ascii="Times New Roman" w:hAnsi="Times New Roman" w:eastAsia="宋体" w:cs="Times New Roman"/>
          <w:color w:val="000000"/>
          <w:kern w:val="2"/>
          <w:sz w:val="24"/>
          <w:szCs w:val="22"/>
          <w:lang w:val="en-US" w:eastAsia="zh-CN" w:bidi="ar-SA"/>
        </w:rPr>
        <w:t>道路路面喷洒用水，每天喷洒一次</w:t>
      </w:r>
      <w:r>
        <w:rPr>
          <w:rFonts w:hint="eastAsia" w:cs="Times New Roman"/>
          <w:color w:val="000000"/>
          <w:kern w:val="2"/>
          <w:sz w:val="24"/>
          <w:szCs w:val="22"/>
          <w:lang w:val="en-US" w:eastAsia="zh-CN" w:bidi="ar-SA"/>
        </w:rPr>
        <w:t>，起到降尘降温作用</w:t>
      </w:r>
      <w:r>
        <w:rPr>
          <w:rFonts w:hint="eastAsia" w:ascii="Times New Roman" w:hAnsi="Times New Roman" w:eastAsia="宋体" w:cs="Times New Roman"/>
          <w:color w:val="000000"/>
          <w:kern w:val="2"/>
          <w:sz w:val="24"/>
          <w:szCs w:val="22"/>
          <w:lang w:val="en-US" w:eastAsia="zh-CN" w:bidi="ar-SA"/>
        </w:rPr>
        <w:t>，用水指标为</w:t>
      </w:r>
      <w:r>
        <w:rPr>
          <w:rFonts w:hint="eastAsia" w:cs="Times New Roman"/>
          <w:color w:val="000000"/>
          <w:kern w:val="2"/>
          <w:sz w:val="24"/>
          <w:szCs w:val="22"/>
          <w:lang w:val="en-US" w:eastAsia="zh-CN" w:bidi="ar-SA"/>
        </w:rPr>
        <w:t>1</w:t>
      </w:r>
      <w:r>
        <w:rPr>
          <w:rFonts w:hint="eastAsia" w:ascii="Times New Roman" w:hAnsi="Times New Roman" w:eastAsia="宋体" w:cs="Times New Roman"/>
          <w:color w:val="000000"/>
          <w:kern w:val="2"/>
          <w:sz w:val="24"/>
          <w:szCs w:val="22"/>
          <w:lang w:val="en-US" w:eastAsia="zh-CN" w:bidi="ar-SA"/>
        </w:rPr>
        <w:t>L/m</w:t>
      </w:r>
      <w:r>
        <w:rPr>
          <w:rFonts w:hint="eastAsia" w:ascii="Times New Roman" w:hAnsi="Times New Roman" w:eastAsia="宋体" w:cs="Times New Roman"/>
          <w:color w:val="000000"/>
          <w:kern w:val="2"/>
          <w:sz w:val="24"/>
          <w:szCs w:val="22"/>
          <w:vertAlign w:val="superscript"/>
          <w:lang w:val="en-US" w:eastAsia="zh-CN" w:bidi="ar-SA"/>
        </w:rPr>
        <w:t>2</w:t>
      </w:r>
      <w:r>
        <w:rPr>
          <w:rFonts w:hint="eastAsia" w:ascii="Times New Roman" w:hAnsi="Times New Roman" w:eastAsia="宋体" w:cs="Times New Roman"/>
          <w:color w:val="000000"/>
          <w:kern w:val="2"/>
          <w:sz w:val="24"/>
          <w:szCs w:val="22"/>
          <w:lang w:val="en-US" w:eastAsia="zh-CN" w:bidi="ar-SA"/>
        </w:rPr>
        <w:t>·次。本项目</w:t>
      </w:r>
      <w:r>
        <w:rPr>
          <w:rFonts w:hint="eastAsia" w:cs="Times New Roman"/>
          <w:color w:val="000000"/>
          <w:kern w:val="2"/>
          <w:sz w:val="24"/>
          <w:szCs w:val="22"/>
          <w:lang w:val="en-US" w:eastAsia="zh-CN" w:bidi="ar-SA"/>
        </w:rPr>
        <w:t>堆肥区、饲料加工区外</w:t>
      </w:r>
      <w:r>
        <w:rPr>
          <w:rFonts w:hint="eastAsia" w:ascii="Times New Roman" w:hAnsi="Times New Roman" w:eastAsia="宋体" w:cs="Times New Roman"/>
          <w:color w:val="000000"/>
          <w:kern w:val="2"/>
          <w:sz w:val="24"/>
          <w:szCs w:val="22"/>
          <w:lang w:val="en-US" w:eastAsia="zh-CN" w:bidi="ar-SA"/>
        </w:rPr>
        <w:t>道路路面总面积</w:t>
      </w:r>
      <w:r>
        <w:rPr>
          <w:rFonts w:hint="eastAsia" w:cs="Times New Roman"/>
          <w:color w:val="000000"/>
          <w:kern w:val="2"/>
          <w:sz w:val="24"/>
          <w:szCs w:val="22"/>
          <w:lang w:val="en-US" w:eastAsia="zh-CN" w:bidi="ar-SA"/>
        </w:rPr>
        <w:t>约</w:t>
      </w:r>
      <w:r>
        <w:rPr>
          <w:rFonts w:hint="eastAsia" w:ascii="Times New Roman" w:hAnsi="Times New Roman" w:eastAsia="宋体" w:cs="Times New Roman"/>
          <w:color w:val="000000"/>
          <w:kern w:val="2"/>
          <w:sz w:val="24"/>
          <w:szCs w:val="22"/>
          <w:lang w:val="en-US" w:eastAsia="zh-CN" w:bidi="ar-SA"/>
        </w:rPr>
        <w:t>为</w:t>
      </w:r>
      <w:r>
        <w:rPr>
          <w:rFonts w:hint="eastAsia" w:cs="Times New Roman"/>
          <w:color w:val="000000"/>
          <w:kern w:val="2"/>
          <w:sz w:val="24"/>
          <w:szCs w:val="22"/>
          <w:lang w:val="en-US" w:eastAsia="zh-CN" w:bidi="ar-SA"/>
        </w:rPr>
        <w:t>600</w:t>
      </w:r>
      <w:r>
        <w:rPr>
          <w:rFonts w:hint="eastAsia" w:ascii="Times New Roman" w:hAnsi="Times New Roman" w:eastAsia="宋体" w:cs="Times New Roman"/>
          <w:color w:val="000000"/>
          <w:kern w:val="2"/>
          <w:sz w:val="24"/>
          <w:szCs w:val="22"/>
          <w:lang w:val="en-US" w:eastAsia="zh-CN" w:bidi="ar-SA"/>
        </w:rPr>
        <w:t>m</w:t>
      </w:r>
      <w:r>
        <w:rPr>
          <w:rFonts w:hint="eastAsia" w:ascii="Times New Roman" w:hAnsi="Times New Roman" w:eastAsia="宋体" w:cs="Times New Roman"/>
          <w:color w:val="000000"/>
          <w:kern w:val="2"/>
          <w:sz w:val="24"/>
          <w:szCs w:val="22"/>
          <w:vertAlign w:val="superscript"/>
          <w:lang w:val="en-US" w:eastAsia="zh-CN" w:bidi="ar-SA"/>
        </w:rPr>
        <w:t>2</w:t>
      </w:r>
      <w:r>
        <w:rPr>
          <w:rFonts w:hint="eastAsia" w:ascii="Times New Roman" w:hAnsi="Times New Roman" w:eastAsia="宋体" w:cs="Times New Roman"/>
          <w:color w:val="000000"/>
          <w:kern w:val="2"/>
          <w:sz w:val="24"/>
          <w:szCs w:val="22"/>
          <w:lang w:val="en-US" w:eastAsia="zh-CN" w:bidi="ar-SA"/>
        </w:rPr>
        <w:t>，则用水量约为</w:t>
      </w:r>
      <w:r>
        <w:rPr>
          <w:rFonts w:hint="eastAsia" w:cs="Times New Roman"/>
          <w:color w:val="000000"/>
          <w:kern w:val="2"/>
          <w:sz w:val="24"/>
          <w:szCs w:val="22"/>
          <w:lang w:val="en-US" w:eastAsia="zh-CN" w:bidi="ar-SA"/>
        </w:rPr>
        <w:t>0.6</w:t>
      </w:r>
      <w:r>
        <w:rPr>
          <w:rFonts w:hint="eastAsia" w:ascii="Times New Roman" w:hAnsi="Times New Roman" w:eastAsia="宋体" w:cs="Times New Roman"/>
          <w:color w:val="000000"/>
          <w:kern w:val="2"/>
          <w:sz w:val="24"/>
          <w:szCs w:val="22"/>
          <w:lang w:val="en-US" w:eastAsia="zh-CN" w:bidi="ar-SA"/>
        </w:rPr>
        <w:t>m</w:t>
      </w:r>
      <w:r>
        <w:rPr>
          <w:rFonts w:hint="eastAsia" w:ascii="Times New Roman" w:hAnsi="Times New Roman" w:eastAsia="宋体" w:cs="Times New Roman"/>
          <w:color w:val="000000"/>
          <w:kern w:val="2"/>
          <w:sz w:val="24"/>
          <w:szCs w:val="22"/>
          <w:vertAlign w:val="superscript"/>
          <w:lang w:val="en-US" w:eastAsia="zh-CN" w:bidi="ar-SA"/>
        </w:rPr>
        <w:t>3</w:t>
      </w:r>
      <w:r>
        <w:rPr>
          <w:rFonts w:hint="eastAsia" w:ascii="Times New Roman" w:hAnsi="Times New Roman" w:eastAsia="宋体" w:cs="Times New Roman"/>
          <w:color w:val="000000"/>
          <w:kern w:val="2"/>
          <w:sz w:val="24"/>
          <w:szCs w:val="22"/>
          <w:lang w:val="en-US" w:eastAsia="zh-CN" w:bidi="ar-SA"/>
        </w:rPr>
        <w:t>/d</w:t>
      </w:r>
      <w:r>
        <w:rPr>
          <w:rFonts w:hint="eastAsia" w:cs="Times New Roman"/>
          <w:color w:val="000000"/>
          <w:kern w:val="2"/>
          <w:sz w:val="24"/>
          <w:szCs w:val="22"/>
          <w:lang w:val="en-US" w:eastAsia="zh-CN" w:bidi="ar-SA"/>
        </w:rPr>
        <w:t>，非冬季工作时间按照197d计，新鲜水用量为118.2</w:t>
      </w:r>
      <w:r>
        <w:rPr>
          <w:rFonts w:hint="eastAsia" w:ascii="Times New Roman" w:hAnsi="Times New Roman" w:eastAsia="宋体" w:cs="Times New Roman"/>
          <w:color w:val="000000"/>
          <w:kern w:val="2"/>
          <w:sz w:val="24"/>
          <w:szCs w:val="22"/>
          <w:lang w:val="en-US" w:eastAsia="zh-CN" w:bidi="ar-SA"/>
        </w:rPr>
        <w:t>m</w:t>
      </w:r>
      <w:r>
        <w:rPr>
          <w:rFonts w:hint="eastAsia" w:ascii="Times New Roman" w:hAnsi="Times New Roman" w:eastAsia="宋体" w:cs="Times New Roman"/>
          <w:color w:val="000000"/>
          <w:kern w:val="2"/>
          <w:sz w:val="24"/>
          <w:szCs w:val="22"/>
          <w:vertAlign w:val="superscript"/>
          <w:lang w:val="en-US" w:eastAsia="zh-CN" w:bidi="ar-SA"/>
        </w:rPr>
        <w:t>3</w:t>
      </w:r>
      <w:r>
        <w:rPr>
          <w:rFonts w:hint="eastAsia" w:ascii="Times New Roman" w:hAnsi="Times New Roman" w:eastAsia="宋体" w:cs="Times New Roman"/>
          <w:color w:val="000000"/>
          <w:kern w:val="2"/>
          <w:sz w:val="24"/>
          <w:szCs w:val="22"/>
          <w:lang w:val="en-US" w:eastAsia="zh-CN" w:bidi="ar-SA"/>
        </w:rPr>
        <w:t>/</w:t>
      </w:r>
      <w:r>
        <w:rPr>
          <w:rFonts w:hint="eastAsia" w:cs="Times New Roman"/>
          <w:color w:val="000000"/>
          <w:kern w:val="2"/>
          <w:sz w:val="24"/>
          <w:szCs w:val="22"/>
          <w:lang w:val="en-US" w:eastAsia="zh-CN" w:bidi="ar-SA"/>
        </w:rPr>
        <w:t>a</w:t>
      </w:r>
      <w:r>
        <w:rPr>
          <w:rFonts w:hint="eastAsia" w:ascii="Times New Roman" w:hAnsi="Times New Roman" w:eastAsia="宋体" w:cs="Times New Roman"/>
          <w:color w:val="000000"/>
          <w:kern w:val="2"/>
          <w:sz w:val="24"/>
          <w:szCs w:val="22"/>
          <w:lang w:val="en-US" w:eastAsia="zh-CN" w:bidi="ar-SA"/>
        </w:rPr>
        <w:t>，不会在厂区内形成径流，随之蒸发，因此不产生废水。</w:t>
      </w:r>
    </w:p>
    <w:p w14:paraId="672B42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2）</w:t>
      </w:r>
      <w:r>
        <w:rPr>
          <w:rFonts w:hint="default" w:ascii="Times New Roman" w:hAnsi="Times New Roman" w:eastAsia="宋体" w:cs="Times New Roman"/>
          <w:kern w:val="2"/>
          <w:sz w:val="24"/>
          <w:szCs w:val="24"/>
          <w:lang w:val="en-US" w:eastAsia="zh-CN"/>
        </w:rPr>
        <w:t>生活用水</w:t>
      </w:r>
    </w:p>
    <w:p w14:paraId="596024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1"/>
          <w:szCs w:val="24"/>
          <w:lang w:val="en-US" w:eastAsia="zh-CN"/>
        </w:rPr>
      </w:pPr>
      <w:r>
        <w:rPr>
          <w:rFonts w:hint="default" w:ascii="Times New Roman" w:hAnsi="Times New Roman" w:eastAsia="宋体" w:cs="Times New Roman"/>
          <w:color w:val="auto"/>
          <w:kern w:val="2"/>
          <w:sz w:val="24"/>
          <w:szCs w:val="24"/>
        </w:rPr>
        <w:t>本项目</w:t>
      </w:r>
      <w:r>
        <w:rPr>
          <w:rFonts w:hint="eastAsia" w:cs="Times New Roman"/>
          <w:color w:val="auto"/>
          <w:kern w:val="2"/>
          <w:sz w:val="24"/>
          <w:szCs w:val="24"/>
          <w:lang w:val="en-US" w:eastAsia="zh-CN"/>
        </w:rPr>
        <w:t>新增</w:t>
      </w:r>
      <w:r>
        <w:rPr>
          <w:rFonts w:hint="default" w:ascii="Times New Roman" w:hAnsi="Times New Roman" w:eastAsia="宋体" w:cs="Times New Roman"/>
          <w:color w:val="auto"/>
          <w:kern w:val="2"/>
          <w:sz w:val="24"/>
          <w:szCs w:val="24"/>
        </w:rPr>
        <w:t>劳动定员为</w:t>
      </w:r>
      <w:r>
        <w:rPr>
          <w:rFonts w:hint="eastAsia" w:cs="Times New Roman"/>
          <w:color w:val="auto"/>
          <w:kern w:val="2"/>
          <w:sz w:val="24"/>
          <w:szCs w:val="24"/>
          <w:lang w:val="en-US" w:eastAsia="zh-CN"/>
        </w:rPr>
        <w:t>12</w:t>
      </w:r>
      <w:r>
        <w:rPr>
          <w:rFonts w:hint="default" w:ascii="Times New Roman" w:hAnsi="Times New Roman" w:eastAsia="宋体" w:cs="Times New Roman"/>
          <w:color w:val="auto"/>
          <w:kern w:val="2"/>
          <w:sz w:val="24"/>
          <w:szCs w:val="24"/>
        </w:rPr>
        <w:t>人，</w:t>
      </w:r>
      <w:r>
        <w:rPr>
          <w:rFonts w:hint="default" w:ascii="Times New Roman" w:hAnsi="Times New Roman" w:eastAsia="宋体" w:cs="Times New Roman"/>
          <w:color w:val="auto"/>
          <w:kern w:val="2"/>
          <w:sz w:val="24"/>
          <w:szCs w:val="24"/>
          <w:lang w:val="en-US" w:eastAsia="zh-CN"/>
        </w:rPr>
        <w:t>根据《</w:t>
      </w:r>
      <w:r>
        <w:rPr>
          <w:rFonts w:hint="default" w:ascii="Times New Roman" w:hAnsi="Times New Roman" w:eastAsia="宋体" w:cs="Times New Roman"/>
          <w:color w:val="000000"/>
          <w:kern w:val="2"/>
          <w:sz w:val="24"/>
          <w:szCs w:val="24"/>
          <w:lang w:val="en-US" w:eastAsia="zh-CN"/>
        </w:rPr>
        <w:t>新疆维吾尔自治区生活用水定额</w:t>
      </w:r>
      <w:r>
        <w:rPr>
          <w:rFonts w:hint="default" w:ascii="Times New Roman" w:hAnsi="Times New Roman" w:eastAsia="宋体" w:cs="Times New Roman"/>
          <w:color w:val="auto"/>
          <w:kern w:val="2"/>
          <w:sz w:val="24"/>
          <w:szCs w:val="24"/>
          <w:lang w:val="en-US" w:eastAsia="zh-CN"/>
        </w:rPr>
        <w:t>》集体宿舍</w:t>
      </w:r>
      <w:r>
        <w:rPr>
          <w:rFonts w:hint="default" w:ascii="Times New Roman" w:hAnsi="Times New Roman" w:eastAsia="宋体" w:cs="Times New Roman"/>
          <w:color w:val="auto"/>
          <w:kern w:val="2"/>
          <w:sz w:val="24"/>
          <w:szCs w:val="24"/>
        </w:rPr>
        <w:t>取</w:t>
      </w:r>
      <w:r>
        <w:rPr>
          <w:rFonts w:hint="default" w:ascii="Times New Roman" w:hAnsi="Times New Roman" w:eastAsia="宋体" w:cs="Times New Roman"/>
          <w:color w:val="auto"/>
          <w:kern w:val="2"/>
          <w:sz w:val="24"/>
          <w:szCs w:val="24"/>
          <w:lang w:val="en-US" w:eastAsia="zh-CN"/>
        </w:rPr>
        <w:t>80</w:t>
      </w:r>
      <w:r>
        <w:rPr>
          <w:rFonts w:hint="default" w:ascii="Times New Roman" w:hAnsi="Times New Roman" w:eastAsia="宋体" w:cs="Times New Roman"/>
          <w:color w:val="auto"/>
          <w:kern w:val="2"/>
          <w:sz w:val="24"/>
          <w:szCs w:val="24"/>
        </w:rPr>
        <w:t>L/人•d。则职工生活用水量为</w:t>
      </w:r>
      <w:r>
        <w:rPr>
          <w:rFonts w:hint="eastAsia" w:cs="Times New Roman"/>
          <w:color w:val="auto"/>
          <w:kern w:val="2"/>
          <w:sz w:val="24"/>
          <w:szCs w:val="24"/>
          <w:lang w:val="en-US" w:eastAsia="zh-CN"/>
        </w:rPr>
        <w:t>0.96</w:t>
      </w:r>
      <w:r>
        <w:rPr>
          <w:rFonts w:hint="default" w:ascii="Times New Roman" w:hAnsi="Times New Roman" w:eastAsia="宋体" w:cs="Times New Roman"/>
          <w:color w:val="auto"/>
          <w:kern w:val="2"/>
          <w:sz w:val="24"/>
          <w:szCs w:val="24"/>
        </w:rPr>
        <w:t>m</w:t>
      </w:r>
      <w:r>
        <w:rPr>
          <w:rFonts w:hint="default" w:ascii="Times New Roman" w:hAnsi="Times New Roman" w:eastAsia="宋体" w:cs="Times New Roman"/>
          <w:color w:val="auto"/>
          <w:kern w:val="2"/>
          <w:sz w:val="24"/>
          <w:szCs w:val="24"/>
          <w:vertAlign w:val="superscript"/>
        </w:rPr>
        <w:t>3</w:t>
      </w:r>
      <w:r>
        <w:rPr>
          <w:rFonts w:hint="default" w:ascii="Times New Roman" w:hAnsi="Times New Roman" w:eastAsia="宋体" w:cs="Times New Roman"/>
          <w:color w:val="auto"/>
          <w:kern w:val="2"/>
          <w:sz w:val="24"/>
          <w:szCs w:val="24"/>
        </w:rPr>
        <w:t>/d，</w:t>
      </w:r>
      <w:r>
        <w:rPr>
          <w:rFonts w:hint="eastAsia" w:cs="Times New Roman"/>
          <w:color w:val="auto"/>
          <w:kern w:val="2"/>
          <w:sz w:val="24"/>
          <w:szCs w:val="24"/>
          <w:lang w:val="en-US" w:eastAsia="zh-CN"/>
        </w:rPr>
        <w:t>350.4</w:t>
      </w:r>
      <w:r>
        <w:rPr>
          <w:rFonts w:hint="default" w:ascii="Times New Roman" w:hAnsi="Times New Roman" w:eastAsia="宋体" w:cs="Times New Roman"/>
          <w:color w:val="auto"/>
          <w:kern w:val="2"/>
          <w:sz w:val="24"/>
          <w:szCs w:val="24"/>
        </w:rPr>
        <w:t>m</w:t>
      </w:r>
      <w:r>
        <w:rPr>
          <w:rFonts w:hint="default" w:ascii="Times New Roman" w:hAnsi="Times New Roman" w:eastAsia="宋体" w:cs="Times New Roman"/>
          <w:color w:val="auto"/>
          <w:kern w:val="2"/>
          <w:sz w:val="24"/>
          <w:szCs w:val="24"/>
          <w:vertAlign w:val="superscript"/>
        </w:rPr>
        <w:t>3</w:t>
      </w:r>
      <w:r>
        <w:rPr>
          <w:rFonts w:hint="default" w:ascii="Times New Roman" w:hAnsi="Times New Roman" w:eastAsia="宋体" w:cs="Times New Roman"/>
          <w:color w:val="auto"/>
          <w:kern w:val="2"/>
          <w:sz w:val="24"/>
          <w:szCs w:val="24"/>
        </w:rPr>
        <w:t>/a。</w:t>
      </w:r>
    </w:p>
    <w:p w14:paraId="6813E4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lang w:val="en-US" w:eastAsia="zh-CN"/>
        </w:rPr>
        <w:t>本项目</w:t>
      </w:r>
      <w:r>
        <w:rPr>
          <w:rFonts w:hint="default" w:ascii="Times New Roman" w:hAnsi="Times New Roman" w:eastAsia="宋体" w:cs="Times New Roman"/>
          <w:color w:val="000000"/>
          <w:kern w:val="2"/>
          <w:sz w:val="24"/>
          <w:szCs w:val="24"/>
        </w:rPr>
        <w:t>供水主要</w:t>
      </w:r>
      <w:r>
        <w:rPr>
          <w:rFonts w:hint="default" w:ascii="Times New Roman" w:hAnsi="Times New Roman" w:eastAsia="宋体" w:cs="Times New Roman"/>
          <w:color w:val="000000"/>
          <w:kern w:val="2"/>
          <w:sz w:val="24"/>
          <w:szCs w:val="24"/>
          <w:lang w:val="en-US" w:eastAsia="zh-CN"/>
        </w:rPr>
        <w:t>由</w:t>
      </w:r>
      <w:r>
        <w:rPr>
          <w:rFonts w:hint="eastAsia" w:cs="Times New Roman"/>
          <w:color w:val="000000"/>
          <w:kern w:val="2"/>
          <w:sz w:val="24"/>
          <w:szCs w:val="24"/>
          <w:lang w:val="en-US" w:eastAsia="zh-CN"/>
        </w:rPr>
        <w:t>市政</w:t>
      </w:r>
      <w:r>
        <w:rPr>
          <w:rFonts w:hint="default" w:ascii="Times New Roman" w:hAnsi="Times New Roman" w:eastAsia="宋体" w:cs="Times New Roman"/>
          <w:color w:val="000000"/>
          <w:kern w:val="2"/>
          <w:sz w:val="24"/>
          <w:szCs w:val="24"/>
          <w:lang w:val="en-US" w:eastAsia="zh-CN"/>
        </w:rPr>
        <w:t>供水管网输送新鲜水至项目区供应生产生活用水</w:t>
      </w:r>
      <w:r>
        <w:rPr>
          <w:rFonts w:hint="eastAsia" w:cs="Times New Roman"/>
          <w:color w:val="000000"/>
          <w:kern w:val="2"/>
          <w:sz w:val="24"/>
          <w:szCs w:val="24"/>
          <w:lang w:val="en-US" w:eastAsia="zh-CN"/>
        </w:rPr>
        <w:t>，水量、水压均能满足本项目供水要求，供水可行</w:t>
      </w:r>
      <w:r>
        <w:rPr>
          <w:rFonts w:hint="eastAsia" w:cs="Times New Roman"/>
          <w:color w:val="000000"/>
          <w:sz w:val="24"/>
          <w:szCs w:val="24"/>
          <w:lang w:val="en-US" w:eastAsia="zh-CN"/>
        </w:rPr>
        <w:t>。项目区内</w:t>
      </w:r>
      <w:r>
        <w:rPr>
          <w:rFonts w:hint="default" w:ascii="Times New Roman" w:hAnsi="Times New Roman" w:eastAsia="宋体" w:cs="Times New Roman"/>
          <w:color w:val="000000"/>
          <w:sz w:val="24"/>
          <w:szCs w:val="24"/>
        </w:rPr>
        <w:t>通过管道输送至各生产、生活用水点</w:t>
      </w:r>
      <w:r>
        <w:rPr>
          <w:rFonts w:hint="default" w:ascii="Times New Roman" w:hAnsi="Times New Roman" w:eastAsia="宋体" w:cs="Times New Roman"/>
          <w:color w:val="000000"/>
          <w:kern w:val="2"/>
          <w:sz w:val="24"/>
          <w:szCs w:val="24"/>
        </w:rPr>
        <w:t>。</w:t>
      </w:r>
    </w:p>
    <w:p w14:paraId="08F015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（2）排水</w:t>
      </w:r>
    </w:p>
    <w:p w14:paraId="474D52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rPr>
        <w:t>本项目废水主要包括</w:t>
      </w:r>
      <w:r>
        <w:rPr>
          <w:rFonts w:hint="eastAsia" w:ascii="Times New Roman" w:hAnsi="Times New Roman" w:eastAsia="宋体" w:cs="Times New Roman"/>
          <w:color w:val="auto"/>
          <w:kern w:val="2"/>
          <w:sz w:val="24"/>
          <w:szCs w:val="24"/>
          <w:lang w:val="en-US" w:eastAsia="zh-CN"/>
        </w:rPr>
        <w:t>牛尿液</w:t>
      </w:r>
      <w:r>
        <w:rPr>
          <w:rFonts w:hint="default" w:ascii="Times New Roman" w:hAnsi="Times New Roman" w:eastAsia="宋体" w:cs="Times New Roman"/>
          <w:color w:val="auto"/>
          <w:kern w:val="2"/>
          <w:sz w:val="24"/>
          <w:szCs w:val="24"/>
        </w:rPr>
        <w:t>以及职工生活污水。</w:t>
      </w:r>
    </w:p>
    <w:p w14:paraId="5A86C33E">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default" w:ascii="Times New Roman" w:hAnsi="Times New Roman" w:eastAsia="宋体" w:cs="Times New Roman"/>
          <w:color w:val="000000"/>
          <w:kern w:val="2"/>
          <w:sz w:val="24"/>
          <w:szCs w:val="24"/>
          <w:lang w:val="en-US" w:eastAsia="zh-CN"/>
        </w:rPr>
      </w:pPr>
      <w:r>
        <w:rPr>
          <w:rFonts w:hint="eastAsia" w:cs="Times New Roman"/>
          <w:color w:val="auto"/>
          <w:kern w:val="2"/>
          <w:sz w:val="24"/>
          <w:szCs w:val="24"/>
          <w:lang w:val="en-US" w:eastAsia="zh-CN"/>
        </w:rPr>
        <w:t>A.牛圈</w:t>
      </w:r>
      <w:r>
        <w:rPr>
          <w:rFonts w:hint="eastAsia" w:ascii="Times New Roman" w:hAnsi="Times New Roman" w:eastAsia="宋体" w:cs="Times New Roman"/>
          <w:color w:val="auto"/>
          <w:kern w:val="2"/>
          <w:sz w:val="24"/>
          <w:szCs w:val="24"/>
          <w:lang w:val="en-US" w:eastAsia="zh-CN"/>
        </w:rPr>
        <w:t>牛</w:t>
      </w:r>
      <w:r>
        <w:rPr>
          <w:rFonts w:hint="default" w:ascii="Times New Roman" w:hAnsi="Times New Roman" w:eastAsia="宋体" w:cs="Times New Roman"/>
          <w:color w:val="auto"/>
          <w:kern w:val="2"/>
          <w:sz w:val="24"/>
          <w:szCs w:val="24"/>
        </w:rPr>
        <w:t>尿液：根据《</w:t>
      </w:r>
      <w:r>
        <w:rPr>
          <w:rFonts w:hint="default" w:ascii="Times New Roman" w:hAnsi="Times New Roman" w:eastAsia="宋体" w:cs="Times New Roman"/>
          <w:color w:val="auto"/>
          <w:kern w:val="2"/>
          <w:sz w:val="24"/>
          <w:szCs w:val="24"/>
          <w:lang w:val="en-US" w:eastAsia="zh-CN"/>
        </w:rPr>
        <w:t>第一次全国污染源普查畜禽养殖业源产排污系数手册</w:t>
      </w:r>
      <w:r>
        <w:rPr>
          <w:rFonts w:hint="default" w:ascii="Times New Roman" w:hAnsi="Times New Roman" w:eastAsia="宋体" w:cs="Times New Roman"/>
          <w:color w:val="auto"/>
          <w:kern w:val="2"/>
          <w:sz w:val="24"/>
          <w:szCs w:val="24"/>
        </w:rPr>
        <w:t>》，</w:t>
      </w:r>
      <w:r>
        <w:rPr>
          <w:rFonts w:hint="default" w:ascii="Times New Roman" w:hAnsi="Times New Roman" w:eastAsia="宋体" w:cs="Times New Roman"/>
          <w:color w:val="auto"/>
          <w:kern w:val="2"/>
          <w:sz w:val="24"/>
          <w:szCs w:val="24"/>
          <w:lang w:val="en-US" w:eastAsia="zh-CN"/>
        </w:rPr>
        <w:t>育肥</w:t>
      </w:r>
      <w:r>
        <w:rPr>
          <w:rFonts w:hint="eastAsia" w:ascii="Times New Roman" w:hAnsi="Times New Roman" w:eastAsia="宋体" w:cs="Times New Roman"/>
          <w:color w:val="auto"/>
          <w:kern w:val="2"/>
          <w:sz w:val="24"/>
          <w:szCs w:val="24"/>
          <w:lang w:val="en-US" w:eastAsia="zh-CN"/>
        </w:rPr>
        <w:t>牛</w:t>
      </w:r>
      <w:r>
        <w:rPr>
          <w:rFonts w:hint="default" w:ascii="Times New Roman" w:hAnsi="Times New Roman" w:eastAsia="宋体" w:cs="Times New Roman"/>
          <w:color w:val="auto"/>
          <w:kern w:val="2"/>
          <w:sz w:val="24"/>
          <w:szCs w:val="24"/>
          <w:lang w:val="en-US" w:eastAsia="zh-CN"/>
        </w:rPr>
        <w:t>尿液量产污系数为</w:t>
      </w:r>
      <w:r>
        <w:rPr>
          <w:rFonts w:hint="eastAsia" w:ascii="Times New Roman" w:hAnsi="Times New Roman" w:eastAsia="宋体" w:cs="Times New Roman"/>
          <w:color w:val="auto"/>
          <w:kern w:val="2"/>
          <w:sz w:val="24"/>
          <w:szCs w:val="24"/>
          <w:lang w:val="en-US" w:eastAsia="zh-CN"/>
        </w:rPr>
        <w:t>8.32</w:t>
      </w:r>
      <w:r>
        <w:rPr>
          <w:rFonts w:hint="default" w:ascii="Times New Roman" w:hAnsi="Times New Roman" w:eastAsia="宋体" w:cs="Times New Roman"/>
          <w:color w:val="auto"/>
          <w:kern w:val="2"/>
          <w:sz w:val="24"/>
          <w:szCs w:val="24"/>
          <w:lang w:val="en-US" w:eastAsia="zh-CN"/>
        </w:rPr>
        <w:t>L/只·d</w:t>
      </w:r>
      <w:r>
        <w:rPr>
          <w:rFonts w:hint="default"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000000"/>
          <w:kern w:val="2"/>
          <w:sz w:val="24"/>
          <w:szCs w:val="24"/>
          <w:lang w:eastAsia="zh-CN"/>
        </w:rPr>
        <w:t>经计算</w:t>
      </w:r>
      <w:r>
        <w:rPr>
          <w:rFonts w:hint="default" w:ascii="Times New Roman" w:hAnsi="Times New Roman" w:eastAsia="宋体" w:cs="Times New Roman"/>
          <w:color w:val="000000"/>
          <w:kern w:val="2"/>
          <w:sz w:val="24"/>
          <w:szCs w:val="24"/>
        </w:rPr>
        <w:t>本项目</w:t>
      </w:r>
      <w:r>
        <w:rPr>
          <w:rFonts w:hint="eastAsia" w:ascii="Times New Roman" w:hAnsi="Times New Roman" w:eastAsia="宋体" w:cs="Times New Roman"/>
          <w:color w:val="000000"/>
          <w:kern w:val="2"/>
          <w:sz w:val="24"/>
          <w:szCs w:val="24"/>
          <w:lang w:val="en-US" w:eastAsia="zh-CN"/>
        </w:rPr>
        <w:t>牛</w:t>
      </w:r>
      <w:r>
        <w:rPr>
          <w:rFonts w:hint="default" w:ascii="Times New Roman" w:hAnsi="Times New Roman" w:eastAsia="宋体" w:cs="Times New Roman"/>
          <w:color w:val="000000"/>
          <w:kern w:val="2"/>
          <w:sz w:val="24"/>
          <w:szCs w:val="24"/>
        </w:rPr>
        <w:t>尿液产生量约为</w:t>
      </w:r>
      <w:r>
        <w:rPr>
          <w:rFonts w:hint="eastAsia" w:cs="Times New Roman"/>
          <w:color w:val="000000"/>
          <w:kern w:val="2"/>
          <w:sz w:val="24"/>
          <w:szCs w:val="24"/>
          <w:lang w:val="en-US" w:eastAsia="zh-CN"/>
        </w:rPr>
        <w:t>24.96</w:t>
      </w:r>
      <w:r>
        <w:rPr>
          <w:rFonts w:hint="default" w:ascii="Times New Roman" w:hAnsi="Times New Roman" w:eastAsia="宋体" w:cs="Times New Roman"/>
          <w:color w:val="000000"/>
          <w:kern w:val="0"/>
          <w:sz w:val="24"/>
          <w:szCs w:val="24"/>
        </w:rPr>
        <w:t>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2"/>
          <w:sz w:val="24"/>
          <w:szCs w:val="24"/>
        </w:rPr>
        <w:t>/d，</w:t>
      </w:r>
      <w:r>
        <w:rPr>
          <w:rFonts w:hint="eastAsia" w:cs="Times New Roman"/>
          <w:color w:val="000000"/>
          <w:kern w:val="2"/>
          <w:sz w:val="24"/>
          <w:szCs w:val="24"/>
          <w:lang w:val="en-US" w:eastAsia="zh-CN"/>
        </w:rPr>
        <w:t>9110.4</w:t>
      </w:r>
      <w:r>
        <w:rPr>
          <w:rFonts w:hint="default" w:ascii="Times New Roman" w:hAnsi="Times New Roman" w:eastAsia="宋体" w:cs="Times New Roman"/>
          <w:color w:val="000000"/>
          <w:kern w:val="0"/>
          <w:sz w:val="24"/>
          <w:szCs w:val="24"/>
        </w:rPr>
        <w:t>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2"/>
          <w:sz w:val="24"/>
          <w:szCs w:val="24"/>
        </w:rPr>
        <w:t>/a</w:t>
      </w:r>
      <w:r>
        <w:rPr>
          <w:rFonts w:hint="eastAsia" w:cs="Times New Roman"/>
          <w:color w:val="000000"/>
          <w:kern w:val="2"/>
          <w:sz w:val="24"/>
          <w:szCs w:val="24"/>
          <w:lang w:eastAsia="zh-CN"/>
        </w:rPr>
        <w:t>，</w:t>
      </w:r>
      <w:r>
        <w:rPr>
          <w:rFonts w:hint="default" w:ascii="Times New Roman" w:hAnsi="Times New Roman" w:eastAsia="宋体" w:cs="Times New Roman"/>
          <w:color w:val="000000"/>
          <w:kern w:val="2"/>
          <w:sz w:val="24"/>
          <w:szCs w:val="24"/>
        </w:rPr>
        <w:t>污染因子主要为COD、</w:t>
      </w:r>
      <w:r>
        <w:rPr>
          <w:rFonts w:hint="eastAsia" w:ascii="Times New Roman" w:hAnsi="Times New Roman" w:eastAsia="宋体" w:cs="Times New Roman"/>
          <w:color w:val="000000"/>
          <w:kern w:val="2"/>
          <w:sz w:val="24"/>
          <w:szCs w:val="24"/>
          <w:lang w:val="en-US" w:eastAsia="zh-CN"/>
        </w:rPr>
        <w:t>TN</w:t>
      </w:r>
      <w:r>
        <w:rPr>
          <w:rFonts w:hint="default" w:ascii="Times New Roman" w:hAnsi="Times New Roman" w:eastAsia="宋体" w:cs="Times New Roman"/>
          <w:color w:val="000000"/>
          <w:kern w:val="2"/>
          <w:sz w:val="24"/>
          <w:szCs w:val="24"/>
        </w:rPr>
        <w:t>、NH</w:t>
      </w:r>
      <w:r>
        <w:rPr>
          <w:rFonts w:hint="default" w:ascii="Times New Roman" w:hAnsi="Times New Roman" w:eastAsia="宋体" w:cs="Times New Roman"/>
          <w:color w:val="000000"/>
          <w:kern w:val="2"/>
          <w:sz w:val="24"/>
          <w:szCs w:val="24"/>
          <w:vertAlign w:val="subscript"/>
        </w:rPr>
        <w:t>3</w:t>
      </w:r>
      <w:r>
        <w:rPr>
          <w:rFonts w:hint="default" w:ascii="Times New Roman" w:hAnsi="Times New Roman" w:eastAsia="宋体" w:cs="Times New Roman"/>
          <w:color w:val="000000"/>
          <w:kern w:val="2"/>
          <w:sz w:val="24"/>
          <w:szCs w:val="24"/>
        </w:rPr>
        <w:t>-N和</w:t>
      </w:r>
      <w:r>
        <w:rPr>
          <w:rFonts w:hint="eastAsia" w:ascii="Times New Roman" w:hAnsi="Times New Roman" w:eastAsia="宋体" w:cs="Times New Roman"/>
          <w:color w:val="000000"/>
          <w:kern w:val="2"/>
          <w:sz w:val="24"/>
          <w:szCs w:val="24"/>
          <w:lang w:val="en-US" w:eastAsia="zh-CN"/>
        </w:rPr>
        <w:t>TP</w:t>
      </w:r>
      <w:r>
        <w:rPr>
          <w:rFonts w:hint="default"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其中</w:t>
      </w:r>
      <w:r>
        <w:rPr>
          <w:rFonts w:hint="eastAsia" w:cs="Times New Roman"/>
          <w:color w:val="000000"/>
          <w:kern w:val="2"/>
          <w:sz w:val="24"/>
          <w:szCs w:val="24"/>
          <w:lang w:val="en-US" w:eastAsia="zh-CN"/>
        </w:rPr>
        <w:t>牛圈</w:t>
      </w:r>
      <w:r>
        <w:rPr>
          <w:rFonts w:hint="eastAsia" w:ascii="Times New Roman" w:hAnsi="Times New Roman" w:eastAsia="宋体" w:cs="Times New Roman"/>
          <w:color w:val="000000"/>
          <w:kern w:val="2"/>
          <w:sz w:val="24"/>
          <w:szCs w:val="24"/>
          <w:lang w:val="en-US" w:eastAsia="zh-CN"/>
        </w:rPr>
        <w:t>铺设</w:t>
      </w:r>
      <w:r>
        <w:rPr>
          <w:rFonts w:hint="eastAsia" w:cs="Times New Roman"/>
          <w:color w:val="000000"/>
          <w:kern w:val="2"/>
          <w:sz w:val="24"/>
          <w:szCs w:val="24"/>
          <w:lang w:val="en-US" w:eastAsia="zh-CN"/>
        </w:rPr>
        <w:t>30</w:t>
      </w:r>
      <w:r>
        <w:rPr>
          <w:rFonts w:hint="eastAsia" w:ascii="Times New Roman" w:hAnsi="Times New Roman" w:eastAsia="宋体" w:cs="Times New Roman"/>
          <w:color w:val="000000"/>
          <w:kern w:val="2"/>
          <w:sz w:val="24"/>
          <w:szCs w:val="24"/>
          <w:lang w:val="en-US" w:eastAsia="zh-CN"/>
        </w:rPr>
        <w:t>cm</w:t>
      </w:r>
      <w:r>
        <w:rPr>
          <w:rFonts w:hint="eastAsia" w:cs="Times New Roman"/>
          <w:color w:val="000000"/>
          <w:kern w:val="2"/>
          <w:sz w:val="24"/>
          <w:szCs w:val="24"/>
          <w:lang w:val="en-US" w:eastAsia="zh-CN"/>
        </w:rPr>
        <w:t>～70</w:t>
      </w:r>
      <w:r>
        <w:rPr>
          <w:rFonts w:hint="eastAsia" w:ascii="Times New Roman" w:hAnsi="Times New Roman" w:eastAsia="宋体" w:cs="Times New Roman"/>
          <w:color w:val="000000"/>
          <w:kern w:val="2"/>
          <w:sz w:val="24"/>
          <w:szCs w:val="24"/>
          <w:lang w:val="en-US" w:eastAsia="zh-CN"/>
        </w:rPr>
        <w:t>cm发酵垫料，能够有效吸收牛尿，少量</w:t>
      </w:r>
      <w:r>
        <w:rPr>
          <w:rFonts w:hint="eastAsia" w:cs="Times New Roman"/>
          <w:color w:val="000000"/>
          <w:kern w:val="2"/>
          <w:sz w:val="24"/>
          <w:szCs w:val="24"/>
          <w:lang w:val="en-US" w:eastAsia="zh-CN"/>
        </w:rPr>
        <w:t>因发酵垫料管理不善</w:t>
      </w:r>
      <w:r>
        <w:rPr>
          <w:rFonts w:hint="eastAsia" w:ascii="Times New Roman" w:hAnsi="Times New Roman" w:eastAsia="宋体" w:cs="Times New Roman"/>
          <w:color w:val="000000"/>
          <w:kern w:val="2"/>
          <w:sz w:val="24"/>
          <w:szCs w:val="24"/>
          <w:lang w:val="en-US" w:eastAsia="zh-CN"/>
        </w:rPr>
        <w:t>渗滤的尿液收集于尿液收集池，无养殖废水外排</w:t>
      </w:r>
      <w:r>
        <w:rPr>
          <w:rFonts w:hint="eastAsia" w:eastAsia="宋体" w:cs="Times New Roman"/>
          <w:color w:val="auto"/>
          <w:kern w:val="2"/>
          <w:sz w:val="24"/>
          <w:szCs w:val="24"/>
          <w:highlight w:val="none"/>
          <w:lang w:val="en-US" w:eastAsia="zh-CN"/>
        </w:rPr>
        <w:t>。</w:t>
      </w:r>
      <w:r>
        <w:rPr>
          <w:rFonts w:hint="eastAsia" w:cs="Times New Roman"/>
          <w:color w:val="auto"/>
          <w:kern w:val="2"/>
          <w:sz w:val="24"/>
          <w:szCs w:val="24"/>
          <w:lang w:val="en-US" w:eastAsia="zh-CN"/>
        </w:rPr>
        <w:t>根据《第一次全国污染源普查畜禽养殖业源产排污系数手册》，西北区畜禽养殖场育肥肉牛垫草垫料排污系数为0</w:t>
      </w:r>
      <w:r>
        <w:rPr>
          <w:rFonts w:hint="default" w:ascii="Times New Roman" w:hAnsi="Times New Roman" w:eastAsia="宋体" w:cs="Times New Roman"/>
          <w:color w:val="000000"/>
          <w:kern w:val="2"/>
          <w:sz w:val="24"/>
          <w:szCs w:val="24"/>
        </w:rPr>
        <w:t>。</w:t>
      </w:r>
    </w:p>
    <w:p w14:paraId="74D892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lang w:val="en-US" w:eastAsia="zh-CN"/>
        </w:rPr>
      </w:pPr>
      <w:r>
        <w:rPr>
          <w:rFonts w:hint="eastAsia" w:cs="Times New Roman"/>
          <w:color w:val="000000"/>
          <w:kern w:val="2"/>
          <w:sz w:val="24"/>
          <w:szCs w:val="24"/>
          <w:lang w:val="en-US" w:eastAsia="zh-CN"/>
        </w:rPr>
        <w:t>B.</w:t>
      </w:r>
      <w:r>
        <w:rPr>
          <w:rFonts w:hint="default" w:ascii="Times New Roman" w:hAnsi="Times New Roman" w:eastAsia="宋体" w:cs="Times New Roman"/>
          <w:kern w:val="2"/>
          <w:sz w:val="24"/>
          <w:szCs w:val="24"/>
          <w:lang w:val="en-US" w:eastAsia="zh-CN"/>
        </w:rPr>
        <w:t>生活用水：</w:t>
      </w:r>
      <w:r>
        <w:rPr>
          <w:rFonts w:hint="default" w:ascii="Times New Roman" w:hAnsi="Times New Roman" w:eastAsia="宋体" w:cs="Times New Roman"/>
          <w:color w:val="auto"/>
          <w:kern w:val="2"/>
          <w:sz w:val="24"/>
          <w:szCs w:val="24"/>
        </w:rPr>
        <w:t>职工生活污水按用水量80%计，则排水量为</w:t>
      </w:r>
      <w:r>
        <w:rPr>
          <w:rFonts w:hint="eastAsia" w:cs="Times New Roman"/>
          <w:color w:val="auto"/>
          <w:kern w:val="2"/>
          <w:sz w:val="24"/>
          <w:szCs w:val="24"/>
          <w:lang w:val="en-US" w:eastAsia="zh-CN"/>
        </w:rPr>
        <w:t>0.768</w:t>
      </w:r>
      <w:r>
        <w:rPr>
          <w:rFonts w:hint="default" w:ascii="Times New Roman" w:hAnsi="Times New Roman" w:eastAsia="宋体" w:cs="Times New Roman"/>
          <w:color w:val="auto"/>
          <w:kern w:val="2"/>
          <w:sz w:val="24"/>
          <w:szCs w:val="24"/>
        </w:rPr>
        <w:t>m</w:t>
      </w:r>
      <w:r>
        <w:rPr>
          <w:rFonts w:hint="default" w:ascii="Times New Roman" w:hAnsi="Times New Roman" w:eastAsia="宋体" w:cs="Times New Roman"/>
          <w:color w:val="auto"/>
          <w:kern w:val="2"/>
          <w:sz w:val="24"/>
          <w:szCs w:val="24"/>
          <w:vertAlign w:val="superscript"/>
        </w:rPr>
        <w:t>3</w:t>
      </w:r>
      <w:r>
        <w:rPr>
          <w:rFonts w:hint="default" w:ascii="Times New Roman" w:hAnsi="Times New Roman" w:eastAsia="宋体" w:cs="Times New Roman"/>
          <w:color w:val="auto"/>
          <w:kern w:val="2"/>
          <w:sz w:val="24"/>
          <w:szCs w:val="24"/>
        </w:rPr>
        <w:t>/d，</w:t>
      </w:r>
      <w:r>
        <w:rPr>
          <w:rFonts w:hint="eastAsia" w:cs="Times New Roman"/>
          <w:color w:val="auto"/>
          <w:kern w:val="2"/>
          <w:sz w:val="24"/>
          <w:szCs w:val="24"/>
          <w:lang w:val="en-US" w:eastAsia="zh-CN"/>
        </w:rPr>
        <w:t>280.32</w:t>
      </w:r>
      <w:r>
        <w:rPr>
          <w:rFonts w:hint="default" w:ascii="Times New Roman" w:hAnsi="Times New Roman" w:eastAsia="宋体" w:cs="Times New Roman"/>
          <w:color w:val="auto"/>
          <w:kern w:val="2"/>
          <w:sz w:val="24"/>
          <w:szCs w:val="24"/>
        </w:rPr>
        <w:t>m</w:t>
      </w:r>
      <w:r>
        <w:rPr>
          <w:rFonts w:hint="default" w:ascii="Times New Roman" w:hAnsi="Times New Roman" w:eastAsia="宋体" w:cs="Times New Roman"/>
          <w:color w:val="auto"/>
          <w:kern w:val="2"/>
          <w:sz w:val="24"/>
          <w:szCs w:val="24"/>
          <w:vertAlign w:val="superscript"/>
        </w:rPr>
        <w:t>3</w:t>
      </w:r>
      <w:r>
        <w:rPr>
          <w:rFonts w:hint="default" w:ascii="Times New Roman" w:hAnsi="Times New Roman" w:eastAsia="宋体" w:cs="Times New Roman"/>
          <w:color w:val="auto"/>
          <w:kern w:val="2"/>
          <w:sz w:val="24"/>
          <w:szCs w:val="24"/>
        </w:rPr>
        <w:t>/a</w:t>
      </w:r>
      <w:r>
        <w:rPr>
          <w:rFonts w:hint="eastAsia"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000000"/>
          <w:kern w:val="2"/>
          <w:sz w:val="24"/>
          <w:szCs w:val="24"/>
        </w:rPr>
        <w:t>污染因子主要为</w:t>
      </w:r>
      <w:r>
        <w:rPr>
          <w:rFonts w:hint="eastAsia" w:eastAsia="宋体" w:cs="Times New Roman"/>
          <w:color w:val="000000"/>
          <w:kern w:val="2"/>
          <w:sz w:val="24"/>
          <w:szCs w:val="24"/>
          <w:lang w:val="en-US" w:eastAsia="zh-CN"/>
        </w:rPr>
        <w:t>pH、</w:t>
      </w:r>
      <w:r>
        <w:rPr>
          <w:rFonts w:hint="default" w:ascii="Times New Roman" w:hAnsi="Times New Roman" w:eastAsia="宋体" w:cs="Times New Roman"/>
          <w:color w:val="000000"/>
          <w:kern w:val="2"/>
          <w:sz w:val="24"/>
          <w:szCs w:val="24"/>
        </w:rPr>
        <w:t>COD、</w:t>
      </w:r>
      <w:r>
        <w:rPr>
          <w:rFonts w:hint="eastAsia" w:eastAsia="宋体" w:cs="Times New Roman"/>
          <w:color w:val="000000"/>
          <w:kern w:val="2"/>
          <w:sz w:val="24"/>
          <w:szCs w:val="24"/>
          <w:lang w:val="en-US" w:eastAsia="zh-CN"/>
        </w:rPr>
        <w:t>SS、BOD</w:t>
      </w:r>
      <w:r>
        <w:rPr>
          <w:rFonts w:hint="default" w:ascii="Times New Roman" w:hAnsi="Times New Roman" w:eastAsia="宋体" w:cs="Times New Roman"/>
          <w:color w:val="000000"/>
          <w:kern w:val="2"/>
          <w:sz w:val="24"/>
          <w:szCs w:val="24"/>
        </w:rPr>
        <w:t>、NH</w:t>
      </w:r>
      <w:r>
        <w:rPr>
          <w:rFonts w:hint="default" w:ascii="Times New Roman" w:hAnsi="Times New Roman" w:eastAsia="宋体" w:cs="Times New Roman"/>
          <w:color w:val="000000"/>
          <w:kern w:val="2"/>
          <w:sz w:val="24"/>
          <w:szCs w:val="24"/>
          <w:vertAlign w:val="subscript"/>
        </w:rPr>
        <w:t>3</w:t>
      </w:r>
      <w:r>
        <w:rPr>
          <w:rFonts w:hint="default" w:ascii="Times New Roman" w:hAnsi="Times New Roman" w:eastAsia="宋体" w:cs="Times New Roman"/>
          <w:color w:val="000000"/>
          <w:kern w:val="2"/>
          <w:sz w:val="24"/>
          <w:szCs w:val="24"/>
        </w:rPr>
        <w:t>-N</w:t>
      </w:r>
      <w:r>
        <w:rPr>
          <w:rFonts w:hint="default" w:ascii="Times New Roman" w:hAnsi="Times New Roman" w:eastAsia="宋体" w:cs="Times New Roman"/>
          <w:color w:val="auto"/>
          <w:kern w:val="2"/>
          <w:sz w:val="24"/>
          <w:szCs w:val="24"/>
        </w:rPr>
        <w:t>。</w:t>
      </w:r>
      <w:r>
        <w:rPr>
          <w:rFonts w:hint="eastAsia" w:cs="Times New Roman"/>
          <w:color w:val="auto"/>
          <w:kern w:val="2"/>
          <w:sz w:val="24"/>
          <w:szCs w:val="24"/>
          <w:lang w:val="en-US" w:eastAsia="zh-CN"/>
        </w:rPr>
        <w:t>经防渗化粪池收集后定期由吸污车拉运至污水处理厂处置</w:t>
      </w:r>
      <w:r>
        <w:rPr>
          <w:rFonts w:hint="eastAsia" w:ascii="Times New Roman" w:hAnsi="Times New Roman" w:eastAsia="宋体" w:cs="Times New Roman"/>
          <w:color w:val="auto"/>
          <w:kern w:val="2"/>
          <w:sz w:val="24"/>
          <w:szCs w:val="24"/>
          <w:lang w:val="en-US" w:eastAsia="zh-CN"/>
        </w:rPr>
        <w:t>。</w:t>
      </w:r>
    </w:p>
    <w:p w14:paraId="45EAA2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（3）供电</w:t>
      </w:r>
    </w:p>
    <w:p w14:paraId="564F46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现有工程</w:t>
      </w:r>
      <w:r>
        <w:rPr>
          <w:rFonts w:hint="default" w:ascii="Times New Roman" w:hAnsi="Times New Roman" w:eastAsia="宋体" w:cs="Times New Roman"/>
          <w:kern w:val="2"/>
          <w:sz w:val="24"/>
          <w:szCs w:val="24"/>
        </w:rPr>
        <w:t>供电负荷为三级，采用低压供电，电源为380/220V，依托当地电缆直接引入变配电室。各区的供电电源由配电间变压器直接引入，采用放射式和树干式供电至各建筑物。</w:t>
      </w:r>
      <w:r>
        <w:rPr>
          <w:rFonts w:hint="eastAsia" w:cs="Times New Roman"/>
          <w:kern w:val="2"/>
          <w:sz w:val="24"/>
          <w:szCs w:val="24"/>
          <w:lang w:val="en-US" w:eastAsia="zh-CN"/>
        </w:rPr>
        <w:t>满足本项目供电需求。</w:t>
      </w:r>
    </w:p>
    <w:p w14:paraId="4C2F3B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（4）供暖</w:t>
      </w:r>
    </w:p>
    <w:p w14:paraId="40CBE9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生活区冬季</w:t>
      </w:r>
      <w:r>
        <w:rPr>
          <w:rFonts w:hint="default" w:ascii="Times New Roman" w:hAnsi="Times New Roman" w:eastAsia="宋体" w:cs="Times New Roman"/>
          <w:color w:val="000000"/>
          <w:kern w:val="2"/>
          <w:sz w:val="24"/>
          <w:szCs w:val="24"/>
          <w:lang w:val="en-US" w:eastAsia="zh-CN"/>
        </w:rPr>
        <w:t>采用电加热设备供暖</w:t>
      </w:r>
      <w:r>
        <w:rPr>
          <w:rFonts w:hint="eastAsia" w:cs="Times New Roman"/>
          <w:color w:val="000000"/>
          <w:kern w:val="2"/>
          <w:sz w:val="24"/>
          <w:szCs w:val="24"/>
          <w:lang w:val="en-US" w:eastAsia="zh-CN"/>
        </w:rPr>
        <w:t>；养殖区育肥牛冬季均在牛舍养殖，冬季无需供热</w:t>
      </w:r>
      <w:r>
        <w:rPr>
          <w:rFonts w:hint="default" w:ascii="Times New Roman" w:hAnsi="Times New Roman" w:eastAsia="宋体" w:cs="Times New Roman"/>
          <w:color w:val="000000"/>
          <w:kern w:val="2"/>
          <w:sz w:val="24"/>
          <w:szCs w:val="24"/>
          <w:lang w:val="en-US" w:eastAsia="zh-CN"/>
        </w:rPr>
        <w:t>。</w:t>
      </w:r>
    </w:p>
    <w:p w14:paraId="7AD100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（5）交通运输</w:t>
      </w:r>
    </w:p>
    <w:p w14:paraId="3CA9B7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000000"/>
          <w:kern w:val="2"/>
          <w:sz w:val="24"/>
          <w:szCs w:val="24"/>
        </w:rPr>
      </w:pPr>
      <w:r>
        <w:rPr>
          <w:rFonts w:hint="default" w:ascii="Times New Roman" w:hAnsi="Times New Roman" w:eastAsia="宋体" w:cs="Times New Roman"/>
          <w:color w:val="000000"/>
          <w:kern w:val="2"/>
          <w:sz w:val="24"/>
          <w:szCs w:val="24"/>
          <w:lang w:val="en-US" w:eastAsia="zh-CN"/>
        </w:rPr>
        <w:t>该项目区位于</w:t>
      </w:r>
      <w:r>
        <w:rPr>
          <w:rFonts w:hint="eastAsia" w:cs="Times New Roman"/>
          <w:color w:val="000000"/>
          <w:kern w:val="2"/>
          <w:sz w:val="24"/>
          <w:szCs w:val="24"/>
          <w:lang w:val="en-US" w:eastAsia="zh-CN"/>
        </w:rPr>
        <w:t>第七师125团</w:t>
      </w:r>
      <w:r>
        <w:rPr>
          <w:rFonts w:hint="default" w:ascii="Times New Roman" w:hAnsi="Times New Roman" w:eastAsia="宋体" w:cs="Times New Roman"/>
          <w:color w:val="000000"/>
          <w:kern w:val="2"/>
          <w:sz w:val="24"/>
          <w:szCs w:val="24"/>
          <w:lang w:val="en-US" w:eastAsia="zh-CN"/>
        </w:rPr>
        <w:t>，</w:t>
      </w:r>
      <w:r>
        <w:rPr>
          <w:rFonts w:hint="eastAsia" w:cs="Times New Roman"/>
          <w:color w:val="000000"/>
          <w:kern w:val="2"/>
          <w:sz w:val="24"/>
          <w:szCs w:val="24"/>
          <w:lang w:val="en-US" w:eastAsia="zh-CN"/>
        </w:rPr>
        <w:t>东侧入口连接道路</w:t>
      </w:r>
      <w:r>
        <w:rPr>
          <w:rFonts w:hint="default" w:ascii="Times New Roman" w:hAnsi="Times New Roman" w:eastAsia="宋体" w:cs="Times New Roman"/>
          <w:color w:val="000000"/>
          <w:kern w:val="2"/>
          <w:sz w:val="24"/>
          <w:szCs w:val="24"/>
          <w:lang w:val="zh-CN"/>
        </w:rPr>
        <w:t>，交通便利</w:t>
      </w:r>
      <w:r>
        <w:rPr>
          <w:rFonts w:hint="default" w:ascii="Times New Roman" w:hAnsi="Times New Roman" w:eastAsia="宋体" w:cs="Times New Roman"/>
          <w:bCs/>
          <w:color w:val="000000"/>
          <w:kern w:val="2"/>
          <w:sz w:val="24"/>
          <w:szCs w:val="24"/>
        </w:rPr>
        <w:t>。全厂运进运出的物流采用汽车运输，委托社会运输部门承担。成品采用用户自提运输车方式运出。</w:t>
      </w:r>
    </w:p>
    <w:p w14:paraId="585AB84B">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274" w:name="_Toc8297"/>
      <w:bookmarkStart w:id="275" w:name="_Toc32470"/>
      <w:bookmarkStart w:id="276" w:name="_Toc14086"/>
      <w:r>
        <w:rPr>
          <w:rFonts w:hint="default"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.4主要设备</w:t>
      </w:r>
      <w:bookmarkEnd w:id="274"/>
      <w:bookmarkEnd w:id="275"/>
      <w:bookmarkEnd w:id="276"/>
    </w:p>
    <w:p w14:paraId="646715E3">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
          <w:bCs/>
          <w:kern w:val="2"/>
          <w:sz w:val="21"/>
          <w:szCs w:val="24"/>
          <w:lang w:val="en-US" w:eastAsia="zh-CN" w:bidi="ar-SA"/>
        </w:rPr>
      </w:pPr>
      <w:r>
        <w:rPr>
          <w:rFonts w:hint="default" w:ascii="Times New Roman" w:hAnsi="Times New Roman" w:eastAsia="宋体" w:cs="Times New Roman"/>
          <w:kern w:val="2"/>
          <w:sz w:val="24"/>
          <w:szCs w:val="24"/>
          <w:lang w:val="en-US" w:eastAsia="zh-CN" w:bidi="ar-SA"/>
        </w:rPr>
        <w:t>本项目主要生产设备包括养殖设备、消毒设备及公共配套设备。本项目主要设备一</w:t>
      </w:r>
      <w:r>
        <w:rPr>
          <w:rFonts w:hint="eastAsia" w:cs="Times New Roman"/>
          <w:kern w:val="2"/>
          <w:sz w:val="24"/>
          <w:szCs w:val="24"/>
          <w:lang w:val="en-US" w:eastAsia="zh-CN" w:bidi="ar-SA"/>
        </w:rPr>
        <w:t>览</w:t>
      </w:r>
      <w:r>
        <w:rPr>
          <w:rFonts w:hint="default" w:ascii="Times New Roman" w:hAnsi="Times New Roman" w:eastAsia="宋体" w:cs="Times New Roman"/>
          <w:kern w:val="2"/>
          <w:sz w:val="24"/>
          <w:szCs w:val="24"/>
          <w:lang w:val="en-US" w:eastAsia="zh-CN" w:bidi="ar-SA"/>
        </w:rPr>
        <w:t>表见表3.</w:t>
      </w:r>
      <w:r>
        <w:rPr>
          <w:rFonts w:hint="eastAsia"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-2。</w:t>
      </w:r>
    </w:p>
    <w:p w14:paraId="21C1F562">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rPr>
        <w:t>表3.</w:t>
      </w:r>
      <w:r>
        <w:rPr>
          <w:rFonts w:hint="eastAsia" w:cs="Times New Roman"/>
          <w:b/>
          <w:bCs/>
          <w:kern w:val="2"/>
          <w:sz w:val="24"/>
          <w:szCs w:val="24"/>
          <w:lang w:val="en-US" w:eastAsia="zh-CN"/>
        </w:rPr>
        <w:t>2</w:t>
      </w:r>
      <w:r>
        <w:rPr>
          <w:rFonts w:hint="default" w:ascii="Times New Roman" w:hAnsi="Times New Roman" w:eastAsia="宋体" w:cs="Times New Roman"/>
          <w:b/>
          <w:bCs/>
          <w:kern w:val="2"/>
          <w:sz w:val="24"/>
          <w:szCs w:val="24"/>
        </w:rPr>
        <w:t>-2本项目主要设备一</w:t>
      </w:r>
      <w:r>
        <w:rPr>
          <w:rFonts w:hint="eastAsia" w:cs="Times New Roman"/>
          <w:b/>
          <w:bCs/>
          <w:kern w:val="2"/>
          <w:sz w:val="24"/>
          <w:szCs w:val="24"/>
          <w:lang w:eastAsia="zh-CN"/>
        </w:rPr>
        <w:t>览</w:t>
      </w:r>
      <w:r>
        <w:rPr>
          <w:rFonts w:hint="default" w:ascii="Times New Roman" w:hAnsi="Times New Roman" w:eastAsia="宋体" w:cs="Times New Roman"/>
          <w:b/>
          <w:bCs/>
          <w:kern w:val="2"/>
          <w:sz w:val="24"/>
          <w:szCs w:val="24"/>
        </w:rPr>
        <w:t>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695"/>
        <w:gridCol w:w="2500"/>
        <w:gridCol w:w="1584"/>
        <w:gridCol w:w="1985"/>
      </w:tblGrid>
      <w:tr w14:paraId="569E9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noWrap w:val="0"/>
            <w:vAlign w:val="top"/>
          </w:tcPr>
          <w:p w14:paraId="5239D127">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b/>
                <w:bCs/>
                <w:color w:val="auto"/>
                <w:kern w:val="0"/>
                <w:sz w:val="21"/>
                <w:szCs w:val="21"/>
                <w:lang w:val="en-US" w:eastAsia="zh-CN" w:bidi="ar-SA"/>
              </w:rPr>
            </w:pPr>
            <w:bookmarkStart w:id="277" w:name="_Toc4770772"/>
            <w:bookmarkStart w:id="278" w:name="_Toc11532"/>
            <w:bookmarkStart w:id="279" w:name="_Toc247368660"/>
            <w:bookmarkStart w:id="280" w:name="_Toc7088460"/>
            <w:bookmarkStart w:id="281" w:name="_Toc26754"/>
            <w:bookmarkStart w:id="282" w:name="_Toc18802"/>
            <w:bookmarkStart w:id="283" w:name="_Toc197837884"/>
            <w:bookmarkStart w:id="284" w:name="_Toc189393110"/>
            <w:bookmarkStart w:id="285" w:name="_Toc194309161"/>
            <w:bookmarkStart w:id="286" w:name="_Toc1574_WPSOffice_Level2"/>
            <w:bookmarkStart w:id="287" w:name="_Toc192576761"/>
            <w:bookmarkStart w:id="288" w:name="_Toc4770595"/>
            <w:bookmarkStart w:id="289" w:name="_Toc525314877"/>
            <w:r>
              <w:rPr>
                <w:rFonts w:hint="default" w:ascii="Times New Roman" w:hAnsi="Times New Roman" w:eastAsia="宋体" w:cs="Times New Roman"/>
                <w:b/>
                <w:bCs/>
                <w:color w:val="auto"/>
                <w:kern w:val="0"/>
                <w:sz w:val="21"/>
                <w:szCs w:val="21"/>
                <w:lang w:val="en-US" w:eastAsia="zh-CN" w:bidi="ar-SA"/>
              </w:rPr>
              <w:t>序号</w:t>
            </w:r>
          </w:p>
        </w:tc>
        <w:tc>
          <w:tcPr>
            <w:tcW w:w="1695" w:type="dxa"/>
            <w:noWrap w:val="0"/>
            <w:vAlign w:val="center"/>
          </w:tcPr>
          <w:p w14:paraId="29944CFC">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类型</w:t>
            </w:r>
          </w:p>
        </w:tc>
        <w:tc>
          <w:tcPr>
            <w:tcW w:w="2500" w:type="dxa"/>
            <w:noWrap w:val="0"/>
            <w:vAlign w:val="top"/>
          </w:tcPr>
          <w:p w14:paraId="3A854A11">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项目名称</w:t>
            </w:r>
          </w:p>
        </w:tc>
        <w:tc>
          <w:tcPr>
            <w:tcW w:w="1584" w:type="dxa"/>
            <w:noWrap w:val="0"/>
            <w:vAlign w:val="top"/>
          </w:tcPr>
          <w:p w14:paraId="660F7F52">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依托现有工程</w:t>
            </w:r>
          </w:p>
        </w:tc>
        <w:tc>
          <w:tcPr>
            <w:tcW w:w="1985" w:type="dxa"/>
            <w:noWrap w:val="0"/>
            <w:vAlign w:val="top"/>
          </w:tcPr>
          <w:p w14:paraId="53F68755">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本项目新增</w:t>
            </w:r>
          </w:p>
        </w:tc>
      </w:tr>
      <w:tr w14:paraId="76DFF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noWrap w:val="0"/>
            <w:vAlign w:val="center"/>
          </w:tcPr>
          <w:p w14:paraId="0D74662B">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w:t>
            </w:r>
          </w:p>
        </w:tc>
        <w:tc>
          <w:tcPr>
            <w:tcW w:w="1695" w:type="dxa"/>
            <w:vMerge w:val="restart"/>
            <w:noWrap w:val="0"/>
            <w:vAlign w:val="center"/>
          </w:tcPr>
          <w:p w14:paraId="47467176">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养殖设备</w:t>
            </w:r>
          </w:p>
        </w:tc>
        <w:tc>
          <w:tcPr>
            <w:tcW w:w="2500" w:type="dxa"/>
            <w:noWrap w:val="0"/>
            <w:vAlign w:val="center"/>
          </w:tcPr>
          <w:p w14:paraId="0AFF015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饮水槽</w:t>
            </w:r>
          </w:p>
        </w:tc>
        <w:tc>
          <w:tcPr>
            <w:tcW w:w="1584" w:type="dxa"/>
            <w:noWrap w:val="0"/>
            <w:vAlign w:val="center"/>
          </w:tcPr>
          <w:p w14:paraId="6A76BACC">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24个</w:t>
            </w:r>
          </w:p>
        </w:tc>
        <w:tc>
          <w:tcPr>
            <w:tcW w:w="1985" w:type="dxa"/>
            <w:noWrap w:val="0"/>
            <w:vAlign w:val="center"/>
          </w:tcPr>
          <w:p w14:paraId="292D70BB">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12个</w:t>
            </w:r>
          </w:p>
        </w:tc>
      </w:tr>
      <w:tr w14:paraId="09784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noWrap w:val="0"/>
            <w:vAlign w:val="center"/>
          </w:tcPr>
          <w:p w14:paraId="3DFDFB1C">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w:t>
            </w:r>
          </w:p>
        </w:tc>
        <w:tc>
          <w:tcPr>
            <w:tcW w:w="1695" w:type="dxa"/>
            <w:vMerge w:val="continue"/>
            <w:noWrap w:val="0"/>
            <w:vAlign w:val="center"/>
          </w:tcPr>
          <w:p w14:paraId="2C480F32">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p>
        </w:tc>
        <w:tc>
          <w:tcPr>
            <w:tcW w:w="2500" w:type="dxa"/>
            <w:noWrap w:val="0"/>
            <w:vAlign w:val="center"/>
          </w:tcPr>
          <w:p w14:paraId="2B3153A3">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highlight w:val="none"/>
              </w:rPr>
            </w:pPr>
            <w:r>
              <w:rPr>
                <w:rFonts w:hint="eastAsia" w:cs="Times New Roman"/>
                <w:color w:val="auto"/>
                <w:kern w:val="2"/>
                <w:sz w:val="21"/>
                <w:szCs w:val="21"/>
                <w:highlight w:val="none"/>
                <w:lang w:val="en-US" w:eastAsia="zh-CN"/>
              </w:rPr>
              <w:t>铲车</w:t>
            </w:r>
          </w:p>
        </w:tc>
        <w:tc>
          <w:tcPr>
            <w:tcW w:w="1584" w:type="dxa"/>
            <w:noWrap w:val="0"/>
            <w:vAlign w:val="center"/>
          </w:tcPr>
          <w:p w14:paraId="7340DBF7">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highlight w:val="none"/>
                <w:lang w:val="en-US"/>
              </w:rPr>
            </w:pPr>
            <w:r>
              <w:rPr>
                <w:rFonts w:hint="eastAsia" w:cs="Times New Roman"/>
                <w:color w:val="auto"/>
                <w:kern w:val="0"/>
                <w:sz w:val="21"/>
                <w:szCs w:val="21"/>
                <w:highlight w:val="none"/>
                <w:lang w:val="en-US" w:eastAsia="zh-CN" w:bidi="ar-SA"/>
              </w:rPr>
              <w:t>2辆</w:t>
            </w:r>
          </w:p>
        </w:tc>
        <w:tc>
          <w:tcPr>
            <w:tcW w:w="1985" w:type="dxa"/>
            <w:noWrap w:val="0"/>
            <w:vAlign w:val="center"/>
          </w:tcPr>
          <w:p w14:paraId="5AED2E53">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14:paraId="085E4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39CE83A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w:t>
            </w:r>
          </w:p>
        </w:tc>
        <w:tc>
          <w:tcPr>
            <w:tcW w:w="1695" w:type="dxa"/>
            <w:vMerge w:val="continue"/>
            <w:noWrap w:val="0"/>
            <w:vAlign w:val="center"/>
          </w:tcPr>
          <w:p w14:paraId="782332D0">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p>
        </w:tc>
        <w:tc>
          <w:tcPr>
            <w:tcW w:w="2500" w:type="dxa"/>
            <w:noWrap w:val="0"/>
            <w:vAlign w:val="center"/>
          </w:tcPr>
          <w:p w14:paraId="0CC304CC">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水泵</w:t>
            </w:r>
          </w:p>
        </w:tc>
        <w:tc>
          <w:tcPr>
            <w:tcW w:w="1584" w:type="dxa"/>
            <w:noWrap w:val="0"/>
            <w:vAlign w:val="center"/>
          </w:tcPr>
          <w:p w14:paraId="2E5071C2">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1个</w:t>
            </w:r>
          </w:p>
        </w:tc>
        <w:tc>
          <w:tcPr>
            <w:tcW w:w="1985" w:type="dxa"/>
            <w:noWrap w:val="0"/>
            <w:vAlign w:val="center"/>
          </w:tcPr>
          <w:p w14:paraId="005798A7">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w:t>
            </w:r>
          </w:p>
        </w:tc>
      </w:tr>
      <w:tr w14:paraId="663C1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00FBB8CC">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4</w:t>
            </w:r>
          </w:p>
        </w:tc>
        <w:tc>
          <w:tcPr>
            <w:tcW w:w="1695" w:type="dxa"/>
            <w:vMerge w:val="continue"/>
            <w:noWrap w:val="0"/>
            <w:vAlign w:val="center"/>
          </w:tcPr>
          <w:p w14:paraId="28F897AF">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p>
        </w:tc>
        <w:tc>
          <w:tcPr>
            <w:tcW w:w="2500" w:type="dxa"/>
            <w:noWrap w:val="0"/>
            <w:vAlign w:val="center"/>
          </w:tcPr>
          <w:p w14:paraId="6852C44E">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运输车辆</w:t>
            </w:r>
          </w:p>
        </w:tc>
        <w:tc>
          <w:tcPr>
            <w:tcW w:w="1584" w:type="dxa"/>
            <w:noWrap w:val="0"/>
            <w:vAlign w:val="center"/>
          </w:tcPr>
          <w:p w14:paraId="36E0C25E">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w:t>
            </w:r>
            <w:r>
              <w:rPr>
                <w:rFonts w:hint="default" w:ascii="Times New Roman" w:hAnsi="Times New Roman" w:eastAsia="宋体" w:cs="Times New Roman"/>
                <w:color w:val="auto"/>
                <w:kern w:val="2"/>
                <w:sz w:val="21"/>
                <w:szCs w:val="21"/>
                <w:highlight w:val="none"/>
                <w:lang w:val="en-US" w:eastAsia="zh-CN"/>
              </w:rPr>
              <w:t>辆</w:t>
            </w:r>
          </w:p>
        </w:tc>
        <w:tc>
          <w:tcPr>
            <w:tcW w:w="1985" w:type="dxa"/>
            <w:noWrap w:val="0"/>
            <w:vAlign w:val="center"/>
          </w:tcPr>
          <w:p w14:paraId="35BE58C6">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w:t>
            </w:r>
          </w:p>
        </w:tc>
      </w:tr>
      <w:tr w14:paraId="1A519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0870338A">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5</w:t>
            </w:r>
          </w:p>
        </w:tc>
        <w:tc>
          <w:tcPr>
            <w:tcW w:w="1695" w:type="dxa"/>
            <w:vMerge w:val="continue"/>
            <w:noWrap w:val="0"/>
            <w:vAlign w:val="center"/>
          </w:tcPr>
          <w:p w14:paraId="4338D8AB">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p>
        </w:tc>
        <w:tc>
          <w:tcPr>
            <w:tcW w:w="2500" w:type="dxa"/>
            <w:noWrap w:val="0"/>
            <w:vAlign w:val="center"/>
          </w:tcPr>
          <w:p w14:paraId="142B2F96">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四驱自走式清粪车</w:t>
            </w:r>
          </w:p>
        </w:tc>
        <w:tc>
          <w:tcPr>
            <w:tcW w:w="1584" w:type="dxa"/>
            <w:noWrap w:val="0"/>
            <w:vAlign w:val="center"/>
          </w:tcPr>
          <w:p w14:paraId="0974D86D">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1辆</w:t>
            </w:r>
          </w:p>
        </w:tc>
        <w:tc>
          <w:tcPr>
            <w:tcW w:w="1985" w:type="dxa"/>
            <w:noWrap w:val="0"/>
            <w:vAlign w:val="center"/>
          </w:tcPr>
          <w:p w14:paraId="1FDD28EB">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1辆</w:t>
            </w:r>
          </w:p>
        </w:tc>
      </w:tr>
      <w:tr w14:paraId="0BB4D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0734B189">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6</w:t>
            </w:r>
          </w:p>
        </w:tc>
        <w:tc>
          <w:tcPr>
            <w:tcW w:w="1695" w:type="dxa"/>
            <w:vMerge w:val="continue"/>
            <w:noWrap w:val="0"/>
            <w:vAlign w:val="center"/>
          </w:tcPr>
          <w:p w14:paraId="787E7224">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p>
        </w:tc>
        <w:tc>
          <w:tcPr>
            <w:tcW w:w="2500" w:type="dxa"/>
            <w:noWrap w:val="0"/>
            <w:vAlign w:val="center"/>
          </w:tcPr>
          <w:p w14:paraId="47C25E91">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地磅</w:t>
            </w:r>
          </w:p>
        </w:tc>
        <w:tc>
          <w:tcPr>
            <w:tcW w:w="1584" w:type="dxa"/>
            <w:noWrap w:val="0"/>
            <w:vAlign w:val="center"/>
          </w:tcPr>
          <w:p w14:paraId="0E65AAE8">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34DF1F8E">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1套</w:t>
            </w:r>
          </w:p>
        </w:tc>
      </w:tr>
      <w:tr w14:paraId="3C14E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31B697B8">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7</w:t>
            </w:r>
          </w:p>
        </w:tc>
        <w:tc>
          <w:tcPr>
            <w:tcW w:w="1695" w:type="dxa"/>
            <w:vMerge w:val="restart"/>
            <w:noWrap w:val="0"/>
            <w:vAlign w:val="center"/>
          </w:tcPr>
          <w:p w14:paraId="43AFE26C">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消毒设备</w:t>
            </w:r>
          </w:p>
        </w:tc>
        <w:tc>
          <w:tcPr>
            <w:tcW w:w="2500" w:type="dxa"/>
            <w:noWrap w:val="0"/>
            <w:vAlign w:val="center"/>
          </w:tcPr>
          <w:p w14:paraId="07666C58">
            <w:pPr>
              <w:keepNext w:val="0"/>
              <w:keepLines w:val="0"/>
              <w:widowControl/>
              <w:suppressLineNumbers w:val="0"/>
              <w:spacing w:line="320" w:lineRule="exact"/>
              <w:jc w:val="center"/>
              <w:rPr>
                <w:rFonts w:hint="default" w:ascii="Times New Roman" w:hAnsi="Times New Roman" w:eastAsia="宋体" w:cs="Times New Roman"/>
                <w:color w:val="auto"/>
                <w:kern w:val="2"/>
                <w:sz w:val="21"/>
                <w:szCs w:val="21"/>
              </w:rPr>
            </w:pPr>
            <w:r>
              <w:rPr>
                <w:rFonts w:hint="eastAsia" w:ascii="Times New Roman" w:hAnsi="Times New Roman" w:eastAsia="宋体" w:cs="Times New Roman"/>
                <w:i w:val="0"/>
                <w:color w:val="auto"/>
                <w:kern w:val="0"/>
                <w:sz w:val="21"/>
                <w:szCs w:val="21"/>
                <w:u w:val="none"/>
                <w:lang w:val="en-US" w:eastAsia="zh-CN" w:bidi="ar"/>
              </w:rPr>
              <w:t>移动</w:t>
            </w:r>
            <w:r>
              <w:rPr>
                <w:rFonts w:hint="default" w:ascii="Times New Roman" w:hAnsi="Times New Roman" w:eastAsia="宋体" w:cs="Times New Roman"/>
                <w:i w:val="0"/>
                <w:color w:val="auto"/>
                <w:kern w:val="0"/>
                <w:sz w:val="21"/>
                <w:szCs w:val="21"/>
                <w:u w:val="none"/>
                <w:lang w:val="en-US" w:eastAsia="zh-CN" w:bidi="ar"/>
              </w:rPr>
              <w:t>消毒设备</w:t>
            </w:r>
          </w:p>
        </w:tc>
        <w:tc>
          <w:tcPr>
            <w:tcW w:w="1584" w:type="dxa"/>
            <w:noWrap w:val="0"/>
            <w:vAlign w:val="center"/>
          </w:tcPr>
          <w:p w14:paraId="4AD0EC3A">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3C1284C9">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1套</w:t>
            </w:r>
          </w:p>
        </w:tc>
      </w:tr>
      <w:tr w14:paraId="54C7F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6846CC3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8</w:t>
            </w:r>
          </w:p>
        </w:tc>
        <w:tc>
          <w:tcPr>
            <w:tcW w:w="1695" w:type="dxa"/>
            <w:vMerge w:val="continue"/>
            <w:noWrap w:val="0"/>
            <w:vAlign w:val="center"/>
          </w:tcPr>
          <w:p w14:paraId="3BFD9FC9">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p>
        </w:tc>
        <w:tc>
          <w:tcPr>
            <w:tcW w:w="2500" w:type="dxa"/>
            <w:noWrap w:val="0"/>
            <w:vAlign w:val="center"/>
          </w:tcPr>
          <w:p w14:paraId="601A7B50">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bidi="ar-SA"/>
              </w:rPr>
              <w:t>卫生大褂</w:t>
            </w:r>
          </w:p>
        </w:tc>
        <w:tc>
          <w:tcPr>
            <w:tcW w:w="1584" w:type="dxa"/>
            <w:noWrap w:val="0"/>
            <w:vAlign w:val="center"/>
          </w:tcPr>
          <w:p w14:paraId="43556D52">
            <w:pPr>
              <w:keepNext w:val="0"/>
              <w:keepLines w:val="0"/>
              <w:pageBreakBefore w:val="0"/>
              <w:kinsoku/>
              <w:wordWrap/>
              <w:topLinePunct w:val="0"/>
              <w:autoSpaceDE/>
              <w:autoSpaceDN/>
              <w:bidi w:val="0"/>
              <w:adjustRightInd/>
              <w:snapToGrid/>
              <w:spacing w:line="400" w:lineRule="exact"/>
              <w:jc w:val="center"/>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10套</w:t>
            </w:r>
          </w:p>
        </w:tc>
        <w:tc>
          <w:tcPr>
            <w:tcW w:w="1985" w:type="dxa"/>
            <w:noWrap w:val="0"/>
            <w:vAlign w:val="center"/>
          </w:tcPr>
          <w:p w14:paraId="1D01759E">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r>
      <w:tr w14:paraId="17317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73F2BC4B">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9</w:t>
            </w:r>
          </w:p>
        </w:tc>
        <w:tc>
          <w:tcPr>
            <w:tcW w:w="1695" w:type="dxa"/>
            <w:vMerge w:val="restart"/>
            <w:noWrap w:val="0"/>
            <w:vAlign w:val="center"/>
          </w:tcPr>
          <w:p w14:paraId="4EEA98B8">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饲料加工设备</w:t>
            </w:r>
          </w:p>
        </w:tc>
        <w:tc>
          <w:tcPr>
            <w:tcW w:w="2500" w:type="dxa"/>
            <w:noWrap w:val="0"/>
            <w:vAlign w:val="center"/>
          </w:tcPr>
          <w:p w14:paraId="58AE1A2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饲料粉碎机</w:t>
            </w:r>
          </w:p>
        </w:tc>
        <w:tc>
          <w:tcPr>
            <w:tcW w:w="1584" w:type="dxa"/>
            <w:noWrap w:val="0"/>
            <w:vAlign w:val="center"/>
          </w:tcPr>
          <w:p w14:paraId="159DAF5C">
            <w:pPr>
              <w:keepNext w:val="0"/>
              <w:keepLines w:val="0"/>
              <w:pageBreakBefore w:val="0"/>
              <w:kinsoku/>
              <w:wordWrap/>
              <w:topLinePunct w:val="0"/>
              <w:autoSpaceDE/>
              <w:autoSpaceDN/>
              <w:bidi w:val="0"/>
              <w:adjustRightInd/>
              <w:snapToGrid/>
              <w:spacing w:line="400" w:lineRule="exact"/>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1台</w:t>
            </w:r>
          </w:p>
        </w:tc>
        <w:tc>
          <w:tcPr>
            <w:tcW w:w="1985" w:type="dxa"/>
            <w:noWrap w:val="0"/>
            <w:vAlign w:val="center"/>
          </w:tcPr>
          <w:p w14:paraId="6C5C73C0">
            <w:pPr>
              <w:keepNext w:val="0"/>
              <w:keepLines w:val="0"/>
              <w:pageBreakBefore w:val="0"/>
              <w:kinsoku/>
              <w:wordWrap/>
              <w:topLinePunct w:val="0"/>
              <w:autoSpaceDE/>
              <w:autoSpaceDN/>
              <w:bidi w:val="0"/>
              <w:adjustRightInd/>
              <w:snapToGrid/>
              <w:spacing w:line="400" w:lineRule="exact"/>
              <w:jc w:val="center"/>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r>
      <w:tr w14:paraId="47A4E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5B2AAE70">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10</w:t>
            </w:r>
          </w:p>
        </w:tc>
        <w:tc>
          <w:tcPr>
            <w:tcW w:w="1695" w:type="dxa"/>
            <w:vMerge w:val="continue"/>
            <w:noWrap w:val="0"/>
            <w:vAlign w:val="center"/>
          </w:tcPr>
          <w:p w14:paraId="141179DD">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0B9C0F98">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r>
              <w:rPr>
                <w:rFonts w:hint="eastAsia" w:cs="Times New Roman"/>
                <w:color w:val="auto"/>
                <w:kern w:val="0"/>
                <w:sz w:val="21"/>
                <w:szCs w:val="21"/>
                <w:lang w:val="en-US" w:eastAsia="zh-CN" w:bidi="ar-SA"/>
              </w:rPr>
              <w:t>TMR饲料搅拌机（24方）</w:t>
            </w:r>
          </w:p>
        </w:tc>
        <w:tc>
          <w:tcPr>
            <w:tcW w:w="1584" w:type="dxa"/>
            <w:noWrap w:val="0"/>
            <w:vAlign w:val="center"/>
          </w:tcPr>
          <w:p w14:paraId="1769CDF9">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1台</w:t>
            </w:r>
          </w:p>
        </w:tc>
        <w:tc>
          <w:tcPr>
            <w:tcW w:w="1985" w:type="dxa"/>
            <w:noWrap w:val="0"/>
            <w:vAlign w:val="center"/>
          </w:tcPr>
          <w:p w14:paraId="7B2BBDA6">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079DB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34AAB0D9">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11</w:t>
            </w:r>
          </w:p>
        </w:tc>
        <w:tc>
          <w:tcPr>
            <w:tcW w:w="1695" w:type="dxa"/>
            <w:vMerge w:val="continue"/>
            <w:noWrap w:val="0"/>
            <w:vAlign w:val="center"/>
          </w:tcPr>
          <w:p w14:paraId="60D37C42">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581A5A08">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r>
              <w:rPr>
                <w:rFonts w:hint="eastAsia" w:cs="Times New Roman"/>
                <w:color w:val="auto"/>
                <w:kern w:val="0"/>
                <w:sz w:val="21"/>
                <w:szCs w:val="21"/>
                <w:lang w:val="en-US" w:eastAsia="zh-CN" w:bidi="ar-SA"/>
              </w:rPr>
              <w:t>TMR饲料搅拌机（16方）</w:t>
            </w:r>
          </w:p>
        </w:tc>
        <w:tc>
          <w:tcPr>
            <w:tcW w:w="1584" w:type="dxa"/>
            <w:noWrap w:val="0"/>
            <w:vAlign w:val="center"/>
          </w:tcPr>
          <w:p w14:paraId="41D80C07">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2579E182">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70BD9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6DC3AF05">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12</w:t>
            </w:r>
          </w:p>
        </w:tc>
        <w:tc>
          <w:tcPr>
            <w:tcW w:w="1695" w:type="dxa"/>
            <w:vMerge w:val="continue"/>
            <w:noWrap w:val="0"/>
            <w:vAlign w:val="center"/>
          </w:tcPr>
          <w:p w14:paraId="0915B82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6D08797A">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r>
              <w:rPr>
                <w:rFonts w:hint="eastAsia" w:cs="Times New Roman"/>
                <w:color w:val="auto"/>
                <w:kern w:val="0"/>
                <w:sz w:val="21"/>
                <w:szCs w:val="21"/>
                <w:lang w:val="en-US" w:eastAsia="zh-CN" w:bidi="ar-SA"/>
              </w:rPr>
              <w:t>TMR饲料搅拌机（9方）</w:t>
            </w:r>
          </w:p>
        </w:tc>
        <w:tc>
          <w:tcPr>
            <w:tcW w:w="1584" w:type="dxa"/>
            <w:noWrap w:val="0"/>
            <w:vAlign w:val="center"/>
          </w:tcPr>
          <w:p w14:paraId="04CC8BB3">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5CD6A9F8">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43061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055DEECA">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13</w:t>
            </w:r>
          </w:p>
        </w:tc>
        <w:tc>
          <w:tcPr>
            <w:tcW w:w="1695" w:type="dxa"/>
            <w:vMerge w:val="continue"/>
            <w:noWrap w:val="0"/>
            <w:vAlign w:val="center"/>
          </w:tcPr>
          <w:p w14:paraId="7EBF6B2B">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70CB22D5">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r>
              <w:rPr>
                <w:rFonts w:hint="eastAsia" w:cs="Times New Roman"/>
                <w:color w:val="auto"/>
                <w:kern w:val="0"/>
                <w:sz w:val="21"/>
                <w:szCs w:val="21"/>
                <w:lang w:val="en-US" w:eastAsia="zh-CN" w:bidi="ar-SA"/>
              </w:rPr>
              <w:t>撒料车</w:t>
            </w:r>
          </w:p>
        </w:tc>
        <w:tc>
          <w:tcPr>
            <w:tcW w:w="1584" w:type="dxa"/>
            <w:noWrap w:val="0"/>
            <w:vAlign w:val="center"/>
          </w:tcPr>
          <w:p w14:paraId="47365262">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2台</w:t>
            </w:r>
          </w:p>
        </w:tc>
        <w:tc>
          <w:tcPr>
            <w:tcW w:w="1985" w:type="dxa"/>
            <w:noWrap w:val="0"/>
            <w:vAlign w:val="center"/>
          </w:tcPr>
          <w:p w14:paraId="3897A6A2">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2台</w:t>
            </w:r>
          </w:p>
        </w:tc>
      </w:tr>
      <w:tr w14:paraId="5769C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32C5CC74">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14</w:t>
            </w:r>
          </w:p>
        </w:tc>
        <w:tc>
          <w:tcPr>
            <w:tcW w:w="1695" w:type="dxa"/>
            <w:vMerge w:val="continue"/>
            <w:noWrap w:val="0"/>
            <w:vAlign w:val="center"/>
          </w:tcPr>
          <w:p w14:paraId="55B4336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07B7272F">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风机</w:t>
            </w:r>
          </w:p>
        </w:tc>
        <w:tc>
          <w:tcPr>
            <w:tcW w:w="1584" w:type="dxa"/>
            <w:noWrap w:val="0"/>
            <w:vAlign w:val="center"/>
          </w:tcPr>
          <w:p w14:paraId="73DFCFB2">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6763A2B3">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7FBF2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760AAAA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1695" w:type="dxa"/>
            <w:vMerge w:val="continue"/>
            <w:noWrap w:val="0"/>
            <w:vAlign w:val="center"/>
          </w:tcPr>
          <w:p w14:paraId="0BAAEA42">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3359878A">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袋式除尘+15m排气筒</w:t>
            </w:r>
          </w:p>
        </w:tc>
        <w:tc>
          <w:tcPr>
            <w:tcW w:w="1584" w:type="dxa"/>
            <w:noWrap w:val="0"/>
            <w:vAlign w:val="center"/>
          </w:tcPr>
          <w:p w14:paraId="04B440E2">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7143AEBD">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37415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584DE32E">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16</w:t>
            </w:r>
          </w:p>
        </w:tc>
        <w:tc>
          <w:tcPr>
            <w:tcW w:w="1695" w:type="dxa"/>
            <w:vMerge w:val="restart"/>
            <w:noWrap w:val="0"/>
            <w:vAlign w:val="center"/>
          </w:tcPr>
          <w:p w14:paraId="3BC6990E">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堆肥设备</w:t>
            </w:r>
          </w:p>
        </w:tc>
        <w:tc>
          <w:tcPr>
            <w:tcW w:w="2500" w:type="dxa"/>
            <w:noWrap w:val="0"/>
            <w:vAlign w:val="center"/>
          </w:tcPr>
          <w:p w14:paraId="1B7B78D5">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翻抛机</w:t>
            </w:r>
          </w:p>
        </w:tc>
        <w:tc>
          <w:tcPr>
            <w:tcW w:w="1584" w:type="dxa"/>
            <w:noWrap w:val="0"/>
            <w:vAlign w:val="center"/>
          </w:tcPr>
          <w:p w14:paraId="48882609">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093ED4BE">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5425A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38C13D53">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17</w:t>
            </w:r>
          </w:p>
        </w:tc>
        <w:tc>
          <w:tcPr>
            <w:tcW w:w="1695" w:type="dxa"/>
            <w:vMerge w:val="continue"/>
            <w:noWrap w:val="0"/>
            <w:vAlign w:val="center"/>
          </w:tcPr>
          <w:p w14:paraId="7B9C5219">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3EDBD915">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混料机</w:t>
            </w:r>
          </w:p>
        </w:tc>
        <w:tc>
          <w:tcPr>
            <w:tcW w:w="1584" w:type="dxa"/>
            <w:noWrap w:val="0"/>
            <w:vAlign w:val="center"/>
          </w:tcPr>
          <w:p w14:paraId="4F76F85E">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6736E0B0">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32A60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58DBABEB">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18</w:t>
            </w:r>
          </w:p>
        </w:tc>
        <w:tc>
          <w:tcPr>
            <w:tcW w:w="1695" w:type="dxa"/>
            <w:vMerge w:val="continue"/>
            <w:noWrap w:val="0"/>
            <w:vAlign w:val="center"/>
          </w:tcPr>
          <w:p w14:paraId="43B947D7">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6D650FA8">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袋式除尘+生物除臭（滴滤法）+15m排气筒</w:t>
            </w:r>
          </w:p>
        </w:tc>
        <w:tc>
          <w:tcPr>
            <w:tcW w:w="1584" w:type="dxa"/>
            <w:noWrap w:val="0"/>
            <w:vAlign w:val="center"/>
          </w:tcPr>
          <w:p w14:paraId="4CA13059">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08A08245">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1台</w:t>
            </w:r>
          </w:p>
        </w:tc>
      </w:tr>
      <w:tr w14:paraId="02F78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shd w:val="clear" w:color="auto" w:fill="auto"/>
            <w:noWrap w:val="0"/>
            <w:vAlign w:val="center"/>
          </w:tcPr>
          <w:p w14:paraId="679192A6">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19</w:t>
            </w:r>
          </w:p>
        </w:tc>
        <w:tc>
          <w:tcPr>
            <w:tcW w:w="1695" w:type="dxa"/>
            <w:vMerge w:val="continue"/>
            <w:noWrap w:val="0"/>
            <w:vAlign w:val="center"/>
          </w:tcPr>
          <w:p w14:paraId="55A03F42">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eastAsia" w:cs="Times New Roman"/>
                <w:color w:val="auto"/>
                <w:kern w:val="0"/>
                <w:sz w:val="21"/>
                <w:szCs w:val="21"/>
                <w:lang w:val="en-US" w:eastAsia="zh-CN" w:bidi="ar-SA"/>
              </w:rPr>
            </w:pPr>
          </w:p>
        </w:tc>
        <w:tc>
          <w:tcPr>
            <w:tcW w:w="2500" w:type="dxa"/>
            <w:noWrap w:val="0"/>
            <w:vAlign w:val="center"/>
          </w:tcPr>
          <w:p w14:paraId="46CF66A1">
            <w:pPr>
              <w:keepNext w:val="0"/>
              <w:keepLines w:val="0"/>
              <w:pageBreakBefore w:val="0"/>
              <w:widowControl w:val="0"/>
              <w:kinsoku/>
              <w:wordWrap/>
              <w:overflowPunct w:val="0"/>
              <w:topLinePunct w:val="0"/>
              <w:autoSpaceDE/>
              <w:autoSpaceDN/>
              <w:bidi w:val="0"/>
              <w:adjustRightInd/>
              <w:snapToGrid/>
              <w:spacing w:before="0" w:after="0" w:line="400" w:lineRule="exact"/>
              <w:jc w:val="center"/>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风机</w:t>
            </w:r>
          </w:p>
        </w:tc>
        <w:tc>
          <w:tcPr>
            <w:tcW w:w="1584" w:type="dxa"/>
            <w:noWrap w:val="0"/>
            <w:vAlign w:val="center"/>
          </w:tcPr>
          <w:p w14:paraId="4BDC4221">
            <w:pPr>
              <w:keepNext w:val="0"/>
              <w:keepLines w:val="0"/>
              <w:pageBreakBefore w:val="0"/>
              <w:kinsoku/>
              <w:wordWrap/>
              <w:topLinePunct w:val="0"/>
              <w:autoSpaceDE/>
              <w:autoSpaceDN/>
              <w:bidi w:val="0"/>
              <w:adjustRightInd/>
              <w:snapToGrid/>
              <w:spacing w:line="400" w:lineRule="exact"/>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w:t>
            </w:r>
          </w:p>
        </w:tc>
        <w:tc>
          <w:tcPr>
            <w:tcW w:w="1985" w:type="dxa"/>
            <w:noWrap w:val="0"/>
            <w:vAlign w:val="center"/>
          </w:tcPr>
          <w:p w14:paraId="626971EF">
            <w:pPr>
              <w:keepNext w:val="0"/>
              <w:keepLines w:val="0"/>
              <w:pageBreakBefore w:val="0"/>
              <w:kinsoku/>
              <w:wordWrap/>
              <w:topLinePunct w:val="0"/>
              <w:autoSpaceDE/>
              <w:autoSpaceDN/>
              <w:bidi w:val="0"/>
              <w:adjustRightInd/>
              <w:snapToGrid/>
              <w:spacing w:line="400" w:lineRule="exact"/>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1台</w:t>
            </w:r>
          </w:p>
        </w:tc>
      </w:tr>
    </w:tbl>
    <w:p w14:paraId="2C780746">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b/>
          <w:bCs/>
          <w:kern w:val="2"/>
          <w:sz w:val="28"/>
          <w:szCs w:val="28"/>
          <w:lang w:val="zh-CN" w:eastAsia="zh-CN" w:bidi="ar-SA"/>
        </w:rPr>
      </w:pPr>
      <w:r>
        <w:rPr>
          <w:rFonts w:hint="default" w:ascii="Times New Roman" w:hAnsi="Times New Roman" w:eastAsia="宋体" w:cs="Times New Roman"/>
          <w:b/>
          <w:bCs/>
          <w:kern w:val="2"/>
          <w:sz w:val="28"/>
          <w:szCs w:val="28"/>
          <w:lang w:val="zh-CN" w:eastAsia="zh-CN" w:bidi="ar-SA"/>
        </w:rPr>
        <w:t>3.</w:t>
      </w:r>
      <w:r>
        <w:rPr>
          <w:rFonts w:hint="eastAsia"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.5</w:t>
      </w:r>
      <w:r>
        <w:rPr>
          <w:rFonts w:hint="default" w:ascii="Times New Roman" w:hAnsi="Times New Roman" w:eastAsia="宋体" w:cs="Times New Roman"/>
          <w:b/>
          <w:bCs/>
          <w:kern w:val="2"/>
          <w:sz w:val="28"/>
          <w:szCs w:val="28"/>
          <w:lang w:val="zh-CN" w:eastAsia="zh-CN" w:bidi="ar-SA"/>
        </w:rPr>
        <w:t>主要原辅材料</w:t>
      </w:r>
      <w:bookmarkEnd w:id="277"/>
      <w:bookmarkEnd w:id="278"/>
      <w:bookmarkEnd w:id="279"/>
      <w:bookmarkEnd w:id="280"/>
      <w:bookmarkEnd w:id="281"/>
      <w:bookmarkEnd w:id="282"/>
      <w:bookmarkEnd w:id="283"/>
      <w:bookmarkEnd w:id="284"/>
      <w:bookmarkEnd w:id="285"/>
      <w:bookmarkEnd w:id="286"/>
      <w:bookmarkEnd w:id="287"/>
      <w:bookmarkEnd w:id="288"/>
      <w:bookmarkEnd w:id="289"/>
    </w:p>
    <w:p w14:paraId="532517AC">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kern w:val="2"/>
          <w:sz w:val="24"/>
          <w:szCs w:val="24"/>
        </w:rPr>
      </w:pPr>
      <w:bookmarkStart w:id="290" w:name="_Toc469936239"/>
      <w:bookmarkStart w:id="291" w:name="_Toc10544_WPSOffice_Level3"/>
      <w:bookmarkStart w:id="292" w:name="_Toc4770596"/>
      <w:r>
        <w:rPr>
          <w:rFonts w:hint="default" w:ascii="Times New Roman" w:hAnsi="Times New Roman" w:eastAsia="宋体" w:cs="Times New Roman"/>
          <w:kern w:val="2"/>
          <w:sz w:val="24"/>
          <w:szCs w:val="24"/>
        </w:rPr>
        <w:t>（1）物料消耗</w:t>
      </w:r>
    </w:p>
    <w:p w14:paraId="1918ACCE">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rPr>
        <w:t>本项目存栏</w:t>
      </w:r>
      <w:r>
        <w:rPr>
          <w:rFonts w:hint="eastAsia" w:ascii="Times New Roman" w:hAnsi="Times New Roman" w:eastAsia="宋体" w:cs="Times New Roman"/>
          <w:color w:val="auto"/>
          <w:kern w:val="2"/>
          <w:sz w:val="24"/>
          <w:szCs w:val="24"/>
          <w:highlight w:val="none"/>
          <w:lang w:val="en-US" w:eastAsia="zh-CN"/>
        </w:rPr>
        <w:t>育肥牛</w:t>
      </w:r>
      <w:r>
        <w:rPr>
          <w:rFonts w:hint="eastAsia" w:cs="Times New Roman"/>
          <w:color w:val="auto"/>
          <w:kern w:val="2"/>
          <w:sz w:val="24"/>
          <w:szCs w:val="24"/>
          <w:highlight w:val="none"/>
          <w:lang w:val="en-US" w:eastAsia="zh-CN"/>
        </w:rPr>
        <w:t>（西门塔尔杂交牛、西门塔尔牛、褐牛）</w:t>
      </w:r>
      <w:r>
        <w:rPr>
          <w:rFonts w:hint="eastAsia" w:cs="Times New Roman"/>
          <w:color w:val="auto"/>
          <w:kern w:val="2"/>
          <w:sz w:val="24"/>
          <w:szCs w:val="24"/>
          <w:lang w:val="en-US" w:eastAsia="zh-CN"/>
        </w:rPr>
        <w:t>3</w:t>
      </w:r>
      <w:r>
        <w:rPr>
          <w:rFonts w:hint="eastAsia" w:ascii="Times New Roman" w:hAnsi="Times New Roman" w:eastAsia="宋体" w:cs="Times New Roman"/>
          <w:color w:val="auto"/>
          <w:kern w:val="2"/>
          <w:sz w:val="24"/>
          <w:szCs w:val="24"/>
          <w:lang w:val="en-US" w:eastAsia="zh-CN"/>
        </w:rPr>
        <w:t>00</w:t>
      </w:r>
      <w:r>
        <w:rPr>
          <w:rFonts w:hint="eastAsia" w:cs="Times New Roman"/>
          <w:color w:val="auto"/>
          <w:kern w:val="2"/>
          <w:sz w:val="24"/>
          <w:szCs w:val="24"/>
          <w:lang w:val="en-US" w:eastAsia="zh-CN"/>
        </w:rPr>
        <w:t>0</w:t>
      </w:r>
      <w:r>
        <w:rPr>
          <w:rFonts w:hint="default" w:ascii="Times New Roman" w:hAnsi="Times New Roman" w:eastAsia="宋体" w:cs="Times New Roman"/>
          <w:color w:val="auto"/>
          <w:kern w:val="2"/>
          <w:sz w:val="24"/>
          <w:szCs w:val="24"/>
          <w:lang w:val="en-US" w:eastAsia="zh-CN"/>
        </w:rPr>
        <w:t>头</w:t>
      </w:r>
      <w:r>
        <w:rPr>
          <w:rFonts w:hint="default" w:ascii="Times New Roman" w:hAnsi="Times New Roman" w:eastAsia="宋体" w:cs="Times New Roman"/>
          <w:kern w:val="2"/>
          <w:sz w:val="24"/>
          <w:szCs w:val="24"/>
        </w:rPr>
        <w:t>。本项目饲料</w:t>
      </w:r>
      <w:r>
        <w:rPr>
          <w:rFonts w:hint="eastAsia" w:cs="Times New Roman"/>
          <w:kern w:val="2"/>
          <w:sz w:val="24"/>
          <w:szCs w:val="24"/>
          <w:lang w:val="en-US" w:eastAsia="zh-CN"/>
        </w:rPr>
        <w:t>均</w:t>
      </w:r>
      <w:r>
        <w:rPr>
          <w:rFonts w:hint="default" w:ascii="Times New Roman" w:hAnsi="Times New Roman" w:eastAsia="宋体" w:cs="Times New Roman"/>
          <w:kern w:val="2"/>
          <w:sz w:val="24"/>
          <w:szCs w:val="24"/>
        </w:rPr>
        <w:t>以</w:t>
      </w:r>
      <w:r>
        <w:rPr>
          <w:rFonts w:hint="eastAsia" w:cs="Times New Roman"/>
          <w:kern w:val="2"/>
          <w:sz w:val="24"/>
          <w:szCs w:val="24"/>
          <w:lang w:val="en-US" w:eastAsia="zh-CN"/>
        </w:rPr>
        <w:t>青储料</w:t>
      </w:r>
      <w:r>
        <w:rPr>
          <w:rFonts w:hint="eastAsia" w:eastAsia="宋体" w:cs="Times New Roman"/>
          <w:kern w:val="2"/>
          <w:sz w:val="24"/>
          <w:szCs w:val="24"/>
          <w:lang w:val="en-US" w:eastAsia="zh-CN"/>
        </w:rPr>
        <w:t>为</w:t>
      </w:r>
      <w:r>
        <w:rPr>
          <w:rFonts w:hint="default" w:ascii="Times New Roman" w:hAnsi="Times New Roman" w:eastAsia="宋体" w:cs="Times New Roman"/>
          <w:kern w:val="2"/>
          <w:sz w:val="24"/>
          <w:szCs w:val="24"/>
        </w:rPr>
        <w:t>主</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搭配粗饲料以及精饲料</w:t>
      </w:r>
      <w:r>
        <w:rPr>
          <w:rFonts w:hint="eastAsia" w:cs="Times New Roman"/>
          <w:kern w:val="2"/>
          <w:sz w:val="24"/>
          <w:szCs w:val="24"/>
          <w:lang w:val="en-US" w:eastAsia="zh-CN"/>
        </w:rPr>
        <w:t>，青储料、粗饲料以及精饲料均从周边企业外购，每日运输进场，青储料入场后在饲草料堆放场地青储，精饲料暂存于精饲料库内，粗饲料暂存于饲料库房内，</w:t>
      </w:r>
      <w:r>
        <w:rPr>
          <w:rFonts w:hint="default" w:ascii="Times New Roman" w:hAnsi="Times New Roman" w:eastAsia="宋体" w:cs="Times New Roman"/>
          <w:kern w:val="2"/>
          <w:sz w:val="24"/>
          <w:szCs w:val="24"/>
        </w:rPr>
        <w:t>可保证本项目养殖场的使用。</w:t>
      </w:r>
      <w:r>
        <w:rPr>
          <w:rFonts w:hint="eastAsia" w:ascii="Times New Roman" w:hAnsi="Times New Roman" w:eastAsia="宋体" w:cs="Times New Roman"/>
          <w:kern w:val="2"/>
          <w:sz w:val="24"/>
          <w:szCs w:val="24"/>
          <w:lang w:val="en-US" w:eastAsia="zh-CN"/>
        </w:rPr>
        <w:t>根据本项目可研</w:t>
      </w:r>
      <w:r>
        <w:rPr>
          <w:rFonts w:hint="default" w:ascii="Times New Roman" w:hAnsi="Times New Roman" w:eastAsia="宋体" w:cs="Times New Roman"/>
          <w:kern w:val="2"/>
          <w:sz w:val="24"/>
          <w:szCs w:val="24"/>
          <w:lang w:eastAsia="zh-CN"/>
        </w:rPr>
        <w:t>，</w:t>
      </w:r>
      <w:r>
        <w:rPr>
          <w:rFonts w:hint="default" w:ascii="Times New Roman" w:hAnsi="Times New Roman" w:eastAsia="宋体" w:cs="Times New Roman"/>
          <w:kern w:val="2"/>
          <w:sz w:val="24"/>
          <w:szCs w:val="24"/>
        </w:rPr>
        <w:t>年饲料用量详情见表</w:t>
      </w:r>
      <w:r>
        <w:rPr>
          <w:rFonts w:hint="default" w:ascii="Times New Roman" w:hAnsi="Times New Roman" w:eastAsia="宋体" w:cs="Times New Roman"/>
          <w:kern w:val="2"/>
          <w:sz w:val="24"/>
          <w:szCs w:val="24"/>
          <w:lang w:val="en-US" w:eastAsia="zh-CN"/>
        </w:rPr>
        <w:t>3.</w:t>
      </w:r>
      <w:r>
        <w:rPr>
          <w:rFonts w:hint="eastAsia" w:cs="Times New Roman"/>
          <w:kern w:val="2"/>
          <w:sz w:val="24"/>
          <w:szCs w:val="24"/>
          <w:lang w:val="en-US" w:eastAsia="zh-CN"/>
        </w:rPr>
        <w:t>2</w:t>
      </w:r>
      <w:r>
        <w:rPr>
          <w:rFonts w:hint="default" w:ascii="Times New Roman" w:hAnsi="Times New Roman" w:eastAsia="宋体" w:cs="Times New Roman"/>
          <w:kern w:val="2"/>
          <w:sz w:val="24"/>
          <w:szCs w:val="24"/>
          <w:lang w:val="en-US" w:eastAsia="zh-CN"/>
        </w:rPr>
        <w:t>-3</w:t>
      </w:r>
      <w:r>
        <w:rPr>
          <w:rFonts w:hint="default" w:ascii="Times New Roman" w:hAnsi="Times New Roman" w:eastAsia="宋体" w:cs="Times New Roman"/>
          <w:kern w:val="2"/>
          <w:sz w:val="24"/>
          <w:szCs w:val="24"/>
        </w:rPr>
        <w:t>。</w:t>
      </w:r>
    </w:p>
    <w:p w14:paraId="324D11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表3.</w:t>
      </w:r>
      <w:r>
        <w:rPr>
          <w:rFonts w:hint="eastAsia" w:cs="Times New Roman"/>
          <w:b/>
          <w:bCs/>
          <w:kern w:val="2"/>
          <w:sz w:val="24"/>
          <w:szCs w:val="24"/>
          <w:lang w:val="en-US" w:eastAsia="zh-CN" w:bidi="ar-SA"/>
        </w:rPr>
        <w:t>2</w:t>
      </w:r>
      <w:r>
        <w:rPr>
          <w:rFonts w:hint="default" w:ascii="Times New Roman" w:hAnsi="Times New Roman" w:eastAsia="宋体" w:cs="Times New Roman"/>
          <w:b/>
          <w:bCs/>
          <w:kern w:val="2"/>
          <w:sz w:val="24"/>
          <w:szCs w:val="24"/>
          <w:lang w:val="en-US" w:eastAsia="zh-CN" w:bidi="ar-SA"/>
        </w:rPr>
        <w:t>-3年饲料用量计算表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95"/>
        <w:gridCol w:w="3358"/>
        <w:gridCol w:w="1313"/>
        <w:gridCol w:w="1386"/>
        <w:gridCol w:w="2"/>
      </w:tblGrid>
      <w:tr w14:paraId="31DE7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445" w:type="dxa"/>
            <w:gridSpan w:val="2"/>
            <w:tcBorders>
              <w:tl2br w:val="nil"/>
              <w:tr2bl w:val="nil"/>
            </w:tcBorders>
            <w:noWrap w:val="0"/>
            <w:vAlign w:val="center"/>
          </w:tcPr>
          <w:p w14:paraId="16B76E5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生产阶段</w:t>
            </w:r>
          </w:p>
        </w:tc>
        <w:tc>
          <w:tcPr>
            <w:tcW w:w="3358" w:type="dxa"/>
            <w:tcBorders>
              <w:tl2br w:val="nil"/>
              <w:tr2bl w:val="nil"/>
            </w:tcBorders>
            <w:noWrap w:val="0"/>
            <w:vAlign w:val="center"/>
          </w:tcPr>
          <w:p w14:paraId="2702D5B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rPr>
            </w:pPr>
            <w:r>
              <w:rPr>
                <w:rFonts w:hint="eastAsia" w:ascii="Times New Roman" w:hAnsi="Times New Roman" w:eastAsia="宋体" w:cs="Times New Roman"/>
                <w:b/>
                <w:bCs/>
                <w:kern w:val="0"/>
                <w:sz w:val="21"/>
                <w:szCs w:val="21"/>
                <w:lang w:val="en-US" w:eastAsia="zh-CN"/>
              </w:rPr>
              <w:t>平均每年</w:t>
            </w:r>
            <w:r>
              <w:rPr>
                <w:rFonts w:hint="default" w:ascii="Times New Roman" w:hAnsi="Times New Roman" w:eastAsia="宋体" w:cs="Times New Roman"/>
                <w:b/>
                <w:bCs/>
                <w:kern w:val="0"/>
                <w:sz w:val="21"/>
                <w:szCs w:val="21"/>
              </w:rPr>
              <w:t>所需饲料量（按每头计）</w:t>
            </w:r>
          </w:p>
        </w:tc>
        <w:tc>
          <w:tcPr>
            <w:tcW w:w="1313" w:type="dxa"/>
            <w:tcBorders>
              <w:tl2br w:val="nil"/>
              <w:tr2bl w:val="nil"/>
            </w:tcBorders>
            <w:noWrap w:val="0"/>
            <w:vAlign w:val="center"/>
          </w:tcPr>
          <w:p w14:paraId="42ED761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存栏数量</w:t>
            </w:r>
          </w:p>
        </w:tc>
        <w:tc>
          <w:tcPr>
            <w:tcW w:w="1388" w:type="dxa"/>
            <w:gridSpan w:val="2"/>
            <w:tcBorders>
              <w:tl2br w:val="nil"/>
              <w:tr2bl w:val="nil"/>
            </w:tcBorders>
            <w:noWrap w:val="0"/>
            <w:vAlign w:val="center"/>
          </w:tcPr>
          <w:p w14:paraId="27BD574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总量</w:t>
            </w:r>
          </w:p>
        </w:tc>
      </w:tr>
      <w:tr w14:paraId="59CC8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0" w:type="dxa"/>
            <w:vMerge w:val="restart"/>
            <w:tcBorders>
              <w:tl2br w:val="nil"/>
              <w:tr2bl w:val="nil"/>
            </w:tcBorders>
            <w:noWrap w:val="0"/>
            <w:vAlign w:val="center"/>
          </w:tcPr>
          <w:p w14:paraId="5F32D25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bCs/>
                <w:kern w:val="0"/>
                <w:sz w:val="21"/>
                <w:szCs w:val="21"/>
              </w:rPr>
              <w:t>育肥</w:t>
            </w:r>
            <w:r>
              <w:rPr>
                <w:rFonts w:hint="eastAsia" w:ascii="Times New Roman" w:hAnsi="Times New Roman" w:eastAsia="宋体" w:cs="Times New Roman"/>
                <w:bCs/>
                <w:kern w:val="0"/>
                <w:sz w:val="21"/>
                <w:szCs w:val="21"/>
                <w:lang w:val="en-US" w:eastAsia="zh-CN"/>
              </w:rPr>
              <w:t>牛</w:t>
            </w:r>
          </w:p>
        </w:tc>
        <w:tc>
          <w:tcPr>
            <w:tcW w:w="1395" w:type="dxa"/>
            <w:tcBorders>
              <w:tl2br w:val="nil"/>
              <w:tr2bl w:val="nil"/>
            </w:tcBorders>
            <w:noWrap w:val="0"/>
            <w:vAlign w:val="center"/>
          </w:tcPr>
          <w:p w14:paraId="7940AAA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青储料</w:t>
            </w:r>
          </w:p>
        </w:tc>
        <w:tc>
          <w:tcPr>
            <w:tcW w:w="3358" w:type="dxa"/>
            <w:tcBorders>
              <w:tl2br w:val="nil"/>
              <w:tr2bl w:val="nil"/>
            </w:tcBorders>
            <w:noWrap w:val="0"/>
            <w:vAlign w:val="center"/>
          </w:tcPr>
          <w:p w14:paraId="58DE785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3650</w:t>
            </w:r>
            <w:r>
              <w:rPr>
                <w:rFonts w:hint="default" w:ascii="Times New Roman" w:hAnsi="Times New Roman" w:eastAsia="宋体" w:cs="Times New Roman"/>
                <w:kern w:val="0"/>
                <w:sz w:val="21"/>
                <w:szCs w:val="21"/>
              </w:rPr>
              <w:t>kg</w:t>
            </w:r>
            <w:r>
              <w:rPr>
                <w:rFonts w:hint="eastAsia" w:ascii="Times New Roman" w:hAnsi="Times New Roman" w:cs="Times New Roman"/>
                <w:kern w:val="0"/>
                <w:sz w:val="21"/>
                <w:szCs w:val="21"/>
                <w:lang w:val="en-US" w:eastAsia="zh-CN"/>
              </w:rPr>
              <w:t>/头</w:t>
            </w:r>
          </w:p>
        </w:tc>
        <w:tc>
          <w:tcPr>
            <w:tcW w:w="1313" w:type="dxa"/>
            <w:vMerge w:val="restart"/>
            <w:tcBorders>
              <w:tl2br w:val="nil"/>
              <w:tr2bl w:val="nil"/>
            </w:tcBorders>
            <w:noWrap w:val="0"/>
            <w:vAlign w:val="center"/>
          </w:tcPr>
          <w:p w14:paraId="46B0009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eastAsia" w:cs="Times New Roman"/>
                <w:bCs/>
                <w:color w:val="auto"/>
                <w:kern w:val="0"/>
                <w:sz w:val="21"/>
                <w:szCs w:val="21"/>
                <w:lang w:val="en-US" w:eastAsia="zh-CN"/>
              </w:rPr>
              <w:t>3000</w:t>
            </w:r>
            <w:r>
              <w:rPr>
                <w:rFonts w:hint="default" w:ascii="Times New Roman" w:hAnsi="Times New Roman" w:eastAsia="宋体" w:cs="Times New Roman"/>
                <w:bCs/>
                <w:color w:val="auto"/>
                <w:kern w:val="0"/>
                <w:sz w:val="21"/>
                <w:szCs w:val="21"/>
              </w:rPr>
              <w:t>头</w:t>
            </w:r>
          </w:p>
        </w:tc>
        <w:tc>
          <w:tcPr>
            <w:tcW w:w="1388" w:type="dxa"/>
            <w:gridSpan w:val="2"/>
            <w:vMerge w:val="restart"/>
            <w:tcBorders>
              <w:tl2br w:val="nil"/>
              <w:tr2bl w:val="nil"/>
            </w:tcBorders>
            <w:noWrap w:val="0"/>
            <w:vAlign w:val="center"/>
          </w:tcPr>
          <w:p w14:paraId="5DE0370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r>
              <w:rPr>
                <w:rFonts w:hint="eastAsia" w:cs="Times New Roman"/>
                <w:bCs/>
                <w:kern w:val="0"/>
                <w:sz w:val="21"/>
                <w:szCs w:val="21"/>
                <w:lang w:val="en-US" w:eastAsia="zh-CN"/>
              </w:rPr>
              <w:t>21900</w:t>
            </w:r>
            <w:r>
              <w:rPr>
                <w:rFonts w:hint="eastAsia" w:ascii="Times New Roman" w:hAnsi="Times New Roman" w:eastAsia="宋体" w:cs="Times New Roman"/>
                <w:bCs/>
                <w:kern w:val="0"/>
                <w:sz w:val="21"/>
                <w:szCs w:val="21"/>
                <w:lang w:val="en-US" w:eastAsia="zh-CN"/>
              </w:rPr>
              <w:t>t</w:t>
            </w:r>
            <w:r>
              <w:rPr>
                <w:rFonts w:hint="default" w:ascii="Times New Roman" w:hAnsi="Times New Roman" w:eastAsia="宋体" w:cs="Times New Roman"/>
                <w:bCs/>
                <w:kern w:val="0"/>
                <w:sz w:val="21"/>
                <w:szCs w:val="21"/>
                <w:lang w:val="en-US" w:eastAsia="zh-CN"/>
              </w:rPr>
              <w:t>/a</w:t>
            </w:r>
          </w:p>
        </w:tc>
      </w:tr>
      <w:tr w14:paraId="2E2486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0" w:type="dxa"/>
            <w:vMerge w:val="continue"/>
            <w:tcBorders>
              <w:tl2br w:val="nil"/>
              <w:tr2bl w:val="nil"/>
            </w:tcBorders>
            <w:noWrap w:val="0"/>
            <w:vAlign w:val="center"/>
          </w:tcPr>
          <w:p w14:paraId="2E3C192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rPr>
            </w:pPr>
          </w:p>
        </w:tc>
        <w:tc>
          <w:tcPr>
            <w:tcW w:w="1395" w:type="dxa"/>
            <w:tcBorders>
              <w:tl2br w:val="nil"/>
              <w:tr2bl w:val="nil"/>
            </w:tcBorders>
            <w:noWrap w:val="0"/>
            <w:vAlign w:val="center"/>
          </w:tcPr>
          <w:p w14:paraId="2061393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粗饲料</w:t>
            </w:r>
          </w:p>
        </w:tc>
        <w:tc>
          <w:tcPr>
            <w:tcW w:w="3358" w:type="dxa"/>
            <w:tcBorders>
              <w:tl2br w:val="nil"/>
              <w:tr2bl w:val="nil"/>
            </w:tcBorders>
            <w:noWrap w:val="0"/>
            <w:vAlign w:val="center"/>
          </w:tcPr>
          <w:p w14:paraId="1B350E6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1825</w:t>
            </w:r>
            <w:r>
              <w:rPr>
                <w:rFonts w:hint="default" w:ascii="Times New Roman" w:hAnsi="Times New Roman" w:eastAsia="宋体" w:cs="Times New Roman"/>
                <w:kern w:val="0"/>
                <w:sz w:val="21"/>
                <w:szCs w:val="21"/>
              </w:rPr>
              <w:t>kg</w:t>
            </w:r>
            <w:r>
              <w:rPr>
                <w:rFonts w:hint="eastAsia" w:ascii="Times New Roman" w:hAnsi="Times New Roman" w:cs="Times New Roman"/>
                <w:kern w:val="0"/>
                <w:sz w:val="21"/>
                <w:szCs w:val="21"/>
                <w:lang w:val="en-US" w:eastAsia="zh-CN"/>
              </w:rPr>
              <w:t>/头</w:t>
            </w:r>
          </w:p>
        </w:tc>
        <w:tc>
          <w:tcPr>
            <w:tcW w:w="1313" w:type="dxa"/>
            <w:vMerge w:val="continue"/>
            <w:tcBorders>
              <w:tl2br w:val="nil"/>
              <w:tr2bl w:val="nil"/>
            </w:tcBorders>
            <w:noWrap w:val="0"/>
            <w:vAlign w:val="center"/>
          </w:tcPr>
          <w:p w14:paraId="6198C92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p>
        </w:tc>
        <w:tc>
          <w:tcPr>
            <w:tcW w:w="1388" w:type="dxa"/>
            <w:gridSpan w:val="2"/>
            <w:vMerge w:val="continue"/>
            <w:tcBorders>
              <w:tl2br w:val="nil"/>
              <w:tr2bl w:val="nil"/>
            </w:tcBorders>
            <w:noWrap w:val="0"/>
            <w:vAlign w:val="center"/>
          </w:tcPr>
          <w:p w14:paraId="4C9E7E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p>
        </w:tc>
      </w:tr>
      <w:tr w14:paraId="7B09F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0" w:type="dxa"/>
            <w:vMerge w:val="continue"/>
            <w:tcBorders>
              <w:tl2br w:val="nil"/>
              <w:tr2bl w:val="nil"/>
            </w:tcBorders>
            <w:noWrap w:val="0"/>
            <w:vAlign w:val="center"/>
          </w:tcPr>
          <w:p w14:paraId="210806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rPr>
            </w:pPr>
          </w:p>
        </w:tc>
        <w:tc>
          <w:tcPr>
            <w:tcW w:w="1395" w:type="dxa"/>
            <w:tcBorders>
              <w:tl2br w:val="nil"/>
              <w:tr2bl w:val="nil"/>
            </w:tcBorders>
            <w:noWrap w:val="0"/>
            <w:vAlign w:val="center"/>
          </w:tcPr>
          <w:p w14:paraId="453418D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精饲料</w:t>
            </w:r>
          </w:p>
        </w:tc>
        <w:tc>
          <w:tcPr>
            <w:tcW w:w="3358" w:type="dxa"/>
            <w:tcBorders>
              <w:tl2br w:val="nil"/>
              <w:tr2bl w:val="nil"/>
            </w:tcBorders>
            <w:noWrap w:val="0"/>
            <w:vAlign w:val="center"/>
          </w:tcPr>
          <w:p w14:paraId="1010661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rPr>
            </w:pPr>
            <w:r>
              <w:rPr>
                <w:rFonts w:hint="eastAsia" w:cs="Times New Roman"/>
                <w:kern w:val="0"/>
                <w:sz w:val="21"/>
                <w:szCs w:val="21"/>
                <w:lang w:val="en-US" w:eastAsia="zh-CN"/>
              </w:rPr>
              <w:t>1825</w:t>
            </w:r>
            <w:r>
              <w:rPr>
                <w:rFonts w:hint="default" w:ascii="Times New Roman" w:hAnsi="Times New Roman" w:eastAsia="宋体" w:cs="Times New Roman"/>
                <w:kern w:val="0"/>
                <w:sz w:val="21"/>
                <w:szCs w:val="21"/>
              </w:rPr>
              <w:t>kg</w:t>
            </w:r>
            <w:r>
              <w:rPr>
                <w:rFonts w:hint="eastAsia" w:ascii="Times New Roman" w:hAnsi="Times New Roman" w:cs="Times New Roman"/>
                <w:kern w:val="0"/>
                <w:sz w:val="21"/>
                <w:szCs w:val="21"/>
                <w:lang w:val="en-US" w:eastAsia="zh-CN"/>
              </w:rPr>
              <w:t>/头</w:t>
            </w:r>
          </w:p>
        </w:tc>
        <w:tc>
          <w:tcPr>
            <w:tcW w:w="1313" w:type="dxa"/>
            <w:vMerge w:val="continue"/>
            <w:tcBorders>
              <w:tl2br w:val="nil"/>
              <w:tr2bl w:val="nil"/>
            </w:tcBorders>
            <w:noWrap w:val="0"/>
            <w:vAlign w:val="center"/>
          </w:tcPr>
          <w:p w14:paraId="7B292A6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p>
        </w:tc>
        <w:tc>
          <w:tcPr>
            <w:tcW w:w="1388" w:type="dxa"/>
            <w:gridSpan w:val="2"/>
            <w:vMerge w:val="continue"/>
            <w:tcBorders>
              <w:tl2br w:val="nil"/>
              <w:tr2bl w:val="nil"/>
            </w:tcBorders>
            <w:noWrap w:val="0"/>
            <w:vAlign w:val="center"/>
          </w:tcPr>
          <w:p w14:paraId="07EC20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1"/>
                <w:szCs w:val="21"/>
                <w:lang w:val="en-US" w:eastAsia="zh-CN" w:bidi="ar-SA"/>
              </w:rPr>
            </w:pPr>
          </w:p>
        </w:tc>
      </w:tr>
      <w:tr w14:paraId="1E55D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454" w:hRule="atLeast"/>
          <w:jc w:val="center"/>
        </w:trPr>
        <w:tc>
          <w:tcPr>
            <w:tcW w:w="1050" w:type="dxa"/>
            <w:tcBorders>
              <w:tl2br w:val="nil"/>
              <w:tr2bl w:val="nil"/>
            </w:tcBorders>
            <w:noWrap w:val="0"/>
            <w:vAlign w:val="center"/>
          </w:tcPr>
          <w:p w14:paraId="35402E1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kern w:val="0"/>
                <w:sz w:val="21"/>
                <w:szCs w:val="21"/>
              </w:rPr>
            </w:pPr>
            <w:r>
              <w:rPr>
                <w:rFonts w:hint="default" w:ascii="Times New Roman" w:hAnsi="Times New Roman" w:eastAsia="宋体" w:cs="Times New Roman"/>
                <w:bCs/>
                <w:kern w:val="0"/>
                <w:sz w:val="21"/>
                <w:szCs w:val="21"/>
              </w:rPr>
              <w:t>总计</w:t>
            </w:r>
          </w:p>
        </w:tc>
        <w:tc>
          <w:tcPr>
            <w:tcW w:w="7452" w:type="dxa"/>
            <w:gridSpan w:val="4"/>
            <w:tcBorders>
              <w:tl2br w:val="nil"/>
              <w:tr2bl w:val="nil"/>
            </w:tcBorders>
            <w:noWrap w:val="0"/>
            <w:vAlign w:val="center"/>
          </w:tcPr>
          <w:p w14:paraId="2828BED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kern w:val="0"/>
                <w:sz w:val="21"/>
                <w:szCs w:val="21"/>
                <w:lang w:val="en-US" w:eastAsia="zh-CN"/>
              </w:rPr>
            </w:pPr>
            <w:r>
              <w:rPr>
                <w:rFonts w:hint="eastAsia" w:cs="Times New Roman"/>
                <w:bCs/>
                <w:kern w:val="0"/>
                <w:sz w:val="21"/>
                <w:szCs w:val="21"/>
                <w:lang w:val="en-US" w:eastAsia="zh-CN"/>
              </w:rPr>
              <w:t>21900</w:t>
            </w:r>
            <w:r>
              <w:rPr>
                <w:rFonts w:hint="default" w:ascii="Times New Roman" w:hAnsi="Times New Roman" w:eastAsia="宋体" w:cs="Times New Roman"/>
                <w:bCs/>
                <w:kern w:val="0"/>
                <w:sz w:val="21"/>
                <w:szCs w:val="21"/>
                <w:lang w:val="en-US" w:eastAsia="zh-CN"/>
              </w:rPr>
              <w:t>t/a</w:t>
            </w:r>
          </w:p>
        </w:tc>
      </w:tr>
    </w:tbl>
    <w:p w14:paraId="2E87E6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本项目饲料年消耗量为</w:t>
      </w:r>
      <w:r>
        <w:rPr>
          <w:rFonts w:hint="eastAsia" w:cs="Times New Roman"/>
          <w:color w:val="auto"/>
          <w:kern w:val="2"/>
          <w:sz w:val="24"/>
          <w:szCs w:val="24"/>
          <w:lang w:val="en-US" w:eastAsia="zh-CN" w:bidi="ar-SA"/>
        </w:rPr>
        <w:t>21900t/a</w:t>
      </w:r>
      <w:r>
        <w:rPr>
          <w:rFonts w:hint="default" w:ascii="Times New Roman" w:hAnsi="Times New Roman" w:eastAsia="宋体" w:cs="Times New Roman"/>
          <w:color w:val="auto"/>
          <w:kern w:val="2"/>
          <w:sz w:val="24"/>
          <w:szCs w:val="24"/>
          <w:lang w:val="en-US" w:eastAsia="zh-CN" w:bidi="ar-SA"/>
        </w:rPr>
        <w:t>。</w:t>
      </w:r>
    </w:p>
    <w:p w14:paraId="725365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（2）辅助材料消耗</w:t>
      </w:r>
    </w:p>
    <w:p w14:paraId="63E6A6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项目辅助材料主要包括除臭剂、消毒药品及防疫药品。其中除臭剂为喷洒在</w:t>
      </w:r>
      <w:r>
        <w:rPr>
          <w:rFonts w:hint="eastAsia" w:cs="Times New Roman"/>
          <w:kern w:val="2"/>
          <w:sz w:val="24"/>
          <w:szCs w:val="24"/>
          <w:lang w:val="en-US" w:eastAsia="zh-CN" w:bidi="ar-SA"/>
        </w:rPr>
        <w:t>牛圈</w:t>
      </w:r>
      <w:r>
        <w:rPr>
          <w:rFonts w:hint="eastAsia" w:ascii="Times New Roman" w:hAnsi="Times New Roman" w:eastAsia="宋体" w:cs="Times New Roman"/>
          <w:kern w:val="2"/>
          <w:sz w:val="24"/>
          <w:szCs w:val="24"/>
          <w:lang w:val="en-US" w:eastAsia="zh-CN" w:bidi="ar-SA"/>
        </w:rPr>
        <w:t>周围</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堆肥间</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道路</w:t>
      </w:r>
      <w:r>
        <w:rPr>
          <w:rFonts w:hint="default" w:ascii="Times New Roman" w:hAnsi="Times New Roman" w:eastAsia="宋体" w:cs="Times New Roman"/>
          <w:kern w:val="2"/>
          <w:sz w:val="24"/>
          <w:szCs w:val="24"/>
          <w:lang w:val="en-US" w:eastAsia="zh-CN" w:bidi="ar-SA"/>
        </w:rPr>
        <w:t>等区域，用来抑制恶臭的产生，</w:t>
      </w:r>
      <w:r>
        <w:rPr>
          <w:rFonts w:hint="default" w:ascii="Times New Roman" w:hAnsi="Times New Roman" w:eastAsia="宋体" w:cs="Times New Roman"/>
          <w:kern w:val="2"/>
          <w:sz w:val="24"/>
          <w:szCs w:val="24"/>
          <w:highlight w:val="none"/>
          <w:lang w:val="en-US" w:eastAsia="zh-CN" w:bidi="ar-SA"/>
        </w:rPr>
        <w:t>项目的防疫药品</w:t>
      </w:r>
      <w:r>
        <w:rPr>
          <w:rFonts w:hint="eastAsia" w:cs="Times New Roman"/>
          <w:kern w:val="2"/>
          <w:sz w:val="24"/>
          <w:szCs w:val="24"/>
          <w:highlight w:val="none"/>
          <w:lang w:val="en-US" w:eastAsia="zh-CN" w:bidi="ar-SA"/>
        </w:rPr>
        <w:t>主要有疫苗以及药品，疫苗主要</w:t>
      </w:r>
      <w:r>
        <w:rPr>
          <w:rFonts w:hint="default" w:ascii="Times New Roman" w:hAnsi="Times New Roman" w:eastAsia="宋体" w:cs="Times New Roman"/>
          <w:kern w:val="2"/>
          <w:sz w:val="24"/>
          <w:szCs w:val="24"/>
          <w:highlight w:val="none"/>
          <w:lang w:val="en-US" w:eastAsia="zh-CN" w:bidi="ar-SA"/>
        </w:rPr>
        <w:t>种类为</w:t>
      </w:r>
      <w:r>
        <w:rPr>
          <w:rFonts w:hint="eastAsia" w:ascii="Times New Roman" w:hAnsi="Times New Roman" w:eastAsia="宋体" w:cs="Times New Roman"/>
          <w:kern w:val="2"/>
          <w:sz w:val="24"/>
          <w:szCs w:val="24"/>
          <w:highlight w:val="none"/>
          <w:lang w:val="en-US" w:eastAsia="zh-CN" w:bidi="ar-SA"/>
        </w:rPr>
        <w:t>疯牛病</w:t>
      </w:r>
      <w:r>
        <w:rPr>
          <w:rFonts w:hint="default" w:ascii="Times New Roman" w:hAnsi="Times New Roman" w:eastAsia="宋体" w:cs="Times New Roman"/>
          <w:kern w:val="2"/>
          <w:sz w:val="24"/>
          <w:szCs w:val="24"/>
          <w:highlight w:val="none"/>
          <w:lang w:val="en-US" w:eastAsia="zh-CN" w:bidi="ar-SA"/>
        </w:rPr>
        <w:t>疫苗、口蹄疫苗、流行热疫苗、巴氏杆菌疫苗等4种，</w:t>
      </w:r>
      <w:r>
        <w:rPr>
          <w:rFonts w:hint="default" w:ascii="Times New Roman" w:hAnsi="Times New Roman" w:eastAsia="宋体" w:cs="Times New Roman"/>
          <w:kern w:val="2"/>
          <w:sz w:val="24"/>
          <w:szCs w:val="24"/>
          <w:lang w:val="en-US" w:eastAsia="zh-CN" w:bidi="ar-SA"/>
        </w:rPr>
        <w:t>出栏的商品每头各需1份</w:t>
      </w:r>
      <w:r>
        <w:rPr>
          <w:rFonts w:hint="eastAsia" w:cs="Times New Roman"/>
          <w:kern w:val="2"/>
          <w:sz w:val="24"/>
          <w:szCs w:val="24"/>
          <w:lang w:val="en-US" w:eastAsia="zh-CN" w:bidi="ar-SA"/>
        </w:rPr>
        <w:t>，药品主要为</w:t>
      </w:r>
      <w:r>
        <w:rPr>
          <w:rFonts w:ascii="宋体" w:hAnsi="宋体" w:eastAsia="宋体" w:cs="宋体"/>
          <w:sz w:val="24"/>
          <w:szCs w:val="24"/>
        </w:rPr>
        <w:t>链霉素、土霉素</w:t>
      </w:r>
      <w:r>
        <w:rPr>
          <w:rFonts w:hint="eastAsia" w:ascii="宋体" w:hAnsi="宋体" w:cs="宋体"/>
          <w:sz w:val="24"/>
          <w:szCs w:val="24"/>
          <w:lang w:val="en-US" w:eastAsia="zh-CN"/>
        </w:rPr>
        <w:t>等</w:t>
      </w:r>
      <w:r>
        <w:rPr>
          <w:rFonts w:hint="default" w:ascii="Times New Roman" w:hAnsi="Times New Roman" w:eastAsia="宋体" w:cs="Times New Roman"/>
          <w:kern w:val="2"/>
          <w:sz w:val="24"/>
          <w:szCs w:val="24"/>
          <w:lang w:val="en-US" w:eastAsia="zh-CN" w:bidi="ar-SA"/>
        </w:rPr>
        <w:t>。</w:t>
      </w:r>
    </w:p>
    <w:p w14:paraId="3B312E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rPr>
        <w:t>表3.</w:t>
      </w:r>
      <w:r>
        <w:rPr>
          <w:rFonts w:hint="eastAsia" w:cs="Times New Roman"/>
          <w:b/>
          <w:bCs/>
          <w:kern w:val="2"/>
          <w:sz w:val="24"/>
          <w:szCs w:val="24"/>
          <w:lang w:val="en-US" w:eastAsia="zh-CN"/>
        </w:rPr>
        <w:t>2</w:t>
      </w:r>
      <w:r>
        <w:rPr>
          <w:rFonts w:hint="default" w:ascii="Times New Roman" w:hAnsi="Times New Roman" w:eastAsia="宋体" w:cs="Times New Roman"/>
          <w:b/>
          <w:bCs/>
          <w:kern w:val="2"/>
          <w:sz w:val="24"/>
          <w:szCs w:val="24"/>
          <w:lang w:val="en-US" w:eastAsia="zh-CN"/>
        </w:rPr>
        <w:t>-4</w:t>
      </w:r>
      <w:r>
        <w:rPr>
          <w:rFonts w:hint="default" w:ascii="Times New Roman" w:hAnsi="Times New Roman" w:eastAsia="宋体" w:cs="Times New Roman"/>
          <w:b/>
          <w:bCs/>
          <w:kern w:val="2"/>
          <w:sz w:val="24"/>
          <w:szCs w:val="24"/>
        </w:rPr>
        <w:t>本项目</w:t>
      </w:r>
      <w:r>
        <w:rPr>
          <w:rFonts w:hint="eastAsia" w:cs="Times New Roman"/>
          <w:b/>
          <w:bCs/>
          <w:kern w:val="2"/>
          <w:sz w:val="24"/>
          <w:szCs w:val="24"/>
          <w:lang w:val="en-US" w:eastAsia="zh-CN"/>
        </w:rPr>
        <w:t>及现有工程</w:t>
      </w:r>
      <w:r>
        <w:rPr>
          <w:rFonts w:hint="default" w:ascii="Times New Roman" w:hAnsi="Times New Roman" w:eastAsia="宋体" w:cs="Times New Roman"/>
          <w:b/>
          <w:bCs/>
          <w:kern w:val="2"/>
          <w:sz w:val="24"/>
          <w:szCs w:val="24"/>
          <w:lang w:val="zh-CN"/>
        </w:rPr>
        <w:t>原辅材料及能源用量情况</w:t>
      </w:r>
      <w:r>
        <w:rPr>
          <w:rFonts w:hint="default" w:ascii="Times New Roman" w:hAnsi="Times New Roman" w:eastAsia="宋体" w:cs="Times New Roman"/>
          <w:b/>
          <w:bCs/>
          <w:kern w:val="2"/>
          <w:sz w:val="24"/>
          <w:szCs w:val="24"/>
        </w:rPr>
        <w:t>一览表</w:t>
      </w:r>
    </w:p>
    <w:bookmarkEnd w:id="290"/>
    <w:bookmarkEnd w:id="291"/>
    <w:bookmarkEnd w:id="292"/>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122"/>
        <w:gridCol w:w="1127"/>
        <w:gridCol w:w="956"/>
        <w:gridCol w:w="956"/>
        <w:gridCol w:w="956"/>
        <w:gridCol w:w="1342"/>
        <w:gridCol w:w="1508"/>
      </w:tblGrid>
      <w:tr w14:paraId="05A18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377F4B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bookmarkStart w:id="293" w:name="_Toc357066887"/>
            <w:bookmarkStart w:id="294" w:name="_Toc346113429"/>
            <w:bookmarkStart w:id="295" w:name="_Toc332103604"/>
            <w:bookmarkStart w:id="296" w:name="_Toc8726"/>
            <w:bookmarkStart w:id="297" w:name="_Toc503779766"/>
            <w:bookmarkStart w:id="298" w:name="_Toc332103704"/>
            <w:bookmarkStart w:id="299" w:name="_Toc24983"/>
            <w:bookmarkStart w:id="300" w:name="_Toc29073"/>
            <w:bookmarkStart w:id="301" w:name="_Toc38885395"/>
            <w:bookmarkStart w:id="302" w:name="_Toc9078"/>
            <w:r>
              <w:rPr>
                <w:rFonts w:hint="default" w:ascii="Times New Roman" w:hAnsi="Times New Roman" w:eastAsia="宋体" w:cs="Times New Roman"/>
                <w:b/>
                <w:bCs/>
                <w:color w:val="auto"/>
                <w:kern w:val="2"/>
                <w:sz w:val="21"/>
                <w:szCs w:val="21"/>
              </w:rPr>
              <w:t>序号</w:t>
            </w:r>
          </w:p>
        </w:tc>
        <w:tc>
          <w:tcPr>
            <w:tcW w:w="1122" w:type="dxa"/>
            <w:noWrap w:val="0"/>
            <w:vAlign w:val="center"/>
          </w:tcPr>
          <w:p w14:paraId="29E052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原料名称</w:t>
            </w:r>
          </w:p>
        </w:tc>
        <w:tc>
          <w:tcPr>
            <w:tcW w:w="1127" w:type="dxa"/>
            <w:noWrap w:val="0"/>
            <w:vAlign w:val="center"/>
          </w:tcPr>
          <w:p w14:paraId="5EE7A3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eastAsia" w:cs="Times New Roman"/>
                <w:b/>
                <w:bCs/>
                <w:color w:val="auto"/>
                <w:kern w:val="2"/>
                <w:sz w:val="21"/>
                <w:szCs w:val="21"/>
                <w:lang w:val="en-US" w:eastAsia="zh-CN"/>
              </w:rPr>
              <w:t>本项目</w:t>
            </w:r>
            <w:r>
              <w:rPr>
                <w:rFonts w:hint="default" w:ascii="Times New Roman" w:hAnsi="Times New Roman" w:eastAsia="宋体" w:cs="Times New Roman"/>
                <w:b/>
                <w:bCs/>
                <w:color w:val="auto"/>
                <w:kern w:val="2"/>
                <w:sz w:val="21"/>
                <w:szCs w:val="21"/>
              </w:rPr>
              <w:t>年用量</w:t>
            </w:r>
          </w:p>
        </w:tc>
        <w:tc>
          <w:tcPr>
            <w:tcW w:w="956" w:type="dxa"/>
            <w:noWrap w:val="0"/>
            <w:vAlign w:val="center"/>
          </w:tcPr>
          <w:p w14:paraId="13CD91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lang w:val="en-US" w:eastAsia="zh-CN"/>
              </w:rPr>
            </w:pPr>
            <w:r>
              <w:rPr>
                <w:rFonts w:hint="eastAsia" w:cs="Times New Roman"/>
                <w:b/>
                <w:bCs/>
                <w:color w:val="auto"/>
                <w:kern w:val="2"/>
                <w:sz w:val="21"/>
                <w:szCs w:val="21"/>
                <w:lang w:val="en-US" w:eastAsia="zh-CN"/>
              </w:rPr>
              <w:t>现有工程</w:t>
            </w:r>
          </w:p>
        </w:tc>
        <w:tc>
          <w:tcPr>
            <w:tcW w:w="956" w:type="dxa"/>
            <w:noWrap w:val="0"/>
            <w:vAlign w:val="center"/>
          </w:tcPr>
          <w:p w14:paraId="1ED859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lang w:val="en-US" w:eastAsia="zh-CN"/>
              </w:rPr>
            </w:pPr>
            <w:r>
              <w:rPr>
                <w:rFonts w:hint="eastAsia" w:cs="Times New Roman"/>
                <w:b/>
                <w:bCs/>
                <w:color w:val="auto"/>
                <w:kern w:val="2"/>
                <w:sz w:val="21"/>
                <w:szCs w:val="21"/>
                <w:lang w:val="en-US" w:eastAsia="zh-CN"/>
              </w:rPr>
              <w:t>本项目新增后总和</w:t>
            </w:r>
          </w:p>
        </w:tc>
        <w:tc>
          <w:tcPr>
            <w:tcW w:w="956" w:type="dxa"/>
            <w:noWrap w:val="0"/>
            <w:vAlign w:val="center"/>
          </w:tcPr>
          <w:p w14:paraId="5EC8D4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运输方式</w:t>
            </w:r>
          </w:p>
        </w:tc>
        <w:tc>
          <w:tcPr>
            <w:tcW w:w="1342" w:type="dxa"/>
            <w:noWrap w:val="0"/>
            <w:vAlign w:val="center"/>
          </w:tcPr>
          <w:p w14:paraId="3DE518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来源</w:t>
            </w:r>
          </w:p>
        </w:tc>
        <w:tc>
          <w:tcPr>
            <w:tcW w:w="1508" w:type="dxa"/>
            <w:noWrap w:val="0"/>
            <w:vAlign w:val="center"/>
          </w:tcPr>
          <w:p w14:paraId="490377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存储方式</w:t>
            </w:r>
          </w:p>
        </w:tc>
      </w:tr>
      <w:tr w14:paraId="0BDF2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04" w:type="dxa"/>
            <w:gridSpan w:val="8"/>
            <w:noWrap w:val="0"/>
            <w:vAlign w:val="center"/>
          </w:tcPr>
          <w:p w14:paraId="5F2D72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sz w:val="21"/>
                <w:szCs w:val="21"/>
                <w:lang w:val="zh-CN" w:eastAsia="zh-CN" w:bidi="ar-SA"/>
              </w:rPr>
              <w:t>原辅料消耗</w:t>
            </w:r>
          </w:p>
        </w:tc>
      </w:tr>
      <w:tr w14:paraId="44F4E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1CAC21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1</w:t>
            </w:r>
          </w:p>
        </w:tc>
        <w:tc>
          <w:tcPr>
            <w:tcW w:w="1122" w:type="dxa"/>
            <w:noWrap w:val="0"/>
            <w:vAlign w:val="center"/>
          </w:tcPr>
          <w:p w14:paraId="469FD6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饲料</w:t>
            </w:r>
          </w:p>
        </w:tc>
        <w:tc>
          <w:tcPr>
            <w:tcW w:w="1127" w:type="dxa"/>
            <w:noWrap w:val="0"/>
            <w:vAlign w:val="center"/>
          </w:tcPr>
          <w:p w14:paraId="1A0655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21900</w:t>
            </w:r>
            <w:r>
              <w:rPr>
                <w:rFonts w:hint="default" w:ascii="Times New Roman" w:hAnsi="Times New Roman" w:eastAsia="宋体" w:cs="Times New Roman"/>
                <w:color w:val="auto"/>
                <w:kern w:val="2"/>
                <w:sz w:val="21"/>
                <w:szCs w:val="21"/>
              </w:rPr>
              <w:t>t</w:t>
            </w:r>
          </w:p>
        </w:tc>
        <w:tc>
          <w:tcPr>
            <w:tcW w:w="956" w:type="dxa"/>
            <w:noWrap w:val="0"/>
            <w:vAlign w:val="center"/>
          </w:tcPr>
          <w:p w14:paraId="589FD2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3058.7</w:t>
            </w:r>
            <w:r>
              <w:rPr>
                <w:rFonts w:hint="default" w:ascii="Times New Roman" w:hAnsi="Times New Roman" w:eastAsia="宋体" w:cs="Times New Roman"/>
                <w:color w:val="auto"/>
                <w:kern w:val="2"/>
                <w:sz w:val="21"/>
                <w:szCs w:val="21"/>
              </w:rPr>
              <w:t>t</w:t>
            </w:r>
          </w:p>
        </w:tc>
        <w:tc>
          <w:tcPr>
            <w:tcW w:w="956" w:type="dxa"/>
            <w:noWrap w:val="0"/>
            <w:vAlign w:val="center"/>
          </w:tcPr>
          <w:p w14:paraId="066E9E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24958.7</w:t>
            </w:r>
          </w:p>
        </w:tc>
        <w:tc>
          <w:tcPr>
            <w:tcW w:w="956" w:type="dxa"/>
            <w:noWrap w:val="0"/>
            <w:vAlign w:val="center"/>
          </w:tcPr>
          <w:p w14:paraId="20AA33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726D72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配套种植以及周边市场采购</w:t>
            </w:r>
          </w:p>
        </w:tc>
        <w:tc>
          <w:tcPr>
            <w:tcW w:w="1508" w:type="dxa"/>
            <w:noWrap w:val="0"/>
            <w:vAlign w:val="center"/>
          </w:tcPr>
          <w:p w14:paraId="5B6AB3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每日外购，不在厂区暂存</w:t>
            </w:r>
            <w:r>
              <w:rPr>
                <w:rFonts w:hint="eastAsia" w:cs="Times New Roman"/>
                <w:color w:val="auto"/>
                <w:kern w:val="2"/>
                <w:sz w:val="21"/>
                <w:szCs w:val="21"/>
                <w:lang w:eastAsia="zh-CN"/>
              </w:rPr>
              <w:t>；</w:t>
            </w:r>
            <w:r>
              <w:rPr>
                <w:rFonts w:hint="eastAsia" w:cs="Times New Roman"/>
                <w:color w:val="auto"/>
                <w:kern w:val="2"/>
                <w:sz w:val="21"/>
                <w:szCs w:val="21"/>
                <w:lang w:val="en-US" w:eastAsia="zh-CN"/>
              </w:rPr>
              <w:t>精饲料25kg/袋</w:t>
            </w:r>
          </w:p>
        </w:tc>
      </w:tr>
      <w:tr w14:paraId="2A7B8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177554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2</w:t>
            </w:r>
          </w:p>
        </w:tc>
        <w:tc>
          <w:tcPr>
            <w:tcW w:w="1122" w:type="dxa"/>
            <w:noWrap w:val="0"/>
            <w:vAlign w:val="center"/>
          </w:tcPr>
          <w:p w14:paraId="79A3A3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除臭剂</w:t>
            </w:r>
          </w:p>
        </w:tc>
        <w:tc>
          <w:tcPr>
            <w:tcW w:w="1127" w:type="dxa"/>
            <w:noWrap w:val="0"/>
            <w:vAlign w:val="center"/>
          </w:tcPr>
          <w:p w14:paraId="66A00B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2.4</w:t>
            </w:r>
            <w:r>
              <w:rPr>
                <w:rFonts w:hint="default" w:ascii="Times New Roman" w:hAnsi="Times New Roman" w:eastAsia="宋体" w:cs="Times New Roman"/>
                <w:color w:val="auto"/>
                <w:kern w:val="2"/>
                <w:sz w:val="21"/>
                <w:szCs w:val="21"/>
              </w:rPr>
              <w:t>t</w:t>
            </w:r>
          </w:p>
        </w:tc>
        <w:tc>
          <w:tcPr>
            <w:tcW w:w="956" w:type="dxa"/>
            <w:noWrap w:val="0"/>
            <w:vAlign w:val="center"/>
          </w:tcPr>
          <w:p w14:paraId="3705BB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0.3t</w:t>
            </w:r>
          </w:p>
        </w:tc>
        <w:tc>
          <w:tcPr>
            <w:tcW w:w="956" w:type="dxa"/>
            <w:noWrap w:val="0"/>
            <w:vAlign w:val="center"/>
          </w:tcPr>
          <w:p w14:paraId="585FC4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2.7t</w:t>
            </w:r>
          </w:p>
        </w:tc>
        <w:tc>
          <w:tcPr>
            <w:tcW w:w="956" w:type="dxa"/>
            <w:noWrap w:val="0"/>
            <w:vAlign w:val="center"/>
          </w:tcPr>
          <w:p w14:paraId="709D6D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1F3CA5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508" w:type="dxa"/>
            <w:noWrap w:val="0"/>
            <w:vAlign w:val="center"/>
          </w:tcPr>
          <w:p w14:paraId="064307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桶装</w:t>
            </w:r>
            <w:r>
              <w:rPr>
                <w:rFonts w:hint="eastAsia" w:cs="Times New Roman"/>
                <w:color w:val="auto"/>
                <w:kern w:val="2"/>
                <w:sz w:val="21"/>
                <w:szCs w:val="21"/>
                <w:lang w:eastAsia="zh-CN"/>
              </w:rPr>
              <w:t>，</w:t>
            </w:r>
            <w:r>
              <w:rPr>
                <w:rFonts w:hint="eastAsia" w:cs="Times New Roman"/>
                <w:color w:val="auto"/>
                <w:kern w:val="2"/>
                <w:sz w:val="21"/>
                <w:szCs w:val="21"/>
                <w:lang w:val="en-US" w:eastAsia="zh-CN"/>
              </w:rPr>
              <w:t>消毒室内少量暂存，25kg/桶</w:t>
            </w:r>
          </w:p>
        </w:tc>
      </w:tr>
      <w:tr w14:paraId="695A0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2AB9A5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3</w:t>
            </w:r>
          </w:p>
        </w:tc>
        <w:tc>
          <w:tcPr>
            <w:tcW w:w="1122" w:type="dxa"/>
            <w:noWrap w:val="0"/>
            <w:vAlign w:val="center"/>
          </w:tcPr>
          <w:p w14:paraId="3D100F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rPr>
              <w:t>45%新洁尔灭</w:t>
            </w:r>
          </w:p>
        </w:tc>
        <w:tc>
          <w:tcPr>
            <w:tcW w:w="1127" w:type="dxa"/>
            <w:noWrap w:val="0"/>
            <w:vAlign w:val="center"/>
          </w:tcPr>
          <w:p w14:paraId="5C29D9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0.06</w:t>
            </w:r>
            <w:r>
              <w:rPr>
                <w:rFonts w:hint="eastAsia" w:eastAsia="宋体" w:cs="Times New Roman"/>
                <w:color w:val="auto"/>
                <w:kern w:val="2"/>
                <w:sz w:val="21"/>
                <w:szCs w:val="21"/>
                <w:lang w:val="en-US" w:eastAsia="zh-CN"/>
              </w:rPr>
              <w:t>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4FAB01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c>
          <w:tcPr>
            <w:tcW w:w="956" w:type="dxa"/>
            <w:noWrap w:val="0"/>
            <w:vAlign w:val="center"/>
          </w:tcPr>
          <w:p w14:paraId="297E76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0.06</w:t>
            </w:r>
            <w:r>
              <w:rPr>
                <w:rFonts w:hint="eastAsia" w:eastAsia="宋体" w:cs="Times New Roman"/>
                <w:color w:val="auto"/>
                <w:kern w:val="2"/>
                <w:sz w:val="21"/>
                <w:szCs w:val="21"/>
                <w:lang w:val="en-US" w:eastAsia="zh-CN"/>
              </w:rPr>
              <w:t>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5DD591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1A58F9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508" w:type="dxa"/>
            <w:noWrap w:val="0"/>
            <w:vAlign w:val="center"/>
          </w:tcPr>
          <w:p w14:paraId="2BAAC5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桶装</w:t>
            </w:r>
            <w:r>
              <w:rPr>
                <w:rFonts w:hint="eastAsia" w:cs="Times New Roman"/>
                <w:color w:val="auto"/>
                <w:kern w:val="2"/>
                <w:sz w:val="21"/>
                <w:szCs w:val="21"/>
                <w:lang w:eastAsia="zh-CN"/>
              </w:rPr>
              <w:t>，</w:t>
            </w:r>
            <w:r>
              <w:rPr>
                <w:rFonts w:hint="eastAsia" w:cs="Times New Roman"/>
                <w:color w:val="auto"/>
                <w:kern w:val="2"/>
                <w:sz w:val="21"/>
                <w:szCs w:val="21"/>
                <w:lang w:val="en-US" w:eastAsia="zh-CN"/>
              </w:rPr>
              <w:t>1L/桶，</w:t>
            </w:r>
            <w:r>
              <w:rPr>
                <w:rFonts w:hint="eastAsia" w:ascii="Times New Roman" w:hAnsi="Times New Roman" w:eastAsia="宋体" w:cs="Times New Roman"/>
                <w:color w:val="000000"/>
                <w:sz w:val="21"/>
                <w:szCs w:val="21"/>
                <w:highlight w:val="none"/>
                <w:lang w:val="en-US" w:eastAsia="zh-CN"/>
              </w:rPr>
              <w:t>兽医室</w:t>
            </w:r>
            <w:r>
              <w:rPr>
                <w:rFonts w:hint="eastAsia" w:cs="Times New Roman"/>
                <w:color w:val="auto"/>
                <w:kern w:val="2"/>
                <w:sz w:val="21"/>
                <w:szCs w:val="21"/>
                <w:lang w:val="en-US" w:eastAsia="zh-CN"/>
              </w:rPr>
              <w:t>内少量暂存</w:t>
            </w:r>
          </w:p>
        </w:tc>
      </w:tr>
      <w:tr w14:paraId="37F5B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shd w:val="clear" w:color="auto" w:fill="auto"/>
            <w:noWrap w:val="0"/>
            <w:vAlign w:val="center"/>
          </w:tcPr>
          <w:p w14:paraId="4B761E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4</w:t>
            </w:r>
          </w:p>
        </w:tc>
        <w:tc>
          <w:tcPr>
            <w:tcW w:w="1122" w:type="dxa"/>
            <w:noWrap w:val="0"/>
            <w:vAlign w:val="center"/>
          </w:tcPr>
          <w:p w14:paraId="57A4E4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rPr>
              <w:t>20%复合戊二醛消毒剂</w:t>
            </w:r>
          </w:p>
        </w:tc>
        <w:tc>
          <w:tcPr>
            <w:tcW w:w="1127" w:type="dxa"/>
            <w:noWrap w:val="0"/>
            <w:vAlign w:val="center"/>
          </w:tcPr>
          <w:p w14:paraId="05F682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1.15</w:t>
            </w:r>
            <w:r>
              <w:rPr>
                <w:rFonts w:hint="eastAsia" w:eastAsia="宋体" w:cs="Times New Roman"/>
                <w:color w:val="auto"/>
                <w:kern w:val="2"/>
                <w:sz w:val="21"/>
                <w:szCs w:val="21"/>
                <w:lang w:val="en-US" w:eastAsia="zh-CN"/>
              </w:rPr>
              <w:t>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3E305E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c>
          <w:tcPr>
            <w:tcW w:w="956" w:type="dxa"/>
            <w:noWrap w:val="0"/>
            <w:vAlign w:val="center"/>
          </w:tcPr>
          <w:p w14:paraId="342B24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1.15</w:t>
            </w:r>
            <w:r>
              <w:rPr>
                <w:rFonts w:hint="eastAsia" w:eastAsia="宋体" w:cs="Times New Roman"/>
                <w:color w:val="auto"/>
                <w:kern w:val="2"/>
                <w:sz w:val="21"/>
                <w:szCs w:val="21"/>
                <w:lang w:val="en-US" w:eastAsia="zh-CN"/>
              </w:rPr>
              <w:t>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0C476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47C6B5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508" w:type="dxa"/>
            <w:noWrap w:val="0"/>
            <w:vAlign w:val="center"/>
          </w:tcPr>
          <w:p w14:paraId="3B8FA4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桶装</w:t>
            </w:r>
            <w:r>
              <w:rPr>
                <w:rFonts w:hint="eastAsia" w:cs="Times New Roman"/>
                <w:color w:val="auto"/>
                <w:kern w:val="2"/>
                <w:sz w:val="21"/>
                <w:szCs w:val="21"/>
                <w:lang w:eastAsia="zh-CN"/>
              </w:rPr>
              <w:t>，</w:t>
            </w:r>
            <w:r>
              <w:rPr>
                <w:rFonts w:hint="eastAsia" w:cs="Times New Roman"/>
                <w:color w:val="auto"/>
                <w:kern w:val="2"/>
                <w:sz w:val="21"/>
                <w:szCs w:val="21"/>
                <w:lang w:val="en-US" w:eastAsia="zh-CN"/>
              </w:rPr>
              <w:t>1L/桶，消兽医室内少量暂存</w:t>
            </w:r>
          </w:p>
        </w:tc>
      </w:tr>
      <w:tr w14:paraId="35BD8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37" w:type="dxa"/>
            <w:noWrap w:val="0"/>
            <w:vAlign w:val="center"/>
          </w:tcPr>
          <w:p w14:paraId="652D92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kern w:val="2"/>
                <w:sz w:val="21"/>
                <w:szCs w:val="21"/>
                <w:lang w:val="en-US" w:eastAsia="zh-CN"/>
              </w:rPr>
            </w:pPr>
            <w:r>
              <w:rPr>
                <w:rFonts w:hint="eastAsia" w:cs="Times New Roman"/>
                <w:color w:val="auto"/>
                <w:kern w:val="2"/>
                <w:sz w:val="21"/>
                <w:szCs w:val="21"/>
                <w:lang w:val="en-US" w:eastAsia="zh-CN"/>
              </w:rPr>
              <w:t>5</w:t>
            </w:r>
          </w:p>
        </w:tc>
        <w:tc>
          <w:tcPr>
            <w:tcW w:w="1122" w:type="dxa"/>
            <w:noWrap w:val="0"/>
            <w:vAlign w:val="center"/>
          </w:tcPr>
          <w:p w14:paraId="672E22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highlight w:val="yellow"/>
                <w:lang w:val="en-US" w:eastAsia="zh-CN"/>
              </w:rPr>
            </w:pPr>
            <w:r>
              <w:rPr>
                <w:rFonts w:hint="eastAsia" w:cs="Times New Roman"/>
                <w:color w:val="auto"/>
                <w:kern w:val="2"/>
                <w:sz w:val="21"/>
                <w:szCs w:val="21"/>
                <w:highlight w:val="none"/>
                <w:lang w:val="en-US" w:eastAsia="zh-CN"/>
              </w:rPr>
              <w:t>生石灰</w:t>
            </w:r>
          </w:p>
        </w:tc>
        <w:tc>
          <w:tcPr>
            <w:tcW w:w="1127" w:type="dxa"/>
            <w:noWrap w:val="0"/>
            <w:vAlign w:val="center"/>
          </w:tcPr>
          <w:p w14:paraId="593AEA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20t</w:t>
            </w:r>
          </w:p>
        </w:tc>
        <w:tc>
          <w:tcPr>
            <w:tcW w:w="956" w:type="dxa"/>
            <w:noWrap w:val="0"/>
            <w:vAlign w:val="center"/>
          </w:tcPr>
          <w:p w14:paraId="5534A4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2t</w:t>
            </w:r>
          </w:p>
        </w:tc>
        <w:tc>
          <w:tcPr>
            <w:tcW w:w="956" w:type="dxa"/>
            <w:noWrap w:val="0"/>
            <w:vAlign w:val="center"/>
          </w:tcPr>
          <w:p w14:paraId="0E6553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22t</w:t>
            </w:r>
          </w:p>
        </w:tc>
        <w:tc>
          <w:tcPr>
            <w:tcW w:w="956" w:type="dxa"/>
            <w:noWrap w:val="0"/>
            <w:vAlign w:val="center"/>
          </w:tcPr>
          <w:p w14:paraId="2740D1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20EB92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508" w:type="dxa"/>
            <w:noWrap w:val="0"/>
            <w:vAlign w:val="center"/>
          </w:tcPr>
          <w:p w14:paraId="511867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rPr>
            </w:pPr>
            <w:r>
              <w:rPr>
                <w:rFonts w:hint="eastAsia" w:cs="Times New Roman"/>
                <w:color w:val="auto"/>
                <w:kern w:val="2"/>
                <w:sz w:val="21"/>
                <w:szCs w:val="21"/>
                <w:lang w:val="en-US" w:eastAsia="zh-CN"/>
              </w:rPr>
              <w:t>袋装，25kg/袋，入场后消毒室内暂存</w:t>
            </w:r>
          </w:p>
        </w:tc>
      </w:tr>
      <w:tr w14:paraId="71DF1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02D716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7</w:t>
            </w:r>
          </w:p>
        </w:tc>
        <w:tc>
          <w:tcPr>
            <w:tcW w:w="1122" w:type="dxa"/>
            <w:noWrap w:val="0"/>
            <w:vAlign w:val="center"/>
          </w:tcPr>
          <w:p w14:paraId="30EC8D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防疫药品</w:t>
            </w:r>
          </w:p>
        </w:tc>
        <w:tc>
          <w:tcPr>
            <w:tcW w:w="1127" w:type="dxa"/>
            <w:noWrap w:val="0"/>
            <w:vAlign w:val="center"/>
          </w:tcPr>
          <w:p w14:paraId="12B606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0.6</w:t>
            </w:r>
            <w:r>
              <w:rPr>
                <w:rFonts w:hint="default" w:ascii="Times New Roman" w:hAnsi="Times New Roman" w:eastAsia="宋体" w:cs="Times New Roman"/>
                <w:color w:val="auto"/>
                <w:kern w:val="2"/>
                <w:sz w:val="21"/>
                <w:szCs w:val="21"/>
              </w:rPr>
              <w:t>t</w:t>
            </w:r>
          </w:p>
        </w:tc>
        <w:tc>
          <w:tcPr>
            <w:tcW w:w="956" w:type="dxa"/>
            <w:noWrap w:val="0"/>
            <w:vAlign w:val="center"/>
          </w:tcPr>
          <w:p w14:paraId="65FADB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0.2</w:t>
            </w:r>
            <w:r>
              <w:rPr>
                <w:rFonts w:hint="default" w:ascii="Times New Roman" w:hAnsi="Times New Roman" w:eastAsia="宋体" w:cs="Times New Roman"/>
                <w:color w:val="auto"/>
                <w:kern w:val="2"/>
                <w:sz w:val="21"/>
                <w:szCs w:val="21"/>
              </w:rPr>
              <w:t>t</w:t>
            </w:r>
          </w:p>
        </w:tc>
        <w:tc>
          <w:tcPr>
            <w:tcW w:w="956" w:type="dxa"/>
            <w:noWrap w:val="0"/>
            <w:vAlign w:val="center"/>
          </w:tcPr>
          <w:p w14:paraId="4ACCF9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0.8t</w:t>
            </w:r>
          </w:p>
        </w:tc>
        <w:tc>
          <w:tcPr>
            <w:tcW w:w="956" w:type="dxa"/>
            <w:noWrap w:val="0"/>
            <w:vAlign w:val="center"/>
          </w:tcPr>
          <w:p w14:paraId="61DC99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48353D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508" w:type="dxa"/>
            <w:noWrap w:val="0"/>
            <w:vAlign w:val="center"/>
          </w:tcPr>
          <w:p w14:paraId="5C7789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桶装</w:t>
            </w:r>
            <w:r>
              <w:rPr>
                <w:rFonts w:hint="eastAsia" w:cs="Times New Roman"/>
                <w:color w:val="auto"/>
                <w:kern w:val="2"/>
                <w:sz w:val="21"/>
                <w:szCs w:val="21"/>
                <w:lang w:eastAsia="zh-CN"/>
              </w:rPr>
              <w:t>，</w:t>
            </w:r>
            <w:r>
              <w:rPr>
                <w:rFonts w:hint="eastAsia" w:cs="Times New Roman"/>
                <w:color w:val="auto"/>
                <w:kern w:val="2"/>
                <w:sz w:val="21"/>
                <w:szCs w:val="21"/>
                <w:lang w:val="en-US" w:eastAsia="zh-CN"/>
              </w:rPr>
              <w:t>兽医室少量暂存</w:t>
            </w:r>
          </w:p>
        </w:tc>
      </w:tr>
      <w:tr w14:paraId="2A0B7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59CCB9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8</w:t>
            </w:r>
          </w:p>
        </w:tc>
        <w:tc>
          <w:tcPr>
            <w:tcW w:w="1122" w:type="dxa"/>
            <w:noWrap w:val="0"/>
            <w:vAlign w:val="center"/>
          </w:tcPr>
          <w:p w14:paraId="1FAD27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发酵垫料</w:t>
            </w:r>
          </w:p>
        </w:tc>
        <w:tc>
          <w:tcPr>
            <w:tcW w:w="1127" w:type="dxa"/>
            <w:noWrap w:val="0"/>
            <w:vAlign w:val="center"/>
          </w:tcPr>
          <w:p w14:paraId="27BE94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highlight w:val="none"/>
                <w:lang w:val="en-US" w:eastAsia="zh-CN"/>
              </w:rPr>
              <w:t>220t</w:t>
            </w:r>
          </w:p>
        </w:tc>
        <w:tc>
          <w:tcPr>
            <w:tcW w:w="956" w:type="dxa"/>
            <w:noWrap w:val="0"/>
            <w:vAlign w:val="center"/>
          </w:tcPr>
          <w:p w14:paraId="071015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20t</w:t>
            </w:r>
          </w:p>
        </w:tc>
        <w:tc>
          <w:tcPr>
            <w:tcW w:w="956" w:type="dxa"/>
            <w:noWrap w:val="0"/>
            <w:vAlign w:val="center"/>
          </w:tcPr>
          <w:p w14:paraId="7FA23E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240</w:t>
            </w:r>
          </w:p>
        </w:tc>
        <w:tc>
          <w:tcPr>
            <w:tcW w:w="956" w:type="dxa"/>
            <w:noWrap w:val="0"/>
            <w:vAlign w:val="center"/>
          </w:tcPr>
          <w:p w14:paraId="4C4E84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3C9963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508" w:type="dxa"/>
            <w:noWrap w:val="0"/>
            <w:vAlign w:val="center"/>
          </w:tcPr>
          <w:p w14:paraId="435D8D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highlight w:val="none"/>
                <w:lang w:val="en-US" w:eastAsia="zh-CN"/>
              </w:rPr>
              <w:t>牛床铺料机运输，入场后直接在牛圈内摊铺</w:t>
            </w:r>
          </w:p>
        </w:tc>
      </w:tr>
      <w:tr w14:paraId="765B3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40E810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9</w:t>
            </w:r>
          </w:p>
        </w:tc>
        <w:tc>
          <w:tcPr>
            <w:tcW w:w="1122" w:type="dxa"/>
            <w:noWrap w:val="0"/>
            <w:vAlign w:val="center"/>
          </w:tcPr>
          <w:p w14:paraId="101538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生物菌剂</w:t>
            </w:r>
          </w:p>
        </w:tc>
        <w:tc>
          <w:tcPr>
            <w:tcW w:w="1127" w:type="dxa"/>
            <w:noWrap w:val="0"/>
            <w:vAlign w:val="center"/>
          </w:tcPr>
          <w:p w14:paraId="174D6E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0.08</w:t>
            </w:r>
            <w:r>
              <w:rPr>
                <w:rFonts w:hint="eastAsia" w:eastAsia="宋体" w:cs="Times New Roman"/>
                <w:color w:val="auto"/>
                <w:kern w:val="2"/>
                <w:sz w:val="21"/>
                <w:szCs w:val="21"/>
                <w:lang w:val="en-US" w:eastAsia="zh-CN"/>
              </w:rPr>
              <w:t>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52B7C6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c>
          <w:tcPr>
            <w:tcW w:w="956" w:type="dxa"/>
            <w:noWrap w:val="0"/>
            <w:vAlign w:val="center"/>
          </w:tcPr>
          <w:p w14:paraId="5782A0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0.08</w:t>
            </w:r>
            <w:r>
              <w:rPr>
                <w:rFonts w:hint="eastAsia" w:eastAsia="宋体" w:cs="Times New Roman"/>
                <w:color w:val="auto"/>
                <w:kern w:val="2"/>
                <w:sz w:val="21"/>
                <w:szCs w:val="21"/>
                <w:lang w:val="en-US" w:eastAsia="zh-CN"/>
              </w:rPr>
              <w:t>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53D276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汽车</w:t>
            </w:r>
          </w:p>
        </w:tc>
        <w:tc>
          <w:tcPr>
            <w:tcW w:w="1342" w:type="dxa"/>
            <w:noWrap w:val="0"/>
            <w:vAlign w:val="center"/>
          </w:tcPr>
          <w:p w14:paraId="330FA9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周边市场采购</w:t>
            </w:r>
          </w:p>
        </w:tc>
        <w:tc>
          <w:tcPr>
            <w:tcW w:w="1508" w:type="dxa"/>
            <w:noWrap w:val="0"/>
            <w:vAlign w:val="center"/>
          </w:tcPr>
          <w:p w14:paraId="665C8A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桶装</w:t>
            </w:r>
            <w:r>
              <w:rPr>
                <w:rFonts w:hint="eastAsia" w:cs="Times New Roman"/>
                <w:color w:val="auto"/>
                <w:kern w:val="2"/>
                <w:sz w:val="21"/>
                <w:szCs w:val="21"/>
                <w:lang w:eastAsia="zh-CN"/>
              </w:rPr>
              <w:t>，</w:t>
            </w:r>
            <w:r>
              <w:rPr>
                <w:rFonts w:hint="eastAsia" w:cs="Times New Roman"/>
                <w:color w:val="auto"/>
                <w:kern w:val="2"/>
                <w:sz w:val="21"/>
                <w:szCs w:val="21"/>
                <w:lang w:val="en-US" w:eastAsia="zh-CN"/>
              </w:rPr>
              <w:t>1L/桶，消兽医室内少量暂存</w:t>
            </w:r>
          </w:p>
        </w:tc>
      </w:tr>
      <w:tr w14:paraId="344DF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04" w:type="dxa"/>
            <w:gridSpan w:val="8"/>
            <w:noWrap w:val="0"/>
            <w:vAlign w:val="center"/>
          </w:tcPr>
          <w:p w14:paraId="33FEFF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sz w:val="21"/>
                <w:szCs w:val="21"/>
                <w:lang w:val="zh-CN" w:eastAsia="zh-CN" w:bidi="ar-SA"/>
              </w:rPr>
              <w:t>动力消耗</w:t>
            </w:r>
          </w:p>
        </w:tc>
      </w:tr>
      <w:tr w14:paraId="0D948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21C64D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eastAsia" w:cs="Times New Roman"/>
                <w:color w:val="000000"/>
                <w:kern w:val="2"/>
                <w:sz w:val="21"/>
                <w:szCs w:val="21"/>
                <w:lang w:val="en-US" w:eastAsia="zh-CN"/>
              </w:rPr>
              <w:t>10</w:t>
            </w:r>
          </w:p>
        </w:tc>
        <w:tc>
          <w:tcPr>
            <w:tcW w:w="1122" w:type="dxa"/>
            <w:noWrap w:val="0"/>
            <w:vAlign w:val="center"/>
          </w:tcPr>
          <w:p w14:paraId="5D737C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新鲜水</w:t>
            </w:r>
          </w:p>
        </w:tc>
        <w:tc>
          <w:tcPr>
            <w:tcW w:w="1127" w:type="dxa"/>
            <w:noWrap w:val="0"/>
            <w:vAlign w:val="center"/>
          </w:tcPr>
          <w:p w14:paraId="2CBC9F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eastAsia" w:cs="Times New Roman"/>
                <w:color w:val="auto"/>
                <w:kern w:val="2"/>
                <w:sz w:val="21"/>
                <w:szCs w:val="21"/>
                <w:lang w:val="en-US" w:eastAsia="zh-CN"/>
              </w:rPr>
              <w:t>54752.96</w:t>
            </w:r>
            <w:r>
              <w:rPr>
                <w:rFonts w:hint="eastAsia" w:eastAsia="宋体" w:cs="Times New Roman"/>
                <w:color w:val="auto"/>
                <w:kern w:val="2"/>
                <w:sz w:val="21"/>
                <w:szCs w:val="21"/>
                <w:lang w:val="en-US" w:eastAsia="zh-CN"/>
              </w:rPr>
              <w:t>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3490CF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eastAsia" w:eastAsia="宋体" w:cs="Times New Roman"/>
                <w:color w:val="auto"/>
                <w:kern w:val="2"/>
                <w:sz w:val="21"/>
                <w:szCs w:val="21"/>
                <w:lang w:val="en-US" w:eastAsia="zh-CN"/>
              </w:rPr>
              <w:t>6117.4m</w:t>
            </w:r>
            <w:r>
              <w:rPr>
                <w:rFonts w:hint="eastAsia" w:eastAsia="宋体" w:cs="Times New Roman"/>
                <w:color w:val="auto"/>
                <w:kern w:val="2"/>
                <w:sz w:val="21"/>
                <w:szCs w:val="21"/>
                <w:vertAlign w:val="superscript"/>
                <w:lang w:val="en-US" w:eastAsia="zh-CN"/>
              </w:rPr>
              <w:t>3</w:t>
            </w:r>
          </w:p>
        </w:tc>
        <w:tc>
          <w:tcPr>
            <w:tcW w:w="956" w:type="dxa"/>
            <w:noWrap w:val="0"/>
            <w:vAlign w:val="center"/>
          </w:tcPr>
          <w:p w14:paraId="12EEF3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eastAsia" w:cs="Times New Roman"/>
                <w:color w:val="000000"/>
                <w:kern w:val="2"/>
                <w:sz w:val="21"/>
                <w:szCs w:val="21"/>
                <w:lang w:val="en-US" w:eastAsia="zh-CN"/>
              </w:rPr>
              <w:t>60870.36</w:t>
            </w:r>
          </w:p>
        </w:tc>
        <w:tc>
          <w:tcPr>
            <w:tcW w:w="956" w:type="dxa"/>
            <w:noWrap w:val="0"/>
            <w:vAlign w:val="center"/>
          </w:tcPr>
          <w:p w14:paraId="7AF6BD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w:t>
            </w:r>
          </w:p>
        </w:tc>
        <w:tc>
          <w:tcPr>
            <w:tcW w:w="1342" w:type="dxa"/>
            <w:noWrap w:val="0"/>
            <w:vAlign w:val="center"/>
          </w:tcPr>
          <w:p w14:paraId="45D904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000000"/>
                <w:kern w:val="2"/>
                <w:sz w:val="21"/>
                <w:szCs w:val="21"/>
                <w:lang w:val="en-US" w:eastAsia="zh-CN"/>
              </w:rPr>
              <w:t>供水管网供给</w:t>
            </w:r>
          </w:p>
        </w:tc>
        <w:tc>
          <w:tcPr>
            <w:tcW w:w="1508" w:type="dxa"/>
            <w:noWrap w:val="0"/>
            <w:vAlign w:val="center"/>
          </w:tcPr>
          <w:p w14:paraId="0AA032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w:t>
            </w:r>
          </w:p>
        </w:tc>
      </w:tr>
      <w:tr w14:paraId="31387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vAlign w:val="center"/>
          </w:tcPr>
          <w:p w14:paraId="21811E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eastAsia" w:cs="Times New Roman"/>
                <w:color w:val="000000"/>
                <w:kern w:val="2"/>
                <w:sz w:val="21"/>
                <w:szCs w:val="21"/>
                <w:lang w:val="en-US" w:eastAsia="zh-CN"/>
              </w:rPr>
              <w:t>11</w:t>
            </w:r>
          </w:p>
        </w:tc>
        <w:tc>
          <w:tcPr>
            <w:tcW w:w="1122" w:type="dxa"/>
            <w:noWrap w:val="0"/>
            <w:vAlign w:val="center"/>
          </w:tcPr>
          <w:p w14:paraId="0F89BF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电</w:t>
            </w:r>
          </w:p>
        </w:tc>
        <w:tc>
          <w:tcPr>
            <w:tcW w:w="1127" w:type="dxa"/>
            <w:noWrap w:val="0"/>
            <w:vAlign w:val="center"/>
          </w:tcPr>
          <w:p w14:paraId="744C18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eastAsia" w:cs="Times New Roman"/>
                <w:color w:val="000000"/>
                <w:kern w:val="2"/>
                <w:sz w:val="21"/>
                <w:szCs w:val="21"/>
                <w:lang w:val="en-US" w:eastAsia="zh-CN"/>
              </w:rPr>
              <w:t>20</w:t>
            </w:r>
            <w:r>
              <w:rPr>
                <w:rFonts w:hint="default" w:ascii="Times New Roman" w:hAnsi="Times New Roman" w:eastAsia="宋体" w:cs="Times New Roman"/>
                <w:color w:val="000000"/>
                <w:kern w:val="2"/>
                <w:sz w:val="21"/>
                <w:szCs w:val="21"/>
              </w:rPr>
              <w:t>万kWh</w:t>
            </w:r>
          </w:p>
        </w:tc>
        <w:tc>
          <w:tcPr>
            <w:tcW w:w="956" w:type="dxa"/>
            <w:noWrap w:val="0"/>
            <w:vAlign w:val="center"/>
          </w:tcPr>
          <w:p w14:paraId="3B2B88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eastAsia" w:cs="Times New Roman"/>
                <w:color w:val="000000"/>
                <w:kern w:val="2"/>
                <w:sz w:val="21"/>
                <w:szCs w:val="21"/>
                <w:lang w:val="en-US" w:eastAsia="zh-CN"/>
              </w:rPr>
              <w:t>2</w:t>
            </w:r>
            <w:r>
              <w:rPr>
                <w:rFonts w:hint="default" w:ascii="Times New Roman" w:hAnsi="Times New Roman" w:eastAsia="宋体" w:cs="Times New Roman"/>
                <w:color w:val="000000"/>
                <w:kern w:val="2"/>
                <w:sz w:val="21"/>
                <w:szCs w:val="21"/>
              </w:rPr>
              <w:t>万kWh</w:t>
            </w:r>
          </w:p>
        </w:tc>
        <w:tc>
          <w:tcPr>
            <w:tcW w:w="956" w:type="dxa"/>
            <w:noWrap w:val="0"/>
            <w:vAlign w:val="center"/>
          </w:tcPr>
          <w:p w14:paraId="4484C7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rPr>
            </w:pPr>
            <w:r>
              <w:rPr>
                <w:rFonts w:hint="eastAsia" w:cs="Times New Roman"/>
                <w:color w:val="000000"/>
                <w:kern w:val="2"/>
                <w:sz w:val="21"/>
                <w:szCs w:val="21"/>
                <w:lang w:val="en-US" w:eastAsia="zh-CN"/>
              </w:rPr>
              <w:t>22</w:t>
            </w:r>
            <w:r>
              <w:rPr>
                <w:rFonts w:hint="default" w:ascii="Times New Roman" w:hAnsi="Times New Roman" w:eastAsia="宋体" w:cs="Times New Roman"/>
                <w:color w:val="000000"/>
                <w:kern w:val="2"/>
                <w:sz w:val="21"/>
                <w:szCs w:val="21"/>
              </w:rPr>
              <w:t>万kWh</w:t>
            </w:r>
          </w:p>
        </w:tc>
        <w:tc>
          <w:tcPr>
            <w:tcW w:w="956" w:type="dxa"/>
            <w:noWrap w:val="0"/>
            <w:vAlign w:val="center"/>
          </w:tcPr>
          <w:p w14:paraId="34B2F3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电网</w:t>
            </w:r>
          </w:p>
        </w:tc>
        <w:tc>
          <w:tcPr>
            <w:tcW w:w="1342" w:type="dxa"/>
            <w:noWrap w:val="0"/>
            <w:vAlign w:val="center"/>
          </w:tcPr>
          <w:p w14:paraId="31799D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供电网</w:t>
            </w:r>
          </w:p>
        </w:tc>
        <w:tc>
          <w:tcPr>
            <w:tcW w:w="1508" w:type="dxa"/>
            <w:noWrap w:val="0"/>
            <w:vAlign w:val="center"/>
          </w:tcPr>
          <w:p w14:paraId="5B513F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w:t>
            </w:r>
          </w:p>
        </w:tc>
      </w:tr>
    </w:tbl>
    <w:p w14:paraId="378F22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rPr>
        <w:t>表</w:t>
      </w:r>
      <w:r>
        <w:rPr>
          <w:rFonts w:hint="eastAsia" w:cs="Times New Roman"/>
          <w:b/>
          <w:bCs/>
          <w:kern w:val="2"/>
          <w:sz w:val="24"/>
          <w:szCs w:val="24"/>
          <w:lang w:val="en-US" w:eastAsia="zh-CN"/>
        </w:rPr>
        <w:t>3.2-5</w:t>
      </w:r>
      <w:r>
        <w:rPr>
          <w:rFonts w:hint="default" w:ascii="Times New Roman" w:hAnsi="Times New Roman" w:eastAsia="宋体" w:cs="Times New Roman"/>
          <w:b/>
          <w:bCs/>
          <w:kern w:val="2"/>
          <w:sz w:val="24"/>
          <w:szCs w:val="24"/>
          <w:lang w:val="en-US" w:eastAsia="zh-CN"/>
        </w:rPr>
        <w:t xml:space="preserve"> </w:t>
      </w:r>
      <w:r>
        <w:rPr>
          <w:rFonts w:hint="eastAsia" w:ascii="Times New Roman" w:hAnsi="Times New Roman" w:eastAsia="宋体" w:cs="Times New Roman"/>
          <w:b/>
          <w:bCs/>
          <w:kern w:val="2"/>
          <w:sz w:val="24"/>
          <w:szCs w:val="24"/>
          <w:lang w:val="en-US" w:eastAsia="zh-CN"/>
        </w:rPr>
        <w:t>原辅材料理化性质一览表</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1236"/>
        <w:gridCol w:w="6592"/>
      </w:tblGrid>
      <w:tr w14:paraId="7026F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tcBorders>
              <w:tl2br w:val="nil"/>
              <w:tr2bl w:val="nil"/>
            </w:tcBorders>
            <w:vAlign w:val="center"/>
          </w:tcPr>
          <w:p w14:paraId="78031C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color w:val="auto"/>
                <w:kern w:val="2"/>
                <w:sz w:val="21"/>
                <w:szCs w:val="21"/>
                <w:lang w:val="en-US" w:eastAsia="zh-CN"/>
              </w:rPr>
            </w:pPr>
            <w:r>
              <w:rPr>
                <w:rFonts w:hint="eastAsia" w:cs="Times New Roman"/>
                <w:b/>
                <w:bCs/>
                <w:color w:val="auto"/>
                <w:kern w:val="2"/>
                <w:sz w:val="21"/>
                <w:szCs w:val="21"/>
                <w:lang w:val="en-US" w:eastAsia="zh-CN"/>
              </w:rPr>
              <w:t>序号</w:t>
            </w:r>
          </w:p>
        </w:tc>
        <w:tc>
          <w:tcPr>
            <w:tcW w:w="1236" w:type="dxa"/>
            <w:tcBorders>
              <w:tl2br w:val="nil"/>
              <w:tr2bl w:val="nil"/>
            </w:tcBorders>
            <w:vAlign w:val="center"/>
          </w:tcPr>
          <w:p w14:paraId="5F1CD1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color w:val="auto"/>
                <w:kern w:val="2"/>
                <w:sz w:val="21"/>
                <w:szCs w:val="21"/>
                <w:lang w:val="zh-CN" w:eastAsia="zh-CN"/>
              </w:rPr>
            </w:pPr>
            <w:r>
              <w:rPr>
                <w:rFonts w:hint="eastAsia" w:cs="Times New Roman"/>
                <w:b/>
                <w:bCs/>
                <w:color w:val="auto"/>
                <w:kern w:val="2"/>
                <w:sz w:val="21"/>
                <w:szCs w:val="21"/>
                <w:lang w:val="en-US" w:eastAsia="zh-CN"/>
              </w:rPr>
              <w:t>物质名称</w:t>
            </w:r>
          </w:p>
        </w:tc>
        <w:tc>
          <w:tcPr>
            <w:tcW w:w="6592" w:type="dxa"/>
            <w:tcBorders>
              <w:tl2br w:val="nil"/>
              <w:tr2bl w:val="nil"/>
            </w:tcBorders>
            <w:vAlign w:val="center"/>
          </w:tcPr>
          <w:p w14:paraId="1F8B36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color w:val="auto"/>
                <w:kern w:val="2"/>
                <w:sz w:val="21"/>
                <w:szCs w:val="21"/>
                <w:lang w:val="zh-CN" w:eastAsia="zh-CN"/>
              </w:rPr>
            </w:pPr>
            <w:r>
              <w:rPr>
                <w:rFonts w:hint="eastAsia" w:cs="Times New Roman"/>
                <w:b/>
                <w:bCs/>
                <w:color w:val="auto"/>
                <w:kern w:val="2"/>
                <w:sz w:val="21"/>
                <w:szCs w:val="21"/>
                <w:lang w:val="en-US" w:eastAsia="zh-CN"/>
              </w:rPr>
              <w:t>性质及危害</w:t>
            </w:r>
          </w:p>
        </w:tc>
      </w:tr>
      <w:tr w14:paraId="1559A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tcBorders>
              <w:tl2br w:val="nil"/>
              <w:tr2bl w:val="nil"/>
            </w:tcBorders>
            <w:vAlign w:val="center"/>
          </w:tcPr>
          <w:p w14:paraId="634A61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1</w:t>
            </w:r>
          </w:p>
        </w:tc>
        <w:tc>
          <w:tcPr>
            <w:tcW w:w="1236" w:type="dxa"/>
            <w:tcBorders>
              <w:tl2br w:val="nil"/>
              <w:tr2bl w:val="nil"/>
            </w:tcBorders>
            <w:vAlign w:val="center"/>
          </w:tcPr>
          <w:p w14:paraId="686E11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复合戊二醛</w:t>
            </w:r>
            <w:r>
              <w:rPr>
                <w:rFonts w:hint="eastAsia" w:cs="Times New Roman"/>
                <w:color w:val="auto"/>
                <w:kern w:val="2"/>
                <w:sz w:val="21"/>
                <w:szCs w:val="21"/>
                <w:lang w:val="en-US" w:eastAsia="zh-CN"/>
              </w:rPr>
              <w:t>消毒剂</w:t>
            </w:r>
          </w:p>
        </w:tc>
        <w:tc>
          <w:tcPr>
            <w:tcW w:w="6592" w:type="dxa"/>
            <w:tcBorders>
              <w:tl2br w:val="nil"/>
              <w:tr2bl w:val="nil"/>
            </w:tcBorders>
            <w:vAlign w:val="center"/>
          </w:tcPr>
          <w:p w14:paraId="09C2F9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zh-CN" w:eastAsia="zh-CN"/>
              </w:rPr>
            </w:pPr>
            <w:r>
              <w:rPr>
                <w:rFonts w:hint="default" w:ascii="Times New Roman" w:hAnsi="Times New Roman" w:eastAsia="宋体" w:cs="Times New Roman"/>
                <w:color w:val="auto"/>
                <w:kern w:val="2"/>
                <w:sz w:val="21"/>
                <w:szCs w:val="21"/>
                <w:lang w:val="en-US" w:eastAsia="zh-CN"/>
              </w:rPr>
              <w:t>复方增效戊二醛消毒剂由高纯度医疗级戊二醛、表面活性剂、防锈剂、pH调节剂等组成。本产品由两部分组成</w:t>
            </w:r>
            <w:r>
              <w:rPr>
                <w:rFonts w:hint="eastAsia" w:cs="Times New Roman"/>
                <w:color w:val="auto"/>
                <w:kern w:val="2"/>
                <w:sz w:val="21"/>
                <w:szCs w:val="21"/>
                <w:lang w:val="en-US" w:eastAsia="zh-CN"/>
              </w:rPr>
              <w:t>：</w:t>
            </w:r>
            <w:r>
              <w:rPr>
                <w:rFonts w:hint="default" w:ascii="Times New Roman" w:hAnsi="Times New Roman" w:eastAsia="宋体" w:cs="Times New Roman"/>
                <w:color w:val="auto"/>
                <w:kern w:val="2"/>
                <w:sz w:val="21"/>
                <w:szCs w:val="21"/>
                <w:lang w:val="en-US" w:eastAsia="zh-CN"/>
              </w:rPr>
              <w:t>第一部分为复方戊二醛消毒剂，呈酸性，消毒效果较差</w:t>
            </w:r>
            <w:r>
              <w:rPr>
                <w:rFonts w:hint="eastAsia" w:cs="Times New Roman"/>
                <w:color w:val="auto"/>
                <w:kern w:val="2"/>
                <w:sz w:val="21"/>
                <w:szCs w:val="21"/>
                <w:lang w:val="en-US" w:eastAsia="zh-CN"/>
              </w:rPr>
              <w:t>；</w:t>
            </w:r>
            <w:r>
              <w:rPr>
                <w:rFonts w:hint="default" w:ascii="Times New Roman" w:hAnsi="Times New Roman" w:eastAsia="宋体" w:cs="Times New Roman"/>
                <w:color w:val="auto"/>
                <w:kern w:val="2"/>
                <w:sz w:val="21"/>
                <w:szCs w:val="21"/>
                <w:lang w:val="en-US" w:eastAsia="zh-CN"/>
              </w:rPr>
              <w:t>第二部分为增效剂，</w:t>
            </w:r>
            <w:r>
              <w:rPr>
                <w:rFonts w:hint="eastAsia" w:cs="Times New Roman"/>
                <w:color w:val="auto"/>
                <w:kern w:val="2"/>
                <w:sz w:val="21"/>
                <w:szCs w:val="21"/>
                <w:lang w:val="en-US" w:eastAsia="zh-CN"/>
              </w:rPr>
              <w:t>加入</w:t>
            </w:r>
            <w:r>
              <w:rPr>
                <w:rFonts w:hint="default" w:ascii="Times New Roman" w:hAnsi="Times New Roman" w:eastAsia="宋体" w:cs="Times New Roman"/>
                <w:color w:val="auto"/>
                <w:kern w:val="2"/>
                <w:sz w:val="21"/>
                <w:szCs w:val="21"/>
                <w:lang w:val="en-US" w:eastAsia="zh-CN"/>
              </w:rPr>
              <w:t>第一部分后，pH呈中性，消毒效果显著增强。本产品特点为</w:t>
            </w:r>
            <w:r>
              <w:rPr>
                <w:rFonts w:hint="eastAsia" w:cs="Times New Roman"/>
                <w:color w:val="auto"/>
                <w:kern w:val="2"/>
                <w:sz w:val="21"/>
                <w:szCs w:val="21"/>
                <w:lang w:val="en-US" w:eastAsia="zh-CN"/>
              </w:rPr>
              <w:t>：</w:t>
            </w:r>
            <w:r>
              <w:rPr>
                <w:rFonts w:hint="default" w:ascii="Times New Roman" w:hAnsi="Times New Roman" w:eastAsia="宋体" w:cs="Times New Roman"/>
                <w:color w:val="auto"/>
                <w:kern w:val="2"/>
                <w:sz w:val="21"/>
                <w:szCs w:val="21"/>
                <w:lang w:val="en-US" w:eastAsia="zh-CN"/>
              </w:rPr>
              <w:t>用途广泛、快速杀菌、安全无毒、性能稳定、对金属及橡胶制品、器械用具基本不腐蚀</w:t>
            </w:r>
            <w:r>
              <w:rPr>
                <w:rFonts w:hint="eastAsia" w:cs="Times New Roman"/>
                <w:color w:val="auto"/>
                <w:kern w:val="2"/>
                <w:sz w:val="21"/>
                <w:szCs w:val="21"/>
                <w:lang w:val="en-US" w:eastAsia="zh-CN"/>
              </w:rPr>
              <w:t>；</w:t>
            </w:r>
            <w:r>
              <w:rPr>
                <w:rFonts w:hint="default" w:ascii="Times New Roman" w:hAnsi="Times New Roman" w:eastAsia="宋体" w:cs="Times New Roman"/>
                <w:color w:val="auto"/>
                <w:kern w:val="2"/>
                <w:sz w:val="21"/>
                <w:szCs w:val="21"/>
                <w:lang w:val="en-US" w:eastAsia="zh-CN"/>
              </w:rPr>
              <w:t>可杀灭肠道致病菌、致病性酵母菌、化脓性球菌和细菌芽孢，并能灭活病毒。本产品可用于内窥镜消毒及器械灭菌。</w:t>
            </w:r>
          </w:p>
        </w:tc>
      </w:tr>
      <w:tr w14:paraId="3234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tcBorders>
              <w:tl2br w:val="nil"/>
              <w:tr2bl w:val="nil"/>
            </w:tcBorders>
            <w:vAlign w:val="center"/>
          </w:tcPr>
          <w:p w14:paraId="69BBF2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2</w:t>
            </w:r>
          </w:p>
        </w:tc>
        <w:tc>
          <w:tcPr>
            <w:tcW w:w="1236" w:type="dxa"/>
            <w:tcBorders>
              <w:tl2br w:val="nil"/>
              <w:tr2bl w:val="nil"/>
            </w:tcBorders>
            <w:vAlign w:val="center"/>
          </w:tcPr>
          <w:p w14:paraId="11CE89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zh-CN" w:eastAsia="zh-CN"/>
              </w:rPr>
            </w:pPr>
            <w:r>
              <w:rPr>
                <w:rFonts w:hint="default" w:ascii="Times New Roman" w:hAnsi="Times New Roman" w:eastAsia="宋体" w:cs="Times New Roman"/>
                <w:color w:val="auto"/>
                <w:kern w:val="2"/>
                <w:sz w:val="21"/>
                <w:szCs w:val="21"/>
                <w:lang w:val="en-US" w:eastAsia="zh-CN"/>
              </w:rPr>
              <w:t>新洁尔灭</w:t>
            </w:r>
          </w:p>
        </w:tc>
        <w:tc>
          <w:tcPr>
            <w:tcW w:w="6592" w:type="dxa"/>
            <w:tcBorders>
              <w:tl2br w:val="nil"/>
              <w:tr2bl w:val="nil"/>
            </w:tcBorders>
            <w:vAlign w:val="center"/>
          </w:tcPr>
          <w:p w14:paraId="7D1109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zh-CN" w:eastAsia="zh-CN"/>
              </w:rPr>
            </w:pPr>
            <w:r>
              <w:rPr>
                <w:rFonts w:hint="default" w:cs="Times New Roman"/>
                <w:color w:val="auto"/>
                <w:kern w:val="2"/>
                <w:sz w:val="21"/>
                <w:szCs w:val="21"/>
                <w:lang w:val="zh-CN" w:eastAsia="zh-CN"/>
              </w:rPr>
              <w:t>苯扎溴铵（Benzalkonium Bromide），别名新洁尔灭，化学式C</w:t>
            </w:r>
            <w:r>
              <w:rPr>
                <w:rFonts w:hint="default" w:cs="Times New Roman"/>
                <w:color w:val="auto"/>
                <w:kern w:val="2"/>
                <w:sz w:val="21"/>
                <w:szCs w:val="21"/>
                <w:vertAlign w:val="subscript"/>
                <w:lang w:val="zh-CN" w:eastAsia="zh-CN"/>
              </w:rPr>
              <w:t>21</w:t>
            </w:r>
            <w:r>
              <w:rPr>
                <w:rFonts w:hint="default" w:cs="Times New Roman"/>
                <w:color w:val="auto"/>
                <w:kern w:val="2"/>
                <w:sz w:val="21"/>
                <w:szCs w:val="21"/>
                <w:lang w:val="zh-CN" w:eastAsia="zh-CN"/>
              </w:rPr>
              <w:t>H</w:t>
            </w:r>
            <w:r>
              <w:rPr>
                <w:rFonts w:hint="default" w:cs="Times New Roman"/>
                <w:color w:val="auto"/>
                <w:kern w:val="2"/>
                <w:sz w:val="21"/>
                <w:szCs w:val="21"/>
                <w:vertAlign w:val="subscript"/>
                <w:lang w:val="zh-CN" w:eastAsia="zh-CN"/>
              </w:rPr>
              <w:t>38</w:t>
            </w:r>
            <w:r>
              <w:rPr>
                <w:rFonts w:hint="default" w:cs="Times New Roman"/>
                <w:color w:val="auto"/>
                <w:kern w:val="2"/>
                <w:sz w:val="21"/>
                <w:szCs w:val="21"/>
                <w:lang w:val="zh-CN" w:eastAsia="zh-CN"/>
              </w:rPr>
              <w:t>BrN，CAS号7281-04-1，是一种季铵盐阳离子表面活性广谱杀菌剂。常温下呈淡黄色胶状体，微溶于乙醇，通过改变细菌胞浆膜通透性杀灭革兰阳性菌，对铜绿假单胞菌、芽孢无效。本品主要用于皮肤、黏膜、创面及医疗器械消毒，使用浓度范围为0.01%</w:t>
            </w:r>
            <w:r>
              <w:rPr>
                <w:rFonts w:hint="eastAsia" w:cs="Times New Roman"/>
                <w:color w:val="auto"/>
                <w:kern w:val="2"/>
                <w:sz w:val="21"/>
                <w:szCs w:val="21"/>
                <w:lang w:val="zh-CN" w:eastAsia="zh-CN"/>
              </w:rPr>
              <w:t>—</w:t>
            </w:r>
            <w:r>
              <w:rPr>
                <w:rFonts w:hint="default" w:cs="Times New Roman"/>
                <w:color w:val="auto"/>
                <w:kern w:val="2"/>
                <w:sz w:val="21"/>
                <w:szCs w:val="21"/>
                <w:lang w:val="zh-CN" w:eastAsia="zh-CN"/>
              </w:rPr>
              <w:t>0.5%溶液，作用时间30分钟。禁止用于眼科器械、合成橡胶及长期浸泡无菌器材，不可与肥皂、碘酊、硝酸盐等物质配伍使用。外用可能引发接触性皮炎，误服可导致呼吸困难、痉挛甚至死亡，需用低浓度肥皂水洗胃并人工呼吸。贮存时应避免使用塑料或铝制容器，金属器械消毒需添加0.5%亚硝酸钠防锈</w:t>
            </w:r>
          </w:p>
        </w:tc>
      </w:tr>
      <w:tr w14:paraId="00C86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tcBorders>
              <w:tl2br w:val="nil"/>
              <w:tr2bl w:val="nil"/>
            </w:tcBorders>
            <w:vAlign w:val="center"/>
          </w:tcPr>
          <w:p w14:paraId="31F45F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en-US" w:eastAsia="zh-CN"/>
              </w:rPr>
            </w:pPr>
            <w:r>
              <w:rPr>
                <w:rFonts w:hint="eastAsia" w:cs="Times New Roman"/>
                <w:color w:val="auto"/>
                <w:kern w:val="2"/>
                <w:sz w:val="21"/>
                <w:szCs w:val="21"/>
                <w:lang w:val="en-US" w:eastAsia="zh-CN"/>
              </w:rPr>
              <w:t>3</w:t>
            </w:r>
          </w:p>
        </w:tc>
        <w:tc>
          <w:tcPr>
            <w:tcW w:w="1236" w:type="dxa"/>
            <w:tcBorders>
              <w:tl2br w:val="nil"/>
              <w:tr2bl w:val="nil"/>
            </w:tcBorders>
            <w:vAlign w:val="center"/>
          </w:tcPr>
          <w:p w14:paraId="263582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zh-CN" w:eastAsia="zh-CN"/>
              </w:rPr>
            </w:pPr>
            <w:r>
              <w:rPr>
                <w:rFonts w:hint="default" w:cs="Times New Roman"/>
                <w:color w:val="auto"/>
                <w:kern w:val="2"/>
                <w:sz w:val="21"/>
                <w:szCs w:val="21"/>
                <w:lang w:val="zh-CN" w:eastAsia="zh-CN"/>
              </w:rPr>
              <w:t>微生物除臭剂</w:t>
            </w:r>
          </w:p>
        </w:tc>
        <w:tc>
          <w:tcPr>
            <w:tcW w:w="6592" w:type="dxa"/>
            <w:tcBorders>
              <w:tl2br w:val="nil"/>
              <w:tr2bl w:val="nil"/>
            </w:tcBorders>
            <w:vAlign w:val="center"/>
          </w:tcPr>
          <w:p w14:paraId="46B13E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kern w:val="2"/>
                <w:sz w:val="21"/>
                <w:szCs w:val="21"/>
                <w:lang w:val="zh-CN" w:eastAsia="zh-CN"/>
              </w:rPr>
            </w:pPr>
            <w:r>
              <w:rPr>
                <w:rFonts w:hint="default" w:cs="Times New Roman"/>
                <w:color w:val="auto"/>
                <w:kern w:val="2"/>
                <w:sz w:val="21"/>
                <w:szCs w:val="21"/>
                <w:lang w:val="zh-CN" w:eastAsia="zh-CN"/>
              </w:rPr>
              <w:t>主要以乳酸菌、酵母菌、光合细菌等有益菌群以及代谢产物组成。除臭剂是以优良微生物菌种为基础，采用复合微生物技术，经现代发酵工艺精制而成的一种新型的复合型活性微生物菌剂。各功能菌株利用有机污染物进行增殖、代谢，消除氨气等有害臭气产生，抑制有害生物的活动，转变有机物腐烂分解过程，产生二氧化碳、乙醇等产物，做到从根上消除恶臭气体，并可持续性除臭目的。具有安全、无腐蚀性，可氧化分解多种有毒有害污染物、净化水质、改善环境，不会在使用过程中留下二次污染的优点。</w:t>
            </w:r>
          </w:p>
        </w:tc>
      </w:tr>
    </w:tbl>
    <w:p w14:paraId="4970B7E6">
      <w:pPr>
        <w:keepNext w:val="0"/>
        <w:keepLines w:val="0"/>
        <w:pageBreakBefore w:val="0"/>
        <w:widowControl w:val="0"/>
        <w:wordWrap/>
        <w:topLinePunct w:val="0"/>
        <w:bidi w:val="0"/>
        <w:adjustRightInd/>
        <w:snapToGrid/>
        <w:spacing w:before="0" w:after="0" w:line="360" w:lineRule="auto"/>
        <w:jc w:val="both"/>
        <w:outlineLvl w:val="2"/>
        <w:rPr>
          <w:rFonts w:hint="eastAsia"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zh-CN" w:eastAsia="zh-CN" w:bidi="ar-SA"/>
        </w:rPr>
        <w:t>3.</w:t>
      </w:r>
      <w:r>
        <w:rPr>
          <w:rFonts w:hint="eastAsia"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6产品方案</w:t>
      </w:r>
    </w:p>
    <w:p w14:paraId="43DF6EC0">
      <w:pPr>
        <w:widowControl w:val="0"/>
        <w:spacing w:line="360" w:lineRule="auto"/>
        <w:ind w:firstLine="480" w:firstLineChars="200"/>
        <w:jc w:val="both"/>
        <w:rPr>
          <w:rFonts w:hint="default" w:ascii="Times New Roman" w:hAnsi="Times New Roman" w:eastAsia="宋体" w:cs="宋体"/>
          <w:snapToGrid w:val="0"/>
          <w:color w:val="auto"/>
          <w:sz w:val="24"/>
          <w:szCs w:val="21"/>
          <w:lang w:val="en-US" w:eastAsia="zh-CN" w:bidi="ar-SA"/>
        </w:rPr>
      </w:pPr>
      <w:r>
        <w:rPr>
          <w:rFonts w:hint="default" w:ascii="Times New Roman" w:hAnsi="Times New Roman" w:eastAsia="宋体" w:cs="宋体"/>
          <w:snapToGrid w:val="0"/>
          <w:color w:val="auto"/>
          <w:sz w:val="24"/>
          <w:szCs w:val="21"/>
          <w:lang w:val="en-US" w:eastAsia="zh-CN" w:bidi="ar-SA"/>
        </w:rPr>
        <w:t>本项目采取</w:t>
      </w:r>
      <w:r>
        <w:rPr>
          <w:rFonts w:hint="eastAsia" w:cs="宋体"/>
          <w:snapToGrid w:val="0"/>
          <w:color w:val="auto"/>
          <w:sz w:val="24"/>
          <w:szCs w:val="21"/>
          <w:lang w:val="en-US" w:eastAsia="zh-CN" w:bidi="ar-SA"/>
        </w:rPr>
        <w:t>“</w:t>
      </w:r>
      <w:r>
        <w:rPr>
          <w:rFonts w:hint="default" w:ascii="Times New Roman" w:hAnsi="Times New Roman" w:eastAsia="宋体" w:cs="宋体"/>
          <w:snapToGrid w:val="0"/>
          <w:color w:val="auto"/>
          <w:sz w:val="24"/>
          <w:szCs w:val="21"/>
          <w:lang w:val="en-US" w:eastAsia="zh-CN" w:bidi="ar-SA"/>
        </w:rPr>
        <w:t>引进良种、科学育肥、封闭管理、全进全出</w:t>
      </w:r>
      <w:r>
        <w:rPr>
          <w:rFonts w:hint="eastAsia" w:cs="宋体"/>
          <w:snapToGrid w:val="0"/>
          <w:color w:val="auto"/>
          <w:sz w:val="24"/>
          <w:szCs w:val="21"/>
          <w:lang w:val="en-US" w:eastAsia="zh-CN" w:bidi="ar-SA"/>
        </w:rPr>
        <w:t>”</w:t>
      </w:r>
      <w:r>
        <w:rPr>
          <w:rFonts w:hint="default" w:ascii="Times New Roman" w:hAnsi="Times New Roman" w:eastAsia="宋体" w:cs="宋体"/>
          <w:snapToGrid w:val="0"/>
          <w:color w:val="auto"/>
          <w:sz w:val="24"/>
          <w:szCs w:val="21"/>
          <w:lang w:val="en-US" w:eastAsia="zh-CN" w:bidi="ar-SA"/>
        </w:rPr>
        <w:t>的生态标准养殖模式</w:t>
      </w:r>
      <w:r>
        <w:rPr>
          <w:rFonts w:hint="eastAsia" w:ascii="Times New Roman" w:hAnsi="Times New Roman" w:eastAsia="宋体" w:cs="宋体"/>
          <w:snapToGrid w:val="0"/>
          <w:color w:val="auto"/>
          <w:sz w:val="24"/>
          <w:szCs w:val="21"/>
          <w:lang w:val="en-US" w:eastAsia="zh-CN" w:bidi="ar-SA"/>
        </w:rPr>
        <w:t>，</w:t>
      </w:r>
      <w:r>
        <w:rPr>
          <w:rFonts w:hint="default" w:ascii="Times New Roman" w:hAnsi="Times New Roman" w:eastAsia="宋体" w:cs="宋体"/>
          <w:snapToGrid w:val="0"/>
          <w:color w:val="auto"/>
          <w:sz w:val="24"/>
          <w:szCs w:val="21"/>
          <w:lang w:val="en-US" w:eastAsia="zh-CN" w:bidi="ar-SA"/>
        </w:rPr>
        <w:t>建成后年</w:t>
      </w:r>
      <w:r>
        <w:rPr>
          <w:rFonts w:hint="eastAsia" w:ascii="Times New Roman" w:hAnsi="Times New Roman" w:eastAsia="宋体" w:cs="宋体"/>
          <w:snapToGrid w:val="0"/>
          <w:color w:val="auto"/>
          <w:sz w:val="24"/>
          <w:szCs w:val="21"/>
          <w:lang w:val="en-US" w:eastAsia="zh-CN" w:bidi="ar-SA"/>
        </w:rPr>
        <w:t>存栏</w:t>
      </w:r>
      <w:r>
        <w:rPr>
          <w:rFonts w:hint="default" w:ascii="Times New Roman" w:hAnsi="Times New Roman" w:eastAsia="宋体" w:cs="宋体"/>
          <w:snapToGrid w:val="0"/>
          <w:color w:val="auto"/>
          <w:sz w:val="24"/>
          <w:szCs w:val="21"/>
          <w:lang w:val="en-US" w:eastAsia="zh-CN" w:bidi="ar-SA"/>
        </w:rPr>
        <w:t>育肥</w:t>
      </w:r>
      <w:r>
        <w:rPr>
          <w:rFonts w:hint="eastAsia" w:ascii="Times New Roman" w:hAnsi="Times New Roman" w:eastAsia="宋体" w:cs="宋体"/>
          <w:snapToGrid w:val="0"/>
          <w:color w:val="auto"/>
          <w:sz w:val="24"/>
          <w:szCs w:val="21"/>
          <w:lang w:val="en-US" w:eastAsia="zh-CN" w:bidi="ar-SA"/>
        </w:rPr>
        <w:t>西门塔尔牛</w:t>
      </w:r>
      <w:r>
        <w:rPr>
          <w:rFonts w:hint="eastAsia" w:cs="宋体"/>
          <w:snapToGrid w:val="0"/>
          <w:color w:val="auto"/>
          <w:sz w:val="24"/>
          <w:szCs w:val="21"/>
          <w:lang w:val="en-US" w:eastAsia="zh-CN" w:bidi="ar-SA"/>
        </w:rPr>
        <w:t>、西门塔尔杂交牛以及褐牛共计3</w:t>
      </w:r>
      <w:r>
        <w:rPr>
          <w:rFonts w:hint="eastAsia" w:ascii="Times New Roman" w:hAnsi="Times New Roman" w:eastAsia="宋体" w:cs="宋体"/>
          <w:snapToGrid w:val="0"/>
          <w:color w:val="auto"/>
          <w:sz w:val="24"/>
          <w:szCs w:val="21"/>
          <w:lang w:val="en-US" w:eastAsia="zh-CN" w:bidi="ar-SA"/>
        </w:rPr>
        <w:t>00</w:t>
      </w:r>
      <w:r>
        <w:rPr>
          <w:rFonts w:hint="eastAsia" w:cs="宋体"/>
          <w:snapToGrid w:val="0"/>
          <w:color w:val="auto"/>
          <w:sz w:val="24"/>
          <w:szCs w:val="21"/>
          <w:lang w:val="en-US" w:eastAsia="zh-CN" w:bidi="ar-SA"/>
        </w:rPr>
        <w:t>0</w:t>
      </w:r>
      <w:r>
        <w:rPr>
          <w:rFonts w:hint="default" w:ascii="Times New Roman" w:hAnsi="Times New Roman" w:eastAsia="宋体" w:cs="宋体"/>
          <w:snapToGrid w:val="0"/>
          <w:color w:val="auto"/>
          <w:sz w:val="24"/>
          <w:szCs w:val="21"/>
          <w:lang w:val="en-US" w:eastAsia="zh-CN" w:bidi="ar-SA"/>
        </w:rPr>
        <w:t>头，</w:t>
      </w:r>
      <w:r>
        <w:rPr>
          <w:rFonts w:hint="eastAsia" w:ascii="Times New Roman" w:hAnsi="Times New Roman" w:eastAsia="宋体" w:cs="宋体"/>
          <w:snapToGrid w:val="0"/>
          <w:color w:val="auto"/>
          <w:sz w:val="24"/>
          <w:szCs w:val="21"/>
          <w:lang w:val="en-US" w:eastAsia="zh-CN" w:bidi="ar-SA"/>
        </w:rPr>
        <w:t>年出栏</w:t>
      </w:r>
      <w:r>
        <w:rPr>
          <w:rFonts w:hint="eastAsia" w:cs="宋体"/>
          <w:snapToGrid w:val="0"/>
          <w:color w:val="auto"/>
          <w:sz w:val="24"/>
          <w:szCs w:val="21"/>
          <w:lang w:val="en-US" w:eastAsia="zh-CN" w:bidi="ar-SA"/>
        </w:rPr>
        <w:t>育肥3</w:t>
      </w:r>
      <w:r>
        <w:rPr>
          <w:rFonts w:hint="eastAsia" w:ascii="Times New Roman" w:hAnsi="Times New Roman" w:eastAsia="宋体" w:cs="宋体"/>
          <w:snapToGrid w:val="0"/>
          <w:color w:val="auto"/>
          <w:sz w:val="24"/>
          <w:szCs w:val="21"/>
          <w:lang w:val="en-US" w:eastAsia="zh-CN" w:bidi="ar-SA"/>
        </w:rPr>
        <w:t>000头</w:t>
      </w:r>
      <w:r>
        <w:rPr>
          <w:rFonts w:hint="default" w:ascii="Times New Roman" w:hAnsi="Times New Roman" w:eastAsia="宋体" w:cs="宋体"/>
          <w:snapToGrid w:val="0"/>
          <w:color w:val="auto"/>
          <w:sz w:val="24"/>
          <w:szCs w:val="21"/>
          <w:lang w:val="en-US" w:eastAsia="zh-CN" w:bidi="ar-SA"/>
        </w:rPr>
        <w:t>。</w:t>
      </w:r>
    </w:p>
    <w:p w14:paraId="74819A86">
      <w:pPr>
        <w:widowControl w:val="0"/>
        <w:spacing w:line="360" w:lineRule="exact"/>
        <w:ind w:firstLine="480" w:firstLineChars="200"/>
        <w:jc w:val="both"/>
        <w:rPr>
          <w:rFonts w:hint="eastAsia" w:ascii="Times New Roman" w:hAnsi="Times New Roman" w:eastAsia="宋体" w:cs="宋体"/>
          <w:snapToGrid w:val="0"/>
          <w:color w:val="auto"/>
          <w:sz w:val="24"/>
          <w:szCs w:val="21"/>
          <w:lang w:val="en-US" w:eastAsia="zh-CN" w:bidi="ar-SA"/>
        </w:rPr>
      </w:pPr>
      <w:r>
        <w:rPr>
          <w:rFonts w:hint="eastAsia" w:ascii="Times New Roman" w:hAnsi="Times New Roman" w:eastAsia="宋体" w:cs="宋体"/>
          <w:snapToGrid w:val="0"/>
          <w:color w:val="auto"/>
          <w:sz w:val="24"/>
          <w:szCs w:val="21"/>
          <w:lang w:val="en-US" w:eastAsia="zh-CN" w:bidi="ar-SA"/>
        </w:rPr>
        <w:t>本项目产品方案见表3.2-</w:t>
      </w:r>
      <w:r>
        <w:rPr>
          <w:rFonts w:hint="eastAsia" w:ascii="Times New Roman" w:hAnsi="Times New Roman" w:cs="宋体"/>
          <w:snapToGrid w:val="0"/>
          <w:color w:val="auto"/>
          <w:sz w:val="24"/>
          <w:szCs w:val="21"/>
          <w:lang w:val="en-US" w:eastAsia="zh-CN" w:bidi="ar-SA"/>
        </w:rPr>
        <w:t>6</w:t>
      </w:r>
      <w:r>
        <w:rPr>
          <w:rFonts w:hint="eastAsia" w:ascii="Times New Roman" w:hAnsi="Times New Roman" w:eastAsia="宋体" w:cs="宋体"/>
          <w:snapToGrid w:val="0"/>
          <w:color w:val="auto"/>
          <w:sz w:val="24"/>
          <w:szCs w:val="21"/>
          <w:lang w:val="en-US" w:eastAsia="zh-CN" w:bidi="ar-SA"/>
        </w:rPr>
        <w:t>。</w:t>
      </w:r>
    </w:p>
    <w:p w14:paraId="1E33CB96">
      <w:pPr>
        <w:widowControl w:val="0"/>
        <w:overflowPunct w:val="0"/>
        <w:autoSpaceDE w:val="0"/>
        <w:autoSpaceDN w:val="0"/>
        <w:adjustRightInd w:val="0"/>
        <w:snapToGrid w:val="0"/>
        <w:spacing w:before="0" w:after="0" w:line="360" w:lineRule="auto"/>
        <w:ind w:left="0" w:right="0" w:firstLine="0" w:firstLineChars="0"/>
        <w:jc w:val="center"/>
        <w:rPr>
          <w:rFonts w:hint="eastAsia" w:ascii="Times New Roman" w:hAnsi="Times New Roman" w:eastAsia="宋体" w:cs="宋体"/>
          <w:lang w:val="en-US" w:eastAsia="zh-CN"/>
        </w:rPr>
      </w:pPr>
      <w:r>
        <w:rPr>
          <w:rFonts w:ascii="Times New Roman" w:hAnsi="Times New Roman" w:eastAsia="宋体" w:cs="宋体"/>
          <w:b/>
          <w:color w:val="000000"/>
          <w:sz w:val="24"/>
          <w:szCs w:val="24"/>
          <w:lang w:val="en-US" w:eastAsia="zh-CN" w:bidi="ar-SA"/>
        </w:rPr>
        <w:t>表</w:t>
      </w:r>
      <w:r>
        <w:rPr>
          <w:rFonts w:hint="eastAsia" w:ascii="Times New Roman" w:hAnsi="Times New Roman" w:eastAsia="宋体" w:cs="宋体"/>
          <w:b/>
          <w:color w:val="000000"/>
          <w:sz w:val="24"/>
          <w:szCs w:val="24"/>
          <w:lang w:val="en-US" w:eastAsia="zh-CN" w:bidi="ar-SA"/>
        </w:rPr>
        <w:t>3.2-</w:t>
      </w:r>
      <w:r>
        <w:rPr>
          <w:rFonts w:hint="eastAsia" w:ascii="Times New Roman" w:hAnsi="Times New Roman" w:cs="宋体"/>
          <w:b/>
          <w:color w:val="000000"/>
          <w:sz w:val="24"/>
          <w:szCs w:val="24"/>
          <w:lang w:val="en-US" w:eastAsia="zh-CN" w:bidi="ar-SA"/>
        </w:rPr>
        <w:t>6</w:t>
      </w:r>
      <w:r>
        <w:rPr>
          <w:rFonts w:ascii="Times New Roman" w:hAnsi="Times New Roman" w:eastAsia="宋体" w:cs="宋体"/>
          <w:b/>
          <w:color w:val="000000"/>
          <w:sz w:val="24"/>
          <w:szCs w:val="24"/>
          <w:lang w:val="en-US" w:eastAsia="zh-CN" w:bidi="ar-SA"/>
        </w:rPr>
        <w:t>本项目</w:t>
      </w:r>
      <w:r>
        <w:rPr>
          <w:rFonts w:hint="eastAsia" w:ascii="Times New Roman" w:hAnsi="Times New Roman" w:eastAsia="宋体" w:cs="宋体"/>
          <w:b/>
          <w:color w:val="000000"/>
          <w:sz w:val="24"/>
          <w:szCs w:val="24"/>
          <w:lang w:val="en-US" w:eastAsia="zh-CN" w:bidi="ar-SA"/>
        </w:rPr>
        <w:t>产品方案</w:t>
      </w:r>
      <w:r>
        <w:rPr>
          <w:rFonts w:ascii="Times New Roman" w:hAnsi="Times New Roman" w:eastAsia="宋体" w:cs="宋体"/>
          <w:b/>
          <w:color w:val="000000"/>
          <w:sz w:val="24"/>
          <w:szCs w:val="24"/>
          <w:lang w:val="en-US" w:eastAsia="zh-CN" w:bidi="ar-SA"/>
        </w:rPr>
        <w:t>一览表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746"/>
        <w:gridCol w:w="1688"/>
        <w:gridCol w:w="1688"/>
        <w:gridCol w:w="1691"/>
        <w:gridCol w:w="1691"/>
      </w:tblGrid>
      <w:tr w14:paraId="7C1261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26" w:type="pct"/>
            <w:tcBorders>
              <w:tl2br w:val="nil"/>
              <w:tr2bl w:val="nil"/>
            </w:tcBorders>
            <w:noWrap w:val="0"/>
            <w:vAlign w:val="center"/>
          </w:tcPr>
          <w:p w14:paraId="3181D713">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产品名称</w:t>
            </w:r>
          </w:p>
        </w:tc>
        <w:tc>
          <w:tcPr>
            <w:tcW w:w="992" w:type="pct"/>
            <w:tcBorders>
              <w:tl2br w:val="nil"/>
              <w:tr2bl w:val="nil"/>
            </w:tcBorders>
            <w:noWrap w:val="0"/>
            <w:vAlign w:val="center"/>
          </w:tcPr>
          <w:p w14:paraId="098F260E">
            <w:pPr>
              <w:widowControl w:val="0"/>
              <w:overflowPunct w:val="0"/>
              <w:autoSpaceDE w:val="0"/>
              <w:autoSpaceDN w:val="0"/>
              <w:bidi w:val="0"/>
              <w:adjustRightInd w:val="0"/>
              <w:snapToGrid w:val="0"/>
              <w:spacing w:before="0" w:after="0" w:line="400" w:lineRule="exact"/>
              <w:ind w:left="0" w:right="0" w:firstLine="0" w:firstLineChars="0"/>
              <w:jc w:val="center"/>
              <w:rPr>
                <w:rFonts w:hint="default" w:cs="宋体"/>
                <w:color w:val="auto"/>
                <w:sz w:val="21"/>
                <w:szCs w:val="22"/>
                <w:lang w:val="en-US" w:eastAsia="zh-CN" w:bidi="ar-SA"/>
              </w:rPr>
            </w:pPr>
            <w:r>
              <w:rPr>
                <w:rFonts w:hint="eastAsia" w:cs="宋体"/>
                <w:color w:val="auto"/>
                <w:sz w:val="21"/>
                <w:szCs w:val="22"/>
                <w:lang w:val="en-US" w:eastAsia="zh-CN" w:bidi="ar-SA"/>
              </w:rPr>
              <w:t>品种</w:t>
            </w:r>
          </w:p>
        </w:tc>
        <w:tc>
          <w:tcPr>
            <w:tcW w:w="992" w:type="pct"/>
            <w:tcBorders>
              <w:tl2br w:val="nil"/>
              <w:tr2bl w:val="nil"/>
            </w:tcBorders>
            <w:noWrap w:val="0"/>
            <w:vAlign w:val="center"/>
          </w:tcPr>
          <w:p w14:paraId="1F8ED3A6">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本项目</w:t>
            </w:r>
            <w:r>
              <w:rPr>
                <w:rFonts w:hint="eastAsia" w:ascii="Times New Roman" w:hAnsi="Times New Roman" w:cs="宋体"/>
                <w:color w:val="auto"/>
                <w:sz w:val="21"/>
                <w:szCs w:val="22"/>
                <w:lang w:val="en-US" w:eastAsia="zh-CN" w:bidi="ar-SA"/>
              </w:rPr>
              <w:t>存栏量</w:t>
            </w:r>
          </w:p>
        </w:tc>
        <w:tc>
          <w:tcPr>
            <w:tcW w:w="994" w:type="pct"/>
            <w:tcBorders>
              <w:tl2br w:val="nil"/>
              <w:tr2bl w:val="nil"/>
            </w:tcBorders>
            <w:noWrap w:val="0"/>
            <w:vAlign w:val="center"/>
          </w:tcPr>
          <w:p w14:paraId="311986EE">
            <w:pPr>
              <w:widowControl w:val="0"/>
              <w:overflowPunct w:val="0"/>
              <w:autoSpaceDE w:val="0"/>
              <w:autoSpaceDN w:val="0"/>
              <w:bidi w:val="0"/>
              <w:adjustRightInd w:val="0"/>
              <w:snapToGrid w:val="0"/>
              <w:spacing w:before="0" w:after="0" w:line="400" w:lineRule="exact"/>
              <w:ind w:left="0" w:right="0" w:firstLine="0" w:firstLineChars="0"/>
              <w:jc w:val="center"/>
              <w:rPr>
                <w:rFonts w:hint="default" w:cs="宋体"/>
                <w:color w:val="auto"/>
                <w:sz w:val="21"/>
                <w:szCs w:val="22"/>
                <w:lang w:val="en-US" w:eastAsia="zh-CN" w:bidi="ar-SA"/>
              </w:rPr>
            </w:pPr>
            <w:r>
              <w:rPr>
                <w:rFonts w:hint="eastAsia" w:cs="宋体"/>
                <w:color w:val="auto"/>
                <w:sz w:val="21"/>
                <w:szCs w:val="22"/>
                <w:lang w:val="en-US" w:eastAsia="zh-CN" w:bidi="ar-SA"/>
              </w:rPr>
              <w:t>现有工程存栏量</w:t>
            </w:r>
          </w:p>
        </w:tc>
        <w:tc>
          <w:tcPr>
            <w:tcW w:w="994" w:type="pct"/>
            <w:tcBorders>
              <w:tl2br w:val="nil"/>
              <w:tr2bl w:val="nil"/>
            </w:tcBorders>
            <w:noWrap w:val="0"/>
            <w:vAlign w:val="center"/>
          </w:tcPr>
          <w:p w14:paraId="734976A2">
            <w:pPr>
              <w:widowControl w:val="0"/>
              <w:overflowPunct w:val="0"/>
              <w:autoSpaceDE w:val="0"/>
              <w:autoSpaceDN w:val="0"/>
              <w:bidi w:val="0"/>
              <w:adjustRightInd w:val="0"/>
              <w:snapToGrid w:val="0"/>
              <w:spacing w:before="0" w:after="0" w:line="400" w:lineRule="exact"/>
              <w:ind w:left="0" w:right="0" w:firstLine="0" w:firstLineChars="0"/>
              <w:jc w:val="center"/>
              <w:rPr>
                <w:rFonts w:hint="default" w:cs="宋体"/>
                <w:color w:val="auto"/>
                <w:sz w:val="21"/>
                <w:szCs w:val="22"/>
                <w:lang w:val="en-US" w:eastAsia="zh-CN" w:bidi="ar-SA"/>
              </w:rPr>
            </w:pPr>
            <w:r>
              <w:rPr>
                <w:rFonts w:hint="eastAsia" w:cs="宋体"/>
                <w:color w:val="auto"/>
                <w:sz w:val="21"/>
                <w:szCs w:val="22"/>
                <w:lang w:val="en-US" w:eastAsia="zh-CN" w:bidi="ar-SA"/>
              </w:rPr>
              <w:t>本项目新增后存栏量总和</w:t>
            </w:r>
          </w:p>
        </w:tc>
      </w:tr>
      <w:tr w14:paraId="58EE2A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26" w:type="pct"/>
            <w:tcBorders>
              <w:tl2br w:val="nil"/>
              <w:tr2bl w:val="nil"/>
            </w:tcBorders>
            <w:noWrap w:val="0"/>
            <w:vAlign w:val="center"/>
          </w:tcPr>
          <w:p w14:paraId="4AF79AD2">
            <w:pPr>
              <w:numPr>
                <w:ilvl w:val="0"/>
                <w:numId w:val="0"/>
              </w:numPr>
              <w:spacing w:beforeLines="0" w:afterLines="0"/>
              <w:ind w:left="0" w:leftChars="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育肥牛</w:t>
            </w:r>
          </w:p>
        </w:tc>
        <w:tc>
          <w:tcPr>
            <w:tcW w:w="992" w:type="pct"/>
            <w:tcBorders>
              <w:tl2br w:val="nil"/>
              <w:tr2bl w:val="nil"/>
            </w:tcBorders>
            <w:noWrap w:val="0"/>
            <w:vAlign w:val="center"/>
          </w:tcPr>
          <w:p w14:paraId="4A15991C">
            <w:pPr>
              <w:numPr>
                <w:ilvl w:val="0"/>
                <w:numId w:val="0"/>
              </w:numPr>
              <w:spacing w:beforeLines="0" w:afterLines="0"/>
              <w:ind w:left="0" w:leftChars="0" w:firstLine="0" w:firstLineChars="0"/>
              <w:jc w:val="center"/>
              <w:rPr>
                <w:rFonts w:hint="eastAsia"/>
                <w:color w:val="auto"/>
                <w:sz w:val="21"/>
                <w:szCs w:val="24"/>
                <w:lang w:val="en-US" w:eastAsia="zh-CN"/>
              </w:rPr>
            </w:pPr>
            <w:r>
              <w:rPr>
                <w:rFonts w:hint="eastAsia"/>
                <w:color w:val="auto"/>
                <w:sz w:val="21"/>
                <w:szCs w:val="24"/>
                <w:lang w:val="en-US" w:eastAsia="zh-CN"/>
              </w:rPr>
              <w:t>西门塔尔牛、西门塔尔杂交牛以及褐牛</w:t>
            </w:r>
          </w:p>
        </w:tc>
        <w:tc>
          <w:tcPr>
            <w:tcW w:w="992" w:type="pct"/>
            <w:tcBorders>
              <w:tl2br w:val="nil"/>
              <w:tr2bl w:val="nil"/>
            </w:tcBorders>
            <w:noWrap w:val="0"/>
            <w:vAlign w:val="center"/>
          </w:tcPr>
          <w:p w14:paraId="23A5D9D5">
            <w:pPr>
              <w:numPr>
                <w:ilvl w:val="0"/>
                <w:numId w:val="0"/>
              </w:numPr>
              <w:spacing w:beforeLines="0" w:afterLines="0"/>
              <w:ind w:left="0" w:leftChars="0" w:firstLine="0" w:firstLineChars="0"/>
              <w:jc w:val="center"/>
              <w:rPr>
                <w:rFonts w:hint="default" w:ascii="Times New Roman" w:hAnsi="Times New Roman" w:eastAsia="宋体" w:cs="宋体"/>
                <w:color w:val="auto"/>
                <w:sz w:val="21"/>
                <w:szCs w:val="22"/>
                <w:vertAlign w:val="baseline"/>
                <w:lang w:val="en-US" w:eastAsia="zh-CN" w:bidi="ar-SA"/>
              </w:rPr>
            </w:pPr>
            <w:r>
              <w:rPr>
                <w:rFonts w:hint="eastAsia"/>
                <w:color w:val="auto"/>
                <w:sz w:val="21"/>
                <w:szCs w:val="24"/>
                <w:lang w:val="en-US" w:eastAsia="zh-CN"/>
              </w:rPr>
              <w:t>3000头/年</w:t>
            </w:r>
          </w:p>
        </w:tc>
        <w:tc>
          <w:tcPr>
            <w:tcW w:w="994" w:type="pct"/>
            <w:tcBorders>
              <w:tl2br w:val="nil"/>
              <w:tr2bl w:val="nil"/>
            </w:tcBorders>
            <w:noWrap w:val="0"/>
            <w:vAlign w:val="center"/>
          </w:tcPr>
          <w:p w14:paraId="3A5D4F93">
            <w:pPr>
              <w:numPr>
                <w:ilvl w:val="0"/>
                <w:numId w:val="0"/>
              </w:numPr>
              <w:spacing w:beforeLines="0" w:afterLines="0"/>
              <w:ind w:left="0" w:leftChars="0" w:firstLine="0" w:firstLineChars="0"/>
              <w:jc w:val="center"/>
              <w:rPr>
                <w:rFonts w:hint="default"/>
                <w:color w:val="auto"/>
                <w:sz w:val="21"/>
                <w:szCs w:val="24"/>
                <w:lang w:val="en-US" w:eastAsia="zh-CN"/>
              </w:rPr>
            </w:pPr>
            <w:r>
              <w:rPr>
                <w:rFonts w:hint="default"/>
                <w:color w:val="auto"/>
                <w:sz w:val="21"/>
                <w:szCs w:val="24"/>
                <w:lang w:val="en-US" w:eastAsia="zh-CN"/>
              </w:rPr>
              <w:t>419</w:t>
            </w:r>
            <w:r>
              <w:rPr>
                <w:rFonts w:hint="eastAsia"/>
                <w:color w:val="auto"/>
                <w:sz w:val="21"/>
                <w:szCs w:val="24"/>
                <w:lang w:val="en-US" w:eastAsia="zh-CN"/>
              </w:rPr>
              <w:t>头/年</w:t>
            </w:r>
          </w:p>
        </w:tc>
        <w:tc>
          <w:tcPr>
            <w:tcW w:w="994" w:type="pct"/>
            <w:tcBorders>
              <w:tl2br w:val="nil"/>
              <w:tr2bl w:val="nil"/>
            </w:tcBorders>
            <w:noWrap w:val="0"/>
            <w:vAlign w:val="center"/>
          </w:tcPr>
          <w:p w14:paraId="05DD7E2E">
            <w:pPr>
              <w:numPr>
                <w:ilvl w:val="0"/>
                <w:numId w:val="0"/>
              </w:numPr>
              <w:spacing w:beforeLines="0" w:afterLines="0"/>
              <w:ind w:left="0" w:leftChars="0" w:firstLine="0" w:firstLineChars="0"/>
              <w:jc w:val="center"/>
              <w:rPr>
                <w:rFonts w:hint="default"/>
                <w:color w:val="auto"/>
                <w:sz w:val="21"/>
                <w:szCs w:val="24"/>
                <w:lang w:val="en-US" w:eastAsia="zh-CN"/>
              </w:rPr>
            </w:pPr>
            <w:r>
              <w:rPr>
                <w:rFonts w:hint="eastAsia"/>
                <w:color w:val="auto"/>
                <w:sz w:val="21"/>
                <w:szCs w:val="24"/>
                <w:lang w:val="en-US" w:eastAsia="zh-CN"/>
              </w:rPr>
              <w:t>3419头/年</w:t>
            </w:r>
          </w:p>
        </w:tc>
      </w:tr>
    </w:tbl>
    <w:p w14:paraId="0DA81B18">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b/>
          <w:bCs/>
          <w:color w:val="auto"/>
          <w:kern w:val="2"/>
          <w:sz w:val="28"/>
          <w:szCs w:val="28"/>
          <w:lang w:val="zh-CN" w:eastAsia="zh-CN" w:bidi="ar-SA"/>
        </w:rPr>
      </w:pPr>
      <w:r>
        <w:rPr>
          <w:rFonts w:hint="default" w:ascii="Times New Roman" w:hAnsi="Times New Roman" w:eastAsia="宋体" w:cs="Times New Roman"/>
          <w:b/>
          <w:bCs/>
          <w:color w:val="auto"/>
          <w:kern w:val="2"/>
          <w:sz w:val="28"/>
          <w:szCs w:val="28"/>
          <w:lang w:val="zh-CN" w:eastAsia="zh-CN" w:bidi="ar-SA"/>
        </w:rPr>
        <w:t>3.</w:t>
      </w:r>
      <w:r>
        <w:rPr>
          <w:rFonts w:hint="eastAsia" w:cs="Times New Roman"/>
          <w:b/>
          <w:bCs/>
          <w:color w:val="auto"/>
          <w:kern w:val="2"/>
          <w:sz w:val="28"/>
          <w:szCs w:val="28"/>
          <w:lang w:val="en-US" w:eastAsia="zh-CN" w:bidi="ar-SA"/>
        </w:rPr>
        <w:t>2</w:t>
      </w:r>
      <w:r>
        <w:rPr>
          <w:rFonts w:hint="default" w:ascii="Times New Roman" w:hAnsi="Times New Roman" w:eastAsia="宋体" w:cs="Times New Roman"/>
          <w:b/>
          <w:bCs/>
          <w:color w:val="auto"/>
          <w:kern w:val="2"/>
          <w:sz w:val="28"/>
          <w:szCs w:val="28"/>
          <w:lang w:val="en-US" w:eastAsia="zh-CN" w:bidi="ar-SA"/>
        </w:rPr>
        <w:t>.</w:t>
      </w:r>
      <w:r>
        <w:rPr>
          <w:rFonts w:hint="eastAsia" w:eastAsia="宋体" w:cs="Times New Roman"/>
          <w:b/>
          <w:bCs/>
          <w:color w:val="auto"/>
          <w:kern w:val="2"/>
          <w:sz w:val="28"/>
          <w:szCs w:val="28"/>
          <w:lang w:val="en-US" w:eastAsia="zh-CN" w:bidi="ar-SA"/>
        </w:rPr>
        <w:t>7</w:t>
      </w:r>
      <w:r>
        <w:rPr>
          <w:rFonts w:hint="default" w:ascii="Times New Roman" w:hAnsi="Times New Roman" w:eastAsia="宋体" w:cs="Times New Roman"/>
          <w:b/>
          <w:bCs/>
          <w:color w:val="auto"/>
          <w:kern w:val="2"/>
          <w:sz w:val="28"/>
          <w:szCs w:val="28"/>
          <w:lang w:val="zh-CN" w:eastAsia="zh-CN" w:bidi="ar-SA"/>
        </w:rPr>
        <w:t>总平面布置</w:t>
      </w:r>
      <w:bookmarkEnd w:id="293"/>
      <w:bookmarkEnd w:id="294"/>
      <w:bookmarkEnd w:id="295"/>
      <w:bookmarkEnd w:id="296"/>
      <w:bookmarkEnd w:id="297"/>
      <w:bookmarkEnd w:id="298"/>
      <w:r>
        <w:rPr>
          <w:rFonts w:hint="default" w:ascii="Times New Roman" w:hAnsi="Times New Roman" w:eastAsia="宋体" w:cs="Times New Roman"/>
          <w:b/>
          <w:bCs/>
          <w:color w:val="auto"/>
          <w:kern w:val="2"/>
          <w:sz w:val="28"/>
          <w:szCs w:val="28"/>
          <w:lang w:val="zh-CN" w:eastAsia="zh-CN" w:bidi="ar-SA"/>
        </w:rPr>
        <w:t>合理性</w:t>
      </w:r>
      <w:bookmarkEnd w:id="299"/>
      <w:bookmarkEnd w:id="300"/>
      <w:bookmarkEnd w:id="301"/>
      <w:bookmarkEnd w:id="302"/>
    </w:p>
    <w:p w14:paraId="4B4ADC00">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根据项目场区总平面布置，场区分为生产区和办公生活区，办公生活区</w:t>
      </w:r>
      <w:r>
        <w:rPr>
          <w:rFonts w:hint="eastAsia" w:eastAsia="宋体" w:cs="Times New Roman"/>
          <w:color w:val="auto"/>
          <w:kern w:val="2"/>
          <w:sz w:val="24"/>
          <w:szCs w:val="24"/>
          <w:lang w:val="en-US" w:eastAsia="zh-CN"/>
        </w:rPr>
        <w:t>独立设置，</w:t>
      </w:r>
      <w:r>
        <w:rPr>
          <w:rFonts w:hint="eastAsia" w:cs="Times New Roman"/>
          <w:color w:val="auto"/>
          <w:sz w:val="24"/>
          <w:highlight w:val="none"/>
          <w:lang w:val="en-US" w:eastAsia="zh-CN"/>
        </w:rPr>
        <w:t>与本项目生产区隔离</w:t>
      </w:r>
      <w:r>
        <w:rPr>
          <w:rFonts w:hint="eastAsia" w:eastAsia="宋体" w:cs="Times New Roman"/>
          <w:color w:val="auto"/>
          <w:kern w:val="2"/>
          <w:sz w:val="24"/>
          <w:szCs w:val="24"/>
          <w:lang w:val="en-US" w:eastAsia="zh-CN"/>
        </w:rPr>
        <w:t>，</w:t>
      </w:r>
      <w:r>
        <w:rPr>
          <w:rFonts w:hint="default" w:ascii="Times New Roman" w:hAnsi="Times New Roman" w:eastAsia="宋体" w:cs="Times New Roman"/>
          <w:color w:val="auto"/>
          <w:kern w:val="2"/>
          <w:sz w:val="24"/>
          <w:szCs w:val="24"/>
        </w:rPr>
        <w:t>实现人畜分离</w:t>
      </w:r>
      <w:r>
        <w:rPr>
          <w:rFonts w:hint="eastAsia" w:cs="Times New Roman"/>
          <w:color w:val="auto"/>
          <w:kern w:val="2"/>
          <w:sz w:val="24"/>
          <w:szCs w:val="24"/>
          <w:lang w:eastAsia="zh-CN"/>
        </w:rPr>
        <w:t>，</w:t>
      </w:r>
      <w:r>
        <w:rPr>
          <w:rFonts w:hint="eastAsia" w:cs="Times New Roman"/>
          <w:color w:val="auto"/>
          <w:kern w:val="2"/>
          <w:sz w:val="24"/>
          <w:szCs w:val="24"/>
          <w:lang w:val="en-US" w:eastAsia="zh-CN"/>
        </w:rPr>
        <w:t>中间设置绿化隔离带相隔</w:t>
      </w:r>
      <w:r>
        <w:rPr>
          <w:rFonts w:hint="default" w:ascii="Times New Roman" w:hAnsi="Times New Roman" w:eastAsia="宋体" w:cs="Times New Roman"/>
          <w:color w:val="auto"/>
          <w:kern w:val="2"/>
          <w:sz w:val="24"/>
          <w:szCs w:val="24"/>
        </w:rPr>
        <w:t>，避免臭味和疾病影响。</w:t>
      </w:r>
      <w:r>
        <w:rPr>
          <w:rFonts w:hint="default" w:ascii="Times New Roman" w:hAnsi="Times New Roman" w:eastAsia="宋体" w:cs="Times New Roman"/>
          <w:color w:val="auto"/>
          <w:kern w:val="2"/>
          <w:sz w:val="24"/>
          <w:szCs w:val="24"/>
          <w:lang w:eastAsia="zh-CN"/>
        </w:rPr>
        <w:t>厂</w:t>
      </w:r>
      <w:r>
        <w:rPr>
          <w:rFonts w:hint="default" w:ascii="Times New Roman" w:hAnsi="Times New Roman" w:eastAsia="宋体" w:cs="Times New Roman"/>
          <w:color w:val="auto"/>
          <w:kern w:val="2"/>
          <w:sz w:val="24"/>
          <w:szCs w:val="24"/>
        </w:rPr>
        <w:t>区内</w:t>
      </w:r>
      <w:r>
        <w:rPr>
          <w:rFonts w:hint="eastAsia" w:ascii="Times New Roman" w:hAnsi="Times New Roman" w:eastAsia="宋体" w:cs="Times New Roman"/>
          <w:color w:val="auto"/>
          <w:kern w:val="2"/>
          <w:sz w:val="24"/>
          <w:szCs w:val="24"/>
          <w:lang w:val="en-US" w:eastAsia="zh-CN"/>
        </w:rPr>
        <w:t>中部</w:t>
      </w:r>
      <w:r>
        <w:rPr>
          <w:rFonts w:hint="default" w:ascii="Times New Roman" w:hAnsi="Times New Roman" w:eastAsia="宋体" w:cs="Times New Roman"/>
          <w:color w:val="auto"/>
          <w:kern w:val="2"/>
          <w:sz w:val="24"/>
          <w:szCs w:val="24"/>
        </w:rPr>
        <w:t>集中</w:t>
      </w:r>
      <w:r>
        <w:rPr>
          <w:rFonts w:hint="eastAsia" w:ascii="Times New Roman" w:hAnsi="Times New Roman" w:eastAsia="宋体" w:cs="Times New Roman"/>
          <w:color w:val="auto"/>
          <w:kern w:val="2"/>
          <w:sz w:val="24"/>
          <w:szCs w:val="24"/>
          <w:lang w:val="en-US" w:eastAsia="zh-CN"/>
        </w:rPr>
        <w:t>布置</w:t>
      </w:r>
      <w:r>
        <w:rPr>
          <w:rFonts w:hint="eastAsia" w:cs="Times New Roman"/>
          <w:color w:val="auto"/>
          <w:kern w:val="2"/>
          <w:sz w:val="24"/>
          <w:szCs w:val="24"/>
          <w:lang w:val="en-US" w:eastAsia="zh-CN"/>
        </w:rPr>
        <w:t>牛圈、饲喂通道、运动场以及饲喂凉棚，饲料加工区位于养殖区西侧，与养殖区设置道路隔离，</w:t>
      </w:r>
      <w:r>
        <w:rPr>
          <w:rFonts w:hint="default" w:ascii="Times New Roman" w:hAnsi="Times New Roman" w:eastAsia="宋体" w:cs="Times New Roman"/>
          <w:color w:val="auto"/>
          <w:kern w:val="2"/>
          <w:sz w:val="24"/>
          <w:szCs w:val="24"/>
        </w:rPr>
        <w:t>便于饲养管理，能够较好为养殖区提供辅助功能。项目区主导风向为</w:t>
      </w:r>
      <w:r>
        <w:rPr>
          <w:rFonts w:hint="eastAsia" w:eastAsia="宋体" w:cs="Times New Roman"/>
          <w:color w:val="auto"/>
          <w:kern w:val="2"/>
          <w:sz w:val="24"/>
          <w:szCs w:val="24"/>
          <w:highlight w:val="none"/>
          <w:lang w:val="en-US" w:eastAsia="zh-CN"/>
        </w:rPr>
        <w:t>西北风</w:t>
      </w:r>
      <w:r>
        <w:rPr>
          <w:rFonts w:hint="default" w:ascii="Times New Roman" w:hAnsi="Times New Roman" w:eastAsia="宋体" w:cs="Times New Roman"/>
          <w:color w:val="auto"/>
          <w:kern w:val="2"/>
          <w:sz w:val="24"/>
          <w:szCs w:val="24"/>
        </w:rPr>
        <w:t>，</w:t>
      </w:r>
      <w:r>
        <w:rPr>
          <w:rFonts w:hint="eastAsia" w:cs="Times New Roman"/>
          <w:color w:val="auto"/>
          <w:kern w:val="2"/>
          <w:sz w:val="24"/>
          <w:szCs w:val="24"/>
          <w:lang w:val="en-US" w:eastAsia="zh-CN"/>
        </w:rPr>
        <w:t>隔离圈、</w:t>
      </w:r>
      <w:r>
        <w:rPr>
          <w:rFonts w:hint="eastAsia" w:eastAsia="宋体" w:cs="Times New Roman"/>
          <w:color w:val="auto"/>
          <w:kern w:val="2"/>
          <w:sz w:val="24"/>
          <w:szCs w:val="24"/>
          <w:lang w:val="en-US" w:eastAsia="zh-CN"/>
        </w:rPr>
        <w:t>病死牛暂存间</w:t>
      </w:r>
      <w:r>
        <w:rPr>
          <w:rFonts w:hint="eastAsia" w:cs="Times New Roman"/>
          <w:color w:val="auto"/>
          <w:kern w:val="2"/>
          <w:sz w:val="24"/>
          <w:szCs w:val="24"/>
          <w:lang w:val="en-US" w:eastAsia="zh-CN"/>
        </w:rPr>
        <w:t>、</w:t>
      </w:r>
      <w:r>
        <w:rPr>
          <w:rFonts w:hint="eastAsia" w:eastAsia="宋体" w:cs="Times New Roman"/>
          <w:color w:val="auto"/>
          <w:kern w:val="2"/>
          <w:sz w:val="24"/>
          <w:szCs w:val="24"/>
          <w:lang w:val="en-US" w:eastAsia="zh-CN"/>
        </w:rPr>
        <w:t>医疗废物暂存间</w:t>
      </w:r>
      <w:r>
        <w:rPr>
          <w:rFonts w:hint="eastAsia" w:cs="Times New Roman"/>
          <w:color w:val="auto"/>
          <w:kern w:val="2"/>
          <w:sz w:val="24"/>
          <w:szCs w:val="24"/>
          <w:lang w:val="en-US" w:eastAsia="zh-CN"/>
        </w:rPr>
        <w:t>、危险废物贮存点以及堆肥间等设施</w:t>
      </w:r>
      <w:r>
        <w:rPr>
          <w:rFonts w:hint="eastAsia" w:eastAsia="宋体" w:cs="Times New Roman"/>
          <w:color w:val="auto"/>
          <w:kern w:val="2"/>
          <w:sz w:val="24"/>
          <w:szCs w:val="24"/>
          <w:lang w:val="en-US" w:eastAsia="zh-CN"/>
        </w:rPr>
        <w:t>均</w:t>
      </w:r>
      <w:r>
        <w:rPr>
          <w:rFonts w:hint="eastAsia" w:cs="Times New Roman"/>
          <w:color w:val="auto"/>
          <w:kern w:val="2"/>
          <w:sz w:val="24"/>
          <w:szCs w:val="24"/>
          <w:lang w:val="en-US" w:eastAsia="zh-CN"/>
        </w:rPr>
        <w:t>集中</w:t>
      </w:r>
      <w:r>
        <w:rPr>
          <w:rFonts w:hint="eastAsia" w:eastAsia="宋体" w:cs="Times New Roman"/>
          <w:color w:val="auto"/>
          <w:kern w:val="2"/>
          <w:sz w:val="24"/>
          <w:szCs w:val="24"/>
          <w:lang w:val="en-US" w:eastAsia="zh-CN"/>
        </w:rPr>
        <w:t>布设</w:t>
      </w:r>
      <w:r>
        <w:rPr>
          <w:rFonts w:hint="default" w:ascii="Times New Roman" w:hAnsi="Times New Roman" w:eastAsia="宋体" w:cs="Times New Roman"/>
          <w:color w:val="auto"/>
          <w:kern w:val="2"/>
          <w:sz w:val="24"/>
          <w:szCs w:val="24"/>
        </w:rPr>
        <w:t>在场区</w:t>
      </w:r>
      <w:r>
        <w:rPr>
          <w:rFonts w:hint="eastAsia" w:cs="Times New Roman"/>
          <w:color w:val="auto"/>
          <w:kern w:val="2"/>
          <w:sz w:val="24"/>
          <w:szCs w:val="24"/>
          <w:lang w:val="en-US" w:eastAsia="zh-CN"/>
        </w:rPr>
        <w:t>南侧，位于养殖区、办公生活区侧风向处，与办公生活区以及养殖区分隔开</w:t>
      </w:r>
      <w:r>
        <w:rPr>
          <w:rFonts w:hint="default" w:ascii="Times New Roman" w:hAnsi="Times New Roman" w:eastAsia="宋体" w:cs="Times New Roman"/>
          <w:color w:val="auto"/>
          <w:kern w:val="2"/>
          <w:sz w:val="24"/>
          <w:szCs w:val="24"/>
        </w:rPr>
        <w:t>，四周有绿化隔离带，地势较低，便于处理，防止疾病传播扩散，可以将</w:t>
      </w:r>
      <w:r>
        <w:rPr>
          <w:rFonts w:hint="eastAsia" w:ascii="Times New Roman" w:hAnsi="Times New Roman" w:eastAsia="宋体" w:cs="Times New Roman"/>
          <w:color w:val="auto"/>
          <w:kern w:val="2"/>
          <w:sz w:val="24"/>
          <w:szCs w:val="24"/>
          <w:lang w:val="en-US" w:eastAsia="zh-CN"/>
        </w:rPr>
        <w:t>病牛</w:t>
      </w:r>
      <w:r>
        <w:rPr>
          <w:rFonts w:hint="default" w:ascii="Times New Roman" w:hAnsi="Times New Roman" w:eastAsia="宋体" w:cs="Times New Roman"/>
          <w:color w:val="auto"/>
          <w:kern w:val="2"/>
          <w:sz w:val="24"/>
          <w:szCs w:val="24"/>
        </w:rPr>
        <w:t>、</w:t>
      </w:r>
      <w:r>
        <w:rPr>
          <w:rFonts w:hint="eastAsia" w:ascii="Times New Roman" w:hAnsi="Times New Roman" w:eastAsia="宋体" w:cs="Times New Roman"/>
          <w:color w:val="auto"/>
          <w:kern w:val="2"/>
          <w:sz w:val="24"/>
          <w:szCs w:val="24"/>
          <w:lang w:val="en-US" w:eastAsia="zh-CN"/>
        </w:rPr>
        <w:t>死牛</w:t>
      </w:r>
      <w:r>
        <w:rPr>
          <w:rFonts w:hint="default" w:ascii="Times New Roman" w:hAnsi="Times New Roman" w:eastAsia="宋体" w:cs="Times New Roman"/>
          <w:color w:val="auto"/>
          <w:kern w:val="2"/>
          <w:sz w:val="24"/>
          <w:szCs w:val="24"/>
        </w:rPr>
        <w:t>的危害及影响降到最低。</w:t>
      </w:r>
      <w:r>
        <w:rPr>
          <w:rFonts w:hint="eastAsia" w:eastAsia="宋体" w:cs="Times New Roman"/>
          <w:color w:val="auto"/>
          <w:kern w:val="2"/>
          <w:sz w:val="24"/>
          <w:szCs w:val="24"/>
          <w:lang w:val="en-US" w:eastAsia="zh-CN"/>
        </w:rPr>
        <w:t>厂界围墙外</w:t>
      </w:r>
      <w:r>
        <w:rPr>
          <w:rFonts w:hint="default" w:ascii="Times New Roman" w:hAnsi="Times New Roman" w:eastAsia="宋体" w:cs="Times New Roman"/>
          <w:color w:val="auto"/>
          <w:kern w:val="2"/>
          <w:sz w:val="24"/>
          <w:szCs w:val="24"/>
        </w:rPr>
        <w:t>设置绿化</w:t>
      </w:r>
      <w:r>
        <w:rPr>
          <w:rFonts w:hint="eastAsia" w:eastAsia="宋体" w:cs="Times New Roman"/>
          <w:color w:val="auto"/>
          <w:kern w:val="2"/>
          <w:sz w:val="24"/>
          <w:szCs w:val="24"/>
          <w:lang w:val="en-US" w:eastAsia="zh-CN"/>
        </w:rPr>
        <w:t>隔离带，种植乔木，厂界内</w:t>
      </w:r>
      <w:r>
        <w:rPr>
          <w:rFonts w:hint="default" w:ascii="Times New Roman" w:hAnsi="Times New Roman" w:eastAsia="宋体" w:cs="Times New Roman"/>
          <w:color w:val="auto"/>
          <w:kern w:val="2"/>
          <w:sz w:val="24"/>
          <w:szCs w:val="24"/>
        </w:rPr>
        <w:t>绿化面积为</w:t>
      </w:r>
      <w:r>
        <w:rPr>
          <w:rFonts w:hint="eastAsia" w:cs="Times New Roman"/>
          <w:color w:val="auto"/>
          <w:kern w:val="2"/>
          <w:sz w:val="24"/>
          <w:szCs w:val="24"/>
          <w:lang w:val="en-US" w:eastAsia="zh-CN"/>
        </w:rPr>
        <w:t>24000</w:t>
      </w:r>
      <w:r>
        <w:rPr>
          <w:rFonts w:hint="default" w:ascii="Times New Roman" w:hAnsi="Times New Roman" w:eastAsia="宋体" w:cs="Times New Roman"/>
          <w:color w:val="auto"/>
          <w:kern w:val="2"/>
          <w:sz w:val="24"/>
          <w:szCs w:val="24"/>
        </w:rPr>
        <w:t>m</w:t>
      </w:r>
      <w:r>
        <w:rPr>
          <w:rFonts w:hint="default" w:ascii="Times New Roman" w:hAnsi="Times New Roman" w:eastAsia="宋体" w:cs="Times New Roman"/>
          <w:color w:val="auto"/>
          <w:kern w:val="2"/>
          <w:sz w:val="24"/>
          <w:szCs w:val="24"/>
          <w:vertAlign w:val="superscript"/>
        </w:rPr>
        <w:t>2</w:t>
      </w:r>
      <w:r>
        <w:rPr>
          <w:rFonts w:hint="default" w:ascii="Times New Roman" w:hAnsi="Times New Roman" w:eastAsia="宋体" w:cs="Times New Roman"/>
          <w:color w:val="auto"/>
          <w:kern w:val="2"/>
          <w:sz w:val="24"/>
          <w:szCs w:val="24"/>
        </w:rPr>
        <w:t>，能够美化场区环境和降低养殖区臭气环境影响。</w:t>
      </w:r>
    </w:p>
    <w:p w14:paraId="36751D53">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eastAsia="zh-CN"/>
        </w:rPr>
        <w:t>项目区</w:t>
      </w:r>
      <w:r>
        <w:rPr>
          <w:rFonts w:hint="default" w:ascii="Times New Roman" w:hAnsi="Times New Roman" w:eastAsia="宋体" w:cs="Times New Roman"/>
          <w:color w:val="auto"/>
          <w:kern w:val="2"/>
          <w:sz w:val="24"/>
          <w:szCs w:val="24"/>
        </w:rPr>
        <w:t>布局符合《畜禽养殖业污染治理工程技术规范》（HJ497-2009）和《畜禽养殖业污染防治技术规范》（HJ/T81-2001）中的布局要求</w:t>
      </w:r>
      <w:r>
        <w:rPr>
          <w:rFonts w:hint="default" w:ascii="Times New Roman" w:hAnsi="Times New Roman" w:eastAsia="宋体" w:cs="Times New Roman"/>
          <w:color w:val="auto"/>
          <w:kern w:val="2"/>
          <w:sz w:val="24"/>
          <w:szCs w:val="24"/>
          <w:lang w:eastAsia="zh-CN"/>
        </w:rPr>
        <w:t>，</w:t>
      </w:r>
      <w:r>
        <w:rPr>
          <w:rFonts w:hint="eastAsia" w:cs="Times New Roman"/>
          <w:color w:val="auto"/>
          <w:kern w:val="2"/>
          <w:sz w:val="24"/>
          <w:szCs w:val="24"/>
          <w:lang w:val="en-US" w:eastAsia="zh-CN"/>
        </w:rPr>
        <w:t>“</w:t>
      </w:r>
      <w:r>
        <w:rPr>
          <w:rFonts w:hint="default" w:ascii="Times New Roman" w:hAnsi="Times New Roman" w:eastAsia="宋体" w:cs="Times New Roman"/>
          <w:color w:val="auto"/>
          <w:kern w:val="2"/>
          <w:sz w:val="24"/>
          <w:szCs w:val="24"/>
          <w:lang w:val="en-US" w:eastAsia="zh-CN"/>
        </w:rPr>
        <w:t>新建、改建、扩建的畜禽养殖场应实现生产区、生活管理区的隔离；粪便污水处理设施，应设在养殖场的生产区、生活管理区的常年主导风向的下风向或侧风向处</w:t>
      </w:r>
      <w:r>
        <w:rPr>
          <w:rFonts w:hint="eastAsia" w:cs="Times New Roman"/>
          <w:color w:val="auto"/>
          <w:kern w:val="2"/>
          <w:sz w:val="24"/>
          <w:szCs w:val="24"/>
          <w:lang w:val="en-US" w:eastAsia="zh-CN"/>
        </w:rPr>
        <w:t>”</w:t>
      </w:r>
      <w:r>
        <w:rPr>
          <w:rFonts w:hint="default" w:ascii="Times New Roman" w:hAnsi="Times New Roman" w:eastAsia="宋体" w:cs="Times New Roman"/>
          <w:color w:val="auto"/>
          <w:kern w:val="2"/>
          <w:sz w:val="24"/>
          <w:szCs w:val="24"/>
          <w:lang w:val="en-US" w:eastAsia="zh-CN"/>
        </w:rPr>
        <w:t>。因此，从环境保护角度来看，项目总平面图布置方案较合理，是可行的。</w:t>
      </w:r>
      <w:r>
        <w:rPr>
          <w:rFonts w:hint="default" w:ascii="Times New Roman" w:hAnsi="Times New Roman" w:eastAsia="宋体" w:cs="Times New Roman"/>
          <w:color w:val="auto"/>
          <w:kern w:val="2"/>
          <w:sz w:val="24"/>
          <w:szCs w:val="24"/>
          <w:lang w:eastAsia="zh-CN"/>
        </w:rPr>
        <w:t>项目总平面布置图详见图</w:t>
      </w:r>
      <w:r>
        <w:rPr>
          <w:rFonts w:hint="default" w:ascii="Times New Roman" w:hAnsi="Times New Roman" w:eastAsia="宋体" w:cs="Times New Roman"/>
          <w:color w:val="auto"/>
          <w:kern w:val="2"/>
          <w:sz w:val="24"/>
          <w:szCs w:val="24"/>
          <w:lang w:val="en-US" w:eastAsia="zh-CN"/>
        </w:rPr>
        <w:t>3.</w:t>
      </w:r>
      <w:r>
        <w:rPr>
          <w:rFonts w:hint="eastAsia" w:cs="Times New Roman"/>
          <w:color w:val="auto"/>
          <w:kern w:val="2"/>
          <w:sz w:val="24"/>
          <w:szCs w:val="24"/>
          <w:lang w:val="en-US" w:eastAsia="zh-CN"/>
        </w:rPr>
        <w:t>2</w:t>
      </w:r>
      <w:r>
        <w:rPr>
          <w:rFonts w:hint="default" w:ascii="Times New Roman" w:hAnsi="Times New Roman" w:eastAsia="宋体" w:cs="Times New Roman"/>
          <w:color w:val="auto"/>
          <w:kern w:val="2"/>
          <w:sz w:val="24"/>
          <w:szCs w:val="24"/>
          <w:lang w:val="en-US" w:eastAsia="zh-CN"/>
        </w:rPr>
        <w:t>-</w:t>
      </w:r>
      <w:r>
        <w:rPr>
          <w:rFonts w:hint="eastAsia" w:ascii="Times New Roman" w:hAnsi="Times New Roman" w:eastAsia="宋体" w:cs="Times New Roman"/>
          <w:color w:val="auto"/>
          <w:kern w:val="2"/>
          <w:sz w:val="24"/>
          <w:szCs w:val="24"/>
          <w:lang w:val="en-US" w:eastAsia="zh-CN"/>
        </w:rPr>
        <w:t>1</w:t>
      </w:r>
      <w:r>
        <w:rPr>
          <w:rFonts w:hint="default" w:ascii="Times New Roman" w:hAnsi="Times New Roman" w:eastAsia="宋体" w:cs="Times New Roman"/>
          <w:color w:val="auto"/>
          <w:kern w:val="2"/>
          <w:sz w:val="24"/>
          <w:szCs w:val="24"/>
          <w:lang w:val="en-US" w:eastAsia="zh-CN"/>
        </w:rPr>
        <w:t>。</w:t>
      </w:r>
    </w:p>
    <w:p w14:paraId="6104B012">
      <w:pPr>
        <w:keepNext w:val="0"/>
        <w:keepLines w:val="0"/>
        <w:pageBreakBefore w:val="0"/>
        <w:widowControl w:val="0"/>
        <w:wordWrap/>
        <w:topLinePunct w:val="0"/>
        <w:bidi w:val="0"/>
        <w:adjustRightInd/>
        <w:snapToGrid/>
        <w:spacing w:before="0" w:after="0" w:line="360" w:lineRule="auto"/>
        <w:jc w:val="both"/>
        <w:outlineLvl w:val="1"/>
        <w:rPr>
          <w:rFonts w:hint="default" w:ascii="Times New Roman" w:hAnsi="Times New Roman" w:eastAsia="宋体" w:cs="Times New Roman"/>
          <w:b/>
          <w:bCs/>
          <w:kern w:val="2"/>
          <w:sz w:val="30"/>
          <w:szCs w:val="30"/>
          <w:lang w:val="zh-CN" w:eastAsia="zh-CN" w:bidi="ar-SA"/>
        </w:rPr>
      </w:pPr>
      <w:bookmarkStart w:id="303" w:name="_Toc4919"/>
      <w:bookmarkStart w:id="304" w:name="_Toc29627"/>
      <w:bookmarkStart w:id="305" w:name="_Toc14807"/>
      <w:bookmarkStart w:id="306" w:name="_Toc28676"/>
      <w:bookmarkStart w:id="307" w:name="_Toc15028"/>
      <w:bookmarkStart w:id="308" w:name="_Toc23165"/>
      <w:bookmarkStart w:id="309" w:name="_Toc2034"/>
      <w:bookmarkStart w:id="310" w:name="_Toc38885396"/>
      <w:r>
        <w:rPr>
          <w:rFonts w:hint="default" w:ascii="Times New Roman" w:hAnsi="Times New Roman" w:eastAsia="宋体" w:cs="Times New Roman"/>
          <w:b/>
          <w:bCs/>
          <w:kern w:val="2"/>
          <w:sz w:val="30"/>
          <w:szCs w:val="30"/>
          <w:lang w:val="zh-CN" w:eastAsia="zh-CN" w:bidi="ar-SA"/>
        </w:rPr>
        <w:t>3.</w:t>
      </w:r>
      <w:r>
        <w:rPr>
          <w:rFonts w:hint="eastAsia" w:cs="Times New Roman"/>
          <w:b/>
          <w:bCs/>
          <w:kern w:val="2"/>
          <w:sz w:val="30"/>
          <w:szCs w:val="30"/>
          <w:lang w:val="en-US" w:eastAsia="zh-CN" w:bidi="ar-SA"/>
        </w:rPr>
        <w:t>3</w:t>
      </w:r>
      <w:r>
        <w:rPr>
          <w:rFonts w:hint="default" w:ascii="Times New Roman" w:hAnsi="Times New Roman" w:eastAsia="宋体" w:cs="Times New Roman"/>
          <w:b/>
          <w:bCs/>
          <w:kern w:val="2"/>
          <w:sz w:val="30"/>
          <w:szCs w:val="30"/>
          <w:lang w:val="zh-CN" w:eastAsia="zh-CN" w:bidi="ar-SA"/>
        </w:rPr>
        <w:t>工艺流程</w:t>
      </w:r>
      <w:bookmarkEnd w:id="303"/>
      <w:bookmarkEnd w:id="304"/>
      <w:bookmarkEnd w:id="305"/>
      <w:bookmarkEnd w:id="306"/>
      <w:bookmarkEnd w:id="307"/>
      <w:bookmarkEnd w:id="308"/>
      <w:bookmarkEnd w:id="309"/>
      <w:bookmarkEnd w:id="310"/>
    </w:p>
    <w:p w14:paraId="59F8CCFF">
      <w:pPr>
        <w:keepNext w:val="0"/>
        <w:keepLines w:val="0"/>
        <w:pageBreakBefore w:val="0"/>
        <w:widowControl w:val="0"/>
        <w:numPr>
          <w:ilvl w:val="2"/>
          <w:numId w:val="0"/>
        </w:numPr>
        <w:wordWrap/>
        <w:topLinePunct w:val="0"/>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311" w:name="_Toc1282"/>
      <w:bookmarkStart w:id="312" w:name="_Toc15198"/>
      <w:bookmarkStart w:id="313" w:name="_Toc17722"/>
      <w:bookmarkStart w:id="314" w:name="_Toc6721"/>
      <w:bookmarkStart w:id="315" w:name="_Toc18252"/>
      <w:bookmarkStart w:id="316" w:name="_Toc31557"/>
      <w:bookmarkStart w:id="317" w:name="_Toc29542"/>
      <w:bookmarkStart w:id="318" w:name="_Toc2833"/>
      <w:r>
        <w:rPr>
          <w:rFonts w:hint="default" w:ascii="Times New Roman" w:hAnsi="Times New Roman" w:eastAsia="宋体" w:cs="Times New Roman"/>
          <w:b/>
          <w:bCs/>
          <w:kern w:val="2"/>
          <w:sz w:val="28"/>
          <w:szCs w:val="28"/>
          <w:lang w:val="en-US" w:eastAsia="zh-CN" w:bidi="ar-SA"/>
        </w:rPr>
        <w:t>3.</w:t>
      </w:r>
      <w:r>
        <w:rPr>
          <w:rFonts w:hint="eastAsia" w:ascii="Times New Roman" w:hAnsi="Times New Roman"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.1工艺技术方案确定的原则</w:t>
      </w:r>
      <w:bookmarkEnd w:id="311"/>
      <w:bookmarkEnd w:id="312"/>
      <w:bookmarkEnd w:id="313"/>
      <w:bookmarkEnd w:id="314"/>
    </w:p>
    <w:p w14:paraId="2C60ECD3">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以产品品种为基础，以提高质量为前提，在充分考虑经济条件和管理水平以及生产过程中人流、物流、信息流的合理顺畅，优先选用安全可靠、技术先进、工艺成熟、投资省、占地少、运行费用低、管理方便的工艺。</w:t>
      </w:r>
    </w:p>
    <w:p w14:paraId="1C139BF1">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①立足企业技术资源优势和企业整体优势。</w:t>
      </w:r>
    </w:p>
    <w:p w14:paraId="0A73BFD8">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②综合考虑企业的整体发展规划。</w:t>
      </w:r>
    </w:p>
    <w:p w14:paraId="26BDA5A0">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③原料供应可靠性和质量指标符合要求，价格合理。</w:t>
      </w:r>
    </w:p>
    <w:p w14:paraId="506BDD39">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④优先选择清洁工艺，注重节能节水环保。</w:t>
      </w:r>
    </w:p>
    <w:p w14:paraId="2E2BE4B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⑤符合国家的有关资源、产业政策。</w:t>
      </w:r>
    </w:p>
    <w:p w14:paraId="4D2594C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⑥先进技术与合理投资相结合，工艺的先进性与实际应用的可行性相结合。</w:t>
      </w:r>
    </w:p>
    <w:p w14:paraId="70E7A0E2">
      <w:pPr>
        <w:keepNext w:val="0"/>
        <w:keepLines w:val="0"/>
        <w:pageBreakBefore w:val="0"/>
        <w:widowControl w:val="0"/>
        <w:numPr>
          <w:ilvl w:val="2"/>
          <w:numId w:val="0"/>
        </w:numPr>
        <w:wordWrap/>
        <w:topLinePunct w:val="0"/>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3.</w:t>
      </w:r>
      <w:r>
        <w:rPr>
          <w:rFonts w:hint="eastAsia" w:ascii="Times New Roman" w:hAnsi="Times New Roman"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.2</w:t>
      </w:r>
      <w:r>
        <w:rPr>
          <w:rFonts w:hint="eastAsia" w:ascii="Times New Roman" w:hAnsi="Times New Roman" w:eastAsia="宋体" w:cs="Times New Roman"/>
          <w:b/>
          <w:bCs/>
          <w:kern w:val="2"/>
          <w:sz w:val="28"/>
          <w:szCs w:val="28"/>
          <w:lang w:val="en-US" w:eastAsia="zh-CN" w:bidi="ar-SA"/>
        </w:rPr>
        <w:t>养牛</w:t>
      </w:r>
      <w:r>
        <w:rPr>
          <w:rFonts w:hint="default" w:ascii="Times New Roman" w:hAnsi="Times New Roman" w:eastAsia="宋体" w:cs="Times New Roman"/>
          <w:b/>
          <w:bCs/>
          <w:kern w:val="2"/>
          <w:sz w:val="28"/>
          <w:szCs w:val="28"/>
          <w:lang w:val="en-US" w:eastAsia="zh-CN" w:bidi="ar-SA"/>
        </w:rPr>
        <w:t>生产技术方案要求</w:t>
      </w:r>
      <w:bookmarkEnd w:id="315"/>
      <w:bookmarkEnd w:id="316"/>
      <w:bookmarkEnd w:id="317"/>
      <w:bookmarkEnd w:id="318"/>
    </w:p>
    <w:p w14:paraId="24BB6331">
      <w:pPr>
        <w:keepNext w:val="0"/>
        <w:keepLines w:val="0"/>
        <w:pageBreakBefore w:val="0"/>
        <w:widowControl w:val="0"/>
        <w:numPr>
          <w:ilvl w:val="0"/>
          <w:numId w:val="11"/>
        </w:numPr>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eastAsia" w:ascii="Times New Roman" w:hAnsi="Times New Roman" w:eastAsia="宋体" w:cs="Times New Roman"/>
          <w:kern w:val="2"/>
          <w:sz w:val="24"/>
          <w:szCs w:val="24"/>
          <w:lang w:val="en-US" w:eastAsia="zh-CN"/>
        </w:rPr>
        <w:t>生产工艺</w:t>
      </w:r>
    </w:p>
    <w:p w14:paraId="4FA27834">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rPr>
        <w:t>本项目是以肉牛育肥生产为主体的畜牧业产业化建设项目，计划养殖育肥牛</w:t>
      </w:r>
      <w:r>
        <w:rPr>
          <w:rFonts w:hint="eastAsia" w:ascii="Times New Roman" w:hAnsi="Times New Roman" w:cs="Times New Roman"/>
          <w:kern w:val="2"/>
          <w:sz w:val="24"/>
          <w:szCs w:val="24"/>
          <w:lang w:val="en-US" w:eastAsia="zh-CN"/>
        </w:rPr>
        <w:t>共3</w:t>
      </w:r>
      <w:r>
        <w:rPr>
          <w:rFonts w:hint="default" w:ascii="Times New Roman" w:hAnsi="Times New Roman" w:eastAsia="宋体" w:cs="Times New Roman"/>
          <w:kern w:val="2"/>
          <w:sz w:val="24"/>
          <w:szCs w:val="24"/>
          <w:lang w:val="en-US" w:eastAsia="zh-CN"/>
        </w:rPr>
        <w:t>00</w:t>
      </w:r>
      <w:r>
        <w:rPr>
          <w:rFonts w:hint="eastAsia" w:ascii="Times New Roman" w:hAnsi="Times New Roman" w:cs="Times New Roman"/>
          <w:kern w:val="2"/>
          <w:sz w:val="24"/>
          <w:szCs w:val="24"/>
          <w:lang w:val="en-US" w:eastAsia="zh-CN"/>
        </w:rPr>
        <w:t>0</w:t>
      </w:r>
      <w:r>
        <w:rPr>
          <w:rFonts w:hint="default" w:ascii="Times New Roman" w:hAnsi="Times New Roman" w:eastAsia="宋体" w:cs="Times New Roman"/>
          <w:kern w:val="2"/>
          <w:sz w:val="24"/>
          <w:szCs w:val="24"/>
          <w:lang w:val="en-US" w:eastAsia="zh-CN"/>
        </w:rPr>
        <w:t>头</w:t>
      </w:r>
      <w:r>
        <w:rPr>
          <w:rFonts w:hint="eastAsia" w:ascii="Times New Roman" w:hAnsi="Times New Roman" w:eastAsia="宋体" w:cs="Times New Roman"/>
          <w:kern w:val="2"/>
          <w:sz w:val="24"/>
          <w:szCs w:val="24"/>
          <w:lang w:val="en-US" w:eastAsia="zh-CN"/>
        </w:rPr>
        <w:t>。购进</w:t>
      </w:r>
      <w:r>
        <w:rPr>
          <w:rFonts w:hint="default" w:ascii="Times New Roman" w:hAnsi="Times New Roman" w:eastAsia="宋体" w:cs="Times New Roman"/>
          <w:kern w:val="2"/>
          <w:sz w:val="24"/>
          <w:szCs w:val="24"/>
          <w:lang w:val="en-US" w:eastAsia="zh-CN"/>
        </w:rPr>
        <w:t>6月龄犊牛</w:t>
      </w:r>
      <w:r>
        <w:rPr>
          <w:rFonts w:hint="eastAsia" w:ascii="Times New Roman" w:hAnsi="Times New Roman" w:eastAsia="宋体" w:cs="Times New Roman"/>
          <w:kern w:val="2"/>
          <w:sz w:val="24"/>
          <w:szCs w:val="24"/>
          <w:lang w:val="en-US" w:eastAsia="zh-CN"/>
        </w:rPr>
        <w:t>，</w:t>
      </w:r>
      <w:r>
        <w:rPr>
          <w:rFonts w:hint="default" w:ascii="Times New Roman" w:hAnsi="Times New Roman" w:eastAsia="宋体" w:cs="Times New Roman"/>
          <w:kern w:val="2"/>
          <w:sz w:val="24"/>
          <w:szCs w:val="24"/>
          <w:lang w:val="en-US" w:eastAsia="zh-CN"/>
        </w:rPr>
        <w:t>育肥生产工艺大致分为</w:t>
      </w:r>
      <w:r>
        <w:rPr>
          <w:rFonts w:hint="eastAsia" w:ascii="Times New Roman" w:hAnsi="Times New Roman" w:cs="Times New Roman"/>
          <w:kern w:val="2"/>
          <w:sz w:val="24"/>
          <w:szCs w:val="24"/>
          <w:lang w:val="en-US" w:eastAsia="zh-CN"/>
        </w:rPr>
        <w:t>两个</w:t>
      </w:r>
      <w:r>
        <w:rPr>
          <w:rFonts w:hint="default" w:ascii="Times New Roman" w:hAnsi="Times New Roman" w:eastAsia="宋体" w:cs="Times New Roman"/>
          <w:kern w:val="2"/>
          <w:sz w:val="24"/>
          <w:szCs w:val="24"/>
          <w:lang w:val="en-US" w:eastAsia="zh-CN"/>
        </w:rPr>
        <w:t>饲养阶段，即7-</w:t>
      </w:r>
      <w:r>
        <w:rPr>
          <w:rFonts w:hint="eastAsia" w:ascii="Times New Roman" w:hAnsi="Times New Roman" w:eastAsia="宋体" w:cs="Times New Roman"/>
          <w:kern w:val="2"/>
          <w:sz w:val="24"/>
          <w:szCs w:val="24"/>
          <w:lang w:val="en-US" w:eastAsia="zh-CN"/>
        </w:rPr>
        <w:t>12</w:t>
      </w:r>
      <w:r>
        <w:rPr>
          <w:rFonts w:hint="default" w:ascii="Times New Roman" w:hAnsi="Times New Roman" w:eastAsia="宋体" w:cs="Times New Roman"/>
          <w:kern w:val="2"/>
          <w:sz w:val="24"/>
          <w:szCs w:val="24"/>
          <w:lang w:val="en-US" w:eastAsia="zh-CN"/>
        </w:rPr>
        <w:t>月龄的架子牛生长阶段、12月龄以后的强度肥育阶段</w:t>
      </w:r>
      <w:r>
        <w:rPr>
          <w:rFonts w:hint="eastAsia" w:ascii="Times New Roman" w:hAnsi="Times New Roman" w:eastAsia="宋体" w:cs="Times New Roman"/>
          <w:kern w:val="2"/>
          <w:sz w:val="24"/>
          <w:szCs w:val="24"/>
          <w:lang w:val="en-US" w:eastAsia="zh-CN"/>
        </w:rPr>
        <w:t>，</w:t>
      </w:r>
      <w:r>
        <w:rPr>
          <w:rFonts w:hint="default" w:ascii="Times New Roman" w:hAnsi="Times New Roman" w:eastAsia="宋体" w:cs="Times New Roman"/>
          <w:kern w:val="2"/>
          <w:sz w:val="24"/>
          <w:szCs w:val="24"/>
          <w:lang w:val="en-US" w:eastAsia="zh-CN"/>
        </w:rPr>
        <w:t>各阶段分群</w:t>
      </w:r>
      <w:r>
        <w:rPr>
          <w:rFonts w:hint="eastAsia" w:ascii="Times New Roman" w:hAnsi="Times New Roman" w:cs="Times New Roman"/>
          <w:kern w:val="2"/>
          <w:sz w:val="24"/>
          <w:szCs w:val="24"/>
          <w:lang w:val="en-US" w:eastAsia="zh-CN"/>
        </w:rPr>
        <w:t>散栏式</w:t>
      </w:r>
      <w:r>
        <w:rPr>
          <w:rFonts w:hint="default" w:ascii="Times New Roman" w:hAnsi="Times New Roman" w:eastAsia="宋体" w:cs="Times New Roman"/>
          <w:kern w:val="2"/>
          <w:sz w:val="24"/>
          <w:szCs w:val="24"/>
          <w:lang w:val="en-US" w:eastAsia="zh-CN"/>
        </w:rPr>
        <w:t>饲养。采用</w:t>
      </w:r>
      <w:r>
        <w:rPr>
          <w:rFonts w:hint="eastAsia" w:ascii="Times New Roman" w:hAnsi="Times New Roman" w:eastAsia="宋体" w:cs="Times New Roman"/>
          <w:kern w:val="2"/>
          <w:sz w:val="24"/>
          <w:szCs w:val="24"/>
          <w:lang w:val="en-US" w:eastAsia="zh-CN"/>
        </w:rPr>
        <w:t>“</w:t>
      </w:r>
      <w:r>
        <w:rPr>
          <w:rFonts w:hint="default" w:ascii="Times New Roman" w:hAnsi="Times New Roman" w:eastAsia="宋体" w:cs="Times New Roman"/>
          <w:kern w:val="2"/>
          <w:sz w:val="24"/>
          <w:szCs w:val="24"/>
          <w:lang w:val="en-US" w:eastAsia="zh-CN"/>
        </w:rPr>
        <w:t>引进良种、科学育肥、封闭管理、全进全出</w:t>
      </w:r>
      <w:r>
        <w:rPr>
          <w:rFonts w:hint="eastAsia" w:ascii="Times New Roman" w:hAnsi="Times New Roman" w:eastAsia="宋体" w:cs="Times New Roman"/>
          <w:kern w:val="2"/>
          <w:sz w:val="24"/>
          <w:szCs w:val="24"/>
          <w:lang w:val="en-US" w:eastAsia="zh-CN"/>
        </w:rPr>
        <w:t>”</w:t>
      </w:r>
      <w:r>
        <w:rPr>
          <w:rFonts w:hint="default" w:ascii="Times New Roman" w:hAnsi="Times New Roman" w:eastAsia="宋体" w:cs="Times New Roman"/>
          <w:kern w:val="2"/>
          <w:sz w:val="24"/>
          <w:szCs w:val="24"/>
          <w:lang w:val="en-US" w:eastAsia="zh-CN"/>
        </w:rPr>
        <w:t>的生态标准养殖模式</w:t>
      </w:r>
      <w:r>
        <w:rPr>
          <w:rFonts w:hint="default" w:ascii="Times New Roman" w:hAnsi="Times New Roman" w:eastAsia="宋体" w:cs="Times New Roman"/>
          <w:kern w:val="2"/>
          <w:sz w:val="24"/>
          <w:szCs w:val="24"/>
        </w:rPr>
        <w:t>。</w:t>
      </w:r>
    </w:p>
    <w:p w14:paraId="20A1C902">
      <w:pPr>
        <w:keepNext w:val="0"/>
        <w:keepLines w:val="0"/>
        <w:pageBreakBefore w:val="0"/>
        <w:widowControl w:val="0"/>
        <w:numPr>
          <w:ilvl w:val="0"/>
          <w:numId w:val="11"/>
        </w:numPr>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饲料要求</w:t>
      </w:r>
    </w:p>
    <w:p w14:paraId="7225C698">
      <w:pPr>
        <w:keepNext w:val="0"/>
        <w:keepLines w:val="0"/>
        <w:pageBreakBefore w:val="0"/>
        <w:widowControl w:val="0"/>
        <w:kinsoku/>
        <w:wordWrap/>
        <w:overflowPunct/>
        <w:topLinePunct w:val="0"/>
        <w:autoSpaceDE w:val="0"/>
        <w:autoSpaceDN w:val="0"/>
        <w:bidi w:val="0"/>
        <w:adjustRightInd/>
        <w:snapToGrid/>
        <w:spacing w:line="360" w:lineRule="auto"/>
        <w:ind w:firstLine="472" w:firstLineChars="200"/>
        <w:textAlignment w:val="auto"/>
        <w:rPr>
          <w:rFonts w:hint="default" w:ascii="Times New Roman" w:hAnsi="Times New Roman" w:eastAsia="宋体" w:cs="Times New Roman"/>
          <w:color w:val="000000"/>
          <w:spacing w:val="-2"/>
          <w:kern w:val="2"/>
          <w:sz w:val="24"/>
          <w:szCs w:val="24"/>
          <w:lang w:val="en-US" w:eastAsia="zh-CN" w:bidi="ar-SA"/>
        </w:rPr>
      </w:pPr>
      <w:r>
        <w:rPr>
          <w:rFonts w:hint="default" w:ascii="Times New Roman" w:hAnsi="Times New Roman" w:eastAsia="宋体" w:cs="Times New Roman"/>
          <w:color w:val="000000"/>
          <w:spacing w:val="-2"/>
          <w:kern w:val="2"/>
          <w:sz w:val="24"/>
          <w:szCs w:val="24"/>
          <w:lang w:val="en-US" w:eastAsia="zh-CN" w:bidi="ar-SA"/>
        </w:rPr>
        <w:t>参照肉牛饲养技术规范，制定适宜本项目条件的饲粮配方和肉牛饲养技术操作规程</w:t>
      </w:r>
      <w:r>
        <w:rPr>
          <w:rFonts w:hint="eastAsia" w:ascii="Times New Roman" w:hAnsi="Times New Roman" w:eastAsia="宋体" w:cs="Times New Roman"/>
          <w:color w:val="000000"/>
          <w:spacing w:val="-2"/>
          <w:kern w:val="2"/>
          <w:sz w:val="24"/>
          <w:szCs w:val="24"/>
          <w:lang w:val="en-US" w:eastAsia="zh-CN" w:bidi="ar-SA"/>
        </w:rPr>
        <w:t>，</w:t>
      </w:r>
      <w:r>
        <w:rPr>
          <w:rFonts w:hint="default" w:ascii="Times New Roman" w:hAnsi="Times New Roman" w:eastAsia="宋体" w:cs="Times New Roman"/>
          <w:color w:val="000000"/>
          <w:spacing w:val="-2"/>
          <w:kern w:val="2"/>
          <w:sz w:val="24"/>
          <w:szCs w:val="24"/>
          <w:lang w:val="en-US" w:eastAsia="zh-CN" w:bidi="ar-SA"/>
        </w:rPr>
        <w:t>探索总结现代肉牛生产管理机制和安全生产措施。同时，引进推广犊牛直线育肥技术，缩短育肥牛的饲养周期，提高肉牛的集约化饲养水平及优质肉牛生产水平，加速畜群周转。</w:t>
      </w:r>
    </w:p>
    <w:p w14:paraId="708FA21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3</w:t>
      </w:r>
      <w:r>
        <w:rPr>
          <w:rFonts w:hint="default" w:ascii="Times New Roman" w:hAnsi="Times New Roman" w:eastAsia="宋体" w:cs="Times New Roman"/>
          <w:kern w:val="2"/>
          <w:sz w:val="24"/>
          <w:szCs w:val="24"/>
        </w:rPr>
        <w:t>）疫病防治</w:t>
      </w:r>
      <w:r>
        <w:rPr>
          <w:rFonts w:hint="default" w:ascii="Times New Roman" w:hAnsi="Times New Roman" w:eastAsia="宋体" w:cs="Times New Roman"/>
          <w:kern w:val="2"/>
          <w:sz w:val="24"/>
          <w:szCs w:val="24"/>
          <w:lang w:eastAsia="zh-CN"/>
        </w:rPr>
        <w:t>要求</w:t>
      </w:r>
    </w:p>
    <w:p w14:paraId="78D83E6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rPr>
      </w:pPr>
      <w:r>
        <w:rPr>
          <w:rFonts w:hint="eastAsia" w:ascii="Times New Roman" w:hAnsi="Times New Roman" w:eastAsia="宋体" w:cs="Times New Roman"/>
          <w:kern w:val="2"/>
          <w:sz w:val="24"/>
          <w:szCs w:val="24"/>
          <w:lang w:val="en-US" w:eastAsia="zh-CN"/>
        </w:rPr>
        <w:t>肉牛</w:t>
      </w:r>
      <w:r>
        <w:rPr>
          <w:rFonts w:hint="default" w:ascii="Times New Roman" w:hAnsi="Times New Roman" w:eastAsia="宋体" w:cs="Times New Roman"/>
          <w:kern w:val="2"/>
          <w:sz w:val="24"/>
          <w:szCs w:val="24"/>
        </w:rPr>
        <w:t>规模化养殖，应对</w:t>
      </w:r>
      <w:r>
        <w:rPr>
          <w:rFonts w:hint="eastAsia" w:ascii="Times New Roman" w:hAnsi="Times New Roman" w:eastAsia="宋体" w:cs="Times New Roman"/>
          <w:kern w:val="2"/>
          <w:sz w:val="24"/>
          <w:szCs w:val="24"/>
          <w:lang w:val="en-US" w:eastAsia="zh-CN"/>
        </w:rPr>
        <w:t>育肥牛</w:t>
      </w:r>
      <w:r>
        <w:rPr>
          <w:rFonts w:hint="default" w:ascii="Times New Roman" w:hAnsi="Times New Roman" w:eastAsia="宋体" w:cs="Times New Roman"/>
          <w:kern w:val="2"/>
          <w:sz w:val="24"/>
          <w:szCs w:val="24"/>
        </w:rPr>
        <w:t>的健康状况及当地疫病的流行情况进行</w:t>
      </w:r>
      <w:r>
        <w:rPr>
          <w:rFonts w:hint="eastAsia" w:ascii="Times New Roman" w:hAnsi="Times New Roman" w:cs="Times New Roman"/>
          <w:kern w:val="2"/>
          <w:sz w:val="24"/>
          <w:szCs w:val="24"/>
          <w:lang w:eastAsia="zh-CN"/>
        </w:rPr>
        <w:t>全面</w:t>
      </w:r>
      <w:r>
        <w:rPr>
          <w:rFonts w:hint="default" w:ascii="Times New Roman" w:hAnsi="Times New Roman" w:eastAsia="宋体" w:cs="Times New Roman"/>
          <w:kern w:val="2"/>
          <w:sz w:val="24"/>
          <w:szCs w:val="24"/>
        </w:rPr>
        <w:t>了解和掌握，建立健全严格的卫生防疫体系，严格按照生产要求，进行严格检疫防疫。本项目建设规模较大，防止和控制各种疫情是确保养殖正常运转的关键。建设单位要重视疫情风险防御，制定切实有效的疫病防疫免疫程序，坚持</w:t>
      </w:r>
      <w:r>
        <w:rPr>
          <w:rFonts w:hint="eastAsia" w:ascii="Times New Roman" w:hAnsi="Times New Roman" w:eastAsia="宋体" w:cs="Times New Roman"/>
          <w:kern w:val="2"/>
          <w:sz w:val="24"/>
          <w:szCs w:val="24"/>
          <w:lang w:eastAsia="zh-CN"/>
        </w:rPr>
        <w:t>“</w:t>
      </w:r>
      <w:r>
        <w:rPr>
          <w:rFonts w:hint="default" w:ascii="Times New Roman" w:hAnsi="Times New Roman" w:eastAsia="宋体" w:cs="Times New Roman"/>
          <w:kern w:val="2"/>
          <w:sz w:val="24"/>
          <w:szCs w:val="24"/>
        </w:rPr>
        <w:t>预防为主、防重于治</w:t>
      </w:r>
      <w:r>
        <w:rPr>
          <w:rFonts w:hint="eastAsia" w:ascii="Times New Roman" w:hAnsi="Times New Roman" w:eastAsia="宋体" w:cs="Times New Roman"/>
          <w:kern w:val="2"/>
          <w:sz w:val="24"/>
          <w:szCs w:val="24"/>
          <w:lang w:eastAsia="zh-CN"/>
        </w:rPr>
        <w:t>”</w:t>
      </w:r>
      <w:r>
        <w:rPr>
          <w:rFonts w:hint="default" w:ascii="Times New Roman" w:hAnsi="Times New Roman" w:eastAsia="宋体" w:cs="Times New Roman"/>
          <w:kern w:val="2"/>
          <w:sz w:val="24"/>
          <w:szCs w:val="24"/>
        </w:rPr>
        <w:t>的方针，把疫病风险降到最低限度，以确保安全。每年进行严格的检疫，发现疫情马上处理，杜绝各种传染病的发生，提高养殖的经济效益。</w:t>
      </w:r>
    </w:p>
    <w:p w14:paraId="18C3AFA2">
      <w:pPr>
        <w:keepNext w:val="0"/>
        <w:keepLines w:val="0"/>
        <w:pageBreakBefore w:val="0"/>
        <w:widowControl w:val="0"/>
        <w:numPr>
          <w:ilvl w:val="2"/>
          <w:numId w:val="0"/>
        </w:numPr>
        <w:wordWrap/>
        <w:topLinePunct w:val="0"/>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319" w:name="_Toc21184"/>
      <w:bookmarkStart w:id="320" w:name="_Toc2342"/>
      <w:bookmarkStart w:id="321" w:name="_Toc5762"/>
      <w:r>
        <w:rPr>
          <w:rFonts w:hint="default" w:ascii="Times New Roman" w:hAnsi="Times New Roman" w:eastAsia="宋体" w:cs="Times New Roman"/>
          <w:b/>
          <w:bCs/>
          <w:kern w:val="2"/>
          <w:sz w:val="28"/>
          <w:szCs w:val="28"/>
          <w:lang w:val="en-US" w:eastAsia="zh-CN" w:bidi="ar-SA"/>
        </w:rPr>
        <w:t>3.</w:t>
      </w:r>
      <w:r>
        <w:rPr>
          <w:rFonts w:hint="eastAsia" w:ascii="Times New Roman" w:hAnsi="Times New Roman"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.3养</w:t>
      </w:r>
      <w:r>
        <w:rPr>
          <w:rFonts w:hint="eastAsia" w:ascii="Times New Roman" w:hAnsi="Times New Roman" w:eastAsia="宋体" w:cs="Times New Roman"/>
          <w:b/>
          <w:bCs/>
          <w:kern w:val="2"/>
          <w:sz w:val="28"/>
          <w:szCs w:val="28"/>
          <w:lang w:val="en-US" w:eastAsia="zh-CN" w:bidi="ar-SA"/>
        </w:rPr>
        <w:t>牛</w:t>
      </w:r>
      <w:r>
        <w:rPr>
          <w:rFonts w:hint="default" w:ascii="Times New Roman" w:hAnsi="Times New Roman" w:eastAsia="宋体" w:cs="Times New Roman"/>
          <w:b/>
          <w:bCs/>
          <w:kern w:val="2"/>
          <w:sz w:val="28"/>
          <w:szCs w:val="28"/>
          <w:lang w:val="en-US" w:eastAsia="zh-CN" w:bidi="ar-SA"/>
        </w:rPr>
        <w:t>工艺流程及产污环节</w:t>
      </w:r>
      <w:bookmarkEnd w:id="319"/>
      <w:bookmarkEnd w:id="320"/>
      <w:bookmarkEnd w:id="321"/>
    </w:p>
    <w:p w14:paraId="75ADD75D">
      <w:pPr>
        <w:keepNext w:val="0"/>
        <w:keepLines w:val="0"/>
        <w:pageBreakBefore w:val="0"/>
        <w:widowControl w:val="0"/>
        <w:kinsoku/>
        <w:wordWrap/>
        <w:overflowPunct/>
        <w:topLinePunct w:val="0"/>
        <w:bidi w:val="0"/>
        <w:adjustRightInd/>
        <w:snapToGrid/>
        <w:spacing w:line="360" w:lineRule="auto"/>
        <w:jc w:val="both"/>
        <w:textAlignment w:val="auto"/>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ascii="Times New Roman" w:hAnsi="Times New Roman"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.3.1工艺流程</w:t>
      </w:r>
    </w:p>
    <w:p w14:paraId="4DC22CD5">
      <w:pPr>
        <w:keepNext w:val="0"/>
        <w:keepLines w:val="0"/>
        <w:pageBreakBefore w:val="0"/>
        <w:widowControl/>
        <w:wordWrap/>
        <w:topLinePunct w:val="0"/>
        <w:bidi w:val="0"/>
        <w:adjustRightInd/>
        <w:snapToGrid/>
        <w:spacing w:line="360" w:lineRule="auto"/>
        <w:ind w:firstLine="482"/>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本项目</w:t>
      </w:r>
      <w:r>
        <w:rPr>
          <w:rFonts w:hint="default" w:ascii="Times New Roman" w:hAnsi="Times New Roman" w:eastAsia="宋体" w:cs="Times New Roman"/>
          <w:kern w:val="2"/>
          <w:sz w:val="24"/>
          <w:szCs w:val="24"/>
          <w:lang w:val="en-US" w:eastAsia="zh-CN"/>
        </w:rPr>
        <w:t>建成后</w:t>
      </w:r>
      <w:r>
        <w:rPr>
          <w:rFonts w:hint="default" w:ascii="Times New Roman" w:hAnsi="Times New Roman" w:eastAsia="宋体" w:cs="Times New Roman"/>
          <w:kern w:val="2"/>
          <w:sz w:val="24"/>
          <w:szCs w:val="24"/>
        </w:rPr>
        <w:t>年</w:t>
      </w:r>
      <w:r>
        <w:rPr>
          <w:rFonts w:hint="eastAsia" w:ascii="Times New Roman" w:hAnsi="Times New Roman" w:eastAsia="宋体" w:cs="Times New Roman"/>
          <w:kern w:val="2"/>
          <w:sz w:val="24"/>
          <w:szCs w:val="24"/>
          <w:lang w:val="en-US" w:eastAsia="zh-CN"/>
        </w:rPr>
        <w:t>存栏</w:t>
      </w:r>
      <w:r>
        <w:rPr>
          <w:rFonts w:hint="default" w:ascii="Times New Roman" w:hAnsi="Times New Roman" w:eastAsia="宋体" w:cs="Times New Roman"/>
          <w:kern w:val="2"/>
          <w:sz w:val="24"/>
          <w:szCs w:val="24"/>
        </w:rPr>
        <w:t>育肥</w:t>
      </w:r>
      <w:r>
        <w:rPr>
          <w:rFonts w:hint="eastAsia" w:ascii="Times New Roman" w:hAnsi="Times New Roman" w:eastAsia="宋体" w:cs="Times New Roman"/>
          <w:kern w:val="2"/>
          <w:sz w:val="24"/>
          <w:szCs w:val="24"/>
          <w:lang w:val="en-US" w:eastAsia="zh-CN"/>
        </w:rPr>
        <w:t>牛</w:t>
      </w:r>
      <w:r>
        <w:rPr>
          <w:rFonts w:hint="eastAsia" w:cs="Times New Roman"/>
          <w:kern w:val="2"/>
          <w:sz w:val="24"/>
          <w:szCs w:val="24"/>
          <w:lang w:val="en-US" w:eastAsia="zh-CN"/>
        </w:rPr>
        <w:t>3</w:t>
      </w:r>
      <w:r>
        <w:rPr>
          <w:rFonts w:hint="eastAsia" w:ascii="Times New Roman" w:hAnsi="Times New Roman" w:eastAsia="宋体" w:cs="Times New Roman"/>
          <w:kern w:val="2"/>
          <w:sz w:val="24"/>
          <w:szCs w:val="24"/>
          <w:lang w:val="en-US" w:eastAsia="zh-CN"/>
        </w:rPr>
        <w:t>00</w:t>
      </w:r>
      <w:r>
        <w:rPr>
          <w:rFonts w:hint="eastAsia" w:cs="Times New Roman"/>
          <w:kern w:val="2"/>
          <w:sz w:val="24"/>
          <w:szCs w:val="24"/>
          <w:lang w:val="en-US" w:eastAsia="zh-CN"/>
        </w:rPr>
        <w:t>0</w:t>
      </w:r>
      <w:r>
        <w:rPr>
          <w:rFonts w:hint="default" w:ascii="Times New Roman" w:hAnsi="Times New Roman" w:eastAsia="宋体" w:cs="Times New Roman"/>
          <w:kern w:val="2"/>
          <w:sz w:val="24"/>
          <w:szCs w:val="24"/>
        </w:rPr>
        <w:t>头，采取</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引进良种、科学育肥、封闭管理、</w:t>
      </w:r>
      <w:r>
        <w:rPr>
          <w:rFonts w:hint="default" w:ascii="Times New Roman" w:hAnsi="Times New Roman" w:eastAsia="宋体" w:cs="Times New Roman"/>
          <w:kern w:val="2"/>
          <w:sz w:val="24"/>
          <w:szCs w:val="24"/>
          <w:highlight w:val="none"/>
          <w:lang w:val="en-US" w:eastAsia="zh-CN"/>
        </w:rPr>
        <w:t>全进全出</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的生态标准养殖模式</w:t>
      </w:r>
      <w:r>
        <w:rPr>
          <w:rFonts w:hint="default" w:ascii="Times New Roman" w:hAnsi="Times New Roman" w:eastAsia="宋体" w:cs="Times New Roman"/>
          <w:kern w:val="2"/>
          <w:sz w:val="24"/>
          <w:szCs w:val="24"/>
        </w:rPr>
        <w:t>。按照标准化</w:t>
      </w:r>
      <w:r>
        <w:rPr>
          <w:rFonts w:hint="eastAsia" w:ascii="Times New Roman" w:hAnsi="Times New Roman" w:eastAsia="宋体" w:cs="Times New Roman"/>
          <w:kern w:val="2"/>
          <w:sz w:val="24"/>
          <w:szCs w:val="24"/>
          <w:lang w:val="en-US" w:eastAsia="zh-CN"/>
        </w:rPr>
        <w:t>养殖</w:t>
      </w:r>
      <w:r>
        <w:rPr>
          <w:rFonts w:hint="default" w:ascii="Times New Roman" w:hAnsi="Times New Roman" w:eastAsia="宋体" w:cs="Times New Roman"/>
          <w:kern w:val="2"/>
          <w:sz w:val="24"/>
          <w:szCs w:val="24"/>
        </w:rPr>
        <w:t>要求，实施专业化生产、标准化管理、规模化经营，对</w:t>
      </w:r>
      <w:r>
        <w:rPr>
          <w:rFonts w:hint="eastAsia" w:cs="Times New Roman"/>
          <w:kern w:val="2"/>
          <w:sz w:val="24"/>
          <w:szCs w:val="24"/>
          <w:lang w:val="en-US" w:eastAsia="zh-CN"/>
        </w:rPr>
        <w:t>牛圈</w:t>
      </w:r>
      <w:r>
        <w:rPr>
          <w:rFonts w:hint="default" w:ascii="Times New Roman" w:hAnsi="Times New Roman" w:eastAsia="宋体" w:cs="Times New Roman"/>
          <w:kern w:val="2"/>
          <w:sz w:val="24"/>
          <w:szCs w:val="24"/>
        </w:rPr>
        <w:t>、设备、品种选育、环境控制、防疫保健等有较高要求。</w:t>
      </w:r>
    </w:p>
    <w:p w14:paraId="17F62E57">
      <w:pPr>
        <w:keepNext w:val="0"/>
        <w:keepLines w:val="0"/>
        <w:pageBreakBefore w:val="0"/>
        <w:widowControl/>
        <w:wordWrap/>
        <w:topLinePunct w:val="0"/>
        <w:bidi w:val="0"/>
        <w:adjustRightInd/>
        <w:snapToGrid/>
        <w:spacing w:line="360" w:lineRule="auto"/>
        <w:ind w:firstLine="482"/>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本项目运营期</w:t>
      </w:r>
      <w:r>
        <w:rPr>
          <w:rFonts w:hint="eastAsia" w:ascii="Times New Roman" w:hAnsi="Times New Roman" w:eastAsia="宋体" w:cs="Times New Roman"/>
          <w:kern w:val="2"/>
          <w:sz w:val="24"/>
          <w:szCs w:val="24"/>
          <w:lang w:val="en-US" w:eastAsia="zh-CN"/>
        </w:rPr>
        <w:t>育肥牛</w:t>
      </w:r>
      <w:r>
        <w:rPr>
          <w:rFonts w:hint="default" w:ascii="Times New Roman" w:hAnsi="Times New Roman" w:eastAsia="宋体" w:cs="Times New Roman"/>
          <w:kern w:val="2"/>
          <w:sz w:val="24"/>
          <w:szCs w:val="24"/>
        </w:rPr>
        <w:t>养殖</w:t>
      </w:r>
      <w:r>
        <w:rPr>
          <w:rFonts w:hint="default" w:ascii="Times New Roman" w:hAnsi="Times New Roman" w:eastAsia="宋体" w:cs="Times New Roman"/>
          <w:kern w:val="2"/>
          <w:sz w:val="24"/>
          <w:szCs w:val="24"/>
          <w:lang w:eastAsia="zh-CN"/>
        </w:rPr>
        <w:t>工艺流程图</w:t>
      </w:r>
      <w:r>
        <w:rPr>
          <w:rFonts w:hint="default" w:ascii="Times New Roman" w:hAnsi="Times New Roman" w:eastAsia="宋体" w:cs="Times New Roman"/>
          <w:kern w:val="2"/>
          <w:sz w:val="24"/>
          <w:szCs w:val="24"/>
        </w:rPr>
        <w:t>详见图</w:t>
      </w:r>
      <w:r>
        <w:rPr>
          <w:rFonts w:hint="default" w:ascii="Times New Roman" w:hAnsi="Times New Roman" w:eastAsia="宋体" w:cs="Times New Roman"/>
          <w:kern w:val="2"/>
          <w:sz w:val="24"/>
          <w:szCs w:val="24"/>
          <w:lang w:val="en-US" w:eastAsia="zh-CN"/>
        </w:rPr>
        <w:t>3</w:t>
      </w:r>
      <w:r>
        <w:rPr>
          <w:rFonts w:hint="default" w:ascii="Times New Roman" w:hAnsi="Times New Roman" w:eastAsia="宋体" w:cs="Times New Roman"/>
          <w:kern w:val="2"/>
          <w:sz w:val="24"/>
          <w:szCs w:val="24"/>
        </w:rPr>
        <w:t>.</w:t>
      </w:r>
      <w:r>
        <w:rPr>
          <w:rFonts w:hint="eastAsia" w:cs="Times New Roman"/>
          <w:kern w:val="2"/>
          <w:sz w:val="24"/>
          <w:szCs w:val="24"/>
          <w:lang w:val="en-US" w:eastAsia="zh-CN"/>
        </w:rPr>
        <w:t>3</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1</w:t>
      </w:r>
      <w:r>
        <w:rPr>
          <w:rFonts w:hint="default" w:ascii="Times New Roman" w:hAnsi="Times New Roman" w:eastAsia="宋体" w:cs="Times New Roman"/>
          <w:kern w:val="2"/>
          <w:sz w:val="24"/>
          <w:szCs w:val="24"/>
        </w:rPr>
        <w:t>。</w:t>
      </w:r>
    </w:p>
    <w:p w14:paraId="7147FEFF">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r>
        <w:rPr>
          <w:rFonts w:ascii="Times New Roman" w:hAnsi="Times New Roman" w:eastAsia="宋体" w:cs="Times New Roman"/>
          <w:sz w:val="24"/>
        </w:rPr>
        <mc:AlternateContent>
          <mc:Choice Requires="wpg">
            <w:drawing>
              <wp:anchor distT="0" distB="0" distL="114300" distR="114300" simplePos="0" relativeHeight="251661312" behindDoc="0" locked="0" layoutInCell="1" allowOverlap="1">
                <wp:simplePos x="0" y="0"/>
                <wp:positionH relativeFrom="column">
                  <wp:posOffset>1701165</wp:posOffset>
                </wp:positionH>
                <wp:positionV relativeFrom="paragraph">
                  <wp:posOffset>145415</wp:posOffset>
                </wp:positionV>
                <wp:extent cx="1838325" cy="3296920"/>
                <wp:effectExtent l="4445" t="4445" r="5080" b="13335"/>
                <wp:wrapNone/>
                <wp:docPr id="13" name="组合 13"/>
                <wp:cNvGraphicFramePr/>
                <a:graphic xmlns:a="http://schemas.openxmlformats.org/drawingml/2006/main">
                  <a:graphicData uri="http://schemas.microsoft.com/office/word/2010/wordprocessingGroup">
                    <wpg:wgp>
                      <wpg:cNvGrpSpPr/>
                      <wpg:grpSpPr>
                        <a:xfrm>
                          <a:off x="0" y="0"/>
                          <a:ext cx="1838325" cy="3296789"/>
                          <a:chOff x="8012" y="879738"/>
                          <a:chExt cx="2925" cy="5940"/>
                        </a:xfrm>
                      </wpg:grpSpPr>
                      <wpg:grpSp>
                        <wpg:cNvPr id="15" name="组合 2"/>
                        <wpg:cNvGrpSpPr/>
                        <wpg:grpSpPr>
                          <a:xfrm>
                            <a:off x="8402" y="879738"/>
                            <a:ext cx="2101" cy="2226"/>
                            <a:chOff x="8325" y="1064814"/>
                            <a:chExt cx="2101" cy="1988"/>
                          </a:xfrm>
                        </wpg:grpSpPr>
                        <wps:wsp>
                          <wps:cNvPr id="47" name="文本框 47"/>
                          <wps:cNvSpPr txBox="1"/>
                          <wps:spPr>
                            <a:xfrm>
                              <a:off x="8505" y="1064814"/>
                              <a:ext cx="1740" cy="958"/>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3FAA77">
                                <w:pPr>
                                  <w:spacing w:line="240" w:lineRule="auto"/>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购进6月龄断奶犊牛100-150kg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4" name="直接箭头连接符 114"/>
                          <wps:cNvCnPr>
                            <a:stCxn id="47" idx="2"/>
                            <a:endCxn id="121" idx="0"/>
                          </wps:cNvCnPr>
                          <wps:spPr>
                            <a:xfrm>
                              <a:off x="9375" y="1065772"/>
                              <a:ext cx="1" cy="450"/>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121" name="文本框 121"/>
                          <wps:cNvSpPr txBox="1"/>
                          <wps:spPr>
                            <a:xfrm>
                              <a:off x="8325" y="1066222"/>
                              <a:ext cx="2101" cy="58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688875">
                                <w:pPr>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育肥适应期10</w:t>
                                </w:r>
                                <w:r>
                                  <w:rPr>
                                    <w:rFonts w:hint="eastAsia" w:ascii="Times New Roman" w:hAnsi="Times New Roman" w:eastAsia="宋体" w:cs="Times New Roman"/>
                                    <w:lang w:val="en-US" w:eastAsia="zh-CN"/>
                                  </w:rPr>
                                  <w:t>天</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37" name="直接箭头连接符 37"/>
                        <wps:cNvCnPr>
                          <a:endCxn id="43" idx="0"/>
                        </wps:cNvCnPr>
                        <wps:spPr>
                          <a:xfrm>
                            <a:off x="9437" y="881966"/>
                            <a:ext cx="1" cy="503"/>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16" name="文本框 43"/>
                        <wps:cNvSpPr txBox="1"/>
                        <wps:spPr>
                          <a:xfrm>
                            <a:off x="8124" y="882469"/>
                            <a:ext cx="2626" cy="65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160662">
                              <w:pPr>
                                <w:jc w:val="center"/>
                                <w:rPr>
                                  <w:rFonts w:hint="default" w:eastAsia="宋体"/>
                                  <w:lang w:val="en-US" w:eastAsia="zh-CN"/>
                                </w:rPr>
                              </w:pPr>
                              <w:r>
                                <w:rPr>
                                  <w:rFonts w:hint="eastAsia" w:eastAsia="宋体"/>
                                  <w:lang w:val="en-US" w:eastAsia="zh-CN"/>
                                </w:rPr>
                                <w:t>6个月</w:t>
                              </w:r>
                              <w:r>
                                <w:rPr>
                                  <w:rFonts w:hint="default" w:eastAsia="宋体"/>
                                  <w:lang w:val="en-US" w:eastAsia="zh-CN"/>
                                </w:rPr>
                                <w:t>架子牛生长阶段</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直接箭头连接符 44"/>
                        <wps:cNvCnPr>
                          <a:endCxn id="99" idx="0"/>
                        </wps:cNvCnPr>
                        <wps:spPr>
                          <a:xfrm>
                            <a:off x="9428" y="883121"/>
                            <a:ext cx="1" cy="503"/>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99" name="文本框 99"/>
                        <wps:cNvSpPr txBox="1"/>
                        <wps:spPr>
                          <a:xfrm>
                            <a:off x="8207" y="883625"/>
                            <a:ext cx="2443" cy="65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C15E0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6个月</w:t>
                              </w:r>
                              <w:r>
                                <w:rPr>
                                  <w:rFonts w:hint="default" w:ascii="Times New Roman" w:hAnsi="Times New Roman" w:eastAsia="宋体" w:cs="Times New Roman"/>
                                  <w:kern w:val="2"/>
                                  <w:sz w:val="21"/>
                                  <w:szCs w:val="21"/>
                                  <w:lang w:val="en-US" w:eastAsia="zh-CN"/>
                                </w:rPr>
                                <w:t>强度肥育阶段</w:t>
                              </w:r>
                            </w:p>
                            <w:p w14:paraId="6C67C8F4">
                              <w:pPr>
                                <w:rPr>
                                  <w:rFonts w:hint="default"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3" name="直接箭头连接符 103"/>
                        <wps:cNvCnPr>
                          <a:endCxn id="104" idx="0"/>
                        </wps:cNvCnPr>
                        <wps:spPr>
                          <a:xfrm>
                            <a:off x="9474" y="884292"/>
                            <a:ext cx="1" cy="503"/>
                          </a:xfrm>
                          <a:prstGeom prst="straightConnector1">
                            <a:avLst/>
                          </a:prstGeom>
                          <a:noFill/>
                          <a:ln w="12700" cap="flat" cmpd="sng" algn="ctr">
                            <a:solidFill>
                              <a:sysClr val="windowText" lastClr="000000"/>
                            </a:solidFill>
                            <a:prstDash val="solid"/>
                            <a:miter lim="800000"/>
                            <a:tailEnd type="triangle" w="lg" len="med"/>
                          </a:ln>
                          <a:effectLst/>
                        </wps:spPr>
                        <wps:style>
                          <a:lnRef idx="1">
                            <a:schemeClr val="accent1"/>
                          </a:lnRef>
                          <a:fillRef idx="0">
                            <a:schemeClr val="accent1"/>
                          </a:fillRef>
                          <a:effectRef idx="0">
                            <a:schemeClr val="accent1"/>
                          </a:effectRef>
                          <a:fontRef idx="minor">
                            <a:schemeClr val="tx1"/>
                          </a:fontRef>
                        </wps:style>
                        <wps:bodyPr anchor="ctr" anchorCtr="0"/>
                      </wps:wsp>
                      <wps:wsp>
                        <wps:cNvPr id="104" name="文本框 104"/>
                        <wps:cNvSpPr txBox="1"/>
                        <wps:spPr>
                          <a:xfrm>
                            <a:off x="8012" y="884795"/>
                            <a:ext cx="2925" cy="883"/>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BDFF9E">
                              <w:pPr>
                                <w:spacing w:line="240" w:lineRule="auto"/>
                                <w:jc w:val="center"/>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商品肉牛，生长至出售约1</w:t>
                              </w:r>
                              <w:r>
                                <w:rPr>
                                  <w:rFonts w:hint="eastAsia" w:eastAsia="宋体" w:cs="Times New Roman"/>
                                  <w:kern w:val="2"/>
                                  <w:sz w:val="21"/>
                                  <w:szCs w:val="24"/>
                                  <w:lang w:val="en-US" w:eastAsia="zh-CN"/>
                                </w:rPr>
                                <w:t>8</w:t>
                              </w:r>
                              <w:r>
                                <w:rPr>
                                  <w:rFonts w:hint="eastAsia" w:ascii="Times New Roman" w:hAnsi="Times New Roman" w:eastAsia="宋体" w:cs="Times New Roman"/>
                                  <w:kern w:val="2"/>
                                  <w:sz w:val="21"/>
                                  <w:szCs w:val="24"/>
                                  <w:lang w:val="en-US" w:eastAsia="zh-CN"/>
                                </w:rPr>
                                <w:t>月月龄</w:t>
                              </w:r>
                              <w:r>
                                <w:rPr>
                                  <w:rFonts w:hint="eastAsia" w:cs="Times New Roman"/>
                                  <w:kern w:val="2"/>
                                  <w:sz w:val="21"/>
                                  <w:szCs w:val="24"/>
                                  <w:lang w:val="en-US" w:eastAsia="zh-CN"/>
                                </w:rPr>
                                <w:t>7</w:t>
                              </w:r>
                              <w:r>
                                <w:rPr>
                                  <w:rFonts w:hint="eastAsia" w:ascii="Times New Roman" w:hAnsi="Times New Roman" w:eastAsia="宋体" w:cs="Times New Roman"/>
                                  <w:kern w:val="2"/>
                                  <w:sz w:val="21"/>
                                  <w:szCs w:val="24"/>
                                  <w:lang w:val="en-US" w:eastAsia="zh-CN"/>
                                </w:rPr>
                                <w:t>50kg以上。</w:t>
                              </w:r>
                            </w:p>
                            <w:p w14:paraId="106419D1">
                              <w:pPr>
                                <w:rPr>
                                  <w:rFonts w:hint="default" w:ascii="Times New Roman" w:hAnsi="Times New Roman" w:eastAsia="宋体" w:cs="Times New Roman"/>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33.95pt;margin-top:11.45pt;height:259.6pt;width:144.75pt;z-index:251661312;mso-width-relative:page;mso-height-relative:page;" coordorigin="8012,879738" coordsize="2925,5940" o:gfxdata="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">
                <o:lock v:ext="edit" aspectratio="f"/>
                <v:group id="组合 2" o:spid="_x0000_s1026" o:spt="203" style="position:absolute;left:8402;top:879738;height:2226;width:2101;" coordorigin="8325,1064814" coordsize="2101,1988"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8505;top:1064814;height:958;width:1740;v-text-anchor:middle;" fillcolor="#FFFFFF" filled="t" stroked="t" coordsize="21600,21600" o:gfxdata="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dlbz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223FAA77">
                          <w:pPr>
                            <w:spacing w:line="240" w:lineRule="auto"/>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购进6月龄断奶犊牛100-150kg</w:t>
                          </w:r>
                        </w:p>
                      </w:txbxContent>
                    </v:textbox>
                  </v:shape>
                  <v:shape id="_x0000_s1026" o:spid="_x0000_s1026" o:spt="32" type="#_x0000_t32" style="position:absolute;left:9375;top:1065772;height:450;width:1;" filled="f" stroked="t" coordsize="21600,21600" o:gfxdata="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a6X/vQAA&#10;ANwAAAAPAAAAAAAAAAEAIAAAACIAAABkcnMvZG93bnJldi54bWxQSwECFAAUAAAACACHTuJAMy8F&#10;njsAAAA5AAAAEAAAAAAAAAABACAAAAAMAQAAZHJzL3NoYXBleG1sLnhtbFBLBQYAAAAABgAGAFsB&#10;AAC2AwAAAAA=&#10;">
                    <v:fill on="f" focussize="0,0"/>
                    <v:stroke weight="1pt" color="#000000 [3204]" miterlimit="8" joinstyle="miter" endarrow="block" endarrowwidth="wide"/>
                    <v:imagedata o:title=""/>
                    <o:lock v:ext="edit" aspectratio="f"/>
                  </v:shape>
                  <v:shape id="_x0000_s1026" o:spid="_x0000_s1026" o:spt="202" type="#_x0000_t202" style="position:absolute;left:8325;top:1066222;height:580;width:2101;v-text-anchor:middle;" fillcolor="#FFFFFF" filled="t" stroked="t" coordsize="21600,21600" o:gfxdata="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A4Jm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31688875">
                          <w:pPr>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育肥适应期10</w:t>
                          </w:r>
                          <w:r>
                            <w:rPr>
                              <w:rFonts w:hint="eastAsia" w:ascii="Times New Roman" w:hAnsi="Times New Roman" w:eastAsia="宋体" w:cs="Times New Roman"/>
                              <w:lang w:val="en-US" w:eastAsia="zh-CN"/>
                            </w:rPr>
                            <w:t>天</w:t>
                          </w:r>
                        </w:p>
                      </w:txbxContent>
                    </v:textbox>
                  </v:shape>
                </v:group>
                <v:shape id="_x0000_s1026" o:spid="_x0000_s1026" o:spt="32" type="#_x0000_t32" style="position:absolute;left:9437;top:881966;height:503;width:1;" filled="f" stroked="t" coordsize="21600,21600" o:gfxdata="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bVpr4A&#10;AADbAAAADwAAAAAAAAABACAAAAAiAAAAZHJzL2Rvd25yZXYueG1sUEsBAhQAFAAAAAgAh07iQDMv&#10;BZ47AAAAOQAAABAAAAAAAAAAAQAgAAAADQEAAGRycy9zaGFwZXhtbC54bWxQSwUGAAAAAAYABgBb&#10;AQAAtwMAAAAA&#10;">
                  <v:fill on="f" focussize="0,0"/>
                  <v:stroke weight="1pt" color="#000000 [3204]" miterlimit="8" joinstyle="miter" endarrow="block" endarrowwidth="wide"/>
                  <v:imagedata o:title=""/>
                  <o:lock v:ext="edit" aspectratio="f"/>
                </v:shape>
                <v:shape id="文本框 43" o:spid="_x0000_s1026" o:spt="202" type="#_x0000_t202" style="position:absolute;left:8124;top:882469;height:650;width:2626;v-text-anchor:middle;" fillcolor="#FFFFFF" filled="t" stroked="t" coordsize="21600,21600" o:gfxdata="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J3HW5AAAA2w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w:txbxContent>
                      <w:p w14:paraId="7F160662">
                        <w:pPr>
                          <w:jc w:val="center"/>
                          <w:rPr>
                            <w:rFonts w:hint="default" w:eastAsia="宋体"/>
                            <w:lang w:val="en-US" w:eastAsia="zh-CN"/>
                          </w:rPr>
                        </w:pPr>
                        <w:r>
                          <w:rPr>
                            <w:rFonts w:hint="eastAsia" w:eastAsia="宋体"/>
                            <w:lang w:val="en-US" w:eastAsia="zh-CN"/>
                          </w:rPr>
                          <w:t>6个月</w:t>
                        </w:r>
                        <w:r>
                          <w:rPr>
                            <w:rFonts w:hint="default" w:eastAsia="宋体"/>
                            <w:lang w:val="en-US" w:eastAsia="zh-CN"/>
                          </w:rPr>
                          <w:t>架子牛生长阶段</w:t>
                        </w:r>
                      </w:p>
                    </w:txbxContent>
                  </v:textbox>
                </v:shape>
                <v:shape id="直接箭头连接符 44" o:spid="_x0000_s1026" o:spt="32" type="#_x0000_t32" style="position:absolute;left:9428;top:883121;height:503;width:1;" filled="f" stroked="t" coordsize="21600,21600" o:gfxdata="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guC+8AAAA&#10;2wAAAA8AAAAAAAAAAQAgAAAAIgAAAGRycy9kb3ducmV2LnhtbFBLAQIUABQAAAAIAIdO4kAzLwWe&#10;OwAAADkAAAAQAAAAAAAAAAEAIAAAAAsBAABkcnMvc2hhcGV4bWwueG1sUEsFBgAAAAAGAAYAWwEA&#10;ALUDAAAAAA==&#10;">
                  <v:fill on="f" focussize="0,0"/>
                  <v:stroke weight="1pt" color="#000000 [3204]" miterlimit="8" joinstyle="miter" endarrow="block" endarrowwidth="wide"/>
                  <v:imagedata o:title=""/>
                  <o:lock v:ext="edit" aspectratio="f"/>
                </v:shape>
                <v:shape id="_x0000_s1026" o:spid="_x0000_s1026" o:spt="202" type="#_x0000_t202" style="position:absolute;left:8207;top:883625;height:650;width:2443;v-text-anchor:middle;" fillcolor="#FFFFFF" filled="t" stroked="t" coordsize="21600,21600" o:gfxdata="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S12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0CC15E0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6个月</w:t>
                        </w:r>
                        <w:r>
                          <w:rPr>
                            <w:rFonts w:hint="default" w:ascii="Times New Roman" w:hAnsi="Times New Roman" w:eastAsia="宋体" w:cs="Times New Roman"/>
                            <w:kern w:val="2"/>
                            <w:sz w:val="21"/>
                            <w:szCs w:val="21"/>
                            <w:lang w:val="en-US" w:eastAsia="zh-CN"/>
                          </w:rPr>
                          <w:t>强度肥育阶段</w:t>
                        </w:r>
                      </w:p>
                      <w:p w14:paraId="6C67C8F4">
                        <w:pPr>
                          <w:rPr>
                            <w:rFonts w:hint="default" w:eastAsia="宋体"/>
                            <w:lang w:val="en-US" w:eastAsia="zh-CN"/>
                          </w:rPr>
                        </w:pPr>
                      </w:p>
                    </w:txbxContent>
                  </v:textbox>
                </v:shape>
                <v:shape id="_x0000_s1026" o:spid="_x0000_s1026" o:spt="32" type="#_x0000_t32" style="position:absolute;left:9474;top:884292;height:503;width:1;" filled="f" stroked="t" coordsize="21600,21600" o:gfxdata="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W6tWvQAA&#10;ANwAAAAPAAAAAAAAAAEAIAAAACIAAABkcnMvZG93bnJldi54bWxQSwECFAAUAAAACACHTuJAMy8F&#10;njsAAAA5AAAAEAAAAAAAAAABACAAAAAMAQAAZHJzL3NoYXBleG1sLnhtbFBLBQYAAAAABgAGAFsB&#10;AAC2AwAAAAA=&#10;">
                  <v:fill on="f" focussize="0,0"/>
                  <v:stroke weight="1pt" color="#000000 [3204]" miterlimit="8" joinstyle="miter" endarrow="block" endarrowwidth="wide"/>
                  <v:imagedata o:title=""/>
                  <o:lock v:ext="edit" aspectratio="f"/>
                </v:shape>
                <v:shape id="_x0000_s1026" o:spid="_x0000_s1026" o:spt="202" type="#_x0000_t202" style="position:absolute;left:8012;top:884795;height:883;width:2925;v-text-anchor:middle;" fillcolor="#FFFFFF" filled="t" stroked="t" coordsize="21600,21600" o:gfxdata="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sF9nr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2EBDFF9E">
                        <w:pPr>
                          <w:spacing w:line="240" w:lineRule="auto"/>
                          <w:jc w:val="center"/>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商品肉牛，生长至出售约1</w:t>
                        </w:r>
                        <w:r>
                          <w:rPr>
                            <w:rFonts w:hint="eastAsia" w:eastAsia="宋体" w:cs="Times New Roman"/>
                            <w:kern w:val="2"/>
                            <w:sz w:val="21"/>
                            <w:szCs w:val="24"/>
                            <w:lang w:val="en-US" w:eastAsia="zh-CN"/>
                          </w:rPr>
                          <w:t>8</w:t>
                        </w:r>
                        <w:r>
                          <w:rPr>
                            <w:rFonts w:hint="eastAsia" w:ascii="Times New Roman" w:hAnsi="Times New Roman" w:eastAsia="宋体" w:cs="Times New Roman"/>
                            <w:kern w:val="2"/>
                            <w:sz w:val="21"/>
                            <w:szCs w:val="24"/>
                            <w:lang w:val="en-US" w:eastAsia="zh-CN"/>
                          </w:rPr>
                          <w:t>月月龄</w:t>
                        </w:r>
                        <w:r>
                          <w:rPr>
                            <w:rFonts w:hint="eastAsia" w:cs="Times New Roman"/>
                            <w:kern w:val="2"/>
                            <w:sz w:val="21"/>
                            <w:szCs w:val="24"/>
                            <w:lang w:val="en-US" w:eastAsia="zh-CN"/>
                          </w:rPr>
                          <w:t>7</w:t>
                        </w:r>
                        <w:r>
                          <w:rPr>
                            <w:rFonts w:hint="eastAsia" w:ascii="Times New Roman" w:hAnsi="Times New Roman" w:eastAsia="宋体" w:cs="Times New Roman"/>
                            <w:kern w:val="2"/>
                            <w:sz w:val="21"/>
                            <w:szCs w:val="24"/>
                            <w:lang w:val="en-US" w:eastAsia="zh-CN"/>
                          </w:rPr>
                          <w:t>50kg以上。</w:t>
                        </w:r>
                      </w:p>
                      <w:p w14:paraId="106419D1">
                        <w:pPr>
                          <w:rPr>
                            <w:rFonts w:hint="default" w:ascii="Times New Roman" w:hAnsi="Times New Roman" w:eastAsia="宋体" w:cs="Times New Roman"/>
                            <w:lang w:val="en-US" w:eastAsia="zh-CN"/>
                          </w:rPr>
                        </w:pPr>
                      </w:p>
                    </w:txbxContent>
                  </v:textbox>
                </v:shape>
              </v:group>
            </w:pict>
          </mc:Fallback>
        </mc:AlternateContent>
      </w:r>
    </w:p>
    <w:p w14:paraId="12992935">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33600278">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432A0793">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08E19E7B">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23BF0D52">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281D3969">
      <w:pPr>
        <w:keepNext w:val="0"/>
        <w:keepLines w:val="0"/>
        <w:pageBreakBefore w:val="0"/>
        <w:widowControl/>
        <w:wordWrap/>
        <w:topLinePunct w:val="0"/>
        <w:bidi w:val="0"/>
        <w:adjustRightInd/>
        <w:snapToGrid/>
        <w:spacing w:line="360" w:lineRule="auto"/>
        <w:jc w:val="both"/>
        <w:rPr>
          <w:rFonts w:hint="default" w:ascii="Times New Roman" w:hAnsi="Times New Roman" w:eastAsia="宋体" w:cs="Times New Roman"/>
          <w:b/>
          <w:kern w:val="2"/>
          <w:sz w:val="24"/>
          <w:szCs w:val="24"/>
        </w:rPr>
      </w:pPr>
    </w:p>
    <w:p w14:paraId="2497DB31">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33769C3B">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578E2D6F">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3B8C8FB7">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00AA81B4">
      <w:pPr>
        <w:keepNext w:val="0"/>
        <w:keepLines w:val="0"/>
        <w:pageBreakBefore w:val="0"/>
        <w:widowControl/>
        <w:wordWrap/>
        <w:topLinePunct w:val="0"/>
        <w:bidi w:val="0"/>
        <w:adjustRightInd/>
        <w:snapToGrid/>
        <w:spacing w:line="360" w:lineRule="auto"/>
        <w:ind w:firstLine="482"/>
        <w:jc w:val="center"/>
        <w:rPr>
          <w:rFonts w:hint="default" w:ascii="Times New Roman" w:hAnsi="Times New Roman" w:eastAsia="宋体" w:cs="Times New Roman"/>
          <w:b/>
          <w:kern w:val="2"/>
          <w:sz w:val="24"/>
          <w:szCs w:val="24"/>
        </w:rPr>
      </w:pPr>
    </w:p>
    <w:p w14:paraId="7342FDF7">
      <w:pPr>
        <w:keepNext w:val="0"/>
        <w:keepLines w:val="0"/>
        <w:pageBreakBefore w:val="0"/>
        <w:widowControl/>
        <w:wordWrap/>
        <w:topLinePunct w:val="0"/>
        <w:bidi w:val="0"/>
        <w:adjustRightInd/>
        <w:snapToGrid/>
        <w:spacing w:line="360" w:lineRule="auto"/>
        <w:jc w:val="center"/>
        <w:rPr>
          <w:rFonts w:hint="default" w:ascii="Times New Roman" w:hAnsi="Times New Roman" w:eastAsia="宋体" w:cs="Times New Roman"/>
          <w:b/>
          <w:kern w:val="2"/>
          <w:sz w:val="24"/>
          <w:szCs w:val="24"/>
          <w:lang w:val="en-US" w:eastAsia="zh-CN"/>
        </w:rPr>
      </w:pPr>
      <w:r>
        <w:rPr>
          <w:rFonts w:hint="default" w:ascii="Times New Roman" w:hAnsi="Times New Roman" w:eastAsia="宋体" w:cs="Times New Roman"/>
          <w:b/>
          <w:kern w:val="2"/>
          <w:sz w:val="24"/>
          <w:szCs w:val="24"/>
        </w:rPr>
        <w:t>图3.</w:t>
      </w:r>
      <w:r>
        <w:rPr>
          <w:rFonts w:hint="eastAsia" w:cs="Times New Roman"/>
          <w:b/>
          <w:kern w:val="2"/>
          <w:sz w:val="24"/>
          <w:szCs w:val="24"/>
          <w:lang w:val="en-US" w:eastAsia="zh-CN"/>
        </w:rPr>
        <w:t>3</w:t>
      </w:r>
      <w:r>
        <w:rPr>
          <w:rFonts w:hint="default" w:ascii="Times New Roman" w:hAnsi="Times New Roman" w:eastAsia="宋体" w:cs="Times New Roman"/>
          <w:b/>
          <w:kern w:val="2"/>
          <w:sz w:val="24"/>
          <w:szCs w:val="24"/>
          <w:lang w:val="en-US" w:eastAsia="zh-CN"/>
        </w:rPr>
        <w:t>-1</w:t>
      </w:r>
      <w:r>
        <w:rPr>
          <w:rFonts w:hint="default" w:ascii="Times New Roman" w:hAnsi="Times New Roman" w:eastAsia="宋体" w:cs="Times New Roman"/>
          <w:b/>
          <w:kern w:val="2"/>
          <w:sz w:val="24"/>
          <w:szCs w:val="24"/>
        </w:rPr>
        <w:t>育肥</w:t>
      </w:r>
      <w:r>
        <w:rPr>
          <w:rFonts w:hint="eastAsia" w:ascii="Times New Roman" w:hAnsi="Times New Roman" w:eastAsia="宋体" w:cs="Times New Roman"/>
          <w:b/>
          <w:kern w:val="2"/>
          <w:sz w:val="24"/>
          <w:szCs w:val="24"/>
          <w:lang w:val="en-US" w:eastAsia="zh-CN"/>
        </w:rPr>
        <w:t>牛</w:t>
      </w:r>
      <w:r>
        <w:rPr>
          <w:rFonts w:hint="default" w:ascii="Times New Roman" w:hAnsi="Times New Roman" w:eastAsia="宋体" w:cs="Times New Roman"/>
          <w:b/>
          <w:kern w:val="2"/>
          <w:sz w:val="24"/>
          <w:szCs w:val="24"/>
        </w:rPr>
        <w:t>养殖工艺流程</w:t>
      </w:r>
    </w:p>
    <w:p w14:paraId="24DA3BE6">
      <w:pPr>
        <w:keepNext w:val="0"/>
        <w:keepLines w:val="0"/>
        <w:pageBreakBefore w:val="0"/>
        <w:widowControl/>
        <w:wordWrap/>
        <w:topLinePunct w:val="0"/>
        <w:bidi w:val="0"/>
        <w:adjustRightInd/>
        <w:snapToGrid/>
        <w:spacing w:line="360" w:lineRule="auto"/>
        <w:ind w:firstLine="482"/>
        <w:rPr>
          <w:rFonts w:ascii="Times New Roman" w:hAnsi="Times New Roman" w:eastAsia="宋体" w:cs="Times New Roman"/>
        </w:rPr>
      </w:pPr>
      <w:r>
        <w:rPr>
          <w:rFonts w:hint="default" w:ascii="Times New Roman" w:hAnsi="Times New Roman" w:eastAsia="宋体" w:cs="Times New Roman"/>
          <w:kern w:val="2"/>
          <w:sz w:val="24"/>
          <w:szCs w:val="24"/>
          <w:lang w:val="en-US" w:eastAsia="zh-CN"/>
        </w:rPr>
        <w:t>本项目采用适合本区域肉牛生产的散栏式育肥技术</w:t>
      </w:r>
      <w:r>
        <w:rPr>
          <w:rFonts w:hint="eastAsia" w:cs="Times New Roman"/>
          <w:kern w:val="2"/>
          <w:sz w:val="24"/>
          <w:szCs w:val="24"/>
          <w:lang w:val="en-US" w:eastAsia="zh-CN"/>
        </w:rPr>
        <w:t>，不拴系，无固定床位，自由采食，自由饮水，自由运动。</w:t>
      </w:r>
      <w:r>
        <w:rPr>
          <w:rFonts w:hint="eastAsia" w:ascii="Times New Roman" w:hAnsi="Times New Roman" w:eastAsia="宋体" w:cs="Times New Roman"/>
          <w:kern w:val="2"/>
          <w:sz w:val="24"/>
          <w:szCs w:val="24"/>
          <w:lang w:val="en-US" w:eastAsia="zh-CN"/>
        </w:rPr>
        <w:t>在育肥生产上采取犊牛分段育肥模式。从周边肉牛繁育场、养殖大户收购6月龄断奶的牛犊，进厂先进行消毒、防疫，经检疫后在厂区内育肥适应10天，经确定健康状况符合要求后，分配至各</w:t>
      </w:r>
      <w:r>
        <w:rPr>
          <w:rFonts w:hint="eastAsia" w:cs="Times New Roman"/>
          <w:kern w:val="2"/>
          <w:sz w:val="24"/>
          <w:szCs w:val="24"/>
          <w:lang w:val="en-US" w:eastAsia="zh-CN"/>
        </w:rPr>
        <w:t>牛圈</w:t>
      </w:r>
      <w:r>
        <w:rPr>
          <w:rFonts w:hint="eastAsia" w:ascii="Times New Roman" w:hAnsi="Times New Roman" w:eastAsia="宋体" w:cs="Times New Roman"/>
          <w:kern w:val="2"/>
          <w:sz w:val="24"/>
          <w:szCs w:val="24"/>
          <w:lang w:val="en-US" w:eastAsia="zh-CN"/>
        </w:rPr>
        <w:t>进行培育经过</w:t>
      </w:r>
      <w:r>
        <w:rPr>
          <w:rFonts w:hint="eastAsia" w:eastAsia="宋体" w:cs="Times New Roman"/>
          <w:kern w:val="2"/>
          <w:sz w:val="24"/>
          <w:szCs w:val="24"/>
          <w:lang w:val="en-US" w:eastAsia="zh-CN"/>
        </w:rPr>
        <w:t>6</w:t>
      </w:r>
      <w:r>
        <w:rPr>
          <w:rFonts w:hint="eastAsia" w:ascii="Times New Roman" w:hAnsi="Times New Roman" w:eastAsia="宋体" w:cs="Times New Roman"/>
          <w:kern w:val="2"/>
          <w:sz w:val="24"/>
          <w:szCs w:val="24"/>
          <w:lang w:val="en-US" w:eastAsia="zh-CN"/>
        </w:rPr>
        <w:t>个月育成，体重达330kg以上。进行育肥后期强化育肥</w:t>
      </w:r>
      <w:r>
        <w:rPr>
          <w:rFonts w:hint="eastAsia" w:eastAsia="宋体" w:cs="Times New Roman"/>
          <w:kern w:val="2"/>
          <w:sz w:val="24"/>
          <w:szCs w:val="24"/>
          <w:lang w:val="en-US" w:eastAsia="zh-CN"/>
        </w:rPr>
        <w:t>6</w:t>
      </w:r>
      <w:r>
        <w:rPr>
          <w:rFonts w:hint="eastAsia" w:ascii="Times New Roman" w:hAnsi="Times New Roman" w:eastAsia="宋体" w:cs="Times New Roman"/>
          <w:kern w:val="2"/>
          <w:sz w:val="24"/>
          <w:szCs w:val="24"/>
          <w:lang w:val="en-US" w:eastAsia="zh-CN"/>
        </w:rPr>
        <w:t>个月，到1</w:t>
      </w:r>
      <w:r>
        <w:rPr>
          <w:rFonts w:hint="eastAsia" w:eastAsia="宋体" w:cs="Times New Roman"/>
          <w:kern w:val="2"/>
          <w:sz w:val="24"/>
          <w:szCs w:val="24"/>
          <w:lang w:val="en-US" w:eastAsia="zh-CN"/>
        </w:rPr>
        <w:t>8</w:t>
      </w:r>
      <w:r>
        <w:rPr>
          <w:rFonts w:hint="eastAsia" w:ascii="Times New Roman" w:hAnsi="Times New Roman" w:eastAsia="宋体" w:cs="Times New Roman"/>
          <w:kern w:val="2"/>
          <w:sz w:val="24"/>
          <w:szCs w:val="24"/>
          <w:lang w:val="en-US" w:eastAsia="zh-CN"/>
        </w:rPr>
        <w:t>月龄出栏上市，活重达</w:t>
      </w:r>
      <w:r>
        <w:rPr>
          <w:rFonts w:hint="eastAsia" w:cs="Times New Roman"/>
          <w:kern w:val="2"/>
          <w:sz w:val="24"/>
          <w:szCs w:val="24"/>
          <w:lang w:val="en-US" w:eastAsia="zh-CN"/>
        </w:rPr>
        <w:t>7</w:t>
      </w:r>
      <w:r>
        <w:rPr>
          <w:rFonts w:hint="eastAsia" w:ascii="Times New Roman" w:hAnsi="Times New Roman" w:eastAsia="宋体" w:cs="Times New Roman"/>
          <w:kern w:val="2"/>
          <w:sz w:val="24"/>
          <w:szCs w:val="24"/>
          <w:lang w:val="en-US" w:eastAsia="zh-CN"/>
        </w:rPr>
        <w:t>50kg。</w:t>
      </w:r>
    </w:p>
    <w:p w14:paraId="6FDDBC79">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.3.2配套工艺</w:t>
      </w:r>
    </w:p>
    <w:p w14:paraId="27BE0D0E">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0"/>
          <w:sz w:val="24"/>
          <w:szCs w:val="24"/>
          <w:lang w:val="en-US" w:eastAsia="zh-CN"/>
        </w:rPr>
        <w:t>1</w:t>
      </w: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0"/>
          <w:sz w:val="24"/>
          <w:szCs w:val="24"/>
          <w:lang w:val="en-US" w:eastAsia="zh-CN"/>
        </w:rPr>
        <w:t>饲草料加工</w:t>
      </w:r>
    </w:p>
    <w:p w14:paraId="39E1B159">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①</w:t>
      </w:r>
      <w:r>
        <w:rPr>
          <w:rFonts w:hint="default" w:ascii="Times New Roman" w:hAnsi="Times New Roman" w:eastAsia="宋体" w:cs="Times New Roman"/>
          <w:kern w:val="2"/>
          <w:sz w:val="24"/>
          <w:szCs w:val="24"/>
          <w:lang w:val="en-US" w:eastAsia="zh-CN"/>
        </w:rPr>
        <w:t>青</w:t>
      </w:r>
      <w:r>
        <w:rPr>
          <w:rFonts w:hint="eastAsia" w:cs="Times New Roman"/>
          <w:kern w:val="2"/>
          <w:sz w:val="24"/>
          <w:szCs w:val="24"/>
          <w:lang w:val="en-US" w:eastAsia="zh-CN"/>
        </w:rPr>
        <w:t>储料</w:t>
      </w:r>
    </w:p>
    <w:p w14:paraId="05E97FB5">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外购</w:t>
      </w:r>
      <w:r>
        <w:rPr>
          <w:rFonts w:hint="default" w:ascii="Times New Roman" w:hAnsi="Times New Roman" w:eastAsia="宋体" w:cs="Times New Roman"/>
          <w:color w:val="auto"/>
          <w:kern w:val="0"/>
          <w:sz w:val="24"/>
          <w:szCs w:val="24"/>
          <w:lang w:val="en-US" w:eastAsia="zh-CN"/>
        </w:rPr>
        <w:t>在乳熟后期至蜡熟前期刈割</w:t>
      </w:r>
      <w:r>
        <w:rPr>
          <w:rFonts w:hint="eastAsia" w:cs="Times New Roman"/>
          <w:color w:val="auto"/>
          <w:kern w:val="0"/>
          <w:sz w:val="24"/>
          <w:szCs w:val="24"/>
          <w:lang w:val="en-US" w:eastAsia="zh-CN"/>
        </w:rPr>
        <w:t>的玉米青料入场，入场为已经切碎的原料（</w:t>
      </w:r>
      <w:r>
        <w:rPr>
          <w:rFonts w:hint="default" w:ascii="Times New Roman" w:hAnsi="Times New Roman" w:eastAsia="宋体" w:cs="Times New Roman"/>
          <w:color w:val="auto"/>
          <w:kern w:val="0"/>
          <w:sz w:val="24"/>
          <w:szCs w:val="24"/>
          <w:lang w:val="en-US" w:eastAsia="zh-CN"/>
        </w:rPr>
        <w:t>一般玉米秆铡成2</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3厘米长</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将新鲜的</w:t>
      </w:r>
      <w:r>
        <w:rPr>
          <w:rFonts w:hint="eastAsia" w:cs="Times New Roman"/>
          <w:color w:val="auto"/>
          <w:kern w:val="0"/>
          <w:sz w:val="24"/>
          <w:szCs w:val="24"/>
          <w:lang w:val="en-US" w:eastAsia="zh-CN"/>
        </w:rPr>
        <w:t>青储料投入饲草堆放场地，饲草堆放场地倾斜布设，南高北低，高处为进出口，其余三侧均设置围挡，青储</w:t>
      </w:r>
      <w:r>
        <w:rPr>
          <w:rFonts w:hint="eastAsia" w:ascii="Times New Roman" w:hAnsi="Times New Roman" w:cs="Times New Roman"/>
          <w:color w:val="auto"/>
          <w:kern w:val="0"/>
          <w:sz w:val="24"/>
          <w:szCs w:val="24"/>
          <w:lang w:val="en-US" w:eastAsia="zh-CN"/>
        </w:rPr>
        <w:t>原料</w:t>
      </w:r>
      <w:r>
        <w:rPr>
          <w:rFonts w:hint="eastAsia" w:cs="Times New Roman"/>
          <w:color w:val="auto"/>
          <w:kern w:val="0"/>
          <w:sz w:val="24"/>
          <w:szCs w:val="24"/>
          <w:lang w:val="en-US" w:eastAsia="zh-CN"/>
        </w:rPr>
        <w:t>入场后</w:t>
      </w:r>
      <w:r>
        <w:rPr>
          <w:rFonts w:hint="eastAsia" w:ascii="Times New Roman" w:hAnsi="Times New Roman" w:cs="Times New Roman"/>
          <w:color w:val="auto"/>
          <w:kern w:val="0"/>
          <w:sz w:val="24"/>
          <w:szCs w:val="24"/>
          <w:lang w:val="en-US" w:eastAsia="zh-CN"/>
        </w:rPr>
        <w:t>需要压实</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把铡碎的原料逐层装入</w:t>
      </w:r>
      <w:r>
        <w:rPr>
          <w:rFonts w:hint="eastAsia" w:cs="Times New Roman"/>
          <w:color w:val="auto"/>
          <w:kern w:val="0"/>
          <w:sz w:val="24"/>
          <w:szCs w:val="24"/>
          <w:lang w:val="en-US" w:eastAsia="zh-CN"/>
        </w:rPr>
        <w:t>饲草堆放场地</w:t>
      </w:r>
      <w:r>
        <w:rPr>
          <w:rFonts w:hint="eastAsia" w:ascii="Times New Roman" w:hAnsi="Times New Roman" w:cs="Times New Roman"/>
          <w:color w:val="auto"/>
          <w:kern w:val="0"/>
          <w:sz w:val="24"/>
          <w:szCs w:val="24"/>
          <w:lang w:val="en-US" w:eastAsia="zh-CN"/>
        </w:rPr>
        <w:t>内，底部填一层10</w:t>
      </w:r>
      <w:r>
        <w:rPr>
          <w:rFonts w:hint="eastAsia" w:cs="Times New Roman"/>
          <w:color w:val="auto"/>
          <w:kern w:val="0"/>
          <w:sz w:val="24"/>
          <w:szCs w:val="24"/>
          <w:lang w:val="en-US" w:eastAsia="zh-CN"/>
        </w:rPr>
        <w:t>—</w:t>
      </w:r>
      <w:r>
        <w:rPr>
          <w:rFonts w:hint="eastAsia" w:ascii="Times New Roman" w:hAnsi="Times New Roman" w:cs="Times New Roman"/>
          <w:color w:val="auto"/>
          <w:kern w:val="0"/>
          <w:sz w:val="24"/>
          <w:szCs w:val="24"/>
          <w:lang w:val="en-US" w:eastAsia="zh-CN"/>
        </w:rPr>
        <w:t>15厘米厚的干秸秆，每装填20</w:t>
      </w:r>
      <w:r>
        <w:rPr>
          <w:rFonts w:hint="eastAsia" w:cs="Times New Roman"/>
          <w:color w:val="auto"/>
          <w:kern w:val="0"/>
          <w:sz w:val="24"/>
          <w:szCs w:val="24"/>
          <w:lang w:val="en-US" w:eastAsia="zh-CN"/>
        </w:rPr>
        <w:t>—</w:t>
      </w:r>
      <w:r>
        <w:rPr>
          <w:rFonts w:hint="eastAsia" w:ascii="Times New Roman" w:hAnsi="Times New Roman" w:cs="Times New Roman"/>
          <w:color w:val="auto"/>
          <w:kern w:val="0"/>
          <w:sz w:val="24"/>
          <w:szCs w:val="24"/>
          <w:lang w:val="en-US" w:eastAsia="zh-CN"/>
        </w:rPr>
        <w:t>40厘米压实一次</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植物组织能渗出汁液，有利于乳酸菌生长，加速</w:t>
      </w:r>
      <w:r>
        <w:rPr>
          <w:rFonts w:hint="eastAsia" w:cs="Times New Roman"/>
          <w:color w:val="auto"/>
          <w:kern w:val="0"/>
          <w:sz w:val="24"/>
          <w:szCs w:val="24"/>
          <w:lang w:val="en-US" w:eastAsia="zh-CN"/>
        </w:rPr>
        <w:t>青储</w:t>
      </w:r>
      <w:r>
        <w:rPr>
          <w:rFonts w:hint="default" w:ascii="Times New Roman" w:hAnsi="Times New Roman" w:eastAsia="宋体" w:cs="Times New Roman"/>
          <w:color w:val="auto"/>
          <w:kern w:val="0"/>
          <w:sz w:val="24"/>
          <w:szCs w:val="24"/>
          <w:lang w:val="en-US" w:eastAsia="zh-CN"/>
        </w:rPr>
        <w:t>过程；若2天内不能填满时，要采用逐层压实的方法，以减少原料与空气的接触的时间。覆盖密封塑料布，隔绝空气，在厌氧的条件下经过乳酸菌的发酵，使原料中所含糖分变为乳酸。</w:t>
      </w:r>
      <w:r>
        <w:rPr>
          <w:rFonts w:hint="eastAsia" w:ascii="Times New Roman" w:hAnsi="Times New Roman" w:cs="Times New Roman"/>
          <w:color w:val="auto"/>
          <w:kern w:val="0"/>
          <w:sz w:val="24"/>
          <w:szCs w:val="24"/>
          <w:lang w:val="en-US" w:eastAsia="zh-CN"/>
        </w:rPr>
        <w:t>经过35</w:t>
      </w:r>
      <w:r>
        <w:rPr>
          <w:rFonts w:hint="eastAsia" w:cs="Times New Roman"/>
          <w:color w:val="auto"/>
          <w:kern w:val="0"/>
          <w:sz w:val="24"/>
          <w:szCs w:val="24"/>
          <w:lang w:val="en-US" w:eastAsia="zh-CN"/>
        </w:rPr>
        <w:t>—</w:t>
      </w:r>
      <w:r>
        <w:rPr>
          <w:rFonts w:hint="eastAsia" w:ascii="Times New Roman" w:hAnsi="Times New Roman" w:cs="Times New Roman"/>
          <w:color w:val="auto"/>
          <w:kern w:val="0"/>
          <w:sz w:val="24"/>
          <w:szCs w:val="24"/>
          <w:lang w:val="en-US" w:eastAsia="zh-CN"/>
        </w:rPr>
        <w:t>45天</w:t>
      </w:r>
      <w:r>
        <w:rPr>
          <w:rFonts w:hint="eastAsia" w:cs="Times New Roman"/>
          <w:color w:val="auto"/>
          <w:kern w:val="0"/>
          <w:sz w:val="24"/>
          <w:szCs w:val="24"/>
          <w:lang w:val="en-US" w:eastAsia="zh-CN"/>
        </w:rPr>
        <w:t>发酵后</w:t>
      </w:r>
      <w:r>
        <w:rPr>
          <w:rFonts w:hint="eastAsia" w:ascii="Times New Roman" w:hAnsi="Times New Roman" w:cs="Times New Roman"/>
          <w:color w:val="auto"/>
          <w:kern w:val="0"/>
          <w:sz w:val="24"/>
          <w:szCs w:val="24"/>
          <w:lang w:val="en-US" w:eastAsia="zh-CN"/>
        </w:rPr>
        <w:t>即可</w:t>
      </w:r>
      <w:r>
        <w:rPr>
          <w:rFonts w:hint="eastAsia" w:cs="Times New Roman"/>
          <w:color w:val="auto"/>
          <w:kern w:val="0"/>
          <w:sz w:val="24"/>
          <w:szCs w:val="24"/>
          <w:lang w:val="en-US" w:eastAsia="zh-CN"/>
        </w:rPr>
        <w:t>开口</w:t>
      </w:r>
      <w:r>
        <w:rPr>
          <w:rFonts w:hint="eastAsia" w:ascii="Times New Roman" w:hAnsi="Times New Roman" w:cs="Times New Roman"/>
          <w:color w:val="auto"/>
          <w:kern w:val="0"/>
          <w:sz w:val="24"/>
          <w:szCs w:val="24"/>
          <w:lang w:val="en-US" w:eastAsia="zh-CN"/>
        </w:rPr>
        <w:t>饲用</w:t>
      </w:r>
      <w:r>
        <w:rPr>
          <w:rFonts w:hint="default" w:ascii="Times New Roman" w:hAnsi="Times New Roman" w:eastAsia="宋体" w:cs="Times New Roman"/>
          <w:color w:val="auto"/>
          <w:kern w:val="0"/>
          <w:sz w:val="24"/>
          <w:szCs w:val="24"/>
          <w:lang w:val="en-US" w:eastAsia="zh-CN"/>
        </w:rPr>
        <w:t>，</w:t>
      </w:r>
      <w:r>
        <w:rPr>
          <w:rFonts w:hint="eastAsia" w:cs="Times New Roman"/>
          <w:color w:val="auto"/>
          <w:kern w:val="0"/>
          <w:sz w:val="24"/>
          <w:szCs w:val="24"/>
          <w:lang w:val="en-US" w:eastAsia="zh-CN"/>
        </w:rPr>
        <w:t>开口取用时，应从高出进出口端开始，垂直断面逐段取用，</w:t>
      </w:r>
      <w:r>
        <w:rPr>
          <w:rFonts w:hint="eastAsia" w:ascii="Times New Roman" w:hAnsi="Times New Roman" w:cs="Times New Roman"/>
          <w:color w:val="auto"/>
          <w:kern w:val="0"/>
          <w:sz w:val="24"/>
          <w:szCs w:val="24"/>
          <w:lang w:val="en-US" w:eastAsia="zh-CN"/>
        </w:rPr>
        <w:t>开</w:t>
      </w:r>
      <w:r>
        <w:rPr>
          <w:rFonts w:hint="eastAsia" w:cs="Times New Roman"/>
          <w:color w:val="auto"/>
          <w:kern w:val="0"/>
          <w:sz w:val="24"/>
          <w:szCs w:val="24"/>
          <w:lang w:val="en-US" w:eastAsia="zh-CN"/>
        </w:rPr>
        <w:t>口</w:t>
      </w:r>
      <w:r>
        <w:rPr>
          <w:rFonts w:hint="eastAsia" w:ascii="Times New Roman" w:hAnsi="Times New Roman" w:cs="Times New Roman"/>
          <w:color w:val="auto"/>
          <w:kern w:val="0"/>
          <w:sz w:val="24"/>
          <w:szCs w:val="24"/>
          <w:lang w:val="en-US" w:eastAsia="zh-CN"/>
        </w:rPr>
        <w:t>面的大小根据牲畜的日喂量而定</w:t>
      </w:r>
      <w:r>
        <w:rPr>
          <w:rFonts w:hint="eastAsia" w:cs="Times New Roman"/>
          <w:color w:val="auto"/>
          <w:kern w:val="0"/>
          <w:sz w:val="24"/>
          <w:szCs w:val="24"/>
          <w:lang w:val="en-US" w:eastAsia="zh-CN"/>
        </w:rPr>
        <w:t>，</w:t>
      </w:r>
      <w:r>
        <w:rPr>
          <w:rFonts w:hint="eastAsia" w:ascii="Times New Roman" w:hAnsi="Times New Roman" w:cs="Times New Roman"/>
          <w:color w:val="auto"/>
          <w:kern w:val="0"/>
          <w:sz w:val="24"/>
          <w:szCs w:val="24"/>
          <w:lang w:val="en-US" w:eastAsia="zh-CN"/>
        </w:rPr>
        <w:t>现取现用，</w:t>
      </w:r>
      <w:r>
        <w:rPr>
          <w:rFonts w:hint="eastAsia" w:cs="Times New Roman"/>
          <w:color w:val="auto"/>
          <w:kern w:val="0"/>
          <w:sz w:val="24"/>
          <w:szCs w:val="24"/>
          <w:lang w:val="en-US" w:eastAsia="zh-CN"/>
        </w:rPr>
        <w:t>取后及时用塑料布密封，防止二次发酵导致霉变。</w:t>
      </w:r>
    </w:p>
    <w:p w14:paraId="1975C424">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②精饲料</w:t>
      </w:r>
    </w:p>
    <w:p w14:paraId="3AE059A7">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本项目购买袋装精饲料，根据育肥牛不同生长阶段的日粮配方，搭配粗饲料、</w:t>
      </w:r>
      <w:r>
        <w:rPr>
          <w:rFonts w:hint="eastAsia" w:cs="Times New Roman"/>
          <w:color w:val="auto"/>
          <w:kern w:val="0"/>
          <w:sz w:val="24"/>
          <w:szCs w:val="24"/>
          <w:lang w:val="en-US" w:eastAsia="zh-CN"/>
        </w:rPr>
        <w:t>青储料</w:t>
      </w:r>
      <w:r>
        <w:rPr>
          <w:rFonts w:hint="eastAsia" w:ascii="Times New Roman" w:hAnsi="Times New Roman" w:eastAsia="宋体" w:cs="Times New Roman"/>
          <w:color w:val="auto"/>
          <w:kern w:val="0"/>
          <w:sz w:val="24"/>
          <w:szCs w:val="24"/>
          <w:lang w:val="en-US" w:eastAsia="zh-CN"/>
        </w:rPr>
        <w:t>使用。</w:t>
      </w:r>
    </w:p>
    <w:p w14:paraId="34BFB6B1">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③粗饲料</w:t>
      </w:r>
    </w:p>
    <w:p w14:paraId="05597E0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cs="Times New Roman"/>
          <w:color w:val="auto"/>
          <w:sz w:val="24"/>
          <w:szCs w:val="24"/>
          <w:lang w:val="en-US" w:eastAsia="zh-CN"/>
        </w:rPr>
      </w:pPr>
      <w:r>
        <w:rPr>
          <w:rFonts w:hint="eastAsia" w:ascii="Times New Roman" w:hAnsi="Times New Roman" w:eastAsia="宋体" w:cs="Times New Roman"/>
          <w:color w:val="auto"/>
          <w:kern w:val="0"/>
          <w:sz w:val="24"/>
          <w:szCs w:val="24"/>
          <w:lang w:val="en-US" w:eastAsia="zh-CN"/>
        </w:rPr>
        <w:t>按照饲料多样性搭配的原则，</w:t>
      </w:r>
      <w:r>
        <w:rPr>
          <w:rFonts w:hint="eastAsia" w:cs="Times New Roman"/>
          <w:color w:val="auto"/>
          <w:kern w:val="0"/>
          <w:sz w:val="24"/>
          <w:szCs w:val="24"/>
          <w:lang w:val="en-US" w:eastAsia="zh-CN"/>
        </w:rPr>
        <w:t>外购麦草、玉米秸秆</w:t>
      </w:r>
      <w:r>
        <w:rPr>
          <w:rFonts w:hint="eastAsia" w:ascii="Times New Roman" w:hAnsi="Times New Roman" w:eastAsia="宋体" w:cs="Times New Roman"/>
          <w:color w:val="auto"/>
          <w:kern w:val="0"/>
          <w:sz w:val="24"/>
          <w:szCs w:val="24"/>
          <w:lang w:val="en-US" w:eastAsia="zh-CN"/>
        </w:rPr>
        <w:t>等</w:t>
      </w:r>
      <w:r>
        <w:rPr>
          <w:rFonts w:hint="eastAsia" w:cs="Times New Roman"/>
          <w:color w:val="auto"/>
          <w:kern w:val="0"/>
          <w:sz w:val="24"/>
          <w:szCs w:val="24"/>
          <w:lang w:val="en-US" w:eastAsia="zh-CN"/>
        </w:rPr>
        <w:t>入场后进入饲料加工车间的饲料粉碎机先进行粉碎，粉碎后</w:t>
      </w:r>
      <w:r>
        <w:rPr>
          <w:rFonts w:hint="eastAsia" w:ascii="Times New Roman" w:hAnsi="Times New Roman" w:eastAsia="宋体" w:cs="Times New Roman"/>
          <w:color w:val="auto"/>
          <w:kern w:val="0"/>
          <w:sz w:val="24"/>
          <w:szCs w:val="24"/>
          <w:lang w:val="en-US" w:eastAsia="zh-CN"/>
        </w:rPr>
        <w:t>经</w:t>
      </w:r>
      <w:r>
        <w:rPr>
          <w:rFonts w:hint="eastAsia" w:cs="Times New Roman"/>
          <w:color w:val="auto"/>
          <w:kern w:val="0"/>
          <w:sz w:val="24"/>
          <w:szCs w:val="24"/>
          <w:lang w:val="en-US" w:eastAsia="zh-CN"/>
        </w:rPr>
        <w:t>固定式</w:t>
      </w:r>
      <w:r>
        <w:rPr>
          <w:rFonts w:hint="eastAsia" w:ascii="Times New Roman" w:hAnsi="Times New Roman" w:eastAsia="宋体" w:cs="Times New Roman"/>
          <w:color w:val="auto"/>
          <w:kern w:val="0"/>
          <w:sz w:val="24"/>
          <w:szCs w:val="24"/>
          <w:lang w:val="en-US" w:eastAsia="zh-CN"/>
        </w:rPr>
        <w:t>TMR机与青储料、</w:t>
      </w:r>
      <w:r>
        <w:rPr>
          <w:rFonts w:hint="eastAsia" w:cs="Times New Roman"/>
          <w:color w:val="auto"/>
          <w:kern w:val="0"/>
          <w:sz w:val="24"/>
          <w:szCs w:val="24"/>
          <w:lang w:val="en-US" w:eastAsia="zh-CN"/>
        </w:rPr>
        <w:t>精饲料</w:t>
      </w:r>
      <w:r>
        <w:rPr>
          <w:rFonts w:hint="eastAsia" w:ascii="Times New Roman" w:hAnsi="Times New Roman" w:eastAsia="宋体" w:cs="Times New Roman"/>
          <w:color w:val="auto"/>
          <w:kern w:val="0"/>
          <w:sz w:val="24"/>
          <w:szCs w:val="24"/>
          <w:lang w:val="en-US" w:eastAsia="zh-CN"/>
        </w:rPr>
        <w:t>按照不同生长阶段的日粮配方进行混合后</w:t>
      </w:r>
      <w:r>
        <w:rPr>
          <w:rFonts w:hint="eastAsia" w:cs="Times New Roman"/>
          <w:color w:val="auto"/>
          <w:kern w:val="0"/>
          <w:sz w:val="24"/>
          <w:szCs w:val="24"/>
          <w:lang w:val="en-US" w:eastAsia="zh-CN"/>
        </w:rPr>
        <w:t>由撒料车运至养殖区</w:t>
      </w:r>
      <w:r>
        <w:rPr>
          <w:rFonts w:hint="eastAsia" w:ascii="Times New Roman" w:hAnsi="Times New Roman" w:eastAsia="宋体" w:cs="Times New Roman"/>
          <w:color w:val="auto"/>
          <w:kern w:val="0"/>
          <w:sz w:val="24"/>
          <w:szCs w:val="24"/>
          <w:lang w:val="en-US" w:eastAsia="zh-CN"/>
        </w:rPr>
        <w:t>投喂。</w:t>
      </w:r>
      <w:r>
        <w:rPr>
          <w:rFonts w:hint="eastAsia" w:cs="Times New Roman"/>
          <w:color w:val="auto"/>
          <w:kern w:val="0"/>
          <w:sz w:val="24"/>
          <w:szCs w:val="24"/>
          <w:lang w:val="en-US" w:eastAsia="zh-CN"/>
        </w:rPr>
        <w:t>此过程会产生饲料粉碎粉尘G1、</w:t>
      </w:r>
      <w:r>
        <w:rPr>
          <w:rFonts w:hint="eastAsia" w:ascii="Times New Roman" w:hAnsi="Times New Roman" w:eastAsia="宋体" w:cs="Times New Roman"/>
          <w:kern w:val="2"/>
          <w:sz w:val="24"/>
          <w:szCs w:val="24"/>
          <w:lang w:val="en-US" w:eastAsia="zh-CN"/>
        </w:rPr>
        <w:t>饲料</w:t>
      </w:r>
      <w:r>
        <w:rPr>
          <w:rFonts w:hint="eastAsia" w:cs="Times New Roman"/>
          <w:kern w:val="2"/>
          <w:sz w:val="24"/>
          <w:szCs w:val="24"/>
          <w:lang w:val="en-US" w:eastAsia="zh-CN"/>
        </w:rPr>
        <w:t>搅拌粉尘</w:t>
      </w:r>
      <w:r>
        <w:rPr>
          <w:rFonts w:hint="default" w:ascii="Times New Roman" w:hAnsi="Times New Roman" w:eastAsia="宋体" w:cs="Times New Roman"/>
          <w:kern w:val="2"/>
          <w:sz w:val="24"/>
          <w:szCs w:val="24"/>
          <w:lang w:val="en-US" w:eastAsia="zh-CN"/>
        </w:rPr>
        <w:t>G</w:t>
      </w:r>
      <w:r>
        <w:rPr>
          <w:rFonts w:hint="eastAsia" w:cs="Times New Roman"/>
          <w:kern w:val="2"/>
          <w:sz w:val="24"/>
          <w:szCs w:val="24"/>
          <w:lang w:val="en-US" w:eastAsia="zh-CN"/>
        </w:rPr>
        <w:t>2、饲料撒料粉尘G3、移动源TMR尾气G4、</w:t>
      </w:r>
      <w:r>
        <w:rPr>
          <w:rFonts w:hint="eastAsia" w:cs="Times New Roman"/>
          <w:color w:val="auto"/>
          <w:sz w:val="24"/>
          <w:szCs w:val="24"/>
          <w:lang w:val="en-US" w:eastAsia="zh-CN"/>
        </w:rPr>
        <w:t>废包装材料S1、粉碎机噪声N1、固定式</w:t>
      </w:r>
      <w:r>
        <w:rPr>
          <w:rFonts w:hint="eastAsia" w:ascii="Times New Roman" w:hAnsi="Times New Roman" w:eastAsia="宋体" w:cs="Times New Roman"/>
          <w:color w:val="auto"/>
          <w:kern w:val="0"/>
          <w:sz w:val="24"/>
          <w:szCs w:val="24"/>
          <w:lang w:val="en-US" w:eastAsia="zh-CN"/>
        </w:rPr>
        <w:t>TMR机</w:t>
      </w:r>
      <w:r>
        <w:rPr>
          <w:rFonts w:hint="eastAsia" w:cs="Times New Roman"/>
          <w:color w:val="auto"/>
          <w:sz w:val="24"/>
          <w:szCs w:val="24"/>
          <w:lang w:val="en-US" w:eastAsia="zh-CN"/>
        </w:rPr>
        <w:t>噪声N2、撒料车噪声N3。</w:t>
      </w:r>
    </w:p>
    <w:p w14:paraId="02BC439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lang w:val="en-US" w:eastAsia="zh-CN"/>
        </w:rPr>
      </w:pPr>
      <w:r>
        <w:rPr>
          <w:rFonts w:hint="eastAsia" w:ascii="Times New Roman" w:hAnsi="Times New Roman" w:cs="Times New Roman"/>
          <w:kern w:val="2"/>
          <w:sz w:val="24"/>
          <w:szCs w:val="24"/>
          <w:lang w:val="en-US" w:eastAsia="zh-CN"/>
        </w:rPr>
        <w:t>饲料加工区饲料加工粉尘（饲料粉碎粉尘、搅拌粉尘）分别经包围型集气罩集中收集后，共同由一套袋式除尘+15m排气筒（DA002饲料加工车间排放口）处理，此过程会产生除尘灰S2以及废布袋S3以及风机设备运行噪声N11。一般固废废包装材料集中收集后暂存于库房内，定期外售回收单位综合利用，饲料加工除尘灰集中收集后暂存于库房内，回用于饲料加工，废布袋集中收集至堆肥间，由原厂回收。</w:t>
      </w:r>
    </w:p>
    <w:p w14:paraId="40C3CB94">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牛粪</w:t>
      </w:r>
      <w:r>
        <w:rPr>
          <w:rFonts w:hint="default" w:ascii="Times New Roman" w:hAnsi="Times New Roman" w:eastAsia="宋体" w:cs="Times New Roman"/>
          <w:color w:val="auto"/>
          <w:kern w:val="0"/>
          <w:sz w:val="24"/>
          <w:szCs w:val="24"/>
        </w:rPr>
        <w:t>清理</w:t>
      </w:r>
    </w:p>
    <w:p w14:paraId="3C127C8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①铺设发酵床</w:t>
      </w:r>
    </w:p>
    <w:p w14:paraId="25D3948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项目采用发酵床养殖技术，即利用稻壳、锯末、作物秸秆等材料制作成垫料，铺设在特殊设计的发酵床上，借助有益菌的作用分解发酵畜禽粪便中的有机物质，消除畜禽粪便中氨气和硫化氢等恶臭气体，改善养殖舍环境的一种生态养殖技术。包括原位发酵、异位发酵，本项目采用原位发酵，即在养殖</w:t>
      </w:r>
      <w:r>
        <w:rPr>
          <w:rFonts w:hint="eastAsia" w:cs="Times New Roman"/>
          <w:kern w:val="2"/>
          <w:sz w:val="24"/>
          <w:szCs w:val="24"/>
          <w:lang w:val="en-US" w:eastAsia="zh-CN"/>
        </w:rPr>
        <w:t>圈舍</w:t>
      </w:r>
      <w:r>
        <w:rPr>
          <w:rFonts w:hint="default" w:ascii="Times New Roman" w:hAnsi="Times New Roman" w:eastAsia="宋体" w:cs="Times New Roman"/>
          <w:kern w:val="2"/>
          <w:sz w:val="24"/>
          <w:szCs w:val="24"/>
          <w:lang w:eastAsia="zh-CN"/>
        </w:rPr>
        <w:t>内直接发酵垫料，制成发酵床，养殖的牛直接生活生长在发酵床上，利用微生物的分解转化作用，对牛粪尿进行分解转化，降低</w:t>
      </w:r>
      <w:r>
        <w:rPr>
          <w:rFonts w:hint="eastAsia" w:cs="Times New Roman"/>
          <w:kern w:val="2"/>
          <w:sz w:val="24"/>
          <w:szCs w:val="24"/>
          <w:lang w:val="en-US" w:eastAsia="zh-CN"/>
        </w:rPr>
        <w:t>牛圈</w:t>
      </w:r>
      <w:r>
        <w:rPr>
          <w:rFonts w:hint="default" w:ascii="Times New Roman" w:hAnsi="Times New Roman" w:eastAsia="宋体" w:cs="Times New Roman"/>
          <w:kern w:val="2"/>
          <w:sz w:val="24"/>
          <w:szCs w:val="24"/>
          <w:lang w:eastAsia="zh-CN"/>
        </w:rPr>
        <w:t>氨气产生量，防止寄生虫的传染，减少牛的发病率，促进牛健康生长。</w:t>
      </w:r>
    </w:p>
    <w:p w14:paraId="05769CD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本项目</w:t>
      </w:r>
      <w:r>
        <w:rPr>
          <w:rFonts w:hint="eastAsia" w:cs="Times New Roman"/>
          <w:kern w:val="2"/>
          <w:sz w:val="24"/>
          <w:szCs w:val="24"/>
          <w:lang w:val="en-US" w:eastAsia="zh-CN"/>
        </w:rPr>
        <w:t>牛舍、饲喂凉棚以及运动场</w:t>
      </w:r>
      <w:r>
        <w:rPr>
          <w:rFonts w:hint="default" w:ascii="Times New Roman" w:hAnsi="Times New Roman" w:eastAsia="宋体" w:cs="Times New Roman"/>
          <w:kern w:val="2"/>
          <w:sz w:val="24"/>
          <w:szCs w:val="24"/>
          <w:lang w:eastAsia="zh-CN"/>
        </w:rPr>
        <w:t>充分采光、通风良好，阳光可照射到发酵床，以利于微生物的生长繁殖</w:t>
      </w:r>
      <w:r>
        <w:rPr>
          <w:rFonts w:hint="eastAsia" w:cs="Times New Roman"/>
          <w:kern w:val="2"/>
          <w:sz w:val="24"/>
          <w:szCs w:val="24"/>
          <w:lang w:eastAsia="zh-CN"/>
        </w:rPr>
        <w:t>，有</w:t>
      </w:r>
      <w:r>
        <w:rPr>
          <w:rFonts w:hint="default" w:ascii="Times New Roman" w:hAnsi="Times New Roman" w:eastAsia="宋体" w:cs="Times New Roman"/>
          <w:kern w:val="2"/>
          <w:sz w:val="24"/>
          <w:szCs w:val="24"/>
          <w:lang w:eastAsia="zh-CN"/>
        </w:rPr>
        <w:t>利于发酵。发酵床垫料一般分为三层，见下图，夏季每层厚度</w:t>
      </w:r>
      <w:r>
        <w:rPr>
          <w:rFonts w:hint="eastAsia" w:cs="Times New Roman"/>
          <w:kern w:val="2"/>
          <w:sz w:val="24"/>
          <w:szCs w:val="24"/>
          <w:lang w:val="en-US" w:eastAsia="zh-CN"/>
        </w:rPr>
        <w:t>10</w:t>
      </w:r>
      <w:r>
        <w:rPr>
          <w:rFonts w:hint="default" w:ascii="Times New Roman" w:hAnsi="Times New Roman" w:eastAsia="宋体" w:cs="Times New Roman"/>
          <w:kern w:val="2"/>
          <w:sz w:val="24"/>
          <w:szCs w:val="24"/>
          <w:lang w:eastAsia="zh-CN"/>
        </w:rPr>
        <w:t>cm，冬季每层厚度</w:t>
      </w:r>
      <w:r>
        <w:rPr>
          <w:rFonts w:hint="eastAsia" w:cs="Times New Roman"/>
          <w:kern w:val="2"/>
          <w:sz w:val="24"/>
          <w:szCs w:val="24"/>
          <w:lang w:val="en-US" w:eastAsia="zh-CN"/>
        </w:rPr>
        <w:t>可增加至20</w:t>
      </w:r>
      <w:r>
        <w:rPr>
          <w:rFonts w:hint="default" w:ascii="Times New Roman" w:hAnsi="Times New Roman" w:eastAsia="宋体" w:cs="Times New Roman"/>
          <w:kern w:val="2"/>
          <w:sz w:val="24"/>
          <w:szCs w:val="24"/>
          <w:lang w:eastAsia="zh-CN"/>
        </w:rPr>
        <w:t>cm</w:t>
      </w:r>
      <w:r>
        <w:rPr>
          <w:rFonts w:hint="eastAsia" w:cs="Times New Roman"/>
          <w:kern w:val="2"/>
          <w:sz w:val="24"/>
          <w:szCs w:val="24"/>
          <w:lang w:eastAsia="zh-CN"/>
        </w:rPr>
        <w:t>，</w:t>
      </w:r>
      <w:r>
        <w:rPr>
          <w:rFonts w:hint="eastAsia" w:cs="Times New Roman"/>
          <w:kern w:val="2"/>
          <w:sz w:val="24"/>
          <w:szCs w:val="24"/>
          <w:lang w:val="en-US" w:eastAsia="zh-CN"/>
        </w:rPr>
        <w:t>顶层可增加至30cm</w:t>
      </w:r>
      <w:r>
        <w:rPr>
          <w:rFonts w:hint="default" w:ascii="Times New Roman" w:hAnsi="Times New Roman" w:eastAsia="宋体" w:cs="Times New Roman"/>
          <w:kern w:val="2"/>
          <w:sz w:val="24"/>
          <w:szCs w:val="24"/>
          <w:lang w:eastAsia="zh-CN"/>
        </w:rPr>
        <w:t>，</w:t>
      </w:r>
      <w:r>
        <w:rPr>
          <w:rFonts w:hint="eastAsia" w:cs="Times New Roman"/>
          <w:kern w:val="2"/>
          <w:sz w:val="24"/>
          <w:szCs w:val="24"/>
          <w:lang w:val="en-US" w:eastAsia="zh-CN"/>
        </w:rPr>
        <w:t>牛圈</w:t>
      </w:r>
      <w:r>
        <w:rPr>
          <w:rFonts w:hint="default" w:ascii="Times New Roman" w:hAnsi="Times New Roman" w:eastAsia="宋体" w:cs="Times New Roman"/>
          <w:kern w:val="2"/>
          <w:sz w:val="24"/>
          <w:szCs w:val="24"/>
          <w:lang w:eastAsia="zh-CN"/>
        </w:rPr>
        <w:t>垫料层厚度夏季、秋季</w:t>
      </w:r>
      <w:r>
        <w:rPr>
          <w:rFonts w:hint="eastAsia" w:cs="Times New Roman"/>
          <w:kern w:val="2"/>
          <w:sz w:val="24"/>
          <w:szCs w:val="24"/>
          <w:lang w:val="en-US" w:eastAsia="zh-CN"/>
        </w:rPr>
        <w:t>30</w:t>
      </w:r>
      <w:r>
        <w:rPr>
          <w:rFonts w:hint="default" w:ascii="Times New Roman" w:hAnsi="Times New Roman" w:eastAsia="宋体" w:cs="Times New Roman"/>
          <w:kern w:val="2"/>
          <w:sz w:val="24"/>
          <w:szCs w:val="24"/>
          <w:lang w:eastAsia="zh-CN"/>
        </w:rPr>
        <w:t>cm，冬季、春季</w:t>
      </w:r>
      <w:r>
        <w:rPr>
          <w:rFonts w:hint="eastAsia" w:cs="Times New Roman"/>
          <w:kern w:val="2"/>
          <w:sz w:val="24"/>
          <w:szCs w:val="24"/>
          <w:lang w:val="en-US" w:eastAsia="zh-CN"/>
        </w:rPr>
        <w:t>70</w:t>
      </w:r>
      <w:r>
        <w:rPr>
          <w:rFonts w:hint="default" w:ascii="Times New Roman" w:hAnsi="Times New Roman" w:eastAsia="宋体" w:cs="Times New Roman"/>
          <w:kern w:val="2"/>
          <w:sz w:val="24"/>
          <w:szCs w:val="24"/>
          <w:lang w:eastAsia="zh-CN"/>
        </w:rPr>
        <w:t>cm，发酵剂的添加比例为垫料的1‰~2‰。</w:t>
      </w:r>
    </w:p>
    <w:p w14:paraId="7BD814B4">
      <w:pPr>
        <w:keepNext w:val="0"/>
        <w:keepLines w:val="0"/>
        <w:pageBreakBefore w:val="0"/>
        <w:widowControl w:val="0"/>
        <w:kinsoku/>
        <w:wordWrap/>
        <w:overflowPunct/>
        <w:topLinePunct w:val="0"/>
        <w:bidi w:val="0"/>
        <w:adjustRightInd/>
        <w:snapToGrid/>
        <w:spacing w:line="360" w:lineRule="auto"/>
        <w:jc w:val="center"/>
        <w:textAlignment w:val="auto"/>
      </w:pPr>
      <w:r>
        <w:drawing>
          <wp:inline distT="0" distB="0" distL="114300" distR="114300">
            <wp:extent cx="5384165" cy="1808480"/>
            <wp:effectExtent l="0" t="0" r="6985" b="127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31"/>
                    <a:stretch>
                      <a:fillRect/>
                    </a:stretch>
                  </pic:blipFill>
                  <pic:spPr>
                    <a:xfrm>
                      <a:off x="0" y="0"/>
                      <a:ext cx="5384165" cy="1808480"/>
                    </a:xfrm>
                    <a:prstGeom prst="rect">
                      <a:avLst/>
                    </a:prstGeom>
                    <a:noFill/>
                    <a:ln>
                      <a:noFill/>
                    </a:ln>
                  </pic:spPr>
                </pic:pic>
              </a:graphicData>
            </a:graphic>
          </wp:inline>
        </w:drawing>
      </w:r>
    </w:p>
    <w:p w14:paraId="2724D782">
      <w:pPr>
        <w:keepNext w:val="0"/>
        <w:keepLines w:val="0"/>
        <w:widowControl/>
        <w:suppressLineNumbers w:val="0"/>
        <w:jc w:val="center"/>
      </w:pPr>
      <w:r>
        <w:rPr>
          <w:rFonts w:hint="eastAsia" w:ascii="宋体" w:hAnsi="宋体" w:eastAsia="宋体" w:cs="宋体"/>
          <w:b/>
          <w:bCs/>
          <w:color w:val="000000"/>
          <w:kern w:val="0"/>
          <w:sz w:val="24"/>
          <w:szCs w:val="24"/>
          <w:lang w:val="en-US" w:eastAsia="zh-CN" w:bidi="ar"/>
        </w:rPr>
        <w:t>图</w:t>
      </w:r>
      <w:r>
        <w:rPr>
          <w:rFonts w:hint="default" w:ascii="Times New Roman" w:hAnsi="Times New Roman" w:eastAsia="宋体" w:cs="Times New Roman"/>
          <w:b/>
          <w:bCs/>
          <w:color w:val="000000"/>
          <w:kern w:val="0"/>
          <w:sz w:val="24"/>
          <w:szCs w:val="24"/>
          <w:lang w:val="en-US" w:eastAsia="zh-CN" w:bidi="ar"/>
        </w:rPr>
        <w:t>3.</w:t>
      </w:r>
      <w:r>
        <w:rPr>
          <w:rFonts w:hint="eastAsia" w:cs="Times New Roman"/>
          <w:b/>
          <w:bCs/>
          <w:color w:val="000000"/>
          <w:kern w:val="0"/>
          <w:sz w:val="24"/>
          <w:szCs w:val="24"/>
          <w:lang w:val="en-US" w:eastAsia="zh-CN" w:bidi="ar"/>
        </w:rPr>
        <w:t>3-2</w:t>
      </w:r>
      <w:r>
        <w:rPr>
          <w:rFonts w:hint="default" w:ascii="Times New Roman" w:hAnsi="Times New Roman" w:eastAsia="宋体" w:cs="Times New Roman"/>
          <w:b/>
          <w:bCs/>
          <w:color w:val="000000"/>
          <w:kern w:val="0"/>
          <w:sz w:val="24"/>
          <w:szCs w:val="24"/>
          <w:lang w:val="en-US" w:eastAsia="zh-CN" w:bidi="ar"/>
        </w:rPr>
        <w:t xml:space="preserve"> </w:t>
      </w:r>
      <w:r>
        <w:rPr>
          <w:rFonts w:hint="eastAsia" w:ascii="宋体" w:hAnsi="宋体" w:eastAsia="宋体" w:cs="宋体"/>
          <w:b/>
          <w:bCs/>
          <w:color w:val="000000"/>
          <w:kern w:val="0"/>
          <w:sz w:val="24"/>
          <w:szCs w:val="24"/>
          <w:lang w:val="en-US" w:eastAsia="zh-CN" w:bidi="ar"/>
        </w:rPr>
        <w:t>发酵床垫料层示意图</w:t>
      </w:r>
    </w:p>
    <w:p w14:paraId="7EF4828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垫料运输及铺设过程：外购垫料由垫料厂家负责运输至本项目</w:t>
      </w:r>
      <w:r>
        <w:rPr>
          <w:rFonts w:hint="eastAsia" w:cs="Times New Roman"/>
          <w:kern w:val="2"/>
          <w:sz w:val="24"/>
          <w:szCs w:val="24"/>
          <w:lang w:val="en-US" w:eastAsia="zh-CN"/>
        </w:rPr>
        <w:t>牛圈</w:t>
      </w:r>
      <w:r>
        <w:rPr>
          <w:rFonts w:hint="eastAsia" w:ascii="Times New Roman" w:hAnsi="Times New Roman" w:eastAsia="宋体" w:cs="Times New Roman"/>
          <w:kern w:val="2"/>
          <w:sz w:val="24"/>
          <w:szCs w:val="24"/>
          <w:lang w:val="en-US" w:eastAsia="zh-CN"/>
        </w:rPr>
        <w:t>进行铺料，牛床铺料机为集运输、铺料为一体设备，设置液压卸料门，可调节卸料高度、卸料覆盖范围（铺设距离</w:t>
      </w:r>
      <w:r>
        <w:rPr>
          <w:rFonts w:hint="default" w:ascii="Times New Roman" w:hAnsi="Times New Roman" w:eastAsia="宋体" w:cs="Times New Roman"/>
          <w:kern w:val="2"/>
          <w:sz w:val="24"/>
          <w:szCs w:val="24"/>
          <w:lang w:val="en-US" w:eastAsia="zh-CN"/>
        </w:rPr>
        <w:t>8</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12m</w:t>
      </w:r>
      <w:r>
        <w:rPr>
          <w:rFonts w:hint="eastAsia" w:ascii="Times New Roman" w:hAnsi="Times New Roman" w:eastAsia="宋体" w:cs="Times New Roman"/>
          <w:kern w:val="2"/>
          <w:sz w:val="24"/>
          <w:szCs w:val="24"/>
          <w:lang w:val="en-US" w:eastAsia="zh-CN"/>
        </w:rPr>
        <w:t>），同时可以</w:t>
      </w:r>
      <w:r>
        <w:rPr>
          <w:rFonts w:hint="eastAsia" w:cs="Times New Roman"/>
          <w:kern w:val="2"/>
          <w:sz w:val="24"/>
          <w:szCs w:val="24"/>
          <w:lang w:val="en-US" w:eastAsia="zh-CN"/>
        </w:rPr>
        <w:t>抛撒</w:t>
      </w:r>
      <w:r>
        <w:rPr>
          <w:rFonts w:hint="eastAsia" w:ascii="Times New Roman" w:hAnsi="Times New Roman" w:eastAsia="宋体" w:cs="Times New Roman"/>
          <w:kern w:val="2"/>
          <w:sz w:val="24"/>
          <w:szCs w:val="24"/>
          <w:lang w:val="en-US" w:eastAsia="zh-CN"/>
        </w:rPr>
        <w:t>多种不同垫料。</w:t>
      </w:r>
      <w:r>
        <w:rPr>
          <w:rFonts w:hint="eastAsia" w:cs="Times New Roman"/>
          <w:kern w:val="2"/>
          <w:sz w:val="24"/>
          <w:szCs w:val="24"/>
          <w:lang w:val="en-US" w:eastAsia="zh-CN"/>
        </w:rPr>
        <w:t>牛圈、牛舍以及饲喂凉棚等</w:t>
      </w:r>
      <w:r>
        <w:rPr>
          <w:rFonts w:hint="eastAsia" w:ascii="Times New Roman" w:hAnsi="Times New Roman" w:eastAsia="宋体" w:cs="Times New Roman"/>
          <w:kern w:val="2"/>
          <w:sz w:val="24"/>
          <w:szCs w:val="24"/>
          <w:lang w:val="en-US" w:eastAsia="zh-CN"/>
        </w:rPr>
        <w:t>卧床区域设置可移动的隔栏，工作人员通过推动隔栏，每次只将一小部分牛</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如</w:t>
      </w:r>
      <w:r>
        <w:rPr>
          <w:rFonts w:hint="default" w:ascii="Times New Roman" w:hAnsi="Times New Roman" w:eastAsia="宋体" w:cs="Times New Roman"/>
          <w:kern w:val="2"/>
          <w:sz w:val="24"/>
          <w:szCs w:val="24"/>
          <w:lang w:val="en-US" w:eastAsia="zh-CN"/>
        </w:rPr>
        <w:t>10</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15</w:t>
      </w:r>
      <w:r>
        <w:rPr>
          <w:rFonts w:hint="eastAsia" w:ascii="Times New Roman" w:hAnsi="Times New Roman" w:eastAsia="宋体" w:cs="Times New Roman"/>
          <w:kern w:val="2"/>
          <w:sz w:val="24"/>
          <w:szCs w:val="24"/>
          <w:lang w:val="en-US" w:eastAsia="zh-CN"/>
        </w:rPr>
        <w:t>头</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缓慢地向前驱赶，腾出一段空的卧床区域，牛床铺料机紧随其后，铺设刚刚空出来的卧床，然后继续推动隔栏，处理下一段区域，如此循环，直到整个</w:t>
      </w:r>
      <w:r>
        <w:rPr>
          <w:rFonts w:hint="eastAsia" w:cs="Times New Roman"/>
          <w:kern w:val="2"/>
          <w:sz w:val="24"/>
          <w:szCs w:val="24"/>
          <w:lang w:val="en-US" w:eastAsia="zh-CN"/>
        </w:rPr>
        <w:t>牛圈</w:t>
      </w:r>
      <w:r>
        <w:rPr>
          <w:rFonts w:hint="eastAsia" w:ascii="Times New Roman" w:hAnsi="Times New Roman" w:eastAsia="宋体" w:cs="Times New Roman"/>
          <w:kern w:val="2"/>
          <w:sz w:val="24"/>
          <w:szCs w:val="24"/>
          <w:lang w:val="en-US" w:eastAsia="zh-CN"/>
        </w:rPr>
        <w:t>铺设完成。</w:t>
      </w:r>
      <w:r>
        <w:rPr>
          <w:rFonts w:hint="eastAsia" w:cs="Times New Roman"/>
          <w:kern w:val="2"/>
          <w:sz w:val="24"/>
          <w:szCs w:val="24"/>
          <w:lang w:val="en-US" w:eastAsia="zh-CN"/>
        </w:rPr>
        <w:t>由于发酵床每年仅铺设一次，铺设过程中会喷洒液态生物菌剂，因此发酵床铺设过程中仅产生少量粉尘，可忽略不计。</w:t>
      </w:r>
    </w:p>
    <w:p w14:paraId="7A56C71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宋体" w:hAnsi="宋体" w:eastAsia="宋体" w:cs="宋体"/>
          <w:sz w:val="24"/>
          <w:szCs w:val="24"/>
        </w:rPr>
      </w:pPr>
      <w:r>
        <w:rPr>
          <w:rFonts w:hint="eastAsia" w:ascii="Times New Roman" w:hAnsi="Times New Roman" w:eastAsia="宋体" w:cs="Times New Roman"/>
          <w:kern w:val="2"/>
          <w:sz w:val="24"/>
          <w:szCs w:val="24"/>
          <w:lang w:val="en-US" w:eastAsia="zh-CN"/>
        </w:rPr>
        <w:t>发酵床养殖</w:t>
      </w:r>
      <w:r>
        <w:rPr>
          <w:rFonts w:hint="eastAsia" w:cs="Times New Roman"/>
          <w:kern w:val="2"/>
          <w:sz w:val="24"/>
          <w:szCs w:val="24"/>
          <w:lang w:val="en-US" w:eastAsia="zh-CN"/>
        </w:rPr>
        <w:t>过程中</w:t>
      </w:r>
      <w:r>
        <w:rPr>
          <w:rFonts w:hint="eastAsia" w:ascii="Times New Roman" w:hAnsi="Times New Roman" w:eastAsia="宋体" w:cs="Times New Roman"/>
          <w:kern w:val="2"/>
          <w:sz w:val="24"/>
          <w:szCs w:val="24"/>
          <w:lang w:val="en-US" w:eastAsia="zh-CN"/>
        </w:rPr>
        <w:t>，牛尿、牛粪经发酵床中的生物菌分解后，一部分转化成无臭气体排放掉，一部分分解成粗蛋白和菌体蛋白等继续留在发酵床。</w:t>
      </w:r>
      <w:r>
        <w:rPr>
          <w:rFonts w:hint="eastAsia" w:cs="Times New Roman"/>
          <w:kern w:val="2"/>
          <w:sz w:val="24"/>
          <w:szCs w:val="24"/>
          <w:lang w:val="en-US" w:eastAsia="zh-CN"/>
        </w:rPr>
        <w:t>牛圈</w:t>
      </w:r>
      <w:r>
        <w:rPr>
          <w:rFonts w:hint="eastAsia" w:ascii="Times New Roman" w:hAnsi="Times New Roman" w:eastAsia="宋体" w:cs="Times New Roman"/>
          <w:kern w:val="2"/>
          <w:sz w:val="24"/>
          <w:szCs w:val="24"/>
          <w:lang w:val="en-US" w:eastAsia="zh-CN"/>
        </w:rPr>
        <w:t>垫床使用过程中需保持干燥，因此发酵床</w:t>
      </w:r>
      <w:r>
        <w:rPr>
          <w:rFonts w:hint="eastAsia" w:cs="Times New Roman"/>
          <w:kern w:val="2"/>
          <w:sz w:val="24"/>
          <w:szCs w:val="24"/>
          <w:lang w:val="en-US" w:eastAsia="zh-CN"/>
        </w:rPr>
        <w:t>牛圈</w:t>
      </w:r>
      <w:r>
        <w:rPr>
          <w:rFonts w:hint="eastAsia" w:ascii="Times New Roman" w:hAnsi="Times New Roman" w:eastAsia="宋体" w:cs="Times New Roman"/>
          <w:kern w:val="2"/>
          <w:sz w:val="24"/>
          <w:szCs w:val="24"/>
          <w:lang w:val="en-US" w:eastAsia="zh-CN"/>
        </w:rPr>
        <w:t>中无冲洗废水产生。牛粪经发酵菌分解和牛群踩踏继续留在发酵床，在牛舍更换垫料后，使用消毒液对牛舍进行彻底的消毒，无需对牛舍地面以及四周围堰进行冲洗；消毒完成后铺设一层新的垫料。</w:t>
      </w:r>
      <w:r>
        <w:rPr>
          <w:rFonts w:ascii="宋体" w:hAnsi="宋体" w:eastAsia="宋体" w:cs="宋体"/>
          <w:sz w:val="24"/>
          <w:szCs w:val="24"/>
        </w:rPr>
        <w:t>管理完善的垫草垫料工艺不产生废水，它将动物粪尿全部转化为固体有机肥，可 实现养殖过程的</w:t>
      </w:r>
      <w:r>
        <w:rPr>
          <w:rFonts w:hint="eastAsia" w:ascii="宋体" w:hAnsi="宋体" w:cs="宋体"/>
          <w:sz w:val="24"/>
          <w:szCs w:val="24"/>
          <w:lang w:eastAsia="zh-CN"/>
        </w:rPr>
        <w:t>“</w:t>
      </w:r>
      <w:r>
        <w:rPr>
          <w:rFonts w:ascii="宋体" w:hAnsi="宋体" w:eastAsia="宋体" w:cs="宋体"/>
          <w:sz w:val="24"/>
          <w:szCs w:val="24"/>
        </w:rPr>
        <w:t>零液体排放</w:t>
      </w:r>
      <w:r>
        <w:rPr>
          <w:rFonts w:hint="eastAsia" w:ascii="宋体" w:hAnsi="宋体" w:cs="宋体"/>
          <w:sz w:val="24"/>
          <w:szCs w:val="24"/>
          <w:lang w:eastAsia="zh-CN"/>
        </w:rPr>
        <w:t>”</w:t>
      </w:r>
      <w:r>
        <w:rPr>
          <w:rFonts w:ascii="宋体" w:hAnsi="宋体" w:eastAsia="宋体" w:cs="宋体"/>
          <w:sz w:val="24"/>
          <w:szCs w:val="24"/>
        </w:rPr>
        <w:t>。</w:t>
      </w:r>
    </w:p>
    <w:p w14:paraId="0A93D26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0000FF"/>
          <w:kern w:val="2"/>
          <w:sz w:val="24"/>
          <w:szCs w:val="24"/>
          <w:lang w:val="en-US" w:eastAsia="zh-CN"/>
        </w:rPr>
      </w:pPr>
      <w:r>
        <w:rPr>
          <w:rFonts w:ascii="宋体" w:hAnsi="宋体" w:eastAsia="宋体" w:cs="宋体"/>
          <w:sz w:val="24"/>
          <w:szCs w:val="24"/>
        </w:rPr>
        <w:t>本项目垫料铺设厚度较大</w:t>
      </w:r>
      <w:r>
        <w:rPr>
          <w:rFonts w:hint="eastAsia" w:ascii="宋体" w:hAnsi="宋体" w:cs="宋体"/>
          <w:sz w:val="24"/>
          <w:szCs w:val="24"/>
          <w:lang w:eastAsia="zh-CN"/>
        </w:rPr>
        <w:t>，</w:t>
      </w:r>
      <w:r>
        <w:rPr>
          <w:rFonts w:hint="eastAsia" w:ascii="宋体" w:hAnsi="宋体" w:cs="宋体"/>
          <w:sz w:val="24"/>
          <w:szCs w:val="24"/>
          <w:lang w:val="en-US" w:eastAsia="zh-CN"/>
        </w:rPr>
        <w:t>运动场不设置围挡，蒸发量大，不会产生废水</w:t>
      </w:r>
      <w:r>
        <w:rPr>
          <w:rFonts w:ascii="宋体" w:hAnsi="宋体" w:eastAsia="宋体" w:cs="宋体"/>
          <w:sz w:val="24"/>
          <w:szCs w:val="24"/>
        </w:rPr>
        <w:t>，</w:t>
      </w:r>
      <w:r>
        <w:rPr>
          <w:rFonts w:hint="eastAsia" w:ascii="宋体" w:hAnsi="宋体" w:cs="宋体"/>
          <w:sz w:val="24"/>
          <w:szCs w:val="24"/>
          <w:lang w:val="en-US" w:eastAsia="zh-CN"/>
        </w:rPr>
        <w:t>牛舍、饲喂凉棚垫料定期翻抛，</w:t>
      </w:r>
      <w:r>
        <w:rPr>
          <w:rFonts w:ascii="宋体" w:hAnsi="宋体" w:eastAsia="宋体" w:cs="宋体"/>
          <w:sz w:val="24"/>
          <w:szCs w:val="24"/>
        </w:rPr>
        <w:t>原则上不会产生废水，本次评价考虑</w:t>
      </w:r>
      <w:r>
        <w:rPr>
          <w:rFonts w:hint="eastAsia" w:ascii="宋体" w:hAnsi="宋体" w:cs="宋体"/>
          <w:sz w:val="24"/>
          <w:szCs w:val="24"/>
          <w:lang w:val="en-US" w:eastAsia="zh-CN"/>
        </w:rPr>
        <w:t>牛舍、饲喂凉棚</w:t>
      </w:r>
      <w:r>
        <w:rPr>
          <w:rFonts w:ascii="宋体" w:hAnsi="宋体" w:eastAsia="宋体" w:cs="宋体"/>
          <w:sz w:val="24"/>
          <w:szCs w:val="24"/>
        </w:rPr>
        <w:t>管理不当（翻抛不及时等）少量尿液</w:t>
      </w:r>
      <w:r>
        <w:rPr>
          <w:rFonts w:hint="eastAsia" w:ascii="宋体" w:hAnsi="宋体" w:cs="宋体"/>
          <w:sz w:val="24"/>
          <w:szCs w:val="24"/>
          <w:lang w:val="en-US" w:eastAsia="zh-CN"/>
        </w:rPr>
        <w:t>从</w:t>
      </w:r>
      <w:r>
        <w:rPr>
          <w:rFonts w:ascii="宋体" w:hAnsi="宋体" w:eastAsia="宋体" w:cs="宋体"/>
          <w:sz w:val="24"/>
          <w:szCs w:val="24"/>
        </w:rPr>
        <w:t>垫料</w:t>
      </w:r>
      <w:r>
        <w:rPr>
          <w:rFonts w:hint="eastAsia" w:ascii="宋体" w:hAnsi="宋体" w:cs="宋体"/>
          <w:sz w:val="24"/>
          <w:szCs w:val="24"/>
          <w:lang w:val="en-US" w:eastAsia="zh-CN"/>
        </w:rPr>
        <w:t>中</w:t>
      </w:r>
      <w:r>
        <w:rPr>
          <w:rFonts w:ascii="宋体" w:hAnsi="宋体" w:eastAsia="宋体" w:cs="宋体"/>
          <w:sz w:val="24"/>
          <w:szCs w:val="24"/>
        </w:rPr>
        <w:t>渗滤</w:t>
      </w:r>
      <w:r>
        <w:rPr>
          <w:rFonts w:hint="eastAsia" w:ascii="宋体" w:hAnsi="宋体" w:cs="宋体"/>
          <w:sz w:val="24"/>
          <w:szCs w:val="24"/>
          <w:lang w:val="en-US" w:eastAsia="zh-CN"/>
        </w:rPr>
        <w:t>出来</w:t>
      </w:r>
      <w:r>
        <w:rPr>
          <w:rFonts w:hint="eastAsia" w:ascii="宋体" w:hAnsi="宋体" w:eastAsia="宋体" w:cs="宋体"/>
          <w:sz w:val="24"/>
          <w:szCs w:val="24"/>
          <w:lang w:eastAsia="zh-CN"/>
        </w:rPr>
        <w:t>，</w:t>
      </w:r>
      <w:r>
        <w:rPr>
          <w:rFonts w:hint="eastAsia" w:ascii="宋体" w:hAnsi="宋体" w:cs="宋体"/>
          <w:sz w:val="24"/>
          <w:szCs w:val="24"/>
          <w:lang w:val="en-US" w:eastAsia="zh-CN"/>
        </w:rPr>
        <w:t>每座牛舍、饲喂凉棚分别</w:t>
      </w:r>
      <w:r>
        <w:rPr>
          <w:rFonts w:ascii="宋体" w:hAnsi="宋体" w:eastAsia="宋体" w:cs="宋体"/>
          <w:sz w:val="24"/>
          <w:szCs w:val="24"/>
        </w:rPr>
        <w:t>设置</w:t>
      </w:r>
      <w:r>
        <w:rPr>
          <w:rFonts w:hint="eastAsia" w:cs="Times New Roman"/>
          <w:sz w:val="24"/>
          <w:szCs w:val="24"/>
          <w:lang w:val="en-US" w:eastAsia="zh-CN"/>
        </w:rPr>
        <w:t>5</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3</w:t>
      </w:r>
      <w:r>
        <w:rPr>
          <w:rFonts w:ascii="宋体" w:hAnsi="宋体" w:eastAsia="宋体" w:cs="宋体"/>
          <w:sz w:val="24"/>
          <w:szCs w:val="24"/>
        </w:rPr>
        <w:t>尿液收集池收集，</w:t>
      </w:r>
      <w:r>
        <w:rPr>
          <w:rFonts w:hint="eastAsia" w:ascii="宋体" w:hAnsi="宋体" w:cs="宋体"/>
          <w:sz w:val="24"/>
          <w:szCs w:val="24"/>
          <w:lang w:val="en-US" w:eastAsia="zh-CN"/>
        </w:rPr>
        <w:t>牛舍、饲喂凉棚</w:t>
      </w:r>
      <w:r>
        <w:rPr>
          <w:rFonts w:ascii="宋体" w:hAnsi="宋体" w:eastAsia="宋体" w:cs="宋体"/>
          <w:sz w:val="24"/>
          <w:szCs w:val="24"/>
        </w:rPr>
        <w:t>内设置尿液收集</w:t>
      </w:r>
      <w:r>
        <w:rPr>
          <w:rFonts w:hint="eastAsia" w:ascii="宋体" w:hAnsi="宋体" w:eastAsia="宋体" w:cs="宋体"/>
          <w:sz w:val="24"/>
          <w:szCs w:val="24"/>
          <w:lang w:val="en-US" w:eastAsia="zh-CN"/>
        </w:rPr>
        <w:t>管道</w:t>
      </w:r>
      <w:r>
        <w:rPr>
          <w:rFonts w:ascii="宋体" w:hAnsi="宋体" w:eastAsia="宋体" w:cs="宋体"/>
          <w:sz w:val="24"/>
          <w:szCs w:val="24"/>
        </w:rPr>
        <w:t>，</w:t>
      </w:r>
      <w:r>
        <w:rPr>
          <w:rFonts w:hint="eastAsia" w:ascii="宋体" w:hAnsi="宋体" w:eastAsia="宋体" w:cs="宋体"/>
          <w:sz w:val="24"/>
          <w:szCs w:val="24"/>
          <w:lang w:val="en-US" w:eastAsia="zh-CN"/>
        </w:rPr>
        <w:t>少量渗滤尿液</w:t>
      </w:r>
      <w:r>
        <w:rPr>
          <w:rFonts w:ascii="宋体" w:hAnsi="宋体" w:eastAsia="宋体" w:cs="宋体"/>
          <w:sz w:val="24"/>
          <w:szCs w:val="24"/>
        </w:rPr>
        <w:t>可自流进入收集</w:t>
      </w:r>
      <w:r>
        <w:rPr>
          <w:rFonts w:hint="eastAsia" w:ascii="宋体" w:hAnsi="宋体" w:eastAsia="宋体" w:cs="宋体"/>
          <w:sz w:val="24"/>
          <w:szCs w:val="24"/>
          <w:lang w:val="en-US" w:eastAsia="zh-CN"/>
        </w:rPr>
        <w:t>管道中</w:t>
      </w:r>
      <w:r>
        <w:rPr>
          <w:rFonts w:ascii="宋体" w:hAnsi="宋体" w:eastAsia="宋体" w:cs="宋体"/>
          <w:sz w:val="24"/>
          <w:szCs w:val="24"/>
        </w:rPr>
        <w:t>，</w:t>
      </w:r>
      <w:r>
        <w:rPr>
          <w:rFonts w:hint="eastAsia" w:ascii="宋体" w:hAnsi="宋体" w:eastAsia="宋体" w:cs="宋体"/>
          <w:sz w:val="24"/>
          <w:szCs w:val="24"/>
          <w:lang w:val="en-US" w:eastAsia="zh-CN"/>
        </w:rPr>
        <w:t>收集至</w:t>
      </w: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3</w:t>
      </w:r>
      <w:r>
        <w:rPr>
          <w:rFonts w:ascii="宋体" w:hAnsi="宋体" w:eastAsia="宋体" w:cs="宋体"/>
          <w:sz w:val="24"/>
          <w:szCs w:val="24"/>
        </w:rPr>
        <w:t>尿液收集池</w:t>
      </w:r>
      <w:r>
        <w:rPr>
          <w:rFonts w:hint="eastAsia" w:ascii="宋体" w:hAnsi="宋体" w:eastAsia="宋体" w:cs="宋体"/>
          <w:sz w:val="24"/>
          <w:szCs w:val="24"/>
          <w:lang w:val="en-US" w:eastAsia="zh-CN"/>
        </w:rPr>
        <w:t>内，</w:t>
      </w:r>
      <w:r>
        <w:rPr>
          <w:rFonts w:ascii="宋体" w:hAnsi="宋体" w:eastAsia="宋体" w:cs="宋体"/>
          <w:sz w:val="24"/>
          <w:szCs w:val="24"/>
        </w:rPr>
        <w:t>尿液收集池</w:t>
      </w:r>
      <w:r>
        <w:rPr>
          <w:rFonts w:hint="eastAsia" w:ascii="宋体" w:hAnsi="宋体" w:eastAsia="宋体" w:cs="宋体"/>
          <w:sz w:val="24"/>
          <w:szCs w:val="24"/>
          <w:lang w:val="en-US" w:eastAsia="zh-CN"/>
        </w:rPr>
        <w:t>内</w:t>
      </w:r>
      <w:r>
        <w:rPr>
          <w:rFonts w:hint="eastAsia" w:ascii="宋体" w:hAnsi="宋体" w:cs="宋体"/>
          <w:sz w:val="24"/>
          <w:szCs w:val="24"/>
          <w:lang w:val="en-US" w:eastAsia="zh-CN"/>
        </w:rPr>
        <w:t>的渗滤尿液定期由吸污车清运至</w:t>
      </w:r>
      <w:r>
        <w:rPr>
          <w:rFonts w:hint="eastAsia" w:cs="Times New Roman"/>
          <w:color w:val="auto"/>
          <w:kern w:val="2"/>
          <w:sz w:val="24"/>
          <w:szCs w:val="24"/>
          <w:lang w:val="en-US" w:eastAsia="zh-CN"/>
        </w:rPr>
        <w:t>堆肥间的发酵槽内，用于堆肥间少量板结</w:t>
      </w:r>
      <w:r>
        <w:rPr>
          <w:rFonts w:hint="eastAsia" w:ascii="Times New Roman" w:hAnsi="Times New Roman" w:eastAsia="宋体" w:cs="Times New Roman"/>
          <w:color w:val="auto"/>
          <w:kern w:val="2"/>
          <w:sz w:val="24"/>
          <w:szCs w:val="24"/>
          <w:lang w:val="en-US" w:eastAsia="zh-CN"/>
        </w:rPr>
        <w:t>垫料</w:t>
      </w:r>
      <w:r>
        <w:rPr>
          <w:rFonts w:hint="eastAsia" w:cs="Times New Roman"/>
          <w:color w:val="auto"/>
          <w:kern w:val="2"/>
          <w:sz w:val="24"/>
          <w:szCs w:val="24"/>
          <w:lang w:val="en-US" w:eastAsia="zh-CN"/>
        </w:rPr>
        <w:t>二次发酵时补充水分，由于发酵过程中温度</w:t>
      </w:r>
      <w:r>
        <w:rPr>
          <w:rFonts w:hint="default" w:ascii="Times New Roman" w:hAnsi="Times New Roman" w:eastAsia="宋体" w:cs="Times New Roman"/>
          <w:color w:val="auto"/>
          <w:kern w:val="0"/>
          <w:sz w:val="24"/>
          <w:szCs w:val="24"/>
        </w:rPr>
        <w:t>控制在55~65℃</w:t>
      </w:r>
      <w:r>
        <w:rPr>
          <w:rFonts w:hint="eastAsia" w:cs="Times New Roman"/>
          <w:color w:val="auto"/>
          <w:kern w:val="0"/>
          <w:sz w:val="24"/>
          <w:szCs w:val="24"/>
          <w:lang w:eastAsia="zh-CN"/>
        </w:rPr>
        <w:t>，</w:t>
      </w:r>
      <w:r>
        <w:rPr>
          <w:rFonts w:hint="eastAsia" w:cs="Times New Roman"/>
          <w:color w:val="auto"/>
          <w:kern w:val="0"/>
          <w:sz w:val="24"/>
          <w:szCs w:val="24"/>
          <w:lang w:val="en-US" w:eastAsia="zh-CN"/>
        </w:rPr>
        <w:t>渗滤尿液中的</w:t>
      </w:r>
      <w:r>
        <w:rPr>
          <w:rFonts w:hint="eastAsia" w:cs="宋体"/>
          <w:color w:val="auto"/>
          <w:kern w:val="0"/>
          <w:sz w:val="24"/>
          <w:szCs w:val="22"/>
          <w:lang w:val="en-US" w:eastAsia="zh-CN"/>
        </w:rPr>
        <w:t>有机物可被发酵菌剂迅速分解</w:t>
      </w:r>
      <w:r>
        <w:rPr>
          <w:rFonts w:hint="eastAsia" w:cs="Times New Roman"/>
          <w:color w:val="auto"/>
          <w:kern w:val="2"/>
          <w:sz w:val="24"/>
          <w:szCs w:val="24"/>
          <w:lang w:val="en-US" w:eastAsia="zh-CN"/>
        </w:rPr>
        <w:t>，水分在发酵过程中蒸发损耗，不外排</w:t>
      </w:r>
      <w:r>
        <w:rPr>
          <w:rFonts w:hint="eastAsia" w:ascii="Times New Roman" w:hAnsi="Times New Roman" w:eastAsia="宋体" w:cs="Times New Roman"/>
          <w:color w:val="auto"/>
          <w:kern w:val="2"/>
          <w:sz w:val="24"/>
          <w:szCs w:val="24"/>
          <w:lang w:val="en-US" w:eastAsia="zh-CN"/>
        </w:rPr>
        <w:t>。</w:t>
      </w:r>
      <w:r>
        <w:rPr>
          <w:rFonts w:hint="eastAsia" w:ascii="Times New Roman" w:hAnsi="Times New Roman" w:eastAsia="宋体" w:cs="Times New Roman"/>
          <w:color w:val="0000FF"/>
          <w:kern w:val="2"/>
          <w:sz w:val="24"/>
          <w:szCs w:val="24"/>
          <w:lang w:val="en-US" w:eastAsia="zh-CN"/>
        </w:rPr>
        <w:t xml:space="preserve"> </w:t>
      </w:r>
    </w:p>
    <w:p w14:paraId="2823E71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Segoe UI" w:hAnsi="Segoe UI" w:eastAsia="Segoe UI" w:cs="Segoe UI"/>
          <w:i w:val="0"/>
          <w:iCs w:val="0"/>
          <w:caps w:val="0"/>
          <w:color w:val="0F1115"/>
          <w:spacing w:val="0"/>
          <w:sz w:val="24"/>
          <w:szCs w:val="24"/>
          <w:shd w:val="clear" w:fill="FFFFFF"/>
        </w:rPr>
      </w:pPr>
      <w:r>
        <w:rPr>
          <w:rFonts w:hint="eastAsia" w:ascii="Times New Roman" w:hAnsi="Times New Roman" w:cs="Times New Roman"/>
          <w:kern w:val="2"/>
          <w:sz w:val="24"/>
          <w:szCs w:val="24"/>
          <w:lang w:val="en-US" w:eastAsia="zh-CN"/>
        </w:rPr>
        <w:t>养殖区定期喷洒生物除臭剂控制养殖恶臭，</w:t>
      </w:r>
      <w:r>
        <w:rPr>
          <w:rFonts w:hint="default" w:ascii="Segoe UI" w:hAnsi="Segoe UI" w:eastAsia="Segoe UI" w:cs="Segoe UI"/>
          <w:i w:val="0"/>
          <w:iCs w:val="0"/>
          <w:caps w:val="0"/>
          <w:color w:val="0F1115"/>
          <w:spacing w:val="0"/>
          <w:sz w:val="24"/>
          <w:szCs w:val="24"/>
          <w:shd w:val="clear" w:fill="FFFFFF"/>
        </w:rPr>
        <w:t>综合各地养殖及堆肥场所的实践，除臭剂喷洒频率主要有以下几种模式：</w:t>
      </w:r>
    </w:p>
    <w:p w14:paraId="1F80037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i w:val="0"/>
          <w:iCs w:val="0"/>
          <w:caps w:val="0"/>
          <w:color w:val="0F1115"/>
          <w:spacing w:val="0"/>
          <w:sz w:val="24"/>
          <w:szCs w:val="24"/>
          <w:shd w:val="clear" w:fill="FFFFFF"/>
          <w:lang w:val="en-US" w:eastAsia="zh-CN"/>
        </w:rPr>
      </w:pPr>
      <w:r>
        <w:rPr>
          <w:rFonts w:hint="default" w:ascii="Times New Roman" w:hAnsi="Times New Roman" w:eastAsia="宋体" w:cs="Times New Roman"/>
          <w:b/>
          <w:bCs/>
          <w:i w:val="0"/>
          <w:iCs w:val="0"/>
          <w:caps w:val="0"/>
          <w:color w:val="0F1115"/>
          <w:spacing w:val="0"/>
          <w:sz w:val="24"/>
          <w:szCs w:val="24"/>
          <w:shd w:val="clear" w:fill="FFFFFF"/>
          <w:lang w:val="en-US" w:eastAsia="zh-CN"/>
        </w:rPr>
        <w:t>表3.</w:t>
      </w:r>
      <w:r>
        <w:rPr>
          <w:rFonts w:hint="eastAsia" w:ascii="Times New Roman" w:hAnsi="Times New Roman" w:cs="Times New Roman"/>
          <w:b/>
          <w:bCs/>
          <w:i w:val="0"/>
          <w:iCs w:val="0"/>
          <w:caps w:val="0"/>
          <w:color w:val="0F1115"/>
          <w:spacing w:val="0"/>
          <w:sz w:val="24"/>
          <w:szCs w:val="24"/>
          <w:shd w:val="clear" w:fill="FFFFFF"/>
          <w:lang w:val="en-US" w:eastAsia="zh-CN"/>
        </w:rPr>
        <w:t>3</w:t>
      </w:r>
      <w:r>
        <w:rPr>
          <w:rFonts w:hint="default" w:ascii="Times New Roman" w:hAnsi="Times New Roman" w:eastAsia="宋体" w:cs="Times New Roman"/>
          <w:b/>
          <w:bCs/>
          <w:i w:val="0"/>
          <w:iCs w:val="0"/>
          <w:caps w:val="0"/>
          <w:color w:val="0F1115"/>
          <w:spacing w:val="0"/>
          <w:sz w:val="24"/>
          <w:szCs w:val="24"/>
          <w:shd w:val="clear" w:fill="FFFFFF"/>
          <w:lang w:val="en-US" w:eastAsia="zh-CN"/>
        </w:rPr>
        <w:t>-1 除臭剂喷洒频率</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76"/>
        <w:gridCol w:w="3751"/>
        <w:gridCol w:w="3177"/>
      </w:tblGrid>
      <w:tr w14:paraId="36BDA4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1576" w:type="dxa"/>
            <w:tcBorders>
              <w:tl2br w:val="nil"/>
              <w:tr2bl w:val="nil"/>
            </w:tcBorders>
            <w:shd w:val="clear" w:color="auto" w:fill="auto"/>
            <w:tcMar>
              <w:top w:w="150" w:type="dxa"/>
              <w:left w:w="0" w:type="dxa"/>
              <w:bottom w:w="150" w:type="dxa"/>
              <w:right w:w="240" w:type="dxa"/>
            </w:tcMar>
            <w:vAlign w:val="center"/>
          </w:tcPr>
          <w:p w14:paraId="04514F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喷洒模式</w:t>
            </w:r>
          </w:p>
        </w:tc>
        <w:tc>
          <w:tcPr>
            <w:tcW w:w="3751" w:type="dxa"/>
            <w:tcBorders>
              <w:tl2br w:val="nil"/>
              <w:tr2bl w:val="nil"/>
            </w:tcBorders>
            <w:shd w:val="clear" w:color="auto" w:fill="auto"/>
            <w:tcMar>
              <w:top w:w="150" w:type="dxa"/>
              <w:left w:w="240" w:type="dxa"/>
              <w:bottom w:w="150" w:type="dxa"/>
              <w:right w:w="240" w:type="dxa"/>
            </w:tcMar>
            <w:vAlign w:val="center"/>
          </w:tcPr>
          <w:p w14:paraId="1843AF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频率</w:t>
            </w:r>
          </w:p>
        </w:tc>
        <w:tc>
          <w:tcPr>
            <w:tcW w:w="0" w:type="auto"/>
            <w:tcBorders>
              <w:tl2br w:val="nil"/>
              <w:tr2bl w:val="nil"/>
            </w:tcBorders>
            <w:shd w:val="clear" w:color="auto" w:fill="auto"/>
            <w:tcMar>
              <w:top w:w="150" w:type="dxa"/>
              <w:left w:w="240" w:type="dxa"/>
              <w:bottom w:w="150" w:type="dxa"/>
              <w:right w:w="240" w:type="dxa"/>
            </w:tcMar>
            <w:vAlign w:val="center"/>
          </w:tcPr>
          <w:p w14:paraId="4825EF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适用场景</w:t>
            </w:r>
          </w:p>
        </w:tc>
      </w:tr>
      <w:tr w14:paraId="677A5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576" w:type="dxa"/>
            <w:tcBorders>
              <w:tl2br w:val="nil"/>
              <w:tr2bl w:val="nil"/>
            </w:tcBorders>
            <w:shd w:val="clear" w:color="auto" w:fill="auto"/>
            <w:tcMar>
              <w:top w:w="150" w:type="dxa"/>
              <w:left w:w="0" w:type="dxa"/>
              <w:bottom w:w="150" w:type="dxa"/>
              <w:right w:w="240" w:type="dxa"/>
            </w:tcMar>
            <w:vAlign w:val="center"/>
          </w:tcPr>
          <w:p w14:paraId="49C77E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强化除臭期</w:t>
            </w:r>
          </w:p>
        </w:tc>
        <w:tc>
          <w:tcPr>
            <w:tcW w:w="3751" w:type="dxa"/>
            <w:tcBorders>
              <w:tl2br w:val="nil"/>
              <w:tr2bl w:val="nil"/>
            </w:tcBorders>
            <w:shd w:val="clear" w:color="auto" w:fill="auto"/>
            <w:tcMar>
              <w:top w:w="150" w:type="dxa"/>
              <w:left w:w="240" w:type="dxa"/>
              <w:bottom w:w="150" w:type="dxa"/>
              <w:right w:w="240" w:type="dxa"/>
            </w:tcMar>
            <w:vAlign w:val="center"/>
          </w:tcPr>
          <w:p w14:paraId="2920E0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连续喷洒3天，之后每隔5天喷洒一次</w:t>
            </w:r>
          </w:p>
        </w:tc>
        <w:tc>
          <w:tcPr>
            <w:tcW w:w="0" w:type="auto"/>
            <w:tcBorders>
              <w:tl2br w:val="nil"/>
              <w:tr2bl w:val="nil"/>
            </w:tcBorders>
            <w:shd w:val="clear" w:color="auto" w:fill="auto"/>
            <w:tcMar>
              <w:top w:w="150" w:type="dxa"/>
              <w:left w:w="240" w:type="dxa"/>
              <w:bottom w:w="150" w:type="dxa"/>
              <w:right w:w="0" w:type="dxa"/>
            </w:tcMar>
            <w:vAlign w:val="center"/>
          </w:tcPr>
          <w:p w14:paraId="145FFF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臭气较重的时段</w:t>
            </w:r>
          </w:p>
        </w:tc>
      </w:tr>
      <w:tr w14:paraId="4B693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576" w:type="dxa"/>
            <w:tcBorders>
              <w:tl2br w:val="nil"/>
              <w:tr2bl w:val="nil"/>
            </w:tcBorders>
            <w:shd w:val="clear" w:color="auto" w:fill="auto"/>
            <w:tcMar>
              <w:top w:w="150" w:type="dxa"/>
              <w:left w:w="0" w:type="dxa"/>
              <w:bottom w:w="150" w:type="dxa"/>
              <w:right w:w="240" w:type="dxa"/>
            </w:tcMar>
            <w:vAlign w:val="center"/>
          </w:tcPr>
          <w:p w14:paraId="2E7C6F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常规除臭</w:t>
            </w:r>
          </w:p>
        </w:tc>
        <w:tc>
          <w:tcPr>
            <w:tcW w:w="3751" w:type="dxa"/>
            <w:tcBorders>
              <w:tl2br w:val="nil"/>
              <w:tr2bl w:val="nil"/>
            </w:tcBorders>
            <w:shd w:val="clear" w:color="auto" w:fill="auto"/>
            <w:tcMar>
              <w:top w:w="150" w:type="dxa"/>
              <w:left w:w="240" w:type="dxa"/>
              <w:bottom w:w="150" w:type="dxa"/>
              <w:right w:w="240" w:type="dxa"/>
            </w:tcMar>
            <w:vAlign w:val="center"/>
          </w:tcPr>
          <w:p w14:paraId="490809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3～5天喷洒一次</w:t>
            </w:r>
          </w:p>
        </w:tc>
        <w:tc>
          <w:tcPr>
            <w:tcW w:w="0" w:type="auto"/>
            <w:tcBorders>
              <w:tl2br w:val="nil"/>
              <w:tr2bl w:val="nil"/>
            </w:tcBorders>
            <w:shd w:val="clear" w:color="auto" w:fill="auto"/>
            <w:tcMar>
              <w:top w:w="150" w:type="dxa"/>
              <w:left w:w="240" w:type="dxa"/>
              <w:bottom w:w="150" w:type="dxa"/>
              <w:right w:w="0" w:type="dxa"/>
            </w:tcMar>
            <w:vAlign w:val="center"/>
          </w:tcPr>
          <w:p w14:paraId="7DCBF3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日常维持除臭效果</w:t>
            </w:r>
          </w:p>
        </w:tc>
      </w:tr>
      <w:tr w14:paraId="6D070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576" w:type="dxa"/>
            <w:tcBorders>
              <w:tl2br w:val="nil"/>
              <w:tr2bl w:val="nil"/>
            </w:tcBorders>
            <w:shd w:val="clear" w:color="auto" w:fill="auto"/>
            <w:tcMar>
              <w:top w:w="150" w:type="dxa"/>
              <w:left w:w="0" w:type="dxa"/>
              <w:bottom w:w="150" w:type="dxa"/>
              <w:right w:w="240" w:type="dxa"/>
            </w:tcMar>
            <w:vAlign w:val="center"/>
          </w:tcPr>
          <w:p w14:paraId="492233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高温季节</w:t>
            </w:r>
          </w:p>
        </w:tc>
        <w:tc>
          <w:tcPr>
            <w:tcW w:w="3751" w:type="dxa"/>
            <w:tcBorders>
              <w:tl2br w:val="nil"/>
              <w:tr2bl w:val="nil"/>
            </w:tcBorders>
            <w:shd w:val="clear" w:color="auto" w:fill="auto"/>
            <w:tcMar>
              <w:top w:w="150" w:type="dxa"/>
              <w:left w:w="240" w:type="dxa"/>
              <w:bottom w:w="150" w:type="dxa"/>
              <w:right w:w="240" w:type="dxa"/>
            </w:tcMar>
            <w:vAlign w:val="center"/>
          </w:tcPr>
          <w:p w14:paraId="49A30D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每日喷施</w:t>
            </w:r>
          </w:p>
        </w:tc>
        <w:tc>
          <w:tcPr>
            <w:tcW w:w="0" w:type="auto"/>
            <w:tcBorders>
              <w:tl2br w:val="nil"/>
              <w:tr2bl w:val="nil"/>
            </w:tcBorders>
            <w:shd w:val="clear" w:color="auto" w:fill="auto"/>
            <w:tcMar>
              <w:top w:w="150" w:type="dxa"/>
              <w:left w:w="240" w:type="dxa"/>
              <w:bottom w:w="150" w:type="dxa"/>
              <w:right w:w="0" w:type="dxa"/>
            </w:tcMar>
            <w:vAlign w:val="center"/>
          </w:tcPr>
          <w:p w14:paraId="0BCB8A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夏季高温时段，臭气产生量增加</w:t>
            </w:r>
          </w:p>
        </w:tc>
      </w:tr>
    </w:tbl>
    <w:p w14:paraId="51ED917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eastAsia" w:ascii="Times New Roman" w:hAnsi="Times New Roman" w:eastAsia="宋体" w:cs="Times New Roman"/>
          <w:kern w:val="2"/>
          <w:sz w:val="24"/>
          <w:szCs w:val="24"/>
          <w:lang w:val="en-US" w:eastAsia="zh-CN"/>
        </w:rPr>
        <w:t>主要产排污节点：养殖恶臭</w:t>
      </w:r>
      <w:r>
        <w:rPr>
          <w:rFonts w:hint="eastAsia" w:cs="Times New Roman"/>
          <w:kern w:val="2"/>
          <w:sz w:val="24"/>
          <w:szCs w:val="24"/>
          <w:lang w:val="en-US" w:eastAsia="zh-CN"/>
        </w:rPr>
        <w:t>G5（养殖恶臭主要包括圈舍、存储、还田环节），</w:t>
      </w:r>
      <w:r>
        <w:rPr>
          <w:rFonts w:hint="eastAsia" w:ascii="Times New Roman" w:hAnsi="Times New Roman" w:eastAsia="宋体" w:cs="Times New Roman"/>
          <w:kern w:val="2"/>
          <w:sz w:val="24"/>
          <w:szCs w:val="24"/>
          <w:lang w:val="en-US" w:eastAsia="zh-CN"/>
        </w:rPr>
        <w:t>养殖</w:t>
      </w:r>
      <w:r>
        <w:rPr>
          <w:rFonts w:hint="eastAsia" w:cs="Times New Roman"/>
          <w:kern w:val="2"/>
          <w:sz w:val="24"/>
          <w:szCs w:val="24"/>
          <w:lang w:val="en-US" w:eastAsia="zh-CN"/>
        </w:rPr>
        <w:t>粪便及废发酵</w:t>
      </w:r>
      <w:r>
        <w:rPr>
          <w:rFonts w:hint="eastAsia" w:ascii="Times New Roman" w:hAnsi="Times New Roman" w:eastAsia="宋体" w:cs="Times New Roman"/>
          <w:kern w:val="2"/>
          <w:sz w:val="24"/>
          <w:szCs w:val="24"/>
          <w:lang w:val="en-US" w:eastAsia="zh-CN"/>
        </w:rPr>
        <w:t>垫料</w:t>
      </w:r>
      <w:r>
        <w:rPr>
          <w:rFonts w:hint="default" w:ascii="Times New Roman" w:hAnsi="Times New Roman" w:eastAsia="宋体" w:cs="Times New Roman"/>
          <w:kern w:val="2"/>
          <w:sz w:val="24"/>
          <w:szCs w:val="24"/>
          <w:lang w:val="en-US" w:eastAsia="zh-CN"/>
        </w:rPr>
        <w:t>S</w:t>
      </w:r>
      <w:r>
        <w:rPr>
          <w:rFonts w:hint="eastAsia" w:cs="Times New Roman"/>
          <w:kern w:val="2"/>
          <w:sz w:val="24"/>
          <w:szCs w:val="24"/>
          <w:lang w:val="en-US" w:eastAsia="zh-CN"/>
        </w:rPr>
        <w:t>4、废包装材料S1、牛叫N4、移动源</w:t>
      </w:r>
      <w:r>
        <w:rPr>
          <w:rFonts w:hint="eastAsia" w:ascii="Times New Roman" w:hAnsi="Times New Roman" w:eastAsia="宋体" w:cs="Times New Roman"/>
          <w:kern w:val="2"/>
          <w:sz w:val="24"/>
          <w:szCs w:val="24"/>
          <w:lang w:val="en-US" w:eastAsia="zh-CN"/>
        </w:rPr>
        <w:t>牛床铺料机</w:t>
      </w:r>
      <w:r>
        <w:rPr>
          <w:rFonts w:hint="eastAsia" w:cs="Times New Roman"/>
          <w:kern w:val="2"/>
          <w:sz w:val="24"/>
          <w:szCs w:val="24"/>
          <w:lang w:val="en-US" w:eastAsia="zh-CN"/>
        </w:rPr>
        <w:t>噪声N5、吸污车噪声N6</w:t>
      </w:r>
      <w:r>
        <w:rPr>
          <w:rFonts w:hint="eastAsia" w:ascii="Times New Roman" w:hAnsi="Times New Roman" w:eastAsia="宋体" w:cs="Times New Roman"/>
          <w:kern w:val="2"/>
          <w:sz w:val="24"/>
          <w:szCs w:val="24"/>
          <w:lang w:val="en-US" w:eastAsia="zh-CN"/>
        </w:rPr>
        <w:t>。</w:t>
      </w:r>
    </w:p>
    <w:p w14:paraId="013FDBF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②牛粪清理</w:t>
      </w:r>
    </w:p>
    <w:p w14:paraId="780ADA4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项目采用发酵床养殖技术，采用原位发酵，养殖的牛直接生活生长在发酵床上，利用畜禽的翻扒习性</w:t>
      </w:r>
      <w:r>
        <w:rPr>
          <w:rFonts w:hint="eastAsia" w:cs="Times New Roman"/>
          <w:kern w:val="2"/>
          <w:sz w:val="24"/>
          <w:szCs w:val="24"/>
          <w:lang w:val="en-US" w:eastAsia="zh-CN"/>
        </w:rPr>
        <w:t>辅助机械翻抛，</w:t>
      </w:r>
      <w:r>
        <w:rPr>
          <w:rFonts w:hint="eastAsia" w:ascii="Times New Roman" w:hAnsi="Times New Roman" w:eastAsia="宋体" w:cs="Times New Roman"/>
          <w:kern w:val="2"/>
          <w:sz w:val="24"/>
          <w:szCs w:val="24"/>
          <w:lang w:val="en-US" w:eastAsia="zh-CN"/>
        </w:rPr>
        <w:t>发酵床上粪尿不均匀时，采用人工方法将粪尿分散布撒在垫料上，使粪便和垫料充分混合，通过垫料中微生物的分解发酵，使粪便中的有机物质得到充分的分解和转化，微生物以尚未消化的粪便为食饵，繁殖滋生，达到无臭、无味、无害化的目的，是一种无污染、无</w:t>
      </w:r>
      <w:r>
        <w:rPr>
          <w:rFonts w:hint="eastAsia" w:cs="Times New Roman"/>
          <w:kern w:val="2"/>
          <w:sz w:val="24"/>
          <w:szCs w:val="24"/>
          <w:lang w:val="en-US" w:eastAsia="zh-CN"/>
        </w:rPr>
        <w:t>排放</w:t>
      </w:r>
      <w:r>
        <w:rPr>
          <w:rFonts w:hint="eastAsia" w:ascii="Times New Roman" w:hAnsi="Times New Roman" w:eastAsia="宋体" w:cs="Times New Roman"/>
          <w:kern w:val="2"/>
          <w:sz w:val="24"/>
          <w:szCs w:val="24"/>
          <w:lang w:val="en-US" w:eastAsia="zh-CN"/>
        </w:rPr>
        <w:t>、无臭气的新型环保生态养殖技术，具有成本低，耗料少，操作简单，效益高，无污染等优点。从进牛之日起50d</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60d翻粑垫料一次，深度为</w:t>
      </w:r>
      <w:r>
        <w:rPr>
          <w:rFonts w:hint="eastAsia" w:cs="Times New Roman"/>
          <w:kern w:val="2"/>
          <w:sz w:val="24"/>
          <w:szCs w:val="24"/>
          <w:lang w:val="en-US" w:eastAsia="zh-CN"/>
        </w:rPr>
        <w:t>30</w:t>
      </w:r>
      <w:r>
        <w:rPr>
          <w:rFonts w:hint="eastAsia" w:ascii="Times New Roman" w:hAnsi="Times New Roman" w:eastAsia="宋体" w:cs="Times New Roman"/>
          <w:kern w:val="2"/>
          <w:sz w:val="24"/>
          <w:szCs w:val="24"/>
          <w:lang w:val="en-US" w:eastAsia="zh-CN"/>
        </w:rPr>
        <w:t>cm~</w:t>
      </w:r>
      <w:r>
        <w:rPr>
          <w:rFonts w:hint="eastAsia" w:cs="Times New Roman"/>
          <w:kern w:val="2"/>
          <w:sz w:val="24"/>
          <w:szCs w:val="24"/>
          <w:lang w:val="en-US" w:eastAsia="zh-CN"/>
        </w:rPr>
        <w:t>7</w:t>
      </w:r>
      <w:r>
        <w:rPr>
          <w:rFonts w:hint="eastAsia" w:ascii="Times New Roman" w:hAnsi="Times New Roman" w:eastAsia="宋体" w:cs="Times New Roman"/>
          <w:kern w:val="2"/>
          <w:sz w:val="24"/>
          <w:szCs w:val="24"/>
          <w:lang w:val="en-US" w:eastAsia="zh-CN"/>
        </w:rPr>
        <w:t>0cm。通常垫料减少10%后就要及时补充，补充的新料要与发酵床上的垫料混合均匀，并调节好水分</w:t>
      </w:r>
      <w:r>
        <w:rPr>
          <w:rFonts w:hint="eastAsia" w:cs="Times New Roman"/>
          <w:kern w:val="2"/>
          <w:sz w:val="24"/>
          <w:szCs w:val="24"/>
          <w:lang w:val="en-US" w:eastAsia="zh-CN"/>
        </w:rPr>
        <w:t>，发酵床湿度控制在50%左右。</w:t>
      </w:r>
      <w:r>
        <w:rPr>
          <w:rFonts w:hint="eastAsia" w:ascii="Times New Roman" w:hAnsi="Times New Roman" w:eastAsia="宋体" w:cs="Times New Roman"/>
          <w:kern w:val="2"/>
          <w:sz w:val="24"/>
          <w:szCs w:val="24"/>
          <w:lang w:val="en-US" w:eastAsia="zh-CN"/>
        </w:rPr>
        <w:t xml:space="preserve"> </w:t>
      </w:r>
    </w:p>
    <w:p w14:paraId="27583A6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项目</w:t>
      </w:r>
      <w:r>
        <w:rPr>
          <w:rFonts w:hint="eastAsia" w:cs="Times New Roman"/>
          <w:kern w:val="2"/>
          <w:sz w:val="24"/>
          <w:szCs w:val="24"/>
          <w:lang w:val="en-US" w:eastAsia="zh-CN"/>
        </w:rPr>
        <w:t>牛圈</w:t>
      </w:r>
      <w:r>
        <w:rPr>
          <w:rFonts w:hint="eastAsia" w:ascii="Times New Roman" w:hAnsi="Times New Roman" w:eastAsia="宋体" w:cs="Times New Roman"/>
          <w:kern w:val="2"/>
          <w:sz w:val="24"/>
          <w:szCs w:val="24"/>
          <w:lang w:val="en-US" w:eastAsia="zh-CN"/>
        </w:rPr>
        <w:t>垫料采用清粪车进行垫料清理，清粪车主要由刮粪板、动力装置、传送装置、封闭车斗组成。清粪时，动力装置通过链条带动刮粪板沿着牛床地面前行，刮粪板将地面混合粪便的垫料收集入封闭传送装置</w:t>
      </w:r>
      <w:r>
        <w:rPr>
          <w:rFonts w:hint="eastAsia" w:cs="Times New Roman"/>
          <w:kern w:val="2"/>
          <w:sz w:val="24"/>
          <w:szCs w:val="24"/>
          <w:lang w:val="en-US" w:eastAsia="zh-CN"/>
        </w:rPr>
        <w:t>送</w:t>
      </w:r>
      <w:r>
        <w:rPr>
          <w:rFonts w:hint="eastAsia" w:ascii="Times New Roman" w:hAnsi="Times New Roman" w:eastAsia="宋体" w:cs="Times New Roman"/>
          <w:kern w:val="2"/>
          <w:sz w:val="24"/>
          <w:szCs w:val="24"/>
          <w:lang w:val="en-US" w:eastAsia="zh-CN"/>
        </w:rPr>
        <w:t>入封闭车斗，</w:t>
      </w:r>
      <w:r>
        <w:rPr>
          <w:rFonts w:hint="eastAsia" w:cs="Times New Roman"/>
          <w:kern w:val="2"/>
          <w:sz w:val="24"/>
          <w:szCs w:val="24"/>
          <w:lang w:val="en-US" w:eastAsia="zh-CN"/>
        </w:rPr>
        <w:t>运至堆肥间进行翻抛</w:t>
      </w:r>
      <w:r>
        <w:rPr>
          <w:rFonts w:hint="eastAsia" w:ascii="Times New Roman" w:hAnsi="Times New Roman" w:eastAsia="宋体" w:cs="Times New Roman"/>
          <w:kern w:val="2"/>
          <w:sz w:val="24"/>
          <w:szCs w:val="24"/>
          <w:lang w:val="en-US" w:eastAsia="zh-CN"/>
        </w:rPr>
        <w:t>。</w:t>
      </w:r>
      <w:r>
        <w:rPr>
          <w:rFonts w:hint="eastAsia" w:cs="Times New Roman"/>
          <w:kern w:val="2"/>
          <w:sz w:val="24"/>
          <w:szCs w:val="24"/>
          <w:lang w:val="en-US" w:eastAsia="zh-CN"/>
        </w:rPr>
        <w:t>由于清粪过程不进行翻抛，整个发酵床一起刮出，因此清粪粉尘忽略不计。此过程产生移动源清粪车噪声N7。</w:t>
      </w:r>
      <w:r>
        <w:rPr>
          <w:rFonts w:hint="eastAsia" w:ascii="Times New Roman" w:hAnsi="Times New Roman" w:eastAsia="宋体" w:cs="Times New Roman"/>
          <w:kern w:val="2"/>
          <w:sz w:val="24"/>
          <w:szCs w:val="24"/>
          <w:lang w:val="en-US" w:eastAsia="zh-CN"/>
        </w:rPr>
        <w:t xml:space="preserve"> </w:t>
      </w:r>
    </w:p>
    <w:p w14:paraId="1F41E6E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cs="Times New Roman"/>
          <w:color w:val="auto"/>
          <w:kern w:val="0"/>
          <w:sz w:val="24"/>
          <w:szCs w:val="24"/>
          <w:lang w:val="en-US" w:eastAsia="zh-CN"/>
        </w:rPr>
        <w:t>根据建设单位提供材料，</w:t>
      </w:r>
      <w:r>
        <w:rPr>
          <w:rFonts w:hint="eastAsia" w:ascii="Times New Roman" w:hAnsi="Times New Roman" w:eastAsia="宋体" w:cs="Times New Roman"/>
          <w:color w:val="auto"/>
          <w:kern w:val="0"/>
          <w:sz w:val="24"/>
          <w:szCs w:val="24"/>
          <w:lang w:val="en-US" w:eastAsia="zh-CN"/>
        </w:rPr>
        <w:t>本项目发酵床可以使用</w:t>
      </w:r>
      <w:r>
        <w:rPr>
          <w:rFonts w:hint="eastAsia" w:cs="Times New Roman"/>
          <w:color w:val="auto"/>
          <w:kern w:val="0"/>
          <w:sz w:val="24"/>
          <w:szCs w:val="24"/>
          <w:lang w:val="en-US" w:eastAsia="zh-CN"/>
        </w:rPr>
        <w:t>12</w:t>
      </w:r>
      <w:r>
        <w:rPr>
          <w:rFonts w:hint="eastAsia" w:eastAsia="宋体" w:cs="Times New Roman"/>
          <w:color w:val="auto"/>
          <w:kern w:val="0"/>
          <w:sz w:val="24"/>
          <w:szCs w:val="24"/>
          <w:lang w:val="en-US" w:eastAsia="zh-CN"/>
        </w:rPr>
        <w:t>个月</w:t>
      </w:r>
      <w:r>
        <w:rPr>
          <w:rFonts w:hint="eastAsia" w:cs="Times New Roman"/>
          <w:color w:val="auto"/>
          <w:kern w:val="0"/>
          <w:sz w:val="24"/>
          <w:szCs w:val="24"/>
          <w:lang w:val="en-US" w:eastAsia="zh-CN"/>
        </w:rPr>
        <w:t>，待牛出栏后进行清粪</w:t>
      </w:r>
      <w:r>
        <w:rPr>
          <w:rFonts w:hint="eastAsia" w:eastAsia="宋体" w:cs="Times New Roman"/>
          <w:color w:val="auto"/>
          <w:kern w:val="0"/>
          <w:sz w:val="24"/>
          <w:szCs w:val="24"/>
          <w:lang w:val="en-US" w:eastAsia="zh-CN"/>
        </w:rPr>
        <w:t>，</w:t>
      </w:r>
      <w:r>
        <w:rPr>
          <w:rFonts w:hint="eastAsia" w:cs="Times New Roman"/>
          <w:kern w:val="2"/>
          <w:sz w:val="24"/>
          <w:szCs w:val="24"/>
          <w:lang w:val="en-US" w:eastAsia="zh-CN"/>
        </w:rPr>
        <w:t>由</w:t>
      </w:r>
      <w:r>
        <w:rPr>
          <w:rFonts w:hint="eastAsia" w:ascii="Times New Roman" w:hAnsi="Times New Roman" w:eastAsia="宋体" w:cs="Times New Roman"/>
          <w:kern w:val="2"/>
          <w:sz w:val="24"/>
          <w:szCs w:val="24"/>
          <w:lang w:val="en-US" w:eastAsia="zh-CN"/>
        </w:rPr>
        <w:t>清粪车</w:t>
      </w:r>
      <w:r>
        <w:rPr>
          <w:rFonts w:hint="eastAsia" w:cs="Times New Roman"/>
          <w:kern w:val="2"/>
          <w:sz w:val="24"/>
          <w:szCs w:val="24"/>
          <w:lang w:val="en-US" w:eastAsia="zh-CN"/>
        </w:rPr>
        <w:t>将牛圈</w:t>
      </w:r>
      <w:r>
        <w:rPr>
          <w:rFonts w:hint="eastAsia" w:ascii="Times New Roman" w:hAnsi="Times New Roman" w:eastAsia="宋体" w:cs="Times New Roman"/>
          <w:kern w:val="2"/>
          <w:sz w:val="24"/>
          <w:szCs w:val="24"/>
          <w:lang w:val="en-US" w:eastAsia="zh-CN"/>
        </w:rPr>
        <w:t>垫料清理完成</w:t>
      </w:r>
      <w:r>
        <w:rPr>
          <w:rFonts w:hint="eastAsia" w:cs="Times New Roman"/>
          <w:kern w:val="2"/>
          <w:sz w:val="24"/>
          <w:szCs w:val="24"/>
          <w:lang w:val="en-US" w:eastAsia="zh-CN"/>
        </w:rPr>
        <w:t>，进行牛圈整体消毒</w:t>
      </w:r>
      <w:r>
        <w:rPr>
          <w:rFonts w:hint="eastAsia" w:ascii="Times New Roman" w:hAnsi="Times New Roman" w:eastAsia="宋体" w:cs="Times New Roman"/>
          <w:kern w:val="2"/>
          <w:sz w:val="24"/>
          <w:szCs w:val="24"/>
          <w:lang w:val="en-US" w:eastAsia="zh-CN"/>
        </w:rPr>
        <w:t>。更换清理下来的垫料</w:t>
      </w:r>
      <w:r>
        <w:rPr>
          <w:rFonts w:hint="eastAsia" w:cs="Times New Roman"/>
          <w:kern w:val="2"/>
          <w:sz w:val="24"/>
          <w:szCs w:val="24"/>
          <w:lang w:val="en-US" w:eastAsia="zh-CN"/>
        </w:rPr>
        <w:t>进行堆肥</w:t>
      </w:r>
      <w:r>
        <w:rPr>
          <w:rFonts w:hint="eastAsia" w:ascii="Times New Roman" w:hAnsi="Times New Roman" w:eastAsia="宋体" w:cs="Times New Roman"/>
          <w:kern w:val="2"/>
          <w:sz w:val="24"/>
          <w:szCs w:val="24"/>
          <w:lang w:val="en-US" w:eastAsia="zh-CN"/>
        </w:rPr>
        <w:t>。</w:t>
      </w:r>
      <w:r>
        <w:rPr>
          <w:rFonts w:hint="eastAsia" w:cs="Times New Roman"/>
          <w:kern w:val="2"/>
          <w:sz w:val="24"/>
          <w:szCs w:val="24"/>
          <w:lang w:val="en-US" w:eastAsia="zh-CN"/>
        </w:rPr>
        <w:t>消毒后牛圈</w:t>
      </w:r>
      <w:r>
        <w:rPr>
          <w:rFonts w:hint="eastAsia" w:ascii="Times New Roman" w:hAnsi="Times New Roman" w:eastAsia="宋体" w:cs="Times New Roman"/>
          <w:kern w:val="2"/>
          <w:sz w:val="24"/>
          <w:szCs w:val="24"/>
          <w:lang w:val="en-US" w:eastAsia="zh-CN"/>
        </w:rPr>
        <w:t xml:space="preserve">重新铺设新的垫料进行下一周期的发酵。 </w:t>
      </w:r>
    </w:p>
    <w:p w14:paraId="4CBA0F2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本项目</w:t>
      </w:r>
      <w:r>
        <w:rPr>
          <w:rFonts w:hint="eastAsia" w:cs="Times New Roman"/>
          <w:kern w:val="2"/>
          <w:sz w:val="24"/>
          <w:szCs w:val="24"/>
          <w:lang w:val="en-US" w:eastAsia="zh-CN"/>
        </w:rPr>
        <w:t>在堆肥间内</w:t>
      </w:r>
      <w:r>
        <w:rPr>
          <w:rFonts w:hint="eastAsia" w:ascii="Times New Roman" w:hAnsi="Times New Roman" w:eastAsia="宋体" w:cs="Times New Roman"/>
          <w:kern w:val="2"/>
          <w:sz w:val="24"/>
          <w:szCs w:val="24"/>
          <w:lang w:val="en-US" w:eastAsia="zh-CN"/>
        </w:rPr>
        <w:t>设置</w:t>
      </w:r>
      <w:r>
        <w:rPr>
          <w:rFonts w:hint="eastAsia" w:cs="Times New Roman"/>
          <w:color w:val="auto"/>
          <w:kern w:val="0"/>
          <w:sz w:val="24"/>
          <w:szCs w:val="24"/>
          <w:lang w:val="en-US" w:eastAsia="zh-CN"/>
        </w:rPr>
        <w:t>成品肥</w:t>
      </w:r>
      <w:r>
        <w:rPr>
          <w:rFonts w:hint="eastAsia" w:ascii="Times New Roman" w:hAnsi="Times New Roman" w:eastAsia="宋体" w:cs="Times New Roman"/>
          <w:color w:val="auto"/>
          <w:kern w:val="0"/>
          <w:sz w:val="24"/>
          <w:szCs w:val="24"/>
          <w:lang w:val="en-US" w:eastAsia="zh-CN"/>
        </w:rPr>
        <w:t>暂存</w:t>
      </w:r>
      <w:r>
        <w:rPr>
          <w:rFonts w:hint="eastAsia" w:cs="Times New Roman"/>
          <w:color w:val="auto"/>
          <w:kern w:val="0"/>
          <w:sz w:val="24"/>
          <w:szCs w:val="24"/>
          <w:lang w:val="en-US" w:eastAsia="zh-CN"/>
        </w:rPr>
        <w:t>区</w:t>
      </w:r>
      <w:r>
        <w:rPr>
          <w:rFonts w:hint="eastAsia" w:ascii="Times New Roman" w:hAnsi="Times New Roman" w:eastAsia="宋体" w:cs="Times New Roman"/>
          <w:kern w:val="2"/>
          <w:sz w:val="24"/>
          <w:szCs w:val="24"/>
          <w:lang w:val="en-US" w:eastAsia="zh-CN"/>
        </w:rPr>
        <w:t>，用于临时暂存</w:t>
      </w:r>
      <w:r>
        <w:rPr>
          <w:rFonts w:hint="eastAsia" w:cs="Times New Roman"/>
          <w:kern w:val="2"/>
          <w:sz w:val="24"/>
          <w:szCs w:val="24"/>
          <w:lang w:val="en-US" w:eastAsia="zh-CN"/>
        </w:rPr>
        <w:t>堆肥间翻抛后需要还田的成品肥</w:t>
      </w:r>
      <w:r>
        <w:rPr>
          <w:rFonts w:hint="eastAsia" w:ascii="Times New Roman" w:hAnsi="Times New Roman" w:eastAsia="宋体" w:cs="Times New Roman"/>
          <w:kern w:val="2"/>
          <w:sz w:val="24"/>
          <w:szCs w:val="24"/>
          <w:lang w:val="en-US" w:eastAsia="zh-CN"/>
        </w:rPr>
        <w:t>，</w:t>
      </w:r>
      <w:r>
        <w:rPr>
          <w:rFonts w:hint="eastAsia" w:cs="Times New Roman"/>
          <w:kern w:val="2"/>
          <w:sz w:val="24"/>
          <w:szCs w:val="24"/>
          <w:lang w:val="en-US" w:eastAsia="zh-CN"/>
        </w:rPr>
        <w:t>堆肥间翻抛后如</w:t>
      </w:r>
      <w:r>
        <w:rPr>
          <w:rFonts w:hint="eastAsia" w:ascii="Times New Roman" w:hAnsi="Times New Roman" w:eastAsia="宋体" w:cs="Times New Roman"/>
          <w:kern w:val="2"/>
          <w:sz w:val="24"/>
          <w:szCs w:val="24"/>
          <w:lang w:val="en-US" w:eastAsia="zh-CN"/>
        </w:rPr>
        <w:t>遇大风、雨天等特殊天气</w:t>
      </w:r>
      <w:r>
        <w:rPr>
          <w:rFonts w:hint="eastAsia" w:cs="Times New Roman"/>
          <w:kern w:val="2"/>
          <w:sz w:val="24"/>
          <w:szCs w:val="24"/>
          <w:lang w:val="en-US" w:eastAsia="zh-CN"/>
        </w:rPr>
        <w:t>无法还田，</w:t>
      </w:r>
      <w:r>
        <w:rPr>
          <w:rFonts w:hint="eastAsia" w:ascii="Times New Roman" w:hAnsi="Times New Roman" w:eastAsia="宋体" w:cs="Times New Roman"/>
          <w:kern w:val="2"/>
          <w:sz w:val="24"/>
          <w:szCs w:val="24"/>
          <w:lang w:val="en-US" w:eastAsia="zh-CN"/>
        </w:rPr>
        <w:t>企业根据天气情况，</w:t>
      </w:r>
      <w:r>
        <w:rPr>
          <w:rFonts w:hint="eastAsia" w:cs="Times New Roman"/>
          <w:kern w:val="2"/>
          <w:sz w:val="24"/>
          <w:szCs w:val="24"/>
          <w:lang w:val="en-US" w:eastAsia="zh-CN"/>
        </w:rPr>
        <w:t>牛圈暂停清粪</w:t>
      </w:r>
      <w:r>
        <w:rPr>
          <w:rFonts w:hint="eastAsia" w:ascii="Times New Roman" w:hAnsi="Times New Roman" w:eastAsia="宋体" w:cs="Times New Roman"/>
          <w:kern w:val="2"/>
          <w:sz w:val="24"/>
          <w:szCs w:val="24"/>
          <w:lang w:val="en-US" w:eastAsia="zh-CN"/>
        </w:rPr>
        <w:t>，</w:t>
      </w:r>
      <w:r>
        <w:rPr>
          <w:rFonts w:hint="eastAsia" w:cs="Times New Roman"/>
          <w:kern w:val="2"/>
          <w:sz w:val="24"/>
          <w:szCs w:val="24"/>
          <w:lang w:val="en-US" w:eastAsia="zh-CN"/>
        </w:rPr>
        <w:t>当日堆肥结束后的成品肥</w:t>
      </w:r>
      <w:r>
        <w:rPr>
          <w:rFonts w:hint="eastAsia" w:ascii="Times New Roman" w:hAnsi="Times New Roman" w:eastAsia="宋体" w:cs="Times New Roman"/>
          <w:kern w:val="2"/>
          <w:sz w:val="24"/>
          <w:szCs w:val="24"/>
          <w:lang w:val="en-US" w:eastAsia="zh-CN"/>
        </w:rPr>
        <w:t>暂存于</w:t>
      </w:r>
      <w:r>
        <w:rPr>
          <w:rFonts w:hint="eastAsia" w:cs="Times New Roman"/>
          <w:kern w:val="2"/>
          <w:sz w:val="24"/>
          <w:szCs w:val="24"/>
          <w:lang w:val="en-US" w:eastAsia="zh-CN"/>
        </w:rPr>
        <w:t>堆肥场</w:t>
      </w:r>
      <w:r>
        <w:rPr>
          <w:rFonts w:hint="eastAsia" w:cs="Times New Roman"/>
          <w:kern w:val="2"/>
          <w:sz w:val="24"/>
          <w:szCs w:val="24"/>
          <w:highlight w:val="none"/>
          <w:lang w:val="en-US" w:eastAsia="zh-CN"/>
        </w:rPr>
        <w:t>200m</w:t>
      </w:r>
      <w:r>
        <w:rPr>
          <w:rFonts w:hint="eastAsia" w:cs="Times New Roman"/>
          <w:kern w:val="2"/>
          <w:sz w:val="24"/>
          <w:szCs w:val="24"/>
          <w:highlight w:val="none"/>
          <w:vertAlign w:val="superscript"/>
          <w:lang w:val="en-US" w:eastAsia="zh-CN"/>
        </w:rPr>
        <w:t>2</w:t>
      </w:r>
      <w:r>
        <w:rPr>
          <w:rFonts w:hint="eastAsia" w:cs="Times New Roman"/>
          <w:color w:val="auto"/>
          <w:kern w:val="0"/>
          <w:sz w:val="24"/>
          <w:szCs w:val="24"/>
          <w:lang w:val="en-US" w:eastAsia="zh-CN"/>
        </w:rPr>
        <w:t>成品肥</w:t>
      </w:r>
      <w:r>
        <w:rPr>
          <w:rFonts w:hint="eastAsia" w:ascii="Times New Roman" w:hAnsi="Times New Roman" w:eastAsia="宋体" w:cs="Times New Roman"/>
          <w:color w:val="auto"/>
          <w:kern w:val="0"/>
          <w:sz w:val="24"/>
          <w:szCs w:val="24"/>
          <w:lang w:val="en-US" w:eastAsia="zh-CN"/>
        </w:rPr>
        <w:t>暂存</w:t>
      </w:r>
      <w:r>
        <w:rPr>
          <w:rFonts w:hint="eastAsia" w:cs="Times New Roman"/>
          <w:color w:val="auto"/>
          <w:kern w:val="0"/>
          <w:sz w:val="24"/>
          <w:szCs w:val="24"/>
          <w:lang w:val="en-US" w:eastAsia="zh-CN"/>
        </w:rPr>
        <w:t>区</w:t>
      </w:r>
      <w:r>
        <w:rPr>
          <w:rFonts w:hint="eastAsia" w:cs="Times New Roman"/>
          <w:kern w:val="2"/>
          <w:sz w:val="24"/>
          <w:szCs w:val="24"/>
          <w:lang w:val="en-US" w:eastAsia="zh-CN"/>
        </w:rPr>
        <w:t>暂存，待次日还田</w:t>
      </w:r>
      <w:r>
        <w:rPr>
          <w:rFonts w:hint="eastAsia" w:ascii="Times New Roman" w:hAnsi="Times New Roman" w:eastAsia="宋体" w:cs="Times New Roman"/>
          <w:kern w:val="2"/>
          <w:sz w:val="24"/>
          <w:szCs w:val="24"/>
          <w:lang w:val="en-US" w:eastAsia="zh-CN"/>
        </w:rPr>
        <w:t>。</w:t>
      </w:r>
    </w:p>
    <w:p w14:paraId="0A1AB78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3</w:t>
      </w:r>
      <w:r>
        <w:rPr>
          <w:rFonts w:hint="default" w:ascii="Times New Roman" w:hAnsi="Times New Roman" w:eastAsia="宋体" w:cs="Times New Roman"/>
          <w:kern w:val="2"/>
          <w:sz w:val="24"/>
          <w:szCs w:val="24"/>
          <w:lang w:eastAsia="zh-CN"/>
        </w:rPr>
        <w:t>）消毒</w:t>
      </w:r>
    </w:p>
    <w:p w14:paraId="1539A26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val="en-US" w:eastAsia="zh-CN"/>
        </w:rPr>
        <w:t>始终贯彻</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预防为主</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的方针，养殖场生产区和管理区分开，生产区周围有必要的保护设施；场内分别设净道和污道，建有进料、出粪通道，并严格分离。生产区大门口建立</w:t>
      </w:r>
      <w:r>
        <w:rPr>
          <w:rFonts w:hint="eastAsia" w:cs="Times New Roman"/>
          <w:kern w:val="2"/>
          <w:sz w:val="24"/>
          <w:szCs w:val="24"/>
          <w:lang w:val="en-US" w:eastAsia="zh-CN"/>
        </w:rPr>
        <w:t>人员消毒通道</w:t>
      </w:r>
      <w:r>
        <w:rPr>
          <w:rFonts w:hint="default" w:ascii="Times New Roman" w:hAnsi="Times New Roman" w:eastAsia="宋体" w:cs="Times New Roman"/>
          <w:kern w:val="2"/>
          <w:sz w:val="24"/>
          <w:szCs w:val="24"/>
          <w:lang w:val="en-US" w:eastAsia="zh-CN"/>
        </w:rPr>
        <w:t xml:space="preserve">，出入人员必须消毒。 </w:t>
      </w:r>
    </w:p>
    <w:p w14:paraId="7ADED77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禁止使用火碱、甲醛、生石灰干撒、强氯精等强刺激性药剂进行带牛消毒，此类药剂仅可用于无牛区域、场外道路、粪污区消毒，严禁与牛群直接接触。</w:t>
      </w:r>
    </w:p>
    <w:p w14:paraId="7F996C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kern w:val="2"/>
          <w:sz w:val="24"/>
          <w:szCs w:val="24"/>
          <w:lang w:val="en-US" w:eastAsia="zh-CN"/>
        </w:rPr>
      </w:pPr>
      <w:r>
        <w:rPr>
          <w:rFonts w:hint="eastAsia" w:cs="Times New Roman"/>
          <w:kern w:val="2"/>
          <w:sz w:val="24"/>
          <w:szCs w:val="24"/>
          <w:lang w:val="en-US" w:eastAsia="zh-CN"/>
        </w:rPr>
        <w:t>①消毒流程</w:t>
      </w:r>
    </w:p>
    <w:p w14:paraId="467712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kern w:val="2"/>
          <w:sz w:val="24"/>
          <w:szCs w:val="24"/>
          <w:lang w:val="en-US" w:eastAsia="zh-CN"/>
        </w:rPr>
      </w:pPr>
      <w:r>
        <w:rPr>
          <w:rFonts w:hint="eastAsia" w:cs="Times New Roman"/>
          <w:kern w:val="2"/>
          <w:sz w:val="24"/>
          <w:szCs w:val="24"/>
          <w:lang w:val="en-US" w:eastAsia="zh-CN"/>
        </w:rPr>
        <w:t>用具、饲喂通道消毒：由45%新洁尔灭配置0.1%新洁尔灭消毒液，每周消毒一次。</w:t>
      </w:r>
    </w:p>
    <w:p w14:paraId="2F17A2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牛舍、运动场、饲喂凉棚、隔离圈、病死牛暂存间以及医疗废物暂存间</w:t>
      </w:r>
      <w:r>
        <w:rPr>
          <w:rFonts w:hint="default" w:ascii="Times New Roman" w:hAnsi="Times New Roman" w:eastAsia="宋体" w:cs="Times New Roman"/>
          <w:kern w:val="2"/>
          <w:sz w:val="24"/>
          <w:szCs w:val="24"/>
          <w:lang w:val="en-US" w:eastAsia="zh-CN"/>
        </w:rPr>
        <w:t>每周进行喷雾式消毒2次</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主要喷洒</w:t>
      </w:r>
      <w:r>
        <w:rPr>
          <w:rFonts w:hint="eastAsia" w:cs="Times New Roman"/>
          <w:kern w:val="2"/>
          <w:sz w:val="24"/>
          <w:szCs w:val="24"/>
          <w:lang w:val="en-US" w:eastAsia="zh-CN"/>
        </w:rPr>
        <w:t>0.04%复合</w:t>
      </w:r>
      <w:r>
        <w:rPr>
          <w:rFonts w:hint="eastAsia" w:cs="Times New Roman"/>
          <w:kern w:val="2"/>
          <w:sz w:val="24"/>
          <w:szCs w:val="24"/>
          <w:highlight w:val="none"/>
          <w:lang w:val="en-US" w:eastAsia="zh-CN"/>
        </w:rPr>
        <w:t>戊二醛溶液</w:t>
      </w:r>
      <w:r>
        <w:rPr>
          <w:rFonts w:hint="eastAsia" w:eastAsia="宋体" w:cs="Times New Roman"/>
          <w:kern w:val="2"/>
          <w:sz w:val="24"/>
          <w:szCs w:val="24"/>
          <w:lang w:val="en-US" w:eastAsia="zh-CN"/>
        </w:rPr>
        <w:t>，喷雾式消毒</w:t>
      </w:r>
      <w:r>
        <w:rPr>
          <w:rFonts w:hint="default" w:ascii="Times New Roman" w:hAnsi="Times New Roman" w:eastAsia="宋体" w:cs="Times New Roman"/>
          <w:kern w:val="2"/>
          <w:sz w:val="24"/>
          <w:szCs w:val="24"/>
          <w:lang w:val="en-US" w:eastAsia="zh-CN"/>
        </w:rPr>
        <w:t>。</w:t>
      </w:r>
    </w:p>
    <w:p w14:paraId="3728B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kern w:val="2"/>
          <w:sz w:val="24"/>
          <w:szCs w:val="24"/>
          <w:lang w:val="en-US" w:eastAsia="zh-CN"/>
        </w:rPr>
      </w:pPr>
      <w:r>
        <w:rPr>
          <w:rFonts w:hint="eastAsia" w:ascii="Times New Roman" w:hAnsi="Times New Roman" w:cs="Times New Roman"/>
          <w:kern w:val="2"/>
          <w:sz w:val="24"/>
          <w:szCs w:val="24"/>
          <w:lang w:val="en-US" w:eastAsia="zh-CN"/>
        </w:rPr>
        <w:t>项目区</w:t>
      </w:r>
      <w:r>
        <w:rPr>
          <w:rFonts w:hint="eastAsia" w:cs="Times New Roman"/>
          <w:kern w:val="2"/>
          <w:sz w:val="24"/>
          <w:szCs w:val="24"/>
          <w:lang w:val="en-US" w:eastAsia="zh-CN"/>
        </w:rPr>
        <w:t>入口以及进场道路采用均匀撒布生石灰消毒，每两周撒布一次，无需用水</w:t>
      </w:r>
      <w:r>
        <w:rPr>
          <w:rFonts w:hint="default" w:ascii="Times New Roman" w:hAnsi="Times New Roman" w:eastAsia="宋体" w:cs="Times New Roman"/>
          <w:kern w:val="2"/>
          <w:sz w:val="24"/>
          <w:szCs w:val="24"/>
          <w:lang w:val="en-US" w:eastAsia="zh-CN"/>
        </w:rPr>
        <w:t>。</w:t>
      </w:r>
    </w:p>
    <w:p w14:paraId="0A4AB9B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②消毒剂</w:t>
      </w:r>
      <w:r>
        <w:rPr>
          <w:rFonts w:hint="default" w:ascii="Times New Roman" w:hAnsi="Times New Roman" w:eastAsia="宋体" w:cs="Times New Roman"/>
          <w:kern w:val="2"/>
          <w:sz w:val="24"/>
          <w:szCs w:val="24"/>
          <w:lang w:val="en-US" w:eastAsia="zh-CN"/>
        </w:rPr>
        <w:t>储存与领用</w:t>
      </w:r>
    </w:p>
    <w:p w14:paraId="3005707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消毒剂统一</w:t>
      </w:r>
      <w:r>
        <w:rPr>
          <w:rFonts w:hint="eastAsia" w:cs="Times New Roman"/>
          <w:kern w:val="2"/>
          <w:sz w:val="24"/>
          <w:szCs w:val="24"/>
          <w:lang w:val="en-US" w:eastAsia="zh-CN"/>
        </w:rPr>
        <w:t>在消毒室内暂存，</w:t>
      </w:r>
      <w:r>
        <w:rPr>
          <w:rFonts w:hint="default" w:ascii="Times New Roman" w:hAnsi="Times New Roman" w:eastAsia="宋体" w:cs="Times New Roman"/>
          <w:kern w:val="2"/>
          <w:sz w:val="24"/>
          <w:szCs w:val="24"/>
          <w:lang w:val="en-US" w:eastAsia="zh-CN"/>
        </w:rPr>
        <w:t>专人管理，分类存放、避光密封储存，远离火源、水源及牛群活动区域；员工领用消毒剂需做好登记，按需领用，剩余药剂及时归还，严禁随意堆放、混用。</w:t>
      </w:r>
    </w:p>
    <w:p w14:paraId="7D50B84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eastAsia" w:cs="Times New Roman"/>
          <w:kern w:val="2"/>
          <w:sz w:val="24"/>
          <w:szCs w:val="24"/>
          <w:lang w:val="en-US" w:eastAsia="zh-CN"/>
        </w:rPr>
        <w:t>③</w:t>
      </w:r>
      <w:r>
        <w:rPr>
          <w:rFonts w:hint="default" w:ascii="Times New Roman" w:hAnsi="Times New Roman" w:eastAsia="宋体" w:cs="Times New Roman"/>
          <w:kern w:val="2"/>
          <w:sz w:val="24"/>
          <w:szCs w:val="24"/>
          <w:lang w:val="en-US" w:eastAsia="zh-CN"/>
        </w:rPr>
        <w:t>消毒操作流程</w:t>
      </w:r>
    </w:p>
    <w:p w14:paraId="5B5EFD9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1. 前期清理：消毒前先完成</w:t>
      </w:r>
      <w:r>
        <w:rPr>
          <w:rFonts w:hint="eastAsia" w:cs="Times New Roman"/>
          <w:kern w:val="2"/>
          <w:sz w:val="24"/>
          <w:szCs w:val="24"/>
          <w:lang w:val="en-US" w:eastAsia="zh-CN"/>
        </w:rPr>
        <w:t>牛圈</w:t>
      </w:r>
      <w:r>
        <w:rPr>
          <w:rFonts w:hint="default" w:ascii="Times New Roman" w:hAnsi="Times New Roman" w:eastAsia="宋体" w:cs="Times New Roman"/>
          <w:kern w:val="2"/>
          <w:sz w:val="24"/>
          <w:szCs w:val="24"/>
          <w:lang w:val="en-US" w:eastAsia="zh-CN"/>
        </w:rPr>
        <w:t>粪污、剩料、杂物清理，将粪污转运至指定发酵区，确保消毒区域无污物残留；</w:t>
      </w:r>
    </w:p>
    <w:p w14:paraId="6CAE27E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2. 药剂配制：严格按照配比标准称量药剂与清水，搅拌均匀，配药后立即使用，不得长时间放置；</w:t>
      </w:r>
    </w:p>
    <w:p w14:paraId="7101CF1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3. 喷雾作业：采用细雾喷雾设备，均匀喷洒</w:t>
      </w:r>
      <w:r>
        <w:rPr>
          <w:rFonts w:hint="eastAsia" w:cs="Times New Roman"/>
          <w:kern w:val="2"/>
          <w:sz w:val="24"/>
          <w:szCs w:val="24"/>
          <w:lang w:val="en-US" w:eastAsia="zh-CN"/>
        </w:rPr>
        <w:t>牛圈</w:t>
      </w:r>
      <w:r>
        <w:rPr>
          <w:rFonts w:hint="default" w:ascii="Times New Roman" w:hAnsi="Times New Roman" w:eastAsia="宋体" w:cs="Times New Roman"/>
          <w:kern w:val="2"/>
          <w:sz w:val="24"/>
          <w:szCs w:val="24"/>
          <w:lang w:val="en-US" w:eastAsia="zh-CN"/>
        </w:rPr>
        <w:t>地面、卧床、围栏、饲槽、水槽</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地面，喷雾时避开牛群口鼻、眼睛，不直接直冲牛体，以地面、设施湿润不积水为宜；</w:t>
      </w:r>
    </w:p>
    <w:p w14:paraId="0B7A634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4. 药剂轮换：每7</w:t>
      </w:r>
      <w:r>
        <w:rPr>
          <w:rFonts w:hint="eastAsia" w:cs="Times New Roman"/>
          <w:kern w:val="2"/>
          <w:sz w:val="24"/>
          <w:szCs w:val="24"/>
          <w:lang w:val="en-US" w:eastAsia="zh-CN"/>
        </w:rPr>
        <w:t>—</w:t>
      </w:r>
      <w:r>
        <w:rPr>
          <w:rFonts w:hint="default" w:ascii="Times New Roman" w:hAnsi="Times New Roman" w:eastAsia="宋体" w:cs="Times New Roman"/>
          <w:kern w:val="2"/>
          <w:sz w:val="24"/>
          <w:szCs w:val="24"/>
          <w:lang w:val="en-US" w:eastAsia="zh-CN"/>
        </w:rPr>
        <w:t>10天更换一种消毒剂，循环交替使用，提升消毒全面性。</w:t>
      </w:r>
    </w:p>
    <w:p w14:paraId="53EA036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cs="Times New Roman"/>
          <w:kern w:val="2"/>
          <w:sz w:val="24"/>
          <w:szCs w:val="24"/>
          <w:lang w:eastAsia="zh-CN"/>
        </w:rPr>
      </w:pPr>
      <w:r>
        <w:rPr>
          <w:rFonts w:hint="default" w:ascii="Times New Roman" w:hAnsi="Times New Roman" w:eastAsia="宋体" w:cs="Times New Roman"/>
          <w:kern w:val="2"/>
          <w:sz w:val="24"/>
          <w:szCs w:val="24"/>
          <w:lang w:eastAsia="zh-CN"/>
        </w:rPr>
        <w:t>本项目</w:t>
      </w:r>
      <w:r>
        <w:rPr>
          <w:rFonts w:hint="eastAsia" w:cs="Times New Roman"/>
          <w:kern w:val="2"/>
          <w:sz w:val="24"/>
          <w:szCs w:val="24"/>
          <w:lang w:val="en-US" w:eastAsia="zh-CN"/>
        </w:rPr>
        <w:t>消毒</w:t>
      </w:r>
      <w:r>
        <w:rPr>
          <w:rFonts w:hint="default" w:ascii="Times New Roman" w:hAnsi="Times New Roman" w:eastAsia="宋体" w:cs="Times New Roman"/>
          <w:kern w:val="2"/>
          <w:sz w:val="24"/>
          <w:szCs w:val="24"/>
          <w:lang w:eastAsia="zh-CN"/>
        </w:rPr>
        <w:t>采用不含氯消毒剂，主要</w:t>
      </w:r>
      <w:r>
        <w:rPr>
          <w:rFonts w:hint="eastAsia" w:eastAsia="宋体" w:cs="Times New Roman"/>
          <w:kern w:val="2"/>
          <w:sz w:val="24"/>
          <w:szCs w:val="24"/>
          <w:lang w:val="en-US" w:eastAsia="zh-CN"/>
        </w:rPr>
        <w:t>采用</w:t>
      </w:r>
      <w:r>
        <w:rPr>
          <w:rFonts w:hint="eastAsia" w:cs="Times New Roman"/>
          <w:kern w:val="2"/>
          <w:sz w:val="24"/>
          <w:szCs w:val="24"/>
          <w:lang w:val="en-US" w:eastAsia="zh-CN"/>
        </w:rPr>
        <w:t>新洁尔灭、复合</w:t>
      </w:r>
      <w:r>
        <w:rPr>
          <w:rFonts w:hint="eastAsia" w:cs="Times New Roman"/>
          <w:kern w:val="2"/>
          <w:sz w:val="24"/>
          <w:szCs w:val="24"/>
          <w:highlight w:val="none"/>
          <w:lang w:val="en-US" w:eastAsia="zh-CN"/>
        </w:rPr>
        <w:t>戊二醛</w:t>
      </w:r>
      <w:r>
        <w:rPr>
          <w:rFonts w:hint="eastAsia" w:eastAsia="宋体" w:cs="Times New Roman"/>
          <w:kern w:val="2"/>
          <w:sz w:val="24"/>
          <w:szCs w:val="24"/>
          <w:lang w:val="en-US" w:eastAsia="zh-CN"/>
        </w:rPr>
        <w:t>消毒剂</w:t>
      </w:r>
      <w:r>
        <w:rPr>
          <w:rFonts w:hint="eastAsia" w:cs="Times New Roman"/>
          <w:kern w:val="2"/>
          <w:sz w:val="24"/>
          <w:szCs w:val="24"/>
          <w:lang w:val="en-US" w:eastAsia="zh-CN"/>
        </w:rPr>
        <w:t>以及生石灰消毒</w:t>
      </w:r>
      <w:r>
        <w:rPr>
          <w:rFonts w:hint="default" w:ascii="Times New Roman" w:hAnsi="Times New Roman" w:eastAsia="宋体" w:cs="Times New Roman"/>
          <w:kern w:val="2"/>
          <w:sz w:val="24"/>
          <w:szCs w:val="24"/>
          <w:lang w:eastAsia="zh-CN"/>
        </w:rPr>
        <w:t>，</w:t>
      </w:r>
      <w:r>
        <w:rPr>
          <w:rFonts w:hint="eastAsia" w:cs="Times New Roman"/>
          <w:kern w:val="2"/>
          <w:sz w:val="24"/>
          <w:szCs w:val="24"/>
          <w:lang w:val="en-US" w:eastAsia="zh-CN"/>
        </w:rPr>
        <w:t>这几类</w:t>
      </w:r>
      <w:r>
        <w:rPr>
          <w:rFonts w:hint="default" w:ascii="Times New Roman" w:hAnsi="Times New Roman" w:eastAsia="宋体" w:cs="Times New Roman"/>
          <w:kern w:val="2"/>
          <w:sz w:val="24"/>
          <w:szCs w:val="24"/>
          <w:lang w:eastAsia="zh-CN"/>
        </w:rPr>
        <w:t>消毒剂副作用小，消毒效果好，对人和</w:t>
      </w:r>
      <w:r>
        <w:rPr>
          <w:rFonts w:hint="eastAsia" w:ascii="Times New Roman" w:hAnsi="Times New Roman" w:eastAsia="宋体" w:cs="Times New Roman"/>
          <w:kern w:val="2"/>
          <w:sz w:val="24"/>
          <w:szCs w:val="24"/>
          <w:lang w:val="en-US" w:eastAsia="zh-CN"/>
        </w:rPr>
        <w:t>牛</w:t>
      </w:r>
      <w:r>
        <w:rPr>
          <w:rFonts w:hint="default" w:ascii="Times New Roman" w:hAnsi="Times New Roman" w:eastAsia="宋体" w:cs="Times New Roman"/>
          <w:kern w:val="2"/>
          <w:sz w:val="24"/>
          <w:szCs w:val="24"/>
          <w:lang w:eastAsia="zh-CN"/>
        </w:rPr>
        <w:t>基本无影响。消毒时要做到细致，无死角</w:t>
      </w:r>
      <w:r>
        <w:rPr>
          <w:rFonts w:hint="eastAsia" w:cs="Times New Roman"/>
          <w:kern w:val="2"/>
          <w:sz w:val="24"/>
          <w:szCs w:val="24"/>
          <w:lang w:eastAsia="zh-CN"/>
        </w:rPr>
        <w:t>。</w:t>
      </w:r>
    </w:p>
    <w:p w14:paraId="1195719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cs="Times New Roman"/>
          <w:kern w:val="2"/>
          <w:sz w:val="24"/>
          <w:szCs w:val="24"/>
          <w:lang w:val="en-US" w:eastAsia="zh-CN"/>
        </w:rPr>
      </w:pPr>
      <w:r>
        <w:rPr>
          <w:rFonts w:hint="eastAsia" w:cs="Times New Roman"/>
          <w:kern w:val="2"/>
          <w:sz w:val="24"/>
          <w:szCs w:val="24"/>
          <w:lang w:val="en-US" w:eastAsia="zh-CN"/>
        </w:rPr>
        <w:t>消毒过程会产生</w:t>
      </w:r>
      <w:r>
        <w:rPr>
          <w:rFonts w:hint="eastAsia" w:cs="Times New Roman"/>
          <w:color w:val="auto"/>
          <w:sz w:val="24"/>
          <w:szCs w:val="24"/>
          <w:lang w:val="en-US" w:eastAsia="zh-CN"/>
        </w:rPr>
        <w:t>废消毒剂包装材料S1，集中收集后暂存于危险废物贮存点内，定期委托有资质的单位运输处置。</w:t>
      </w:r>
    </w:p>
    <w:p w14:paraId="6A889B41">
      <w:pPr>
        <w:keepNext w:val="0"/>
        <w:keepLines w:val="0"/>
        <w:pageBreakBefore w:val="0"/>
        <w:widowControl w:val="0"/>
        <w:kinsoku/>
        <w:wordWrap/>
        <w:overflowPunct/>
        <w:topLinePunct w:val="0"/>
        <w:bidi w:val="0"/>
        <w:adjustRightInd/>
        <w:snapToGrid/>
        <w:spacing w:line="360" w:lineRule="auto"/>
        <w:jc w:val="both"/>
        <w:textAlignment w:val="auto"/>
        <w:outlineLvl w:val="3"/>
        <w:rPr>
          <w:rFonts w:hint="eastAsia"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3</w:t>
      </w:r>
      <w:r>
        <w:rPr>
          <w:rFonts w:hint="eastAsia" w:ascii="Times New Roman" w:hAnsi="Times New Roman" w:eastAsia="宋体" w:cs="Times New Roman"/>
          <w:b/>
          <w:kern w:val="2"/>
          <w:sz w:val="24"/>
          <w:szCs w:val="24"/>
          <w:lang w:val="en-US" w:eastAsia="zh-CN" w:bidi="ar-SA"/>
        </w:rPr>
        <w:t>发酵床工艺</w:t>
      </w:r>
    </w:p>
    <w:p w14:paraId="6A6BD78F">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w:t>
      </w:r>
      <w:r>
        <w:rPr>
          <w:rFonts w:hint="eastAsia" w:cs="Times New Roman"/>
          <w:kern w:val="2"/>
          <w:sz w:val="24"/>
          <w:szCs w:val="24"/>
          <w:lang w:val="en-US" w:eastAsia="zh-CN"/>
        </w:rPr>
        <w:t>牛舍、饲喂凉棚以及运动场均</w:t>
      </w:r>
      <w:r>
        <w:rPr>
          <w:rFonts w:hint="eastAsia" w:ascii="Times New Roman" w:hAnsi="Times New Roman" w:eastAsia="宋体" w:cs="Times New Roman"/>
          <w:color w:val="auto"/>
          <w:kern w:val="0"/>
          <w:sz w:val="24"/>
          <w:szCs w:val="24"/>
          <w:lang w:val="en-US" w:eastAsia="zh-CN"/>
        </w:rPr>
        <w:t>采用发酵床养殖技术，即利用秸秆、锯末等材料制作成垫料，铺设在特殊设计的发酵床上，借助有益菌的作用分解发酵畜禽粪便中的有机物质，消除畜禽粪便中氨气和硫化氢等恶臭气体，改善养殖环境的一种生态养殖技术。包括原位发酵、异位发酵，本项目采用原位发酵，即在</w:t>
      </w:r>
      <w:r>
        <w:rPr>
          <w:rFonts w:hint="eastAsia" w:cs="Times New Roman"/>
          <w:color w:val="auto"/>
          <w:kern w:val="0"/>
          <w:sz w:val="24"/>
          <w:szCs w:val="24"/>
          <w:lang w:val="en-US" w:eastAsia="zh-CN"/>
        </w:rPr>
        <w:t>牛圈</w:t>
      </w:r>
      <w:r>
        <w:rPr>
          <w:rFonts w:hint="eastAsia" w:ascii="Times New Roman" w:hAnsi="Times New Roman" w:eastAsia="宋体" w:cs="Times New Roman"/>
          <w:color w:val="auto"/>
          <w:kern w:val="0"/>
          <w:sz w:val="24"/>
          <w:szCs w:val="24"/>
          <w:lang w:val="en-US" w:eastAsia="zh-CN"/>
        </w:rPr>
        <w:t xml:space="preserve">内直接发酵垫料，制成发酵床，养殖的牛直接生活生长在发酵床上，利用微生物的分解转化作用，对牛粪尿进行分解转化，降低养殖恶臭产生量，防止寄生虫的传染，减少牛的发病率，促进牛健康生长。 </w:t>
      </w:r>
    </w:p>
    <w:p w14:paraId="3AAE86A8">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w:t>
      </w:r>
      <w:r>
        <w:rPr>
          <w:rFonts w:hint="eastAsia" w:cs="Times New Roman"/>
          <w:color w:val="auto"/>
          <w:kern w:val="0"/>
          <w:sz w:val="24"/>
          <w:szCs w:val="24"/>
          <w:lang w:val="en-US" w:eastAsia="zh-CN"/>
        </w:rPr>
        <w:t>饲喂凉棚设置顶棚以及围栏，牛舍设置采光口，运动场仅设置围栏，均能够保证</w:t>
      </w:r>
      <w:r>
        <w:rPr>
          <w:rFonts w:hint="eastAsia" w:ascii="Times New Roman" w:hAnsi="Times New Roman" w:eastAsia="宋体" w:cs="Times New Roman"/>
          <w:color w:val="auto"/>
          <w:kern w:val="0"/>
          <w:sz w:val="24"/>
          <w:szCs w:val="24"/>
          <w:lang w:val="en-US" w:eastAsia="zh-CN"/>
        </w:rPr>
        <w:t>充分采光，阳光直接照射到发酵床，以利于微生物的生长繁殖</w:t>
      </w:r>
      <w:r>
        <w:rPr>
          <w:rFonts w:hint="eastAsia" w:cs="Times New Roman"/>
          <w:color w:val="auto"/>
          <w:kern w:val="0"/>
          <w:sz w:val="24"/>
          <w:szCs w:val="24"/>
          <w:lang w:val="en-US" w:eastAsia="zh-CN"/>
        </w:rPr>
        <w:t>，有</w:t>
      </w:r>
      <w:r>
        <w:rPr>
          <w:rFonts w:hint="eastAsia" w:ascii="Times New Roman" w:hAnsi="Times New Roman" w:eastAsia="宋体" w:cs="Times New Roman"/>
          <w:color w:val="auto"/>
          <w:kern w:val="0"/>
          <w:sz w:val="24"/>
          <w:szCs w:val="24"/>
          <w:lang w:val="en-US" w:eastAsia="zh-CN"/>
        </w:rPr>
        <w:t>利于发酵。本项目选用干撒式发酵床</w:t>
      </w:r>
      <w:r>
        <w:rPr>
          <w:rFonts w:hint="eastAsia" w:cs="Times New Roman"/>
          <w:color w:val="auto"/>
          <w:kern w:val="0"/>
          <w:sz w:val="24"/>
          <w:szCs w:val="24"/>
          <w:lang w:val="en-US" w:eastAsia="zh-CN"/>
        </w:rPr>
        <w:t>，运动场底部采用</w:t>
      </w:r>
      <w:r>
        <w:rPr>
          <w:rFonts w:hint="eastAsia" w:ascii="Times New Roman" w:hAnsi="Times New Roman" w:cs="Times New Roman"/>
          <w:color w:val="000000"/>
          <w:kern w:val="2"/>
          <w:sz w:val="24"/>
          <w:szCs w:val="20"/>
          <w:highlight w:val="none"/>
          <w:lang w:val="en-US" w:eastAsia="zh-CN"/>
        </w:rPr>
        <w:t>原土</w:t>
      </w:r>
      <w:r>
        <w:rPr>
          <w:rFonts w:hint="default" w:ascii="Times New Roman" w:hAnsi="Times New Roman" w:eastAsia="宋体" w:cs="Times New Roman"/>
          <w:color w:val="000000"/>
          <w:kern w:val="2"/>
          <w:sz w:val="24"/>
          <w:szCs w:val="20"/>
          <w:highlight w:val="none"/>
          <w:lang w:val="en-US" w:eastAsia="zh-CN"/>
        </w:rPr>
        <w:t>夯实+</w:t>
      </w:r>
      <w:r>
        <w:rPr>
          <w:rFonts w:hint="eastAsia" w:cs="Times New Roman"/>
          <w:color w:val="000000"/>
          <w:kern w:val="2"/>
          <w:sz w:val="24"/>
          <w:szCs w:val="20"/>
          <w:highlight w:val="none"/>
          <w:lang w:val="en-US" w:eastAsia="zh-CN"/>
        </w:rPr>
        <w:t>3</w:t>
      </w:r>
      <w:r>
        <w:rPr>
          <w:rFonts w:hint="default" w:ascii="Times New Roman" w:hAnsi="Times New Roman" w:eastAsia="宋体" w:cs="Times New Roman"/>
          <w:color w:val="000000"/>
          <w:kern w:val="2"/>
          <w:sz w:val="24"/>
          <w:szCs w:val="20"/>
          <w:highlight w:val="none"/>
          <w:lang w:val="en-US" w:eastAsia="zh-CN"/>
        </w:rPr>
        <w:t>mm厚高密度聚乙烯膜（HDPE）</w:t>
      </w:r>
      <w:r>
        <w:rPr>
          <w:rFonts w:hint="eastAsia" w:ascii="Times New Roman" w:hAnsi="Times New Roman" w:cs="Times New Roman"/>
          <w:color w:val="000000"/>
          <w:kern w:val="2"/>
          <w:sz w:val="24"/>
          <w:szCs w:val="20"/>
          <w:highlight w:val="none"/>
          <w:lang w:val="en-US" w:eastAsia="zh-CN"/>
        </w:rPr>
        <w:t>，饲喂凉棚以及牛舍均采用原土</w:t>
      </w:r>
      <w:r>
        <w:rPr>
          <w:rFonts w:hint="default" w:ascii="Times New Roman" w:hAnsi="Times New Roman" w:eastAsia="宋体" w:cs="Times New Roman"/>
          <w:color w:val="000000"/>
          <w:kern w:val="2"/>
          <w:sz w:val="24"/>
          <w:szCs w:val="20"/>
          <w:highlight w:val="none"/>
          <w:lang w:val="en-US" w:eastAsia="zh-CN"/>
        </w:rPr>
        <w:t>夯实+</w:t>
      </w:r>
      <w:r>
        <w:rPr>
          <w:rFonts w:hint="eastAsia" w:ascii="Times New Roman" w:hAnsi="Times New Roman" w:eastAsia="宋体" w:cs="Times New Roman"/>
          <w:color w:val="000000"/>
          <w:kern w:val="2"/>
          <w:sz w:val="24"/>
          <w:szCs w:val="20"/>
          <w:highlight w:val="none"/>
          <w:lang w:val="en-US" w:eastAsia="zh-CN"/>
        </w:rPr>
        <w:t>20cm厚P4等级混凝土</w:t>
      </w:r>
      <w:r>
        <w:rPr>
          <w:rFonts w:hint="eastAsia" w:ascii="Times New Roman" w:hAnsi="Times New Roman" w:eastAsia="宋体" w:cs="Times New Roman"/>
          <w:color w:val="auto"/>
          <w:kern w:val="0"/>
          <w:sz w:val="24"/>
          <w:szCs w:val="24"/>
          <w:lang w:val="en-US" w:eastAsia="zh-CN"/>
        </w:rPr>
        <w:t>，</w:t>
      </w:r>
      <w:r>
        <w:rPr>
          <w:rFonts w:hint="eastAsia" w:cs="Times New Roman"/>
          <w:color w:val="auto"/>
          <w:kern w:val="0"/>
          <w:sz w:val="24"/>
          <w:szCs w:val="24"/>
          <w:lang w:val="en-US" w:eastAsia="zh-CN"/>
        </w:rPr>
        <w:t>在此基础上铺设发酵床，发酵床</w:t>
      </w:r>
      <w:r>
        <w:rPr>
          <w:rFonts w:hint="eastAsia" w:ascii="Times New Roman" w:hAnsi="Times New Roman" w:eastAsia="宋体" w:cs="Times New Roman"/>
          <w:color w:val="auto"/>
          <w:kern w:val="0"/>
          <w:sz w:val="24"/>
          <w:szCs w:val="24"/>
          <w:lang w:val="en-US" w:eastAsia="zh-CN"/>
        </w:rPr>
        <w:t>垫料主要成分多是</w:t>
      </w:r>
      <w:r>
        <w:rPr>
          <w:rFonts w:hint="eastAsia" w:cs="Times New Roman"/>
          <w:color w:val="auto"/>
          <w:kern w:val="0"/>
          <w:sz w:val="24"/>
          <w:szCs w:val="24"/>
          <w:lang w:val="en-US" w:eastAsia="zh-CN"/>
        </w:rPr>
        <w:t>稻草、</w:t>
      </w:r>
      <w:r>
        <w:rPr>
          <w:rFonts w:hint="eastAsia" w:ascii="Times New Roman" w:hAnsi="Times New Roman" w:eastAsia="宋体" w:cs="Times New Roman"/>
          <w:color w:val="auto"/>
          <w:kern w:val="0"/>
          <w:sz w:val="24"/>
          <w:szCs w:val="24"/>
          <w:lang w:val="en-US" w:eastAsia="zh-CN"/>
        </w:rPr>
        <w:t>稻壳、锯末、</w:t>
      </w:r>
      <w:r>
        <w:rPr>
          <w:rFonts w:hint="eastAsia" w:cs="Times New Roman"/>
          <w:color w:val="auto"/>
          <w:kern w:val="0"/>
          <w:sz w:val="24"/>
          <w:szCs w:val="24"/>
          <w:lang w:val="en-US" w:eastAsia="zh-CN"/>
        </w:rPr>
        <w:t>秸秆等</w:t>
      </w:r>
      <w:r>
        <w:rPr>
          <w:rFonts w:hint="eastAsia" w:ascii="Times New Roman" w:hAnsi="Times New Roman" w:eastAsia="宋体" w:cs="Times New Roman"/>
          <w:color w:val="auto"/>
          <w:kern w:val="0"/>
          <w:sz w:val="24"/>
          <w:szCs w:val="24"/>
          <w:lang w:val="en-US" w:eastAsia="zh-CN"/>
        </w:rPr>
        <w:t>。垫料厚度夏天为</w:t>
      </w:r>
      <w:r>
        <w:rPr>
          <w:rFonts w:hint="eastAsia" w:cs="Times New Roman"/>
          <w:color w:val="auto"/>
          <w:kern w:val="0"/>
          <w:sz w:val="24"/>
          <w:szCs w:val="24"/>
          <w:lang w:val="en-US" w:eastAsia="zh-CN"/>
        </w:rPr>
        <w:t>30</w:t>
      </w:r>
      <w:r>
        <w:rPr>
          <w:rFonts w:hint="eastAsia" w:ascii="Times New Roman" w:hAnsi="Times New Roman" w:eastAsia="宋体" w:cs="Times New Roman"/>
          <w:color w:val="auto"/>
          <w:kern w:val="0"/>
          <w:sz w:val="24"/>
          <w:szCs w:val="24"/>
          <w:lang w:val="en-US" w:eastAsia="zh-CN"/>
        </w:rPr>
        <w:t>cm，冬季为</w:t>
      </w:r>
      <w:r>
        <w:rPr>
          <w:rFonts w:hint="eastAsia" w:cs="Times New Roman"/>
          <w:color w:val="auto"/>
          <w:kern w:val="0"/>
          <w:sz w:val="24"/>
          <w:szCs w:val="24"/>
          <w:lang w:val="en-US" w:eastAsia="zh-CN"/>
        </w:rPr>
        <w:t>70</w:t>
      </w:r>
      <w:r>
        <w:rPr>
          <w:rFonts w:hint="eastAsia" w:ascii="Times New Roman" w:hAnsi="Times New Roman" w:eastAsia="宋体" w:cs="Times New Roman"/>
          <w:color w:val="auto"/>
          <w:kern w:val="0"/>
          <w:sz w:val="24"/>
          <w:szCs w:val="24"/>
          <w:lang w:val="en-US" w:eastAsia="zh-CN"/>
        </w:rPr>
        <w:t>cm。垫料底层可先铺</w:t>
      </w:r>
      <w:r>
        <w:rPr>
          <w:rFonts w:hint="eastAsia" w:cs="Times New Roman"/>
          <w:color w:val="auto"/>
          <w:kern w:val="0"/>
          <w:sz w:val="24"/>
          <w:szCs w:val="24"/>
          <w:lang w:val="en-US" w:eastAsia="zh-CN"/>
        </w:rPr>
        <w:t>10～20</w:t>
      </w:r>
      <w:r>
        <w:rPr>
          <w:rFonts w:hint="eastAsia" w:ascii="Times New Roman" w:hAnsi="Times New Roman" w:eastAsia="宋体" w:cs="Times New Roman"/>
          <w:color w:val="auto"/>
          <w:kern w:val="0"/>
          <w:sz w:val="24"/>
          <w:szCs w:val="24"/>
          <w:lang w:val="en-US" w:eastAsia="zh-CN"/>
        </w:rPr>
        <w:t>cm的碎玉米秸秆，中间一层铺上稻草、锯末和稻壳等，然后按0.5</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1.0L/m</w:t>
      </w:r>
      <w:r>
        <w:rPr>
          <w:rFonts w:hint="eastAsia" w:ascii="Times New Roman" w:hAnsi="Times New Roman" w:eastAsia="宋体" w:cs="Times New Roman"/>
          <w:color w:val="auto"/>
          <w:kern w:val="0"/>
          <w:sz w:val="24"/>
          <w:szCs w:val="24"/>
          <w:vertAlign w:val="superscript"/>
          <w:lang w:val="en-US" w:eastAsia="zh-CN"/>
        </w:rPr>
        <w:t>2</w:t>
      </w:r>
      <w:r>
        <w:rPr>
          <w:rFonts w:hint="eastAsia" w:ascii="Times New Roman" w:hAnsi="Times New Roman" w:eastAsia="宋体" w:cs="Times New Roman"/>
          <w:color w:val="auto"/>
          <w:kern w:val="0"/>
          <w:sz w:val="24"/>
          <w:szCs w:val="24"/>
          <w:lang w:val="en-US" w:eastAsia="zh-CN"/>
        </w:rPr>
        <w:t>喷洒发酵菌（液体），充分混合搅拌均匀，使垫料</w:t>
      </w:r>
      <w:r>
        <w:rPr>
          <w:rFonts w:hint="eastAsia" w:eastAsia="宋体" w:cs="Times New Roman"/>
          <w:color w:val="auto"/>
          <w:kern w:val="0"/>
          <w:sz w:val="24"/>
          <w:szCs w:val="24"/>
          <w:lang w:val="en-US" w:eastAsia="zh-CN"/>
        </w:rPr>
        <w:t>水分</w:t>
      </w:r>
      <w:r>
        <w:rPr>
          <w:rFonts w:hint="eastAsia" w:ascii="Times New Roman" w:hAnsi="Times New Roman" w:eastAsia="宋体" w:cs="Times New Roman"/>
          <w:color w:val="auto"/>
          <w:kern w:val="0"/>
          <w:sz w:val="24"/>
          <w:szCs w:val="24"/>
          <w:lang w:val="en-US" w:eastAsia="zh-CN"/>
        </w:rPr>
        <w:t>保持在40%〜50%，便于微生物发酵，保证有益菌大量繁殖。</w:t>
      </w:r>
      <w:r>
        <w:rPr>
          <w:rFonts w:hint="eastAsia" w:cs="Times New Roman"/>
          <w:color w:val="auto"/>
          <w:kern w:val="0"/>
          <w:sz w:val="24"/>
          <w:szCs w:val="24"/>
          <w:lang w:val="en-US" w:eastAsia="zh-CN"/>
        </w:rPr>
        <w:t>上面</w:t>
      </w:r>
      <w:r>
        <w:rPr>
          <w:rFonts w:hint="eastAsia" w:ascii="Times New Roman" w:hAnsi="Times New Roman" w:eastAsia="宋体" w:cs="Times New Roman"/>
          <w:color w:val="auto"/>
          <w:kern w:val="0"/>
          <w:sz w:val="24"/>
          <w:szCs w:val="24"/>
          <w:lang w:val="en-US" w:eastAsia="zh-CN"/>
        </w:rPr>
        <w:t>用干的碎秸秆覆盖，发酵好的垫料摊开整平，3d即可使用。进牛之前要预先发酵，使材料的温度</w:t>
      </w:r>
      <w:r>
        <w:rPr>
          <w:rFonts w:hint="eastAsia" w:cs="Times New Roman"/>
          <w:color w:val="auto"/>
          <w:kern w:val="0"/>
          <w:sz w:val="24"/>
          <w:szCs w:val="24"/>
          <w:lang w:val="en-US" w:eastAsia="zh-CN"/>
        </w:rPr>
        <w:t>达到</w:t>
      </w:r>
      <w:r>
        <w:rPr>
          <w:rFonts w:hint="eastAsia" w:ascii="Times New Roman" w:hAnsi="Times New Roman" w:eastAsia="宋体" w:cs="Times New Roman"/>
          <w:color w:val="auto"/>
          <w:kern w:val="0"/>
          <w:sz w:val="24"/>
          <w:szCs w:val="24"/>
          <w:lang w:val="en-US" w:eastAsia="zh-CN"/>
        </w:rPr>
        <w:t>50℃，以杀死病原菌和寄生虫卵，而50℃高温有利于乳酸菌、酵母菌、光合细菌等益生菌的繁殖。</w:t>
      </w:r>
      <w:r>
        <w:rPr>
          <w:rFonts w:hint="eastAsia" w:cs="Times New Roman"/>
          <w:color w:val="auto"/>
          <w:kern w:val="0"/>
          <w:sz w:val="24"/>
          <w:szCs w:val="24"/>
          <w:lang w:val="en-US" w:eastAsia="zh-CN"/>
        </w:rPr>
        <w:t>冬季每层增加</w:t>
      </w:r>
      <w:r>
        <w:rPr>
          <w:rFonts w:hint="eastAsia" w:ascii="Times New Roman" w:hAnsi="Times New Roman" w:eastAsia="宋体" w:cs="Times New Roman"/>
          <w:color w:val="auto"/>
          <w:kern w:val="0"/>
          <w:sz w:val="24"/>
          <w:szCs w:val="24"/>
          <w:lang w:val="en-US" w:eastAsia="zh-CN"/>
        </w:rPr>
        <w:t xml:space="preserve">垫料约10 cm，注意保持垫料干燥。 </w:t>
      </w:r>
    </w:p>
    <w:p w14:paraId="35D4A7EC">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本项目发酵床可以使用</w:t>
      </w:r>
      <w:r>
        <w:rPr>
          <w:rFonts w:hint="eastAsia" w:cs="Times New Roman"/>
          <w:color w:val="auto"/>
          <w:kern w:val="0"/>
          <w:sz w:val="24"/>
          <w:szCs w:val="24"/>
          <w:lang w:val="en-US" w:eastAsia="zh-CN"/>
        </w:rPr>
        <w:t>12</w:t>
      </w:r>
      <w:r>
        <w:rPr>
          <w:rFonts w:hint="eastAsia" w:eastAsia="宋体" w:cs="Times New Roman"/>
          <w:color w:val="auto"/>
          <w:kern w:val="0"/>
          <w:sz w:val="24"/>
          <w:szCs w:val="24"/>
          <w:lang w:val="en-US" w:eastAsia="zh-CN"/>
        </w:rPr>
        <w:t>个月，</w:t>
      </w:r>
      <w:r>
        <w:rPr>
          <w:rFonts w:hint="eastAsia" w:ascii="Times New Roman" w:hAnsi="Times New Roman" w:eastAsia="宋体" w:cs="Times New Roman"/>
          <w:color w:val="auto"/>
          <w:kern w:val="0"/>
          <w:sz w:val="24"/>
          <w:szCs w:val="24"/>
          <w:lang w:val="en-US" w:eastAsia="zh-CN"/>
        </w:rPr>
        <w:t>做好发酵床的维护管理可有效地延长发酵床的使用寿命。一是根据使用情况及时补充垫料。牛会采食发酵床表层较细碎的秸秆，当看到垫料明显减少时应及时补充。牛的体型大，发酵床厚度应该保持在25cm以上，避免因发酵床过薄而不能正常发酵，发酵床容易塌陷，当垫料下沉超过10cm或垫料减少量达到10%后就要及时补充。微生物菌群在降解粪尿时会造成垫料损耗，此时应补充和清理无法使用的垫料，将新旧垫料混合均匀，保证菌群对粪尿分解的活跃度。二是要定期翻抛，保证发酵床的透气性。在使用过程中要特别注意发酵床垫料的温度、湿度和板结程度的控制。为防止垫料板结形成</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死床</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，可采用稻壳作为垫料，一般7</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10d对垫料翻抛1次，</w:t>
      </w:r>
      <w:r>
        <w:rPr>
          <w:rFonts w:hint="eastAsia" w:ascii="Times New Roman" w:hAnsi="Times New Roman" w:eastAsia="宋体" w:cs="Times New Roman"/>
          <w:kern w:val="2"/>
          <w:sz w:val="24"/>
          <w:szCs w:val="24"/>
          <w:lang w:val="en-US" w:eastAsia="zh-CN"/>
        </w:rPr>
        <w:t>从进牛之日起50d</w:t>
      </w:r>
      <w:r>
        <w:rPr>
          <w:rFonts w:hint="eastAsia" w:cs="Times New Roman"/>
          <w:kern w:val="2"/>
          <w:sz w:val="24"/>
          <w:szCs w:val="24"/>
          <w:lang w:val="en-US" w:eastAsia="zh-CN"/>
        </w:rPr>
        <w:t>～</w:t>
      </w:r>
      <w:r>
        <w:rPr>
          <w:rFonts w:hint="eastAsia" w:ascii="Times New Roman" w:hAnsi="Times New Roman" w:eastAsia="宋体" w:cs="Times New Roman"/>
          <w:kern w:val="2"/>
          <w:sz w:val="24"/>
          <w:szCs w:val="24"/>
          <w:lang w:val="en-US" w:eastAsia="zh-CN"/>
        </w:rPr>
        <w:t>60d翻粑垫料一次，深度为</w:t>
      </w:r>
      <w:r>
        <w:rPr>
          <w:rFonts w:hint="eastAsia" w:cs="Times New Roman"/>
          <w:kern w:val="2"/>
          <w:sz w:val="24"/>
          <w:szCs w:val="24"/>
          <w:lang w:val="en-US" w:eastAsia="zh-CN"/>
        </w:rPr>
        <w:t>30</w:t>
      </w:r>
      <w:r>
        <w:rPr>
          <w:rFonts w:hint="eastAsia" w:ascii="Times New Roman" w:hAnsi="Times New Roman" w:eastAsia="宋体" w:cs="Times New Roman"/>
          <w:kern w:val="2"/>
          <w:sz w:val="24"/>
          <w:szCs w:val="24"/>
          <w:lang w:val="en-US" w:eastAsia="zh-CN"/>
        </w:rPr>
        <w:t>cm~</w:t>
      </w:r>
      <w:r>
        <w:rPr>
          <w:rFonts w:hint="eastAsia" w:cs="Times New Roman"/>
          <w:kern w:val="2"/>
          <w:sz w:val="24"/>
          <w:szCs w:val="24"/>
          <w:lang w:val="en-US" w:eastAsia="zh-CN"/>
        </w:rPr>
        <w:t>7</w:t>
      </w:r>
      <w:r>
        <w:rPr>
          <w:rFonts w:hint="eastAsia" w:ascii="Times New Roman" w:hAnsi="Times New Roman" w:eastAsia="宋体" w:cs="Times New Roman"/>
          <w:kern w:val="2"/>
          <w:sz w:val="24"/>
          <w:szCs w:val="24"/>
          <w:lang w:val="en-US" w:eastAsia="zh-CN"/>
        </w:rPr>
        <w:t>0cm</w:t>
      </w:r>
      <w:r>
        <w:rPr>
          <w:rFonts w:hint="eastAsia" w:ascii="Times New Roman" w:hAnsi="Times New Roman" w:eastAsia="宋体" w:cs="Times New Roman"/>
          <w:color w:val="auto"/>
          <w:kern w:val="0"/>
          <w:sz w:val="24"/>
          <w:szCs w:val="24"/>
          <w:lang w:val="en-US" w:eastAsia="zh-CN"/>
        </w:rPr>
        <w:t>，增加垫料中的含氧量，保证有益微生物。</w:t>
      </w:r>
    </w:p>
    <w:p w14:paraId="20311211">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采用发酵床养殖，牛粪、尿可长期留存于</w:t>
      </w:r>
      <w:r>
        <w:rPr>
          <w:rFonts w:hint="eastAsia" w:cs="Times New Roman"/>
          <w:color w:val="auto"/>
          <w:kern w:val="0"/>
          <w:sz w:val="24"/>
          <w:szCs w:val="24"/>
          <w:lang w:val="en-US" w:eastAsia="zh-CN"/>
        </w:rPr>
        <w:t>牛圈</w:t>
      </w:r>
      <w:r>
        <w:rPr>
          <w:rFonts w:hint="eastAsia" w:ascii="Times New Roman" w:hAnsi="Times New Roman" w:eastAsia="宋体" w:cs="Times New Roman"/>
          <w:color w:val="auto"/>
          <w:kern w:val="0"/>
          <w:sz w:val="24"/>
          <w:szCs w:val="24"/>
          <w:lang w:val="en-US" w:eastAsia="zh-CN"/>
        </w:rPr>
        <w:t>内，不向外排放，不向周围流淌，靠着微生物的作用分解、转化。牛尿、牛粪经发酵床中的生物菌分解后，一部分转化成无臭气体排放掉，一部分分解成粗蛋白和菌体蛋白等继续留在发酵床。</w:t>
      </w:r>
      <w:r>
        <w:rPr>
          <w:rFonts w:hint="eastAsia" w:cs="Times New Roman"/>
          <w:color w:val="auto"/>
          <w:kern w:val="0"/>
          <w:sz w:val="24"/>
          <w:szCs w:val="24"/>
          <w:lang w:val="en-US" w:eastAsia="zh-CN"/>
        </w:rPr>
        <w:t>牛圈</w:t>
      </w:r>
      <w:r>
        <w:rPr>
          <w:rFonts w:hint="eastAsia" w:ascii="Times New Roman" w:hAnsi="Times New Roman" w:eastAsia="宋体" w:cs="Times New Roman"/>
          <w:color w:val="auto"/>
          <w:kern w:val="0"/>
          <w:sz w:val="24"/>
          <w:szCs w:val="24"/>
          <w:lang w:val="en-US" w:eastAsia="zh-CN"/>
        </w:rPr>
        <w:t>垫床使用过程中需保持干燥，因此发酵床</w:t>
      </w:r>
      <w:r>
        <w:rPr>
          <w:rFonts w:hint="eastAsia" w:cs="Times New Roman"/>
          <w:color w:val="auto"/>
          <w:kern w:val="0"/>
          <w:sz w:val="24"/>
          <w:szCs w:val="24"/>
          <w:lang w:val="en-US" w:eastAsia="zh-CN"/>
        </w:rPr>
        <w:t>牛圈</w:t>
      </w:r>
      <w:r>
        <w:rPr>
          <w:rFonts w:hint="eastAsia" w:ascii="Times New Roman" w:hAnsi="Times New Roman" w:eastAsia="宋体" w:cs="Times New Roman"/>
          <w:color w:val="auto"/>
          <w:kern w:val="0"/>
          <w:sz w:val="24"/>
          <w:szCs w:val="24"/>
          <w:lang w:val="en-US" w:eastAsia="zh-CN"/>
        </w:rPr>
        <w:t>中无冲洗废水产生。</w:t>
      </w:r>
      <w:r>
        <w:rPr>
          <w:rFonts w:hint="eastAsia" w:cs="Times New Roman"/>
          <w:color w:val="auto"/>
          <w:kern w:val="0"/>
          <w:sz w:val="24"/>
          <w:szCs w:val="24"/>
          <w:lang w:val="en-US" w:eastAsia="zh-CN"/>
        </w:rPr>
        <w:t>粪污</w:t>
      </w:r>
      <w:r>
        <w:rPr>
          <w:rFonts w:hint="eastAsia" w:ascii="Times New Roman" w:hAnsi="Times New Roman" w:eastAsia="宋体" w:cs="Times New Roman"/>
          <w:color w:val="auto"/>
          <w:kern w:val="0"/>
          <w:sz w:val="24"/>
          <w:szCs w:val="24"/>
          <w:lang w:val="en-US" w:eastAsia="zh-CN"/>
        </w:rPr>
        <w:t>经发酵菌分解和牛群踩踏继续留在发酵床，</w:t>
      </w:r>
      <w:r>
        <w:rPr>
          <w:rFonts w:hint="eastAsia" w:cs="Times New Roman"/>
          <w:color w:val="auto"/>
          <w:kern w:val="0"/>
          <w:sz w:val="24"/>
          <w:szCs w:val="24"/>
          <w:lang w:val="en-US" w:eastAsia="zh-CN"/>
        </w:rPr>
        <w:t>每年春季清理一次，不分层清理，整个发酵床全部清理</w:t>
      </w:r>
      <w:r>
        <w:rPr>
          <w:rFonts w:hint="eastAsia" w:ascii="Times New Roman" w:hAnsi="Times New Roman" w:eastAsia="宋体" w:cs="Times New Roman"/>
          <w:color w:val="auto"/>
          <w:kern w:val="0"/>
          <w:sz w:val="24"/>
          <w:szCs w:val="24"/>
          <w:lang w:val="en-US" w:eastAsia="zh-CN"/>
        </w:rPr>
        <w:t>进入场内的</w:t>
      </w:r>
      <w:r>
        <w:rPr>
          <w:rFonts w:hint="eastAsia" w:cs="Times New Roman"/>
          <w:color w:val="auto"/>
          <w:kern w:val="0"/>
          <w:sz w:val="24"/>
          <w:szCs w:val="24"/>
          <w:lang w:val="en-US" w:eastAsia="zh-CN"/>
        </w:rPr>
        <w:t>堆肥间翻抛后还田</w:t>
      </w:r>
      <w:r>
        <w:rPr>
          <w:rFonts w:hint="eastAsia" w:ascii="Times New Roman" w:hAnsi="Times New Roman" w:eastAsia="宋体" w:cs="Times New Roman"/>
          <w:color w:val="auto"/>
          <w:kern w:val="0"/>
          <w:sz w:val="24"/>
          <w:szCs w:val="24"/>
          <w:lang w:val="en-US" w:eastAsia="zh-CN"/>
        </w:rPr>
        <w:t>，因此可以保证牛</w:t>
      </w:r>
      <w:r>
        <w:rPr>
          <w:rFonts w:hint="eastAsia" w:cs="Times New Roman"/>
          <w:color w:val="auto"/>
          <w:kern w:val="0"/>
          <w:sz w:val="24"/>
          <w:szCs w:val="24"/>
          <w:lang w:val="en-US" w:eastAsia="zh-CN"/>
        </w:rPr>
        <w:t>粪污</w:t>
      </w:r>
      <w:r>
        <w:rPr>
          <w:rFonts w:hint="eastAsia" w:ascii="Times New Roman" w:hAnsi="Times New Roman" w:eastAsia="宋体" w:cs="Times New Roman"/>
          <w:color w:val="auto"/>
          <w:kern w:val="0"/>
          <w:sz w:val="24"/>
          <w:szCs w:val="24"/>
          <w:lang w:val="en-US" w:eastAsia="zh-CN"/>
        </w:rPr>
        <w:t>不外排。</w:t>
      </w:r>
    </w:p>
    <w:p w14:paraId="6C19165C">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养殖过程中会产生少量员工生活垃圾S</w:t>
      </w:r>
      <w:r>
        <w:rPr>
          <w:rFonts w:hint="eastAsia" w:cs="Times New Roman"/>
          <w:color w:val="auto"/>
          <w:kern w:val="0"/>
          <w:sz w:val="24"/>
          <w:szCs w:val="24"/>
          <w:lang w:val="en-US" w:eastAsia="zh-CN"/>
        </w:rPr>
        <w:t>5，生活污水W1以及泵类设备运行噪声N8。生活污水集中收集至防渗化粪池，定期拉运至污水处理厂处置。</w:t>
      </w:r>
    </w:p>
    <w:p w14:paraId="022FCCBE">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养殖过程中会产生少量病死牛S6</w:t>
      </w:r>
      <w:r>
        <w:rPr>
          <w:rFonts w:hint="eastAsia" w:cs="Times New Roman"/>
          <w:color w:val="auto"/>
          <w:kern w:val="0"/>
          <w:sz w:val="24"/>
          <w:szCs w:val="24"/>
          <w:lang w:val="en-US" w:eastAsia="zh-CN"/>
        </w:rPr>
        <w:t>，病死牛在病死牛暂存间暂存委托病死畜禽无害化处置单位</w:t>
      </w:r>
      <w:r>
        <w:rPr>
          <w:rFonts w:hint="eastAsia" w:ascii="Times New Roman" w:hAnsi="Times New Roman" w:eastAsia="宋体" w:cs="Times New Roman"/>
          <w:color w:val="auto"/>
          <w:kern w:val="0"/>
          <w:sz w:val="24"/>
          <w:szCs w:val="24"/>
          <w:lang w:val="en-US" w:eastAsia="zh-CN"/>
        </w:rPr>
        <w:t>，牛接种疫苗以及生病治疗期间均会产生少量医疗废物S7，集中收集至医疗废物暂存间暂存，定期委托有资质单位运输处置。</w:t>
      </w:r>
    </w:p>
    <w:p w14:paraId="168C0477">
      <w:pPr>
        <w:keepNext w:val="0"/>
        <w:keepLines w:val="0"/>
        <w:pageBreakBefore w:val="0"/>
        <w:widowControl w:val="0"/>
        <w:numPr>
          <w:ilvl w:val="2"/>
          <w:numId w:val="0"/>
        </w:numPr>
        <w:kinsoku/>
        <w:wordWrap/>
        <w:overflowPunct/>
        <w:topLinePunct w:val="0"/>
        <w:bidi w:val="0"/>
        <w:adjustRightInd/>
        <w:snapToGrid/>
        <w:spacing w:before="0" w:after="0" w:line="360" w:lineRule="auto"/>
        <w:ind w:leftChars="0"/>
        <w:jc w:val="both"/>
        <w:textAlignment w:val="auto"/>
        <w:outlineLvl w:val="2"/>
        <w:rPr>
          <w:rFonts w:hint="default" w:ascii="Times New Roman" w:hAnsi="Times New Roman" w:eastAsia="宋体" w:cs="Times New Roman"/>
          <w:b/>
          <w:bCs/>
          <w:kern w:val="2"/>
          <w:sz w:val="28"/>
          <w:szCs w:val="28"/>
          <w:lang w:val="en-US" w:eastAsia="zh-CN" w:bidi="ar-SA"/>
        </w:rPr>
      </w:pPr>
      <w:bookmarkStart w:id="322" w:name="_Toc2798"/>
      <w:bookmarkStart w:id="323" w:name="_Toc28230"/>
      <w:bookmarkStart w:id="324" w:name="_Toc26139"/>
      <w:r>
        <w:rPr>
          <w:rFonts w:hint="default"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w:t>
      </w:r>
      <w:r>
        <w:rPr>
          <w:rFonts w:hint="eastAsia" w:cs="Times New Roman"/>
          <w:b/>
          <w:bCs/>
          <w:kern w:val="2"/>
          <w:sz w:val="28"/>
          <w:szCs w:val="28"/>
          <w:lang w:val="en-US" w:eastAsia="zh-CN" w:bidi="ar-SA"/>
        </w:rPr>
        <w:t>4堆肥</w:t>
      </w:r>
      <w:r>
        <w:rPr>
          <w:rFonts w:hint="default" w:ascii="Times New Roman" w:hAnsi="Times New Roman" w:eastAsia="宋体" w:cs="Times New Roman"/>
          <w:b/>
          <w:bCs/>
          <w:kern w:val="2"/>
          <w:sz w:val="28"/>
          <w:szCs w:val="28"/>
          <w:lang w:val="en-US" w:eastAsia="zh-CN" w:bidi="ar-SA"/>
        </w:rPr>
        <w:t>工艺简介</w:t>
      </w:r>
    </w:p>
    <w:p w14:paraId="34EE52B6">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项目采用干清粪工艺，</w:t>
      </w:r>
      <w:r>
        <w:rPr>
          <w:rFonts w:hint="eastAsia" w:eastAsia="宋体" w:cs="Times New Roman"/>
          <w:color w:val="auto"/>
          <w:kern w:val="0"/>
          <w:sz w:val="24"/>
          <w:szCs w:val="24"/>
          <w:lang w:val="en-US" w:eastAsia="zh-CN"/>
        </w:rPr>
        <w:t>发酵床定期清理的</w:t>
      </w:r>
      <w:r>
        <w:rPr>
          <w:rFonts w:hint="default" w:ascii="Times New Roman" w:hAnsi="Times New Roman" w:eastAsia="宋体" w:cs="Times New Roman"/>
          <w:color w:val="auto"/>
          <w:kern w:val="0"/>
          <w:sz w:val="24"/>
          <w:szCs w:val="24"/>
        </w:rPr>
        <w:t>固体粪便</w:t>
      </w:r>
      <w:r>
        <w:rPr>
          <w:rFonts w:hint="eastAsia" w:cs="Times New Roman"/>
          <w:color w:val="auto"/>
          <w:kern w:val="0"/>
          <w:sz w:val="24"/>
          <w:szCs w:val="24"/>
          <w:lang w:val="en-US" w:eastAsia="zh-CN"/>
        </w:rPr>
        <w:t>送至堆肥区内的堆肥间堆肥</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堆肥间</w:t>
      </w:r>
      <w:r>
        <w:rPr>
          <w:rFonts w:hint="default" w:ascii="Times New Roman" w:hAnsi="Times New Roman" w:eastAsia="宋体" w:cs="Times New Roman"/>
          <w:color w:val="auto"/>
          <w:kern w:val="0"/>
          <w:sz w:val="24"/>
          <w:szCs w:val="24"/>
        </w:rPr>
        <w:t>必须具有围堰、防雨、防渗、防臭等规范化的工程措施。</w:t>
      </w:r>
    </w:p>
    <w:p w14:paraId="5FDA9558">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.1概述</w:t>
      </w:r>
    </w:p>
    <w:p w14:paraId="4D97E05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堆肥是指将畜禽粪便等有机固体废物集中堆放并在微生物作用下使有机物发生生物降解，形成一种类似腐殖土壤的过程。</w:t>
      </w:r>
    </w:p>
    <w:p w14:paraId="4DD30FEF">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无害化处理是指利用高温、好氧或厌氧等工艺，杀灭畜禽粪污中病原菌、寄生虫和杂草种子的过程。</w:t>
      </w:r>
    </w:p>
    <w:p w14:paraId="226836DB">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本项目采用</w:t>
      </w:r>
      <w:r>
        <w:rPr>
          <w:rFonts w:hint="default" w:ascii="Times New Roman" w:hAnsi="Times New Roman" w:eastAsia="宋体" w:cs="Times New Roman"/>
          <w:color w:val="auto"/>
          <w:kern w:val="0"/>
          <w:sz w:val="24"/>
          <w:szCs w:val="24"/>
          <w:lang w:val="en-US" w:eastAsia="zh-CN"/>
        </w:rPr>
        <w:t>静态好氧堆肥</w:t>
      </w:r>
      <w:r>
        <w:rPr>
          <w:rFonts w:hint="default" w:ascii="Times New Roman" w:hAnsi="Times New Roman" w:eastAsia="宋体" w:cs="Times New Roman"/>
          <w:color w:val="auto"/>
          <w:kern w:val="0"/>
          <w:sz w:val="24"/>
          <w:szCs w:val="24"/>
        </w:rPr>
        <w:t>，即在充分供氧的条件下，利用好氧微生物对废物进行堆肥的方法。</w:t>
      </w:r>
    </w:p>
    <w:p w14:paraId="764FD353">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3.</w:t>
      </w:r>
      <w:r>
        <w:rPr>
          <w:rFonts w:hint="eastAsia" w:cs="Times New Roman"/>
          <w:b/>
          <w:color w:val="auto"/>
          <w:kern w:val="2"/>
          <w:sz w:val="24"/>
          <w:szCs w:val="24"/>
          <w:lang w:val="en-US" w:eastAsia="zh-CN" w:bidi="ar-SA"/>
        </w:rPr>
        <w:t>3</w:t>
      </w:r>
      <w:r>
        <w:rPr>
          <w:rFonts w:hint="default" w:ascii="Times New Roman" w:hAnsi="Times New Roman" w:eastAsia="宋体" w:cs="Times New Roman"/>
          <w:b/>
          <w:color w:val="auto"/>
          <w:kern w:val="2"/>
          <w:sz w:val="24"/>
          <w:szCs w:val="24"/>
          <w:lang w:val="en-US" w:eastAsia="zh-CN" w:bidi="ar-SA"/>
        </w:rPr>
        <w:t>.</w:t>
      </w:r>
      <w:r>
        <w:rPr>
          <w:rFonts w:hint="eastAsia"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.2根据《畜禽养殖业污染治理工程技术规范》（HJ497-2009），堆肥场地的设计满足下列规定：</w:t>
      </w:r>
    </w:p>
    <w:p w14:paraId="44223251">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①堆肥场地一般应由粪便储存池、堆肥场地以及成品堆肥存放场地组成。</w:t>
      </w:r>
    </w:p>
    <w:p w14:paraId="06C8D57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②</w:t>
      </w:r>
      <w:r>
        <w:rPr>
          <w:rFonts w:hint="eastAsia" w:ascii="Times New Roman" w:hAnsi="Times New Roman" w:eastAsia="宋体" w:cs="Times New Roman"/>
          <w:color w:val="auto"/>
          <w:kern w:val="0"/>
          <w:sz w:val="24"/>
          <w:szCs w:val="24"/>
          <w:lang w:val="en-US" w:eastAsia="zh-CN"/>
        </w:rPr>
        <w:t>本项目</w:t>
      </w:r>
      <w:r>
        <w:rPr>
          <w:rFonts w:hint="eastAsia" w:cs="Times New Roman"/>
          <w:color w:val="auto"/>
          <w:kern w:val="0"/>
          <w:sz w:val="24"/>
          <w:szCs w:val="24"/>
          <w:lang w:val="en-US" w:eastAsia="zh-CN"/>
        </w:rPr>
        <w:t>800m</w:t>
      </w:r>
      <w:r>
        <w:rPr>
          <w:rFonts w:hint="eastAsia" w:cs="Times New Roman"/>
          <w:color w:val="auto"/>
          <w:kern w:val="0"/>
          <w:sz w:val="24"/>
          <w:szCs w:val="24"/>
          <w:vertAlign w:val="superscript"/>
          <w:lang w:val="en-US" w:eastAsia="zh-CN"/>
        </w:rPr>
        <w:t>2</w:t>
      </w:r>
      <w:r>
        <w:rPr>
          <w:rFonts w:hint="eastAsia" w:ascii="Times New Roman" w:hAnsi="Times New Roman" w:eastAsia="宋体" w:cs="Times New Roman"/>
          <w:color w:val="auto"/>
          <w:kern w:val="0"/>
          <w:sz w:val="24"/>
          <w:szCs w:val="24"/>
          <w:lang w:val="en-US" w:eastAsia="zh-CN"/>
        </w:rPr>
        <w:t>堆肥间</w:t>
      </w:r>
      <w:r>
        <w:rPr>
          <w:rFonts w:hint="default" w:ascii="Times New Roman" w:hAnsi="Times New Roman" w:eastAsia="宋体" w:cs="Times New Roman"/>
          <w:color w:val="auto"/>
          <w:kern w:val="0"/>
          <w:sz w:val="24"/>
          <w:szCs w:val="24"/>
        </w:rPr>
        <w:t>采用</w:t>
      </w:r>
      <w:r>
        <w:rPr>
          <w:rFonts w:hint="eastAsia" w:ascii="Times New Roman" w:hAnsi="Times New Roman" w:eastAsia="宋体" w:cs="Times New Roman"/>
          <w:color w:val="auto"/>
          <w:kern w:val="0"/>
          <w:sz w:val="24"/>
          <w:szCs w:val="24"/>
          <w:lang w:val="en-US" w:eastAsia="zh-CN"/>
        </w:rPr>
        <w:t>间歇式</w:t>
      </w:r>
      <w:r>
        <w:rPr>
          <w:rFonts w:hint="default" w:ascii="Times New Roman" w:hAnsi="Times New Roman" w:eastAsia="宋体" w:cs="Times New Roman"/>
          <w:color w:val="auto"/>
          <w:kern w:val="0"/>
          <w:sz w:val="24"/>
          <w:szCs w:val="24"/>
        </w:rPr>
        <w:t>堆肥处理</w:t>
      </w: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冬季发酵床</w:t>
      </w:r>
      <w:r>
        <w:rPr>
          <w:rFonts w:hint="eastAsia" w:cs="Times New Roman"/>
          <w:color w:val="auto"/>
          <w:kern w:val="0"/>
          <w:sz w:val="24"/>
          <w:szCs w:val="24"/>
          <w:lang w:val="en-US" w:eastAsia="zh-CN"/>
        </w:rPr>
        <w:t>不更换</w:t>
      </w:r>
      <w:r>
        <w:rPr>
          <w:rFonts w:hint="eastAsia" w:ascii="Times New Roman" w:hAnsi="Times New Roman" w:eastAsia="宋体" w:cs="Times New Roman"/>
          <w:color w:val="auto"/>
          <w:kern w:val="0"/>
          <w:sz w:val="24"/>
          <w:szCs w:val="24"/>
          <w:lang w:val="en-US" w:eastAsia="zh-CN"/>
        </w:rPr>
        <w:t>，因此发酵垫料以及牛粪在发酵床发酵，</w:t>
      </w:r>
      <w:r>
        <w:rPr>
          <w:rFonts w:hint="eastAsia" w:cs="Times New Roman"/>
          <w:color w:val="auto"/>
          <w:kern w:val="0"/>
          <w:sz w:val="24"/>
          <w:szCs w:val="24"/>
          <w:lang w:val="en-US" w:eastAsia="zh-CN"/>
        </w:rPr>
        <w:t>无须设置</w:t>
      </w:r>
      <w:r>
        <w:rPr>
          <w:rFonts w:hint="eastAsia" w:ascii="Times New Roman" w:hAnsi="Times New Roman" w:eastAsia="宋体" w:cs="Times New Roman"/>
          <w:color w:val="auto"/>
          <w:kern w:val="0"/>
          <w:sz w:val="24"/>
          <w:szCs w:val="24"/>
          <w:lang w:val="en-US" w:eastAsia="zh-CN"/>
        </w:rPr>
        <w:t>粪便暂存池</w:t>
      </w:r>
      <w:r>
        <w:rPr>
          <w:rFonts w:hint="eastAsia"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0"/>
          <w:sz w:val="24"/>
          <w:szCs w:val="24"/>
          <w:lang w:val="en-US" w:eastAsia="zh-CN"/>
        </w:rPr>
        <w:t>根据《畜禽养殖业污染治理工程技术规范》（HJ497-2009）规定，堆肥场宜设有至少能容纳 6个月堆肥产量的贮存设施</w:t>
      </w:r>
      <w:r>
        <w:rPr>
          <w:rFonts w:hint="eastAsia" w:cs="Times New Roman"/>
          <w:color w:val="auto"/>
          <w:kern w:val="0"/>
          <w:sz w:val="24"/>
          <w:szCs w:val="24"/>
          <w:lang w:val="en-US" w:eastAsia="zh-CN"/>
        </w:rPr>
        <w:t>。本项目冬季不堆肥，仅施肥期清理发酵床进行堆肥，堆肥结束后直接还田，不在项目区内暂存</w:t>
      </w:r>
      <w:r>
        <w:rPr>
          <w:rFonts w:hint="eastAsia" w:ascii="Times New Roman" w:hAnsi="Times New Roman" w:eastAsia="宋体" w:cs="Times New Roman"/>
          <w:color w:val="auto"/>
          <w:kern w:val="0"/>
          <w:sz w:val="24"/>
          <w:szCs w:val="24"/>
          <w:lang w:val="en-US" w:eastAsia="zh-CN"/>
        </w:rPr>
        <w:t>。</w:t>
      </w:r>
      <w:r>
        <w:rPr>
          <w:rFonts w:hint="eastAsia" w:cs="Times New Roman"/>
          <w:color w:val="auto"/>
          <w:kern w:val="0"/>
          <w:sz w:val="24"/>
          <w:szCs w:val="24"/>
          <w:lang w:val="en-US" w:eastAsia="zh-CN"/>
        </w:rPr>
        <w:t>因此</w:t>
      </w:r>
      <w:r>
        <w:rPr>
          <w:rFonts w:hint="eastAsia" w:ascii="Times New Roman" w:hAnsi="Times New Roman" w:eastAsia="宋体" w:cs="Times New Roman"/>
          <w:color w:val="auto"/>
          <w:kern w:val="0"/>
          <w:sz w:val="24"/>
          <w:szCs w:val="24"/>
          <w:lang w:val="en-US" w:eastAsia="zh-CN"/>
        </w:rPr>
        <w:t>本项目</w:t>
      </w:r>
      <w:r>
        <w:rPr>
          <w:rFonts w:hint="eastAsia" w:cs="Times New Roman"/>
          <w:color w:val="auto"/>
          <w:kern w:val="0"/>
          <w:sz w:val="24"/>
          <w:szCs w:val="24"/>
          <w:lang w:val="en-US" w:eastAsia="zh-CN"/>
        </w:rPr>
        <w:t>仅在堆肥间内</w:t>
      </w:r>
      <w:r>
        <w:rPr>
          <w:rFonts w:hint="eastAsia" w:ascii="Times New Roman" w:hAnsi="Times New Roman" w:eastAsia="宋体" w:cs="Times New Roman"/>
          <w:color w:val="auto"/>
          <w:kern w:val="0"/>
          <w:sz w:val="24"/>
          <w:szCs w:val="24"/>
          <w:lang w:val="en-US" w:eastAsia="zh-CN"/>
        </w:rPr>
        <w:t>设置</w:t>
      </w:r>
      <w:r>
        <w:rPr>
          <w:rFonts w:hint="eastAsia" w:cs="Times New Roman"/>
          <w:color w:val="auto"/>
          <w:kern w:val="0"/>
          <w:sz w:val="24"/>
          <w:szCs w:val="24"/>
          <w:lang w:val="en-US" w:eastAsia="zh-CN"/>
        </w:rPr>
        <w:t>成品肥</w:t>
      </w:r>
      <w:r>
        <w:rPr>
          <w:rFonts w:hint="eastAsia" w:ascii="Times New Roman" w:hAnsi="Times New Roman" w:eastAsia="宋体" w:cs="Times New Roman"/>
          <w:color w:val="auto"/>
          <w:kern w:val="0"/>
          <w:sz w:val="24"/>
          <w:szCs w:val="24"/>
          <w:lang w:val="en-US" w:eastAsia="zh-CN"/>
        </w:rPr>
        <w:t>暂存</w:t>
      </w:r>
      <w:r>
        <w:rPr>
          <w:rFonts w:hint="eastAsia" w:cs="Times New Roman"/>
          <w:color w:val="auto"/>
          <w:kern w:val="0"/>
          <w:sz w:val="24"/>
          <w:szCs w:val="24"/>
          <w:lang w:val="en-US" w:eastAsia="zh-CN"/>
        </w:rPr>
        <w:t>区</w:t>
      </w:r>
      <w:r>
        <w:rPr>
          <w:rFonts w:hint="eastAsia" w:ascii="Times New Roman" w:hAnsi="Times New Roman" w:eastAsia="宋体" w:cs="Times New Roman"/>
          <w:color w:val="auto"/>
          <w:kern w:val="0"/>
          <w:sz w:val="24"/>
          <w:szCs w:val="24"/>
          <w:lang w:val="en-US" w:eastAsia="zh-CN"/>
        </w:rPr>
        <w:t>，用于临时暂存</w:t>
      </w:r>
      <w:r>
        <w:rPr>
          <w:rFonts w:hint="eastAsia" w:cs="Times New Roman"/>
          <w:color w:val="auto"/>
          <w:kern w:val="0"/>
          <w:sz w:val="24"/>
          <w:szCs w:val="24"/>
          <w:lang w:val="en-US" w:eastAsia="zh-CN"/>
        </w:rPr>
        <w:t>成品肥</w:t>
      </w:r>
      <w:r>
        <w:rPr>
          <w:rFonts w:hint="eastAsia" w:ascii="Times New Roman" w:hAnsi="Times New Roman" w:eastAsia="宋体" w:cs="Times New Roman"/>
          <w:color w:val="auto"/>
          <w:kern w:val="0"/>
          <w:sz w:val="24"/>
          <w:szCs w:val="24"/>
          <w:lang w:val="en-US" w:eastAsia="zh-CN"/>
        </w:rPr>
        <w:t>，</w:t>
      </w:r>
      <w:r>
        <w:rPr>
          <w:rFonts w:hint="eastAsia" w:cs="Times New Roman"/>
          <w:color w:val="auto"/>
          <w:kern w:val="0"/>
          <w:sz w:val="24"/>
          <w:szCs w:val="24"/>
          <w:lang w:val="en-US" w:eastAsia="zh-CN"/>
        </w:rPr>
        <w:t>堆肥结束后</w:t>
      </w:r>
      <w:r>
        <w:rPr>
          <w:rFonts w:hint="eastAsia" w:ascii="Times New Roman" w:hAnsi="Times New Roman" w:eastAsia="宋体" w:cs="Times New Roman"/>
          <w:color w:val="auto"/>
          <w:kern w:val="0"/>
          <w:sz w:val="24"/>
          <w:szCs w:val="24"/>
          <w:lang w:val="en-US" w:eastAsia="zh-CN"/>
        </w:rPr>
        <w:t>，遇大风、雨天等特殊天气，企业根据天气情况，</w:t>
      </w:r>
      <w:r>
        <w:rPr>
          <w:rFonts w:hint="eastAsia" w:cs="Times New Roman"/>
          <w:color w:val="auto"/>
          <w:kern w:val="0"/>
          <w:sz w:val="24"/>
          <w:szCs w:val="24"/>
          <w:lang w:val="en-US" w:eastAsia="zh-CN"/>
        </w:rPr>
        <w:t>成品肥</w:t>
      </w:r>
      <w:r>
        <w:rPr>
          <w:rFonts w:hint="eastAsia" w:ascii="Times New Roman" w:hAnsi="Times New Roman" w:eastAsia="宋体" w:cs="Times New Roman"/>
          <w:color w:val="auto"/>
          <w:kern w:val="0"/>
          <w:sz w:val="24"/>
          <w:szCs w:val="24"/>
          <w:lang w:val="en-US" w:eastAsia="zh-CN"/>
        </w:rPr>
        <w:t>暂存于</w:t>
      </w:r>
      <w:r>
        <w:rPr>
          <w:rFonts w:hint="eastAsia" w:cs="Times New Roman"/>
          <w:color w:val="auto"/>
          <w:kern w:val="0"/>
          <w:sz w:val="24"/>
          <w:szCs w:val="24"/>
          <w:lang w:val="en-US" w:eastAsia="zh-CN"/>
        </w:rPr>
        <w:t>堆肥间的成品肥</w:t>
      </w:r>
      <w:r>
        <w:rPr>
          <w:rFonts w:hint="eastAsia" w:ascii="Times New Roman" w:hAnsi="Times New Roman" w:eastAsia="宋体" w:cs="Times New Roman"/>
          <w:color w:val="auto"/>
          <w:kern w:val="0"/>
          <w:sz w:val="24"/>
          <w:szCs w:val="24"/>
          <w:lang w:val="en-US" w:eastAsia="zh-CN"/>
        </w:rPr>
        <w:t>暂存</w:t>
      </w:r>
      <w:r>
        <w:rPr>
          <w:rFonts w:hint="eastAsia" w:cs="Times New Roman"/>
          <w:color w:val="auto"/>
          <w:kern w:val="0"/>
          <w:sz w:val="24"/>
          <w:szCs w:val="24"/>
          <w:lang w:val="en-US" w:eastAsia="zh-CN"/>
        </w:rPr>
        <w:t>区内</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2"/>
          <w:sz w:val="24"/>
          <w:szCs w:val="24"/>
          <w:highlight w:val="none"/>
          <w:lang w:val="en-US" w:eastAsia="zh-CN"/>
        </w:rPr>
        <w:t>堆肥粪便的起始含水率</w:t>
      </w:r>
      <w:r>
        <w:rPr>
          <w:rFonts w:hint="eastAsia" w:cs="Times New Roman"/>
          <w:color w:val="auto"/>
          <w:kern w:val="2"/>
          <w:sz w:val="24"/>
          <w:szCs w:val="24"/>
          <w:highlight w:val="none"/>
          <w:lang w:val="en-US" w:eastAsia="zh-CN"/>
        </w:rPr>
        <w:t>约</w:t>
      </w:r>
      <w:r>
        <w:rPr>
          <w:rFonts w:hint="default" w:ascii="Times New Roman" w:hAnsi="Times New Roman" w:eastAsia="宋体" w:cs="Times New Roman"/>
          <w:color w:val="auto"/>
          <w:kern w:val="2"/>
          <w:sz w:val="24"/>
          <w:szCs w:val="24"/>
          <w:highlight w:val="none"/>
          <w:lang w:val="en-US" w:eastAsia="zh-CN"/>
        </w:rPr>
        <w:t>为</w:t>
      </w:r>
      <w:r>
        <w:rPr>
          <w:rFonts w:hint="eastAsia" w:cs="Times New Roman"/>
          <w:color w:val="auto"/>
          <w:kern w:val="2"/>
          <w:sz w:val="24"/>
          <w:szCs w:val="24"/>
          <w:highlight w:val="none"/>
          <w:lang w:val="en-US" w:eastAsia="zh-CN"/>
        </w:rPr>
        <w:t>80</w:t>
      </w:r>
      <w:r>
        <w:rPr>
          <w:rFonts w:hint="default" w:ascii="Times New Roman" w:hAnsi="Times New Roman" w:eastAsia="宋体" w:cs="Times New Roman"/>
          <w:color w:val="auto"/>
          <w:kern w:val="2"/>
          <w:sz w:val="24"/>
          <w:szCs w:val="24"/>
          <w:highlight w:val="none"/>
          <w:lang w:val="en-US" w:eastAsia="zh-CN"/>
        </w:rPr>
        <w:t>%，</w:t>
      </w:r>
      <w:r>
        <w:rPr>
          <w:rFonts w:hint="eastAsia" w:cs="Times New Roman"/>
          <w:color w:val="auto"/>
          <w:kern w:val="2"/>
          <w:sz w:val="24"/>
          <w:szCs w:val="24"/>
          <w:highlight w:val="none"/>
          <w:lang w:val="en-US" w:eastAsia="zh-CN"/>
        </w:rPr>
        <w:t>本项目</w:t>
      </w:r>
      <w:r>
        <w:rPr>
          <w:rFonts w:hint="default" w:ascii="Times New Roman" w:hAnsi="Times New Roman" w:eastAsia="宋体" w:cs="Times New Roman"/>
          <w:color w:val="auto"/>
          <w:kern w:val="2"/>
          <w:sz w:val="24"/>
          <w:szCs w:val="24"/>
          <w:highlight w:val="none"/>
          <w:lang w:val="en-US" w:eastAsia="zh-CN"/>
        </w:rPr>
        <w:t>产</w:t>
      </w:r>
      <w:r>
        <w:rPr>
          <w:rFonts w:hint="eastAsia" w:eastAsia="宋体" w:cs="Times New Roman"/>
          <w:color w:val="auto"/>
          <w:kern w:val="2"/>
          <w:sz w:val="24"/>
          <w:szCs w:val="24"/>
          <w:highlight w:val="none"/>
          <w:lang w:val="en-US" w:eastAsia="zh-CN"/>
        </w:rPr>
        <w:t>牛粪</w:t>
      </w:r>
      <w:r>
        <w:rPr>
          <w:rFonts w:hint="default" w:ascii="Times New Roman" w:hAnsi="Times New Roman" w:eastAsia="宋体" w:cs="Times New Roman"/>
          <w:color w:val="auto"/>
          <w:kern w:val="2"/>
          <w:sz w:val="24"/>
          <w:szCs w:val="24"/>
          <w:highlight w:val="none"/>
          <w:lang w:val="en-US" w:eastAsia="zh-CN"/>
        </w:rPr>
        <w:t>为11913.6t/a</w:t>
      </w:r>
      <w:r>
        <w:rPr>
          <w:rFonts w:hint="default"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牛</w:t>
      </w:r>
      <w:r>
        <w:rPr>
          <w:rFonts w:hint="default" w:ascii="Times New Roman" w:hAnsi="Times New Roman" w:eastAsia="宋体" w:cs="Times New Roman"/>
          <w:color w:val="auto"/>
          <w:kern w:val="0"/>
          <w:sz w:val="24"/>
          <w:szCs w:val="24"/>
          <w:lang w:val="en-US" w:eastAsia="zh-CN"/>
        </w:rPr>
        <w:t>粪密度以1.2×10</w:t>
      </w:r>
      <w:r>
        <w:rPr>
          <w:rFonts w:hint="default" w:ascii="Times New Roman" w:hAnsi="Times New Roman" w:eastAsia="宋体" w:cs="Times New Roman"/>
          <w:color w:val="auto"/>
          <w:kern w:val="0"/>
          <w:sz w:val="24"/>
          <w:szCs w:val="24"/>
          <w:vertAlign w:val="superscript"/>
          <w:lang w:val="en-US" w:eastAsia="zh-CN"/>
        </w:rPr>
        <w:t>3</w:t>
      </w:r>
      <w:r>
        <w:rPr>
          <w:rFonts w:hint="default" w:ascii="Times New Roman" w:hAnsi="Times New Roman" w:eastAsia="宋体" w:cs="Times New Roman"/>
          <w:color w:val="auto"/>
          <w:kern w:val="0"/>
          <w:sz w:val="24"/>
          <w:szCs w:val="24"/>
          <w:lang w:val="en-US" w:eastAsia="zh-CN"/>
        </w:rPr>
        <w:t>kg/m</w:t>
      </w:r>
      <w:r>
        <w:rPr>
          <w:rFonts w:hint="default" w:ascii="Times New Roman" w:hAnsi="Times New Roman" w:eastAsia="宋体" w:cs="Times New Roman"/>
          <w:color w:val="auto"/>
          <w:kern w:val="0"/>
          <w:sz w:val="24"/>
          <w:szCs w:val="24"/>
          <w:vertAlign w:val="superscript"/>
          <w:lang w:val="en-US" w:eastAsia="zh-CN"/>
        </w:rPr>
        <w:t>3</w:t>
      </w:r>
      <w:r>
        <w:rPr>
          <w:rFonts w:hint="default" w:ascii="Times New Roman" w:hAnsi="Times New Roman" w:eastAsia="宋体" w:cs="Times New Roman"/>
          <w:color w:val="auto"/>
          <w:kern w:val="0"/>
          <w:sz w:val="24"/>
          <w:szCs w:val="24"/>
          <w:vertAlign w:val="baseline"/>
          <w:lang w:val="en-US" w:eastAsia="zh-CN"/>
        </w:rPr>
        <w:t>计</w:t>
      </w:r>
      <w:r>
        <w:rPr>
          <w:rFonts w:hint="default"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2"/>
          <w:sz w:val="24"/>
          <w:szCs w:val="24"/>
          <w:highlight w:val="none"/>
          <w:lang w:val="en-US" w:eastAsia="zh-CN"/>
        </w:rPr>
        <w:t>，</w:t>
      </w:r>
      <w:r>
        <w:rPr>
          <w:rFonts w:hint="eastAsia" w:cs="Times New Roman"/>
          <w:color w:val="auto"/>
          <w:kern w:val="2"/>
          <w:sz w:val="24"/>
          <w:szCs w:val="24"/>
          <w:highlight w:val="none"/>
          <w:lang w:val="en-US" w:eastAsia="zh-CN"/>
        </w:rPr>
        <w:t>成品肥</w:t>
      </w:r>
      <w:r>
        <w:rPr>
          <w:rFonts w:hint="default" w:ascii="Times New Roman" w:hAnsi="Times New Roman" w:eastAsia="宋体" w:cs="Times New Roman"/>
          <w:color w:val="auto"/>
          <w:kern w:val="2"/>
          <w:sz w:val="24"/>
          <w:szCs w:val="24"/>
          <w:highlight w:val="none"/>
          <w:lang w:val="en-US" w:eastAsia="zh-CN"/>
        </w:rPr>
        <w:t>含水率</w:t>
      </w:r>
      <w:r>
        <w:rPr>
          <w:rFonts w:hint="eastAsia" w:eastAsia="宋体" w:cs="Times New Roman"/>
          <w:color w:val="auto"/>
          <w:kern w:val="2"/>
          <w:sz w:val="24"/>
          <w:szCs w:val="24"/>
          <w:highlight w:val="none"/>
          <w:lang w:val="en-US" w:eastAsia="zh-CN"/>
        </w:rPr>
        <w:t>小于</w:t>
      </w:r>
      <w:r>
        <w:rPr>
          <w:rFonts w:hint="eastAsia" w:cs="Times New Roman"/>
          <w:color w:val="auto"/>
          <w:kern w:val="2"/>
          <w:sz w:val="24"/>
          <w:szCs w:val="24"/>
          <w:highlight w:val="none"/>
          <w:lang w:val="en-US" w:eastAsia="zh-CN"/>
        </w:rPr>
        <w:t>30</w:t>
      </w:r>
      <w:r>
        <w:rPr>
          <w:rFonts w:hint="default" w:ascii="Times New Roman" w:hAnsi="Times New Roman" w:eastAsia="宋体" w:cs="Times New Roman"/>
          <w:color w:val="auto"/>
          <w:kern w:val="2"/>
          <w:sz w:val="24"/>
          <w:szCs w:val="24"/>
          <w:highlight w:val="none"/>
          <w:lang w:val="en-US" w:eastAsia="zh-CN"/>
        </w:rPr>
        <w:t>%</w:t>
      </w:r>
      <w:r>
        <w:rPr>
          <w:rFonts w:hint="eastAsia" w:cs="Times New Roman"/>
          <w:color w:val="auto"/>
          <w:kern w:val="2"/>
          <w:sz w:val="24"/>
          <w:szCs w:val="24"/>
          <w:highlight w:val="none"/>
          <w:lang w:val="en-US" w:eastAsia="zh-CN"/>
        </w:rPr>
        <w:t>，发酵垫料220t/a</w:t>
      </w:r>
      <w:r>
        <w:rPr>
          <w:rFonts w:hint="default" w:ascii="Times New Roman" w:hAnsi="Times New Roman" w:eastAsia="宋体" w:cs="Times New Roman"/>
          <w:color w:val="auto"/>
          <w:kern w:val="2"/>
          <w:sz w:val="24"/>
          <w:szCs w:val="24"/>
          <w:highlight w:val="none"/>
          <w:lang w:val="en-US" w:eastAsia="zh-CN"/>
        </w:rPr>
        <w:t>，由此可知，</w:t>
      </w:r>
      <w:r>
        <w:rPr>
          <w:rFonts w:hint="eastAsia" w:cs="Times New Roman"/>
          <w:color w:val="auto"/>
          <w:kern w:val="2"/>
          <w:sz w:val="24"/>
          <w:szCs w:val="24"/>
          <w:highlight w:val="none"/>
          <w:lang w:val="en-US" w:eastAsia="zh-CN"/>
        </w:rPr>
        <w:t>堆肥结束后成品肥</w:t>
      </w:r>
      <w:r>
        <w:rPr>
          <w:rFonts w:hint="default" w:ascii="Times New Roman" w:hAnsi="Times New Roman" w:eastAsia="宋体" w:cs="Times New Roman"/>
          <w:color w:val="auto"/>
          <w:kern w:val="2"/>
          <w:sz w:val="24"/>
          <w:szCs w:val="24"/>
          <w:highlight w:val="none"/>
          <w:lang w:val="en-US" w:eastAsia="zh-CN"/>
        </w:rPr>
        <w:t>约为</w:t>
      </w:r>
      <w:r>
        <w:rPr>
          <w:rFonts w:hint="eastAsia" w:cs="Times New Roman"/>
          <w:color w:val="auto"/>
          <w:kern w:val="2"/>
          <w:sz w:val="24"/>
          <w:szCs w:val="24"/>
          <w:highlight w:val="none"/>
          <w:lang w:val="en-US" w:eastAsia="zh-CN"/>
        </w:rPr>
        <w:t>3623.89</w:t>
      </w:r>
      <w:r>
        <w:rPr>
          <w:rFonts w:hint="default" w:ascii="Times New Roman" w:hAnsi="Times New Roman" w:eastAsia="宋体" w:cs="Times New Roman"/>
          <w:color w:val="auto"/>
          <w:kern w:val="2"/>
          <w:sz w:val="24"/>
          <w:szCs w:val="24"/>
          <w:highlight w:val="none"/>
          <w:lang w:val="en-US" w:eastAsia="zh-CN"/>
        </w:rPr>
        <w:t>t</w:t>
      </w:r>
      <w:r>
        <w:rPr>
          <w:rFonts w:hint="eastAsia" w:cs="Times New Roman"/>
          <w:color w:val="auto"/>
          <w:kern w:val="2"/>
          <w:sz w:val="24"/>
          <w:szCs w:val="24"/>
          <w:highlight w:val="none"/>
          <w:lang w:val="en-US" w:eastAsia="zh-CN"/>
        </w:rPr>
        <w:t>，本项目每年还田期，待牛出栏后分别清运牛舍、牛圈、运动场以及饲喂凉棚的牛粪，每日成品肥约19t</w:t>
      </w:r>
      <w:r>
        <w:rPr>
          <w:rFonts w:hint="default" w:ascii="Times New Roman" w:hAnsi="Times New Roman" w:eastAsia="宋体" w:cs="Times New Roman"/>
          <w:color w:val="auto"/>
          <w:kern w:val="0"/>
          <w:sz w:val="24"/>
          <w:szCs w:val="24"/>
          <w:highlight w:val="none"/>
          <w:lang w:val="en-US" w:eastAsia="zh-CN"/>
        </w:rPr>
        <w:t>，本项目</w:t>
      </w:r>
      <w:r>
        <w:rPr>
          <w:rFonts w:hint="eastAsia" w:cs="Times New Roman"/>
          <w:color w:val="auto"/>
          <w:kern w:val="0"/>
          <w:sz w:val="24"/>
          <w:szCs w:val="24"/>
          <w:highlight w:val="none"/>
          <w:lang w:val="en-US" w:eastAsia="zh-CN"/>
        </w:rPr>
        <w:t>堆肥间内</w:t>
      </w:r>
      <w:r>
        <w:rPr>
          <w:rFonts w:hint="eastAsia" w:cs="Times New Roman"/>
          <w:color w:val="auto"/>
          <w:kern w:val="0"/>
          <w:sz w:val="24"/>
          <w:szCs w:val="24"/>
          <w:lang w:val="en-US" w:eastAsia="zh-CN"/>
        </w:rPr>
        <w:t>成品肥</w:t>
      </w:r>
      <w:r>
        <w:rPr>
          <w:rFonts w:hint="eastAsia" w:ascii="Times New Roman" w:hAnsi="Times New Roman" w:eastAsia="宋体" w:cs="Times New Roman"/>
          <w:color w:val="auto"/>
          <w:kern w:val="0"/>
          <w:sz w:val="24"/>
          <w:szCs w:val="24"/>
          <w:lang w:val="en-US" w:eastAsia="zh-CN"/>
        </w:rPr>
        <w:t>暂存</w:t>
      </w:r>
      <w:r>
        <w:rPr>
          <w:rFonts w:hint="eastAsia" w:cs="Times New Roman"/>
          <w:color w:val="auto"/>
          <w:kern w:val="0"/>
          <w:sz w:val="24"/>
          <w:szCs w:val="24"/>
          <w:lang w:val="en-US" w:eastAsia="zh-CN"/>
        </w:rPr>
        <w:t>区200</w:t>
      </w:r>
      <w:r>
        <w:rPr>
          <w:rFonts w:hint="default" w:ascii="Times New Roman" w:hAnsi="Times New Roman" w:eastAsia="宋体" w:cs="Times New Roman"/>
          <w:color w:val="auto"/>
          <w:kern w:val="0"/>
          <w:sz w:val="24"/>
          <w:szCs w:val="24"/>
          <w:lang w:val="en-US" w:eastAsia="zh-CN"/>
        </w:rPr>
        <w:t>m</w:t>
      </w:r>
      <w:r>
        <w:rPr>
          <w:rFonts w:hint="eastAsia" w:cs="Times New Roman"/>
          <w:color w:val="auto"/>
          <w:kern w:val="0"/>
          <w:sz w:val="24"/>
          <w:szCs w:val="24"/>
          <w:vertAlign w:val="superscript"/>
          <w:lang w:val="en-US" w:eastAsia="zh-CN"/>
        </w:rPr>
        <w:t>2</w:t>
      </w:r>
      <w:r>
        <w:rPr>
          <w:rFonts w:hint="eastAsia" w:ascii="Times New Roman" w:hAnsi="Times New Roman" w:eastAsia="宋体" w:cs="Times New Roman"/>
          <w:color w:val="auto"/>
          <w:kern w:val="0"/>
          <w:sz w:val="24"/>
          <w:szCs w:val="24"/>
          <w:lang w:val="en-US" w:eastAsia="zh-CN"/>
        </w:rPr>
        <w:t>，堆积高度按</w:t>
      </w:r>
      <w:r>
        <w:rPr>
          <w:rFonts w:hint="default" w:ascii="Times New Roman" w:hAnsi="Times New Roman" w:eastAsia="宋体" w:cs="Times New Roman"/>
          <w:color w:val="auto"/>
          <w:kern w:val="0"/>
          <w:sz w:val="24"/>
          <w:szCs w:val="24"/>
          <w:lang w:val="en-US" w:eastAsia="zh-CN"/>
        </w:rPr>
        <w:t>8m</w:t>
      </w:r>
      <w:r>
        <w:rPr>
          <w:rFonts w:hint="eastAsia" w:ascii="Times New Roman" w:hAnsi="Times New Roman" w:eastAsia="宋体" w:cs="Times New Roman"/>
          <w:color w:val="auto"/>
          <w:kern w:val="0"/>
          <w:sz w:val="24"/>
          <w:szCs w:val="24"/>
          <w:lang w:val="en-US" w:eastAsia="zh-CN"/>
        </w:rPr>
        <w:t>，可容纳</w:t>
      </w:r>
      <w:r>
        <w:rPr>
          <w:rFonts w:hint="eastAsia" w:cs="Times New Roman"/>
          <w:color w:val="auto"/>
          <w:kern w:val="0"/>
          <w:sz w:val="24"/>
          <w:szCs w:val="24"/>
          <w:lang w:val="en-US" w:eastAsia="zh-CN"/>
        </w:rPr>
        <w:t>1600</w:t>
      </w:r>
      <w:r>
        <w:rPr>
          <w:rFonts w:hint="default" w:ascii="Times New Roman" w:hAnsi="Times New Roman" w:eastAsia="宋体" w:cs="Times New Roman"/>
          <w:color w:val="auto"/>
          <w:kern w:val="0"/>
          <w:sz w:val="24"/>
          <w:szCs w:val="24"/>
          <w:lang w:val="en-US" w:eastAsia="zh-CN"/>
        </w:rPr>
        <w:t>m</w:t>
      </w:r>
      <w:r>
        <w:rPr>
          <w:rFonts w:hint="default" w:ascii="Times New Roman" w:hAnsi="Times New Roman" w:eastAsia="宋体" w:cs="Times New Roman"/>
          <w:color w:val="auto"/>
          <w:kern w:val="0"/>
          <w:sz w:val="24"/>
          <w:szCs w:val="24"/>
          <w:vertAlign w:val="superscript"/>
          <w:lang w:val="en-US" w:eastAsia="zh-CN"/>
        </w:rPr>
        <w:t>3</w:t>
      </w:r>
      <w:r>
        <w:rPr>
          <w:rFonts w:hint="eastAsia" w:cs="Times New Roman"/>
          <w:color w:val="auto"/>
          <w:kern w:val="0"/>
          <w:sz w:val="24"/>
          <w:szCs w:val="24"/>
          <w:lang w:val="en-US" w:eastAsia="zh-CN"/>
        </w:rPr>
        <w:t>成品肥</w:t>
      </w:r>
      <w:r>
        <w:rPr>
          <w:rFonts w:hint="eastAsia" w:ascii="Times New Roman" w:hAnsi="Times New Roman" w:eastAsia="宋体" w:cs="Times New Roman"/>
          <w:color w:val="auto"/>
          <w:kern w:val="0"/>
          <w:sz w:val="24"/>
          <w:szCs w:val="24"/>
          <w:lang w:val="en-US" w:eastAsia="zh-CN"/>
        </w:rPr>
        <w:t>，可满足</w:t>
      </w:r>
      <w:r>
        <w:rPr>
          <w:rFonts w:hint="eastAsia" w:cs="Times New Roman"/>
          <w:color w:val="auto"/>
          <w:kern w:val="0"/>
          <w:sz w:val="24"/>
          <w:szCs w:val="24"/>
          <w:lang w:val="en-US" w:eastAsia="zh-CN"/>
        </w:rPr>
        <w:t>本项目工程成品肥</w:t>
      </w:r>
      <w:r>
        <w:rPr>
          <w:rFonts w:hint="eastAsia" w:ascii="Times New Roman" w:hAnsi="Times New Roman" w:eastAsia="宋体" w:cs="Times New Roman"/>
          <w:color w:val="auto"/>
          <w:kern w:val="0"/>
          <w:sz w:val="24"/>
          <w:szCs w:val="24"/>
          <w:lang w:val="en-US" w:eastAsia="zh-CN"/>
        </w:rPr>
        <w:t>暂存需求。</w:t>
      </w:r>
    </w:p>
    <w:p w14:paraId="031ED9A9">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③场内应建立收集堆肥渗滤液的贮存池；</w:t>
      </w:r>
      <w:r>
        <w:rPr>
          <w:rFonts w:hint="eastAsia" w:cs="Times New Roman"/>
          <w:color w:val="auto"/>
          <w:kern w:val="0"/>
          <w:sz w:val="24"/>
          <w:szCs w:val="24"/>
          <w:lang w:val="en-US" w:eastAsia="zh-CN"/>
        </w:rPr>
        <w:t>本项目堆肥渗滤液经管道收集至</w:t>
      </w:r>
      <w:r>
        <w:rPr>
          <w:rFonts w:hint="eastAsia" w:cs="Times New Roman"/>
          <w:sz w:val="24"/>
          <w:szCs w:val="24"/>
          <w:lang w:val="en-US" w:eastAsia="zh-CN"/>
        </w:rPr>
        <w:t>5</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3</w:t>
      </w:r>
      <w:r>
        <w:rPr>
          <w:rFonts w:ascii="宋体" w:hAnsi="宋体" w:eastAsia="宋体" w:cs="宋体"/>
          <w:sz w:val="24"/>
          <w:szCs w:val="24"/>
        </w:rPr>
        <w:t>尿液收集池</w:t>
      </w:r>
      <w:r>
        <w:rPr>
          <w:rFonts w:hint="eastAsia" w:cs="Times New Roman"/>
          <w:color w:val="auto"/>
          <w:kern w:val="0"/>
          <w:sz w:val="24"/>
          <w:szCs w:val="24"/>
          <w:lang w:val="en-US" w:eastAsia="zh-CN"/>
        </w:rPr>
        <w:t>内，定期作为发酵补给液由吸污车运至发酵槽进行发酵，发酵完毕后在需肥期根据作物生长需要进行施肥。</w:t>
      </w:r>
    </w:p>
    <w:p w14:paraId="218210C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eastAsia" w:cs="Times New Roman"/>
          <w:color w:val="auto"/>
          <w:kern w:val="0"/>
          <w:sz w:val="24"/>
          <w:szCs w:val="24"/>
          <w:lang w:val="en-US" w:eastAsia="zh-CN"/>
        </w:rPr>
        <w:t>④</w:t>
      </w:r>
      <w:r>
        <w:rPr>
          <w:rFonts w:hint="default" w:ascii="Times New Roman" w:hAnsi="Times New Roman" w:eastAsia="宋体" w:cs="Times New Roman"/>
          <w:color w:val="auto"/>
          <w:kern w:val="0"/>
          <w:sz w:val="24"/>
          <w:szCs w:val="24"/>
        </w:rPr>
        <w:t xml:space="preserve">应考虑防渗漏措施，不得对地下水造成污染； </w:t>
      </w:r>
    </w:p>
    <w:p w14:paraId="33C9B87F">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eastAsia" w:cs="Times New Roman"/>
          <w:color w:val="auto"/>
          <w:kern w:val="0"/>
          <w:sz w:val="24"/>
          <w:szCs w:val="24"/>
          <w:lang w:val="en-US" w:eastAsia="zh-CN"/>
        </w:rPr>
        <w:t>⑤</w:t>
      </w:r>
      <w:r>
        <w:rPr>
          <w:rFonts w:hint="default" w:ascii="Times New Roman" w:hAnsi="Times New Roman" w:eastAsia="宋体" w:cs="Times New Roman"/>
          <w:color w:val="auto"/>
          <w:kern w:val="0"/>
          <w:sz w:val="24"/>
          <w:szCs w:val="24"/>
        </w:rPr>
        <w:t xml:space="preserve">应配置防雨淋设施和雨水排水系统。 </w:t>
      </w:r>
    </w:p>
    <w:p w14:paraId="78A21F65">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堆肥</w:t>
      </w:r>
      <w:r>
        <w:rPr>
          <w:rFonts w:hint="eastAsia" w:eastAsia="宋体" w:cs="Times New Roman"/>
          <w:b/>
          <w:kern w:val="2"/>
          <w:sz w:val="24"/>
          <w:szCs w:val="24"/>
          <w:lang w:val="en-US" w:eastAsia="zh-CN" w:bidi="ar-SA"/>
        </w:rPr>
        <w:t>生产</w:t>
      </w:r>
      <w:r>
        <w:rPr>
          <w:rFonts w:hint="default" w:ascii="Times New Roman" w:hAnsi="Times New Roman" w:eastAsia="宋体" w:cs="Times New Roman"/>
          <w:b/>
          <w:kern w:val="2"/>
          <w:sz w:val="24"/>
          <w:szCs w:val="24"/>
          <w:lang w:val="en-US" w:eastAsia="zh-CN" w:bidi="ar-SA"/>
        </w:rPr>
        <w:t>工序</w:t>
      </w:r>
      <w:r>
        <w:rPr>
          <w:rFonts w:hint="default" w:ascii="Times New Roman" w:hAnsi="Times New Roman" w:eastAsia="宋体" w:cs="Times New Roman"/>
          <w:b/>
          <w:kern w:val="2"/>
          <w:sz w:val="24"/>
          <w:szCs w:val="24"/>
          <w:lang w:val="en-US" w:eastAsia="zh-CN" w:bidi="ar-SA"/>
        </w:rPr>
        <w:tab/>
      </w:r>
    </w:p>
    <w:p w14:paraId="364DF780">
      <w:pPr>
        <w:spacing w:line="360" w:lineRule="auto"/>
        <w:ind w:firstLine="480"/>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rPr>
        <w:t>（1）</w:t>
      </w:r>
      <w:r>
        <w:rPr>
          <w:rFonts w:hint="eastAsia" w:cs="宋体"/>
          <w:color w:val="auto"/>
          <w:kern w:val="0"/>
          <w:sz w:val="24"/>
          <w:szCs w:val="22"/>
          <w:lang w:val="en-US" w:eastAsia="zh-CN"/>
        </w:rPr>
        <w:t>翻抛、混料</w:t>
      </w:r>
    </w:p>
    <w:p w14:paraId="38D52CF5">
      <w:pPr>
        <w:spacing w:line="360" w:lineRule="auto"/>
        <w:ind w:firstLine="482"/>
        <w:rPr>
          <w:rFonts w:hint="eastAsia"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牛粪以及废发酵垫料</w:t>
      </w:r>
      <w:r>
        <w:rPr>
          <w:rFonts w:hint="eastAsia" w:ascii="Times New Roman" w:hAnsi="Times New Roman" w:eastAsia="宋体" w:cs="宋体"/>
          <w:color w:val="auto"/>
          <w:kern w:val="0"/>
          <w:sz w:val="24"/>
          <w:szCs w:val="22"/>
          <w:lang w:val="en-US" w:eastAsia="zh-CN"/>
        </w:rPr>
        <w:t>由</w:t>
      </w:r>
      <w:r>
        <w:rPr>
          <w:rFonts w:hint="eastAsia" w:cs="宋体"/>
          <w:color w:val="auto"/>
          <w:kern w:val="0"/>
          <w:sz w:val="24"/>
          <w:szCs w:val="22"/>
          <w:lang w:val="en-US" w:eastAsia="zh-CN"/>
        </w:rPr>
        <w:t>养殖区运输至堆肥区暂存，在堆肥区暂存时篷布覆盖，进入堆肥间进行翻抛，</w:t>
      </w:r>
      <w:r>
        <w:rPr>
          <w:rFonts w:hint="eastAsia" w:ascii="Times New Roman" w:hAnsi="Times New Roman" w:eastAsia="宋体" w:cs="宋体"/>
          <w:color w:val="auto"/>
          <w:kern w:val="0"/>
          <w:sz w:val="24"/>
          <w:szCs w:val="22"/>
          <w:lang w:val="en-US" w:eastAsia="zh-CN"/>
        </w:rPr>
        <w:t>根据工艺要求，</w:t>
      </w:r>
      <w:r>
        <w:rPr>
          <w:rFonts w:hint="eastAsia" w:cs="宋体"/>
          <w:color w:val="auto"/>
          <w:kern w:val="0"/>
          <w:sz w:val="24"/>
          <w:szCs w:val="22"/>
          <w:lang w:val="en-US" w:eastAsia="zh-CN"/>
        </w:rPr>
        <w:t>牛粪以及废发酵垫料用翻抛机翻抛均匀后，抽样测定水分低于30%后即可直接运至还田区还田。少量不合格发酵垫料进入混料机与生物菌剂进行预混</w:t>
      </w:r>
      <w:r>
        <w:rPr>
          <w:rFonts w:hint="eastAsia" w:ascii="Times New Roman" w:hAnsi="Times New Roman" w:eastAsia="宋体" w:cs="宋体"/>
          <w:color w:val="auto"/>
          <w:kern w:val="0"/>
          <w:sz w:val="24"/>
          <w:szCs w:val="22"/>
          <w:lang w:val="en-US" w:eastAsia="zh-CN"/>
        </w:rPr>
        <w:t>，</w:t>
      </w:r>
      <w:r>
        <w:rPr>
          <w:rFonts w:hint="eastAsia" w:cs="宋体"/>
          <w:color w:val="auto"/>
          <w:kern w:val="0"/>
          <w:sz w:val="24"/>
          <w:szCs w:val="22"/>
          <w:lang w:val="en-US" w:eastAsia="zh-CN"/>
        </w:rPr>
        <w:t>由于生物菌剂运输量小，均为袋装，可不计算车辆进出场粉尘。由于本项目物料输送均为封闭式输送，因此</w:t>
      </w:r>
      <w:r>
        <w:rPr>
          <w:rFonts w:hint="eastAsia" w:ascii="Times New Roman" w:hAnsi="Times New Roman" w:eastAsia="宋体" w:cs="宋体"/>
          <w:color w:val="auto"/>
          <w:kern w:val="0"/>
          <w:sz w:val="24"/>
          <w:szCs w:val="22"/>
          <w:lang w:val="en-US" w:eastAsia="zh-CN"/>
        </w:rPr>
        <w:t>该过程</w:t>
      </w:r>
      <w:r>
        <w:rPr>
          <w:rFonts w:hint="eastAsia" w:cs="宋体"/>
          <w:color w:val="auto"/>
          <w:kern w:val="0"/>
          <w:sz w:val="24"/>
          <w:szCs w:val="22"/>
          <w:lang w:val="en-US" w:eastAsia="zh-CN"/>
        </w:rPr>
        <w:t>主要</w:t>
      </w:r>
      <w:r>
        <w:rPr>
          <w:rFonts w:hint="eastAsia" w:ascii="Times New Roman" w:hAnsi="Times New Roman" w:eastAsia="宋体" w:cs="宋体"/>
          <w:color w:val="auto"/>
          <w:kern w:val="0"/>
          <w:sz w:val="24"/>
          <w:szCs w:val="22"/>
          <w:lang w:val="en-US" w:eastAsia="zh-CN"/>
        </w:rPr>
        <w:t>会产生</w:t>
      </w:r>
      <w:r>
        <w:rPr>
          <w:rFonts w:hint="eastAsia" w:cs="宋体"/>
          <w:color w:val="auto"/>
          <w:kern w:val="0"/>
          <w:sz w:val="24"/>
          <w:szCs w:val="22"/>
          <w:lang w:val="en-US" w:eastAsia="zh-CN"/>
        </w:rPr>
        <w:t>卸料粉尘G6、暂存粉尘G7、养殖恶臭G5（存储）、翻抛混料废气G8、翻抛机噪声N9、混料机</w:t>
      </w:r>
      <w:r>
        <w:rPr>
          <w:rFonts w:hint="eastAsia" w:ascii="Times New Roman" w:hAnsi="Times New Roman" w:eastAsia="宋体" w:cs="宋体"/>
          <w:color w:val="auto"/>
          <w:kern w:val="0"/>
          <w:sz w:val="24"/>
          <w:szCs w:val="22"/>
          <w:lang w:val="en-US" w:eastAsia="zh-CN"/>
        </w:rPr>
        <w:t>噪声</w:t>
      </w:r>
      <w:r>
        <w:rPr>
          <w:rFonts w:hint="eastAsia" w:cs="宋体"/>
          <w:color w:val="auto"/>
          <w:kern w:val="0"/>
          <w:sz w:val="24"/>
          <w:szCs w:val="22"/>
          <w:lang w:val="en-US" w:eastAsia="zh-CN"/>
        </w:rPr>
        <w:t>N10以及废包装材料S1</w:t>
      </w:r>
      <w:r>
        <w:rPr>
          <w:rFonts w:hint="eastAsia" w:ascii="Times New Roman" w:hAnsi="Times New Roman" w:eastAsia="宋体" w:cs="宋体"/>
          <w:color w:val="auto"/>
          <w:kern w:val="0"/>
          <w:sz w:val="24"/>
          <w:szCs w:val="22"/>
          <w:lang w:val="en-US" w:eastAsia="zh-CN"/>
        </w:rPr>
        <w:t>。</w:t>
      </w:r>
    </w:p>
    <w:p w14:paraId="6CA329F6">
      <w:pPr>
        <w:spacing w:line="360" w:lineRule="auto"/>
        <w:ind w:firstLine="482"/>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rPr>
        <w:t>（2）</w:t>
      </w:r>
      <w:r>
        <w:rPr>
          <w:rFonts w:hint="eastAsia" w:cs="宋体"/>
          <w:color w:val="auto"/>
          <w:kern w:val="0"/>
          <w:sz w:val="24"/>
          <w:szCs w:val="22"/>
          <w:lang w:val="en-US" w:eastAsia="zh-CN"/>
        </w:rPr>
        <w:t>发酵</w:t>
      </w:r>
    </w:p>
    <w:p w14:paraId="4FDAB46B">
      <w:pPr>
        <w:spacing w:line="360" w:lineRule="auto"/>
        <w:ind w:firstLine="482"/>
        <w:rPr>
          <w:rFonts w:hint="eastAsia"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少量不合格发酵垫料混料后在堆肥间内进行再次发酵，发酵采用静态好氧堆肥发酵工艺，设置发酵槽发酵，发酵菌剂由嗜热好氧微生物和嗜温好氧微生物菌群组成。嗜热好氧微生物对原料中的单糖、淀粉、蛋白质等易分解有机物可迅速分解并产生大量热，温度在24小时内可快速升至70</w:t>
      </w:r>
      <w:r>
        <w:rPr>
          <w:rFonts w:hint="default" w:ascii="Times New Roman" w:hAnsi="Times New Roman" w:cs="Times New Roman"/>
          <w:color w:val="auto"/>
          <w:kern w:val="0"/>
          <w:sz w:val="24"/>
          <w:szCs w:val="22"/>
          <w:lang w:val="en-US" w:eastAsia="zh-CN"/>
        </w:rPr>
        <w:t>°</w:t>
      </w:r>
      <w:r>
        <w:rPr>
          <w:rFonts w:hint="eastAsia" w:cs="宋体"/>
          <w:color w:val="auto"/>
          <w:kern w:val="0"/>
          <w:sz w:val="24"/>
          <w:szCs w:val="22"/>
          <w:lang w:val="en-US" w:eastAsia="zh-CN"/>
        </w:rPr>
        <w:t>C以上，温度持续十天左右可有效灭菌杀虫、灭种，继续发酵，发酵后水分降至30%以下，复杂有机物（纤维素、半纤维素）开始分解，腐殖质开始形成，随着温度下降，嗜热好氧微生物大量死亡或休眠，嗜温好氧微生物重新开始繁殖，发酵物料形成腐殖酸。发酵周期按10天计。此部分会产生发酵废气G9、风机噪声N11</w:t>
      </w:r>
      <w:r>
        <w:rPr>
          <w:rFonts w:hint="eastAsia" w:ascii="Times New Roman" w:hAnsi="Times New Roman" w:eastAsia="宋体" w:cs="宋体"/>
          <w:color w:val="auto"/>
          <w:kern w:val="0"/>
          <w:sz w:val="24"/>
          <w:szCs w:val="22"/>
          <w:lang w:val="en-US" w:eastAsia="zh-CN"/>
        </w:rPr>
        <w:t>。</w:t>
      </w:r>
    </w:p>
    <w:p w14:paraId="619A3AB1">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好氧发酵过程应符合下列要求：</w:t>
      </w:r>
    </w:p>
    <w:p w14:paraId="65A519F1">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a发酵过程温度控制在55~65℃，且持续时间不得少于5天，最高温度不宜超过75℃；</w:t>
      </w:r>
    </w:p>
    <w:p w14:paraId="7970D1D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b堆肥时间应根据碳氮比、湿度、天气条件、堆肥工艺类型及废物和添加剂种类确定；</w:t>
      </w:r>
    </w:p>
    <w:p w14:paraId="5D969FB7">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c堆肥各点的氧气浓度不应低于10%；</w:t>
      </w:r>
    </w:p>
    <w:p w14:paraId="6DDC89C7">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d可适时采用翻堆方式自然通风或设有</w:t>
      </w:r>
      <w:r>
        <w:rPr>
          <w:rFonts w:hint="eastAsia" w:cs="Times New Roman"/>
          <w:color w:val="auto"/>
          <w:kern w:val="0"/>
          <w:sz w:val="24"/>
          <w:szCs w:val="24"/>
          <w:lang w:val="en-US" w:eastAsia="zh-CN"/>
        </w:rPr>
        <w:t>其他</w:t>
      </w:r>
      <w:r>
        <w:rPr>
          <w:rFonts w:hint="default" w:ascii="Times New Roman" w:hAnsi="Times New Roman" w:eastAsia="宋体" w:cs="Times New Roman"/>
          <w:color w:val="auto"/>
          <w:kern w:val="0"/>
          <w:sz w:val="24"/>
          <w:szCs w:val="24"/>
        </w:rPr>
        <w:t>机械通风装置换气，以调节堆肥物料的氧气浓度和温度。</w:t>
      </w:r>
    </w:p>
    <w:p w14:paraId="0B7B8B8B">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发酵结束时，应符合下列要求：</w:t>
      </w:r>
    </w:p>
    <w:p w14:paraId="2A0B665E">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a碳氮比不大于20:1；</w:t>
      </w:r>
    </w:p>
    <w:p w14:paraId="3DA4A4BF">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b含水率为20%</w:t>
      </w:r>
      <w:r>
        <w:rPr>
          <w:rFonts w:hint="eastAsia" w:cs="Times New Roman"/>
          <w:color w:val="auto"/>
          <w:kern w:val="0"/>
          <w:sz w:val="24"/>
          <w:szCs w:val="24"/>
          <w:lang w:eastAsia="zh-CN"/>
        </w:rPr>
        <w:t>～</w:t>
      </w:r>
      <w:r>
        <w:rPr>
          <w:rFonts w:hint="default" w:ascii="Times New Roman" w:hAnsi="Times New Roman" w:eastAsia="宋体" w:cs="Times New Roman"/>
          <w:color w:val="auto"/>
          <w:kern w:val="0"/>
          <w:sz w:val="24"/>
          <w:szCs w:val="24"/>
        </w:rPr>
        <w:t>35%；</w:t>
      </w:r>
    </w:p>
    <w:p w14:paraId="5D9F1834">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c堆肥应符合无害化卫生要求的规定；</w:t>
      </w:r>
    </w:p>
    <w:p w14:paraId="41C23174">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d耗氧速率趋于稳定；</w:t>
      </w:r>
    </w:p>
    <w:p w14:paraId="25893F5B">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auto"/>
          <w:kern w:val="0"/>
          <w:sz w:val="24"/>
          <w:szCs w:val="24"/>
        </w:rPr>
        <w:t>e腐熟度应大于等于Ⅳ级。</w:t>
      </w:r>
    </w:p>
    <w:p w14:paraId="19584A02">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发酵完毕后</w:t>
      </w:r>
      <w:r>
        <w:rPr>
          <w:rFonts w:hint="eastAsia" w:cs="Times New Roman"/>
          <w:color w:val="auto"/>
          <w:kern w:val="0"/>
          <w:sz w:val="24"/>
          <w:szCs w:val="24"/>
          <w:lang w:val="en-US" w:eastAsia="zh-CN"/>
        </w:rPr>
        <w:t>再次进行翻抛</w:t>
      </w:r>
      <w:r>
        <w:rPr>
          <w:rFonts w:hint="default" w:ascii="Times New Roman" w:hAnsi="Times New Roman" w:eastAsia="宋体" w:cs="Times New Roman"/>
          <w:color w:val="auto"/>
          <w:kern w:val="0"/>
          <w:sz w:val="24"/>
          <w:szCs w:val="24"/>
        </w:rPr>
        <w:t>处理，确保堆肥制品质量合格。</w:t>
      </w:r>
      <w:r>
        <w:rPr>
          <w:rFonts w:hint="eastAsia" w:cs="Times New Roman"/>
          <w:color w:val="auto"/>
          <w:kern w:val="0"/>
          <w:sz w:val="24"/>
          <w:szCs w:val="24"/>
          <w:lang w:val="en-US" w:eastAsia="zh-CN"/>
        </w:rPr>
        <w:t>此部分会产生翻抛废气G8以及翻抛机噪声N9。</w:t>
      </w:r>
    </w:p>
    <w:p w14:paraId="5DAB7431">
      <w:pPr>
        <w:spacing w:line="360" w:lineRule="auto"/>
        <w:ind w:firstLine="480"/>
        <w:rPr>
          <w:rFonts w:hint="default"/>
          <w:lang w:val="en-US"/>
        </w:rPr>
      </w:pPr>
      <w:r>
        <w:rPr>
          <w:rFonts w:hint="eastAsia" w:cs="宋体"/>
          <w:color w:val="auto"/>
          <w:kern w:val="0"/>
          <w:sz w:val="24"/>
          <w:szCs w:val="22"/>
          <w:lang w:val="en-US" w:eastAsia="zh-CN"/>
        </w:rPr>
        <w:t>堆肥间内废气均经过密闭负压抽风+袋式除尘+生物除臭（滴滤法）处理后，经15m排气筒（DA001）排放，此部分产生风机噪声N11、除尘灰粉尘S2、废布袋S3、废填料S8。</w:t>
      </w:r>
    </w:p>
    <w:p w14:paraId="5CF7B6B4">
      <w:pPr>
        <w:keepNext w:val="0"/>
        <w:keepLines w:val="0"/>
        <w:pageBreakBefore w:val="0"/>
        <w:wordWrap/>
        <w:topLinePunct w:val="0"/>
        <w:bidi w:val="0"/>
        <w:adjustRightInd/>
        <w:snapToGrid/>
        <w:spacing w:line="360" w:lineRule="auto"/>
        <w:ind w:firstLine="480" w:firstLineChars="200"/>
        <w:rPr>
          <w:rFonts w:hint="eastAsia" w:cs="Times New Roman"/>
          <w:color w:val="auto"/>
          <w:kern w:val="0"/>
          <w:sz w:val="24"/>
          <w:szCs w:val="24"/>
          <w:lang w:val="en-US" w:eastAsia="zh-CN"/>
        </w:rPr>
        <w:sectPr>
          <w:pgSz w:w="11906" w:h="16838"/>
          <w:pgMar w:top="1814" w:right="1701" w:bottom="1418" w:left="1701" w:header="1134" w:footer="851"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eastAsia="宋体" w:cs="Times New Roman"/>
          <w:color w:val="auto"/>
          <w:kern w:val="0"/>
          <w:sz w:val="24"/>
          <w:szCs w:val="24"/>
        </w:rPr>
        <w:t>本项目</w:t>
      </w:r>
      <w:r>
        <w:rPr>
          <w:rFonts w:hint="eastAsia" w:cs="Times New Roman"/>
          <w:color w:val="auto"/>
          <w:kern w:val="0"/>
          <w:sz w:val="24"/>
          <w:szCs w:val="24"/>
          <w:lang w:val="en-US" w:eastAsia="zh-CN"/>
        </w:rPr>
        <w:t>有机肥生产</w:t>
      </w:r>
      <w:r>
        <w:rPr>
          <w:rFonts w:hint="default" w:ascii="Times New Roman" w:hAnsi="Times New Roman" w:eastAsia="宋体" w:cs="Times New Roman"/>
          <w:color w:val="auto"/>
          <w:kern w:val="0"/>
          <w:sz w:val="24"/>
          <w:szCs w:val="24"/>
        </w:rPr>
        <w:t>工艺流程及产污环节如下图</w:t>
      </w:r>
      <w:r>
        <w:rPr>
          <w:rFonts w:hint="default" w:ascii="Times New Roman" w:hAnsi="Times New Roman" w:eastAsia="宋体" w:cs="Times New Roman"/>
          <w:color w:val="auto"/>
          <w:kern w:val="0"/>
          <w:sz w:val="24"/>
          <w:szCs w:val="24"/>
          <w:lang w:val="en-US" w:eastAsia="zh-CN"/>
        </w:rPr>
        <w:t>3</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3-3。</w:t>
      </w:r>
    </w:p>
    <w:p w14:paraId="058E6D63">
      <w:pPr>
        <w:keepNext w:val="0"/>
        <w:keepLines w:val="0"/>
        <w:pageBreakBefore w:val="0"/>
        <w:wordWrap/>
        <w:topLinePunct w:val="0"/>
        <w:bidi w:val="0"/>
        <w:adjustRightInd/>
        <w:snapToGrid/>
        <w:spacing w:line="360" w:lineRule="auto"/>
        <w:jc w:val="both"/>
        <w:rPr>
          <w:rFonts w:hint="default" w:ascii="Times New Roman" w:hAnsi="Times New Roman" w:eastAsia="宋体" w:cs="Times New Roman"/>
          <w:b/>
          <w:bCs/>
          <w:color w:val="auto"/>
          <w:kern w:val="0"/>
          <w:sz w:val="24"/>
          <w:szCs w:val="24"/>
        </w:rPr>
      </w:pPr>
      <w:r>
        <w:rPr>
          <w:sz w:val="24"/>
        </w:rPr>
        <mc:AlternateContent>
          <mc:Choice Requires="wpg">
            <w:drawing>
              <wp:anchor distT="0" distB="0" distL="114300" distR="114300" simplePos="0" relativeHeight="251663360" behindDoc="0" locked="0" layoutInCell="1" allowOverlap="1">
                <wp:simplePos x="0" y="0"/>
                <wp:positionH relativeFrom="column">
                  <wp:posOffset>407035</wp:posOffset>
                </wp:positionH>
                <wp:positionV relativeFrom="paragraph">
                  <wp:posOffset>181610</wp:posOffset>
                </wp:positionV>
                <wp:extent cx="4594860" cy="60480575"/>
                <wp:effectExtent l="0" t="0" r="0" b="41275"/>
                <wp:wrapNone/>
                <wp:docPr id="21" name="组合 21"/>
                <wp:cNvGraphicFramePr/>
                <a:graphic xmlns:a="http://schemas.openxmlformats.org/drawingml/2006/main">
                  <a:graphicData uri="http://schemas.microsoft.com/office/word/2010/wordprocessingGroup">
                    <wpg:wgp>
                      <wpg:cNvGrpSpPr/>
                      <wpg:grpSpPr>
                        <a:xfrm>
                          <a:off x="0" y="0"/>
                          <a:ext cx="4594860" cy="60480575"/>
                          <a:chOff x="5081" y="1738579"/>
                          <a:chExt cx="7236" cy="95245"/>
                        </a:xfrm>
                      </wpg:grpSpPr>
                      <wpg:grpSp>
                        <wpg:cNvPr id="23" name="组合 95"/>
                        <wpg:cNvGrpSpPr/>
                        <wpg:grpSpPr>
                          <a:xfrm>
                            <a:off x="5081" y="1738579"/>
                            <a:ext cx="7236" cy="95245"/>
                            <a:chOff x="5081" y="1724266"/>
                            <a:chExt cx="7236" cy="95245"/>
                          </a:xfrm>
                        </wpg:grpSpPr>
                        <wpg:grpSp>
                          <wpg:cNvPr id="24" name="组合 7"/>
                          <wpg:cNvGrpSpPr/>
                          <wpg:grpSpPr>
                            <a:xfrm>
                              <a:off x="5081" y="1724266"/>
                              <a:ext cx="7236" cy="95245"/>
                              <a:chOff x="5524" y="1628596"/>
                              <a:chExt cx="7236" cy="95245"/>
                            </a:xfrm>
                          </wpg:grpSpPr>
                          <wpg:grpSp>
                            <wpg:cNvPr id="25" name="组合 309"/>
                            <wpg:cNvGrpSpPr/>
                            <wpg:grpSpPr>
                              <a:xfrm>
                                <a:off x="5524" y="1628596"/>
                                <a:ext cx="7236" cy="95245"/>
                                <a:chOff x="7144" y="7933"/>
                                <a:chExt cx="7236" cy="95245"/>
                              </a:xfrm>
                            </wpg:grpSpPr>
                            <wpg:grpSp>
                              <wpg:cNvPr id="28" name="组合 14"/>
                              <wpg:cNvGrpSpPr/>
                              <wpg:grpSpPr>
                                <a:xfrm>
                                  <a:off x="7144" y="7933"/>
                                  <a:ext cx="7236" cy="95245"/>
                                  <a:chOff x="7144" y="7933"/>
                                  <a:chExt cx="7236" cy="95245"/>
                                </a:xfrm>
                              </wpg:grpSpPr>
                              <wps:wsp>
                                <wps:cNvPr id="198" name="文本框 159"/>
                                <wps:cNvSpPr txBox="1"/>
                                <wps:spPr>
                                  <a:xfrm>
                                    <a:off x="8362" y="11152"/>
                                    <a:ext cx="1367" cy="514"/>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1718FC">
                                      <w:pPr>
                                        <w:jc w:val="center"/>
                                        <w:rPr>
                                          <w:rFonts w:hint="default" w:ascii="Times New Roman" w:hAnsi="Times New Roman" w:eastAsia="宋体" w:cs="宋体"/>
                                          <w:lang w:val="en-US" w:eastAsia="zh-CN"/>
                                        </w:rPr>
                                      </w:pPr>
                                      <w:r>
                                        <w:rPr>
                                          <w:rFonts w:hint="eastAsia" w:cs="宋体"/>
                                          <w:lang w:val="en-US" w:eastAsia="zh-CN"/>
                                        </w:rPr>
                                        <w:t>发酵</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9" name="文本框 161"/>
                                <wps:cNvSpPr txBox="1"/>
                                <wps:spPr>
                                  <a:xfrm>
                                    <a:off x="8339" y="12039"/>
                                    <a:ext cx="1368" cy="514"/>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9D4AD6">
                                      <w:pPr>
                                        <w:jc w:val="center"/>
                                        <w:rPr>
                                          <w:rFonts w:hint="default" w:ascii="Times New Roman" w:hAnsi="Times New Roman" w:eastAsia="宋体" w:cs="宋体"/>
                                          <w:lang w:val="en-US" w:eastAsia="zh-CN"/>
                                        </w:rPr>
                                      </w:pPr>
                                      <w:r>
                                        <w:rPr>
                                          <w:rFonts w:hint="eastAsia" w:cs="宋体"/>
                                          <w:lang w:val="en-US" w:eastAsia="zh-CN"/>
                                        </w:rPr>
                                        <w:t>翻抛</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9" name="组合 13"/>
                                <wpg:cNvGrpSpPr/>
                                <wpg:grpSpPr>
                                  <a:xfrm>
                                    <a:off x="7144" y="7933"/>
                                    <a:ext cx="7236" cy="95245"/>
                                    <a:chOff x="7144" y="7933"/>
                                    <a:chExt cx="7236" cy="95245"/>
                                  </a:xfrm>
                                </wpg:grpSpPr>
                                <wps:wsp>
                                  <wps:cNvPr id="204" name="直接箭头连接符 154"/>
                                  <wps:cNvCnPr/>
                                  <wps:spPr>
                                    <a:xfrm flipV="1">
                                      <a:off x="9024" y="11867"/>
                                      <a:ext cx="403" cy="204"/>
                                    </a:xfrm>
                                    <a:prstGeom prst="straightConnector1">
                                      <a:avLst/>
                                    </a:prstGeom>
                                    <a:noFill/>
                                    <a:ln w="12700" cap="flat" cmpd="sng" algn="ctr">
                                      <a:solidFill>
                                        <a:sysClr val="windowText" lastClr="000000"/>
                                      </a:solidFill>
                                      <a:prstDash val="sysDot"/>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g:cNvPr id="30" name="组合 12"/>
                                  <wpg:cNvGrpSpPr/>
                                  <wpg:grpSpPr>
                                    <a:xfrm>
                                      <a:off x="7144" y="7933"/>
                                      <a:ext cx="7236" cy="95245"/>
                                      <a:chOff x="7144" y="7933"/>
                                      <a:chExt cx="7236" cy="95245"/>
                                    </a:xfrm>
                                  </wpg:grpSpPr>
                                  <wps:wsp>
                                    <wps:cNvPr id="206" name="文本框 14"/>
                                    <wps:cNvSpPr txBox="1"/>
                                    <wps:spPr>
                                      <a:xfrm>
                                        <a:off x="9400" y="11620"/>
                                        <a:ext cx="1554" cy="4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11B8E">
                                          <w:pPr>
                                            <w:jc w:val="both"/>
                                            <w:rPr>
                                              <w:rFonts w:hint="default" w:ascii="Times New Roman" w:hAnsi="Times New Roman" w:eastAsia="宋体" w:cs="宋体"/>
                                              <w:lang w:val="en-US" w:eastAsia="zh-CN"/>
                                            </w:rPr>
                                          </w:pPr>
                                          <w:r>
                                            <w:rPr>
                                              <w:rFonts w:hint="eastAsia" w:cs="宋体"/>
                                              <w:lang w:val="en-US" w:eastAsia="zh-CN"/>
                                            </w:rPr>
                                            <w:t>G8、N9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7" name="文本框 165"/>
                                    <wps:cNvSpPr txBox="1"/>
                                    <wps:spPr>
                                      <a:xfrm>
                                        <a:off x="9486" y="10637"/>
                                        <a:ext cx="1642" cy="431"/>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94A9D">
                                          <w:pPr>
                                            <w:jc w:val="both"/>
                                            <w:rPr>
                                              <w:rFonts w:hint="default" w:ascii="Times New Roman" w:hAnsi="Times New Roman" w:eastAsia="宋体" w:cs="宋体"/>
                                              <w:lang w:val="en-US" w:eastAsia="zh-CN"/>
                                            </w:rPr>
                                          </w:pPr>
                                          <w:r>
                                            <w:rPr>
                                              <w:rFonts w:hint="eastAsia" w:ascii="Times New Roman" w:hAnsi="Times New Roman" w:eastAsia="宋体" w:cs="宋体"/>
                                              <w:lang w:val="en-US" w:eastAsia="zh-CN"/>
                                            </w:rPr>
                                            <w:t>G</w:t>
                                          </w:r>
                                          <w:r>
                                            <w:rPr>
                                              <w:rFonts w:hint="eastAsia" w:cs="宋体"/>
                                              <w:lang w:val="en-US" w:eastAsia="zh-CN"/>
                                            </w:rPr>
                                            <w:t>9</w:t>
                                          </w:r>
                                          <w:r>
                                            <w:rPr>
                                              <w:rFonts w:hint="eastAsia" w:ascii="Times New Roman" w:hAnsi="Times New Roman" w:eastAsia="宋体" w:cs="宋体"/>
                                              <w:lang w:val="en-US" w:eastAsia="zh-CN"/>
                                            </w:rPr>
                                            <w:t>、N</w:t>
                                          </w:r>
                                          <w:r>
                                            <w:rPr>
                                              <w:rFonts w:hint="eastAsia" w:cs="宋体"/>
                                              <w:lang w:val="en-US" w:eastAsia="zh-CN"/>
                                            </w:rPr>
                                            <w:t>11</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1" name="组合 11"/>
                                    <wpg:cNvGrpSpPr/>
                                    <wpg:grpSpPr>
                                      <a:xfrm>
                                        <a:off x="7144" y="7933"/>
                                        <a:ext cx="7236" cy="95245"/>
                                        <a:chOff x="7144" y="7933"/>
                                        <a:chExt cx="7236" cy="95245"/>
                                      </a:xfrm>
                                    </wpg:grpSpPr>
                                    <wps:wsp>
                                      <wps:cNvPr id="209" name="直接箭头连接符 153"/>
                                      <wps:cNvCnPr/>
                                      <wps:spPr>
                                        <a:xfrm flipV="1">
                                          <a:off x="9111" y="10869"/>
                                          <a:ext cx="403" cy="205"/>
                                        </a:xfrm>
                                        <a:prstGeom prst="straightConnector1">
                                          <a:avLst/>
                                        </a:prstGeom>
                                        <a:noFill/>
                                        <a:ln w="12700" cap="flat" cmpd="sng" algn="ctr">
                                          <a:solidFill>
                                            <a:sysClr val="windowText" lastClr="000000"/>
                                          </a:solidFill>
                                          <a:prstDash val="sysDot"/>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g:cNvPr id="32" name="组合 10"/>
                                      <wpg:cNvGrpSpPr/>
                                      <wpg:grpSpPr>
                                        <a:xfrm>
                                          <a:off x="7144" y="7933"/>
                                          <a:ext cx="7236" cy="95245"/>
                                          <a:chOff x="7144" y="7933"/>
                                          <a:chExt cx="7236" cy="95245"/>
                                        </a:xfrm>
                                      </wpg:grpSpPr>
                                      <wps:wsp>
                                        <wps:cNvPr id="55" name="肘形连接符 55"/>
                                        <wps:cNvCnPr>
                                          <a:stCxn id="199" idx="3"/>
                                          <a:endCxn id="331" idx="2"/>
                                        </wps:cNvCnPr>
                                        <wps:spPr>
                                          <a:xfrm flipV="1">
                                            <a:off x="9707" y="9449"/>
                                            <a:ext cx="1795" cy="2847"/>
                                          </a:xfrm>
                                          <a:prstGeom prst="bentConnector2">
                                            <a:avLst/>
                                          </a:prstGeom>
                                          <a:noFill/>
                                          <a:ln w="12700" cap="flat" cmpd="sng" algn="ctr">
                                            <a:solidFill>
                                              <a:sysClr val="windowText" lastClr="000000"/>
                                            </a:solidFill>
                                            <a:prstDash val="sysDot"/>
                                            <a:miter lim="800000"/>
                                            <a:tailEnd type="triangle"/>
                                          </a:ln>
                                          <a:effectLst/>
                                        </wps:spPr>
                                        <wps:style>
                                          <a:lnRef idx="2">
                                            <a:schemeClr val="accent1"/>
                                          </a:lnRef>
                                          <a:fillRef idx="0">
                                            <a:srgbClr val="FFFFFF"/>
                                          </a:fillRef>
                                          <a:effectRef idx="0">
                                            <a:srgbClr val="FFFFFF"/>
                                          </a:effectRef>
                                          <a:fontRef idx="minor">
                                            <a:schemeClr val="tx1"/>
                                          </a:fontRef>
                                        </wps:style>
                                        <wps:bodyPr/>
                                      </wps:wsp>
                                      <wpg:grpSp>
                                        <wpg:cNvPr id="33" name="组合 9"/>
                                        <wpg:cNvGrpSpPr/>
                                        <wpg:grpSpPr>
                                          <a:xfrm>
                                            <a:off x="7144" y="7933"/>
                                            <a:ext cx="7236" cy="95245"/>
                                            <a:chOff x="7144" y="7933"/>
                                            <a:chExt cx="7236" cy="95245"/>
                                          </a:xfrm>
                                        </wpg:grpSpPr>
                                        <wps:wsp>
                                          <wps:cNvPr id="213" name="文本框 143"/>
                                          <wps:cNvSpPr txBox="1"/>
                                          <wps:spPr>
                                            <a:xfrm>
                                              <a:off x="7795" y="7933"/>
                                              <a:ext cx="2655" cy="514"/>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14EA6">
                                                <w:pPr>
                                                  <w:jc w:val="center"/>
                                                  <w:rPr>
                                                    <w:rFonts w:hint="default" w:ascii="Times New Roman" w:hAnsi="Times New Roman" w:eastAsia="宋体" w:cs="宋体"/>
                                                    <w:lang w:val="en-US" w:eastAsia="zh-CN"/>
                                                  </w:rPr>
                                                </w:pPr>
                                                <w:r>
                                                  <w:rPr>
                                                    <w:rFonts w:hint="eastAsia" w:cs="宋体"/>
                                                    <w:lang w:val="en-US" w:eastAsia="zh-CN"/>
                                                  </w:rPr>
                                                  <w:t>牛粪</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4" name="文本框 144"/>
                                          <wps:cNvSpPr txBox="1"/>
                                          <wps:spPr>
                                            <a:xfrm>
                                              <a:off x="9514" y="8479"/>
                                              <a:ext cx="3683" cy="433"/>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FE049">
                                                <w:pPr>
                                                  <w:jc w:val="both"/>
                                                  <w:rPr>
                                                    <w:rFonts w:hint="default" w:ascii="Times New Roman" w:hAnsi="Times New Roman" w:eastAsia="宋体" w:cs="宋体"/>
                                                    <w:lang w:val="en-US" w:eastAsia="zh-CN"/>
                                                  </w:rPr>
                                                </w:pPr>
                                                <w:r>
                                                  <w:rPr>
                                                    <w:rFonts w:hint="eastAsia" w:ascii="Times New Roman" w:hAnsi="Times New Roman" w:eastAsia="宋体" w:cs="宋体"/>
                                                    <w:lang w:val="en-US" w:eastAsia="zh-CN"/>
                                                  </w:rPr>
                                                  <w:t>G</w:t>
                                                </w:r>
                                                <w:r>
                                                  <w:rPr>
                                                    <w:rFonts w:hint="eastAsia" w:cs="宋体"/>
                                                    <w:lang w:val="en-US" w:eastAsia="zh-CN"/>
                                                  </w:rPr>
                                                  <w:t>6、G7、G8、N9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5" name="文本框 7"/>
                                          <wps:cNvSpPr txBox="1"/>
                                          <wps:spPr>
                                            <a:xfrm>
                                              <a:off x="8419" y="8935"/>
                                              <a:ext cx="1368" cy="514"/>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DBA3E0">
                                                <w:pPr>
                                                  <w:jc w:val="center"/>
                                                  <w:rPr>
                                                    <w:rFonts w:hint="default" w:ascii="Times New Roman" w:hAnsi="Times New Roman" w:eastAsia="宋体" w:cs="宋体"/>
                                                    <w:lang w:val="en-US" w:eastAsia="zh-CN"/>
                                                  </w:rPr>
                                                </w:pPr>
                                                <w:r>
                                                  <w:rPr>
                                                    <w:rFonts w:hint="eastAsia" w:cs="宋体"/>
                                                    <w:lang w:val="en-US" w:eastAsia="zh-CN"/>
                                                  </w:rPr>
                                                  <w:t>翻抛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7" name="直接箭头连接符 146"/>
                                          <wps:cNvCnPr/>
                                          <wps:spPr>
                                            <a:xfrm>
                                              <a:off x="9108" y="8519"/>
                                              <a:ext cx="6" cy="428"/>
                                            </a:xfrm>
                                            <a:prstGeom prst="straightConnector1">
                                              <a:avLst/>
                                            </a:prstGeom>
                                            <a:noFill/>
                                            <a:ln w="6350" cap="flat" cmpd="sng" algn="ctr">
                                              <a:solidFill>
                                                <a:sysClr val="windowText" lastClr="000000"/>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232" name="直接箭头连接符 147"/>
                                          <wps:cNvCnPr/>
                                          <wps:spPr>
                                            <a:xfrm flipV="1">
                                              <a:off x="9171" y="8702"/>
                                              <a:ext cx="403" cy="205"/>
                                            </a:xfrm>
                                            <a:prstGeom prst="straightConnector1">
                                              <a:avLst/>
                                            </a:prstGeom>
                                            <a:noFill/>
                                            <a:ln w="12700" cap="flat" cmpd="sng" algn="ctr">
                                              <a:solidFill>
                                                <a:sysClr val="windowText" lastClr="000000"/>
                                              </a:solidFill>
                                              <a:prstDash val="sysDot"/>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g:cNvPr id="34" name="组合 7"/>
                                          <wpg:cNvGrpSpPr/>
                                          <wpg:grpSpPr>
                                            <a:xfrm>
                                              <a:off x="8359" y="8314"/>
                                              <a:ext cx="6021" cy="94864"/>
                                              <a:chOff x="8359" y="8314"/>
                                              <a:chExt cx="6021" cy="94864"/>
                                            </a:xfrm>
                                          </wpg:grpSpPr>
                                          <wps:wsp>
                                            <wps:cNvPr id="237" name="直接箭头连接符 11"/>
                                            <wps:cNvCnPr/>
                                            <wps:spPr>
                                              <a:xfrm>
                                                <a:off x="8991" y="11654"/>
                                                <a:ext cx="6" cy="428"/>
                                              </a:xfrm>
                                              <a:prstGeom prst="straightConnector1">
                                                <a:avLst/>
                                              </a:prstGeom>
                                              <a:noFill/>
                                              <a:ln w="6350" cap="flat" cmpd="sng" algn="ctr">
                                                <a:solidFill>
                                                  <a:sysClr val="windowText" lastClr="000000"/>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g:cNvPr id="36" name="组合 6"/>
                                            <wpg:cNvGrpSpPr/>
                                            <wpg:grpSpPr>
                                              <a:xfrm>
                                                <a:off x="8359" y="8314"/>
                                                <a:ext cx="6021" cy="94864"/>
                                                <a:chOff x="8359" y="8314"/>
                                                <a:chExt cx="6021" cy="94864"/>
                                              </a:xfrm>
                                            </wpg:grpSpPr>
                                            <wpg:grpSp>
                                              <wpg:cNvPr id="39" name="组合 55"/>
                                              <wpg:cNvGrpSpPr/>
                                              <wpg:grpSpPr>
                                                <a:xfrm rot="0">
                                                  <a:off x="8359" y="12569"/>
                                                  <a:ext cx="1406" cy="917"/>
                                                  <a:chOff x="9303" y="485191"/>
                                                  <a:chExt cx="1406" cy="917"/>
                                                </a:xfrm>
                                              </wpg:grpSpPr>
                                              <wps:wsp>
                                                <wps:cNvPr id="256" name="文本框 7"/>
                                                <wps:cNvSpPr txBox="1"/>
                                                <wps:spPr>
                                                  <a:xfrm>
                                                    <a:off x="9303" y="485595"/>
                                                    <a:ext cx="1406" cy="513"/>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51FCF8">
                                                      <w:pPr>
                                                        <w:jc w:val="center"/>
                                                        <w:rPr>
                                                          <w:rFonts w:hint="default" w:ascii="Times New Roman" w:hAnsi="Times New Roman" w:eastAsia="宋体" w:cs="宋体"/>
                                                          <w:lang w:val="en-US" w:eastAsia="zh-CN"/>
                                                        </w:rPr>
                                                      </w:pPr>
                                                      <w:r>
                                                        <w:rPr>
                                                          <w:rFonts w:hint="eastAsia" w:cs="宋体"/>
                                                          <w:lang w:val="en-US" w:eastAsia="zh-CN"/>
                                                        </w:rPr>
                                                        <w:t>成品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7" name="直接箭头连接符 53"/>
                                                <wps:cNvCnPr/>
                                                <wps:spPr>
                                                  <a:xfrm>
                                                    <a:off x="9965" y="485191"/>
                                                    <a:ext cx="6" cy="428"/>
                                                  </a:xfrm>
                                                  <a:prstGeom prst="straightConnector1">
                                                    <a:avLst/>
                                                  </a:prstGeom>
                                                  <a:noFill/>
                                                  <a:ln w="6350" cap="flat" cmpd="sng" algn="ctr">
                                                    <a:solidFill>
                                                      <a:sysClr val="windowText" lastClr="000000"/>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s:wsp>
                                              <wps:cNvPr id="263" name="文本框 46"/>
                                              <wps:cNvSpPr txBox="1"/>
                                              <wps:spPr>
                                                <a:xfrm>
                                                  <a:off x="12462" y="10493"/>
                                                  <a:ext cx="1732" cy="1896"/>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CC0C6A">
                                                    <w:pPr>
                                                      <w:spacing w:line="360" w:lineRule="auto"/>
                                                      <w:rPr>
                                                        <w:rFonts w:hint="eastAsia"/>
                                                        <w:lang w:val="en-US" w:eastAsia="zh-CN"/>
                                                      </w:rPr>
                                                    </w:pPr>
                                                    <w:r>
                                                      <w:rPr>
                                                        <w:rFonts w:hint="eastAsia" w:ascii="Times New Roman" w:eastAsia="宋体"/>
                                                        <w:lang w:val="en-US" w:eastAsia="zh-CN"/>
                                                      </w:rPr>
                                                      <w:t>图例：</w:t>
                                                    </w:r>
                                                  </w:p>
                                                  <w:p w14:paraId="2954868C">
                                                    <w:pPr>
                                                      <w:spacing w:line="360" w:lineRule="auto"/>
                                                      <w:rPr>
                                                        <w:rFonts w:hint="eastAsia"/>
                                                        <w:lang w:val="en-US" w:eastAsia="zh-CN"/>
                                                      </w:rPr>
                                                    </w:pPr>
                                                    <w:r>
                                                      <w:rPr>
                                                        <w:rFonts w:hint="eastAsia" w:ascii="Times New Roman" w:eastAsia="宋体"/>
                                                        <w:lang w:val="en-US" w:eastAsia="zh-CN"/>
                                                      </w:rPr>
                                                      <w:t>G：废气</w:t>
                                                    </w:r>
                                                  </w:p>
                                                  <w:p w14:paraId="1FE67794">
                                                    <w:pPr>
                                                      <w:spacing w:line="360" w:lineRule="auto"/>
                                                      <w:rPr>
                                                        <w:rFonts w:hint="eastAsia"/>
                                                        <w:lang w:val="en-US" w:eastAsia="zh-CN"/>
                                                      </w:rPr>
                                                    </w:pPr>
                                                    <w:r>
                                                      <w:rPr>
                                                        <w:rFonts w:hint="eastAsia" w:ascii="Times New Roman" w:eastAsia="宋体"/>
                                                        <w:lang w:val="en-US" w:eastAsia="zh-CN"/>
                                                      </w:rPr>
                                                      <w:t>N：噪声</w:t>
                                                    </w:r>
                                                  </w:p>
                                                  <w:p w14:paraId="2B8D2732">
                                                    <w:pPr>
                                                      <w:spacing w:line="360" w:lineRule="auto"/>
                                                      <w:rPr>
                                                        <w:rFonts w:hint="default"/>
                                                        <w:lang w:val="en-US" w:eastAsia="zh-CN"/>
                                                      </w:rPr>
                                                    </w:pPr>
                                                    <w:r>
                                                      <w:rPr>
                                                        <w:rFonts w:hint="eastAsia" w:ascii="Times New Roman" w:eastAsia="宋体"/>
                                                        <w:lang w:val="en-US" w:eastAsia="zh-CN"/>
                                                      </w:rPr>
                                                      <w:t>S：固废</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0" name="组合 51"/>
                                              <wpg:cNvGrpSpPr/>
                                              <wpg:grpSpPr>
                                                <a:xfrm rot="0">
                                                  <a:off x="10400" y="8314"/>
                                                  <a:ext cx="3980" cy="94864"/>
                                                  <a:chOff x="10384" y="1697401"/>
                                                  <a:chExt cx="3980" cy="94864"/>
                                                </a:xfrm>
                                              </wpg:grpSpPr>
                                              <wps:wsp>
                                                <wps:cNvPr id="330" name="直接箭头连接符 18"/>
                                                <wps:cNvCnPr>
                                                  <a:stCxn id="272" idx="3"/>
                                                  <a:endCxn id="22" idx="1"/>
                                                </wps:cNvCnPr>
                                                <wps:spPr>
                                                  <a:xfrm>
                                                    <a:off x="11078" y="1792265"/>
                                                    <a:ext cx="613" cy="0"/>
                                                  </a:xfrm>
                                                  <a:prstGeom prst="straightConnector1">
                                                    <a:avLst/>
                                                  </a:prstGeom>
                                                  <a:noFill/>
                                                  <a:ln w="12700" cap="flat" cmpd="sng" algn="ctr">
                                                    <a:solidFill>
                                                      <a:sysClr val="windowText" lastClr="000000"/>
                                                    </a:solidFill>
                                                    <a:prstDash val="sysDot"/>
                                                    <a:miter lim="800000"/>
                                                    <a:tailEnd type="triangle"/>
                                                  </a:ln>
                                                  <a:effectLst/>
                                                </wps:spPr>
                                                <wps:style>
                                                  <a:lnRef idx="2">
                                                    <a:schemeClr val="accent1"/>
                                                  </a:lnRef>
                                                  <a:fillRef idx="0">
                                                    <a:srgbClr val="FFFFFF"/>
                                                  </a:fillRef>
                                                  <a:effectRef idx="0">
                                                    <a:srgbClr val="FFFFFF"/>
                                                  </a:effectRef>
                                                  <a:fontRef idx="minor">
                                                    <a:schemeClr val="tx1"/>
                                                  </a:fontRef>
                                                </wps:style>
                                                <wps:bodyPr/>
                                              </wps:wsp>
                                              <wps:wsp>
                                                <wps:cNvPr id="331" name="文本框 7"/>
                                                <wps:cNvSpPr txBox="1"/>
                                                <wps:spPr>
                                                  <a:xfrm>
                                                    <a:off x="10384" y="1698022"/>
                                                    <a:ext cx="2203" cy="514"/>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8C794">
                                                      <w:pPr>
                                                        <w:jc w:val="center"/>
                                                        <w:rPr>
                                                          <w:rFonts w:hint="default" w:ascii="Times New Roman" w:hAnsi="Times New Roman" w:eastAsia="宋体" w:cs="宋体"/>
                                                          <w:lang w:val="en-US" w:eastAsia="zh-CN"/>
                                                        </w:rPr>
                                                      </w:pPr>
                                                      <w:r>
                                                        <w:rPr>
                                                          <w:rFonts w:hint="eastAsia" w:cs="宋体"/>
                                                          <w:lang w:val="en-US" w:eastAsia="zh-CN"/>
                                                        </w:rPr>
                                                        <w:t>袋式除尘+生物除臭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2" name="文本框 7"/>
                                                <wps:cNvSpPr txBox="1"/>
                                                <wps:spPr>
                                                  <a:xfrm>
                                                    <a:off x="12858" y="1697662"/>
                                                    <a:ext cx="1367" cy="829"/>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3F4C3">
                                                      <w:pPr>
                                                        <w:jc w:val="center"/>
                                                        <w:rPr>
                                                          <w:rFonts w:hint="default" w:cs="宋体"/>
                                                          <w:lang w:val="en-US" w:eastAsia="zh-CN"/>
                                                        </w:rPr>
                                                      </w:pPr>
                                                      <w:r>
                                                        <w:rPr>
                                                          <w:rFonts w:hint="eastAsia" w:cs="宋体"/>
                                                          <w:lang w:val="en-US" w:eastAsia="zh-CN"/>
                                                        </w:rPr>
                                                        <w:t>DA001</w:t>
                                                      </w:r>
                                                    </w:p>
                                                    <w:p w14:paraId="4C17143C">
                                                      <w:pPr>
                                                        <w:jc w:val="center"/>
                                                        <w:rPr>
                                                          <w:rFonts w:hint="default" w:ascii="Times New Roman" w:hAnsi="Times New Roman" w:eastAsia="宋体" w:cs="宋体"/>
                                                          <w:lang w:val="en-US" w:eastAsia="zh-CN"/>
                                                        </w:rPr>
                                                      </w:pPr>
                                                      <w:r>
                                                        <w:rPr>
                                                          <w:rFonts w:hint="eastAsia" w:cs="宋体"/>
                                                          <w:lang w:val="en-US" w:eastAsia="zh-CN"/>
                                                        </w:rPr>
                                                        <w:t>15m排气筒</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3" name="文本框 144"/>
                                                <wps:cNvSpPr txBox="1"/>
                                                <wps:spPr>
                                                  <a:xfrm>
                                                    <a:off x="12063" y="1697401"/>
                                                    <a:ext cx="2301" cy="4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CE19CA">
                                                      <w:pPr>
                                                        <w:jc w:val="both"/>
                                                        <w:rPr>
                                                          <w:rFonts w:hint="default" w:ascii="Times New Roman" w:hAnsi="Times New Roman" w:eastAsia="宋体" w:cs="宋体"/>
                                                          <w:lang w:val="en-US" w:eastAsia="zh-CN"/>
                                                        </w:rPr>
                                                      </w:pPr>
                                                      <w:r>
                                                        <w:rPr>
                                                          <w:rFonts w:hint="eastAsia" w:cs="宋体"/>
                                                          <w:lang w:val="en-US" w:eastAsia="zh-CN"/>
                                                        </w:rPr>
                                                        <w:t>N11、S2、S3、S8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4" name="直接箭头连接符 147"/>
                                                <wps:cNvCnPr/>
                                                <wps:spPr>
                                                  <a:xfrm flipV="1">
                                                    <a:off x="11735" y="1697819"/>
                                                    <a:ext cx="403" cy="205"/>
                                                  </a:xfrm>
                                                  <a:prstGeom prst="straightConnector1">
                                                    <a:avLst/>
                                                  </a:prstGeom>
                                                  <a:noFill/>
                                                  <a:ln w="12700" cap="flat" cmpd="sng" algn="ctr">
                                                    <a:solidFill>
                                                      <a:sysClr val="windowText" lastClr="000000"/>
                                                    </a:solidFill>
                                                    <a:prstDash val="sysDot"/>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g:grpSp>
                                        </wpg:grpSp>
                                        <wps:wsp>
                                          <wps:cNvPr id="335" name="文本框 22"/>
                                          <wps:cNvSpPr txBox="1"/>
                                          <wps:spPr>
                                            <a:xfrm>
                                              <a:off x="7144" y="10027"/>
                                              <a:ext cx="779" cy="514"/>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7EE04">
                                                <w:pPr>
                                                  <w:jc w:val="center"/>
                                                  <w:rPr>
                                                    <w:rFonts w:hint="default" w:ascii="Times New Roman" w:hAnsi="Times New Roman" w:eastAsia="宋体" w:cs="宋体"/>
                                                    <w:lang w:val="en-US" w:eastAsia="zh-CN"/>
                                                  </w:rPr>
                                                </w:pPr>
                                                <w:r>
                                                  <w:rPr>
                                                    <w:rFonts w:hint="eastAsia" w:cs="宋体"/>
                                                    <w:lang w:val="en-US" w:eastAsia="zh-CN"/>
                                                  </w:rPr>
                                                  <w:t>菌剂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6" name="直接箭头连接符 24"/>
                                          <wps:cNvCnPr/>
                                          <wps:spPr>
                                            <a:xfrm flipV="1">
                                              <a:off x="12528" y="9165"/>
                                              <a:ext cx="526" cy="12"/>
                                            </a:xfrm>
                                            <a:prstGeom prst="straightConnector1">
                                              <a:avLst/>
                                            </a:prstGeom>
                                            <a:noFill/>
                                            <a:ln w="6350" cap="flat" cmpd="sng" algn="ctr">
                                              <a:solidFill>
                                                <a:sysClr val="windowText" lastClr="000000"/>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188" name="直接箭头连接符 146"/>
                                          <wps:cNvCnPr/>
                                          <wps:spPr>
                                            <a:xfrm flipH="1">
                                              <a:off x="9024" y="10559"/>
                                              <a:ext cx="19" cy="593"/>
                                            </a:xfrm>
                                            <a:prstGeom prst="straightConnector1">
                                              <a:avLst/>
                                            </a:prstGeom>
                                            <a:noFill/>
                                            <a:ln w="6350" cap="flat" cmpd="sng" algn="ctr">
                                              <a:solidFill>
                                                <a:sysClr val="windowText" lastClr="000000"/>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g:grpSp>
                                  </wpg:grpSp>
                                </wpg:grpSp>
                              </wpg:grpSp>
                            </wpg:grpSp>
                            <wps:wsp>
                              <wps:cNvPr id="189" name="直接箭头连接符 24"/>
                              <wps:cNvCnPr/>
                              <wps:spPr>
                                <a:xfrm flipV="1">
                                  <a:off x="7893" y="10260"/>
                                  <a:ext cx="526" cy="12"/>
                                </a:xfrm>
                                <a:prstGeom prst="straightConnector1">
                                  <a:avLst/>
                                </a:prstGeom>
                                <a:noFill/>
                                <a:ln w="6350" cap="flat" cmpd="sng" algn="ctr">
                                  <a:solidFill>
                                    <a:sysClr val="windowText" lastClr="000000"/>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s:wsp>
                            <wps:cNvPr id="6" name="文本框 22"/>
                            <wps:cNvSpPr txBox="1"/>
                            <wps:spPr>
                              <a:xfrm>
                                <a:off x="5674" y="1630149"/>
                                <a:ext cx="1739" cy="48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72736">
                                  <w:pPr>
                                    <w:jc w:val="center"/>
                                    <w:rPr>
                                      <w:rFonts w:hint="default" w:ascii="Times New Roman" w:hAnsi="Times New Roman" w:eastAsia="宋体" w:cs="宋体"/>
                                      <w:lang w:val="en-US" w:eastAsia="zh-CN"/>
                                    </w:rPr>
                                  </w:pPr>
                                  <w:r>
                                    <w:rPr>
                                      <w:rFonts w:hint="eastAsia" w:cs="宋体"/>
                                      <w:lang w:val="en-US" w:eastAsia="zh-CN"/>
                                    </w:rPr>
                                    <w:t>少量不合格品</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48" name="组合 94"/>
                          <wpg:cNvGrpSpPr/>
                          <wpg:grpSpPr>
                            <a:xfrm>
                              <a:off x="6314" y="1725782"/>
                              <a:ext cx="2766" cy="1107"/>
                              <a:chOff x="6599" y="1726022"/>
                              <a:chExt cx="2766" cy="1107"/>
                            </a:xfrm>
                          </wpg:grpSpPr>
                          <wps:wsp>
                            <wps:cNvPr id="90" name="文本框 159"/>
                            <wps:cNvSpPr txBox="1"/>
                            <wps:spPr>
                              <a:xfrm>
                                <a:off x="6599" y="1726615"/>
                                <a:ext cx="1367" cy="514"/>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2AE8F6">
                                  <w:pPr>
                                    <w:jc w:val="center"/>
                                    <w:rPr>
                                      <w:rFonts w:hint="default"/>
                                      <w:lang w:val="en-US" w:eastAsia="zh-CN"/>
                                    </w:rPr>
                                  </w:pPr>
                                  <w:r>
                                    <w:rPr>
                                      <w:rFonts w:hint="eastAsia" w:cs="宋体"/>
                                      <w:lang w:val="en-US" w:eastAsia="zh-CN"/>
                                    </w:rPr>
                                    <w:t>混料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1" name="文本框 165"/>
                            <wps:cNvSpPr txBox="1"/>
                            <wps:spPr>
                              <a:xfrm>
                                <a:off x="7723" y="1726100"/>
                                <a:ext cx="1642" cy="431"/>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5DF04">
                                  <w:pPr>
                                    <w:jc w:val="both"/>
                                    <w:rPr>
                                      <w:rFonts w:hint="default" w:ascii="Times New Roman" w:hAnsi="Times New Roman" w:eastAsia="宋体" w:cs="宋体"/>
                                      <w:lang w:val="en-US" w:eastAsia="zh-CN"/>
                                    </w:rPr>
                                  </w:pPr>
                                  <w:r>
                                    <w:rPr>
                                      <w:rFonts w:hint="eastAsia" w:ascii="Times New Roman" w:hAnsi="Times New Roman" w:eastAsia="宋体" w:cs="宋体"/>
                                      <w:lang w:val="en-US" w:eastAsia="zh-CN"/>
                                    </w:rPr>
                                    <w:t>G</w:t>
                                  </w:r>
                                  <w:r>
                                    <w:rPr>
                                      <w:rFonts w:hint="eastAsia" w:cs="宋体"/>
                                      <w:lang w:val="en-US" w:eastAsia="zh-CN"/>
                                    </w:rPr>
                                    <w:t>8</w:t>
                                  </w:r>
                                  <w:r>
                                    <w:rPr>
                                      <w:rFonts w:hint="eastAsia" w:ascii="Times New Roman" w:hAnsi="Times New Roman" w:eastAsia="宋体" w:cs="宋体"/>
                                      <w:lang w:val="en-US" w:eastAsia="zh-CN"/>
                                    </w:rPr>
                                    <w:t>、N</w:t>
                                  </w:r>
                                  <w:r>
                                    <w:rPr>
                                      <w:rFonts w:hint="eastAsia" w:cs="宋体"/>
                                      <w:lang w:val="en-US" w:eastAsia="zh-CN"/>
                                    </w:rPr>
                                    <w:t>10、S1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直接箭头连接符 153"/>
                            <wps:cNvCnPr/>
                            <wps:spPr>
                              <a:xfrm flipV="1">
                                <a:off x="7348" y="1726332"/>
                                <a:ext cx="403" cy="205"/>
                              </a:xfrm>
                              <a:prstGeom prst="straightConnector1">
                                <a:avLst/>
                              </a:prstGeom>
                              <a:noFill/>
                              <a:ln w="12700" cap="flat" cmpd="sng" algn="ctr">
                                <a:solidFill>
                                  <a:sysClr val="windowText" lastClr="000000"/>
                                </a:solidFill>
                                <a:prstDash val="sysDot"/>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93" name="直接箭头连接符 146"/>
                            <wps:cNvCnPr/>
                            <wps:spPr>
                              <a:xfrm flipH="1">
                                <a:off x="7261" y="1726022"/>
                                <a:ext cx="19" cy="593"/>
                              </a:xfrm>
                              <a:prstGeom prst="straightConnector1">
                                <a:avLst/>
                              </a:prstGeom>
                              <a:noFill/>
                              <a:ln w="6350" cap="flat" cmpd="sng" algn="ctr">
                                <a:solidFill>
                                  <a:sysClr val="windowText" lastClr="000000"/>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g:grpSp>
                      </wpg:grpSp>
                      <wps:wsp>
                        <wps:cNvPr id="96" name="肘形连接符 96"/>
                        <wps:cNvCnPr>
                          <a:stCxn id="198" idx="3"/>
                          <a:endCxn id="331" idx="2"/>
                        </wps:cNvCnPr>
                        <wps:spPr>
                          <a:xfrm flipV="1">
                            <a:off x="7666" y="1740095"/>
                            <a:ext cx="1773" cy="1960"/>
                          </a:xfrm>
                          <a:prstGeom prst="bentConnector2">
                            <a:avLst/>
                          </a:prstGeom>
                          <a:noFill/>
                          <a:ln w="12700" cap="flat" cmpd="sng" algn="ctr">
                            <a:solidFill>
                              <a:sysClr val="windowText" lastClr="000000"/>
                            </a:solidFill>
                            <a:prstDash val="sysDot"/>
                            <a:miter lim="800000"/>
                            <a:tailEnd type="triangle"/>
                          </a:ln>
                          <a:effectLst/>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32.05pt;margin-top:14.3pt;height:4762.25pt;width:361.8pt;z-index:251663360;mso-width-relative:page;mso-height-relative:page;" coordorigin="5081,1738579" coordsize="7236,95245" o:gfxdata="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">
                <o:lock v:ext="edit" aspectratio="f"/>
                <v:group id="组合 95" o:spid="_x0000_s1026" o:spt="203" style="position:absolute;left:5081;top:1738579;height:95245;width:7236;" coordorigin="5081,1724266" coordsize="7236,95245"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group id="组合 7" o:spid="_x0000_s1026" o:spt="203" style="position:absolute;left:5081;top:1724266;height:95245;width:7236;" coordorigin="5524,1628596" coordsize="7236,95245"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group id="组合 309" o:spid="_x0000_s1026" o:spt="203" style="position:absolute;left:5524;top:1628596;height:95245;width:7236;" coordorigin="7144,7933" coordsize="7236,95245"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group id="组合 14" o:spid="_x0000_s1026" o:spt="203" style="position:absolute;left:7144;top:7933;height:95245;width:7236;" coordorigin="7144,7933" coordsize="7236,95245"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文本框 159" o:spid="_x0000_s1026" o:spt="202" type="#_x0000_t202" style="position:absolute;left:8362;top:11152;height:514;width:1367;" fillcolor="#FFFFFF" filled="t" stroked="t" coordsize="21600,21600" o:gfxdata="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iPt7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5E1718FC">
                                <w:pPr>
                                  <w:jc w:val="center"/>
                                  <w:rPr>
                                    <w:rFonts w:hint="default" w:ascii="Times New Roman" w:hAnsi="Times New Roman" w:eastAsia="宋体" w:cs="宋体"/>
                                    <w:lang w:val="en-US" w:eastAsia="zh-CN"/>
                                  </w:rPr>
                                </w:pPr>
                                <w:r>
                                  <w:rPr>
                                    <w:rFonts w:hint="eastAsia" w:cs="宋体"/>
                                    <w:lang w:val="en-US" w:eastAsia="zh-CN"/>
                                  </w:rPr>
                                  <w:t>发酵</w:t>
                                </w:r>
                              </w:p>
                            </w:txbxContent>
                          </v:textbox>
                        </v:shape>
                        <v:shape id="文本框 161" o:spid="_x0000_s1026" o:spt="202" type="#_x0000_t202" style="position:absolute;left:8339;top:12039;height:514;width:1368;" fillcolor="#FFFFFF" filled="t" stroked="t" coordsize="21600,21600" o:gfxdata="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mUKiy2AAAA3A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629D4AD6">
                                <w:pPr>
                                  <w:jc w:val="center"/>
                                  <w:rPr>
                                    <w:rFonts w:hint="default" w:ascii="Times New Roman" w:hAnsi="Times New Roman" w:eastAsia="宋体" w:cs="宋体"/>
                                    <w:lang w:val="en-US" w:eastAsia="zh-CN"/>
                                  </w:rPr>
                                </w:pPr>
                                <w:r>
                                  <w:rPr>
                                    <w:rFonts w:hint="eastAsia" w:cs="宋体"/>
                                    <w:lang w:val="en-US" w:eastAsia="zh-CN"/>
                                  </w:rPr>
                                  <w:t>翻抛</w:t>
                                </w:r>
                              </w:p>
                            </w:txbxContent>
                          </v:textbox>
                        </v:shape>
                        <v:group id="组合 13" o:spid="_x0000_s1026" o:spt="203" style="position:absolute;left:7144;top:7933;height:95245;width:7236;" coordorigin="7144,7933" coordsize="7236,95245"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直接箭头连接符 154" o:spid="_x0000_s1026" o:spt="32" type="#_x0000_t32" style="position:absolute;left:9024;top:11867;flip:y;height:204;width:403;" filled="f" stroked="t" coordsize="21600,21600" o:gfxdata="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XEG0L4A&#10;AADcAAAADwAAAAAAAAABACAAAAAiAAAAZHJzL2Rvd25yZXYueG1sUEsBAhQAFAAAAAgAh07iQDMv&#10;BZ47AAAAOQAAABAAAAAAAAAAAQAgAAAADQEAAGRycy9zaGFwZXhtbC54bWxQSwUGAAAAAAYABgBb&#10;AQAAtwMAAAAA&#10;">
                            <v:fill on="f" focussize="0,0"/>
                            <v:stroke weight="1pt" color="#000000 [3204]" miterlimit="8" joinstyle="miter" dashstyle="1 1" endarrow="block"/>
                            <v:imagedata o:title=""/>
                            <o:lock v:ext="edit" aspectratio="f"/>
                          </v:shape>
                          <v:group id="组合 12" o:spid="_x0000_s1026" o:spt="203" style="position:absolute;left:7144;top:7933;height:95245;width:7236;" coordorigin="7144,7933" coordsize="7236,95245"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文本框 14" o:spid="_x0000_s1026" o:spt="202" type="#_x0000_t202" style="position:absolute;left:9400;top:11620;height:418;width:1554;" filled="f" stroked="f" coordsize="21600,21600" o:gfxdata="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KUR2/&#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EC11B8E">
                                    <w:pPr>
                                      <w:jc w:val="both"/>
                                      <w:rPr>
                                        <w:rFonts w:hint="default" w:ascii="Times New Roman" w:hAnsi="Times New Roman" w:eastAsia="宋体" w:cs="宋体"/>
                                        <w:lang w:val="en-US" w:eastAsia="zh-CN"/>
                                      </w:rPr>
                                    </w:pPr>
                                    <w:r>
                                      <w:rPr>
                                        <w:rFonts w:hint="eastAsia" w:cs="宋体"/>
                                        <w:lang w:val="en-US" w:eastAsia="zh-CN"/>
                                      </w:rPr>
                                      <w:t>G8、N9</w:t>
                                    </w:r>
                                  </w:p>
                                </w:txbxContent>
                              </v:textbox>
                            </v:shape>
                            <v:shape id="文本框 165" o:spid="_x0000_s1026" o:spt="202" type="#_x0000_t202" style="position:absolute;left:9486;top:10637;height:431;width:1642;" fillcolor="#FFFFFF" filled="t" stroked="f" coordsize="21600,21600" o:gfxdata="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Wo028AAAA&#10;3A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2AE94A9D">
                                    <w:pPr>
                                      <w:jc w:val="both"/>
                                      <w:rPr>
                                        <w:rFonts w:hint="default" w:ascii="Times New Roman" w:hAnsi="Times New Roman" w:eastAsia="宋体" w:cs="宋体"/>
                                        <w:lang w:val="en-US" w:eastAsia="zh-CN"/>
                                      </w:rPr>
                                    </w:pPr>
                                    <w:r>
                                      <w:rPr>
                                        <w:rFonts w:hint="eastAsia" w:ascii="Times New Roman" w:hAnsi="Times New Roman" w:eastAsia="宋体" w:cs="宋体"/>
                                        <w:lang w:val="en-US" w:eastAsia="zh-CN"/>
                                      </w:rPr>
                                      <w:t>G</w:t>
                                    </w:r>
                                    <w:r>
                                      <w:rPr>
                                        <w:rFonts w:hint="eastAsia" w:cs="宋体"/>
                                        <w:lang w:val="en-US" w:eastAsia="zh-CN"/>
                                      </w:rPr>
                                      <w:t>9</w:t>
                                    </w:r>
                                    <w:r>
                                      <w:rPr>
                                        <w:rFonts w:hint="eastAsia" w:ascii="Times New Roman" w:hAnsi="Times New Roman" w:eastAsia="宋体" w:cs="宋体"/>
                                        <w:lang w:val="en-US" w:eastAsia="zh-CN"/>
                                      </w:rPr>
                                      <w:t>、N</w:t>
                                    </w:r>
                                    <w:r>
                                      <w:rPr>
                                        <w:rFonts w:hint="eastAsia" w:cs="宋体"/>
                                        <w:lang w:val="en-US" w:eastAsia="zh-CN"/>
                                      </w:rPr>
                                      <w:t>11</w:t>
                                    </w:r>
                                  </w:p>
                                </w:txbxContent>
                              </v:textbox>
                            </v:shape>
                            <v:group id="组合 11" o:spid="_x0000_s1026" o:spt="203" style="position:absolute;left:7144;top:7933;height:95245;width:7236;" coordorigin="7144,7933" coordsize="7236,95245"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直接箭头连接符 153" o:spid="_x0000_s1026" o:spt="32" type="#_x0000_t32" style="position:absolute;left:9111;top:10869;flip:y;height:205;width:403;" filled="f" stroked="t" coordsize="21600,21600" o:gfxdata="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wqU68AAAA&#10;3AAAAA8AAAAAAAAAAQAgAAAAIgAAAGRycy9kb3ducmV2LnhtbFBLAQIUABQAAAAIAIdO4kAzLwWe&#10;OwAAADkAAAAQAAAAAAAAAAEAIAAAAAsBAABkcnMvc2hhcGV4bWwueG1sUEsFBgAAAAAGAAYAWwEA&#10;ALUDAAAAAA==&#10;">
                                <v:fill on="f" focussize="0,0"/>
                                <v:stroke weight="1pt" color="#000000 [3204]" miterlimit="8" joinstyle="miter" dashstyle="1 1" endarrow="block"/>
                                <v:imagedata o:title=""/>
                                <o:lock v:ext="edit" aspectratio="f"/>
                              </v:shape>
                              <v:group id="组合 10" o:spid="_x0000_s1026" o:spt="203" style="position:absolute;left:7144;top:7933;height:95245;width:7236;" coordorigin="7144,7933" coordsize="7236,95245"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shape id="_x0000_s1026" o:spid="_x0000_s1026" o:spt="33" type="#_x0000_t33" style="position:absolute;left:9707;top:9449;flip:y;height:2847;width:1795;" filled="f" stroked="t" coordsize="21600,21600" o:gfxdata="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79aFvQAA&#10;ANsAAAAPAAAAAAAAAAEAIAAAACIAAABkcnMvZG93bnJldi54bWxQSwECFAAUAAAACACHTuJAMy8F&#10;njsAAAA5AAAAEAAAAAAAAAABACAAAAAMAQAAZHJzL3NoYXBleG1sLnhtbFBLBQYAAAAABgAGAFsB&#10;AAC2AwAAAAA=&#10;">
                                  <v:fill on="f" focussize="0,0"/>
                                  <v:stroke weight="1pt" color="#000000 [3204]" miterlimit="8" joinstyle="miter" dashstyle="1 1" endarrow="block"/>
                                  <v:imagedata o:title=""/>
                                  <o:lock v:ext="edit" aspectratio="f"/>
                                </v:shape>
                                <v:group id="组合 9" o:spid="_x0000_s1026" o:spt="203" style="position:absolute;left:7144;top:7933;height:95245;width:7236;" coordorigin="7144,7933" coordsize="7236,95245"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shape id="文本框 143" o:spid="_x0000_s1026" o:spt="202" type="#_x0000_t202" style="position:absolute;left:7795;top:7933;height:514;width:2655;" fillcolor="#FFFFFF" filled="t" stroked="f" coordsize="21600,21600" o:gfxdata="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0M5O8AAAA&#10;3A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63C14EA6">
                                          <w:pPr>
                                            <w:jc w:val="center"/>
                                            <w:rPr>
                                              <w:rFonts w:hint="default" w:ascii="Times New Roman" w:hAnsi="Times New Roman" w:eastAsia="宋体" w:cs="宋体"/>
                                              <w:lang w:val="en-US" w:eastAsia="zh-CN"/>
                                            </w:rPr>
                                          </w:pPr>
                                          <w:r>
                                            <w:rPr>
                                              <w:rFonts w:hint="eastAsia" w:cs="宋体"/>
                                              <w:lang w:val="en-US" w:eastAsia="zh-CN"/>
                                            </w:rPr>
                                            <w:t>牛粪</w:t>
                                          </w:r>
                                        </w:p>
                                      </w:txbxContent>
                                    </v:textbox>
                                  </v:shape>
                                  <v:shape id="文本框 144" o:spid="_x0000_s1026" o:spt="202" type="#_x0000_t202" style="position:absolute;left:9514;top:8479;height:433;width:3683;" fillcolor="#FFFFFF" filled="t" stroked="f" coordsize="21600,21600" o:gfxdata="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XavntwAAANw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305FE049">
                                          <w:pPr>
                                            <w:jc w:val="both"/>
                                            <w:rPr>
                                              <w:rFonts w:hint="default" w:ascii="Times New Roman" w:hAnsi="Times New Roman" w:eastAsia="宋体" w:cs="宋体"/>
                                              <w:lang w:val="en-US" w:eastAsia="zh-CN"/>
                                            </w:rPr>
                                          </w:pPr>
                                          <w:r>
                                            <w:rPr>
                                              <w:rFonts w:hint="eastAsia" w:ascii="Times New Roman" w:hAnsi="Times New Roman" w:eastAsia="宋体" w:cs="宋体"/>
                                              <w:lang w:val="en-US" w:eastAsia="zh-CN"/>
                                            </w:rPr>
                                            <w:t>G</w:t>
                                          </w:r>
                                          <w:r>
                                            <w:rPr>
                                              <w:rFonts w:hint="eastAsia" w:cs="宋体"/>
                                              <w:lang w:val="en-US" w:eastAsia="zh-CN"/>
                                            </w:rPr>
                                            <w:t>6、G7、G8、N9</w:t>
                                          </w:r>
                                        </w:p>
                                      </w:txbxContent>
                                    </v:textbox>
                                  </v:shape>
                                  <v:shape id="文本框 7" o:spid="_x0000_s1026" o:spt="202" type="#_x0000_t202" style="position:absolute;left:8419;top:8935;height:514;width:1368;" fillcolor="#FFFFFF" filled="t" stroked="t" coordsize="21600,21600" o:gfxdata="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vQg+8AAAA&#10;3A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45DBA3E0">
                                          <w:pPr>
                                            <w:jc w:val="center"/>
                                            <w:rPr>
                                              <w:rFonts w:hint="default" w:ascii="Times New Roman" w:hAnsi="Times New Roman" w:eastAsia="宋体" w:cs="宋体"/>
                                              <w:lang w:val="en-US" w:eastAsia="zh-CN"/>
                                            </w:rPr>
                                          </w:pPr>
                                          <w:r>
                                            <w:rPr>
                                              <w:rFonts w:hint="eastAsia" w:cs="宋体"/>
                                              <w:lang w:val="en-US" w:eastAsia="zh-CN"/>
                                            </w:rPr>
                                            <w:t>翻抛</w:t>
                                          </w:r>
                                        </w:p>
                                      </w:txbxContent>
                                    </v:textbox>
                                  </v:shape>
                                  <v:shape id="直接箭头连接符 146" o:spid="_x0000_s1026" o:spt="32" type="#_x0000_t32" style="position:absolute;left:9108;top:8519;height:428;width:6;" filled="f" stroked="t" coordsize="21600,21600" o:gfxdata="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VHLr4A&#10;AADcAAAADwAAAAAAAAABACAAAAAiAAAAZHJzL2Rvd25yZXYueG1sUEsBAhQAFAAAAAgAh07iQDMv&#10;BZ47AAAAOQAAABAAAAAAAAAAAQAgAAAADQEAAGRycy9zaGFwZXhtbC54bWxQSwUGAAAAAAYABgBb&#10;AQAAtwMAAAAA&#10;">
                                    <v:fill on="f" focussize="0,0"/>
                                    <v:stroke weight="0.5pt" color="#000000 [3204]" miterlimit="8" joinstyle="miter" endarrow="block"/>
                                    <v:imagedata o:title=""/>
                                    <o:lock v:ext="edit" aspectratio="f"/>
                                  </v:shape>
                                  <v:shape id="直接箭头连接符 147" o:spid="_x0000_s1026" o:spt="32" type="#_x0000_t32" style="position:absolute;left:9171;top:8702;flip:y;height:205;width:403;" filled="f" stroked="t" coordsize="21600,21600" o:gfxdata="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7jxgr4A&#10;AADcAAAADwAAAAAAAAABACAAAAAiAAAAZHJzL2Rvd25yZXYueG1sUEsBAhQAFAAAAAgAh07iQDMv&#10;BZ47AAAAOQAAABAAAAAAAAAAAQAgAAAADQEAAGRycy9zaGFwZXhtbC54bWxQSwUGAAAAAAYABgBb&#10;AQAAtwMAAAAA&#10;">
                                    <v:fill on="f" focussize="0,0"/>
                                    <v:stroke weight="1pt" color="#000000 [3204]" miterlimit="8" joinstyle="miter" dashstyle="1 1" endarrow="block"/>
                                    <v:imagedata o:title=""/>
                                    <o:lock v:ext="edit" aspectratio="f"/>
                                  </v:shape>
                                  <v:group id="组合 7" o:spid="_x0000_s1026" o:spt="203" style="position:absolute;left:8359;top:8314;height:94864;width:6021;" coordorigin="8359,8314" coordsize="6021,94864"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直接箭头连接符 11" o:spid="_x0000_s1026" o:spt="32" type="#_x0000_t32" style="position:absolute;left:8991;top:11654;height:428;width:6;" filled="f" stroked="t" coordsize="21600,21600" o:gfxdata="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uAbTr4A&#10;AADcAAAADwAAAAAAAAABACAAAAAiAAAAZHJzL2Rvd25yZXYueG1sUEsBAhQAFAAAAAgAh07iQDMv&#10;BZ47AAAAOQAAABAAAAAAAAAAAQAgAAAADQEAAGRycy9zaGFwZXhtbC54bWxQSwUGAAAAAAYABgBb&#10;AQAAtwMAAAAA&#10;">
                                      <v:fill on="f" focussize="0,0"/>
                                      <v:stroke weight="0.5pt" color="#000000 [3204]" miterlimit="8" joinstyle="miter" endarrow="block"/>
                                      <v:imagedata o:title=""/>
                                      <o:lock v:ext="edit" aspectratio="f"/>
                                    </v:shape>
                                    <v:group id="组合 6" o:spid="_x0000_s1026" o:spt="203" style="position:absolute;left:8359;top:8314;height:94864;width:6021;" coordorigin="8359,8314" coordsize="6021,94864"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group id="组合 55" o:spid="_x0000_s1026" o:spt="203" style="position:absolute;left:8359;top:12569;height:917;width:1406;" coordorigin="9303,485191" coordsize="1406,917"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shape id="文本框 7" o:spid="_x0000_s1026" o:spt="202" type="#_x0000_t202" style="position:absolute;left:9303;top:485595;height:513;width:1406;" fillcolor="#FFFFFF" filled="t" stroked="t" coordsize="21600,21600" o:gfxdata="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XZbi8AAAA&#10;3A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5C51FCF8">
                                                <w:pPr>
                                                  <w:jc w:val="center"/>
                                                  <w:rPr>
                                                    <w:rFonts w:hint="default" w:ascii="Times New Roman" w:hAnsi="Times New Roman" w:eastAsia="宋体" w:cs="宋体"/>
                                                    <w:lang w:val="en-US" w:eastAsia="zh-CN"/>
                                                  </w:rPr>
                                                </w:pPr>
                                                <w:r>
                                                  <w:rPr>
                                                    <w:rFonts w:hint="eastAsia" w:cs="宋体"/>
                                                    <w:lang w:val="en-US" w:eastAsia="zh-CN"/>
                                                  </w:rPr>
                                                  <w:t>成品</w:t>
                                                </w:r>
                                              </w:p>
                                            </w:txbxContent>
                                          </v:textbox>
                                        </v:shape>
                                        <v:shape id="直接箭头连接符 53" o:spid="_x0000_s1026" o:spt="32" type="#_x0000_t32" style="position:absolute;left:9965;top:485191;height:428;width:6;" filled="f" stroked="t" coordsize="21600,21600" o:gfxdata="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diCDr4A&#10;AADcAAAADwAAAAAAAAABACAAAAAiAAAAZHJzL2Rvd25yZXYueG1sUEsBAhQAFAAAAAgAh07iQDMv&#10;BZ47AAAAOQAAABAAAAAAAAAAAQAgAAAADQEAAGRycy9zaGFwZXhtbC54bWxQSwUGAAAAAAYABgBb&#10;AQAAtwMAAAAA&#10;">
                                          <v:fill on="f" focussize="0,0"/>
                                          <v:stroke weight="0.5pt" color="#000000 [3204]" miterlimit="8" joinstyle="miter" endarrow="block"/>
                                          <v:imagedata o:title=""/>
                                          <o:lock v:ext="edit" aspectratio="f"/>
                                        </v:shape>
                                      </v:group>
                                      <v:shape id="文本框 46" o:spid="_x0000_s1026" o:spt="202" type="#_x0000_t202" style="position:absolute;left:12462;top:10493;height:1896;width:1732;" fillcolor="#FFFFFF" filled="t" stroked="f" coordsize="21600,21600" o:gfxdata="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bJA7rsAAADc&#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04CC0C6A">
                                              <w:pPr>
                                                <w:spacing w:line="360" w:lineRule="auto"/>
                                                <w:rPr>
                                                  <w:rFonts w:hint="eastAsia"/>
                                                  <w:lang w:val="en-US" w:eastAsia="zh-CN"/>
                                                </w:rPr>
                                              </w:pPr>
                                              <w:r>
                                                <w:rPr>
                                                  <w:rFonts w:hint="eastAsia" w:ascii="Times New Roman" w:eastAsia="宋体"/>
                                                  <w:lang w:val="en-US" w:eastAsia="zh-CN"/>
                                                </w:rPr>
                                                <w:t>图例：</w:t>
                                              </w:r>
                                            </w:p>
                                            <w:p w14:paraId="2954868C">
                                              <w:pPr>
                                                <w:spacing w:line="360" w:lineRule="auto"/>
                                                <w:rPr>
                                                  <w:rFonts w:hint="eastAsia"/>
                                                  <w:lang w:val="en-US" w:eastAsia="zh-CN"/>
                                                </w:rPr>
                                              </w:pPr>
                                              <w:r>
                                                <w:rPr>
                                                  <w:rFonts w:hint="eastAsia" w:ascii="Times New Roman" w:eastAsia="宋体"/>
                                                  <w:lang w:val="en-US" w:eastAsia="zh-CN"/>
                                                </w:rPr>
                                                <w:t>G：废气</w:t>
                                              </w:r>
                                            </w:p>
                                            <w:p w14:paraId="1FE67794">
                                              <w:pPr>
                                                <w:spacing w:line="360" w:lineRule="auto"/>
                                                <w:rPr>
                                                  <w:rFonts w:hint="eastAsia"/>
                                                  <w:lang w:val="en-US" w:eastAsia="zh-CN"/>
                                                </w:rPr>
                                              </w:pPr>
                                              <w:r>
                                                <w:rPr>
                                                  <w:rFonts w:hint="eastAsia" w:ascii="Times New Roman" w:eastAsia="宋体"/>
                                                  <w:lang w:val="en-US" w:eastAsia="zh-CN"/>
                                                </w:rPr>
                                                <w:t>N：噪声</w:t>
                                              </w:r>
                                            </w:p>
                                            <w:p w14:paraId="2B8D2732">
                                              <w:pPr>
                                                <w:spacing w:line="360" w:lineRule="auto"/>
                                                <w:rPr>
                                                  <w:rFonts w:hint="default"/>
                                                  <w:lang w:val="en-US" w:eastAsia="zh-CN"/>
                                                </w:rPr>
                                              </w:pPr>
                                              <w:r>
                                                <w:rPr>
                                                  <w:rFonts w:hint="eastAsia" w:ascii="Times New Roman" w:eastAsia="宋体"/>
                                                  <w:lang w:val="en-US" w:eastAsia="zh-CN"/>
                                                </w:rPr>
                                                <w:t>S：固废</w:t>
                                              </w:r>
                                            </w:p>
                                          </w:txbxContent>
                                        </v:textbox>
                                      </v:shape>
                                      <v:group id="组合 51" o:spid="_x0000_s1026" o:spt="203" style="position:absolute;left:10400;top:8314;height:94864;width:3980;" coordorigin="10384,1697401" coordsize="3980,94864"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直接箭头连接符 18" o:spid="_x0000_s1026" o:spt="32" type="#_x0000_t32" style="position:absolute;left:11078;top:1792265;height:0;width:613;" filled="f" stroked="t" coordsize="21600,21600" o:gfxdata="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nCiOvQAA&#10;ANwAAAAPAAAAAAAAAAEAIAAAACIAAABkcnMvZG93bnJldi54bWxQSwECFAAUAAAACACHTuJAMy8F&#10;njsAAAA5AAAAEAAAAAAAAAABACAAAAAMAQAAZHJzL3NoYXBleG1sLnhtbFBLBQYAAAAABgAGAFsB&#10;AAC2AwAAAAA=&#10;">
                                          <v:fill on="f" focussize="0,0"/>
                                          <v:stroke weight="1pt" color="#000000 [3204]" miterlimit="8" joinstyle="miter" dashstyle="1 1" endarrow="block"/>
                                          <v:imagedata o:title=""/>
                                          <o:lock v:ext="edit" aspectratio="f"/>
                                        </v:shape>
                                        <v:shape id="文本框 7" o:spid="_x0000_s1026" o:spt="202" type="#_x0000_t202" style="position:absolute;left:10384;top:1698022;height:514;width:2203;" fillcolor="#FFFFFF" filled="t" stroked="f" coordsize="21600,21600" o:gfxdata="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W4K8AAAA&#10;3A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6408C794">
                                                <w:pPr>
                                                  <w:jc w:val="center"/>
                                                  <w:rPr>
                                                    <w:rFonts w:hint="default" w:ascii="Times New Roman" w:hAnsi="Times New Roman" w:eastAsia="宋体" w:cs="宋体"/>
                                                    <w:lang w:val="en-US" w:eastAsia="zh-CN"/>
                                                  </w:rPr>
                                                </w:pPr>
                                                <w:r>
                                                  <w:rPr>
                                                    <w:rFonts w:hint="eastAsia" w:cs="宋体"/>
                                                    <w:lang w:val="en-US" w:eastAsia="zh-CN"/>
                                                  </w:rPr>
                                                  <w:t>袋式除尘+生物除臭</w:t>
                                                </w:r>
                                              </w:p>
                                            </w:txbxContent>
                                          </v:textbox>
                                        </v:shape>
                                        <v:shape id="文本框 7" o:spid="_x0000_s1026" o:spt="202" type="#_x0000_t202" style="position:absolute;left:12858;top:1697662;height:829;width:1367;" fillcolor="#FFFFFF" filled="t" stroked="f" coordsize="21600,21600" o:gfxdata="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usxfW5AAAA3A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7443F4C3">
                                                <w:pPr>
                                                  <w:jc w:val="center"/>
                                                  <w:rPr>
                                                    <w:rFonts w:hint="default" w:cs="宋体"/>
                                                    <w:lang w:val="en-US" w:eastAsia="zh-CN"/>
                                                  </w:rPr>
                                                </w:pPr>
                                                <w:r>
                                                  <w:rPr>
                                                    <w:rFonts w:hint="eastAsia" w:cs="宋体"/>
                                                    <w:lang w:val="en-US" w:eastAsia="zh-CN"/>
                                                  </w:rPr>
                                                  <w:t>DA001</w:t>
                                                </w:r>
                                              </w:p>
                                              <w:p w14:paraId="4C17143C">
                                                <w:pPr>
                                                  <w:jc w:val="center"/>
                                                  <w:rPr>
                                                    <w:rFonts w:hint="default" w:ascii="Times New Roman" w:hAnsi="Times New Roman" w:eastAsia="宋体" w:cs="宋体"/>
                                                    <w:lang w:val="en-US" w:eastAsia="zh-CN"/>
                                                  </w:rPr>
                                                </w:pPr>
                                                <w:r>
                                                  <w:rPr>
                                                    <w:rFonts w:hint="eastAsia" w:cs="宋体"/>
                                                    <w:lang w:val="en-US" w:eastAsia="zh-CN"/>
                                                  </w:rPr>
                                                  <w:t>15m排气筒</w:t>
                                                </w:r>
                                              </w:p>
                                            </w:txbxContent>
                                          </v:textbox>
                                        </v:shape>
                                        <v:shape id="文本框 144" o:spid="_x0000_s1026" o:spt="202" type="#_x0000_t202" style="position:absolute;left:12063;top:1697401;height:434;width:2301;" filled="f" stroked="f" coordsize="21600,21600" o:gfxdata="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wN6W/&#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ACE19CA">
                                                <w:pPr>
                                                  <w:jc w:val="both"/>
                                                  <w:rPr>
                                                    <w:rFonts w:hint="default" w:ascii="Times New Roman" w:hAnsi="Times New Roman" w:eastAsia="宋体" w:cs="宋体"/>
                                                    <w:lang w:val="en-US" w:eastAsia="zh-CN"/>
                                                  </w:rPr>
                                                </w:pPr>
                                                <w:r>
                                                  <w:rPr>
                                                    <w:rFonts w:hint="eastAsia" w:cs="宋体"/>
                                                    <w:lang w:val="en-US" w:eastAsia="zh-CN"/>
                                                  </w:rPr>
                                                  <w:t>N11、S2、S3、S8</w:t>
                                                </w:r>
                                              </w:p>
                                            </w:txbxContent>
                                          </v:textbox>
                                        </v:shape>
                                        <v:shape id="直接箭头连接符 147" o:spid="_x0000_s1026" o:spt="32" type="#_x0000_t32" style="position:absolute;left:11735;top:1697819;flip:y;height:205;width:403;" filled="f" stroked="t" coordsize="21600,21600" o:gfxdata="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fzD8L4A&#10;AADcAAAADwAAAAAAAAABACAAAAAiAAAAZHJzL2Rvd25yZXYueG1sUEsBAhQAFAAAAAgAh07iQDMv&#10;BZ47AAAAOQAAABAAAAAAAAAAAQAgAAAADQEAAGRycy9zaGFwZXhtbC54bWxQSwUGAAAAAAYABgBb&#10;AQAAtwMAAAAA&#10;">
                                          <v:fill on="f" focussize="0,0"/>
                                          <v:stroke weight="1pt" color="#000000 [3204]" miterlimit="8" joinstyle="miter" dashstyle="1 1" endarrow="block"/>
                                          <v:imagedata o:title=""/>
                                          <o:lock v:ext="edit" aspectratio="f"/>
                                        </v:shape>
                                      </v:group>
                                    </v:group>
                                  </v:group>
                                  <v:shape id="文本框 22" o:spid="_x0000_s1026" o:spt="202" type="#_x0000_t202" style="position:absolute;left:7144;top:10027;height:514;width:779;" fillcolor="#FFFFFF" filled="t" stroked="f" coordsize="21600,21600" o:gfxdata="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RV2BugAAANwA&#10;AAAPAAAAAAAAAAEAIAAAACIAAABkcnMvZG93bnJldi54bWxQSwECFAAUAAAACACHTuJAMy8FnjsA&#10;AAA5AAAAEAAAAAAAAAABACAAAAAJAQAAZHJzL3NoYXBleG1sLnhtbFBLBQYAAAAABgAGAFsBAACz&#10;AwAAAAA=&#10;">
                                    <v:fill on="t" focussize="0,0"/>
                                    <v:stroke on="f" weight="0.5pt"/>
                                    <v:imagedata o:title=""/>
                                    <o:lock v:ext="edit" aspectratio="f"/>
                                    <v:textbox>
                                      <w:txbxContent>
                                        <w:p w14:paraId="1A67EE04">
                                          <w:pPr>
                                            <w:jc w:val="center"/>
                                            <w:rPr>
                                              <w:rFonts w:hint="default" w:ascii="Times New Roman" w:hAnsi="Times New Roman" w:eastAsia="宋体" w:cs="宋体"/>
                                              <w:lang w:val="en-US" w:eastAsia="zh-CN"/>
                                            </w:rPr>
                                          </w:pPr>
                                          <w:r>
                                            <w:rPr>
                                              <w:rFonts w:hint="eastAsia" w:cs="宋体"/>
                                              <w:lang w:val="en-US" w:eastAsia="zh-CN"/>
                                            </w:rPr>
                                            <w:t>菌剂</w:t>
                                          </w:r>
                                        </w:p>
                                      </w:txbxContent>
                                    </v:textbox>
                                  </v:shape>
                                  <v:shape id="直接箭头连接符 24" o:spid="_x0000_s1026" o:spt="32" type="#_x0000_t32" style="position:absolute;left:12528;top:9165;flip:y;height:12;width:526;" filled="f" stroked="t" coordsize="21600,21600" o:gfxdata="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9Kbu/&#10;AAAA3AAAAA8AAAAAAAAAAQAgAAAAIgAAAGRycy9kb3ducmV2LnhtbFBLAQIUABQAAAAIAIdO4kAz&#10;LwWeOwAAADkAAAAQAAAAAAAAAAEAIAAAAA4BAABkcnMvc2hhcGV4bWwueG1sUEsFBgAAAAAGAAYA&#10;WwEAALgDAAAAAA==&#10;">
                                    <v:fill on="f" focussize="0,0"/>
                                    <v:stroke weight="0.5pt" color="#000000 [3204]" miterlimit="8" joinstyle="miter" endarrow="block"/>
                                    <v:imagedata o:title=""/>
                                    <o:lock v:ext="edit" aspectratio="f"/>
                                  </v:shape>
                                  <v:shape id="直接箭头连接符 146" o:spid="_x0000_s1026" o:spt="32" type="#_x0000_t32" style="position:absolute;left:9024;top:10559;flip:x;height:593;width:19;" filled="f" stroked="t" coordsize="21600,21600" o:gfxdata="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W/VL4A&#10;AADcAAAADwAAAAAAAAABACAAAAAiAAAAZHJzL2Rvd25yZXYueG1sUEsBAhQAFAAAAAgAh07iQDMv&#10;BZ47AAAAOQAAABAAAAAAAAAAAQAgAAAADQEAAGRycy9zaGFwZXhtbC54bWxQSwUGAAAAAAYABgBb&#10;AQAAtwMAAAAA&#10;">
                                    <v:fill on="f" focussize="0,0"/>
                                    <v:stroke weight="0.5pt" color="#000000 [3204]" miterlimit="8" joinstyle="miter" endarrow="block"/>
                                    <v:imagedata o:title=""/>
                                    <o:lock v:ext="edit" aspectratio="f"/>
                                  </v:shape>
                                </v:group>
                              </v:group>
                            </v:group>
                          </v:group>
                        </v:group>
                      </v:group>
                      <v:shape id="直接箭头连接符 24" o:spid="_x0000_s1026" o:spt="32" type="#_x0000_t32" style="position:absolute;left:7893;top:10260;flip:y;height:12;width:526;" filled="f" stroked="t" coordsize="21600,21600" o:gfxdata="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tkaz7sAAADc&#10;AAAADwAAAAAAAAABACAAAAAiAAAAZHJzL2Rvd25yZXYueG1sUEsBAhQAFAAAAAgAh07iQDMvBZ47&#10;AAAAOQAAABAAAAAAAAAAAQAgAAAACgEAAGRycy9zaGFwZXhtbC54bWxQSwUGAAAAAAYABgBbAQAA&#10;tAMAAAAA&#10;">
                        <v:fill on="f" focussize="0,0"/>
                        <v:stroke weight="0.5pt" color="#000000 [3204]" miterlimit="8" joinstyle="miter" endarrow="block"/>
                        <v:imagedata o:title=""/>
                        <o:lock v:ext="edit" aspectratio="f"/>
                      </v:shape>
                    </v:group>
                    <v:shape id="文本框 22" o:spid="_x0000_s1026" o:spt="202" type="#_x0000_t202" style="position:absolute;left:5674;top:1630149;height:485;width:1739;" fillcolor="#FFFFFF" filled="t" stroked="f" coordsize="21600,21600" o:gfxdata="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t1pi7UAAADaAAAADwAA&#10;AAAAAAABACAAAAAiAAAAZHJzL2Rvd25yZXYueG1sUEsBAhQAFAAAAAgAh07iQDMvBZ47AAAAOQAA&#10;ABAAAAAAAAAAAQAgAAAABAEAAGRycy9zaGFwZXhtbC54bWxQSwUGAAAAAAYABgBbAQAArgMAAAAA&#10;">
                      <v:fill on="t" focussize="0,0"/>
                      <v:stroke on="f" weight="0.5pt"/>
                      <v:imagedata o:title=""/>
                      <o:lock v:ext="edit" aspectratio="f"/>
                      <v:textbox>
                        <w:txbxContent>
                          <w:p w14:paraId="2E672736">
                            <w:pPr>
                              <w:jc w:val="center"/>
                              <w:rPr>
                                <w:rFonts w:hint="default" w:ascii="Times New Roman" w:hAnsi="Times New Roman" w:eastAsia="宋体" w:cs="宋体"/>
                                <w:lang w:val="en-US" w:eastAsia="zh-CN"/>
                              </w:rPr>
                            </w:pPr>
                            <w:r>
                              <w:rPr>
                                <w:rFonts w:hint="eastAsia" w:cs="宋体"/>
                                <w:lang w:val="en-US" w:eastAsia="zh-CN"/>
                              </w:rPr>
                              <w:t>少量不合格品</w:t>
                            </w:r>
                          </w:p>
                        </w:txbxContent>
                      </v:textbox>
                    </v:shape>
                  </v:group>
                  <v:group id="组合 94" o:spid="_x0000_s1026" o:spt="203" style="position:absolute;left:6314;top:1725782;height:1107;width:2766;" coordorigin="6599,1726022" coordsize="2766,1107"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shape id="文本框 159" o:spid="_x0000_s1026" o:spt="202" type="#_x0000_t202" style="position:absolute;left:6599;top:1726615;height:514;width:1367;" fillcolor="#FFFFFF" filled="t" stroked="t" coordsize="21600,21600" o:gfxdata="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RJ4F8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352AE8F6">
                            <w:pPr>
                              <w:jc w:val="center"/>
                              <w:rPr>
                                <w:rFonts w:hint="default"/>
                                <w:lang w:val="en-US" w:eastAsia="zh-CN"/>
                              </w:rPr>
                            </w:pPr>
                            <w:r>
                              <w:rPr>
                                <w:rFonts w:hint="eastAsia" w:cs="宋体"/>
                                <w:lang w:val="en-US" w:eastAsia="zh-CN"/>
                              </w:rPr>
                              <w:t>混料</w:t>
                            </w:r>
                          </w:p>
                        </w:txbxContent>
                      </v:textbox>
                    </v:shape>
                    <v:shape id="文本框 165" o:spid="_x0000_s1026" o:spt="202" type="#_x0000_t202" style="position:absolute;left:7723;top:1726100;height:431;width:1642;" fillcolor="#FFFFFF" filled="t" stroked="f" coordsize="21600,21600" o:gfxdata="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S8Md7gAAADbAAAA&#10;DwAAAAAAAAABACAAAAAiAAAAZHJzL2Rvd25yZXYueG1sUEsBAhQAFAAAAAgAh07iQDMvBZ47AAAA&#10;OQAAABAAAAAAAAAAAQAgAAAABwEAAGRycy9zaGFwZXhtbC54bWxQSwUGAAAAAAYABgBbAQAAsQMA&#10;AAAA&#10;">
                      <v:fill on="t" focussize="0,0"/>
                      <v:stroke on="f" weight="0.5pt"/>
                      <v:imagedata o:title=""/>
                      <o:lock v:ext="edit" aspectratio="f"/>
                      <v:textbox>
                        <w:txbxContent>
                          <w:p w14:paraId="14A5DF04">
                            <w:pPr>
                              <w:jc w:val="both"/>
                              <w:rPr>
                                <w:rFonts w:hint="default" w:ascii="Times New Roman" w:hAnsi="Times New Roman" w:eastAsia="宋体" w:cs="宋体"/>
                                <w:lang w:val="en-US" w:eastAsia="zh-CN"/>
                              </w:rPr>
                            </w:pPr>
                            <w:r>
                              <w:rPr>
                                <w:rFonts w:hint="eastAsia" w:ascii="Times New Roman" w:hAnsi="Times New Roman" w:eastAsia="宋体" w:cs="宋体"/>
                                <w:lang w:val="en-US" w:eastAsia="zh-CN"/>
                              </w:rPr>
                              <w:t>G</w:t>
                            </w:r>
                            <w:r>
                              <w:rPr>
                                <w:rFonts w:hint="eastAsia" w:cs="宋体"/>
                                <w:lang w:val="en-US" w:eastAsia="zh-CN"/>
                              </w:rPr>
                              <w:t>8</w:t>
                            </w:r>
                            <w:r>
                              <w:rPr>
                                <w:rFonts w:hint="eastAsia" w:ascii="Times New Roman" w:hAnsi="Times New Roman" w:eastAsia="宋体" w:cs="宋体"/>
                                <w:lang w:val="en-US" w:eastAsia="zh-CN"/>
                              </w:rPr>
                              <w:t>、N</w:t>
                            </w:r>
                            <w:r>
                              <w:rPr>
                                <w:rFonts w:hint="eastAsia" w:cs="宋体"/>
                                <w:lang w:val="en-US" w:eastAsia="zh-CN"/>
                              </w:rPr>
                              <w:t>10、S1</w:t>
                            </w:r>
                          </w:p>
                        </w:txbxContent>
                      </v:textbox>
                    </v:shape>
                    <v:shape id="直接箭头连接符 153" o:spid="_x0000_s1026" o:spt="32" type="#_x0000_t32" style="position:absolute;left:7348;top:1726332;flip:y;height:205;width:403;" filled="f" stroked="t" coordsize="21600,21600" o:gfxdata="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aIO68AAAA&#10;2wAAAA8AAAAAAAAAAQAgAAAAIgAAAGRycy9kb3ducmV2LnhtbFBLAQIUABQAAAAIAIdO4kAzLwWe&#10;OwAAADkAAAAQAAAAAAAAAAEAIAAAAAsBAABkcnMvc2hhcGV4bWwueG1sUEsFBgAAAAAGAAYAWwEA&#10;ALUDAAAAAA==&#10;">
                      <v:fill on="f" focussize="0,0"/>
                      <v:stroke weight="1pt" color="#000000 [3204]" miterlimit="8" joinstyle="miter" dashstyle="1 1" endarrow="block"/>
                      <v:imagedata o:title=""/>
                      <o:lock v:ext="edit" aspectratio="f"/>
                    </v:shape>
                    <v:shape id="直接箭头连接符 146" o:spid="_x0000_s1026" o:spt="32" type="#_x0000_t32" style="position:absolute;left:7261;top:1726022;flip:x;height:593;width:19;" filled="f" stroked="t" coordsize="21600,21600" o:gfxdata="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8/MO8AAAA&#10;2wAAAA8AAAAAAAAAAQAgAAAAIgAAAGRycy9kb3ducmV2LnhtbFBLAQIUABQAAAAIAIdO4kAzLwWe&#10;OwAAADkAAAAQAAAAAAAAAAEAIAAAAAsBAABkcnMvc2hhcGV4bWwueG1sUEsFBgAAAAAGAAYAWwEA&#10;ALUDAAAAAA==&#10;">
                      <v:fill on="f" focussize="0,0"/>
                      <v:stroke weight="0.5pt" color="#000000 [3204]" miterlimit="8" joinstyle="miter" endarrow="block"/>
                      <v:imagedata o:title=""/>
                      <o:lock v:ext="edit" aspectratio="f"/>
                    </v:shape>
                  </v:group>
                </v:group>
                <v:shape id="_x0000_s1026" o:spid="_x0000_s1026" o:spt="33" type="#_x0000_t33" style="position:absolute;left:7666;top:1740095;flip:y;height:1960;width:1773;" filled="f" stroked="t" coordsize="21600,21600" o:gfxdata="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oTyaL4A&#10;AADbAAAADwAAAAAAAAABACAAAAAiAAAAZHJzL2Rvd25yZXYueG1sUEsBAhQAFAAAAAgAh07iQDMv&#10;BZ47AAAAOQAAABAAAAAAAAAAAQAgAAAADQEAAGRycy9zaGFwZXhtbC54bWxQSwUGAAAAAAYABgBb&#10;AQAAtwMAAAAA&#10;">
                  <v:fill on="f" focussize="0,0"/>
                  <v:stroke weight="1pt" color="#000000 [3204]" miterlimit="8" joinstyle="miter" dashstyle="1 1" endarrow="block"/>
                  <v:imagedata o:title=""/>
                  <o:lock v:ext="edit" aspectratio="f"/>
                </v:shape>
              </v:group>
            </w:pict>
          </mc:Fallback>
        </mc:AlternateContent>
      </w:r>
    </w:p>
    <w:p w14:paraId="0E7BFCE8">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23F77681">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5CF0D841">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7D4A593D">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1B6FB173">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171BCE7A">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2557C278">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64CC5003">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3D41B3DC">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1F90DCAB">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1712D758">
      <w:pPr>
        <w:keepNext w:val="0"/>
        <w:keepLines w:val="0"/>
        <w:pageBreakBefore w:val="0"/>
        <w:wordWrap/>
        <w:topLinePunct w:val="0"/>
        <w:bidi w:val="0"/>
        <w:adjustRightInd/>
        <w:snapToGrid/>
        <w:spacing w:line="360" w:lineRule="auto"/>
        <w:ind w:firstLine="482" w:firstLineChars="200"/>
        <w:jc w:val="center"/>
        <w:rPr>
          <w:rFonts w:hint="default" w:ascii="Times New Roman" w:hAnsi="Times New Roman" w:eastAsia="宋体" w:cs="Times New Roman"/>
          <w:b/>
          <w:bCs/>
          <w:color w:val="auto"/>
          <w:kern w:val="0"/>
          <w:sz w:val="24"/>
          <w:szCs w:val="24"/>
        </w:rPr>
      </w:pPr>
    </w:p>
    <w:p w14:paraId="13568611">
      <w:pPr>
        <w:keepNext w:val="0"/>
        <w:keepLines w:val="0"/>
        <w:pageBreakBefore w:val="0"/>
        <w:wordWrap/>
        <w:topLinePunct w:val="0"/>
        <w:bidi w:val="0"/>
        <w:adjustRightInd/>
        <w:snapToGrid/>
        <w:spacing w:line="360" w:lineRule="auto"/>
        <w:jc w:val="both"/>
        <w:rPr>
          <w:rFonts w:hint="default" w:ascii="Times New Roman" w:hAnsi="Times New Roman" w:eastAsia="宋体" w:cs="Times New Roman"/>
          <w:b/>
          <w:bCs/>
          <w:color w:val="auto"/>
          <w:kern w:val="0"/>
          <w:sz w:val="24"/>
          <w:szCs w:val="24"/>
        </w:rPr>
      </w:pPr>
    </w:p>
    <w:p w14:paraId="3385F527">
      <w:pPr>
        <w:keepNext w:val="0"/>
        <w:keepLines w:val="0"/>
        <w:pageBreakBefore w:val="0"/>
        <w:wordWrap/>
        <w:topLinePunct w:val="0"/>
        <w:bidi w:val="0"/>
        <w:adjustRightInd/>
        <w:snapToGrid/>
        <w:spacing w:line="360" w:lineRule="auto"/>
        <w:ind w:firstLine="482" w:firstLineChars="200"/>
        <w:jc w:val="center"/>
        <w:rPr>
          <w:rFonts w:hint="eastAsia" w:ascii="Times New Roman" w:hAnsi="Times New Roman" w:eastAsia="宋体" w:cs="宋体"/>
          <w:b/>
          <w:bCs/>
          <w:color w:val="auto"/>
          <w:kern w:val="0"/>
          <w:sz w:val="24"/>
          <w:szCs w:val="22"/>
          <w:lang w:val="en-US" w:eastAsia="zh-CN"/>
        </w:rPr>
      </w:pPr>
      <w:r>
        <w:rPr>
          <w:rFonts w:hint="default" w:ascii="Times New Roman" w:hAnsi="Times New Roman" w:eastAsia="宋体" w:cs="Times New Roman"/>
          <w:b/>
          <w:bCs/>
          <w:color w:val="auto"/>
          <w:kern w:val="0"/>
          <w:sz w:val="24"/>
          <w:szCs w:val="24"/>
        </w:rPr>
        <w:t>图</w:t>
      </w:r>
      <w:r>
        <w:rPr>
          <w:rFonts w:hint="default" w:ascii="Times New Roman" w:hAnsi="Times New Roman" w:eastAsia="宋体" w:cs="Times New Roman"/>
          <w:b/>
          <w:bCs/>
          <w:color w:val="auto"/>
          <w:kern w:val="0"/>
          <w:sz w:val="24"/>
          <w:szCs w:val="24"/>
          <w:lang w:val="en-US" w:eastAsia="zh-CN"/>
        </w:rPr>
        <w:t>3</w:t>
      </w:r>
      <w:r>
        <w:rPr>
          <w:rFonts w:hint="default" w:ascii="Times New Roman" w:hAnsi="Times New Roman" w:eastAsia="宋体" w:cs="Times New Roman"/>
          <w:b/>
          <w:bCs/>
          <w:color w:val="auto"/>
          <w:kern w:val="0"/>
          <w:sz w:val="24"/>
          <w:szCs w:val="24"/>
        </w:rPr>
        <w:t>.</w:t>
      </w:r>
      <w:r>
        <w:rPr>
          <w:rFonts w:hint="eastAsia" w:cs="Times New Roman"/>
          <w:b/>
          <w:bCs/>
          <w:color w:val="auto"/>
          <w:kern w:val="0"/>
          <w:sz w:val="24"/>
          <w:szCs w:val="24"/>
          <w:lang w:val="en-US" w:eastAsia="zh-CN"/>
        </w:rPr>
        <w:t>3-3</w:t>
      </w:r>
      <w:r>
        <w:rPr>
          <w:rFonts w:hint="default" w:ascii="Times New Roman" w:hAnsi="Times New Roman" w:eastAsia="宋体" w:cs="Times New Roman"/>
          <w:b/>
          <w:bCs/>
          <w:color w:val="auto"/>
          <w:kern w:val="0"/>
          <w:sz w:val="24"/>
          <w:szCs w:val="24"/>
        </w:rPr>
        <w:t>堆肥工艺流程及产污环节</w:t>
      </w:r>
    </w:p>
    <w:p w14:paraId="2E98B1E9">
      <w:pPr>
        <w:widowControl w:val="0"/>
        <w:overflowPunct w:val="0"/>
        <w:autoSpaceDE w:val="0"/>
        <w:autoSpaceDN w:val="0"/>
        <w:bidi w:val="0"/>
        <w:adjustRightInd w:val="0"/>
        <w:snapToGrid w:val="0"/>
        <w:spacing w:before="0" w:after="0" w:line="360" w:lineRule="auto"/>
        <w:ind w:left="0" w:right="0" w:firstLine="0" w:firstLineChars="0"/>
        <w:jc w:val="center"/>
        <w:rPr>
          <w:rFonts w:hint="eastAsia" w:ascii="Times New Roman" w:hAnsi="Times New Roman" w:eastAsia="宋体" w:cs="宋体"/>
          <w:b/>
          <w:bCs/>
          <w:color w:val="auto"/>
          <w:kern w:val="0"/>
          <w:sz w:val="24"/>
          <w:szCs w:val="22"/>
          <w:lang w:val="en-US" w:eastAsia="zh-CN"/>
        </w:rPr>
      </w:pPr>
      <w:r>
        <w:rPr>
          <w:rFonts w:hint="eastAsia" w:ascii="Times New Roman" w:hAnsi="Times New Roman" w:eastAsia="宋体" w:cs="宋体"/>
          <w:b/>
          <w:bCs/>
          <w:color w:val="auto"/>
          <w:kern w:val="0"/>
          <w:sz w:val="24"/>
          <w:szCs w:val="22"/>
          <w:lang w:val="en-US" w:eastAsia="zh-CN"/>
        </w:rPr>
        <w:t>表3.</w:t>
      </w:r>
      <w:r>
        <w:rPr>
          <w:rFonts w:hint="eastAsia" w:ascii="Times New Roman" w:hAnsi="Times New Roman" w:cs="宋体"/>
          <w:b/>
          <w:bCs/>
          <w:color w:val="auto"/>
          <w:kern w:val="0"/>
          <w:sz w:val="24"/>
          <w:szCs w:val="22"/>
          <w:lang w:val="en-US" w:eastAsia="zh-CN"/>
        </w:rPr>
        <w:t>3</w:t>
      </w:r>
      <w:r>
        <w:rPr>
          <w:rFonts w:hint="eastAsia" w:ascii="Times New Roman" w:hAnsi="Times New Roman" w:eastAsia="宋体" w:cs="宋体"/>
          <w:b/>
          <w:bCs/>
          <w:color w:val="auto"/>
          <w:kern w:val="0"/>
          <w:sz w:val="24"/>
          <w:szCs w:val="22"/>
          <w:lang w:val="en-US" w:eastAsia="zh-CN"/>
        </w:rPr>
        <w:t>-</w:t>
      </w:r>
      <w:r>
        <w:rPr>
          <w:rFonts w:hint="eastAsia" w:ascii="Times New Roman" w:hAnsi="Times New Roman" w:cs="宋体"/>
          <w:b/>
          <w:bCs/>
          <w:color w:val="auto"/>
          <w:kern w:val="0"/>
          <w:sz w:val="24"/>
          <w:szCs w:val="22"/>
          <w:lang w:val="en-US" w:eastAsia="zh-CN"/>
        </w:rPr>
        <w:t>2</w:t>
      </w:r>
      <w:r>
        <w:rPr>
          <w:rFonts w:hint="eastAsia" w:ascii="Times New Roman" w:hAnsi="Times New Roman" w:eastAsia="宋体" w:cs="宋体"/>
          <w:b/>
          <w:bCs/>
          <w:color w:val="auto"/>
          <w:kern w:val="0"/>
          <w:sz w:val="24"/>
          <w:szCs w:val="22"/>
          <w:lang w:val="en-US" w:eastAsia="zh-CN"/>
        </w:rPr>
        <w:t>运营期</w:t>
      </w:r>
      <w:r>
        <w:rPr>
          <w:rFonts w:hint="eastAsia" w:ascii="Times New Roman" w:hAnsi="Times New Roman" w:cs="宋体"/>
          <w:b/>
          <w:bCs/>
          <w:color w:val="auto"/>
          <w:kern w:val="0"/>
          <w:sz w:val="24"/>
          <w:szCs w:val="22"/>
          <w:lang w:val="en-US" w:eastAsia="zh-CN"/>
        </w:rPr>
        <w:t>全厂</w:t>
      </w:r>
      <w:r>
        <w:rPr>
          <w:rFonts w:hint="eastAsia" w:ascii="Times New Roman" w:hAnsi="Times New Roman" w:eastAsia="宋体" w:cs="宋体"/>
          <w:b/>
          <w:bCs/>
          <w:color w:val="auto"/>
          <w:kern w:val="0"/>
          <w:sz w:val="24"/>
          <w:szCs w:val="22"/>
          <w:lang w:val="en-US" w:eastAsia="zh-CN"/>
        </w:rPr>
        <w:t>生产主要污染工序一览表</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1"/>
        <w:gridCol w:w="871"/>
        <w:gridCol w:w="1113"/>
        <w:gridCol w:w="1467"/>
        <w:gridCol w:w="2085"/>
        <w:gridCol w:w="849"/>
        <w:gridCol w:w="1468"/>
      </w:tblGrid>
      <w:tr w14:paraId="77F09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tcBorders>
              <w:tl2br w:val="nil"/>
              <w:tr2bl w:val="nil"/>
            </w:tcBorders>
            <w:vAlign w:val="center"/>
          </w:tcPr>
          <w:p w14:paraId="34EB923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污染类别</w:t>
            </w:r>
          </w:p>
        </w:tc>
        <w:tc>
          <w:tcPr>
            <w:tcW w:w="871" w:type="dxa"/>
            <w:tcBorders>
              <w:tl2br w:val="nil"/>
              <w:tr2bl w:val="nil"/>
            </w:tcBorders>
            <w:vAlign w:val="center"/>
          </w:tcPr>
          <w:p w14:paraId="39855A0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污染源名称</w:t>
            </w:r>
          </w:p>
        </w:tc>
        <w:tc>
          <w:tcPr>
            <w:tcW w:w="1113" w:type="dxa"/>
            <w:tcBorders>
              <w:tl2br w:val="nil"/>
              <w:tr2bl w:val="nil"/>
            </w:tcBorders>
            <w:vAlign w:val="center"/>
          </w:tcPr>
          <w:p w14:paraId="3576BC3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产生工序</w:t>
            </w:r>
          </w:p>
        </w:tc>
        <w:tc>
          <w:tcPr>
            <w:tcW w:w="1467" w:type="dxa"/>
            <w:tcBorders>
              <w:tl2br w:val="nil"/>
              <w:tr2bl w:val="nil"/>
            </w:tcBorders>
            <w:vAlign w:val="center"/>
          </w:tcPr>
          <w:p w14:paraId="4E0A942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主要污染因子</w:t>
            </w:r>
          </w:p>
        </w:tc>
        <w:tc>
          <w:tcPr>
            <w:tcW w:w="2085" w:type="dxa"/>
            <w:tcBorders>
              <w:tl2br w:val="nil"/>
              <w:tr2bl w:val="nil"/>
            </w:tcBorders>
            <w:vAlign w:val="center"/>
          </w:tcPr>
          <w:p w14:paraId="6662726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环保措施</w:t>
            </w:r>
          </w:p>
        </w:tc>
        <w:tc>
          <w:tcPr>
            <w:tcW w:w="849" w:type="dxa"/>
            <w:tcBorders>
              <w:tl2br w:val="nil"/>
              <w:tr2bl w:val="nil"/>
            </w:tcBorders>
            <w:vAlign w:val="center"/>
          </w:tcPr>
          <w:p w14:paraId="7472318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污染物排放特征</w:t>
            </w:r>
          </w:p>
        </w:tc>
        <w:tc>
          <w:tcPr>
            <w:tcW w:w="1468" w:type="dxa"/>
            <w:tcBorders>
              <w:tl2br w:val="nil"/>
              <w:tr2bl w:val="nil"/>
            </w:tcBorders>
            <w:vAlign w:val="center"/>
          </w:tcPr>
          <w:p w14:paraId="4A3427E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排放口</w:t>
            </w:r>
          </w:p>
        </w:tc>
      </w:tr>
      <w:tr w14:paraId="7E064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restart"/>
            <w:tcBorders>
              <w:tl2br w:val="nil"/>
              <w:tr2bl w:val="nil"/>
            </w:tcBorders>
            <w:vAlign w:val="center"/>
          </w:tcPr>
          <w:p w14:paraId="51B594A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废气</w:t>
            </w:r>
          </w:p>
        </w:tc>
        <w:tc>
          <w:tcPr>
            <w:tcW w:w="871" w:type="dxa"/>
            <w:tcBorders>
              <w:tl2br w:val="nil"/>
              <w:tr2bl w:val="nil"/>
            </w:tcBorders>
            <w:vAlign w:val="center"/>
          </w:tcPr>
          <w:p w14:paraId="2B6C475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G1饲料粉碎粉尘</w:t>
            </w:r>
          </w:p>
        </w:tc>
        <w:tc>
          <w:tcPr>
            <w:tcW w:w="1113" w:type="dxa"/>
            <w:tcBorders>
              <w:tl2br w:val="nil"/>
              <w:tr2bl w:val="nil"/>
            </w:tcBorders>
            <w:vAlign w:val="center"/>
          </w:tcPr>
          <w:p w14:paraId="01DF558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饲料粉碎</w:t>
            </w:r>
          </w:p>
        </w:tc>
        <w:tc>
          <w:tcPr>
            <w:tcW w:w="1467" w:type="dxa"/>
            <w:tcBorders>
              <w:tl2br w:val="nil"/>
              <w:tr2bl w:val="nil"/>
            </w:tcBorders>
            <w:vAlign w:val="center"/>
          </w:tcPr>
          <w:p w14:paraId="1F7D7DE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p>
        </w:tc>
        <w:tc>
          <w:tcPr>
            <w:tcW w:w="2085" w:type="dxa"/>
            <w:vMerge w:val="restart"/>
            <w:tcBorders>
              <w:tl2br w:val="nil"/>
              <w:tr2bl w:val="nil"/>
            </w:tcBorders>
            <w:vAlign w:val="center"/>
          </w:tcPr>
          <w:p w14:paraId="22713CD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袋式除尘+15m排气筒</w:t>
            </w:r>
          </w:p>
        </w:tc>
        <w:tc>
          <w:tcPr>
            <w:tcW w:w="849" w:type="dxa"/>
            <w:vMerge w:val="restart"/>
            <w:tcBorders>
              <w:tl2br w:val="nil"/>
              <w:tr2bl w:val="nil"/>
            </w:tcBorders>
            <w:vAlign w:val="center"/>
          </w:tcPr>
          <w:p w14:paraId="0EB663B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有组织排放</w:t>
            </w:r>
          </w:p>
        </w:tc>
        <w:tc>
          <w:tcPr>
            <w:tcW w:w="1468" w:type="dxa"/>
            <w:vMerge w:val="restart"/>
            <w:tcBorders>
              <w:tl2br w:val="nil"/>
              <w:tr2bl w:val="nil"/>
            </w:tcBorders>
            <w:vAlign w:val="center"/>
          </w:tcPr>
          <w:p w14:paraId="27B57C7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DA002饲料加工车间排放口</w:t>
            </w:r>
          </w:p>
        </w:tc>
      </w:tr>
      <w:tr w14:paraId="4A649A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7398F29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660B029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G2饲料</w:t>
            </w:r>
            <w:r>
              <w:rPr>
                <w:rFonts w:hint="eastAsia" w:ascii="Times New Roman" w:hAnsi="Times New Roman" w:cs="宋体"/>
                <w:color w:val="auto"/>
                <w:kern w:val="0"/>
                <w:sz w:val="21"/>
                <w:szCs w:val="21"/>
                <w:lang w:val="en-US" w:eastAsia="zh-CN"/>
              </w:rPr>
              <w:t>搅拌</w:t>
            </w:r>
            <w:r>
              <w:rPr>
                <w:rFonts w:hint="eastAsia" w:ascii="Times New Roman" w:hAnsi="Times New Roman" w:eastAsia="宋体" w:cs="宋体"/>
                <w:color w:val="auto"/>
                <w:kern w:val="0"/>
                <w:sz w:val="21"/>
                <w:szCs w:val="21"/>
                <w:lang w:val="en-US" w:eastAsia="zh-CN"/>
              </w:rPr>
              <w:t>粉尘</w:t>
            </w:r>
          </w:p>
        </w:tc>
        <w:tc>
          <w:tcPr>
            <w:tcW w:w="1113" w:type="dxa"/>
            <w:tcBorders>
              <w:tl2br w:val="nil"/>
              <w:tr2bl w:val="nil"/>
            </w:tcBorders>
            <w:vAlign w:val="center"/>
          </w:tcPr>
          <w:p w14:paraId="7E33612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饲料</w:t>
            </w:r>
            <w:r>
              <w:rPr>
                <w:rFonts w:hint="eastAsia" w:ascii="Times New Roman" w:hAnsi="Times New Roman" w:cs="宋体"/>
                <w:color w:val="auto"/>
                <w:kern w:val="0"/>
                <w:sz w:val="21"/>
                <w:szCs w:val="21"/>
                <w:lang w:val="en-US" w:eastAsia="zh-CN"/>
              </w:rPr>
              <w:t>搅拌</w:t>
            </w:r>
          </w:p>
        </w:tc>
        <w:tc>
          <w:tcPr>
            <w:tcW w:w="1467" w:type="dxa"/>
            <w:tcBorders>
              <w:tl2br w:val="nil"/>
              <w:tr2bl w:val="nil"/>
            </w:tcBorders>
            <w:vAlign w:val="center"/>
          </w:tcPr>
          <w:p w14:paraId="1CF833A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p>
        </w:tc>
        <w:tc>
          <w:tcPr>
            <w:tcW w:w="2085" w:type="dxa"/>
            <w:vMerge w:val="continue"/>
            <w:tcBorders>
              <w:tl2br w:val="nil"/>
              <w:tr2bl w:val="nil"/>
            </w:tcBorders>
            <w:vAlign w:val="center"/>
          </w:tcPr>
          <w:p w14:paraId="3490B95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49" w:type="dxa"/>
            <w:vMerge w:val="continue"/>
            <w:tcBorders>
              <w:tl2br w:val="nil"/>
              <w:tr2bl w:val="nil"/>
            </w:tcBorders>
            <w:vAlign w:val="center"/>
          </w:tcPr>
          <w:p w14:paraId="062AD10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1468" w:type="dxa"/>
            <w:vMerge w:val="continue"/>
            <w:tcBorders>
              <w:tl2br w:val="nil"/>
              <w:tr2bl w:val="nil"/>
            </w:tcBorders>
            <w:vAlign w:val="center"/>
          </w:tcPr>
          <w:p w14:paraId="69CBECB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r>
      <w:tr w14:paraId="633A8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4257405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5595890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G3饲料撒料粉尘</w:t>
            </w:r>
          </w:p>
        </w:tc>
        <w:tc>
          <w:tcPr>
            <w:tcW w:w="1113" w:type="dxa"/>
            <w:tcBorders>
              <w:tl2br w:val="nil"/>
              <w:tr2bl w:val="nil"/>
            </w:tcBorders>
            <w:vAlign w:val="center"/>
          </w:tcPr>
          <w:p w14:paraId="37C647D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饲料撒料</w:t>
            </w:r>
          </w:p>
        </w:tc>
        <w:tc>
          <w:tcPr>
            <w:tcW w:w="1467" w:type="dxa"/>
            <w:tcBorders>
              <w:tl2br w:val="nil"/>
              <w:tr2bl w:val="nil"/>
            </w:tcBorders>
            <w:vAlign w:val="center"/>
          </w:tcPr>
          <w:p w14:paraId="019BC6D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p>
        </w:tc>
        <w:tc>
          <w:tcPr>
            <w:tcW w:w="2085" w:type="dxa"/>
            <w:tcBorders>
              <w:tl2br w:val="nil"/>
              <w:tr2bl w:val="nil"/>
            </w:tcBorders>
            <w:vAlign w:val="center"/>
          </w:tcPr>
          <w:p w14:paraId="74E5596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封闭式作业+润湿工艺</w:t>
            </w:r>
          </w:p>
        </w:tc>
        <w:tc>
          <w:tcPr>
            <w:tcW w:w="849" w:type="dxa"/>
            <w:tcBorders>
              <w:tl2br w:val="nil"/>
              <w:tr2bl w:val="nil"/>
            </w:tcBorders>
            <w:vAlign w:val="center"/>
          </w:tcPr>
          <w:p w14:paraId="6A75179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无组织排放</w:t>
            </w:r>
          </w:p>
        </w:tc>
        <w:tc>
          <w:tcPr>
            <w:tcW w:w="1468" w:type="dxa"/>
            <w:tcBorders>
              <w:tl2br w:val="nil"/>
              <w:tr2bl w:val="nil"/>
            </w:tcBorders>
            <w:vAlign w:val="center"/>
          </w:tcPr>
          <w:p w14:paraId="6E1BDE1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7B617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1188E7C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1934AFF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G4移动源尾气</w:t>
            </w:r>
          </w:p>
        </w:tc>
        <w:tc>
          <w:tcPr>
            <w:tcW w:w="1113" w:type="dxa"/>
            <w:tcBorders>
              <w:tl2br w:val="nil"/>
              <w:tr2bl w:val="nil"/>
            </w:tcBorders>
            <w:vAlign w:val="center"/>
          </w:tcPr>
          <w:p w14:paraId="0048735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移动TMR</w:t>
            </w:r>
            <w:r>
              <w:rPr>
                <w:rFonts w:hint="eastAsia" w:ascii="Times New Roman" w:hAnsi="Times New Roman" w:cs="宋体"/>
                <w:color w:val="auto"/>
                <w:kern w:val="0"/>
                <w:sz w:val="21"/>
                <w:szCs w:val="21"/>
                <w:lang w:val="en-US" w:eastAsia="zh-CN"/>
              </w:rPr>
              <w:t>机</w:t>
            </w:r>
          </w:p>
        </w:tc>
        <w:tc>
          <w:tcPr>
            <w:tcW w:w="1467" w:type="dxa"/>
            <w:tcBorders>
              <w:tl2br w:val="nil"/>
              <w:tr2bl w:val="nil"/>
            </w:tcBorders>
            <w:vAlign w:val="center"/>
          </w:tcPr>
          <w:p w14:paraId="6A8AC38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NO</w:t>
            </w:r>
            <w:r>
              <w:rPr>
                <w:rFonts w:hint="eastAsia" w:ascii="Times New Roman" w:hAnsi="Times New Roman" w:cs="宋体"/>
                <w:color w:val="auto"/>
                <w:kern w:val="0"/>
                <w:sz w:val="21"/>
                <w:szCs w:val="21"/>
                <w:vertAlign w:val="baseline"/>
                <w:lang w:val="en-US" w:eastAsia="zh-CN"/>
              </w:rPr>
              <w:t>x</w:t>
            </w:r>
            <w:r>
              <w:rPr>
                <w:rFonts w:hint="eastAsia" w:ascii="Times New Roman" w:hAnsi="Times New Roman" w:eastAsia="宋体" w:cs="宋体"/>
                <w:color w:val="auto"/>
                <w:kern w:val="0"/>
                <w:sz w:val="21"/>
                <w:szCs w:val="21"/>
                <w:lang w:val="en-US" w:eastAsia="zh-CN"/>
              </w:rPr>
              <w:t>、CO</w:t>
            </w:r>
            <w:r>
              <w:rPr>
                <w:rFonts w:hint="eastAsia" w:ascii="Times New Roman" w:hAnsi="Times New Roman" w:cs="宋体"/>
                <w:color w:val="auto"/>
                <w:kern w:val="0"/>
                <w:sz w:val="21"/>
                <w:szCs w:val="21"/>
                <w:lang w:val="en-US" w:eastAsia="zh-CN"/>
              </w:rPr>
              <w:t>、</w:t>
            </w:r>
            <w:r>
              <w:rPr>
                <w:rFonts w:hint="eastAsia" w:ascii="Times New Roman" w:hAnsi="Times New Roman" w:eastAsia="宋体" w:cs="宋体"/>
                <w:color w:val="auto"/>
                <w:kern w:val="0"/>
                <w:sz w:val="21"/>
                <w:szCs w:val="21"/>
                <w:lang w:val="en-US" w:eastAsia="zh-CN"/>
              </w:rPr>
              <w:t>THC</w:t>
            </w:r>
          </w:p>
        </w:tc>
        <w:tc>
          <w:tcPr>
            <w:tcW w:w="2085" w:type="dxa"/>
            <w:tcBorders>
              <w:tl2br w:val="nil"/>
              <w:tr2bl w:val="nil"/>
            </w:tcBorders>
            <w:vAlign w:val="center"/>
          </w:tcPr>
          <w:p w14:paraId="014FBE4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加强车辆管控</w:t>
            </w:r>
          </w:p>
        </w:tc>
        <w:tc>
          <w:tcPr>
            <w:tcW w:w="849" w:type="dxa"/>
            <w:tcBorders>
              <w:tl2br w:val="nil"/>
              <w:tr2bl w:val="nil"/>
            </w:tcBorders>
            <w:vAlign w:val="center"/>
          </w:tcPr>
          <w:p w14:paraId="6BB186D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无组织排放</w:t>
            </w:r>
          </w:p>
        </w:tc>
        <w:tc>
          <w:tcPr>
            <w:tcW w:w="1468" w:type="dxa"/>
            <w:tcBorders>
              <w:tl2br w:val="nil"/>
              <w:tr2bl w:val="nil"/>
            </w:tcBorders>
            <w:vAlign w:val="center"/>
          </w:tcPr>
          <w:p w14:paraId="7678579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33B0A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6831124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1BC1BF6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G5养殖恶臭</w:t>
            </w:r>
          </w:p>
        </w:tc>
        <w:tc>
          <w:tcPr>
            <w:tcW w:w="1113" w:type="dxa"/>
            <w:tcBorders>
              <w:tl2br w:val="nil"/>
              <w:tr2bl w:val="nil"/>
            </w:tcBorders>
            <w:vAlign w:val="center"/>
          </w:tcPr>
          <w:p w14:paraId="051BD31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养殖、存储、还田</w:t>
            </w:r>
          </w:p>
        </w:tc>
        <w:tc>
          <w:tcPr>
            <w:tcW w:w="1467" w:type="dxa"/>
            <w:tcBorders>
              <w:tl2br w:val="nil"/>
              <w:tr2bl w:val="nil"/>
            </w:tcBorders>
            <w:vAlign w:val="center"/>
          </w:tcPr>
          <w:p w14:paraId="076CD2E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氨、硫化氢、臭气浓度</w:t>
            </w:r>
          </w:p>
        </w:tc>
        <w:tc>
          <w:tcPr>
            <w:tcW w:w="2085" w:type="dxa"/>
            <w:tcBorders>
              <w:tl2br w:val="nil"/>
              <w:tr2bl w:val="nil"/>
            </w:tcBorders>
            <w:vAlign w:val="center"/>
          </w:tcPr>
          <w:p w14:paraId="4C7EB9D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Times New Roman"/>
                <w:sz w:val="21"/>
                <w:szCs w:val="21"/>
              </w:rPr>
              <w:t>控制</w:t>
            </w:r>
            <w:r>
              <w:rPr>
                <w:rFonts w:hint="eastAsia" w:ascii="Times New Roman" w:hAnsi="Times New Roman" w:eastAsia="宋体" w:cs="Times New Roman"/>
                <w:sz w:val="21"/>
                <w:szCs w:val="21"/>
                <w:lang w:val="en-US" w:eastAsia="zh-CN"/>
              </w:rPr>
              <w:t>饲养</w:t>
            </w:r>
            <w:r>
              <w:rPr>
                <w:rFonts w:hint="default" w:ascii="Times New Roman" w:hAnsi="Times New Roman" w:eastAsia="宋体" w:cs="Times New Roman"/>
                <w:sz w:val="21"/>
                <w:szCs w:val="21"/>
              </w:rPr>
              <w:t>密度</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及时清理粪污</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eastAsia="zh-CN"/>
              </w:rPr>
              <w:t>场区</w:t>
            </w:r>
            <w:r>
              <w:rPr>
                <w:rFonts w:hint="default" w:ascii="Times New Roman" w:hAnsi="Times New Roman" w:eastAsia="宋体" w:cs="Times New Roman"/>
                <w:sz w:val="21"/>
                <w:szCs w:val="21"/>
              </w:rPr>
              <w:t>绿化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喷洒生物除臭剂</w:t>
            </w:r>
          </w:p>
        </w:tc>
        <w:tc>
          <w:tcPr>
            <w:tcW w:w="849" w:type="dxa"/>
            <w:tcBorders>
              <w:tl2br w:val="nil"/>
              <w:tr2bl w:val="nil"/>
            </w:tcBorders>
            <w:vAlign w:val="center"/>
          </w:tcPr>
          <w:p w14:paraId="6A0E8A2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无组织排放</w:t>
            </w:r>
          </w:p>
        </w:tc>
        <w:tc>
          <w:tcPr>
            <w:tcW w:w="1468" w:type="dxa"/>
            <w:tcBorders>
              <w:tl2br w:val="nil"/>
              <w:tr2bl w:val="nil"/>
            </w:tcBorders>
            <w:vAlign w:val="center"/>
          </w:tcPr>
          <w:p w14:paraId="3D54184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491F7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180E9C5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0BB5723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G</w:t>
            </w:r>
            <w:r>
              <w:rPr>
                <w:rFonts w:hint="eastAsia" w:ascii="Times New Roman" w:hAnsi="Times New Roman" w:cs="宋体"/>
                <w:color w:val="auto"/>
                <w:kern w:val="0"/>
                <w:sz w:val="21"/>
                <w:szCs w:val="21"/>
                <w:lang w:val="en-US" w:eastAsia="zh-CN"/>
              </w:rPr>
              <w:t>6</w:t>
            </w:r>
            <w:r>
              <w:rPr>
                <w:rFonts w:hint="eastAsia" w:ascii="Times New Roman" w:hAnsi="Times New Roman" w:eastAsia="宋体" w:cs="宋体"/>
                <w:color w:val="auto"/>
                <w:kern w:val="0"/>
                <w:sz w:val="21"/>
                <w:szCs w:val="21"/>
                <w:lang w:val="en-US" w:eastAsia="zh-CN"/>
              </w:rPr>
              <w:t>卸料</w:t>
            </w:r>
            <w:r>
              <w:rPr>
                <w:rFonts w:hint="eastAsia" w:ascii="Times New Roman" w:hAnsi="Times New Roman" w:cs="宋体"/>
                <w:color w:val="auto"/>
                <w:kern w:val="0"/>
                <w:sz w:val="21"/>
                <w:szCs w:val="21"/>
                <w:lang w:val="en-US" w:eastAsia="zh-CN"/>
              </w:rPr>
              <w:t>废气</w:t>
            </w:r>
          </w:p>
        </w:tc>
        <w:tc>
          <w:tcPr>
            <w:tcW w:w="1113" w:type="dxa"/>
            <w:tcBorders>
              <w:tl2br w:val="nil"/>
              <w:tr2bl w:val="nil"/>
            </w:tcBorders>
            <w:vAlign w:val="center"/>
          </w:tcPr>
          <w:p w14:paraId="5F8129A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卸料</w:t>
            </w:r>
          </w:p>
        </w:tc>
        <w:tc>
          <w:tcPr>
            <w:tcW w:w="1467" w:type="dxa"/>
            <w:tcBorders>
              <w:tl2br w:val="nil"/>
              <w:tr2bl w:val="nil"/>
            </w:tcBorders>
            <w:vAlign w:val="center"/>
          </w:tcPr>
          <w:p w14:paraId="5BEB9B4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r>
              <w:rPr>
                <w:rFonts w:hint="eastAsia" w:ascii="Times New Roman" w:hAnsi="Times New Roman" w:cs="宋体"/>
                <w:color w:val="auto"/>
                <w:kern w:val="0"/>
                <w:sz w:val="21"/>
                <w:szCs w:val="21"/>
                <w:lang w:val="en-US" w:eastAsia="zh-CN"/>
              </w:rPr>
              <w:t>、</w:t>
            </w:r>
            <w:r>
              <w:rPr>
                <w:rFonts w:hint="eastAsia" w:ascii="Times New Roman" w:hAnsi="Times New Roman" w:eastAsia="宋体" w:cs="宋体"/>
                <w:color w:val="auto"/>
                <w:kern w:val="0"/>
                <w:sz w:val="21"/>
                <w:szCs w:val="21"/>
                <w:lang w:val="en-US" w:eastAsia="zh-CN"/>
              </w:rPr>
              <w:t>氨、硫化氢、臭气浓度</w:t>
            </w:r>
          </w:p>
        </w:tc>
        <w:tc>
          <w:tcPr>
            <w:tcW w:w="2085" w:type="dxa"/>
            <w:tcBorders>
              <w:tl2br w:val="nil"/>
              <w:tr2bl w:val="nil"/>
            </w:tcBorders>
            <w:vAlign w:val="center"/>
          </w:tcPr>
          <w:p w14:paraId="155B6AA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洒水降尘</w:t>
            </w:r>
          </w:p>
        </w:tc>
        <w:tc>
          <w:tcPr>
            <w:tcW w:w="849" w:type="dxa"/>
            <w:tcBorders>
              <w:tl2br w:val="nil"/>
              <w:tr2bl w:val="nil"/>
            </w:tcBorders>
            <w:vAlign w:val="center"/>
          </w:tcPr>
          <w:p w14:paraId="308A175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无组织排放</w:t>
            </w:r>
          </w:p>
        </w:tc>
        <w:tc>
          <w:tcPr>
            <w:tcW w:w="1468" w:type="dxa"/>
            <w:tcBorders>
              <w:tl2br w:val="nil"/>
              <w:tr2bl w:val="nil"/>
            </w:tcBorders>
            <w:vAlign w:val="center"/>
          </w:tcPr>
          <w:p w14:paraId="78405FD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4522D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586C7C2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2030B7D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G7暂存粉尘</w:t>
            </w:r>
          </w:p>
        </w:tc>
        <w:tc>
          <w:tcPr>
            <w:tcW w:w="1113" w:type="dxa"/>
            <w:tcBorders>
              <w:tl2br w:val="nil"/>
              <w:tr2bl w:val="nil"/>
            </w:tcBorders>
            <w:vAlign w:val="center"/>
          </w:tcPr>
          <w:p w14:paraId="55D80E1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暂存</w:t>
            </w:r>
          </w:p>
        </w:tc>
        <w:tc>
          <w:tcPr>
            <w:tcW w:w="1467" w:type="dxa"/>
            <w:tcBorders>
              <w:tl2br w:val="nil"/>
              <w:tr2bl w:val="nil"/>
            </w:tcBorders>
            <w:vAlign w:val="center"/>
          </w:tcPr>
          <w:p w14:paraId="659D072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p>
        </w:tc>
        <w:tc>
          <w:tcPr>
            <w:tcW w:w="2085" w:type="dxa"/>
            <w:tcBorders>
              <w:tl2br w:val="nil"/>
              <w:tr2bl w:val="nil"/>
            </w:tcBorders>
            <w:vAlign w:val="center"/>
          </w:tcPr>
          <w:p w14:paraId="3DB4F54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篷布覆盖</w:t>
            </w:r>
          </w:p>
        </w:tc>
        <w:tc>
          <w:tcPr>
            <w:tcW w:w="849" w:type="dxa"/>
            <w:tcBorders>
              <w:tl2br w:val="nil"/>
              <w:tr2bl w:val="nil"/>
            </w:tcBorders>
            <w:vAlign w:val="center"/>
          </w:tcPr>
          <w:p w14:paraId="055F0E5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无组织排放</w:t>
            </w:r>
          </w:p>
        </w:tc>
        <w:tc>
          <w:tcPr>
            <w:tcW w:w="1468" w:type="dxa"/>
            <w:tcBorders>
              <w:tl2br w:val="nil"/>
              <w:tr2bl w:val="nil"/>
            </w:tcBorders>
            <w:vAlign w:val="center"/>
          </w:tcPr>
          <w:p w14:paraId="38612C3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7C0B77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4C72513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2BEA67C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G</w:t>
            </w:r>
            <w:r>
              <w:rPr>
                <w:rFonts w:hint="eastAsia" w:ascii="Times New Roman" w:hAnsi="Times New Roman" w:cs="宋体"/>
                <w:color w:val="auto"/>
                <w:kern w:val="0"/>
                <w:sz w:val="21"/>
                <w:szCs w:val="21"/>
                <w:lang w:val="en-US" w:eastAsia="zh-CN"/>
              </w:rPr>
              <w:t>8</w:t>
            </w:r>
            <w:r>
              <w:rPr>
                <w:rFonts w:hint="eastAsia" w:ascii="Times New Roman" w:hAnsi="Times New Roman" w:eastAsia="宋体" w:cs="宋体"/>
                <w:color w:val="auto"/>
                <w:kern w:val="0"/>
                <w:sz w:val="21"/>
                <w:szCs w:val="21"/>
                <w:lang w:val="en-US" w:eastAsia="zh-CN"/>
              </w:rPr>
              <w:t>翻抛混料</w:t>
            </w:r>
            <w:r>
              <w:rPr>
                <w:rFonts w:hint="eastAsia" w:ascii="Times New Roman" w:hAnsi="Times New Roman" w:cs="宋体"/>
                <w:color w:val="auto"/>
                <w:kern w:val="0"/>
                <w:sz w:val="21"/>
                <w:szCs w:val="21"/>
                <w:lang w:val="en-US" w:eastAsia="zh-CN"/>
              </w:rPr>
              <w:t>废气</w:t>
            </w:r>
          </w:p>
        </w:tc>
        <w:tc>
          <w:tcPr>
            <w:tcW w:w="1113" w:type="dxa"/>
            <w:tcBorders>
              <w:tl2br w:val="nil"/>
              <w:tr2bl w:val="nil"/>
            </w:tcBorders>
            <w:vAlign w:val="center"/>
          </w:tcPr>
          <w:p w14:paraId="5450278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翻抛、混料</w:t>
            </w:r>
          </w:p>
        </w:tc>
        <w:tc>
          <w:tcPr>
            <w:tcW w:w="1467" w:type="dxa"/>
            <w:tcBorders>
              <w:tl2br w:val="nil"/>
              <w:tr2bl w:val="nil"/>
            </w:tcBorders>
            <w:vAlign w:val="center"/>
          </w:tcPr>
          <w:p w14:paraId="2D90953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r>
              <w:rPr>
                <w:rFonts w:hint="eastAsia" w:ascii="Times New Roman" w:hAnsi="Times New Roman" w:cs="宋体"/>
                <w:color w:val="auto"/>
                <w:kern w:val="0"/>
                <w:sz w:val="21"/>
                <w:szCs w:val="21"/>
                <w:lang w:val="en-US" w:eastAsia="zh-CN"/>
              </w:rPr>
              <w:t>、</w:t>
            </w:r>
            <w:r>
              <w:rPr>
                <w:rFonts w:hint="eastAsia" w:ascii="Times New Roman" w:hAnsi="Times New Roman" w:eastAsia="宋体" w:cs="宋体"/>
                <w:color w:val="auto"/>
                <w:kern w:val="0"/>
                <w:sz w:val="21"/>
                <w:szCs w:val="21"/>
                <w:lang w:val="en-US" w:eastAsia="zh-CN"/>
              </w:rPr>
              <w:t>氨、硫化氢、臭气浓度</w:t>
            </w:r>
          </w:p>
        </w:tc>
        <w:tc>
          <w:tcPr>
            <w:tcW w:w="2085" w:type="dxa"/>
            <w:vMerge w:val="restart"/>
            <w:tcBorders>
              <w:tl2br w:val="nil"/>
              <w:tr2bl w:val="nil"/>
            </w:tcBorders>
            <w:vAlign w:val="center"/>
          </w:tcPr>
          <w:p w14:paraId="2020422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袋式除尘+生物除臭（滴滤法）+15m排气筒</w:t>
            </w:r>
          </w:p>
        </w:tc>
        <w:tc>
          <w:tcPr>
            <w:tcW w:w="849" w:type="dxa"/>
            <w:vMerge w:val="restart"/>
            <w:tcBorders>
              <w:tl2br w:val="nil"/>
              <w:tr2bl w:val="nil"/>
            </w:tcBorders>
            <w:vAlign w:val="center"/>
          </w:tcPr>
          <w:p w14:paraId="1545A29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有组织排放</w:t>
            </w:r>
          </w:p>
        </w:tc>
        <w:tc>
          <w:tcPr>
            <w:tcW w:w="1468" w:type="dxa"/>
            <w:vMerge w:val="restart"/>
            <w:tcBorders>
              <w:tl2br w:val="nil"/>
              <w:tr2bl w:val="nil"/>
            </w:tcBorders>
            <w:vAlign w:val="center"/>
          </w:tcPr>
          <w:p w14:paraId="2425F7D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DA001堆肥间排放口</w:t>
            </w:r>
          </w:p>
        </w:tc>
      </w:tr>
      <w:tr w14:paraId="35FFF0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03CED68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0FB4197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G</w:t>
            </w:r>
            <w:r>
              <w:rPr>
                <w:rFonts w:hint="eastAsia" w:ascii="Times New Roman" w:hAnsi="Times New Roman" w:cs="宋体"/>
                <w:color w:val="auto"/>
                <w:kern w:val="0"/>
                <w:sz w:val="21"/>
                <w:szCs w:val="21"/>
                <w:lang w:val="en-US" w:eastAsia="zh-CN"/>
              </w:rPr>
              <w:t>9</w:t>
            </w:r>
            <w:r>
              <w:rPr>
                <w:rFonts w:hint="eastAsia" w:ascii="Times New Roman" w:hAnsi="Times New Roman" w:eastAsia="宋体" w:cs="宋体"/>
                <w:color w:val="auto"/>
                <w:kern w:val="0"/>
                <w:sz w:val="21"/>
                <w:szCs w:val="21"/>
                <w:lang w:val="en-US" w:eastAsia="zh-CN"/>
              </w:rPr>
              <w:t>发酵废气</w:t>
            </w:r>
          </w:p>
        </w:tc>
        <w:tc>
          <w:tcPr>
            <w:tcW w:w="1113" w:type="dxa"/>
            <w:tcBorders>
              <w:tl2br w:val="nil"/>
              <w:tr2bl w:val="nil"/>
            </w:tcBorders>
            <w:vAlign w:val="center"/>
          </w:tcPr>
          <w:p w14:paraId="5362BB2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发酵</w:t>
            </w:r>
          </w:p>
        </w:tc>
        <w:tc>
          <w:tcPr>
            <w:tcW w:w="1467" w:type="dxa"/>
            <w:tcBorders>
              <w:tl2br w:val="nil"/>
              <w:tr2bl w:val="nil"/>
            </w:tcBorders>
            <w:vAlign w:val="center"/>
          </w:tcPr>
          <w:p w14:paraId="129896B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臭气浓度、氨、硫化氢</w:t>
            </w:r>
          </w:p>
        </w:tc>
        <w:tc>
          <w:tcPr>
            <w:tcW w:w="2085" w:type="dxa"/>
            <w:vMerge w:val="continue"/>
            <w:tcBorders>
              <w:tl2br w:val="nil"/>
              <w:tr2bl w:val="nil"/>
            </w:tcBorders>
            <w:vAlign w:val="center"/>
          </w:tcPr>
          <w:p w14:paraId="3B0BA70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49" w:type="dxa"/>
            <w:vMerge w:val="continue"/>
            <w:tcBorders>
              <w:tl2br w:val="nil"/>
              <w:tr2bl w:val="nil"/>
            </w:tcBorders>
            <w:vAlign w:val="center"/>
          </w:tcPr>
          <w:p w14:paraId="53F2180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1468" w:type="dxa"/>
            <w:vMerge w:val="continue"/>
            <w:tcBorders>
              <w:tl2br w:val="nil"/>
              <w:tr2bl w:val="nil"/>
            </w:tcBorders>
            <w:vAlign w:val="center"/>
          </w:tcPr>
          <w:p w14:paraId="2C58C36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r>
      <w:tr w14:paraId="54781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34AED54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5C034D3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饲料粉碎粉尘</w:t>
            </w:r>
            <w:r>
              <w:rPr>
                <w:rFonts w:hint="eastAsia" w:ascii="Times New Roman" w:hAnsi="Times New Roman" w:cs="宋体"/>
                <w:color w:val="auto"/>
                <w:kern w:val="0"/>
                <w:sz w:val="21"/>
                <w:szCs w:val="21"/>
                <w:lang w:val="en-US" w:eastAsia="zh-CN"/>
              </w:rPr>
              <w:t>（无组织）</w:t>
            </w:r>
          </w:p>
        </w:tc>
        <w:tc>
          <w:tcPr>
            <w:tcW w:w="1113" w:type="dxa"/>
            <w:tcBorders>
              <w:tl2br w:val="nil"/>
              <w:tr2bl w:val="nil"/>
            </w:tcBorders>
            <w:vAlign w:val="center"/>
          </w:tcPr>
          <w:p w14:paraId="018E471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饲料粉碎</w:t>
            </w:r>
          </w:p>
        </w:tc>
        <w:tc>
          <w:tcPr>
            <w:tcW w:w="1467" w:type="dxa"/>
            <w:tcBorders>
              <w:tl2br w:val="nil"/>
              <w:tr2bl w:val="nil"/>
            </w:tcBorders>
            <w:vAlign w:val="center"/>
          </w:tcPr>
          <w:p w14:paraId="3CA1959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p>
        </w:tc>
        <w:tc>
          <w:tcPr>
            <w:tcW w:w="2085" w:type="dxa"/>
            <w:vMerge w:val="restart"/>
            <w:tcBorders>
              <w:tl2br w:val="nil"/>
              <w:tr2bl w:val="nil"/>
            </w:tcBorders>
            <w:vAlign w:val="center"/>
          </w:tcPr>
          <w:p w14:paraId="43AEE3B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封闭式作业+洒水降尘</w:t>
            </w:r>
          </w:p>
        </w:tc>
        <w:tc>
          <w:tcPr>
            <w:tcW w:w="849" w:type="dxa"/>
            <w:vMerge w:val="restart"/>
            <w:tcBorders>
              <w:tl2br w:val="nil"/>
              <w:tr2bl w:val="nil"/>
            </w:tcBorders>
            <w:vAlign w:val="center"/>
          </w:tcPr>
          <w:p w14:paraId="1BB0118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无组织排放</w:t>
            </w:r>
          </w:p>
        </w:tc>
        <w:tc>
          <w:tcPr>
            <w:tcW w:w="1468" w:type="dxa"/>
            <w:vMerge w:val="restart"/>
            <w:tcBorders>
              <w:tl2br w:val="nil"/>
              <w:tr2bl w:val="nil"/>
            </w:tcBorders>
            <w:vAlign w:val="center"/>
          </w:tcPr>
          <w:p w14:paraId="543464A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44246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6D83061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54AE982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饲料</w:t>
            </w:r>
            <w:r>
              <w:rPr>
                <w:rFonts w:hint="eastAsia" w:ascii="Times New Roman" w:hAnsi="Times New Roman" w:cs="宋体"/>
                <w:color w:val="auto"/>
                <w:kern w:val="0"/>
                <w:sz w:val="21"/>
                <w:szCs w:val="21"/>
                <w:lang w:val="en-US" w:eastAsia="zh-CN"/>
              </w:rPr>
              <w:t>搅拌</w:t>
            </w:r>
            <w:r>
              <w:rPr>
                <w:rFonts w:hint="eastAsia" w:ascii="Times New Roman" w:hAnsi="Times New Roman" w:eastAsia="宋体" w:cs="宋体"/>
                <w:color w:val="auto"/>
                <w:kern w:val="0"/>
                <w:sz w:val="21"/>
                <w:szCs w:val="21"/>
                <w:lang w:val="en-US" w:eastAsia="zh-CN"/>
              </w:rPr>
              <w:t>粉尘</w:t>
            </w:r>
            <w:r>
              <w:rPr>
                <w:rFonts w:hint="eastAsia" w:ascii="Times New Roman" w:hAnsi="Times New Roman" w:cs="宋体"/>
                <w:color w:val="auto"/>
                <w:kern w:val="0"/>
                <w:sz w:val="21"/>
                <w:szCs w:val="21"/>
                <w:lang w:val="en-US" w:eastAsia="zh-CN"/>
              </w:rPr>
              <w:t>（无组织）</w:t>
            </w:r>
          </w:p>
        </w:tc>
        <w:tc>
          <w:tcPr>
            <w:tcW w:w="1113" w:type="dxa"/>
            <w:tcBorders>
              <w:tl2br w:val="nil"/>
              <w:tr2bl w:val="nil"/>
            </w:tcBorders>
            <w:vAlign w:val="center"/>
          </w:tcPr>
          <w:p w14:paraId="5213C2E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饲料混合</w:t>
            </w:r>
          </w:p>
        </w:tc>
        <w:tc>
          <w:tcPr>
            <w:tcW w:w="1467" w:type="dxa"/>
            <w:tcBorders>
              <w:tl2br w:val="nil"/>
              <w:tr2bl w:val="nil"/>
            </w:tcBorders>
            <w:vAlign w:val="center"/>
          </w:tcPr>
          <w:p w14:paraId="61816D4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p>
        </w:tc>
        <w:tc>
          <w:tcPr>
            <w:tcW w:w="2085" w:type="dxa"/>
            <w:vMerge w:val="continue"/>
            <w:tcBorders>
              <w:tl2br w:val="nil"/>
              <w:tr2bl w:val="nil"/>
            </w:tcBorders>
            <w:vAlign w:val="center"/>
          </w:tcPr>
          <w:p w14:paraId="5E874A3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49" w:type="dxa"/>
            <w:vMerge w:val="continue"/>
            <w:tcBorders>
              <w:tl2br w:val="nil"/>
              <w:tr2bl w:val="nil"/>
            </w:tcBorders>
            <w:vAlign w:val="center"/>
          </w:tcPr>
          <w:p w14:paraId="2A99E44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1468" w:type="dxa"/>
            <w:vMerge w:val="continue"/>
            <w:tcBorders>
              <w:tl2br w:val="nil"/>
              <w:tr2bl w:val="nil"/>
            </w:tcBorders>
            <w:vAlign w:val="center"/>
          </w:tcPr>
          <w:p w14:paraId="5D76053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r>
      <w:tr w14:paraId="09CDC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08A1114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105FED5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翻抛混料</w:t>
            </w:r>
            <w:r>
              <w:rPr>
                <w:rFonts w:hint="eastAsia" w:ascii="Times New Roman" w:hAnsi="Times New Roman" w:cs="宋体"/>
                <w:color w:val="auto"/>
                <w:kern w:val="0"/>
                <w:sz w:val="21"/>
                <w:szCs w:val="21"/>
                <w:lang w:val="en-US" w:eastAsia="zh-CN"/>
              </w:rPr>
              <w:t>废气（无组织）</w:t>
            </w:r>
          </w:p>
        </w:tc>
        <w:tc>
          <w:tcPr>
            <w:tcW w:w="1113" w:type="dxa"/>
            <w:tcBorders>
              <w:tl2br w:val="nil"/>
              <w:tr2bl w:val="nil"/>
            </w:tcBorders>
            <w:vAlign w:val="center"/>
          </w:tcPr>
          <w:p w14:paraId="6577CBE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翻抛、混料</w:t>
            </w:r>
          </w:p>
        </w:tc>
        <w:tc>
          <w:tcPr>
            <w:tcW w:w="1467" w:type="dxa"/>
            <w:tcBorders>
              <w:tl2br w:val="nil"/>
              <w:tr2bl w:val="nil"/>
            </w:tcBorders>
            <w:vAlign w:val="center"/>
          </w:tcPr>
          <w:p w14:paraId="24B788E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颗粒物</w:t>
            </w:r>
            <w:r>
              <w:rPr>
                <w:rFonts w:hint="eastAsia" w:ascii="Times New Roman" w:hAnsi="Times New Roman" w:cs="宋体"/>
                <w:color w:val="auto"/>
                <w:kern w:val="0"/>
                <w:sz w:val="21"/>
                <w:szCs w:val="21"/>
                <w:lang w:val="en-US" w:eastAsia="zh-CN"/>
              </w:rPr>
              <w:t>、</w:t>
            </w:r>
            <w:r>
              <w:rPr>
                <w:rFonts w:hint="eastAsia" w:ascii="Times New Roman" w:hAnsi="Times New Roman" w:eastAsia="宋体" w:cs="宋体"/>
                <w:color w:val="auto"/>
                <w:kern w:val="0"/>
                <w:sz w:val="21"/>
                <w:szCs w:val="21"/>
                <w:lang w:val="en-US" w:eastAsia="zh-CN"/>
              </w:rPr>
              <w:t>氨、硫化氢、臭气浓度</w:t>
            </w:r>
          </w:p>
        </w:tc>
        <w:tc>
          <w:tcPr>
            <w:tcW w:w="2085" w:type="dxa"/>
            <w:vMerge w:val="restart"/>
            <w:tcBorders>
              <w:tl2br w:val="nil"/>
              <w:tr2bl w:val="nil"/>
            </w:tcBorders>
            <w:vAlign w:val="center"/>
          </w:tcPr>
          <w:p w14:paraId="072D975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封闭式作业+洒水降尘</w:t>
            </w:r>
          </w:p>
        </w:tc>
        <w:tc>
          <w:tcPr>
            <w:tcW w:w="849" w:type="dxa"/>
            <w:vMerge w:val="restart"/>
            <w:tcBorders>
              <w:tl2br w:val="nil"/>
              <w:tr2bl w:val="nil"/>
            </w:tcBorders>
            <w:vAlign w:val="center"/>
          </w:tcPr>
          <w:p w14:paraId="1B5A982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无组织排放</w:t>
            </w:r>
          </w:p>
        </w:tc>
        <w:tc>
          <w:tcPr>
            <w:tcW w:w="1468" w:type="dxa"/>
            <w:vMerge w:val="restart"/>
            <w:tcBorders>
              <w:tl2br w:val="nil"/>
              <w:tr2bl w:val="nil"/>
            </w:tcBorders>
            <w:vAlign w:val="center"/>
          </w:tcPr>
          <w:p w14:paraId="0EA8628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0C8A4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3398D40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7E53DD7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发酵废气</w:t>
            </w:r>
            <w:r>
              <w:rPr>
                <w:rFonts w:hint="eastAsia" w:ascii="Times New Roman" w:hAnsi="Times New Roman" w:cs="宋体"/>
                <w:color w:val="auto"/>
                <w:kern w:val="0"/>
                <w:sz w:val="21"/>
                <w:szCs w:val="21"/>
                <w:lang w:val="en-US" w:eastAsia="zh-CN"/>
              </w:rPr>
              <w:t>（无组织）</w:t>
            </w:r>
          </w:p>
        </w:tc>
        <w:tc>
          <w:tcPr>
            <w:tcW w:w="1113" w:type="dxa"/>
            <w:tcBorders>
              <w:tl2br w:val="nil"/>
              <w:tr2bl w:val="nil"/>
            </w:tcBorders>
            <w:vAlign w:val="center"/>
          </w:tcPr>
          <w:p w14:paraId="11168F8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发酵</w:t>
            </w:r>
          </w:p>
        </w:tc>
        <w:tc>
          <w:tcPr>
            <w:tcW w:w="1467" w:type="dxa"/>
            <w:tcBorders>
              <w:tl2br w:val="nil"/>
              <w:tr2bl w:val="nil"/>
            </w:tcBorders>
            <w:vAlign w:val="center"/>
          </w:tcPr>
          <w:p w14:paraId="470D9D0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臭气浓度、氨、硫化氢</w:t>
            </w:r>
          </w:p>
        </w:tc>
        <w:tc>
          <w:tcPr>
            <w:tcW w:w="2085" w:type="dxa"/>
            <w:vMerge w:val="continue"/>
            <w:tcBorders>
              <w:tl2br w:val="nil"/>
              <w:tr2bl w:val="nil"/>
            </w:tcBorders>
            <w:vAlign w:val="center"/>
          </w:tcPr>
          <w:p w14:paraId="1AD0791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49" w:type="dxa"/>
            <w:vMerge w:val="continue"/>
            <w:tcBorders>
              <w:tl2br w:val="nil"/>
              <w:tr2bl w:val="nil"/>
            </w:tcBorders>
            <w:vAlign w:val="center"/>
          </w:tcPr>
          <w:p w14:paraId="7320639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1468" w:type="dxa"/>
            <w:vMerge w:val="continue"/>
            <w:tcBorders>
              <w:tl2br w:val="nil"/>
              <w:tr2bl w:val="nil"/>
            </w:tcBorders>
            <w:vAlign w:val="center"/>
          </w:tcPr>
          <w:p w14:paraId="7865DD4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r>
      <w:tr w14:paraId="26BB19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tcBorders>
              <w:tl2br w:val="nil"/>
              <w:tr2bl w:val="nil"/>
            </w:tcBorders>
            <w:vAlign w:val="center"/>
          </w:tcPr>
          <w:p w14:paraId="5DF12FF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废水</w:t>
            </w:r>
          </w:p>
        </w:tc>
        <w:tc>
          <w:tcPr>
            <w:tcW w:w="871" w:type="dxa"/>
            <w:tcBorders>
              <w:tl2br w:val="nil"/>
              <w:tr2bl w:val="nil"/>
            </w:tcBorders>
            <w:vAlign w:val="center"/>
          </w:tcPr>
          <w:p w14:paraId="1DF0A99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W1生活污水</w:t>
            </w:r>
          </w:p>
        </w:tc>
        <w:tc>
          <w:tcPr>
            <w:tcW w:w="1113" w:type="dxa"/>
            <w:tcBorders>
              <w:tl2br w:val="nil"/>
              <w:tr2bl w:val="nil"/>
            </w:tcBorders>
            <w:vAlign w:val="center"/>
          </w:tcPr>
          <w:p w14:paraId="583EC1F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办公生活</w:t>
            </w:r>
          </w:p>
        </w:tc>
        <w:tc>
          <w:tcPr>
            <w:tcW w:w="1467" w:type="dxa"/>
            <w:tcBorders>
              <w:tl2br w:val="nil"/>
              <w:tr2bl w:val="nil"/>
            </w:tcBorders>
            <w:vAlign w:val="center"/>
          </w:tcPr>
          <w:p w14:paraId="5F6FF3A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pH、COD、BOD</w:t>
            </w:r>
            <w:r>
              <w:rPr>
                <w:rFonts w:hint="eastAsia" w:ascii="Times New Roman" w:hAnsi="Times New Roman" w:eastAsia="宋体" w:cs="宋体"/>
                <w:color w:val="auto"/>
                <w:kern w:val="0"/>
                <w:sz w:val="21"/>
                <w:szCs w:val="21"/>
                <w:vertAlign w:val="subscript"/>
                <w:lang w:val="en-US" w:eastAsia="zh-CN"/>
              </w:rPr>
              <w:t>5</w:t>
            </w:r>
            <w:r>
              <w:rPr>
                <w:rFonts w:hint="eastAsia" w:ascii="Times New Roman" w:hAnsi="Times New Roman" w:eastAsia="宋体" w:cs="宋体"/>
                <w:color w:val="auto"/>
                <w:kern w:val="0"/>
                <w:sz w:val="21"/>
                <w:szCs w:val="21"/>
                <w:lang w:val="en-US" w:eastAsia="zh-CN"/>
              </w:rPr>
              <w:t>、SS、氨氮</w:t>
            </w:r>
          </w:p>
        </w:tc>
        <w:tc>
          <w:tcPr>
            <w:tcW w:w="2085" w:type="dxa"/>
            <w:tcBorders>
              <w:tl2br w:val="nil"/>
              <w:tr2bl w:val="nil"/>
            </w:tcBorders>
            <w:vAlign w:val="center"/>
          </w:tcPr>
          <w:p w14:paraId="18EA178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防渗化粪池</w:t>
            </w:r>
          </w:p>
        </w:tc>
        <w:tc>
          <w:tcPr>
            <w:tcW w:w="849" w:type="dxa"/>
            <w:tcBorders>
              <w:tl2br w:val="nil"/>
              <w:tr2bl w:val="nil"/>
            </w:tcBorders>
            <w:vAlign w:val="center"/>
          </w:tcPr>
          <w:p w14:paraId="37F19CE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间接排放</w:t>
            </w:r>
          </w:p>
        </w:tc>
        <w:tc>
          <w:tcPr>
            <w:tcW w:w="1468" w:type="dxa"/>
            <w:tcBorders>
              <w:tl2br w:val="nil"/>
              <w:tr2bl w:val="nil"/>
            </w:tcBorders>
            <w:vAlign w:val="center"/>
          </w:tcPr>
          <w:p w14:paraId="4E4ED23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DW001（生活污水排放口）</w:t>
            </w:r>
          </w:p>
        </w:tc>
      </w:tr>
      <w:tr w14:paraId="65EBF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restart"/>
            <w:tcBorders>
              <w:tl2br w:val="nil"/>
              <w:tr2bl w:val="nil"/>
            </w:tcBorders>
            <w:vAlign w:val="center"/>
          </w:tcPr>
          <w:p w14:paraId="16B6668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噪声</w:t>
            </w:r>
          </w:p>
        </w:tc>
        <w:tc>
          <w:tcPr>
            <w:tcW w:w="871" w:type="dxa"/>
            <w:tcBorders>
              <w:tl2br w:val="nil"/>
              <w:tr2bl w:val="nil"/>
            </w:tcBorders>
            <w:vAlign w:val="center"/>
          </w:tcPr>
          <w:p w14:paraId="3453C62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N1</w:t>
            </w:r>
            <w:r>
              <w:rPr>
                <w:rFonts w:hint="eastAsia" w:ascii="Times New Roman" w:hAnsi="Times New Roman" w:cs="宋体"/>
                <w:color w:val="auto"/>
                <w:kern w:val="0"/>
                <w:sz w:val="21"/>
                <w:szCs w:val="21"/>
                <w:lang w:val="en-US" w:eastAsia="zh-CN"/>
              </w:rPr>
              <w:t>粉碎机</w:t>
            </w:r>
            <w:r>
              <w:rPr>
                <w:rFonts w:hint="eastAsia" w:ascii="Times New Roman" w:hAnsi="Times New Roman" w:eastAsia="宋体" w:cs="宋体"/>
                <w:color w:val="auto"/>
                <w:kern w:val="0"/>
                <w:sz w:val="21"/>
                <w:szCs w:val="21"/>
                <w:lang w:val="en-US" w:eastAsia="zh-CN"/>
              </w:rPr>
              <w:t>噪声</w:t>
            </w:r>
          </w:p>
        </w:tc>
        <w:tc>
          <w:tcPr>
            <w:tcW w:w="1113" w:type="dxa"/>
            <w:tcBorders>
              <w:tl2br w:val="nil"/>
              <w:tr2bl w:val="nil"/>
            </w:tcBorders>
            <w:vAlign w:val="center"/>
          </w:tcPr>
          <w:p w14:paraId="5D685AD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476BB41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48EFB0C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Times New Roman"/>
                <w:spacing w:val="-1"/>
                <w:sz w:val="21"/>
                <w:szCs w:val="21"/>
              </w:rPr>
              <w:t>减振+建筑物隔声</w:t>
            </w:r>
          </w:p>
        </w:tc>
        <w:tc>
          <w:tcPr>
            <w:tcW w:w="849" w:type="dxa"/>
            <w:tcBorders>
              <w:tl2br w:val="nil"/>
              <w:tr2bl w:val="nil"/>
            </w:tcBorders>
            <w:vAlign w:val="center"/>
          </w:tcPr>
          <w:p w14:paraId="7A008FB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1E58706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179486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3F7EE91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6242D87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N2固定式TMR机噪声</w:t>
            </w:r>
          </w:p>
        </w:tc>
        <w:tc>
          <w:tcPr>
            <w:tcW w:w="1113" w:type="dxa"/>
            <w:tcBorders>
              <w:tl2br w:val="nil"/>
              <w:tr2bl w:val="nil"/>
            </w:tcBorders>
            <w:vAlign w:val="center"/>
          </w:tcPr>
          <w:p w14:paraId="669061D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6719F92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0320AED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default" w:ascii="Times New Roman" w:hAnsi="Times New Roman" w:eastAsia="宋体" w:cs="Times New Roman"/>
                <w:spacing w:val="-1"/>
                <w:sz w:val="21"/>
                <w:szCs w:val="21"/>
              </w:rPr>
              <w:t>减振+建筑物隔声</w:t>
            </w:r>
          </w:p>
        </w:tc>
        <w:tc>
          <w:tcPr>
            <w:tcW w:w="849" w:type="dxa"/>
            <w:tcBorders>
              <w:tl2br w:val="nil"/>
              <w:tr2bl w:val="nil"/>
            </w:tcBorders>
            <w:vAlign w:val="center"/>
          </w:tcPr>
          <w:p w14:paraId="5E57805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3780E00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62A082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1BAE3FC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560F377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w:t>
            </w:r>
            <w:r>
              <w:rPr>
                <w:rFonts w:hint="eastAsia" w:ascii="Times New Roman" w:hAnsi="Times New Roman" w:cs="宋体"/>
                <w:color w:val="auto"/>
                <w:kern w:val="0"/>
                <w:sz w:val="21"/>
                <w:szCs w:val="21"/>
                <w:lang w:val="en-US" w:eastAsia="zh-CN"/>
              </w:rPr>
              <w:t>3</w:t>
            </w:r>
            <w:r>
              <w:rPr>
                <w:rFonts w:hint="eastAsia" w:ascii="Times New Roman" w:hAnsi="Times New Roman" w:eastAsia="宋体" w:cs="宋体"/>
                <w:color w:val="auto"/>
                <w:kern w:val="0"/>
                <w:sz w:val="21"/>
                <w:szCs w:val="21"/>
                <w:highlight w:val="none"/>
                <w:lang w:val="en-US" w:eastAsia="zh-CN"/>
              </w:rPr>
              <w:t>移动源</w:t>
            </w:r>
            <w:r>
              <w:rPr>
                <w:rFonts w:hint="eastAsia" w:ascii="Times New Roman" w:hAnsi="Times New Roman" w:eastAsia="宋体" w:cs="宋体"/>
                <w:color w:val="auto"/>
                <w:kern w:val="0"/>
                <w:sz w:val="21"/>
                <w:szCs w:val="21"/>
                <w:lang w:val="en-US" w:eastAsia="zh-CN"/>
              </w:rPr>
              <w:t>撒料车噪声N3</w:t>
            </w:r>
          </w:p>
        </w:tc>
        <w:tc>
          <w:tcPr>
            <w:tcW w:w="1113" w:type="dxa"/>
            <w:tcBorders>
              <w:tl2br w:val="nil"/>
              <w:tr2bl w:val="nil"/>
            </w:tcBorders>
            <w:vAlign w:val="center"/>
          </w:tcPr>
          <w:p w14:paraId="0DE311A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1FB472B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3CE27FB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spacing w:val="-1"/>
                <w:sz w:val="21"/>
                <w:szCs w:val="21"/>
              </w:rPr>
            </w:pPr>
            <w:r>
              <w:rPr>
                <w:rFonts w:hint="eastAsia" w:ascii="Times New Roman" w:hAnsi="Times New Roman" w:eastAsia="宋体" w:cs="Times New Roman"/>
                <w:spacing w:val="-1"/>
                <w:sz w:val="21"/>
                <w:szCs w:val="21"/>
                <w:lang w:val="en-US" w:eastAsia="zh-CN"/>
              </w:rPr>
              <w:t>基础减振+距离衰减</w:t>
            </w:r>
          </w:p>
        </w:tc>
        <w:tc>
          <w:tcPr>
            <w:tcW w:w="849" w:type="dxa"/>
            <w:tcBorders>
              <w:tl2br w:val="nil"/>
              <w:tr2bl w:val="nil"/>
            </w:tcBorders>
            <w:vAlign w:val="center"/>
          </w:tcPr>
          <w:p w14:paraId="228C8CD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2C5D51D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6ACB8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7872915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2AABAE6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w:t>
            </w:r>
            <w:r>
              <w:rPr>
                <w:rFonts w:hint="eastAsia" w:ascii="Times New Roman" w:hAnsi="Times New Roman" w:cs="宋体"/>
                <w:color w:val="auto"/>
                <w:kern w:val="0"/>
                <w:sz w:val="21"/>
                <w:szCs w:val="21"/>
                <w:lang w:val="en-US" w:eastAsia="zh-CN"/>
              </w:rPr>
              <w:t>4养殖</w:t>
            </w:r>
            <w:r>
              <w:rPr>
                <w:rFonts w:hint="eastAsia" w:ascii="Times New Roman" w:hAnsi="Times New Roman" w:eastAsia="宋体" w:cs="宋体"/>
                <w:color w:val="auto"/>
                <w:kern w:val="0"/>
                <w:sz w:val="21"/>
                <w:szCs w:val="21"/>
                <w:lang w:val="en-US" w:eastAsia="zh-CN"/>
              </w:rPr>
              <w:t>噪声</w:t>
            </w:r>
          </w:p>
        </w:tc>
        <w:tc>
          <w:tcPr>
            <w:tcW w:w="1113" w:type="dxa"/>
            <w:tcBorders>
              <w:tl2br w:val="nil"/>
              <w:tr2bl w:val="nil"/>
            </w:tcBorders>
            <w:vAlign w:val="center"/>
          </w:tcPr>
          <w:p w14:paraId="3151AFD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养殖</w:t>
            </w:r>
          </w:p>
        </w:tc>
        <w:tc>
          <w:tcPr>
            <w:tcW w:w="1467" w:type="dxa"/>
            <w:tcBorders>
              <w:tl2br w:val="nil"/>
              <w:tr2bl w:val="nil"/>
            </w:tcBorders>
            <w:vAlign w:val="center"/>
          </w:tcPr>
          <w:p w14:paraId="5E68442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牛叫</w:t>
            </w:r>
          </w:p>
        </w:tc>
        <w:tc>
          <w:tcPr>
            <w:tcW w:w="2085" w:type="dxa"/>
            <w:tcBorders>
              <w:tl2br w:val="nil"/>
              <w:tr2bl w:val="nil"/>
            </w:tcBorders>
            <w:vAlign w:val="center"/>
          </w:tcPr>
          <w:p w14:paraId="1AE05D6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Times New Roman"/>
                <w:color w:val="auto"/>
                <w:kern w:val="2"/>
                <w:sz w:val="21"/>
                <w:szCs w:val="20"/>
                <w:lang w:val="en-US" w:eastAsia="zh-CN" w:bidi="ar-SA"/>
              </w:rPr>
              <w:t>厂界围墙隔声、距离衰减</w:t>
            </w:r>
            <w:r>
              <w:rPr>
                <w:rFonts w:hint="eastAsia" w:ascii="Times New Roman" w:hAnsi="Times New Roman" w:eastAsia="宋体" w:cs="Times New Roman"/>
                <w:color w:val="auto"/>
                <w:kern w:val="2"/>
                <w:sz w:val="21"/>
                <w:szCs w:val="20"/>
                <w:lang w:val="en-US" w:eastAsia="zh-CN" w:bidi="ar-SA"/>
              </w:rPr>
              <w:t>，避免牛受惊扰，之间互相顶撞</w:t>
            </w:r>
          </w:p>
        </w:tc>
        <w:tc>
          <w:tcPr>
            <w:tcW w:w="849" w:type="dxa"/>
            <w:tcBorders>
              <w:tl2br w:val="nil"/>
              <w:tr2bl w:val="nil"/>
            </w:tcBorders>
            <w:vAlign w:val="center"/>
          </w:tcPr>
          <w:p w14:paraId="610F943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1F13B5A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1C4D7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256622A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1F8CE4C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w:t>
            </w:r>
            <w:r>
              <w:rPr>
                <w:rFonts w:hint="eastAsia" w:ascii="Times New Roman" w:hAnsi="Times New Roman" w:cs="宋体"/>
                <w:color w:val="auto"/>
                <w:kern w:val="0"/>
                <w:sz w:val="21"/>
                <w:szCs w:val="21"/>
                <w:lang w:val="en-US" w:eastAsia="zh-CN"/>
              </w:rPr>
              <w:t>5</w:t>
            </w:r>
            <w:r>
              <w:rPr>
                <w:rFonts w:hint="eastAsia" w:ascii="Times New Roman" w:hAnsi="Times New Roman" w:eastAsia="宋体" w:cs="宋体"/>
                <w:color w:val="auto"/>
                <w:kern w:val="0"/>
                <w:sz w:val="21"/>
                <w:szCs w:val="21"/>
                <w:lang w:val="en-US" w:eastAsia="zh-CN"/>
              </w:rPr>
              <w:t>移动源牛床铺料机噪声</w:t>
            </w:r>
          </w:p>
        </w:tc>
        <w:tc>
          <w:tcPr>
            <w:tcW w:w="1113" w:type="dxa"/>
            <w:tcBorders>
              <w:tl2br w:val="nil"/>
              <w:tr2bl w:val="nil"/>
            </w:tcBorders>
            <w:vAlign w:val="center"/>
          </w:tcPr>
          <w:p w14:paraId="4760BCD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0EB7338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3AAD949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Times New Roman"/>
                <w:spacing w:val="-1"/>
                <w:sz w:val="21"/>
                <w:szCs w:val="21"/>
                <w:lang w:val="en-US" w:eastAsia="zh-CN"/>
              </w:rPr>
              <w:t>基础减振+距离衰减</w:t>
            </w:r>
          </w:p>
        </w:tc>
        <w:tc>
          <w:tcPr>
            <w:tcW w:w="849" w:type="dxa"/>
            <w:tcBorders>
              <w:tl2br w:val="nil"/>
              <w:tr2bl w:val="nil"/>
            </w:tcBorders>
            <w:vAlign w:val="center"/>
          </w:tcPr>
          <w:p w14:paraId="4E06557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207EC4D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1BFD6A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7434A3E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2145419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N6</w:t>
            </w:r>
            <w:r>
              <w:rPr>
                <w:rFonts w:hint="eastAsia" w:ascii="Times New Roman" w:hAnsi="Times New Roman" w:eastAsia="宋体" w:cs="宋体"/>
                <w:color w:val="auto"/>
                <w:kern w:val="0"/>
                <w:sz w:val="21"/>
                <w:szCs w:val="21"/>
                <w:highlight w:val="none"/>
                <w:lang w:val="en-US" w:eastAsia="zh-CN"/>
              </w:rPr>
              <w:t>移动源</w:t>
            </w:r>
            <w:r>
              <w:rPr>
                <w:rFonts w:hint="eastAsia" w:ascii="Times New Roman" w:hAnsi="Times New Roman" w:eastAsia="宋体" w:cs="宋体"/>
                <w:color w:val="auto"/>
                <w:kern w:val="0"/>
                <w:sz w:val="21"/>
                <w:szCs w:val="21"/>
                <w:lang w:val="en-US" w:eastAsia="zh-CN"/>
              </w:rPr>
              <w:t>吸污车噪声</w:t>
            </w:r>
          </w:p>
        </w:tc>
        <w:tc>
          <w:tcPr>
            <w:tcW w:w="1113" w:type="dxa"/>
            <w:tcBorders>
              <w:tl2br w:val="nil"/>
              <w:tr2bl w:val="nil"/>
            </w:tcBorders>
            <w:vAlign w:val="center"/>
          </w:tcPr>
          <w:p w14:paraId="7012515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5201DBE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35CA2C2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spacing w:val="-1"/>
                <w:sz w:val="21"/>
                <w:szCs w:val="21"/>
                <w:lang w:val="en-US" w:eastAsia="zh-CN"/>
              </w:rPr>
            </w:pPr>
            <w:r>
              <w:rPr>
                <w:rFonts w:hint="eastAsia" w:ascii="Times New Roman" w:hAnsi="Times New Roman" w:eastAsia="宋体" w:cs="Times New Roman"/>
                <w:spacing w:val="-1"/>
                <w:sz w:val="21"/>
                <w:szCs w:val="21"/>
                <w:lang w:val="en-US" w:eastAsia="zh-CN"/>
              </w:rPr>
              <w:t>基础减振+距离衰减</w:t>
            </w:r>
          </w:p>
        </w:tc>
        <w:tc>
          <w:tcPr>
            <w:tcW w:w="849" w:type="dxa"/>
            <w:tcBorders>
              <w:tl2br w:val="nil"/>
              <w:tr2bl w:val="nil"/>
            </w:tcBorders>
            <w:vAlign w:val="center"/>
          </w:tcPr>
          <w:p w14:paraId="4662FDA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5ECA40A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5F8E7C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7149AD4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144F746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N7移动源清粪车噪声</w:t>
            </w:r>
          </w:p>
        </w:tc>
        <w:tc>
          <w:tcPr>
            <w:tcW w:w="1113" w:type="dxa"/>
            <w:tcBorders>
              <w:tl2br w:val="nil"/>
              <w:tr2bl w:val="nil"/>
            </w:tcBorders>
            <w:vAlign w:val="center"/>
          </w:tcPr>
          <w:p w14:paraId="02F02BD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设备运行</w:t>
            </w:r>
          </w:p>
        </w:tc>
        <w:tc>
          <w:tcPr>
            <w:tcW w:w="1467" w:type="dxa"/>
            <w:tcBorders>
              <w:tl2br w:val="nil"/>
              <w:tr2bl w:val="nil"/>
            </w:tcBorders>
            <w:vAlign w:val="center"/>
          </w:tcPr>
          <w:p w14:paraId="28A313F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机械噪声</w:t>
            </w:r>
          </w:p>
        </w:tc>
        <w:tc>
          <w:tcPr>
            <w:tcW w:w="2085" w:type="dxa"/>
            <w:tcBorders>
              <w:tl2br w:val="nil"/>
              <w:tr2bl w:val="nil"/>
            </w:tcBorders>
            <w:vAlign w:val="center"/>
          </w:tcPr>
          <w:p w14:paraId="09DBFCE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Times New Roman"/>
                <w:spacing w:val="-1"/>
                <w:sz w:val="21"/>
                <w:szCs w:val="21"/>
                <w:highlight w:val="none"/>
                <w:lang w:val="en-US" w:eastAsia="zh-CN"/>
              </w:rPr>
              <w:t>基础减振+距离衰减</w:t>
            </w:r>
          </w:p>
        </w:tc>
        <w:tc>
          <w:tcPr>
            <w:tcW w:w="849" w:type="dxa"/>
            <w:tcBorders>
              <w:tl2br w:val="nil"/>
              <w:tr2bl w:val="nil"/>
            </w:tcBorders>
            <w:vAlign w:val="center"/>
          </w:tcPr>
          <w:p w14:paraId="1663045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rPr>
              <w:t>/</w:t>
            </w:r>
          </w:p>
        </w:tc>
        <w:tc>
          <w:tcPr>
            <w:tcW w:w="1468" w:type="dxa"/>
            <w:tcBorders>
              <w:tl2br w:val="nil"/>
              <w:tr2bl w:val="nil"/>
            </w:tcBorders>
            <w:vAlign w:val="center"/>
          </w:tcPr>
          <w:p w14:paraId="2698B85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rPr>
              <w:t>/</w:t>
            </w:r>
          </w:p>
        </w:tc>
      </w:tr>
      <w:tr w14:paraId="10810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2088EB5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6F2D424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N8泵类噪声</w:t>
            </w:r>
          </w:p>
        </w:tc>
        <w:tc>
          <w:tcPr>
            <w:tcW w:w="1113" w:type="dxa"/>
            <w:tcBorders>
              <w:tl2br w:val="nil"/>
              <w:tr2bl w:val="nil"/>
            </w:tcBorders>
            <w:vAlign w:val="center"/>
          </w:tcPr>
          <w:p w14:paraId="7E66E96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448F09E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4FE2BC5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Times New Roman"/>
                <w:spacing w:val="-1"/>
                <w:sz w:val="21"/>
                <w:szCs w:val="21"/>
                <w:lang w:val="en-US" w:eastAsia="zh-CN"/>
              </w:rPr>
              <w:t>基础减振+距离衰减</w:t>
            </w:r>
          </w:p>
        </w:tc>
        <w:tc>
          <w:tcPr>
            <w:tcW w:w="849" w:type="dxa"/>
            <w:tcBorders>
              <w:tl2br w:val="nil"/>
              <w:tr2bl w:val="nil"/>
            </w:tcBorders>
            <w:vAlign w:val="center"/>
          </w:tcPr>
          <w:p w14:paraId="1BB5D89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09BAFC4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1D069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6FBB66F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47D2803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w:t>
            </w:r>
            <w:r>
              <w:rPr>
                <w:rFonts w:hint="eastAsia" w:ascii="Times New Roman" w:hAnsi="Times New Roman" w:cs="宋体"/>
                <w:color w:val="auto"/>
                <w:kern w:val="0"/>
                <w:sz w:val="21"/>
                <w:szCs w:val="21"/>
                <w:lang w:val="en-US" w:eastAsia="zh-CN"/>
              </w:rPr>
              <w:t>9</w:t>
            </w:r>
            <w:r>
              <w:rPr>
                <w:rFonts w:hint="eastAsia" w:ascii="Times New Roman" w:hAnsi="Times New Roman" w:eastAsia="宋体" w:cs="宋体"/>
                <w:color w:val="auto"/>
                <w:kern w:val="0"/>
                <w:sz w:val="21"/>
                <w:szCs w:val="21"/>
                <w:lang w:val="en-US" w:eastAsia="zh-CN"/>
              </w:rPr>
              <w:t>翻抛机噪声</w:t>
            </w:r>
          </w:p>
        </w:tc>
        <w:tc>
          <w:tcPr>
            <w:tcW w:w="1113" w:type="dxa"/>
            <w:tcBorders>
              <w:tl2br w:val="nil"/>
              <w:tr2bl w:val="nil"/>
            </w:tcBorders>
            <w:vAlign w:val="center"/>
          </w:tcPr>
          <w:p w14:paraId="64F55E9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239022A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7D96C2A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default" w:ascii="Times New Roman" w:hAnsi="Times New Roman" w:eastAsia="宋体" w:cs="Times New Roman"/>
                <w:spacing w:val="-1"/>
                <w:sz w:val="21"/>
                <w:szCs w:val="21"/>
              </w:rPr>
              <w:t>减振+建筑物隔声</w:t>
            </w:r>
          </w:p>
        </w:tc>
        <w:tc>
          <w:tcPr>
            <w:tcW w:w="849" w:type="dxa"/>
            <w:tcBorders>
              <w:tl2br w:val="nil"/>
              <w:tr2bl w:val="nil"/>
            </w:tcBorders>
            <w:vAlign w:val="center"/>
          </w:tcPr>
          <w:p w14:paraId="13ADF7E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574B7FA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3B6F0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5D3282E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2BD9D3D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w:t>
            </w:r>
            <w:r>
              <w:rPr>
                <w:rFonts w:hint="eastAsia" w:ascii="Times New Roman" w:hAnsi="Times New Roman" w:cs="宋体"/>
                <w:color w:val="auto"/>
                <w:kern w:val="0"/>
                <w:sz w:val="21"/>
                <w:szCs w:val="21"/>
                <w:lang w:val="en-US" w:eastAsia="zh-CN"/>
              </w:rPr>
              <w:t>10</w:t>
            </w:r>
            <w:r>
              <w:rPr>
                <w:rFonts w:hint="eastAsia" w:ascii="Times New Roman" w:hAnsi="Times New Roman" w:eastAsia="宋体" w:cs="宋体"/>
                <w:color w:val="auto"/>
                <w:kern w:val="0"/>
                <w:sz w:val="21"/>
                <w:szCs w:val="21"/>
                <w:lang w:val="en-US" w:eastAsia="zh-CN"/>
              </w:rPr>
              <w:t>混料机噪声</w:t>
            </w:r>
          </w:p>
        </w:tc>
        <w:tc>
          <w:tcPr>
            <w:tcW w:w="1113" w:type="dxa"/>
            <w:tcBorders>
              <w:tl2br w:val="nil"/>
              <w:tr2bl w:val="nil"/>
            </w:tcBorders>
            <w:vAlign w:val="center"/>
          </w:tcPr>
          <w:p w14:paraId="7EC2657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6B8ABA1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4B7DFA4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default" w:ascii="Times New Roman" w:hAnsi="Times New Roman" w:eastAsia="宋体" w:cs="Times New Roman"/>
                <w:spacing w:val="-1"/>
                <w:sz w:val="21"/>
                <w:szCs w:val="21"/>
              </w:rPr>
              <w:t>减振+建筑物隔声</w:t>
            </w:r>
          </w:p>
        </w:tc>
        <w:tc>
          <w:tcPr>
            <w:tcW w:w="849" w:type="dxa"/>
            <w:tcBorders>
              <w:tl2br w:val="nil"/>
              <w:tr2bl w:val="nil"/>
            </w:tcBorders>
            <w:vAlign w:val="center"/>
          </w:tcPr>
          <w:p w14:paraId="72540B5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042FBBD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045D0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Merge w:val="continue"/>
            <w:tcBorders>
              <w:tl2br w:val="nil"/>
              <w:tr2bl w:val="nil"/>
            </w:tcBorders>
            <w:vAlign w:val="center"/>
          </w:tcPr>
          <w:p w14:paraId="29CDB9E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646D0C9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N</w:t>
            </w:r>
            <w:r>
              <w:rPr>
                <w:rFonts w:hint="eastAsia" w:ascii="Times New Roman" w:hAnsi="Times New Roman" w:cs="宋体"/>
                <w:color w:val="auto"/>
                <w:kern w:val="0"/>
                <w:sz w:val="21"/>
                <w:szCs w:val="21"/>
                <w:lang w:val="en-US" w:eastAsia="zh-CN"/>
              </w:rPr>
              <w:t>11</w:t>
            </w:r>
            <w:r>
              <w:rPr>
                <w:rFonts w:hint="eastAsia" w:ascii="Times New Roman" w:hAnsi="Times New Roman" w:eastAsia="宋体" w:cs="宋体"/>
                <w:color w:val="auto"/>
                <w:kern w:val="0"/>
                <w:sz w:val="21"/>
                <w:szCs w:val="21"/>
                <w:lang w:val="en-US" w:eastAsia="zh-CN"/>
              </w:rPr>
              <w:t>风机噪声</w:t>
            </w:r>
          </w:p>
        </w:tc>
        <w:tc>
          <w:tcPr>
            <w:tcW w:w="1113" w:type="dxa"/>
            <w:tcBorders>
              <w:tl2br w:val="nil"/>
              <w:tr2bl w:val="nil"/>
            </w:tcBorders>
            <w:vAlign w:val="center"/>
          </w:tcPr>
          <w:p w14:paraId="78EF3C7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设备运行</w:t>
            </w:r>
          </w:p>
        </w:tc>
        <w:tc>
          <w:tcPr>
            <w:tcW w:w="1467" w:type="dxa"/>
            <w:tcBorders>
              <w:tl2br w:val="nil"/>
              <w:tr2bl w:val="nil"/>
            </w:tcBorders>
            <w:vAlign w:val="center"/>
          </w:tcPr>
          <w:p w14:paraId="35C68E3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机械噪声</w:t>
            </w:r>
          </w:p>
        </w:tc>
        <w:tc>
          <w:tcPr>
            <w:tcW w:w="2085" w:type="dxa"/>
            <w:tcBorders>
              <w:tl2br w:val="nil"/>
              <w:tr2bl w:val="nil"/>
            </w:tcBorders>
            <w:vAlign w:val="center"/>
          </w:tcPr>
          <w:p w14:paraId="4AB34EA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default" w:ascii="Times New Roman" w:hAnsi="Times New Roman" w:eastAsia="宋体" w:cs="Times New Roman"/>
                <w:spacing w:val="-1"/>
                <w:sz w:val="21"/>
                <w:szCs w:val="21"/>
              </w:rPr>
              <w:t>减振+建筑物隔声</w:t>
            </w:r>
          </w:p>
        </w:tc>
        <w:tc>
          <w:tcPr>
            <w:tcW w:w="849" w:type="dxa"/>
            <w:tcBorders>
              <w:tl2br w:val="nil"/>
              <w:tr2bl w:val="nil"/>
            </w:tcBorders>
            <w:vAlign w:val="center"/>
          </w:tcPr>
          <w:p w14:paraId="7E6C04C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1F28463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7AE5E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restart"/>
            <w:tcBorders>
              <w:tl2br w:val="nil"/>
              <w:tr2bl w:val="nil"/>
            </w:tcBorders>
            <w:vAlign w:val="center"/>
          </w:tcPr>
          <w:p w14:paraId="3C60786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固体废物</w:t>
            </w:r>
          </w:p>
        </w:tc>
        <w:tc>
          <w:tcPr>
            <w:tcW w:w="871" w:type="dxa"/>
            <w:vMerge w:val="restart"/>
            <w:tcBorders>
              <w:tl2br w:val="nil"/>
              <w:tr2bl w:val="nil"/>
            </w:tcBorders>
            <w:vAlign w:val="center"/>
          </w:tcPr>
          <w:p w14:paraId="5512DA0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S1废包装</w:t>
            </w:r>
            <w:r>
              <w:rPr>
                <w:rFonts w:hint="eastAsia" w:ascii="Times New Roman" w:hAnsi="Times New Roman" w:cs="宋体"/>
                <w:color w:val="auto"/>
                <w:kern w:val="0"/>
                <w:sz w:val="21"/>
                <w:szCs w:val="21"/>
                <w:lang w:val="en-US" w:eastAsia="zh-CN"/>
              </w:rPr>
              <w:t>材料</w:t>
            </w:r>
          </w:p>
        </w:tc>
        <w:tc>
          <w:tcPr>
            <w:tcW w:w="1113" w:type="dxa"/>
            <w:tcBorders>
              <w:tl2br w:val="nil"/>
              <w:tr2bl w:val="nil"/>
            </w:tcBorders>
            <w:vAlign w:val="center"/>
          </w:tcPr>
          <w:p w14:paraId="10E5FF2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饲料混合</w:t>
            </w:r>
          </w:p>
        </w:tc>
        <w:tc>
          <w:tcPr>
            <w:tcW w:w="1467" w:type="dxa"/>
            <w:vMerge w:val="restart"/>
            <w:tcBorders>
              <w:tl2br w:val="nil"/>
              <w:tr2bl w:val="nil"/>
            </w:tcBorders>
            <w:vAlign w:val="center"/>
          </w:tcPr>
          <w:p w14:paraId="64A91CA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废包装</w:t>
            </w:r>
            <w:r>
              <w:rPr>
                <w:rFonts w:hint="eastAsia" w:ascii="Times New Roman" w:hAnsi="Times New Roman" w:cs="宋体"/>
                <w:color w:val="auto"/>
                <w:kern w:val="0"/>
                <w:sz w:val="21"/>
                <w:szCs w:val="21"/>
                <w:lang w:val="en-US" w:eastAsia="zh-CN"/>
              </w:rPr>
              <w:t>材料</w:t>
            </w:r>
          </w:p>
        </w:tc>
        <w:tc>
          <w:tcPr>
            <w:tcW w:w="2085" w:type="dxa"/>
            <w:tcBorders>
              <w:tl2br w:val="nil"/>
              <w:tr2bl w:val="nil"/>
            </w:tcBorders>
            <w:vAlign w:val="center"/>
          </w:tcPr>
          <w:p w14:paraId="1FB1BE8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库房内暂存，外售综合利用</w:t>
            </w:r>
          </w:p>
        </w:tc>
        <w:tc>
          <w:tcPr>
            <w:tcW w:w="849" w:type="dxa"/>
            <w:tcBorders>
              <w:tl2br w:val="nil"/>
              <w:tr2bl w:val="nil"/>
            </w:tcBorders>
            <w:vAlign w:val="center"/>
          </w:tcPr>
          <w:p w14:paraId="0A13623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7C83F02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62F9F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5B856D5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vMerge w:val="continue"/>
            <w:tcBorders>
              <w:tl2br w:val="nil"/>
              <w:tr2bl w:val="nil"/>
            </w:tcBorders>
            <w:vAlign w:val="center"/>
          </w:tcPr>
          <w:p w14:paraId="1FEC18B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1113" w:type="dxa"/>
            <w:tcBorders>
              <w:tl2br w:val="nil"/>
              <w:tr2bl w:val="nil"/>
            </w:tcBorders>
            <w:vAlign w:val="center"/>
          </w:tcPr>
          <w:p w14:paraId="3FD5170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消毒</w:t>
            </w:r>
          </w:p>
        </w:tc>
        <w:tc>
          <w:tcPr>
            <w:tcW w:w="1467" w:type="dxa"/>
            <w:vMerge w:val="continue"/>
            <w:tcBorders>
              <w:tl2br w:val="nil"/>
              <w:tr2bl w:val="nil"/>
            </w:tcBorders>
            <w:vAlign w:val="center"/>
          </w:tcPr>
          <w:p w14:paraId="585CD3D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2085" w:type="dxa"/>
            <w:tcBorders>
              <w:tl2br w:val="nil"/>
              <w:tr2bl w:val="nil"/>
            </w:tcBorders>
            <w:vAlign w:val="center"/>
          </w:tcPr>
          <w:p w14:paraId="2C018B2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危险废物贮存点暂存，委托有资质单位运输处置</w:t>
            </w:r>
          </w:p>
        </w:tc>
        <w:tc>
          <w:tcPr>
            <w:tcW w:w="849" w:type="dxa"/>
            <w:tcBorders>
              <w:tl2br w:val="nil"/>
              <w:tr2bl w:val="nil"/>
            </w:tcBorders>
            <w:vAlign w:val="center"/>
          </w:tcPr>
          <w:p w14:paraId="36F0B15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577D35D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023F1F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4345A1C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4928222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S2除尘灰</w:t>
            </w:r>
          </w:p>
        </w:tc>
        <w:tc>
          <w:tcPr>
            <w:tcW w:w="1113" w:type="dxa"/>
            <w:vMerge w:val="restart"/>
            <w:tcBorders>
              <w:tl2br w:val="nil"/>
              <w:tr2bl w:val="nil"/>
            </w:tcBorders>
            <w:vAlign w:val="center"/>
          </w:tcPr>
          <w:p w14:paraId="678CCA8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废气处理</w:t>
            </w:r>
          </w:p>
        </w:tc>
        <w:tc>
          <w:tcPr>
            <w:tcW w:w="1467" w:type="dxa"/>
            <w:tcBorders>
              <w:tl2br w:val="nil"/>
              <w:tr2bl w:val="nil"/>
            </w:tcBorders>
            <w:vAlign w:val="center"/>
          </w:tcPr>
          <w:p w14:paraId="7A01C8D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除尘灰</w:t>
            </w:r>
          </w:p>
        </w:tc>
        <w:tc>
          <w:tcPr>
            <w:tcW w:w="2085" w:type="dxa"/>
            <w:tcBorders>
              <w:tl2br w:val="nil"/>
              <w:tr2bl w:val="nil"/>
            </w:tcBorders>
            <w:vAlign w:val="center"/>
          </w:tcPr>
          <w:p w14:paraId="3D60AE4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饲料加工除尘灰暂存于库房内，回用于饲料加工；堆肥除尘灰暂存于堆肥间，回用于堆肥</w:t>
            </w:r>
          </w:p>
        </w:tc>
        <w:tc>
          <w:tcPr>
            <w:tcW w:w="849" w:type="dxa"/>
            <w:tcBorders>
              <w:tl2br w:val="nil"/>
              <w:tr2bl w:val="nil"/>
            </w:tcBorders>
            <w:vAlign w:val="center"/>
          </w:tcPr>
          <w:p w14:paraId="43541E9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59C8270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49BC0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1931CF1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06731C6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S3废布袋</w:t>
            </w:r>
          </w:p>
        </w:tc>
        <w:tc>
          <w:tcPr>
            <w:tcW w:w="1113" w:type="dxa"/>
            <w:vMerge w:val="continue"/>
            <w:tcBorders>
              <w:tl2br w:val="nil"/>
              <w:tr2bl w:val="nil"/>
            </w:tcBorders>
            <w:vAlign w:val="center"/>
          </w:tcPr>
          <w:p w14:paraId="5D9012A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p>
        </w:tc>
        <w:tc>
          <w:tcPr>
            <w:tcW w:w="1467" w:type="dxa"/>
            <w:tcBorders>
              <w:tl2br w:val="nil"/>
              <w:tr2bl w:val="nil"/>
            </w:tcBorders>
            <w:vAlign w:val="center"/>
          </w:tcPr>
          <w:p w14:paraId="49FA740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废布袋</w:t>
            </w:r>
          </w:p>
        </w:tc>
        <w:tc>
          <w:tcPr>
            <w:tcW w:w="2085" w:type="dxa"/>
            <w:tcBorders>
              <w:tl2br w:val="nil"/>
              <w:tr2bl w:val="nil"/>
            </w:tcBorders>
            <w:vAlign w:val="center"/>
          </w:tcPr>
          <w:p w14:paraId="6190054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饲料加工、堆肥除尘器废布袋均暂存于堆肥间，原厂回收</w:t>
            </w:r>
          </w:p>
        </w:tc>
        <w:tc>
          <w:tcPr>
            <w:tcW w:w="849" w:type="dxa"/>
            <w:tcBorders>
              <w:tl2br w:val="nil"/>
              <w:tr2bl w:val="nil"/>
            </w:tcBorders>
            <w:vAlign w:val="center"/>
          </w:tcPr>
          <w:p w14:paraId="76199B9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39164E3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42A0A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4DF9156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79BA688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S</w:t>
            </w:r>
            <w:r>
              <w:rPr>
                <w:rFonts w:hint="eastAsia" w:ascii="Times New Roman" w:hAnsi="Times New Roman" w:cs="宋体"/>
                <w:color w:val="auto"/>
                <w:kern w:val="0"/>
                <w:sz w:val="21"/>
                <w:szCs w:val="21"/>
                <w:lang w:val="en-US" w:eastAsia="zh-CN"/>
              </w:rPr>
              <w:t>4</w:t>
            </w:r>
            <w:r>
              <w:rPr>
                <w:rFonts w:hint="eastAsia" w:ascii="Times New Roman" w:hAnsi="Times New Roman" w:eastAsia="宋体" w:cs="宋体"/>
                <w:color w:val="auto"/>
                <w:kern w:val="0"/>
                <w:sz w:val="21"/>
                <w:szCs w:val="21"/>
                <w:lang w:val="en-US" w:eastAsia="zh-CN"/>
              </w:rPr>
              <w:t>养殖粪便及废发酵垫料</w:t>
            </w:r>
          </w:p>
        </w:tc>
        <w:tc>
          <w:tcPr>
            <w:tcW w:w="1113" w:type="dxa"/>
            <w:tcBorders>
              <w:tl2br w:val="nil"/>
              <w:tr2bl w:val="nil"/>
            </w:tcBorders>
            <w:vAlign w:val="center"/>
          </w:tcPr>
          <w:p w14:paraId="23B4B82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养殖</w:t>
            </w:r>
          </w:p>
        </w:tc>
        <w:tc>
          <w:tcPr>
            <w:tcW w:w="1467" w:type="dxa"/>
            <w:tcBorders>
              <w:tl2br w:val="nil"/>
              <w:tr2bl w:val="nil"/>
            </w:tcBorders>
            <w:vAlign w:val="center"/>
          </w:tcPr>
          <w:p w14:paraId="4B97156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养殖粪便及废发酵垫料</w:t>
            </w:r>
          </w:p>
        </w:tc>
        <w:tc>
          <w:tcPr>
            <w:tcW w:w="2085" w:type="dxa"/>
            <w:tcBorders>
              <w:tl2br w:val="nil"/>
              <w:tr2bl w:val="nil"/>
            </w:tcBorders>
            <w:vAlign w:val="center"/>
          </w:tcPr>
          <w:p w14:paraId="0D00BE7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无害化处理后还田</w:t>
            </w:r>
          </w:p>
        </w:tc>
        <w:tc>
          <w:tcPr>
            <w:tcW w:w="849" w:type="dxa"/>
            <w:tcBorders>
              <w:tl2br w:val="nil"/>
              <w:tr2bl w:val="nil"/>
            </w:tcBorders>
            <w:vAlign w:val="center"/>
          </w:tcPr>
          <w:p w14:paraId="575A037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77DF3A7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7D0B9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69A6526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70DB02B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S5</w:t>
            </w:r>
            <w:r>
              <w:rPr>
                <w:rFonts w:hint="default" w:ascii="Times New Roman" w:hAnsi="Times New Roman" w:eastAsia="宋体" w:cs="宋体"/>
                <w:color w:val="auto"/>
                <w:kern w:val="0"/>
                <w:sz w:val="21"/>
                <w:szCs w:val="21"/>
                <w:lang w:val="en-US" w:eastAsia="zh-CN"/>
              </w:rPr>
              <w:t>生活垃圾</w:t>
            </w:r>
          </w:p>
        </w:tc>
        <w:tc>
          <w:tcPr>
            <w:tcW w:w="1113" w:type="dxa"/>
            <w:tcBorders>
              <w:tl2br w:val="nil"/>
              <w:tr2bl w:val="nil"/>
            </w:tcBorders>
            <w:vAlign w:val="center"/>
          </w:tcPr>
          <w:p w14:paraId="5417BF1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员工日常</w:t>
            </w:r>
          </w:p>
        </w:tc>
        <w:tc>
          <w:tcPr>
            <w:tcW w:w="1467" w:type="dxa"/>
            <w:tcBorders>
              <w:tl2br w:val="nil"/>
              <w:tr2bl w:val="nil"/>
            </w:tcBorders>
            <w:vAlign w:val="center"/>
          </w:tcPr>
          <w:p w14:paraId="351B4D2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生活垃圾</w:t>
            </w:r>
          </w:p>
        </w:tc>
        <w:tc>
          <w:tcPr>
            <w:tcW w:w="2085" w:type="dxa"/>
            <w:tcBorders>
              <w:tl2br w:val="nil"/>
              <w:tr2bl w:val="nil"/>
            </w:tcBorders>
            <w:vAlign w:val="center"/>
          </w:tcPr>
          <w:p w14:paraId="64BB089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集中收集后委托环卫部门定期清运</w:t>
            </w:r>
          </w:p>
        </w:tc>
        <w:tc>
          <w:tcPr>
            <w:tcW w:w="849" w:type="dxa"/>
            <w:tcBorders>
              <w:tl2br w:val="nil"/>
              <w:tr2bl w:val="nil"/>
            </w:tcBorders>
            <w:vAlign w:val="center"/>
          </w:tcPr>
          <w:p w14:paraId="6406167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7FD908F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7F3E3E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2353AE5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65BE143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S6病死牛</w:t>
            </w:r>
          </w:p>
        </w:tc>
        <w:tc>
          <w:tcPr>
            <w:tcW w:w="1113" w:type="dxa"/>
            <w:tcBorders>
              <w:tl2br w:val="nil"/>
              <w:tr2bl w:val="nil"/>
            </w:tcBorders>
            <w:vAlign w:val="center"/>
          </w:tcPr>
          <w:p w14:paraId="71718E3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养殖</w:t>
            </w:r>
          </w:p>
        </w:tc>
        <w:tc>
          <w:tcPr>
            <w:tcW w:w="1467" w:type="dxa"/>
            <w:tcBorders>
              <w:tl2br w:val="nil"/>
              <w:tr2bl w:val="nil"/>
            </w:tcBorders>
            <w:vAlign w:val="center"/>
          </w:tcPr>
          <w:p w14:paraId="1FDFEAA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病死牛</w:t>
            </w:r>
          </w:p>
        </w:tc>
        <w:tc>
          <w:tcPr>
            <w:tcW w:w="2085" w:type="dxa"/>
            <w:tcBorders>
              <w:tl2br w:val="nil"/>
              <w:tr2bl w:val="nil"/>
            </w:tcBorders>
            <w:vAlign w:val="center"/>
          </w:tcPr>
          <w:p w14:paraId="7CA9347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暂存于病死牛暂存间，委托病死畜禽无害化处理单位运输处置</w:t>
            </w:r>
          </w:p>
        </w:tc>
        <w:tc>
          <w:tcPr>
            <w:tcW w:w="849" w:type="dxa"/>
            <w:tcBorders>
              <w:tl2br w:val="nil"/>
              <w:tr2bl w:val="nil"/>
            </w:tcBorders>
            <w:vAlign w:val="center"/>
          </w:tcPr>
          <w:p w14:paraId="06EDA5C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353DB66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50902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6EC6E62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3A28865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S</w:t>
            </w:r>
            <w:r>
              <w:rPr>
                <w:rFonts w:hint="eastAsia" w:ascii="Times New Roman" w:hAnsi="Times New Roman" w:cs="宋体"/>
                <w:color w:val="auto"/>
                <w:kern w:val="0"/>
                <w:sz w:val="21"/>
                <w:szCs w:val="21"/>
                <w:lang w:val="en-US" w:eastAsia="zh-CN"/>
              </w:rPr>
              <w:t>7医疗废物</w:t>
            </w:r>
          </w:p>
        </w:tc>
        <w:tc>
          <w:tcPr>
            <w:tcW w:w="1113" w:type="dxa"/>
            <w:tcBorders>
              <w:tl2br w:val="nil"/>
              <w:tr2bl w:val="nil"/>
            </w:tcBorders>
            <w:vAlign w:val="center"/>
          </w:tcPr>
          <w:p w14:paraId="7A644ED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养殖</w:t>
            </w:r>
          </w:p>
        </w:tc>
        <w:tc>
          <w:tcPr>
            <w:tcW w:w="1467" w:type="dxa"/>
            <w:tcBorders>
              <w:tl2br w:val="nil"/>
              <w:tr2bl w:val="nil"/>
            </w:tcBorders>
            <w:vAlign w:val="center"/>
          </w:tcPr>
          <w:p w14:paraId="18F2432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医疗废物</w:t>
            </w:r>
          </w:p>
        </w:tc>
        <w:tc>
          <w:tcPr>
            <w:tcW w:w="2085" w:type="dxa"/>
            <w:tcBorders>
              <w:tl2br w:val="nil"/>
              <w:tr2bl w:val="nil"/>
            </w:tcBorders>
            <w:vAlign w:val="center"/>
          </w:tcPr>
          <w:p w14:paraId="12E8D44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暂存于医疗废物暂存间内，委托有资质单位运输处置</w:t>
            </w:r>
          </w:p>
        </w:tc>
        <w:tc>
          <w:tcPr>
            <w:tcW w:w="849" w:type="dxa"/>
            <w:tcBorders>
              <w:tl2br w:val="nil"/>
              <w:tr2bl w:val="nil"/>
            </w:tcBorders>
            <w:vAlign w:val="center"/>
          </w:tcPr>
          <w:p w14:paraId="0ADB803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017463C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r w14:paraId="2B324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Merge w:val="continue"/>
            <w:tcBorders>
              <w:tl2br w:val="nil"/>
              <w:tr2bl w:val="nil"/>
            </w:tcBorders>
            <w:vAlign w:val="center"/>
          </w:tcPr>
          <w:p w14:paraId="045C459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eastAsia" w:ascii="Times New Roman" w:hAnsi="Times New Roman" w:eastAsia="宋体" w:cs="宋体"/>
                <w:color w:val="auto"/>
                <w:kern w:val="0"/>
                <w:sz w:val="21"/>
                <w:szCs w:val="21"/>
                <w:lang w:val="en-US" w:eastAsia="zh-CN"/>
              </w:rPr>
            </w:pPr>
          </w:p>
        </w:tc>
        <w:tc>
          <w:tcPr>
            <w:tcW w:w="871" w:type="dxa"/>
            <w:tcBorders>
              <w:tl2br w:val="nil"/>
              <w:tr2bl w:val="nil"/>
            </w:tcBorders>
            <w:vAlign w:val="center"/>
          </w:tcPr>
          <w:p w14:paraId="4D34721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cs="宋体"/>
                <w:color w:val="auto"/>
                <w:kern w:val="0"/>
                <w:sz w:val="21"/>
                <w:szCs w:val="21"/>
                <w:lang w:val="en-US" w:eastAsia="zh-CN"/>
              </w:rPr>
              <w:t>S8废填料</w:t>
            </w:r>
          </w:p>
        </w:tc>
        <w:tc>
          <w:tcPr>
            <w:tcW w:w="1113" w:type="dxa"/>
            <w:tcBorders>
              <w:tl2br w:val="nil"/>
              <w:tr2bl w:val="nil"/>
            </w:tcBorders>
            <w:vAlign w:val="center"/>
          </w:tcPr>
          <w:p w14:paraId="5770F18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生物除臭</w:t>
            </w:r>
          </w:p>
        </w:tc>
        <w:tc>
          <w:tcPr>
            <w:tcW w:w="1467" w:type="dxa"/>
            <w:tcBorders>
              <w:tl2br w:val="nil"/>
              <w:tr2bl w:val="nil"/>
            </w:tcBorders>
            <w:vAlign w:val="center"/>
          </w:tcPr>
          <w:p w14:paraId="7F58EDB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废填料</w:t>
            </w:r>
          </w:p>
        </w:tc>
        <w:tc>
          <w:tcPr>
            <w:tcW w:w="2085" w:type="dxa"/>
            <w:tcBorders>
              <w:tl2br w:val="nil"/>
              <w:tr2bl w:val="nil"/>
            </w:tcBorders>
            <w:vAlign w:val="center"/>
          </w:tcPr>
          <w:p w14:paraId="2D6165B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暂存于堆肥间内，外售综合利用</w:t>
            </w:r>
          </w:p>
        </w:tc>
        <w:tc>
          <w:tcPr>
            <w:tcW w:w="849" w:type="dxa"/>
            <w:tcBorders>
              <w:tl2br w:val="nil"/>
              <w:tr2bl w:val="nil"/>
            </w:tcBorders>
            <w:vAlign w:val="center"/>
          </w:tcPr>
          <w:p w14:paraId="6C2E5E8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c>
          <w:tcPr>
            <w:tcW w:w="1468" w:type="dxa"/>
            <w:tcBorders>
              <w:tl2br w:val="nil"/>
              <w:tr2bl w:val="nil"/>
            </w:tcBorders>
            <w:vAlign w:val="center"/>
          </w:tcPr>
          <w:p w14:paraId="20A61B6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cs="宋体"/>
                <w:color w:val="auto"/>
                <w:kern w:val="0"/>
                <w:sz w:val="21"/>
                <w:szCs w:val="21"/>
                <w:lang w:val="en-US" w:eastAsia="zh-CN"/>
              </w:rPr>
            </w:pPr>
            <w:r>
              <w:rPr>
                <w:rFonts w:hint="eastAsia" w:ascii="Times New Roman" w:hAnsi="Times New Roman" w:cs="宋体"/>
                <w:color w:val="auto"/>
                <w:kern w:val="0"/>
                <w:sz w:val="21"/>
                <w:szCs w:val="21"/>
                <w:lang w:val="en-US" w:eastAsia="zh-CN"/>
              </w:rPr>
              <w:t>/</w:t>
            </w:r>
          </w:p>
        </w:tc>
      </w:tr>
    </w:tbl>
    <w:p w14:paraId="1DAF1347">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3.</w:t>
      </w:r>
      <w:r>
        <w:rPr>
          <w:rFonts w:hint="eastAsia" w:cs="Times New Roman"/>
          <w:b/>
          <w:color w:val="auto"/>
          <w:kern w:val="2"/>
          <w:sz w:val="24"/>
          <w:szCs w:val="24"/>
          <w:highlight w:val="none"/>
          <w:lang w:val="en-US" w:eastAsia="zh-CN" w:bidi="ar-SA"/>
        </w:rPr>
        <w:t>3</w:t>
      </w:r>
      <w:r>
        <w:rPr>
          <w:rFonts w:hint="default" w:ascii="Times New Roman" w:hAnsi="Times New Roman" w:eastAsia="宋体" w:cs="Times New Roman"/>
          <w:b/>
          <w:color w:val="auto"/>
          <w:kern w:val="2"/>
          <w:sz w:val="24"/>
          <w:szCs w:val="24"/>
          <w:highlight w:val="none"/>
          <w:lang w:val="en-US" w:eastAsia="zh-CN" w:bidi="ar-SA"/>
        </w:rPr>
        <w:t>.</w:t>
      </w:r>
      <w:r>
        <w:rPr>
          <w:rFonts w:hint="eastAsia" w:cs="Times New Roman"/>
          <w:b/>
          <w:color w:val="auto"/>
          <w:kern w:val="2"/>
          <w:sz w:val="24"/>
          <w:szCs w:val="24"/>
          <w:highlight w:val="none"/>
          <w:lang w:val="en-US" w:eastAsia="zh-CN" w:bidi="ar-SA"/>
        </w:rPr>
        <w:t>4</w:t>
      </w:r>
      <w:r>
        <w:rPr>
          <w:rFonts w:hint="default" w:ascii="Times New Roman" w:hAnsi="Times New Roman" w:eastAsia="宋体" w:cs="Times New Roman"/>
          <w:b/>
          <w:color w:val="auto"/>
          <w:kern w:val="2"/>
          <w:sz w:val="24"/>
          <w:szCs w:val="24"/>
          <w:highlight w:val="none"/>
          <w:lang w:val="en-US" w:eastAsia="zh-CN" w:bidi="ar-SA"/>
        </w:rPr>
        <w:t>.4</w:t>
      </w:r>
      <w:r>
        <w:rPr>
          <w:rFonts w:hint="eastAsia" w:eastAsia="宋体" w:cs="Times New Roman"/>
          <w:b/>
          <w:color w:val="auto"/>
          <w:kern w:val="2"/>
          <w:sz w:val="24"/>
          <w:szCs w:val="24"/>
          <w:highlight w:val="none"/>
          <w:lang w:val="en-US" w:eastAsia="zh-CN" w:bidi="ar-SA"/>
        </w:rPr>
        <w:t>成品有机肥</w:t>
      </w:r>
      <w:r>
        <w:rPr>
          <w:rFonts w:hint="default" w:ascii="Times New Roman" w:hAnsi="Times New Roman" w:eastAsia="宋体" w:cs="Times New Roman"/>
          <w:b/>
          <w:color w:val="auto"/>
          <w:kern w:val="2"/>
          <w:sz w:val="24"/>
          <w:szCs w:val="24"/>
          <w:highlight w:val="none"/>
          <w:lang w:val="en-US" w:eastAsia="zh-CN" w:bidi="ar-SA"/>
        </w:rPr>
        <w:t>符合要求</w:t>
      </w:r>
    </w:p>
    <w:p w14:paraId="0BAB4C35">
      <w:pPr>
        <w:keepNext w:val="0"/>
        <w:keepLines w:val="0"/>
        <w:pageBreakBefore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rPr>
        <w:t>①堆肥产品存放时，含水率应不高于30%；②堆肥产品的含盐量应在1%</w:t>
      </w:r>
      <w:r>
        <w:rPr>
          <w:rFonts w:hint="eastAsia" w:cs="Times New Roman"/>
          <w:color w:val="000000"/>
          <w:kern w:val="2"/>
          <w:sz w:val="24"/>
          <w:szCs w:val="24"/>
          <w:lang w:eastAsia="zh-CN"/>
        </w:rPr>
        <w:t>～</w:t>
      </w:r>
      <w:r>
        <w:rPr>
          <w:rFonts w:hint="default" w:ascii="Times New Roman" w:hAnsi="Times New Roman" w:eastAsia="宋体" w:cs="Times New Roman"/>
          <w:color w:val="000000"/>
          <w:kern w:val="2"/>
          <w:sz w:val="24"/>
          <w:szCs w:val="24"/>
        </w:rPr>
        <w:t>2%；</w:t>
      </w:r>
      <w:r>
        <w:rPr>
          <w:rFonts w:hint="eastAsia" w:ascii="Times New Roman" w:hAnsi="Times New Roman" w:eastAsia="宋体" w:cs="Times New Roman"/>
          <w:color w:val="000000"/>
          <w:kern w:val="2"/>
          <w:sz w:val="24"/>
          <w:szCs w:val="24"/>
          <w:lang w:val="en-US" w:eastAsia="zh-CN"/>
        </w:rPr>
        <w:t>③</w:t>
      </w:r>
      <w:r>
        <w:rPr>
          <w:rFonts w:hint="default" w:ascii="Times New Roman" w:hAnsi="Times New Roman" w:eastAsia="宋体" w:cs="Times New Roman"/>
          <w:color w:val="000000"/>
          <w:kern w:val="2"/>
          <w:sz w:val="24"/>
          <w:szCs w:val="24"/>
        </w:rPr>
        <w:t>成品堆肥外观应为茶褐色或黑褐色，无恶臭，质地松散，具有泥土气味。</w:t>
      </w:r>
    </w:p>
    <w:bookmarkEnd w:id="322"/>
    <w:bookmarkEnd w:id="323"/>
    <w:bookmarkEnd w:id="324"/>
    <w:p w14:paraId="481B474A">
      <w:pPr>
        <w:keepNext w:val="0"/>
        <w:keepLines w:val="0"/>
        <w:pageBreakBefore w:val="0"/>
        <w:widowControl w:val="0"/>
        <w:numPr>
          <w:ilvl w:val="2"/>
          <w:numId w:val="0"/>
        </w:numPr>
        <w:kinsoku/>
        <w:wordWrap/>
        <w:overflowPunct/>
        <w:topLinePunct w:val="0"/>
        <w:bidi w:val="0"/>
        <w:adjustRightInd/>
        <w:snapToGrid/>
        <w:spacing w:before="0" w:after="0" w:line="360" w:lineRule="auto"/>
        <w:ind w:leftChars="0"/>
        <w:jc w:val="both"/>
        <w:textAlignment w:val="auto"/>
        <w:outlineLvl w:val="2"/>
        <w:rPr>
          <w:rFonts w:hint="default" w:ascii="Times New Roman" w:hAnsi="Times New Roman" w:eastAsia="宋体" w:cs="Times New Roman"/>
          <w:b/>
          <w:bCs/>
          <w:color w:val="auto"/>
          <w:kern w:val="2"/>
          <w:sz w:val="28"/>
          <w:szCs w:val="28"/>
          <w:highlight w:val="none"/>
          <w:lang w:val="en-US" w:eastAsia="zh-CN" w:bidi="ar-SA"/>
        </w:rPr>
      </w:pPr>
      <w:bookmarkStart w:id="325" w:name="_Toc2384"/>
      <w:bookmarkStart w:id="326" w:name="_Toc14359"/>
      <w:bookmarkStart w:id="327" w:name="_Toc23428"/>
      <w:bookmarkStart w:id="328" w:name="_Toc27156"/>
      <w:r>
        <w:rPr>
          <w:rFonts w:hint="default" w:ascii="Times New Roman" w:hAnsi="Times New Roman" w:eastAsia="宋体" w:cs="Times New Roman"/>
          <w:b/>
          <w:bCs/>
          <w:color w:val="auto"/>
          <w:kern w:val="2"/>
          <w:sz w:val="28"/>
          <w:szCs w:val="28"/>
          <w:highlight w:val="none"/>
          <w:lang w:val="en-US" w:eastAsia="zh-CN" w:bidi="ar-SA"/>
        </w:rPr>
        <w:t>3.</w:t>
      </w:r>
      <w:r>
        <w:rPr>
          <w:rFonts w:hint="eastAsia" w:cs="Times New Roman"/>
          <w:b/>
          <w:bCs/>
          <w:color w:val="auto"/>
          <w:kern w:val="2"/>
          <w:sz w:val="28"/>
          <w:szCs w:val="28"/>
          <w:highlight w:val="none"/>
          <w:lang w:val="en-US" w:eastAsia="zh-CN" w:bidi="ar-SA"/>
        </w:rPr>
        <w:t>3</w:t>
      </w:r>
      <w:r>
        <w:rPr>
          <w:rFonts w:hint="default" w:ascii="Times New Roman" w:hAnsi="Times New Roman" w:eastAsia="宋体" w:cs="Times New Roman"/>
          <w:b/>
          <w:bCs/>
          <w:color w:val="auto"/>
          <w:kern w:val="2"/>
          <w:sz w:val="28"/>
          <w:szCs w:val="28"/>
          <w:highlight w:val="none"/>
          <w:lang w:val="en-US" w:eastAsia="zh-CN" w:bidi="ar-SA"/>
        </w:rPr>
        <w:t>.</w:t>
      </w:r>
      <w:r>
        <w:rPr>
          <w:rFonts w:hint="eastAsia" w:cs="Times New Roman"/>
          <w:b/>
          <w:bCs/>
          <w:color w:val="auto"/>
          <w:kern w:val="2"/>
          <w:sz w:val="28"/>
          <w:szCs w:val="28"/>
          <w:highlight w:val="none"/>
          <w:lang w:val="en-US" w:eastAsia="zh-CN" w:bidi="ar-SA"/>
        </w:rPr>
        <w:t>5</w:t>
      </w:r>
      <w:r>
        <w:rPr>
          <w:rFonts w:hint="default" w:ascii="Times New Roman" w:hAnsi="Times New Roman" w:eastAsia="宋体" w:cs="Times New Roman"/>
          <w:b/>
          <w:bCs/>
          <w:color w:val="auto"/>
          <w:kern w:val="2"/>
          <w:sz w:val="28"/>
          <w:szCs w:val="28"/>
          <w:highlight w:val="none"/>
          <w:lang w:val="en-US" w:eastAsia="zh-CN" w:bidi="ar-SA"/>
        </w:rPr>
        <w:t>病死</w:t>
      </w:r>
      <w:r>
        <w:rPr>
          <w:rFonts w:hint="eastAsia" w:eastAsia="宋体" w:cs="Times New Roman"/>
          <w:b/>
          <w:bCs/>
          <w:color w:val="auto"/>
          <w:kern w:val="2"/>
          <w:sz w:val="28"/>
          <w:szCs w:val="28"/>
          <w:highlight w:val="none"/>
          <w:lang w:val="en-US" w:eastAsia="zh-CN" w:bidi="ar-SA"/>
        </w:rPr>
        <w:t>牛</w:t>
      </w:r>
      <w:r>
        <w:rPr>
          <w:rFonts w:hint="default" w:ascii="Times New Roman" w:hAnsi="Times New Roman" w:eastAsia="宋体" w:cs="Times New Roman"/>
          <w:b/>
          <w:bCs/>
          <w:color w:val="auto"/>
          <w:kern w:val="2"/>
          <w:sz w:val="28"/>
          <w:szCs w:val="28"/>
          <w:highlight w:val="none"/>
          <w:lang w:val="en-US" w:eastAsia="zh-CN" w:bidi="ar-SA"/>
        </w:rPr>
        <w:t>尸体无害化处理与处置</w:t>
      </w:r>
      <w:bookmarkEnd w:id="325"/>
      <w:bookmarkEnd w:id="326"/>
      <w:bookmarkEnd w:id="327"/>
      <w:bookmarkEnd w:id="328"/>
    </w:p>
    <w:p w14:paraId="40FCC00E">
      <w:pPr>
        <w:keepNext w:val="0"/>
        <w:keepLines w:val="0"/>
        <w:pageBreakBefore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根据《畜禽养殖业污染防治技术规范》（HJ/T81-2001）的相关规定，病死畜禽尸体要及时处理，严禁随意丢弃，严禁出售或作为饲料再利用。病死禽畜尸体处理应采用焚烧炉焚烧的方法，在养殖场比较集中</w:t>
      </w:r>
      <w:r>
        <w:rPr>
          <w:rFonts w:hint="eastAsia" w:cs="Times New Roman"/>
          <w:color w:val="000000"/>
          <w:kern w:val="2"/>
          <w:sz w:val="24"/>
          <w:szCs w:val="24"/>
          <w:lang w:eastAsia="zh-CN"/>
        </w:rPr>
        <w:t>的</w:t>
      </w:r>
      <w:r>
        <w:rPr>
          <w:rFonts w:hint="default" w:ascii="Times New Roman" w:hAnsi="Times New Roman" w:eastAsia="宋体" w:cs="Times New Roman"/>
          <w:color w:val="000000"/>
          <w:kern w:val="2"/>
          <w:sz w:val="24"/>
          <w:szCs w:val="24"/>
        </w:rPr>
        <w:t>地区；应集中设置焚烧设施；同时焚烧产生的烟气应采取有效的净化措施，防止烟尘、一氧化碳、恶臭等对周围大气环境的污染。不具备焚烧条件的养殖场应设置两个以上安全填埋井，填埋井应为混凝土结构，深度大于2m，直径1m，井口加盖密封。进行填埋时，在每次投入畜禽尸体后，应覆盖一层厚度大于10cm的熟石灰，井填满后，须用粘土填埋压实并封口。</w:t>
      </w:r>
    </w:p>
    <w:p w14:paraId="65E96D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eastAsia" w:eastAsia="宋体" w:cs="Times New Roman"/>
          <w:kern w:val="2"/>
          <w:sz w:val="24"/>
          <w:szCs w:val="24"/>
          <w:lang w:val="en-US" w:eastAsia="zh-CN" w:bidi="ar-SA"/>
        </w:rPr>
        <w:t>根据</w:t>
      </w:r>
      <w:r>
        <w:rPr>
          <w:rFonts w:hint="eastAsia" w:ascii="Times New Roman" w:hAnsi="Times New Roman" w:eastAsia="宋体" w:cs="Times New Roman"/>
          <w:kern w:val="2"/>
          <w:sz w:val="24"/>
          <w:szCs w:val="24"/>
          <w:lang w:val="en-US" w:eastAsia="zh-CN" w:bidi="ar-SA"/>
        </w:rPr>
        <w:t>《病死畜禽和病害畜禽产品无害化处理管理办法》（中华人民共和国农业农村部令2022年第3号）</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下列畜禽和畜禽产品应当进行无害化处理： （一）染疫或者疑似染疫死亡、因病死亡或者死因不明的；（二）经检疫、检验可能危害人体或者动物健康的；（三）因自然灾害、应激反应、物理挤压等因素死亡的；（四）屠宰过程中经肉品品质检验确认为不可食用的；（五）死胎、木乃伊胎等；（六）因动物疫病防控需要被扑杀或销毁的；（七）其他应当进行无害化处理的。</w:t>
      </w:r>
    </w:p>
    <w:p w14:paraId="240A08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从事畜禽饲养、屠宰、经营、隔离等活动的单位和个人，应当承担主体责任，按照本办法对病死畜禽和病害畜禽产品进行无害化处理，或者委托病死畜禽无害化处理场处理。</w:t>
      </w:r>
    </w:p>
    <w:p w14:paraId="7DD745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畜禽养殖场、屠宰厂（场）、隔离场委托病死畜禽无害化处理场处理的，应当符合以下要求：</w:t>
      </w:r>
      <w:r>
        <w:rPr>
          <w:rFonts w:hint="default" w:ascii="宋体" w:hAnsi="宋体" w:eastAsia="宋体" w:cs="宋体"/>
          <w:color w:val="000000"/>
          <w:kern w:val="2"/>
          <w:sz w:val="24"/>
          <w:szCs w:val="24"/>
          <w:lang w:val="en-US" w:eastAsia="zh-CN" w:bidi="ar-SA"/>
        </w:rPr>
        <w:t>（一）采取必要的冷藏冷冻、清洗消毒等措施；（二）具有病死畜禽和病害畜禽产品输出通道；（三）及时通知病死畜禽无害化处理场进行收集，或自行送至指定地点。</w:t>
      </w:r>
      <w:r>
        <w:rPr>
          <w:rFonts w:hint="eastAsia" w:ascii="宋体" w:hAnsi="宋体" w:eastAsia="宋体" w:cs="宋体"/>
          <w:color w:val="000000"/>
          <w:kern w:val="2"/>
          <w:sz w:val="24"/>
          <w:szCs w:val="24"/>
          <w:lang w:val="en-US" w:eastAsia="zh-CN" w:bidi="ar-SA"/>
        </w:rPr>
        <w:t>禽养殖场、屠宰厂（场）、隔离场在本场（厂）内自行处理病死畜禽和病害畜禽产品的，应当符合无害化处理场所的动物防疫条件，不得处理本场（厂）外的病死畜禽和病害畜禽产品。</w:t>
      </w:r>
      <w:r>
        <w:rPr>
          <w:rFonts w:hint="default" w:ascii="宋体" w:hAnsi="宋体" w:eastAsia="宋体" w:cs="宋体"/>
          <w:color w:val="000000"/>
          <w:kern w:val="2"/>
          <w:sz w:val="24"/>
          <w:szCs w:val="24"/>
          <w:lang w:val="en-US" w:eastAsia="zh-CN" w:bidi="ar-SA"/>
        </w:rPr>
        <w:t>畜禽养殖场、屠宰厂（场）、隔离场在本场（厂）外自行处理的，应当建设病死畜禽无害化处理场。</w:t>
      </w:r>
      <w:r>
        <w:rPr>
          <w:rFonts w:hint="eastAsia" w:cs="Times New Roman"/>
          <w:kern w:val="2"/>
          <w:sz w:val="24"/>
          <w:szCs w:val="24"/>
          <w:lang w:val="en-US" w:eastAsia="zh-CN" w:bidi="ar-SA"/>
        </w:rPr>
        <w:t>”</w:t>
      </w:r>
    </w:p>
    <w:p w14:paraId="5B58368F">
      <w:pPr>
        <w:overflowPunct w:val="0"/>
        <w:autoSpaceDE w:val="0"/>
        <w:autoSpaceDN w:val="0"/>
        <w:adjustRightInd w:val="0"/>
        <w:snapToGrid w:val="0"/>
        <w:spacing w:before="0" w:after="0" w:line="360" w:lineRule="auto"/>
        <w:ind w:left="0" w:right="0" w:firstLine="480" w:firstLineChars="200"/>
        <w:jc w:val="left"/>
        <w:rPr>
          <w:rFonts w:hint="default" w:eastAsia="宋体"/>
        </w:rPr>
      </w:pPr>
      <w:r>
        <w:rPr>
          <w:rFonts w:hint="eastAsia" w:ascii="Times New Roman" w:hAnsi="Times New Roman" w:eastAsia="宋体" w:cs="宋体"/>
          <w:color w:val="auto"/>
          <w:kern w:val="0"/>
          <w:sz w:val="24"/>
          <w:szCs w:val="22"/>
          <w:lang w:val="en-US" w:eastAsia="zh-CN"/>
        </w:rPr>
        <w:t>根据《关于建立病死畜禽无害化处理机制的实施意见》</w:t>
      </w:r>
      <w:r>
        <w:rPr>
          <w:rFonts w:hint="eastAsia"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新政办发</w:t>
      </w:r>
      <w:r>
        <w:rPr>
          <w:rFonts w:hint="eastAsia" w:cs="宋体"/>
          <w:color w:val="auto"/>
          <w:kern w:val="0"/>
          <w:sz w:val="24"/>
          <w:szCs w:val="22"/>
          <w:lang w:val="en-US" w:eastAsia="zh-CN"/>
        </w:rPr>
        <w:t>〔2016〕1号）“</w:t>
      </w:r>
      <w:r>
        <w:rPr>
          <w:rFonts w:hint="eastAsia" w:ascii="Times New Roman" w:hAnsi="Times New Roman" w:eastAsia="宋体" w:cs="宋体"/>
          <w:color w:val="auto"/>
          <w:kern w:val="0"/>
          <w:sz w:val="24"/>
          <w:szCs w:val="22"/>
          <w:lang w:val="en-US" w:eastAsia="zh-CN"/>
        </w:rPr>
        <w:t>无害化处理体系包括病死畜禽无害化处理场所和病死畜禽运输车辆、收集储藏场所。病死畜禽无害化处理方法主要包括深埋、焚烧、堆肥、化尸窖、化制、生物降解等。无害化处理场处理应优先采用化制、生物降解等既能实现无害化处理又能实现资源再利用的工艺技术；乡镇无害化处理点可采用掩埋、化尸窖等方式。支持研究推广新型、高效、环保的无害化处理技术和装备。有条件的地方也可在完善防疫设施的基础上，利用现有医疗垃圾处理厂等对病死畜禽进行无害化处理。鼓励跨行政区域建设病死畜禽专业化无害化处理场。</w:t>
      </w:r>
      <w:r>
        <w:rPr>
          <w:rFonts w:hint="eastAsia" w:cs="宋体"/>
          <w:color w:val="auto"/>
          <w:kern w:val="0"/>
          <w:sz w:val="24"/>
          <w:szCs w:val="22"/>
          <w:lang w:val="en-US" w:eastAsia="zh-CN"/>
        </w:rPr>
        <w:t>”</w:t>
      </w:r>
    </w:p>
    <w:p w14:paraId="7D4579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rPr>
        <w:t>按照上述规范，</w:t>
      </w:r>
      <w:r>
        <w:rPr>
          <w:rFonts w:hint="eastAsia" w:eastAsia="宋体" w:cs="Times New Roman"/>
          <w:color w:val="000000"/>
          <w:kern w:val="0"/>
          <w:sz w:val="24"/>
          <w:szCs w:val="24"/>
          <w:highlight w:val="none"/>
          <w:lang w:val="en-US" w:eastAsia="zh-CN"/>
        </w:rPr>
        <w:t>本项目病死牛产生量较少，项目所在区域</w:t>
      </w:r>
      <w:r>
        <w:rPr>
          <w:rFonts w:hint="eastAsia" w:cs="Times New Roman"/>
          <w:color w:val="000000"/>
          <w:kern w:val="0"/>
          <w:sz w:val="24"/>
          <w:szCs w:val="24"/>
          <w:highlight w:val="none"/>
          <w:lang w:val="en-US" w:eastAsia="zh-CN"/>
        </w:rPr>
        <w:t>建设有</w:t>
      </w:r>
      <w:r>
        <w:rPr>
          <w:rFonts w:hint="default" w:ascii="Times New Roman" w:hAnsi="Times New Roman" w:eastAsia="宋体" w:cs="Times New Roman"/>
          <w:color w:val="000000"/>
          <w:kern w:val="0"/>
          <w:sz w:val="24"/>
          <w:szCs w:val="24"/>
          <w:highlight w:val="none"/>
          <w:lang w:val="en-US" w:eastAsia="zh-CN"/>
        </w:rPr>
        <w:t>集中无害化处理场所</w:t>
      </w:r>
      <w:r>
        <w:rPr>
          <w:rFonts w:hint="eastAsia" w:eastAsia="宋体" w:cs="Times New Roman"/>
          <w:color w:val="000000"/>
          <w:kern w:val="0"/>
          <w:sz w:val="24"/>
          <w:szCs w:val="24"/>
          <w:highlight w:val="none"/>
          <w:lang w:val="en-US" w:eastAsia="zh-CN"/>
        </w:rPr>
        <w:t>，本项目不具备建设焚烧设施的条件</w:t>
      </w:r>
      <w:r>
        <w:rPr>
          <w:rFonts w:hint="default" w:ascii="Times New Roman" w:hAnsi="Times New Roman" w:eastAsia="宋体" w:cs="Times New Roman"/>
          <w:color w:val="000000"/>
          <w:kern w:val="0"/>
          <w:sz w:val="24"/>
          <w:szCs w:val="24"/>
          <w:highlight w:val="none"/>
        </w:rPr>
        <w:t>，</w:t>
      </w:r>
      <w:r>
        <w:rPr>
          <w:rFonts w:hint="eastAsia" w:eastAsia="宋体" w:cs="Times New Roman"/>
          <w:color w:val="000000"/>
          <w:kern w:val="0"/>
          <w:sz w:val="24"/>
          <w:szCs w:val="24"/>
          <w:highlight w:val="none"/>
          <w:lang w:val="en-US" w:eastAsia="zh-CN"/>
        </w:rPr>
        <w:t>因此</w:t>
      </w:r>
      <w:r>
        <w:rPr>
          <w:rFonts w:hint="default" w:ascii="Times New Roman" w:hAnsi="Times New Roman" w:eastAsia="宋体" w:cs="Times New Roman"/>
          <w:color w:val="000000"/>
          <w:kern w:val="0"/>
          <w:sz w:val="24"/>
          <w:szCs w:val="24"/>
          <w:highlight w:val="none"/>
          <w:lang w:val="en-US" w:eastAsia="zh-CN"/>
        </w:rPr>
        <w:t>本项目</w:t>
      </w:r>
      <w:r>
        <w:rPr>
          <w:rFonts w:hint="eastAsia" w:eastAsia="宋体" w:cs="Times New Roman"/>
          <w:color w:val="000000"/>
          <w:kern w:val="0"/>
          <w:sz w:val="24"/>
          <w:szCs w:val="24"/>
          <w:highlight w:val="none"/>
          <w:lang w:val="en-US" w:eastAsia="zh-CN"/>
        </w:rPr>
        <w:t>主要委托胡杨河市题桥环保科技有限公司</w:t>
      </w:r>
      <w:r>
        <w:rPr>
          <w:rFonts w:hint="eastAsia" w:eastAsia="宋体" w:cs="Times New Roman"/>
          <w:color w:val="auto"/>
          <w:sz w:val="24"/>
          <w:szCs w:val="24"/>
          <w:highlight w:val="none"/>
          <w:lang w:val="en-US" w:eastAsia="zh-CN"/>
        </w:rPr>
        <w:t>处置本项目病死牛</w:t>
      </w:r>
      <w:r>
        <w:rPr>
          <w:rFonts w:hint="eastAsia" w:cs="Times New Roman"/>
          <w:color w:val="auto"/>
          <w:sz w:val="24"/>
          <w:szCs w:val="24"/>
          <w:highlight w:val="none"/>
          <w:lang w:val="en-US" w:eastAsia="zh-CN"/>
        </w:rPr>
        <w:t>，</w:t>
      </w:r>
      <w:r>
        <w:rPr>
          <w:rFonts w:hint="eastAsia" w:eastAsia="宋体" w:cs="Times New Roman"/>
          <w:color w:val="000000"/>
          <w:kern w:val="0"/>
          <w:sz w:val="24"/>
          <w:szCs w:val="24"/>
          <w:highlight w:val="none"/>
          <w:lang w:val="en-US" w:eastAsia="zh-CN"/>
        </w:rPr>
        <w:t>胡杨河市题桥环保科技有限公司</w:t>
      </w:r>
      <w:r>
        <w:rPr>
          <w:rFonts w:hint="eastAsia" w:ascii="Times New Roman" w:hAnsi="Times New Roman" w:eastAsia="宋体" w:cs="Times New Roman"/>
          <w:color w:val="000000"/>
          <w:kern w:val="0"/>
          <w:sz w:val="24"/>
          <w:szCs w:val="24"/>
          <w:highlight w:val="none"/>
          <w:lang w:val="en-US" w:eastAsia="zh-CN"/>
        </w:rPr>
        <w:t>成立于20</w:t>
      </w:r>
      <w:r>
        <w:rPr>
          <w:rFonts w:hint="eastAsia" w:cs="Times New Roman"/>
          <w:color w:val="000000"/>
          <w:kern w:val="0"/>
          <w:sz w:val="24"/>
          <w:szCs w:val="24"/>
          <w:highlight w:val="none"/>
          <w:lang w:val="en-US" w:eastAsia="zh-CN"/>
        </w:rPr>
        <w:t>17</w:t>
      </w:r>
      <w:r>
        <w:rPr>
          <w:rFonts w:hint="eastAsia" w:ascii="Times New Roman" w:hAnsi="Times New Roman" w:eastAsia="宋体" w:cs="Times New Roman"/>
          <w:color w:val="000000"/>
          <w:kern w:val="0"/>
          <w:sz w:val="24"/>
          <w:szCs w:val="24"/>
          <w:highlight w:val="none"/>
          <w:lang w:val="en-US" w:eastAsia="zh-CN"/>
        </w:rPr>
        <w:t>年</w:t>
      </w:r>
      <w:r>
        <w:rPr>
          <w:rFonts w:hint="eastAsia" w:cs="Times New Roman"/>
          <w:color w:val="000000"/>
          <w:kern w:val="0"/>
          <w:sz w:val="24"/>
          <w:szCs w:val="24"/>
          <w:highlight w:val="none"/>
          <w:lang w:val="en-US" w:eastAsia="zh-CN"/>
        </w:rPr>
        <w:t>7</w:t>
      </w:r>
      <w:r>
        <w:rPr>
          <w:rFonts w:hint="eastAsia" w:ascii="Times New Roman" w:hAnsi="Times New Roman" w:eastAsia="宋体" w:cs="Times New Roman"/>
          <w:color w:val="000000"/>
          <w:kern w:val="0"/>
          <w:sz w:val="24"/>
          <w:szCs w:val="24"/>
          <w:highlight w:val="none"/>
          <w:lang w:val="en-US" w:eastAsia="zh-CN"/>
        </w:rPr>
        <w:t>月</w:t>
      </w:r>
      <w:r>
        <w:rPr>
          <w:rFonts w:hint="eastAsia" w:cs="Times New Roman"/>
          <w:color w:val="000000"/>
          <w:kern w:val="0"/>
          <w:sz w:val="24"/>
          <w:szCs w:val="24"/>
          <w:highlight w:val="none"/>
          <w:lang w:val="en-US" w:eastAsia="zh-CN"/>
        </w:rPr>
        <w:t>，2019年6月委托新疆天地源环保科技发展有限公司编制《乌苏一二三团病死畜禽无害化处理项目环境影响报告表》，2019年6月26日原第七师环境保护局下发《关于乌苏一二三团病死畜禽无害化处理项目环境影响报告表的批复》（师环审</w:t>
      </w:r>
      <w:r>
        <w:rPr>
          <w:rFonts w:hint="eastAsia" w:cs="宋体"/>
          <w:color w:val="auto"/>
          <w:kern w:val="0"/>
          <w:sz w:val="24"/>
          <w:szCs w:val="22"/>
          <w:lang w:val="en-US" w:eastAsia="zh-CN"/>
        </w:rPr>
        <w:t>〔2019〕</w:t>
      </w:r>
      <w:r>
        <w:rPr>
          <w:rFonts w:hint="eastAsia" w:cs="Times New Roman"/>
          <w:color w:val="000000"/>
          <w:kern w:val="0"/>
          <w:sz w:val="24"/>
          <w:szCs w:val="24"/>
          <w:highlight w:val="none"/>
          <w:lang w:val="en-US" w:eastAsia="zh-CN"/>
        </w:rPr>
        <w:t>86号），</w:t>
      </w:r>
      <w:r>
        <w:rPr>
          <w:rFonts w:hint="eastAsia" w:eastAsia="宋体" w:cs="Times New Roman"/>
          <w:color w:val="000000"/>
          <w:kern w:val="0"/>
          <w:sz w:val="24"/>
          <w:szCs w:val="24"/>
          <w:highlight w:val="none"/>
          <w:lang w:val="en-US" w:eastAsia="zh-CN"/>
        </w:rPr>
        <w:t>胡杨河市题桥环保科技有限公司采用高温化制法处理病死畜禽</w:t>
      </w:r>
      <w:r>
        <w:rPr>
          <w:rFonts w:hint="eastAsia" w:ascii="Times New Roman" w:hAnsi="Times New Roman" w:cs="Times New Roman"/>
          <w:color w:val="000000"/>
          <w:kern w:val="0"/>
          <w:sz w:val="24"/>
          <w:szCs w:val="24"/>
          <w:highlight w:val="none"/>
          <w:lang w:val="en-US" w:eastAsia="zh-CN"/>
        </w:rPr>
        <w:t>，</w:t>
      </w:r>
      <w:r>
        <w:rPr>
          <w:rFonts w:hint="eastAsia" w:cs="Times New Roman"/>
          <w:color w:val="000000"/>
          <w:kern w:val="0"/>
          <w:sz w:val="24"/>
          <w:szCs w:val="24"/>
          <w:highlight w:val="none"/>
          <w:lang w:val="en-US" w:eastAsia="zh-CN"/>
        </w:rPr>
        <w:t>2022年2月通过建设项目竣工环境保护验收，2023</w:t>
      </w:r>
      <w:r>
        <w:rPr>
          <w:rFonts w:hint="eastAsia" w:ascii="Times New Roman" w:hAnsi="Times New Roman" w:cs="Times New Roman"/>
          <w:color w:val="000000"/>
          <w:kern w:val="0"/>
          <w:sz w:val="24"/>
          <w:szCs w:val="24"/>
          <w:highlight w:val="none"/>
          <w:lang w:val="en-US" w:eastAsia="zh-CN"/>
        </w:rPr>
        <w:t>年</w:t>
      </w:r>
      <w:r>
        <w:rPr>
          <w:rFonts w:hint="eastAsia" w:cs="Times New Roman"/>
          <w:color w:val="000000"/>
          <w:kern w:val="0"/>
          <w:sz w:val="24"/>
          <w:szCs w:val="24"/>
          <w:highlight w:val="none"/>
          <w:lang w:val="en-US" w:eastAsia="zh-CN"/>
        </w:rPr>
        <w:t>6</w:t>
      </w:r>
      <w:r>
        <w:rPr>
          <w:rFonts w:hint="eastAsia" w:ascii="Times New Roman" w:hAnsi="Times New Roman" w:cs="Times New Roman"/>
          <w:color w:val="000000"/>
          <w:kern w:val="0"/>
          <w:sz w:val="24"/>
          <w:szCs w:val="24"/>
          <w:highlight w:val="none"/>
          <w:lang w:val="en-US" w:eastAsia="zh-CN"/>
        </w:rPr>
        <w:t>月</w:t>
      </w:r>
      <w:r>
        <w:rPr>
          <w:rFonts w:hint="eastAsia" w:cs="Times New Roman"/>
          <w:color w:val="000000"/>
          <w:kern w:val="0"/>
          <w:sz w:val="24"/>
          <w:szCs w:val="24"/>
          <w:highlight w:val="none"/>
          <w:lang w:val="en-US" w:eastAsia="zh-CN"/>
        </w:rPr>
        <w:t>16</w:t>
      </w:r>
      <w:r>
        <w:rPr>
          <w:rFonts w:hint="eastAsia" w:ascii="Times New Roman" w:hAnsi="Times New Roman" w:cs="Times New Roman"/>
          <w:color w:val="000000"/>
          <w:kern w:val="0"/>
          <w:sz w:val="24"/>
          <w:szCs w:val="24"/>
          <w:highlight w:val="none"/>
          <w:lang w:val="en-US" w:eastAsia="zh-CN"/>
        </w:rPr>
        <w:t>日取得排污许可登记回执（登记编号91654202MA77J0JT8Y002X）</w:t>
      </w:r>
      <w:r>
        <w:rPr>
          <w:rFonts w:hint="eastAsia" w:cs="Times New Roman"/>
          <w:color w:val="000000"/>
          <w:kern w:val="0"/>
          <w:sz w:val="24"/>
          <w:szCs w:val="24"/>
          <w:highlight w:val="none"/>
          <w:lang w:val="en-US" w:eastAsia="zh-CN"/>
        </w:rPr>
        <w:t>，目前企业正常运行，</w:t>
      </w:r>
      <w:r>
        <w:rPr>
          <w:rFonts w:hint="eastAsia" w:ascii="Times New Roman" w:hAnsi="Times New Roman" w:cs="Times New Roman"/>
          <w:color w:val="000000"/>
          <w:kern w:val="0"/>
          <w:sz w:val="24"/>
          <w:szCs w:val="24"/>
          <w:highlight w:val="none"/>
          <w:lang w:val="en-US" w:eastAsia="zh-CN"/>
        </w:rPr>
        <w:t>本项目已与</w:t>
      </w:r>
      <w:r>
        <w:rPr>
          <w:rFonts w:hint="eastAsia" w:eastAsia="宋体" w:cs="Times New Roman"/>
          <w:color w:val="000000"/>
          <w:kern w:val="0"/>
          <w:sz w:val="24"/>
          <w:szCs w:val="24"/>
          <w:highlight w:val="none"/>
          <w:lang w:val="en-US" w:eastAsia="zh-CN"/>
        </w:rPr>
        <w:t>胡杨河市题桥环保科技有限公司</w:t>
      </w:r>
      <w:r>
        <w:rPr>
          <w:rFonts w:hint="eastAsia" w:ascii="Times New Roman" w:hAnsi="Times New Roman" w:cs="Times New Roman"/>
          <w:color w:val="000000"/>
          <w:kern w:val="0"/>
          <w:sz w:val="24"/>
          <w:szCs w:val="24"/>
          <w:highlight w:val="none"/>
          <w:lang w:val="en-US" w:eastAsia="zh-CN"/>
        </w:rPr>
        <w:t>签订病死畜禽委托无害化处理协议。</w:t>
      </w:r>
    </w:p>
    <w:p w14:paraId="5834E2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lang w:val="en-US" w:eastAsia="zh-CN"/>
        </w:rPr>
      </w:pPr>
      <w:r>
        <w:rPr>
          <w:rFonts w:hint="eastAsia" w:eastAsia="宋体" w:cs="Times New Roman"/>
          <w:color w:val="000000"/>
          <w:kern w:val="0"/>
          <w:sz w:val="24"/>
          <w:szCs w:val="24"/>
          <w:highlight w:val="none"/>
          <w:lang w:val="en-US" w:eastAsia="zh-CN"/>
        </w:rPr>
        <w:t>胡杨河市题桥环保科技有限公司</w:t>
      </w:r>
      <w:r>
        <w:rPr>
          <w:rFonts w:hint="eastAsia" w:ascii="Times New Roman" w:hAnsi="Times New Roman" w:eastAsia="宋体" w:cs="Times New Roman"/>
          <w:color w:val="000000"/>
          <w:kern w:val="0"/>
          <w:sz w:val="24"/>
          <w:szCs w:val="24"/>
          <w:highlight w:val="none"/>
          <w:lang w:val="en-US" w:eastAsia="zh-CN"/>
        </w:rPr>
        <w:t>位于</w:t>
      </w:r>
      <w:r>
        <w:rPr>
          <w:rFonts w:hint="eastAsia" w:cs="Times New Roman"/>
          <w:color w:val="auto"/>
          <w:sz w:val="24"/>
          <w:szCs w:val="24"/>
          <w:lang w:val="en-US" w:eastAsia="zh-CN"/>
        </w:rPr>
        <w:t>距离本项目东北侧21.7km，该企业为本项目所在区域建成的</w:t>
      </w:r>
      <w:r>
        <w:rPr>
          <w:rFonts w:hint="default" w:ascii="Times New Roman" w:hAnsi="Times New Roman" w:eastAsia="宋体" w:cs="Times New Roman"/>
          <w:color w:val="000000"/>
          <w:kern w:val="0"/>
          <w:sz w:val="24"/>
          <w:szCs w:val="24"/>
          <w:highlight w:val="none"/>
          <w:lang w:val="en-US" w:eastAsia="zh-CN"/>
        </w:rPr>
        <w:t>集中无害化处理场所</w:t>
      </w:r>
      <w:r>
        <w:rPr>
          <w:rFonts w:hint="eastAsia" w:cs="Times New Roman"/>
          <w:color w:val="auto"/>
          <w:sz w:val="24"/>
          <w:szCs w:val="24"/>
          <w:lang w:val="en-US" w:eastAsia="zh-CN"/>
        </w:rPr>
        <w:t>，该公司配套有病死畜禽专用运输车辆，转运车辆充足，本项目产生病死牛后，立刻通知</w:t>
      </w:r>
      <w:r>
        <w:rPr>
          <w:rFonts w:hint="eastAsia" w:eastAsia="宋体" w:cs="Times New Roman"/>
          <w:color w:val="000000"/>
          <w:kern w:val="0"/>
          <w:sz w:val="24"/>
          <w:szCs w:val="24"/>
          <w:highlight w:val="none"/>
          <w:lang w:val="en-US" w:eastAsia="zh-CN"/>
        </w:rPr>
        <w:t>胡杨河市题桥环保科技有限公司</w:t>
      </w:r>
      <w:r>
        <w:rPr>
          <w:rFonts w:hint="eastAsia" w:cs="Times New Roman"/>
          <w:color w:val="auto"/>
          <w:sz w:val="24"/>
          <w:szCs w:val="24"/>
          <w:lang w:val="en-US" w:eastAsia="zh-CN"/>
        </w:rPr>
        <w:t>运输，一般1小时即可到达项目区，在场区贮存时间不超过24h。</w:t>
      </w:r>
      <w:r>
        <w:rPr>
          <w:rFonts w:hint="eastAsia" w:cs="Times New Roman"/>
          <w:color w:val="000000"/>
          <w:kern w:val="0"/>
          <w:sz w:val="24"/>
          <w:szCs w:val="24"/>
          <w:highlight w:val="none"/>
          <w:lang w:val="en-US" w:eastAsia="zh-CN"/>
        </w:rPr>
        <w:t>因此委托</w:t>
      </w:r>
      <w:r>
        <w:rPr>
          <w:rFonts w:hint="eastAsia" w:eastAsia="宋体" w:cs="Times New Roman"/>
          <w:color w:val="000000"/>
          <w:kern w:val="0"/>
          <w:sz w:val="24"/>
          <w:szCs w:val="24"/>
          <w:highlight w:val="none"/>
          <w:lang w:val="en-US" w:eastAsia="zh-CN"/>
        </w:rPr>
        <w:t>胡杨河市题桥环保科技有限公司</w:t>
      </w:r>
      <w:r>
        <w:rPr>
          <w:rFonts w:hint="eastAsia" w:ascii="Times New Roman" w:hAnsi="Times New Roman" w:cs="Times New Roman"/>
          <w:color w:val="000000"/>
          <w:kern w:val="0"/>
          <w:sz w:val="24"/>
          <w:szCs w:val="24"/>
          <w:highlight w:val="none"/>
          <w:lang w:val="en-US" w:eastAsia="zh-CN"/>
        </w:rPr>
        <w:t>处置本项目病死牛</w:t>
      </w:r>
      <w:r>
        <w:rPr>
          <w:rFonts w:hint="eastAsia" w:cs="Times New Roman"/>
          <w:color w:val="000000"/>
          <w:kern w:val="0"/>
          <w:sz w:val="24"/>
          <w:szCs w:val="24"/>
          <w:highlight w:val="none"/>
          <w:lang w:val="en-US" w:eastAsia="zh-CN"/>
        </w:rPr>
        <w:t>可行</w:t>
      </w:r>
      <w:r>
        <w:rPr>
          <w:rFonts w:hint="eastAsia" w:cs="Times New Roman"/>
          <w:color w:val="auto"/>
          <w:sz w:val="24"/>
          <w:szCs w:val="24"/>
          <w:lang w:val="en-US" w:eastAsia="zh-CN"/>
        </w:rPr>
        <w:t>。</w:t>
      </w:r>
    </w:p>
    <w:p w14:paraId="074724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rPr>
      </w:pPr>
      <w:bookmarkStart w:id="329" w:name="_Toc19648"/>
      <w:r>
        <w:rPr>
          <w:rFonts w:hint="eastAsia" w:eastAsia="宋体" w:cs="Times New Roman"/>
          <w:color w:val="auto"/>
          <w:kern w:val="0"/>
          <w:sz w:val="24"/>
          <w:szCs w:val="24"/>
          <w:lang w:val="en-US" w:eastAsia="zh-CN"/>
        </w:rPr>
        <w:t>本项目</w:t>
      </w:r>
      <w:r>
        <w:rPr>
          <w:rFonts w:hint="eastAsia" w:eastAsia="宋体" w:cs="Times New Roman"/>
          <w:color w:val="auto"/>
          <w:sz w:val="24"/>
          <w:szCs w:val="24"/>
          <w:lang w:val="en-US" w:eastAsia="zh-CN"/>
        </w:rPr>
        <w:t>场区内设置</w:t>
      </w:r>
      <w:r>
        <w:rPr>
          <w:rFonts w:hint="default" w:ascii="宋体" w:hAnsi="宋体" w:eastAsia="宋体" w:cs="宋体"/>
          <w:color w:val="000000"/>
          <w:kern w:val="2"/>
          <w:sz w:val="24"/>
          <w:szCs w:val="24"/>
          <w:lang w:val="en-US" w:eastAsia="zh-CN" w:bidi="ar-SA"/>
        </w:rPr>
        <w:t>病死</w:t>
      </w:r>
      <w:r>
        <w:rPr>
          <w:rFonts w:hint="eastAsia" w:ascii="宋体" w:hAnsi="宋体" w:eastAsia="宋体" w:cs="宋体"/>
          <w:color w:val="000000"/>
          <w:kern w:val="2"/>
          <w:sz w:val="24"/>
          <w:szCs w:val="24"/>
          <w:lang w:val="en-US" w:eastAsia="zh-CN" w:bidi="ar-SA"/>
        </w:rPr>
        <w:t>牛专用</w:t>
      </w:r>
      <w:r>
        <w:rPr>
          <w:rFonts w:hint="default" w:ascii="宋体" w:hAnsi="宋体" w:eastAsia="宋体" w:cs="宋体"/>
          <w:color w:val="000000"/>
          <w:kern w:val="2"/>
          <w:sz w:val="24"/>
          <w:szCs w:val="24"/>
          <w:lang w:val="en-US" w:eastAsia="zh-CN" w:bidi="ar-SA"/>
        </w:rPr>
        <w:t>输出通道</w:t>
      </w:r>
      <w:r>
        <w:rPr>
          <w:rFonts w:hint="eastAsia" w:ascii="宋体" w:hAnsi="宋体" w:cs="宋体"/>
          <w:color w:val="000000"/>
          <w:kern w:val="2"/>
          <w:sz w:val="24"/>
          <w:szCs w:val="24"/>
          <w:lang w:val="en-US" w:eastAsia="zh-CN" w:bidi="ar-SA"/>
        </w:rPr>
        <w:t>，</w:t>
      </w:r>
      <w:r>
        <w:rPr>
          <w:rFonts w:hint="eastAsia" w:eastAsia="宋体" w:cs="Times New Roman"/>
          <w:color w:val="auto"/>
          <w:sz w:val="24"/>
          <w:szCs w:val="24"/>
          <w:highlight w:val="none"/>
          <w:lang w:val="en-US" w:eastAsia="zh-CN"/>
        </w:rPr>
        <w:t>由</w:t>
      </w:r>
      <w:r>
        <w:rPr>
          <w:rFonts w:hint="eastAsia" w:cs="Times New Roman"/>
          <w:color w:val="auto"/>
          <w:sz w:val="24"/>
          <w:szCs w:val="24"/>
          <w:highlight w:val="none"/>
          <w:lang w:val="en-US" w:eastAsia="zh-CN"/>
        </w:rPr>
        <w:t>病死畜禽无害化处置单位配套的</w:t>
      </w:r>
      <w:r>
        <w:rPr>
          <w:rFonts w:hint="eastAsia" w:eastAsia="宋体" w:cs="Times New Roman"/>
          <w:color w:val="auto"/>
          <w:sz w:val="24"/>
          <w:szCs w:val="24"/>
          <w:highlight w:val="none"/>
          <w:lang w:val="en-US" w:eastAsia="zh-CN"/>
        </w:rPr>
        <w:t>病死畜禽专用运输车辆运输</w:t>
      </w:r>
      <w:r>
        <w:rPr>
          <w:rFonts w:hint="eastAsia" w:ascii="宋体" w:hAnsi="宋体" w:eastAsia="宋体" w:cs="宋体"/>
          <w:color w:val="000000"/>
          <w:kern w:val="2"/>
          <w:sz w:val="24"/>
          <w:szCs w:val="24"/>
          <w:lang w:val="en-US" w:eastAsia="zh-CN" w:bidi="ar-SA"/>
        </w:rPr>
        <w:t>，</w:t>
      </w:r>
      <w:r>
        <w:rPr>
          <w:rFonts w:hint="eastAsia" w:eastAsia="宋体" w:cs="Times New Roman"/>
          <w:color w:val="auto"/>
          <w:sz w:val="24"/>
          <w:szCs w:val="24"/>
          <w:lang w:val="en-US" w:eastAsia="zh-CN"/>
        </w:rPr>
        <w:t>病死畜禽专用运输车辆运输可</w:t>
      </w:r>
      <w:r>
        <w:rPr>
          <w:rFonts w:hint="eastAsia" w:ascii="宋体" w:hAnsi="宋体" w:eastAsia="宋体" w:cs="宋体"/>
          <w:color w:val="000000"/>
          <w:kern w:val="2"/>
          <w:sz w:val="24"/>
          <w:szCs w:val="24"/>
          <w:lang w:val="en-US" w:eastAsia="zh-CN" w:bidi="ar-SA"/>
        </w:rPr>
        <w:t>由病死牛暂存间直接运输至场外，避开生活区以及生产区</w:t>
      </w:r>
      <w:r>
        <w:rPr>
          <w:rFonts w:hint="eastAsia" w:eastAsia="宋体" w:cs="Times New Roman"/>
          <w:color w:val="auto"/>
          <w:sz w:val="24"/>
          <w:szCs w:val="24"/>
          <w:lang w:val="en-US" w:eastAsia="zh-CN"/>
        </w:rPr>
        <w:t>。发现病死牛当日通知</w:t>
      </w:r>
      <w:r>
        <w:rPr>
          <w:rFonts w:hint="eastAsia" w:cs="Times New Roman"/>
          <w:color w:val="auto"/>
          <w:sz w:val="24"/>
          <w:szCs w:val="24"/>
          <w:highlight w:val="none"/>
          <w:lang w:val="en-US" w:eastAsia="zh-CN"/>
        </w:rPr>
        <w:t>病死畜禽无害化处置单位</w:t>
      </w:r>
      <w:r>
        <w:rPr>
          <w:rFonts w:hint="eastAsia" w:eastAsia="宋体" w:cs="Times New Roman"/>
          <w:color w:val="auto"/>
          <w:sz w:val="24"/>
          <w:szCs w:val="24"/>
          <w:lang w:val="en-US" w:eastAsia="zh-CN"/>
        </w:rPr>
        <w:t>进行收集，不在场区内自行</w:t>
      </w:r>
      <w:r>
        <w:rPr>
          <w:rFonts w:hint="eastAsia" w:ascii="宋体" w:hAnsi="宋体" w:eastAsia="宋体" w:cs="宋体"/>
          <w:color w:val="000000"/>
          <w:kern w:val="2"/>
          <w:sz w:val="24"/>
          <w:szCs w:val="24"/>
          <w:lang w:val="en-US" w:eastAsia="zh-CN" w:bidi="ar-SA"/>
        </w:rPr>
        <w:t>处理病死牛和病害牛产品</w:t>
      </w:r>
      <w:r>
        <w:rPr>
          <w:rFonts w:hint="eastAsia" w:eastAsia="宋体" w:cs="Times New Roman"/>
          <w:color w:val="auto"/>
          <w:sz w:val="24"/>
          <w:szCs w:val="24"/>
          <w:lang w:val="en-US" w:eastAsia="zh-CN"/>
        </w:rPr>
        <w:t>，由</w:t>
      </w:r>
      <w:r>
        <w:rPr>
          <w:rFonts w:hint="eastAsia" w:cs="Times New Roman"/>
          <w:color w:val="auto"/>
          <w:sz w:val="24"/>
          <w:szCs w:val="24"/>
          <w:highlight w:val="none"/>
          <w:lang w:val="en-US" w:eastAsia="zh-CN"/>
        </w:rPr>
        <w:t>病死畜禽无害化处置单位配套的</w:t>
      </w:r>
      <w:r>
        <w:rPr>
          <w:rFonts w:hint="eastAsia" w:eastAsia="宋体" w:cs="Times New Roman"/>
          <w:color w:val="auto"/>
          <w:sz w:val="24"/>
          <w:szCs w:val="24"/>
          <w:lang w:val="en-US" w:eastAsia="zh-CN"/>
        </w:rPr>
        <w:t>病死畜禽专用运输车辆运输，运输过程中</w:t>
      </w:r>
      <w:r>
        <w:rPr>
          <w:rFonts w:hint="default" w:ascii="Times New Roman" w:hAnsi="Times New Roman" w:eastAsia="宋体" w:cs="Times New Roman"/>
          <w:kern w:val="2"/>
          <w:sz w:val="24"/>
          <w:szCs w:val="24"/>
          <w:lang w:val="en-US" w:eastAsia="zh-CN" w:bidi="ar-SA"/>
        </w:rPr>
        <w:t>不得擅自弃置和处理</w:t>
      </w:r>
      <w:r>
        <w:rPr>
          <w:rFonts w:hint="eastAsia" w:eastAsia="宋体" w:cs="Times New Roman"/>
          <w:color w:val="auto"/>
          <w:sz w:val="24"/>
          <w:szCs w:val="24"/>
          <w:lang w:val="en-US" w:eastAsia="zh-CN"/>
        </w:rPr>
        <w:t>。转运后，对隔离圈、</w:t>
      </w:r>
      <w:r>
        <w:rPr>
          <w:rFonts w:hint="eastAsia" w:ascii="宋体" w:hAnsi="宋体" w:eastAsia="宋体" w:cs="宋体"/>
          <w:color w:val="000000"/>
          <w:kern w:val="2"/>
          <w:sz w:val="24"/>
          <w:szCs w:val="24"/>
          <w:lang w:val="en-US" w:eastAsia="zh-CN" w:bidi="ar-SA"/>
        </w:rPr>
        <w:t>病死牛暂存间</w:t>
      </w:r>
      <w:r>
        <w:rPr>
          <w:rFonts w:hint="eastAsia" w:eastAsia="宋体" w:cs="Times New Roman"/>
          <w:color w:val="auto"/>
          <w:sz w:val="24"/>
          <w:szCs w:val="24"/>
          <w:lang w:val="en-US" w:eastAsia="zh-CN"/>
        </w:rPr>
        <w:t>、输出通道进行消毒</w:t>
      </w:r>
      <w:r>
        <w:rPr>
          <w:rFonts w:hint="eastAsia" w:eastAsia="宋体" w:cs="Times New Roman"/>
          <w:color w:val="auto"/>
          <w:sz w:val="24"/>
          <w:szCs w:val="24"/>
          <w:highlight w:val="none"/>
          <w:lang w:val="en-US" w:eastAsia="zh-CN"/>
        </w:rPr>
        <w:t>，符</w:t>
      </w:r>
      <w:r>
        <w:rPr>
          <w:rFonts w:hint="eastAsia" w:eastAsia="宋体" w:cs="Times New Roman"/>
          <w:color w:val="auto"/>
          <w:sz w:val="24"/>
          <w:szCs w:val="24"/>
          <w:lang w:val="en-US" w:eastAsia="zh-CN"/>
        </w:rPr>
        <w:t>合</w:t>
      </w:r>
      <w:r>
        <w:rPr>
          <w:rFonts w:hint="default" w:ascii="Times New Roman" w:hAnsi="Times New Roman" w:eastAsia="宋体" w:cs="Times New Roman"/>
          <w:color w:val="000000"/>
          <w:kern w:val="2"/>
          <w:sz w:val="24"/>
          <w:szCs w:val="24"/>
        </w:rPr>
        <w:t>《畜禽养殖业污染防治技术规范》（HJ/T81-2001）</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宋体"/>
          <w:color w:val="auto"/>
          <w:kern w:val="0"/>
          <w:sz w:val="24"/>
          <w:szCs w:val="22"/>
          <w:lang w:val="en-US" w:eastAsia="zh-CN"/>
        </w:rPr>
        <w:t>《关于建立病死畜禽无害化处理机制的实施意见》（新政办发</w:t>
      </w:r>
      <w:r>
        <w:rPr>
          <w:rFonts w:hint="eastAsia" w:cs="宋体"/>
          <w:color w:val="auto"/>
          <w:kern w:val="0"/>
          <w:sz w:val="24"/>
          <w:szCs w:val="22"/>
          <w:lang w:val="en-US" w:eastAsia="zh-CN"/>
        </w:rPr>
        <w:t>〔2016〕1号</w:t>
      </w:r>
      <w:r>
        <w:rPr>
          <w:rFonts w:hint="eastAsia" w:ascii="Times New Roman" w:hAnsi="Times New Roman" w:eastAsia="宋体" w:cs="宋体"/>
          <w:color w:val="auto"/>
          <w:kern w:val="0"/>
          <w:sz w:val="24"/>
          <w:szCs w:val="22"/>
          <w:lang w:val="en-US" w:eastAsia="zh-CN"/>
        </w:rPr>
        <w:t>）</w:t>
      </w:r>
      <w:r>
        <w:rPr>
          <w:rFonts w:hint="eastAsia" w:eastAsia="宋体" w:cs="宋体"/>
          <w:color w:val="auto"/>
          <w:kern w:val="0"/>
          <w:sz w:val="24"/>
          <w:szCs w:val="22"/>
          <w:lang w:val="en-US" w:eastAsia="zh-CN"/>
        </w:rPr>
        <w:t>、</w:t>
      </w:r>
      <w:r>
        <w:rPr>
          <w:rFonts w:hint="eastAsia" w:ascii="Times New Roman" w:hAnsi="Times New Roman" w:eastAsia="宋体" w:cs="Times New Roman"/>
          <w:kern w:val="2"/>
          <w:sz w:val="24"/>
          <w:szCs w:val="24"/>
          <w:lang w:val="en-US" w:eastAsia="zh-CN" w:bidi="ar-SA"/>
        </w:rPr>
        <w:t>符合《病死畜禽和病害畜禽产品无害化处理管理办法》（中华人民共和国农业农村部令2022年第3号）</w:t>
      </w:r>
      <w:r>
        <w:rPr>
          <w:rFonts w:hint="eastAsia" w:ascii="Times New Roman" w:hAnsi="Times New Roman" w:eastAsia="宋体" w:cs="宋体"/>
          <w:color w:val="auto"/>
          <w:kern w:val="0"/>
          <w:sz w:val="24"/>
          <w:szCs w:val="22"/>
          <w:lang w:val="en-US" w:eastAsia="zh-CN"/>
        </w:rPr>
        <w:t>相关要求</w:t>
      </w:r>
      <w:r>
        <w:rPr>
          <w:rFonts w:hint="eastAsia" w:eastAsia="宋体" w:cs="宋体"/>
          <w:color w:val="auto"/>
          <w:kern w:val="0"/>
          <w:sz w:val="24"/>
          <w:szCs w:val="22"/>
          <w:lang w:val="en-US" w:eastAsia="zh-CN"/>
        </w:rPr>
        <w:t>。</w:t>
      </w:r>
    </w:p>
    <w:p w14:paraId="1236ADD8">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w:t>
      </w:r>
      <w:r>
        <w:rPr>
          <w:rFonts w:hint="eastAsia" w:cs="Times New Roman"/>
          <w:b/>
          <w:bCs/>
          <w:kern w:val="2"/>
          <w:sz w:val="28"/>
          <w:szCs w:val="28"/>
          <w:lang w:val="en-US" w:eastAsia="zh-CN" w:bidi="ar-SA"/>
        </w:rPr>
        <w:t>6</w:t>
      </w:r>
      <w:r>
        <w:rPr>
          <w:rFonts w:hint="default" w:ascii="Times New Roman" w:hAnsi="Times New Roman" w:eastAsia="宋体" w:cs="Times New Roman"/>
          <w:b/>
          <w:bCs/>
          <w:kern w:val="2"/>
          <w:sz w:val="28"/>
          <w:szCs w:val="28"/>
          <w:lang w:val="en-US" w:eastAsia="zh-CN" w:bidi="ar-SA"/>
        </w:rPr>
        <w:t>物能消耗及平衡分析</w:t>
      </w:r>
      <w:bookmarkEnd w:id="329"/>
    </w:p>
    <w:p w14:paraId="440C0463">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6</w:t>
      </w:r>
      <w:r>
        <w:rPr>
          <w:rFonts w:hint="default" w:ascii="Times New Roman" w:hAnsi="Times New Roman" w:eastAsia="宋体" w:cs="Times New Roman"/>
          <w:b/>
          <w:kern w:val="2"/>
          <w:sz w:val="24"/>
          <w:szCs w:val="24"/>
          <w:lang w:val="en-US" w:eastAsia="zh-CN" w:bidi="ar-SA"/>
        </w:rPr>
        <w:t>.1水平衡分析</w:t>
      </w:r>
    </w:p>
    <w:p w14:paraId="67535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本项目</w:t>
      </w:r>
      <w:r>
        <w:rPr>
          <w:rFonts w:hint="eastAsia" w:eastAsia="宋体" w:cs="Times New Roman"/>
          <w:color w:val="auto"/>
          <w:kern w:val="2"/>
          <w:sz w:val="24"/>
          <w:szCs w:val="24"/>
          <w:lang w:val="en-US" w:eastAsia="zh-CN"/>
        </w:rPr>
        <w:t>牛尿</w:t>
      </w:r>
      <w:r>
        <w:rPr>
          <w:rFonts w:hint="eastAsia" w:cs="Times New Roman"/>
          <w:color w:val="auto"/>
          <w:kern w:val="2"/>
          <w:sz w:val="24"/>
          <w:szCs w:val="24"/>
          <w:lang w:val="en-US" w:eastAsia="zh-CN"/>
        </w:rPr>
        <w:t>被发酵床的发酵垫料吸收</w:t>
      </w:r>
      <w:r>
        <w:rPr>
          <w:rFonts w:hint="default" w:ascii="Times New Roman" w:hAnsi="Times New Roman" w:eastAsia="宋体" w:cs="Times New Roman"/>
          <w:color w:val="auto"/>
          <w:kern w:val="2"/>
          <w:sz w:val="24"/>
          <w:szCs w:val="24"/>
        </w:rPr>
        <w:t>，</w:t>
      </w:r>
      <w:r>
        <w:rPr>
          <w:rFonts w:hint="eastAsia" w:cs="Times New Roman"/>
          <w:color w:val="auto"/>
          <w:kern w:val="2"/>
          <w:sz w:val="24"/>
          <w:szCs w:val="24"/>
          <w:lang w:val="en-US" w:eastAsia="zh-CN"/>
        </w:rPr>
        <w:t>发酵成</w:t>
      </w:r>
      <w:r>
        <w:rPr>
          <w:rFonts w:hint="default" w:ascii="Times New Roman" w:hAnsi="Times New Roman" w:eastAsia="宋体" w:cs="Times New Roman"/>
          <w:color w:val="auto"/>
          <w:kern w:val="2"/>
          <w:sz w:val="24"/>
          <w:szCs w:val="24"/>
          <w:lang w:eastAsia="zh-CN"/>
        </w:rPr>
        <w:t>有机肥</w:t>
      </w:r>
      <w:r>
        <w:rPr>
          <w:rFonts w:hint="eastAsia" w:eastAsia="宋体" w:cs="Times New Roman"/>
          <w:color w:val="auto"/>
          <w:kern w:val="2"/>
          <w:sz w:val="24"/>
          <w:szCs w:val="24"/>
          <w:lang w:val="en-US" w:eastAsia="zh-CN"/>
        </w:rPr>
        <w:t>还田于本项目</w:t>
      </w:r>
      <w:r>
        <w:rPr>
          <w:rFonts w:hint="eastAsia" w:cs="Times New Roman"/>
          <w:color w:val="auto"/>
          <w:kern w:val="2"/>
          <w:sz w:val="24"/>
          <w:szCs w:val="24"/>
          <w:lang w:val="en-US" w:eastAsia="zh-CN"/>
        </w:rPr>
        <w:t>周边农田</w:t>
      </w:r>
      <w:r>
        <w:rPr>
          <w:rFonts w:hint="default" w:ascii="Times New Roman" w:hAnsi="Times New Roman" w:eastAsia="宋体" w:cs="Times New Roman"/>
          <w:color w:val="auto"/>
          <w:kern w:val="2"/>
          <w:sz w:val="24"/>
          <w:szCs w:val="24"/>
        </w:rPr>
        <w:t>，</w:t>
      </w:r>
      <w:r>
        <w:rPr>
          <w:rFonts w:hint="default" w:ascii="Times New Roman" w:hAnsi="Times New Roman" w:eastAsia="宋体" w:cs="Times New Roman"/>
          <w:color w:val="auto"/>
          <w:kern w:val="2"/>
          <w:sz w:val="24"/>
          <w:szCs w:val="24"/>
          <w:lang w:val="en-US" w:eastAsia="zh-CN"/>
        </w:rPr>
        <w:t>项目非作物生长期</w:t>
      </w:r>
      <w:r>
        <w:rPr>
          <w:rFonts w:hint="default" w:ascii="Times New Roman" w:hAnsi="Times New Roman" w:eastAsia="宋体" w:cs="Times New Roman"/>
          <w:color w:val="auto"/>
          <w:kern w:val="2"/>
          <w:sz w:val="24"/>
          <w:szCs w:val="24"/>
        </w:rPr>
        <w:t>处理</w:t>
      </w:r>
      <w:r>
        <w:rPr>
          <w:rFonts w:hint="eastAsia" w:cs="Times New Roman"/>
          <w:color w:val="auto"/>
          <w:kern w:val="2"/>
          <w:sz w:val="24"/>
          <w:szCs w:val="24"/>
          <w:lang w:eastAsia="zh-CN"/>
        </w:rPr>
        <w:t>后</w:t>
      </w:r>
      <w:r>
        <w:rPr>
          <w:rFonts w:hint="eastAsia" w:cs="Times New Roman"/>
          <w:color w:val="auto"/>
          <w:kern w:val="2"/>
          <w:sz w:val="24"/>
          <w:szCs w:val="24"/>
          <w:lang w:val="en-US" w:eastAsia="zh-CN"/>
        </w:rPr>
        <w:t>在发酵垫料内发酵</w:t>
      </w:r>
      <w:r>
        <w:rPr>
          <w:rFonts w:hint="default" w:ascii="Times New Roman" w:hAnsi="Times New Roman" w:eastAsia="宋体" w:cs="Times New Roman"/>
          <w:color w:val="auto"/>
          <w:kern w:val="2"/>
          <w:sz w:val="24"/>
          <w:szCs w:val="24"/>
        </w:rPr>
        <w:t>，因此，本项目</w:t>
      </w:r>
      <w:r>
        <w:rPr>
          <w:rFonts w:hint="default" w:ascii="Times New Roman" w:hAnsi="Times New Roman" w:eastAsia="宋体" w:cs="Times New Roman"/>
          <w:color w:val="auto"/>
          <w:kern w:val="2"/>
          <w:sz w:val="24"/>
          <w:szCs w:val="24"/>
          <w:lang w:eastAsia="zh-CN"/>
        </w:rPr>
        <w:t>可完全做到</w:t>
      </w:r>
      <w:r>
        <w:rPr>
          <w:rFonts w:hint="eastAsia" w:cs="Times New Roman"/>
          <w:color w:val="auto"/>
          <w:kern w:val="2"/>
          <w:sz w:val="24"/>
          <w:szCs w:val="24"/>
          <w:lang w:eastAsia="zh-CN"/>
        </w:rPr>
        <w:t>“</w:t>
      </w:r>
      <w:r>
        <w:rPr>
          <w:rFonts w:hint="default" w:ascii="Times New Roman" w:hAnsi="Times New Roman" w:eastAsia="宋体" w:cs="Times New Roman"/>
          <w:color w:val="auto"/>
          <w:kern w:val="0"/>
          <w:sz w:val="24"/>
          <w:szCs w:val="24"/>
        </w:rPr>
        <w:t>污水肥料化利用</w:t>
      </w:r>
      <w:r>
        <w:rPr>
          <w:rFonts w:hint="eastAsia" w:cs="Times New Roman"/>
          <w:color w:val="auto"/>
          <w:kern w:val="2"/>
          <w:sz w:val="24"/>
          <w:szCs w:val="24"/>
          <w:lang w:eastAsia="zh-CN"/>
        </w:rPr>
        <w:t>”</w:t>
      </w:r>
      <w:r>
        <w:rPr>
          <w:rFonts w:hint="default" w:ascii="Times New Roman" w:hAnsi="Times New Roman" w:eastAsia="宋体" w:cs="Times New Roman"/>
          <w:color w:val="auto"/>
          <w:kern w:val="2"/>
          <w:sz w:val="24"/>
          <w:szCs w:val="24"/>
        </w:rPr>
        <w:t>，</w:t>
      </w:r>
      <w:r>
        <w:rPr>
          <w:rFonts w:hint="eastAsia" w:cs="Times New Roman"/>
          <w:color w:val="auto"/>
          <w:kern w:val="2"/>
          <w:sz w:val="24"/>
          <w:szCs w:val="24"/>
          <w:lang w:val="en-US" w:eastAsia="zh-CN"/>
        </w:rPr>
        <w:t>生活污水经防渗化粪池收集后，由吸污车定期拉运至污水处理厂处置</w:t>
      </w:r>
      <w:r>
        <w:rPr>
          <w:rFonts w:hint="default" w:ascii="Times New Roman" w:hAnsi="Times New Roman" w:eastAsia="宋体" w:cs="Times New Roman"/>
          <w:color w:val="auto"/>
          <w:kern w:val="2"/>
          <w:sz w:val="24"/>
          <w:szCs w:val="24"/>
        </w:rPr>
        <w:t>。</w:t>
      </w:r>
    </w:p>
    <w:p w14:paraId="1278EE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本项目用、排水情况见表</w:t>
      </w:r>
      <w:r>
        <w:rPr>
          <w:rFonts w:hint="default" w:ascii="Times New Roman" w:hAnsi="Times New Roman" w:eastAsia="宋体"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rPr>
        <w:t>.</w:t>
      </w:r>
      <w:r>
        <w:rPr>
          <w:rFonts w:hint="eastAsia"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rPr>
        <w:t>。本项目用排水平衡见下图</w:t>
      </w:r>
      <w:r>
        <w:rPr>
          <w:rFonts w:hint="default" w:ascii="Times New Roman" w:hAnsi="Times New Roman" w:eastAsia="宋体"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rPr>
        <w:t>.</w:t>
      </w:r>
      <w:r>
        <w:rPr>
          <w:rFonts w:hint="eastAsia"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lang w:val="en-US" w:eastAsia="zh-CN"/>
        </w:rPr>
        <w:t>-</w:t>
      </w:r>
      <w:r>
        <w:rPr>
          <w:rFonts w:hint="eastAsia" w:cs="Times New Roman"/>
          <w:color w:val="000000"/>
          <w:kern w:val="2"/>
          <w:sz w:val="24"/>
          <w:szCs w:val="24"/>
          <w:lang w:val="en-US" w:eastAsia="zh-CN"/>
        </w:rPr>
        <w:t>4，</w:t>
      </w:r>
      <w:r>
        <w:rPr>
          <w:rFonts w:hint="default" w:ascii="Times New Roman" w:hAnsi="Times New Roman" w:eastAsia="宋体" w:cs="Times New Roman"/>
          <w:color w:val="000000"/>
          <w:kern w:val="2"/>
          <w:sz w:val="24"/>
          <w:szCs w:val="24"/>
        </w:rPr>
        <w:t>用排水平衡见下图</w:t>
      </w:r>
      <w:r>
        <w:rPr>
          <w:rFonts w:hint="default" w:ascii="Times New Roman" w:hAnsi="Times New Roman" w:eastAsia="宋体"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rPr>
        <w:t>.</w:t>
      </w:r>
      <w:r>
        <w:rPr>
          <w:rFonts w:hint="eastAsia"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lang w:val="en-US" w:eastAsia="zh-CN"/>
        </w:rPr>
        <w:t>-</w:t>
      </w:r>
      <w:r>
        <w:rPr>
          <w:rFonts w:hint="eastAsia" w:cs="Times New Roman"/>
          <w:color w:val="000000"/>
          <w:kern w:val="2"/>
          <w:sz w:val="24"/>
          <w:szCs w:val="24"/>
          <w:lang w:val="en-US" w:eastAsia="zh-CN"/>
        </w:rPr>
        <w:t>5</w:t>
      </w:r>
      <w:r>
        <w:rPr>
          <w:rFonts w:hint="default" w:ascii="Times New Roman" w:hAnsi="Times New Roman" w:eastAsia="宋体" w:cs="Times New Roman"/>
          <w:color w:val="000000"/>
          <w:kern w:val="2"/>
          <w:sz w:val="24"/>
          <w:szCs w:val="24"/>
        </w:rPr>
        <w:t>。</w:t>
      </w:r>
    </w:p>
    <w:p w14:paraId="3FC92DE1">
      <w:pPr>
        <w:spacing w:line="360" w:lineRule="auto"/>
        <w:jc w:val="center"/>
        <w:rPr>
          <w:rFonts w:hint="default" w:ascii="Times New Roman" w:hAnsi="Times New Roman" w:eastAsia="宋体" w:cs="Times New Roman"/>
          <w:color w:val="000000"/>
          <w:kern w:val="2"/>
          <w:sz w:val="21"/>
          <w:szCs w:val="24"/>
        </w:rPr>
      </w:pPr>
      <w:r>
        <w:rPr>
          <w:rFonts w:hint="default" w:ascii="Times New Roman" w:hAnsi="Times New Roman" w:eastAsia="宋体" w:cs="Times New Roman"/>
          <w:b/>
          <w:bCs/>
          <w:color w:val="000000"/>
          <w:kern w:val="2"/>
          <w:sz w:val="24"/>
          <w:szCs w:val="24"/>
        </w:rPr>
        <w:t>表</w:t>
      </w:r>
      <w:r>
        <w:rPr>
          <w:rFonts w:hint="default" w:ascii="Times New Roman" w:hAnsi="Times New Roman" w:eastAsia="宋体" w:cs="Times New Roman"/>
          <w:b/>
          <w:bCs/>
          <w:color w:val="000000"/>
          <w:kern w:val="2"/>
          <w:sz w:val="24"/>
          <w:szCs w:val="24"/>
          <w:lang w:val="en-US" w:eastAsia="zh-CN"/>
        </w:rPr>
        <w:t>3</w:t>
      </w:r>
      <w:r>
        <w:rPr>
          <w:rFonts w:hint="default" w:ascii="Times New Roman" w:hAnsi="Times New Roman" w:eastAsia="宋体" w:cs="Times New Roman"/>
          <w:b/>
          <w:bCs/>
          <w:color w:val="000000"/>
          <w:kern w:val="2"/>
          <w:sz w:val="24"/>
          <w:szCs w:val="24"/>
        </w:rPr>
        <w:t>.</w:t>
      </w:r>
      <w:r>
        <w:rPr>
          <w:rFonts w:hint="eastAsia" w:cs="Times New Roman"/>
          <w:b/>
          <w:bCs/>
          <w:color w:val="000000"/>
          <w:kern w:val="2"/>
          <w:sz w:val="24"/>
          <w:szCs w:val="24"/>
          <w:lang w:val="en-US" w:eastAsia="zh-CN"/>
        </w:rPr>
        <w:t>3</w:t>
      </w:r>
      <w:r>
        <w:rPr>
          <w:rFonts w:hint="default" w:ascii="Times New Roman" w:hAnsi="Times New Roman" w:eastAsia="宋体" w:cs="Times New Roman"/>
          <w:b/>
          <w:bCs/>
          <w:color w:val="000000"/>
          <w:kern w:val="2"/>
          <w:sz w:val="24"/>
          <w:szCs w:val="24"/>
          <w:lang w:val="en-US" w:eastAsia="zh-CN"/>
        </w:rPr>
        <w:t>-3</w:t>
      </w:r>
      <w:r>
        <w:rPr>
          <w:rFonts w:hint="default" w:ascii="Times New Roman" w:hAnsi="Times New Roman" w:eastAsia="宋体" w:cs="Times New Roman"/>
          <w:b/>
          <w:bCs/>
          <w:color w:val="000000"/>
          <w:kern w:val="2"/>
          <w:sz w:val="24"/>
          <w:szCs w:val="24"/>
        </w:rPr>
        <w:t>本项目用、排水情况一览表单位：m</w:t>
      </w:r>
      <w:r>
        <w:rPr>
          <w:rFonts w:hint="default" w:ascii="Times New Roman" w:hAnsi="Times New Roman" w:eastAsia="宋体" w:cs="Times New Roman"/>
          <w:b/>
          <w:bCs/>
          <w:color w:val="000000"/>
          <w:kern w:val="2"/>
          <w:sz w:val="24"/>
          <w:szCs w:val="24"/>
          <w:vertAlign w:val="superscript"/>
        </w:rPr>
        <w:t>3</w:t>
      </w:r>
      <w:r>
        <w:rPr>
          <w:rFonts w:hint="default" w:ascii="Times New Roman" w:hAnsi="Times New Roman" w:eastAsia="宋体" w:cs="Times New Roman"/>
          <w:b/>
          <w:bCs/>
          <w:color w:val="000000"/>
          <w:kern w:val="2"/>
          <w:sz w:val="24"/>
          <w:szCs w:val="24"/>
        </w:rPr>
        <w:t>/a</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827"/>
        <w:gridCol w:w="1413"/>
        <w:gridCol w:w="1620"/>
        <w:gridCol w:w="1154"/>
        <w:gridCol w:w="1276"/>
        <w:gridCol w:w="1214"/>
      </w:tblGrid>
      <w:tr w14:paraId="2309D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5" w:hRule="atLeast"/>
          <w:jc w:val="center"/>
        </w:trPr>
        <w:tc>
          <w:tcPr>
            <w:tcW w:w="1827" w:type="dxa"/>
            <w:tcBorders>
              <w:tl2br w:val="nil"/>
              <w:tr2bl w:val="nil"/>
            </w:tcBorders>
            <w:noWrap w:val="0"/>
            <w:vAlign w:val="center"/>
          </w:tcPr>
          <w:p w14:paraId="57D5FC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项目</w:t>
            </w:r>
          </w:p>
        </w:tc>
        <w:tc>
          <w:tcPr>
            <w:tcW w:w="1413" w:type="dxa"/>
            <w:tcBorders>
              <w:tl2br w:val="nil"/>
              <w:tr2bl w:val="nil"/>
            </w:tcBorders>
            <w:noWrap w:val="0"/>
            <w:vAlign w:val="center"/>
          </w:tcPr>
          <w:p w14:paraId="21F257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数量</w:t>
            </w:r>
          </w:p>
        </w:tc>
        <w:tc>
          <w:tcPr>
            <w:tcW w:w="1620" w:type="dxa"/>
            <w:tcBorders>
              <w:tl2br w:val="nil"/>
              <w:tr2bl w:val="nil"/>
            </w:tcBorders>
            <w:noWrap w:val="0"/>
            <w:vAlign w:val="center"/>
          </w:tcPr>
          <w:p w14:paraId="7CDAF4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用水量指标</w:t>
            </w:r>
          </w:p>
        </w:tc>
        <w:tc>
          <w:tcPr>
            <w:tcW w:w="1154" w:type="dxa"/>
            <w:tcBorders>
              <w:tl2br w:val="nil"/>
              <w:tr2bl w:val="nil"/>
            </w:tcBorders>
            <w:noWrap w:val="0"/>
            <w:vAlign w:val="center"/>
          </w:tcPr>
          <w:p w14:paraId="1D0583B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用水量</w:t>
            </w:r>
          </w:p>
        </w:tc>
        <w:tc>
          <w:tcPr>
            <w:tcW w:w="1276" w:type="dxa"/>
            <w:tcBorders>
              <w:tl2br w:val="nil"/>
              <w:tr2bl w:val="nil"/>
            </w:tcBorders>
            <w:noWrap w:val="0"/>
            <w:vAlign w:val="center"/>
          </w:tcPr>
          <w:p w14:paraId="2878135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损失量</w:t>
            </w:r>
          </w:p>
        </w:tc>
        <w:tc>
          <w:tcPr>
            <w:tcW w:w="1214" w:type="dxa"/>
            <w:tcBorders>
              <w:tl2br w:val="nil"/>
              <w:tr2bl w:val="nil"/>
            </w:tcBorders>
            <w:noWrap w:val="0"/>
            <w:vAlign w:val="center"/>
          </w:tcPr>
          <w:p w14:paraId="4C16934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21"/>
                <w:szCs w:val="21"/>
              </w:rPr>
            </w:pPr>
            <w:r>
              <w:rPr>
                <w:rFonts w:hint="default" w:ascii="Times New Roman" w:hAnsi="Times New Roman" w:eastAsia="宋体" w:cs="Times New Roman"/>
                <w:b/>
                <w:bCs/>
                <w:color w:val="000000"/>
                <w:kern w:val="0"/>
                <w:sz w:val="21"/>
                <w:szCs w:val="21"/>
              </w:rPr>
              <w:t>排水量</w:t>
            </w:r>
          </w:p>
        </w:tc>
      </w:tr>
      <w:tr w14:paraId="00D00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0" w:hRule="atLeast"/>
          <w:jc w:val="center"/>
        </w:trPr>
        <w:tc>
          <w:tcPr>
            <w:tcW w:w="1827" w:type="dxa"/>
            <w:tcBorders>
              <w:tl2br w:val="nil"/>
              <w:tr2bl w:val="nil"/>
            </w:tcBorders>
            <w:noWrap w:val="0"/>
            <w:vAlign w:val="center"/>
          </w:tcPr>
          <w:p w14:paraId="49001B6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rPr>
            </w:pPr>
            <w:r>
              <w:rPr>
                <w:rFonts w:hint="eastAsia" w:eastAsia="宋体" w:cs="Times New Roman"/>
                <w:color w:val="000000"/>
                <w:kern w:val="0"/>
                <w:sz w:val="21"/>
                <w:szCs w:val="21"/>
                <w:lang w:val="en-US" w:eastAsia="zh-CN"/>
              </w:rPr>
              <w:t>养殖</w:t>
            </w:r>
            <w:r>
              <w:rPr>
                <w:rFonts w:hint="default" w:ascii="Times New Roman" w:hAnsi="Times New Roman" w:eastAsia="宋体" w:cs="Times New Roman"/>
                <w:color w:val="000000"/>
                <w:kern w:val="0"/>
                <w:sz w:val="21"/>
                <w:szCs w:val="21"/>
              </w:rPr>
              <w:t>用水</w:t>
            </w:r>
          </w:p>
        </w:tc>
        <w:tc>
          <w:tcPr>
            <w:tcW w:w="1413" w:type="dxa"/>
            <w:tcBorders>
              <w:tl2br w:val="nil"/>
              <w:tr2bl w:val="nil"/>
            </w:tcBorders>
            <w:noWrap w:val="0"/>
            <w:vAlign w:val="center"/>
          </w:tcPr>
          <w:p w14:paraId="64A0FDA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rPr>
            </w:pPr>
            <w:r>
              <w:rPr>
                <w:rFonts w:hint="eastAsia" w:cs="Times New Roman"/>
                <w:color w:val="000000"/>
                <w:kern w:val="0"/>
                <w:sz w:val="21"/>
                <w:szCs w:val="21"/>
                <w:lang w:val="en-US" w:eastAsia="zh-CN"/>
              </w:rPr>
              <w:t>3</w:t>
            </w:r>
            <w:r>
              <w:rPr>
                <w:rFonts w:hint="eastAsia" w:eastAsia="宋体" w:cs="Times New Roman"/>
                <w:color w:val="000000"/>
                <w:kern w:val="0"/>
                <w:sz w:val="21"/>
                <w:szCs w:val="21"/>
                <w:lang w:val="en-US" w:eastAsia="zh-CN"/>
              </w:rPr>
              <w:t>00</w:t>
            </w:r>
            <w:r>
              <w:rPr>
                <w:rFonts w:hint="eastAsia" w:cs="Times New Roman"/>
                <w:color w:val="000000"/>
                <w:kern w:val="0"/>
                <w:sz w:val="21"/>
                <w:szCs w:val="21"/>
                <w:lang w:val="en-US" w:eastAsia="zh-CN"/>
              </w:rPr>
              <w:t>0</w:t>
            </w:r>
            <w:r>
              <w:rPr>
                <w:rFonts w:hint="default" w:ascii="Times New Roman" w:hAnsi="Times New Roman" w:eastAsia="宋体" w:cs="Times New Roman"/>
                <w:color w:val="000000"/>
                <w:kern w:val="0"/>
                <w:sz w:val="21"/>
                <w:szCs w:val="21"/>
              </w:rPr>
              <w:t>头</w:t>
            </w:r>
          </w:p>
        </w:tc>
        <w:tc>
          <w:tcPr>
            <w:tcW w:w="1620" w:type="dxa"/>
            <w:tcBorders>
              <w:tl2br w:val="nil"/>
              <w:tr2bl w:val="nil"/>
            </w:tcBorders>
            <w:noWrap w:val="0"/>
            <w:vAlign w:val="center"/>
          </w:tcPr>
          <w:p w14:paraId="6BBF561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rPr>
            </w:pPr>
            <w:r>
              <w:rPr>
                <w:rFonts w:hint="eastAsia" w:eastAsia="宋体" w:cs="Times New Roman"/>
                <w:color w:val="000000"/>
                <w:kern w:val="0"/>
                <w:sz w:val="21"/>
                <w:szCs w:val="21"/>
                <w:lang w:val="en-US" w:eastAsia="zh-CN"/>
              </w:rPr>
              <w:t>40</w:t>
            </w:r>
            <w:r>
              <w:rPr>
                <w:rFonts w:hint="default" w:ascii="Times New Roman" w:hAnsi="Times New Roman" w:eastAsia="宋体" w:cs="Times New Roman"/>
                <w:color w:val="000000"/>
                <w:kern w:val="0"/>
                <w:sz w:val="21"/>
                <w:szCs w:val="21"/>
              </w:rPr>
              <w:t>L/</w:t>
            </w:r>
            <w:r>
              <w:rPr>
                <w:rFonts w:hint="default" w:ascii="Times New Roman" w:hAnsi="Times New Roman" w:eastAsia="宋体" w:cs="Times New Roman"/>
                <w:color w:val="000000"/>
                <w:kern w:val="0"/>
                <w:sz w:val="21"/>
                <w:szCs w:val="21"/>
                <w:lang w:val="en-US" w:eastAsia="zh-CN"/>
              </w:rPr>
              <w:t>头</w:t>
            </w:r>
            <w:r>
              <w:rPr>
                <w:rFonts w:hint="default" w:ascii="Times New Roman" w:hAnsi="Times New Roman" w:eastAsia="宋体" w:cs="Times New Roman"/>
                <w:color w:val="000000"/>
                <w:kern w:val="0"/>
                <w:sz w:val="21"/>
                <w:szCs w:val="21"/>
              </w:rPr>
              <w:t>•d</w:t>
            </w:r>
          </w:p>
        </w:tc>
        <w:tc>
          <w:tcPr>
            <w:tcW w:w="1154" w:type="dxa"/>
            <w:tcBorders>
              <w:tl2br w:val="nil"/>
              <w:tr2bl w:val="nil"/>
            </w:tcBorders>
            <w:noWrap w:val="0"/>
            <w:vAlign w:val="center"/>
          </w:tcPr>
          <w:p w14:paraId="40F685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43800</w:t>
            </w:r>
          </w:p>
        </w:tc>
        <w:tc>
          <w:tcPr>
            <w:tcW w:w="1276" w:type="dxa"/>
            <w:tcBorders>
              <w:tl2br w:val="nil"/>
              <w:tr2bl w:val="nil"/>
            </w:tcBorders>
            <w:noWrap w:val="0"/>
            <w:vAlign w:val="center"/>
          </w:tcPr>
          <w:p w14:paraId="636B0A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43800</w:t>
            </w:r>
          </w:p>
        </w:tc>
        <w:tc>
          <w:tcPr>
            <w:tcW w:w="1214" w:type="dxa"/>
            <w:tcBorders>
              <w:tl2br w:val="nil"/>
              <w:tr2bl w:val="nil"/>
            </w:tcBorders>
            <w:noWrap w:val="0"/>
            <w:vAlign w:val="center"/>
          </w:tcPr>
          <w:p w14:paraId="5FFD50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eastAsia="宋体" w:cs="Times New Roman"/>
                <w:color w:val="auto"/>
                <w:kern w:val="0"/>
                <w:sz w:val="21"/>
                <w:szCs w:val="21"/>
                <w:lang w:val="en-US" w:eastAsia="zh-CN"/>
              </w:rPr>
            </w:pPr>
            <w:r>
              <w:rPr>
                <w:rFonts w:hint="default" w:ascii="Times New Roman" w:hAnsi="Times New Roman" w:eastAsia="宋体" w:cs="Times New Roman"/>
                <w:color w:val="000000"/>
                <w:kern w:val="0"/>
                <w:sz w:val="21"/>
                <w:szCs w:val="21"/>
                <w:highlight w:val="none"/>
                <w:lang w:val="en-US" w:eastAsia="zh-CN"/>
              </w:rPr>
              <w:t>—</w:t>
            </w:r>
          </w:p>
        </w:tc>
      </w:tr>
      <w:tr w14:paraId="0556B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5" w:hRule="atLeast"/>
          <w:jc w:val="center"/>
        </w:trPr>
        <w:tc>
          <w:tcPr>
            <w:tcW w:w="1827" w:type="dxa"/>
            <w:tcBorders>
              <w:tl2br w:val="nil"/>
              <w:tr2bl w:val="nil"/>
            </w:tcBorders>
            <w:noWrap w:val="0"/>
            <w:vAlign w:val="center"/>
          </w:tcPr>
          <w:p w14:paraId="73BA5CB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highlight w:val="none"/>
                <w:lang w:eastAsia="zh-CN"/>
              </w:rPr>
            </w:pPr>
            <w:r>
              <w:rPr>
                <w:rFonts w:hint="default" w:ascii="Times New Roman" w:hAnsi="Times New Roman" w:eastAsia="宋体" w:cs="Times New Roman"/>
                <w:color w:val="000000"/>
                <w:kern w:val="0"/>
                <w:sz w:val="21"/>
                <w:szCs w:val="21"/>
                <w:highlight w:val="none"/>
                <w:lang w:val="en-US" w:eastAsia="zh-CN"/>
              </w:rPr>
              <w:t>消毒用水</w:t>
            </w:r>
          </w:p>
        </w:tc>
        <w:tc>
          <w:tcPr>
            <w:tcW w:w="1413" w:type="dxa"/>
            <w:tcBorders>
              <w:tl2br w:val="nil"/>
              <w:tr2bl w:val="nil"/>
            </w:tcBorders>
            <w:noWrap w:val="0"/>
            <w:vAlign w:val="center"/>
          </w:tcPr>
          <w:p w14:paraId="3E598A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w:t>
            </w:r>
          </w:p>
        </w:tc>
        <w:tc>
          <w:tcPr>
            <w:tcW w:w="1620" w:type="dxa"/>
            <w:tcBorders>
              <w:tl2br w:val="nil"/>
              <w:tr2bl w:val="nil"/>
            </w:tcBorders>
            <w:noWrap w:val="0"/>
            <w:vAlign w:val="center"/>
          </w:tcPr>
          <w:p w14:paraId="6E0F337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highlight w:val="yellow"/>
                <w:lang w:val="en-US" w:eastAsia="zh-CN"/>
              </w:rPr>
            </w:pPr>
            <w:r>
              <w:rPr>
                <w:rFonts w:hint="default" w:ascii="Times New Roman" w:hAnsi="Times New Roman" w:eastAsia="宋体" w:cs="Times New Roman"/>
                <w:color w:val="000000"/>
                <w:kern w:val="0"/>
                <w:sz w:val="21"/>
                <w:szCs w:val="21"/>
                <w:highlight w:val="none"/>
                <w:lang w:val="en-US" w:eastAsia="zh-CN"/>
              </w:rPr>
              <w:t>—</w:t>
            </w:r>
          </w:p>
        </w:tc>
        <w:tc>
          <w:tcPr>
            <w:tcW w:w="1154" w:type="dxa"/>
            <w:tcBorders>
              <w:tl2br w:val="nil"/>
              <w:tr2bl w:val="nil"/>
            </w:tcBorders>
            <w:shd w:val="clear" w:color="auto" w:fill="auto"/>
            <w:noWrap w:val="0"/>
            <w:vAlign w:val="center"/>
          </w:tcPr>
          <w:p w14:paraId="5146C0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944.36</w:t>
            </w:r>
          </w:p>
        </w:tc>
        <w:tc>
          <w:tcPr>
            <w:tcW w:w="1276" w:type="dxa"/>
            <w:tcBorders>
              <w:tl2br w:val="nil"/>
              <w:tr2bl w:val="nil"/>
            </w:tcBorders>
            <w:shd w:val="clear" w:color="auto" w:fill="auto"/>
            <w:noWrap w:val="0"/>
            <w:vAlign w:val="center"/>
          </w:tcPr>
          <w:p w14:paraId="338E48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944.36</w:t>
            </w:r>
          </w:p>
        </w:tc>
        <w:tc>
          <w:tcPr>
            <w:tcW w:w="1214" w:type="dxa"/>
            <w:tcBorders>
              <w:tl2br w:val="nil"/>
              <w:tr2bl w:val="nil"/>
            </w:tcBorders>
            <w:noWrap w:val="0"/>
            <w:vAlign w:val="center"/>
          </w:tcPr>
          <w:p w14:paraId="70FE3F0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w:t>
            </w:r>
          </w:p>
        </w:tc>
      </w:tr>
      <w:tr w14:paraId="68C8A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5" w:hRule="atLeast"/>
          <w:jc w:val="center"/>
        </w:trPr>
        <w:tc>
          <w:tcPr>
            <w:tcW w:w="1827" w:type="dxa"/>
            <w:tcBorders>
              <w:tl2br w:val="nil"/>
              <w:tr2bl w:val="nil"/>
            </w:tcBorders>
            <w:noWrap w:val="0"/>
            <w:vAlign w:val="center"/>
          </w:tcPr>
          <w:p w14:paraId="163EBB7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生活用水</w:t>
            </w:r>
          </w:p>
        </w:tc>
        <w:tc>
          <w:tcPr>
            <w:tcW w:w="1413" w:type="dxa"/>
            <w:tcBorders>
              <w:tl2br w:val="nil"/>
              <w:tr2bl w:val="nil"/>
            </w:tcBorders>
            <w:noWrap w:val="0"/>
            <w:vAlign w:val="center"/>
          </w:tcPr>
          <w:p w14:paraId="41089B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5B9BD5"/>
                <w:kern w:val="0"/>
                <w:sz w:val="21"/>
                <w:szCs w:val="21"/>
                <w:lang w:val="en-US" w:eastAsia="zh-CN"/>
              </w:rPr>
            </w:pPr>
            <w:r>
              <w:rPr>
                <w:rFonts w:hint="eastAsia" w:cs="Times New Roman"/>
                <w:color w:val="auto"/>
                <w:kern w:val="0"/>
                <w:sz w:val="21"/>
                <w:szCs w:val="21"/>
                <w:lang w:val="en-US" w:eastAsia="zh-CN"/>
              </w:rPr>
              <w:t>12</w:t>
            </w:r>
            <w:r>
              <w:rPr>
                <w:rFonts w:hint="default" w:ascii="Times New Roman" w:hAnsi="Times New Roman" w:eastAsia="宋体" w:cs="Times New Roman"/>
                <w:color w:val="auto"/>
                <w:kern w:val="0"/>
                <w:sz w:val="21"/>
                <w:szCs w:val="21"/>
                <w:lang w:val="en-US" w:eastAsia="zh-CN"/>
              </w:rPr>
              <w:t>人</w:t>
            </w:r>
          </w:p>
        </w:tc>
        <w:tc>
          <w:tcPr>
            <w:tcW w:w="1620" w:type="dxa"/>
            <w:tcBorders>
              <w:tl2br w:val="nil"/>
              <w:tr2bl w:val="nil"/>
            </w:tcBorders>
            <w:noWrap w:val="0"/>
            <w:vAlign w:val="center"/>
          </w:tcPr>
          <w:p w14:paraId="0685A1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5B9BD5"/>
                <w:kern w:val="2"/>
                <w:sz w:val="24"/>
                <w:szCs w:val="24"/>
                <w:lang w:val="en-US" w:eastAsia="zh-CN"/>
              </w:rPr>
            </w:pPr>
            <w:r>
              <w:rPr>
                <w:rFonts w:hint="default" w:ascii="Times New Roman" w:hAnsi="Times New Roman" w:eastAsia="宋体" w:cs="Times New Roman"/>
                <w:b w:val="0"/>
                <w:bCs w:val="0"/>
                <w:color w:val="auto"/>
                <w:kern w:val="2"/>
                <w:sz w:val="21"/>
                <w:szCs w:val="21"/>
                <w:lang w:val="en-US" w:eastAsia="zh-CN"/>
              </w:rPr>
              <w:t>80L/人</w:t>
            </w:r>
            <w:r>
              <w:rPr>
                <w:rFonts w:hint="default" w:ascii="Times New Roman" w:hAnsi="Times New Roman" w:eastAsia="宋体" w:cs="Times New Roman"/>
                <w:b w:val="0"/>
                <w:bCs w:val="0"/>
                <w:color w:val="auto"/>
                <w:kern w:val="0"/>
                <w:sz w:val="21"/>
                <w:szCs w:val="21"/>
              </w:rPr>
              <w:t>•d</w:t>
            </w:r>
          </w:p>
        </w:tc>
        <w:tc>
          <w:tcPr>
            <w:tcW w:w="1154" w:type="dxa"/>
            <w:tcBorders>
              <w:tl2br w:val="nil"/>
              <w:tr2bl w:val="nil"/>
            </w:tcBorders>
            <w:noWrap w:val="0"/>
            <w:vAlign w:val="center"/>
          </w:tcPr>
          <w:p w14:paraId="024D37B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350.4</w:t>
            </w:r>
          </w:p>
        </w:tc>
        <w:tc>
          <w:tcPr>
            <w:tcW w:w="1276" w:type="dxa"/>
            <w:tcBorders>
              <w:tl2br w:val="nil"/>
              <w:tr2bl w:val="nil"/>
            </w:tcBorders>
            <w:noWrap w:val="0"/>
            <w:vAlign w:val="center"/>
          </w:tcPr>
          <w:p w14:paraId="0B7898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70.08</w:t>
            </w:r>
          </w:p>
        </w:tc>
        <w:tc>
          <w:tcPr>
            <w:tcW w:w="1214" w:type="dxa"/>
            <w:tcBorders>
              <w:tl2br w:val="nil"/>
              <w:tr2bl w:val="nil"/>
            </w:tcBorders>
            <w:noWrap w:val="0"/>
            <w:vAlign w:val="center"/>
          </w:tcPr>
          <w:p w14:paraId="43AA0AF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280.32</w:t>
            </w:r>
          </w:p>
        </w:tc>
      </w:tr>
      <w:tr w14:paraId="7F7B10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5" w:hRule="atLeast"/>
          <w:jc w:val="center"/>
        </w:trPr>
        <w:tc>
          <w:tcPr>
            <w:tcW w:w="1827" w:type="dxa"/>
            <w:tcBorders>
              <w:tl2br w:val="nil"/>
              <w:tr2bl w:val="nil"/>
            </w:tcBorders>
            <w:noWrap w:val="0"/>
            <w:vAlign w:val="center"/>
          </w:tcPr>
          <w:p w14:paraId="5A32E6B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eastAsia="宋体" w:cs="Times New Roman"/>
                <w:color w:val="000000"/>
                <w:kern w:val="0"/>
                <w:sz w:val="21"/>
                <w:szCs w:val="21"/>
                <w:highlight w:val="none"/>
                <w:lang w:val="en-US" w:eastAsia="zh-CN"/>
              </w:rPr>
              <w:t>洒水降尘</w:t>
            </w:r>
            <w:r>
              <w:rPr>
                <w:rFonts w:hint="default" w:ascii="Times New Roman" w:hAnsi="Times New Roman" w:eastAsia="宋体" w:cs="Times New Roman"/>
                <w:color w:val="000000"/>
                <w:kern w:val="0"/>
                <w:sz w:val="21"/>
                <w:szCs w:val="21"/>
                <w:highlight w:val="none"/>
              </w:rPr>
              <w:t>用水</w:t>
            </w:r>
          </w:p>
        </w:tc>
        <w:tc>
          <w:tcPr>
            <w:tcW w:w="1413" w:type="dxa"/>
            <w:tcBorders>
              <w:tl2br w:val="nil"/>
              <w:tr2bl w:val="nil"/>
            </w:tcBorders>
            <w:noWrap w:val="0"/>
            <w:vAlign w:val="center"/>
          </w:tcPr>
          <w:p w14:paraId="6F2B4F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eastAsia="宋体" w:cs="Times New Roman"/>
                <w:color w:val="auto"/>
                <w:kern w:val="0"/>
                <w:sz w:val="21"/>
                <w:szCs w:val="21"/>
                <w:lang w:val="en-US" w:eastAsia="zh-CN"/>
              </w:rPr>
            </w:pPr>
            <w:r>
              <w:rPr>
                <w:rFonts w:hint="eastAsia" w:cs="Times New Roman"/>
                <w:color w:val="000000"/>
                <w:kern w:val="0"/>
                <w:sz w:val="21"/>
                <w:szCs w:val="21"/>
                <w:highlight w:val="none"/>
                <w:lang w:val="en-US" w:eastAsia="zh-CN"/>
              </w:rPr>
              <w:t>6</w:t>
            </w:r>
            <w:r>
              <w:rPr>
                <w:rFonts w:hint="eastAsia" w:eastAsia="宋体" w:cs="Times New Roman"/>
                <w:color w:val="000000"/>
                <w:kern w:val="0"/>
                <w:sz w:val="21"/>
                <w:szCs w:val="21"/>
                <w:highlight w:val="none"/>
                <w:lang w:val="en-US" w:eastAsia="zh-CN"/>
              </w:rPr>
              <w:t>00</w:t>
            </w:r>
            <w:r>
              <w:rPr>
                <w:rFonts w:hint="default" w:ascii="Times New Roman" w:hAnsi="Times New Roman" w:eastAsia="宋体" w:cs="Times New Roman"/>
                <w:color w:val="000000"/>
                <w:kern w:val="0"/>
                <w:sz w:val="21"/>
                <w:szCs w:val="21"/>
                <w:highlight w:val="none"/>
              </w:rPr>
              <w:t>m</w:t>
            </w:r>
            <w:r>
              <w:rPr>
                <w:rFonts w:hint="default" w:ascii="Times New Roman" w:hAnsi="Times New Roman" w:eastAsia="宋体" w:cs="Times New Roman"/>
                <w:color w:val="000000"/>
                <w:kern w:val="0"/>
                <w:sz w:val="21"/>
                <w:szCs w:val="21"/>
                <w:highlight w:val="none"/>
                <w:vertAlign w:val="superscript"/>
              </w:rPr>
              <w:t>2</w:t>
            </w:r>
          </w:p>
        </w:tc>
        <w:tc>
          <w:tcPr>
            <w:tcW w:w="1620" w:type="dxa"/>
            <w:tcBorders>
              <w:tl2br w:val="nil"/>
              <w:tr2bl w:val="nil"/>
            </w:tcBorders>
            <w:noWrap w:val="0"/>
            <w:vAlign w:val="center"/>
          </w:tcPr>
          <w:p w14:paraId="422ED0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kern w:val="2"/>
                <w:sz w:val="21"/>
                <w:szCs w:val="21"/>
                <w:lang w:val="en-US" w:eastAsia="zh-CN"/>
              </w:rPr>
            </w:pPr>
            <w:r>
              <w:rPr>
                <w:rFonts w:hint="eastAsia" w:cs="Times New Roman"/>
                <w:color w:val="000000"/>
                <w:kern w:val="0"/>
                <w:sz w:val="21"/>
                <w:szCs w:val="21"/>
                <w:highlight w:val="none"/>
                <w:lang w:val="en-US" w:eastAsia="zh-CN"/>
              </w:rPr>
              <w:t>1</w:t>
            </w:r>
            <w:r>
              <w:rPr>
                <w:rFonts w:hint="eastAsia" w:eastAsia="宋体" w:cs="Times New Roman"/>
                <w:color w:val="000000"/>
                <w:kern w:val="0"/>
                <w:sz w:val="21"/>
                <w:szCs w:val="21"/>
                <w:highlight w:val="none"/>
                <w:lang w:val="en-US" w:eastAsia="zh-CN"/>
              </w:rPr>
              <w:t>L/</w:t>
            </w:r>
            <w:r>
              <w:rPr>
                <w:rFonts w:hint="default" w:ascii="Times New Roman" w:hAnsi="Times New Roman" w:eastAsia="宋体" w:cs="Times New Roman"/>
                <w:color w:val="000000"/>
                <w:kern w:val="0"/>
                <w:sz w:val="21"/>
                <w:szCs w:val="21"/>
                <w:highlight w:val="none"/>
              </w:rPr>
              <w:t>m</w:t>
            </w:r>
            <w:r>
              <w:rPr>
                <w:rFonts w:hint="default" w:ascii="Times New Roman" w:hAnsi="Times New Roman" w:eastAsia="宋体" w:cs="Times New Roman"/>
                <w:color w:val="000000"/>
                <w:kern w:val="0"/>
                <w:sz w:val="21"/>
                <w:szCs w:val="21"/>
                <w:highlight w:val="none"/>
                <w:vertAlign w:val="superscript"/>
              </w:rPr>
              <w:t>2</w:t>
            </w:r>
          </w:p>
        </w:tc>
        <w:tc>
          <w:tcPr>
            <w:tcW w:w="1154" w:type="dxa"/>
            <w:tcBorders>
              <w:tl2br w:val="nil"/>
              <w:tr2bl w:val="nil"/>
            </w:tcBorders>
            <w:noWrap w:val="0"/>
            <w:vAlign w:val="center"/>
          </w:tcPr>
          <w:p w14:paraId="66E40EA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eastAsia="宋体" w:cs="Times New Roman"/>
                <w:color w:val="auto"/>
                <w:kern w:val="0"/>
                <w:sz w:val="21"/>
                <w:szCs w:val="21"/>
                <w:lang w:val="en-US" w:eastAsia="zh-CN"/>
              </w:rPr>
            </w:pPr>
            <w:r>
              <w:rPr>
                <w:rFonts w:hint="eastAsia" w:eastAsia="宋体" w:cs="Times New Roman"/>
                <w:color w:val="auto"/>
                <w:kern w:val="0"/>
                <w:sz w:val="21"/>
                <w:szCs w:val="21"/>
                <w:lang w:val="en-US" w:eastAsia="zh-CN"/>
              </w:rPr>
              <w:t>118.2</w:t>
            </w:r>
          </w:p>
        </w:tc>
        <w:tc>
          <w:tcPr>
            <w:tcW w:w="1276" w:type="dxa"/>
            <w:tcBorders>
              <w:tl2br w:val="nil"/>
              <w:tr2bl w:val="nil"/>
            </w:tcBorders>
            <w:noWrap w:val="0"/>
            <w:vAlign w:val="center"/>
          </w:tcPr>
          <w:p w14:paraId="2077EB5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eastAsia="宋体" w:cs="Times New Roman"/>
                <w:color w:val="auto"/>
                <w:kern w:val="0"/>
                <w:sz w:val="21"/>
                <w:szCs w:val="21"/>
                <w:lang w:val="en-US" w:eastAsia="zh-CN"/>
              </w:rPr>
            </w:pPr>
            <w:r>
              <w:rPr>
                <w:rFonts w:hint="eastAsia" w:eastAsia="宋体" w:cs="Times New Roman"/>
                <w:color w:val="auto"/>
                <w:kern w:val="0"/>
                <w:sz w:val="21"/>
                <w:szCs w:val="21"/>
                <w:lang w:val="en-US" w:eastAsia="zh-CN"/>
              </w:rPr>
              <w:t>118.2</w:t>
            </w:r>
          </w:p>
        </w:tc>
        <w:tc>
          <w:tcPr>
            <w:tcW w:w="1214" w:type="dxa"/>
            <w:tcBorders>
              <w:tl2br w:val="nil"/>
              <w:tr2bl w:val="nil"/>
            </w:tcBorders>
            <w:noWrap w:val="0"/>
            <w:vAlign w:val="center"/>
          </w:tcPr>
          <w:p w14:paraId="3002912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eastAsia="宋体" w:cs="Times New Roman"/>
                <w:color w:val="auto"/>
                <w:kern w:val="0"/>
                <w:sz w:val="21"/>
                <w:szCs w:val="21"/>
                <w:lang w:val="en-US" w:eastAsia="zh-CN"/>
              </w:rPr>
            </w:pPr>
            <w:r>
              <w:rPr>
                <w:rFonts w:hint="default" w:eastAsia="宋体" w:cs="Times New Roman"/>
                <w:color w:val="auto"/>
                <w:kern w:val="0"/>
                <w:sz w:val="21"/>
                <w:szCs w:val="21"/>
                <w:lang w:val="en-US" w:eastAsia="zh-CN"/>
              </w:rPr>
              <w:t>—</w:t>
            </w:r>
          </w:p>
        </w:tc>
      </w:tr>
      <w:tr w14:paraId="02442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35" w:hRule="atLeast"/>
          <w:jc w:val="center"/>
        </w:trPr>
        <w:tc>
          <w:tcPr>
            <w:tcW w:w="1827" w:type="dxa"/>
            <w:tcBorders>
              <w:tl2br w:val="nil"/>
              <w:tr2bl w:val="nil"/>
            </w:tcBorders>
            <w:noWrap w:val="0"/>
            <w:vAlign w:val="center"/>
          </w:tcPr>
          <w:p w14:paraId="609C9C4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绿化用水</w:t>
            </w:r>
          </w:p>
        </w:tc>
        <w:tc>
          <w:tcPr>
            <w:tcW w:w="1413" w:type="dxa"/>
            <w:tcBorders>
              <w:tl2br w:val="nil"/>
              <w:tr2bl w:val="nil"/>
            </w:tcBorders>
            <w:noWrap w:val="0"/>
            <w:vAlign w:val="center"/>
          </w:tcPr>
          <w:p w14:paraId="6BFC85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rPr>
            </w:pPr>
            <w:r>
              <w:rPr>
                <w:rFonts w:hint="eastAsia" w:cs="Times New Roman"/>
                <w:color w:val="000000"/>
                <w:kern w:val="2"/>
                <w:sz w:val="21"/>
                <w:szCs w:val="21"/>
                <w:highlight w:val="none"/>
                <w:lang w:val="en-US" w:eastAsia="zh-CN"/>
              </w:rPr>
              <w:t>36</w:t>
            </w:r>
            <w:r>
              <w:rPr>
                <w:rFonts w:hint="default" w:ascii="Times New Roman" w:hAnsi="Times New Roman" w:eastAsia="宋体" w:cs="Times New Roman"/>
                <w:color w:val="000000"/>
                <w:kern w:val="2"/>
                <w:sz w:val="21"/>
                <w:szCs w:val="21"/>
                <w:lang w:val="en-US" w:eastAsia="zh-CN"/>
              </w:rPr>
              <w:t>亩</w:t>
            </w:r>
          </w:p>
        </w:tc>
        <w:tc>
          <w:tcPr>
            <w:tcW w:w="1620" w:type="dxa"/>
            <w:tcBorders>
              <w:tl2br w:val="nil"/>
              <w:tr2bl w:val="nil"/>
            </w:tcBorders>
            <w:noWrap w:val="0"/>
            <w:vAlign w:val="center"/>
          </w:tcPr>
          <w:p w14:paraId="65C455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265</w:t>
            </w:r>
            <w:r>
              <w:rPr>
                <w:rFonts w:hint="default" w:ascii="Times New Roman" w:hAnsi="Times New Roman" w:eastAsia="宋体" w:cs="Times New Roman"/>
                <w:color w:val="000000"/>
                <w:kern w:val="0"/>
                <w:sz w:val="21"/>
                <w:szCs w:val="21"/>
                <w:lang w:val="en-US" w:eastAsia="zh-CN"/>
              </w:rPr>
              <w:t>m</w:t>
            </w:r>
            <w:r>
              <w:rPr>
                <w:rFonts w:hint="default" w:ascii="Times New Roman" w:hAnsi="Times New Roman" w:eastAsia="宋体" w:cs="Times New Roman"/>
                <w:color w:val="000000"/>
                <w:kern w:val="0"/>
                <w:sz w:val="21"/>
                <w:szCs w:val="21"/>
                <w:vertAlign w:val="superscript"/>
                <w:lang w:val="en-US" w:eastAsia="zh-CN"/>
              </w:rPr>
              <w:t>3</w:t>
            </w:r>
            <w:r>
              <w:rPr>
                <w:rFonts w:hint="default" w:ascii="Times New Roman" w:hAnsi="Times New Roman" w:eastAsia="宋体" w:cs="Times New Roman"/>
                <w:color w:val="000000"/>
                <w:kern w:val="0"/>
                <w:sz w:val="21"/>
                <w:szCs w:val="21"/>
                <w:lang w:val="en-US" w:eastAsia="zh-CN"/>
              </w:rPr>
              <w:t>/亩</w:t>
            </w:r>
          </w:p>
        </w:tc>
        <w:tc>
          <w:tcPr>
            <w:tcW w:w="1154" w:type="dxa"/>
            <w:tcBorders>
              <w:tl2br w:val="nil"/>
              <w:tr2bl w:val="nil"/>
            </w:tcBorders>
            <w:noWrap w:val="0"/>
            <w:vAlign w:val="center"/>
          </w:tcPr>
          <w:p w14:paraId="468A9E8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9540</w:t>
            </w:r>
          </w:p>
        </w:tc>
        <w:tc>
          <w:tcPr>
            <w:tcW w:w="1276" w:type="dxa"/>
            <w:tcBorders>
              <w:tl2br w:val="nil"/>
              <w:tr2bl w:val="nil"/>
            </w:tcBorders>
            <w:noWrap w:val="0"/>
            <w:vAlign w:val="center"/>
          </w:tcPr>
          <w:p w14:paraId="18D4A2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rPr>
            </w:pPr>
            <w:r>
              <w:rPr>
                <w:rFonts w:hint="eastAsia" w:cs="Times New Roman"/>
                <w:color w:val="000000"/>
                <w:kern w:val="0"/>
                <w:sz w:val="21"/>
                <w:szCs w:val="21"/>
                <w:lang w:val="en-US" w:eastAsia="zh-CN"/>
              </w:rPr>
              <w:t>9540</w:t>
            </w:r>
          </w:p>
        </w:tc>
        <w:tc>
          <w:tcPr>
            <w:tcW w:w="1214" w:type="dxa"/>
            <w:tcBorders>
              <w:tl2br w:val="nil"/>
              <w:tr2bl w:val="nil"/>
            </w:tcBorders>
            <w:noWrap w:val="0"/>
            <w:vAlign w:val="center"/>
          </w:tcPr>
          <w:p w14:paraId="5DF723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w:t>
            </w:r>
          </w:p>
        </w:tc>
      </w:tr>
      <w:tr w14:paraId="3B92A7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5" w:hRule="atLeast"/>
          <w:jc w:val="center"/>
        </w:trPr>
        <w:tc>
          <w:tcPr>
            <w:tcW w:w="1827" w:type="dxa"/>
            <w:tcBorders>
              <w:tl2br w:val="nil"/>
              <w:tr2bl w:val="nil"/>
            </w:tcBorders>
            <w:noWrap w:val="0"/>
            <w:vAlign w:val="center"/>
          </w:tcPr>
          <w:p w14:paraId="28FDED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合计</w:t>
            </w:r>
          </w:p>
        </w:tc>
        <w:tc>
          <w:tcPr>
            <w:tcW w:w="1413" w:type="dxa"/>
            <w:tcBorders>
              <w:tl2br w:val="nil"/>
              <w:tr2bl w:val="nil"/>
            </w:tcBorders>
            <w:noWrap w:val="0"/>
            <w:vAlign w:val="center"/>
          </w:tcPr>
          <w:p w14:paraId="453525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rPr>
            </w:pPr>
          </w:p>
        </w:tc>
        <w:tc>
          <w:tcPr>
            <w:tcW w:w="1620" w:type="dxa"/>
            <w:tcBorders>
              <w:tl2br w:val="nil"/>
              <w:tr2bl w:val="nil"/>
            </w:tcBorders>
            <w:noWrap w:val="0"/>
            <w:vAlign w:val="center"/>
          </w:tcPr>
          <w:p w14:paraId="2EFDB2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rPr>
            </w:pPr>
          </w:p>
        </w:tc>
        <w:tc>
          <w:tcPr>
            <w:tcW w:w="1154" w:type="dxa"/>
            <w:tcBorders>
              <w:tl2br w:val="nil"/>
              <w:tr2bl w:val="nil"/>
            </w:tcBorders>
            <w:shd w:val="clear" w:color="auto" w:fill="auto"/>
            <w:noWrap w:val="0"/>
            <w:vAlign w:val="center"/>
          </w:tcPr>
          <w:p w14:paraId="6DFCDFE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54752.96</w:t>
            </w:r>
          </w:p>
        </w:tc>
        <w:tc>
          <w:tcPr>
            <w:tcW w:w="1276" w:type="dxa"/>
            <w:tcBorders>
              <w:tl2br w:val="nil"/>
              <w:tr2bl w:val="nil"/>
            </w:tcBorders>
            <w:shd w:val="clear" w:color="auto" w:fill="auto"/>
            <w:noWrap w:val="0"/>
            <w:vAlign w:val="center"/>
          </w:tcPr>
          <w:p w14:paraId="606CEC4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54472.64</w:t>
            </w:r>
          </w:p>
        </w:tc>
        <w:tc>
          <w:tcPr>
            <w:tcW w:w="1214" w:type="dxa"/>
            <w:tcBorders>
              <w:tl2br w:val="nil"/>
              <w:tr2bl w:val="nil"/>
            </w:tcBorders>
            <w:noWrap w:val="0"/>
            <w:vAlign w:val="center"/>
          </w:tcPr>
          <w:p w14:paraId="1B2115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eastAsia="宋体" w:cs="Times New Roman"/>
                <w:color w:val="000000"/>
                <w:kern w:val="0"/>
                <w:sz w:val="21"/>
                <w:szCs w:val="21"/>
                <w:lang w:val="en-US" w:eastAsia="zh-CN"/>
              </w:rPr>
            </w:pPr>
            <w:r>
              <w:rPr>
                <w:rFonts w:hint="eastAsia" w:eastAsia="宋体" w:cs="Times New Roman"/>
                <w:color w:val="000000"/>
                <w:kern w:val="0"/>
                <w:sz w:val="21"/>
                <w:szCs w:val="21"/>
                <w:lang w:val="en-US" w:eastAsia="zh-CN"/>
              </w:rPr>
              <w:t>280.32</w:t>
            </w:r>
          </w:p>
        </w:tc>
      </w:tr>
    </w:tbl>
    <w:p w14:paraId="13DD2A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5B9BD5"/>
          <w:kern w:val="2"/>
          <w:sz w:val="24"/>
          <w:szCs w:val="24"/>
          <w:lang w:val="en-US" w:eastAsia="zh-CN"/>
        </w:rPr>
      </w:pPr>
      <w:r>
        <w:rPr>
          <w:sz w:val="21"/>
        </w:rPr>
        <mc:AlternateContent>
          <mc:Choice Requires="wpg">
            <w:drawing>
              <wp:anchor distT="0" distB="0" distL="114300" distR="114300" simplePos="0" relativeHeight="251662336" behindDoc="0" locked="0" layoutInCell="1" allowOverlap="1">
                <wp:simplePos x="0" y="0"/>
                <wp:positionH relativeFrom="column">
                  <wp:posOffset>-101600</wp:posOffset>
                </wp:positionH>
                <wp:positionV relativeFrom="paragraph">
                  <wp:posOffset>165735</wp:posOffset>
                </wp:positionV>
                <wp:extent cx="6181725" cy="2977515"/>
                <wp:effectExtent l="4445" t="0" r="5080" b="13335"/>
                <wp:wrapNone/>
                <wp:docPr id="49" name="组合 49"/>
                <wp:cNvGraphicFramePr/>
                <a:graphic xmlns:a="http://schemas.openxmlformats.org/drawingml/2006/main">
                  <a:graphicData uri="http://schemas.microsoft.com/office/word/2010/wordprocessingGroup">
                    <wpg:wgp>
                      <wpg:cNvGrpSpPr/>
                      <wpg:grpSpPr>
                        <a:xfrm>
                          <a:off x="0" y="0"/>
                          <a:ext cx="6181662" cy="2977724"/>
                          <a:chOff x="5623" y="1778799"/>
                          <a:chExt cx="9735" cy="4689"/>
                        </a:xfrm>
                      </wpg:grpSpPr>
                      <wpg:grpSp>
                        <wpg:cNvPr id="50" name="组合 77"/>
                        <wpg:cNvGrpSpPr/>
                        <wpg:grpSpPr>
                          <a:xfrm>
                            <a:off x="5623" y="1778799"/>
                            <a:ext cx="9735" cy="4689"/>
                            <a:chOff x="5623" y="1897379"/>
                            <a:chExt cx="9735" cy="4689"/>
                          </a:xfrm>
                        </wpg:grpSpPr>
                        <wpg:grpSp>
                          <wpg:cNvPr id="51" name="组合 304"/>
                          <wpg:cNvGrpSpPr/>
                          <wpg:grpSpPr>
                            <a:xfrm rot="0">
                              <a:off x="5623" y="1897379"/>
                              <a:ext cx="9735" cy="4689"/>
                              <a:chOff x="3940" y="20482"/>
                              <a:chExt cx="9735" cy="4689"/>
                            </a:xfrm>
                          </wpg:grpSpPr>
                          <wpg:grpSp>
                            <wpg:cNvPr id="52" name="组合 137"/>
                            <wpg:cNvGrpSpPr/>
                            <wpg:grpSpPr>
                              <a:xfrm>
                                <a:off x="3940" y="20482"/>
                                <a:ext cx="9735" cy="4689"/>
                                <a:chOff x="5412" y="1031791"/>
                                <a:chExt cx="9735" cy="4689"/>
                              </a:xfrm>
                            </wpg:grpSpPr>
                            <wpg:grpSp>
                              <wpg:cNvPr id="54" name="组合 260"/>
                              <wpg:cNvGrpSpPr/>
                              <wpg:grpSpPr>
                                <a:xfrm>
                                  <a:off x="5412" y="1031791"/>
                                  <a:ext cx="9735" cy="4689"/>
                                  <a:chOff x="5412" y="1031791"/>
                                  <a:chExt cx="9735" cy="4689"/>
                                </a:xfrm>
                              </wpg:grpSpPr>
                              <wpg:grpSp>
                                <wpg:cNvPr id="57" name="组合 186"/>
                                <wpg:cNvGrpSpPr/>
                                <wpg:grpSpPr>
                                  <a:xfrm>
                                    <a:off x="5412" y="1031791"/>
                                    <a:ext cx="9735" cy="4689"/>
                                    <a:chOff x="1498" y="1099671"/>
                                    <a:chExt cx="11093" cy="4789"/>
                                  </a:xfrm>
                                </wpg:grpSpPr>
                                <wps:wsp>
                                  <wps:cNvPr id="147" name="文本框 83"/>
                                  <wps:cNvSpPr txBox="1"/>
                                  <wps:spPr>
                                    <a:xfrm>
                                      <a:off x="2431" y="1101066"/>
                                      <a:ext cx="1377"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B07DCF">
                                        <w:pPr>
                                          <w:rPr>
                                            <w:rFonts w:hint="default"/>
                                            <w:lang w:val="en-US" w:eastAsia="zh-CN"/>
                                          </w:rPr>
                                        </w:pPr>
                                        <w:r>
                                          <w:rPr>
                                            <w:rFonts w:hint="eastAsia" w:ascii="Times New Roman" w:hAnsi="Times New Roman" w:eastAsia="宋体" w:cs="Times New Roman"/>
                                            <w:color w:val="000000"/>
                                            <w:kern w:val="0"/>
                                            <w:sz w:val="21"/>
                                            <w:szCs w:val="21"/>
                                            <w:lang w:val="en-US" w:eastAsia="zh-CN"/>
                                          </w:rPr>
                                          <w:t>54752.96</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58" name="组合 138"/>
                                  <wpg:cNvGrpSpPr/>
                                  <wpg:grpSpPr>
                                    <a:xfrm rot="0">
                                      <a:off x="1498" y="1099671"/>
                                      <a:ext cx="11093" cy="4789"/>
                                      <a:chOff x="1525" y="1099685"/>
                                      <a:chExt cx="11093" cy="4789"/>
                                    </a:xfrm>
                                  </wpg:grpSpPr>
                                  <wps:wsp>
                                    <wps:cNvPr id="178" name="文本框 127"/>
                                    <wps:cNvSpPr txBox="1"/>
                                    <wps:spPr>
                                      <a:xfrm>
                                        <a:off x="3760" y="1101081"/>
                                        <a:ext cx="1175"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D1180A">
                                          <w:pPr>
                                            <w:rPr>
                                              <w:rFonts w:hint="default"/>
                                              <w:lang w:val="en-US" w:eastAsia="zh-CN"/>
                                            </w:rPr>
                                          </w:pPr>
                                          <w:r>
                                            <w:rPr>
                                              <w:rFonts w:hint="eastAsia" w:cs="Times New Roman"/>
                                              <w:color w:val="auto"/>
                                              <w:kern w:val="0"/>
                                              <w:sz w:val="21"/>
                                              <w:szCs w:val="21"/>
                                              <w:lang w:val="en-US" w:eastAsia="zh-CN"/>
                                            </w:rPr>
                                            <w:t>944.36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9" name="文本框 128"/>
                                    <wps:cNvSpPr txBox="1"/>
                                    <wps:spPr>
                                      <a:xfrm>
                                        <a:off x="3719" y="1102955"/>
                                        <a:ext cx="1106"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F8930">
                                          <w:pPr>
                                            <w:rPr>
                                              <w:rFonts w:hint="default"/>
                                              <w:lang w:val="en-US" w:eastAsia="zh-CN"/>
                                            </w:rPr>
                                          </w:pPr>
                                          <w:r>
                                            <w:rPr>
                                              <w:rFonts w:hint="eastAsia" w:cs="Times New Roman"/>
                                              <w:color w:val="auto"/>
                                              <w:kern w:val="0"/>
                                              <w:sz w:val="21"/>
                                              <w:szCs w:val="21"/>
                                              <w:lang w:val="en-US" w:eastAsia="zh-CN"/>
                                            </w:rPr>
                                            <w:t>350.4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0" name="文本框 129"/>
                                    <wps:cNvSpPr txBox="1"/>
                                    <wps:spPr>
                                      <a:xfrm>
                                        <a:off x="3793" y="1103854"/>
                                        <a:ext cx="1343"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7C130">
                                          <w:pPr>
                                            <w:rPr>
                                              <w:rFonts w:hint="default"/>
                                              <w:lang w:val="en-US" w:eastAsia="zh-CN"/>
                                            </w:rPr>
                                          </w:pPr>
                                          <w:r>
                                            <w:rPr>
                                              <w:rFonts w:hint="eastAsia" w:cs="Times New Roman"/>
                                              <w:color w:val="000000"/>
                                              <w:kern w:val="0"/>
                                              <w:sz w:val="21"/>
                                              <w:szCs w:val="21"/>
                                              <w:lang w:val="en-US" w:eastAsia="zh-CN"/>
                                            </w:rPr>
                                            <w:t>9540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59" name="组合 137"/>
                                    <wpg:cNvGrpSpPr/>
                                    <wpg:grpSpPr>
                                      <a:xfrm>
                                        <a:off x="1525" y="1099685"/>
                                        <a:ext cx="11093" cy="4789"/>
                                        <a:chOff x="1525" y="1099685"/>
                                        <a:chExt cx="11093" cy="4789"/>
                                      </a:xfrm>
                                    </wpg:grpSpPr>
                                    <wpg:grpSp>
                                      <wpg:cNvPr id="61" name="组合 82"/>
                                      <wpg:cNvGrpSpPr/>
                                      <wpg:grpSpPr>
                                        <a:xfrm>
                                          <a:off x="1525" y="1100496"/>
                                          <a:ext cx="3355" cy="3739"/>
                                          <a:chOff x="1538" y="1100468"/>
                                          <a:chExt cx="3355" cy="3739"/>
                                        </a:xfrm>
                                      </wpg:grpSpPr>
                                      <wps:wsp>
                                        <wps:cNvPr id="183" name="文本框 72"/>
                                        <wps:cNvSpPr txBox="1"/>
                                        <wps:spPr>
                                          <a:xfrm>
                                            <a:off x="1538" y="1101290"/>
                                            <a:ext cx="1091" cy="477"/>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6542ED">
                                              <w:pPr>
                                                <w:spacing w:line="240" w:lineRule="auto"/>
                                                <w:jc w:val="center"/>
                                                <w:rPr>
                                                  <w:rFonts w:hint="eastAsia"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4" name="直接箭头连接符 73"/>
                                        <wps:cNvCnPr/>
                                        <wps:spPr>
                                          <a:xfrm flipV="1">
                                            <a:off x="2642" y="1101526"/>
                                            <a:ext cx="2251" cy="17"/>
                                          </a:xfrm>
                                          <a:prstGeom prst="straightConnector1">
                                            <a:avLst/>
                                          </a:prstGeom>
                                          <a:noFill/>
                                          <a:ln w="3175" cap="flat" cmpd="sng" algn="ctr">
                                            <a:solidFill>
                                              <a:sysClr val="windowText" lastClr="000000"/>
                                            </a:solidFill>
                                            <a:prstDash val="solid"/>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s:wsp>
                                        <wps:cNvPr id="185" name="直接连接符 76"/>
                                        <wps:cNvCnPr/>
                                        <wps:spPr>
                                          <a:xfrm flipH="1">
                                            <a:off x="3749" y="1100469"/>
                                            <a:ext cx="8" cy="3729"/>
                                          </a:xfrm>
                                          <a:prstGeom prst="line">
                                            <a:avLst/>
                                          </a:prstGeom>
                                          <a:noFill/>
                                          <a:ln w="6350" cap="flat" cmpd="sng" algn="ctr">
                                            <a:solidFill>
                                              <a:sysClr val="windowText" lastClr="000000"/>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wps:wsp>
                                        <wps:cNvPr id="201" name="直接箭头连接符 77"/>
                                        <wps:cNvCnPr/>
                                        <wps:spPr>
                                          <a:xfrm>
                                            <a:off x="3718" y="1104207"/>
                                            <a:ext cx="1146" cy="0"/>
                                          </a:xfrm>
                                          <a:prstGeom prst="straightConnector1">
                                            <a:avLst/>
                                          </a:prstGeom>
                                          <a:noFill/>
                                          <a:ln w="6350" cap="flat" cmpd="sng" algn="ctr">
                                            <a:solidFill>
                                              <a:sysClr val="windowText" lastClr="000000"/>
                                            </a:solidFill>
                                            <a:prstDash val="solid"/>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s:wsp>
                                        <wps:cNvPr id="202" name="直接箭头连接符 79"/>
                                        <wps:cNvCnPr/>
                                        <wps:spPr>
                                          <a:xfrm>
                                            <a:off x="3743" y="1100468"/>
                                            <a:ext cx="1146" cy="0"/>
                                          </a:xfrm>
                                          <a:prstGeom prst="straightConnector1">
                                            <a:avLst/>
                                          </a:prstGeom>
                                          <a:noFill/>
                                          <a:ln w="6350" cap="flat" cmpd="sng" algn="ctr">
                                            <a:solidFill>
                                              <a:sysClr val="windowText" lastClr="000000"/>
                                            </a:solidFill>
                                            <a:prstDash val="solid"/>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s:wsp>
                                        <wps:cNvPr id="203" name="直接箭头连接符 80"/>
                                        <wps:cNvCnPr/>
                                        <wps:spPr>
                                          <a:xfrm flipV="1">
                                            <a:off x="3732" y="1103291"/>
                                            <a:ext cx="1054" cy="3"/>
                                          </a:xfrm>
                                          <a:prstGeom prst="straightConnector1">
                                            <a:avLst/>
                                          </a:prstGeom>
                                          <a:noFill/>
                                          <a:ln w="6350" cap="flat" cmpd="sng" algn="ctr">
                                            <a:solidFill>
                                              <a:sysClr val="windowText" lastClr="000000"/>
                                            </a:solidFill>
                                            <a:prstDash val="solid"/>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g:grpSp>
                                    <wps:wsp>
                                      <wps:cNvPr id="161" name="文本框 84"/>
                                      <wps:cNvSpPr txBox="1"/>
                                      <wps:spPr>
                                        <a:xfrm>
                                          <a:off x="3779" y="1099977"/>
                                          <a:ext cx="1313"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ABAF8">
                                            <w:pPr>
                                              <w:rPr>
                                                <w:rFonts w:hint="default"/>
                                                <w:lang w:val="en-US" w:eastAsia="zh-CN"/>
                                              </w:rPr>
                                            </w:pPr>
                                            <w:r>
                                              <w:rPr>
                                                <w:rFonts w:hint="eastAsia" w:cs="Times New Roman"/>
                                                <w:color w:val="000000"/>
                                                <w:kern w:val="0"/>
                                                <w:sz w:val="21"/>
                                                <w:szCs w:val="21"/>
                                                <w:lang w:val="en-US" w:eastAsia="zh-CN"/>
                                              </w:rPr>
                                              <w:t>43800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63" name="组合 92"/>
                                      <wpg:cNvGrpSpPr/>
                                      <wpg:grpSpPr>
                                        <a:xfrm>
                                          <a:off x="4888" y="1099685"/>
                                          <a:ext cx="2300" cy="1050"/>
                                          <a:chOff x="4888" y="1099685"/>
                                          <a:chExt cx="2300" cy="1050"/>
                                        </a:xfrm>
                                      </wpg:grpSpPr>
                                      <wps:wsp>
                                        <wps:cNvPr id="165" name="文本框 87"/>
                                        <wps:cNvSpPr txBox="1"/>
                                        <wps:spPr>
                                          <a:xfrm>
                                            <a:off x="5928" y="1099685"/>
                                            <a:ext cx="1260"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96246F">
                                              <w:pPr>
                                                <w:spacing w:line="240" w:lineRule="auto"/>
                                                <w:rPr>
                                                  <w:rFonts w:hint="default" w:ascii="Times New Roman" w:hAnsi="Times New Roman" w:eastAsia="宋体" w:cs="Times New Roman"/>
                                                  <w:kern w:val="2"/>
                                                  <w:sz w:val="21"/>
                                                  <w:szCs w:val="24"/>
                                                  <w:lang w:val="en-US" w:eastAsia="zh-CN"/>
                                                </w:rPr>
                                              </w:pPr>
                                              <w:r>
                                                <w:rPr>
                                                  <w:rFonts w:hint="eastAsia" w:cs="Times New Roman"/>
                                                  <w:color w:val="000000"/>
                                                  <w:kern w:val="0"/>
                                                  <w:sz w:val="21"/>
                                                  <w:szCs w:val="21"/>
                                                  <w:lang w:val="en-US" w:eastAsia="zh-CN"/>
                                                </w:rPr>
                                                <w:t>43800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1" name="文本框 85"/>
                                        <wps:cNvSpPr txBox="1"/>
                                        <wps:spPr>
                                          <a:xfrm>
                                            <a:off x="4888" y="1100258"/>
                                            <a:ext cx="1350" cy="477"/>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F43D90">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养殖</w:t>
                                              </w:r>
                                              <w:r>
                                                <w:rPr>
                                                  <w:rFonts w:hint="eastAsia" w:ascii="Times New Roman" w:hAnsi="Times New Roman" w:eastAsia="宋体" w:cs="Times New Roman"/>
                                                  <w:kern w:val="2"/>
                                                  <w:sz w:val="21"/>
                                                  <w:szCs w:val="24"/>
                                                  <w:lang w:val="en-US" w:eastAsia="zh-CN"/>
                                                </w:rPr>
                                                <w:t>用水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64" name="组合 93"/>
                                      <wpg:cNvGrpSpPr/>
                                      <wpg:grpSpPr>
                                        <a:xfrm>
                                          <a:off x="4880" y="1100810"/>
                                          <a:ext cx="2316" cy="947"/>
                                          <a:chOff x="4871" y="1098674"/>
                                          <a:chExt cx="2316" cy="947"/>
                                        </a:xfrm>
                                      </wpg:grpSpPr>
                                      <wps:wsp>
                                        <wps:cNvPr id="181" name="文本框 87"/>
                                        <wps:cNvSpPr txBox="1"/>
                                        <wps:spPr>
                                          <a:xfrm>
                                            <a:off x="5603" y="1098674"/>
                                            <a:ext cx="1584" cy="45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05EDAC">
                                              <w:pPr>
                                                <w:rPr>
                                                  <w:rFonts w:hint="default"/>
                                                  <w:lang w:val="en-US" w:eastAsia="zh-CN"/>
                                                </w:rPr>
                                              </w:pPr>
                                              <w:r>
                                                <w:rPr>
                                                  <w:rFonts w:hint="eastAsia" w:cs="Times New Roman"/>
                                                  <w:color w:val="auto"/>
                                                  <w:kern w:val="0"/>
                                                  <w:sz w:val="21"/>
                                                  <w:szCs w:val="21"/>
                                                  <w:lang w:val="en-US" w:eastAsia="zh-CN"/>
                                                </w:rPr>
                                                <w:t>944.36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6" name="文本框 85"/>
                                        <wps:cNvSpPr txBox="1"/>
                                        <wps:spPr>
                                          <a:xfrm>
                                            <a:off x="4871" y="1099144"/>
                                            <a:ext cx="1875" cy="477"/>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F00557">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消毒用水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230" name="直接箭头连接符 86"/>
                                      <wps:cNvCnPr/>
                                      <wps:spPr>
                                        <a:xfrm flipV="1">
                                          <a:off x="5565" y="1099996"/>
                                          <a:ext cx="401" cy="262"/>
                                        </a:xfrm>
                                        <a:prstGeom prst="straightConnector1">
                                          <a:avLst/>
                                        </a:prstGeom>
                                        <a:noFill/>
                                        <a:ln w="0" cap="flat" cmpd="sng" algn="ctr">
                                          <a:solidFill>
                                            <a:sysClr val="windowText" lastClr="000000"/>
                                          </a:solidFill>
                                          <a:prstDash val="sysDash"/>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g:grpSp>
                                      <wpg:cNvPr id="65" name="组合 109"/>
                                      <wpg:cNvGrpSpPr/>
                                      <wpg:grpSpPr>
                                        <a:xfrm>
                                          <a:off x="4832" y="1103562"/>
                                          <a:ext cx="2356" cy="912"/>
                                          <a:chOff x="4854" y="1099387"/>
                                          <a:chExt cx="2356" cy="912"/>
                                        </a:xfrm>
                                      </wpg:grpSpPr>
                                      <wps:wsp>
                                        <wps:cNvPr id="233" name="文本框 87"/>
                                        <wps:cNvSpPr txBox="1"/>
                                        <wps:spPr>
                                          <a:xfrm>
                                            <a:off x="5792" y="1099387"/>
                                            <a:ext cx="1418"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05658">
                                              <w:pPr>
                                                <w:rPr>
                                                  <w:rFonts w:hint="default"/>
                                                  <w:lang w:val="en-US" w:eastAsia="zh-CN"/>
                                                </w:rPr>
                                              </w:pPr>
                                              <w:r>
                                                <w:rPr>
                                                  <w:rFonts w:hint="eastAsia" w:cs="Times New Roman"/>
                                                  <w:color w:val="000000"/>
                                                  <w:kern w:val="0"/>
                                                  <w:sz w:val="21"/>
                                                  <w:szCs w:val="21"/>
                                                  <w:lang w:val="en-US" w:eastAsia="zh-CN"/>
                                                </w:rPr>
                                                <w:t>9540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66" name="组合 91"/>
                                        <wpg:cNvGrpSpPr/>
                                        <wpg:grpSpPr>
                                          <a:xfrm>
                                            <a:off x="4854" y="1099576"/>
                                            <a:ext cx="1965" cy="723"/>
                                            <a:chOff x="4854" y="1099576"/>
                                            <a:chExt cx="1965" cy="723"/>
                                          </a:xfrm>
                                        </wpg:grpSpPr>
                                        <wps:wsp>
                                          <wps:cNvPr id="235" name="文本框 85"/>
                                          <wps:cNvSpPr txBox="1"/>
                                          <wps:spPr>
                                            <a:xfrm>
                                              <a:off x="4854" y="1099822"/>
                                              <a:ext cx="1965" cy="477"/>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80C976">
                                                <w:pPr>
                                                  <w:spacing w:line="240" w:lineRule="auto"/>
                                                  <w:jc w:val="center"/>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绿化用水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6" name="直接箭头连接符 86"/>
                                          <wps:cNvCnPr/>
                                          <wps:spPr>
                                            <a:xfrm flipV="1">
                                              <a:off x="5442" y="1099576"/>
                                              <a:ext cx="402" cy="263"/>
                                            </a:xfrm>
                                            <a:prstGeom prst="straightConnector1">
                                              <a:avLst/>
                                            </a:prstGeom>
                                            <a:noFill/>
                                            <a:ln w="0" cap="flat" cmpd="sng" algn="ctr">
                                              <a:solidFill>
                                                <a:sysClr val="windowText" lastClr="000000"/>
                                              </a:solidFill>
                                              <a:prstDash val="sysDash"/>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g:grpSp>
                                    </wpg:grpSp>
                                    <wpg:grpSp>
                                      <wpg:cNvPr id="67" name="组合 116"/>
                                      <wpg:cNvGrpSpPr/>
                                      <wpg:grpSpPr>
                                        <a:xfrm>
                                          <a:off x="4756" y="1102710"/>
                                          <a:ext cx="2145" cy="838"/>
                                          <a:chOff x="4785" y="1099494"/>
                                          <a:chExt cx="2145" cy="838"/>
                                        </a:xfrm>
                                      </wpg:grpSpPr>
                                      <wps:wsp>
                                        <wps:cNvPr id="238" name="文本框 87"/>
                                        <wps:cNvSpPr txBox="1"/>
                                        <wps:spPr>
                                          <a:xfrm>
                                            <a:off x="5824" y="1099494"/>
                                            <a:ext cx="1106" cy="41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613AB">
                                              <w:pPr>
                                                <w:rPr>
                                                  <w:rFonts w:hint="default" w:ascii="Times New Roman" w:hAnsi="Times New Roman" w:eastAsia="宋体" w:cs="Times New Roman"/>
                                                  <w:lang w:val="en-US" w:eastAsia="zh-CN"/>
                                                </w:rPr>
                                              </w:pPr>
                                              <w:r>
                                                <w:rPr>
                                                  <w:rFonts w:hint="eastAsia" w:cs="Times New Roman"/>
                                                  <w:lang w:val="en-US" w:eastAsia="zh-CN"/>
                                                </w:rPr>
                                                <w:t>70.08</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68" name="组合 91"/>
                                        <wpg:cNvGrpSpPr/>
                                        <wpg:grpSpPr>
                                          <a:xfrm>
                                            <a:off x="4785" y="1099608"/>
                                            <a:ext cx="2019" cy="724"/>
                                            <a:chOff x="4785" y="1099608"/>
                                            <a:chExt cx="2019" cy="724"/>
                                          </a:xfrm>
                                        </wpg:grpSpPr>
                                        <wps:wsp>
                                          <wps:cNvPr id="240" name="文本框 85"/>
                                          <wps:cNvSpPr txBox="1"/>
                                          <wps:spPr>
                                            <a:xfrm>
                                              <a:off x="4785" y="1099855"/>
                                              <a:ext cx="2019" cy="477"/>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A37E15">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1" name="直接箭头连接符 86"/>
                                          <wps:cNvCnPr/>
                                          <wps:spPr>
                                            <a:xfrm flipV="1">
                                              <a:off x="5442" y="1099608"/>
                                              <a:ext cx="402" cy="263"/>
                                            </a:xfrm>
                                            <a:prstGeom prst="straightConnector1">
                                              <a:avLst/>
                                            </a:prstGeom>
                                            <a:noFill/>
                                            <a:ln w="0" cap="flat" cmpd="sng" algn="ctr">
                                              <a:solidFill>
                                                <a:sysClr val="windowText" lastClr="000000"/>
                                              </a:solidFill>
                                              <a:prstDash val="sysDash"/>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g:grpSp>
                                    </wpg:grpSp>
                                    <wps:wsp>
                                      <wps:cNvPr id="243" name="文本框 124"/>
                                      <wps:cNvSpPr txBox="1"/>
                                      <wps:spPr>
                                        <a:xfrm>
                                          <a:off x="10573" y="1102894"/>
                                          <a:ext cx="2045" cy="788"/>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E0CC62">
                                            <w:pPr>
                                              <w:spacing w:line="240" w:lineRule="auto"/>
                                              <w:jc w:val="distribute"/>
                                              <w:rPr>
                                                <w:rFonts w:hint="default" w:ascii="Times New Roman" w:hAnsi="Times New Roman" w:eastAsia="宋体" w:cs="Times New Roman"/>
                                                <w:kern w:val="2"/>
                                                <w:sz w:val="21"/>
                                                <w:szCs w:val="24"/>
                                                <w:lang w:val="en-US" w:eastAsia="zh-CN"/>
                                              </w:rPr>
                                            </w:pPr>
                                            <w:r>
                                              <w:rPr>
                                                <w:rFonts w:hint="eastAsia" w:cs="Times New Roman"/>
                                                <w:kern w:val="2"/>
                                                <w:sz w:val="21"/>
                                                <w:szCs w:val="24"/>
                                                <w:lang w:val="en-US" w:eastAsia="zh-CN"/>
                                              </w:rPr>
                                              <w:t>拉运至污水处理厂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5" name="文本框 131"/>
                                      <wps:cNvSpPr txBox="1"/>
                                      <wps:spPr>
                                        <a:xfrm>
                                          <a:off x="9400" y="1102810"/>
                                          <a:ext cx="1064" cy="419"/>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5B227">
                                            <w:pPr>
                                              <w:rPr>
                                                <w:rFonts w:hint="default"/>
                                                <w:lang w:val="en-US" w:eastAsia="zh-CN"/>
                                              </w:rPr>
                                            </w:pPr>
                                            <w:r>
                                              <w:rPr>
                                                <w:rFonts w:hint="eastAsia" w:cs="Times New Roman"/>
                                                <w:color w:val="000000"/>
                                                <w:kern w:val="0"/>
                                                <w:sz w:val="21"/>
                                                <w:szCs w:val="21"/>
                                                <w:lang w:val="en-US" w:eastAsia="zh-CN"/>
                                              </w:rPr>
                                              <w:t>280.32</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grpSp>
                              <wps:wsp>
                                <wps:cNvPr id="249" name="肘形连接符 202"/>
                                <wps:cNvCnPr>
                                  <a:stCxn id="240" idx="3"/>
                                  <a:endCxn id="298" idx="1"/>
                                </wps:cNvCnPr>
                                <wps:spPr>
                                  <a:xfrm>
                                    <a:off x="10019" y="1035340"/>
                                    <a:ext cx="849" cy="1"/>
                                  </a:xfrm>
                                  <a:prstGeom prst="bentConnector3">
                                    <a:avLst>
                                      <a:gd name="adj1" fmla="val 50059"/>
                                    </a:avLst>
                                  </a:prstGeom>
                                  <a:noFill/>
                                  <a:ln w="6350" cap="flat" cmpd="sng" algn="ctr">
                                    <a:solidFill>
                                      <a:sysClr val="windowText" lastClr="000000"/>
                                    </a:solidFill>
                                    <a:prstDash val="solid"/>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g:grpSp>
                            <wps:wsp>
                              <wps:cNvPr id="252" name="文本框 90"/>
                              <wps:cNvSpPr txBox="1"/>
                              <wps:spPr>
                                <a:xfrm>
                                  <a:off x="10092" y="1034826"/>
                                  <a:ext cx="970" cy="426"/>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B74CA">
                                    <w:pPr>
                                      <w:rPr>
                                        <w:rFonts w:hint="default" w:ascii="Times New Roman" w:hAnsi="Times New Roman" w:eastAsia="宋体" w:cs="Times New Roman"/>
                                        <w:lang w:val="en-US" w:eastAsia="zh-CN"/>
                                      </w:rPr>
                                    </w:pPr>
                                    <w:r>
                                      <w:rPr>
                                        <w:rFonts w:hint="eastAsia" w:cs="Times New Roman"/>
                                        <w:color w:val="auto"/>
                                        <w:kern w:val="0"/>
                                        <w:sz w:val="21"/>
                                        <w:szCs w:val="21"/>
                                        <w:lang w:val="en-US" w:eastAsia="zh-CN"/>
                                      </w:rPr>
                                      <w:t>280.32</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69" name="组合 300"/>
                            <wpg:cNvGrpSpPr/>
                            <wpg:grpSpPr>
                              <a:xfrm rot="0">
                                <a:off x="7155" y="21776"/>
                                <a:ext cx="3683" cy="2488"/>
                                <a:chOff x="8800" y="1647989"/>
                                <a:chExt cx="3683" cy="2488"/>
                              </a:xfrm>
                            </wpg:grpSpPr>
                            <wps:wsp>
                              <wps:cNvPr id="360" name="直接箭头连接符 86"/>
                              <wps:cNvCnPr/>
                              <wps:spPr>
                                <a:xfrm flipV="1">
                                  <a:off x="8800" y="1647989"/>
                                  <a:ext cx="349" cy="244"/>
                                </a:xfrm>
                                <a:prstGeom prst="straightConnector1">
                                  <a:avLst/>
                                </a:prstGeom>
                                <a:noFill/>
                                <a:ln w="0" cap="flat" cmpd="sng" algn="ctr">
                                  <a:solidFill>
                                    <a:sysClr val="windowText" lastClr="000000"/>
                                  </a:solidFill>
                                  <a:prstDash val="sysDash"/>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s:wsp>
                              <wps:cNvPr id="361" name="文本框 85"/>
                              <wps:cNvSpPr txBox="1"/>
                              <wps:spPr>
                                <a:xfrm>
                                  <a:off x="11041" y="1649981"/>
                                  <a:ext cx="1442" cy="496"/>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67A606">
                                    <w:pPr>
                                      <w:jc w:val="center"/>
                                      <w:rPr>
                                        <w:rFonts w:hint="default" w:eastAsia="宋体"/>
                                        <w:lang w:val="en-US" w:eastAsia="zh-CN"/>
                                      </w:rPr>
                                    </w:pPr>
                                    <w:r>
                                      <w:rPr>
                                        <w:rFonts w:hint="eastAsia" w:eastAsia="宋体" w:cs="Times New Roman"/>
                                        <w:kern w:val="0"/>
                                        <w:sz w:val="21"/>
                                        <w:szCs w:val="24"/>
                                        <w:lang w:val="en-US" w:eastAsia="zh-CN" w:bidi="ar-SA"/>
                                      </w:rPr>
                                      <w:t>防渗化粪池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362" name="肘形连接符 201"/>
                          <wps:cNvCnPr>
                            <a:stCxn id="361" idx="3"/>
                            <a:endCxn id="243" idx="1"/>
                          </wps:cNvCnPr>
                          <wps:spPr>
                            <a:xfrm flipV="1">
                              <a:off x="12521" y="1900907"/>
                              <a:ext cx="1042" cy="6"/>
                            </a:xfrm>
                            <a:prstGeom prst="bentConnector3">
                              <a:avLst>
                                <a:gd name="adj1" fmla="val 50000"/>
                              </a:avLst>
                            </a:prstGeom>
                            <a:noFill/>
                            <a:ln w="6350" cap="flat" cmpd="sng" algn="ctr">
                              <a:solidFill>
                                <a:sysClr val="windowText" lastClr="000000"/>
                              </a:solidFill>
                              <a:prstDash val="solid"/>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g:grpSp>
                      <wpg:grpSp>
                        <wpg:cNvPr id="70" name="组合 324"/>
                        <wpg:cNvGrpSpPr/>
                        <wpg:grpSpPr>
                          <a:xfrm>
                            <a:off x="7540" y="1780881"/>
                            <a:ext cx="2954" cy="906"/>
                            <a:chOff x="7540" y="1780881"/>
                            <a:chExt cx="2954" cy="906"/>
                          </a:xfrm>
                        </wpg:grpSpPr>
                        <wpg:grpSp>
                          <wpg:cNvPr id="71" name="组合 321"/>
                          <wpg:cNvGrpSpPr/>
                          <wpg:grpSpPr>
                            <a:xfrm>
                              <a:off x="8552" y="1780881"/>
                              <a:ext cx="1943" cy="906"/>
                              <a:chOff x="8807" y="1780161"/>
                              <a:chExt cx="1943" cy="906"/>
                            </a:xfrm>
                          </wpg:grpSpPr>
                          <wps:wsp>
                            <wps:cNvPr id="365" name="文本框 87"/>
                            <wps:cNvSpPr txBox="1"/>
                            <wps:spPr>
                              <a:xfrm>
                                <a:off x="9509" y="1780161"/>
                                <a:ext cx="1241" cy="401"/>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3E7DF">
                                  <w:pPr>
                                    <w:rPr>
                                      <w:rFonts w:hint="default"/>
                                      <w:lang w:val="en-US" w:eastAsia="zh-CN"/>
                                    </w:rPr>
                                  </w:pPr>
                                  <w:r>
                                    <w:rPr>
                                      <w:rFonts w:hint="eastAsia" w:eastAsia="宋体" w:cs="Times New Roman"/>
                                      <w:color w:val="auto"/>
                                      <w:kern w:val="0"/>
                                      <w:sz w:val="21"/>
                                      <w:szCs w:val="21"/>
                                      <w:lang w:val="en-US" w:eastAsia="zh-CN"/>
                                    </w:rPr>
                                    <w:t>118.2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6" name="文本框 85"/>
                            <wps:cNvSpPr txBox="1"/>
                            <wps:spPr>
                              <a:xfrm>
                                <a:off x="8807" y="1780600"/>
                                <a:ext cx="1645" cy="467"/>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AFCE28">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洒水降尘用水</w:t>
                                  </w:r>
                                </w:p>
                                <w:p w14:paraId="0842781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7" name="直接箭头连接符 86"/>
                            <wps:cNvCnPr/>
                            <wps:spPr>
                              <a:xfrm flipV="1">
                                <a:off x="9078" y="1780333"/>
                                <a:ext cx="349" cy="244"/>
                              </a:xfrm>
                              <a:prstGeom prst="straightConnector1">
                                <a:avLst/>
                              </a:prstGeom>
                              <a:noFill/>
                              <a:ln w="0" cap="flat" cmpd="sng" algn="ctr">
                                <a:solidFill>
                                  <a:sysClr val="windowText" lastClr="000000"/>
                                </a:solidFill>
                                <a:prstDash val="sysDash"/>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g:grpSp>
                        <wps:wsp>
                          <wps:cNvPr id="368" name="直接箭头连接符 81"/>
                          <wps:cNvCnPr/>
                          <wps:spPr>
                            <a:xfrm>
                              <a:off x="7540" y="1781582"/>
                              <a:ext cx="1006" cy="0"/>
                            </a:xfrm>
                            <a:prstGeom prst="straightConnector1">
                              <a:avLst/>
                            </a:prstGeom>
                            <a:noFill/>
                            <a:ln w="6350" cap="flat" cmpd="sng" algn="ctr">
                              <a:solidFill>
                                <a:sysClr val="windowText" lastClr="000000"/>
                              </a:solidFill>
                              <a:prstDash val="solid"/>
                              <a:miter lim="800000"/>
                              <a:tailEnd type="triangle" w="sm" len="med"/>
                            </a:ln>
                            <a:effectLst/>
                          </wps:spPr>
                          <wps:style>
                            <a:lnRef idx="1">
                              <a:schemeClr val="accent1"/>
                            </a:lnRef>
                            <a:fillRef idx="0">
                              <a:schemeClr val="accent1"/>
                            </a:fillRef>
                            <a:effectRef idx="0">
                              <a:schemeClr val="accent1"/>
                            </a:effectRef>
                            <a:fontRef idx="minor">
                              <a:schemeClr val="tx1"/>
                            </a:fontRef>
                          </wps:style>
                          <wps:bodyPr/>
                        </wps:wsp>
                        <wps:wsp>
                          <wps:cNvPr id="369" name="文本框 127"/>
                          <wps:cNvSpPr txBox="1"/>
                          <wps:spPr>
                            <a:xfrm>
                              <a:off x="7599" y="1781080"/>
                              <a:ext cx="971" cy="401"/>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FF338">
                                <w:pPr>
                                  <w:rPr>
                                    <w:rFonts w:hint="default"/>
                                    <w:lang w:val="en-US" w:eastAsia="zh-CN"/>
                                  </w:rPr>
                                </w:pPr>
                                <w:r>
                                  <w:rPr>
                                    <w:rFonts w:hint="eastAsia" w:eastAsia="宋体" w:cs="Times New Roman"/>
                                    <w:color w:val="auto"/>
                                    <w:kern w:val="0"/>
                                    <w:sz w:val="21"/>
                                    <w:szCs w:val="21"/>
                                    <w:lang w:val="en-US" w:eastAsia="zh-CN"/>
                                  </w:rPr>
                                  <w:t>118.2</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8pt;margin-top:13.05pt;height:234.45pt;width:486.75pt;z-index:251662336;mso-width-relative:page;mso-height-relative:page;" coordorigin="5623,1778799" coordsize="9735,4689" o:gfxdata="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">
                <o:lock v:ext="edit" aspectratio="f"/>
                <v:group id="组合 77" o:spid="_x0000_s1026" o:spt="203" style="position:absolute;left:5623;top:1778799;height:4689;width:9735;" coordorigin="5623,1897379" coordsize="9735,4689"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group id="组合 304" o:spid="_x0000_s1026" o:spt="203" style="position:absolute;left:5623;top:1897379;height:4689;width:9735;" coordorigin="3940,20482" coordsize="9735,4689"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group id="组合 137" o:spid="_x0000_s1026" o:spt="203" style="position:absolute;left:3940;top:20482;height:4689;width:9735;" coordorigin="5412,1031791" coordsize="9735,4689"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group id="组合 260" o:spid="_x0000_s1026" o:spt="203" style="position:absolute;left:5412;top:1031791;height:4689;width:9735;" coordorigin="5412,1031791" coordsize="9735,4689"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group id="组合 186" o:spid="_x0000_s1026" o:spt="203" style="position:absolute;left:5412;top:1031791;height:4689;width:9735;" coordorigin="1498,1099671" coordsize="11093,4789"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shape id="文本框 83" o:spid="_x0000_s1026" o:spt="202" type="#_x0000_t202" style="position:absolute;left:2431;top:1101066;height:410;width:1377;" fillcolor="#FFFFFF" filled="t" stroked="f" coordsize="21600,21600" o:gfxdata="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4Ze/G5AAAA3A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00B07DCF">
                                  <w:pPr>
                                    <w:rPr>
                                      <w:rFonts w:hint="default"/>
                                      <w:lang w:val="en-US" w:eastAsia="zh-CN"/>
                                    </w:rPr>
                                  </w:pPr>
                                  <w:r>
                                    <w:rPr>
                                      <w:rFonts w:hint="eastAsia" w:ascii="Times New Roman" w:hAnsi="Times New Roman" w:eastAsia="宋体" w:cs="Times New Roman"/>
                                      <w:color w:val="000000"/>
                                      <w:kern w:val="0"/>
                                      <w:sz w:val="21"/>
                                      <w:szCs w:val="21"/>
                                      <w:lang w:val="en-US" w:eastAsia="zh-CN"/>
                                    </w:rPr>
                                    <w:t>54752.96</w:t>
                                  </w:r>
                                </w:p>
                              </w:txbxContent>
                            </v:textbox>
                          </v:shape>
                          <v:group id="组合 138" o:spid="_x0000_s1026" o:spt="203" style="position:absolute;left:1498;top:1099671;height:4789;width:11093;" coordorigin="1525,1099685" coordsize="11093,4789"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shape id="文本框 127" o:spid="_x0000_s1026" o:spt="202" type="#_x0000_t202" style="position:absolute;left:3760;top:1101081;height:410;width:1175;" fillcolor="#FFFFFF" filled="t" stroked="f" coordsize="21600,21600" o:gfxdata="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olPrsAAADc&#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41D1180A">
                                    <w:pPr>
                                      <w:rPr>
                                        <w:rFonts w:hint="default"/>
                                        <w:lang w:val="en-US" w:eastAsia="zh-CN"/>
                                      </w:rPr>
                                    </w:pPr>
                                    <w:r>
                                      <w:rPr>
                                        <w:rFonts w:hint="eastAsia" w:cs="Times New Roman"/>
                                        <w:color w:val="auto"/>
                                        <w:kern w:val="0"/>
                                        <w:sz w:val="21"/>
                                        <w:szCs w:val="21"/>
                                        <w:lang w:val="en-US" w:eastAsia="zh-CN"/>
                                      </w:rPr>
                                      <w:t>944.36</w:t>
                                    </w:r>
                                  </w:p>
                                </w:txbxContent>
                              </v:textbox>
                            </v:shape>
                            <v:shape id="文本框 128" o:spid="_x0000_s1026" o:spt="202" type="#_x0000_t202" style="position:absolute;left:3719;top:1102955;height:410;width:1106;" fillcolor="#FFFFFF" filled="t" stroked="f" coordsize="21600,21600" o:gfxdata="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6mgKW5AAAA3A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19EF8930">
                                    <w:pPr>
                                      <w:rPr>
                                        <w:rFonts w:hint="default"/>
                                        <w:lang w:val="en-US" w:eastAsia="zh-CN"/>
                                      </w:rPr>
                                    </w:pPr>
                                    <w:r>
                                      <w:rPr>
                                        <w:rFonts w:hint="eastAsia" w:cs="Times New Roman"/>
                                        <w:color w:val="auto"/>
                                        <w:kern w:val="0"/>
                                        <w:sz w:val="21"/>
                                        <w:szCs w:val="21"/>
                                        <w:lang w:val="en-US" w:eastAsia="zh-CN"/>
                                      </w:rPr>
                                      <w:t>350.4</w:t>
                                    </w:r>
                                  </w:p>
                                </w:txbxContent>
                              </v:textbox>
                            </v:shape>
                            <v:shape id="文本框 129" o:spid="_x0000_s1026" o:spt="202" type="#_x0000_t202" style="position:absolute;left:3793;top:1103854;height:410;width:1343;" fillcolor="#FFFFFF" filled="t" stroked="f" coordsize="21600,21600" o:gfxdata="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klZH7sAAADc&#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5FC7C130">
                                    <w:pPr>
                                      <w:rPr>
                                        <w:rFonts w:hint="default"/>
                                        <w:lang w:val="en-US" w:eastAsia="zh-CN"/>
                                      </w:rPr>
                                    </w:pPr>
                                    <w:r>
                                      <w:rPr>
                                        <w:rFonts w:hint="eastAsia" w:cs="Times New Roman"/>
                                        <w:color w:val="000000"/>
                                        <w:kern w:val="0"/>
                                        <w:sz w:val="21"/>
                                        <w:szCs w:val="21"/>
                                        <w:lang w:val="en-US" w:eastAsia="zh-CN"/>
                                      </w:rPr>
                                      <w:t>9540</w:t>
                                    </w:r>
                                  </w:p>
                                </w:txbxContent>
                              </v:textbox>
                            </v:shape>
                            <v:group id="组合 137" o:spid="_x0000_s1026" o:spt="203" style="position:absolute;left:1525;top:1099685;height:4789;width:11093;" coordorigin="1525,1099685" coordsize="11093,4789"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group id="组合 82" o:spid="_x0000_s1026" o:spt="203" style="position:absolute;left:1525;top:1100496;height:3739;width:3355;" coordorigin="1538,1100468" coordsize="3355,3739" o:gfxdata="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VER/O+AAAA2wAAAA8AAAAAAAAAAQAgAAAAIgAAAGRycy9kb3ducmV2Lnht&#10;bFBLAQIUABQAAAAIAIdO4kAzLwWeOwAAADkAAAAVAAAAAAAAAAEAIAAAAA0BAABkcnMvZ3JvdXBz&#10;aGFwZXhtbC54bWxQSwUGAAAAAAYABgBgAQAAygMAAAAA&#10;">
                                <o:lock v:ext="edit" aspectratio="f"/>
                                <v:shape id="文本框 72" o:spid="_x0000_s1026" o:spt="202" type="#_x0000_t202" style="position:absolute;left:1538;top:1101290;height:477;width:1091;" fillcolor="#FFFFFF" filled="t" stroked="t" coordsize="21600,21600" o:gfxdata="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7aWLG7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5C6542ED">
                                        <w:pPr>
                                          <w:spacing w:line="240" w:lineRule="auto"/>
                                          <w:jc w:val="center"/>
                                          <w:rPr>
                                            <w:rFonts w:hint="eastAsia"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新鲜水</w:t>
                                        </w:r>
                                      </w:p>
                                    </w:txbxContent>
                                  </v:textbox>
                                </v:shape>
                                <v:shape id="直接箭头连接符 73" o:spid="_x0000_s1026" o:spt="32" type="#_x0000_t32" style="position:absolute;left:2642;top:1101526;flip:y;height:17;width:2251;" filled="f" stroked="t" coordsize="21600,21600" o:gfxdata="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O8FSS8AAAA&#10;3AAAAA8AAAAAAAAAAQAgAAAAIgAAAGRycy9kb3ducmV2LnhtbFBLAQIUABQAAAAIAIdO4kAzLwWe&#10;OwAAADkAAAAQAAAAAAAAAAEAIAAAAAsBAABkcnMvc2hhcGV4bWwueG1sUEsFBgAAAAAGAAYAWwEA&#10;ALUDAAAAAA==&#10;">
                                  <v:fill on="f" focussize="0,0"/>
                                  <v:stroke weight="0.25pt" color="#000000 [3204]" miterlimit="8" joinstyle="miter" endarrow="block" endarrowwidth="narrow"/>
                                  <v:imagedata o:title=""/>
                                  <o:lock v:ext="edit" aspectratio="f"/>
                                </v:shape>
                                <v:line id="直接连接符 76" o:spid="_x0000_s1026" o:spt="20" style="position:absolute;left:3749;top:1100469;flip:x;height:3729;width:8;" filled="f" stroked="t" coordsize="21600,21600" o:gfxdata="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FHiu8AAAA&#10;3AAAAA8AAAAAAAAAAQAgAAAAIgAAAGRycy9kb3ducmV2LnhtbFBLAQIUABQAAAAIAIdO4kAzLwWe&#10;OwAAADkAAAAQAAAAAAAAAAEAIAAAAAsBAABkcnMvc2hhcGV4bWwueG1sUEsFBgAAAAAGAAYAWwEA&#10;ALUDAAAAAA==&#10;">
                                  <v:fill on="f" focussize="0,0"/>
                                  <v:stroke weight="0.5pt" color="#000000 [3204]" miterlimit="8" joinstyle="miter"/>
                                  <v:imagedata o:title=""/>
                                  <o:lock v:ext="edit" aspectratio="f"/>
                                </v:line>
                                <v:shape id="直接箭头连接符 77" o:spid="_x0000_s1026" o:spt="32" type="#_x0000_t32" style="position:absolute;left:3718;top:1104207;height:0;width:1146;" filled="f" stroked="t" coordsize="21600,21600" o:gfxdata="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5nkb4A&#10;AADcAAAADwAAAAAAAAABACAAAAAiAAAAZHJzL2Rvd25yZXYueG1sUEsBAhQAFAAAAAgAh07iQDMv&#10;BZ47AAAAOQAAABAAAAAAAAAAAQAgAAAADQEAAGRycy9zaGFwZXhtbC54bWxQSwUGAAAAAAYABgBb&#10;AQAAtwMAAAAA&#10;">
                                  <v:fill on="f" focussize="0,0"/>
                                  <v:stroke weight="0.5pt" color="#000000 [3204]" miterlimit="8" joinstyle="miter" endarrow="block" endarrowwidth="narrow"/>
                                  <v:imagedata o:title=""/>
                                  <o:lock v:ext="edit" aspectratio="f"/>
                                </v:shape>
                                <v:shape id="直接箭头连接符 79" o:spid="_x0000_s1026" o:spt="32" type="#_x0000_t32" style="position:absolute;left:3743;top:1100468;height:0;width:1146;" filled="f" stroked="t" coordsize="21600,21600" o:gfxdata="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z55r4A&#10;AADcAAAADwAAAAAAAAABACAAAAAiAAAAZHJzL2Rvd25yZXYueG1sUEsBAhQAFAAAAAgAh07iQDMv&#10;BZ47AAAAOQAAABAAAAAAAAAAAQAgAAAADQEAAGRycy9zaGFwZXhtbC54bWxQSwUGAAAAAAYABgBb&#10;AQAAtwMAAAAA&#10;">
                                  <v:fill on="f" focussize="0,0"/>
                                  <v:stroke weight="0.5pt" color="#000000 [3204]" miterlimit="8" joinstyle="miter" endarrow="block" endarrowwidth="narrow"/>
                                  <v:imagedata o:title=""/>
                                  <o:lock v:ext="edit" aspectratio="f"/>
                                </v:shape>
                                <v:shape id="直接箭头连接符 80" o:spid="_x0000_s1026" o:spt="32" type="#_x0000_t32" style="position:absolute;left:3732;top:1103291;flip:y;height:3;width:1054;" filled="f" stroked="t" coordsize="21600,21600" o:gfxdata="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QrovL4A&#10;AADcAAAADwAAAAAAAAABACAAAAAiAAAAZHJzL2Rvd25yZXYueG1sUEsBAhQAFAAAAAgAh07iQDMv&#10;BZ47AAAAOQAAABAAAAAAAAAAAQAgAAAADQEAAGRycy9zaGFwZXhtbC54bWxQSwUGAAAAAAYABgBb&#10;AQAAtwMAAAAA&#10;">
                                  <v:fill on="f" focussize="0,0"/>
                                  <v:stroke weight="0.5pt" color="#000000 [3204]" miterlimit="8" joinstyle="miter" endarrow="block" endarrowwidth="narrow"/>
                                  <v:imagedata o:title=""/>
                                  <o:lock v:ext="edit" aspectratio="f"/>
                                </v:shape>
                              </v:group>
                              <v:shape id="文本框 84" o:spid="_x0000_s1026" o:spt="202" type="#_x0000_t202" style="position:absolute;left:3779;top:1099977;height:410;width:1313;" fillcolor="#FFFFFF" filled="t" stroked="f" coordsize="21600,21600" o:gfxdata="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QkafrUAAADcAAAADwAA&#10;AAAAAAABACAAAAAiAAAAZHJzL2Rvd25yZXYueG1sUEsBAhQAFAAAAAgAh07iQDMvBZ47AAAAOQAA&#10;ABAAAAAAAAAAAQAgAAAABAEAAGRycy9zaGFwZXhtbC54bWxQSwUGAAAAAAYABgBbAQAArgMAAAAA&#10;">
                                <v:fill on="t" focussize="0,0"/>
                                <v:stroke on="f" weight="0.5pt"/>
                                <v:imagedata o:title=""/>
                                <o:lock v:ext="edit" aspectratio="f"/>
                                <v:textbox>
                                  <w:txbxContent>
                                    <w:p w14:paraId="466ABAF8">
                                      <w:pPr>
                                        <w:rPr>
                                          <w:rFonts w:hint="default"/>
                                          <w:lang w:val="en-US" w:eastAsia="zh-CN"/>
                                        </w:rPr>
                                      </w:pPr>
                                      <w:r>
                                        <w:rPr>
                                          <w:rFonts w:hint="eastAsia" w:cs="Times New Roman"/>
                                          <w:color w:val="000000"/>
                                          <w:kern w:val="0"/>
                                          <w:sz w:val="21"/>
                                          <w:szCs w:val="21"/>
                                          <w:lang w:val="en-US" w:eastAsia="zh-CN"/>
                                        </w:rPr>
                                        <w:t>43800</w:t>
                                      </w:r>
                                    </w:p>
                                  </w:txbxContent>
                                </v:textbox>
                              </v:shape>
                              <v:group id="组合 92" o:spid="_x0000_s1026" o:spt="203" style="position:absolute;left:4888;top:1099685;height:1050;width:2300;" coordorigin="4888,1099685" coordsize="2300,1050" o:gfxdata="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a2nwfvAAAANsAAAAPAAAAAAAAAAEAIAAAACIAAABkcnMvZG93bnJldi54bWxQ&#10;SwECFAAUAAAACACHTuJAMy8FnjsAAAA5AAAAFQAAAAAAAAABACAAAAALAQAAZHJzL2dyb3Vwc2hh&#10;cGV4bWwueG1sUEsFBgAAAAAGAAYAYAEAAMgDAAAAAA==&#10;">
                                <o:lock v:ext="edit" aspectratio="f"/>
                                <v:shape id="文本框 87" o:spid="_x0000_s1026" o:spt="202" type="#_x0000_t202" style="position:absolute;left:5928;top:1099685;height:410;width:1260;" fillcolor="#FFFFFF" filled="t" stroked="f" coordsize="21600,21600" o:gfxdata="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Mhx9twAAANw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7196246F">
                                        <w:pPr>
                                          <w:spacing w:line="240" w:lineRule="auto"/>
                                          <w:rPr>
                                            <w:rFonts w:hint="default" w:ascii="Times New Roman" w:hAnsi="Times New Roman" w:eastAsia="宋体" w:cs="Times New Roman"/>
                                            <w:kern w:val="2"/>
                                            <w:sz w:val="21"/>
                                            <w:szCs w:val="24"/>
                                            <w:lang w:val="en-US" w:eastAsia="zh-CN"/>
                                          </w:rPr>
                                        </w:pPr>
                                        <w:r>
                                          <w:rPr>
                                            <w:rFonts w:hint="eastAsia" w:cs="Times New Roman"/>
                                            <w:color w:val="000000"/>
                                            <w:kern w:val="0"/>
                                            <w:sz w:val="21"/>
                                            <w:szCs w:val="21"/>
                                            <w:lang w:val="en-US" w:eastAsia="zh-CN"/>
                                          </w:rPr>
                                          <w:t>43800</w:t>
                                        </w:r>
                                      </w:p>
                                    </w:txbxContent>
                                  </v:textbox>
                                </v:shape>
                                <v:shape id="文本框 85" o:spid="_x0000_s1026" o:spt="202" type="#_x0000_t202" style="position:absolute;left:4888;top:1100258;height:477;width:1350;" fillcolor="#FFFFFF" filled="t" stroked="t" coordsize="21600,21600" o:gfxdata="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7A0L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6BF43D90">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养殖</w:t>
                                        </w:r>
                                        <w:r>
                                          <w:rPr>
                                            <w:rFonts w:hint="eastAsia" w:ascii="Times New Roman" w:hAnsi="Times New Roman" w:eastAsia="宋体" w:cs="Times New Roman"/>
                                            <w:kern w:val="2"/>
                                            <w:sz w:val="21"/>
                                            <w:szCs w:val="24"/>
                                            <w:lang w:val="en-US" w:eastAsia="zh-CN"/>
                                          </w:rPr>
                                          <w:t>用水</w:t>
                                        </w:r>
                                      </w:p>
                                    </w:txbxContent>
                                  </v:textbox>
                                </v:shape>
                              </v:group>
                              <v:group id="组合 93" o:spid="_x0000_s1026" o:spt="203" style="position:absolute;left:4880;top:1100810;height:947;width:2316;" coordorigin="4871,1098674" coordsize="2316,947"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文本框 87" o:spid="_x0000_s1026" o:spt="202" type="#_x0000_t202" style="position:absolute;left:5603;top:1098674;height:450;width:1584;" fillcolor="#FFFFFF" filled="t" stroked="f" coordsize="21600,21600" o:gfxdata="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QX8hLUAAADcAAAADwAA&#10;AAAAAAABACAAAAAiAAAAZHJzL2Rvd25yZXYueG1sUEsBAhQAFAAAAAgAh07iQDMvBZ47AAAAOQAA&#10;ABAAAAAAAAAAAQAgAAAABAEAAGRycy9zaGFwZXhtbC54bWxQSwUGAAAAAAYABgBbAQAArgMAAAAA&#10;">
                                  <v:fill on="t" focussize="0,0"/>
                                  <v:stroke on="f" weight="0.5pt"/>
                                  <v:imagedata o:title=""/>
                                  <o:lock v:ext="edit" aspectratio="f"/>
                                  <v:textbox>
                                    <w:txbxContent>
                                      <w:p w14:paraId="4805EDAC">
                                        <w:pPr>
                                          <w:rPr>
                                            <w:rFonts w:hint="default"/>
                                            <w:lang w:val="en-US" w:eastAsia="zh-CN"/>
                                          </w:rPr>
                                        </w:pPr>
                                        <w:r>
                                          <w:rPr>
                                            <w:rFonts w:hint="eastAsia" w:cs="Times New Roman"/>
                                            <w:color w:val="auto"/>
                                            <w:kern w:val="0"/>
                                            <w:sz w:val="21"/>
                                            <w:szCs w:val="21"/>
                                            <w:lang w:val="en-US" w:eastAsia="zh-CN"/>
                                          </w:rPr>
                                          <w:t>944.36</w:t>
                                        </w:r>
                                      </w:p>
                                    </w:txbxContent>
                                  </v:textbox>
                                </v:shape>
                                <v:shape id="文本框 85" o:spid="_x0000_s1026" o:spt="202" type="#_x0000_t202" style="position:absolute;left:4871;top:1099144;height:477;width:1875;" fillcolor="#FFFFFF" filled="t" stroked="t" coordsize="21600,21600" o:gfxdata="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Iog7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04F00557">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消毒用水</w:t>
                                        </w:r>
                                      </w:p>
                                    </w:txbxContent>
                                  </v:textbox>
                                </v:shape>
                              </v:group>
                              <v:shape id="直接箭头连接符 86" o:spid="_x0000_s1026" o:spt="32" type="#_x0000_t32" style="position:absolute;left:5565;top:1099996;flip:y;height:262;width:401;" filled="f" stroked="t" coordsize="21600,21600" o:gfxdata="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Brk/ugAAANwA&#10;AAAPAAAAAAAAAAEAIAAAACIAAABkcnMvZG93bnJldi54bWxQSwECFAAUAAAACACHTuJAMy8FnjsA&#10;AAA5AAAAEAAAAAAAAAABACAAAAAJAQAAZHJzL3NoYXBleG1sLnhtbFBLBQYAAAAABgAGAFsBAACz&#10;AwAAAAA=&#10;">
                                <v:fill on="f" focussize="0,0"/>
                                <v:stroke weight="0pt" color="#000000 [3204]" miterlimit="8" joinstyle="miter" dashstyle="3 1" endarrow="block" endarrowwidth="narrow"/>
                                <v:imagedata o:title=""/>
                                <o:lock v:ext="edit" aspectratio="f"/>
                              </v:shape>
                              <v:group id="组合 109" o:spid="_x0000_s1026" o:spt="203" style="position:absolute;left:4832;top:1103562;height:912;width:2356;" coordorigin="4854,1099387" coordsize="2356,912" o:gfxdata="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n9B8L0AAADbAAAADwAAAAAAAAABACAAAAAiAAAAZHJzL2Rvd25yZXYueG1s&#10;UEsBAhQAFAAAAAgAh07iQDMvBZ47AAAAOQAAABUAAAAAAAAAAQAgAAAADAEAAGRycy9ncm91cHNo&#10;YXBleG1sLnhtbFBLBQYAAAAABgAGAGABAADJAwAAAAA=&#10;">
                                <o:lock v:ext="edit" aspectratio="f"/>
                                <v:shape id="文本框 87" o:spid="_x0000_s1026" o:spt="202" type="#_x0000_t202" style="position:absolute;left:5792;top:1099387;height:410;width:1418;" fillcolor="#FFFFFF" filled="t" stroked="f" coordsize="21600,21600" o:gfxdata="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IBb/O5AAAA3A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6CA05658">
                                        <w:pPr>
                                          <w:rPr>
                                            <w:rFonts w:hint="default"/>
                                            <w:lang w:val="en-US" w:eastAsia="zh-CN"/>
                                          </w:rPr>
                                        </w:pPr>
                                        <w:r>
                                          <w:rPr>
                                            <w:rFonts w:hint="eastAsia" w:cs="Times New Roman"/>
                                            <w:color w:val="000000"/>
                                            <w:kern w:val="0"/>
                                            <w:sz w:val="21"/>
                                            <w:szCs w:val="21"/>
                                            <w:lang w:val="en-US" w:eastAsia="zh-CN"/>
                                          </w:rPr>
                                          <w:t>9540</w:t>
                                        </w:r>
                                      </w:p>
                                    </w:txbxContent>
                                  </v:textbox>
                                </v:shape>
                                <v:group id="组合 91" o:spid="_x0000_s1026" o:spt="203" style="position:absolute;left:4854;top:1099576;height:723;width:1965;" coordorigin="4854,1099576" coordsize="1965,723"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文本框 85" o:spid="_x0000_s1026" o:spt="202" type="#_x0000_t202" style="position:absolute;left:4854;top:1099822;height:477;width:1965;" fillcolor="#FFFFFF" filled="t" stroked="t" coordsize="21600,21600" o:gfxdata="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mh5v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0680C976">
                                          <w:pPr>
                                            <w:spacing w:line="240" w:lineRule="auto"/>
                                            <w:jc w:val="center"/>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lang w:val="en-US" w:eastAsia="zh-CN"/>
                                            </w:rPr>
                                            <w:t>绿化用水</w:t>
                                          </w:r>
                                        </w:p>
                                      </w:txbxContent>
                                    </v:textbox>
                                  </v:shape>
                                  <v:shape id="直接箭头连接符 86" o:spid="_x0000_s1026" o:spt="32" type="#_x0000_t32" style="position:absolute;left:5442;top:1099576;flip:y;height:263;width:402;" filled="f" stroked="t" coordsize="21600,21600" o:gfxdata="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6OE0LsAAADc&#10;AAAADwAAAAAAAAABACAAAAAiAAAAZHJzL2Rvd25yZXYueG1sUEsBAhQAFAAAAAgAh07iQDMvBZ47&#10;AAAAOQAAABAAAAAAAAAAAQAgAAAACgEAAGRycy9zaGFwZXhtbC54bWxQSwUGAAAAAAYABgBbAQAA&#10;tAMAAAAA&#10;">
                                    <v:fill on="f" focussize="0,0"/>
                                    <v:stroke weight="0pt" color="#000000 [3204]" miterlimit="8" joinstyle="miter" dashstyle="3 1" endarrow="block" endarrowwidth="narrow"/>
                                    <v:imagedata o:title=""/>
                                    <o:lock v:ext="edit" aspectratio="f"/>
                                  </v:shape>
                                </v:group>
                              </v:group>
                              <v:group id="组合 116" o:spid="_x0000_s1026" o:spt="203" style="position:absolute;left:4756;top:1102710;height:838;width:2145;" coordorigin="4785,1099494" coordsize="2145,838"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文本框 87" o:spid="_x0000_s1026" o:spt="202" type="#_x0000_t202" style="position:absolute;left:5824;top:1099494;height:410;width:1106;" fillcolor="#FFFFFF" filled="t" stroked="f" coordsize="21600,21600" o:gfxdata="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cpf2CtAAAANwAAAAPAAAA&#10;AAAAAAEAIAAAACIAAABkcnMvZG93bnJldi54bWxQSwECFAAUAAAACACHTuJAMy8FnjsAAAA5AAAA&#10;EAAAAAAAAAABACAAAAADAQAAZHJzL3NoYXBleG1sLnhtbFBLBQYAAAAABgAGAFsBAACtAwAAAAA=&#10;">
                                  <v:fill on="t" focussize="0,0"/>
                                  <v:stroke on="f" weight="0.5pt"/>
                                  <v:imagedata o:title=""/>
                                  <o:lock v:ext="edit" aspectratio="f"/>
                                  <v:textbox>
                                    <w:txbxContent>
                                      <w:p w14:paraId="04E613AB">
                                        <w:pPr>
                                          <w:rPr>
                                            <w:rFonts w:hint="default" w:ascii="Times New Roman" w:hAnsi="Times New Roman" w:eastAsia="宋体" w:cs="Times New Roman"/>
                                            <w:lang w:val="en-US" w:eastAsia="zh-CN"/>
                                          </w:rPr>
                                        </w:pPr>
                                        <w:r>
                                          <w:rPr>
                                            <w:rFonts w:hint="eastAsia" w:cs="Times New Roman"/>
                                            <w:lang w:val="en-US" w:eastAsia="zh-CN"/>
                                          </w:rPr>
                                          <w:t>70.08</w:t>
                                        </w:r>
                                      </w:p>
                                    </w:txbxContent>
                                  </v:textbox>
                                </v:shape>
                                <v:group id="组合 91" o:spid="_x0000_s1026" o:spt="203" style="position:absolute;left:4785;top:1099608;height:724;width:2019;" coordorigin="4785,1099608" coordsize="2019,724"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shape id="文本框 85" o:spid="_x0000_s1026" o:spt="202" type="#_x0000_t202" style="position:absolute;left:4785;top:1099855;height:477;width:2019;" fillcolor="#FFFFFF" filled="t" stroked="t" coordsize="21600,21600" o:gfxdata="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evOir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5DA37E15">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生活用水</w:t>
                                          </w:r>
                                        </w:p>
                                      </w:txbxContent>
                                    </v:textbox>
                                  </v:shape>
                                  <v:shape id="直接箭头连接符 86" o:spid="_x0000_s1026" o:spt="32" type="#_x0000_t32" style="position:absolute;left:5442;top:1099608;flip:y;height:263;width:402;" filled="f" stroked="t" coordsize="21600,21600" o:gfxdata="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Mb9m8AAAA&#10;3AAAAA8AAAAAAAAAAQAgAAAAIgAAAGRycy9kb3ducmV2LnhtbFBLAQIUABQAAAAIAIdO4kAzLwWe&#10;OwAAADkAAAAQAAAAAAAAAAEAIAAAAAsBAABkcnMvc2hhcGV4bWwueG1sUEsFBgAAAAAGAAYAWwEA&#10;ALUDAAAAAA==&#10;">
                                    <v:fill on="f" focussize="0,0"/>
                                    <v:stroke weight="0pt" color="#000000 [3204]" miterlimit="8" joinstyle="miter" dashstyle="3 1" endarrow="block" endarrowwidth="narrow"/>
                                    <v:imagedata o:title=""/>
                                    <o:lock v:ext="edit" aspectratio="f"/>
                                  </v:shape>
                                </v:group>
                              </v:group>
                              <v:shape id="文本框 124" o:spid="_x0000_s1026" o:spt="202" type="#_x0000_t202" style="position:absolute;left:10573;top:1102894;height:788;width:2045;" fillcolor="#FFFFFF" filled="t" stroked="t" coordsize="21600,21600" o:gfxdata="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OVD9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4BE0CC62">
                                      <w:pPr>
                                        <w:spacing w:line="240" w:lineRule="auto"/>
                                        <w:jc w:val="distribute"/>
                                        <w:rPr>
                                          <w:rFonts w:hint="default" w:ascii="Times New Roman" w:hAnsi="Times New Roman" w:eastAsia="宋体" w:cs="Times New Roman"/>
                                          <w:kern w:val="2"/>
                                          <w:sz w:val="21"/>
                                          <w:szCs w:val="24"/>
                                          <w:lang w:val="en-US" w:eastAsia="zh-CN"/>
                                        </w:rPr>
                                      </w:pPr>
                                      <w:r>
                                        <w:rPr>
                                          <w:rFonts w:hint="eastAsia" w:cs="Times New Roman"/>
                                          <w:kern w:val="2"/>
                                          <w:sz w:val="21"/>
                                          <w:szCs w:val="24"/>
                                          <w:lang w:val="en-US" w:eastAsia="zh-CN"/>
                                        </w:rPr>
                                        <w:t>拉运至污水处理厂</w:t>
                                      </w:r>
                                    </w:p>
                                  </w:txbxContent>
                                </v:textbox>
                              </v:shape>
                              <v:shape id="文本框 131" o:spid="_x0000_s1026" o:spt="202" type="#_x0000_t202" style="position:absolute;left:9400;top:1102810;height:419;width:1064;" fillcolor="#FFFFFF" filled="t" stroked="f" coordsize="21600,21600" o:gfxdata="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qiIWG5AAAA3A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7625B227">
                                      <w:pPr>
                                        <w:rPr>
                                          <w:rFonts w:hint="default"/>
                                          <w:lang w:val="en-US" w:eastAsia="zh-CN"/>
                                        </w:rPr>
                                      </w:pPr>
                                      <w:r>
                                        <w:rPr>
                                          <w:rFonts w:hint="eastAsia" w:cs="Times New Roman"/>
                                          <w:color w:val="000000"/>
                                          <w:kern w:val="0"/>
                                          <w:sz w:val="21"/>
                                          <w:szCs w:val="21"/>
                                          <w:lang w:val="en-US" w:eastAsia="zh-CN"/>
                                        </w:rPr>
                                        <w:t>280.32</w:t>
                                      </w:r>
                                    </w:p>
                                  </w:txbxContent>
                                </v:textbox>
                              </v:shape>
                            </v:group>
                          </v:group>
                        </v:group>
                        <v:shape id="肘形连接符 202" o:spid="_x0000_s1026" o:spt="34" type="#_x0000_t34" style="position:absolute;left:10019;top:1035340;height:1;width:849;" filled="f" stroked="t" coordsize="21600,21600" o:gfxdata="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HHpkL4A&#10;AADcAAAADwAAAAAAAAABACAAAAAiAAAAZHJzL2Rvd25yZXYueG1sUEsBAhQAFAAAAAgAh07iQDMv&#10;BZ47AAAAOQAAABAAAAAAAAAAAQAgAAAADQEAAGRycy9zaGFwZXhtbC54bWxQSwUGAAAAAAYABgBb&#10;AQAAtwMAAAAA&#10;" adj="10813">
                          <v:fill on="f" focussize="0,0"/>
                          <v:stroke weight="0.5pt" color="#000000 [3204]" miterlimit="8" joinstyle="miter" endarrow="block" endarrowwidth="narrow"/>
                          <v:imagedata o:title=""/>
                          <o:lock v:ext="edit" aspectratio="f"/>
                        </v:shape>
                      </v:group>
                      <v:shape id="文本框 90" o:spid="_x0000_s1026" o:spt="202" type="#_x0000_t202" style="position:absolute;left:10092;top:1034826;height:426;width:970;" fillcolor="#FFFFFF" filled="t" stroked="f" coordsize="21600,21600" o:gfxdata="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SL8i8AAAA&#10;3A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671B74CA">
                              <w:pPr>
                                <w:rPr>
                                  <w:rFonts w:hint="default" w:ascii="Times New Roman" w:hAnsi="Times New Roman" w:eastAsia="宋体" w:cs="Times New Roman"/>
                                  <w:lang w:val="en-US" w:eastAsia="zh-CN"/>
                                </w:rPr>
                              </w:pPr>
                              <w:r>
                                <w:rPr>
                                  <w:rFonts w:hint="eastAsia" w:cs="Times New Roman"/>
                                  <w:color w:val="auto"/>
                                  <w:kern w:val="0"/>
                                  <w:sz w:val="21"/>
                                  <w:szCs w:val="21"/>
                                  <w:lang w:val="en-US" w:eastAsia="zh-CN"/>
                                </w:rPr>
                                <w:t>280.32</w:t>
                              </w:r>
                            </w:p>
                          </w:txbxContent>
                        </v:textbox>
                      </v:shape>
                    </v:group>
                    <v:group id="组合 300" o:spid="_x0000_s1026" o:spt="203" style="position:absolute;left:7155;top:21776;height:2488;width:3683;" coordorigin="8800,1647989" coordsize="3683,2488" o:gfxdata="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7Mkv1vwAAANsAAAAPAAAAAAAAAAEAIAAAACIAAABkcnMvZG93bnJldi54&#10;bWxQSwECFAAUAAAACACHTuJAMy8FnjsAAAA5AAAAFQAAAAAAAAABACAAAAAOAQAAZHJzL2dyb3Vw&#10;c2hhcGV4bWwueG1sUEsFBgAAAAAGAAYAYAEAAMsDAAAAAA==&#10;">
                      <o:lock v:ext="edit" aspectratio="f"/>
                      <v:shape id="直接箭头连接符 86" o:spid="_x0000_s1026" o:spt="32" type="#_x0000_t32" style="position:absolute;left:8800;top:1647989;flip:y;height:244;width:349;" filled="f" stroked="t" coordsize="21600,21600" o:gfxdata="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VJm/ugAAANwA&#10;AAAPAAAAAAAAAAEAIAAAACIAAABkcnMvZG93bnJldi54bWxQSwECFAAUAAAACACHTuJAMy8FnjsA&#10;AAA5AAAAEAAAAAAAAAABACAAAAAJAQAAZHJzL3NoYXBleG1sLnhtbFBLBQYAAAAABgAGAFsBAACz&#10;AwAAAAA=&#10;">
                        <v:fill on="f" focussize="0,0"/>
                        <v:stroke weight="0pt" color="#000000 [3204]" miterlimit="8" joinstyle="miter" dashstyle="3 1" endarrow="block" endarrowwidth="narrow"/>
                        <v:imagedata o:title=""/>
                        <o:lock v:ext="edit" aspectratio="f"/>
                      </v:shape>
                      <v:shape id="文本框 85" o:spid="_x0000_s1026" o:spt="202" type="#_x0000_t202" style="position:absolute;left:11041;top:1649981;height:496;width:1442;" fillcolor="#FFFFFF" filled="t" stroked="t" coordsize="21600,21600" o:gfxdata="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M47L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6F67A606">
                              <w:pPr>
                                <w:jc w:val="center"/>
                                <w:rPr>
                                  <w:rFonts w:hint="default" w:eastAsia="宋体"/>
                                  <w:lang w:val="en-US" w:eastAsia="zh-CN"/>
                                </w:rPr>
                              </w:pPr>
                              <w:r>
                                <w:rPr>
                                  <w:rFonts w:hint="eastAsia" w:eastAsia="宋体" w:cs="Times New Roman"/>
                                  <w:kern w:val="0"/>
                                  <w:sz w:val="21"/>
                                  <w:szCs w:val="24"/>
                                  <w:lang w:val="en-US" w:eastAsia="zh-CN" w:bidi="ar-SA"/>
                                </w:rPr>
                                <w:t>防渗化粪池</w:t>
                              </w:r>
                            </w:p>
                          </w:txbxContent>
                        </v:textbox>
                      </v:shape>
                    </v:group>
                  </v:group>
                  <v:shape id="肘形连接符 201" o:spid="_x0000_s1026" o:spt="34" type="#_x0000_t34" style="position:absolute;left:12521;top:1900907;flip:y;height:6;width:1042;" filled="f" stroked="t" coordsize="21600,21600" o:gfxdata="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XoRS8AAAA&#10;3AAAAA8AAAAAAAAAAQAgAAAAIgAAAGRycy9kb3ducmV2LnhtbFBLAQIUABQAAAAIAIdO4kAzLwWe&#10;OwAAADkAAAAQAAAAAAAAAAEAIAAAAAsBAABkcnMvc2hhcGV4bWwueG1sUEsFBgAAAAAGAAYAWwEA&#10;ALUDAAAAAA==&#10;" adj="10800">
                    <v:fill on="f" focussize="0,0"/>
                    <v:stroke weight="0.5pt" color="#000000 [3204]" miterlimit="8" joinstyle="miter" endarrow="block" endarrowwidth="narrow"/>
                    <v:imagedata o:title=""/>
                    <o:lock v:ext="edit" aspectratio="f"/>
                  </v:shape>
                </v:group>
                <v:group id="组合 324" o:spid="_x0000_s1026" o:spt="203" style="position:absolute;left:7540;top:1780881;height:906;width:2954;" coordorigin="7540,1780881" coordsize="2954,906"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aspectratio="f"/>
                  <v:group id="组合 321" o:spid="_x0000_s1026" o:spt="203" style="position:absolute;left:8552;top:1780881;height:906;width:1943;" coordorigin="8807,1780161" coordsize="1943,906"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shape id="文本框 87" o:spid="_x0000_s1026" o:spt="202" type="#_x0000_t202" style="position:absolute;left:9509;top:1780161;height:401;width:1241;" fillcolor="#FFFFFF" filled="t" stroked="f" coordsize="21600,21600" o:gfxdata="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9nKcvQAA&#10;ANw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20C3E7DF">
                            <w:pPr>
                              <w:rPr>
                                <w:rFonts w:hint="default"/>
                                <w:lang w:val="en-US" w:eastAsia="zh-CN"/>
                              </w:rPr>
                            </w:pPr>
                            <w:r>
                              <w:rPr>
                                <w:rFonts w:hint="eastAsia" w:eastAsia="宋体" w:cs="Times New Roman"/>
                                <w:color w:val="auto"/>
                                <w:kern w:val="0"/>
                                <w:sz w:val="21"/>
                                <w:szCs w:val="21"/>
                                <w:lang w:val="en-US" w:eastAsia="zh-CN"/>
                              </w:rPr>
                              <w:t>118.2</w:t>
                            </w:r>
                          </w:p>
                        </w:txbxContent>
                      </v:textbox>
                    </v:shape>
                    <v:shape id="文本框 85" o:spid="_x0000_s1026" o:spt="202" type="#_x0000_t202" style="position:absolute;left:8807;top:1780600;height:467;width:1645;" fillcolor="#FFFFFF" filled="t" stroked="t" coordsize="21600,21600" o:gfxdata="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GqCYtwAAANw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2FAFCE28">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洒水降尘用水</w:t>
                            </w:r>
                          </w:p>
                          <w:p w14:paraId="08427816">
                            <w:pPr>
                              <w:rPr>
                                <w:rFonts w:hint="default"/>
                                <w:lang w:val="en-US" w:eastAsia="zh-CN"/>
                              </w:rPr>
                            </w:pPr>
                          </w:p>
                        </w:txbxContent>
                      </v:textbox>
                    </v:shape>
                    <v:shape id="直接箭头连接符 86" o:spid="_x0000_s1026" o:spt="32" type="#_x0000_t32" style="position:absolute;left:9078;top:1780333;flip:y;height:244;width:349;" filled="f" stroked="t" coordsize="21600,21600" o:gfxdata="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29Acu8AAAA&#10;3AAAAA8AAAAAAAAAAQAgAAAAIgAAAGRycy9kb3ducmV2LnhtbFBLAQIUABQAAAAIAIdO4kAzLwWe&#10;OwAAADkAAAAQAAAAAAAAAAEAIAAAAAsBAABkcnMvc2hhcGV4bWwueG1sUEsFBgAAAAAGAAYAWwEA&#10;ALUDAAAAAA==&#10;">
                      <v:fill on="f" focussize="0,0"/>
                      <v:stroke weight="0pt" color="#000000 [3204]" miterlimit="8" joinstyle="miter" dashstyle="3 1" endarrow="block" endarrowwidth="narrow"/>
                      <v:imagedata o:title=""/>
                      <o:lock v:ext="edit" aspectratio="f"/>
                    </v:shape>
                  </v:group>
                  <v:shape id="直接箭头连接符 81" o:spid="_x0000_s1026" o:spt="32" type="#_x0000_t32" style="position:absolute;left:7540;top:1781582;height:0;width:1006;" filled="f" stroked="t" coordsize="21600,21600" o:gfxdata="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SiQxugAAANwA&#10;AAAPAAAAAAAAAAEAIAAAACIAAABkcnMvZG93bnJldi54bWxQSwECFAAUAAAACACHTuJAMy8FnjsA&#10;AAA5AAAAEAAAAAAAAAABACAAAAAJAQAAZHJzL3NoYXBleG1sLnhtbFBLBQYAAAAABgAGAFsBAACz&#10;AwAAAAA=&#10;">
                    <v:fill on="f" focussize="0,0"/>
                    <v:stroke weight="0.5pt" color="#000000 [3204]" miterlimit="8" joinstyle="miter" endarrow="block" endarrowwidth="narrow"/>
                    <v:imagedata o:title=""/>
                    <o:lock v:ext="edit" aspectratio="f"/>
                  </v:shape>
                  <v:shape id="文本框 127" o:spid="_x0000_s1026" o:spt="202" type="#_x0000_t202" style="position:absolute;left:7599;top:1781080;height:401;width:971;" fillcolor="#FFFFFF" filled="t" stroked="f" coordsize="21600,21600" o:gfxdata="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u3iZvQAA&#10;ANw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0BAFF338">
                          <w:pPr>
                            <w:rPr>
                              <w:rFonts w:hint="default"/>
                              <w:lang w:val="en-US" w:eastAsia="zh-CN"/>
                            </w:rPr>
                          </w:pPr>
                          <w:r>
                            <w:rPr>
                              <w:rFonts w:hint="eastAsia" w:eastAsia="宋体" w:cs="Times New Roman"/>
                              <w:color w:val="auto"/>
                              <w:kern w:val="0"/>
                              <w:sz w:val="21"/>
                              <w:szCs w:val="21"/>
                              <w:lang w:val="en-US" w:eastAsia="zh-CN"/>
                            </w:rPr>
                            <w:t>118.2</w:t>
                          </w:r>
                        </w:p>
                      </w:txbxContent>
                    </v:textbox>
                  </v:shape>
                </v:group>
              </v:group>
            </w:pict>
          </mc:Fallback>
        </mc:AlternateContent>
      </w:r>
    </w:p>
    <w:p w14:paraId="329434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rPr>
      </w:pPr>
    </w:p>
    <w:p w14:paraId="5A4E1A8E">
      <w:pPr>
        <w:widowControl/>
        <w:spacing w:after="200" w:line="240" w:lineRule="auto"/>
        <w:jc w:val="center"/>
        <w:rPr>
          <w:rFonts w:hint="default" w:ascii="Times New Roman" w:hAnsi="Times New Roman" w:eastAsia="宋体" w:cs="Times New Roman"/>
          <w:b/>
          <w:bCs/>
          <w:color w:val="000000"/>
          <w:kern w:val="2"/>
          <w:sz w:val="24"/>
          <w:szCs w:val="24"/>
          <w:lang w:val="en-US" w:eastAsia="en-US" w:bidi="en-US"/>
        </w:rPr>
      </w:pPr>
    </w:p>
    <w:p w14:paraId="41BCE017">
      <w:pPr>
        <w:widowControl w:val="0"/>
        <w:numPr>
          <w:ilvl w:val="0"/>
          <w:numId w:val="0"/>
        </w:numPr>
        <w:spacing w:line="320" w:lineRule="exact"/>
        <w:jc w:val="both"/>
        <w:rPr>
          <w:rFonts w:hint="default" w:ascii="Times New Roman" w:hAnsi="Times New Roman" w:eastAsia="宋体" w:cs="Times New Roman"/>
          <w:b/>
          <w:bCs/>
          <w:color w:val="000000"/>
          <w:kern w:val="2"/>
          <w:sz w:val="24"/>
          <w:szCs w:val="24"/>
          <w:lang w:val="en-US" w:eastAsia="zh-CN" w:bidi="ar-SA"/>
        </w:rPr>
      </w:pPr>
    </w:p>
    <w:p w14:paraId="2117886A">
      <w:pPr>
        <w:widowControl w:val="0"/>
        <w:numPr>
          <w:ilvl w:val="0"/>
          <w:numId w:val="0"/>
        </w:numPr>
        <w:spacing w:line="320" w:lineRule="exact"/>
        <w:jc w:val="both"/>
        <w:rPr>
          <w:rFonts w:hint="default" w:ascii="Times New Roman" w:hAnsi="Times New Roman" w:eastAsia="宋体" w:cs="Times New Roman"/>
          <w:b/>
          <w:bCs/>
          <w:color w:val="000000"/>
          <w:kern w:val="2"/>
          <w:sz w:val="24"/>
          <w:szCs w:val="24"/>
          <w:lang w:val="en-US" w:eastAsia="zh-CN" w:bidi="ar-SA"/>
        </w:rPr>
      </w:pPr>
    </w:p>
    <w:p w14:paraId="4B159A3D">
      <w:pPr>
        <w:widowControl w:val="0"/>
        <w:numPr>
          <w:ilvl w:val="0"/>
          <w:numId w:val="0"/>
        </w:numPr>
        <w:spacing w:line="320" w:lineRule="exact"/>
        <w:jc w:val="both"/>
        <w:rPr>
          <w:rFonts w:hint="default" w:ascii="Times New Roman" w:hAnsi="Times New Roman" w:eastAsia="宋体" w:cs="Times New Roman"/>
          <w:b/>
          <w:bCs/>
          <w:color w:val="000000"/>
          <w:kern w:val="2"/>
          <w:sz w:val="24"/>
          <w:szCs w:val="24"/>
          <w:lang w:val="en-US" w:eastAsia="zh-CN" w:bidi="ar-SA"/>
        </w:rPr>
      </w:pPr>
    </w:p>
    <w:p w14:paraId="3326FEE7">
      <w:pPr>
        <w:widowControl w:val="0"/>
        <w:numPr>
          <w:ilvl w:val="0"/>
          <w:numId w:val="0"/>
        </w:numPr>
        <w:spacing w:line="320" w:lineRule="exact"/>
        <w:jc w:val="both"/>
        <w:rPr>
          <w:rFonts w:hint="default" w:ascii="Times New Roman" w:hAnsi="Times New Roman" w:eastAsia="宋体" w:cs="Times New Roman"/>
          <w:b/>
          <w:bCs/>
          <w:color w:val="000000"/>
          <w:kern w:val="2"/>
          <w:sz w:val="24"/>
          <w:szCs w:val="24"/>
          <w:lang w:val="en-US" w:eastAsia="zh-CN" w:bidi="ar-SA"/>
        </w:rPr>
      </w:pPr>
    </w:p>
    <w:p w14:paraId="2FFE3C0E">
      <w:pPr>
        <w:widowControl w:val="0"/>
        <w:numPr>
          <w:ilvl w:val="0"/>
          <w:numId w:val="0"/>
        </w:numPr>
        <w:spacing w:line="320" w:lineRule="exact"/>
        <w:jc w:val="both"/>
        <w:rPr>
          <w:rFonts w:hint="default" w:ascii="Times New Roman" w:hAnsi="Times New Roman" w:eastAsia="宋体" w:cs="Times New Roman"/>
          <w:b/>
          <w:bCs/>
          <w:color w:val="000000"/>
          <w:kern w:val="2"/>
          <w:sz w:val="24"/>
          <w:szCs w:val="24"/>
          <w:lang w:val="en-US" w:eastAsia="zh-CN" w:bidi="ar-SA"/>
        </w:rPr>
      </w:pPr>
    </w:p>
    <w:p w14:paraId="30AB8F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2"/>
          <w:sz w:val="24"/>
          <w:szCs w:val="24"/>
        </w:rPr>
      </w:pPr>
    </w:p>
    <w:p w14:paraId="23F23D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rPr>
      </w:pPr>
    </w:p>
    <w:p w14:paraId="027B81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rPr>
      </w:pPr>
    </w:p>
    <w:p w14:paraId="3A536E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rPr>
      </w:pPr>
    </w:p>
    <w:p w14:paraId="74DA32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2"/>
          <w:sz w:val="24"/>
          <w:szCs w:val="24"/>
        </w:rPr>
      </w:pPr>
    </w:p>
    <w:p w14:paraId="3DF070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rPr>
      </w:pPr>
      <w:r>
        <w:rPr>
          <w:rFonts w:hint="default" w:ascii="Times New Roman" w:hAnsi="Times New Roman" w:eastAsia="宋体" w:cs="Times New Roman"/>
          <w:b/>
          <w:bCs/>
          <w:color w:val="000000"/>
          <w:kern w:val="2"/>
          <w:sz w:val="24"/>
          <w:szCs w:val="24"/>
        </w:rPr>
        <w:t>图</w:t>
      </w:r>
      <w:r>
        <w:rPr>
          <w:rFonts w:hint="default" w:ascii="Times New Roman" w:hAnsi="Times New Roman" w:eastAsia="宋体" w:cs="Times New Roman"/>
          <w:b/>
          <w:bCs/>
          <w:color w:val="000000"/>
          <w:kern w:val="2"/>
          <w:sz w:val="24"/>
          <w:szCs w:val="24"/>
          <w:lang w:val="en-US" w:eastAsia="zh-CN"/>
        </w:rPr>
        <w:t>3</w:t>
      </w:r>
      <w:r>
        <w:rPr>
          <w:rFonts w:hint="default" w:ascii="Times New Roman" w:hAnsi="Times New Roman" w:eastAsia="宋体" w:cs="Times New Roman"/>
          <w:b/>
          <w:bCs/>
          <w:color w:val="000000"/>
          <w:kern w:val="2"/>
          <w:sz w:val="24"/>
          <w:szCs w:val="24"/>
        </w:rPr>
        <w:t>.</w:t>
      </w:r>
      <w:r>
        <w:rPr>
          <w:rFonts w:hint="eastAsia" w:cs="Times New Roman"/>
          <w:b/>
          <w:bCs/>
          <w:color w:val="000000"/>
          <w:kern w:val="2"/>
          <w:sz w:val="24"/>
          <w:szCs w:val="24"/>
          <w:lang w:val="en-US" w:eastAsia="zh-CN"/>
        </w:rPr>
        <w:t>3-4</w:t>
      </w:r>
      <w:r>
        <w:rPr>
          <w:rFonts w:hint="default" w:ascii="Times New Roman" w:hAnsi="Times New Roman" w:eastAsia="宋体" w:cs="Times New Roman"/>
          <w:b/>
          <w:bCs/>
          <w:color w:val="000000"/>
          <w:kern w:val="2"/>
          <w:sz w:val="24"/>
          <w:szCs w:val="24"/>
          <w:lang w:eastAsia="zh-CN"/>
        </w:rPr>
        <w:t>水</w:t>
      </w:r>
      <w:r>
        <w:rPr>
          <w:rFonts w:hint="default" w:ascii="Times New Roman" w:hAnsi="Times New Roman" w:eastAsia="宋体" w:cs="Times New Roman"/>
          <w:b/>
          <w:bCs/>
          <w:color w:val="000000"/>
          <w:kern w:val="2"/>
          <w:sz w:val="24"/>
          <w:szCs w:val="24"/>
        </w:rPr>
        <w:t>平衡图单位</w:t>
      </w:r>
      <w:r>
        <w:rPr>
          <w:rFonts w:hint="eastAsia" w:ascii="Times New Roman" w:hAnsi="Times New Roman" w:eastAsia="宋体" w:cs="Times New Roman"/>
          <w:b/>
          <w:bCs/>
          <w:color w:val="000000"/>
          <w:kern w:val="2"/>
          <w:sz w:val="24"/>
          <w:szCs w:val="24"/>
          <w:lang w:val="en-US" w:eastAsia="zh-CN"/>
        </w:rPr>
        <w:t xml:space="preserve">  </w:t>
      </w:r>
      <w:r>
        <w:rPr>
          <w:rFonts w:hint="default" w:ascii="Times New Roman" w:hAnsi="Times New Roman" w:eastAsia="宋体" w:cs="Times New Roman"/>
          <w:b/>
          <w:bCs/>
          <w:color w:val="000000"/>
          <w:kern w:val="2"/>
          <w:sz w:val="24"/>
          <w:szCs w:val="24"/>
          <w:lang w:val="en-US" w:eastAsia="zh-CN"/>
        </w:rPr>
        <w:t>m</w:t>
      </w:r>
      <w:r>
        <w:rPr>
          <w:rFonts w:hint="default" w:ascii="Times New Roman" w:hAnsi="Times New Roman" w:eastAsia="宋体" w:cs="Times New Roman"/>
          <w:b/>
          <w:bCs/>
          <w:color w:val="000000"/>
          <w:kern w:val="2"/>
          <w:sz w:val="24"/>
          <w:szCs w:val="24"/>
          <w:vertAlign w:val="superscript"/>
          <w:lang w:val="en-US" w:eastAsia="zh-CN"/>
        </w:rPr>
        <w:t>3</w:t>
      </w:r>
      <w:r>
        <w:rPr>
          <w:rFonts w:hint="default" w:ascii="Times New Roman" w:hAnsi="Times New Roman" w:eastAsia="宋体" w:cs="Times New Roman"/>
          <w:b/>
          <w:bCs/>
          <w:color w:val="000000"/>
          <w:kern w:val="2"/>
          <w:sz w:val="24"/>
          <w:szCs w:val="24"/>
        </w:rPr>
        <w:t>/a</w:t>
      </w:r>
    </w:p>
    <w:p w14:paraId="2EBDC1C9">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color w:val="000000"/>
          <w:kern w:val="2"/>
          <w:sz w:val="24"/>
          <w:szCs w:val="24"/>
          <w:lang w:val="en-US" w:eastAsia="zh-CN" w:bidi="ar-SA"/>
        </w:rPr>
        <w:t>3.</w:t>
      </w:r>
      <w:r>
        <w:rPr>
          <w:rFonts w:hint="eastAsia" w:cs="Times New Roman"/>
          <w:b/>
          <w:color w:val="000000"/>
          <w:kern w:val="2"/>
          <w:sz w:val="24"/>
          <w:szCs w:val="24"/>
          <w:lang w:val="en-US" w:eastAsia="zh-CN" w:bidi="ar-SA"/>
        </w:rPr>
        <w:t>3</w:t>
      </w:r>
      <w:r>
        <w:rPr>
          <w:rFonts w:hint="default" w:ascii="Times New Roman" w:hAnsi="Times New Roman" w:eastAsia="宋体" w:cs="Times New Roman"/>
          <w:b/>
          <w:color w:val="000000"/>
          <w:kern w:val="2"/>
          <w:sz w:val="24"/>
          <w:szCs w:val="24"/>
          <w:lang w:val="en-US" w:eastAsia="zh-CN" w:bidi="ar-SA"/>
        </w:rPr>
        <w:t>.</w:t>
      </w:r>
      <w:r>
        <w:rPr>
          <w:rFonts w:hint="eastAsia" w:cs="Times New Roman"/>
          <w:b/>
          <w:color w:val="000000"/>
          <w:kern w:val="2"/>
          <w:sz w:val="24"/>
          <w:szCs w:val="24"/>
          <w:lang w:val="en-US" w:eastAsia="zh-CN" w:bidi="ar-SA"/>
        </w:rPr>
        <w:t>6</w:t>
      </w:r>
      <w:r>
        <w:rPr>
          <w:rFonts w:hint="default" w:ascii="Times New Roman" w:hAnsi="Times New Roman" w:eastAsia="宋体" w:cs="Times New Roman"/>
          <w:b/>
          <w:color w:val="000000"/>
          <w:kern w:val="2"/>
          <w:sz w:val="24"/>
          <w:szCs w:val="24"/>
          <w:lang w:val="en-US" w:eastAsia="zh-CN" w:bidi="ar-SA"/>
        </w:rPr>
        <w:t>.2物料平衡分析</w:t>
      </w:r>
    </w:p>
    <w:p w14:paraId="2FC8A327">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default" w:ascii="Times New Roman" w:hAnsi="Times New Roman" w:eastAsia="宋体" w:cs="Times New Roman"/>
          <w:kern w:val="2"/>
          <w:sz w:val="24"/>
          <w:szCs w:val="24"/>
        </w:rPr>
      </w:pPr>
      <w:bookmarkStart w:id="330" w:name="_Toc472451896"/>
      <w:bookmarkStart w:id="331" w:name="_Toc423"/>
      <w:bookmarkStart w:id="332" w:name="_Toc337673465"/>
      <w:bookmarkStart w:id="333" w:name="_Toc329682896"/>
      <w:r>
        <w:rPr>
          <w:rFonts w:hint="default" w:ascii="Times New Roman" w:hAnsi="Times New Roman" w:eastAsia="宋体" w:cs="Times New Roman"/>
          <w:kern w:val="2"/>
          <w:sz w:val="24"/>
          <w:szCs w:val="24"/>
        </w:rPr>
        <w:t>根据养殖场畜群结构，以及育肥</w:t>
      </w:r>
      <w:r>
        <w:rPr>
          <w:rFonts w:hint="eastAsia" w:eastAsia="宋体" w:cs="Times New Roman"/>
          <w:kern w:val="2"/>
          <w:sz w:val="24"/>
          <w:szCs w:val="24"/>
          <w:lang w:val="en-US" w:eastAsia="zh-CN"/>
        </w:rPr>
        <w:t>牛</w:t>
      </w:r>
      <w:r>
        <w:rPr>
          <w:rFonts w:hint="default" w:ascii="Times New Roman" w:hAnsi="Times New Roman" w:eastAsia="宋体" w:cs="Times New Roman"/>
          <w:kern w:val="2"/>
          <w:sz w:val="24"/>
          <w:szCs w:val="24"/>
        </w:rPr>
        <w:t>各生产阶段所需饲料量计算，本项目需饲料总量约为</w:t>
      </w:r>
      <w:r>
        <w:rPr>
          <w:rFonts w:hint="eastAsia" w:cs="Times New Roman"/>
          <w:kern w:val="2"/>
          <w:sz w:val="24"/>
          <w:szCs w:val="24"/>
          <w:lang w:val="en-US" w:eastAsia="zh-CN"/>
        </w:rPr>
        <w:t>21900</w:t>
      </w:r>
      <w:r>
        <w:rPr>
          <w:rFonts w:hint="default" w:ascii="Times New Roman" w:hAnsi="Times New Roman" w:eastAsia="宋体" w:cs="Times New Roman"/>
          <w:kern w:val="2"/>
          <w:sz w:val="24"/>
          <w:szCs w:val="24"/>
        </w:rPr>
        <w:t>t/a，饮水总量为</w:t>
      </w:r>
      <w:r>
        <w:rPr>
          <w:rFonts w:hint="eastAsia" w:cs="Times New Roman"/>
          <w:kern w:val="2"/>
          <w:sz w:val="24"/>
          <w:szCs w:val="24"/>
          <w:highlight w:val="none"/>
          <w:lang w:val="en-US" w:eastAsia="zh-CN"/>
        </w:rPr>
        <w:t>43800</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/a。本项目</w:t>
      </w:r>
      <w:r>
        <w:rPr>
          <w:rFonts w:hint="default" w:ascii="Times New Roman" w:hAnsi="Times New Roman" w:eastAsia="宋体" w:cs="Times New Roman"/>
          <w:kern w:val="2"/>
          <w:sz w:val="24"/>
          <w:szCs w:val="24"/>
          <w:lang w:eastAsia="zh-CN"/>
        </w:rPr>
        <w:t>物料平衡</w:t>
      </w:r>
      <w:r>
        <w:rPr>
          <w:rFonts w:hint="default" w:ascii="Times New Roman" w:hAnsi="Times New Roman" w:eastAsia="宋体" w:cs="Times New Roman"/>
          <w:kern w:val="2"/>
          <w:sz w:val="24"/>
          <w:szCs w:val="24"/>
        </w:rPr>
        <w:t>情况见表</w:t>
      </w:r>
      <w:r>
        <w:rPr>
          <w:rFonts w:hint="default" w:ascii="Times New Roman" w:hAnsi="Times New Roman" w:eastAsia="宋体" w:cs="Times New Roman"/>
          <w:kern w:val="2"/>
          <w:sz w:val="24"/>
          <w:szCs w:val="24"/>
          <w:lang w:val="en-US" w:eastAsia="zh-CN"/>
        </w:rPr>
        <w:t>3</w:t>
      </w:r>
      <w:r>
        <w:rPr>
          <w:rFonts w:hint="default" w:ascii="Times New Roman" w:hAnsi="Times New Roman" w:eastAsia="宋体" w:cs="Times New Roman"/>
          <w:kern w:val="2"/>
          <w:sz w:val="24"/>
          <w:szCs w:val="24"/>
        </w:rPr>
        <w:t>.</w:t>
      </w:r>
      <w:r>
        <w:rPr>
          <w:rFonts w:hint="eastAsia" w:cs="Times New Roman"/>
          <w:kern w:val="2"/>
          <w:sz w:val="24"/>
          <w:szCs w:val="24"/>
          <w:lang w:val="en-US" w:eastAsia="zh-CN"/>
        </w:rPr>
        <w:t>3</w:t>
      </w:r>
      <w:r>
        <w:rPr>
          <w:rFonts w:hint="default" w:ascii="Times New Roman" w:hAnsi="Times New Roman" w:eastAsia="宋体" w:cs="Times New Roman"/>
          <w:kern w:val="2"/>
          <w:sz w:val="24"/>
          <w:szCs w:val="24"/>
          <w:lang w:val="en-US" w:eastAsia="zh-CN"/>
        </w:rPr>
        <w:t>-4，图3.</w:t>
      </w:r>
      <w:r>
        <w:rPr>
          <w:rFonts w:hint="eastAsia" w:cs="Times New Roman"/>
          <w:kern w:val="2"/>
          <w:sz w:val="24"/>
          <w:szCs w:val="24"/>
          <w:lang w:val="en-US" w:eastAsia="zh-CN"/>
        </w:rPr>
        <w:t>3</w:t>
      </w:r>
      <w:r>
        <w:rPr>
          <w:rFonts w:hint="default" w:ascii="Times New Roman" w:hAnsi="Times New Roman" w:eastAsia="宋体" w:cs="Times New Roman"/>
          <w:kern w:val="2"/>
          <w:sz w:val="24"/>
          <w:szCs w:val="24"/>
          <w:lang w:val="en-US" w:eastAsia="zh-CN"/>
        </w:rPr>
        <w:t>-</w:t>
      </w:r>
      <w:r>
        <w:rPr>
          <w:rFonts w:hint="eastAsia" w:cs="Times New Roman"/>
          <w:kern w:val="2"/>
          <w:sz w:val="24"/>
          <w:szCs w:val="24"/>
          <w:lang w:val="en-US" w:eastAsia="zh-CN"/>
        </w:rPr>
        <w:t>5</w:t>
      </w:r>
      <w:r>
        <w:rPr>
          <w:rFonts w:hint="default" w:ascii="Times New Roman" w:hAnsi="Times New Roman" w:eastAsia="宋体" w:cs="Times New Roman"/>
          <w:kern w:val="2"/>
          <w:sz w:val="24"/>
          <w:szCs w:val="24"/>
        </w:rPr>
        <w:t>。</w:t>
      </w:r>
    </w:p>
    <w:p w14:paraId="771306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表3.</w:t>
      </w:r>
      <w:r>
        <w:rPr>
          <w:rFonts w:hint="eastAsia" w:cs="Times New Roman"/>
          <w:b/>
          <w:bCs/>
          <w:kern w:val="2"/>
          <w:sz w:val="24"/>
          <w:szCs w:val="24"/>
          <w:lang w:val="en-US" w:eastAsia="zh-CN" w:bidi="ar-SA"/>
        </w:rPr>
        <w:t>3</w:t>
      </w:r>
      <w:r>
        <w:rPr>
          <w:rFonts w:hint="default" w:ascii="Times New Roman" w:hAnsi="Times New Roman" w:eastAsia="宋体" w:cs="Times New Roman"/>
          <w:b/>
          <w:bCs/>
          <w:kern w:val="2"/>
          <w:sz w:val="24"/>
          <w:szCs w:val="24"/>
          <w:lang w:val="en-US" w:eastAsia="zh-CN" w:bidi="ar-SA"/>
        </w:rPr>
        <w:t>-4</w:t>
      </w:r>
      <w:r>
        <w:rPr>
          <w:rFonts w:hint="eastAsia" w:eastAsia="宋体" w:cs="Times New Roman"/>
          <w:b/>
          <w:bCs/>
          <w:kern w:val="2"/>
          <w:sz w:val="24"/>
          <w:szCs w:val="24"/>
          <w:lang w:val="en-US" w:eastAsia="zh-CN" w:bidi="ar-SA"/>
        </w:rPr>
        <w:t>养殖区</w:t>
      </w:r>
      <w:r>
        <w:rPr>
          <w:rFonts w:hint="default" w:ascii="Times New Roman" w:hAnsi="Times New Roman" w:eastAsia="宋体" w:cs="Times New Roman"/>
          <w:b/>
          <w:bCs/>
          <w:kern w:val="2"/>
          <w:sz w:val="24"/>
          <w:szCs w:val="24"/>
          <w:lang w:val="en-US" w:eastAsia="zh-CN" w:bidi="ar-SA"/>
        </w:rPr>
        <w:t>物料平衡表</w:t>
      </w:r>
      <w:r>
        <w:rPr>
          <w:rFonts w:hint="eastAsia" w:cs="Times New Roman"/>
          <w:b/>
          <w:bCs/>
          <w:kern w:val="2"/>
          <w:sz w:val="24"/>
          <w:szCs w:val="24"/>
          <w:lang w:val="en-US" w:eastAsia="zh-CN" w:bidi="ar-SA"/>
        </w:rPr>
        <w:t>（三废处理前）</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2194"/>
        <w:gridCol w:w="1510"/>
        <w:gridCol w:w="2502"/>
      </w:tblGrid>
      <w:tr w14:paraId="53AF3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92" w:type="dxa"/>
            <w:gridSpan w:val="2"/>
            <w:tcBorders>
              <w:tl2br w:val="nil"/>
              <w:tr2bl w:val="nil"/>
            </w:tcBorders>
            <w:noWrap w:val="0"/>
            <w:vAlign w:val="center"/>
          </w:tcPr>
          <w:p w14:paraId="04D4AF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2"/>
                <w:sz w:val="21"/>
                <w:szCs w:val="21"/>
              </w:rPr>
            </w:pPr>
            <w:r>
              <w:rPr>
                <w:rFonts w:hint="eastAsia" w:eastAsia="宋体" w:cs="Times New Roman"/>
                <w:b/>
                <w:bCs/>
                <w:kern w:val="2"/>
                <w:sz w:val="21"/>
                <w:szCs w:val="21"/>
                <w:lang w:val="en-US" w:eastAsia="zh-CN"/>
              </w:rPr>
              <w:t>牛</w:t>
            </w:r>
            <w:r>
              <w:rPr>
                <w:rFonts w:hint="default" w:ascii="Times New Roman" w:hAnsi="Times New Roman" w:eastAsia="宋体" w:cs="Times New Roman"/>
                <w:b/>
                <w:bCs/>
                <w:kern w:val="2"/>
                <w:sz w:val="21"/>
                <w:szCs w:val="21"/>
              </w:rPr>
              <w:t>食（饮）用</w:t>
            </w:r>
          </w:p>
        </w:tc>
        <w:tc>
          <w:tcPr>
            <w:tcW w:w="4012" w:type="dxa"/>
            <w:gridSpan w:val="2"/>
            <w:tcBorders>
              <w:tl2br w:val="nil"/>
              <w:tr2bl w:val="nil"/>
            </w:tcBorders>
            <w:noWrap w:val="0"/>
            <w:vAlign w:val="center"/>
          </w:tcPr>
          <w:p w14:paraId="1F1125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2"/>
                <w:sz w:val="21"/>
                <w:szCs w:val="21"/>
              </w:rPr>
            </w:pPr>
            <w:r>
              <w:rPr>
                <w:rFonts w:hint="eastAsia" w:eastAsia="宋体" w:cs="Times New Roman"/>
                <w:b/>
                <w:bCs/>
                <w:kern w:val="2"/>
                <w:sz w:val="21"/>
                <w:szCs w:val="21"/>
                <w:lang w:val="en-US" w:eastAsia="zh-CN"/>
              </w:rPr>
              <w:t>牛</w:t>
            </w:r>
            <w:r>
              <w:rPr>
                <w:rFonts w:hint="default" w:ascii="Times New Roman" w:hAnsi="Times New Roman" w:eastAsia="宋体" w:cs="Times New Roman"/>
                <w:b/>
                <w:bCs/>
                <w:kern w:val="2"/>
                <w:sz w:val="21"/>
                <w:szCs w:val="21"/>
              </w:rPr>
              <w:t>吸收或外排</w:t>
            </w:r>
          </w:p>
        </w:tc>
      </w:tr>
      <w:tr w14:paraId="587BC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298" w:type="dxa"/>
            <w:tcBorders>
              <w:tl2br w:val="nil"/>
              <w:tr2bl w:val="nil"/>
            </w:tcBorders>
            <w:noWrap w:val="0"/>
            <w:vAlign w:val="center"/>
          </w:tcPr>
          <w:p w14:paraId="409756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项目</w:t>
            </w:r>
          </w:p>
        </w:tc>
        <w:tc>
          <w:tcPr>
            <w:tcW w:w="2194" w:type="dxa"/>
            <w:tcBorders>
              <w:tl2br w:val="nil"/>
              <w:tr2bl w:val="nil"/>
            </w:tcBorders>
            <w:noWrap w:val="0"/>
            <w:vAlign w:val="center"/>
          </w:tcPr>
          <w:p w14:paraId="253784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2"/>
                <w:sz w:val="21"/>
                <w:szCs w:val="21"/>
                <w:lang w:eastAsia="zh-CN"/>
              </w:rPr>
            </w:pPr>
            <w:r>
              <w:rPr>
                <w:rFonts w:hint="default" w:ascii="Times New Roman" w:hAnsi="Times New Roman" w:eastAsia="宋体" w:cs="Times New Roman"/>
                <w:b/>
                <w:bCs/>
                <w:kern w:val="2"/>
                <w:sz w:val="21"/>
                <w:szCs w:val="21"/>
              </w:rPr>
              <w:t>数量</w:t>
            </w:r>
            <w:r>
              <w:rPr>
                <w:rFonts w:hint="default" w:ascii="Times New Roman" w:hAnsi="Times New Roman" w:eastAsia="宋体" w:cs="Times New Roman"/>
                <w:b/>
                <w:bCs/>
                <w:kern w:val="2"/>
                <w:sz w:val="21"/>
                <w:szCs w:val="21"/>
                <w:lang w:eastAsia="zh-CN"/>
              </w:rPr>
              <w:t>（</w:t>
            </w:r>
            <w:r>
              <w:rPr>
                <w:rFonts w:hint="default" w:ascii="Times New Roman" w:hAnsi="Times New Roman" w:eastAsia="宋体" w:cs="Times New Roman"/>
                <w:b/>
                <w:bCs/>
                <w:kern w:val="2"/>
                <w:sz w:val="21"/>
                <w:szCs w:val="21"/>
              </w:rPr>
              <w:t>t/a</w:t>
            </w:r>
            <w:r>
              <w:rPr>
                <w:rFonts w:hint="default" w:ascii="Times New Roman" w:hAnsi="Times New Roman" w:eastAsia="宋体" w:cs="Times New Roman"/>
                <w:b/>
                <w:bCs/>
                <w:kern w:val="2"/>
                <w:sz w:val="21"/>
                <w:szCs w:val="21"/>
                <w:lang w:eastAsia="zh-CN"/>
              </w:rPr>
              <w:t>）</w:t>
            </w:r>
          </w:p>
        </w:tc>
        <w:tc>
          <w:tcPr>
            <w:tcW w:w="1510" w:type="dxa"/>
            <w:tcBorders>
              <w:tl2br w:val="nil"/>
              <w:tr2bl w:val="nil"/>
            </w:tcBorders>
            <w:noWrap w:val="0"/>
            <w:vAlign w:val="center"/>
          </w:tcPr>
          <w:p w14:paraId="3A280B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项目</w:t>
            </w:r>
          </w:p>
        </w:tc>
        <w:tc>
          <w:tcPr>
            <w:tcW w:w="2502" w:type="dxa"/>
            <w:tcBorders>
              <w:tl2br w:val="nil"/>
              <w:tr2bl w:val="nil"/>
            </w:tcBorders>
            <w:noWrap w:val="0"/>
            <w:vAlign w:val="center"/>
          </w:tcPr>
          <w:p w14:paraId="5C4C2A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2"/>
                <w:sz w:val="21"/>
                <w:szCs w:val="21"/>
                <w:lang w:eastAsia="zh-CN"/>
              </w:rPr>
            </w:pPr>
            <w:r>
              <w:rPr>
                <w:rFonts w:hint="default" w:ascii="Times New Roman" w:hAnsi="Times New Roman" w:eastAsia="宋体" w:cs="Times New Roman"/>
                <w:b/>
                <w:bCs/>
                <w:kern w:val="2"/>
                <w:sz w:val="21"/>
                <w:szCs w:val="21"/>
              </w:rPr>
              <w:t>数量</w:t>
            </w:r>
            <w:r>
              <w:rPr>
                <w:rFonts w:hint="default" w:ascii="Times New Roman" w:hAnsi="Times New Roman" w:eastAsia="宋体" w:cs="Times New Roman"/>
                <w:b/>
                <w:bCs/>
                <w:kern w:val="2"/>
                <w:sz w:val="21"/>
                <w:szCs w:val="21"/>
                <w:lang w:eastAsia="zh-CN"/>
              </w:rPr>
              <w:t>（</w:t>
            </w:r>
            <w:r>
              <w:rPr>
                <w:rFonts w:hint="default" w:ascii="Times New Roman" w:hAnsi="Times New Roman" w:eastAsia="宋体" w:cs="Times New Roman"/>
                <w:b/>
                <w:bCs/>
                <w:kern w:val="2"/>
                <w:sz w:val="21"/>
                <w:szCs w:val="21"/>
              </w:rPr>
              <w:t>t/a</w:t>
            </w:r>
            <w:r>
              <w:rPr>
                <w:rFonts w:hint="default" w:ascii="Times New Roman" w:hAnsi="Times New Roman" w:eastAsia="宋体" w:cs="Times New Roman"/>
                <w:b/>
                <w:bCs/>
                <w:kern w:val="2"/>
                <w:sz w:val="21"/>
                <w:szCs w:val="21"/>
                <w:lang w:eastAsia="zh-CN"/>
              </w:rPr>
              <w:t>）</w:t>
            </w:r>
          </w:p>
        </w:tc>
      </w:tr>
      <w:tr w14:paraId="4823E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298" w:type="dxa"/>
            <w:tcBorders>
              <w:tl2br w:val="nil"/>
              <w:tr2bl w:val="nil"/>
            </w:tcBorders>
            <w:noWrap w:val="0"/>
            <w:vAlign w:val="center"/>
          </w:tcPr>
          <w:p w14:paraId="31BF56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饲料</w:t>
            </w:r>
          </w:p>
        </w:tc>
        <w:tc>
          <w:tcPr>
            <w:tcW w:w="2194" w:type="dxa"/>
            <w:tcBorders>
              <w:tl2br w:val="nil"/>
              <w:tr2bl w:val="nil"/>
            </w:tcBorders>
            <w:noWrap w:val="0"/>
            <w:vAlign w:val="center"/>
          </w:tcPr>
          <w:p w14:paraId="22E573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lang w:val="en-US" w:eastAsia="zh-CN"/>
              </w:rPr>
            </w:pPr>
            <w:r>
              <w:rPr>
                <w:rFonts w:hint="eastAsia" w:cs="Times New Roman"/>
                <w:kern w:val="2"/>
                <w:sz w:val="21"/>
                <w:szCs w:val="21"/>
                <w:lang w:val="en-US" w:eastAsia="zh-CN"/>
              </w:rPr>
              <w:t>21900</w:t>
            </w:r>
          </w:p>
        </w:tc>
        <w:tc>
          <w:tcPr>
            <w:tcW w:w="1510" w:type="dxa"/>
            <w:tcBorders>
              <w:tl2br w:val="nil"/>
              <w:tr2bl w:val="nil"/>
            </w:tcBorders>
            <w:noWrap w:val="0"/>
            <w:vAlign w:val="center"/>
          </w:tcPr>
          <w:p w14:paraId="2DA39F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rPr>
            </w:pPr>
            <w:r>
              <w:rPr>
                <w:rFonts w:hint="eastAsia" w:eastAsia="宋体" w:cs="Times New Roman"/>
                <w:kern w:val="2"/>
                <w:sz w:val="21"/>
                <w:szCs w:val="21"/>
                <w:lang w:val="en-US" w:eastAsia="zh-CN"/>
              </w:rPr>
              <w:t>牛</w:t>
            </w:r>
            <w:r>
              <w:rPr>
                <w:rFonts w:hint="default" w:ascii="Times New Roman" w:hAnsi="Times New Roman" w:eastAsia="宋体" w:cs="Times New Roman"/>
                <w:kern w:val="2"/>
                <w:sz w:val="21"/>
                <w:szCs w:val="21"/>
              </w:rPr>
              <w:t>吸收</w:t>
            </w:r>
          </w:p>
        </w:tc>
        <w:tc>
          <w:tcPr>
            <w:tcW w:w="2502" w:type="dxa"/>
            <w:tcBorders>
              <w:tl2br w:val="nil"/>
              <w:tr2bl w:val="nil"/>
            </w:tcBorders>
            <w:shd w:val="clear" w:color="auto" w:fill="auto"/>
            <w:noWrap w:val="0"/>
            <w:vAlign w:val="center"/>
          </w:tcPr>
          <w:p w14:paraId="2B8B5B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kern w:val="0"/>
                <w:sz w:val="21"/>
                <w:szCs w:val="21"/>
                <w:lang w:val="en-US" w:eastAsia="zh-CN"/>
              </w:rPr>
            </w:pPr>
            <w:r>
              <w:rPr>
                <w:rFonts w:hint="eastAsia" w:cs="Times New Roman"/>
                <w:color w:val="000000"/>
                <w:kern w:val="0"/>
                <w:sz w:val="21"/>
                <w:szCs w:val="21"/>
                <w:lang w:val="en-US" w:eastAsia="zh-CN"/>
              </w:rPr>
              <w:t>44676</w:t>
            </w:r>
          </w:p>
        </w:tc>
      </w:tr>
      <w:tr w14:paraId="5DDE6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98" w:type="dxa"/>
            <w:tcBorders>
              <w:tl2br w:val="nil"/>
              <w:tr2bl w:val="nil"/>
            </w:tcBorders>
            <w:noWrap w:val="0"/>
            <w:vAlign w:val="center"/>
          </w:tcPr>
          <w:p w14:paraId="17C1F1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新鲜水</w:t>
            </w:r>
          </w:p>
        </w:tc>
        <w:tc>
          <w:tcPr>
            <w:tcW w:w="2194" w:type="dxa"/>
            <w:tcBorders>
              <w:tl2br w:val="nil"/>
              <w:tr2bl w:val="nil"/>
            </w:tcBorders>
            <w:noWrap w:val="0"/>
            <w:vAlign w:val="center"/>
          </w:tcPr>
          <w:p w14:paraId="50630A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lang w:val="en-US" w:eastAsia="zh-CN"/>
              </w:rPr>
            </w:pPr>
            <w:r>
              <w:rPr>
                <w:rFonts w:hint="eastAsia" w:cs="Times New Roman"/>
                <w:color w:val="000000"/>
                <w:kern w:val="0"/>
                <w:sz w:val="21"/>
                <w:szCs w:val="21"/>
                <w:lang w:val="en-US" w:eastAsia="zh-CN"/>
              </w:rPr>
              <w:t>43800</w:t>
            </w:r>
          </w:p>
        </w:tc>
        <w:tc>
          <w:tcPr>
            <w:tcW w:w="1510" w:type="dxa"/>
            <w:tcBorders>
              <w:tl2br w:val="nil"/>
              <w:tr2bl w:val="nil"/>
            </w:tcBorders>
            <w:noWrap w:val="0"/>
            <w:vAlign w:val="center"/>
          </w:tcPr>
          <w:p w14:paraId="74385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rPr>
            </w:pPr>
            <w:r>
              <w:rPr>
                <w:rFonts w:hint="eastAsia" w:eastAsia="宋体" w:cs="Times New Roman"/>
                <w:kern w:val="2"/>
                <w:sz w:val="21"/>
                <w:szCs w:val="21"/>
                <w:lang w:val="en-US" w:eastAsia="zh-CN"/>
              </w:rPr>
              <w:t>牛</w:t>
            </w:r>
            <w:r>
              <w:rPr>
                <w:rFonts w:hint="default" w:ascii="Times New Roman" w:hAnsi="Times New Roman" w:eastAsia="宋体" w:cs="Times New Roman"/>
                <w:kern w:val="2"/>
                <w:sz w:val="21"/>
                <w:szCs w:val="21"/>
              </w:rPr>
              <w:t>尿</w:t>
            </w:r>
          </w:p>
        </w:tc>
        <w:tc>
          <w:tcPr>
            <w:tcW w:w="2502" w:type="dxa"/>
            <w:tcBorders>
              <w:tl2br w:val="nil"/>
              <w:tr2bl w:val="nil"/>
            </w:tcBorders>
            <w:noWrap w:val="0"/>
            <w:vAlign w:val="center"/>
          </w:tcPr>
          <w:p w14:paraId="33DABA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9110.4</w:t>
            </w:r>
          </w:p>
        </w:tc>
      </w:tr>
      <w:tr w14:paraId="47885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298" w:type="dxa"/>
            <w:tcBorders>
              <w:tl2br w:val="nil"/>
              <w:tr2bl w:val="nil"/>
            </w:tcBorders>
            <w:noWrap w:val="0"/>
            <w:vAlign w:val="center"/>
          </w:tcPr>
          <w:p w14:paraId="52D5F7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rPr>
            </w:pPr>
          </w:p>
        </w:tc>
        <w:tc>
          <w:tcPr>
            <w:tcW w:w="2194" w:type="dxa"/>
            <w:tcBorders>
              <w:tl2br w:val="nil"/>
              <w:tr2bl w:val="nil"/>
            </w:tcBorders>
            <w:noWrap w:val="0"/>
            <w:vAlign w:val="center"/>
          </w:tcPr>
          <w:p w14:paraId="53295E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rPr>
            </w:pPr>
          </w:p>
        </w:tc>
        <w:tc>
          <w:tcPr>
            <w:tcW w:w="1510" w:type="dxa"/>
            <w:tcBorders>
              <w:tl2br w:val="nil"/>
              <w:tr2bl w:val="nil"/>
            </w:tcBorders>
            <w:noWrap w:val="0"/>
            <w:vAlign w:val="center"/>
          </w:tcPr>
          <w:p w14:paraId="27A5E4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rPr>
            </w:pPr>
            <w:r>
              <w:rPr>
                <w:rFonts w:hint="eastAsia" w:eastAsia="宋体" w:cs="Times New Roman"/>
                <w:kern w:val="2"/>
                <w:sz w:val="21"/>
                <w:szCs w:val="21"/>
                <w:lang w:val="en-US" w:eastAsia="zh-CN"/>
              </w:rPr>
              <w:t>牛</w:t>
            </w:r>
            <w:r>
              <w:rPr>
                <w:rFonts w:hint="default" w:ascii="Times New Roman" w:hAnsi="Times New Roman" w:eastAsia="宋体" w:cs="Times New Roman"/>
                <w:kern w:val="2"/>
                <w:sz w:val="21"/>
                <w:szCs w:val="21"/>
              </w:rPr>
              <w:t>粪</w:t>
            </w:r>
          </w:p>
        </w:tc>
        <w:tc>
          <w:tcPr>
            <w:tcW w:w="2502" w:type="dxa"/>
            <w:tcBorders>
              <w:tl2br w:val="nil"/>
              <w:tr2bl w:val="nil"/>
            </w:tcBorders>
            <w:noWrap w:val="0"/>
            <w:vAlign w:val="center"/>
          </w:tcPr>
          <w:p w14:paraId="5B8D96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kern w:val="0"/>
                <w:sz w:val="21"/>
                <w:szCs w:val="21"/>
                <w:lang w:val="en-US" w:eastAsia="zh-CN"/>
              </w:rPr>
            </w:pPr>
            <w:r>
              <w:rPr>
                <w:rFonts w:hint="eastAsia" w:cs="Times New Roman"/>
                <w:color w:val="000000"/>
                <w:kern w:val="0"/>
                <w:sz w:val="21"/>
                <w:szCs w:val="21"/>
                <w:lang w:val="en-US" w:eastAsia="zh-CN"/>
              </w:rPr>
              <w:t>11913.6</w:t>
            </w:r>
          </w:p>
        </w:tc>
      </w:tr>
      <w:tr w14:paraId="0BD2E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298" w:type="dxa"/>
            <w:tcBorders>
              <w:tl2br w:val="nil"/>
              <w:tr2bl w:val="nil"/>
            </w:tcBorders>
            <w:noWrap w:val="0"/>
            <w:vAlign w:val="center"/>
          </w:tcPr>
          <w:p w14:paraId="1352C4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kern w:val="0"/>
                <w:sz w:val="21"/>
                <w:szCs w:val="21"/>
                <w:lang w:val="en-US" w:eastAsia="zh-CN"/>
              </w:rPr>
            </w:pPr>
            <w:r>
              <w:rPr>
                <w:rFonts w:hint="default" w:ascii="Times New Roman" w:hAnsi="Times New Roman" w:eastAsia="宋体" w:cs="Times New Roman"/>
                <w:bCs/>
                <w:kern w:val="0"/>
                <w:sz w:val="21"/>
                <w:szCs w:val="21"/>
                <w:lang w:val="en-US" w:eastAsia="zh-CN"/>
              </w:rPr>
              <w:t>总计</w:t>
            </w:r>
          </w:p>
        </w:tc>
        <w:tc>
          <w:tcPr>
            <w:tcW w:w="2194" w:type="dxa"/>
            <w:tcBorders>
              <w:tl2br w:val="nil"/>
              <w:tr2bl w:val="nil"/>
            </w:tcBorders>
            <w:shd w:val="clear" w:color="auto" w:fill="auto"/>
            <w:noWrap w:val="0"/>
            <w:vAlign w:val="center"/>
          </w:tcPr>
          <w:p w14:paraId="5B2EA9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65700</w:t>
            </w:r>
          </w:p>
        </w:tc>
        <w:tc>
          <w:tcPr>
            <w:tcW w:w="1510" w:type="dxa"/>
            <w:tcBorders>
              <w:tl2br w:val="nil"/>
              <w:tr2bl w:val="nil"/>
            </w:tcBorders>
            <w:noWrap w:val="0"/>
            <w:vAlign w:val="center"/>
          </w:tcPr>
          <w:p w14:paraId="52078E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kern w:val="0"/>
                <w:sz w:val="21"/>
                <w:szCs w:val="21"/>
                <w:lang w:val="en-US" w:eastAsia="zh-CN"/>
              </w:rPr>
            </w:pPr>
            <w:r>
              <w:rPr>
                <w:rFonts w:hint="default" w:eastAsia="宋体" w:cs="Times New Roman"/>
                <w:bCs/>
                <w:kern w:val="0"/>
                <w:sz w:val="21"/>
                <w:szCs w:val="21"/>
                <w:lang w:val="en-US" w:eastAsia="zh-CN"/>
              </w:rPr>
              <w:t>总计</w:t>
            </w:r>
          </w:p>
        </w:tc>
        <w:tc>
          <w:tcPr>
            <w:tcW w:w="2502" w:type="dxa"/>
            <w:tcBorders>
              <w:tl2br w:val="nil"/>
              <w:tr2bl w:val="nil"/>
            </w:tcBorders>
            <w:shd w:val="clear" w:color="auto" w:fill="auto"/>
            <w:noWrap w:val="0"/>
            <w:vAlign w:val="center"/>
          </w:tcPr>
          <w:p w14:paraId="1A5C82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Cs/>
                <w:kern w:val="0"/>
                <w:sz w:val="21"/>
                <w:szCs w:val="21"/>
                <w:lang w:val="en-US" w:eastAsia="zh-CN"/>
              </w:rPr>
            </w:pPr>
            <w:r>
              <w:rPr>
                <w:rFonts w:hint="eastAsia" w:ascii="Times New Roman" w:hAnsi="Times New Roman" w:eastAsia="宋体" w:cs="Times New Roman"/>
                <w:bCs/>
                <w:kern w:val="0"/>
                <w:sz w:val="21"/>
                <w:szCs w:val="21"/>
                <w:lang w:val="en-US" w:eastAsia="zh-CN"/>
              </w:rPr>
              <w:t>65700</w:t>
            </w:r>
          </w:p>
        </w:tc>
      </w:tr>
    </w:tbl>
    <w:p w14:paraId="744230E1">
      <w:pPr>
        <w:keepNext w:val="0"/>
        <w:keepLines w:val="0"/>
        <w:pageBreakBefore w:val="0"/>
        <w:wordWrap/>
        <w:topLinePunct w:val="0"/>
        <w:bidi w:val="0"/>
        <w:adjustRightInd/>
        <w:snapToGrid/>
        <w:spacing w:line="360" w:lineRule="auto"/>
        <w:jc w:val="left"/>
        <w:rPr>
          <w:rFonts w:hint="default" w:ascii="Times New Roman" w:hAnsi="Times New Roman" w:eastAsia="宋体" w:cs="Times New Roman"/>
          <w:kern w:val="2"/>
          <w:sz w:val="24"/>
          <w:szCs w:val="24"/>
          <w:lang w:eastAsia="zh-CN"/>
        </w:rPr>
      </w:pPr>
    </w:p>
    <w:p w14:paraId="08236932">
      <w:pPr>
        <w:keepNext w:val="0"/>
        <w:keepLines w:val="0"/>
        <w:pageBreakBefore w:val="0"/>
        <w:wordWrap/>
        <w:topLinePunct w:val="0"/>
        <w:bidi w:val="0"/>
        <w:adjustRightInd/>
        <w:snapToGrid/>
        <w:spacing w:line="360" w:lineRule="auto"/>
        <w:jc w:val="left"/>
        <w:rPr>
          <w:rFonts w:hint="default" w:ascii="Times New Roman" w:hAnsi="Times New Roman" w:eastAsia="宋体" w:cs="Times New Roman"/>
          <w:b/>
          <w:bCs/>
          <w:kern w:val="2"/>
          <w:sz w:val="24"/>
          <w:szCs w:val="24"/>
        </w:rPr>
      </w:pPr>
      <w:r>
        <w:rPr>
          <w:rFonts w:hint="default" w:ascii="Times New Roman" w:hAnsi="Times New Roman" w:eastAsia="宋体" w:cs="Times New Roman"/>
          <w:kern w:val="2"/>
          <w:sz w:val="24"/>
          <w:szCs w:val="24"/>
        </w:rPr>
        <mc:AlternateContent>
          <mc:Choice Requires="wpc">
            <w:drawing>
              <wp:inline distT="0" distB="0" distL="114300" distR="114300">
                <wp:extent cx="5505450" cy="1551940"/>
                <wp:effectExtent l="0" t="0" r="0" b="0"/>
                <wp:docPr id="258" name="画布 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9" name="矩形 27"/>
                        <wps:cNvSpPr/>
                        <wps:spPr>
                          <a:xfrm>
                            <a:off x="304408" y="99348"/>
                            <a:ext cx="800562" cy="297292"/>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10819FB9">
                              <w:pPr>
                                <w:spacing w:line="240" w:lineRule="auto"/>
                                <w:jc w:val="center"/>
                                <w:rPr>
                                  <w:rFonts w:hint="eastAsia" w:ascii="Times New Roman" w:hAnsi="Times New Roman" w:eastAsia="宋体" w:cs="Times New Roman"/>
                                  <w:kern w:val="2"/>
                                  <w:sz w:val="21"/>
                                  <w:szCs w:val="24"/>
                                </w:rPr>
                              </w:pPr>
                              <w:r>
                                <w:rPr>
                                  <w:rFonts w:hint="eastAsia" w:ascii="Times New Roman" w:hAnsi="Times New Roman" w:eastAsia="宋体" w:cs="Times New Roman"/>
                                  <w:kern w:val="2"/>
                                  <w:sz w:val="21"/>
                                  <w:szCs w:val="24"/>
                                </w:rPr>
                                <w:t>饲料</w:t>
                              </w:r>
                            </w:p>
                          </w:txbxContent>
                        </wps:txbx>
                        <wps:bodyPr upright="1"/>
                      </wps:wsp>
                      <wps:wsp>
                        <wps:cNvPr id="98" name="直接连接符 28"/>
                        <wps:cNvCnPr/>
                        <wps:spPr>
                          <a:xfrm>
                            <a:off x="1116907" y="242349"/>
                            <a:ext cx="575987" cy="2258"/>
                          </a:xfrm>
                          <a:prstGeom prst="line">
                            <a:avLst/>
                          </a:prstGeom>
                          <a:ln w="9525" cap="flat" cmpd="sng">
                            <a:solidFill>
                              <a:srgbClr val="000000"/>
                            </a:solidFill>
                            <a:prstDash val="solid"/>
                            <a:headEnd type="none" w="med" len="med"/>
                            <a:tailEnd type="triangle" w="med" len="med"/>
                          </a:ln>
                        </wps:spPr>
                        <wps:bodyPr upright="1"/>
                      </wps:wsp>
                      <wps:wsp>
                        <wps:cNvPr id="100" name="直接连接符 29"/>
                        <wps:cNvCnPr/>
                        <wps:spPr>
                          <a:xfrm>
                            <a:off x="3497703" y="745864"/>
                            <a:ext cx="775941" cy="10537"/>
                          </a:xfrm>
                          <a:prstGeom prst="line">
                            <a:avLst/>
                          </a:prstGeom>
                          <a:ln w="9525" cap="flat" cmpd="sng">
                            <a:solidFill>
                              <a:srgbClr val="000000"/>
                            </a:solidFill>
                            <a:prstDash val="solid"/>
                            <a:headEnd type="none" w="med" len="med"/>
                            <a:tailEnd type="triangle" w="med" len="med"/>
                          </a:ln>
                        </wps:spPr>
                        <wps:bodyPr upright="1"/>
                      </wps:wsp>
                      <wps:wsp>
                        <wps:cNvPr id="101" name="矩形 30"/>
                        <wps:cNvSpPr/>
                        <wps:spPr>
                          <a:xfrm>
                            <a:off x="2362200" y="594360"/>
                            <a:ext cx="1275715" cy="29654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5BF5152">
                              <w:pPr>
                                <w:spacing w:line="240" w:lineRule="auto"/>
                                <w:jc w:val="center"/>
                                <w:rPr>
                                  <w:rFonts w:hint="eastAsia" w:ascii="Times New Roman" w:hAnsi="Times New Roman" w:eastAsia="宋体" w:cs="Times New Roman"/>
                                  <w:kern w:val="2"/>
                                  <w:sz w:val="21"/>
                                  <w:szCs w:val="24"/>
                                  <w:lang w:eastAsia="zh-CN"/>
                                </w:rPr>
                              </w:pPr>
                              <w:r>
                                <w:rPr>
                                  <w:rFonts w:hint="eastAsia" w:eastAsia="宋体" w:cs="Times New Roman"/>
                                  <w:kern w:val="2"/>
                                  <w:sz w:val="21"/>
                                  <w:szCs w:val="24"/>
                                  <w:lang w:val="en-US" w:eastAsia="zh-CN"/>
                                </w:rPr>
                                <w:t>育肥牛</w:t>
                              </w:r>
                              <w:r>
                                <w:rPr>
                                  <w:rFonts w:hint="eastAsia" w:ascii="Times New Roman" w:hAnsi="Times New Roman" w:eastAsia="宋体" w:cs="Times New Roman"/>
                                  <w:kern w:val="2"/>
                                  <w:sz w:val="21"/>
                                  <w:szCs w:val="24"/>
                                </w:rPr>
                                <w:t>饲养</w:t>
                              </w:r>
                            </w:p>
                          </w:txbxContent>
                        </wps:txbx>
                        <wps:bodyPr upright="1"/>
                      </wps:wsp>
                      <wps:wsp>
                        <wps:cNvPr id="102" name="文本框 31"/>
                        <wps:cNvSpPr txBox="1"/>
                        <wps:spPr>
                          <a:xfrm>
                            <a:off x="1104900" y="635"/>
                            <a:ext cx="793750" cy="297180"/>
                          </a:xfrm>
                          <a:prstGeom prst="rect">
                            <a:avLst/>
                          </a:prstGeom>
                          <a:noFill/>
                          <a:ln>
                            <a:noFill/>
                          </a:ln>
                        </wps:spPr>
                        <wps:txbx>
                          <w:txbxContent>
                            <w:p w14:paraId="6A5DF88A">
                              <w:pPr>
                                <w:rPr>
                                  <w:rFonts w:hint="default" w:eastAsia="宋体"/>
                                  <w:lang w:val="en-US" w:eastAsia="zh-CN"/>
                                </w:rPr>
                              </w:pPr>
                              <w:r>
                                <w:rPr>
                                  <w:rFonts w:hint="eastAsia"/>
                                  <w:lang w:val="en-US" w:eastAsia="zh-CN"/>
                                </w:rPr>
                                <w:t>21900</w:t>
                              </w:r>
                            </w:p>
                          </w:txbxContent>
                        </wps:txbx>
                        <wps:bodyPr upright="1"/>
                      </wps:wsp>
                      <wps:wsp>
                        <wps:cNvPr id="105" name="矩形 32"/>
                        <wps:cNvSpPr/>
                        <wps:spPr>
                          <a:xfrm>
                            <a:off x="304408" y="1189167"/>
                            <a:ext cx="800562" cy="297292"/>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9CB1C51">
                              <w:pPr>
                                <w:spacing w:line="240" w:lineRule="auto"/>
                                <w:jc w:val="center"/>
                                <w:rPr>
                                  <w:rFonts w:hint="eastAsia" w:ascii="Times New Roman" w:hAnsi="Times New Roman" w:eastAsia="宋体" w:cs="Times New Roman"/>
                                  <w:kern w:val="2"/>
                                  <w:sz w:val="21"/>
                                  <w:szCs w:val="24"/>
                                </w:rPr>
                              </w:pPr>
                              <w:r>
                                <w:rPr>
                                  <w:rFonts w:hint="eastAsia" w:ascii="Times New Roman" w:hAnsi="Times New Roman" w:eastAsia="宋体" w:cs="Times New Roman"/>
                                  <w:kern w:val="2"/>
                                  <w:sz w:val="21"/>
                                  <w:szCs w:val="24"/>
                                </w:rPr>
                                <w:t>新鲜水</w:t>
                              </w:r>
                            </w:p>
                            <w:p w14:paraId="448B6B40">
                              <w:pPr>
                                <w:spacing w:line="240" w:lineRule="auto"/>
                                <w:rPr>
                                  <w:rFonts w:ascii="Times New Roman" w:hAnsi="Times New Roman" w:eastAsia="宋体" w:cs="Times New Roman"/>
                                  <w:kern w:val="2"/>
                                  <w:sz w:val="21"/>
                                  <w:szCs w:val="24"/>
                                </w:rPr>
                              </w:pPr>
                            </w:p>
                          </w:txbxContent>
                        </wps:txbx>
                        <wps:bodyPr upright="1"/>
                      </wps:wsp>
                      <wps:wsp>
                        <wps:cNvPr id="106" name="直接连接符 33"/>
                        <wps:cNvCnPr/>
                        <wps:spPr>
                          <a:xfrm flipV="1">
                            <a:off x="1115415" y="1354748"/>
                            <a:ext cx="581210" cy="3011"/>
                          </a:xfrm>
                          <a:prstGeom prst="line">
                            <a:avLst/>
                          </a:prstGeom>
                          <a:ln w="9525" cap="flat" cmpd="sng">
                            <a:solidFill>
                              <a:srgbClr val="000000"/>
                            </a:solidFill>
                            <a:prstDash val="solid"/>
                            <a:headEnd type="none" w="med" len="med"/>
                            <a:tailEnd type="triangle" w="med" len="med"/>
                          </a:ln>
                        </wps:spPr>
                        <wps:bodyPr upright="1"/>
                      </wps:wsp>
                      <wps:wsp>
                        <wps:cNvPr id="107" name="直接连接符 34"/>
                        <wps:cNvCnPr/>
                        <wps:spPr>
                          <a:xfrm flipH="1">
                            <a:off x="1669765" y="236328"/>
                            <a:ext cx="12684" cy="1109388"/>
                          </a:xfrm>
                          <a:prstGeom prst="line">
                            <a:avLst/>
                          </a:prstGeom>
                          <a:ln w="9525" cap="flat" cmpd="sng">
                            <a:solidFill>
                              <a:srgbClr val="000000"/>
                            </a:solidFill>
                            <a:prstDash val="solid"/>
                            <a:headEnd type="none" w="med" len="med"/>
                            <a:tailEnd type="none" w="med" len="med"/>
                          </a:ln>
                        </wps:spPr>
                        <wps:bodyPr upright="1"/>
                      </wps:wsp>
                      <wps:wsp>
                        <wps:cNvPr id="108" name="直接连接符 35"/>
                        <wps:cNvCnPr/>
                        <wps:spPr>
                          <a:xfrm>
                            <a:off x="1675734" y="793280"/>
                            <a:ext cx="686409" cy="753"/>
                          </a:xfrm>
                          <a:prstGeom prst="line">
                            <a:avLst/>
                          </a:prstGeom>
                          <a:ln w="9525" cap="flat" cmpd="sng">
                            <a:solidFill>
                              <a:srgbClr val="000000"/>
                            </a:solidFill>
                            <a:prstDash val="solid"/>
                            <a:headEnd type="none" w="med" len="med"/>
                            <a:tailEnd type="triangle" w="med" len="med"/>
                          </a:ln>
                        </wps:spPr>
                        <wps:bodyPr upright="1"/>
                      </wps:wsp>
                      <wps:wsp>
                        <wps:cNvPr id="109" name="文本框 36"/>
                        <wps:cNvSpPr txBox="1"/>
                        <wps:spPr>
                          <a:xfrm>
                            <a:off x="1024255" y="1089660"/>
                            <a:ext cx="800735" cy="296545"/>
                          </a:xfrm>
                          <a:prstGeom prst="rect">
                            <a:avLst/>
                          </a:prstGeom>
                          <a:noFill/>
                          <a:ln>
                            <a:noFill/>
                          </a:ln>
                        </wps:spPr>
                        <wps:txbx>
                          <w:txbxContent>
                            <w:p w14:paraId="5C16907A">
                              <w:pPr>
                                <w:spacing w:line="240" w:lineRule="auto"/>
                                <w:rPr>
                                  <w:rFonts w:hint="default" w:ascii="Times New Roman" w:hAnsi="Times New Roman" w:eastAsia="宋体" w:cs="Times New Roman"/>
                                  <w:kern w:val="2"/>
                                  <w:sz w:val="21"/>
                                  <w:szCs w:val="24"/>
                                  <w:lang w:val="en-US" w:eastAsia="zh-CN"/>
                                </w:rPr>
                              </w:pPr>
                              <w:r>
                                <w:rPr>
                                  <w:rFonts w:hint="eastAsia" w:cs="Times New Roman"/>
                                  <w:kern w:val="2"/>
                                  <w:sz w:val="21"/>
                                  <w:szCs w:val="24"/>
                                  <w:lang w:val="en-US" w:eastAsia="zh-CN"/>
                                </w:rPr>
                                <w:t>43800</w:t>
                              </w:r>
                            </w:p>
                          </w:txbxContent>
                        </wps:txbx>
                        <wps:bodyPr upright="1"/>
                      </wps:wsp>
                      <wps:wsp>
                        <wps:cNvPr id="110" name="文本框 37"/>
                        <wps:cNvSpPr txBox="1"/>
                        <wps:spPr>
                          <a:xfrm>
                            <a:off x="1657082" y="543404"/>
                            <a:ext cx="792355" cy="297292"/>
                          </a:xfrm>
                          <a:prstGeom prst="rect">
                            <a:avLst/>
                          </a:prstGeom>
                          <a:noFill/>
                          <a:ln>
                            <a:noFill/>
                          </a:ln>
                        </wps:spPr>
                        <wps:txbx>
                          <w:txbxContent>
                            <w:p w14:paraId="66F625C1">
                              <w:pPr>
                                <w:spacing w:line="240" w:lineRule="auto"/>
                                <w:rPr>
                                  <w:rFonts w:hint="default" w:ascii="Times New Roman" w:hAnsi="Times New Roman" w:eastAsia="宋体" w:cs="Times New Roman"/>
                                  <w:kern w:val="2"/>
                                  <w:sz w:val="21"/>
                                  <w:szCs w:val="24"/>
                                  <w:lang w:val="en-US" w:eastAsia="zh-CN"/>
                                </w:rPr>
                              </w:pPr>
                              <w:r>
                                <w:rPr>
                                  <w:rFonts w:hint="eastAsia" w:cs="Times New Roman"/>
                                  <w:kern w:val="2"/>
                                  <w:sz w:val="21"/>
                                  <w:szCs w:val="24"/>
                                  <w:lang w:val="en-US" w:eastAsia="zh-CN"/>
                                </w:rPr>
                                <w:t>65700</w:t>
                              </w:r>
                            </w:p>
                          </w:txbxContent>
                        </wps:txbx>
                        <wps:bodyPr upright="1"/>
                      </wps:wsp>
                      <wps:wsp>
                        <wps:cNvPr id="111" name="直接连接符 38"/>
                        <wps:cNvCnPr/>
                        <wps:spPr>
                          <a:xfrm flipH="1">
                            <a:off x="3847622" y="198696"/>
                            <a:ext cx="12684" cy="1109388"/>
                          </a:xfrm>
                          <a:prstGeom prst="line">
                            <a:avLst/>
                          </a:prstGeom>
                          <a:ln w="9525" cap="flat" cmpd="sng">
                            <a:solidFill>
                              <a:srgbClr val="000000"/>
                            </a:solidFill>
                            <a:prstDash val="solid"/>
                            <a:headEnd type="none" w="med" len="med"/>
                            <a:tailEnd type="none" w="med" len="med"/>
                          </a:ln>
                        </wps:spPr>
                        <wps:bodyPr upright="1"/>
                      </wps:wsp>
                      <wps:wsp>
                        <wps:cNvPr id="112" name="直接连接符 39"/>
                        <wps:cNvCnPr/>
                        <wps:spPr>
                          <a:xfrm>
                            <a:off x="3858814" y="185901"/>
                            <a:ext cx="446166" cy="12795"/>
                          </a:xfrm>
                          <a:prstGeom prst="line">
                            <a:avLst/>
                          </a:prstGeom>
                          <a:ln w="9525" cap="flat" cmpd="sng">
                            <a:solidFill>
                              <a:srgbClr val="000000"/>
                            </a:solidFill>
                            <a:prstDash val="solid"/>
                            <a:headEnd type="none" w="med" len="med"/>
                            <a:tailEnd type="triangle" w="med" len="med"/>
                          </a:ln>
                        </wps:spPr>
                        <wps:bodyPr upright="1"/>
                      </wps:wsp>
                      <wps:wsp>
                        <wps:cNvPr id="113" name="直接连接符 40"/>
                        <wps:cNvCnPr/>
                        <wps:spPr>
                          <a:xfrm>
                            <a:off x="3847622" y="1288516"/>
                            <a:ext cx="446166" cy="12042"/>
                          </a:xfrm>
                          <a:prstGeom prst="line">
                            <a:avLst/>
                          </a:prstGeom>
                          <a:ln w="9525" cap="flat" cmpd="sng">
                            <a:solidFill>
                              <a:srgbClr val="000000"/>
                            </a:solidFill>
                            <a:prstDash val="solid"/>
                            <a:headEnd type="none" w="med" len="med"/>
                            <a:tailEnd type="triangle" w="med" len="med"/>
                          </a:ln>
                        </wps:spPr>
                        <wps:bodyPr upright="1"/>
                      </wps:wsp>
                      <wps:wsp>
                        <wps:cNvPr id="115" name="矩形 41"/>
                        <wps:cNvSpPr/>
                        <wps:spPr>
                          <a:xfrm>
                            <a:off x="4179570" y="56515"/>
                            <a:ext cx="1142365" cy="296545"/>
                          </a:xfrm>
                          <a:prstGeom prst="rect">
                            <a:avLst/>
                          </a:prstGeom>
                          <a:noFill/>
                          <a:ln w="12700">
                            <a:noFill/>
                          </a:ln>
                        </wps:spPr>
                        <wps:txbx>
                          <w:txbxContent>
                            <w:p w14:paraId="5B2ADB75">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牛</w:t>
                              </w:r>
                              <w:r>
                                <w:rPr>
                                  <w:rFonts w:hint="eastAsia" w:ascii="Times New Roman" w:hAnsi="Times New Roman" w:eastAsia="宋体" w:cs="Times New Roman"/>
                                  <w:kern w:val="2"/>
                                  <w:sz w:val="21"/>
                                  <w:szCs w:val="24"/>
                                </w:rPr>
                                <w:t>尿</w:t>
                              </w:r>
                              <w:r>
                                <w:rPr>
                                  <w:rFonts w:hint="eastAsia" w:cs="Times New Roman"/>
                                  <w:b/>
                                  <w:kern w:val="2"/>
                                  <w:sz w:val="21"/>
                                  <w:szCs w:val="24"/>
                                  <w:lang w:val="en-US" w:eastAsia="zh-CN"/>
                                </w:rPr>
                                <w:t>9110.4</w:t>
                              </w:r>
                            </w:p>
                          </w:txbxContent>
                        </wps:txbx>
                        <wps:bodyPr upright="1"/>
                      </wps:wsp>
                      <wps:wsp>
                        <wps:cNvPr id="116" name="矩形 42"/>
                        <wps:cNvSpPr/>
                        <wps:spPr>
                          <a:xfrm>
                            <a:off x="4191000" y="594360"/>
                            <a:ext cx="1192530" cy="296545"/>
                          </a:xfrm>
                          <a:prstGeom prst="rect">
                            <a:avLst/>
                          </a:prstGeom>
                          <a:noFill/>
                          <a:ln w="12700">
                            <a:noFill/>
                          </a:ln>
                        </wps:spPr>
                        <wps:txbx>
                          <w:txbxContent>
                            <w:p w14:paraId="7D00F698">
                              <w:pPr>
                                <w:spacing w:line="240" w:lineRule="auto"/>
                                <w:ind w:firstLine="210" w:firstLineChars="100"/>
                                <w:jc w:val="both"/>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牛</w:t>
                              </w:r>
                              <w:r>
                                <w:rPr>
                                  <w:rFonts w:hint="eastAsia" w:ascii="Times New Roman" w:hAnsi="Times New Roman" w:eastAsia="宋体" w:cs="Times New Roman"/>
                                  <w:kern w:val="2"/>
                                  <w:sz w:val="21"/>
                                  <w:szCs w:val="24"/>
                                </w:rPr>
                                <w:t>粪</w:t>
                              </w:r>
                              <w:r>
                                <w:rPr>
                                  <w:rFonts w:hint="eastAsia" w:cs="Times New Roman"/>
                                  <w:b/>
                                  <w:bCs/>
                                  <w:color w:val="000000"/>
                                  <w:kern w:val="0"/>
                                  <w:sz w:val="21"/>
                                  <w:szCs w:val="21"/>
                                  <w:lang w:val="en-US" w:eastAsia="zh-CN"/>
                                </w:rPr>
                                <w:t>11913.6</w:t>
                              </w:r>
                            </w:p>
                          </w:txbxContent>
                        </wps:txbx>
                        <wps:bodyPr upright="1"/>
                      </wps:wsp>
                      <wps:wsp>
                        <wps:cNvPr id="117" name="矩形 43"/>
                        <wps:cNvSpPr/>
                        <wps:spPr>
                          <a:xfrm>
                            <a:off x="4257976" y="1166588"/>
                            <a:ext cx="1190025" cy="319871"/>
                          </a:xfrm>
                          <a:prstGeom prst="rect">
                            <a:avLst/>
                          </a:prstGeom>
                          <a:noFill/>
                          <a:ln w="12700">
                            <a:noFill/>
                          </a:ln>
                        </wps:spPr>
                        <wps:txbx>
                          <w:txbxContent>
                            <w:p w14:paraId="6A78AD82">
                              <w:pPr>
                                <w:spacing w:line="240" w:lineRule="auto"/>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rPr>
                                <w:t>吸收</w:t>
                              </w:r>
                              <w:r>
                                <w:rPr>
                                  <w:rFonts w:hint="eastAsia" w:cs="Times New Roman"/>
                                  <w:b/>
                                  <w:kern w:val="2"/>
                                  <w:sz w:val="21"/>
                                  <w:szCs w:val="24"/>
                                  <w:lang w:val="en-US" w:eastAsia="zh-CN"/>
                                </w:rPr>
                                <w:t>44676</w:t>
                              </w:r>
                            </w:p>
                          </w:txbxContent>
                        </wps:txbx>
                        <wps:bodyPr upright="1"/>
                      </wps:wsp>
                    </wpc:wpc>
                  </a:graphicData>
                </a:graphic>
              </wp:inline>
            </w:drawing>
          </mc:Choice>
          <mc:Fallback>
            <w:pict>
              <v:group id="_x0000_s1026" o:spid="_x0000_s1026" o:spt="203" style="height:122.2pt;width:433.5pt;" coordsize="5505450,1551940" editas="canvas" o:gfxdata="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">
                <o:lock v:ext="edit" aspectratio="f"/>
                <v:shape id="_x0000_s1026" o:spid="_x0000_s1026" style="position:absolute;left:0;top:0;height:1551940;width:5505450;" filled="f" stroked="f" coordsize="21600,21600" o:gfxdata="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">
                  <v:fill on="f" focussize="0,0"/>
                  <v:stroke on="f"/>
                  <v:imagedata o:title=""/>
                  <o:lock v:ext="edit" aspectratio="t"/>
                </v:shape>
                <v:rect id="矩形 27" o:spid="_x0000_s1026" o:spt="1" style="position:absolute;left:304408;top:99348;height:297292;width:800562;" fillcolor="#FFFFFF" filled="t" stroked="t" coordsize="21600,21600" o:gfxdata="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VsJBtcAAAAFAQAADwAAAAAAAAABACAA&#10;AAAiAAAAZHJzL2Rvd25yZXYueG1sUEsBAhQAFAAAAAgAh07iQMTqJGAOAgAANAQAAA4AAAAAAAAA&#10;AQAgAAAAJgEAAGRycy9lMm9Eb2MueG1sUEsFBgAAAAAGAAYAWQEAAKYFAAAAAA==&#10;">
                  <v:fill on="t" focussize="0,0"/>
                  <v:stroke weight="1pt" color="#000000" joinstyle="miter"/>
                  <v:imagedata o:title=""/>
                  <o:lock v:ext="edit" aspectratio="f"/>
                  <v:textbox>
                    <w:txbxContent>
                      <w:p w14:paraId="10819FB9">
                        <w:pPr>
                          <w:spacing w:line="240" w:lineRule="auto"/>
                          <w:jc w:val="center"/>
                          <w:rPr>
                            <w:rFonts w:hint="eastAsia" w:ascii="Times New Roman" w:hAnsi="Times New Roman" w:eastAsia="宋体" w:cs="Times New Roman"/>
                            <w:kern w:val="2"/>
                            <w:sz w:val="21"/>
                            <w:szCs w:val="24"/>
                          </w:rPr>
                        </w:pPr>
                        <w:r>
                          <w:rPr>
                            <w:rFonts w:hint="eastAsia" w:ascii="Times New Roman" w:hAnsi="Times New Roman" w:eastAsia="宋体" w:cs="Times New Roman"/>
                            <w:kern w:val="2"/>
                            <w:sz w:val="21"/>
                            <w:szCs w:val="24"/>
                          </w:rPr>
                          <w:t>饲料</w:t>
                        </w:r>
                      </w:p>
                    </w:txbxContent>
                  </v:textbox>
                </v:rect>
                <v:line id="直接连接符 28" o:spid="_x0000_s1026" o:spt="20" style="position:absolute;left:1116907;top:242349;height:2258;width:575987;" filled="f" stroked="t" coordsize="21600,21600" o:gfxdata="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VhHmR1gAAAAUBAAAPAAAAAAAAAAEAIAAA&#10;ACIAAABkcnMvZG93bnJldi54bWxQSwECFAAUAAAACACHTuJA89nJzQ4CAAD3AwAADgAAAAAAAAAB&#10;ACAAAAAlAQAAZHJzL2Uyb0RvYy54bWxQSwUGAAAAAAYABgBZAQAApQUAAAAA&#10;">
                  <v:fill on="f" focussize="0,0"/>
                  <v:stroke color="#000000" joinstyle="round" endarrow="block"/>
                  <v:imagedata o:title=""/>
                  <o:lock v:ext="edit" aspectratio="f"/>
                </v:line>
                <v:line id="直接连接符 29" o:spid="_x0000_s1026" o:spt="20" style="position:absolute;left:3497703;top:745864;height:10537;width:775941;" filled="f" stroked="t" coordsize="21600,21600" o:gfxdata="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YR5kdYAAAAFAQAADwAAAAAAAAABACAA&#10;AAAiAAAAZHJzL2Rvd25yZXYueG1sUEsBAhQAFAAAAAgAh07iQCJqc2kPAgAA+QMAAA4AAAAAAAAA&#10;AQAgAAAAJQEAAGRycy9lMm9Eb2MueG1sUEsFBgAAAAAGAAYAWQEAAKYFAAAAAA==&#10;">
                  <v:fill on="f" focussize="0,0"/>
                  <v:stroke color="#000000" joinstyle="round" endarrow="block"/>
                  <v:imagedata o:title=""/>
                  <o:lock v:ext="edit" aspectratio="f"/>
                </v:line>
                <v:rect id="矩形 30" o:spid="_x0000_s1026" o:spt="1" style="position:absolute;left:2362200;top:594360;height:296545;width:1275715;" fillcolor="#FFFFFF" filled="t" stroked="t" coordsize="21600,21600" o:gfxdata="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9WwkG1wAAAAUBAAAPAAAAAAAAAAEAIAAA&#10;ACIAAABkcnMvZG93bnJldi54bWxQSwECFAAUAAAACACHTuJARZvJ5g0CAAA4BAAADgAAAAAAAAAB&#10;ACAAAAAmAQAAZHJzL2Uyb0RvYy54bWxQSwUGAAAAAAYABgBZAQAApQUAAAAA&#10;">
                  <v:fill on="t" focussize="0,0"/>
                  <v:stroke weight="1pt" color="#000000" joinstyle="miter"/>
                  <v:imagedata o:title=""/>
                  <o:lock v:ext="edit" aspectratio="f"/>
                  <v:textbox>
                    <w:txbxContent>
                      <w:p w14:paraId="25BF5152">
                        <w:pPr>
                          <w:spacing w:line="240" w:lineRule="auto"/>
                          <w:jc w:val="center"/>
                          <w:rPr>
                            <w:rFonts w:hint="eastAsia" w:ascii="Times New Roman" w:hAnsi="Times New Roman" w:eastAsia="宋体" w:cs="Times New Roman"/>
                            <w:kern w:val="2"/>
                            <w:sz w:val="21"/>
                            <w:szCs w:val="24"/>
                            <w:lang w:eastAsia="zh-CN"/>
                          </w:rPr>
                        </w:pPr>
                        <w:r>
                          <w:rPr>
                            <w:rFonts w:hint="eastAsia" w:eastAsia="宋体" w:cs="Times New Roman"/>
                            <w:kern w:val="2"/>
                            <w:sz w:val="21"/>
                            <w:szCs w:val="24"/>
                            <w:lang w:val="en-US" w:eastAsia="zh-CN"/>
                          </w:rPr>
                          <w:t>育肥牛</w:t>
                        </w:r>
                        <w:r>
                          <w:rPr>
                            <w:rFonts w:hint="eastAsia" w:ascii="Times New Roman" w:hAnsi="Times New Roman" w:eastAsia="宋体" w:cs="Times New Roman"/>
                            <w:kern w:val="2"/>
                            <w:sz w:val="21"/>
                            <w:szCs w:val="24"/>
                          </w:rPr>
                          <w:t>饲养</w:t>
                        </w:r>
                      </w:p>
                    </w:txbxContent>
                  </v:textbox>
                </v:rect>
                <v:shape id="文本框 31" o:spid="_x0000_s1026" o:spt="202" type="#_x0000_t202" style="position:absolute;left:1104900;top:635;height:297180;width:793750;" filled="f" stroked="f" coordsize="21600,21600" o:gfxdata="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Qr&#10;nUzTAAAABQEAAA8AAAAAAAAAAQAgAAAAIgAAAGRycy9kb3ducmV2LnhtbFBLAQIUABQAAAAIAIdO&#10;4kCzxekitgEAAFgDAAAOAAAAAAAAAAEAIAAAACIBAABkcnMvZTJvRG9jLnhtbFBLBQYAAAAABgAG&#10;AFkBAABKBQAAAAA=&#10;">
                  <v:fill on="f" focussize="0,0"/>
                  <v:stroke on="f"/>
                  <v:imagedata o:title=""/>
                  <o:lock v:ext="edit" aspectratio="f"/>
                  <v:textbox>
                    <w:txbxContent>
                      <w:p w14:paraId="6A5DF88A">
                        <w:pPr>
                          <w:rPr>
                            <w:rFonts w:hint="default" w:eastAsia="宋体"/>
                            <w:lang w:val="en-US" w:eastAsia="zh-CN"/>
                          </w:rPr>
                        </w:pPr>
                        <w:r>
                          <w:rPr>
                            <w:rFonts w:hint="eastAsia"/>
                            <w:lang w:val="en-US" w:eastAsia="zh-CN"/>
                          </w:rPr>
                          <w:t>21900</w:t>
                        </w:r>
                      </w:p>
                    </w:txbxContent>
                  </v:textbox>
                </v:shape>
                <v:rect id="矩形 32" o:spid="_x0000_s1026" o:spt="1" style="position:absolute;left:304408;top:1189167;height:297292;width:800562;" fillcolor="#FFFFFF" filled="t" stroked="t" coordsize="21600,21600" o:gfxdata="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VsJBtcAAAAFAQAADwAAAAAAAAAB&#10;ACAAAAAiAAAAZHJzL2Rvd25yZXYueG1sUEsBAhQAFAAAAAgAh07iQFPZXnsRAgAANwQAAA4AAAAA&#10;AAAAAQAgAAAAJgEAAGRycy9lMm9Eb2MueG1sUEsFBgAAAAAGAAYAWQEAAKkFAAAAAA==&#10;">
                  <v:fill on="t" focussize="0,0"/>
                  <v:stroke weight="1pt" color="#000000" joinstyle="miter"/>
                  <v:imagedata o:title=""/>
                  <o:lock v:ext="edit" aspectratio="f"/>
                  <v:textbox>
                    <w:txbxContent>
                      <w:p w14:paraId="79CB1C51">
                        <w:pPr>
                          <w:spacing w:line="240" w:lineRule="auto"/>
                          <w:jc w:val="center"/>
                          <w:rPr>
                            <w:rFonts w:hint="eastAsia" w:ascii="Times New Roman" w:hAnsi="Times New Roman" w:eastAsia="宋体" w:cs="Times New Roman"/>
                            <w:kern w:val="2"/>
                            <w:sz w:val="21"/>
                            <w:szCs w:val="24"/>
                          </w:rPr>
                        </w:pPr>
                        <w:r>
                          <w:rPr>
                            <w:rFonts w:hint="eastAsia" w:ascii="Times New Roman" w:hAnsi="Times New Roman" w:eastAsia="宋体" w:cs="Times New Roman"/>
                            <w:kern w:val="2"/>
                            <w:sz w:val="21"/>
                            <w:szCs w:val="24"/>
                          </w:rPr>
                          <w:t>新鲜水</w:t>
                        </w:r>
                      </w:p>
                      <w:p w14:paraId="448B6B40">
                        <w:pPr>
                          <w:spacing w:line="240" w:lineRule="auto"/>
                          <w:rPr>
                            <w:rFonts w:ascii="Times New Roman" w:hAnsi="Times New Roman" w:eastAsia="宋体" w:cs="Times New Roman"/>
                            <w:kern w:val="2"/>
                            <w:sz w:val="21"/>
                            <w:szCs w:val="24"/>
                          </w:rPr>
                        </w:pPr>
                      </w:p>
                    </w:txbxContent>
                  </v:textbox>
                </v:rect>
                <v:line id="直接连接符 33" o:spid="_x0000_s1026" o:spt="20" style="position:absolute;left:1115415;top:1354748;flip:y;height:3011;width:581210;" filled="f" stroked="t" coordsize="21600,21600" o:gfxdata="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3s7MLWAAAABQEAAA8AAAAAAAAA&#10;AQAgAAAAIgAAAGRycy9kb3ducmV2LnhtbFBLAQIUABQAAAAIAIdO4kDs1NwhEwIAAAMEAAAOAAAA&#10;AAAAAAEAIAAAACUBAABkcnMvZTJvRG9jLnhtbFBLBQYAAAAABgAGAFkBAACqBQAAAAA=&#10;">
                  <v:fill on="f" focussize="0,0"/>
                  <v:stroke color="#000000" joinstyle="round" endarrow="block"/>
                  <v:imagedata o:title=""/>
                  <o:lock v:ext="edit" aspectratio="f"/>
                </v:line>
                <v:line id="直接连接符 34" o:spid="_x0000_s1026" o:spt="20" style="position:absolute;left:1669765;top:236328;flip:x;height:1109388;width:12684;" filled="f" stroked="t" coordsize="21600,21600" o:gfxdata="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sbVX9QAAAAFAQAADwAAAAAAAAABACAA&#10;AAAiAAAAZHJzL2Rvd25yZXYueG1sUEsBAhQAFAAAAAgAh07iQN1dNhIRAgAAAAQAAA4AAAAAAAAA&#10;AQAgAAAAIwEAAGRycy9lMm9Eb2MueG1sUEsFBgAAAAAGAAYAWQEAAKYFAAAAAA==&#10;">
                  <v:fill on="f" focussize="0,0"/>
                  <v:stroke color="#000000" joinstyle="round"/>
                  <v:imagedata o:title=""/>
                  <o:lock v:ext="edit" aspectratio="f"/>
                </v:line>
                <v:line id="直接连接符 35" o:spid="_x0000_s1026" o:spt="20" style="position:absolute;left:1675734;top:793280;height:753;width:686409;" filled="f" stroked="t" coordsize="21600,21600" o:gfxdata="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WEeZHWAAAABQEAAA8AAAAAAAAAAQAgAAAAIgAA&#10;AGRycy9kb3ducmV2LnhtbFBLAQIUABQAAAAIAIdO4kDBUPBKCgIAAPcDAAAOAAAAAAAAAAEAIAAA&#10;ACUBAABkcnMvZTJvRG9jLnhtbFBLBQYAAAAABgAGAFkBAAChBQAAAAA=&#10;">
                  <v:fill on="f" focussize="0,0"/>
                  <v:stroke color="#000000" joinstyle="round" endarrow="block"/>
                  <v:imagedata o:title=""/>
                  <o:lock v:ext="edit" aspectratio="f"/>
                </v:line>
                <v:shape id="文本框 36" o:spid="_x0000_s1026" o:spt="202" type="#_x0000_t202" style="position:absolute;left:1024255;top:1089660;height:296545;width:800735;" filled="f" stroked="f" coordsize="21600,21600" o:gfxdata="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Qr&#10;nUzTAAAABQEAAA8AAAAAAAAAAQAgAAAAIgAAAGRycy9kb3ducmV2LnhtbFBLAQIUABQAAAAIAIdO&#10;4kDu9F8StgEAAFwDAAAOAAAAAAAAAAEAIAAAACIBAABkcnMvZTJvRG9jLnhtbFBLBQYAAAAABgAG&#10;AFkBAABKBQAAAAA=&#10;">
                  <v:fill on="f" focussize="0,0"/>
                  <v:stroke on="f"/>
                  <v:imagedata o:title=""/>
                  <o:lock v:ext="edit" aspectratio="f"/>
                  <v:textbox>
                    <w:txbxContent>
                      <w:p w14:paraId="5C16907A">
                        <w:pPr>
                          <w:spacing w:line="240" w:lineRule="auto"/>
                          <w:rPr>
                            <w:rFonts w:hint="default" w:ascii="Times New Roman" w:hAnsi="Times New Roman" w:eastAsia="宋体" w:cs="Times New Roman"/>
                            <w:kern w:val="2"/>
                            <w:sz w:val="21"/>
                            <w:szCs w:val="24"/>
                            <w:lang w:val="en-US" w:eastAsia="zh-CN"/>
                          </w:rPr>
                        </w:pPr>
                        <w:r>
                          <w:rPr>
                            <w:rFonts w:hint="eastAsia" w:cs="Times New Roman"/>
                            <w:kern w:val="2"/>
                            <w:sz w:val="21"/>
                            <w:szCs w:val="24"/>
                            <w:lang w:val="en-US" w:eastAsia="zh-CN"/>
                          </w:rPr>
                          <w:t>43800</w:t>
                        </w:r>
                      </w:p>
                    </w:txbxContent>
                  </v:textbox>
                </v:shape>
                <v:shape id="文本框 37" o:spid="_x0000_s1026" o:spt="202" type="#_x0000_t202" style="position:absolute;left:1657082;top:543404;height:297292;width:792355;" filled="f" stroked="f" coordsize="21600,21600" o:gfxdata="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0K51M0wAAAAUBAAAPAAAAAAAAAAEAIAAAACIAAABkcnMvZG93bnJldi54bWxQSwECFAAUAAAA&#10;CACHTuJAcgnkBLoBAABbAwAADgAAAAAAAAABACAAAAAiAQAAZHJzL2Uyb0RvYy54bWxQSwUGAAAA&#10;AAYABgBZAQAATgUAAAAA&#10;">
                  <v:fill on="f" focussize="0,0"/>
                  <v:stroke on="f"/>
                  <v:imagedata o:title=""/>
                  <o:lock v:ext="edit" aspectratio="f"/>
                  <v:textbox>
                    <w:txbxContent>
                      <w:p w14:paraId="66F625C1">
                        <w:pPr>
                          <w:spacing w:line="240" w:lineRule="auto"/>
                          <w:rPr>
                            <w:rFonts w:hint="default" w:ascii="Times New Roman" w:hAnsi="Times New Roman" w:eastAsia="宋体" w:cs="Times New Roman"/>
                            <w:kern w:val="2"/>
                            <w:sz w:val="21"/>
                            <w:szCs w:val="24"/>
                            <w:lang w:val="en-US" w:eastAsia="zh-CN"/>
                          </w:rPr>
                        </w:pPr>
                        <w:r>
                          <w:rPr>
                            <w:rFonts w:hint="eastAsia" w:cs="Times New Roman"/>
                            <w:kern w:val="2"/>
                            <w:sz w:val="21"/>
                            <w:szCs w:val="24"/>
                            <w:lang w:val="en-US" w:eastAsia="zh-CN"/>
                          </w:rPr>
                          <w:t>65700</w:t>
                        </w:r>
                      </w:p>
                    </w:txbxContent>
                  </v:textbox>
                </v:shape>
                <v:line id="直接连接符 38" o:spid="_x0000_s1026" o:spt="20" style="position:absolute;left:3847622;top:198696;flip:x;height:1109388;width:12684;" filled="f" stroked="t" coordsize="21600,21600" o:gfxdata="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sbVX9QAAAAFAQAADwAAAAAAAAABACAA&#10;AAAiAAAAZHJzL2Rvd25yZXYueG1sUEsBAhQAFAAAAAgAh07iQF795W4RAgAAAAQAAA4AAAAAAAAA&#10;AQAgAAAAIwEAAGRycy9lMm9Eb2MueG1sUEsFBgAAAAAGAAYAWQEAAKYFAAAAAA==&#10;">
                  <v:fill on="f" focussize="0,0"/>
                  <v:stroke color="#000000" joinstyle="round"/>
                  <v:imagedata o:title=""/>
                  <o:lock v:ext="edit" aspectratio="f"/>
                </v:line>
                <v:line id="直接连接符 39" o:spid="_x0000_s1026" o:spt="20" style="position:absolute;left:3858814;top:185901;height:12795;width:446166;" filled="f" stroked="t" coordsize="21600,21600" o:gfxdata="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WEeZHWAAAABQEAAA8AAAAAAAAAAQAgAAAA&#10;IgAAAGRycy9kb3ducmV2LnhtbFBLAQIUABQAAAAIAIdO4kD/QoIJDQIAAPkDAAAOAAAAAAAAAAEA&#10;IAAAACUBAABkcnMvZTJvRG9jLnhtbFBLBQYAAAAABgAGAFkBAACkBQAAAAA=&#10;">
                  <v:fill on="f" focussize="0,0"/>
                  <v:stroke color="#000000" joinstyle="round" endarrow="block"/>
                  <v:imagedata o:title=""/>
                  <o:lock v:ext="edit" aspectratio="f"/>
                </v:line>
                <v:line id="直接连接符 40" o:spid="_x0000_s1026" o:spt="20" style="position:absolute;left:3847622;top:1288516;height:12042;width:446166;" filled="f" stroked="t" coordsize="21600,21600" o:gfxdata="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YR5kdYAAAAFAQAADwAAAAAAAAABACAAAAAi&#10;AAAAZHJzL2Rvd25yZXYueG1sUEsBAhQAFAAAAAgAh07iQCn/YV4MAgAA+gMAAA4AAAAAAAAAAQAg&#10;AAAAJQEAAGRycy9lMm9Eb2MueG1sUEsFBgAAAAAGAAYAWQEAAKMFAAAAAA==&#10;">
                  <v:fill on="f" focussize="0,0"/>
                  <v:stroke color="#000000" joinstyle="round" endarrow="block"/>
                  <v:imagedata o:title=""/>
                  <o:lock v:ext="edit" aspectratio="f"/>
                </v:line>
                <v:rect id="矩形 41" o:spid="_x0000_s1026" o:spt="1" style="position:absolute;left:4179570;top:56515;height:296545;width:1142365;" filled="f" stroked="f" coordsize="21600,21600" o:gfxdata="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6p7bdtMAAAAFAQAADwAAAAAAAAABACAAAAAiAAAAZHJzL2Rvd25yZXYueG1sUEsBAhQAFAAAAAgA&#10;h07iQDQ4r0O4AQAAWAMAAA4AAAAAAAAAAQAgAAAAIgEAAGRycy9lMm9Eb2MueG1sUEsFBgAAAAAG&#10;AAYAWQEAAEwFAAAAAA==&#10;">
                  <v:fill on="f" focussize="0,0"/>
                  <v:stroke on="f" weight="1pt"/>
                  <v:imagedata o:title=""/>
                  <o:lock v:ext="edit" aspectratio="f"/>
                  <v:textbox>
                    <w:txbxContent>
                      <w:p w14:paraId="5B2ADB75">
                        <w:pPr>
                          <w:spacing w:line="240" w:lineRule="auto"/>
                          <w:jc w:val="center"/>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牛</w:t>
                        </w:r>
                        <w:r>
                          <w:rPr>
                            <w:rFonts w:hint="eastAsia" w:ascii="Times New Roman" w:hAnsi="Times New Roman" w:eastAsia="宋体" w:cs="Times New Roman"/>
                            <w:kern w:val="2"/>
                            <w:sz w:val="21"/>
                            <w:szCs w:val="24"/>
                          </w:rPr>
                          <w:t>尿</w:t>
                        </w:r>
                        <w:r>
                          <w:rPr>
                            <w:rFonts w:hint="eastAsia" w:cs="Times New Roman"/>
                            <w:b/>
                            <w:kern w:val="2"/>
                            <w:sz w:val="21"/>
                            <w:szCs w:val="24"/>
                            <w:lang w:val="en-US" w:eastAsia="zh-CN"/>
                          </w:rPr>
                          <w:t>9110.4</w:t>
                        </w:r>
                      </w:p>
                    </w:txbxContent>
                  </v:textbox>
                </v:rect>
                <v:rect id="矩形 42" o:spid="_x0000_s1026" o:spt="1" style="position:absolute;left:4191000;top:594360;height:296545;width:1192530;" filled="f" stroked="f" coordsize="21600,21600" o:gfxdata="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6p7bdtMAAAAFAQAADwAAAAAAAAABACAAAAAiAAAAZHJzL2Rvd25yZXYueG1sUEsBAhQAFAAAAAgA&#10;h07iQLAs2ha4AQAAWQMAAA4AAAAAAAAAAQAgAAAAIgEAAGRycy9lMm9Eb2MueG1sUEsFBgAAAAAG&#10;AAYAWQEAAEwFAAAAAA==&#10;">
                  <v:fill on="f" focussize="0,0"/>
                  <v:stroke on="f" weight="1pt"/>
                  <v:imagedata o:title=""/>
                  <o:lock v:ext="edit" aspectratio="f"/>
                  <v:textbox>
                    <w:txbxContent>
                      <w:p w14:paraId="7D00F698">
                        <w:pPr>
                          <w:spacing w:line="240" w:lineRule="auto"/>
                          <w:ind w:firstLine="210" w:firstLineChars="100"/>
                          <w:jc w:val="both"/>
                          <w:rPr>
                            <w:rFonts w:hint="default" w:ascii="Times New Roman" w:hAnsi="Times New Roman" w:eastAsia="宋体" w:cs="Times New Roman"/>
                            <w:kern w:val="2"/>
                            <w:sz w:val="21"/>
                            <w:szCs w:val="24"/>
                            <w:lang w:val="en-US" w:eastAsia="zh-CN"/>
                          </w:rPr>
                        </w:pPr>
                        <w:r>
                          <w:rPr>
                            <w:rFonts w:hint="eastAsia" w:eastAsia="宋体" w:cs="Times New Roman"/>
                            <w:kern w:val="2"/>
                            <w:sz w:val="21"/>
                            <w:szCs w:val="24"/>
                            <w:lang w:val="en-US" w:eastAsia="zh-CN"/>
                          </w:rPr>
                          <w:t>牛</w:t>
                        </w:r>
                        <w:r>
                          <w:rPr>
                            <w:rFonts w:hint="eastAsia" w:ascii="Times New Roman" w:hAnsi="Times New Roman" w:eastAsia="宋体" w:cs="Times New Roman"/>
                            <w:kern w:val="2"/>
                            <w:sz w:val="21"/>
                            <w:szCs w:val="24"/>
                          </w:rPr>
                          <w:t>粪</w:t>
                        </w:r>
                        <w:r>
                          <w:rPr>
                            <w:rFonts w:hint="eastAsia" w:cs="Times New Roman"/>
                            <w:b/>
                            <w:bCs/>
                            <w:color w:val="000000"/>
                            <w:kern w:val="0"/>
                            <w:sz w:val="21"/>
                            <w:szCs w:val="21"/>
                            <w:lang w:val="en-US" w:eastAsia="zh-CN"/>
                          </w:rPr>
                          <w:t>11913.6</w:t>
                        </w:r>
                      </w:p>
                    </w:txbxContent>
                  </v:textbox>
                </v:rect>
                <v:rect id="矩形 43" o:spid="_x0000_s1026" o:spt="1" style="position:absolute;left:4257976;top:1166588;height:319871;width:1190025;" filled="f" stroked="f" coordsize="21600,21600" o:gfxdata="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qntt20wAAAAUBAAAPAAAAAAAAAAEAIAAAACIAAABkcnMvZG93bnJldi54bWxQSwECFAAUAAAA&#10;CACHTuJA9me1GroBAABaAwAADgAAAAAAAAABACAAAAAiAQAAZHJzL2Uyb0RvYy54bWxQSwUGAAAA&#10;AAYABgBZAQAATgUAAAAA&#10;">
                  <v:fill on="f" focussize="0,0"/>
                  <v:stroke on="f" weight="1pt"/>
                  <v:imagedata o:title=""/>
                  <o:lock v:ext="edit" aspectratio="f"/>
                  <v:textbox>
                    <w:txbxContent>
                      <w:p w14:paraId="6A78AD82">
                        <w:pPr>
                          <w:spacing w:line="240" w:lineRule="auto"/>
                          <w:rPr>
                            <w:rFonts w:hint="default" w:ascii="Times New Roman" w:hAnsi="Times New Roman" w:eastAsia="宋体" w:cs="Times New Roman"/>
                            <w:kern w:val="2"/>
                            <w:sz w:val="21"/>
                            <w:szCs w:val="24"/>
                            <w:lang w:val="en-US" w:eastAsia="zh-CN"/>
                          </w:rPr>
                        </w:pPr>
                        <w:r>
                          <w:rPr>
                            <w:rFonts w:hint="eastAsia" w:ascii="Times New Roman" w:hAnsi="Times New Roman" w:eastAsia="宋体" w:cs="Times New Roman"/>
                            <w:kern w:val="2"/>
                            <w:sz w:val="21"/>
                            <w:szCs w:val="24"/>
                          </w:rPr>
                          <w:t>吸收</w:t>
                        </w:r>
                        <w:r>
                          <w:rPr>
                            <w:rFonts w:hint="eastAsia" w:cs="Times New Roman"/>
                            <w:b/>
                            <w:kern w:val="2"/>
                            <w:sz w:val="21"/>
                            <w:szCs w:val="24"/>
                            <w:lang w:val="en-US" w:eastAsia="zh-CN"/>
                          </w:rPr>
                          <w:t>44676</w:t>
                        </w:r>
                      </w:p>
                    </w:txbxContent>
                  </v:textbox>
                </v:rect>
                <w10:wrap type="none"/>
                <w10:anchorlock/>
              </v:group>
            </w:pict>
          </mc:Fallback>
        </mc:AlternateContent>
      </w:r>
    </w:p>
    <w:p w14:paraId="55478659">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kern w:val="2"/>
          <w:sz w:val="24"/>
          <w:szCs w:val="24"/>
        </w:rPr>
      </w:pPr>
    </w:p>
    <w:p w14:paraId="7D228841">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rPr>
        <w:t>图</w:t>
      </w:r>
      <w:r>
        <w:rPr>
          <w:rFonts w:hint="default" w:ascii="Times New Roman" w:hAnsi="Times New Roman" w:eastAsia="宋体" w:cs="Times New Roman"/>
          <w:b/>
          <w:bCs/>
          <w:kern w:val="2"/>
          <w:sz w:val="24"/>
          <w:szCs w:val="24"/>
          <w:lang w:val="en-US" w:eastAsia="zh-CN"/>
        </w:rPr>
        <w:t>3</w:t>
      </w:r>
      <w:r>
        <w:rPr>
          <w:rFonts w:hint="default" w:ascii="Times New Roman" w:hAnsi="Times New Roman" w:eastAsia="宋体" w:cs="Times New Roman"/>
          <w:b/>
          <w:bCs/>
          <w:kern w:val="2"/>
          <w:sz w:val="24"/>
          <w:szCs w:val="24"/>
        </w:rPr>
        <w:t>.</w:t>
      </w:r>
      <w:r>
        <w:rPr>
          <w:rFonts w:hint="eastAsia" w:cs="Times New Roman"/>
          <w:b/>
          <w:bCs/>
          <w:kern w:val="2"/>
          <w:sz w:val="24"/>
          <w:szCs w:val="24"/>
          <w:lang w:val="en-US" w:eastAsia="zh-CN"/>
        </w:rPr>
        <w:t>3-5</w:t>
      </w:r>
      <w:r>
        <w:rPr>
          <w:rFonts w:hint="eastAsia" w:eastAsia="宋体" w:cs="Times New Roman"/>
          <w:b/>
          <w:bCs/>
          <w:kern w:val="2"/>
          <w:sz w:val="24"/>
          <w:szCs w:val="24"/>
          <w:lang w:val="en-US" w:eastAsia="zh-CN" w:bidi="ar-SA"/>
        </w:rPr>
        <w:t>养殖区</w:t>
      </w:r>
      <w:r>
        <w:rPr>
          <w:rFonts w:hint="default" w:ascii="Times New Roman" w:hAnsi="Times New Roman" w:eastAsia="宋体" w:cs="Times New Roman"/>
          <w:b/>
          <w:bCs/>
          <w:kern w:val="2"/>
          <w:sz w:val="24"/>
          <w:szCs w:val="24"/>
        </w:rPr>
        <w:t>物料平衡图单位t/a</w:t>
      </w:r>
    </w:p>
    <w:p w14:paraId="7D7DFF8D">
      <w:pPr>
        <w:widowControl w:val="0"/>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334" w:name="_Toc24738"/>
      <w:bookmarkStart w:id="335" w:name="_Toc18864"/>
      <w:bookmarkStart w:id="336" w:name="_Toc25601"/>
      <w:bookmarkStart w:id="337" w:name="_Toc29285"/>
      <w:bookmarkStart w:id="338" w:name="_Toc26476"/>
      <w:r>
        <w:rPr>
          <w:rFonts w:hint="default" w:ascii="Times New Roman" w:hAnsi="Times New Roman" w:eastAsia="宋体" w:cs="Times New Roman"/>
          <w:b/>
          <w:bCs/>
          <w:kern w:val="2"/>
          <w:sz w:val="30"/>
          <w:szCs w:val="30"/>
          <w:lang w:val="en-US" w:eastAsia="zh-CN" w:bidi="ar-SA"/>
        </w:rPr>
        <w:t>3.</w:t>
      </w:r>
      <w:r>
        <w:rPr>
          <w:rFonts w:hint="eastAsia" w:cs="Times New Roman"/>
          <w:b/>
          <w:bCs/>
          <w:kern w:val="2"/>
          <w:sz w:val="30"/>
          <w:szCs w:val="30"/>
          <w:lang w:val="en-US" w:eastAsia="zh-CN" w:bidi="ar-SA"/>
        </w:rPr>
        <w:t>4</w:t>
      </w:r>
      <w:r>
        <w:rPr>
          <w:rFonts w:hint="default" w:ascii="Times New Roman" w:hAnsi="Times New Roman" w:eastAsia="宋体" w:cs="Times New Roman"/>
          <w:b/>
          <w:bCs/>
          <w:kern w:val="2"/>
          <w:sz w:val="30"/>
          <w:szCs w:val="30"/>
          <w:lang w:val="en-US" w:eastAsia="zh-CN" w:bidi="ar-SA"/>
        </w:rPr>
        <w:t>污染源分析</w:t>
      </w:r>
      <w:bookmarkEnd w:id="330"/>
      <w:bookmarkEnd w:id="331"/>
      <w:bookmarkEnd w:id="332"/>
      <w:bookmarkEnd w:id="333"/>
      <w:bookmarkEnd w:id="334"/>
      <w:bookmarkEnd w:id="335"/>
      <w:bookmarkEnd w:id="336"/>
      <w:bookmarkEnd w:id="337"/>
      <w:bookmarkEnd w:id="338"/>
    </w:p>
    <w:p w14:paraId="49A855DE">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339" w:name="_Toc21696"/>
      <w:bookmarkStart w:id="340" w:name="_Toc2750"/>
      <w:r>
        <w:rPr>
          <w:rFonts w:hint="default"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.1施工期污染源分析</w:t>
      </w:r>
      <w:bookmarkEnd w:id="339"/>
      <w:bookmarkEnd w:id="340"/>
    </w:p>
    <w:p w14:paraId="2D970274">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施工期工程内容主要为</w:t>
      </w:r>
      <w:r>
        <w:rPr>
          <w:rFonts w:hint="eastAsia" w:cs="Times New Roman"/>
          <w:kern w:val="2"/>
          <w:sz w:val="24"/>
          <w:szCs w:val="24"/>
          <w:lang w:val="en-US" w:eastAsia="zh-CN" w:bidi="ar-SA"/>
        </w:rPr>
        <w:t>牛舍、运动场、库房、宿舍</w:t>
      </w:r>
      <w:r>
        <w:rPr>
          <w:rFonts w:hint="eastAsia" w:eastAsia="宋体" w:cs="Times New Roman"/>
          <w:kern w:val="2"/>
          <w:sz w:val="24"/>
          <w:szCs w:val="24"/>
          <w:lang w:val="en-US" w:eastAsia="zh-CN" w:bidi="ar-SA"/>
        </w:rPr>
        <w:t>等建筑物</w:t>
      </w:r>
      <w:r>
        <w:rPr>
          <w:rFonts w:hint="default" w:ascii="Times New Roman" w:hAnsi="Times New Roman" w:eastAsia="宋体" w:cs="Times New Roman"/>
          <w:kern w:val="2"/>
          <w:sz w:val="24"/>
          <w:szCs w:val="24"/>
          <w:lang w:val="en-US" w:eastAsia="zh-CN" w:bidi="ar-SA"/>
        </w:rPr>
        <w:t>的建设及设备的安装，期间产生施工扬尘、装修废气，噪声、建筑垃圾等，其生产工艺流程及产污节点见图3.</w:t>
      </w:r>
      <w:r>
        <w:rPr>
          <w:rFonts w:hint="eastAsia" w:cs="Times New Roman"/>
          <w:kern w:val="2"/>
          <w:sz w:val="24"/>
          <w:szCs w:val="24"/>
          <w:lang w:val="en-US" w:eastAsia="zh-CN" w:bidi="ar-SA"/>
        </w:rPr>
        <w:t>3</w:t>
      </w:r>
      <w:r>
        <w:rPr>
          <w:rFonts w:hint="default" w:ascii="Times New Roman" w:hAnsi="Times New Roman" w:eastAsia="宋体" w:cs="Times New Roman"/>
          <w:kern w:val="2"/>
          <w:sz w:val="24"/>
          <w:szCs w:val="24"/>
          <w:lang w:val="en-US" w:eastAsia="zh-CN" w:bidi="ar-SA"/>
        </w:rPr>
        <w:t>-1。</w:t>
      </w:r>
    </w:p>
    <w:p w14:paraId="6C279E0F">
      <w:pPr>
        <w:spacing w:line="360" w:lineRule="auto"/>
        <w:jc w:val="center"/>
        <w:rPr>
          <w:rFonts w:hint="default" w:ascii="Times New Roman" w:hAnsi="Times New Roman" w:eastAsia="宋体" w:cs="Times New Roman"/>
          <w:b/>
          <w:kern w:val="2"/>
          <w:sz w:val="24"/>
          <w:szCs w:val="24"/>
        </w:rPr>
      </w:pPr>
      <w:r>
        <w:rPr>
          <w:rFonts w:hint="default" w:ascii="Times New Roman" w:hAnsi="Times New Roman" w:eastAsia="宋体" w:cs="Times New Roman"/>
          <w:kern w:val="0"/>
          <w:sz w:val="21"/>
          <w:szCs w:val="24"/>
          <w:lang w:bidi="ar"/>
        </w:rPr>
        <w:drawing>
          <wp:inline distT="0" distB="0" distL="114300" distR="114300">
            <wp:extent cx="5516880" cy="1769110"/>
            <wp:effectExtent l="0" t="0" r="7620" b="2540"/>
            <wp:docPr id="296" name="图片 3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381" descr="IMG_256"/>
                    <pic:cNvPicPr>
                      <a:picLocks noChangeAspect="1"/>
                    </pic:cNvPicPr>
                  </pic:nvPicPr>
                  <pic:blipFill>
                    <a:blip r:embed="rId32"/>
                    <a:stretch>
                      <a:fillRect/>
                    </a:stretch>
                  </pic:blipFill>
                  <pic:spPr>
                    <a:xfrm>
                      <a:off x="0" y="0"/>
                      <a:ext cx="5516880" cy="1769110"/>
                    </a:xfrm>
                    <a:prstGeom prst="rect">
                      <a:avLst/>
                    </a:prstGeom>
                    <a:noFill/>
                    <a:ln>
                      <a:noFill/>
                    </a:ln>
                  </pic:spPr>
                </pic:pic>
              </a:graphicData>
            </a:graphic>
          </wp:inline>
        </w:drawing>
      </w:r>
      <w:r>
        <w:rPr>
          <w:rFonts w:hint="default" w:ascii="Times New Roman" w:hAnsi="Times New Roman" w:eastAsia="宋体" w:cs="Times New Roman"/>
          <w:b/>
          <w:kern w:val="2"/>
          <w:sz w:val="24"/>
          <w:szCs w:val="24"/>
        </w:rPr>
        <w:t>图3.</w:t>
      </w:r>
      <w:r>
        <w:rPr>
          <w:rFonts w:hint="eastAsia" w:cs="Times New Roman"/>
          <w:b/>
          <w:kern w:val="2"/>
          <w:sz w:val="24"/>
          <w:szCs w:val="24"/>
          <w:lang w:val="en-US" w:eastAsia="zh-CN"/>
        </w:rPr>
        <w:t>4</w:t>
      </w:r>
      <w:r>
        <w:rPr>
          <w:rFonts w:hint="default" w:ascii="Times New Roman" w:hAnsi="Times New Roman" w:eastAsia="宋体" w:cs="Times New Roman"/>
          <w:b/>
          <w:kern w:val="2"/>
          <w:sz w:val="24"/>
          <w:szCs w:val="24"/>
        </w:rPr>
        <w:t>-1施工工艺流程及产污节点图</w:t>
      </w:r>
    </w:p>
    <w:p w14:paraId="55D55827">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.1.1扬尘、废气</w:t>
      </w:r>
    </w:p>
    <w:p w14:paraId="4A45E054">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（1）施工扬尘</w:t>
      </w:r>
    </w:p>
    <w:p w14:paraId="2EEBDBCE">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基础开挖、施工渣土堆场、进出车辆带</w:t>
      </w:r>
      <w:r>
        <w:rPr>
          <w:rFonts w:hint="eastAsia" w:cs="Times New Roman"/>
          <w:color w:val="000000"/>
          <w:kern w:val="2"/>
          <w:sz w:val="24"/>
          <w:szCs w:val="24"/>
          <w:lang w:eastAsia="zh-CN"/>
        </w:rPr>
        <w:t>泥沙</w:t>
      </w:r>
      <w:r>
        <w:rPr>
          <w:rFonts w:hint="default" w:ascii="Times New Roman" w:hAnsi="Times New Roman" w:eastAsia="宋体" w:cs="Times New Roman"/>
          <w:color w:val="000000"/>
          <w:kern w:val="2"/>
          <w:sz w:val="24"/>
          <w:szCs w:val="24"/>
        </w:rPr>
        <w:t>量、水泥搬运，砂石、混凝土等建筑材料运输、装卸等均可能产生扬尘，要求建设单</w:t>
      </w:r>
      <w:r>
        <w:rPr>
          <w:rFonts w:hint="eastAsia" w:cs="Times New Roman"/>
          <w:color w:val="000000"/>
          <w:kern w:val="2"/>
          <w:sz w:val="24"/>
          <w:szCs w:val="24"/>
          <w:lang w:eastAsia="zh-CN"/>
        </w:rPr>
        <w:t>位在</w:t>
      </w:r>
      <w:r>
        <w:rPr>
          <w:rFonts w:hint="default" w:ascii="Times New Roman" w:hAnsi="Times New Roman" w:eastAsia="宋体" w:cs="Times New Roman"/>
          <w:color w:val="000000"/>
          <w:kern w:val="2"/>
          <w:sz w:val="24"/>
          <w:szCs w:val="24"/>
        </w:rPr>
        <w:t>施工期间应严格遵守《防治城市扬尘污染技术规范》（HJ/T393-2007）的要求。</w:t>
      </w:r>
    </w:p>
    <w:p w14:paraId="29AB5CAA">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（2）机械废气</w:t>
      </w:r>
    </w:p>
    <w:p w14:paraId="46BF42D9">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施工期机械运行时会产生一定量的尾气，其主要污染物为烃类、一氧化碳及氮氧化物等。</w:t>
      </w:r>
    </w:p>
    <w:p w14:paraId="16E214CC">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.1.2废水</w:t>
      </w:r>
    </w:p>
    <w:p w14:paraId="50DC57BF">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（1）施工废水</w:t>
      </w:r>
    </w:p>
    <w:p w14:paraId="562275BD">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施工期产生的废水包括修建基础设施时地基的开挖、混凝土料的备制、建筑时砂石料冲洗及机械清洗等废水。项目施工产生的污水中泥沙悬浮物含量较大。为此可以修建</w:t>
      </w:r>
      <w:r>
        <w:rPr>
          <w:rFonts w:hint="eastAsia" w:cs="Times New Roman"/>
          <w:color w:val="000000"/>
          <w:kern w:val="2"/>
          <w:sz w:val="24"/>
          <w:szCs w:val="24"/>
          <w:lang w:eastAsia="zh-CN"/>
        </w:rPr>
        <w:t>沉沙池</w:t>
      </w:r>
      <w:r>
        <w:rPr>
          <w:rFonts w:hint="default" w:ascii="Times New Roman" w:hAnsi="Times New Roman" w:eastAsia="宋体" w:cs="Times New Roman"/>
          <w:color w:val="000000"/>
          <w:kern w:val="2"/>
          <w:sz w:val="24"/>
          <w:szCs w:val="24"/>
        </w:rPr>
        <w:t>沉淀后回用于施工过程。施工机械设备冲洗、施工车辆冲洗废水中主要污染物为石油类和悬浮物，沉淀后用于施工场地抑尘。</w:t>
      </w:r>
    </w:p>
    <w:p w14:paraId="719AA9CE">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（2）生活污水</w:t>
      </w:r>
    </w:p>
    <w:p w14:paraId="2950967A">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本项目施工现场设施工营地。项目施工高峰期按施工人数</w:t>
      </w:r>
      <w:r>
        <w:rPr>
          <w:rFonts w:hint="default" w:ascii="Times New Roman" w:hAnsi="Times New Roman" w:eastAsia="宋体" w:cs="Times New Roman"/>
          <w:color w:val="000000"/>
          <w:kern w:val="2"/>
          <w:sz w:val="24"/>
          <w:szCs w:val="24"/>
          <w:lang w:val="en-US" w:eastAsia="zh-CN"/>
        </w:rPr>
        <w:t>20</w:t>
      </w:r>
      <w:r>
        <w:rPr>
          <w:rFonts w:hint="default" w:ascii="Times New Roman" w:hAnsi="Times New Roman" w:eastAsia="宋体" w:cs="Times New Roman"/>
          <w:color w:val="000000"/>
          <w:kern w:val="2"/>
          <w:sz w:val="24"/>
          <w:szCs w:val="24"/>
        </w:rPr>
        <w:t>人计，生活用水定额50L/人</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d计取，生活污水按用水量的80%计，则施工期间产生的</w:t>
      </w:r>
      <w:r>
        <w:rPr>
          <w:rFonts w:hint="eastAsia" w:cs="Times New Roman"/>
          <w:color w:val="000000"/>
          <w:kern w:val="2"/>
          <w:sz w:val="24"/>
          <w:szCs w:val="24"/>
          <w:lang w:eastAsia="zh-CN"/>
        </w:rPr>
        <w:t>生活污水</w:t>
      </w:r>
      <w:r>
        <w:rPr>
          <w:rFonts w:hint="default" w:ascii="Times New Roman" w:hAnsi="Times New Roman" w:eastAsia="宋体" w:cs="Times New Roman"/>
          <w:color w:val="000000"/>
          <w:kern w:val="2"/>
          <w:sz w:val="24"/>
          <w:szCs w:val="24"/>
        </w:rPr>
        <w:t>为Q=</w:t>
      </w:r>
      <w:r>
        <w:rPr>
          <w:rFonts w:hint="default" w:ascii="Times New Roman" w:hAnsi="Times New Roman" w:eastAsia="宋体" w:cs="Times New Roman"/>
          <w:color w:val="000000"/>
          <w:kern w:val="2"/>
          <w:sz w:val="24"/>
          <w:szCs w:val="24"/>
          <w:lang w:val="en-US" w:eastAsia="zh-CN"/>
        </w:rPr>
        <w:t>2</w:t>
      </w:r>
      <w:r>
        <w:rPr>
          <w:rFonts w:hint="default" w:ascii="Times New Roman" w:hAnsi="Times New Roman" w:eastAsia="宋体" w:cs="Times New Roman"/>
          <w:color w:val="000000"/>
          <w:kern w:val="2"/>
          <w:sz w:val="24"/>
          <w:szCs w:val="24"/>
        </w:rPr>
        <w:t>0人×50L/人</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d×0.80=</w:t>
      </w:r>
      <w:r>
        <w:rPr>
          <w:rFonts w:hint="default" w:ascii="Times New Roman" w:hAnsi="Times New Roman" w:eastAsia="宋体" w:cs="Times New Roman"/>
          <w:color w:val="000000"/>
          <w:kern w:val="2"/>
          <w:sz w:val="24"/>
          <w:szCs w:val="24"/>
          <w:lang w:val="en-US" w:eastAsia="zh-CN"/>
        </w:rPr>
        <w:t>0.8</w:t>
      </w:r>
      <w:r>
        <w:rPr>
          <w:rFonts w:hint="default" w:ascii="Times New Roman" w:hAnsi="Times New Roman" w:eastAsia="宋体" w:cs="Times New Roman"/>
          <w:color w:val="000000"/>
          <w:kern w:val="2"/>
          <w:sz w:val="24"/>
          <w:szCs w:val="24"/>
        </w:rPr>
        <w:t>m</w:t>
      </w:r>
      <w:r>
        <w:rPr>
          <w:rFonts w:hint="default" w:ascii="Times New Roman" w:hAnsi="Times New Roman" w:eastAsia="宋体" w:cs="Times New Roman"/>
          <w:color w:val="000000"/>
          <w:kern w:val="2"/>
          <w:sz w:val="24"/>
          <w:szCs w:val="24"/>
          <w:vertAlign w:val="superscript"/>
        </w:rPr>
        <w:t>3</w:t>
      </w:r>
      <w:r>
        <w:rPr>
          <w:rFonts w:hint="default" w:ascii="Times New Roman" w:hAnsi="Times New Roman" w:eastAsia="宋体" w:cs="Times New Roman"/>
          <w:color w:val="000000"/>
          <w:kern w:val="2"/>
          <w:sz w:val="24"/>
          <w:szCs w:val="24"/>
        </w:rPr>
        <w:t>/d，</w:t>
      </w:r>
      <w:r>
        <w:rPr>
          <w:rFonts w:hint="eastAsia" w:cs="Times New Roman"/>
          <w:color w:val="000000"/>
          <w:kern w:val="2"/>
          <w:sz w:val="24"/>
          <w:szCs w:val="24"/>
          <w:lang w:val="en-US" w:eastAsia="zh-CN"/>
        </w:rPr>
        <w:t>设置移动式环保厕所</w:t>
      </w:r>
      <w:r>
        <w:rPr>
          <w:rFonts w:hint="eastAsia" w:eastAsia="宋体" w:cs="Times New Roman"/>
          <w:color w:val="000000"/>
          <w:kern w:val="2"/>
          <w:sz w:val="24"/>
          <w:szCs w:val="24"/>
          <w:lang w:val="en-US" w:eastAsia="zh-CN"/>
        </w:rPr>
        <w:t>，定期拉运至污水处理厂处理</w:t>
      </w:r>
      <w:r>
        <w:rPr>
          <w:rFonts w:hint="default" w:ascii="Times New Roman" w:hAnsi="Times New Roman" w:eastAsia="宋体" w:cs="Times New Roman"/>
          <w:color w:val="000000"/>
          <w:kern w:val="2"/>
          <w:sz w:val="24"/>
          <w:szCs w:val="24"/>
        </w:rPr>
        <w:t>。</w:t>
      </w:r>
    </w:p>
    <w:p w14:paraId="69539327">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.1.3噪声</w:t>
      </w:r>
    </w:p>
    <w:p w14:paraId="352BDE2F">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工程施工中的噪声源可分为连续噪声源和流动噪声源。连续噪声源主要是空压机、搅拌机及其他各类机泵产生的噪声；流动噪声源主要是机动车辆、挖掘机及其他作业设备产生的噪声。</w:t>
      </w:r>
    </w:p>
    <w:p w14:paraId="1604DCB2">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.1.4固体废物</w:t>
      </w:r>
    </w:p>
    <w:p w14:paraId="2010440F">
      <w:pPr>
        <w:widowControl w:val="0"/>
        <w:adjustRightInd w:val="0"/>
        <w:snapToGrid w:val="0"/>
        <w:spacing w:line="360" w:lineRule="auto"/>
        <w:ind w:left="0" w:firstLine="480" w:firstLineChars="200"/>
        <w:jc w:val="both"/>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施工期固废主要是施工建筑垃圾、土石方、工人产生的生活垃圾等。</w:t>
      </w:r>
    </w:p>
    <w:p w14:paraId="3F65BE48">
      <w:pPr>
        <w:widowControl w:val="0"/>
        <w:adjustRightInd w:val="0"/>
        <w:snapToGrid w:val="0"/>
        <w:spacing w:line="360" w:lineRule="auto"/>
        <w:ind w:left="0" w:firstLine="480" w:firstLineChars="200"/>
        <w:jc w:val="both"/>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（1）建筑垃圾</w:t>
      </w:r>
    </w:p>
    <w:p w14:paraId="3A4C1723">
      <w:pPr>
        <w:widowControl w:val="0"/>
        <w:adjustRightInd w:val="0"/>
        <w:snapToGrid w:val="0"/>
        <w:spacing w:line="360" w:lineRule="auto"/>
        <w:ind w:left="0" w:firstLine="480" w:firstLineChars="200"/>
        <w:jc w:val="both"/>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项目施工过程中可能会产生少量的建筑垃圾。本项目建筑垃圾主要为废塑料、废混凝土块以及废弃钢筋、钢板等，施工建筑垃圾中废混凝土块等运至建筑垃圾指定堆放场所，不得随意抛弃、转移和扩散；部分废塑料、废弃钢筋和钢板等可回收固废，分类收集后外售回收单位处置。</w:t>
      </w:r>
    </w:p>
    <w:p w14:paraId="5961CD1A">
      <w:pPr>
        <w:widowControl w:val="0"/>
        <w:adjustRightInd w:val="0"/>
        <w:snapToGrid w:val="0"/>
        <w:spacing w:line="360" w:lineRule="auto"/>
        <w:ind w:left="0" w:firstLine="480" w:firstLineChars="200"/>
        <w:jc w:val="both"/>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（2）土石方</w:t>
      </w:r>
    </w:p>
    <w:p w14:paraId="6487E2FA">
      <w:pPr>
        <w:widowControl w:val="0"/>
        <w:adjustRightInd w:val="0"/>
        <w:snapToGrid w:val="0"/>
        <w:spacing w:line="360" w:lineRule="auto"/>
        <w:ind w:left="0" w:firstLine="480" w:firstLineChars="200"/>
        <w:jc w:val="both"/>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根据建设单位提供的资料，建设工程中土石方主要来源于：供水等管线开挖和回填、场地平整等。工程土方开挖总量约为</w:t>
      </w:r>
      <w:r>
        <w:rPr>
          <w:rFonts w:hint="eastAsia" w:cs="Times New Roman"/>
          <w:sz w:val="24"/>
          <w:szCs w:val="24"/>
          <w:lang w:val="en-US" w:eastAsia="zh-CN"/>
        </w:rPr>
        <w:t>0.8</w:t>
      </w:r>
      <w:r>
        <w:rPr>
          <w:rFonts w:hint="eastAsia" w:ascii="Times New Roman" w:hAnsi="Times New Roman" w:eastAsia="宋体" w:cs="Times New Roman"/>
          <w:sz w:val="24"/>
          <w:szCs w:val="24"/>
          <w:lang w:val="en-US" w:eastAsia="zh-CN"/>
        </w:rPr>
        <w:t>万m</w:t>
      </w:r>
      <w:r>
        <w:rPr>
          <w:rFonts w:hint="eastAsia" w:ascii="Times New Roman" w:hAnsi="Times New Roman" w:eastAsia="宋体" w:cs="Times New Roman"/>
          <w:sz w:val="24"/>
          <w:szCs w:val="24"/>
          <w:vertAlign w:val="superscript"/>
          <w:lang w:val="en-US" w:eastAsia="zh-CN"/>
        </w:rPr>
        <w:t>3</w:t>
      </w:r>
      <w:r>
        <w:rPr>
          <w:rFonts w:hint="eastAsia" w:ascii="Times New Roman" w:hAnsi="Times New Roman" w:eastAsia="宋体" w:cs="Times New Roman"/>
          <w:sz w:val="24"/>
          <w:szCs w:val="24"/>
          <w:lang w:val="en-US" w:eastAsia="zh-CN"/>
        </w:rPr>
        <w:t>，填方主要来源于自身开挖土，挖方基本用于回填，少量碎石用于道路平整。项目土石方自挖自填，土方挖填基本平衡，本项目不产生弃方，同时不设置取土场，施工期少量借方来自</w:t>
      </w:r>
      <w:r>
        <w:rPr>
          <w:rFonts w:hint="eastAsia" w:cs="Times New Roman"/>
          <w:sz w:val="24"/>
          <w:szCs w:val="24"/>
          <w:lang w:val="en-US" w:eastAsia="zh-CN"/>
        </w:rPr>
        <w:t>第七师胡杨河市</w:t>
      </w:r>
      <w:r>
        <w:rPr>
          <w:rFonts w:hint="eastAsia" w:ascii="Times New Roman" w:hAnsi="Times New Roman" w:eastAsia="宋体" w:cs="Times New Roman"/>
          <w:sz w:val="24"/>
          <w:szCs w:val="24"/>
          <w:lang w:val="en-US" w:eastAsia="zh-CN"/>
        </w:rPr>
        <w:t>成品砂石料厂，工程土石方平衡见表3.</w:t>
      </w:r>
      <w:r>
        <w:rPr>
          <w:rFonts w:hint="eastAsia" w:cs="Times New Roman"/>
          <w:sz w:val="24"/>
          <w:szCs w:val="24"/>
          <w:lang w:val="en-US" w:eastAsia="zh-CN"/>
        </w:rPr>
        <w:t>4</w:t>
      </w:r>
      <w:r>
        <w:rPr>
          <w:rFonts w:hint="eastAsia" w:ascii="Times New Roman" w:hAnsi="Times New Roman" w:eastAsia="宋体" w:cs="Times New Roman"/>
          <w:sz w:val="24"/>
          <w:szCs w:val="24"/>
          <w:lang w:val="en-US" w:eastAsia="zh-CN"/>
        </w:rPr>
        <w:t>-1。</w:t>
      </w:r>
    </w:p>
    <w:p w14:paraId="76DCDBF5">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b/>
          <w:color w:val="000000"/>
          <w:sz w:val="24"/>
          <w:szCs w:val="24"/>
          <w:lang w:val="en-US" w:eastAsia="zh-CN" w:bidi="ar-SA"/>
        </w:rPr>
      </w:pPr>
      <w:r>
        <w:rPr>
          <w:rFonts w:hint="eastAsia" w:ascii="Times New Roman" w:hAnsi="Times New Roman" w:eastAsia="宋体" w:cs="宋体"/>
          <w:b/>
          <w:color w:val="000000"/>
          <w:sz w:val="24"/>
          <w:szCs w:val="24"/>
          <w:lang w:val="en-US" w:eastAsia="zh-CN" w:bidi="ar-SA"/>
        </w:rPr>
        <w:t>表3.</w:t>
      </w:r>
      <w:r>
        <w:rPr>
          <w:rFonts w:hint="eastAsia" w:cs="宋体"/>
          <w:b/>
          <w:color w:val="000000"/>
          <w:sz w:val="24"/>
          <w:szCs w:val="24"/>
          <w:lang w:val="en-US" w:eastAsia="zh-CN" w:bidi="ar-SA"/>
        </w:rPr>
        <w:t>4</w:t>
      </w:r>
      <w:r>
        <w:rPr>
          <w:rFonts w:hint="eastAsia" w:ascii="Times New Roman" w:hAnsi="Times New Roman" w:eastAsia="宋体" w:cs="宋体"/>
          <w:b/>
          <w:color w:val="000000"/>
          <w:sz w:val="24"/>
          <w:szCs w:val="24"/>
          <w:lang w:val="en-US" w:eastAsia="zh-CN" w:bidi="ar-SA"/>
        </w:rPr>
        <w:t>-1工程土石方平衡表（单位：万m</w:t>
      </w:r>
      <w:r>
        <w:rPr>
          <w:rFonts w:hint="eastAsia" w:ascii="Times New Roman" w:hAnsi="Times New Roman" w:eastAsia="宋体" w:cs="宋体"/>
          <w:b/>
          <w:color w:val="000000"/>
          <w:sz w:val="24"/>
          <w:szCs w:val="24"/>
          <w:vertAlign w:val="superscript"/>
          <w:lang w:val="en-US" w:eastAsia="zh-CN" w:bidi="ar-SA"/>
        </w:rPr>
        <w:t>3</w:t>
      </w:r>
      <w:r>
        <w:rPr>
          <w:rFonts w:hint="eastAsia" w:ascii="Times New Roman" w:hAnsi="Times New Roman" w:eastAsia="宋体" w:cs="宋体"/>
          <w:b/>
          <w:color w:val="000000"/>
          <w:sz w:val="24"/>
          <w:szCs w:val="24"/>
          <w:lang w:val="en-US" w:eastAsia="zh-CN" w:bidi="ar-SA"/>
        </w:rPr>
        <w:t>）</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82"/>
        <w:gridCol w:w="1464"/>
        <w:gridCol w:w="1641"/>
        <w:gridCol w:w="1676"/>
        <w:gridCol w:w="1241"/>
      </w:tblGrid>
      <w:tr w14:paraId="29205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59" w:type="pct"/>
            <w:tcBorders>
              <w:tl2br w:val="nil"/>
              <w:tr2bl w:val="nil"/>
            </w:tcBorders>
            <w:vAlign w:val="top"/>
          </w:tcPr>
          <w:p w14:paraId="227920F3">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b/>
                <w:bCs/>
                <w:color w:val="000000"/>
                <w:sz w:val="21"/>
                <w:szCs w:val="24"/>
                <w:lang w:val="en-US" w:eastAsia="zh-CN" w:bidi="ar-SA"/>
              </w:rPr>
            </w:pPr>
            <w:r>
              <w:rPr>
                <w:rFonts w:hint="eastAsia" w:ascii="Times New Roman" w:hAnsi="Times New Roman" w:eastAsia="宋体" w:cs="宋体"/>
                <w:b/>
                <w:bCs/>
                <w:color w:val="000000"/>
                <w:sz w:val="21"/>
                <w:szCs w:val="24"/>
                <w:lang w:val="en-US" w:eastAsia="zh-CN" w:bidi="ar-SA"/>
              </w:rPr>
              <w:t>项目组成</w:t>
            </w:r>
          </w:p>
        </w:tc>
        <w:tc>
          <w:tcPr>
            <w:tcW w:w="860" w:type="pct"/>
            <w:tcBorders>
              <w:tl2br w:val="nil"/>
              <w:tr2bl w:val="nil"/>
            </w:tcBorders>
            <w:vAlign w:val="top"/>
          </w:tcPr>
          <w:p w14:paraId="67B0C22D">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b/>
                <w:bCs/>
                <w:color w:val="000000"/>
                <w:sz w:val="21"/>
                <w:szCs w:val="24"/>
                <w:lang w:val="en-US" w:eastAsia="zh-CN" w:bidi="ar-SA"/>
              </w:rPr>
            </w:pPr>
            <w:r>
              <w:rPr>
                <w:rFonts w:hint="eastAsia" w:ascii="Times New Roman" w:hAnsi="Times New Roman" w:eastAsia="宋体" w:cs="宋体"/>
                <w:b/>
                <w:bCs/>
                <w:color w:val="000000"/>
                <w:sz w:val="21"/>
                <w:szCs w:val="24"/>
                <w:lang w:val="en-US" w:eastAsia="zh-CN" w:bidi="ar-SA"/>
              </w:rPr>
              <w:t>挖方</w:t>
            </w:r>
          </w:p>
        </w:tc>
        <w:tc>
          <w:tcPr>
            <w:tcW w:w="964" w:type="pct"/>
            <w:tcBorders>
              <w:tl2br w:val="nil"/>
              <w:tr2bl w:val="nil"/>
            </w:tcBorders>
            <w:vAlign w:val="top"/>
          </w:tcPr>
          <w:p w14:paraId="2C3A03C0">
            <w:pPr>
              <w:widowControl w:val="0"/>
              <w:overflowPunct w:val="0"/>
              <w:autoSpaceDE w:val="0"/>
              <w:autoSpaceDN w:val="0"/>
              <w:bidi w:val="0"/>
              <w:adjustRightInd w:val="0"/>
              <w:snapToGrid w:val="0"/>
              <w:spacing w:before="0" w:after="0" w:line="360" w:lineRule="exact"/>
              <w:ind w:left="0" w:right="0" w:firstLine="0" w:firstLineChars="0"/>
              <w:jc w:val="center"/>
              <w:rPr>
                <w:rFonts w:hint="eastAsia" w:ascii="Times New Roman" w:hAnsi="Times New Roman" w:eastAsia="宋体" w:cs="宋体"/>
                <w:b/>
                <w:bCs/>
                <w:color w:val="000000"/>
                <w:sz w:val="21"/>
                <w:szCs w:val="24"/>
                <w:lang w:val="en-US" w:eastAsia="zh-CN" w:bidi="ar-SA"/>
              </w:rPr>
            </w:pPr>
            <w:r>
              <w:rPr>
                <w:rFonts w:hint="eastAsia" w:ascii="Times New Roman" w:hAnsi="Times New Roman" w:eastAsia="宋体" w:cs="宋体"/>
                <w:b/>
                <w:bCs/>
                <w:color w:val="000000"/>
                <w:sz w:val="21"/>
                <w:szCs w:val="24"/>
                <w:lang w:val="en-US" w:eastAsia="zh-CN" w:bidi="ar-SA"/>
              </w:rPr>
              <w:t>填方</w:t>
            </w:r>
          </w:p>
        </w:tc>
        <w:tc>
          <w:tcPr>
            <w:tcW w:w="985" w:type="pct"/>
            <w:tcBorders>
              <w:tl2br w:val="nil"/>
              <w:tr2bl w:val="nil"/>
            </w:tcBorders>
            <w:vAlign w:val="top"/>
          </w:tcPr>
          <w:p w14:paraId="5FE8C437">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b/>
                <w:bCs/>
                <w:color w:val="000000"/>
                <w:sz w:val="21"/>
                <w:szCs w:val="24"/>
                <w:lang w:val="en-US" w:eastAsia="zh-CN" w:bidi="ar-SA"/>
              </w:rPr>
            </w:pPr>
            <w:r>
              <w:rPr>
                <w:rFonts w:hint="eastAsia" w:ascii="Times New Roman" w:hAnsi="Times New Roman" w:eastAsia="宋体" w:cs="宋体"/>
                <w:b/>
                <w:bCs/>
                <w:color w:val="000000"/>
                <w:sz w:val="21"/>
                <w:szCs w:val="24"/>
                <w:lang w:val="en-US" w:eastAsia="zh-CN" w:bidi="ar-SA"/>
              </w:rPr>
              <w:t>借方</w:t>
            </w:r>
          </w:p>
        </w:tc>
        <w:tc>
          <w:tcPr>
            <w:tcW w:w="729" w:type="pct"/>
            <w:tcBorders>
              <w:tl2br w:val="nil"/>
              <w:tr2bl w:val="nil"/>
            </w:tcBorders>
            <w:vAlign w:val="top"/>
          </w:tcPr>
          <w:p w14:paraId="58EAC304">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b/>
                <w:bCs/>
                <w:color w:val="000000"/>
                <w:sz w:val="21"/>
                <w:szCs w:val="24"/>
                <w:lang w:val="en-US" w:eastAsia="zh-CN" w:bidi="ar-SA"/>
              </w:rPr>
            </w:pPr>
            <w:r>
              <w:rPr>
                <w:rFonts w:hint="eastAsia" w:ascii="Times New Roman" w:hAnsi="Times New Roman" w:eastAsia="宋体" w:cs="宋体"/>
                <w:b/>
                <w:bCs/>
                <w:color w:val="000000"/>
                <w:sz w:val="21"/>
                <w:szCs w:val="24"/>
                <w:lang w:val="en-US" w:eastAsia="zh-CN" w:bidi="ar-SA"/>
              </w:rPr>
              <w:t>弃土</w:t>
            </w:r>
          </w:p>
        </w:tc>
      </w:tr>
      <w:tr w14:paraId="16E0B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459" w:type="pct"/>
            <w:tcBorders>
              <w:tl2br w:val="nil"/>
              <w:tr2bl w:val="nil"/>
            </w:tcBorders>
            <w:vAlign w:val="top"/>
          </w:tcPr>
          <w:p w14:paraId="27446B21">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color w:val="000000"/>
                <w:sz w:val="21"/>
                <w:szCs w:val="24"/>
                <w:lang w:val="en-US" w:eastAsia="zh-CN" w:bidi="ar-SA"/>
              </w:rPr>
            </w:pPr>
            <w:r>
              <w:rPr>
                <w:rFonts w:hint="eastAsia" w:ascii="Times New Roman" w:hAnsi="Times New Roman" w:eastAsia="宋体" w:cs="宋体"/>
                <w:color w:val="000000"/>
                <w:sz w:val="21"/>
                <w:szCs w:val="24"/>
                <w:lang w:val="en-US" w:eastAsia="zh-CN" w:bidi="ar-SA"/>
              </w:rPr>
              <w:t>场地平整、管线开挖</w:t>
            </w:r>
          </w:p>
        </w:tc>
        <w:tc>
          <w:tcPr>
            <w:tcW w:w="860" w:type="pct"/>
            <w:tcBorders>
              <w:tl2br w:val="nil"/>
              <w:tr2bl w:val="nil"/>
            </w:tcBorders>
            <w:vAlign w:val="top"/>
          </w:tcPr>
          <w:p w14:paraId="30709CAA">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color w:val="000000"/>
                <w:sz w:val="21"/>
                <w:szCs w:val="24"/>
                <w:lang w:val="en-US" w:eastAsia="zh-CN" w:bidi="ar-SA"/>
              </w:rPr>
            </w:pPr>
            <w:r>
              <w:rPr>
                <w:rFonts w:hint="eastAsia" w:cs="宋体"/>
                <w:color w:val="000000"/>
                <w:sz w:val="21"/>
                <w:szCs w:val="24"/>
                <w:lang w:val="en-US" w:eastAsia="zh-CN" w:bidi="ar-SA"/>
              </w:rPr>
              <w:t>0.8</w:t>
            </w:r>
          </w:p>
        </w:tc>
        <w:tc>
          <w:tcPr>
            <w:tcW w:w="964" w:type="pct"/>
            <w:tcBorders>
              <w:tl2br w:val="nil"/>
              <w:tr2bl w:val="nil"/>
            </w:tcBorders>
            <w:vAlign w:val="top"/>
          </w:tcPr>
          <w:p w14:paraId="2037260B">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color w:val="000000"/>
                <w:sz w:val="21"/>
                <w:szCs w:val="24"/>
                <w:lang w:val="en-US" w:eastAsia="zh-CN" w:bidi="ar-SA"/>
              </w:rPr>
            </w:pPr>
            <w:r>
              <w:rPr>
                <w:rFonts w:hint="eastAsia" w:cs="宋体"/>
                <w:color w:val="000000"/>
                <w:sz w:val="21"/>
                <w:szCs w:val="24"/>
                <w:lang w:val="en-US" w:eastAsia="zh-CN" w:bidi="ar-SA"/>
              </w:rPr>
              <w:t>1.0</w:t>
            </w:r>
          </w:p>
        </w:tc>
        <w:tc>
          <w:tcPr>
            <w:tcW w:w="985" w:type="pct"/>
            <w:tcBorders>
              <w:tl2br w:val="nil"/>
              <w:tr2bl w:val="nil"/>
            </w:tcBorders>
            <w:vAlign w:val="top"/>
          </w:tcPr>
          <w:p w14:paraId="22D16231">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color w:val="000000"/>
                <w:sz w:val="21"/>
                <w:szCs w:val="24"/>
                <w:lang w:val="en-US" w:eastAsia="zh-CN" w:bidi="ar-SA"/>
              </w:rPr>
            </w:pPr>
            <w:r>
              <w:rPr>
                <w:rFonts w:hint="eastAsia" w:cs="宋体"/>
                <w:color w:val="000000"/>
                <w:sz w:val="21"/>
                <w:szCs w:val="24"/>
                <w:lang w:val="en-US" w:eastAsia="zh-CN" w:bidi="ar-SA"/>
              </w:rPr>
              <w:t>0.2</w:t>
            </w:r>
          </w:p>
        </w:tc>
        <w:tc>
          <w:tcPr>
            <w:tcW w:w="729" w:type="pct"/>
            <w:tcBorders>
              <w:tl2br w:val="nil"/>
              <w:tr2bl w:val="nil"/>
            </w:tcBorders>
            <w:vAlign w:val="top"/>
          </w:tcPr>
          <w:p w14:paraId="60C5AACD">
            <w:pPr>
              <w:widowControl w:val="0"/>
              <w:overflowPunct w:val="0"/>
              <w:autoSpaceDE w:val="0"/>
              <w:autoSpaceDN w:val="0"/>
              <w:bidi w:val="0"/>
              <w:adjustRightInd w:val="0"/>
              <w:snapToGrid w:val="0"/>
              <w:spacing w:before="0" w:after="0" w:line="360" w:lineRule="exact"/>
              <w:ind w:left="0" w:right="0" w:firstLine="0" w:firstLineChars="0"/>
              <w:jc w:val="center"/>
              <w:rPr>
                <w:rFonts w:hint="default" w:ascii="Times New Roman" w:hAnsi="Times New Roman" w:eastAsia="宋体" w:cs="宋体"/>
                <w:color w:val="000000"/>
                <w:sz w:val="21"/>
                <w:szCs w:val="24"/>
                <w:lang w:val="en-US" w:eastAsia="zh-CN" w:bidi="ar-SA"/>
              </w:rPr>
            </w:pPr>
            <w:r>
              <w:rPr>
                <w:rFonts w:hint="eastAsia" w:ascii="Times New Roman" w:hAnsi="Times New Roman" w:eastAsia="宋体" w:cs="宋体"/>
                <w:color w:val="000000"/>
                <w:sz w:val="21"/>
                <w:szCs w:val="24"/>
                <w:lang w:val="en-US" w:eastAsia="zh-CN" w:bidi="ar-SA"/>
              </w:rPr>
              <w:t>0</w:t>
            </w:r>
          </w:p>
        </w:tc>
      </w:tr>
    </w:tbl>
    <w:p w14:paraId="38B9E72F">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000000"/>
          <w:kern w:val="2"/>
          <w:sz w:val="24"/>
          <w:szCs w:val="24"/>
        </w:rPr>
      </w:pPr>
      <w:r>
        <w:rPr>
          <w:rFonts w:hint="eastAsia" w:ascii="Times New Roman" w:hAnsi="Times New Roman" w:eastAsia="宋体" w:cs="宋体"/>
          <w:color w:val="000000"/>
          <w:kern w:val="0"/>
          <w:sz w:val="24"/>
          <w:szCs w:val="24"/>
          <w:highlight w:val="none"/>
          <w:lang w:val="en-US" w:eastAsia="zh-CN" w:bidi="ar"/>
        </w:rPr>
        <w:t>项目临时挖方堆放设置临时施工作业带，分段作业并设置防风抑尘网，堆放及运输过</w:t>
      </w:r>
      <w:r>
        <w:rPr>
          <w:rFonts w:hint="eastAsia" w:ascii="Times New Roman" w:hAnsi="Times New Roman" w:cs="宋体"/>
          <w:color w:val="000000"/>
          <w:kern w:val="0"/>
          <w:sz w:val="24"/>
          <w:szCs w:val="24"/>
          <w:highlight w:val="none"/>
          <w:lang w:val="en-US" w:eastAsia="zh-CN" w:bidi="ar"/>
        </w:rPr>
        <w:t>程中</w:t>
      </w:r>
      <w:r>
        <w:rPr>
          <w:rFonts w:hint="eastAsia" w:ascii="Times New Roman" w:hAnsi="Times New Roman" w:eastAsia="宋体" w:cs="宋体"/>
          <w:color w:val="000000"/>
          <w:kern w:val="0"/>
          <w:sz w:val="24"/>
          <w:szCs w:val="24"/>
          <w:highlight w:val="none"/>
          <w:lang w:val="en-US" w:eastAsia="zh-CN" w:bidi="ar"/>
        </w:rPr>
        <w:t>注意加强管理，做好定期洒水抑尘工作，减少土方堆放对环境空气的影响，对周边环境影响不大。</w:t>
      </w:r>
    </w:p>
    <w:p w14:paraId="57EBBA52">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w:t>
      </w:r>
      <w:r>
        <w:rPr>
          <w:rFonts w:hint="eastAsia"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rPr>
        <w:t>）施工人员生活垃圾</w:t>
      </w:r>
    </w:p>
    <w:p w14:paraId="61384AF2">
      <w:pPr>
        <w:spacing w:line="360" w:lineRule="auto"/>
        <w:ind w:firstLine="480" w:firstLineChars="200"/>
        <w:rPr>
          <w:rFonts w:hint="default" w:ascii="Times New Roman" w:hAnsi="Times New Roman" w:eastAsia="宋体" w:cs="Times New Roman"/>
          <w:color w:val="000000"/>
          <w:kern w:val="2"/>
          <w:sz w:val="24"/>
          <w:szCs w:val="24"/>
        </w:rPr>
      </w:pPr>
      <w:r>
        <w:rPr>
          <w:rFonts w:hint="default" w:ascii="Times New Roman" w:hAnsi="Times New Roman" w:eastAsia="宋体" w:cs="Times New Roman"/>
          <w:color w:val="000000"/>
          <w:kern w:val="2"/>
          <w:sz w:val="24"/>
          <w:szCs w:val="24"/>
        </w:rPr>
        <w:t>施工期间项目施工高峰期施工人员按</w:t>
      </w:r>
      <w:r>
        <w:rPr>
          <w:rFonts w:hint="default" w:ascii="Times New Roman" w:hAnsi="Times New Roman" w:eastAsia="宋体" w:cs="Times New Roman"/>
          <w:color w:val="000000"/>
          <w:kern w:val="2"/>
          <w:sz w:val="24"/>
          <w:szCs w:val="24"/>
          <w:lang w:val="en-US" w:eastAsia="zh-CN"/>
        </w:rPr>
        <w:t>20</w:t>
      </w:r>
      <w:r>
        <w:rPr>
          <w:rFonts w:hint="default" w:ascii="Times New Roman" w:hAnsi="Times New Roman" w:eastAsia="宋体" w:cs="Times New Roman"/>
          <w:color w:val="000000"/>
          <w:kern w:val="2"/>
          <w:sz w:val="24"/>
          <w:szCs w:val="24"/>
        </w:rPr>
        <w:t>人计，生活垃圾按0.</w:t>
      </w:r>
      <w:r>
        <w:rPr>
          <w:rFonts w:hint="eastAsia" w:ascii="Times New Roman" w:hAnsi="Times New Roman" w:eastAsia="宋体" w:cs="Times New Roman"/>
          <w:color w:val="000000"/>
          <w:kern w:val="2"/>
          <w:sz w:val="24"/>
          <w:szCs w:val="24"/>
          <w:lang w:val="en-US" w:eastAsia="zh-CN"/>
        </w:rPr>
        <w:t>5</w:t>
      </w:r>
      <w:r>
        <w:rPr>
          <w:rFonts w:hint="default" w:ascii="Times New Roman" w:hAnsi="Times New Roman" w:eastAsia="宋体" w:cs="Times New Roman"/>
          <w:color w:val="000000"/>
          <w:kern w:val="2"/>
          <w:sz w:val="24"/>
          <w:szCs w:val="24"/>
        </w:rPr>
        <w:t>0kg/人</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d计，则施工期间生活垃圾日产生量约</w:t>
      </w:r>
      <w:r>
        <w:rPr>
          <w:rFonts w:hint="eastAsia" w:ascii="Times New Roman" w:hAnsi="Times New Roman" w:eastAsia="宋体" w:cs="Times New Roman"/>
          <w:color w:val="000000"/>
          <w:kern w:val="2"/>
          <w:sz w:val="24"/>
          <w:szCs w:val="24"/>
          <w:lang w:val="en-US" w:eastAsia="zh-CN"/>
        </w:rPr>
        <w:t>10</w:t>
      </w:r>
      <w:r>
        <w:rPr>
          <w:rFonts w:hint="default" w:ascii="Times New Roman" w:hAnsi="Times New Roman" w:eastAsia="宋体" w:cs="Times New Roman"/>
          <w:color w:val="000000"/>
          <w:kern w:val="2"/>
          <w:sz w:val="24"/>
          <w:szCs w:val="24"/>
        </w:rPr>
        <w:t>kg/d。</w:t>
      </w:r>
      <w:r>
        <w:rPr>
          <w:rFonts w:hint="eastAsia" w:eastAsia="宋体" w:cs="Times New Roman"/>
          <w:color w:val="000000"/>
          <w:kern w:val="2"/>
          <w:sz w:val="24"/>
          <w:szCs w:val="24"/>
          <w:lang w:val="en-US" w:eastAsia="zh-CN"/>
        </w:rPr>
        <w:t>集中</w:t>
      </w:r>
      <w:r>
        <w:rPr>
          <w:rFonts w:hint="default" w:ascii="Times New Roman" w:hAnsi="Times New Roman" w:eastAsia="宋体" w:cs="Times New Roman"/>
          <w:color w:val="000000"/>
          <w:kern w:val="2"/>
          <w:sz w:val="24"/>
          <w:szCs w:val="24"/>
        </w:rPr>
        <w:t>收集后委托环卫部门</w:t>
      </w:r>
      <w:r>
        <w:rPr>
          <w:rFonts w:hint="eastAsia" w:eastAsia="宋体" w:cs="Times New Roman"/>
          <w:color w:val="000000"/>
          <w:kern w:val="2"/>
          <w:sz w:val="24"/>
          <w:szCs w:val="24"/>
          <w:lang w:val="en-US" w:eastAsia="zh-CN"/>
        </w:rPr>
        <w:t>定期</w:t>
      </w:r>
      <w:r>
        <w:rPr>
          <w:rFonts w:hint="default" w:ascii="Times New Roman" w:hAnsi="Times New Roman" w:eastAsia="宋体" w:cs="Times New Roman"/>
          <w:color w:val="000000"/>
          <w:kern w:val="2"/>
          <w:sz w:val="24"/>
          <w:szCs w:val="24"/>
        </w:rPr>
        <w:t>清运。</w:t>
      </w:r>
    </w:p>
    <w:p w14:paraId="15602632">
      <w:pPr>
        <w:keepNext w:val="0"/>
        <w:keepLines w:val="0"/>
        <w:pageBreakBefore w:val="0"/>
        <w:widowControl w:val="0"/>
        <w:numPr>
          <w:ilvl w:val="2"/>
          <w:numId w:val="0"/>
        </w:numPr>
        <w:wordWrap/>
        <w:topLinePunct w:val="0"/>
        <w:bidi w:val="0"/>
        <w:adjustRightInd/>
        <w:snapToGrid/>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341" w:name="_Toc3665"/>
      <w:bookmarkStart w:id="342" w:name="_Toc18680"/>
      <w:bookmarkStart w:id="343" w:name="_Toc26321"/>
      <w:r>
        <w:rPr>
          <w:rFonts w:hint="default"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.2运营期污染源分析</w:t>
      </w:r>
      <w:bookmarkEnd w:id="341"/>
      <w:bookmarkEnd w:id="342"/>
      <w:bookmarkEnd w:id="343"/>
    </w:p>
    <w:p w14:paraId="47372E96">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.2.1废气</w:t>
      </w:r>
    </w:p>
    <w:p w14:paraId="20DE2D1F">
      <w:pPr>
        <w:widowControl w:val="0"/>
        <w:overflowPunct/>
        <w:autoSpaceDE/>
        <w:autoSpaceDN/>
        <w:adjustRightInd/>
        <w:snapToGrid/>
        <w:spacing w:before="0" w:after="0" w:line="360" w:lineRule="auto"/>
        <w:ind w:left="0" w:right="0" w:firstLine="480" w:firstLineChars="200"/>
        <w:jc w:val="both"/>
        <w:rPr>
          <w:rFonts w:hint="default"/>
          <w:highlight w:val="none"/>
          <w:lang w:val="en-US" w:eastAsia="zh-CN"/>
        </w:rPr>
      </w:pPr>
      <w:r>
        <w:rPr>
          <w:rFonts w:hint="default" w:ascii="Times New Roman" w:hAnsi="Times New Roman" w:eastAsia="宋体" w:cs="Times New Roman"/>
          <w:kern w:val="2"/>
          <w:sz w:val="24"/>
          <w:szCs w:val="24"/>
          <w:highlight w:val="none"/>
        </w:rPr>
        <w:t>本项目运营后，主要的大气污染源包括：</w:t>
      </w:r>
      <w:r>
        <w:rPr>
          <w:rFonts w:hint="default" w:ascii="Times New Roman" w:hAnsi="Times New Roman" w:eastAsia="宋体" w:cs="Times New Roman"/>
          <w:color w:val="auto"/>
          <w:sz w:val="24"/>
          <w:szCs w:val="24"/>
          <w:highlight w:val="none"/>
          <w:lang w:val="en-US" w:eastAsia="zh-CN"/>
        </w:rPr>
        <w:t>养殖</w:t>
      </w:r>
      <w:r>
        <w:rPr>
          <w:rFonts w:hint="default" w:ascii="Times New Roman" w:hAnsi="Times New Roman" w:eastAsia="宋体" w:cs="Times New Roman"/>
          <w:color w:val="auto"/>
          <w:sz w:val="24"/>
          <w:szCs w:val="24"/>
          <w:highlight w:val="none"/>
          <w:lang w:eastAsia="zh-CN"/>
        </w:rPr>
        <w:t>恶臭</w:t>
      </w:r>
      <w:r>
        <w:rPr>
          <w:rFonts w:hint="eastAsia" w:cs="Times New Roman"/>
          <w:color w:val="auto"/>
          <w:sz w:val="24"/>
          <w:szCs w:val="24"/>
          <w:highlight w:val="none"/>
          <w:lang w:val="en-US" w:eastAsia="zh-CN"/>
        </w:rPr>
        <w:t>、饲料粉碎粉尘</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饲料搅拌粉尘</w:t>
      </w:r>
      <w:r>
        <w:rPr>
          <w:rFonts w:hint="eastAsia" w:cs="Times New Roman"/>
          <w:color w:val="auto"/>
          <w:sz w:val="24"/>
          <w:szCs w:val="24"/>
          <w:highlight w:val="none"/>
          <w:lang w:val="en-US" w:eastAsia="zh-CN"/>
        </w:rPr>
        <w:t>、饲料撒料粉尘</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堆肥区废气（卸料粉尘、暂存粉尘）、堆肥间废气（翻抛混料废气、发酵废气）、移动源尾气</w:t>
      </w:r>
      <w:r>
        <w:rPr>
          <w:rFonts w:hint="eastAsia" w:ascii="Times New Roman" w:hAnsi="Times New Roman" w:eastAsia="宋体" w:cs="Times New Roman"/>
          <w:snapToGrid w:val="0"/>
          <w:color w:val="auto"/>
          <w:sz w:val="24"/>
          <w:szCs w:val="24"/>
          <w:highlight w:val="none"/>
          <w:lang w:val="en-US" w:eastAsia="zh-CN" w:bidi="ar-SA"/>
        </w:rPr>
        <w:t>。</w:t>
      </w:r>
    </w:p>
    <w:p w14:paraId="4E6A0EF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val="en-US" w:eastAsia="zh-CN"/>
        </w:rPr>
        <w:t>养殖</w:t>
      </w:r>
      <w:r>
        <w:rPr>
          <w:rFonts w:hint="default" w:ascii="Times New Roman" w:hAnsi="Times New Roman" w:eastAsia="宋体" w:cs="Times New Roman"/>
          <w:color w:val="auto"/>
          <w:sz w:val="24"/>
          <w:szCs w:val="24"/>
          <w:lang w:eastAsia="zh-CN"/>
        </w:rPr>
        <w:t>恶臭</w:t>
      </w:r>
    </w:p>
    <w:p w14:paraId="6A820DC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本项目运行期恶臭气体主</w:t>
      </w:r>
      <w:r>
        <w:rPr>
          <w:rFonts w:hint="eastAsia" w:cs="Times New Roman"/>
          <w:color w:val="auto"/>
          <w:sz w:val="24"/>
          <w:szCs w:val="24"/>
          <w:lang w:eastAsia="zh-CN"/>
        </w:rPr>
        <w:t>要是</w:t>
      </w:r>
      <w:r>
        <w:rPr>
          <w:rFonts w:hint="default" w:ascii="Times New Roman" w:hAnsi="Times New Roman" w:eastAsia="宋体" w:cs="Times New Roman"/>
          <w:color w:val="auto"/>
          <w:sz w:val="24"/>
          <w:szCs w:val="24"/>
        </w:rPr>
        <w:t>粪污分解产生的。目前已鉴定出的恶臭成分有94种，这些恶臭成分可分为挥发性脂肪酸、醇类、酚类、酸类、醛类、酮类、胺类、硫醇类，以及含氮杂环化合物等9类有机化合物和氨、硫化氢两种无机物。其中主要恶臭物质为硫化氢、氨、乙烯醇、二甲基硫醚、甲胺、三甲胺等物质，刺激人的嗅觉器官，引起人的厌恶或不愉快。各组分排放量很低，但成分复杂。气味大小与臭气在空气中的浓度有关。本环评主要考虑恶臭气体中含量较高的硫化氢、氨两种恶臭物质。</w:t>
      </w:r>
    </w:p>
    <w:p w14:paraId="673E2E17">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w:t>
      </w:r>
      <w:r>
        <w:rPr>
          <w:rFonts w:hint="eastAsia" w:eastAsia="宋体" w:cs="Times New Roman"/>
          <w:color w:val="auto"/>
          <w:sz w:val="24"/>
          <w:szCs w:val="24"/>
          <w:lang w:val="en-US" w:eastAsia="zh-CN"/>
        </w:rPr>
        <w:t>养殖场</w:t>
      </w:r>
      <w:r>
        <w:rPr>
          <w:rFonts w:hint="eastAsia" w:cs="Times New Roman"/>
          <w:color w:val="auto"/>
          <w:sz w:val="24"/>
          <w:szCs w:val="24"/>
          <w:lang w:val="en-US" w:eastAsia="zh-CN"/>
        </w:rPr>
        <w:t>场界内</w:t>
      </w:r>
      <w:r>
        <w:rPr>
          <w:rFonts w:hint="default" w:ascii="Times New Roman" w:hAnsi="Times New Roman" w:eastAsia="宋体" w:cs="Times New Roman"/>
          <w:color w:val="auto"/>
          <w:sz w:val="24"/>
          <w:szCs w:val="24"/>
        </w:rPr>
        <w:t>恶臭排放源包括：圈舍</w:t>
      </w:r>
      <w:r>
        <w:rPr>
          <w:rFonts w:hint="eastAsia" w:eastAsia="宋体" w:cs="Times New Roman"/>
          <w:color w:val="auto"/>
          <w:sz w:val="24"/>
          <w:szCs w:val="24"/>
          <w:lang w:val="en-US" w:eastAsia="zh-CN"/>
        </w:rPr>
        <w:t>、</w:t>
      </w:r>
      <w:r>
        <w:rPr>
          <w:rFonts w:hint="eastAsia" w:cs="Times New Roman"/>
          <w:color w:val="auto"/>
          <w:sz w:val="24"/>
          <w:szCs w:val="24"/>
          <w:lang w:val="en-US" w:eastAsia="zh-CN"/>
        </w:rPr>
        <w:t>储存、施肥</w:t>
      </w:r>
      <w:r>
        <w:rPr>
          <w:rFonts w:hint="default" w:ascii="Times New Roman" w:hAnsi="Times New Roman" w:eastAsia="宋体" w:cs="Times New Roman"/>
          <w:color w:val="auto"/>
          <w:sz w:val="24"/>
          <w:szCs w:val="24"/>
          <w:lang w:val="en-US" w:eastAsia="zh-CN"/>
        </w:rPr>
        <w:t>整个过程</w:t>
      </w:r>
      <w:r>
        <w:rPr>
          <w:rFonts w:hint="default" w:ascii="Times New Roman" w:hAnsi="Times New Roman" w:eastAsia="宋体" w:cs="Times New Roman"/>
          <w:color w:val="auto"/>
          <w:sz w:val="24"/>
          <w:szCs w:val="24"/>
        </w:rPr>
        <w:t>等</w:t>
      </w:r>
      <w:r>
        <w:rPr>
          <w:rFonts w:hint="eastAsia" w:eastAsia="宋体" w:cs="Times New Roman"/>
          <w:color w:val="auto"/>
          <w:sz w:val="24"/>
          <w:szCs w:val="24"/>
          <w:lang w:eastAsia="zh-CN"/>
        </w:rPr>
        <w:t>，</w:t>
      </w:r>
      <w:r>
        <w:rPr>
          <w:rFonts w:hint="eastAsia" w:eastAsia="宋体" w:cs="Times New Roman"/>
          <w:color w:val="auto"/>
          <w:sz w:val="24"/>
          <w:szCs w:val="24"/>
          <w:lang w:val="en-US" w:eastAsia="zh-CN"/>
        </w:rPr>
        <w:t>其中</w:t>
      </w:r>
      <w:r>
        <w:rPr>
          <w:rFonts w:hint="eastAsia" w:cs="Times New Roman"/>
          <w:color w:val="auto"/>
          <w:sz w:val="24"/>
          <w:szCs w:val="24"/>
          <w:lang w:val="en-US" w:eastAsia="zh-CN"/>
        </w:rPr>
        <w:t>储存主要为发酵床，固体粪便运至堆肥间翻抛后还田施肥</w:t>
      </w:r>
      <w:r>
        <w:rPr>
          <w:rFonts w:hint="default" w:ascii="Times New Roman" w:hAnsi="Times New Roman" w:eastAsia="宋体" w:cs="Times New Roman"/>
          <w:color w:val="auto"/>
          <w:sz w:val="24"/>
          <w:szCs w:val="24"/>
        </w:rPr>
        <w:t>。</w:t>
      </w:r>
    </w:p>
    <w:p w14:paraId="76124C7D">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根据王文林等《畜禽养殖氨排放清单研究现状与实证</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生态与农村环境学报》2018年第9期813-820以及《大气氨源排放清单编制技术指南（试行）》，氨排放系数核算公式如式：</w:t>
      </w:r>
    </w:p>
    <w:p w14:paraId="6917702C">
      <w:pPr>
        <w:keepNext w:val="0"/>
        <w:keepLines w:val="0"/>
        <w:pageBreakBefore w:val="0"/>
        <w:wordWrap/>
        <w:topLinePunct w:val="0"/>
        <w:bidi w:val="0"/>
        <w:adjustRightInd/>
        <w:snapToGrid/>
        <w:spacing w:line="360" w:lineRule="auto"/>
        <w:jc w:val="center"/>
        <w:rPr>
          <w:rFonts w:hint="eastAsia"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drawing>
          <wp:inline distT="0" distB="0" distL="114300" distR="114300">
            <wp:extent cx="5391150" cy="426085"/>
            <wp:effectExtent l="0" t="0" r="0" b="12065"/>
            <wp:docPr id="404" name="图片 404" descr="172361432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404" descr="1723614323704"/>
                    <pic:cNvPicPr>
                      <a:picLocks noChangeAspect="1"/>
                    </pic:cNvPicPr>
                  </pic:nvPicPr>
                  <pic:blipFill>
                    <a:blip r:embed="rId24"/>
                    <a:stretch>
                      <a:fillRect/>
                    </a:stretch>
                  </pic:blipFill>
                  <pic:spPr>
                    <a:xfrm>
                      <a:off x="0" y="0"/>
                      <a:ext cx="5391150" cy="426085"/>
                    </a:xfrm>
                    <a:prstGeom prst="rect">
                      <a:avLst/>
                    </a:prstGeom>
                  </pic:spPr>
                </pic:pic>
              </a:graphicData>
            </a:graphic>
          </wp:inline>
        </w:drawing>
      </w:r>
      <w:r>
        <w:rPr>
          <w:rFonts w:hint="eastAsia" w:eastAsia="宋体" w:cs="Times New Roman"/>
          <w:b w:val="0"/>
          <w:bCs w:val="0"/>
          <w:color w:val="auto"/>
          <w:sz w:val="24"/>
          <w:szCs w:val="24"/>
          <w:lang w:val="en-US" w:eastAsia="zh-CN"/>
        </w:rPr>
        <w:drawing>
          <wp:inline distT="0" distB="0" distL="114300" distR="114300">
            <wp:extent cx="2573655" cy="721360"/>
            <wp:effectExtent l="0" t="0" r="17145" b="2540"/>
            <wp:docPr id="405" name="图片 405" descr="172360848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405" descr="1723608487849"/>
                    <pic:cNvPicPr>
                      <a:picLocks noChangeAspect="1"/>
                    </pic:cNvPicPr>
                  </pic:nvPicPr>
                  <pic:blipFill>
                    <a:blip r:embed="rId25"/>
                    <a:stretch>
                      <a:fillRect/>
                    </a:stretch>
                  </pic:blipFill>
                  <pic:spPr>
                    <a:xfrm>
                      <a:off x="0" y="0"/>
                      <a:ext cx="2573655" cy="721360"/>
                    </a:xfrm>
                    <a:prstGeom prst="rect">
                      <a:avLst/>
                    </a:prstGeom>
                  </pic:spPr>
                </pic:pic>
              </a:graphicData>
            </a:graphic>
          </wp:inline>
        </w:drawing>
      </w:r>
    </w:p>
    <w:p w14:paraId="4F60FD3A">
      <w:pPr>
        <w:widowControl w:val="0"/>
        <w:tabs>
          <w:tab w:val="left" w:pos="1845"/>
        </w:tabs>
        <w:autoSpaceDE w:val="0"/>
        <w:autoSpaceDN w:val="0"/>
        <w:adjustRightInd w:val="0"/>
        <w:snapToGrid w:val="0"/>
        <w:spacing w:line="240" w:lineRule="auto"/>
        <w:ind w:firstLine="0" w:firstLineChars="0"/>
        <w:jc w:val="center"/>
        <w:rPr>
          <w:rFonts w:hint="eastAsia" w:ascii="宋体" w:hAnsi="Calibri" w:eastAsia="宋体" w:cs="宋体"/>
          <w:b/>
          <w:color w:val="000000"/>
          <w:kern w:val="2"/>
          <w:sz w:val="24"/>
          <w:szCs w:val="24"/>
          <w:lang w:val="en-US" w:eastAsia="zh-CN" w:bidi="ar-SA"/>
        </w:rPr>
      </w:pPr>
      <w:r>
        <w:rPr>
          <w:rFonts w:hint="eastAsia" w:ascii="宋体" w:hAnsi="Calibri" w:eastAsia="宋体" w:cs="宋体"/>
          <w:b/>
          <w:color w:val="000000"/>
          <w:kern w:val="2"/>
          <w:sz w:val="24"/>
          <w:szCs w:val="24"/>
          <w:lang w:val="en-US" w:eastAsia="zh-CN" w:bidi="ar-SA"/>
        </w:rPr>
        <w:drawing>
          <wp:inline distT="0" distB="0" distL="114300" distR="114300">
            <wp:extent cx="2295525" cy="688975"/>
            <wp:effectExtent l="0" t="0" r="9525" b="15875"/>
            <wp:docPr id="406" name="图片 406" descr="172360854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406" descr="1723608548230"/>
                    <pic:cNvPicPr>
                      <a:picLocks noChangeAspect="1"/>
                    </pic:cNvPicPr>
                  </pic:nvPicPr>
                  <pic:blipFill>
                    <a:blip r:embed="rId26"/>
                    <a:stretch>
                      <a:fillRect/>
                    </a:stretch>
                  </pic:blipFill>
                  <pic:spPr>
                    <a:xfrm>
                      <a:off x="0" y="0"/>
                      <a:ext cx="2295525" cy="688975"/>
                    </a:xfrm>
                    <a:prstGeom prst="rect">
                      <a:avLst/>
                    </a:prstGeom>
                  </pic:spPr>
                </pic:pic>
              </a:graphicData>
            </a:graphic>
          </wp:inline>
        </w:drawing>
      </w:r>
    </w:p>
    <w:p w14:paraId="03D75D93">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式中</w:t>
      </w:r>
      <w:r>
        <w:rPr>
          <w:rFonts w:hint="eastAsia" w:cs="Times New Roman"/>
          <w:b w:val="0"/>
          <w:bCs w:val="0"/>
          <w:color w:val="auto"/>
          <w:sz w:val="24"/>
          <w:szCs w:val="24"/>
          <w:lang w:val="en-US" w:eastAsia="zh-CN"/>
        </w:rPr>
        <w:t>E</w:t>
      </w:r>
      <w:r>
        <w:rPr>
          <w:rFonts w:hint="eastAsia" w:cs="Times New Roman"/>
          <w:b w:val="0"/>
          <w:bCs w:val="0"/>
          <w:color w:val="auto"/>
          <w:sz w:val="24"/>
          <w:szCs w:val="24"/>
          <w:vertAlign w:val="subscript"/>
          <w:lang w:val="en-US" w:eastAsia="zh-CN"/>
        </w:rPr>
        <w:t>畜禽</w:t>
      </w:r>
      <w:r>
        <w:rPr>
          <w:rFonts w:hint="eastAsia" w:eastAsia="宋体" w:cs="Times New Roman"/>
          <w:b w:val="0"/>
          <w:bCs w:val="0"/>
          <w:color w:val="auto"/>
          <w:sz w:val="24"/>
          <w:szCs w:val="24"/>
          <w:lang w:val="en-US" w:eastAsia="zh-CN"/>
        </w:rPr>
        <w:t>为</w:t>
      </w:r>
      <w:r>
        <w:rPr>
          <w:rFonts w:hint="eastAsia" w:cs="Times New Roman"/>
          <w:b w:val="0"/>
          <w:bCs w:val="0"/>
          <w:color w:val="auto"/>
          <w:sz w:val="24"/>
          <w:szCs w:val="24"/>
          <w:lang w:val="en-US" w:eastAsia="zh-CN"/>
        </w:rPr>
        <w:t>畜禽养殖圈舍、储存、施肥</w:t>
      </w:r>
      <w:r>
        <w:rPr>
          <w:rFonts w:hint="eastAsia" w:eastAsia="宋体" w:cs="Times New Roman"/>
          <w:b w:val="0"/>
          <w:bCs w:val="0"/>
          <w:color w:val="auto"/>
          <w:sz w:val="24"/>
          <w:szCs w:val="24"/>
          <w:lang w:val="en-US" w:eastAsia="zh-CN"/>
        </w:rPr>
        <w:t>环节氨排放</w:t>
      </w:r>
      <w:r>
        <w:rPr>
          <w:rFonts w:hint="eastAsia" w:cs="Times New Roman"/>
          <w:b w:val="0"/>
          <w:bCs w:val="0"/>
          <w:color w:val="auto"/>
          <w:sz w:val="24"/>
          <w:szCs w:val="24"/>
          <w:lang w:val="en-US" w:eastAsia="zh-CN"/>
        </w:rPr>
        <w:t>量，畜禽排泄物释放大气氨包含户外、圈舍－液态、圈舍－固态、存储－液态、存储－固态、施肥－液态、施肥－固态共7个部分</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p>
    <w:p w14:paraId="19871EA0">
      <w:pPr>
        <w:keepNext w:val="0"/>
        <w:keepLines w:val="0"/>
        <w:pageBreakBefore w:val="0"/>
        <w:wordWrap/>
        <w:topLinePunct w:val="0"/>
        <w:bidi w:val="0"/>
        <w:adjustRightInd/>
        <w:snapToGrid/>
        <w:spacing w:line="360" w:lineRule="auto"/>
        <w:ind w:firstLine="480"/>
        <w:rPr>
          <w:rFonts w:hint="eastAsia"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集约化养殖条件下畜禽排泄物在室内户外分别占100%和0。</w:t>
      </w:r>
    </w:p>
    <w:p w14:paraId="0F9C8309">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E</w:t>
      </w:r>
      <w:r>
        <w:rPr>
          <w:rFonts w:hint="eastAsia" w:cs="Times New Roman"/>
          <w:b w:val="0"/>
          <w:bCs w:val="0"/>
          <w:color w:val="auto"/>
          <w:sz w:val="24"/>
          <w:szCs w:val="24"/>
          <w:vertAlign w:val="subscript"/>
          <w:lang w:val="en-US" w:eastAsia="zh-CN"/>
        </w:rPr>
        <w:t>圈</w:t>
      </w:r>
      <w:r>
        <w:rPr>
          <w:rFonts w:hint="eastAsia" w:eastAsia="宋体" w:cs="Times New Roman"/>
          <w:b w:val="0"/>
          <w:bCs w:val="0"/>
          <w:color w:val="auto"/>
          <w:sz w:val="24"/>
          <w:szCs w:val="24"/>
          <w:vertAlign w:val="subscript"/>
          <w:lang w:val="en-US" w:eastAsia="zh-CN"/>
        </w:rPr>
        <w:t>舍－液态</w:t>
      </w:r>
      <w:r>
        <w:rPr>
          <w:rFonts w:hint="eastAsia" w:eastAsia="宋体" w:cs="Times New Roman"/>
          <w:b w:val="0"/>
          <w:bCs w:val="0"/>
          <w:color w:val="auto"/>
          <w:sz w:val="24"/>
          <w:szCs w:val="24"/>
          <w:lang w:val="en-US" w:eastAsia="zh-CN"/>
        </w:rPr>
        <w:t>为圈舍环节液态粪污单位牲畜氨排放</w:t>
      </w:r>
      <w:r>
        <w:rPr>
          <w:rFonts w:hint="eastAsia" w:cs="Times New Roman"/>
          <w:b w:val="0"/>
          <w:bCs w:val="0"/>
          <w:color w:val="auto"/>
          <w:sz w:val="24"/>
          <w:szCs w:val="24"/>
          <w:lang w:val="en-US" w:eastAsia="zh-CN"/>
        </w:rPr>
        <w:t>量</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2777.17</w:t>
      </w:r>
    </w:p>
    <w:p w14:paraId="7EFE1B3C">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E</w:t>
      </w:r>
      <w:r>
        <w:rPr>
          <w:rFonts w:hint="eastAsia" w:cs="Times New Roman"/>
          <w:b w:val="0"/>
          <w:bCs w:val="0"/>
          <w:color w:val="auto"/>
          <w:sz w:val="24"/>
          <w:szCs w:val="24"/>
          <w:vertAlign w:val="subscript"/>
          <w:lang w:val="en-US" w:eastAsia="zh-CN"/>
        </w:rPr>
        <w:t>圈</w:t>
      </w:r>
      <w:r>
        <w:rPr>
          <w:rFonts w:hint="eastAsia" w:eastAsia="宋体" w:cs="Times New Roman"/>
          <w:b w:val="0"/>
          <w:bCs w:val="0"/>
          <w:color w:val="auto"/>
          <w:sz w:val="24"/>
          <w:szCs w:val="24"/>
          <w:vertAlign w:val="subscript"/>
          <w:lang w:val="en-US" w:eastAsia="zh-CN"/>
        </w:rPr>
        <w:t>舍－固态</w:t>
      </w:r>
      <w:r>
        <w:rPr>
          <w:rFonts w:hint="eastAsia" w:eastAsia="宋体" w:cs="Times New Roman"/>
          <w:b w:val="0"/>
          <w:bCs w:val="0"/>
          <w:color w:val="auto"/>
          <w:sz w:val="24"/>
          <w:szCs w:val="24"/>
          <w:lang w:val="en-US" w:eastAsia="zh-CN"/>
        </w:rPr>
        <w:t>为圈舍环节固态粪污单位牲畜氨排放</w:t>
      </w:r>
      <w:r>
        <w:rPr>
          <w:rFonts w:hint="eastAsia" w:cs="Times New Roman"/>
          <w:b w:val="0"/>
          <w:bCs w:val="0"/>
          <w:color w:val="auto"/>
          <w:sz w:val="24"/>
          <w:szCs w:val="24"/>
          <w:lang w:val="en-US" w:eastAsia="zh-CN"/>
        </w:rPr>
        <w:t>量</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1533.38</w:t>
      </w:r>
    </w:p>
    <w:p w14:paraId="323AD3C2">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A</w:t>
      </w:r>
      <w:r>
        <w:rPr>
          <w:rFonts w:hint="eastAsia" w:cs="Times New Roman"/>
          <w:b w:val="0"/>
          <w:bCs w:val="0"/>
          <w:color w:val="auto"/>
          <w:sz w:val="24"/>
          <w:szCs w:val="24"/>
          <w:vertAlign w:val="subscript"/>
          <w:lang w:val="en-US" w:eastAsia="zh-CN"/>
        </w:rPr>
        <w:t>圈</w:t>
      </w:r>
      <w:r>
        <w:rPr>
          <w:rFonts w:hint="eastAsia" w:eastAsia="宋体" w:cs="Times New Roman"/>
          <w:b w:val="0"/>
          <w:bCs w:val="0"/>
          <w:color w:val="auto"/>
          <w:sz w:val="24"/>
          <w:szCs w:val="24"/>
          <w:vertAlign w:val="subscript"/>
          <w:lang w:val="en-US" w:eastAsia="zh-CN"/>
        </w:rPr>
        <w:t>舍－液态</w:t>
      </w:r>
      <w:r>
        <w:rPr>
          <w:rFonts w:hint="eastAsia" w:eastAsia="宋体" w:cs="Times New Roman"/>
          <w:b w:val="0"/>
          <w:bCs w:val="0"/>
          <w:color w:val="auto"/>
          <w:sz w:val="24"/>
          <w:szCs w:val="24"/>
          <w:lang w:val="en-US" w:eastAsia="zh-CN"/>
        </w:rPr>
        <w:t>为圈舍内</w:t>
      </w:r>
      <w:r>
        <w:rPr>
          <w:rFonts w:hint="eastAsia" w:cs="Times New Roman"/>
          <w:b w:val="0"/>
          <w:bCs w:val="0"/>
          <w:color w:val="auto"/>
          <w:sz w:val="24"/>
          <w:szCs w:val="24"/>
          <w:lang w:val="en-US" w:eastAsia="zh-CN"/>
        </w:rPr>
        <w:t>液态</w:t>
      </w:r>
      <w:r>
        <w:rPr>
          <w:rFonts w:hint="eastAsia" w:eastAsia="宋体" w:cs="Times New Roman"/>
          <w:b w:val="0"/>
          <w:bCs w:val="0"/>
          <w:color w:val="auto"/>
          <w:sz w:val="24"/>
          <w:szCs w:val="24"/>
          <w:lang w:val="en-US" w:eastAsia="zh-CN"/>
        </w:rPr>
        <w:t>排泄阶段总铵态氮，kg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24598.08</w:t>
      </w:r>
    </w:p>
    <w:p w14:paraId="6C0565A6">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A</w:t>
      </w:r>
      <w:r>
        <w:rPr>
          <w:rFonts w:hint="eastAsia" w:cs="Times New Roman"/>
          <w:b w:val="0"/>
          <w:bCs w:val="0"/>
          <w:color w:val="auto"/>
          <w:sz w:val="24"/>
          <w:szCs w:val="24"/>
          <w:vertAlign w:val="subscript"/>
          <w:lang w:val="en-US" w:eastAsia="zh-CN"/>
        </w:rPr>
        <w:t>圈</w:t>
      </w:r>
      <w:r>
        <w:rPr>
          <w:rFonts w:hint="eastAsia" w:eastAsia="宋体" w:cs="Times New Roman"/>
          <w:b w:val="0"/>
          <w:bCs w:val="0"/>
          <w:color w:val="auto"/>
          <w:sz w:val="24"/>
          <w:szCs w:val="24"/>
          <w:vertAlign w:val="subscript"/>
          <w:lang w:val="en-US" w:eastAsia="zh-CN"/>
        </w:rPr>
        <w:t>舍－</w:t>
      </w:r>
      <w:r>
        <w:rPr>
          <w:rFonts w:hint="eastAsia" w:cs="Times New Roman"/>
          <w:b w:val="0"/>
          <w:bCs w:val="0"/>
          <w:color w:val="auto"/>
          <w:sz w:val="24"/>
          <w:szCs w:val="24"/>
          <w:vertAlign w:val="subscript"/>
          <w:lang w:val="en-US" w:eastAsia="zh-CN"/>
        </w:rPr>
        <w:t>固</w:t>
      </w:r>
      <w:r>
        <w:rPr>
          <w:rFonts w:hint="eastAsia" w:eastAsia="宋体" w:cs="Times New Roman"/>
          <w:b w:val="0"/>
          <w:bCs w:val="0"/>
          <w:color w:val="auto"/>
          <w:sz w:val="24"/>
          <w:szCs w:val="24"/>
          <w:vertAlign w:val="subscript"/>
          <w:lang w:val="en-US" w:eastAsia="zh-CN"/>
        </w:rPr>
        <w:t>态</w:t>
      </w:r>
      <w:r>
        <w:rPr>
          <w:rFonts w:hint="eastAsia" w:eastAsia="宋体" w:cs="Times New Roman"/>
          <w:b w:val="0"/>
          <w:bCs w:val="0"/>
          <w:color w:val="auto"/>
          <w:sz w:val="24"/>
          <w:szCs w:val="24"/>
          <w:lang w:val="en-US" w:eastAsia="zh-CN"/>
        </w:rPr>
        <w:t>为圈舍内</w:t>
      </w:r>
      <w:r>
        <w:rPr>
          <w:rFonts w:hint="eastAsia" w:cs="Times New Roman"/>
          <w:b w:val="0"/>
          <w:bCs w:val="0"/>
          <w:color w:val="auto"/>
          <w:sz w:val="24"/>
          <w:szCs w:val="24"/>
          <w:lang w:val="en-US" w:eastAsia="zh-CN"/>
        </w:rPr>
        <w:t>固态</w:t>
      </w:r>
      <w:r>
        <w:rPr>
          <w:rFonts w:hint="eastAsia" w:eastAsia="宋体" w:cs="Times New Roman"/>
          <w:b w:val="0"/>
          <w:bCs w:val="0"/>
          <w:color w:val="auto"/>
          <w:sz w:val="24"/>
          <w:szCs w:val="24"/>
          <w:lang w:val="en-US" w:eastAsia="zh-CN"/>
        </w:rPr>
        <w:t>排泄阶段总铵态氮，kg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13581.50</w:t>
      </w:r>
    </w:p>
    <w:p w14:paraId="24C4F9EF">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X</w:t>
      </w:r>
      <w:r>
        <w:rPr>
          <w:rFonts w:hint="eastAsia" w:eastAsia="宋体" w:cs="Times New Roman"/>
          <w:b w:val="0"/>
          <w:bCs w:val="0"/>
          <w:color w:val="auto"/>
          <w:sz w:val="24"/>
          <w:szCs w:val="24"/>
          <w:vertAlign w:val="subscript"/>
          <w:lang w:val="en-US" w:eastAsia="zh-CN"/>
        </w:rPr>
        <w:t>液</w:t>
      </w:r>
      <w:r>
        <w:rPr>
          <w:rFonts w:hint="eastAsia" w:eastAsia="宋体" w:cs="Times New Roman"/>
          <w:b w:val="0"/>
          <w:bCs w:val="0"/>
          <w:color w:val="auto"/>
          <w:sz w:val="24"/>
          <w:szCs w:val="24"/>
          <w:lang w:val="en-US" w:eastAsia="zh-CN"/>
        </w:rPr>
        <w:t>为液态粪肥质量占总粪肥质量的比例，％；集约化养殖中畜类取50%</w:t>
      </w:r>
    </w:p>
    <w:p w14:paraId="14B09DD5">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E</w:t>
      </w:r>
      <w:r>
        <w:rPr>
          <w:rFonts w:hint="eastAsia" w:eastAsia="宋体" w:cs="Times New Roman"/>
          <w:b w:val="0"/>
          <w:bCs w:val="0"/>
          <w:color w:val="auto"/>
          <w:sz w:val="24"/>
          <w:szCs w:val="24"/>
          <w:lang w:val="en-US" w:eastAsia="zh-CN"/>
        </w:rPr>
        <w:t>F</w:t>
      </w:r>
      <w:r>
        <w:rPr>
          <w:rFonts w:hint="eastAsia" w:cs="Times New Roman"/>
          <w:b w:val="0"/>
          <w:bCs w:val="0"/>
          <w:color w:val="auto"/>
          <w:sz w:val="24"/>
          <w:szCs w:val="24"/>
          <w:vertAlign w:val="subscript"/>
          <w:lang w:val="en-US" w:eastAsia="zh-CN"/>
        </w:rPr>
        <w:t>圈</w:t>
      </w:r>
      <w:r>
        <w:rPr>
          <w:rFonts w:hint="eastAsia" w:eastAsia="宋体" w:cs="Times New Roman"/>
          <w:b w:val="0"/>
          <w:bCs w:val="0"/>
          <w:color w:val="auto"/>
          <w:sz w:val="24"/>
          <w:szCs w:val="24"/>
          <w:vertAlign w:val="subscript"/>
          <w:lang w:val="en-US" w:eastAsia="zh-CN"/>
        </w:rPr>
        <w:t>舍－液态</w:t>
      </w:r>
      <w:r>
        <w:rPr>
          <w:rFonts w:hint="eastAsia" w:eastAsia="宋体" w:cs="Times New Roman"/>
          <w:b w:val="0"/>
          <w:bCs w:val="0"/>
          <w:color w:val="auto"/>
          <w:sz w:val="24"/>
          <w:szCs w:val="24"/>
          <w:lang w:val="en-US" w:eastAsia="zh-CN"/>
        </w:rPr>
        <w:t>、</w:t>
      </w:r>
      <w:r>
        <w:rPr>
          <w:rFonts w:hint="eastAsia" w:cs="Times New Roman"/>
          <w:b w:val="0"/>
          <w:bCs w:val="0"/>
          <w:color w:val="auto"/>
          <w:sz w:val="24"/>
          <w:szCs w:val="24"/>
          <w:lang w:val="en-US" w:eastAsia="zh-CN"/>
        </w:rPr>
        <w:t>E</w:t>
      </w:r>
      <w:r>
        <w:rPr>
          <w:rFonts w:hint="eastAsia" w:eastAsia="宋体" w:cs="Times New Roman"/>
          <w:b w:val="0"/>
          <w:bCs w:val="0"/>
          <w:color w:val="auto"/>
          <w:sz w:val="24"/>
          <w:szCs w:val="24"/>
          <w:lang w:val="en-US" w:eastAsia="zh-CN"/>
        </w:rPr>
        <w:t>F</w:t>
      </w:r>
      <w:r>
        <w:rPr>
          <w:rFonts w:hint="eastAsia" w:cs="Times New Roman"/>
          <w:b w:val="0"/>
          <w:bCs w:val="0"/>
          <w:color w:val="auto"/>
          <w:sz w:val="24"/>
          <w:szCs w:val="24"/>
          <w:vertAlign w:val="subscript"/>
          <w:lang w:val="en-US" w:eastAsia="zh-CN"/>
        </w:rPr>
        <w:t>圈</w:t>
      </w:r>
      <w:r>
        <w:rPr>
          <w:rFonts w:hint="eastAsia" w:eastAsia="宋体" w:cs="Times New Roman"/>
          <w:b w:val="0"/>
          <w:bCs w:val="0"/>
          <w:color w:val="auto"/>
          <w:sz w:val="24"/>
          <w:szCs w:val="24"/>
          <w:vertAlign w:val="subscript"/>
          <w:lang w:val="en-US" w:eastAsia="zh-CN"/>
        </w:rPr>
        <w:t>舍－固态</w:t>
      </w:r>
      <w:r>
        <w:rPr>
          <w:rFonts w:hint="eastAsia" w:eastAsia="宋体" w:cs="Times New Roman"/>
          <w:b w:val="0"/>
          <w:bCs w:val="0"/>
          <w:color w:val="auto"/>
          <w:sz w:val="24"/>
          <w:szCs w:val="24"/>
          <w:lang w:val="en-US" w:eastAsia="zh-CN"/>
        </w:rPr>
        <w:t>分别为</w:t>
      </w:r>
      <w:r>
        <w:rPr>
          <w:rFonts w:hint="eastAsia" w:cs="Times New Roman"/>
          <w:b w:val="0"/>
          <w:bCs w:val="0"/>
          <w:color w:val="auto"/>
          <w:sz w:val="24"/>
          <w:szCs w:val="24"/>
          <w:lang w:val="en-US" w:eastAsia="zh-CN"/>
        </w:rPr>
        <w:t>牛圈</w:t>
      </w:r>
      <w:r>
        <w:rPr>
          <w:rFonts w:hint="eastAsia" w:eastAsia="宋体" w:cs="Times New Roman"/>
          <w:b w:val="0"/>
          <w:bCs w:val="0"/>
          <w:color w:val="auto"/>
          <w:sz w:val="24"/>
          <w:szCs w:val="24"/>
          <w:lang w:val="en-US" w:eastAsia="zh-CN"/>
        </w:rPr>
        <w:t>环境下液态、固态粪便的氨挥发率，％；</w:t>
      </w:r>
      <w:r>
        <w:rPr>
          <w:rFonts w:hint="eastAsia" w:cs="Times New Roman"/>
          <w:b w:val="0"/>
          <w:bCs w:val="0"/>
          <w:color w:val="auto"/>
          <w:sz w:val="24"/>
          <w:szCs w:val="24"/>
          <w:lang w:val="en-US" w:eastAsia="zh-CN"/>
        </w:rPr>
        <w:t>本项目牛圈冬季不供暖，温度为环境温度，年平均温度小于10℃，因此</w:t>
      </w:r>
      <w:r>
        <w:rPr>
          <w:rFonts w:hint="eastAsia" w:eastAsia="宋体" w:cs="Times New Roman"/>
          <w:b w:val="0"/>
          <w:bCs w:val="0"/>
          <w:color w:val="auto"/>
          <w:sz w:val="24"/>
          <w:szCs w:val="24"/>
          <w:lang w:val="en-US" w:eastAsia="zh-CN"/>
        </w:rPr>
        <w:t>固态</w:t>
      </w:r>
      <w:r>
        <w:rPr>
          <w:rFonts w:hint="eastAsia" w:cs="Times New Roman"/>
          <w:b w:val="0"/>
          <w:bCs w:val="0"/>
          <w:color w:val="auto"/>
          <w:sz w:val="24"/>
          <w:szCs w:val="24"/>
          <w:lang w:val="en-US" w:eastAsia="zh-CN"/>
        </w:rPr>
        <w:t>9.3</w:t>
      </w:r>
      <w:r>
        <w:rPr>
          <w:rFonts w:hint="eastAsia" w:eastAsia="宋体" w:cs="Times New Roman"/>
          <w:b w:val="0"/>
          <w:bCs w:val="0"/>
          <w:color w:val="auto"/>
          <w:sz w:val="24"/>
          <w:szCs w:val="24"/>
          <w:lang w:val="en-US" w:eastAsia="zh-CN"/>
        </w:rPr>
        <w:t>，液态</w:t>
      </w:r>
      <w:r>
        <w:rPr>
          <w:rFonts w:hint="eastAsia" w:cs="Times New Roman"/>
          <w:b w:val="0"/>
          <w:bCs w:val="0"/>
          <w:color w:val="auto"/>
          <w:sz w:val="24"/>
          <w:szCs w:val="24"/>
          <w:lang w:val="en-US" w:eastAsia="zh-CN"/>
        </w:rPr>
        <w:t>9.3</w:t>
      </w:r>
    </w:p>
    <w:p w14:paraId="24DB1EC3">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畜禽养殖业氮－大气氨转换系数；1.214</w:t>
      </w:r>
    </w:p>
    <w:p w14:paraId="1338F696">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TAN室内，户外=畜禽年内饲养量×单位畜禽排泄量×含氮量×铵态氮比例× 室内户外比。集约化养殖条件下畜禽排泄物在室内户外分别占100%和0。</w:t>
      </w:r>
      <w:r>
        <w:rPr>
          <w:rFonts w:hint="eastAsia" w:cs="Times New Roman"/>
          <w:b w:val="0"/>
          <w:bCs w:val="0"/>
          <w:color w:val="auto"/>
          <w:sz w:val="24"/>
          <w:szCs w:val="24"/>
          <w:lang w:val="en-US" w:eastAsia="zh-CN"/>
        </w:rPr>
        <w:t>尿液49196.16kg/a；粪便27163.008kg/a；</w:t>
      </w:r>
    </w:p>
    <w:p w14:paraId="7B46747B">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η</w:t>
      </w:r>
      <w:r>
        <w:rPr>
          <w:rFonts w:hint="eastAsia" w:eastAsia="宋体" w:cs="Times New Roman"/>
          <w:b w:val="0"/>
          <w:bCs w:val="0"/>
          <w:color w:val="auto"/>
          <w:sz w:val="24"/>
          <w:szCs w:val="24"/>
          <w:lang w:val="en-US" w:eastAsia="zh-CN"/>
        </w:rPr>
        <w:t>为TAN转化率，即粪便氮排泄量中总铵态氮比例，％；</w:t>
      </w:r>
      <w:r>
        <w:rPr>
          <w:rFonts w:hint="eastAsia" w:cs="Times New Roman"/>
          <w:b w:val="0"/>
          <w:bCs w:val="0"/>
          <w:color w:val="auto"/>
          <w:sz w:val="24"/>
          <w:szCs w:val="24"/>
          <w:lang w:val="en-US" w:eastAsia="zh-CN"/>
        </w:rPr>
        <w:t>60</w:t>
      </w:r>
    </w:p>
    <w:p w14:paraId="0810CBA1">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根据《大气氨源排放清单编制技术指南（试行）</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color w:val="auto"/>
          <w:kern w:val="2"/>
          <w:sz w:val="24"/>
          <w:szCs w:val="24"/>
          <w:lang w:val="en-US" w:eastAsia="zh-CN"/>
        </w:rPr>
        <w:t>第一次全国污染源普查畜禽养殖业源产排污系数手册</w:t>
      </w:r>
      <w:r>
        <w:rPr>
          <w:rFonts w:hint="default" w:ascii="Times New Roman" w:hAnsi="Times New Roman" w:eastAsia="宋体" w:cs="Times New Roman"/>
          <w:color w:val="auto"/>
          <w:kern w:val="2"/>
          <w:sz w:val="24"/>
          <w:szCs w:val="24"/>
        </w:rPr>
        <w:t>》</w:t>
      </w:r>
      <w:r>
        <w:rPr>
          <w:rFonts w:hint="eastAsia" w:ascii="Times New Roman" w:hAnsi="Times New Roman" w:cs="Times New Roman"/>
          <w:color w:val="auto"/>
          <w:kern w:val="2"/>
          <w:sz w:val="24"/>
          <w:szCs w:val="24"/>
          <w:lang w:val="en-US" w:eastAsia="zh-CN"/>
        </w:rPr>
        <w:t>以及</w:t>
      </w:r>
      <w:r>
        <w:rPr>
          <w:rFonts w:hint="eastAsia" w:ascii="Times New Roman" w:hAnsi="Times New Roman" w:eastAsia="宋体" w:cs="Times New Roman"/>
          <w:color w:val="auto"/>
          <w:sz w:val="24"/>
          <w:lang w:val="en-US" w:eastAsia="zh-CN"/>
        </w:rPr>
        <w:t>《排污许可证申请与核发技术规范 畜禽养殖行业》（HJ1029-2019）</w:t>
      </w:r>
      <w:r>
        <w:rPr>
          <w:rFonts w:hint="eastAsia" w:ascii="Times New Roman" w:hAnsi="Times New Roman" w:eastAsia="宋体" w:cs="Times New Roman"/>
          <w:b w:val="0"/>
          <w:bCs w:val="0"/>
          <w:color w:val="auto"/>
          <w:sz w:val="24"/>
          <w:szCs w:val="24"/>
          <w:lang w:val="en-US" w:eastAsia="zh-CN"/>
        </w:rPr>
        <w:t>，畜禽粪便排泄物铵态氮量的估算参数见表3.</w:t>
      </w:r>
      <w:r>
        <w:rPr>
          <w:rFonts w:hint="eastAsia" w:ascii="Times New Roman" w:hAnsi="Times New Roman" w:cs="Times New Roman"/>
          <w:b w:val="0"/>
          <w:bCs w:val="0"/>
          <w:color w:val="auto"/>
          <w:sz w:val="24"/>
          <w:szCs w:val="24"/>
          <w:lang w:val="en-US" w:eastAsia="zh-CN"/>
        </w:rPr>
        <w:t>4</w:t>
      </w:r>
      <w:r>
        <w:rPr>
          <w:rFonts w:hint="eastAsia" w:ascii="Times New Roman" w:hAnsi="Times New Roman" w:eastAsia="宋体" w:cs="Times New Roman"/>
          <w:b w:val="0"/>
          <w:bCs w:val="0"/>
          <w:color w:val="auto"/>
          <w:sz w:val="24"/>
          <w:szCs w:val="24"/>
          <w:lang w:val="en-US" w:eastAsia="zh-CN"/>
        </w:rPr>
        <w:t>-2。</w:t>
      </w:r>
    </w:p>
    <w:p w14:paraId="45A9FF79">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eastAsia" w:ascii="Times New Roman" w:hAnsi="Times New Roman" w:eastAsia="宋体"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4</w:t>
      </w:r>
      <w:r>
        <w:rPr>
          <w:rFonts w:hint="eastAsia" w:ascii="Times New Roman" w:hAnsi="Times New Roman" w:eastAsia="宋体" w:cs="Times New Roman"/>
          <w:b/>
          <w:bCs/>
          <w:color w:val="auto"/>
          <w:sz w:val="24"/>
          <w:szCs w:val="24"/>
          <w:lang w:val="en-US" w:eastAsia="zh-CN"/>
        </w:rPr>
        <w:t>-</w:t>
      </w:r>
      <w:r>
        <w:rPr>
          <w:rFonts w:hint="eastAsia" w:ascii="Times New Roman" w:hAnsi="Times New Roman" w:cs="Times New Roman"/>
          <w:b/>
          <w:bCs/>
          <w:color w:val="auto"/>
          <w:sz w:val="24"/>
          <w:szCs w:val="24"/>
          <w:lang w:val="en-US" w:eastAsia="zh-CN"/>
        </w:rPr>
        <w:t>2</w:t>
      </w:r>
      <w:r>
        <w:rPr>
          <w:rFonts w:hint="eastAsia" w:ascii="Times New Roman" w:hAnsi="Times New Roman" w:eastAsia="宋体" w:cs="Times New Roman"/>
          <w:b/>
          <w:bCs/>
          <w:color w:val="auto"/>
          <w:sz w:val="24"/>
          <w:szCs w:val="24"/>
          <w:lang w:val="en-US" w:eastAsia="zh-CN"/>
        </w:rPr>
        <w:t>畜禽粪便排泄物铵态氮量的估算相关参数</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553"/>
        <w:gridCol w:w="1558"/>
        <w:gridCol w:w="787"/>
        <w:gridCol w:w="787"/>
        <w:gridCol w:w="1487"/>
        <w:gridCol w:w="740"/>
        <w:gridCol w:w="741"/>
      </w:tblGrid>
      <w:tr w14:paraId="38A770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tcBorders>
              <w:tl2br w:val="nil"/>
              <w:tr2bl w:val="nil"/>
            </w:tcBorders>
            <w:vAlign w:val="center"/>
          </w:tcPr>
          <w:p w14:paraId="0932F3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畜禽种类</w:t>
            </w:r>
          </w:p>
        </w:tc>
        <w:tc>
          <w:tcPr>
            <w:tcW w:w="1553" w:type="dxa"/>
            <w:vMerge w:val="restart"/>
            <w:tcBorders>
              <w:tl2br w:val="nil"/>
              <w:tr2bl w:val="nil"/>
            </w:tcBorders>
            <w:vAlign w:val="center"/>
          </w:tcPr>
          <w:p w14:paraId="343F41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饲养周期（d）</w:t>
            </w:r>
          </w:p>
        </w:tc>
        <w:tc>
          <w:tcPr>
            <w:tcW w:w="1558" w:type="dxa"/>
            <w:vMerge w:val="restart"/>
            <w:tcBorders>
              <w:tl2br w:val="nil"/>
              <w:tr2bl w:val="nil"/>
            </w:tcBorders>
            <w:vAlign w:val="center"/>
          </w:tcPr>
          <w:p w14:paraId="0EEC76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畜禽年内饲养量（头）</w:t>
            </w:r>
          </w:p>
        </w:tc>
        <w:tc>
          <w:tcPr>
            <w:tcW w:w="1574" w:type="dxa"/>
            <w:gridSpan w:val="2"/>
            <w:tcBorders>
              <w:tl2br w:val="nil"/>
              <w:tr2bl w:val="nil"/>
            </w:tcBorders>
            <w:vAlign w:val="center"/>
          </w:tcPr>
          <w:p w14:paraId="47A6EE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排泄量（kg/天/头）</w:t>
            </w:r>
          </w:p>
        </w:tc>
        <w:tc>
          <w:tcPr>
            <w:tcW w:w="1487" w:type="dxa"/>
            <w:vMerge w:val="restart"/>
            <w:tcBorders>
              <w:tl2br w:val="nil"/>
              <w:tr2bl w:val="nil"/>
            </w:tcBorders>
            <w:vAlign w:val="center"/>
          </w:tcPr>
          <w:p w14:paraId="017F65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 xml:space="preserve">铵态氮比例 </w:t>
            </w:r>
            <w:r>
              <w:rPr>
                <w:rFonts w:hint="eastAsia" w:ascii="Times New Roman" w:hAnsi="Times New Roman" w:cs="Times New Roman"/>
                <w:b/>
                <w:bCs/>
                <w:color w:val="auto"/>
                <w:sz w:val="21"/>
                <w:szCs w:val="21"/>
                <w:vertAlign w:val="baseline"/>
                <w:lang w:val="en-US" w:eastAsia="zh-CN"/>
              </w:rPr>
              <w:t>（</w:t>
            </w:r>
            <w:r>
              <w:rPr>
                <w:rFonts w:hint="default" w:ascii="Times New Roman" w:hAnsi="Times New Roman" w:eastAsia="宋体" w:cs="Times New Roman"/>
                <w:b/>
                <w:bCs/>
                <w:color w:val="auto"/>
                <w:sz w:val="21"/>
                <w:szCs w:val="21"/>
                <w:vertAlign w:val="baseline"/>
                <w:lang w:val="en-US" w:eastAsia="zh-CN"/>
              </w:rPr>
              <w:t>%</w:t>
            </w:r>
            <w:r>
              <w:rPr>
                <w:rFonts w:hint="eastAsia" w:ascii="Times New Roman" w:hAnsi="Times New Roman" w:cs="Times New Roman"/>
                <w:b/>
                <w:bCs/>
                <w:color w:val="auto"/>
                <w:sz w:val="21"/>
                <w:szCs w:val="21"/>
                <w:vertAlign w:val="baseline"/>
                <w:lang w:val="en-US" w:eastAsia="zh-CN"/>
              </w:rPr>
              <w:t>）</w:t>
            </w:r>
          </w:p>
        </w:tc>
        <w:tc>
          <w:tcPr>
            <w:tcW w:w="1481" w:type="dxa"/>
            <w:gridSpan w:val="2"/>
            <w:tcBorders>
              <w:tl2br w:val="nil"/>
              <w:tr2bl w:val="nil"/>
            </w:tcBorders>
            <w:vAlign w:val="center"/>
          </w:tcPr>
          <w:p w14:paraId="732935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含氮量</w:t>
            </w:r>
            <w:r>
              <w:rPr>
                <w:rFonts w:hint="eastAsia" w:ascii="Times New Roman" w:hAnsi="Times New Roman" w:cs="Times New Roman"/>
                <w:b/>
                <w:bCs/>
                <w:color w:val="auto"/>
                <w:sz w:val="21"/>
                <w:szCs w:val="21"/>
                <w:vertAlign w:val="baseline"/>
                <w:lang w:val="en-US" w:eastAsia="zh-CN"/>
              </w:rPr>
              <w:t>（</w:t>
            </w:r>
            <w:r>
              <w:rPr>
                <w:rFonts w:hint="default" w:ascii="Times New Roman" w:hAnsi="Times New Roman" w:eastAsia="宋体" w:cs="Times New Roman"/>
                <w:b/>
                <w:bCs/>
                <w:color w:val="auto"/>
                <w:sz w:val="21"/>
                <w:szCs w:val="21"/>
                <w:vertAlign w:val="baseline"/>
                <w:lang w:val="en-US" w:eastAsia="zh-CN"/>
              </w:rPr>
              <w:t>%</w:t>
            </w:r>
            <w:r>
              <w:rPr>
                <w:rFonts w:hint="eastAsia" w:ascii="Times New Roman" w:hAnsi="Times New Roman" w:cs="Times New Roman"/>
                <w:b/>
                <w:bCs/>
                <w:color w:val="auto"/>
                <w:sz w:val="21"/>
                <w:szCs w:val="21"/>
                <w:vertAlign w:val="baseline"/>
                <w:lang w:val="en-US" w:eastAsia="zh-CN"/>
              </w:rPr>
              <w:t>）</w:t>
            </w:r>
          </w:p>
        </w:tc>
      </w:tr>
      <w:tr w14:paraId="20236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tcBorders>
              <w:tl2br w:val="nil"/>
              <w:tr2bl w:val="nil"/>
            </w:tcBorders>
            <w:vAlign w:val="center"/>
          </w:tcPr>
          <w:p w14:paraId="61EF70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b/>
                <w:bCs/>
                <w:color w:val="auto"/>
                <w:sz w:val="21"/>
                <w:szCs w:val="21"/>
                <w:vertAlign w:val="baseline"/>
                <w:lang w:val="en-US" w:eastAsia="zh-CN"/>
              </w:rPr>
            </w:pPr>
          </w:p>
        </w:tc>
        <w:tc>
          <w:tcPr>
            <w:tcW w:w="1553" w:type="dxa"/>
            <w:vMerge w:val="continue"/>
            <w:tcBorders>
              <w:tl2br w:val="nil"/>
              <w:tr2bl w:val="nil"/>
            </w:tcBorders>
            <w:vAlign w:val="center"/>
          </w:tcPr>
          <w:p w14:paraId="4C557A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p>
        </w:tc>
        <w:tc>
          <w:tcPr>
            <w:tcW w:w="1558" w:type="dxa"/>
            <w:vMerge w:val="continue"/>
            <w:tcBorders>
              <w:tl2br w:val="nil"/>
              <w:tr2bl w:val="nil"/>
            </w:tcBorders>
            <w:vAlign w:val="center"/>
          </w:tcPr>
          <w:p w14:paraId="1866AA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p>
        </w:tc>
        <w:tc>
          <w:tcPr>
            <w:tcW w:w="787" w:type="dxa"/>
            <w:tcBorders>
              <w:tl2br w:val="nil"/>
              <w:tr2bl w:val="nil"/>
            </w:tcBorders>
            <w:vAlign w:val="center"/>
          </w:tcPr>
          <w:p w14:paraId="10323F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尿液</w:t>
            </w:r>
          </w:p>
        </w:tc>
        <w:tc>
          <w:tcPr>
            <w:tcW w:w="787" w:type="dxa"/>
            <w:tcBorders>
              <w:tl2br w:val="nil"/>
              <w:tr2bl w:val="nil"/>
            </w:tcBorders>
            <w:vAlign w:val="center"/>
          </w:tcPr>
          <w:p w14:paraId="553D2E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sz w:val="21"/>
                <w:szCs w:val="21"/>
                <w:vertAlign w:val="baseline"/>
              </w:rPr>
              <w:t>粪便</w:t>
            </w:r>
          </w:p>
        </w:tc>
        <w:tc>
          <w:tcPr>
            <w:tcW w:w="1487" w:type="dxa"/>
            <w:vMerge w:val="continue"/>
            <w:tcBorders>
              <w:tl2br w:val="nil"/>
              <w:tr2bl w:val="nil"/>
            </w:tcBorders>
            <w:vAlign w:val="center"/>
          </w:tcPr>
          <w:p w14:paraId="18941F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p>
        </w:tc>
        <w:tc>
          <w:tcPr>
            <w:tcW w:w="740" w:type="dxa"/>
            <w:tcBorders>
              <w:tl2br w:val="nil"/>
              <w:tr2bl w:val="nil"/>
            </w:tcBorders>
            <w:vAlign w:val="center"/>
          </w:tcPr>
          <w:p w14:paraId="2182BE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eastAsia" w:ascii="Times New Roman" w:hAnsi="Times New Roman" w:eastAsia="宋体" w:cs="Times New Roman"/>
                <w:b/>
                <w:bCs/>
                <w:color w:val="auto"/>
                <w:sz w:val="21"/>
                <w:szCs w:val="21"/>
                <w:vertAlign w:val="baseline"/>
                <w:lang w:val="en-US" w:eastAsia="zh-CN"/>
              </w:rPr>
              <w:t>尿液</w:t>
            </w:r>
          </w:p>
        </w:tc>
        <w:tc>
          <w:tcPr>
            <w:tcW w:w="741" w:type="dxa"/>
            <w:tcBorders>
              <w:tl2br w:val="nil"/>
              <w:tr2bl w:val="nil"/>
            </w:tcBorders>
            <w:vAlign w:val="center"/>
          </w:tcPr>
          <w:p w14:paraId="0FA1B4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sz w:val="21"/>
                <w:szCs w:val="21"/>
                <w:vertAlign w:val="baseline"/>
              </w:rPr>
              <w:t>粪便</w:t>
            </w:r>
          </w:p>
        </w:tc>
      </w:tr>
      <w:tr w14:paraId="7CD02E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tcBorders>
              <w:tl2br w:val="nil"/>
              <w:tr2bl w:val="nil"/>
            </w:tcBorders>
            <w:vAlign w:val="center"/>
          </w:tcPr>
          <w:p w14:paraId="1DFD4D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肉牛</w:t>
            </w:r>
          </w:p>
        </w:tc>
        <w:tc>
          <w:tcPr>
            <w:tcW w:w="1553" w:type="dxa"/>
            <w:tcBorders>
              <w:tl2br w:val="nil"/>
              <w:tr2bl w:val="nil"/>
            </w:tcBorders>
            <w:vAlign w:val="center"/>
          </w:tcPr>
          <w:p w14:paraId="16A1DC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365</w:t>
            </w:r>
          </w:p>
        </w:tc>
        <w:tc>
          <w:tcPr>
            <w:tcW w:w="1558" w:type="dxa"/>
            <w:tcBorders>
              <w:tl2br w:val="nil"/>
              <w:tr2bl w:val="nil"/>
            </w:tcBorders>
            <w:vAlign w:val="center"/>
          </w:tcPr>
          <w:p w14:paraId="0662D8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3000</w:t>
            </w:r>
          </w:p>
        </w:tc>
        <w:tc>
          <w:tcPr>
            <w:tcW w:w="787" w:type="dxa"/>
            <w:tcBorders>
              <w:tl2br w:val="nil"/>
              <w:tr2bl w:val="nil"/>
            </w:tcBorders>
            <w:vAlign w:val="center"/>
          </w:tcPr>
          <w:p w14:paraId="55DB58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8.32</w:t>
            </w:r>
          </w:p>
        </w:tc>
        <w:tc>
          <w:tcPr>
            <w:tcW w:w="787" w:type="dxa"/>
            <w:tcBorders>
              <w:tl2br w:val="nil"/>
              <w:tr2bl w:val="nil"/>
            </w:tcBorders>
            <w:vAlign w:val="center"/>
          </w:tcPr>
          <w:p w14:paraId="590994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10.88</w:t>
            </w:r>
          </w:p>
        </w:tc>
        <w:tc>
          <w:tcPr>
            <w:tcW w:w="1487" w:type="dxa"/>
            <w:tcBorders>
              <w:tl2br w:val="nil"/>
              <w:tr2bl w:val="nil"/>
            </w:tcBorders>
            <w:vAlign w:val="center"/>
          </w:tcPr>
          <w:p w14:paraId="3E05C8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60</w:t>
            </w:r>
          </w:p>
        </w:tc>
        <w:tc>
          <w:tcPr>
            <w:tcW w:w="740" w:type="dxa"/>
            <w:tcBorders>
              <w:tl2br w:val="nil"/>
              <w:tr2bl w:val="nil"/>
            </w:tcBorders>
            <w:vAlign w:val="center"/>
          </w:tcPr>
          <w:p w14:paraId="3CBFCF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0.90</w:t>
            </w:r>
          </w:p>
        </w:tc>
        <w:tc>
          <w:tcPr>
            <w:tcW w:w="741" w:type="dxa"/>
            <w:tcBorders>
              <w:tl2br w:val="nil"/>
              <w:tr2bl w:val="nil"/>
            </w:tcBorders>
            <w:vAlign w:val="center"/>
          </w:tcPr>
          <w:p w14:paraId="157933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0.38</w:t>
            </w:r>
          </w:p>
        </w:tc>
      </w:tr>
    </w:tbl>
    <w:p w14:paraId="0557FEE3">
      <w:pPr>
        <w:keepNext w:val="0"/>
        <w:keepLines w:val="0"/>
        <w:pageBreakBefore w:val="0"/>
        <w:wordWrap/>
        <w:topLinePunct w:val="0"/>
        <w:bidi w:val="0"/>
        <w:adjustRightInd/>
        <w:snapToGrid/>
        <w:spacing w:line="360" w:lineRule="auto"/>
        <w:ind w:firstLine="480"/>
        <w:rPr>
          <w:rFonts w:hint="eastAsia"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存储环节氨排放系数核算公式如式：</w:t>
      </w:r>
    </w:p>
    <w:p w14:paraId="732DC7CA">
      <w:pPr>
        <w:bidi w:val="0"/>
        <w:ind w:firstLine="418" w:firstLine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drawing>
          <wp:inline distT="0" distB="0" distL="114300" distR="114300">
            <wp:extent cx="2470785" cy="720090"/>
            <wp:effectExtent l="0" t="0" r="5715" b="3810"/>
            <wp:docPr id="407" name="图片 407" descr="1723609366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407" descr="1723609366054"/>
                    <pic:cNvPicPr>
                      <a:picLocks noChangeAspect="1"/>
                    </pic:cNvPicPr>
                  </pic:nvPicPr>
                  <pic:blipFill>
                    <a:blip r:embed="rId27"/>
                    <a:stretch>
                      <a:fillRect/>
                    </a:stretch>
                  </pic:blipFill>
                  <pic:spPr>
                    <a:xfrm>
                      <a:off x="0" y="0"/>
                      <a:ext cx="2470785" cy="720090"/>
                    </a:xfrm>
                    <a:prstGeom prst="rect">
                      <a:avLst/>
                    </a:prstGeom>
                  </pic:spPr>
                </pic:pic>
              </a:graphicData>
            </a:graphic>
          </wp:inline>
        </w:drawing>
      </w:r>
    </w:p>
    <w:p w14:paraId="1D5EC8D0">
      <w:pPr>
        <w:widowControl w:val="0"/>
        <w:tabs>
          <w:tab w:val="left" w:pos="1845"/>
        </w:tabs>
        <w:autoSpaceDE w:val="0"/>
        <w:autoSpaceDN w:val="0"/>
        <w:adjustRightInd w:val="0"/>
        <w:snapToGrid w:val="0"/>
        <w:spacing w:line="240" w:lineRule="auto"/>
        <w:ind w:firstLine="0" w:firstLineChars="0"/>
        <w:jc w:val="center"/>
        <w:rPr>
          <w:rFonts w:hint="default" w:ascii="宋体" w:hAnsi="Calibri" w:eastAsia="宋体" w:cs="宋体"/>
          <w:b/>
          <w:color w:val="000000"/>
          <w:kern w:val="2"/>
          <w:sz w:val="24"/>
          <w:szCs w:val="24"/>
          <w:lang w:val="en-US" w:eastAsia="zh-CN" w:bidi="ar-SA"/>
        </w:rPr>
      </w:pPr>
      <w:r>
        <w:rPr>
          <w:rFonts w:hint="default" w:ascii="宋体" w:hAnsi="Calibri" w:eastAsia="宋体" w:cs="宋体"/>
          <w:b/>
          <w:color w:val="000000"/>
          <w:kern w:val="2"/>
          <w:sz w:val="24"/>
          <w:szCs w:val="24"/>
          <w:lang w:val="en-US" w:eastAsia="zh-CN" w:bidi="ar-SA"/>
        </w:rPr>
        <w:drawing>
          <wp:inline distT="0" distB="0" distL="114300" distR="114300">
            <wp:extent cx="4208780" cy="918845"/>
            <wp:effectExtent l="0" t="0" r="1270" b="14605"/>
            <wp:docPr id="408" name="图片 408" descr="1723609414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408" descr="1723609414447"/>
                    <pic:cNvPicPr>
                      <a:picLocks noChangeAspect="1"/>
                    </pic:cNvPicPr>
                  </pic:nvPicPr>
                  <pic:blipFill>
                    <a:blip r:embed="rId28"/>
                    <a:stretch>
                      <a:fillRect/>
                    </a:stretch>
                  </pic:blipFill>
                  <pic:spPr>
                    <a:xfrm>
                      <a:off x="0" y="0"/>
                      <a:ext cx="4208780" cy="918845"/>
                    </a:xfrm>
                    <a:prstGeom prst="rect">
                      <a:avLst/>
                    </a:prstGeom>
                  </pic:spPr>
                </pic:pic>
              </a:graphicData>
            </a:graphic>
          </wp:inline>
        </w:drawing>
      </w:r>
    </w:p>
    <w:p w14:paraId="2901B2CF">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式中E</w:t>
      </w:r>
      <w:r>
        <w:rPr>
          <w:rFonts w:hint="eastAsia" w:eastAsia="宋体" w:cs="Times New Roman"/>
          <w:b w:val="0"/>
          <w:bCs w:val="0"/>
          <w:color w:val="auto"/>
          <w:sz w:val="24"/>
          <w:szCs w:val="24"/>
          <w:vertAlign w:val="subscript"/>
          <w:lang w:val="en-US" w:eastAsia="zh-CN"/>
        </w:rPr>
        <w:t>存储－液态</w:t>
      </w:r>
      <w:r>
        <w:rPr>
          <w:rFonts w:hint="eastAsia" w:eastAsia="宋体" w:cs="Times New Roman"/>
          <w:b w:val="0"/>
          <w:bCs w:val="0"/>
          <w:color w:val="auto"/>
          <w:sz w:val="24"/>
          <w:szCs w:val="24"/>
          <w:lang w:val="en-US" w:eastAsia="zh-CN"/>
        </w:rPr>
        <w:t>为存储环节液态粪污单位牲畜氨排放</w:t>
      </w:r>
      <w:r>
        <w:rPr>
          <w:rFonts w:hint="eastAsia" w:cs="Times New Roman"/>
          <w:b w:val="0"/>
          <w:bCs w:val="0"/>
          <w:color w:val="auto"/>
          <w:sz w:val="24"/>
          <w:szCs w:val="24"/>
          <w:lang w:val="en-US" w:eastAsia="zh-CN"/>
        </w:rPr>
        <w:t>量</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0</w:t>
      </w:r>
    </w:p>
    <w:p w14:paraId="08DD4EC6">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E</w:t>
      </w:r>
      <w:r>
        <w:rPr>
          <w:rFonts w:hint="eastAsia" w:eastAsia="宋体" w:cs="Times New Roman"/>
          <w:b w:val="0"/>
          <w:bCs w:val="0"/>
          <w:color w:val="auto"/>
          <w:sz w:val="24"/>
          <w:szCs w:val="24"/>
          <w:vertAlign w:val="subscript"/>
          <w:lang w:val="en-US" w:eastAsia="zh-CN"/>
        </w:rPr>
        <w:t>存储－固态</w:t>
      </w:r>
      <w:r>
        <w:rPr>
          <w:rFonts w:hint="eastAsia" w:eastAsia="宋体" w:cs="Times New Roman"/>
          <w:b w:val="0"/>
          <w:bCs w:val="0"/>
          <w:color w:val="auto"/>
          <w:sz w:val="24"/>
          <w:szCs w:val="24"/>
          <w:lang w:val="en-US" w:eastAsia="zh-CN"/>
        </w:rPr>
        <w:t>为存储环节固态粪污单位牲畜氨排放</w:t>
      </w:r>
      <w:r>
        <w:rPr>
          <w:rFonts w:hint="eastAsia" w:cs="Times New Roman"/>
          <w:b w:val="0"/>
          <w:bCs w:val="0"/>
          <w:color w:val="auto"/>
          <w:sz w:val="24"/>
          <w:szCs w:val="24"/>
          <w:lang w:val="en-US" w:eastAsia="zh-CN"/>
        </w:rPr>
        <w:t>量</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628.09</w:t>
      </w:r>
    </w:p>
    <w:p w14:paraId="6EABB3D8">
      <w:pPr>
        <w:keepNext w:val="0"/>
        <w:keepLines w:val="0"/>
        <w:pageBreakBefore w:val="0"/>
        <w:wordWrap/>
        <w:topLinePunct w:val="0"/>
        <w:bidi w:val="0"/>
        <w:adjustRightInd/>
        <w:snapToGrid/>
        <w:spacing w:line="360" w:lineRule="auto"/>
        <w:ind w:firstLine="480"/>
        <w:rPr>
          <w:rFonts w:hint="eastAsia"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A</w:t>
      </w:r>
      <w:r>
        <w:rPr>
          <w:rFonts w:hint="eastAsia" w:cs="Times New Roman"/>
          <w:b w:val="0"/>
          <w:bCs w:val="0"/>
          <w:color w:val="auto"/>
          <w:sz w:val="24"/>
          <w:szCs w:val="24"/>
          <w:highlight w:val="none"/>
          <w:vertAlign w:val="subscript"/>
          <w:lang w:val="en-US" w:eastAsia="zh-CN"/>
        </w:rPr>
        <w:t>存储</w:t>
      </w:r>
      <w:r>
        <w:rPr>
          <w:rFonts w:hint="eastAsia" w:eastAsia="宋体" w:cs="Times New Roman"/>
          <w:b w:val="0"/>
          <w:bCs w:val="0"/>
          <w:color w:val="auto"/>
          <w:sz w:val="24"/>
          <w:szCs w:val="24"/>
          <w:highlight w:val="none"/>
          <w:vertAlign w:val="subscript"/>
          <w:lang w:val="en-US" w:eastAsia="zh-CN"/>
        </w:rPr>
        <w:t>－液态</w:t>
      </w:r>
      <w:r>
        <w:rPr>
          <w:rFonts w:hint="eastAsia" w:eastAsia="宋体" w:cs="Times New Roman"/>
          <w:b w:val="0"/>
          <w:bCs w:val="0"/>
          <w:color w:val="auto"/>
          <w:sz w:val="24"/>
          <w:szCs w:val="24"/>
          <w:highlight w:val="none"/>
          <w:lang w:val="en-US" w:eastAsia="zh-CN"/>
        </w:rPr>
        <w:t>为存储环节</w:t>
      </w:r>
      <w:r>
        <w:rPr>
          <w:rFonts w:hint="eastAsia" w:cs="Times New Roman"/>
          <w:b w:val="0"/>
          <w:bCs w:val="0"/>
          <w:color w:val="auto"/>
          <w:sz w:val="24"/>
          <w:szCs w:val="24"/>
          <w:highlight w:val="none"/>
          <w:lang w:val="en-US" w:eastAsia="zh-CN"/>
        </w:rPr>
        <w:t>液态</w:t>
      </w:r>
      <w:r>
        <w:rPr>
          <w:rFonts w:hint="eastAsia" w:eastAsia="宋体" w:cs="Times New Roman"/>
          <w:b w:val="0"/>
          <w:bCs w:val="0"/>
          <w:color w:val="auto"/>
          <w:sz w:val="24"/>
          <w:szCs w:val="24"/>
          <w:highlight w:val="none"/>
          <w:lang w:val="en-US" w:eastAsia="zh-CN"/>
        </w:rPr>
        <w:t>排泄阶段总铵态氮，kg</w:t>
      </w:r>
      <w:r>
        <w:rPr>
          <w:rFonts w:hint="eastAsia" w:cs="Times New Roman"/>
          <w:b w:val="0"/>
          <w:bCs w:val="0"/>
          <w:color w:val="auto"/>
          <w:sz w:val="24"/>
          <w:szCs w:val="24"/>
          <w:highlight w:val="none"/>
          <w:lang w:val="en-US" w:eastAsia="zh-CN"/>
        </w:rPr>
        <w:t>/</w:t>
      </w:r>
      <w:r>
        <w:rPr>
          <w:rFonts w:hint="eastAsia" w:eastAsia="宋体" w:cs="Times New Roman"/>
          <w:b w:val="0"/>
          <w:bCs w:val="0"/>
          <w:color w:val="auto"/>
          <w:sz w:val="24"/>
          <w:szCs w:val="24"/>
          <w:highlight w:val="none"/>
          <w:lang w:val="en-US" w:eastAsia="zh-CN"/>
        </w:rPr>
        <w:t>a；</w:t>
      </w:r>
      <w:r>
        <w:rPr>
          <w:rFonts w:hint="eastAsia" w:cs="Times New Roman"/>
          <w:b w:val="0"/>
          <w:bCs w:val="0"/>
          <w:color w:val="auto"/>
          <w:sz w:val="24"/>
          <w:szCs w:val="24"/>
          <w:highlight w:val="none"/>
          <w:lang w:val="en-US" w:eastAsia="zh-CN"/>
        </w:rPr>
        <w:t>0</w:t>
      </w:r>
      <w:r>
        <w:rPr>
          <w:rFonts w:hint="eastAsia" w:eastAsia="宋体" w:cs="Times New Roman"/>
          <w:b w:val="0"/>
          <w:bCs w:val="0"/>
          <w:color w:val="auto"/>
          <w:sz w:val="24"/>
          <w:szCs w:val="24"/>
          <w:highlight w:val="none"/>
          <w:lang w:val="en-US" w:eastAsia="zh-CN"/>
        </w:rPr>
        <w:t xml:space="preserve"> </w:t>
      </w:r>
    </w:p>
    <w:p w14:paraId="5F5C6E2C">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A</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w:t>
      </w:r>
      <w:r>
        <w:rPr>
          <w:rFonts w:hint="eastAsia" w:cs="Times New Roman"/>
          <w:b w:val="0"/>
          <w:bCs w:val="0"/>
          <w:color w:val="auto"/>
          <w:sz w:val="24"/>
          <w:szCs w:val="24"/>
          <w:vertAlign w:val="subscript"/>
          <w:lang w:val="en-US" w:eastAsia="zh-CN"/>
        </w:rPr>
        <w:t>固</w:t>
      </w:r>
      <w:r>
        <w:rPr>
          <w:rFonts w:hint="eastAsia" w:eastAsia="宋体" w:cs="Times New Roman"/>
          <w:b w:val="0"/>
          <w:bCs w:val="0"/>
          <w:color w:val="auto"/>
          <w:sz w:val="24"/>
          <w:szCs w:val="24"/>
          <w:vertAlign w:val="subscript"/>
          <w:lang w:val="en-US" w:eastAsia="zh-CN"/>
        </w:rPr>
        <w:t>态</w:t>
      </w:r>
      <w:r>
        <w:rPr>
          <w:rFonts w:hint="eastAsia" w:eastAsia="宋体" w:cs="Times New Roman"/>
          <w:b w:val="0"/>
          <w:bCs w:val="0"/>
          <w:color w:val="auto"/>
          <w:sz w:val="24"/>
          <w:szCs w:val="24"/>
          <w:lang w:val="en-US" w:eastAsia="zh-CN"/>
        </w:rPr>
        <w:t>为存储环节</w:t>
      </w:r>
      <w:r>
        <w:rPr>
          <w:rFonts w:hint="eastAsia" w:cs="Times New Roman"/>
          <w:b w:val="0"/>
          <w:bCs w:val="0"/>
          <w:color w:val="auto"/>
          <w:sz w:val="24"/>
          <w:szCs w:val="24"/>
          <w:lang w:val="en-US" w:eastAsia="zh-CN"/>
        </w:rPr>
        <w:t>固态</w:t>
      </w:r>
      <w:r>
        <w:rPr>
          <w:rFonts w:hint="eastAsia" w:eastAsia="宋体" w:cs="Times New Roman"/>
          <w:b w:val="0"/>
          <w:bCs w:val="0"/>
          <w:color w:val="auto"/>
          <w:sz w:val="24"/>
          <w:szCs w:val="24"/>
          <w:lang w:val="en-US" w:eastAsia="zh-CN"/>
        </w:rPr>
        <w:t>排泄阶段总铵态氮，kg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12318.42</w:t>
      </w:r>
    </w:p>
    <w:p w14:paraId="6CD92543">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E</w:t>
      </w:r>
      <w:r>
        <w:rPr>
          <w:rFonts w:hint="eastAsia" w:eastAsia="宋体" w:cs="Times New Roman"/>
          <w:b w:val="0"/>
          <w:bCs w:val="0"/>
          <w:color w:val="auto"/>
          <w:sz w:val="24"/>
          <w:szCs w:val="24"/>
          <w:lang w:val="en-US" w:eastAsia="zh-CN"/>
        </w:rPr>
        <w:t>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－液态</w:t>
      </w:r>
      <w:r>
        <w:rPr>
          <w:rFonts w:hint="eastAsia" w:eastAsia="宋体" w:cs="Times New Roman"/>
          <w:b w:val="0"/>
          <w:bCs w:val="0"/>
          <w:color w:val="auto"/>
          <w:sz w:val="24"/>
          <w:szCs w:val="24"/>
          <w:lang w:val="en-US" w:eastAsia="zh-CN"/>
        </w:rPr>
        <w:t>、</w:t>
      </w:r>
      <w:r>
        <w:rPr>
          <w:rFonts w:hint="eastAsia" w:cs="Times New Roman"/>
          <w:b w:val="0"/>
          <w:bCs w:val="0"/>
          <w:color w:val="auto"/>
          <w:sz w:val="24"/>
          <w:szCs w:val="24"/>
          <w:lang w:val="en-US" w:eastAsia="zh-CN"/>
        </w:rPr>
        <w:t>E</w:t>
      </w:r>
      <w:r>
        <w:rPr>
          <w:rFonts w:hint="eastAsia" w:eastAsia="宋体" w:cs="Times New Roman"/>
          <w:b w:val="0"/>
          <w:bCs w:val="0"/>
          <w:color w:val="auto"/>
          <w:sz w:val="24"/>
          <w:szCs w:val="24"/>
          <w:lang w:val="en-US" w:eastAsia="zh-CN"/>
        </w:rPr>
        <w:t>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－固态</w:t>
      </w:r>
      <w:r>
        <w:rPr>
          <w:rFonts w:hint="eastAsia" w:eastAsia="宋体" w:cs="Times New Roman"/>
          <w:b w:val="0"/>
          <w:bCs w:val="0"/>
          <w:color w:val="auto"/>
          <w:sz w:val="24"/>
          <w:szCs w:val="24"/>
          <w:lang w:val="en-US" w:eastAsia="zh-CN"/>
        </w:rPr>
        <w:t>分别为存储环节环境下液态、固态粪便的氨挥发率，％；液态</w:t>
      </w:r>
      <w:r>
        <w:rPr>
          <w:rFonts w:hint="eastAsia" w:cs="Times New Roman"/>
          <w:b w:val="0"/>
          <w:bCs w:val="0"/>
          <w:color w:val="auto"/>
          <w:sz w:val="24"/>
          <w:szCs w:val="24"/>
          <w:lang w:val="en-US" w:eastAsia="zh-CN"/>
        </w:rPr>
        <w:t>15.8，固态4.2</w:t>
      </w:r>
    </w:p>
    <w:p w14:paraId="40DC0DB4">
      <w:pPr>
        <w:keepNext w:val="0"/>
        <w:keepLines w:val="0"/>
        <w:pageBreakBefore w:val="0"/>
        <w:wordWrap/>
        <w:topLinePunct w:val="0"/>
        <w:bidi w:val="0"/>
        <w:adjustRightInd/>
        <w:snapToGrid/>
        <w:spacing w:line="360" w:lineRule="auto"/>
        <w:ind w:firstLine="480"/>
        <w:jc w:val="left"/>
        <w:rPr>
          <w:rFonts w:hint="eastAsia"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本项目在正常管理状态下，育肥牛尿液在发酵床发酵过程中均能被发酵垫料以及牛粪吸收，因此本项目不计算存储液态</w:t>
      </w:r>
      <w:r>
        <w:rPr>
          <w:rFonts w:hint="eastAsia" w:eastAsia="宋体" w:cs="Times New Roman"/>
          <w:b w:val="0"/>
          <w:bCs w:val="0"/>
          <w:color w:val="auto"/>
          <w:sz w:val="24"/>
          <w:szCs w:val="24"/>
          <w:lang w:val="en-US" w:eastAsia="zh-CN"/>
        </w:rPr>
        <w:t>；</w:t>
      </w:r>
    </w:p>
    <w:p w14:paraId="3B4846FC">
      <w:pPr>
        <w:keepNext w:val="0"/>
        <w:keepLines w:val="0"/>
        <w:pageBreakBefore w:val="0"/>
        <w:wordWrap/>
        <w:topLinePunct w:val="0"/>
        <w:bidi w:val="0"/>
        <w:adjustRightInd/>
        <w:snapToGrid/>
        <w:spacing w:line="360" w:lineRule="auto"/>
        <w:ind w:firstLine="480"/>
        <w:jc w:val="left"/>
        <w:rPr>
          <w:rFonts w:hint="eastAsia"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EN</w:t>
      </w:r>
      <w:r>
        <w:rPr>
          <w:rFonts w:hint="eastAsia" w:cs="Times New Roman"/>
          <w:b w:val="0"/>
          <w:bCs w:val="0"/>
          <w:color w:val="auto"/>
          <w:sz w:val="24"/>
          <w:szCs w:val="24"/>
          <w:vertAlign w:val="subscript"/>
          <w:lang w:val="en-US" w:eastAsia="zh-CN"/>
        </w:rPr>
        <w:t>圈</w:t>
      </w:r>
      <w:r>
        <w:rPr>
          <w:rFonts w:hint="eastAsia" w:eastAsia="宋体" w:cs="Times New Roman"/>
          <w:b w:val="0"/>
          <w:bCs w:val="0"/>
          <w:color w:val="auto"/>
          <w:sz w:val="24"/>
          <w:szCs w:val="24"/>
          <w:vertAlign w:val="subscript"/>
          <w:lang w:val="en-US" w:eastAsia="zh-CN"/>
        </w:rPr>
        <w:t>舍－固态</w:t>
      </w:r>
      <w:r>
        <w:rPr>
          <w:rFonts w:hint="eastAsia" w:cs="Times New Roman"/>
          <w:b w:val="0"/>
          <w:bCs w:val="0"/>
          <w:color w:val="auto"/>
          <w:sz w:val="24"/>
          <w:szCs w:val="24"/>
          <w:lang w:val="en-US" w:eastAsia="zh-CN"/>
        </w:rPr>
        <w:t>取值24966*9.3%=1263.08kg/a</w:t>
      </w:r>
    </w:p>
    <w:p w14:paraId="64B6F11B">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施肥</w:t>
      </w:r>
      <w:r>
        <w:rPr>
          <w:rFonts w:hint="eastAsia" w:eastAsia="宋体" w:cs="Times New Roman"/>
          <w:b w:val="0"/>
          <w:bCs w:val="0"/>
          <w:color w:val="auto"/>
          <w:sz w:val="24"/>
          <w:szCs w:val="24"/>
          <w:lang w:val="en-US" w:eastAsia="zh-CN"/>
        </w:rPr>
        <w:t>环节氨排放系数核算公式如式：</w:t>
      </w:r>
    </w:p>
    <w:p w14:paraId="54AAFDF4">
      <w:pPr>
        <w:keepNext w:val="0"/>
        <w:keepLines w:val="0"/>
        <w:pageBreakBefore w:val="0"/>
        <w:wordWrap/>
        <w:topLinePunct w:val="0"/>
        <w:bidi w:val="0"/>
        <w:adjustRightInd/>
        <w:snapToGrid/>
        <w:spacing w:line="360" w:lineRule="auto"/>
        <w:jc w:val="center"/>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drawing>
          <wp:inline distT="0" distB="0" distL="114300" distR="114300">
            <wp:extent cx="2752725" cy="720090"/>
            <wp:effectExtent l="0" t="0" r="9525" b="3810"/>
            <wp:docPr id="409" name="图片 409" descr="172361064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409" descr="1723610642981"/>
                    <pic:cNvPicPr>
                      <a:picLocks noChangeAspect="1"/>
                    </pic:cNvPicPr>
                  </pic:nvPicPr>
                  <pic:blipFill>
                    <a:blip r:embed="rId33"/>
                    <a:stretch>
                      <a:fillRect/>
                    </a:stretch>
                  </pic:blipFill>
                  <pic:spPr>
                    <a:xfrm>
                      <a:off x="0" y="0"/>
                      <a:ext cx="2752725" cy="720090"/>
                    </a:xfrm>
                    <a:prstGeom prst="rect">
                      <a:avLst/>
                    </a:prstGeom>
                  </pic:spPr>
                </pic:pic>
              </a:graphicData>
            </a:graphic>
          </wp:inline>
        </w:drawing>
      </w:r>
    </w:p>
    <w:p w14:paraId="1642E4D9">
      <w:pPr>
        <w:keepNext w:val="0"/>
        <w:keepLines w:val="0"/>
        <w:pageBreakBefore w:val="0"/>
        <w:wordWrap/>
        <w:topLinePunct w:val="0"/>
        <w:bidi w:val="0"/>
        <w:adjustRightInd/>
        <w:snapToGrid/>
        <w:spacing w:line="360" w:lineRule="auto"/>
        <w:jc w:val="center"/>
        <w:rPr>
          <w:rFonts w:hint="eastAsia"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drawing>
          <wp:inline distT="0" distB="0" distL="114300" distR="114300">
            <wp:extent cx="5267960" cy="671195"/>
            <wp:effectExtent l="0" t="0" r="8890" b="14605"/>
            <wp:docPr id="410" name="图片 410" descr="172361080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410" descr="1723610807161"/>
                    <pic:cNvPicPr>
                      <a:picLocks noChangeAspect="1"/>
                    </pic:cNvPicPr>
                  </pic:nvPicPr>
                  <pic:blipFill>
                    <a:blip r:embed="rId34"/>
                    <a:stretch>
                      <a:fillRect/>
                    </a:stretch>
                  </pic:blipFill>
                  <pic:spPr>
                    <a:xfrm>
                      <a:off x="0" y="0"/>
                      <a:ext cx="5267960" cy="671195"/>
                    </a:xfrm>
                    <a:prstGeom prst="rect">
                      <a:avLst/>
                    </a:prstGeom>
                  </pic:spPr>
                </pic:pic>
              </a:graphicData>
            </a:graphic>
          </wp:inline>
        </w:drawing>
      </w:r>
      <w:r>
        <w:rPr>
          <w:rFonts w:hint="eastAsia" w:eastAsia="宋体" w:cs="Times New Roman"/>
          <w:b w:val="0"/>
          <w:bCs w:val="0"/>
          <w:color w:val="auto"/>
          <w:sz w:val="24"/>
          <w:szCs w:val="24"/>
          <w:lang w:val="en-US" w:eastAsia="zh-CN"/>
        </w:rPr>
        <w:drawing>
          <wp:inline distT="0" distB="0" distL="114300" distR="114300">
            <wp:extent cx="5016500" cy="444500"/>
            <wp:effectExtent l="0" t="0" r="12700" b="12700"/>
            <wp:docPr id="411" name="图片 411" descr="172361083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411" descr="1723610835056"/>
                    <pic:cNvPicPr>
                      <a:picLocks noChangeAspect="1"/>
                    </pic:cNvPicPr>
                  </pic:nvPicPr>
                  <pic:blipFill>
                    <a:blip r:embed="rId35"/>
                    <a:stretch>
                      <a:fillRect/>
                    </a:stretch>
                  </pic:blipFill>
                  <pic:spPr>
                    <a:xfrm>
                      <a:off x="0" y="0"/>
                      <a:ext cx="5016500" cy="444500"/>
                    </a:xfrm>
                    <a:prstGeom prst="rect">
                      <a:avLst/>
                    </a:prstGeom>
                  </pic:spPr>
                </pic:pic>
              </a:graphicData>
            </a:graphic>
          </wp:inline>
        </w:drawing>
      </w:r>
    </w:p>
    <w:p w14:paraId="3D30CC9C">
      <w:pPr>
        <w:keepNext w:val="0"/>
        <w:keepLines w:val="0"/>
        <w:pageBreakBefore w:val="0"/>
        <w:wordWrap/>
        <w:topLinePunct w:val="0"/>
        <w:bidi w:val="0"/>
        <w:adjustRightInd/>
        <w:snapToGrid/>
        <w:spacing w:line="360" w:lineRule="auto"/>
        <w:ind w:firstLine="480" w:firstLineChars="200"/>
        <w:jc w:val="both"/>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式中E</w:t>
      </w:r>
      <w:r>
        <w:rPr>
          <w:rFonts w:hint="eastAsia" w:cs="Times New Roman"/>
          <w:b w:val="0"/>
          <w:bCs w:val="0"/>
          <w:color w:val="auto"/>
          <w:sz w:val="24"/>
          <w:szCs w:val="24"/>
          <w:vertAlign w:val="subscript"/>
          <w:lang w:val="en-US" w:eastAsia="zh-CN"/>
        </w:rPr>
        <w:t>施肥</w:t>
      </w:r>
      <w:r>
        <w:rPr>
          <w:rFonts w:hint="eastAsia" w:eastAsia="宋体" w:cs="Times New Roman"/>
          <w:b w:val="0"/>
          <w:bCs w:val="0"/>
          <w:color w:val="auto"/>
          <w:sz w:val="24"/>
          <w:szCs w:val="24"/>
          <w:vertAlign w:val="subscript"/>
          <w:lang w:val="en-US" w:eastAsia="zh-CN"/>
        </w:rPr>
        <w:t>－液态</w:t>
      </w:r>
      <w:r>
        <w:rPr>
          <w:rFonts w:hint="eastAsia" w:eastAsia="宋体" w:cs="Times New Roman"/>
          <w:b w:val="0"/>
          <w:bCs w:val="0"/>
          <w:color w:val="auto"/>
          <w:sz w:val="24"/>
          <w:szCs w:val="24"/>
          <w:lang w:val="en-US" w:eastAsia="zh-CN"/>
        </w:rPr>
        <w:t>为</w:t>
      </w:r>
      <w:r>
        <w:rPr>
          <w:rFonts w:hint="eastAsia" w:cs="Times New Roman"/>
          <w:b w:val="0"/>
          <w:bCs w:val="0"/>
          <w:color w:val="auto"/>
          <w:sz w:val="24"/>
          <w:szCs w:val="24"/>
          <w:lang w:val="en-US" w:eastAsia="zh-CN"/>
        </w:rPr>
        <w:t>施肥</w:t>
      </w:r>
      <w:r>
        <w:rPr>
          <w:rFonts w:hint="eastAsia" w:eastAsia="宋体" w:cs="Times New Roman"/>
          <w:b w:val="0"/>
          <w:bCs w:val="0"/>
          <w:color w:val="auto"/>
          <w:sz w:val="24"/>
          <w:szCs w:val="24"/>
          <w:lang w:val="en-US" w:eastAsia="zh-CN"/>
        </w:rPr>
        <w:t>环节液态粪污单位牲畜氨排放</w:t>
      </w:r>
      <w:r>
        <w:rPr>
          <w:rFonts w:hint="eastAsia" w:cs="Times New Roman"/>
          <w:b w:val="0"/>
          <w:bCs w:val="0"/>
          <w:color w:val="auto"/>
          <w:sz w:val="24"/>
          <w:szCs w:val="24"/>
          <w:lang w:val="en-US" w:eastAsia="zh-CN"/>
        </w:rPr>
        <w:t>量</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0</w:t>
      </w:r>
    </w:p>
    <w:p w14:paraId="420E2A98">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E</w:t>
      </w:r>
      <w:r>
        <w:rPr>
          <w:rFonts w:hint="eastAsia" w:cs="Times New Roman"/>
          <w:b w:val="0"/>
          <w:bCs w:val="0"/>
          <w:color w:val="auto"/>
          <w:sz w:val="24"/>
          <w:szCs w:val="24"/>
          <w:vertAlign w:val="subscript"/>
          <w:lang w:val="en-US" w:eastAsia="zh-CN"/>
        </w:rPr>
        <w:t>施肥</w:t>
      </w:r>
      <w:r>
        <w:rPr>
          <w:rFonts w:hint="eastAsia" w:eastAsia="宋体" w:cs="Times New Roman"/>
          <w:b w:val="0"/>
          <w:bCs w:val="0"/>
          <w:color w:val="auto"/>
          <w:sz w:val="24"/>
          <w:szCs w:val="24"/>
          <w:vertAlign w:val="subscript"/>
          <w:lang w:val="en-US" w:eastAsia="zh-CN"/>
        </w:rPr>
        <w:t>－固态</w:t>
      </w:r>
      <w:r>
        <w:rPr>
          <w:rFonts w:hint="eastAsia" w:eastAsia="宋体" w:cs="Times New Roman"/>
          <w:b w:val="0"/>
          <w:bCs w:val="0"/>
          <w:color w:val="auto"/>
          <w:sz w:val="24"/>
          <w:szCs w:val="24"/>
          <w:lang w:val="en-US" w:eastAsia="zh-CN"/>
        </w:rPr>
        <w:t>为施肥环节固态粪污单位牲畜氨排放</w:t>
      </w:r>
      <w:r>
        <w:rPr>
          <w:rFonts w:hint="eastAsia" w:cs="Times New Roman"/>
          <w:b w:val="0"/>
          <w:bCs w:val="0"/>
          <w:color w:val="auto"/>
          <w:sz w:val="24"/>
          <w:szCs w:val="24"/>
          <w:lang w:val="en-US" w:eastAsia="zh-CN"/>
        </w:rPr>
        <w:t>量</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8685.74</w:t>
      </w:r>
      <w:r>
        <w:rPr>
          <w:rFonts w:hint="eastAsia" w:eastAsia="宋体" w:cs="Times New Roman"/>
          <w:b w:val="0"/>
          <w:bCs w:val="0"/>
          <w:color w:val="auto"/>
          <w:sz w:val="24"/>
          <w:szCs w:val="24"/>
          <w:lang w:val="en-US" w:eastAsia="zh-CN"/>
        </w:rPr>
        <w:t xml:space="preserve"> </w:t>
      </w:r>
    </w:p>
    <w:p w14:paraId="0F19B584">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A</w:t>
      </w:r>
      <w:r>
        <w:rPr>
          <w:rFonts w:hint="eastAsia" w:cs="Times New Roman"/>
          <w:b w:val="0"/>
          <w:bCs w:val="0"/>
          <w:color w:val="auto"/>
          <w:sz w:val="24"/>
          <w:szCs w:val="24"/>
          <w:vertAlign w:val="subscript"/>
          <w:lang w:val="en-US" w:eastAsia="zh-CN"/>
        </w:rPr>
        <w:t>施肥</w:t>
      </w:r>
      <w:r>
        <w:rPr>
          <w:rFonts w:hint="eastAsia" w:eastAsia="宋体" w:cs="Times New Roman"/>
          <w:b w:val="0"/>
          <w:bCs w:val="0"/>
          <w:color w:val="auto"/>
          <w:sz w:val="24"/>
          <w:szCs w:val="24"/>
          <w:vertAlign w:val="subscript"/>
          <w:lang w:val="en-US" w:eastAsia="zh-CN"/>
        </w:rPr>
        <w:t>－液态</w:t>
      </w:r>
      <w:r>
        <w:rPr>
          <w:rFonts w:hint="eastAsia" w:eastAsia="宋体" w:cs="Times New Roman"/>
          <w:b w:val="0"/>
          <w:bCs w:val="0"/>
          <w:color w:val="auto"/>
          <w:sz w:val="24"/>
          <w:szCs w:val="24"/>
          <w:lang w:val="en-US" w:eastAsia="zh-CN"/>
        </w:rPr>
        <w:t>为施肥环节</w:t>
      </w:r>
      <w:r>
        <w:rPr>
          <w:rFonts w:hint="eastAsia" w:cs="Times New Roman"/>
          <w:b w:val="0"/>
          <w:bCs w:val="0"/>
          <w:color w:val="auto"/>
          <w:sz w:val="24"/>
          <w:szCs w:val="24"/>
          <w:lang w:val="en-US" w:eastAsia="zh-CN"/>
        </w:rPr>
        <w:t>液态</w:t>
      </w:r>
      <w:r>
        <w:rPr>
          <w:rFonts w:hint="eastAsia" w:eastAsia="宋体" w:cs="Times New Roman"/>
          <w:b w:val="0"/>
          <w:bCs w:val="0"/>
          <w:color w:val="auto"/>
          <w:sz w:val="24"/>
          <w:szCs w:val="24"/>
          <w:lang w:val="en-US" w:eastAsia="zh-CN"/>
        </w:rPr>
        <w:t>排泄阶段总铵态氮，kg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p>
    <w:p w14:paraId="29885B9A">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A</w:t>
      </w:r>
      <w:r>
        <w:rPr>
          <w:rFonts w:hint="eastAsia" w:cs="Times New Roman"/>
          <w:b w:val="0"/>
          <w:bCs w:val="0"/>
          <w:color w:val="auto"/>
          <w:sz w:val="24"/>
          <w:szCs w:val="24"/>
          <w:vertAlign w:val="subscript"/>
          <w:lang w:val="en-US" w:eastAsia="zh-CN"/>
        </w:rPr>
        <w:t>施肥</w:t>
      </w:r>
      <w:r>
        <w:rPr>
          <w:rFonts w:hint="eastAsia" w:eastAsia="宋体" w:cs="Times New Roman"/>
          <w:b w:val="0"/>
          <w:bCs w:val="0"/>
          <w:color w:val="auto"/>
          <w:sz w:val="24"/>
          <w:szCs w:val="24"/>
          <w:vertAlign w:val="subscript"/>
          <w:lang w:val="en-US" w:eastAsia="zh-CN"/>
        </w:rPr>
        <w:t>－</w:t>
      </w:r>
      <w:r>
        <w:rPr>
          <w:rFonts w:hint="eastAsia" w:cs="Times New Roman"/>
          <w:b w:val="0"/>
          <w:bCs w:val="0"/>
          <w:color w:val="auto"/>
          <w:sz w:val="24"/>
          <w:szCs w:val="24"/>
          <w:vertAlign w:val="subscript"/>
          <w:lang w:val="en-US" w:eastAsia="zh-CN"/>
        </w:rPr>
        <w:t>固</w:t>
      </w:r>
      <w:r>
        <w:rPr>
          <w:rFonts w:hint="eastAsia" w:eastAsia="宋体" w:cs="Times New Roman"/>
          <w:b w:val="0"/>
          <w:bCs w:val="0"/>
          <w:color w:val="auto"/>
          <w:sz w:val="24"/>
          <w:szCs w:val="24"/>
          <w:vertAlign w:val="subscript"/>
          <w:lang w:val="en-US" w:eastAsia="zh-CN"/>
        </w:rPr>
        <w:t>态</w:t>
      </w:r>
      <w:r>
        <w:rPr>
          <w:rFonts w:hint="eastAsia" w:eastAsia="宋体" w:cs="Times New Roman"/>
          <w:b w:val="0"/>
          <w:bCs w:val="0"/>
          <w:color w:val="auto"/>
          <w:sz w:val="24"/>
          <w:szCs w:val="24"/>
          <w:lang w:val="en-US" w:eastAsia="zh-CN"/>
        </w:rPr>
        <w:t>为施肥环节</w:t>
      </w:r>
      <w:r>
        <w:rPr>
          <w:rFonts w:hint="eastAsia" w:cs="Times New Roman"/>
          <w:b w:val="0"/>
          <w:bCs w:val="0"/>
          <w:color w:val="auto"/>
          <w:sz w:val="24"/>
          <w:szCs w:val="24"/>
          <w:lang w:val="en-US" w:eastAsia="zh-CN"/>
        </w:rPr>
        <w:t>固态</w:t>
      </w:r>
      <w:r>
        <w:rPr>
          <w:rFonts w:hint="eastAsia" w:eastAsia="宋体" w:cs="Times New Roman"/>
          <w:b w:val="0"/>
          <w:bCs w:val="0"/>
          <w:color w:val="auto"/>
          <w:sz w:val="24"/>
          <w:szCs w:val="24"/>
          <w:lang w:val="en-US" w:eastAsia="zh-CN"/>
        </w:rPr>
        <w:t>排泄阶段总铵态氮，kg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9056.51</w:t>
      </w:r>
    </w:p>
    <w:p w14:paraId="00A8A64A">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E</w:t>
      </w:r>
      <w:r>
        <w:rPr>
          <w:rFonts w:hint="eastAsia" w:eastAsia="宋体" w:cs="Times New Roman"/>
          <w:b w:val="0"/>
          <w:bCs w:val="0"/>
          <w:color w:val="auto"/>
          <w:sz w:val="24"/>
          <w:szCs w:val="24"/>
          <w:lang w:val="en-US" w:eastAsia="zh-CN"/>
        </w:rPr>
        <w:t>F</w:t>
      </w:r>
      <w:r>
        <w:rPr>
          <w:rFonts w:hint="eastAsia" w:cs="Times New Roman"/>
          <w:b w:val="0"/>
          <w:bCs w:val="0"/>
          <w:color w:val="auto"/>
          <w:sz w:val="24"/>
          <w:szCs w:val="24"/>
          <w:vertAlign w:val="subscript"/>
          <w:lang w:val="en-US" w:eastAsia="zh-CN"/>
        </w:rPr>
        <w:t>施肥</w:t>
      </w:r>
      <w:r>
        <w:rPr>
          <w:rFonts w:hint="eastAsia" w:eastAsia="宋体" w:cs="Times New Roman"/>
          <w:b w:val="0"/>
          <w:bCs w:val="0"/>
          <w:color w:val="auto"/>
          <w:sz w:val="24"/>
          <w:szCs w:val="24"/>
          <w:vertAlign w:val="subscript"/>
          <w:lang w:val="en-US" w:eastAsia="zh-CN"/>
        </w:rPr>
        <w:t>－液态</w:t>
      </w:r>
      <w:r>
        <w:rPr>
          <w:rFonts w:hint="eastAsia" w:eastAsia="宋体" w:cs="Times New Roman"/>
          <w:b w:val="0"/>
          <w:bCs w:val="0"/>
          <w:color w:val="auto"/>
          <w:sz w:val="24"/>
          <w:szCs w:val="24"/>
          <w:lang w:val="en-US" w:eastAsia="zh-CN"/>
        </w:rPr>
        <w:t>、</w:t>
      </w:r>
      <w:r>
        <w:rPr>
          <w:rFonts w:hint="eastAsia" w:cs="Times New Roman"/>
          <w:b w:val="0"/>
          <w:bCs w:val="0"/>
          <w:color w:val="auto"/>
          <w:sz w:val="24"/>
          <w:szCs w:val="24"/>
          <w:lang w:val="en-US" w:eastAsia="zh-CN"/>
        </w:rPr>
        <w:t>E</w:t>
      </w:r>
      <w:r>
        <w:rPr>
          <w:rFonts w:hint="eastAsia" w:eastAsia="宋体" w:cs="Times New Roman"/>
          <w:b w:val="0"/>
          <w:bCs w:val="0"/>
          <w:color w:val="auto"/>
          <w:sz w:val="24"/>
          <w:szCs w:val="24"/>
          <w:lang w:val="en-US" w:eastAsia="zh-CN"/>
        </w:rPr>
        <w:t>F</w:t>
      </w:r>
      <w:r>
        <w:rPr>
          <w:rFonts w:hint="eastAsia" w:cs="Times New Roman"/>
          <w:b w:val="0"/>
          <w:bCs w:val="0"/>
          <w:color w:val="auto"/>
          <w:sz w:val="24"/>
          <w:szCs w:val="24"/>
          <w:vertAlign w:val="subscript"/>
          <w:lang w:val="en-US" w:eastAsia="zh-CN"/>
        </w:rPr>
        <w:t>施肥</w:t>
      </w:r>
      <w:r>
        <w:rPr>
          <w:rFonts w:hint="eastAsia" w:eastAsia="宋体" w:cs="Times New Roman"/>
          <w:b w:val="0"/>
          <w:bCs w:val="0"/>
          <w:color w:val="auto"/>
          <w:sz w:val="24"/>
          <w:szCs w:val="24"/>
          <w:vertAlign w:val="subscript"/>
          <w:lang w:val="en-US" w:eastAsia="zh-CN"/>
        </w:rPr>
        <w:t>－固态</w:t>
      </w:r>
      <w:r>
        <w:rPr>
          <w:rFonts w:hint="eastAsia" w:eastAsia="宋体" w:cs="Times New Roman"/>
          <w:b w:val="0"/>
          <w:bCs w:val="0"/>
          <w:color w:val="auto"/>
          <w:sz w:val="24"/>
          <w:szCs w:val="24"/>
          <w:lang w:val="en-US" w:eastAsia="zh-CN"/>
        </w:rPr>
        <w:t>分别为施肥环节环境下液态、固态粪便的氨挥发率，％；</w:t>
      </w:r>
      <w:r>
        <w:rPr>
          <w:rFonts w:hint="eastAsia" w:cs="Times New Roman"/>
          <w:b w:val="0"/>
          <w:bCs w:val="0"/>
          <w:color w:val="auto"/>
          <w:sz w:val="24"/>
          <w:szCs w:val="24"/>
          <w:lang w:val="en-US" w:eastAsia="zh-CN"/>
        </w:rPr>
        <w:t>固态79</w:t>
      </w:r>
    </w:p>
    <w:p w14:paraId="72CAC2B3">
      <w:pPr>
        <w:keepNext w:val="0"/>
        <w:keepLines w:val="0"/>
        <w:pageBreakBefore w:val="0"/>
        <w:wordWrap/>
        <w:topLinePunct w:val="0"/>
        <w:bidi w:val="0"/>
        <w:adjustRightInd/>
        <w:snapToGrid/>
        <w:spacing w:line="360" w:lineRule="auto"/>
        <w:ind w:firstLine="480"/>
        <w:rPr>
          <w:rFonts w:hint="eastAsia" w:eastAsia="宋体" w:cs="Times New Roman"/>
          <w:b w:val="0"/>
          <w:bCs w:val="0"/>
          <w:color w:val="auto"/>
          <w:sz w:val="24"/>
          <w:szCs w:val="24"/>
          <w:highlight w:val="yellow"/>
          <w:lang w:val="en-US" w:eastAsia="zh-CN"/>
        </w:rPr>
      </w:pPr>
      <w:r>
        <w:rPr>
          <w:rFonts w:hint="eastAsia" w:cs="Times New Roman"/>
          <w:b w:val="0"/>
          <w:bCs w:val="0"/>
          <w:color w:val="auto"/>
          <w:sz w:val="24"/>
          <w:szCs w:val="24"/>
          <w:highlight w:val="none"/>
          <w:lang w:val="en-US" w:eastAsia="zh-CN"/>
        </w:rPr>
        <w:t>EN</w:t>
      </w:r>
      <w:r>
        <w:rPr>
          <w:rFonts w:hint="eastAsia" w:cs="Times New Roman"/>
          <w:b w:val="0"/>
          <w:bCs w:val="0"/>
          <w:color w:val="auto"/>
          <w:sz w:val="24"/>
          <w:szCs w:val="24"/>
          <w:highlight w:val="none"/>
          <w:vertAlign w:val="subscript"/>
          <w:lang w:val="en-US" w:eastAsia="zh-CN"/>
        </w:rPr>
        <w:t>存储</w:t>
      </w:r>
      <w:r>
        <w:rPr>
          <w:rFonts w:hint="eastAsia" w:eastAsia="宋体" w:cs="Times New Roman"/>
          <w:b w:val="0"/>
          <w:bCs w:val="0"/>
          <w:color w:val="auto"/>
          <w:sz w:val="24"/>
          <w:szCs w:val="24"/>
          <w:highlight w:val="none"/>
          <w:vertAlign w:val="subscript"/>
          <w:lang w:val="en-US" w:eastAsia="zh-CN"/>
        </w:rPr>
        <w:t>－液态</w:t>
      </w:r>
      <w:r>
        <w:rPr>
          <w:rFonts w:hint="eastAsia"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EN</w:t>
      </w:r>
      <w:r>
        <w:rPr>
          <w:rFonts w:hint="eastAsia" w:cs="Times New Roman"/>
          <w:b w:val="0"/>
          <w:bCs w:val="0"/>
          <w:color w:val="auto"/>
          <w:sz w:val="24"/>
          <w:szCs w:val="24"/>
          <w:highlight w:val="none"/>
          <w:vertAlign w:val="subscript"/>
          <w:lang w:val="en-US" w:eastAsia="zh-CN"/>
        </w:rPr>
        <w:t>存储</w:t>
      </w:r>
      <w:r>
        <w:rPr>
          <w:rFonts w:hint="eastAsia" w:eastAsia="宋体" w:cs="Times New Roman"/>
          <w:b w:val="0"/>
          <w:bCs w:val="0"/>
          <w:color w:val="auto"/>
          <w:sz w:val="24"/>
          <w:szCs w:val="24"/>
          <w:highlight w:val="none"/>
          <w:vertAlign w:val="subscript"/>
          <w:lang w:val="en-US" w:eastAsia="zh-CN"/>
        </w:rPr>
        <w:t>－固态</w:t>
      </w:r>
      <w:r>
        <w:rPr>
          <w:rFonts w:hint="eastAsia" w:cs="Times New Roman"/>
          <w:b w:val="0"/>
          <w:bCs w:val="0"/>
          <w:color w:val="auto"/>
          <w:sz w:val="24"/>
          <w:szCs w:val="24"/>
          <w:highlight w:val="none"/>
          <w:vertAlign w:val="baseline"/>
          <w:lang w:val="en-US" w:eastAsia="zh-CN"/>
        </w:rPr>
        <w:t>，</w:t>
      </w:r>
      <w:r>
        <w:rPr>
          <w:rFonts w:hint="eastAsia" w:eastAsia="宋体" w:cs="Times New Roman"/>
          <w:b w:val="0"/>
          <w:bCs w:val="0"/>
          <w:color w:val="auto"/>
          <w:sz w:val="24"/>
          <w:szCs w:val="24"/>
          <w:highlight w:val="none"/>
          <w:lang w:val="en-US" w:eastAsia="zh-CN"/>
        </w:rPr>
        <w:t>kg</w:t>
      </w:r>
      <w:r>
        <w:rPr>
          <w:rFonts w:hint="eastAsia" w:cs="Times New Roman"/>
          <w:b w:val="0"/>
          <w:bCs w:val="0"/>
          <w:color w:val="auto"/>
          <w:sz w:val="24"/>
          <w:szCs w:val="24"/>
          <w:highlight w:val="none"/>
          <w:lang w:val="en-US" w:eastAsia="zh-CN"/>
        </w:rPr>
        <w:t>/</w:t>
      </w:r>
      <w:r>
        <w:rPr>
          <w:rFonts w:hint="eastAsia" w:eastAsia="宋体" w:cs="Times New Roman"/>
          <w:b w:val="0"/>
          <w:bCs w:val="0"/>
          <w:color w:val="auto"/>
          <w:sz w:val="24"/>
          <w:szCs w:val="24"/>
          <w:highlight w:val="none"/>
          <w:lang w:val="en-US" w:eastAsia="zh-CN"/>
        </w:rPr>
        <w:t>a</w:t>
      </w:r>
      <w:r>
        <w:rPr>
          <w:rFonts w:hint="eastAsia" w:cs="Times New Roman"/>
          <w:b w:val="0"/>
          <w:bCs w:val="0"/>
          <w:color w:val="auto"/>
          <w:sz w:val="24"/>
          <w:szCs w:val="24"/>
          <w:highlight w:val="none"/>
          <w:lang w:val="en-US" w:eastAsia="zh-CN"/>
        </w:rPr>
        <w:t>，取值固态</w:t>
      </w:r>
      <w:r>
        <w:rPr>
          <w:rFonts w:hint="eastAsia" w:cs="Times New Roman"/>
          <w:b w:val="0"/>
          <w:bCs w:val="0"/>
          <w:color w:val="auto"/>
          <w:sz w:val="24"/>
          <w:szCs w:val="24"/>
          <w:lang w:val="en-US" w:eastAsia="zh-CN"/>
        </w:rPr>
        <w:t>517.37</w:t>
      </w:r>
      <w:r>
        <w:rPr>
          <w:rFonts w:hint="eastAsia" w:eastAsia="宋体" w:cs="Times New Roman"/>
          <w:b w:val="0"/>
          <w:bCs w:val="0"/>
          <w:color w:val="auto"/>
          <w:sz w:val="24"/>
          <w:szCs w:val="24"/>
          <w:highlight w:val="none"/>
          <w:lang w:val="en-US" w:eastAsia="zh-CN"/>
        </w:rPr>
        <w:t>；</w:t>
      </w:r>
    </w:p>
    <w:p w14:paraId="19C7CB24">
      <w:pPr>
        <w:keepNext w:val="0"/>
        <w:keepLines w:val="0"/>
        <w:pageBreakBefore w:val="0"/>
        <w:wordWrap/>
        <w:topLinePunct w:val="0"/>
        <w:bidi w:val="0"/>
        <w:adjustRightInd/>
        <w:snapToGrid/>
        <w:spacing w:line="360" w:lineRule="auto"/>
        <w:ind w:firstLine="480"/>
        <w:rPr>
          <w:rFonts w:hint="default"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R</w:t>
      </w:r>
      <w:r>
        <w:rPr>
          <w:rFonts w:hint="eastAsia" w:cs="Times New Roman"/>
          <w:b w:val="0"/>
          <w:bCs w:val="0"/>
          <w:color w:val="auto"/>
          <w:sz w:val="24"/>
          <w:szCs w:val="24"/>
          <w:vertAlign w:val="subscript"/>
          <w:lang w:val="en-US" w:eastAsia="zh-CN"/>
        </w:rPr>
        <w:t>饲料</w:t>
      </w:r>
      <w:r>
        <w:rPr>
          <w:rFonts w:hint="eastAsia" w:eastAsia="宋体" w:cs="Times New Roman"/>
          <w:b w:val="0"/>
          <w:bCs w:val="0"/>
          <w:color w:val="auto"/>
          <w:sz w:val="24"/>
          <w:szCs w:val="24"/>
          <w:lang w:val="en-US" w:eastAsia="zh-CN"/>
        </w:rPr>
        <w:t>为粪肥用作生态饲料的比重</w:t>
      </w:r>
      <w:r>
        <w:rPr>
          <w:rFonts w:hint="eastAsia" w:cs="Times New Roman"/>
          <w:b w:val="0"/>
          <w:bCs w:val="0"/>
          <w:color w:val="auto"/>
          <w:sz w:val="24"/>
          <w:szCs w:val="24"/>
          <w:lang w:val="en-US" w:eastAsia="zh-CN"/>
        </w:rPr>
        <w:t>，%，20</w:t>
      </w:r>
    </w:p>
    <w:p w14:paraId="540E2573">
      <w:pPr>
        <w:keepNext w:val="0"/>
        <w:keepLines w:val="0"/>
        <w:pageBreakBefore w:val="0"/>
        <w:wordWrap/>
        <w:topLinePunct w:val="0"/>
        <w:bidi w:val="0"/>
        <w:adjustRightInd/>
        <w:snapToGrid/>
        <w:spacing w:line="360" w:lineRule="auto"/>
        <w:jc w:val="center"/>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drawing>
          <wp:inline distT="0" distB="0" distL="114300" distR="114300">
            <wp:extent cx="4453890" cy="1504950"/>
            <wp:effectExtent l="0" t="0" r="3810" b="0"/>
            <wp:docPr id="412" name="图片 412" descr="1723611128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412" descr="1723611128297"/>
                    <pic:cNvPicPr>
                      <a:picLocks noChangeAspect="1"/>
                    </pic:cNvPicPr>
                  </pic:nvPicPr>
                  <pic:blipFill>
                    <a:blip r:embed="rId36"/>
                    <a:stretch>
                      <a:fillRect/>
                    </a:stretch>
                  </pic:blipFill>
                  <pic:spPr>
                    <a:xfrm>
                      <a:off x="0" y="0"/>
                      <a:ext cx="4453890" cy="1504950"/>
                    </a:xfrm>
                    <a:prstGeom prst="rect">
                      <a:avLst/>
                    </a:prstGeom>
                  </pic:spPr>
                </pic:pic>
              </a:graphicData>
            </a:graphic>
          </wp:inline>
        </w:drawing>
      </w:r>
    </w:p>
    <w:p w14:paraId="16DDB6DB">
      <w:pPr>
        <w:keepNext w:val="0"/>
        <w:keepLines w:val="0"/>
        <w:pageBreakBefore w:val="0"/>
        <w:wordWrap/>
        <w:topLinePunct w:val="0"/>
        <w:bidi w:val="0"/>
        <w:adjustRightInd/>
        <w:snapToGrid/>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val="0"/>
          <w:bCs w:val="0"/>
          <w:color w:val="auto"/>
          <w:sz w:val="24"/>
          <w:szCs w:val="24"/>
          <w:lang w:val="en-US" w:eastAsia="zh-CN"/>
        </w:rPr>
        <w:t>其中f为固态粪便存储过程中总铵态氮向有机氮转化的比例</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，3</w:t>
      </w:r>
      <w:r>
        <w:rPr>
          <w:rFonts w:hint="eastAsia" w:cs="Times New Roman"/>
          <w:b w:val="0"/>
          <w:bCs w:val="0"/>
          <w:color w:val="auto"/>
          <w:sz w:val="24"/>
          <w:szCs w:val="24"/>
          <w:lang w:val="en-US" w:eastAsia="zh-CN"/>
        </w:rPr>
        <w:t>个</w:t>
      </w:r>
      <w:r>
        <w:rPr>
          <w:rFonts w:hint="eastAsia" w:ascii="Times New Roman" w:hAnsi="Times New Roman" w:eastAsia="宋体" w:cs="Times New Roman"/>
          <w:b w:val="0"/>
          <w:bCs w:val="0"/>
          <w:color w:val="auto"/>
          <w:sz w:val="24"/>
          <w:szCs w:val="24"/>
          <w:lang w:val="en-US" w:eastAsia="zh-CN"/>
        </w:rPr>
        <w:t>养殖</w:t>
      </w:r>
      <w:r>
        <w:rPr>
          <w:rFonts w:hint="eastAsia" w:cs="Times New Roman"/>
          <w:b w:val="0"/>
          <w:bCs w:val="0"/>
          <w:color w:val="auto"/>
          <w:sz w:val="24"/>
          <w:szCs w:val="24"/>
          <w:lang w:val="en-US" w:eastAsia="zh-CN"/>
        </w:rPr>
        <w:t>环节</w:t>
      </w:r>
      <w:r>
        <w:rPr>
          <w:rFonts w:hint="eastAsia" w:ascii="Times New Roman" w:hAnsi="Times New Roman" w:eastAsia="宋体" w:cs="Times New Roman"/>
          <w:b w:val="0"/>
          <w:bCs w:val="0"/>
          <w:color w:val="auto"/>
          <w:sz w:val="24"/>
          <w:szCs w:val="24"/>
          <w:lang w:val="en-US" w:eastAsia="zh-CN"/>
        </w:rPr>
        <w:t>中各种畜禽均取10%。</w:t>
      </w:r>
      <w:r>
        <w:rPr>
          <w:rFonts w:hint="eastAsia" w:cs="Times New Roman"/>
          <w:b w:val="0"/>
          <w:bCs w:val="0"/>
          <w:color w:val="auto"/>
          <w:sz w:val="24"/>
          <w:szCs w:val="24"/>
          <w:lang w:val="en-US" w:eastAsia="zh-CN"/>
        </w:rPr>
        <w:t>EF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－液态</w:t>
      </w:r>
      <w:r>
        <w:rPr>
          <w:rFonts w:hint="eastAsia" w:cs="Times New Roman"/>
          <w:b w:val="0"/>
          <w:bCs w:val="0"/>
          <w:color w:val="auto"/>
          <w:sz w:val="24"/>
          <w:szCs w:val="24"/>
          <w:vertAlign w:val="subscript"/>
          <w:lang w:val="en-US" w:eastAsia="zh-CN"/>
        </w:rPr>
        <w:t>-N2O</w:t>
      </w:r>
      <w:r>
        <w:rPr>
          <w:rFonts w:hint="eastAsia" w:cs="Times New Roman"/>
          <w:b w:val="0"/>
          <w:bCs w:val="0"/>
          <w:color w:val="auto"/>
          <w:sz w:val="24"/>
          <w:szCs w:val="24"/>
          <w:vertAlign w:val="baseline"/>
          <w:lang w:val="en-US" w:eastAsia="zh-CN"/>
        </w:rPr>
        <w:t>、</w:t>
      </w:r>
      <w:r>
        <w:rPr>
          <w:rFonts w:hint="eastAsia" w:cs="Times New Roman"/>
          <w:b w:val="0"/>
          <w:bCs w:val="0"/>
          <w:color w:val="auto"/>
          <w:sz w:val="24"/>
          <w:szCs w:val="24"/>
          <w:lang w:val="en-US" w:eastAsia="zh-CN"/>
        </w:rPr>
        <w:t>EF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－液态</w:t>
      </w:r>
      <w:r>
        <w:rPr>
          <w:rFonts w:hint="eastAsia" w:cs="Times New Roman"/>
          <w:b w:val="0"/>
          <w:bCs w:val="0"/>
          <w:color w:val="auto"/>
          <w:sz w:val="24"/>
          <w:szCs w:val="24"/>
          <w:vertAlign w:val="subscript"/>
          <w:lang w:val="en-US" w:eastAsia="zh-CN"/>
        </w:rPr>
        <w:t>-NO</w:t>
      </w:r>
      <w:r>
        <w:rPr>
          <w:rFonts w:hint="eastAsia" w:cs="Times New Roman"/>
          <w:b w:val="0"/>
          <w:bCs w:val="0"/>
          <w:color w:val="auto"/>
          <w:sz w:val="24"/>
          <w:szCs w:val="24"/>
          <w:vertAlign w:val="baseline"/>
          <w:lang w:val="en-US" w:eastAsia="zh-CN"/>
        </w:rPr>
        <w:t>、</w:t>
      </w:r>
      <w:r>
        <w:rPr>
          <w:rFonts w:hint="eastAsia" w:cs="Times New Roman"/>
          <w:b w:val="0"/>
          <w:bCs w:val="0"/>
          <w:color w:val="auto"/>
          <w:sz w:val="24"/>
          <w:szCs w:val="24"/>
          <w:lang w:val="en-US" w:eastAsia="zh-CN"/>
        </w:rPr>
        <w:t>EF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－液态－</w:t>
      </w:r>
      <w:r>
        <w:rPr>
          <w:rFonts w:hint="eastAsia" w:cs="Times New Roman"/>
          <w:b w:val="0"/>
          <w:bCs w:val="0"/>
          <w:color w:val="auto"/>
          <w:sz w:val="24"/>
          <w:szCs w:val="24"/>
          <w:vertAlign w:val="subscript"/>
          <w:lang w:val="en-US" w:eastAsia="zh-CN"/>
        </w:rPr>
        <w:t>N2</w:t>
      </w:r>
      <w:r>
        <w:rPr>
          <w:rFonts w:hint="eastAsia" w:cs="Times New Roman"/>
          <w:b w:val="0"/>
          <w:bCs w:val="0"/>
          <w:color w:val="auto"/>
          <w:sz w:val="24"/>
          <w:szCs w:val="24"/>
          <w:vertAlign w:val="baseline"/>
          <w:lang w:val="en-US" w:eastAsia="zh-CN"/>
        </w:rPr>
        <w:t>取值分别为1%、0.01%、0.3%，</w:t>
      </w:r>
      <w:r>
        <w:rPr>
          <w:rFonts w:hint="eastAsia" w:cs="Times New Roman"/>
          <w:b w:val="0"/>
          <w:bCs w:val="0"/>
          <w:color w:val="auto"/>
          <w:sz w:val="24"/>
          <w:szCs w:val="24"/>
          <w:lang w:val="en-US" w:eastAsia="zh-CN"/>
        </w:rPr>
        <w:t>EF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w:t>
      </w:r>
      <w:r>
        <w:rPr>
          <w:rFonts w:hint="eastAsia" w:cs="Times New Roman"/>
          <w:b w:val="0"/>
          <w:bCs w:val="0"/>
          <w:color w:val="auto"/>
          <w:sz w:val="24"/>
          <w:szCs w:val="24"/>
          <w:vertAlign w:val="subscript"/>
          <w:lang w:val="en-US" w:eastAsia="zh-CN"/>
        </w:rPr>
        <w:t>固态-N2O</w:t>
      </w:r>
      <w:r>
        <w:rPr>
          <w:rFonts w:hint="eastAsia" w:cs="Times New Roman"/>
          <w:b w:val="0"/>
          <w:bCs w:val="0"/>
          <w:color w:val="auto"/>
          <w:sz w:val="24"/>
          <w:szCs w:val="24"/>
          <w:vertAlign w:val="baseline"/>
          <w:lang w:val="en-US" w:eastAsia="zh-CN"/>
        </w:rPr>
        <w:t>、</w:t>
      </w:r>
      <w:r>
        <w:rPr>
          <w:rFonts w:hint="eastAsia" w:cs="Times New Roman"/>
          <w:b w:val="0"/>
          <w:bCs w:val="0"/>
          <w:color w:val="auto"/>
          <w:sz w:val="24"/>
          <w:szCs w:val="24"/>
          <w:lang w:val="en-US" w:eastAsia="zh-CN"/>
        </w:rPr>
        <w:t>EF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w:t>
      </w:r>
      <w:r>
        <w:rPr>
          <w:rFonts w:hint="eastAsia" w:cs="Times New Roman"/>
          <w:b w:val="0"/>
          <w:bCs w:val="0"/>
          <w:color w:val="auto"/>
          <w:sz w:val="24"/>
          <w:szCs w:val="24"/>
          <w:vertAlign w:val="subscript"/>
          <w:lang w:val="en-US" w:eastAsia="zh-CN"/>
        </w:rPr>
        <w:t>固态-NO</w:t>
      </w:r>
      <w:r>
        <w:rPr>
          <w:rFonts w:hint="eastAsia" w:cs="Times New Roman"/>
          <w:b w:val="0"/>
          <w:bCs w:val="0"/>
          <w:color w:val="auto"/>
          <w:sz w:val="24"/>
          <w:szCs w:val="24"/>
          <w:vertAlign w:val="baseline"/>
          <w:lang w:val="en-US" w:eastAsia="zh-CN"/>
        </w:rPr>
        <w:t>、</w:t>
      </w:r>
      <w:r>
        <w:rPr>
          <w:rFonts w:hint="eastAsia" w:cs="Times New Roman"/>
          <w:b w:val="0"/>
          <w:bCs w:val="0"/>
          <w:color w:val="auto"/>
          <w:sz w:val="24"/>
          <w:szCs w:val="24"/>
          <w:lang w:val="en-US" w:eastAsia="zh-CN"/>
        </w:rPr>
        <w:t>EF</w:t>
      </w:r>
      <w:r>
        <w:rPr>
          <w:rFonts w:hint="eastAsia" w:cs="Times New Roman"/>
          <w:b w:val="0"/>
          <w:bCs w:val="0"/>
          <w:color w:val="auto"/>
          <w:sz w:val="24"/>
          <w:szCs w:val="24"/>
          <w:vertAlign w:val="subscript"/>
          <w:lang w:val="en-US" w:eastAsia="zh-CN"/>
        </w:rPr>
        <w:t>存储</w:t>
      </w:r>
      <w:r>
        <w:rPr>
          <w:rFonts w:hint="eastAsia" w:eastAsia="宋体" w:cs="Times New Roman"/>
          <w:b w:val="0"/>
          <w:bCs w:val="0"/>
          <w:color w:val="auto"/>
          <w:sz w:val="24"/>
          <w:szCs w:val="24"/>
          <w:vertAlign w:val="subscript"/>
          <w:lang w:val="en-US" w:eastAsia="zh-CN"/>
        </w:rPr>
        <w:t>－</w:t>
      </w:r>
      <w:r>
        <w:rPr>
          <w:rFonts w:hint="eastAsia" w:cs="Times New Roman"/>
          <w:b w:val="0"/>
          <w:bCs w:val="0"/>
          <w:color w:val="auto"/>
          <w:sz w:val="24"/>
          <w:szCs w:val="24"/>
          <w:vertAlign w:val="subscript"/>
          <w:lang w:val="en-US" w:eastAsia="zh-CN"/>
        </w:rPr>
        <w:t>固态</w:t>
      </w:r>
      <w:r>
        <w:rPr>
          <w:rFonts w:hint="eastAsia" w:eastAsia="宋体" w:cs="Times New Roman"/>
          <w:b w:val="0"/>
          <w:bCs w:val="0"/>
          <w:color w:val="auto"/>
          <w:sz w:val="24"/>
          <w:szCs w:val="24"/>
          <w:vertAlign w:val="subscript"/>
          <w:lang w:val="en-US" w:eastAsia="zh-CN"/>
        </w:rPr>
        <w:t>－</w:t>
      </w:r>
      <w:r>
        <w:rPr>
          <w:rFonts w:hint="eastAsia" w:cs="Times New Roman"/>
          <w:b w:val="0"/>
          <w:bCs w:val="0"/>
          <w:color w:val="auto"/>
          <w:sz w:val="24"/>
          <w:szCs w:val="24"/>
          <w:vertAlign w:val="subscript"/>
          <w:lang w:val="en-US" w:eastAsia="zh-CN"/>
        </w:rPr>
        <w:t>N2</w:t>
      </w:r>
      <w:r>
        <w:rPr>
          <w:rFonts w:hint="eastAsia" w:cs="Times New Roman"/>
          <w:b w:val="0"/>
          <w:bCs w:val="0"/>
          <w:color w:val="auto"/>
          <w:sz w:val="24"/>
          <w:szCs w:val="24"/>
          <w:vertAlign w:val="baseline"/>
          <w:lang w:val="en-US" w:eastAsia="zh-CN"/>
        </w:rPr>
        <w:t>取值分别为8%、1%、30%。EN</w:t>
      </w:r>
      <w:r>
        <w:rPr>
          <w:rFonts w:hint="eastAsia" w:cs="Times New Roman"/>
          <w:b w:val="0"/>
          <w:bCs w:val="0"/>
          <w:color w:val="auto"/>
          <w:sz w:val="24"/>
          <w:szCs w:val="24"/>
          <w:vertAlign w:val="subscript"/>
          <w:lang w:val="en-US" w:eastAsia="zh-CN"/>
        </w:rPr>
        <w:t>N损失－固态</w:t>
      </w:r>
      <w:r>
        <w:rPr>
          <w:rFonts w:hint="eastAsia" w:cs="Times New Roman"/>
          <w:b w:val="0"/>
          <w:bCs w:val="0"/>
          <w:color w:val="auto"/>
          <w:sz w:val="24"/>
          <w:szCs w:val="24"/>
          <w:vertAlign w:val="baseline"/>
          <w:lang w:val="en-US" w:eastAsia="zh-CN"/>
        </w:rPr>
        <w:t>，</w:t>
      </w:r>
      <w:r>
        <w:rPr>
          <w:rFonts w:hint="eastAsia" w:eastAsia="宋体" w:cs="Times New Roman"/>
          <w:b w:val="0"/>
          <w:bCs w:val="0"/>
          <w:color w:val="auto"/>
          <w:sz w:val="24"/>
          <w:szCs w:val="24"/>
          <w:lang w:val="en-US" w:eastAsia="zh-CN"/>
        </w:rPr>
        <w:t>kg</w:t>
      </w:r>
      <w:r>
        <w:rPr>
          <w:rFonts w:hint="eastAsia" w:cs="Times New Roman"/>
          <w:b w:val="0"/>
          <w:bCs w:val="0"/>
          <w:color w:val="auto"/>
          <w:sz w:val="24"/>
          <w:szCs w:val="24"/>
          <w:lang w:val="en-US" w:eastAsia="zh-CN"/>
        </w:rPr>
        <w:t>/</w:t>
      </w:r>
      <w:r>
        <w:rPr>
          <w:rFonts w:hint="eastAsia" w:eastAsia="宋体" w:cs="Times New Roman"/>
          <w:b w:val="0"/>
          <w:bCs w:val="0"/>
          <w:color w:val="auto"/>
          <w:sz w:val="24"/>
          <w:szCs w:val="24"/>
          <w:lang w:val="en-US" w:eastAsia="zh-CN"/>
        </w:rPr>
        <w:t>a</w:t>
      </w:r>
      <w:r>
        <w:rPr>
          <w:rFonts w:hint="eastAsia" w:cs="Times New Roman"/>
          <w:b w:val="0"/>
          <w:bCs w:val="0"/>
          <w:color w:val="auto"/>
          <w:sz w:val="24"/>
          <w:szCs w:val="24"/>
          <w:lang w:val="en-US" w:eastAsia="zh-CN"/>
        </w:rPr>
        <w:t>，</w:t>
      </w:r>
      <w:r>
        <w:rPr>
          <w:rFonts w:hint="eastAsia" w:cs="Times New Roman"/>
          <w:b w:val="0"/>
          <w:bCs w:val="0"/>
          <w:color w:val="auto"/>
          <w:sz w:val="24"/>
          <w:szCs w:val="24"/>
          <w:vertAlign w:val="baseline"/>
          <w:lang w:val="en-US" w:eastAsia="zh-CN"/>
        </w:rPr>
        <w:t>480.42</w:t>
      </w:r>
      <w:r>
        <w:rPr>
          <w:rFonts w:hint="eastAsia" w:cs="Times New Roman"/>
          <w:b w:val="0"/>
          <w:bCs w:val="0"/>
          <w:color w:val="auto"/>
          <w:sz w:val="24"/>
          <w:szCs w:val="24"/>
          <w:lang w:val="en-US" w:eastAsia="zh-CN"/>
        </w:rPr>
        <w:t>。</w:t>
      </w:r>
      <w:r>
        <w:rPr>
          <w:rFonts w:hint="eastAsia" w:cs="Times New Roman"/>
          <w:b w:val="0"/>
          <w:bCs w:val="0"/>
          <w:color w:val="auto"/>
          <w:sz w:val="24"/>
          <w:szCs w:val="24"/>
          <w:vertAlign w:val="baseline"/>
          <w:lang w:val="en-US" w:eastAsia="zh-CN"/>
        </w:rPr>
        <w:t xml:space="preserve"> </w:t>
      </w:r>
    </w:p>
    <w:p w14:paraId="0ED4C599">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还田区每年春耕前以及作物生长期结束施肥期共</w:t>
      </w:r>
      <w:r>
        <w:rPr>
          <w:rFonts w:hint="eastAsia" w:cs="Times New Roman"/>
          <w:b w:val="0"/>
          <w:bCs w:val="0"/>
          <w:color w:val="auto"/>
          <w:sz w:val="24"/>
          <w:szCs w:val="24"/>
          <w:lang w:val="en-US" w:eastAsia="zh-CN"/>
        </w:rPr>
        <w:t>28周</w:t>
      </w:r>
      <w:r>
        <w:rPr>
          <w:rFonts w:hint="eastAsia" w:ascii="Times New Roman" w:hAnsi="Times New Roman" w:eastAsia="宋体" w:cs="Times New Roman"/>
          <w:b w:val="0"/>
          <w:bCs w:val="0"/>
          <w:color w:val="auto"/>
          <w:sz w:val="24"/>
          <w:szCs w:val="24"/>
          <w:lang w:val="en-US" w:eastAsia="zh-CN"/>
        </w:rPr>
        <w:t>，</w:t>
      </w:r>
      <w:r>
        <w:rPr>
          <w:rFonts w:hint="eastAsia" w:cs="Times New Roman"/>
          <w:b w:val="0"/>
          <w:bCs w:val="0"/>
          <w:color w:val="auto"/>
          <w:sz w:val="24"/>
          <w:szCs w:val="24"/>
          <w:lang w:val="en-US" w:eastAsia="zh-CN"/>
        </w:rPr>
        <w:t>197</w:t>
      </w:r>
      <w:r>
        <w:rPr>
          <w:rFonts w:hint="eastAsia" w:ascii="Times New Roman" w:hAnsi="Times New Roman" w:eastAsia="宋体" w:cs="Times New Roman"/>
          <w:b w:val="0"/>
          <w:bCs w:val="0"/>
          <w:color w:val="auto"/>
          <w:sz w:val="24"/>
          <w:szCs w:val="24"/>
          <w:lang w:val="en-US" w:eastAsia="zh-CN"/>
        </w:rPr>
        <w:t>天</w:t>
      </w:r>
      <w:r>
        <w:rPr>
          <w:rFonts w:hint="eastAsia" w:cs="Times New Roman"/>
          <w:b w:val="0"/>
          <w:bCs w:val="0"/>
          <w:color w:val="auto"/>
          <w:sz w:val="24"/>
          <w:szCs w:val="24"/>
          <w:lang w:val="en-US" w:eastAsia="zh-CN"/>
        </w:rPr>
        <w:t>计</w:t>
      </w:r>
      <w:r>
        <w:rPr>
          <w:rFonts w:hint="eastAsia" w:ascii="Times New Roman" w:hAnsi="Times New Roman" w:eastAsia="宋体" w:cs="Times New Roman"/>
          <w:b w:val="0"/>
          <w:bCs w:val="0"/>
          <w:color w:val="auto"/>
          <w:sz w:val="24"/>
          <w:szCs w:val="24"/>
          <w:lang w:val="en-US" w:eastAsia="zh-CN"/>
        </w:rPr>
        <w:t>。</w:t>
      </w:r>
    </w:p>
    <w:p w14:paraId="6F6006FC">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lang w:val="en-US" w:eastAsia="zh-CN"/>
        </w:rPr>
        <w:t>养殖恶臭</w:t>
      </w:r>
      <w:r>
        <w:rPr>
          <w:rFonts w:hint="eastAsia" w:cs="Times New Roman"/>
          <w:b w:val="0"/>
          <w:bCs w:val="0"/>
          <w:color w:val="auto"/>
          <w:sz w:val="24"/>
          <w:szCs w:val="24"/>
          <w:lang w:val="en-US" w:eastAsia="zh-CN"/>
        </w:rPr>
        <w:t>氨产生</w:t>
      </w:r>
      <w:r>
        <w:rPr>
          <w:rFonts w:hint="eastAsia" w:ascii="Times New Roman" w:hAnsi="Times New Roman" w:eastAsia="宋体" w:cs="Times New Roman"/>
          <w:b w:val="0"/>
          <w:bCs w:val="0"/>
          <w:color w:val="auto"/>
          <w:sz w:val="24"/>
          <w:szCs w:val="24"/>
          <w:lang w:val="en-US" w:eastAsia="zh-CN"/>
        </w:rPr>
        <w:t>统计</w:t>
      </w:r>
      <w:r>
        <w:rPr>
          <w:rFonts w:hint="eastAsia" w:eastAsia="宋体" w:cs="Times New Roman"/>
          <w:b w:val="0"/>
          <w:bCs w:val="0"/>
          <w:color w:val="auto"/>
          <w:sz w:val="24"/>
          <w:szCs w:val="24"/>
          <w:lang w:val="en-US" w:eastAsia="zh-CN"/>
        </w:rPr>
        <w:t>见</w:t>
      </w:r>
      <w:r>
        <w:rPr>
          <w:rFonts w:hint="eastAsia" w:ascii="Times New Roman" w:hAnsi="Times New Roman" w:eastAsia="宋体" w:cs="Times New Roman"/>
          <w:b w:val="0"/>
          <w:bCs w:val="0"/>
          <w:color w:val="auto"/>
          <w:sz w:val="24"/>
          <w:szCs w:val="24"/>
          <w:lang w:val="en-US" w:eastAsia="zh-CN"/>
        </w:rPr>
        <w:t>表</w:t>
      </w:r>
      <w:r>
        <w:rPr>
          <w:rFonts w:hint="eastAsia" w:cs="Times New Roman"/>
          <w:b w:val="0"/>
          <w:bCs w:val="0"/>
          <w:color w:val="auto"/>
          <w:sz w:val="24"/>
          <w:szCs w:val="24"/>
          <w:lang w:val="en-US" w:eastAsia="zh-CN"/>
        </w:rPr>
        <w:t>3.4-3</w:t>
      </w:r>
      <w:r>
        <w:rPr>
          <w:rFonts w:hint="eastAsia" w:ascii="Times New Roman" w:hAnsi="Times New Roman" w:eastAsia="宋体" w:cs="Times New Roman"/>
          <w:b w:val="0"/>
          <w:bCs w:val="0"/>
          <w:color w:val="auto"/>
          <w:sz w:val="24"/>
          <w:szCs w:val="24"/>
          <w:lang w:val="en-US" w:eastAsia="zh-CN"/>
        </w:rPr>
        <w:t>：</w:t>
      </w:r>
    </w:p>
    <w:p w14:paraId="571525E1">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eastAsia" w:cs="Times New Roman"/>
          <w:b/>
          <w:bCs/>
          <w:color w:val="auto"/>
          <w:sz w:val="24"/>
          <w:szCs w:val="24"/>
          <w:lang w:val="en-US" w:eastAsia="zh-CN"/>
        </w:rPr>
        <w:t>3.4-3</w:t>
      </w:r>
      <w:r>
        <w:rPr>
          <w:rFonts w:hint="eastAsia" w:eastAsia="宋体" w:cs="Times New Roman"/>
          <w:b/>
          <w:bCs/>
          <w:color w:val="auto"/>
          <w:sz w:val="24"/>
          <w:szCs w:val="24"/>
          <w:lang w:val="en-US" w:eastAsia="zh-CN"/>
        </w:rPr>
        <w:t>养殖区恶臭</w:t>
      </w:r>
      <w:r>
        <w:rPr>
          <w:rFonts w:hint="eastAsia" w:cs="Times New Roman"/>
          <w:b/>
          <w:bCs/>
          <w:color w:val="auto"/>
          <w:sz w:val="24"/>
          <w:szCs w:val="24"/>
          <w:lang w:val="en-US" w:eastAsia="zh-CN"/>
        </w:rPr>
        <w:t>氨产生</w:t>
      </w:r>
      <w:r>
        <w:rPr>
          <w:rFonts w:hint="default" w:ascii="Times New Roman" w:hAnsi="Times New Roman" w:eastAsia="宋体" w:cs="Times New Roman"/>
          <w:b/>
          <w:bCs/>
          <w:color w:val="auto"/>
          <w:sz w:val="24"/>
          <w:szCs w:val="24"/>
          <w:lang w:val="en-US" w:eastAsia="zh-CN"/>
        </w:rPr>
        <w:t>统计</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426"/>
        <w:gridCol w:w="1425"/>
        <w:gridCol w:w="1890"/>
        <w:gridCol w:w="2707"/>
      </w:tblGrid>
      <w:tr w14:paraId="1F3BC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6" w:type="dxa"/>
            <w:tcBorders>
              <w:tl2br w:val="nil"/>
              <w:tr2bl w:val="nil"/>
            </w:tcBorders>
            <w:vAlign w:val="center"/>
          </w:tcPr>
          <w:p w14:paraId="7E9E78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eastAsia="宋体" w:cs="Times New Roman"/>
                <w:b/>
                <w:bCs/>
                <w:color w:val="auto"/>
                <w:sz w:val="21"/>
                <w:szCs w:val="21"/>
                <w:vertAlign w:val="baseline"/>
                <w:lang w:val="en-US" w:eastAsia="zh-CN"/>
              </w:rPr>
              <w:t>养殖方式</w:t>
            </w:r>
          </w:p>
        </w:tc>
        <w:tc>
          <w:tcPr>
            <w:tcW w:w="1426" w:type="dxa"/>
            <w:tcBorders>
              <w:tl2br w:val="nil"/>
              <w:tr2bl w:val="nil"/>
            </w:tcBorders>
            <w:vAlign w:val="center"/>
          </w:tcPr>
          <w:p w14:paraId="4D5801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eastAsia="宋体" w:cs="Times New Roman"/>
                <w:b/>
                <w:bCs/>
                <w:color w:val="auto"/>
                <w:sz w:val="21"/>
                <w:szCs w:val="21"/>
                <w:vertAlign w:val="baseline"/>
                <w:lang w:val="en-US" w:eastAsia="zh-CN"/>
              </w:rPr>
              <w:t>栏舍</w:t>
            </w:r>
            <w:r>
              <w:rPr>
                <w:rFonts w:hint="default" w:ascii="Times New Roman" w:hAnsi="Times New Roman" w:eastAsia="宋体" w:cs="Times New Roman"/>
                <w:b/>
                <w:bCs/>
                <w:color w:val="auto"/>
                <w:sz w:val="21"/>
                <w:szCs w:val="21"/>
                <w:vertAlign w:val="baseline"/>
                <w:lang w:val="en-US" w:eastAsia="zh-CN"/>
              </w:rPr>
              <w:t>NH</w:t>
            </w:r>
            <w:r>
              <w:rPr>
                <w:rFonts w:hint="default" w:ascii="Times New Roman" w:hAnsi="Times New Roman" w:eastAsia="宋体" w:cs="Times New Roman"/>
                <w:b/>
                <w:bCs/>
                <w:color w:val="auto"/>
                <w:sz w:val="21"/>
                <w:szCs w:val="21"/>
                <w:vertAlign w:val="subscript"/>
                <w:lang w:val="en-US" w:eastAsia="zh-CN"/>
              </w:rPr>
              <w:t>3</w:t>
            </w:r>
          </w:p>
          <w:p w14:paraId="7362A8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rPr>
            </w:pPr>
            <w:r>
              <w:rPr>
                <w:rFonts w:hint="eastAsia" w:ascii="Times New Roman" w:hAnsi="Times New Roman" w:eastAsia="宋体" w:cs="Times New Roman"/>
                <w:b/>
                <w:bCs/>
                <w:color w:val="auto"/>
                <w:sz w:val="21"/>
                <w:szCs w:val="21"/>
                <w:vertAlign w:val="baseline"/>
                <w:lang w:val="en-US" w:eastAsia="zh-CN"/>
              </w:rPr>
              <w:t>kg/a</w:t>
            </w:r>
          </w:p>
        </w:tc>
        <w:tc>
          <w:tcPr>
            <w:tcW w:w="1425" w:type="dxa"/>
            <w:tcBorders>
              <w:tl2br w:val="nil"/>
              <w:tr2bl w:val="nil"/>
            </w:tcBorders>
            <w:vAlign w:val="center"/>
          </w:tcPr>
          <w:p w14:paraId="0D746C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eastAsia="宋体" w:cs="Times New Roman"/>
                <w:b/>
                <w:bCs/>
                <w:color w:val="auto"/>
                <w:sz w:val="21"/>
                <w:szCs w:val="21"/>
                <w:vertAlign w:val="baseline"/>
                <w:lang w:val="en-US" w:eastAsia="zh-CN"/>
              </w:rPr>
              <w:t>存储</w:t>
            </w:r>
            <w:r>
              <w:rPr>
                <w:rFonts w:hint="default" w:ascii="Times New Roman" w:hAnsi="Times New Roman" w:eastAsia="宋体" w:cs="Times New Roman"/>
                <w:b/>
                <w:bCs/>
                <w:color w:val="auto"/>
                <w:sz w:val="21"/>
                <w:szCs w:val="21"/>
                <w:vertAlign w:val="baseline"/>
                <w:lang w:val="en-US" w:eastAsia="zh-CN"/>
              </w:rPr>
              <w:t>NH</w:t>
            </w:r>
            <w:r>
              <w:rPr>
                <w:rFonts w:hint="default" w:ascii="Times New Roman" w:hAnsi="Times New Roman" w:eastAsia="宋体" w:cs="Times New Roman"/>
                <w:b/>
                <w:bCs/>
                <w:color w:val="auto"/>
                <w:sz w:val="21"/>
                <w:szCs w:val="21"/>
                <w:vertAlign w:val="subscript"/>
                <w:lang w:val="en-US" w:eastAsia="zh-CN"/>
              </w:rPr>
              <w:t>3</w:t>
            </w:r>
          </w:p>
          <w:p w14:paraId="46D502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eastAsia" w:ascii="Times New Roman" w:hAnsi="Times New Roman" w:eastAsia="宋体" w:cs="Times New Roman"/>
                <w:b/>
                <w:bCs/>
                <w:color w:val="auto"/>
                <w:sz w:val="21"/>
                <w:szCs w:val="21"/>
                <w:vertAlign w:val="baseline"/>
                <w:lang w:val="en-US" w:eastAsia="zh-CN"/>
              </w:rPr>
              <w:t>kg/a</w:t>
            </w:r>
          </w:p>
        </w:tc>
        <w:tc>
          <w:tcPr>
            <w:tcW w:w="1890" w:type="dxa"/>
            <w:tcBorders>
              <w:tl2br w:val="nil"/>
              <w:tr2bl w:val="nil"/>
            </w:tcBorders>
            <w:vAlign w:val="center"/>
          </w:tcPr>
          <w:p w14:paraId="4F8F7A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eastAsia="宋体" w:cs="Times New Roman"/>
                <w:b/>
                <w:bCs/>
                <w:color w:val="auto"/>
                <w:sz w:val="21"/>
                <w:szCs w:val="21"/>
                <w:vertAlign w:val="baseline"/>
                <w:lang w:val="en-US" w:eastAsia="zh-CN"/>
              </w:rPr>
              <w:t>施肥</w:t>
            </w:r>
            <w:r>
              <w:rPr>
                <w:rFonts w:hint="default" w:ascii="Times New Roman" w:hAnsi="Times New Roman" w:eastAsia="宋体" w:cs="Times New Roman"/>
                <w:b/>
                <w:bCs/>
                <w:color w:val="auto"/>
                <w:sz w:val="21"/>
                <w:szCs w:val="21"/>
                <w:vertAlign w:val="baseline"/>
                <w:lang w:val="en-US" w:eastAsia="zh-CN"/>
              </w:rPr>
              <w:t>NH</w:t>
            </w:r>
            <w:r>
              <w:rPr>
                <w:rFonts w:hint="default" w:ascii="Times New Roman" w:hAnsi="Times New Roman" w:eastAsia="宋体" w:cs="Times New Roman"/>
                <w:b/>
                <w:bCs/>
                <w:color w:val="auto"/>
                <w:sz w:val="21"/>
                <w:szCs w:val="21"/>
                <w:vertAlign w:val="subscript"/>
                <w:lang w:val="en-US" w:eastAsia="zh-CN"/>
              </w:rPr>
              <w:t>3</w:t>
            </w:r>
          </w:p>
          <w:p w14:paraId="3FB6FC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subscript"/>
                <w:lang w:val="en-US" w:eastAsia="zh-CN"/>
              </w:rPr>
            </w:pPr>
            <w:r>
              <w:rPr>
                <w:rFonts w:hint="eastAsia" w:ascii="Times New Roman" w:hAnsi="Times New Roman" w:eastAsia="宋体" w:cs="Times New Roman"/>
                <w:b/>
                <w:bCs/>
                <w:color w:val="auto"/>
                <w:sz w:val="21"/>
                <w:szCs w:val="21"/>
                <w:vertAlign w:val="baseline"/>
                <w:lang w:val="en-US" w:eastAsia="zh-CN"/>
              </w:rPr>
              <w:t>kg/a</w:t>
            </w:r>
          </w:p>
        </w:tc>
        <w:tc>
          <w:tcPr>
            <w:tcW w:w="2707" w:type="dxa"/>
            <w:tcBorders>
              <w:tl2br w:val="nil"/>
              <w:tr2bl w:val="nil"/>
            </w:tcBorders>
            <w:vAlign w:val="center"/>
          </w:tcPr>
          <w:p w14:paraId="42D5C1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cs="Times New Roman"/>
                <w:b/>
                <w:bCs/>
                <w:color w:val="auto"/>
                <w:sz w:val="21"/>
                <w:szCs w:val="21"/>
                <w:vertAlign w:val="baseline"/>
                <w:lang w:val="en-US" w:eastAsia="zh-CN"/>
              </w:rPr>
            </w:pPr>
            <w:r>
              <w:rPr>
                <w:rFonts w:hint="eastAsia" w:eastAsia="宋体" w:cs="Times New Roman"/>
                <w:b/>
                <w:bCs/>
                <w:color w:val="auto"/>
                <w:sz w:val="21"/>
                <w:szCs w:val="21"/>
                <w:vertAlign w:val="baseline"/>
                <w:lang w:val="en-US" w:eastAsia="zh-CN"/>
              </w:rPr>
              <w:t>总计</w:t>
            </w:r>
            <w:r>
              <w:rPr>
                <w:rFonts w:hint="eastAsia" w:ascii="Times New Roman" w:hAnsi="Times New Roman" w:eastAsia="宋体" w:cs="Times New Roman"/>
                <w:b/>
                <w:bCs/>
                <w:color w:val="auto"/>
                <w:sz w:val="21"/>
                <w:szCs w:val="21"/>
                <w:vertAlign w:val="baseline"/>
                <w:lang w:val="en-US" w:eastAsia="zh-CN"/>
              </w:rPr>
              <w:t>t/a</w:t>
            </w:r>
          </w:p>
        </w:tc>
      </w:tr>
      <w:tr w14:paraId="3BA26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6" w:type="dxa"/>
            <w:tcBorders>
              <w:tl2br w:val="nil"/>
              <w:tr2bl w:val="nil"/>
            </w:tcBorders>
            <w:vAlign w:val="center"/>
          </w:tcPr>
          <w:p w14:paraId="02D724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eastAsia="宋体" w:cs="Times New Roman"/>
                <w:b w:val="0"/>
                <w:bCs w:val="0"/>
                <w:color w:val="auto"/>
                <w:sz w:val="21"/>
                <w:szCs w:val="21"/>
                <w:vertAlign w:val="baseline"/>
                <w:lang w:val="en-US" w:eastAsia="zh-CN"/>
              </w:rPr>
              <w:t>集约化养殖</w:t>
            </w:r>
          </w:p>
        </w:tc>
        <w:tc>
          <w:tcPr>
            <w:tcW w:w="1426" w:type="dxa"/>
            <w:tcBorders>
              <w:tl2br w:val="nil"/>
              <w:tr2bl w:val="nil"/>
            </w:tcBorders>
            <w:vAlign w:val="center"/>
          </w:tcPr>
          <w:p w14:paraId="2941BE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4310.55</w:t>
            </w:r>
          </w:p>
        </w:tc>
        <w:tc>
          <w:tcPr>
            <w:tcW w:w="1425" w:type="dxa"/>
            <w:tcBorders>
              <w:tl2br w:val="nil"/>
              <w:tr2bl w:val="nil"/>
            </w:tcBorders>
            <w:vAlign w:val="center"/>
          </w:tcPr>
          <w:p w14:paraId="5B28E6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628.09</w:t>
            </w:r>
          </w:p>
        </w:tc>
        <w:tc>
          <w:tcPr>
            <w:tcW w:w="1890" w:type="dxa"/>
            <w:tcBorders>
              <w:tl2br w:val="nil"/>
              <w:tr2bl w:val="nil"/>
            </w:tcBorders>
            <w:vAlign w:val="center"/>
          </w:tcPr>
          <w:p w14:paraId="515FC6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val="0"/>
                <w:bCs w:val="0"/>
                <w:color w:val="auto"/>
                <w:sz w:val="21"/>
                <w:szCs w:val="21"/>
                <w:vertAlign w:val="baseline"/>
                <w:lang w:val="en-US" w:eastAsia="zh-CN"/>
              </w:rPr>
            </w:pPr>
            <w:r>
              <w:rPr>
                <w:rFonts w:hint="default" w:cs="Times New Roman"/>
                <w:b w:val="0"/>
                <w:bCs w:val="0"/>
                <w:color w:val="auto"/>
                <w:sz w:val="21"/>
                <w:szCs w:val="21"/>
                <w:vertAlign w:val="baseline"/>
                <w:lang w:val="en-US" w:eastAsia="zh-CN"/>
              </w:rPr>
              <w:t>8685.74</w:t>
            </w:r>
          </w:p>
        </w:tc>
        <w:tc>
          <w:tcPr>
            <w:tcW w:w="2707" w:type="dxa"/>
            <w:tcBorders>
              <w:tl2br w:val="nil"/>
              <w:tr2bl w:val="nil"/>
            </w:tcBorders>
            <w:vAlign w:val="center"/>
          </w:tcPr>
          <w:p w14:paraId="3BDD9E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13.62t/a（其中项目区内4.94t/a，还田区8.68t/a）</w:t>
            </w:r>
          </w:p>
        </w:tc>
      </w:tr>
    </w:tbl>
    <w:p w14:paraId="5EAA6107">
      <w:pPr>
        <w:keepNext w:val="0"/>
        <w:keepLines w:val="0"/>
        <w:pageBreakBefore w:val="0"/>
        <w:wordWrap/>
        <w:topLinePunct w:val="0"/>
        <w:bidi w:val="0"/>
        <w:adjustRightInd/>
        <w:snapToGrid/>
        <w:spacing w:line="360" w:lineRule="auto"/>
        <w:ind w:firstLine="480"/>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eastAsia="宋体" w:cs="Times New Roman"/>
          <w:color w:val="auto"/>
          <w:sz w:val="24"/>
          <w:szCs w:val="24"/>
          <w:highlight w:val="none"/>
          <w:lang w:val="en-US" w:eastAsia="zh-CN"/>
        </w:rPr>
        <w:t>根据《除臭菌株对NH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和H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S释放及物质转化的影响》（农业环境科学学报，2011年第3期30卷）硫化氢的产生主要在于高温堆肥</w:t>
      </w:r>
      <w:r>
        <w:rPr>
          <w:rFonts w:hint="eastAsia" w:ascii="Times New Roman" w:hAnsi="Times New Roman" w:eastAsia="宋体" w:cs="Times New Roman"/>
          <w:color w:val="auto"/>
          <w:sz w:val="24"/>
          <w:szCs w:val="24"/>
          <w:highlight w:val="none"/>
          <w:lang w:val="en-US" w:eastAsia="zh-CN"/>
        </w:rPr>
        <w:t>，养殖区</w:t>
      </w:r>
      <w:r>
        <w:rPr>
          <w:rFonts w:hint="eastAsia" w:cs="Times New Roman"/>
          <w:color w:val="auto"/>
          <w:sz w:val="24"/>
          <w:szCs w:val="24"/>
          <w:highlight w:val="none"/>
          <w:lang w:val="en-US" w:eastAsia="zh-CN"/>
        </w:rPr>
        <w:t>牛圈</w:t>
      </w:r>
      <w:r>
        <w:rPr>
          <w:rFonts w:hint="eastAsia" w:ascii="Times New Roman" w:hAnsi="Times New Roman" w:eastAsia="宋体" w:cs="Times New Roman"/>
          <w:color w:val="auto"/>
          <w:sz w:val="24"/>
          <w:szCs w:val="24"/>
          <w:highlight w:val="none"/>
          <w:lang w:val="en-US" w:eastAsia="zh-CN"/>
        </w:rPr>
        <w:t>产生的粪便同样会产生</w:t>
      </w:r>
      <w:r>
        <w:rPr>
          <w:rFonts w:hint="default" w:ascii="Times New Roman" w:hAnsi="Times New Roman" w:eastAsia="宋体" w:cs="Times New Roman"/>
          <w:color w:val="auto"/>
          <w:sz w:val="24"/>
          <w:szCs w:val="24"/>
          <w:highlight w:val="none"/>
          <w:lang w:val="en-US" w:eastAsia="zh-CN"/>
        </w:rPr>
        <w:t>硫化氢，</w:t>
      </w:r>
      <w:r>
        <w:rPr>
          <w:rFonts w:hint="eastAsia" w:ascii="Times New Roman" w:hAnsi="Times New Roman" w:eastAsia="宋体" w:cs="Times New Roman"/>
          <w:color w:val="auto"/>
          <w:sz w:val="24"/>
          <w:szCs w:val="24"/>
          <w:highlight w:val="none"/>
          <w:lang w:val="en-US" w:eastAsia="zh-CN"/>
        </w:rPr>
        <w:t>参考高温堆肥硫化氢产量计算。</w:t>
      </w:r>
      <w:r>
        <w:rPr>
          <w:rFonts w:hint="default" w:ascii="Times New Roman" w:hAnsi="Times New Roman" w:eastAsia="宋体" w:cs="Times New Roman"/>
          <w:color w:val="auto"/>
          <w:sz w:val="24"/>
          <w:szCs w:val="24"/>
          <w:highlight w:val="none"/>
          <w:lang w:val="en-US" w:eastAsia="zh-CN"/>
        </w:rPr>
        <w:t>高温期各处理的H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S释放量均占总释放量的85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左右</w:t>
      </w: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sz w:val="24"/>
          <w:szCs w:val="24"/>
          <w:highlight w:val="none"/>
          <w:lang w:eastAsia="zh-CN"/>
        </w:rPr>
        <w:t>《规模畜禽养殖场污染防治最佳可行技术指南（试行）》畜禽养殖主要固体污染物</w:t>
      </w:r>
      <w:r>
        <w:rPr>
          <w:rFonts w:hint="default" w:ascii="Times New Roman" w:hAnsi="Times New Roman" w:eastAsia="宋体" w:cs="Times New Roman"/>
          <w:color w:val="auto"/>
          <w:sz w:val="24"/>
          <w:szCs w:val="24"/>
          <w:highlight w:val="none"/>
          <w:lang w:val="en-US" w:eastAsia="zh-CN"/>
        </w:rPr>
        <w:t>TS为20%，根据《畜禽粪便堆肥过程中含硫恶臭排放规律及原位控制机制研究》堆肥过程中总硫损失为初始总硫的3.9</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18.3%，H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S恶臭气体形式损失的硫占堆肥过程中初始总硫损失的0.097%。本项目粪便产量为</w:t>
      </w:r>
      <w:r>
        <w:rPr>
          <w:rFonts w:hint="eastAsia" w:cs="Times New Roman"/>
          <w:color w:val="auto"/>
          <w:sz w:val="24"/>
          <w:szCs w:val="24"/>
          <w:highlight w:val="none"/>
          <w:lang w:val="en-US" w:eastAsia="zh-CN"/>
        </w:rPr>
        <w:t>11913.6</w:t>
      </w:r>
      <w:r>
        <w:rPr>
          <w:rFonts w:hint="default" w:ascii="Times New Roman" w:hAnsi="Times New Roman" w:eastAsia="宋体" w:cs="Times New Roman"/>
          <w:color w:val="auto"/>
          <w:sz w:val="24"/>
          <w:szCs w:val="24"/>
          <w:highlight w:val="none"/>
          <w:lang w:val="en-US" w:eastAsia="zh-CN"/>
        </w:rPr>
        <w:t>t/a，因此本项目</w:t>
      </w:r>
      <w:r>
        <w:rPr>
          <w:rFonts w:hint="eastAsia" w:ascii="Times New Roman" w:hAnsi="Times New Roman" w:eastAsia="宋体" w:cs="Times New Roman"/>
          <w:color w:val="auto"/>
          <w:sz w:val="24"/>
          <w:szCs w:val="24"/>
          <w:highlight w:val="none"/>
          <w:lang w:val="en-US" w:eastAsia="zh-CN"/>
        </w:rPr>
        <w:t>养殖区</w:t>
      </w:r>
      <w:r>
        <w:rPr>
          <w:rFonts w:hint="default" w:ascii="Times New Roman" w:hAnsi="Times New Roman" w:eastAsia="宋体" w:cs="Times New Roman"/>
          <w:color w:val="auto"/>
          <w:sz w:val="24"/>
          <w:szCs w:val="24"/>
          <w:highlight w:val="none"/>
          <w:lang w:val="en-US" w:eastAsia="zh-CN"/>
        </w:rPr>
        <w:t>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S产生量为</w:t>
      </w:r>
      <w:r>
        <w:rPr>
          <w:rFonts w:hint="eastAsia" w:cs="Times New Roman"/>
          <w:color w:val="auto"/>
          <w:sz w:val="24"/>
          <w:szCs w:val="24"/>
          <w:highlight w:val="none"/>
          <w:lang w:val="en-US" w:eastAsia="zh-CN"/>
        </w:rPr>
        <w:t>0.08</w:t>
      </w:r>
      <w:r>
        <w:rPr>
          <w:rFonts w:hint="default" w:ascii="Times New Roman" w:hAnsi="Times New Roman" w:eastAsia="宋体" w:cs="Times New Roman"/>
          <w:color w:val="auto"/>
          <w:sz w:val="24"/>
          <w:szCs w:val="24"/>
          <w:highlight w:val="none"/>
          <w:lang w:val="en-US" w:eastAsia="zh-CN"/>
        </w:rPr>
        <w:t>t/a。</w:t>
      </w:r>
      <w:r>
        <w:rPr>
          <w:rFonts w:hint="eastAsia" w:cs="Times New Roman"/>
          <w:color w:val="auto"/>
          <w:sz w:val="24"/>
          <w:szCs w:val="24"/>
          <w:highlight w:val="none"/>
          <w:lang w:val="en-US" w:eastAsia="zh-CN"/>
        </w:rPr>
        <w:t>还田区为固态肥还田，TS主要集中在固态粪便中，因此还田区以养殖区产生量计，则还田区为0.08t/a</w:t>
      </w:r>
      <w:r>
        <w:rPr>
          <w:rFonts w:hint="eastAsia" w:cs="Times New Roman"/>
          <w:snapToGrid w:val="0"/>
          <w:color w:val="000000"/>
          <w:sz w:val="24"/>
          <w:szCs w:val="24"/>
          <w:highlight w:val="none"/>
          <w:lang w:val="en-US" w:eastAsia="zh-CN" w:bidi="ar-SA"/>
        </w:rPr>
        <w:t>。</w:t>
      </w:r>
    </w:p>
    <w:p w14:paraId="1D802884">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本项目</w:t>
      </w:r>
      <w:r>
        <w:rPr>
          <w:rFonts w:hint="eastAsia" w:eastAsia="宋体" w:cs="Times New Roman"/>
          <w:b w:val="0"/>
          <w:bCs w:val="0"/>
          <w:color w:val="auto"/>
          <w:sz w:val="24"/>
          <w:szCs w:val="24"/>
          <w:lang w:val="en-US" w:eastAsia="zh-CN"/>
        </w:rPr>
        <w:t>养殖</w:t>
      </w:r>
      <w:r>
        <w:rPr>
          <w:rFonts w:hint="eastAsia" w:ascii="Times New Roman" w:hAnsi="Times New Roman" w:eastAsia="宋体" w:cs="Times New Roman"/>
          <w:b w:val="0"/>
          <w:bCs w:val="0"/>
          <w:color w:val="auto"/>
          <w:sz w:val="24"/>
          <w:szCs w:val="24"/>
          <w:lang w:val="en-US" w:eastAsia="zh-CN"/>
        </w:rPr>
        <w:t>恶臭的产生及排放情况见表</w:t>
      </w:r>
      <w:r>
        <w:rPr>
          <w:rFonts w:hint="eastAsia" w:cs="Times New Roman"/>
          <w:b w:val="0"/>
          <w:bCs w:val="0"/>
          <w:color w:val="auto"/>
          <w:sz w:val="24"/>
          <w:szCs w:val="24"/>
          <w:lang w:val="en-US" w:eastAsia="zh-CN"/>
        </w:rPr>
        <w:t>3.4-4</w:t>
      </w:r>
      <w:r>
        <w:rPr>
          <w:rFonts w:hint="eastAsia" w:ascii="Times New Roman" w:hAnsi="Times New Roman" w:eastAsia="宋体" w:cs="Times New Roman"/>
          <w:b w:val="0"/>
          <w:bCs w:val="0"/>
          <w:color w:val="auto"/>
          <w:sz w:val="24"/>
          <w:szCs w:val="24"/>
          <w:lang w:val="en-US" w:eastAsia="zh-CN"/>
        </w:rPr>
        <w:t>。</w:t>
      </w:r>
    </w:p>
    <w:p w14:paraId="2C99B810">
      <w:pPr>
        <w:keepNext w:val="0"/>
        <w:keepLines w:val="0"/>
        <w:pageBreakBefore w:val="0"/>
        <w:wordWrap/>
        <w:topLinePunct w:val="0"/>
        <w:bidi w:val="0"/>
        <w:adjustRightInd/>
        <w:snapToGrid/>
        <w:spacing w:line="360" w:lineRule="auto"/>
        <w:jc w:val="center"/>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4</w:t>
      </w:r>
      <w:r>
        <w:rPr>
          <w:rFonts w:hint="eastAsia" w:ascii="Times New Roman" w:hAnsi="Times New Roman" w:eastAsia="宋体" w:cs="Times New Roman"/>
          <w:b/>
          <w:bCs/>
          <w:color w:val="auto"/>
          <w:sz w:val="24"/>
          <w:szCs w:val="24"/>
          <w:lang w:val="en-US" w:eastAsia="zh-CN"/>
        </w:rPr>
        <w:t>-</w:t>
      </w:r>
      <w:r>
        <w:rPr>
          <w:rFonts w:hint="eastAsia" w:cs="Times New Roman"/>
          <w:b/>
          <w:bCs/>
          <w:color w:val="auto"/>
          <w:sz w:val="24"/>
          <w:szCs w:val="24"/>
          <w:lang w:val="en-US" w:eastAsia="zh-CN"/>
        </w:rPr>
        <w:t>4</w:t>
      </w:r>
      <w:r>
        <w:rPr>
          <w:rFonts w:hint="eastAsia" w:eastAsia="宋体" w:cs="Times New Roman"/>
          <w:b/>
          <w:bCs/>
          <w:color w:val="auto"/>
          <w:sz w:val="24"/>
          <w:szCs w:val="24"/>
          <w:lang w:val="en-US" w:eastAsia="zh-CN"/>
        </w:rPr>
        <w:t>养殖区</w:t>
      </w:r>
      <w:r>
        <w:rPr>
          <w:rFonts w:hint="eastAsia" w:ascii="Times New Roman" w:hAnsi="Times New Roman" w:eastAsia="宋体" w:cs="Times New Roman"/>
          <w:b/>
          <w:bCs/>
          <w:color w:val="auto"/>
          <w:sz w:val="24"/>
          <w:szCs w:val="24"/>
          <w:lang w:val="en-US" w:eastAsia="zh-CN"/>
        </w:rPr>
        <w:t>恶臭产生及排放情况一览表</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282"/>
        <w:gridCol w:w="1089"/>
        <w:gridCol w:w="1065"/>
        <w:gridCol w:w="1755"/>
        <w:gridCol w:w="1867"/>
      </w:tblGrid>
      <w:tr w14:paraId="72522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6" w:type="dxa"/>
            <w:vMerge w:val="restart"/>
            <w:tcBorders>
              <w:tl2br w:val="nil"/>
              <w:tr2bl w:val="nil"/>
            </w:tcBorders>
            <w:vAlign w:val="center"/>
          </w:tcPr>
          <w:p w14:paraId="03B2571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lang w:val="en-US" w:eastAsia="zh-CN"/>
              </w:rPr>
            </w:pPr>
            <w:r>
              <w:rPr>
                <w:rFonts w:hint="eastAsia" w:eastAsia="宋体" w:cs="Times New Roman"/>
                <w:b/>
                <w:bCs/>
                <w:color w:val="auto"/>
                <w:sz w:val="21"/>
                <w:szCs w:val="21"/>
                <w:vertAlign w:val="baseline"/>
                <w:lang w:val="en-US" w:eastAsia="zh-CN"/>
              </w:rPr>
              <w:t>养殖类型</w:t>
            </w:r>
          </w:p>
        </w:tc>
        <w:tc>
          <w:tcPr>
            <w:tcW w:w="1282" w:type="dxa"/>
            <w:vMerge w:val="restart"/>
            <w:tcBorders>
              <w:tl2br w:val="nil"/>
              <w:tr2bl w:val="nil"/>
            </w:tcBorders>
            <w:vAlign w:val="center"/>
          </w:tcPr>
          <w:p w14:paraId="22E72551">
            <w:pPr>
              <w:keepNext w:val="0"/>
              <w:keepLines w:val="0"/>
              <w:pageBreakBefore w:val="0"/>
              <w:kinsoku/>
              <w:wordWrap/>
              <w:overflowPunct/>
              <w:topLinePunct w:val="0"/>
              <w:autoSpaceDE/>
              <w:autoSpaceDN/>
              <w:bidi w:val="0"/>
              <w:adjustRightInd/>
              <w:snapToGrid/>
              <w:spacing w:line="360" w:lineRule="exact"/>
              <w:jc w:val="center"/>
              <w:rPr>
                <w:rFonts w:hint="eastAsia" w:ascii="Times New Roman" w:hAnsi="Times New Roman" w:eastAsia="宋体" w:cs="Times New Roman"/>
                <w:b/>
                <w:bCs/>
                <w:color w:val="auto"/>
                <w:sz w:val="21"/>
                <w:szCs w:val="21"/>
                <w:vertAlign w:val="baseline"/>
                <w:lang w:val="en-US" w:eastAsia="zh-CN"/>
              </w:rPr>
            </w:pPr>
            <w:r>
              <w:rPr>
                <w:rFonts w:hint="eastAsia" w:eastAsia="宋体" w:cs="Times New Roman"/>
                <w:b/>
                <w:bCs/>
                <w:color w:val="auto"/>
                <w:sz w:val="21"/>
                <w:szCs w:val="21"/>
                <w:vertAlign w:val="baseline"/>
                <w:lang w:val="en-US" w:eastAsia="zh-CN"/>
              </w:rPr>
              <w:t>存栏</w:t>
            </w:r>
            <w:r>
              <w:rPr>
                <w:rFonts w:hint="eastAsia" w:ascii="Times New Roman" w:hAnsi="Times New Roman" w:eastAsia="宋体" w:cs="Times New Roman"/>
                <w:b/>
                <w:bCs/>
                <w:color w:val="auto"/>
                <w:sz w:val="21"/>
                <w:szCs w:val="21"/>
                <w:vertAlign w:val="baseline"/>
                <w:lang w:val="en-US" w:eastAsia="zh-CN"/>
              </w:rPr>
              <w:t>数</w:t>
            </w:r>
          </w:p>
          <w:p w14:paraId="00D212F4">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（头）</w:t>
            </w:r>
          </w:p>
        </w:tc>
        <w:tc>
          <w:tcPr>
            <w:tcW w:w="2154" w:type="dxa"/>
            <w:gridSpan w:val="2"/>
            <w:tcBorders>
              <w:tl2br w:val="nil"/>
              <w:tr2bl w:val="nil"/>
            </w:tcBorders>
            <w:vAlign w:val="center"/>
          </w:tcPr>
          <w:p w14:paraId="47E302F4">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产生量t</w:t>
            </w:r>
            <w:r>
              <w:rPr>
                <w:rFonts w:hint="default" w:ascii="Times New Roman" w:hAnsi="Times New Roman" w:eastAsia="宋体" w:cs="Times New Roman"/>
                <w:b/>
                <w:bCs/>
                <w:color w:val="auto"/>
                <w:szCs w:val="21"/>
                <w:u w:val="none"/>
                <w:lang w:val="en-US" w:eastAsia="zh-CN" w:bidi="ar"/>
              </w:rPr>
              <w:t>/a</w:t>
            </w:r>
          </w:p>
        </w:tc>
        <w:tc>
          <w:tcPr>
            <w:tcW w:w="3622" w:type="dxa"/>
            <w:gridSpan w:val="2"/>
            <w:tcBorders>
              <w:tl2br w:val="nil"/>
              <w:tr2bl w:val="nil"/>
            </w:tcBorders>
            <w:vAlign w:val="center"/>
          </w:tcPr>
          <w:p w14:paraId="5A10F531">
            <w:pPr>
              <w:keepNext w:val="0"/>
              <w:keepLines w:val="0"/>
              <w:widowControl/>
              <w:suppressLineNumbers w:val="0"/>
              <w:jc w:val="center"/>
              <w:textAlignment w:val="center"/>
              <w:rPr>
                <w:rFonts w:hint="eastAsia" w:ascii="Times New Roman" w:hAnsi="Times New Roman" w:eastAsia="宋体" w:cs="Times New Roman"/>
                <w:b/>
                <w:bCs/>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排放量t</w:t>
            </w:r>
            <w:r>
              <w:rPr>
                <w:rFonts w:hint="default" w:ascii="Times New Roman" w:hAnsi="Times New Roman" w:eastAsia="宋体" w:cs="Times New Roman"/>
                <w:b/>
                <w:bCs/>
                <w:color w:val="auto"/>
                <w:szCs w:val="21"/>
                <w:u w:val="none"/>
                <w:lang w:val="en-US" w:eastAsia="zh-CN" w:bidi="ar"/>
              </w:rPr>
              <w:t>/a</w:t>
            </w:r>
          </w:p>
        </w:tc>
      </w:tr>
      <w:tr w14:paraId="0BD8C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46" w:type="dxa"/>
            <w:vMerge w:val="continue"/>
            <w:tcBorders>
              <w:tl2br w:val="nil"/>
              <w:tr2bl w:val="nil"/>
            </w:tcBorders>
            <w:vAlign w:val="center"/>
          </w:tcPr>
          <w:p w14:paraId="2AACE26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rPr>
            </w:pPr>
          </w:p>
        </w:tc>
        <w:tc>
          <w:tcPr>
            <w:tcW w:w="1282" w:type="dxa"/>
            <w:vMerge w:val="continue"/>
            <w:tcBorders>
              <w:tl2br w:val="nil"/>
              <w:tr2bl w:val="nil"/>
            </w:tcBorders>
            <w:vAlign w:val="center"/>
          </w:tcPr>
          <w:p w14:paraId="42BCE224">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1"/>
                <w:szCs w:val="21"/>
                <w:vertAlign w:val="baseline"/>
              </w:rPr>
            </w:pPr>
          </w:p>
        </w:tc>
        <w:tc>
          <w:tcPr>
            <w:tcW w:w="1089" w:type="dxa"/>
            <w:tcBorders>
              <w:tl2br w:val="nil"/>
              <w:tr2bl w:val="nil"/>
            </w:tcBorders>
            <w:vAlign w:val="center"/>
          </w:tcPr>
          <w:p w14:paraId="4AE125A9">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NH</w:t>
            </w:r>
            <w:r>
              <w:rPr>
                <w:rFonts w:hint="default" w:eastAsia="宋体"/>
                <w:b/>
                <w:bCs/>
                <w:color w:val="auto"/>
                <w:szCs w:val="21"/>
                <w:u w:val="none"/>
                <w:vertAlign w:val="subscript"/>
                <w:lang w:val="en-US" w:eastAsia="zh-CN" w:bidi="ar"/>
              </w:rPr>
              <w:t>3</w:t>
            </w:r>
          </w:p>
        </w:tc>
        <w:tc>
          <w:tcPr>
            <w:tcW w:w="1065" w:type="dxa"/>
            <w:tcBorders>
              <w:tl2br w:val="nil"/>
              <w:tr2bl w:val="nil"/>
            </w:tcBorders>
            <w:vAlign w:val="center"/>
          </w:tcPr>
          <w:p w14:paraId="4B131337">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H</w:t>
            </w:r>
            <w:r>
              <w:rPr>
                <w:rFonts w:hint="default" w:eastAsia="宋体"/>
                <w:b/>
                <w:bCs/>
                <w:color w:val="auto"/>
                <w:szCs w:val="21"/>
                <w:u w:val="none"/>
                <w:vertAlign w:val="subscript"/>
                <w:lang w:val="en-US" w:eastAsia="zh-CN" w:bidi="ar"/>
              </w:rPr>
              <w:t>2</w:t>
            </w:r>
            <w:r>
              <w:rPr>
                <w:rFonts w:hint="default" w:ascii="Times New Roman" w:hAnsi="Times New Roman" w:eastAsia="宋体" w:cs="Times New Roman"/>
                <w:b/>
                <w:bCs/>
                <w:color w:val="auto"/>
                <w:szCs w:val="21"/>
                <w:u w:val="none"/>
                <w:lang w:val="en-US" w:eastAsia="zh-CN" w:bidi="ar"/>
              </w:rPr>
              <w:t>S</w:t>
            </w:r>
          </w:p>
        </w:tc>
        <w:tc>
          <w:tcPr>
            <w:tcW w:w="1755" w:type="dxa"/>
            <w:tcBorders>
              <w:tl2br w:val="nil"/>
              <w:tr2bl w:val="nil"/>
            </w:tcBorders>
            <w:vAlign w:val="center"/>
          </w:tcPr>
          <w:p w14:paraId="680E4ED5">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NH</w:t>
            </w:r>
            <w:r>
              <w:rPr>
                <w:rFonts w:hint="default" w:eastAsia="宋体"/>
                <w:b/>
                <w:bCs/>
                <w:color w:val="auto"/>
                <w:szCs w:val="21"/>
                <w:u w:val="none"/>
                <w:vertAlign w:val="subscript"/>
                <w:lang w:val="en-US" w:eastAsia="zh-CN" w:bidi="ar"/>
              </w:rPr>
              <w:t>3</w:t>
            </w:r>
          </w:p>
        </w:tc>
        <w:tc>
          <w:tcPr>
            <w:tcW w:w="1867" w:type="dxa"/>
            <w:tcBorders>
              <w:tl2br w:val="nil"/>
              <w:tr2bl w:val="nil"/>
            </w:tcBorders>
            <w:vAlign w:val="center"/>
          </w:tcPr>
          <w:p w14:paraId="600F7F47">
            <w:pPr>
              <w:keepNext w:val="0"/>
              <w:keepLines w:val="0"/>
              <w:widowControl/>
              <w:suppressLineNumbers w:val="0"/>
              <w:jc w:val="center"/>
              <w:textAlignment w:val="center"/>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i w:val="0"/>
                <w:iCs w:val="0"/>
                <w:color w:val="auto"/>
                <w:kern w:val="0"/>
                <w:sz w:val="21"/>
                <w:szCs w:val="21"/>
                <w:u w:val="none"/>
                <w:lang w:val="en-US" w:eastAsia="zh-CN" w:bidi="ar"/>
              </w:rPr>
              <w:t>H</w:t>
            </w:r>
            <w:r>
              <w:rPr>
                <w:rFonts w:hint="default" w:eastAsia="宋体"/>
                <w:b/>
                <w:bCs/>
                <w:color w:val="auto"/>
                <w:szCs w:val="21"/>
                <w:u w:val="none"/>
                <w:vertAlign w:val="subscript"/>
                <w:lang w:val="en-US" w:eastAsia="zh-CN" w:bidi="ar"/>
              </w:rPr>
              <w:t>2</w:t>
            </w:r>
            <w:r>
              <w:rPr>
                <w:rFonts w:hint="default" w:ascii="Times New Roman" w:hAnsi="Times New Roman" w:eastAsia="宋体" w:cs="Times New Roman"/>
                <w:b/>
                <w:bCs/>
                <w:color w:val="auto"/>
                <w:szCs w:val="21"/>
                <w:u w:val="none"/>
                <w:lang w:val="en-US" w:eastAsia="zh-CN" w:bidi="ar"/>
              </w:rPr>
              <w:t>S</w:t>
            </w:r>
          </w:p>
        </w:tc>
      </w:tr>
      <w:tr w14:paraId="5D1A3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tcBorders>
              <w:tl2br w:val="nil"/>
              <w:tr2bl w:val="nil"/>
            </w:tcBorders>
            <w:vAlign w:val="center"/>
          </w:tcPr>
          <w:p w14:paraId="22BF41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color w:val="auto"/>
                <w:sz w:val="21"/>
                <w:szCs w:val="21"/>
                <w:vertAlign w:val="baseline"/>
                <w:lang w:val="en-US" w:eastAsia="zh-CN"/>
              </w:rPr>
            </w:pPr>
            <w:r>
              <w:rPr>
                <w:rFonts w:hint="eastAsia" w:eastAsia="宋体" w:cs="Times New Roman"/>
                <w:color w:val="auto"/>
                <w:sz w:val="21"/>
                <w:szCs w:val="21"/>
                <w:vertAlign w:val="baseline"/>
                <w:lang w:val="en-US" w:eastAsia="zh-CN"/>
              </w:rPr>
              <w:t>肉牛</w:t>
            </w:r>
          </w:p>
        </w:tc>
        <w:tc>
          <w:tcPr>
            <w:tcW w:w="1282" w:type="dxa"/>
            <w:tcBorders>
              <w:tl2br w:val="nil"/>
              <w:tr2bl w:val="nil"/>
            </w:tcBorders>
            <w:vAlign w:val="center"/>
          </w:tcPr>
          <w:p w14:paraId="3745E0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i w:val="0"/>
                <w:iCs w:val="0"/>
                <w:color w:val="auto"/>
                <w:kern w:val="0"/>
                <w:sz w:val="21"/>
                <w:szCs w:val="21"/>
                <w:u w:val="none"/>
                <w:lang w:val="en-US" w:eastAsia="zh-CN" w:bidi="ar"/>
              </w:rPr>
              <w:t>3000</w:t>
            </w:r>
          </w:p>
        </w:tc>
        <w:tc>
          <w:tcPr>
            <w:tcW w:w="1089" w:type="dxa"/>
            <w:tcBorders>
              <w:tl2br w:val="nil"/>
              <w:tr2bl w:val="nil"/>
            </w:tcBorders>
            <w:vAlign w:val="center"/>
          </w:tcPr>
          <w:p w14:paraId="243DA423">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13.62</w:t>
            </w:r>
          </w:p>
        </w:tc>
        <w:tc>
          <w:tcPr>
            <w:tcW w:w="1065" w:type="dxa"/>
            <w:tcBorders>
              <w:tl2br w:val="nil"/>
              <w:tr2bl w:val="nil"/>
            </w:tcBorders>
            <w:vAlign w:val="center"/>
          </w:tcPr>
          <w:p w14:paraId="6086CC7F">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0.16</w:t>
            </w:r>
          </w:p>
        </w:tc>
        <w:tc>
          <w:tcPr>
            <w:tcW w:w="1755" w:type="dxa"/>
            <w:tcBorders>
              <w:tl2br w:val="nil"/>
              <w:tr2bl w:val="nil"/>
            </w:tcBorders>
            <w:vAlign w:val="center"/>
          </w:tcPr>
          <w:p w14:paraId="3526597D">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1.63</w:t>
            </w:r>
            <w:r>
              <w:rPr>
                <w:rFonts w:hint="eastAsia" w:cs="Times New Roman"/>
                <w:b w:val="0"/>
                <w:bCs w:val="0"/>
                <w:color w:val="auto"/>
                <w:sz w:val="21"/>
                <w:szCs w:val="21"/>
                <w:vertAlign w:val="baseline"/>
                <w:lang w:val="en-US" w:eastAsia="zh-CN"/>
              </w:rPr>
              <w:t>（其中项目区内0.59t/a，还田区1.04t/a）</w:t>
            </w:r>
          </w:p>
        </w:tc>
        <w:tc>
          <w:tcPr>
            <w:tcW w:w="1867" w:type="dxa"/>
            <w:tcBorders>
              <w:tl2br w:val="nil"/>
              <w:tr2bl w:val="nil"/>
            </w:tcBorders>
            <w:vAlign w:val="center"/>
          </w:tcPr>
          <w:p w14:paraId="692DB434">
            <w:pPr>
              <w:keepNext w:val="0"/>
              <w:keepLines w:val="0"/>
              <w:widowControl/>
              <w:suppressLineNumbers w:val="0"/>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0.02</w:t>
            </w:r>
            <w:r>
              <w:rPr>
                <w:rFonts w:hint="eastAsia" w:cs="Times New Roman"/>
                <w:b w:val="0"/>
                <w:bCs w:val="0"/>
                <w:color w:val="auto"/>
                <w:sz w:val="21"/>
                <w:szCs w:val="21"/>
                <w:vertAlign w:val="baseline"/>
                <w:lang w:val="en-US" w:eastAsia="zh-CN"/>
              </w:rPr>
              <w:t>（其中项目区内0.01t/a，还田区0.01t/a）</w:t>
            </w:r>
          </w:p>
        </w:tc>
      </w:tr>
    </w:tbl>
    <w:p w14:paraId="7D0D3306">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根据《自然科学》现代化农业，2011年第6期（总第383期）</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微生物除臭剂研究进展</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（赵晓锋、隋文志）的资料，经国家环境分析测试中心和陕西环境监测中心测试养殖场生物除臭剂（大力克、万洁芬等）对NH</w:t>
      </w:r>
      <w:r>
        <w:rPr>
          <w:rFonts w:hint="eastAsia" w:ascii="Times New Roman" w:hAnsi="Times New Roman" w:eastAsia="宋体" w:cs="Times New Roman"/>
          <w:b w:val="0"/>
          <w:bCs w:val="0"/>
          <w:color w:val="auto"/>
          <w:sz w:val="24"/>
          <w:szCs w:val="24"/>
          <w:vertAlign w:val="subscript"/>
          <w:lang w:val="en-US" w:eastAsia="zh-CN"/>
        </w:rPr>
        <w:t>3</w:t>
      </w:r>
      <w:r>
        <w:rPr>
          <w:rFonts w:hint="eastAsia" w:ascii="Times New Roman" w:hAnsi="Times New Roman" w:eastAsia="宋体" w:cs="Times New Roman"/>
          <w:b w:val="0"/>
          <w:bCs w:val="0"/>
          <w:color w:val="auto"/>
          <w:sz w:val="24"/>
          <w:szCs w:val="24"/>
          <w:lang w:val="en-US" w:eastAsia="zh-CN"/>
        </w:rPr>
        <w:t>和H</w:t>
      </w:r>
      <w:r>
        <w:rPr>
          <w:rFonts w:hint="eastAsia" w:ascii="Times New Roman" w:hAnsi="Times New Roman" w:eastAsia="宋体" w:cs="Times New Roman"/>
          <w:b w:val="0"/>
          <w:bCs w:val="0"/>
          <w:color w:val="auto"/>
          <w:sz w:val="24"/>
          <w:szCs w:val="24"/>
          <w:vertAlign w:val="subscript"/>
          <w:lang w:val="en-US" w:eastAsia="zh-CN"/>
        </w:rPr>
        <w:t>2</w:t>
      </w:r>
      <w:r>
        <w:rPr>
          <w:rFonts w:hint="eastAsia" w:ascii="Times New Roman" w:hAnsi="Times New Roman" w:eastAsia="宋体" w:cs="Times New Roman"/>
          <w:b w:val="0"/>
          <w:bCs w:val="0"/>
          <w:color w:val="auto"/>
          <w:sz w:val="24"/>
          <w:szCs w:val="24"/>
          <w:lang w:val="en-US" w:eastAsia="zh-CN"/>
        </w:rPr>
        <w:t>S的去除效率分别为92.6%和89%</w:t>
      </w:r>
      <w:r>
        <w:rPr>
          <w:rFonts w:hint="eastAsia" w:cs="Times New Roman"/>
          <w:b w:val="0"/>
          <w:bCs w:val="0"/>
          <w:color w:val="auto"/>
          <w:sz w:val="24"/>
          <w:szCs w:val="24"/>
          <w:lang w:val="en-US" w:eastAsia="zh-CN"/>
        </w:rPr>
        <w:t>；参照</w:t>
      </w:r>
      <w:r>
        <w:rPr>
          <w:rFonts w:hint="eastAsia" w:ascii="Times New Roman" w:hAnsi="Times New Roman" w:eastAsia="宋体" w:cs="Times New Roman"/>
          <w:snapToGrid w:val="0"/>
          <w:color w:val="000000"/>
          <w:sz w:val="24"/>
          <w:szCs w:val="24"/>
          <w:highlight w:val="none"/>
          <w:lang w:val="en-US" w:eastAsia="zh-CN" w:bidi="ar-SA"/>
        </w:rPr>
        <w:t>《第二次全国污染源普查工业污染源产排污系数手册（试用版）》生物除臭处理效率88%，</w:t>
      </w:r>
      <w:r>
        <w:rPr>
          <w:rFonts w:hint="eastAsia" w:eastAsia="宋体" w:cs="Times New Roman"/>
          <w:b w:val="0"/>
          <w:bCs w:val="0"/>
          <w:color w:val="auto"/>
          <w:sz w:val="24"/>
          <w:szCs w:val="24"/>
          <w:lang w:val="en-US" w:eastAsia="zh-CN"/>
        </w:rPr>
        <w:t>本项目均以</w:t>
      </w:r>
      <w:r>
        <w:rPr>
          <w:rFonts w:hint="eastAsia" w:cs="Times New Roman"/>
          <w:b w:val="0"/>
          <w:bCs w:val="0"/>
          <w:color w:val="auto"/>
          <w:sz w:val="24"/>
          <w:szCs w:val="24"/>
          <w:lang w:val="en-US" w:eastAsia="zh-CN"/>
        </w:rPr>
        <w:t>88</w:t>
      </w:r>
      <w:r>
        <w:rPr>
          <w:rFonts w:hint="eastAsia" w:eastAsia="宋体" w:cs="Times New Roman"/>
          <w:b w:val="0"/>
          <w:bCs w:val="0"/>
          <w:color w:val="auto"/>
          <w:sz w:val="24"/>
          <w:szCs w:val="24"/>
          <w:lang w:val="en-US" w:eastAsia="zh-CN"/>
        </w:rPr>
        <w:t>%计</w:t>
      </w:r>
      <w:r>
        <w:rPr>
          <w:rFonts w:hint="eastAsia" w:cs="Times New Roman"/>
          <w:b w:val="0"/>
          <w:bCs w:val="0"/>
          <w:color w:val="auto"/>
          <w:sz w:val="24"/>
          <w:szCs w:val="24"/>
          <w:lang w:val="en-US" w:eastAsia="zh-CN"/>
        </w:rPr>
        <w:t>，系数来源均未说明处理效率受冬夏季节更替变化影响，因此本项目以全年处理效率均为88%计算</w:t>
      </w:r>
      <w:r>
        <w:rPr>
          <w:rFonts w:hint="eastAsia" w:ascii="Times New Roman" w:hAnsi="Times New Roman" w:eastAsia="宋体" w:cs="Times New Roman"/>
          <w:b w:val="0"/>
          <w:bCs w:val="0"/>
          <w:color w:val="auto"/>
          <w:sz w:val="24"/>
          <w:szCs w:val="24"/>
          <w:lang w:val="en-US" w:eastAsia="zh-CN"/>
        </w:rPr>
        <w:t>。</w:t>
      </w:r>
    </w:p>
    <w:p w14:paraId="736CFA28">
      <w:pPr>
        <w:numPr>
          <w:ilvl w:val="0"/>
          <w:numId w:val="0"/>
        </w:numPr>
        <w:spacing w:line="360" w:lineRule="auto"/>
        <w:ind w:left="0" w:leftChars="0" w:firstLine="480" w:firstLineChars="200"/>
        <w:rPr>
          <w:rFonts w:hint="default"/>
          <w:lang w:val="en-US" w:eastAsia="zh-CN"/>
        </w:rPr>
      </w:pPr>
      <w:r>
        <w:rPr>
          <w:rFonts w:hint="eastAsia" w:ascii="Times New Roman" w:hAnsi="Times New Roman" w:eastAsia="宋体" w:cs="Times New Roman"/>
          <w:bCs/>
          <w:color w:val="auto"/>
          <w:kern w:val="2"/>
          <w:sz w:val="24"/>
          <w:szCs w:val="24"/>
          <w:lang w:val="en-US" w:eastAsia="zh-CN" w:bidi="ar-SA"/>
        </w:rPr>
        <w:t>（</w:t>
      </w:r>
      <w:r>
        <w:rPr>
          <w:rFonts w:hint="eastAsia" w:cs="Times New Roman"/>
          <w:bCs/>
          <w:color w:val="auto"/>
          <w:kern w:val="2"/>
          <w:sz w:val="24"/>
          <w:szCs w:val="24"/>
          <w:lang w:val="en-US" w:eastAsia="zh-CN" w:bidi="ar-SA"/>
        </w:rPr>
        <w:t>2</w:t>
      </w:r>
      <w:r>
        <w:rPr>
          <w:rFonts w:hint="eastAsia" w:ascii="Times New Roman" w:hAnsi="Times New Roman" w:eastAsia="宋体" w:cs="Times New Roman"/>
          <w:bCs/>
          <w:color w:val="auto"/>
          <w:kern w:val="2"/>
          <w:sz w:val="24"/>
          <w:szCs w:val="24"/>
          <w:lang w:val="en-US" w:eastAsia="zh-CN" w:bidi="ar-SA"/>
        </w:rPr>
        <w:t>）</w:t>
      </w:r>
      <w:r>
        <w:rPr>
          <w:rFonts w:hint="eastAsia" w:cs="Times New Roman"/>
          <w:bCs/>
          <w:color w:val="auto"/>
          <w:sz w:val="24"/>
          <w:lang w:val="en-US" w:eastAsia="zh-CN"/>
        </w:rPr>
        <w:t>饲料粉碎、搅拌粉尘</w:t>
      </w:r>
    </w:p>
    <w:p w14:paraId="176673F0">
      <w:pPr>
        <w:keepNext w:val="0"/>
        <w:keepLines w:val="0"/>
        <w:pageBreakBefore w:val="0"/>
        <w:wordWrap/>
        <w:topLinePunct w:val="0"/>
        <w:bidi w:val="0"/>
        <w:adjustRightInd/>
        <w:snapToGrid/>
        <w:spacing w:line="360" w:lineRule="auto"/>
        <w:ind w:firstLine="480"/>
        <w:rPr>
          <w:rFonts w:hint="eastAsia" w:ascii="Times New Roman" w:hAnsi="Times New Roman"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本项目设置TMR搅拌站</w:t>
      </w:r>
      <w:r>
        <w:rPr>
          <w:rFonts w:hint="eastAsia" w:cs="Times New Roman"/>
          <w:b w:val="0"/>
          <w:bCs w:val="0"/>
          <w:color w:val="auto"/>
          <w:sz w:val="24"/>
          <w:szCs w:val="24"/>
          <w:lang w:val="en-US" w:eastAsia="zh-CN"/>
        </w:rPr>
        <w:t>，内设饲料粉碎机以及固定式TMR搅拌设备</w:t>
      </w:r>
      <w:r>
        <w:rPr>
          <w:rFonts w:hint="eastAsia" w:ascii="Times New Roman" w:hAnsi="Times New Roman" w:eastAsia="宋体" w:cs="Times New Roman"/>
          <w:b w:val="0"/>
          <w:bCs w:val="0"/>
          <w:color w:val="auto"/>
          <w:sz w:val="24"/>
          <w:szCs w:val="24"/>
          <w:lang w:val="en-US" w:eastAsia="zh-CN"/>
        </w:rPr>
        <w:t>，粗饲料入场后需进行破碎</w:t>
      </w:r>
      <w:r>
        <w:rPr>
          <w:rFonts w:hint="eastAsia" w:cs="Times New Roman"/>
          <w:b w:val="0"/>
          <w:bCs w:val="0"/>
          <w:color w:val="auto"/>
          <w:sz w:val="24"/>
          <w:szCs w:val="24"/>
          <w:lang w:val="en-US" w:eastAsia="zh-CN"/>
        </w:rPr>
        <w:t>，破碎后与青储料、精饲料一同投入固定式TMR搅拌设备进行搅拌</w:t>
      </w:r>
      <w:r>
        <w:rPr>
          <w:rFonts w:hint="eastAsia" w:ascii="Times New Roman" w:hAnsi="Times New Roman" w:eastAsia="宋体" w:cs="Times New Roman"/>
          <w:b w:val="0"/>
          <w:bCs w:val="0"/>
          <w:color w:val="auto"/>
          <w:sz w:val="24"/>
          <w:szCs w:val="24"/>
          <w:lang w:val="en-US" w:eastAsia="zh-CN"/>
        </w:rPr>
        <w:t>，根据《排放源统计调查产排污核算方法和系数手册》132饲料加工行业系数手册，配合饲料粉碎+混合+制粒（可不制粒）+除尘产污系数0.043千克/吨产品</w:t>
      </w:r>
      <w:r>
        <w:rPr>
          <w:rFonts w:hint="eastAsia" w:ascii="Times New Roman" w:hAnsi="Times New Roman" w:cs="Times New Roman"/>
          <w:b w:val="0"/>
          <w:bCs w:val="0"/>
          <w:color w:val="auto"/>
          <w:sz w:val="24"/>
          <w:szCs w:val="24"/>
          <w:lang w:val="en-US" w:eastAsia="zh-CN"/>
        </w:rPr>
        <w:t>，本项目</w:t>
      </w:r>
      <w:r>
        <w:rPr>
          <w:rFonts w:hint="eastAsia" w:cs="Times New Roman"/>
          <w:sz w:val="24"/>
          <w:szCs w:val="24"/>
          <w:lang w:val="en-US" w:eastAsia="zh-CN"/>
        </w:rPr>
        <w:t>混合饲料共计21900t/a</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b w:val="0"/>
          <w:bCs w:val="0"/>
          <w:color w:val="auto"/>
          <w:sz w:val="24"/>
          <w:szCs w:val="24"/>
          <w:lang w:val="en-US" w:eastAsia="zh-CN"/>
        </w:rPr>
        <w:t>TMR搅拌站</w:t>
      </w:r>
      <w:r>
        <w:rPr>
          <w:rFonts w:hint="eastAsia" w:ascii="Times New Roman" w:hAnsi="Times New Roman" w:cs="Times New Roman"/>
          <w:b w:val="0"/>
          <w:bCs w:val="0"/>
          <w:color w:val="auto"/>
          <w:sz w:val="24"/>
          <w:szCs w:val="24"/>
          <w:lang w:val="en-US" w:eastAsia="zh-CN"/>
        </w:rPr>
        <w:t>设置袋式除尘，因此本项目饲料破碎</w:t>
      </w:r>
      <w:r>
        <w:rPr>
          <w:rFonts w:hint="eastAsia" w:cs="Times New Roman"/>
          <w:b w:val="0"/>
          <w:bCs w:val="0"/>
          <w:color w:val="auto"/>
          <w:sz w:val="24"/>
          <w:szCs w:val="24"/>
          <w:lang w:val="en-US" w:eastAsia="zh-CN"/>
        </w:rPr>
        <w:t>、搅拌</w:t>
      </w:r>
      <w:r>
        <w:rPr>
          <w:rFonts w:hint="eastAsia" w:ascii="Times New Roman" w:hAnsi="Times New Roman" w:cs="Times New Roman"/>
          <w:b w:val="0"/>
          <w:bCs w:val="0"/>
          <w:color w:val="auto"/>
          <w:sz w:val="24"/>
          <w:szCs w:val="24"/>
          <w:lang w:val="en-US" w:eastAsia="zh-CN"/>
        </w:rPr>
        <w:t>粉尘</w:t>
      </w:r>
      <w:r>
        <w:rPr>
          <w:rFonts w:hint="eastAsia" w:cs="Times New Roman"/>
          <w:b w:val="0"/>
          <w:bCs w:val="0"/>
          <w:color w:val="auto"/>
          <w:sz w:val="24"/>
          <w:szCs w:val="24"/>
          <w:lang w:val="en-US" w:eastAsia="zh-CN"/>
        </w:rPr>
        <w:t>0.94</w:t>
      </w:r>
      <w:r>
        <w:rPr>
          <w:rFonts w:hint="eastAsia" w:ascii="Times New Roman" w:hAnsi="Times New Roman" w:cs="Times New Roman"/>
          <w:b w:val="0"/>
          <w:bCs w:val="0"/>
          <w:color w:val="auto"/>
          <w:sz w:val="24"/>
          <w:szCs w:val="24"/>
          <w:lang w:val="en-US" w:eastAsia="zh-CN"/>
        </w:rPr>
        <w:t>t/a。</w:t>
      </w:r>
    </w:p>
    <w:p w14:paraId="49555FA6">
      <w:pPr>
        <w:widowControl w:val="0"/>
        <w:autoSpaceDE w:val="0"/>
        <w:autoSpaceDN w:val="0"/>
        <w:adjustRightInd w:val="0"/>
        <w:spacing w:line="360" w:lineRule="auto"/>
        <w:ind w:firstLine="480" w:firstLineChars="200"/>
        <w:rPr>
          <w:rFonts w:hint="default" w:ascii="Times New Roman" w:hAnsi="Times New Roman" w:eastAsia="宋体" w:cs="Times New Roman"/>
          <w:color w:val="000000"/>
          <w:kern w:val="0"/>
          <w:sz w:val="24"/>
          <w:szCs w:val="24"/>
          <w:lang w:val="en-US" w:eastAsia="zh-CN" w:bidi="ar-SA"/>
        </w:rPr>
      </w:pPr>
      <w:r>
        <w:rPr>
          <w:rFonts w:hint="eastAsia" w:eastAsia="宋体" w:cs="Times New Roman"/>
          <w:color w:val="000000"/>
          <w:kern w:val="0"/>
          <w:sz w:val="24"/>
          <w:szCs w:val="24"/>
          <w:lang w:val="en-US" w:eastAsia="zh-CN" w:bidi="ar-SA"/>
        </w:rPr>
        <w:t>本项目</w:t>
      </w:r>
      <w:r>
        <w:rPr>
          <w:rFonts w:hint="eastAsia" w:ascii="Times New Roman" w:hAnsi="Times New Roman" w:eastAsia="宋体" w:cs="Times New Roman"/>
          <w:b w:val="0"/>
          <w:bCs w:val="0"/>
          <w:color w:val="auto"/>
          <w:sz w:val="24"/>
          <w:szCs w:val="24"/>
          <w:lang w:val="en-US" w:eastAsia="zh-CN"/>
        </w:rPr>
        <w:t>TMR搅拌站</w:t>
      </w:r>
      <w:r>
        <w:rPr>
          <w:rFonts w:hint="eastAsia" w:cs="Times New Roman"/>
          <w:b w:val="0"/>
          <w:bCs w:val="0"/>
          <w:color w:val="auto"/>
          <w:sz w:val="24"/>
          <w:szCs w:val="24"/>
          <w:lang w:val="en-US" w:eastAsia="zh-CN"/>
        </w:rPr>
        <w:t>需要撒料车进出，因此仅设置三面封闭</w:t>
      </w:r>
      <w:r>
        <w:rPr>
          <w:rFonts w:hint="eastAsia" w:eastAsia="宋体" w:cs="Times New Roman"/>
          <w:b w:val="0"/>
          <w:bCs w:val="0"/>
          <w:color w:val="auto"/>
          <w:sz w:val="24"/>
          <w:szCs w:val="24"/>
          <w:lang w:val="en-US" w:eastAsia="zh-CN"/>
        </w:rPr>
        <w:t>，</w:t>
      </w:r>
      <w:r>
        <w:rPr>
          <w:rFonts w:hint="eastAsia" w:eastAsia="宋体" w:cs="Times New Roman"/>
          <w:color w:val="000000"/>
          <w:kern w:val="0"/>
          <w:sz w:val="24"/>
          <w:szCs w:val="24"/>
          <w:lang w:val="en-US" w:eastAsia="zh-CN" w:bidi="ar-SA"/>
        </w:rPr>
        <w:t>粉碎、搅拌</w:t>
      </w:r>
      <w:r>
        <w:rPr>
          <w:rFonts w:hint="eastAsia" w:ascii="Times New Roman" w:hAnsi="Times New Roman" w:eastAsia="宋体" w:cs="Times New Roman"/>
          <w:color w:val="000000"/>
          <w:kern w:val="0"/>
          <w:sz w:val="24"/>
          <w:szCs w:val="24"/>
          <w:lang w:val="en-US" w:eastAsia="zh-CN" w:bidi="ar-SA"/>
        </w:rPr>
        <w:t>工段生产设备临近布设，因此可通过包围型集气罩分别收集后共用同一套袋式除尘处置</w:t>
      </w:r>
      <w:r>
        <w:rPr>
          <w:rFonts w:hint="eastAsia" w:ascii="Times New Roman" w:hAnsi="Times New Roman" w:eastAsia="宋体" w:cs="Times New Roman"/>
          <w:snapToGrid w:val="0"/>
          <w:color w:val="000000"/>
          <w:kern w:val="0"/>
          <w:sz w:val="24"/>
          <w:szCs w:val="24"/>
          <w:highlight w:val="none"/>
          <w:lang w:val="en-US" w:eastAsia="zh-CN" w:bidi="ar-SA"/>
        </w:rPr>
        <w:t>，出料口上方1.5m处设置</w:t>
      </w:r>
      <w:r>
        <w:rPr>
          <w:rFonts w:hint="eastAsia" w:ascii="Times New Roman" w:hAnsi="Times New Roman" w:eastAsia="宋体" w:cs="Times New Roman"/>
          <w:color w:val="000000"/>
          <w:kern w:val="0"/>
          <w:sz w:val="24"/>
          <w:szCs w:val="24"/>
          <w:lang w:val="en-US" w:eastAsia="zh-CN" w:bidi="ar-SA"/>
        </w:rPr>
        <w:t>包围型集气罩，废气</w:t>
      </w:r>
      <w:r>
        <w:rPr>
          <w:rFonts w:hint="default" w:ascii="Times New Roman" w:hAnsi="Times New Roman" w:eastAsia="宋体" w:cs="Times New Roman"/>
          <w:snapToGrid w:val="0"/>
          <w:color w:val="000000"/>
          <w:kern w:val="0"/>
          <w:sz w:val="24"/>
          <w:szCs w:val="24"/>
          <w:highlight w:val="none"/>
          <w:lang w:val="en-US" w:eastAsia="zh-CN" w:bidi="ar-SA"/>
        </w:rPr>
        <w:t>通过集气罩收集后送入</w:t>
      </w:r>
      <w:r>
        <w:rPr>
          <w:rFonts w:hint="eastAsia" w:ascii="Times New Roman" w:hAnsi="Times New Roman" w:eastAsia="宋体" w:cs="Times New Roman"/>
          <w:color w:val="000000"/>
          <w:kern w:val="0"/>
          <w:sz w:val="24"/>
          <w:szCs w:val="24"/>
          <w:lang w:val="en-US" w:eastAsia="zh-CN" w:bidi="ar-SA"/>
        </w:rPr>
        <w:t>袋式除尘</w:t>
      </w:r>
      <w:r>
        <w:rPr>
          <w:rFonts w:hint="default" w:ascii="Times New Roman" w:hAnsi="Times New Roman" w:eastAsia="宋体" w:cs="Times New Roman"/>
          <w:snapToGrid w:val="0"/>
          <w:color w:val="000000"/>
          <w:kern w:val="0"/>
          <w:sz w:val="24"/>
          <w:szCs w:val="24"/>
          <w:highlight w:val="none"/>
          <w:lang w:val="en-US" w:eastAsia="zh-CN" w:bidi="ar-SA"/>
        </w:rPr>
        <w:t>处理后经</w:t>
      </w:r>
      <w:r>
        <w:rPr>
          <w:rFonts w:hint="eastAsia" w:ascii="Times New Roman" w:hAnsi="Times New Roman" w:eastAsia="宋体" w:cs="Times New Roman"/>
          <w:snapToGrid w:val="0"/>
          <w:color w:val="000000"/>
          <w:kern w:val="0"/>
          <w:sz w:val="24"/>
          <w:szCs w:val="24"/>
          <w:highlight w:val="none"/>
          <w:lang w:val="en-US" w:eastAsia="zh-CN" w:bidi="ar-SA"/>
        </w:rPr>
        <w:t>15m</w:t>
      </w:r>
      <w:r>
        <w:rPr>
          <w:rFonts w:hint="default" w:ascii="Times New Roman" w:hAnsi="Times New Roman" w:eastAsia="宋体" w:cs="Times New Roman"/>
          <w:snapToGrid w:val="0"/>
          <w:color w:val="000000"/>
          <w:kern w:val="0"/>
          <w:sz w:val="24"/>
          <w:szCs w:val="24"/>
          <w:highlight w:val="none"/>
          <w:lang w:val="en-US" w:eastAsia="zh-CN" w:bidi="ar-SA"/>
        </w:rPr>
        <w:t>排气筒排放，收集效率为</w:t>
      </w:r>
      <w:r>
        <w:rPr>
          <w:rFonts w:hint="eastAsia" w:cs="Times New Roman"/>
          <w:snapToGrid w:val="0"/>
          <w:color w:val="000000"/>
          <w:kern w:val="0"/>
          <w:sz w:val="24"/>
          <w:szCs w:val="24"/>
          <w:highlight w:val="none"/>
          <w:lang w:val="en-US" w:eastAsia="zh-CN" w:bidi="ar-SA"/>
        </w:rPr>
        <w:t>50</w:t>
      </w:r>
      <w:r>
        <w:rPr>
          <w:rFonts w:hint="default" w:ascii="Times New Roman" w:hAnsi="Times New Roman" w:eastAsia="宋体"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除尘</w:t>
      </w:r>
      <w:r>
        <w:rPr>
          <w:rFonts w:hint="default" w:ascii="Times New Roman" w:hAnsi="Times New Roman" w:eastAsia="宋体" w:cs="Times New Roman"/>
          <w:snapToGrid w:val="0"/>
          <w:color w:val="000000"/>
          <w:kern w:val="0"/>
          <w:sz w:val="24"/>
          <w:szCs w:val="24"/>
          <w:highlight w:val="none"/>
          <w:lang w:val="en-US" w:eastAsia="zh-CN" w:bidi="ar-SA"/>
        </w:rPr>
        <w:t>效率为</w:t>
      </w:r>
      <w:r>
        <w:rPr>
          <w:rFonts w:hint="eastAsia" w:eastAsia="宋体" w:cs="Times New Roman"/>
          <w:snapToGrid w:val="0"/>
          <w:color w:val="000000"/>
          <w:kern w:val="0"/>
          <w:sz w:val="24"/>
          <w:szCs w:val="24"/>
          <w:highlight w:val="none"/>
          <w:lang w:val="en-US" w:eastAsia="zh-CN" w:bidi="ar-SA"/>
        </w:rPr>
        <w:t>9</w:t>
      </w:r>
      <w:r>
        <w:rPr>
          <w:rFonts w:hint="eastAsia" w:cs="Times New Roman"/>
          <w:snapToGrid w:val="0"/>
          <w:color w:val="000000"/>
          <w:kern w:val="0"/>
          <w:sz w:val="24"/>
          <w:szCs w:val="24"/>
          <w:highlight w:val="none"/>
          <w:lang w:val="en-US" w:eastAsia="zh-CN" w:bidi="ar-SA"/>
        </w:rPr>
        <w:t>8</w:t>
      </w:r>
      <w:r>
        <w:rPr>
          <w:rFonts w:hint="default" w:ascii="Times New Roman" w:hAnsi="Times New Roman" w:eastAsia="宋体"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（除尘效率由</w:t>
      </w:r>
      <w:r>
        <w:rPr>
          <w:rFonts w:hint="default" w:ascii="Times New Roman" w:hAnsi="Times New Roman" w:eastAsia="宋体" w:cs="Times New Roman"/>
          <w:snapToGrid w:val="0"/>
          <w:color w:val="000000"/>
          <w:kern w:val="0"/>
          <w:sz w:val="24"/>
          <w:szCs w:val="24"/>
          <w:highlight w:val="none"/>
          <w:lang w:val="en-US" w:eastAsia="zh-CN" w:bidi="ar-SA"/>
        </w:rPr>
        <w:t>《排放源统计调查产排污核算方法和系数手册》</w:t>
      </w:r>
      <w:r>
        <w:rPr>
          <w:rFonts w:hint="eastAsia" w:ascii="Times New Roman" w:hAnsi="Times New Roman" w:eastAsia="宋体" w:cs="Times New Roman"/>
          <w:snapToGrid w:val="0"/>
          <w:color w:val="000000"/>
          <w:kern w:val="0"/>
          <w:sz w:val="24"/>
          <w:szCs w:val="24"/>
          <w:highlight w:val="none"/>
          <w:lang w:val="en-US" w:eastAsia="zh-CN" w:bidi="ar-SA"/>
        </w:rPr>
        <w:t>提供）；</w:t>
      </w:r>
      <w:r>
        <w:rPr>
          <w:rFonts w:hint="default" w:ascii="Times New Roman" w:hAnsi="Times New Roman" w:eastAsia="宋体" w:cs="Times New Roman"/>
          <w:snapToGrid w:val="0"/>
          <w:color w:val="000000"/>
          <w:kern w:val="0"/>
          <w:sz w:val="24"/>
          <w:szCs w:val="24"/>
          <w:highlight w:val="none"/>
          <w:lang w:val="en-US" w:eastAsia="zh-CN" w:bidi="ar-SA"/>
        </w:rPr>
        <w:t>本项目排气筒风量为</w:t>
      </w:r>
      <w:r>
        <w:rPr>
          <w:rFonts w:hint="eastAsia" w:ascii="Times New Roman" w:hAnsi="Times New Roman" w:eastAsia="宋体" w:cs="Times New Roman"/>
          <w:snapToGrid w:val="0"/>
          <w:color w:val="000000"/>
          <w:kern w:val="0"/>
          <w:sz w:val="24"/>
          <w:szCs w:val="24"/>
          <w:highlight w:val="none"/>
          <w:lang w:val="en-US" w:eastAsia="zh-CN" w:bidi="ar-SA"/>
        </w:rPr>
        <w:t>5000</w:t>
      </w:r>
      <w:r>
        <w:rPr>
          <w:rFonts w:hint="default" w:ascii="Times New Roman" w:hAnsi="Times New Roman" w:eastAsia="宋体" w:cs="Times New Roman"/>
          <w:snapToGrid w:val="0"/>
          <w:color w:val="000000"/>
          <w:kern w:val="0"/>
          <w:sz w:val="24"/>
          <w:szCs w:val="24"/>
          <w:highlight w:val="none"/>
          <w:lang w:val="en-US" w:eastAsia="zh-CN" w:bidi="ar-SA"/>
        </w:rPr>
        <w:t>m</w:t>
      </w:r>
      <w:r>
        <w:rPr>
          <w:rFonts w:hint="default" w:ascii="Times New Roman" w:hAnsi="Times New Roman" w:eastAsia="宋体" w:cs="Times New Roman"/>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snapToGrid w:val="0"/>
          <w:color w:val="000000"/>
          <w:kern w:val="0"/>
          <w:sz w:val="24"/>
          <w:szCs w:val="24"/>
          <w:highlight w:val="none"/>
          <w:lang w:val="en-US" w:eastAsia="zh-CN" w:bidi="ar-SA"/>
        </w:rPr>
        <w:t>/h，经处理后的</w:t>
      </w:r>
      <w:r>
        <w:rPr>
          <w:rFonts w:hint="eastAsia" w:ascii="Times New Roman" w:hAnsi="Times New Roman" w:eastAsia="宋体" w:cs="Times New Roman"/>
          <w:snapToGrid w:val="0"/>
          <w:color w:val="000000"/>
          <w:kern w:val="0"/>
          <w:sz w:val="24"/>
          <w:szCs w:val="24"/>
          <w:highlight w:val="none"/>
          <w:lang w:val="en-US" w:eastAsia="zh-CN" w:bidi="ar-SA"/>
        </w:rPr>
        <w:t>有组织</w:t>
      </w:r>
      <w:r>
        <w:rPr>
          <w:rFonts w:hint="default" w:ascii="Times New Roman" w:hAnsi="Times New Roman" w:eastAsia="宋体" w:cs="Times New Roman"/>
          <w:snapToGrid w:val="0"/>
          <w:color w:val="000000"/>
          <w:kern w:val="0"/>
          <w:sz w:val="24"/>
          <w:szCs w:val="24"/>
          <w:highlight w:val="none"/>
          <w:lang w:val="en-US" w:eastAsia="zh-CN" w:bidi="ar-SA"/>
        </w:rPr>
        <w:t>颗粒物</w:t>
      </w:r>
      <w:r>
        <w:rPr>
          <w:rFonts w:hint="eastAsia" w:ascii="Times New Roman" w:hAnsi="Times New Roman" w:eastAsia="宋体" w:cs="Times New Roman"/>
          <w:snapToGrid w:val="0"/>
          <w:color w:val="000000"/>
          <w:kern w:val="0"/>
          <w:sz w:val="24"/>
          <w:szCs w:val="24"/>
          <w:highlight w:val="none"/>
          <w:lang w:val="en-US" w:eastAsia="zh-CN" w:bidi="ar-SA"/>
        </w:rPr>
        <w:t>排放速率为0.0</w:t>
      </w:r>
      <w:r>
        <w:rPr>
          <w:rFonts w:hint="eastAsia" w:cs="Times New Roman"/>
          <w:snapToGrid w:val="0"/>
          <w:color w:val="000000"/>
          <w:kern w:val="0"/>
          <w:sz w:val="24"/>
          <w:szCs w:val="24"/>
          <w:highlight w:val="none"/>
          <w:lang w:val="en-US" w:eastAsia="zh-CN" w:bidi="ar-SA"/>
        </w:rPr>
        <w:t>017</w:t>
      </w:r>
      <w:r>
        <w:rPr>
          <w:rFonts w:hint="eastAsia" w:ascii="Times New Roman" w:hAnsi="Times New Roman" w:eastAsia="宋体" w:cs="Times New Roman"/>
          <w:snapToGrid w:val="0"/>
          <w:color w:val="000000"/>
          <w:kern w:val="0"/>
          <w:sz w:val="24"/>
          <w:szCs w:val="24"/>
          <w:highlight w:val="none"/>
          <w:lang w:val="en-US" w:eastAsia="zh-CN" w:bidi="ar-SA"/>
        </w:rPr>
        <w:t>kg/h，</w:t>
      </w:r>
      <w:r>
        <w:rPr>
          <w:rFonts w:hint="default" w:ascii="Times New Roman" w:hAnsi="Times New Roman" w:eastAsia="宋体" w:cs="Times New Roman"/>
          <w:snapToGrid w:val="0"/>
          <w:color w:val="000000"/>
          <w:kern w:val="0"/>
          <w:sz w:val="24"/>
          <w:szCs w:val="24"/>
          <w:highlight w:val="none"/>
          <w:lang w:val="en-US" w:eastAsia="zh-CN" w:bidi="ar-SA"/>
        </w:rPr>
        <w:t>排放浓度为</w:t>
      </w:r>
      <w:r>
        <w:rPr>
          <w:rFonts w:hint="eastAsia" w:cs="Times New Roman"/>
          <w:snapToGrid w:val="0"/>
          <w:color w:val="000000"/>
          <w:kern w:val="0"/>
          <w:sz w:val="24"/>
          <w:szCs w:val="24"/>
          <w:highlight w:val="none"/>
          <w:lang w:val="en-US" w:eastAsia="zh-CN" w:bidi="ar-SA"/>
        </w:rPr>
        <w:t>0.3</w:t>
      </w:r>
      <w:r>
        <w:rPr>
          <w:rFonts w:hint="default" w:ascii="Times New Roman" w:hAnsi="Times New Roman" w:eastAsia="宋体" w:cs="Times New Roman"/>
          <w:snapToGrid w:val="0"/>
          <w:color w:val="000000"/>
          <w:kern w:val="0"/>
          <w:sz w:val="24"/>
          <w:szCs w:val="24"/>
          <w:highlight w:val="none"/>
          <w:lang w:val="en-US" w:eastAsia="zh-CN" w:bidi="ar-SA"/>
        </w:rPr>
        <w:t>mg/m</w:t>
      </w:r>
      <w:r>
        <w:rPr>
          <w:rFonts w:hint="default" w:ascii="Times New Roman" w:hAnsi="Times New Roman" w:eastAsia="宋体" w:cs="Times New Roman"/>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snapToGrid w:val="0"/>
          <w:color w:val="000000"/>
          <w:kern w:val="0"/>
          <w:sz w:val="24"/>
          <w:szCs w:val="24"/>
          <w:highlight w:val="none"/>
          <w:lang w:val="en-US" w:eastAsia="zh-CN" w:bidi="ar-SA"/>
        </w:rPr>
        <w:t>，可以满足《大气污染物综合排放标准》（GB16297-1996）</w:t>
      </w:r>
      <w:r>
        <w:rPr>
          <w:rFonts w:hint="default" w:ascii="Times New Roman" w:hAnsi="Times New Roman" w:eastAsia="宋体" w:cs="Times New Roman"/>
          <w:color w:val="auto"/>
          <w:kern w:val="0"/>
          <w:sz w:val="24"/>
          <w:szCs w:val="24"/>
        </w:rPr>
        <w:t>表2 新污染源大气污染物排放限值</w:t>
      </w:r>
      <w:r>
        <w:rPr>
          <w:rFonts w:hint="eastAsia" w:ascii="Times New Roman" w:hAnsi="Times New Roman" w:eastAsia="宋体" w:cs="Times New Roman"/>
          <w:color w:val="auto"/>
          <w:spacing w:val="-11"/>
          <w:kern w:val="2"/>
          <w:sz w:val="24"/>
          <w:szCs w:val="24"/>
        </w:rPr>
        <w:t>（</w:t>
      </w:r>
      <w:r>
        <w:rPr>
          <w:rFonts w:hint="eastAsia" w:ascii="Times New Roman" w:hAnsi="Times New Roman" w:eastAsia="宋体" w:cs="Times New Roman"/>
          <w:color w:val="auto"/>
          <w:spacing w:val="-11"/>
          <w:kern w:val="2"/>
          <w:sz w:val="24"/>
          <w:szCs w:val="24"/>
          <w:lang w:val="en-US" w:eastAsia="zh-CN"/>
        </w:rPr>
        <w:t>3.5kg/h，120</w:t>
      </w:r>
      <w:r>
        <w:rPr>
          <w:rFonts w:hint="eastAsia" w:ascii="Times New Roman" w:hAnsi="Times New Roman" w:eastAsia="宋体" w:cs="Times New Roman"/>
          <w:color w:val="auto"/>
          <w:spacing w:val="-11"/>
          <w:kern w:val="2"/>
          <w:sz w:val="24"/>
          <w:szCs w:val="24"/>
        </w:rPr>
        <w:t>mg/</w:t>
      </w:r>
      <w:r>
        <w:rPr>
          <w:rFonts w:hint="eastAsia" w:ascii="Times New Roman" w:hAnsi="Times New Roman" w:eastAsia="宋体" w:cs="Times New Roman"/>
          <w:color w:val="auto"/>
          <w:spacing w:val="-11"/>
          <w:kern w:val="2"/>
          <w:sz w:val="24"/>
          <w:szCs w:val="24"/>
          <w:lang w:val="en-US" w:eastAsia="zh-CN"/>
        </w:rPr>
        <w:t>m</w:t>
      </w:r>
      <w:r>
        <w:rPr>
          <w:rFonts w:hint="eastAsia" w:ascii="Times New Roman" w:hAnsi="Times New Roman" w:eastAsia="宋体" w:cs="Times New Roman"/>
          <w:color w:val="auto"/>
          <w:spacing w:val="-11"/>
          <w:kern w:val="2"/>
          <w:sz w:val="24"/>
          <w:szCs w:val="24"/>
          <w:vertAlign w:val="superscript"/>
          <w:lang w:val="en-US" w:eastAsia="zh-CN"/>
        </w:rPr>
        <w:t>3</w:t>
      </w:r>
      <w:r>
        <w:rPr>
          <w:rFonts w:hint="eastAsia" w:ascii="Times New Roman" w:hAnsi="Times New Roman" w:eastAsia="宋体" w:cs="Times New Roman"/>
          <w:color w:val="auto"/>
          <w:spacing w:val="-11"/>
          <w:kern w:val="2"/>
          <w:sz w:val="24"/>
          <w:szCs w:val="24"/>
        </w:rPr>
        <w:t>）</w:t>
      </w:r>
      <w:r>
        <w:rPr>
          <w:rFonts w:hint="eastAsia" w:ascii="Times New Roman" w:hAnsi="Times New Roman" w:eastAsia="宋体" w:cs="Times New Roman"/>
          <w:color w:val="auto"/>
          <w:spacing w:val="-11"/>
          <w:kern w:val="2"/>
          <w:sz w:val="24"/>
          <w:szCs w:val="24"/>
          <w:lang w:eastAsia="zh-CN"/>
        </w:rPr>
        <w:t>，</w:t>
      </w:r>
      <w:r>
        <w:rPr>
          <w:rFonts w:hint="eastAsia" w:ascii="Times New Roman" w:hAnsi="Times New Roman" w:eastAsia="宋体" w:cs="Times New Roman"/>
          <w:snapToGrid w:val="0"/>
          <w:color w:val="auto"/>
          <w:kern w:val="0"/>
          <w:sz w:val="24"/>
          <w:szCs w:val="24"/>
          <w:highlight w:val="none"/>
          <w:lang w:val="en-US" w:eastAsia="zh-CN" w:bidi="ar-SA"/>
        </w:rPr>
        <w:t>部分无组织逸散颗粒物</w:t>
      </w:r>
      <w:r>
        <w:rPr>
          <w:rFonts w:hint="default" w:ascii="Times New Roman" w:hAnsi="Times New Roman" w:eastAsia="宋体" w:cs="Times New Roman"/>
          <w:color w:val="000000"/>
          <w:kern w:val="0"/>
          <w:sz w:val="24"/>
          <w:szCs w:val="24"/>
          <w:lang w:val="en-US" w:eastAsia="zh-CN" w:bidi="ar-SA"/>
        </w:rPr>
        <w:t>通过</w:t>
      </w:r>
      <w:r>
        <w:rPr>
          <w:rFonts w:hint="eastAsia" w:ascii="Times New Roman" w:hAnsi="Times New Roman" w:eastAsia="宋体" w:cs="Times New Roman"/>
          <w:color w:val="000000"/>
          <w:kern w:val="0"/>
          <w:sz w:val="24"/>
          <w:szCs w:val="24"/>
          <w:lang w:val="en-US" w:eastAsia="zh-CN" w:bidi="ar-SA"/>
        </w:rPr>
        <w:t>加强封闭式作业等措施进行控制</w:t>
      </w:r>
      <w:r>
        <w:rPr>
          <w:rFonts w:hint="default" w:ascii="Times New Roman" w:hAnsi="Times New Roman" w:eastAsia="宋体" w:cs="Times New Roman"/>
          <w:color w:val="000000"/>
          <w:kern w:val="0"/>
          <w:sz w:val="24"/>
          <w:szCs w:val="24"/>
          <w:lang w:val="en-US" w:eastAsia="zh-CN" w:bidi="ar-SA"/>
        </w:rPr>
        <w:t>，厂界</w:t>
      </w:r>
      <w:r>
        <w:rPr>
          <w:rFonts w:hint="eastAsia" w:ascii="Times New Roman" w:hAnsi="Times New Roman" w:eastAsia="宋体" w:cs="Times New Roman"/>
          <w:color w:val="000000"/>
          <w:kern w:val="0"/>
          <w:sz w:val="24"/>
          <w:szCs w:val="24"/>
          <w:lang w:val="en-US" w:eastAsia="zh-CN" w:bidi="ar-SA"/>
        </w:rPr>
        <w:t>颗粒物</w:t>
      </w:r>
      <w:r>
        <w:rPr>
          <w:rFonts w:hint="default" w:ascii="Times New Roman" w:hAnsi="Times New Roman" w:eastAsia="宋体" w:cs="Times New Roman"/>
          <w:color w:val="000000"/>
          <w:kern w:val="0"/>
          <w:sz w:val="24"/>
          <w:szCs w:val="24"/>
          <w:vertAlign w:val="baseline"/>
          <w:lang w:val="en-US" w:eastAsia="zh-CN" w:bidi="ar-SA"/>
        </w:rPr>
        <w:t>满足</w:t>
      </w:r>
      <w:r>
        <w:rPr>
          <w:rFonts w:hint="default" w:ascii="Times New Roman" w:hAnsi="Times New Roman" w:eastAsia="宋体" w:cs="Times New Roman"/>
          <w:snapToGrid w:val="0"/>
          <w:color w:val="000000"/>
          <w:kern w:val="0"/>
          <w:sz w:val="24"/>
          <w:szCs w:val="24"/>
          <w:highlight w:val="none"/>
          <w:lang w:val="en-US" w:eastAsia="zh-CN" w:bidi="ar-SA"/>
        </w:rPr>
        <w:t>《大气污染物综合排放标准》（GB16297-1996）</w:t>
      </w:r>
      <w:r>
        <w:rPr>
          <w:rFonts w:hint="default" w:ascii="Times New Roman" w:hAnsi="Times New Roman" w:eastAsia="宋体" w:cs="Times New Roman"/>
          <w:color w:val="auto"/>
          <w:kern w:val="0"/>
          <w:sz w:val="24"/>
          <w:szCs w:val="24"/>
        </w:rPr>
        <w:t>表2 新污染源大气污染物排放限值</w:t>
      </w:r>
      <w:r>
        <w:rPr>
          <w:rFonts w:hint="default" w:ascii="Times New Roman" w:hAnsi="Times New Roman" w:eastAsia="宋体" w:cs="Times New Roman"/>
          <w:color w:val="000000"/>
          <w:kern w:val="0"/>
          <w:sz w:val="24"/>
          <w:szCs w:val="24"/>
          <w:lang w:val="zh-CN" w:eastAsia="zh-CN" w:bidi="ar-SA"/>
        </w:rPr>
        <w:t>（周界外浓度最高点</w:t>
      </w:r>
      <w:r>
        <w:rPr>
          <w:rFonts w:hint="eastAsia" w:ascii="Times New Roman" w:hAnsi="Times New Roman" w:eastAsia="宋体" w:cs="Times New Roman"/>
          <w:color w:val="000000"/>
          <w:kern w:val="0"/>
          <w:sz w:val="24"/>
          <w:szCs w:val="24"/>
          <w:lang w:val="en-US" w:eastAsia="zh-CN" w:bidi="ar-SA"/>
        </w:rPr>
        <w:t>1</w:t>
      </w:r>
      <w:r>
        <w:rPr>
          <w:rFonts w:hint="default" w:ascii="Times New Roman" w:hAnsi="Times New Roman" w:eastAsia="宋体" w:cs="Times New Roman"/>
          <w:color w:val="000000"/>
          <w:kern w:val="0"/>
          <w:sz w:val="24"/>
          <w:szCs w:val="24"/>
          <w:lang w:val="en-US" w:eastAsia="zh-CN" w:bidi="ar-SA"/>
        </w:rPr>
        <w:t>mg/m</w:t>
      </w:r>
      <w:r>
        <w:rPr>
          <w:rFonts w:hint="default" w:ascii="Times New Roman" w:hAnsi="Times New Roman" w:eastAsia="宋体" w:cs="Times New Roman"/>
          <w:color w:val="000000"/>
          <w:kern w:val="0"/>
          <w:sz w:val="24"/>
          <w:szCs w:val="24"/>
          <w:vertAlign w:val="superscript"/>
          <w:lang w:val="en-US" w:eastAsia="zh-CN" w:bidi="ar-SA"/>
        </w:rPr>
        <w:t>3</w:t>
      </w:r>
      <w:r>
        <w:rPr>
          <w:rFonts w:hint="default" w:ascii="Times New Roman" w:hAnsi="Times New Roman" w:eastAsia="宋体" w:cs="Times New Roman"/>
          <w:color w:val="000000"/>
          <w:kern w:val="0"/>
          <w:sz w:val="24"/>
          <w:szCs w:val="24"/>
          <w:lang w:val="zh-CN" w:eastAsia="zh-CN" w:bidi="ar-SA"/>
        </w:rPr>
        <w:t>）</w:t>
      </w:r>
      <w:r>
        <w:rPr>
          <w:rFonts w:hint="default" w:ascii="Times New Roman" w:hAnsi="Times New Roman" w:eastAsia="宋体" w:cs="Times New Roman"/>
          <w:color w:val="000000"/>
          <w:kern w:val="0"/>
          <w:sz w:val="24"/>
          <w:szCs w:val="24"/>
          <w:lang w:val="en-US" w:eastAsia="zh-CN" w:bidi="ar-SA"/>
        </w:rPr>
        <w:t>。</w:t>
      </w:r>
      <w:r>
        <w:rPr>
          <w:rFonts w:hint="eastAsia" w:ascii="Times New Roman" w:hAnsi="Times New Roman" w:eastAsia="宋体" w:cs="Times New Roman"/>
          <w:snapToGrid w:val="0"/>
          <w:color w:val="auto"/>
          <w:kern w:val="0"/>
          <w:sz w:val="24"/>
          <w:szCs w:val="24"/>
          <w:highlight w:val="none"/>
          <w:lang w:val="en-US" w:eastAsia="zh-CN" w:bidi="ar-SA"/>
        </w:rPr>
        <w:t>部分无组织逸散颗粒物</w:t>
      </w:r>
      <w:r>
        <w:rPr>
          <w:rFonts w:hint="default" w:ascii="Times New Roman" w:hAnsi="Times New Roman" w:eastAsia="宋体" w:cs="Times New Roman"/>
          <w:color w:val="000000"/>
          <w:kern w:val="0"/>
          <w:sz w:val="24"/>
          <w:szCs w:val="24"/>
          <w:lang w:val="en-US" w:eastAsia="zh-CN" w:bidi="ar-SA"/>
        </w:rPr>
        <w:t>通过</w:t>
      </w:r>
      <w:r>
        <w:rPr>
          <w:rFonts w:hint="eastAsia" w:ascii="Times New Roman" w:hAnsi="Times New Roman" w:eastAsia="宋体" w:cs="Times New Roman"/>
          <w:color w:val="000000"/>
          <w:kern w:val="0"/>
          <w:sz w:val="24"/>
          <w:szCs w:val="24"/>
          <w:lang w:val="en-US" w:eastAsia="zh-CN" w:bidi="ar-SA"/>
        </w:rPr>
        <w:t>加强封闭式作业+洒水降尘等措施进行控制</w:t>
      </w:r>
      <w:r>
        <w:rPr>
          <w:rFonts w:hint="default" w:ascii="Times New Roman" w:hAnsi="Times New Roman" w:eastAsia="宋体" w:cs="Times New Roman"/>
          <w:color w:val="000000"/>
          <w:kern w:val="0"/>
          <w:sz w:val="24"/>
          <w:szCs w:val="24"/>
          <w:lang w:val="en-US" w:eastAsia="zh-CN" w:bidi="ar-SA"/>
        </w:rPr>
        <w:t>，</w:t>
      </w:r>
      <w:r>
        <w:rPr>
          <w:rFonts w:hint="eastAsia" w:ascii="Times New Roman" w:hAnsi="Times New Roman" w:eastAsia="宋体" w:cs="Times New Roman"/>
          <w:color w:val="000000"/>
          <w:kern w:val="0"/>
          <w:sz w:val="24"/>
          <w:szCs w:val="24"/>
          <w:lang w:val="en-US" w:eastAsia="zh-CN" w:bidi="ar-SA"/>
        </w:rPr>
        <w:t>根据</w:t>
      </w:r>
      <w:r>
        <w:rPr>
          <w:rFonts w:hint="eastAsia" w:ascii="Times New Roman" w:hAnsi="Times New Roman" w:eastAsia="宋体" w:cs="Times New Roman"/>
          <w:snapToGrid w:val="0"/>
          <w:color w:val="000000"/>
          <w:kern w:val="0"/>
          <w:sz w:val="24"/>
          <w:szCs w:val="24"/>
          <w:highlight w:val="none"/>
          <w:lang w:val="en-US" w:eastAsia="zh-CN" w:bidi="ar-SA"/>
        </w:rPr>
        <w:t>《排放源统计调查产排污核算方法和系数手册》，洒水降尘控制效率为74%，因此无组织颗粒物共</w:t>
      </w:r>
      <w:r>
        <w:rPr>
          <w:rFonts w:hint="eastAsia" w:cs="Times New Roman"/>
          <w:snapToGrid w:val="0"/>
          <w:color w:val="000000"/>
          <w:kern w:val="0"/>
          <w:sz w:val="24"/>
          <w:szCs w:val="24"/>
          <w:highlight w:val="none"/>
          <w:lang w:val="en-US" w:eastAsia="zh-CN" w:bidi="ar-SA"/>
        </w:rPr>
        <w:t>0.12</w:t>
      </w:r>
      <w:r>
        <w:rPr>
          <w:rFonts w:hint="eastAsia" w:ascii="Times New Roman" w:hAnsi="Times New Roman" w:eastAsia="宋体" w:cs="Times New Roman"/>
          <w:snapToGrid w:val="0"/>
          <w:color w:val="000000"/>
          <w:kern w:val="0"/>
          <w:sz w:val="24"/>
          <w:szCs w:val="24"/>
          <w:highlight w:val="none"/>
          <w:lang w:val="en-US" w:eastAsia="zh-CN" w:bidi="ar-SA"/>
        </w:rPr>
        <w:t>t/a</w:t>
      </w:r>
      <w:r>
        <w:rPr>
          <w:rFonts w:hint="eastAsia" w:ascii="Times New Roman" w:hAnsi="Times New Roman" w:eastAsia="宋体" w:cs="Times New Roman"/>
          <w:color w:val="000000"/>
          <w:kern w:val="0"/>
          <w:sz w:val="24"/>
          <w:szCs w:val="24"/>
          <w:lang w:val="zh-CN" w:eastAsia="zh-CN" w:bidi="ar-SA"/>
        </w:rPr>
        <w:t>。</w:t>
      </w:r>
    </w:p>
    <w:p w14:paraId="140C57C1">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废气产生和排放情况见表</w:t>
      </w:r>
      <w:r>
        <w:rPr>
          <w:rFonts w:hint="eastAsia" w:ascii="Times New Roman" w:hAnsi="Times New Roman" w:eastAsia="宋体" w:cs="Times New Roman"/>
          <w:color w:val="auto"/>
          <w:kern w:val="2"/>
          <w:sz w:val="24"/>
          <w:szCs w:val="24"/>
          <w:lang w:val="en-US" w:eastAsia="zh-CN"/>
        </w:rPr>
        <w:t>3.4-</w:t>
      </w:r>
      <w:r>
        <w:rPr>
          <w:rFonts w:hint="eastAsia" w:eastAsia="宋体" w:cs="Times New Roman"/>
          <w:color w:val="auto"/>
          <w:kern w:val="2"/>
          <w:sz w:val="24"/>
          <w:szCs w:val="24"/>
          <w:lang w:val="en-US" w:eastAsia="zh-CN"/>
        </w:rPr>
        <w:t>5</w:t>
      </w:r>
      <w:r>
        <w:rPr>
          <w:rFonts w:hint="default" w:ascii="Times New Roman" w:hAnsi="Times New Roman" w:eastAsia="宋体" w:cs="Times New Roman"/>
          <w:color w:val="auto"/>
          <w:kern w:val="2"/>
          <w:sz w:val="24"/>
          <w:szCs w:val="24"/>
        </w:rPr>
        <w:t>。</w:t>
      </w:r>
    </w:p>
    <w:p w14:paraId="11670661">
      <w:pPr>
        <w:widowControl w:val="0"/>
        <w:overflowPunct/>
        <w:autoSpaceDE/>
        <w:autoSpaceDN/>
        <w:adjustRightInd/>
        <w:snapToGrid/>
        <w:spacing w:before="0" w:after="0" w:line="360" w:lineRule="auto"/>
        <w:ind w:left="0" w:right="0" w:firstLine="0" w:firstLineChars="0"/>
        <w:jc w:val="center"/>
        <w:rPr>
          <w:rFonts w:hint="default" w:ascii="Times New Roman" w:hAnsi="Times New Roman" w:eastAsia="宋体" w:cs="Times New Roman"/>
          <w:b/>
          <w:color w:val="auto"/>
          <w:kern w:val="0"/>
          <w:sz w:val="24"/>
          <w:szCs w:val="24"/>
          <w:lang w:val="en-US" w:eastAsia="zh-CN" w:bidi="ar-SA"/>
        </w:rPr>
      </w:pPr>
      <w:r>
        <w:rPr>
          <w:rFonts w:hint="default" w:ascii="Times New Roman" w:hAnsi="Times New Roman" w:eastAsia="宋体" w:cs="Times New Roman"/>
          <w:b/>
          <w:color w:val="auto"/>
          <w:kern w:val="0"/>
          <w:sz w:val="24"/>
          <w:szCs w:val="24"/>
          <w:lang w:val="en-US" w:eastAsia="zh-CN" w:bidi="ar-SA"/>
        </w:rPr>
        <w:t>表</w:t>
      </w:r>
      <w:r>
        <w:rPr>
          <w:rFonts w:hint="eastAsia" w:ascii="Times New Roman" w:hAnsi="Times New Roman" w:eastAsia="宋体" w:cs="Times New Roman"/>
          <w:b/>
          <w:color w:val="auto"/>
          <w:kern w:val="0"/>
          <w:sz w:val="24"/>
          <w:szCs w:val="24"/>
          <w:lang w:val="en-US" w:eastAsia="zh-CN" w:bidi="ar-SA"/>
        </w:rPr>
        <w:t>3.4-</w:t>
      </w:r>
      <w:r>
        <w:rPr>
          <w:rFonts w:hint="eastAsia" w:eastAsia="宋体" w:cs="Times New Roman"/>
          <w:b/>
          <w:color w:val="auto"/>
          <w:kern w:val="0"/>
          <w:sz w:val="24"/>
          <w:szCs w:val="24"/>
          <w:lang w:val="en-US" w:eastAsia="zh-CN" w:bidi="ar-SA"/>
        </w:rPr>
        <w:t>5TMR搅拌站</w:t>
      </w:r>
      <w:r>
        <w:rPr>
          <w:rFonts w:hint="eastAsia" w:ascii="Times New Roman" w:hAnsi="Times New Roman" w:eastAsia="宋体" w:cs="Times New Roman"/>
          <w:b/>
          <w:color w:val="auto"/>
          <w:kern w:val="0"/>
          <w:sz w:val="24"/>
          <w:szCs w:val="24"/>
          <w:lang w:val="en-US" w:eastAsia="zh-CN" w:bidi="ar-SA"/>
        </w:rPr>
        <w:t>废气</w:t>
      </w:r>
      <w:r>
        <w:rPr>
          <w:rFonts w:hint="default" w:ascii="Times New Roman" w:hAnsi="Times New Roman" w:eastAsia="宋体" w:cs="Times New Roman"/>
          <w:b/>
          <w:color w:val="auto"/>
          <w:kern w:val="0"/>
          <w:sz w:val="24"/>
          <w:szCs w:val="24"/>
          <w:lang w:val="en-US" w:eastAsia="zh-CN" w:bidi="ar-SA"/>
        </w:rPr>
        <w:t>产生及排放情况表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9"/>
        <w:gridCol w:w="660"/>
        <w:gridCol w:w="600"/>
        <w:gridCol w:w="600"/>
        <w:gridCol w:w="697"/>
        <w:gridCol w:w="697"/>
        <w:gridCol w:w="769"/>
        <w:gridCol w:w="1593"/>
        <w:gridCol w:w="1108"/>
        <w:gridCol w:w="981"/>
      </w:tblGrid>
      <w:tr w14:paraId="7A755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 w:type="dxa"/>
            <w:vMerge w:val="restart"/>
            <w:tcBorders>
              <w:tl2br w:val="nil"/>
              <w:tr2bl w:val="nil"/>
            </w:tcBorders>
            <w:noWrap w:val="0"/>
            <w:vAlign w:val="center"/>
          </w:tcPr>
          <w:p w14:paraId="26141C0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b/>
                <w:bCs/>
                <w:color w:val="auto"/>
                <w:kern w:val="2"/>
                <w:sz w:val="21"/>
                <w:szCs w:val="22"/>
                <w:lang w:eastAsia="zh-CN"/>
              </w:rPr>
            </w:pPr>
            <w:r>
              <w:rPr>
                <w:rFonts w:hint="eastAsia" w:ascii="Times New Roman" w:hAnsi="Times New Roman" w:eastAsia="宋体" w:cs="Times New Roman"/>
                <w:b/>
                <w:bCs/>
                <w:color w:val="auto"/>
                <w:kern w:val="2"/>
                <w:sz w:val="21"/>
                <w:szCs w:val="22"/>
                <w:lang w:val="en-US" w:eastAsia="zh-CN"/>
              </w:rPr>
              <w:t>产污环节</w:t>
            </w:r>
          </w:p>
        </w:tc>
        <w:tc>
          <w:tcPr>
            <w:tcW w:w="660" w:type="dxa"/>
            <w:vMerge w:val="restart"/>
            <w:tcBorders>
              <w:tl2br w:val="nil"/>
              <w:tr2bl w:val="nil"/>
            </w:tcBorders>
            <w:noWrap w:val="0"/>
            <w:vAlign w:val="center"/>
          </w:tcPr>
          <w:p w14:paraId="369D9F1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污染物</w:t>
            </w:r>
          </w:p>
        </w:tc>
        <w:tc>
          <w:tcPr>
            <w:tcW w:w="1200" w:type="dxa"/>
            <w:gridSpan w:val="2"/>
            <w:vMerge w:val="restart"/>
            <w:tcBorders>
              <w:tl2br w:val="nil"/>
              <w:tr2bl w:val="nil"/>
            </w:tcBorders>
            <w:noWrap w:val="0"/>
            <w:vAlign w:val="center"/>
          </w:tcPr>
          <w:p w14:paraId="11DDD0F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产生量</w:t>
            </w:r>
          </w:p>
          <w:p w14:paraId="077B9DE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lang w:val="en-US" w:eastAsia="zh-CN"/>
              </w:rPr>
              <w:t>t</w:t>
            </w:r>
            <w:r>
              <w:rPr>
                <w:rFonts w:hint="default" w:ascii="Times New Roman" w:hAnsi="Times New Roman" w:eastAsia="宋体" w:cs="Times New Roman"/>
                <w:b/>
                <w:bCs/>
                <w:color w:val="auto"/>
                <w:kern w:val="2"/>
                <w:sz w:val="21"/>
                <w:szCs w:val="22"/>
              </w:rPr>
              <w:t>/a</w:t>
            </w:r>
          </w:p>
        </w:tc>
        <w:tc>
          <w:tcPr>
            <w:tcW w:w="697" w:type="dxa"/>
            <w:vMerge w:val="restart"/>
            <w:tcBorders>
              <w:tl2br w:val="nil"/>
              <w:tr2bl w:val="nil"/>
            </w:tcBorders>
            <w:noWrap w:val="0"/>
            <w:vAlign w:val="center"/>
          </w:tcPr>
          <w:p w14:paraId="2DE460F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产生速率</w:t>
            </w:r>
            <w:r>
              <w:rPr>
                <w:rFonts w:hint="default" w:ascii="Times New Roman" w:hAnsi="Times New Roman" w:eastAsia="宋体" w:cs="Times New Roman"/>
                <w:b/>
                <w:bCs/>
                <w:color w:val="auto"/>
                <w:kern w:val="2"/>
                <w:sz w:val="21"/>
                <w:szCs w:val="22"/>
              </w:rPr>
              <w:t>（kg/h）</w:t>
            </w:r>
          </w:p>
        </w:tc>
        <w:tc>
          <w:tcPr>
            <w:tcW w:w="697" w:type="dxa"/>
            <w:vMerge w:val="restart"/>
            <w:tcBorders>
              <w:tl2br w:val="nil"/>
              <w:tr2bl w:val="nil"/>
            </w:tcBorders>
            <w:noWrap w:val="0"/>
            <w:vAlign w:val="center"/>
          </w:tcPr>
          <w:p w14:paraId="727F4CD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净化效率</w:t>
            </w:r>
          </w:p>
        </w:tc>
        <w:tc>
          <w:tcPr>
            <w:tcW w:w="4451" w:type="dxa"/>
            <w:gridSpan w:val="4"/>
            <w:tcBorders>
              <w:tl2br w:val="nil"/>
              <w:tr2bl w:val="nil"/>
            </w:tcBorders>
            <w:noWrap w:val="0"/>
            <w:vAlign w:val="center"/>
          </w:tcPr>
          <w:p w14:paraId="033E5AE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污染物排放情况</w:t>
            </w:r>
          </w:p>
        </w:tc>
      </w:tr>
      <w:tr w14:paraId="5A0FF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 w:type="dxa"/>
            <w:vMerge w:val="continue"/>
            <w:tcBorders>
              <w:tl2br w:val="nil"/>
              <w:tr2bl w:val="nil"/>
            </w:tcBorders>
            <w:noWrap w:val="0"/>
            <w:vAlign w:val="center"/>
          </w:tcPr>
          <w:p w14:paraId="56B97E51">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660" w:type="dxa"/>
            <w:vMerge w:val="continue"/>
            <w:tcBorders>
              <w:tl2br w:val="nil"/>
              <w:tr2bl w:val="nil"/>
            </w:tcBorders>
            <w:noWrap w:val="0"/>
            <w:vAlign w:val="center"/>
          </w:tcPr>
          <w:p w14:paraId="185DDAF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1200" w:type="dxa"/>
            <w:gridSpan w:val="2"/>
            <w:vMerge w:val="continue"/>
            <w:tcBorders>
              <w:tl2br w:val="nil"/>
              <w:tr2bl w:val="nil"/>
            </w:tcBorders>
            <w:noWrap w:val="0"/>
            <w:vAlign w:val="center"/>
          </w:tcPr>
          <w:p w14:paraId="6A77693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697" w:type="dxa"/>
            <w:vMerge w:val="continue"/>
            <w:tcBorders>
              <w:tl2br w:val="nil"/>
              <w:tr2bl w:val="nil"/>
            </w:tcBorders>
            <w:noWrap w:val="0"/>
            <w:vAlign w:val="center"/>
          </w:tcPr>
          <w:p w14:paraId="6D18CDF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697" w:type="dxa"/>
            <w:vMerge w:val="continue"/>
            <w:tcBorders>
              <w:tl2br w:val="nil"/>
              <w:tr2bl w:val="nil"/>
            </w:tcBorders>
            <w:noWrap w:val="0"/>
            <w:vAlign w:val="center"/>
          </w:tcPr>
          <w:p w14:paraId="4AED7E4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769" w:type="dxa"/>
            <w:tcBorders>
              <w:tl2br w:val="nil"/>
              <w:tr2bl w:val="nil"/>
            </w:tcBorders>
            <w:noWrap w:val="0"/>
            <w:vAlign w:val="center"/>
          </w:tcPr>
          <w:p w14:paraId="0D81A59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排放量（</w:t>
            </w:r>
            <w:r>
              <w:rPr>
                <w:rFonts w:hint="default" w:ascii="Times New Roman" w:hAnsi="Times New Roman" w:eastAsia="宋体" w:cs="Times New Roman"/>
                <w:b/>
                <w:bCs/>
                <w:color w:val="auto"/>
                <w:kern w:val="2"/>
                <w:sz w:val="21"/>
                <w:szCs w:val="22"/>
                <w:lang w:val="en-US" w:eastAsia="zh-CN"/>
              </w:rPr>
              <w:t>t</w:t>
            </w:r>
            <w:r>
              <w:rPr>
                <w:rFonts w:hint="default" w:ascii="Times New Roman" w:hAnsi="Times New Roman" w:eastAsia="宋体" w:cs="Times New Roman"/>
                <w:b/>
                <w:bCs/>
                <w:color w:val="auto"/>
                <w:kern w:val="2"/>
                <w:sz w:val="21"/>
                <w:szCs w:val="22"/>
              </w:rPr>
              <w:t>/a）</w:t>
            </w:r>
          </w:p>
        </w:tc>
        <w:tc>
          <w:tcPr>
            <w:tcW w:w="1593" w:type="dxa"/>
            <w:tcBorders>
              <w:tl2br w:val="nil"/>
              <w:tr2bl w:val="nil"/>
            </w:tcBorders>
            <w:noWrap w:val="0"/>
            <w:vAlign w:val="center"/>
          </w:tcPr>
          <w:p w14:paraId="473DBDB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排放浓度（mg/m</w:t>
            </w:r>
            <w:r>
              <w:rPr>
                <w:rFonts w:hint="default" w:ascii="Times New Roman" w:hAnsi="Times New Roman" w:eastAsia="宋体" w:cs="Times New Roman"/>
                <w:b/>
                <w:bCs/>
                <w:color w:val="auto"/>
                <w:kern w:val="2"/>
                <w:sz w:val="21"/>
                <w:szCs w:val="22"/>
                <w:vertAlign w:val="superscript"/>
                <w:lang w:val="en-US" w:eastAsia="zh-CN"/>
              </w:rPr>
              <w:t>3</w:t>
            </w:r>
            <w:r>
              <w:rPr>
                <w:rFonts w:hint="default" w:ascii="Times New Roman" w:hAnsi="Times New Roman" w:eastAsia="宋体" w:cs="Times New Roman"/>
                <w:b/>
                <w:bCs/>
                <w:color w:val="auto"/>
                <w:kern w:val="2"/>
                <w:sz w:val="21"/>
                <w:szCs w:val="22"/>
              </w:rPr>
              <w:t>）</w:t>
            </w:r>
          </w:p>
        </w:tc>
        <w:tc>
          <w:tcPr>
            <w:tcW w:w="1108" w:type="dxa"/>
            <w:tcBorders>
              <w:tl2br w:val="nil"/>
              <w:tr2bl w:val="nil"/>
            </w:tcBorders>
            <w:noWrap w:val="0"/>
            <w:vAlign w:val="center"/>
          </w:tcPr>
          <w:p w14:paraId="2A6F5789">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eastAsia" w:ascii="Times New Roman" w:hAnsi="Times New Roman" w:eastAsia="宋体" w:cs="Times New Roman"/>
                <w:b/>
                <w:bCs/>
                <w:color w:val="auto"/>
                <w:kern w:val="2"/>
                <w:sz w:val="21"/>
                <w:szCs w:val="22"/>
                <w:lang w:val="en-US" w:eastAsia="zh-CN"/>
              </w:rPr>
              <w:t>排气筒高度</w:t>
            </w:r>
          </w:p>
        </w:tc>
        <w:tc>
          <w:tcPr>
            <w:tcW w:w="981" w:type="dxa"/>
            <w:tcBorders>
              <w:tl2br w:val="nil"/>
              <w:tr2bl w:val="nil"/>
            </w:tcBorders>
            <w:noWrap w:val="0"/>
            <w:vAlign w:val="center"/>
          </w:tcPr>
          <w:p w14:paraId="2AB0A1C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排放速率（kg/h）</w:t>
            </w:r>
          </w:p>
        </w:tc>
      </w:tr>
      <w:tr w14:paraId="030CA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99" w:type="dxa"/>
            <w:vMerge w:val="restart"/>
            <w:tcBorders>
              <w:tl2br w:val="nil"/>
              <w:tr2bl w:val="nil"/>
            </w:tcBorders>
            <w:noWrap w:val="0"/>
            <w:vAlign w:val="center"/>
          </w:tcPr>
          <w:p w14:paraId="41780B4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2"/>
                <w:sz w:val="21"/>
                <w:szCs w:val="22"/>
                <w:lang w:val="en-US" w:eastAsia="zh-CN"/>
              </w:rPr>
            </w:pPr>
            <w:r>
              <w:rPr>
                <w:rFonts w:hint="eastAsia" w:cs="Times New Roman"/>
                <w:color w:val="auto"/>
                <w:kern w:val="2"/>
                <w:sz w:val="21"/>
                <w:szCs w:val="22"/>
                <w:lang w:val="en-US" w:eastAsia="zh-CN"/>
              </w:rPr>
              <w:t>饲料加工区</w:t>
            </w:r>
            <w:r>
              <w:rPr>
                <w:rFonts w:hint="eastAsia" w:ascii="Times New Roman" w:hAnsi="Times New Roman" w:eastAsia="宋体" w:cs="Times New Roman"/>
                <w:color w:val="auto"/>
                <w:kern w:val="2"/>
                <w:sz w:val="21"/>
                <w:szCs w:val="22"/>
                <w:lang w:val="en-US" w:eastAsia="zh-CN"/>
              </w:rPr>
              <w:t>（</w:t>
            </w:r>
            <w:r>
              <w:rPr>
                <w:rFonts w:hint="eastAsia" w:eastAsia="宋体" w:cs="Times New Roman"/>
                <w:color w:val="auto"/>
                <w:kern w:val="2"/>
                <w:sz w:val="21"/>
                <w:szCs w:val="22"/>
                <w:lang w:val="en-US" w:eastAsia="zh-CN"/>
              </w:rPr>
              <w:t>粉碎、搅拌</w:t>
            </w:r>
            <w:r>
              <w:rPr>
                <w:rFonts w:hint="eastAsia" w:ascii="Times New Roman" w:hAnsi="Times New Roman" w:eastAsia="宋体" w:cs="Times New Roman"/>
                <w:color w:val="auto"/>
                <w:kern w:val="2"/>
                <w:sz w:val="21"/>
                <w:szCs w:val="22"/>
                <w:lang w:val="en-US" w:eastAsia="zh-CN"/>
              </w:rPr>
              <w:t>粉尘）</w:t>
            </w:r>
          </w:p>
        </w:tc>
        <w:tc>
          <w:tcPr>
            <w:tcW w:w="660" w:type="dxa"/>
            <w:tcBorders>
              <w:tl2br w:val="nil"/>
              <w:tr2bl w:val="nil"/>
            </w:tcBorders>
            <w:noWrap w:val="0"/>
            <w:vAlign w:val="center"/>
          </w:tcPr>
          <w:p w14:paraId="0F4BEE4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2"/>
                <w:lang w:val="en-US" w:eastAsia="zh-CN"/>
              </w:rPr>
            </w:pPr>
            <w:r>
              <w:rPr>
                <w:rFonts w:hint="eastAsia" w:ascii="Times New Roman" w:hAnsi="Times New Roman" w:eastAsia="宋体" w:cs="Times New Roman"/>
                <w:color w:val="000000"/>
                <w:kern w:val="2"/>
                <w:sz w:val="21"/>
                <w:szCs w:val="24"/>
                <w:lang w:val="en-US" w:eastAsia="zh-CN"/>
              </w:rPr>
              <w:t>颗粒物</w:t>
            </w:r>
          </w:p>
        </w:tc>
        <w:tc>
          <w:tcPr>
            <w:tcW w:w="600" w:type="dxa"/>
            <w:vMerge w:val="restart"/>
            <w:tcBorders>
              <w:tl2br w:val="nil"/>
              <w:tr2bl w:val="nil"/>
            </w:tcBorders>
            <w:noWrap w:val="0"/>
            <w:vAlign w:val="center"/>
          </w:tcPr>
          <w:p w14:paraId="7C7ABCA1">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eastAsia="宋体" w:cs="Times New Roman"/>
                <w:color w:val="auto"/>
                <w:kern w:val="0"/>
                <w:sz w:val="21"/>
                <w:szCs w:val="21"/>
                <w:lang w:val="en-US" w:eastAsia="zh-CN"/>
              </w:rPr>
            </w:pPr>
            <w:r>
              <w:rPr>
                <w:rFonts w:hint="eastAsia" w:cs="Times New Roman"/>
                <w:color w:val="auto"/>
                <w:kern w:val="0"/>
                <w:sz w:val="21"/>
                <w:szCs w:val="21"/>
                <w:lang w:val="en-US" w:eastAsia="zh-CN"/>
              </w:rPr>
              <w:t>0.94</w:t>
            </w:r>
          </w:p>
        </w:tc>
        <w:tc>
          <w:tcPr>
            <w:tcW w:w="600" w:type="dxa"/>
            <w:tcBorders>
              <w:tl2br w:val="nil"/>
              <w:tr2bl w:val="nil"/>
            </w:tcBorders>
            <w:noWrap w:val="0"/>
            <w:vAlign w:val="center"/>
          </w:tcPr>
          <w:p w14:paraId="2B57AEC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0.47</w:t>
            </w:r>
          </w:p>
        </w:tc>
        <w:tc>
          <w:tcPr>
            <w:tcW w:w="697" w:type="dxa"/>
            <w:tcBorders>
              <w:tl2br w:val="nil"/>
              <w:tr2bl w:val="nil"/>
            </w:tcBorders>
            <w:noWrap w:val="0"/>
            <w:vAlign w:val="center"/>
          </w:tcPr>
          <w:p w14:paraId="6161B45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0.0805 </w:t>
            </w:r>
          </w:p>
        </w:tc>
        <w:tc>
          <w:tcPr>
            <w:tcW w:w="697" w:type="dxa"/>
            <w:tcBorders>
              <w:tl2br w:val="nil"/>
              <w:tr2bl w:val="nil"/>
            </w:tcBorders>
            <w:noWrap w:val="0"/>
            <w:vAlign w:val="center"/>
          </w:tcPr>
          <w:p w14:paraId="4C6C681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9</w:t>
            </w:r>
            <w:r>
              <w:rPr>
                <w:rFonts w:hint="eastAsia" w:cs="Times New Roman"/>
                <w:color w:val="auto"/>
                <w:kern w:val="0"/>
                <w:sz w:val="21"/>
                <w:szCs w:val="21"/>
                <w:lang w:val="en-US" w:eastAsia="zh-CN"/>
              </w:rPr>
              <w:t>8</w:t>
            </w:r>
            <w:r>
              <w:rPr>
                <w:rFonts w:hint="eastAsia" w:ascii="Times New Roman" w:hAnsi="Times New Roman" w:eastAsia="宋体" w:cs="Times New Roman"/>
                <w:color w:val="auto"/>
                <w:kern w:val="0"/>
                <w:sz w:val="21"/>
                <w:szCs w:val="21"/>
                <w:lang w:val="en-US" w:eastAsia="zh-CN"/>
              </w:rPr>
              <w:t>%</w:t>
            </w:r>
          </w:p>
        </w:tc>
        <w:tc>
          <w:tcPr>
            <w:tcW w:w="769" w:type="dxa"/>
            <w:tcBorders>
              <w:tl2br w:val="nil"/>
              <w:tr2bl w:val="nil"/>
            </w:tcBorders>
            <w:noWrap w:val="0"/>
            <w:vAlign w:val="center"/>
          </w:tcPr>
          <w:p w14:paraId="4E126CE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0.01</w:t>
            </w:r>
          </w:p>
        </w:tc>
        <w:tc>
          <w:tcPr>
            <w:tcW w:w="1593" w:type="dxa"/>
            <w:tcBorders>
              <w:tl2br w:val="nil"/>
              <w:tr2bl w:val="nil"/>
            </w:tcBorders>
            <w:noWrap w:val="0"/>
            <w:vAlign w:val="center"/>
          </w:tcPr>
          <w:p w14:paraId="7EC7C2D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0.3</w:t>
            </w:r>
          </w:p>
        </w:tc>
        <w:tc>
          <w:tcPr>
            <w:tcW w:w="1108" w:type="dxa"/>
            <w:tcBorders>
              <w:tl2br w:val="nil"/>
              <w:tr2bl w:val="nil"/>
            </w:tcBorders>
            <w:noWrap w:val="0"/>
            <w:vAlign w:val="center"/>
          </w:tcPr>
          <w:p w14:paraId="0F9B49F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15</w:t>
            </w:r>
          </w:p>
        </w:tc>
        <w:tc>
          <w:tcPr>
            <w:tcW w:w="981" w:type="dxa"/>
            <w:tcBorders>
              <w:tl2br w:val="nil"/>
              <w:tr2bl w:val="nil"/>
            </w:tcBorders>
            <w:noWrap w:val="0"/>
            <w:vAlign w:val="center"/>
          </w:tcPr>
          <w:p w14:paraId="16C9265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 xml:space="preserve">0.0017 </w:t>
            </w:r>
          </w:p>
        </w:tc>
      </w:tr>
      <w:tr w14:paraId="290E8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99" w:type="dxa"/>
            <w:vMerge w:val="continue"/>
            <w:tcBorders>
              <w:tl2br w:val="nil"/>
              <w:tr2bl w:val="nil"/>
            </w:tcBorders>
            <w:noWrap w:val="0"/>
            <w:vAlign w:val="center"/>
          </w:tcPr>
          <w:p w14:paraId="78A9093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2"/>
                <w:sz w:val="21"/>
                <w:szCs w:val="22"/>
                <w:lang w:val="en-US" w:eastAsia="zh-CN"/>
              </w:rPr>
            </w:pPr>
          </w:p>
        </w:tc>
        <w:tc>
          <w:tcPr>
            <w:tcW w:w="660" w:type="dxa"/>
            <w:tcBorders>
              <w:tl2br w:val="nil"/>
              <w:tr2bl w:val="nil"/>
            </w:tcBorders>
            <w:noWrap w:val="0"/>
            <w:vAlign w:val="center"/>
          </w:tcPr>
          <w:p w14:paraId="0A824C7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宋体"/>
                <w:b w:val="0"/>
                <w:bCs w:val="0"/>
                <w:color w:val="auto"/>
                <w:kern w:val="0"/>
                <w:sz w:val="21"/>
                <w:szCs w:val="21"/>
                <w:lang w:val="en-US" w:eastAsia="zh-CN"/>
              </w:rPr>
            </w:pPr>
            <w:r>
              <w:rPr>
                <w:rFonts w:hint="eastAsia" w:ascii="Times New Roman" w:hAnsi="Times New Roman" w:eastAsia="宋体" w:cs="Times New Roman"/>
                <w:color w:val="000000"/>
                <w:kern w:val="2"/>
                <w:sz w:val="21"/>
                <w:szCs w:val="24"/>
                <w:lang w:val="en-US" w:eastAsia="zh-CN"/>
              </w:rPr>
              <w:t>颗粒物</w:t>
            </w:r>
          </w:p>
        </w:tc>
        <w:tc>
          <w:tcPr>
            <w:tcW w:w="600" w:type="dxa"/>
            <w:vMerge w:val="continue"/>
            <w:tcBorders>
              <w:tl2br w:val="nil"/>
              <w:tr2bl w:val="nil"/>
            </w:tcBorders>
            <w:noWrap w:val="0"/>
            <w:vAlign w:val="center"/>
          </w:tcPr>
          <w:p w14:paraId="2BF12D1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eastAsia="宋体" w:cs="Times New Roman"/>
                <w:color w:val="auto"/>
                <w:kern w:val="0"/>
                <w:sz w:val="21"/>
                <w:szCs w:val="21"/>
                <w:lang w:val="en-US" w:eastAsia="zh-CN"/>
              </w:rPr>
            </w:pPr>
          </w:p>
        </w:tc>
        <w:tc>
          <w:tcPr>
            <w:tcW w:w="600" w:type="dxa"/>
            <w:tcBorders>
              <w:tl2br w:val="nil"/>
              <w:tr2bl w:val="nil"/>
            </w:tcBorders>
            <w:noWrap w:val="0"/>
            <w:vAlign w:val="center"/>
          </w:tcPr>
          <w:p w14:paraId="4A757DB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0.47</w:t>
            </w:r>
          </w:p>
        </w:tc>
        <w:tc>
          <w:tcPr>
            <w:tcW w:w="697" w:type="dxa"/>
            <w:tcBorders>
              <w:tl2br w:val="nil"/>
              <w:tr2bl w:val="nil"/>
            </w:tcBorders>
            <w:noWrap w:val="0"/>
            <w:vAlign w:val="center"/>
          </w:tcPr>
          <w:p w14:paraId="331A7A4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0.0805 </w:t>
            </w:r>
          </w:p>
        </w:tc>
        <w:tc>
          <w:tcPr>
            <w:tcW w:w="697" w:type="dxa"/>
            <w:tcBorders>
              <w:tl2br w:val="nil"/>
              <w:tr2bl w:val="nil"/>
            </w:tcBorders>
            <w:noWrap w:val="0"/>
            <w:vAlign w:val="center"/>
          </w:tcPr>
          <w:p w14:paraId="1FDF6241">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2"/>
                <w:sz w:val="21"/>
                <w:szCs w:val="22"/>
                <w:lang w:val="en-US" w:eastAsia="zh-CN"/>
              </w:rPr>
              <w:t>74%</w:t>
            </w:r>
          </w:p>
        </w:tc>
        <w:tc>
          <w:tcPr>
            <w:tcW w:w="769" w:type="dxa"/>
            <w:tcBorders>
              <w:tl2br w:val="nil"/>
              <w:tr2bl w:val="nil"/>
            </w:tcBorders>
            <w:noWrap w:val="0"/>
            <w:vAlign w:val="center"/>
          </w:tcPr>
          <w:p w14:paraId="62B0304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0.12</w:t>
            </w:r>
          </w:p>
        </w:tc>
        <w:tc>
          <w:tcPr>
            <w:tcW w:w="1593" w:type="dxa"/>
            <w:tcBorders>
              <w:tl2br w:val="nil"/>
              <w:tr2bl w:val="nil"/>
            </w:tcBorders>
            <w:noWrap w:val="0"/>
            <w:vAlign w:val="center"/>
          </w:tcPr>
          <w:p w14:paraId="72B83F3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w:t>
            </w:r>
          </w:p>
        </w:tc>
        <w:tc>
          <w:tcPr>
            <w:tcW w:w="1108" w:type="dxa"/>
            <w:tcBorders>
              <w:tl2br w:val="nil"/>
              <w:tr2bl w:val="nil"/>
            </w:tcBorders>
            <w:noWrap w:val="0"/>
            <w:vAlign w:val="center"/>
          </w:tcPr>
          <w:p w14:paraId="3BF39FE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无组织排放</w:t>
            </w:r>
          </w:p>
        </w:tc>
        <w:tc>
          <w:tcPr>
            <w:tcW w:w="981" w:type="dxa"/>
            <w:tcBorders>
              <w:tl2br w:val="nil"/>
              <w:tr2bl w:val="nil"/>
            </w:tcBorders>
            <w:noWrap w:val="0"/>
            <w:vAlign w:val="center"/>
          </w:tcPr>
          <w:p w14:paraId="5FB3725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 xml:space="preserve">0.0205 </w:t>
            </w:r>
          </w:p>
        </w:tc>
      </w:tr>
    </w:tbl>
    <w:p w14:paraId="0B2944DA">
      <w:pPr>
        <w:spacing w:line="360" w:lineRule="auto"/>
        <w:ind w:firstLine="482"/>
        <w:rPr>
          <w:rFonts w:hint="eastAsia" w:ascii="Times New Roman" w:hAnsi="Times New Roman" w:eastAsia="宋体" w:cs="Times New Roman"/>
          <w:bCs/>
          <w:color w:val="auto"/>
          <w:sz w:val="24"/>
          <w:lang w:eastAsia="zh-CN"/>
        </w:rPr>
      </w:pPr>
      <w:r>
        <w:rPr>
          <w:rFonts w:hint="eastAsia" w:cs="Times New Roman"/>
          <w:bCs/>
          <w:color w:val="auto"/>
          <w:sz w:val="24"/>
          <w:lang w:val="en-US" w:eastAsia="zh-CN"/>
        </w:rPr>
        <w:t>（3）</w:t>
      </w:r>
      <w:r>
        <w:rPr>
          <w:rFonts w:hint="eastAsia" w:eastAsia="宋体" w:cs="Times New Roman"/>
          <w:kern w:val="2"/>
          <w:sz w:val="24"/>
          <w:szCs w:val="24"/>
          <w:lang w:val="en-US" w:eastAsia="zh-CN"/>
        </w:rPr>
        <w:t>饲料</w:t>
      </w:r>
      <w:r>
        <w:rPr>
          <w:rFonts w:hint="eastAsia" w:cs="Times New Roman"/>
          <w:kern w:val="2"/>
          <w:sz w:val="24"/>
          <w:szCs w:val="24"/>
          <w:lang w:val="en-US" w:eastAsia="zh-CN"/>
        </w:rPr>
        <w:t>撒料</w:t>
      </w:r>
      <w:r>
        <w:rPr>
          <w:rFonts w:hint="eastAsia" w:eastAsia="宋体" w:cs="Times New Roman"/>
          <w:kern w:val="2"/>
          <w:sz w:val="24"/>
          <w:szCs w:val="24"/>
          <w:lang w:val="en-US" w:eastAsia="zh-CN"/>
        </w:rPr>
        <w:t>粉尘</w:t>
      </w:r>
    </w:p>
    <w:p w14:paraId="6E20C273">
      <w:pPr>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宋体"/>
          <w:b w:val="0"/>
          <w:color w:val="000000"/>
          <w:spacing w:val="0"/>
          <w:w w:val="100"/>
          <w:position w:val="0"/>
          <w:sz w:val="24"/>
          <w:szCs w:val="24"/>
          <w:lang w:val="en-US" w:eastAsia="zh-CN"/>
        </w:rPr>
      </w:pPr>
      <w:r>
        <w:rPr>
          <w:rFonts w:hint="eastAsia" w:ascii="Times New Roman" w:hAnsi="Times New Roman" w:eastAsia="宋体" w:cs="宋体"/>
          <w:b w:val="0"/>
          <w:color w:val="000000"/>
          <w:spacing w:val="0"/>
          <w:w w:val="100"/>
          <w:position w:val="0"/>
          <w:sz w:val="24"/>
          <w:szCs w:val="24"/>
        </w:rPr>
        <w:t>本项目采用</w:t>
      </w:r>
      <w:r>
        <w:rPr>
          <w:rFonts w:hint="eastAsia" w:cs="宋体"/>
          <w:b w:val="0"/>
          <w:color w:val="000000"/>
          <w:spacing w:val="0"/>
          <w:w w:val="100"/>
          <w:position w:val="0"/>
          <w:sz w:val="24"/>
          <w:szCs w:val="24"/>
          <w:lang w:val="en-US" w:eastAsia="zh-CN"/>
        </w:rPr>
        <w:t>撒料车</w:t>
      </w:r>
      <w:r>
        <w:rPr>
          <w:rFonts w:hint="eastAsia" w:ascii="Times New Roman" w:hAnsi="Times New Roman" w:eastAsia="宋体" w:cs="宋体"/>
          <w:b w:val="0"/>
          <w:color w:val="000000"/>
          <w:spacing w:val="0"/>
          <w:w w:val="100"/>
          <w:position w:val="0"/>
          <w:sz w:val="24"/>
          <w:szCs w:val="24"/>
        </w:rPr>
        <w:t>喂养，</w:t>
      </w:r>
      <w:r>
        <w:rPr>
          <w:rFonts w:hint="eastAsia" w:cs="宋体"/>
          <w:b w:val="0"/>
          <w:color w:val="000000"/>
          <w:spacing w:val="0"/>
          <w:w w:val="100"/>
          <w:position w:val="0"/>
          <w:sz w:val="24"/>
          <w:szCs w:val="24"/>
          <w:lang w:val="en-US" w:eastAsia="zh-CN"/>
        </w:rPr>
        <w:t>搅拌后的</w:t>
      </w:r>
      <w:r>
        <w:rPr>
          <w:rFonts w:hint="eastAsia" w:cs="宋体"/>
          <w:b w:val="0"/>
          <w:color w:val="000000"/>
          <w:spacing w:val="0"/>
          <w:w w:val="100"/>
          <w:position w:val="0"/>
          <w:sz w:val="24"/>
          <w:szCs w:val="24"/>
          <w:lang w:eastAsia="zh-CN"/>
        </w:rPr>
        <w:t>“</w:t>
      </w:r>
      <w:r>
        <w:rPr>
          <w:rFonts w:hint="eastAsia" w:ascii="Times New Roman" w:hAnsi="Times New Roman" w:eastAsia="宋体" w:cs="宋体"/>
          <w:b w:val="0"/>
          <w:color w:val="000000"/>
          <w:spacing w:val="0"/>
          <w:w w:val="100"/>
          <w:position w:val="0"/>
          <w:sz w:val="24"/>
          <w:szCs w:val="24"/>
        </w:rPr>
        <w:t>全价日粮</w:t>
      </w:r>
      <w:r>
        <w:rPr>
          <w:rFonts w:hint="eastAsia" w:cs="宋体"/>
          <w:b w:val="0"/>
          <w:color w:val="000000"/>
          <w:spacing w:val="0"/>
          <w:w w:val="100"/>
          <w:position w:val="0"/>
          <w:sz w:val="24"/>
          <w:szCs w:val="24"/>
          <w:lang w:eastAsia="zh-CN"/>
        </w:rPr>
        <w:t>”</w:t>
      </w:r>
      <w:r>
        <w:rPr>
          <w:rFonts w:hint="eastAsia" w:ascii="Times New Roman" w:hAnsi="Times New Roman" w:eastAsia="宋体" w:cs="宋体"/>
          <w:b w:val="0"/>
          <w:color w:val="000000"/>
          <w:spacing w:val="0"/>
          <w:w w:val="100"/>
          <w:position w:val="0"/>
          <w:sz w:val="24"/>
          <w:szCs w:val="24"/>
        </w:rPr>
        <w:t>，</w:t>
      </w:r>
      <w:r>
        <w:rPr>
          <w:rFonts w:hint="eastAsia" w:cs="宋体"/>
          <w:b w:val="0"/>
          <w:color w:val="000000"/>
          <w:spacing w:val="0"/>
          <w:w w:val="100"/>
          <w:position w:val="0"/>
          <w:sz w:val="24"/>
          <w:szCs w:val="24"/>
          <w:lang w:val="en-US" w:eastAsia="zh-CN"/>
        </w:rPr>
        <w:t>由撒料车</w:t>
      </w:r>
      <w:r>
        <w:rPr>
          <w:rFonts w:hint="eastAsia" w:ascii="Times New Roman" w:hAnsi="Times New Roman" w:eastAsia="宋体" w:cs="宋体"/>
          <w:b w:val="0"/>
          <w:color w:val="000000"/>
          <w:spacing w:val="0"/>
          <w:w w:val="100"/>
          <w:position w:val="0"/>
          <w:sz w:val="24"/>
          <w:szCs w:val="24"/>
        </w:rPr>
        <w:t>运到</w:t>
      </w:r>
      <w:r>
        <w:rPr>
          <w:rFonts w:hint="eastAsia" w:cs="宋体"/>
          <w:b w:val="0"/>
          <w:color w:val="000000"/>
          <w:spacing w:val="0"/>
          <w:w w:val="100"/>
          <w:position w:val="0"/>
          <w:sz w:val="24"/>
          <w:szCs w:val="24"/>
          <w:lang w:val="en-US" w:eastAsia="zh-CN"/>
        </w:rPr>
        <w:t>饲喂通道</w:t>
      </w:r>
      <w:r>
        <w:rPr>
          <w:rFonts w:hint="eastAsia" w:ascii="Times New Roman" w:hAnsi="Times New Roman" w:eastAsia="宋体" w:cs="宋体"/>
          <w:b w:val="0"/>
          <w:color w:val="000000"/>
          <w:spacing w:val="0"/>
          <w:w w:val="100"/>
          <w:position w:val="0"/>
          <w:sz w:val="24"/>
          <w:szCs w:val="24"/>
        </w:rPr>
        <w:t>分发。在</w:t>
      </w:r>
      <w:r>
        <w:rPr>
          <w:rFonts w:hint="eastAsia" w:cs="宋体"/>
          <w:b w:val="0"/>
          <w:color w:val="000000"/>
          <w:spacing w:val="0"/>
          <w:w w:val="100"/>
          <w:position w:val="0"/>
          <w:sz w:val="24"/>
          <w:szCs w:val="24"/>
          <w:lang w:val="en-US" w:eastAsia="zh-CN"/>
        </w:rPr>
        <w:t>撒料</w:t>
      </w:r>
      <w:r>
        <w:rPr>
          <w:rFonts w:hint="eastAsia" w:ascii="Times New Roman" w:hAnsi="Times New Roman" w:eastAsia="宋体" w:cs="宋体"/>
          <w:b w:val="0"/>
          <w:color w:val="000000"/>
          <w:spacing w:val="0"/>
          <w:w w:val="100"/>
          <w:position w:val="0"/>
          <w:sz w:val="24"/>
          <w:szCs w:val="24"/>
        </w:rPr>
        <w:t>过程中会产生少量粉尘</w:t>
      </w:r>
      <w:r>
        <w:rPr>
          <w:rFonts w:hint="eastAsia" w:ascii="Times New Roman" w:hAnsi="Times New Roman" w:eastAsia="宋体" w:cs="宋体"/>
          <w:b w:val="0"/>
          <w:color w:val="000000"/>
          <w:spacing w:val="0"/>
          <w:w w:val="100"/>
          <w:position w:val="0"/>
          <w:sz w:val="24"/>
          <w:szCs w:val="24"/>
          <w:lang w:eastAsia="zh-CN"/>
        </w:rPr>
        <w:t>。</w:t>
      </w:r>
    </w:p>
    <w:p w14:paraId="677087D1">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eastAsia="宋体" w:cs="宋体"/>
          <w:b w:val="0"/>
          <w:spacing w:val="0"/>
          <w:w w:val="100"/>
          <w:position w:val="0"/>
          <w:sz w:val="24"/>
          <w:szCs w:val="24"/>
          <w:lang w:val="en-US" w:eastAsia="zh-CN"/>
        </w:rPr>
        <w:t>根据</w:t>
      </w:r>
      <w:r>
        <w:rPr>
          <w:rFonts w:hint="default"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sz w:val="24"/>
          <w:szCs w:val="24"/>
        </w:rPr>
        <w:t>排放源统计调查产排污核算方法和系数手册</w:t>
      </w:r>
      <w:r>
        <w:rPr>
          <w:rFonts w:hint="default" w:ascii="Times New Roman" w:hAnsi="Times New Roman" w:eastAsia="宋体" w:cs="Times New Roman"/>
          <w:color w:val="auto"/>
          <w:kern w:val="0"/>
          <w:sz w:val="24"/>
          <w:szCs w:val="24"/>
          <w:lang w:val="en-US" w:eastAsia="zh-CN"/>
        </w:rPr>
        <w:t>》132 饲料加工行业系数表，</w:t>
      </w:r>
      <w:r>
        <w:rPr>
          <w:rFonts w:hint="default" w:ascii="Times New Roman" w:hAnsi="Times New Roman" w:eastAsia="宋体" w:cs="Times New Roman"/>
          <w:sz w:val="24"/>
          <w:szCs w:val="24"/>
        </w:rPr>
        <w:t>配合饲料玉米、蛋白质类原料（豆粕等）、维生素等＜10万吨/年</w:t>
      </w:r>
      <w:r>
        <w:rPr>
          <w:rFonts w:hint="default" w:ascii="Times New Roman" w:hAnsi="Times New Roman" w:eastAsia="宋体" w:cs="Times New Roman"/>
          <w:sz w:val="24"/>
          <w:szCs w:val="24"/>
          <w:lang w:val="en-US" w:eastAsia="zh-CN"/>
        </w:rPr>
        <w:t>颗粒物产污系数0.043</w:t>
      </w:r>
      <w:r>
        <w:rPr>
          <w:rFonts w:hint="default" w:ascii="Times New Roman" w:hAnsi="Times New Roman" w:eastAsia="宋体" w:cs="Times New Roman"/>
          <w:sz w:val="24"/>
          <w:szCs w:val="24"/>
        </w:rPr>
        <w:t>千克/吨产品</w:t>
      </w:r>
      <w:r>
        <w:rPr>
          <w:rFonts w:hint="eastAsia" w:cs="Times New Roman"/>
          <w:sz w:val="24"/>
          <w:szCs w:val="24"/>
          <w:lang w:eastAsia="zh-CN"/>
        </w:rPr>
        <w:t>，</w:t>
      </w:r>
      <w:r>
        <w:rPr>
          <w:rFonts w:hint="eastAsia" w:cs="Times New Roman"/>
          <w:sz w:val="24"/>
          <w:szCs w:val="24"/>
          <w:lang w:val="en-US" w:eastAsia="zh-CN"/>
        </w:rPr>
        <w:t>混合饲料共计21900t/a</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颗粒物产生量为</w:t>
      </w:r>
      <w:r>
        <w:rPr>
          <w:rFonts w:hint="eastAsia" w:cs="Times New Roman"/>
          <w:sz w:val="24"/>
          <w:szCs w:val="24"/>
          <w:lang w:val="en-US" w:eastAsia="zh-CN"/>
        </w:rPr>
        <w:t>0.94</w:t>
      </w:r>
      <w:r>
        <w:rPr>
          <w:rFonts w:hint="default" w:ascii="Times New Roman" w:hAnsi="Times New Roman" w:eastAsia="宋体" w:cs="Times New Roman"/>
          <w:sz w:val="24"/>
          <w:szCs w:val="24"/>
          <w:lang w:val="en-US" w:eastAsia="zh-CN"/>
        </w:rPr>
        <w:t>t/a</w:t>
      </w:r>
      <w:r>
        <w:rPr>
          <w:rFonts w:hint="eastAsia" w:eastAsia="宋体" w:cs="Times New Roman"/>
          <w:sz w:val="24"/>
          <w:szCs w:val="24"/>
          <w:lang w:val="en-US" w:eastAsia="zh-CN"/>
        </w:rPr>
        <w:t>，</w:t>
      </w:r>
      <w:r>
        <w:rPr>
          <w:rFonts w:ascii="Times New Roman" w:hAnsi="Times New Roman" w:eastAsia="宋体" w:cs="宋体"/>
          <w:b w:val="0"/>
          <w:spacing w:val="0"/>
          <w:w w:val="100"/>
          <w:position w:val="0"/>
          <w:sz w:val="24"/>
          <w:szCs w:val="24"/>
        </w:rPr>
        <w:t>TMR</w:t>
      </w:r>
      <w:r>
        <w:rPr>
          <w:rFonts w:hint="eastAsia" w:ascii="Times New Roman" w:hAnsi="Times New Roman" w:eastAsia="宋体" w:cs="宋体"/>
          <w:b w:val="0"/>
          <w:spacing w:val="0"/>
          <w:w w:val="100"/>
          <w:position w:val="0"/>
          <w:sz w:val="24"/>
          <w:szCs w:val="24"/>
          <w:lang w:val="en-US" w:eastAsia="zh-CN"/>
        </w:rPr>
        <w:t>工作时间以</w:t>
      </w:r>
      <w:r>
        <w:rPr>
          <w:rFonts w:hint="eastAsia" w:cs="宋体"/>
          <w:b w:val="0"/>
          <w:spacing w:val="0"/>
          <w:w w:val="100"/>
          <w:position w:val="0"/>
          <w:sz w:val="24"/>
          <w:szCs w:val="24"/>
          <w:lang w:val="en-US" w:eastAsia="zh-CN"/>
        </w:rPr>
        <w:t>16</w:t>
      </w:r>
      <w:r>
        <w:rPr>
          <w:rFonts w:hint="eastAsia" w:ascii="Times New Roman" w:hAnsi="Times New Roman" w:eastAsia="宋体" w:cs="宋体"/>
          <w:b w:val="0"/>
          <w:spacing w:val="0"/>
          <w:w w:val="100"/>
          <w:position w:val="0"/>
          <w:sz w:val="24"/>
          <w:szCs w:val="24"/>
          <w:lang w:val="en-US" w:eastAsia="zh-CN"/>
        </w:rPr>
        <w:t>小时计，因此颗粒物产生速率为</w:t>
      </w:r>
      <w:r>
        <w:rPr>
          <w:rFonts w:hint="eastAsia" w:cs="宋体"/>
          <w:b w:val="0"/>
          <w:spacing w:val="0"/>
          <w:w w:val="100"/>
          <w:position w:val="0"/>
          <w:sz w:val="24"/>
          <w:szCs w:val="24"/>
          <w:lang w:val="en-US" w:eastAsia="zh-CN"/>
        </w:rPr>
        <w:t>0.1610</w:t>
      </w:r>
      <w:r>
        <w:rPr>
          <w:rFonts w:hint="eastAsia" w:ascii="Times New Roman" w:hAnsi="Times New Roman" w:eastAsia="宋体" w:cs="宋体"/>
          <w:b w:val="0"/>
          <w:spacing w:val="0"/>
          <w:w w:val="100"/>
          <w:position w:val="0"/>
          <w:sz w:val="24"/>
          <w:szCs w:val="24"/>
          <w:lang w:val="en-US" w:eastAsia="zh-CN"/>
        </w:rPr>
        <w:t>kg/h。</w:t>
      </w:r>
    </w:p>
    <w:p w14:paraId="0C35A041">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eastAsia="宋体"/>
          <w:lang w:val="en-US" w:eastAsia="zh-CN"/>
        </w:rPr>
      </w:pPr>
      <w:r>
        <w:rPr>
          <w:rFonts w:hint="eastAsia" w:ascii="Times New Roman" w:hAnsi="Times New Roman" w:eastAsia="宋体" w:cs="宋体"/>
          <w:b w:val="0"/>
          <w:spacing w:val="0"/>
          <w:w w:val="100"/>
          <w:position w:val="0"/>
          <w:sz w:val="24"/>
          <w:szCs w:val="24"/>
          <w:lang w:eastAsia="zh-CN"/>
        </w:rPr>
        <w:t>肉牛</w:t>
      </w:r>
      <w:r>
        <w:rPr>
          <w:rFonts w:ascii="Times New Roman" w:hAnsi="Times New Roman" w:eastAsia="宋体" w:cs="宋体"/>
          <w:b w:val="0"/>
          <w:spacing w:val="0"/>
          <w:w w:val="100"/>
          <w:position w:val="0"/>
          <w:sz w:val="24"/>
          <w:szCs w:val="24"/>
        </w:rPr>
        <w:t>日粮的含水量要求在50%左右，因此在</w:t>
      </w:r>
      <w:r>
        <w:rPr>
          <w:rFonts w:hint="eastAsia" w:cs="宋体"/>
          <w:b w:val="0"/>
          <w:spacing w:val="0"/>
          <w:w w:val="100"/>
          <w:position w:val="0"/>
          <w:sz w:val="24"/>
          <w:szCs w:val="24"/>
          <w:lang w:val="en-US" w:eastAsia="zh-CN"/>
        </w:rPr>
        <w:t>撒料</w:t>
      </w:r>
      <w:r>
        <w:rPr>
          <w:rFonts w:ascii="Times New Roman" w:hAnsi="Times New Roman" w:eastAsia="宋体" w:cs="宋体"/>
          <w:b w:val="0"/>
          <w:spacing w:val="0"/>
          <w:w w:val="100"/>
          <w:position w:val="0"/>
          <w:sz w:val="24"/>
          <w:szCs w:val="24"/>
        </w:rPr>
        <w:t>时，必须补充10</w:t>
      </w:r>
      <w:r>
        <w:rPr>
          <w:rFonts w:hint="eastAsia" w:cs="宋体"/>
          <w:b w:val="0"/>
          <w:spacing w:val="0"/>
          <w:w w:val="100"/>
          <w:position w:val="0"/>
          <w:sz w:val="24"/>
          <w:szCs w:val="24"/>
          <w:lang w:val="en-US" w:eastAsia="zh-CN"/>
        </w:rPr>
        <w:t>%～</w:t>
      </w:r>
      <w:r>
        <w:rPr>
          <w:rFonts w:ascii="Times New Roman" w:hAnsi="Times New Roman" w:eastAsia="宋体" w:cs="宋体"/>
          <w:b w:val="0"/>
          <w:spacing w:val="0"/>
          <w:w w:val="100"/>
          <w:position w:val="0"/>
          <w:sz w:val="24"/>
          <w:szCs w:val="24"/>
        </w:rPr>
        <w:t>20%水分，</w:t>
      </w:r>
      <w:r>
        <w:rPr>
          <w:rFonts w:hint="eastAsia" w:eastAsia="宋体" w:cs="宋体"/>
          <w:b w:val="0"/>
          <w:spacing w:val="0"/>
          <w:w w:val="100"/>
          <w:position w:val="0"/>
          <w:sz w:val="24"/>
          <w:szCs w:val="24"/>
          <w:lang w:val="en-US" w:eastAsia="zh-CN"/>
        </w:rPr>
        <w:t>对饲料表面润湿，</w:t>
      </w:r>
      <w:r>
        <w:rPr>
          <w:rFonts w:ascii="Times New Roman" w:hAnsi="Times New Roman" w:eastAsia="宋体" w:cs="宋体"/>
          <w:b w:val="0"/>
          <w:spacing w:val="0"/>
          <w:w w:val="100"/>
          <w:position w:val="0"/>
          <w:sz w:val="24"/>
          <w:szCs w:val="24"/>
        </w:rPr>
        <w:t>以解决日粮中水分不足的问题，</w:t>
      </w:r>
      <w:r>
        <w:rPr>
          <w:rFonts w:hint="eastAsia" w:eastAsia="宋体" w:cs="宋体"/>
          <w:b w:val="0"/>
          <w:spacing w:val="0"/>
          <w:w w:val="100"/>
          <w:position w:val="0"/>
          <w:sz w:val="24"/>
          <w:szCs w:val="24"/>
          <w:lang w:val="en-US" w:eastAsia="zh-CN"/>
        </w:rPr>
        <w:t>能够有效</w:t>
      </w:r>
      <w:r>
        <w:rPr>
          <w:rFonts w:ascii="Times New Roman" w:hAnsi="Times New Roman" w:eastAsia="宋体" w:cs="宋体"/>
          <w:b w:val="0"/>
          <w:spacing w:val="0"/>
          <w:w w:val="100"/>
          <w:position w:val="0"/>
          <w:sz w:val="24"/>
          <w:szCs w:val="24"/>
        </w:rPr>
        <w:t>抑制粉尘</w:t>
      </w:r>
      <w:r>
        <w:rPr>
          <w:rFonts w:hint="eastAsia" w:eastAsia="宋体" w:cs="宋体"/>
          <w:b w:val="0"/>
          <w:spacing w:val="0"/>
          <w:w w:val="100"/>
          <w:position w:val="0"/>
          <w:sz w:val="24"/>
          <w:szCs w:val="24"/>
          <w:lang w:val="en-US" w:eastAsia="zh-CN"/>
        </w:rPr>
        <w:t>产生</w:t>
      </w:r>
      <w:r>
        <w:rPr>
          <w:rFonts w:ascii="Times New Roman" w:hAnsi="Times New Roman" w:eastAsia="宋体" w:cs="宋体"/>
          <w:b w:val="0"/>
          <w:spacing w:val="0"/>
          <w:w w:val="100"/>
          <w:position w:val="0"/>
          <w:sz w:val="24"/>
          <w:szCs w:val="24"/>
        </w:rPr>
        <w:t>，</w:t>
      </w:r>
      <w:r>
        <w:rPr>
          <w:rFonts w:hint="eastAsia" w:cs="宋体"/>
          <w:b w:val="0"/>
          <w:spacing w:val="0"/>
          <w:w w:val="100"/>
          <w:position w:val="0"/>
          <w:sz w:val="24"/>
          <w:szCs w:val="24"/>
          <w:lang w:val="en-US" w:eastAsia="zh-CN"/>
        </w:rPr>
        <w:t>撒料车车厢</w:t>
      </w:r>
      <w:r>
        <w:rPr>
          <w:rFonts w:ascii="Times New Roman" w:hAnsi="Times New Roman" w:eastAsia="宋体" w:cs="宋体"/>
          <w:b w:val="0"/>
          <w:spacing w:val="0"/>
          <w:w w:val="100"/>
          <w:position w:val="0"/>
          <w:sz w:val="24"/>
          <w:szCs w:val="24"/>
        </w:rPr>
        <w:t>为封闭式，</w:t>
      </w:r>
      <w:r>
        <w:rPr>
          <w:rFonts w:hint="eastAsia" w:eastAsia="宋体" w:cs="宋体"/>
          <w:b w:val="0"/>
          <w:spacing w:val="0"/>
          <w:w w:val="100"/>
          <w:position w:val="0"/>
          <w:sz w:val="24"/>
          <w:szCs w:val="24"/>
          <w:lang w:val="en-US" w:eastAsia="zh-CN"/>
        </w:rPr>
        <w:t>能够进一步降低粉尘产生量</w:t>
      </w:r>
      <w:r>
        <w:rPr>
          <w:rFonts w:ascii="Times New Roman" w:hAnsi="Times New Roman" w:eastAsia="宋体" w:cs="宋体"/>
          <w:b w:val="0"/>
          <w:spacing w:val="0"/>
          <w:w w:val="100"/>
          <w:position w:val="0"/>
          <w:sz w:val="24"/>
          <w:szCs w:val="24"/>
        </w:rPr>
        <w:t>。</w:t>
      </w:r>
      <w:r>
        <w:rPr>
          <w:rFonts w:hint="eastAsia" w:eastAsia="宋体" w:cs="宋体"/>
          <w:b w:val="0"/>
          <w:spacing w:val="0"/>
          <w:w w:val="100"/>
          <w:position w:val="0"/>
          <w:sz w:val="24"/>
          <w:szCs w:val="24"/>
          <w:lang w:val="en-US" w:eastAsia="zh-CN"/>
        </w:rPr>
        <w:t>同时</w:t>
      </w:r>
      <w:r>
        <w:rPr>
          <w:rFonts w:hint="eastAsia" w:eastAsia="宋体" w:cs="Times New Roman"/>
          <w:sz w:val="24"/>
          <w:szCs w:val="24"/>
          <w:lang w:val="en-US" w:eastAsia="zh-CN"/>
        </w:rPr>
        <w:t>由于本项目</w:t>
      </w:r>
      <w:r>
        <w:rPr>
          <w:rFonts w:hint="eastAsia" w:cs="Times New Roman"/>
          <w:sz w:val="24"/>
          <w:szCs w:val="24"/>
          <w:lang w:val="en-US" w:eastAsia="zh-CN"/>
        </w:rPr>
        <w:t>撒料车</w:t>
      </w:r>
      <w:r>
        <w:rPr>
          <w:rFonts w:hint="eastAsia" w:eastAsia="宋体" w:cs="Times New Roman"/>
          <w:sz w:val="24"/>
          <w:szCs w:val="24"/>
          <w:lang w:val="en-US" w:eastAsia="zh-CN"/>
        </w:rPr>
        <w:t>在厂区内各</w:t>
      </w:r>
      <w:r>
        <w:rPr>
          <w:rFonts w:hint="eastAsia" w:cs="Times New Roman"/>
          <w:sz w:val="24"/>
          <w:szCs w:val="24"/>
          <w:lang w:val="en-US" w:eastAsia="zh-CN"/>
        </w:rPr>
        <w:t>牛圈</w:t>
      </w:r>
      <w:r>
        <w:rPr>
          <w:rFonts w:hint="eastAsia" w:eastAsia="宋体" w:cs="Times New Roman"/>
          <w:sz w:val="24"/>
          <w:szCs w:val="24"/>
          <w:lang w:val="en-US" w:eastAsia="zh-CN"/>
        </w:rPr>
        <w:t>内移动搅拌，因此无固定产尘点，因此本项目颗粒物以无组织排放源计，满足《大气污染物综合排放标准》（GB16297-1996）表2 新污染源大气污染物排放限值。</w:t>
      </w:r>
    </w:p>
    <w:p w14:paraId="52B14CDF">
      <w:pPr>
        <w:spacing w:line="360" w:lineRule="auto"/>
        <w:ind w:firstLine="482"/>
        <w:rPr>
          <w:rFonts w:hint="eastAsia" w:ascii="Times New Roman" w:hAnsi="Times New Roman" w:eastAsia="宋体" w:cs="Times New Roman"/>
          <w:snapToGrid w:val="0"/>
          <w:color w:val="000000"/>
          <w:kern w:val="0"/>
          <w:sz w:val="24"/>
          <w:szCs w:val="24"/>
          <w:highlight w:val="none"/>
          <w:lang w:val="en-US" w:eastAsia="zh-CN" w:bidi="ar-SA"/>
        </w:rPr>
      </w:pPr>
      <w:r>
        <w:rPr>
          <w:rFonts w:hint="eastAsia" w:cs="Times New Roman"/>
          <w:snapToGrid w:val="0"/>
          <w:color w:val="000000"/>
          <w:kern w:val="0"/>
          <w:sz w:val="24"/>
          <w:szCs w:val="24"/>
          <w:highlight w:val="none"/>
          <w:lang w:val="en-US" w:eastAsia="zh-CN" w:bidi="ar-SA"/>
        </w:rPr>
        <w:t>（4）</w:t>
      </w:r>
      <w:r>
        <w:rPr>
          <w:rFonts w:hint="eastAsia" w:ascii="Times New Roman" w:hAnsi="Times New Roman" w:eastAsia="宋体" w:cs="Times New Roman"/>
          <w:snapToGrid w:val="0"/>
          <w:color w:val="000000"/>
          <w:kern w:val="0"/>
          <w:sz w:val="24"/>
          <w:szCs w:val="24"/>
          <w:highlight w:val="none"/>
          <w:lang w:val="en-US" w:eastAsia="zh-CN" w:bidi="ar-SA"/>
        </w:rPr>
        <w:t>堆肥</w:t>
      </w:r>
      <w:r>
        <w:rPr>
          <w:rFonts w:hint="eastAsia" w:cs="Times New Roman"/>
          <w:snapToGrid w:val="0"/>
          <w:color w:val="000000"/>
          <w:kern w:val="0"/>
          <w:sz w:val="24"/>
          <w:szCs w:val="24"/>
          <w:highlight w:val="none"/>
          <w:lang w:val="en-US" w:eastAsia="zh-CN" w:bidi="ar-SA"/>
        </w:rPr>
        <w:t>区</w:t>
      </w:r>
      <w:r>
        <w:rPr>
          <w:rFonts w:hint="eastAsia" w:ascii="Times New Roman" w:hAnsi="Times New Roman" w:eastAsia="宋体" w:cs="Times New Roman"/>
          <w:snapToGrid w:val="0"/>
          <w:color w:val="000000"/>
          <w:kern w:val="0"/>
          <w:sz w:val="24"/>
          <w:szCs w:val="24"/>
          <w:highlight w:val="none"/>
          <w:lang w:val="en-US" w:eastAsia="zh-CN" w:bidi="ar-SA"/>
        </w:rPr>
        <w:t>废气</w:t>
      </w:r>
    </w:p>
    <w:p w14:paraId="5F792D73">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堆肥区粪便及发酵垫料卸料、暂存会产生粉尘以及恶臭污染物，其中养殖恶臭包括全厂粪污存储恶臭，因此堆肥区暂存不再重复计算，因此本项目只计算卸料、暂存粉尘。</w:t>
      </w:r>
    </w:p>
    <w:p w14:paraId="17E43A01">
      <w:pPr>
        <w:overflowPunct w:val="0"/>
        <w:autoSpaceDE w:val="0"/>
        <w:autoSpaceDN w:val="0"/>
        <w:bidi w:val="0"/>
        <w:adjustRightInd w:val="0"/>
        <w:snapToGrid w:val="0"/>
        <w:spacing w:line="360" w:lineRule="auto"/>
        <w:ind w:firstLine="480" w:firstLineChars="200"/>
        <w:rPr>
          <w:rFonts w:ascii="宋体" w:hAnsi="宋体" w:eastAsia="宋体" w:cs="宋体"/>
          <w:color w:val="auto"/>
          <w:kern w:val="0"/>
          <w:sz w:val="24"/>
          <w:szCs w:val="24"/>
        </w:rPr>
      </w:pPr>
      <w:r>
        <w:rPr>
          <w:rFonts w:hint="eastAsia" w:ascii="Times New Roman" w:hAnsi="Times New Roman" w:eastAsia="宋体" w:cs="Times New Roman"/>
          <w:color w:val="auto"/>
          <w:kern w:val="0"/>
          <w:sz w:val="24"/>
          <w:szCs w:val="24"/>
          <w:lang w:val="en-US" w:eastAsia="zh-CN" w:bidi="ar-SA"/>
        </w:rPr>
        <w:t>根据</w:t>
      </w:r>
      <w:r>
        <w:rPr>
          <w:rFonts w:hint="default" w:ascii="Times New Roman" w:hAnsi="Times New Roman" w:eastAsia="宋体" w:cs="Times New Roman"/>
          <w:snapToGrid w:val="0"/>
          <w:color w:val="000000"/>
          <w:kern w:val="0"/>
          <w:sz w:val="24"/>
          <w:szCs w:val="24"/>
        </w:rPr>
        <w:t>《排放源统计调查产排污核算方法和系数手册》工业源固体物料堆场</w:t>
      </w:r>
      <w:r>
        <w:rPr>
          <w:rFonts w:hint="eastAsia" w:ascii="Times New Roman" w:hAnsi="Times New Roman" w:eastAsia="宋体" w:cs="Times New Roman"/>
          <w:snapToGrid w:val="0"/>
          <w:color w:val="000000"/>
          <w:kern w:val="0"/>
          <w:sz w:val="24"/>
          <w:szCs w:val="24"/>
          <w:lang w:val="en-US" w:eastAsia="zh-CN"/>
        </w:rPr>
        <w:t>颗粒物核算系数手册，</w:t>
      </w:r>
      <w:r>
        <w:rPr>
          <w:rFonts w:ascii="宋体" w:hAnsi="宋体" w:eastAsia="宋体" w:cs="宋体"/>
          <w:color w:val="auto"/>
          <w:kern w:val="0"/>
          <w:sz w:val="24"/>
          <w:szCs w:val="24"/>
        </w:rPr>
        <w:t>工业企业固体物料堆存颗粒物包括装卸场尘和风蚀扬尘，颗粒物产生量核算公式如下：</w:t>
      </w:r>
    </w:p>
    <w:p w14:paraId="29B02C62">
      <w:pPr>
        <w:widowControl w:val="0"/>
        <w:autoSpaceDE/>
        <w:autoSpaceDN/>
        <w:adjustRightInd/>
        <w:spacing w:after="120" w:line="360" w:lineRule="auto"/>
        <w:ind w:left="420" w:leftChars="200" w:firstLine="420" w:firstLineChars="200"/>
        <w:jc w:val="both"/>
        <w:textAlignment w:val="auto"/>
        <w:rPr>
          <w:rFonts w:hint="eastAsia" w:ascii="Times New Roman" w:hAnsi="Times New Roman" w:eastAsia="宋体" w:cs="宋体"/>
          <w:color w:val="auto"/>
          <w:kern w:val="2"/>
          <w:sz w:val="21"/>
          <w:szCs w:val="24"/>
          <w:lang w:val="en-US" w:eastAsia="zh-CN" w:bidi="ar-SA"/>
        </w:rPr>
      </w:pPr>
      <w:r>
        <w:rPr>
          <w:rFonts w:hint="eastAsia" w:ascii="Times New Roman" w:hAnsi="Times New Roman" w:eastAsia="宋体" w:cs="宋体"/>
          <w:color w:val="auto"/>
          <w:kern w:val="2"/>
          <w:sz w:val="21"/>
          <w:szCs w:val="24"/>
          <w:lang w:val="en-US" w:eastAsia="zh-CN" w:bidi="ar-SA"/>
        </w:rPr>
        <w:drawing>
          <wp:inline distT="0" distB="0" distL="114300" distR="114300">
            <wp:extent cx="4171950" cy="390525"/>
            <wp:effectExtent l="0" t="0" r="0" b="9525"/>
            <wp:docPr id="86" name="图片 86" descr="167567176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1675671764033"/>
                    <pic:cNvPicPr>
                      <a:picLocks noChangeAspect="1"/>
                    </pic:cNvPicPr>
                  </pic:nvPicPr>
                  <pic:blipFill>
                    <a:blip r:embed="rId29"/>
                    <a:stretch>
                      <a:fillRect/>
                    </a:stretch>
                  </pic:blipFill>
                  <pic:spPr>
                    <a:xfrm>
                      <a:off x="0" y="0"/>
                      <a:ext cx="4171950" cy="390525"/>
                    </a:xfrm>
                    <a:prstGeom prst="rect">
                      <a:avLst/>
                    </a:prstGeom>
                  </pic:spPr>
                </pic:pic>
              </a:graphicData>
            </a:graphic>
          </wp:inline>
        </w:drawing>
      </w:r>
    </w:p>
    <w:p w14:paraId="731012EE">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式中：P 指颗粒物产生量（单位：吨）；0.06 </w:t>
      </w:r>
    </w:p>
    <w:p w14:paraId="5AE1E6EA">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ZCy指装卸扬尘产生量（单位：吨）； </w:t>
      </w:r>
    </w:p>
    <w:p w14:paraId="60243FA1">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FCy指风蚀扬尘产生量（单位：吨）； </w:t>
      </w:r>
    </w:p>
    <w:p w14:paraId="3F78B8BC">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Nc指年物料运载车次（单位：车）；取值182</w:t>
      </w:r>
    </w:p>
    <w:p w14:paraId="387D3AEA">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D指单车平均运载量（单位：吨/车）；取值20吨/车</w:t>
      </w:r>
    </w:p>
    <w:p w14:paraId="3D68D71E">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（a/b）指装卸扬尘概化系数（单位：千克/吨），a指各省风速概化系数，0.0011，b指物料含水率概化系数，0.0702（含水率低于30%）</w:t>
      </w:r>
    </w:p>
    <w:p w14:paraId="50B1BCF4">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E</w:t>
      </w:r>
      <w:r>
        <w:rPr>
          <w:rFonts w:hint="eastAsia" w:ascii="Times New Roman" w:hAnsi="Times New Roman" w:eastAsia="宋体" w:cs="Times New Roman"/>
          <w:color w:val="auto"/>
          <w:kern w:val="2"/>
          <w:sz w:val="24"/>
          <w:szCs w:val="24"/>
          <w:vertAlign w:val="subscript"/>
          <w:lang w:val="en-US" w:eastAsia="zh-CN" w:bidi="ar-SA"/>
        </w:rPr>
        <w:t>f</w:t>
      </w:r>
      <w:r>
        <w:rPr>
          <w:rFonts w:hint="eastAsia" w:ascii="Times New Roman" w:hAnsi="Times New Roman" w:eastAsia="宋体" w:cs="Times New Roman"/>
          <w:color w:val="auto"/>
          <w:kern w:val="2"/>
          <w:sz w:val="24"/>
          <w:szCs w:val="24"/>
          <w:lang w:val="en-US" w:eastAsia="zh-CN" w:bidi="ar-SA"/>
        </w:rPr>
        <w:t>指堆场风蚀扬尘概化系数，（单位：千克/平方米）；0</w:t>
      </w:r>
    </w:p>
    <w:p w14:paraId="1F26F062">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S指堆场占地面积（单位：平方米）。占地面积为3200m</w:t>
      </w:r>
      <w:r>
        <w:rPr>
          <w:rFonts w:hint="eastAsia" w:ascii="Times New Roman" w:hAnsi="Times New Roman" w:eastAsia="宋体" w:cs="Times New Roman"/>
          <w:color w:val="auto"/>
          <w:kern w:val="2"/>
          <w:sz w:val="24"/>
          <w:szCs w:val="24"/>
          <w:vertAlign w:val="superscript"/>
          <w:lang w:val="en-US" w:eastAsia="zh-CN" w:bidi="ar-SA"/>
        </w:rPr>
        <w:t>2</w:t>
      </w:r>
      <w:r>
        <w:rPr>
          <w:rFonts w:hint="eastAsia" w:ascii="Times New Roman" w:hAnsi="Times New Roman" w:eastAsia="宋体" w:cs="Times New Roman"/>
          <w:color w:val="auto"/>
          <w:kern w:val="2"/>
          <w:sz w:val="24"/>
          <w:szCs w:val="24"/>
          <w:lang w:val="en-US" w:eastAsia="zh-CN" w:bidi="ar-SA"/>
        </w:rPr>
        <w:t>。</w:t>
      </w:r>
    </w:p>
    <w:p w14:paraId="00A2D083">
      <w:pPr>
        <w:widowControl w:val="0"/>
        <w:autoSpaceDE/>
        <w:autoSpaceDN/>
        <w:adjustRightInd/>
        <w:spacing w:after="120" w:line="360" w:lineRule="auto"/>
        <w:ind w:left="0" w:leftChars="0" w:firstLine="42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宋体"/>
          <w:color w:val="auto"/>
          <w:kern w:val="2"/>
          <w:sz w:val="21"/>
          <w:szCs w:val="24"/>
          <w:lang w:val="en-US" w:eastAsia="zh-CN" w:bidi="ar-SA"/>
        </w:rPr>
        <w:drawing>
          <wp:anchor distT="0" distB="0" distL="114300" distR="114300" simplePos="0" relativeHeight="251681792" behindDoc="1" locked="0" layoutInCell="1" allowOverlap="1">
            <wp:simplePos x="0" y="0"/>
            <wp:positionH relativeFrom="column">
              <wp:posOffset>1179195</wp:posOffset>
            </wp:positionH>
            <wp:positionV relativeFrom="paragraph">
              <wp:posOffset>151130</wp:posOffset>
            </wp:positionV>
            <wp:extent cx="2724150" cy="457200"/>
            <wp:effectExtent l="0" t="0" r="0" b="0"/>
            <wp:wrapNone/>
            <wp:docPr id="97" name="图片 97" descr="167567193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1675671937219"/>
                    <pic:cNvPicPr>
                      <a:picLocks noChangeAspect="1"/>
                    </pic:cNvPicPr>
                  </pic:nvPicPr>
                  <pic:blipFill>
                    <a:blip r:embed="rId30"/>
                    <a:stretch>
                      <a:fillRect/>
                    </a:stretch>
                  </pic:blipFill>
                  <pic:spPr>
                    <a:xfrm>
                      <a:off x="0" y="0"/>
                      <a:ext cx="2724150" cy="457200"/>
                    </a:xfrm>
                    <a:prstGeom prst="rect">
                      <a:avLst/>
                    </a:prstGeom>
                  </pic:spPr>
                </pic:pic>
              </a:graphicData>
            </a:graphic>
          </wp:anchor>
        </w:drawing>
      </w:r>
      <w:r>
        <w:rPr>
          <w:rFonts w:hint="eastAsia" w:ascii="Times New Roman" w:hAnsi="Times New Roman" w:eastAsia="宋体" w:cs="Times New Roman"/>
          <w:color w:val="auto"/>
          <w:kern w:val="2"/>
          <w:sz w:val="24"/>
          <w:szCs w:val="24"/>
          <w:lang w:val="en-US" w:eastAsia="zh-CN" w:bidi="ar-SA"/>
        </w:rPr>
        <w:t>工业企业固体物料堆场颗粒物排放量核算公式如下：</w:t>
      </w:r>
    </w:p>
    <w:p w14:paraId="3DA91ABD">
      <w:pPr>
        <w:widowControl w:val="0"/>
        <w:autoSpaceDE/>
        <w:autoSpaceDN/>
        <w:adjustRightInd/>
        <w:spacing w:after="120" w:line="360" w:lineRule="auto"/>
        <w:ind w:left="0" w:leftChars="0" w:firstLine="0" w:firstLineChars="0"/>
        <w:jc w:val="both"/>
        <w:textAlignment w:val="auto"/>
        <w:rPr>
          <w:rFonts w:hint="eastAsia" w:ascii="Times New Roman" w:hAnsi="Times New Roman" w:eastAsia="宋体" w:cs="Times New Roman"/>
          <w:color w:val="auto"/>
          <w:kern w:val="2"/>
          <w:sz w:val="24"/>
          <w:szCs w:val="24"/>
          <w:lang w:val="en-US" w:eastAsia="zh-CN" w:bidi="ar-SA"/>
        </w:rPr>
      </w:pPr>
    </w:p>
    <w:p w14:paraId="0B628738">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式中：P 指颗粒物产生量（单位：吨）； </w:t>
      </w:r>
    </w:p>
    <w:p w14:paraId="5D0B5EA8">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Uc指颗粒物排放量（单位：吨）； </w:t>
      </w:r>
    </w:p>
    <w:p w14:paraId="5445842E">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Cm指颗粒物控制措施控制效率（单位：%）；洒水74%，编织覆盖86%</w:t>
      </w:r>
    </w:p>
    <w:p w14:paraId="0BD150D1">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Tm指堆场类型控制效率（单位：%）。敞开式0%。</w:t>
      </w:r>
    </w:p>
    <w:p w14:paraId="100C322C">
      <w:pPr>
        <w:widowControl w:val="0"/>
        <w:autoSpaceDE/>
        <w:autoSpaceDN/>
        <w:adjustRightInd/>
        <w:spacing w:after="120" w:line="360" w:lineRule="auto"/>
        <w:ind w:left="0" w:leftChars="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经计算，本项目无组织颗粒物产生量为0.06t/a，贮场堆存扬尘经洒水降尘以及编织覆盖控制后，无组织颗粒物排放量为0.01t/a。</w:t>
      </w:r>
    </w:p>
    <w:p w14:paraId="4D7A76A7">
      <w:pPr>
        <w:spacing w:line="360" w:lineRule="auto"/>
        <w:ind w:firstLine="482"/>
        <w:rPr>
          <w:rFonts w:hint="default" w:ascii="Times New Roman" w:hAnsi="Times New Roman" w:eastAsia="宋体" w:cs="Times New Roman"/>
          <w:snapToGrid w:val="0"/>
          <w:color w:val="000000"/>
          <w:kern w:val="0"/>
          <w:sz w:val="24"/>
          <w:szCs w:val="24"/>
          <w:highlight w:val="none"/>
          <w:lang w:val="en-US" w:eastAsia="zh-CN" w:bidi="ar-SA"/>
        </w:rPr>
      </w:pPr>
      <w:r>
        <w:rPr>
          <w:rFonts w:hint="eastAsia" w:ascii="Times New Roman" w:hAnsi="Times New Roman" w:eastAsia="宋体" w:cs="Times New Roman"/>
          <w:snapToGrid w:val="0"/>
          <w:color w:val="000000"/>
          <w:kern w:val="0"/>
          <w:sz w:val="24"/>
          <w:szCs w:val="24"/>
          <w:highlight w:val="none"/>
          <w:lang w:val="en-US" w:eastAsia="zh-CN" w:bidi="ar-SA"/>
        </w:rPr>
        <w:t>（5）堆肥间废气</w:t>
      </w:r>
    </w:p>
    <w:p w14:paraId="2869A8EF">
      <w:pPr>
        <w:overflowPunct w:val="0"/>
        <w:autoSpaceDE w:val="0"/>
        <w:autoSpaceDN w:val="0"/>
        <w:bidi w:val="0"/>
        <w:adjustRightInd w:val="0"/>
        <w:snapToGrid w:val="0"/>
        <w:spacing w:line="360" w:lineRule="auto"/>
        <w:ind w:firstLine="480" w:firstLineChars="200"/>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snapToGrid w:val="0"/>
          <w:color w:val="000000"/>
          <w:kern w:val="0"/>
          <w:sz w:val="24"/>
          <w:szCs w:val="24"/>
          <w:highlight w:val="none"/>
          <w:lang w:val="en-US" w:eastAsia="zh-CN" w:bidi="ar-SA"/>
        </w:rPr>
        <w:t>①翻抛混料</w:t>
      </w:r>
      <w:r>
        <w:rPr>
          <w:rFonts w:hint="eastAsia" w:cs="Times New Roman"/>
          <w:snapToGrid w:val="0"/>
          <w:color w:val="000000"/>
          <w:kern w:val="0"/>
          <w:sz w:val="24"/>
          <w:szCs w:val="24"/>
          <w:highlight w:val="none"/>
          <w:lang w:val="en-US" w:eastAsia="zh-CN" w:bidi="ar-SA"/>
        </w:rPr>
        <w:t>粉尘</w:t>
      </w:r>
    </w:p>
    <w:p w14:paraId="6F3E838E">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2"/>
          <w:sz w:val="24"/>
          <w:szCs w:val="24"/>
          <w:lang w:val="en-US" w:eastAsia="zh-CN"/>
        </w:rPr>
      </w:pPr>
      <w:r>
        <w:rPr>
          <w:rFonts w:hint="eastAsia" w:cs="Times New Roman"/>
          <w:snapToGrid w:val="0"/>
          <w:color w:val="000000"/>
          <w:kern w:val="0"/>
          <w:sz w:val="24"/>
          <w:szCs w:val="24"/>
          <w:highlight w:val="none"/>
          <w:lang w:val="en-US" w:eastAsia="zh-CN" w:bidi="ar-SA"/>
        </w:rPr>
        <w:t>本项目粪便及发酵垫料在堆肥间卸料、翻抛均会产生粉尘，</w:t>
      </w:r>
      <w:r>
        <w:rPr>
          <w:rFonts w:hint="eastAsia" w:ascii="Times New Roman" w:hAnsi="Times New Roman" w:eastAsia="宋体" w:cs="Times New Roman"/>
          <w:color w:val="auto"/>
          <w:kern w:val="2"/>
          <w:sz w:val="24"/>
          <w:szCs w:val="24"/>
          <w:lang w:val="en-US" w:eastAsia="zh-CN"/>
        </w:rPr>
        <w:t>根据</w:t>
      </w:r>
      <w:r>
        <w:rPr>
          <w:rFonts w:hint="default" w:ascii="Times New Roman" w:hAnsi="Times New Roman" w:eastAsia="宋体" w:cs="Times New Roman"/>
          <w:snapToGrid w:val="0"/>
          <w:color w:val="000000"/>
          <w:kern w:val="0"/>
          <w:sz w:val="24"/>
          <w:szCs w:val="24"/>
          <w:highlight w:val="none"/>
          <w:lang w:val="en-US" w:eastAsia="zh-CN" w:bidi="ar-SA"/>
        </w:rPr>
        <w:t>《排放源统计调查产排污核算方法和系数手册》2625 有机肥及微生物肥制造行业系数表</w:t>
      </w:r>
      <w:r>
        <w:rPr>
          <w:rFonts w:hint="eastAsia" w:ascii="Times New Roman" w:hAnsi="Times New Roman" w:eastAsia="宋体" w:cs="Times New Roman"/>
          <w:color w:val="auto"/>
          <w:kern w:val="2"/>
          <w:sz w:val="24"/>
          <w:szCs w:val="24"/>
          <w:lang w:val="en-US" w:eastAsia="zh-CN"/>
        </w:rPr>
        <w:t>，</w:t>
      </w:r>
      <w:r>
        <w:rPr>
          <w:rFonts w:ascii="宋体" w:hAnsi="宋体" w:eastAsia="宋体" w:cs="宋体"/>
          <w:color w:val="auto"/>
          <w:kern w:val="0"/>
          <w:sz w:val="24"/>
          <w:szCs w:val="24"/>
        </w:rPr>
        <w:t>前处理、后处理混配/混配造粒</w:t>
      </w:r>
      <w:r>
        <w:rPr>
          <w:rFonts w:hint="eastAsia" w:ascii="宋体" w:hAnsi="宋体" w:eastAsia="宋体" w:cs="宋体"/>
          <w:color w:val="auto"/>
          <w:kern w:val="0"/>
          <w:sz w:val="24"/>
          <w:szCs w:val="24"/>
          <w:lang w:val="en-US" w:eastAsia="zh-CN"/>
        </w:rPr>
        <w:t>所有规模</w:t>
      </w:r>
      <w:r>
        <w:rPr>
          <w:rFonts w:hint="eastAsia" w:ascii="Times New Roman" w:hAnsi="Times New Roman" w:eastAsia="宋体" w:cs="Times New Roman"/>
          <w:color w:val="auto"/>
          <w:kern w:val="2"/>
          <w:sz w:val="24"/>
          <w:szCs w:val="24"/>
          <w:lang w:val="en-US" w:eastAsia="zh-CN"/>
        </w:rPr>
        <w:t>产污系数为0.37kg/t-产品，</w:t>
      </w:r>
      <w:r>
        <w:rPr>
          <w:rFonts w:hint="eastAsia" w:ascii="Times New Roman" w:hAnsi="Times New Roman" w:eastAsia="宋体" w:cs="Times New Roman"/>
          <w:color w:val="auto"/>
          <w:kern w:val="2"/>
          <w:sz w:val="24"/>
          <w:szCs w:val="24"/>
          <w:highlight w:val="none"/>
          <w:lang w:val="en-US" w:eastAsia="zh-CN"/>
        </w:rPr>
        <w:t>本项目</w:t>
      </w:r>
      <w:r>
        <w:rPr>
          <w:rFonts w:hint="eastAsia" w:cs="Times New Roman"/>
          <w:color w:val="auto"/>
          <w:sz w:val="24"/>
          <w:szCs w:val="24"/>
          <w:highlight w:val="none"/>
          <w:lang w:val="en-US" w:eastAsia="zh-CN" w:bidi="ar-SA"/>
        </w:rPr>
        <w:t>牛粪经发酵床发酵后，含水率从原来的80%降低至30%，发酵垫料</w:t>
      </w:r>
      <w:r>
        <w:rPr>
          <w:rFonts w:hint="eastAsia" w:cs="Times New Roman"/>
          <w:color w:val="auto"/>
          <w:sz w:val="24"/>
          <w:szCs w:val="24"/>
          <w:highlight w:val="none"/>
          <w:lang w:val="en-US" w:eastAsia="zh-CN"/>
        </w:rPr>
        <w:t>220</w:t>
      </w:r>
      <w:r>
        <w:rPr>
          <w:rFonts w:hint="eastAsia" w:cs="Times New Roman"/>
          <w:color w:val="auto"/>
          <w:sz w:val="24"/>
          <w:szCs w:val="24"/>
          <w:highlight w:val="none"/>
          <w:lang w:val="en-US" w:eastAsia="zh-CN" w:bidi="ar-SA"/>
        </w:rPr>
        <w:t>t/a，因此发酵结束后固态肥共</w:t>
      </w:r>
      <w:r>
        <w:rPr>
          <w:rFonts w:hint="eastAsia" w:cs="Times New Roman"/>
          <w:color w:val="auto"/>
          <w:kern w:val="2"/>
          <w:sz w:val="24"/>
          <w:szCs w:val="24"/>
          <w:highlight w:val="none"/>
          <w:lang w:val="en-US" w:eastAsia="zh-CN"/>
        </w:rPr>
        <w:t>3623.89</w:t>
      </w:r>
      <w:r>
        <w:rPr>
          <w:rFonts w:hint="eastAsia" w:cs="Times New Roman"/>
          <w:color w:val="auto"/>
          <w:sz w:val="24"/>
          <w:szCs w:val="24"/>
          <w:highlight w:val="none"/>
          <w:lang w:val="en-US" w:eastAsia="zh-CN" w:bidi="ar-SA"/>
        </w:rPr>
        <w:t>t/a，不合格品约200t/a，</w:t>
      </w:r>
      <w:r>
        <w:rPr>
          <w:rFonts w:hint="eastAsia" w:ascii="Times New Roman" w:hAnsi="Times New Roman" w:eastAsia="宋体" w:cs="Times New Roman"/>
          <w:color w:val="auto"/>
          <w:kern w:val="2"/>
          <w:sz w:val="24"/>
          <w:szCs w:val="24"/>
          <w:lang w:val="en-US" w:eastAsia="zh-CN"/>
        </w:rPr>
        <w:t>因此卸料、</w:t>
      </w:r>
      <w:r>
        <w:rPr>
          <w:rFonts w:hint="eastAsia" w:ascii="Times New Roman" w:hAnsi="Times New Roman" w:eastAsia="宋体" w:cs="Times New Roman"/>
          <w:snapToGrid w:val="0"/>
          <w:color w:val="000000"/>
          <w:kern w:val="0"/>
          <w:sz w:val="24"/>
          <w:szCs w:val="24"/>
          <w:highlight w:val="none"/>
          <w:lang w:val="en-US" w:eastAsia="zh-CN" w:bidi="ar-SA"/>
        </w:rPr>
        <w:t>翻抛混料</w:t>
      </w:r>
      <w:r>
        <w:rPr>
          <w:rFonts w:hint="eastAsia" w:cs="Times New Roman"/>
          <w:snapToGrid w:val="0"/>
          <w:color w:val="000000"/>
          <w:kern w:val="0"/>
          <w:sz w:val="24"/>
          <w:szCs w:val="24"/>
          <w:highlight w:val="none"/>
          <w:lang w:val="en-US" w:eastAsia="zh-CN" w:bidi="ar-SA"/>
        </w:rPr>
        <w:t>粉尘</w:t>
      </w:r>
      <w:r>
        <w:rPr>
          <w:rFonts w:hint="eastAsia" w:ascii="Times New Roman" w:hAnsi="Times New Roman" w:eastAsia="宋体" w:cs="Times New Roman"/>
          <w:color w:val="auto"/>
          <w:kern w:val="2"/>
          <w:sz w:val="24"/>
          <w:szCs w:val="24"/>
          <w:lang w:val="en-US" w:eastAsia="zh-CN"/>
        </w:rPr>
        <w:t>共</w:t>
      </w:r>
      <w:r>
        <w:rPr>
          <w:rFonts w:hint="eastAsia" w:cs="Times New Roman"/>
          <w:color w:val="auto"/>
          <w:kern w:val="2"/>
          <w:sz w:val="24"/>
          <w:szCs w:val="24"/>
          <w:lang w:val="en-US" w:eastAsia="zh-CN"/>
        </w:rPr>
        <w:t>1.34</w:t>
      </w:r>
      <w:r>
        <w:rPr>
          <w:rFonts w:hint="eastAsia" w:ascii="Times New Roman" w:hAnsi="Times New Roman" w:eastAsia="宋体" w:cs="Times New Roman"/>
          <w:color w:val="auto"/>
          <w:kern w:val="2"/>
          <w:sz w:val="24"/>
          <w:szCs w:val="24"/>
          <w:lang w:val="en-US" w:eastAsia="zh-CN"/>
        </w:rPr>
        <w:t>t/a。</w:t>
      </w:r>
    </w:p>
    <w:p w14:paraId="42927379">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rPr>
      </w:pPr>
      <w:r>
        <w:rPr>
          <w:rFonts w:hint="eastAsia" w:cs="Times New Roman"/>
          <w:color w:val="auto"/>
          <w:kern w:val="2"/>
          <w:sz w:val="24"/>
          <w:szCs w:val="24"/>
          <w:lang w:val="en-US" w:eastAsia="zh-CN"/>
        </w:rPr>
        <w:t>②恶臭</w:t>
      </w:r>
    </w:p>
    <w:p w14:paraId="46AFD0C9">
      <w:pPr>
        <w:tabs>
          <w:tab w:val="left" w:pos="6295"/>
        </w:tabs>
        <w:overflowPunct/>
        <w:autoSpaceDE/>
        <w:autoSpaceDN/>
        <w:adjustRightInd/>
        <w:snapToGrid/>
        <w:spacing w:before="0" w:after="0" w:line="360" w:lineRule="auto"/>
        <w:ind w:left="0" w:right="0" w:firstLine="480" w:firstLineChars="200"/>
        <w:jc w:val="both"/>
        <w:rPr>
          <w:rFonts w:hint="eastAsia" w:ascii="Times New Roman" w:hAnsi="Times New Roman" w:eastAsia="宋体" w:cs="Times New Roman"/>
          <w:snapToGrid w:val="0"/>
          <w:color w:val="000000"/>
          <w:kern w:val="0"/>
          <w:sz w:val="24"/>
          <w:szCs w:val="24"/>
          <w:highlight w:val="none"/>
          <w:lang w:val="en-US" w:eastAsia="zh-CN" w:bidi="ar-SA"/>
        </w:rPr>
      </w:pPr>
      <w:r>
        <w:rPr>
          <w:rFonts w:hint="eastAsia" w:ascii="Times New Roman" w:hAnsi="Times New Roman" w:eastAsia="宋体" w:cs="Times New Roman"/>
          <w:color w:val="auto"/>
          <w:kern w:val="2"/>
          <w:sz w:val="24"/>
          <w:szCs w:val="24"/>
          <w:lang w:val="en-US" w:eastAsia="zh-CN"/>
        </w:rPr>
        <w:t>本项目在翻抛混料</w:t>
      </w:r>
      <w:r>
        <w:rPr>
          <w:rFonts w:hint="eastAsia" w:cs="Times New Roman"/>
          <w:color w:val="auto"/>
          <w:kern w:val="2"/>
          <w:sz w:val="24"/>
          <w:szCs w:val="24"/>
          <w:lang w:val="en-US" w:eastAsia="zh-CN"/>
        </w:rPr>
        <w:t>以及发酵</w:t>
      </w:r>
      <w:r>
        <w:rPr>
          <w:rFonts w:hint="eastAsia" w:ascii="Times New Roman" w:hAnsi="Times New Roman" w:eastAsia="宋体" w:cs="Times New Roman"/>
          <w:color w:val="auto"/>
          <w:kern w:val="2"/>
          <w:sz w:val="24"/>
          <w:szCs w:val="24"/>
          <w:lang w:val="en-US" w:eastAsia="zh-CN"/>
        </w:rPr>
        <w:t>过程中产生一定的恶臭污染物，</w:t>
      </w:r>
      <w:r>
        <w:rPr>
          <w:rFonts w:hint="eastAsia" w:ascii="Times New Roman" w:hAnsi="Times New Roman" w:eastAsia="宋体" w:cs="Times New Roman"/>
          <w:snapToGrid w:val="0"/>
          <w:color w:val="000000"/>
          <w:kern w:val="0"/>
          <w:sz w:val="24"/>
          <w:szCs w:val="24"/>
          <w:highlight w:val="none"/>
          <w:lang w:val="en-US" w:eastAsia="zh-CN" w:bidi="ar-SA"/>
        </w:rPr>
        <w:t>参考《第二次全国污染源普查工业污染源产排污系数手册（试用版）》（2019年4月）中</w:t>
      </w:r>
      <w:r>
        <w:rPr>
          <w:rFonts w:hint="eastAsia"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2625 有机肥料及微生物肥料制造行业系数手册</w:t>
      </w:r>
      <w:r>
        <w:rPr>
          <w:rFonts w:hint="eastAsia"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，非罐式发酵工艺熟化过程氨的产污系数为7.3×10</w:t>
      </w:r>
      <w:r>
        <w:rPr>
          <w:rFonts w:hint="eastAsia" w:ascii="Times New Roman" w:hAnsi="Times New Roman" w:eastAsia="宋体" w:cs="Times New Roman"/>
          <w:snapToGrid w:val="0"/>
          <w:color w:val="000000"/>
          <w:kern w:val="0"/>
          <w:sz w:val="24"/>
          <w:szCs w:val="24"/>
          <w:highlight w:val="none"/>
          <w:vertAlign w:val="superscript"/>
          <w:lang w:val="en-US" w:eastAsia="zh-CN" w:bidi="ar-SA"/>
        </w:rPr>
        <w:t>-2</w:t>
      </w:r>
      <w:r>
        <w:rPr>
          <w:rFonts w:hint="eastAsia" w:ascii="Times New Roman" w:hAnsi="Times New Roman" w:eastAsia="宋体" w:cs="Times New Roman"/>
          <w:snapToGrid w:val="0"/>
          <w:color w:val="000000"/>
          <w:kern w:val="0"/>
          <w:sz w:val="24"/>
          <w:szCs w:val="24"/>
          <w:highlight w:val="none"/>
          <w:lang w:val="en-US" w:eastAsia="zh-CN" w:bidi="ar-SA"/>
        </w:rPr>
        <w:t>kg/t产品，则</w:t>
      </w:r>
      <w:r>
        <w:rPr>
          <w:rFonts w:hint="eastAsia" w:ascii="Times New Roman" w:hAnsi="Times New Roman" w:eastAsia="宋体" w:cs="Times New Roman"/>
          <w:color w:val="auto"/>
          <w:kern w:val="2"/>
          <w:sz w:val="24"/>
          <w:szCs w:val="24"/>
          <w:lang w:val="en-US" w:eastAsia="zh-CN"/>
        </w:rPr>
        <w:t>翻抛混料</w:t>
      </w:r>
      <w:r>
        <w:rPr>
          <w:rFonts w:hint="eastAsia" w:cs="Times New Roman"/>
          <w:color w:val="auto"/>
          <w:kern w:val="2"/>
          <w:sz w:val="24"/>
          <w:szCs w:val="24"/>
          <w:lang w:val="en-US" w:eastAsia="zh-CN"/>
        </w:rPr>
        <w:t>以及发酵过程</w:t>
      </w:r>
      <w:r>
        <w:rPr>
          <w:rFonts w:hint="eastAsia" w:ascii="Times New Roman" w:hAnsi="Times New Roman" w:eastAsia="宋体" w:cs="Times New Roman"/>
          <w:snapToGrid w:val="0"/>
          <w:color w:val="000000"/>
          <w:kern w:val="0"/>
          <w:sz w:val="24"/>
          <w:szCs w:val="24"/>
          <w:highlight w:val="none"/>
          <w:lang w:val="en-US" w:eastAsia="zh-CN" w:bidi="ar-SA"/>
        </w:rPr>
        <w:t>中氨产生量为</w:t>
      </w:r>
      <w:r>
        <w:rPr>
          <w:rFonts w:hint="eastAsia" w:cs="Times New Roman"/>
          <w:snapToGrid w:val="0"/>
          <w:color w:val="000000"/>
          <w:kern w:val="0"/>
          <w:sz w:val="24"/>
          <w:szCs w:val="24"/>
          <w:highlight w:val="none"/>
          <w:lang w:val="en-US" w:eastAsia="zh-CN" w:bidi="ar-SA"/>
        </w:rPr>
        <w:t>0.26</w:t>
      </w:r>
      <w:r>
        <w:rPr>
          <w:rFonts w:hint="eastAsia" w:ascii="Times New Roman" w:hAnsi="Times New Roman" w:eastAsia="宋体" w:cs="Times New Roman"/>
          <w:snapToGrid w:val="0"/>
          <w:color w:val="000000"/>
          <w:kern w:val="0"/>
          <w:sz w:val="24"/>
          <w:szCs w:val="24"/>
          <w:highlight w:val="none"/>
          <w:lang w:val="en-US" w:eastAsia="zh-CN" w:bidi="ar-SA"/>
        </w:rPr>
        <w:t>t/a。</w:t>
      </w:r>
    </w:p>
    <w:p w14:paraId="58935457">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snapToGrid w:val="0"/>
          <w:color w:val="000000"/>
          <w:kern w:val="0"/>
          <w:sz w:val="24"/>
          <w:szCs w:val="24"/>
          <w:highlight w:val="none"/>
          <w:lang w:val="en-US" w:eastAsia="zh-CN" w:bidi="ar-SA"/>
        </w:rPr>
      </w:pPr>
      <w:r>
        <w:rPr>
          <w:rFonts w:hint="eastAsia" w:ascii="Times New Roman" w:hAnsi="Times New Roman" w:eastAsia="宋体" w:cs="Times New Roman"/>
          <w:color w:val="auto"/>
          <w:kern w:val="2"/>
          <w:sz w:val="24"/>
          <w:szCs w:val="24"/>
          <w:lang w:val="en-US" w:eastAsia="zh-CN"/>
        </w:rPr>
        <w:t>翻抛混料</w:t>
      </w:r>
      <w:r>
        <w:rPr>
          <w:rFonts w:hint="eastAsia" w:cs="Times New Roman"/>
          <w:color w:val="auto"/>
          <w:kern w:val="2"/>
          <w:sz w:val="24"/>
          <w:szCs w:val="24"/>
          <w:lang w:val="en-US" w:eastAsia="zh-CN"/>
        </w:rPr>
        <w:t>、少量不合格品发酵</w:t>
      </w:r>
      <w:r>
        <w:rPr>
          <w:rFonts w:hint="eastAsia" w:ascii="Times New Roman" w:hAnsi="Times New Roman" w:eastAsia="宋体" w:cs="Times New Roman"/>
          <w:color w:val="auto"/>
          <w:kern w:val="2"/>
          <w:sz w:val="24"/>
          <w:szCs w:val="24"/>
          <w:lang w:val="en-US" w:eastAsia="zh-CN"/>
        </w:rPr>
        <w:t>过程中产生硫化氢</w:t>
      </w:r>
      <w:r>
        <w:rPr>
          <w:rFonts w:hint="eastAsia" w:ascii="Times New Roman" w:hAnsi="Times New Roman" w:eastAsia="宋体" w:cs="Times New Roman"/>
          <w:color w:val="auto"/>
          <w:kern w:val="0"/>
          <w:sz w:val="24"/>
          <w:szCs w:val="24"/>
          <w:highlight w:val="none"/>
          <w:lang w:val="en-US" w:eastAsia="zh-CN"/>
        </w:rPr>
        <w:t>参考</w:t>
      </w:r>
      <w:r>
        <w:rPr>
          <w:rFonts w:hint="eastAsia" w:ascii="Times New Roman" w:hAnsi="Times New Roman" w:eastAsia="宋体" w:cs="Times New Roman"/>
          <w:color w:val="auto"/>
          <w:kern w:val="0"/>
          <w:sz w:val="24"/>
          <w:szCs w:val="24"/>
          <w:highlight w:val="none"/>
          <w:lang w:eastAsia="zh-CN"/>
        </w:rPr>
        <w:t>《规模畜禽养殖场污染防治最佳可行技术指南（试行）》</w:t>
      </w:r>
      <w:r>
        <w:rPr>
          <w:rFonts w:hint="eastAsia" w:ascii="Times New Roman" w:hAnsi="Times New Roman" w:eastAsia="宋体" w:cs="Times New Roman"/>
          <w:color w:val="auto"/>
          <w:kern w:val="0"/>
          <w:sz w:val="24"/>
          <w:szCs w:val="24"/>
          <w:highlight w:val="none"/>
          <w:lang w:val="en-US" w:eastAsia="zh-CN"/>
        </w:rPr>
        <w:t>高温堆肥计算，</w:t>
      </w:r>
      <w:r>
        <w:rPr>
          <w:rFonts w:hint="default" w:ascii="Times New Roman" w:hAnsi="Times New Roman" w:eastAsia="宋体" w:cs="Times New Roman"/>
          <w:color w:val="auto"/>
          <w:sz w:val="24"/>
          <w:szCs w:val="24"/>
          <w:highlight w:val="none"/>
          <w:lang w:val="en-US" w:eastAsia="zh-CN"/>
        </w:rPr>
        <w:t>高温期各处理的H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S释放量均占总释放量的85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左右</w:t>
      </w: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sz w:val="24"/>
          <w:szCs w:val="24"/>
          <w:highlight w:val="none"/>
          <w:lang w:eastAsia="zh-CN"/>
        </w:rPr>
        <w:t>《规模畜禽养殖场污染防治最佳可行技术指南（试行）》畜禽养殖主要固体污染物</w:t>
      </w:r>
      <w:r>
        <w:rPr>
          <w:rFonts w:hint="default" w:ascii="Times New Roman" w:hAnsi="Times New Roman" w:eastAsia="宋体" w:cs="Times New Roman"/>
          <w:color w:val="auto"/>
          <w:sz w:val="24"/>
          <w:szCs w:val="24"/>
          <w:highlight w:val="none"/>
          <w:lang w:val="en-US" w:eastAsia="zh-CN"/>
        </w:rPr>
        <w:t>TS为20%，根据《畜禽粪便堆肥过程中含硫恶臭排放规律及原位控制机制研究》堆肥过程中总硫损失为初始总硫的3.9</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18.3%，H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S恶臭气体形式损失的硫占堆肥过程中初始总硫损失的0.097%。因此本项目H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S产生量为0.</w:t>
      </w:r>
      <w:r>
        <w:rPr>
          <w:rFonts w:hint="eastAsia" w:cs="Times New Roman"/>
          <w:color w:val="auto"/>
          <w:sz w:val="24"/>
          <w:szCs w:val="24"/>
          <w:highlight w:val="none"/>
          <w:lang w:val="en-US" w:eastAsia="zh-CN"/>
        </w:rPr>
        <w:t>02</w:t>
      </w:r>
      <w:r>
        <w:rPr>
          <w:rFonts w:hint="default" w:ascii="Times New Roman" w:hAnsi="Times New Roman" w:eastAsia="宋体" w:cs="Times New Roman"/>
          <w:color w:val="auto"/>
          <w:sz w:val="24"/>
          <w:szCs w:val="24"/>
          <w:highlight w:val="none"/>
          <w:lang w:val="en-US" w:eastAsia="zh-CN"/>
        </w:rPr>
        <w:t>t/a。</w:t>
      </w:r>
    </w:p>
    <w:p w14:paraId="17F8E2BC">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000000"/>
          <w:kern w:val="0"/>
          <w:sz w:val="24"/>
          <w:szCs w:val="24"/>
          <w:lang w:val="en-US" w:eastAsia="zh-CN" w:bidi="ar-SA"/>
        </w:rPr>
        <w:t>由于翻抛、混料</w:t>
      </w:r>
      <w:r>
        <w:rPr>
          <w:rFonts w:hint="eastAsia" w:cs="Times New Roman"/>
          <w:color w:val="000000"/>
          <w:kern w:val="0"/>
          <w:sz w:val="24"/>
          <w:szCs w:val="24"/>
          <w:lang w:val="en-US" w:eastAsia="zh-CN" w:bidi="ar-SA"/>
        </w:rPr>
        <w:t>、发酵</w:t>
      </w:r>
      <w:r>
        <w:rPr>
          <w:rFonts w:hint="eastAsia" w:ascii="Times New Roman" w:hAnsi="Times New Roman" w:eastAsia="宋体" w:cs="Times New Roman"/>
          <w:color w:val="000000"/>
          <w:kern w:val="0"/>
          <w:sz w:val="24"/>
          <w:szCs w:val="24"/>
          <w:lang w:val="en-US" w:eastAsia="zh-CN" w:bidi="ar-SA"/>
        </w:rPr>
        <w:t>均位于同一生产车间内，生产设备临近布设，因此</w:t>
      </w:r>
      <w:r>
        <w:rPr>
          <w:rFonts w:hint="eastAsia" w:cs="Times New Roman"/>
          <w:color w:val="000000"/>
          <w:kern w:val="0"/>
          <w:sz w:val="24"/>
          <w:szCs w:val="24"/>
          <w:lang w:val="en-US" w:eastAsia="zh-CN" w:bidi="ar-SA"/>
        </w:rPr>
        <w:t>负压</w:t>
      </w:r>
      <w:r>
        <w:rPr>
          <w:rFonts w:hint="eastAsia" w:ascii="Times New Roman" w:hAnsi="Times New Roman" w:eastAsia="宋体" w:cs="Times New Roman"/>
          <w:color w:val="000000"/>
          <w:kern w:val="0"/>
          <w:sz w:val="24"/>
          <w:szCs w:val="24"/>
          <w:lang w:val="en-US" w:eastAsia="zh-CN" w:bidi="ar-SA"/>
        </w:rPr>
        <w:t>收集后共用同一套袋式除尘+生物除臭（滴滤法）处置，</w:t>
      </w:r>
      <w:r>
        <w:rPr>
          <w:rFonts w:hint="eastAsia" w:ascii="Times New Roman" w:hAnsi="Times New Roman" w:eastAsia="宋体" w:cs="Times New Roman"/>
          <w:snapToGrid w:val="0"/>
          <w:color w:val="000000"/>
          <w:kern w:val="0"/>
          <w:sz w:val="24"/>
          <w:szCs w:val="24"/>
          <w:highlight w:val="none"/>
          <w:lang w:val="en-US" w:eastAsia="zh-CN" w:bidi="ar-SA"/>
        </w:rPr>
        <w:t>车间内的所有开口处，包括人员或物料进出口处呈正压，且无明显泄漏点，</w:t>
      </w:r>
      <w:r>
        <w:rPr>
          <w:rFonts w:hint="eastAsia" w:cs="Times New Roman"/>
          <w:snapToGrid w:val="0"/>
          <w:color w:val="000000"/>
          <w:kern w:val="0"/>
          <w:sz w:val="24"/>
          <w:szCs w:val="24"/>
          <w:highlight w:val="none"/>
          <w:lang w:val="en-US" w:eastAsia="zh-CN" w:bidi="ar-SA"/>
        </w:rPr>
        <w:t>车间内设置负压抽风</w:t>
      </w:r>
      <w:r>
        <w:rPr>
          <w:rFonts w:hint="eastAsia" w:ascii="Times New Roman" w:hAnsi="Times New Roman" w:eastAsia="宋体" w:cs="Times New Roman"/>
          <w:color w:val="000000"/>
          <w:kern w:val="0"/>
          <w:sz w:val="24"/>
          <w:szCs w:val="24"/>
          <w:lang w:val="en-US" w:eastAsia="zh-CN" w:bidi="ar-SA"/>
        </w:rPr>
        <w:t>，废气</w:t>
      </w:r>
      <w:r>
        <w:rPr>
          <w:rFonts w:hint="eastAsia" w:cs="Times New Roman"/>
          <w:color w:val="000000"/>
          <w:kern w:val="0"/>
          <w:sz w:val="24"/>
          <w:szCs w:val="24"/>
          <w:lang w:val="en-US" w:eastAsia="zh-CN" w:bidi="ar-SA"/>
        </w:rPr>
        <w:t>负压</w:t>
      </w:r>
      <w:r>
        <w:rPr>
          <w:rFonts w:hint="default" w:ascii="Times New Roman" w:hAnsi="Times New Roman" w:eastAsia="宋体" w:cs="Times New Roman"/>
          <w:snapToGrid w:val="0"/>
          <w:color w:val="000000"/>
          <w:kern w:val="0"/>
          <w:sz w:val="24"/>
          <w:szCs w:val="24"/>
          <w:highlight w:val="none"/>
          <w:lang w:val="en-US" w:eastAsia="zh-CN" w:bidi="ar-SA"/>
        </w:rPr>
        <w:t>收集后送入</w:t>
      </w:r>
      <w:r>
        <w:rPr>
          <w:rFonts w:hint="eastAsia" w:ascii="Times New Roman" w:hAnsi="Times New Roman" w:eastAsia="宋体" w:cs="Times New Roman"/>
          <w:color w:val="000000"/>
          <w:kern w:val="0"/>
          <w:sz w:val="24"/>
          <w:szCs w:val="24"/>
          <w:lang w:val="en-US" w:eastAsia="zh-CN" w:bidi="ar-SA"/>
        </w:rPr>
        <w:t>袋式除尘+生物除臭（滴滤法）</w:t>
      </w:r>
      <w:r>
        <w:rPr>
          <w:rFonts w:hint="default" w:ascii="Times New Roman" w:hAnsi="Times New Roman" w:eastAsia="宋体" w:cs="Times New Roman"/>
          <w:snapToGrid w:val="0"/>
          <w:color w:val="000000"/>
          <w:kern w:val="0"/>
          <w:sz w:val="24"/>
          <w:szCs w:val="24"/>
          <w:highlight w:val="none"/>
          <w:lang w:val="en-US" w:eastAsia="zh-CN" w:bidi="ar-SA"/>
        </w:rPr>
        <w:t>处理后经</w:t>
      </w:r>
      <w:r>
        <w:rPr>
          <w:rFonts w:hint="eastAsia" w:ascii="Times New Roman" w:hAnsi="Times New Roman" w:eastAsia="宋体" w:cs="Times New Roman"/>
          <w:snapToGrid w:val="0"/>
          <w:color w:val="000000"/>
          <w:kern w:val="0"/>
          <w:sz w:val="24"/>
          <w:szCs w:val="24"/>
          <w:highlight w:val="none"/>
          <w:lang w:val="en-US" w:eastAsia="zh-CN" w:bidi="ar-SA"/>
        </w:rPr>
        <w:t>15m</w:t>
      </w:r>
      <w:r>
        <w:rPr>
          <w:rFonts w:hint="default" w:ascii="Times New Roman" w:hAnsi="Times New Roman" w:eastAsia="宋体" w:cs="Times New Roman"/>
          <w:snapToGrid w:val="0"/>
          <w:color w:val="000000"/>
          <w:kern w:val="0"/>
          <w:sz w:val="24"/>
          <w:szCs w:val="24"/>
          <w:highlight w:val="none"/>
          <w:lang w:val="en-US" w:eastAsia="zh-CN" w:bidi="ar-SA"/>
        </w:rPr>
        <w:t>排气筒排放，收集效率为9</w:t>
      </w:r>
      <w:r>
        <w:rPr>
          <w:rFonts w:hint="eastAsia" w:cs="Times New Roman"/>
          <w:snapToGrid w:val="0"/>
          <w:color w:val="000000"/>
          <w:kern w:val="0"/>
          <w:sz w:val="24"/>
          <w:szCs w:val="24"/>
          <w:highlight w:val="none"/>
          <w:lang w:val="en-US" w:eastAsia="zh-CN" w:bidi="ar-SA"/>
        </w:rPr>
        <w:t>0</w:t>
      </w:r>
      <w:r>
        <w:rPr>
          <w:rFonts w:hint="default" w:ascii="Times New Roman" w:hAnsi="Times New Roman" w:eastAsia="宋体"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除尘</w:t>
      </w:r>
      <w:r>
        <w:rPr>
          <w:rFonts w:hint="default" w:ascii="Times New Roman" w:hAnsi="Times New Roman" w:eastAsia="宋体" w:cs="Times New Roman"/>
          <w:snapToGrid w:val="0"/>
          <w:color w:val="000000"/>
          <w:kern w:val="0"/>
          <w:sz w:val="24"/>
          <w:szCs w:val="24"/>
          <w:highlight w:val="none"/>
          <w:lang w:val="en-US" w:eastAsia="zh-CN" w:bidi="ar-SA"/>
        </w:rPr>
        <w:t>效率为</w:t>
      </w:r>
      <w:r>
        <w:rPr>
          <w:rFonts w:hint="eastAsia" w:ascii="Times New Roman" w:hAnsi="Times New Roman" w:eastAsia="宋体" w:cs="Times New Roman"/>
          <w:snapToGrid w:val="0"/>
          <w:color w:val="000000"/>
          <w:kern w:val="0"/>
          <w:sz w:val="24"/>
          <w:szCs w:val="24"/>
          <w:highlight w:val="none"/>
          <w:lang w:val="en-US" w:eastAsia="zh-CN" w:bidi="ar-SA"/>
        </w:rPr>
        <w:t>98</w:t>
      </w:r>
      <w:r>
        <w:rPr>
          <w:rFonts w:hint="default" w:ascii="Times New Roman" w:hAnsi="Times New Roman" w:eastAsia="宋体"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，恶臭污染物处理效率为88%（除尘效率由</w:t>
      </w:r>
      <w:r>
        <w:rPr>
          <w:rFonts w:hint="default" w:ascii="Times New Roman" w:hAnsi="Times New Roman" w:eastAsia="宋体" w:cs="Times New Roman"/>
          <w:snapToGrid w:val="0"/>
          <w:color w:val="000000"/>
          <w:kern w:val="0"/>
          <w:sz w:val="24"/>
          <w:szCs w:val="24"/>
          <w:highlight w:val="none"/>
          <w:lang w:val="en-US" w:eastAsia="zh-CN" w:bidi="ar-SA"/>
        </w:rPr>
        <w:t>《排放源统计调查产排污核算方法和系数手册》2625 有机肥及微生物肥制造行业系数表</w:t>
      </w:r>
      <w:r>
        <w:rPr>
          <w:rFonts w:hint="eastAsia" w:ascii="Times New Roman" w:hAnsi="Times New Roman" w:eastAsia="宋体" w:cs="Times New Roman"/>
          <w:snapToGrid w:val="0"/>
          <w:color w:val="000000"/>
          <w:kern w:val="0"/>
          <w:sz w:val="24"/>
          <w:szCs w:val="24"/>
          <w:highlight w:val="none"/>
          <w:lang w:val="en-US" w:eastAsia="zh-CN" w:bidi="ar-SA"/>
        </w:rPr>
        <w:t>提供，恶臭污染物处理效率由</w:t>
      </w:r>
      <w:r>
        <w:rPr>
          <w:rFonts w:hint="eastAsia" w:ascii="Times New Roman" w:hAnsi="Times New Roman" w:eastAsia="宋体" w:cs="Times New Roman"/>
          <w:snapToGrid w:val="0"/>
          <w:color w:val="000000"/>
          <w:sz w:val="24"/>
          <w:szCs w:val="24"/>
          <w:highlight w:val="none"/>
          <w:lang w:val="en-US" w:eastAsia="zh-CN" w:bidi="ar-SA"/>
        </w:rPr>
        <w:t>《第二次全国污染源普查工业污染源产排污系数手册（试用版）》提供</w:t>
      </w:r>
      <w:r>
        <w:rPr>
          <w:rFonts w:hint="eastAsia" w:ascii="Times New Roman" w:hAnsi="Times New Roman" w:eastAsia="宋体" w:cs="Times New Roman"/>
          <w:snapToGrid w:val="0"/>
          <w:color w:val="000000"/>
          <w:kern w:val="0"/>
          <w:sz w:val="24"/>
          <w:szCs w:val="24"/>
          <w:highlight w:val="none"/>
          <w:lang w:val="en-US" w:eastAsia="zh-CN" w:bidi="ar-SA"/>
        </w:rPr>
        <w:t>）；</w:t>
      </w:r>
      <w:r>
        <w:rPr>
          <w:rFonts w:hint="default" w:ascii="Times New Roman" w:hAnsi="Times New Roman" w:eastAsia="宋体" w:cs="Times New Roman"/>
          <w:snapToGrid w:val="0"/>
          <w:color w:val="000000"/>
          <w:kern w:val="0"/>
          <w:sz w:val="24"/>
          <w:szCs w:val="24"/>
          <w:highlight w:val="none"/>
          <w:lang w:val="en-US" w:eastAsia="zh-CN" w:bidi="ar-SA"/>
        </w:rPr>
        <w:t>本项目排气筒风量为</w:t>
      </w:r>
      <w:r>
        <w:rPr>
          <w:rFonts w:hint="eastAsia" w:ascii="Times New Roman" w:hAnsi="Times New Roman" w:eastAsia="宋体" w:cs="Times New Roman"/>
          <w:snapToGrid w:val="0"/>
          <w:color w:val="000000"/>
          <w:kern w:val="0"/>
          <w:sz w:val="24"/>
          <w:szCs w:val="24"/>
          <w:highlight w:val="none"/>
          <w:lang w:val="en-US" w:eastAsia="zh-CN" w:bidi="ar-SA"/>
        </w:rPr>
        <w:t>5000</w:t>
      </w:r>
      <w:r>
        <w:rPr>
          <w:rFonts w:hint="default" w:ascii="Times New Roman" w:hAnsi="Times New Roman" w:eastAsia="宋体" w:cs="Times New Roman"/>
          <w:snapToGrid w:val="0"/>
          <w:color w:val="000000"/>
          <w:kern w:val="0"/>
          <w:sz w:val="24"/>
          <w:szCs w:val="24"/>
          <w:highlight w:val="none"/>
          <w:lang w:val="en-US" w:eastAsia="zh-CN" w:bidi="ar-SA"/>
        </w:rPr>
        <w:t>m</w:t>
      </w:r>
      <w:r>
        <w:rPr>
          <w:rFonts w:hint="default" w:ascii="Times New Roman" w:hAnsi="Times New Roman" w:eastAsia="宋体" w:cs="Times New Roman"/>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snapToGrid w:val="0"/>
          <w:color w:val="000000"/>
          <w:kern w:val="0"/>
          <w:sz w:val="24"/>
          <w:szCs w:val="24"/>
          <w:highlight w:val="none"/>
          <w:lang w:val="en-US" w:eastAsia="zh-CN" w:bidi="ar-SA"/>
        </w:rPr>
        <w:t>/h，经处理后的</w:t>
      </w:r>
      <w:r>
        <w:rPr>
          <w:rFonts w:hint="eastAsia" w:ascii="Times New Roman" w:hAnsi="Times New Roman" w:eastAsia="宋体" w:cs="Times New Roman"/>
          <w:snapToGrid w:val="0"/>
          <w:color w:val="000000"/>
          <w:kern w:val="0"/>
          <w:sz w:val="24"/>
          <w:szCs w:val="24"/>
          <w:highlight w:val="none"/>
          <w:lang w:val="en-US" w:eastAsia="zh-CN" w:bidi="ar-SA"/>
        </w:rPr>
        <w:t>有组织</w:t>
      </w:r>
      <w:r>
        <w:rPr>
          <w:rFonts w:hint="default" w:ascii="Times New Roman" w:hAnsi="Times New Roman" w:eastAsia="宋体" w:cs="Times New Roman"/>
          <w:snapToGrid w:val="0"/>
          <w:color w:val="000000"/>
          <w:kern w:val="0"/>
          <w:sz w:val="24"/>
          <w:szCs w:val="24"/>
          <w:highlight w:val="none"/>
          <w:lang w:val="en-US" w:eastAsia="zh-CN" w:bidi="ar-SA"/>
        </w:rPr>
        <w:t>颗粒物</w:t>
      </w:r>
      <w:r>
        <w:rPr>
          <w:rFonts w:hint="eastAsia" w:ascii="Times New Roman" w:hAnsi="Times New Roman" w:eastAsia="宋体" w:cs="Times New Roman"/>
          <w:snapToGrid w:val="0"/>
          <w:color w:val="000000"/>
          <w:kern w:val="0"/>
          <w:sz w:val="24"/>
          <w:szCs w:val="24"/>
          <w:highlight w:val="none"/>
          <w:lang w:val="en-US" w:eastAsia="zh-CN" w:bidi="ar-SA"/>
        </w:rPr>
        <w:t>排放速率为0.0042kg/h，</w:t>
      </w:r>
      <w:r>
        <w:rPr>
          <w:rFonts w:hint="default" w:ascii="Times New Roman" w:hAnsi="Times New Roman" w:eastAsia="宋体" w:cs="Times New Roman"/>
          <w:snapToGrid w:val="0"/>
          <w:color w:val="000000"/>
          <w:kern w:val="0"/>
          <w:sz w:val="24"/>
          <w:szCs w:val="24"/>
          <w:highlight w:val="none"/>
          <w:lang w:val="en-US" w:eastAsia="zh-CN" w:bidi="ar-SA"/>
        </w:rPr>
        <w:t>排放浓度为</w:t>
      </w:r>
      <w:r>
        <w:rPr>
          <w:rFonts w:hint="eastAsia" w:cs="Times New Roman"/>
          <w:snapToGrid w:val="0"/>
          <w:color w:val="000000"/>
          <w:kern w:val="0"/>
          <w:sz w:val="24"/>
          <w:szCs w:val="24"/>
          <w:highlight w:val="none"/>
          <w:lang w:val="en-US" w:eastAsia="zh-CN" w:bidi="ar-SA"/>
        </w:rPr>
        <w:t>0.8</w:t>
      </w:r>
      <w:r>
        <w:rPr>
          <w:rFonts w:hint="default" w:ascii="Times New Roman" w:hAnsi="Times New Roman" w:eastAsia="宋体" w:cs="Times New Roman"/>
          <w:snapToGrid w:val="0"/>
          <w:color w:val="000000"/>
          <w:kern w:val="0"/>
          <w:sz w:val="24"/>
          <w:szCs w:val="24"/>
          <w:highlight w:val="none"/>
          <w:lang w:val="en-US" w:eastAsia="zh-CN" w:bidi="ar-SA"/>
        </w:rPr>
        <w:t>mg/m</w:t>
      </w:r>
      <w:r>
        <w:rPr>
          <w:rFonts w:hint="default" w:ascii="Times New Roman" w:hAnsi="Times New Roman" w:eastAsia="宋体" w:cs="Times New Roman"/>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snapToGrid w:val="0"/>
          <w:color w:val="000000"/>
          <w:kern w:val="0"/>
          <w:sz w:val="24"/>
          <w:szCs w:val="24"/>
          <w:highlight w:val="none"/>
          <w:lang w:val="en-US" w:eastAsia="zh-CN" w:bidi="ar-SA"/>
        </w:rPr>
        <w:t>，可以满足《大气污染物综合排放标准》（GB16297-1996）</w:t>
      </w:r>
      <w:r>
        <w:rPr>
          <w:rFonts w:hint="default" w:ascii="Times New Roman" w:hAnsi="Times New Roman" w:eastAsia="宋体" w:cs="Times New Roman"/>
          <w:color w:val="auto"/>
          <w:kern w:val="0"/>
          <w:sz w:val="24"/>
          <w:szCs w:val="24"/>
          <w:highlight w:val="none"/>
        </w:rPr>
        <w:t>表2 新污染源大气污染物排放限值</w:t>
      </w:r>
      <w:r>
        <w:rPr>
          <w:rFonts w:hint="eastAsia" w:ascii="Times New Roman" w:hAnsi="Times New Roman" w:eastAsia="宋体" w:cs="Times New Roman"/>
          <w:color w:val="auto"/>
          <w:spacing w:val="-11"/>
          <w:kern w:val="2"/>
          <w:sz w:val="24"/>
          <w:szCs w:val="24"/>
          <w:highlight w:val="none"/>
        </w:rPr>
        <w:t>（</w:t>
      </w:r>
      <w:r>
        <w:rPr>
          <w:rFonts w:hint="eastAsia" w:ascii="Times New Roman" w:hAnsi="Times New Roman" w:eastAsia="宋体" w:cs="Times New Roman"/>
          <w:color w:val="auto"/>
          <w:spacing w:val="-11"/>
          <w:kern w:val="2"/>
          <w:sz w:val="24"/>
          <w:szCs w:val="24"/>
          <w:highlight w:val="none"/>
          <w:lang w:val="en-US" w:eastAsia="zh-CN"/>
        </w:rPr>
        <w:t>3.5kg/h，120</w:t>
      </w:r>
      <w:r>
        <w:rPr>
          <w:rFonts w:hint="eastAsia" w:ascii="Times New Roman" w:hAnsi="Times New Roman" w:eastAsia="宋体" w:cs="Times New Roman"/>
          <w:color w:val="auto"/>
          <w:spacing w:val="-11"/>
          <w:kern w:val="2"/>
          <w:sz w:val="24"/>
          <w:szCs w:val="24"/>
          <w:highlight w:val="none"/>
        </w:rPr>
        <w:t>mg/</w:t>
      </w:r>
      <w:r>
        <w:rPr>
          <w:rFonts w:hint="eastAsia" w:ascii="Times New Roman" w:hAnsi="Times New Roman" w:eastAsia="宋体" w:cs="Times New Roman"/>
          <w:color w:val="auto"/>
          <w:spacing w:val="-11"/>
          <w:kern w:val="2"/>
          <w:sz w:val="24"/>
          <w:szCs w:val="24"/>
          <w:highlight w:val="none"/>
          <w:lang w:val="en-US" w:eastAsia="zh-CN"/>
        </w:rPr>
        <w:t>m</w:t>
      </w:r>
      <w:r>
        <w:rPr>
          <w:rFonts w:hint="eastAsia" w:ascii="Times New Roman" w:hAnsi="Times New Roman" w:eastAsia="宋体" w:cs="Times New Roman"/>
          <w:color w:val="auto"/>
          <w:spacing w:val="-11"/>
          <w:kern w:val="2"/>
          <w:sz w:val="24"/>
          <w:szCs w:val="24"/>
          <w:highlight w:val="none"/>
          <w:vertAlign w:val="superscript"/>
          <w:lang w:val="en-US" w:eastAsia="zh-CN"/>
        </w:rPr>
        <w:t>3</w:t>
      </w:r>
      <w:r>
        <w:rPr>
          <w:rFonts w:hint="eastAsia" w:ascii="Times New Roman" w:hAnsi="Times New Roman" w:eastAsia="宋体" w:cs="Times New Roman"/>
          <w:color w:val="auto"/>
          <w:spacing w:val="-11"/>
          <w:kern w:val="2"/>
          <w:sz w:val="24"/>
          <w:szCs w:val="24"/>
          <w:highlight w:val="none"/>
        </w:rPr>
        <w:t>）</w:t>
      </w:r>
      <w:r>
        <w:rPr>
          <w:rFonts w:hint="eastAsia" w:ascii="Times New Roman" w:hAnsi="Times New Roman" w:eastAsia="宋体" w:cs="Times New Roman"/>
          <w:color w:val="auto"/>
          <w:spacing w:val="-11"/>
          <w:kern w:val="2"/>
          <w:sz w:val="24"/>
          <w:szCs w:val="24"/>
          <w:highlight w:val="none"/>
          <w:lang w:eastAsia="zh-CN"/>
        </w:rPr>
        <w:t>，</w:t>
      </w:r>
      <w:r>
        <w:rPr>
          <w:rFonts w:hint="eastAsia" w:ascii="Times New Roman" w:hAnsi="Times New Roman" w:eastAsia="宋体" w:cs="Times New Roman"/>
          <w:snapToGrid w:val="0"/>
          <w:color w:val="000000"/>
          <w:sz w:val="24"/>
          <w:szCs w:val="24"/>
          <w:highlight w:val="none"/>
          <w:lang w:val="en-US" w:eastAsia="zh-CN" w:bidi="ar-SA"/>
        </w:rPr>
        <w:t>有组织</w:t>
      </w:r>
      <w:r>
        <w:rPr>
          <w:rFonts w:hint="eastAsia" w:ascii="Times New Roman" w:hAnsi="Times New Roman" w:eastAsia="宋体" w:cs="Times New Roman"/>
          <w:color w:val="auto"/>
          <w:kern w:val="2"/>
          <w:sz w:val="24"/>
          <w:szCs w:val="24"/>
          <w:highlight w:val="none"/>
          <w:lang w:val="en-US" w:eastAsia="zh-CN"/>
        </w:rPr>
        <w:t>氨</w:t>
      </w:r>
      <w:r>
        <w:rPr>
          <w:rFonts w:ascii="Times New Roman" w:hAnsi="Times New Roman" w:eastAsia="宋体" w:cs="Times New Roman"/>
          <w:color w:val="auto"/>
          <w:kern w:val="2"/>
          <w:sz w:val="24"/>
          <w:szCs w:val="24"/>
          <w:highlight w:val="none"/>
        </w:rPr>
        <w:t>和</w:t>
      </w:r>
      <w:r>
        <w:rPr>
          <w:rFonts w:hint="eastAsia" w:ascii="Times New Roman" w:hAnsi="Times New Roman" w:eastAsia="宋体" w:cs="Times New Roman"/>
          <w:color w:val="auto"/>
          <w:kern w:val="2"/>
          <w:sz w:val="24"/>
          <w:szCs w:val="24"/>
          <w:highlight w:val="none"/>
          <w:lang w:val="en-US" w:eastAsia="zh-CN"/>
        </w:rPr>
        <w:t>硫化氢</w:t>
      </w:r>
      <w:r>
        <w:rPr>
          <w:rFonts w:hint="default" w:ascii="Times New Roman" w:hAnsi="Times New Roman" w:eastAsia="宋体" w:cs="Times New Roman"/>
          <w:snapToGrid w:val="0"/>
          <w:color w:val="000000"/>
          <w:sz w:val="24"/>
          <w:szCs w:val="24"/>
          <w:highlight w:val="none"/>
          <w:lang w:val="en-US" w:eastAsia="zh-CN" w:bidi="ar-SA"/>
        </w:rPr>
        <w:t>排放</w:t>
      </w:r>
      <w:r>
        <w:rPr>
          <w:rFonts w:hint="eastAsia" w:cs="Times New Roman"/>
          <w:snapToGrid w:val="0"/>
          <w:color w:val="000000"/>
          <w:sz w:val="24"/>
          <w:szCs w:val="24"/>
          <w:highlight w:val="none"/>
          <w:lang w:val="en-US" w:eastAsia="zh-CN" w:bidi="ar-SA"/>
        </w:rPr>
        <w:t>速率、排放</w:t>
      </w:r>
      <w:r>
        <w:rPr>
          <w:rFonts w:hint="default" w:ascii="Times New Roman" w:hAnsi="Times New Roman" w:eastAsia="宋体" w:cs="Times New Roman"/>
          <w:snapToGrid w:val="0"/>
          <w:color w:val="000000"/>
          <w:sz w:val="24"/>
          <w:szCs w:val="24"/>
          <w:highlight w:val="none"/>
          <w:lang w:val="en-US" w:eastAsia="zh-CN" w:bidi="ar-SA"/>
        </w:rPr>
        <w:t>浓度</w:t>
      </w:r>
      <w:r>
        <w:rPr>
          <w:rFonts w:hint="eastAsia" w:ascii="Times New Roman" w:hAnsi="Times New Roman" w:cs="Times New Roman"/>
          <w:snapToGrid w:val="0"/>
          <w:color w:val="000000"/>
          <w:sz w:val="24"/>
          <w:szCs w:val="24"/>
          <w:highlight w:val="none"/>
          <w:lang w:val="en-US" w:eastAsia="zh-CN" w:bidi="ar-SA"/>
        </w:rPr>
        <w:t>分别</w:t>
      </w:r>
      <w:r>
        <w:rPr>
          <w:rFonts w:hint="default" w:ascii="Times New Roman" w:hAnsi="Times New Roman" w:eastAsia="宋体" w:cs="Times New Roman"/>
          <w:snapToGrid w:val="0"/>
          <w:color w:val="000000"/>
          <w:sz w:val="24"/>
          <w:szCs w:val="24"/>
          <w:highlight w:val="none"/>
          <w:lang w:val="en-US" w:eastAsia="zh-CN" w:bidi="ar-SA"/>
        </w:rPr>
        <w:t>为0.0063</w:t>
      </w:r>
      <w:r>
        <w:rPr>
          <w:rFonts w:hint="eastAsia" w:ascii="Times New Roman" w:hAnsi="Times New Roman" w:cs="Times New Roman"/>
          <w:snapToGrid w:val="0"/>
          <w:color w:val="000000"/>
          <w:sz w:val="24"/>
          <w:szCs w:val="24"/>
          <w:highlight w:val="none"/>
          <w:lang w:val="en-US" w:eastAsia="zh-CN" w:bidi="ar-SA"/>
        </w:rPr>
        <w:t>kg/h，</w:t>
      </w:r>
      <w:r>
        <w:rPr>
          <w:rFonts w:hint="eastAsia" w:cs="Times New Roman"/>
          <w:snapToGrid w:val="0"/>
          <w:color w:val="000000"/>
          <w:sz w:val="24"/>
          <w:szCs w:val="24"/>
          <w:highlight w:val="none"/>
          <w:lang w:val="en-US" w:eastAsia="zh-CN" w:bidi="ar-SA"/>
        </w:rPr>
        <w:t>1.3</w:t>
      </w:r>
      <w:r>
        <w:rPr>
          <w:rFonts w:hint="default" w:ascii="Times New Roman" w:hAnsi="Times New Roman" w:eastAsia="宋体" w:cs="Times New Roman"/>
          <w:snapToGrid w:val="0"/>
          <w:color w:val="000000"/>
          <w:sz w:val="24"/>
          <w:szCs w:val="24"/>
          <w:highlight w:val="none"/>
          <w:lang w:val="en-US" w:eastAsia="zh-CN" w:bidi="ar-SA"/>
        </w:rPr>
        <w:t>mg/m</w:t>
      </w:r>
      <w:r>
        <w:rPr>
          <w:rFonts w:hint="default" w:ascii="Times New Roman" w:hAnsi="Times New Roman" w:eastAsia="宋体" w:cs="Times New Roman"/>
          <w:snapToGrid w:val="0"/>
          <w:color w:val="000000"/>
          <w:sz w:val="24"/>
          <w:szCs w:val="24"/>
          <w:highlight w:val="none"/>
          <w:vertAlign w:val="superscript"/>
          <w:lang w:val="en-US" w:eastAsia="zh-CN" w:bidi="ar-SA"/>
        </w:rPr>
        <w:t>3</w:t>
      </w:r>
      <w:r>
        <w:rPr>
          <w:rFonts w:hint="eastAsia" w:ascii="Times New Roman" w:hAnsi="Times New Roman" w:cs="Times New Roman"/>
          <w:snapToGrid w:val="0"/>
          <w:color w:val="000000"/>
          <w:sz w:val="24"/>
          <w:szCs w:val="24"/>
          <w:highlight w:val="none"/>
          <w:vertAlign w:val="baseline"/>
          <w:lang w:val="en-US" w:eastAsia="zh-CN" w:bidi="ar-SA"/>
        </w:rPr>
        <w:t>；0.00</w:t>
      </w:r>
      <w:r>
        <w:rPr>
          <w:rFonts w:hint="eastAsia" w:cs="Times New Roman"/>
          <w:snapToGrid w:val="0"/>
          <w:color w:val="000000"/>
          <w:sz w:val="24"/>
          <w:szCs w:val="24"/>
          <w:highlight w:val="none"/>
          <w:vertAlign w:val="baseline"/>
          <w:lang w:val="en-US" w:eastAsia="zh-CN" w:bidi="ar-SA"/>
        </w:rPr>
        <w:t>04</w:t>
      </w:r>
      <w:r>
        <w:rPr>
          <w:rFonts w:hint="eastAsia" w:ascii="Times New Roman" w:hAnsi="Times New Roman" w:cs="Times New Roman"/>
          <w:snapToGrid w:val="0"/>
          <w:color w:val="000000"/>
          <w:sz w:val="24"/>
          <w:szCs w:val="24"/>
          <w:highlight w:val="none"/>
          <w:vertAlign w:val="baseline"/>
          <w:lang w:val="en-US" w:eastAsia="zh-CN" w:bidi="ar-SA"/>
        </w:rPr>
        <w:t>kg/h，</w:t>
      </w:r>
      <w:r>
        <w:rPr>
          <w:rFonts w:hint="eastAsia" w:cs="Times New Roman"/>
          <w:snapToGrid w:val="0"/>
          <w:color w:val="000000"/>
          <w:sz w:val="24"/>
          <w:szCs w:val="24"/>
          <w:highlight w:val="none"/>
          <w:vertAlign w:val="baseline"/>
          <w:lang w:val="en-US" w:eastAsia="zh-CN" w:bidi="ar-SA"/>
        </w:rPr>
        <w:t>0.1</w:t>
      </w:r>
      <w:r>
        <w:rPr>
          <w:rFonts w:hint="default" w:ascii="Times New Roman" w:hAnsi="Times New Roman" w:eastAsia="宋体" w:cs="Times New Roman"/>
          <w:snapToGrid w:val="0"/>
          <w:color w:val="000000"/>
          <w:sz w:val="24"/>
          <w:szCs w:val="24"/>
          <w:highlight w:val="none"/>
          <w:lang w:val="en-US" w:eastAsia="zh-CN" w:bidi="ar-SA"/>
        </w:rPr>
        <w:t>mg/m</w:t>
      </w:r>
      <w:r>
        <w:rPr>
          <w:rFonts w:hint="default" w:ascii="Times New Roman" w:hAnsi="Times New Roman" w:eastAsia="宋体" w:cs="Times New Roman"/>
          <w:snapToGrid w:val="0"/>
          <w:color w:val="000000"/>
          <w:sz w:val="24"/>
          <w:szCs w:val="24"/>
          <w:highlight w:val="none"/>
          <w:vertAlign w:val="superscript"/>
          <w:lang w:val="en-US" w:eastAsia="zh-CN" w:bidi="ar-SA"/>
        </w:rPr>
        <w:t>3</w:t>
      </w:r>
      <w:r>
        <w:rPr>
          <w:rFonts w:hint="default" w:ascii="Times New Roman" w:hAnsi="Times New Roman" w:eastAsia="宋体" w:cs="Times New Roman"/>
          <w:snapToGrid w:val="0"/>
          <w:color w:val="000000"/>
          <w:sz w:val="24"/>
          <w:szCs w:val="24"/>
          <w:highlight w:val="none"/>
          <w:lang w:val="en-US" w:eastAsia="zh-CN" w:bidi="ar-SA"/>
        </w:rPr>
        <w:t>，可以满足《恶臭污染物排放标准》（GB 14554-93）表1 恶臭污染物厂界标准值</w:t>
      </w:r>
      <w:r>
        <w:rPr>
          <w:rFonts w:hint="eastAsia" w:ascii="Times New Roman" w:hAnsi="Times New Roman" w:eastAsia="宋体" w:cs="Times New Roman"/>
          <w:color w:val="auto"/>
          <w:spacing w:val="-11"/>
          <w:kern w:val="2"/>
          <w:sz w:val="24"/>
          <w:szCs w:val="24"/>
          <w:highlight w:val="none"/>
        </w:rPr>
        <w:t>（</w:t>
      </w:r>
      <w:r>
        <w:rPr>
          <w:rFonts w:hint="eastAsia" w:ascii="Times New Roman" w:hAnsi="Times New Roman" w:cs="Times New Roman"/>
          <w:color w:val="auto"/>
          <w:spacing w:val="-11"/>
          <w:kern w:val="2"/>
          <w:sz w:val="24"/>
          <w:szCs w:val="24"/>
          <w:highlight w:val="none"/>
          <w:lang w:val="en-US" w:eastAsia="zh-CN"/>
        </w:rPr>
        <w:t>氨4.9kg/h</w:t>
      </w:r>
      <w:r>
        <w:rPr>
          <w:rFonts w:hint="eastAsia" w:ascii="Times New Roman" w:hAnsi="Times New Roman" w:cs="Times New Roman"/>
          <w:color w:val="auto"/>
          <w:spacing w:val="-11"/>
          <w:kern w:val="2"/>
          <w:sz w:val="24"/>
          <w:szCs w:val="24"/>
          <w:highlight w:val="none"/>
          <w:vertAlign w:val="baseline"/>
          <w:lang w:val="en-US" w:eastAsia="zh-CN"/>
        </w:rPr>
        <w:t>、硫化氢0.33kg/h</w:t>
      </w:r>
      <w:r>
        <w:rPr>
          <w:rFonts w:hint="eastAsia" w:ascii="Times New Roman" w:hAnsi="Times New Roman" w:eastAsia="宋体" w:cs="Times New Roman"/>
          <w:color w:val="auto"/>
          <w:spacing w:val="-11"/>
          <w:kern w:val="2"/>
          <w:sz w:val="24"/>
          <w:szCs w:val="24"/>
          <w:highlight w:val="none"/>
        </w:rPr>
        <w:t>）</w:t>
      </w:r>
      <w:r>
        <w:rPr>
          <w:rFonts w:hint="default" w:ascii="Times New Roman" w:hAnsi="Times New Roman" w:eastAsia="宋体" w:cs="Times New Roman"/>
          <w:snapToGrid w:val="0"/>
          <w:color w:val="auto"/>
          <w:sz w:val="24"/>
          <w:szCs w:val="24"/>
          <w:highlight w:val="none"/>
          <w:lang w:val="en-US" w:eastAsia="zh-CN" w:bidi="ar-SA"/>
        </w:rPr>
        <w:t>。</w:t>
      </w:r>
    </w:p>
    <w:p w14:paraId="30C1F431">
      <w:pPr>
        <w:widowControl w:val="0"/>
        <w:autoSpaceDE w:val="0"/>
        <w:autoSpaceDN w:val="0"/>
        <w:adjustRightInd w:val="0"/>
        <w:spacing w:line="360" w:lineRule="auto"/>
        <w:ind w:firstLine="480" w:firstLineChars="200"/>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部分无组织逸散颗粒物</w:t>
      </w:r>
      <w:r>
        <w:rPr>
          <w:rFonts w:hint="default" w:ascii="Times New Roman" w:hAnsi="Times New Roman" w:eastAsia="宋体" w:cs="Times New Roman"/>
          <w:color w:val="000000"/>
          <w:kern w:val="0"/>
          <w:sz w:val="24"/>
          <w:szCs w:val="24"/>
          <w:lang w:val="en-US" w:eastAsia="zh-CN" w:bidi="ar-SA"/>
        </w:rPr>
        <w:t>通过</w:t>
      </w:r>
      <w:r>
        <w:rPr>
          <w:rFonts w:hint="eastAsia" w:ascii="Times New Roman" w:hAnsi="Times New Roman" w:eastAsia="宋体" w:cs="Times New Roman"/>
          <w:color w:val="000000"/>
          <w:kern w:val="0"/>
          <w:sz w:val="24"/>
          <w:szCs w:val="24"/>
          <w:lang w:val="en-US" w:eastAsia="zh-CN" w:bidi="ar-SA"/>
        </w:rPr>
        <w:t>加强封闭式作业+洒水降尘等措施进行控制</w:t>
      </w:r>
      <w:r>
        <w:rPr>
          <w:rFonts w:hint="default" w:ascii="Times New Roman" w:hAnsi="Times New Roman" w:eastAsia="宋体" w:cs="Times New Roman"/>
          <w:color w:val="000000"/>
          <w:kern w:val="0"/>
          <w:sz w:val="24"/>
          <w:szCs w:val="24"/>
          <w:lang w:val="en-US" w:eastAsia="zh-CN" w:bidi="ar-SA"/>
        </w:rPr>
        <w:t>，</w:t>
      </w:r>
      <w:r>
        <w:rPr>
          <w:rFonts w:hint="eastAsia" w:ascii="Times New Roman" w:hAnsi="Times New Roman" w:eastAsia="宋体" w:cs="Times New Roman"/>
          <w:color w:val="000000"/>
          <w:kern w:val="0"/>
          <w:sz w:val="24"/>
          <w:szCs w:val="24"/>
          <w:lang w:val="en-US" w:eastAsia="zh-CN" w:bidi="ar-SA"/>
        </w:rPr>
        <w:t>根据</w:t>
      </w:r>
      <w:r>
        <w:rPr>
          <w:rFonts w:hint="eastAsia" w:ascii="Times New Roman" w:hAnsi="Times New Roman" w:eastAsia="宋体" w:cs="Times New Roman"/>
          <w:snapToGrid w:val="0"/>
          <w:color w:val="000000"/>
          <w:kern w:val="0"/>
          <w:sz w:val="24"/>
          <w:szCs w:val="24"/>
          <w:highlight w:val="none"/>
          <w:lang w:val="en-US" w:eastAsia="zh-CN" w:bidi="ar-SA"/>
        </w:rPr>
        <w:t>《排放源统计调查产排污核算方法和系数手册》，洒水降尘控制效率为74%，因此无组织颗粒物共</w:t>
      </w:r>
      <w:r>
        <w:rPr>
          <w:rFonts w:hint="eastAsia" w:cs="Times New Roman"/>
          <w:snapToGrid w:val="0"/>
          <w:color w:val="000000"/>
          <w:kern w:val="0"/>
          <w:sz w:val="24"/>
          <w:szCs w:val="24"/>
          <w:highlight w:val="none"/>
          <w:lang w:val="en-US" w:eastAsia="zh-CN" w:bidi="ar-SA"/>
        </w:rPr>
        <w:t>0.03</w:t>
      </w:r>
      <w:r>
        <w:rPr>
          <w:rFonts w:hint="eastAsia" w:ascii="Times New Roman" w:hAnsi="Times New Roman" w:eastAsia="宋体" w:cs="Times New Roman"/>
          <w:snapToGrid w:val="0"/>
          <w:color w:val="000000"/>
          <w:kern w:val="0"/>
          <w:sz w:val="24"/>
          <w:szCs w:val="24"/>
          <w:highlight w:val="none"/>
          <w:lang w:val="en-US" w:eastAsia="zh-CN" w:bidi="ar-SA"/>
        </w:rPr>
        <w:t>t/a</w:t>
      </w:r>
      <w:r>
        <w:rPr>
          <w:rFonts w:hint="eastAsia" w:ascii="Times New Roman" w:hAnsi="Times New Roman" w:eastAsia="宋体" w:cs="Times New Roman"/>
          <w:color w:val="000000"/>
          <w:kern w:val="0"/>
          <w:sz w:val="24"/>
          <w:szCs w:val="24"/>
          <w:lang w:val="zh-CN" w:eastAsia="zh-CN" w:bidi="ar-SA"/>
        </w:rPr>
        <w:t>。</w:t>
      </w:r>
      <w:r>
        <w:rPr>
          <w:rFonts w:hint="default" w:ascii="Times New Roman" w:hAnsi="Times New Roman" w:eastAsia="宋体" w:cs="Times New Roman"/>
          <w:color w:val="000000"/>
          <w:kern w:val="0"/>
          <w:sz w:val="24"/>
          <w:szCs w:val="24"/>
          <w:lang w:val="en-US" w:eastAsia="zh-CN" w:bidi="ar-SA"/>
        </w:rPr>
        <w:t>厂界</w:t>
      </w:r>
      <w:r>
        <w:rPr>
          <w:rFonts w:hint="eastAsia" w:ascii="Times New Roman" w:hAnsi="Times New Roman" w:eastAsia="宋体" w:cs="Times New Roman"/>
          <w:color w:val="000000"/>
          <w:kern w:val="0"/>
          <w:sz w:val="24"/>
          <w:szCs w:val="24"/>
          <w:lang w:val="en-US" w:eastAsia="zh-CN" w:bidi="ar-SA"/>
        </w:rPr>
        <w:t>颗粒物</w:t>
      </w:r>
      <w:r>
        <w:rPr>
          <w:rFonts w:hint="default" w:ascii="Times New Roman" w:hAnsi="Times New Roman" w:eastAsia="宋体" w:cs="Times New Roman"/>
          <w:color w:val="000000"/>
          <w:kern w:val="0"/>
          <w:sz w:val="24"/>
          <w:szCs w:val="24"/>
          <w:vertAlign w:val="baseline"/>
          <w:lang w:val="en-US" w:eastAsia="zh-CN" w:bidi="ar-SA"/>
        </w:rPr>
        <w:t>满足</w:t>
      </w:r>
      <w:r>
        <w:rPr>
          <w:rFonts w:hint="default" w:ascii="Times New Roman" w:hAnsi="Times New Roman" w:eastAsia="宋体" w:cs="Times New Roman"/>
          <w:snapToGrid w:val="0"/>
          <w:color w:val="000000"/>
          <w:kern w:val="0"/>
          <w:sz w:val="24"/>
          <w:szCs w:val="24"/>
          <w:highlight w:val="none"/>
          <w:lang w:val="en-US" w:eastAsia="zh-CN" w:bidi="ar-SA"/>
        </w:rPr>
        <w:t>《大气污染物综合排放标准》（GB16297-1996）</w:t>
      </w:r>
      <w:r>
        <w:rPr>
          <w:rFonts w:hint="default" w:ascii="Times New Roman" w:hAnsi="Times New Roman" w:eastAsia="宋体" w:cs="Times New Roman"/>
          <w:color w:val="auto"/>
          <w:kern w:val="0"/>
          <w:sz w:val="24"/>
          <w:szCs w:val="24"/>
        </w:rPr>
        <w:t>表2 新污染源大气污染物排放限值</w:t>
      </w:r>
      <w:r>
        <w:rPr>
          <w:rFonts w:hint="default" w:ascii="Times New Roman" w:hAnsi="Times New Roman" w:eastAsia="宋体" w:cs="Times New Roman"/>
          <w:color w:val="000000"/>
          <w:kern w:val="0"/>
          <w:sz w:val="24"/>
          <w:szCs w:val="24"/>
          <w:lang w:val="zh-CN" w:eastAsia="zh-CN" w:bidi="ar-SA"/>
        </w:rPr>
        <w:t>（周界外浓度最高点</w:t>
      </w:r>
      <w:r>
        <w:rPr>
          <w:rFonts w:hint="eastAsia" w:ascii="Times New Roman" w:hAnsi="Times New Roman" w:eastAsia="宋体" w:cs="Times New Roman"/>
          <w:color w:val="000000"/>
          <w:kern w:val="0"/>
          <w:sz w:val="24"/>
          <w:szCs w:val="24"/>
          <w:lang w:val="en-US" w:eastAsia="zh-CN" w:bidi="ar-SA"/>
        </w:rPr>
        <w:t>1</w:t>
      </w:r>
      <w:r>
        <w:rPr>
          <w:rFonts w:hint="default" w:ascii="Times New Roman" w:hAnsi="Times New Roman" w:eastAsia="宋体" w:cs="Times New Roman"/>
          <w:color w:val="000000"/>
          <w:kern w:val="0"/>
          <w:sz w:val="24"/>
          <w:szCs w:val="24"/>
          <w:lang w:val="en-US" w:eastAsia="zh-CN" w:bidi="ar-SA"/>
        </w:rPr>
        <w:t>mg/m</w:t>
      </w:r>
      <w:r>
        <w:rPr>
          <w:rFonts w:hint="default" w:ascii="Times New Roman" w:hAnsi="Times New Roman" w:eastAsia="宋体" w:cs="Times New Roman"/>
          <w:color w:val="000000"/>
          <w:kern w:val="0"/>
          <w:sz w:val="24"/>
          <w:szCs w:val="24"/>
          <w:vertAlign w:val="superscript"/>
          <w:lang w:val="en-US" w:eastAsia="zh-CN" w:bidi="ar-SA"/>
        </w:rPr>
        <w:t>3</w:t>
      </w:r>
      <w:r>
        <w:rPr>
          <w:rFonts w:hint="default" w:ascii="Times New Roman" w:hAnsi="Times New Roman" w:eastAsia="宋体" w:cs="Times New Roman"/>
          <w:color w:val="000000"/>
          <w:kern w:val="0"/>
          <w:sz w:val="24"/>
          <w:szCs w:val="24"/>
          <w:lang w:val="zh-CN" w:eastAsia="zh-CN" w:bidi="ar-SA"/>
        </w:rPr>
        <w:t>）</w:t>
      </w:r>
      <w:r>
        <w:rPr>
          <w:rFonts w:hint="eastAsia" w:ascii="Times New Roman" w:hAnsi="Times New Roman" w:eastAsia="宋体" w:cs="Times New Roman"/>
          <w:color w:val="000000"/>
          <w:kern w:val="0"/>
          <w:sz w:val="24"/>
          <w:szCs w:val="24"/>
          <w:lang w:val="zh-CN" w:eastAsia="zh-CN" w:bidi="ar-SA"/>
        </w:rPr>
        <w:t>，</w:t>
      </w:r>
      <w:r>
        <w:rPr>
          <w:rFonts w:hint="eastAsia" w:ascii="Times New Roman" w:hAnsi="Times New Roman" w:eastAsia="宋体" w:cs="Times New Roman"/>
          <w:snapToGrid w:val="0"/>
          <w:color w:val="auto"/>
          <w:kern w:val="0"/>
          <w:sz w:val="24"/>
          <w:szCs w:val="24"/>
          <w:highlight w:val="none"/>
          <w:lang w:val="en-US" w:eastAsia="zh-CN" w:bidi="ar-SA"/>
        </w:rPr>
        <w:t>部分无组织逸散</w:t>
      </w:r>
      <w:r>
        <w:rPr>
          <w:rFonts w:hint="eastAsia" w:ascii="Times New Roman" w:hAnsi="Times New Roman" w:eastAsia="宋体" w:cs="Times New Roman"/>
          <w:color w:val="auto"/>
          <w:kern w:val="2"/>
          <w:sz w:val="24"/>
          <w:szCs w:val="24"/>
          <w:highlight w:val="none"/>
          <w:lang w:val="en-US" w:eastAsia="zh-CN"/>
        </w:rPr>
        <w:t>氨</w:t>
      </w:r>
      <w:r>
        <w:rPr>
          <w:rFonts w:ascii="Times New Roman" w:hAnsi="Times New Roman" w:eastAsia="宋体" w:cs="Times New Roman"/>
          <w:color w:val="auto"/>
          <w:kern w:val="2"/>
          <w:sz w:val="24"/>
          <w:szCs w:val="24"/>
          <w:highlight w:val="none"/>
        </w:rPr>
        <w:t>和</w:t>
      </w:r>
      <w:r>
        <w:rPr>
          <w:rFonts w:hint="eastAsia" w:ascii="Times New Roman" w:hAnsi="Times New Roman" w:eastAsia="宋体" w:cs="Times New Roman"/>
          <w:color w:val="auto"/>
          <w:kern w:val="2"/>
          <w:sz w:val="24"/>
          <w:szCs w:val="24"/>
          <w:highlight w:val="none"/>
          <w:lang w:val="en-US" w:eastAsia="zh-CN"/>
        </w:rPr>
        <w:t>硫化氢</w:t>
      </w:r>
      <w:r>
        <w:rPr>
          <w:rFonts w:hint="default" w:ascii="Times New Roman" w:hAnsi="Times New Roman" w:eastAsia="宋体" w:cs="Times New Roman"/>
          <w:color w:val="000000"/>
          <w:kern w:val="0"/>
          <w:sz w:val="24"/>
          <w:szCs w:val="24"/>
          <w:lang w:val="en-US" w:eastAsia="zh-CN" w:bidi="ar-SA"/>
        </w:rPr>
        <w:t>通过</w:t>
      </w:r>
      <w:r>
        <w:rPr>
          <w:rFonts w:hint="eastAsia" w:ascii="Times New Roman" w:hAnsi="Times New Roman" w:eastAsia="宋体" w:cs="Times New Roman"/>
          <w:color w:val="000000"/>
          <w:kern w:val="0"/>
          <w:sz w:val="24"/>
          <w:szCs w:val="24"/>
          <w:lang w:val="en-US" w:eastAsia="zh-CN" w:bidi="ar-SA"/>
        </w:rPr>
        <w:t>加强封闭式作业等措施进行控制</w:t>
      </w:r>
      <w:r>
        <w:rPr>
          <w:rFonts w:hint="default" w:ascii="Times New Roman" w:hAnsi="Times New Roman" w:eastAsia="宋体" w:cs="Times New Roman"/>
          <w:color w:val="000000"/>
          <w:kern w:val="0"/>
          <w:sz w:val="24"/>
          <w:szCs w:val="24"/>
          <w:lang w:val="en-US" w:eastAsia="zh-CN" w:bidi="ar-SA"/>
        </w:rPr>
        <w:t>，</w:t>
      </w:r>
      <w:r>
        <w:rPr>
          <w:rFonts w:hint="eastAsia" w:ascii="Times New Roman" w:hAnsi="Times New Roman" w:eastAsia="宋体" w:cs="Times New Roman"/>
          <w:color w:val="auto"/>
          <w:kern w:val="2"/>
          <w:sz w:val="24"/>
          <w:szCs w:val="24"/>
          <w:highlight w:val="none"/>
          <w:lang w:val="en-US" w:eastAsia="zh-CN"/>
        </w:rPr>
        <w:t>氨</w:t>
      </w:r>
      <w:r>
        <w:rPr>
          <w:rFonts w:ascii="Times New Roman" w:hAnsi="Times New Roman" w:eastAsia="宋体" w:cs="Times New Roman"/>
          <w:color w:val="auto"/>
          <w:kern w:val="2"/>
          <w:sz w:val="24"/>
          <w:szCs w:val="24"/>
          <w:highlight w:val="none"/>
        </w:rPr>
        <w:t>和</w:t>
      </w:r>
      <w:r>
        <w:rPr>
          <w:rFonts w:hint="eastAsia" w:ascii="Times New Roman" w:hAnsi="Times New Roman" w:eastAsia="宋体" w:cs="Times New Roman"/>
          <w:color w:val="auto"/>
          <w:kern w:val="2"/>
          <w:sz w:val="24"/>
          <w:szCs w:val="24"/>
          <w:highlight w:val="none"/>
          <w:lang w:val="en-US" w:eastAsia="zh-CN"/>
        </w:rPr>
        <w:t>硫化氢</w:t>
      </w:r>
      <w:r>
        <w:rPr>
          <w:rFonts w:hint="default" w:ascii="Times New Roman" w:hAnsi="Times New Roman" w:eastAsia="宋体" w:cs="Times New Roman"/>
          <w:color w:val="000000"/>
          <w:sz w:val="24"/>
          <w:szCs w:val="24"/>
          <w:vertAlign w:val="baseline"/>
          <w:lang w:val="en-US" w:eastAsia="zh-CN" w:bidi="ar-SA"/>
        </w:rPr>
        <w:t>满足</w:t>
      </w:r>
      <w:r>
        <w:rPr>
          <w:rFonts w:hint="default" w:ascii="Times New Roman" w:hAnsi="Times New Roman" w:eastAsia="宋体" w:cs="Times New Roman"/>
          <w:snapToGrid w:val="0"/>
          <w:color w:val="000000"/>
          <w:sz w:val="24"/>
          <w:szCs w:val="24"/>
          <w:highlight w:val="none"/>
          <w:lang w:val="en-US" w:eastAsia="zh-CN" w:bidi="ar-SA"/>
        </w:rPr>
        <w:t>《恶臭污染物排放标准》（GB 14554-93）</w:t>
      </w:r>
      <w:r>
        <w:rPr>
          <w:rFonts w:hint="default" w:ascii="Times New Roman" w:hAnsi="Times New Roman" w:eastAsia="宋体" w:cs="Times New Roman"/>
          <w:color w:val="000000"/>
          <w:sz w:val="24"/>
          <w:szCs w:val="24"/>
          <w:lang w:val="en-US" w:eastAsia="zh-CN" w:bidi="ar-SA"/>
        </w:rPr>
        <w:t>中</w:t>
      </w:r>
      <w:r>
        <w:rPr>
          <w:rFonts w:hint="eastAsia" w:ascii="Times New Roman" w:hAnsi="Times New Roman" w:eastAsia="宋体" w:cs="Times New Roman"/>
          <w:color w:val="000000"/>
          <w:sz w:val="24"/>
          <w:szCs w:val="24"/>
          <w:lang w:val="en-US" w:eastAsia="zh-CN" w:bidi="ar-SA"/>
        </w:rPr>
        <w:t>无组织</w:t>
      </w:r>
      <w:r>
        <w:rPr>
          <w:rFonts w:hint="default" w:ascii="Times New Roman" w:hAnsi="Times New Roman" w:eastAsia="宋体" w:cs="Times New Roman"/>
          <w:color w:val="000000"/>
          <w:sz w:val="24"/>
          <w:szCs w:val="24"/>
          <w:lang w:val="en-US" w:eastAsia="zh-CN" w:bidi="ar-SA"/>
        </w:rPr>
        <w:t>排放限值</w:t>
      </w:r>
      <w:r>
        <w:rPr>
          <w:rFonts w:hint="default" w:ascii="Times New Roman" w:hAnsi="Times New Roman" w:eastAsia="宋体" w:cs="Times New Roman"/>
          <w:color w:val="000000"/>
          <w:sz w:val="24"/>
          <w:szCs w:val="24"/>
          <w:lang w:val="zh-CN" w:eastAsia="zh-CN" w:bidi="ar-SA"/>
        </w:rPr>
        <w:t>（</w:t>
      </w:r>
      <w:r>
        <w:rPr>
          <w:rFonts w:hint="eastAsia" w:ascii="Times New Roman" w:hAnsi="Times New Roman" w:cs="Times New Roman"/>
          <w:color w:val="auto"/>
          <w:spacing w:val="-11"/>
          <w:kern w:val="2"/>
          <w:sz w:val="24"/>
          <w:szCs w:val="24"/>
          <w:lang w:val="en-US" w:eastAsia="zh-CN"/>
        </w:rPr>
        <w:t>氨1.5</w:t>
      </w:r>
      <w:r>
        <w:rPr>
          <w:rFonts w:hint="eastAsia" w:ascii="Times New Roman" w:hAnsi="Times New Roman" w:eastAsia="宋体" w:cs="Times New Roman"/>
          <w:color w:val="auto"/>
          <w:spacing w:val="-11"/>
          <w:kern w:val="2"/>
          <w:sz w:val="24"/>
          <w:szCs w:val="24"/>
        </w:rPr>
        <w:t>mg/</w:t>
      </w:r>
      <w:r>
        <w:rPr>
          <w:rFonts w:hint="eastAsia" w:ascii="Times New Roman" w:hAnsi="Times New Roman" w:eastAsia="宋体" w:cs="Times New Roman"/>
          <w:color w:val="auto"/>
          <w:spacing w:val="-11"/>
          <w:kern w:val="2"/>
          <w:sz w:val="24"/>
          <w:szCs w:val="24"/>
          <w:lang w:val="en-US" w:eastAsia="zh-CN"/>
        </w:rPr>
        <w:t>m</w:t>
      </w:r>
      <w:r>
        <w:rPr>
          <w:rFonts w:hint="eastAsia" w:ascii="Times New Roman" w:hAnsi="Times New Roman" w:eastAsia="宋体" w:cs="Times New Roman"/>
          <w:color w:val="auto"/>
          <w:spacing w:val="-11"/>
          <w:kern w:val="2"/>
          <w:sz w:val="24"/>
          <w:szCs w:val="24"/>
          <w:vertAlign w:val="superscript"/>
          <w:lang w:val="en-US" w:eastAsia="zh-CN"/>
        </w:rPr>
        <w:t>3</w:t>
      </w:r>
      <w:r>
        <w:rPr>
          <w:rFonts w:hint="eastAsia" w:ascii="Times New Roman" w:hAnsi="Times New Roman" w:cs="Times New Roman"/>
          <w:color w:val="auto"/>
          <w:spacing w:val="-11"/>
          <w:kern w:val="2"/>
          <w:sz w:val="24"/>
          <w:szCs w:val="24"/>
          <w:vertAlign w:val="baseline"/>
          <w:lang w:val="en-US" w:eastAsia="zh-CN"/>
        </w:rPr>
        <w:t>、硫化氢0.06</w:t>
      </w:r>
      <w:r>
        <w:rPr>
          <w:rFonts w:hint="eastAsia" w:ascii="Times New Roman" w:hAnsi="Times New Roman" w:eastAsia="宋体" w:cs="Times New Roman"/>
          <w:color w:val="auto"/>
          <w:spacing w:val="-11"/>
          <w:kern w:val="2"/>
          <w:sz w:val="24"/>
          <w:szCs w:val="24"/>
        </w:rPr>
        <w:t>mg/</w:t>
      </w:r>
      <w:r>
        <w:rPr>
          <w:rFonts w:hint="eastAsia" w:ascii="Times New Roman" w:hAnsi="Times New Roman" w:eastAsia="宋体" w:cs="Times New Roman"/>
          <w:color w:val="auto"/>
          <w:spacing w:val="-11"/>
          <w:kern w:val="2"/>
          <w:sz w:val="24"/>
          <w:szCs w:val="24"/>
          <w:lang w:val="en-US" w:eastAsia="zh-CN"/>
        </w:rPr>
        <w:t>m</w:t>
      </w:r>
      <w:r>
        <w:rPr>
          <w:rFonts w:hint="eastAsia" w:ascii="Times New Roman" w:hAnsi="Times New Roman" w:eastAsia="宋体" w:cs="Times New Roman"/>
          <w:color w:val="auto"/>
          <w:spacing w:val="-11"/>
          <w:kern w:val="2"/>
          <w:sz w:val="24"/>
          <w:szCs w:val="24"/>
          <w:vertAlign w:val="superscript"/>
          <w:lang w:val="en-US" w:eastAsia="zh-CN"/>
        </w:rPr>
        <w:t>3</w:t>
      </w:r>
      <w:r>
        <w:rPr>
          <w:rFonts w:hint="default" w:ascii="Times New Roman" w:hAnsi="Times New Roman" w:eastAsia="宋体" w:cs="Times New Roman"/>
          <w:color w:val="000000"/>
          <w:sz w:val="24"/>
          <w:szCs w:val="24"/>
          <w:lang w:val="zh-CN" w:eastAsia="zh-CN" w:bidi="ar-SA"/>
        </w:rPr>
        <w:t>）</w:t>
      </w:r>
      <w:r>
        <w:rPr>
          <w:rFonts w:hint="default" w:ascii="Times New Roman" w:hAnsi="Times New Roman" w:eastAsia="宋体" w:cs="Times New Roman"/>
          <w:color w:val="000000"/>
          <w:kern w:val="0"/>
          <w:sz w:val="24"/>
          <w:szCs w:val="24"/>
          <w:lang w:val="en-US" w:eastAsia="zh-CN" w:bidi="ar-SA"/>
        </w:rPr>
        <w:t>。</w:t>
      </w:r>
    </w:p>
    <w:p w14:paraId="17AFC50E">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rPr>
        <w:t>少量其他恶臭污染物以臭气浓度计，经收集装置收集后，经废气处理装置净化处理，最终由15m排气筒高空排放。少量无组织臭气浓度通过加强封闭式作业控制，废气产生量较少，臭气浓度产生量以定性分析，不进行量化计算。</w:t>
      </w:r>
    </w:p>
    <w:p w14:paraId="23AFF9F7">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废气产生和排放情况见表</w:t>
      </w:r>
      <w:r>
        <w:rPr>
          <w:rFonts w:hint="eastAsia" w:ascii="Times New Roman" w:hAnsi="Times New Roman" w:eastAsia="宋体" w:cs="Times New Roman"/>
          <w:color w:val="auto"/>
          <w:kern w:val="2"/>
          <w:sz w:val="24"/>
          <w:szCs w:val="24"/>
          <w:lang w:val="en-US" w:eastAsia="zh-CN"/>
        </w:rPr>
        <w:t>3.</w:t>
      </w:r>
      <w:r>
        <w:rPr>
          <w:rFonts w:hint="eastAsia" w:cs="Times New Roman"/>
          <w:color w:val="auto"/>
          <w:kern w:val="2"/>
          <w:sz w:val="24"/>
          <w:szCs w:val="24"/>
          <w:lang w:val="en-US" w:eastAsia="zh-CN"/>
        </w:rPr>
        <w:t>4-6</w:t>
      </w:r>
      <w:r>
        <w:rPr>
          <w:rFonts w:hint="default" w:ascii="Times New Roman" w:hAnsi="Times New Roman" w:eastAsia="宋体" w:cs="Times New Roman"/>
          <w:color w:val="auto"/>
          <w:kern w:val="2"/>
          <w:sz w:val="24"/>
          <w:szCs w:val="24"/>
        </w:rPr>
        <w:t>。</w:t>
      </w:r>
    </w:p>
    <w:p w14:paraId="4069D907">
      <w:pPr>
        <w:widowControl w:val="0"/>
        <w:overflowPunct/>
        <w:autoSpaceDE/>
        <w:autoSpaceDN/>
        <w:adjustRightInd/>
        <w:snapToGrid/>
        <w:spacing w:before="0" w:after="0" w:line="360" w:lineRule="auto"/>
        <w:ind w:left="0" w:right="0" w:firstLine="0" w:firstLineChars="0"/>
        <w:jc w:val="center"/>
        <w:rPr>
          <w:rFonts w:hint="default" w:ascii="Times New Roman" w:hAnsi="Times New Roman" w:eastAsia="宋体" w:cs="Times New Roman"/>
          <w:b/>
          <w:color w:val="auto"/>
          <w:kern w:val="0"/>
          <w:sz w:val="24"/>
          <w:szCs w:val="24"/>
          <w:lang w:val="en-US" w:eastAsia="zh-CN" w:bidi="ar-SA"/>
        </w:rPr>
      </w:pPr>
      <w:r>
        <w:rPr>
          <w:rFonts w:hint="default" w:ascii="Times New Roman" w:hAnsi="Times New Roman" w:eastAsia="宋体" w:cs="Times New Roman"/>
          <w:b/>
          <w:color w:val="auto"/>
          <w:kern w:val="0"/>
          <w:sz w:val="24"/>
          <w:szCs w:val="24"/>
          <w:lang w:val="en-US" w:eastAsia="zh-CN" w:bidi="ar-SA"/>
        </w:rPr>
        <w:t>表</w:t>
      </w:r>
      <w:r>
        <w:rPr>
          <w:rFonts w:hint="eastAsia" w:cs="Times New Roman"/>
          <w:b/>
          <w:color w:val="auto"/>
          <w:kern w:val="0"/>
          <w:sz w:val="24"/>
          <w:szCs w:val="24"/>
          <w:lang w:val="en-US" w:eastAsia="zh-CN" w:bidi="ar-SA"/>
        </w:rPr>
        <w:t>3.4-6堆肥间</w:t>
      </w:r>
      <w:r>
        <w:rPr>
          <w:rFonts w:hint="eastAsia" w:ascii="Times New Roman" w:hAnsi="Times New Roman" w:eastAsia="宋体" w:cs="Times New Roman"/>
          <w:b/>
          <w:color w:val="auto"/>
          <w:kern w:val="0"/>
          <w:sz w:val="24"/>
          <w:szCs w:val="24"/>
          <w:lang w:val="en-US" w:eastAsia="zh-CN" w:bidi="ar-SA"/>
        </w:rPr>
        <w:t>废气</w:t>
      </w:r>
      <w:r>
        <w:rPr>
          <w:rFonts w:hint="default" w:ascii="Times New Roman" w:hAnsi="Times New Roman" w:eastAsia="宋体" w:cs="Times New Roman"/>
          <w:b/>
          <w:color w:val="auto"/>
          <w:kern w:val="0"/>
          <w:sz w:val="24"/>
          <w:szCs w:val="24"/>
          <w:lang w:val="en-US" w:eastAsia="zh-CN" w:bidi="ar-SA"/>
        </w:rPr>
        <w:t>产生及排放情况表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9"/>
        <w:gridCol w:w="660"/>
        <w:gridCol w:w="600"/>
        <w:gridCol w:w="600"/>
        <w:gridCol w:w="697"/>
        <w:gridCol w:w="697"/>
        <w:gridCol w:w="769"/>
        <w:gridCol w:w="1593"/>
        <w:gridCol w:w="1108"/>
        <w:gridCol w:w="981"/>
      </w:tblGrid>
      <w:tr w14:paraId="6E01B8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 w:type="dxa"/>
            <w:vMerge w:val="restart"/>
            <w:tcBorders>
              <w:tl2br w:val="nil"/>
              <w:tr2bl w:val="nil"/>
            </w:tcBorders>
            <w:noWrap w:val="0"/>
            <w:vAlign w:val="center"/>
          </w:tcPr>
          <w:p w14:paraId="36AFD8F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b/>
                <w:bCs/>
                <w:color w:val="auto"/>
                <w:kern w:val="2"/>
                <w:sz w:val="21"/>
                <w:szCs w:val="22"/>
                <w:lang w:eastAsia="zh-CN"/>
              </w:rPr>
            </w:pPr>
            <w:r>
              <w:rPr>
                <w:rFonts w:hint="eastAsia" w:ascii="Times New Roman" w:hAnsi="Times New Roman" w:eastAsia="宋体" w:cs="Times New Roman"/>
                <w:b/>
                <w:bCs/>
                <w:color w:val="auto"/>
                <w:kern w:val="2"/>
                <w:sz w:val="21"/>
                <w:szCs w:val="22"/>
                <w:lang w:val="en-US" w:eastAsia="zh-CN"/>
              </w:rPr>
              <w:t>产污环节</w:t>
            </w:r>
          </w:p>
        </w:tc>
        <w:tc>
          <w:tcPr>
            <w:tcW w:w="660" w:type="dxa"/>
            <w:vMerge w:val="restart"/>
            <w:tcBorders>
              <w:tl2br w:val="nil"/>
              <w:tr2bl w:val="nil"/>
            </w:tcBorders>
            <w:noWrap w:val="0"/>
            <w:vAlign w:val="center"/>
          </w:tcPr>
          <w:p w14:paraId="0A5E7CF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污染物</w:t>
            </w:r>
          </w:p>
        </w:tc>
        <w:tc>
          <w:tcPr>
            <w:tcW w:w="1200" w:type="dxa"/>
            <w:gridSpan w:val="2"/>
            <w:vMerge w:val="restart"/>
            <w:tcBorders>
              <w:tl2br w:val="nil"/>
              <w:tr2bl w:val="nil"/>
            </w:tcBorders>
            <w:noWrap w:val="0"/>
            <w:vAlign w:val="center"/>
          </w:tcPr>
          <w:p w14:paraId="378B4E2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产生量</w:t>
            </w:r>
          </w:p>
          <w:p w14:paraId="16AF51A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lang w:val="en-US" w:eastAsia="zh-CN"/>
              </w:rPr>
              <w:t>t</w:t>
            </w:r>
            <w:r>
              <w:rPr>
                <w:rFonts w:hint="default" w:ascii="Times New Roman" w:hAnsi="Times New Roman" w:eastAsia="宋体" w:cs="Times New Roman"/>
                <w:b/>
                <w:bCs/>
                <w:color w:val="auto"/>
                <w:kern w:val="2"/>
                <w:sz w:val="21"/>
                <w:szCs w:val="22"/>
              </w:rPr>
              <w:t>/a</w:t>
            </w:r>
          </w:p>
        </w:tc>
        <w:tc>
          <w:tcPr>
            <w:tcW w:w="697" w:type="dxa"/>
            <w:vMerge w:val="restart"/>
            <w:tcBorders>
              <w:tl2br w:val="nil"/>
              <w:tr2bl w:val="nil"/>
            </w:tcBorders>
            <w:noWrap w:val="0"/>
            <w:vAlign w:val="center"/>
          </w:tcPr>
          <w:p w14:paraId="54CAFA49">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产生速率</w:t>
            </w:r>
            <w:r>
              <w:rPr>
                <w:rFonts w:hint="default" w:ascii="Times New Roman" w:hAnsi="Times New Roman" w:eastAsia="宋体" w:cs="Times New Roman"/>
                <w:b/>
                <w:bCs/>
                <w:color w:val="auto"/>
                <w:kern w:val="2"/>
                <w:sz w:val="21"/>
                <w:szCs w:val="22"/>
              </w:rPr>
              <w:t>（kg/h）</w:t>
            </w:r>
          </w:p>
        </w:tc>
        <w:tc>
          <w:tcPr>
            <w:tcW w:w="697" w:type="dxa"/>
            <w:vMerge w:val="restart"/>
            <w:tcBorders>
              <w:tl2br w:val="nil"/>
              <w:tr2bl w:val="nil"/>
            </w:tcBorders>
            <w:noWrap w:val="0"/>
            <w:vAlign w:val="center"/>
          </w:tcPr>
          <w:p w14:paraId="4C5A36BC">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净化效率</w:t>
            </w:r>
          </w:p>
        </w:tc>
        <w:tc>
          <w:tcPr>
            <w:tcW w:w="4451" w:type="dxa"/>
            <w:gridSpan w:val="4"/>
            <w:tcBorders>
              <w:tl2br w:val="nil"/>
              <w:tr2bl w:val="nil"/>
            </w:tcBorders>
            <w:noWrap w:val="0"/>
            <w:vAlign w:val="center"/>
          </w:tcPr>
          <w:p w14:paraId="44150EA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污染物排放情况</w:t>
            </w:r>
          </w:p>
        </w:tc>
      </w:tr>
      <w:tr w14:paraId="671C0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 w:type="dxa"/>
            <w:vMerge w:val="continue"/>
            <w:tcBorders>
              <w:tl2br w:val="nil"/>
              <w:tr2bl w:val="nil"/>
            </w:tcBorders>
            <w:noWrap w:val="0"/>
            <w:vAlign w:val="center"/>
          </w:tcPr>
          <w:p w14:paraId="7AFD77C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660" w:type="dxa"/>
            <w:vMerge w:val="continue"/>
            <w:tcBorders>
              <w:tl2br w:val="nil"/>
              <w:tr2bl w:val="nil"/>
            </w:tcBorders>
            <w:noWrap w:val="0"/>
            <w:vAlign w:val="center"/>
          </w:tcPr>
          <w:p w14:paraId="285F41F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1200" w:type="dxa"/>
            <w:gridSpan w:val="2"/>
            <w:vMerge w:val="continue"/>
            <w:tcBorders>
              <w:tl2br w:val="nil"/>
              <w:tr2bl w:val="nil"/>
            </w:tcBorders>
            <w:noWrap w:val="0"/>
            <w:vAlign w:val="center"/>
          </w:tcPr>
          <w:p w14:paraId="1AEB15B9">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697" w:type="dxa"/>
            <w:vMerge w:val="continue"/>
            <w:tcBorders>
              <w:tl2br w:val="nil"/>
              <w:tr2bl w:val="nil"/>
            </w:tcBorders>
            <w:noWrap w:val="0"/>
            <w:vAlign w:val="center"/>
          </w:tcPr>
          <w:p w14:paraId="7454CF9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697" w:type="dxa"/>
            <w:vMerge w:val="continue"/>
            <w:tcBorders>
              <w:tl2br w:val="nil"/>
              <w:tr2bl w:val="nil"/>
            </w:tcBorders>
            <w:noWrap w:val="0"/>
            <w:vAlign w:val="center"/>
          </w:tcPr>
          <w:p w14:paraId="5619412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769" w:type="dxa"/>
            <w:tcBorders>
              <w:tl2br w:val="nil"/>
              <w:tr2bl w:val="nil"/>
            </w:tcBorders>
            <w:noWrap w:val="0"/>
            <w:vAlign w:val="center"/>
          </w:tcPr>
          <w:p w14:paraId="5D1B7BB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排放量（</w:t>
            </w:r>
            <w:r>
              <w:rPr>
                <w:rFonts w:hint="default" w:ascii="Times New Roman" w:hAnsi="Times New Roman" w:eastAsia="宋体" w:cs="Times New Roman"/>
                <w:b/>
                <w:bCs/>
                <w:color w:val="auto"/>
                <w:kern w:val="2"/>
                <w:sz w:val="21"/>
                <w:szCs w:val="22"/>
                <w:lang w:val="en-US" w:eastAsia="zh-CN"/>
              </w:rPr>
              <w:t>t</w:t>
            </w:r>
            <w:r>
              <w:rPr>
                <w:rFonts w:hint="default" w:ascii="Times New Roman" w:hAnsi="Times New Roman" w:eastAsia="宋体" w:cs="Times New Roman"/>
                <w:b/>
                <w:bCs/>
                <w:color w:val="auto"/>
                <w:kern w:val="2"/>
                <w:sz w:val="21"/>
                <w:szCs w:val="22"/>
              </w:rPr>
              <w:t>/a）</w:t>
            </w:r>
          </w:p>
        </w:tc>
        <w:tc>
          <w:tcPr>
            <w:tcW w:w="1593" w:type="dxa"/>
            <w:tcBorders>
              <w:tl2br w:val="nil"/>
              <w:tr2bl w:val="nil"/>
            </w:tcBorders>
            <w:noWrap w:val="0"/>
            <w:vAlign w:val="center"/>
          </w:tcPr>
          <w:p w14:paraId="23665359">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排放浓度（mg/m</w:t>
            </w:r>
            <w:r>
              <w:rPr>
                <w:rFonts w:hint="default" w:ascii="Times New Roman" w:hAnsi="Times New Roman" w:eastAsia="宋体" w:cs="Times New Roman"/>
                <w:b/>
                <w:bCs/>
                <w:color w:val="auto"/>
                <w:kern w:val="2"/>
                <w:sz w:val="21"/>
                <w:szCs w:val="22"/>
                <w:vertAlign w:val="superscript"/>
                <w:lang w:val="en-US" w:eastAsia="zh-CN"/>
              </w:rPr>
              <w:t>3</w:t>
            </w:r>
            <w:r>
              <w:rPr>
                <w:rFonts w:hint="default" w:ascii="Times New Roman" w:hAnsi="Times New Roman" w:eastAsia="宋体" w:cs="Times New Roman"/>
                <w:b/>
                <w:bCs/>
                <w:color w:val="auto"/>
                <w:kern w:val="2"/>
                <w:sz w:val="21"/>
                <w:szCs w:val="22"/>
              </w:rPr>
              <w:t>）</w:t>
            </w:r>
          </w:p>
        </w:tc>
        <w:tc>
          <w:tcPr>
            <w:tcW w:w="1108" w:type="dxa"/>
            <w:tcBorders>
              <w:tl2br w:val="nil"/>
              <w:tr2bl w:val="nil"/>
            </w:tcBorders>
            <w:noWrap w:val="0"/>
            <w:vAlign w:val="center"/>
          </w:tcPr>
          <w:p w14:paraId="0F8B26D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eastAsia" w:ascii="Times New Roman" w:hAnsi="Times New Roman" w:eastAsia="宋体" w:cs="Times New Roman"/>
                <w:b/>
                <w:bCs/>
                <w:color w:val="auto"/>
                <w:kern w:val="2"/>
                <w:sz w:val="21"/>
                <w:szCs w:val="22"/>
                <w:lang w:val="en-US" w:eastAsia="zh-CN"/>
              </w:rPr>
              <w:t>排气筒高度</w:t>
            </w:r>
          </w:p>
        </w:tc>
        <w:tc>
          <w:tcPr>
            <w:tcW w:w="981" w:type="dxa"/>
            <w:tcBorders>
              <w:tl2br w:val="nil"/>
              <w:tr2bl w:val="nil"/>
            </w:tcBorders>
            <w:noWrap w:val="0"/>
            <w:vAlign w:val="center"/>
          </w:tcPr>
          <w:p w14:paraId="64C6AAC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排放速率（kg/h）</w:t>
            </w:r>
          </w:p>
        </w:tc>
      </w:tr>
      <w:tr w14:paraId="08843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99" w:type="dxa"/>
            <w:vMerge w:val="restart"/>
            <w:tcBorders>
              <w:tl2br w:val="nil"/>
              <w:tr2bl w:val="nil"/>
            </w:tcBorders>
            <w:noWrap w:val="0"/>
            <w:vAlign w:val="center"/>
          </w:tcPr>
          <w:p w14:paraId="6DE1EC9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2"/>
                <w:sz w:val="21"/>
                <w:szCs w:val="22"/>
                <w:lang w:val="en-US" w:eastAsia="zh-CN"/>
              </w:rPr>
            </w:pPr>
            <w:r>
              <w:rPr>
                <w:rFonts w:hint="eastAsia" w:cs="Times New Roman"/>
                <w:color w:val="auto"/>
                <w:kern w:val="2"/>
                <w:sz w:val="21"/>
                <w:szCs w:val="22"/>
                <w:lang w:val="en-US" w:eastAsia="zh-CN"/>
              </w:rPr>
              <w:t>堆肥间</w:t>
            </w:r>
            <w:r>
              <w:rPr>
                <w:rFonts w:hint="eastAsia" w:ascii="Times New Roman" w:hAnsi="Times New Roman" w:eastAsia="宋体" w:cs="Times New Roman"/>
                <w:color w:val="auto"/>
                <w:kern w:val="2"/>
                <w:sz w:val="21"/>
                <w:szCs w:val="22"/>
                <w:lang w:val="en-US" w:eastAsia="zh-CN"/>
              </w:rPr>
              <w:t>（卸料废气、翻抛混料废气）</w:t>
            </w:r>
          </w:p>
        </w:tc>
        <w:tc>
          <w:tcPr>
            <w:tcW w:w="660" w:type="dxa"/>
            <w:tcBorders>
              <w:tl2br w:val="nil"/>
              <w:tr2bl w:val="nil"/>
            </w:tcBorders>
            <w:noWrap w:val="0"/>
            <w:vAlign w:val="center"/>
          </w:tcPr>
          <w:p w14:paraId="0A7C7C3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2"/>
                <w:lang w:val="en-US" w:eastAsia="zh-CN"/>
              </w:rPr>
            </w:pPr>
            <w:r>
              <w:rPr>
                <w:rFonts w:hint="eastAsia" w:ascii="Times New Roman" w:hAnsi="Times New Roman" w:eastAsia="宋体" w:cs="Times New Roman"/>
                <w:color w:val="000000"/>
                <w:kern w:val="2"/>
                <w:sz w:val="21"/>
                <w:szCs w:val="24"/>
                <w:lang w:val="en-US" w:eastAsia="zh-CN"/>
              </w:rPr>
              <w:t>颗粒物</w:t>
            </w:r>
          </w:p>
        </w:tc>
        <w:tc>
          <w:tcPr>
            <w:tcW w:w="600" w:type="dxa"/>
            <w:vMerge w:val="restart"/>
            <w:tcBorders>
              <w:tl2br w:val="nil"/>
              <w:tr2bl w:val="nil"/>
            </w:tcBorders>
            <w:noWrap w:val="0"/>
            <w:vAlign w:val="center"/>
          </w:tcPr>
          <w:p w14:paraId="5187039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1.34</w:t>
            </w:r>
          </w:p>
        </w:tc>
        <w:tc>
          <w:tcPr>
            <w:tcW w:w="600" w:type="dxa"/>
            <w:tcBorders>
              <w:tl2br w:val="nil"/>
              <w:tr2bl w:val="nil"/>
            </w:tcBorders>
            <w:noWrap w:val="0"/>
            <w:vAlign w:val="center"/>
          </w:tcPr>
          <w:p w14:paraId="3BF262B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1.21</w:t>
            </w:r>
            <w:r>
              <w:rPr>
                <w:rFonts w:hint="eastAsia" w:ascii="Times New Roman" w:hAnsi="Times New Roman" w:eastAsia="宋体" w:cs="Times New Roman"/>
                <w:color w:val="auto"/>
                <w:kern w:val="0"/>
                <w:sz w:val="21"/>
                <w:szCs w:val="21"/>
                <w:lang w:val="en-US" w:eastAsia="zh-CN"/>
              </w:rPr>
              <w:t xml:space="preserve"> </w:t>
            </w:r>
          </w:p>
        </w:tc>
        <w:tc>
          <w:tcPr>
            <w:tcW w:w="697" w:type="dxa"/>
            <w:tcBorders>
              <w:tl2br w:val="nil"/>
              <w:tr2bl w:val="nil"/>
            </w:tcBorders>
            <w:noWrap w:val="0"/>
            <w:vAlign w:val="center"/>
          </w:tcPr>
          <w:p w14:paraId="5AF7449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0.2559 </w:t>
            </w:r>
          </w:p>
        </w:tc>
        <w:tc>
          <w:tcPr>
            <w:tcW w:w="697" w:type="dxa"/>
            <w:tcBorders>
              <w:tl2br w:val="nil"/>
              <w:tr2bl w:val="nil"/>
            </w:tcBorders>
            <w:noWrap w:val="0"/>
            <w:vAlign w:val="center"/>
          </w:tcPr>
          <w:p w14:paraId="639963D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98%</w:t>
            </w:r>
          </w:p>
        </w:tc>
        <w:tc>
          <w:tcPr>
            <w:tcW w:w="769" w:type="dxa"/>
            <w:tcBorders>
              <w:tl2br w:val="nil"/>
              <w:tr2bl w:val="nil"/>
            </w:tcBorders>
            <w:noWrap w:val="0"/>
            <w:vAlign w:val="center"/>
          </w:tcPr>
          <w:p w14:paraId="597B556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0.02</w:t>
            </w:r>
          </w:p>
        </w:tc>
        <w:tc>
          <w:tcPr>
            <w:tcW w:w="1593" w:type="dxa"/>
            <w:tcBorders>
              <w:tl2br w:val="nil"/>
              <w:tr2bl w:val="nil"/>
            </w:tcBorders>
            <w:noWrap w:val="0"/>
            <w:vAlign w:val="center"/>
          </w:tcPr>
          <w:p w14:paraId="337599E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0.8</w:t>
            </w:r>
          </w:p>
        </w:tc>
        <w:tc>
          <w:tcPr>
            <w:tcW w:w="1108" w:type="dxa"/>
            <w:tcBorders>
              <w:tl2br w:val="nil"/>
              <w:tr2bl w:val="nil"/>
            </w:tcBorders>
            <w:noWrap w:val="0"/>
            <w:vAlign w:val="center"/>
          </w:tcPr>
          <w:p w14:paraId="20A3F68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15</w:t>
            </w:r>
          </w:p>
        </w:tc>
        <w:tc>
          <w:tcPr>
            <w:tcW w:w="981" w:type="dxa"/>
            <w:tcBorders>
              <w:tl2br w:val="nil"/>
              <w:tr2bl w:val="nil"/>
            </w:tcBorders>
            <w:noWrap w:val="0"/>
            <w:vAlign w:val="center"/>
          </w:tcPr>
          <w:p w14:paraId="2D253B2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0.0042 </w:t>
            </w:r>
          </w:p>
        </w:tc>
      </w:tr>
      <w:tr w14:paraId="63AAC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99" w:type="dxa"/>
            <w:vMerge w:val="continue"/>
            <w:tcBorders>
              <w:tl2br w:val="nil"/>
              <w:tr2bl w:val="nil"/>
            </w:tcBorders>
            <w:noWrap w:val="0"/>
            <w:vAlign w:val="center"/>
          </w:tcPr>
          <w:p w14:paraId="0306905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2"/>
                <w:sz w:val="21"/>
                <w:szCs w:val="22"/>
                <w:lang w:val="en-US" w:eastAsia="zh-CN"/>
              </w:rPr>
            </w:pPr>
          </w:p>
        </w:tc>
        <w:tc>
          <w:tcPr>
            <w:tcW w:w="660" w:type="dxa"/>
            <w:tcBorders>
              <w:tl2br w:val="nil"/>
              <w:tr2bl w:val="nil"/>
            </w:tcBorders>
            <w:noWrap w:val="0"/>
            <w:vAlign w:val="center"/>
          </w:tcPr>
          <w:p w14:paraId="26DCEF4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宋体"/>
                <w:b w:val="0"/>
                <w:bCs w:val="0"/>
                <w:color w:val="auto"/>
                <w:kern w:val="0"/>
                <w:sz w:val="21"/>
                <w:szCs w:val="21"/>
                <w:lang w:val="en-US" w:eastAsia="zh-CN"/>
              </w:rPr>
            </w:pPr>
            <w:r>
              <w:rPr>
                <w:rFonts w:hint="eastAsia" w:ascii="Times New Roman" w:hAnsi="Times New Roman" w:eastAsia="宋体" w:cs="Times New Roman"/>
                <w:color w:val="000000"/>
                <w:kern w:val="2"/>
                <w:sz w:val="21"/>
                <w:szCs w:val="24"/>
                <w:lang w:val="en-US" w:eastAsia="zh-CN"/>
              </w:rPr>
              <w:t>颗粒物</w:t>
            </w:r>
          </w:p>
        </w:tc>
        <w:tc>
          <w:tcPr>
            <w:tcW w:w="600" w:type="dxa"/>
            <w:vMerge w:val="continue"/>
            <w:tcBorders>
              <w:tl2br w:val="nil"/>
              <w:tr2bl w:val="nil"/>
            </w:tcBorders>
            <w:noWrap w:val="0"/>
            <w:vAlign w:val="center"/>
          </w:tcPr>
          <w:p w14:paraId="7421078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cs="Times New Roman"/>
                <w:color w:val="auto"/>
                <w:kern w:val="0"/>
                <w:sz w:val="21"/>
                <w:szCs w:val="21"/>
                <w:lang w:val="en-US" w:eastAsia="zh-CN"/>
              </w:rPr>
            </w:pPr>
          </w:p>
        </w:tc>
        <w:tc>
          <w:tcPr>
            <w:tcW w:w="600" w:type="dxa"/>
            <w:tcBorders>
              <w:tl2br w:val="nil"/>
              <w:tr2bl w:val="nil"/>
            </w:tcBorders>
            <w:noWrap w:val="0"/>
            <w:vAlign w:val="center"/>
          </w:tcPr>
          <w:p w14:paraId="385462C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0.13</w:t>
            </w:r>
            <w:r>
              <w:rPr>
                <w:rFonts w:hint="eastAsia" w:ascii="Times New Roman" w:hAnsi="Times New Roman" w:eastAsia="宋体" w:cs="Times New Roman"/>
                <w:color w:val="auto"/>
                <w:kern w:val="0"/>
                <w:sz w:val="21"/>
                <w:szCs w:val="21"/>
                <w:lang w:val="en-US" w:eastAsia="zh-CN"/>
              </w:rPr>
              <w:t xml:space="preserve"> </w:t>
            </w:r>
          </w:p>
        </w:tc>
        <w:tc>
          <w:tcPr>
            <w:tcW w:w="697" w:type="dxa"/>
            <w:tcBorders>
              <w:tl2br w:val="nil"/>
              <w:tr2bl w:val="nil"/>
            </w:tcBorders>
            <w:noWrap w:val="0"/>
            <w:vAlign w:val="center"/>
          </w:tcPr>
          <w:p w14:paraId="1BE05B4C">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0.0275 </w:t>
            </w:r>
          </w:p>
        </w:tc>
        <w:tc>
          <w:tcPr>
            <w:tcW w:w="697" w:type="dxa"/>
            <w:tcBorders>
              <w:tl2br w:val="nil"/>
              <w:tr2bl w:val="nil"/>
            </w:tcBorders>
            <w:noWrap w:val="0"/>
            <w:vAlign w:val="center"/>
          </w:tcPr>
          <w:p w14:paraId="26A962D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74%</w:t>
            </w:r>
          </w:p>
        </w:tc>
        <w:tc>
          <w:tcPr>
            <w:tcW w:w="769" w:type="dxa"/>
            <w:tcBorders>
              <w:tl2br w:val="nil"/>
              <w:tr2bl w:val="nil"/>
            </w:tcBorders>
            <w:noWrap w:val="0"/>
            <w:vAlign w:val="center"/>
          </w:tcPr>
          <w:p w14:paraId="5716ABC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0.03</w:t>
            </w:r>
          </w:p>
        </w:tc>
        <w:tc>
          <w:tcPr>
            <w:tcW w:w="1593" w:type="dxa"/>
            <w:tcBorders>
              <w:tl2br w:val="nil"/>
              <w:tr2bl w:val="nil"/>
            </w:tcBorders>
            <w:noWrap w:val="0"/>
            <w:vAlign w:val="center"/>
          </w:tcPr>
          <w:p w14:paraId="6B2FE27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1108" w:type="dxa"/>
            <w:tcBorders>
              <w:tl2br w:val="nil"/>
              <w:tr2bl w:val="nil"/>
            </w:tcBorders>
            <w:noWrap w:val="0"/>
            <w:vAlign w:val="center"/>
          </w:tcPr>
          <w:p w14:paraId="4874D00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无组织排放</w:t>
            </w:r>
          </w:p>
        </w:tc>
        <w:tc>
          <w:tcPr>
            <w:tcW w:w="981" w:type="dxa"/>
            <w:tcBorders>
              <w:tl2br w:val="nil"/>
              <w:tr2bl w:val="nil"/>
            </w:tcBorders>
            <w:noWrap w:val="0"/>
            <w:vAlign w:val="center"/>
          </w:tcPr>
          <w:p w14:paraId="733A57F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0.0063 </w:t>
            </w:r>
          </w:p>
        </w:tc>
      </w:tr>
      <w:tr w14:paraId="1F7FD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99" w:type="dxa"/>
            <w:vMerge w:val="continue"/>
            <w:tcBorders>
              <w:tl2br w:val="nil"/>
              <w:tr2bl w:val="nil"/>
            </w:tcBorders>
            <w:noWrap w:val="0"/>
            <w:vAlign w:val="center"/>
          </w:tcPr>
          <w:p w14:paraId="7142C46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2"/>
                <w:sz w:val="21"/>
                <w:szCs w:val="22"/>
                <w:lang w:val="en-US" w:eastAsia="zh-CN"/>
              </w:rPr>
            </w:pPr>
          </w:p>
        </w:tc>
        <w:tc>
          <w:tcPr>
            <w:tcW w:w="660" w:type="dxa"/>
            <w:tcBorders>
              <w:tl2br w:val="nil"/>
              <w:tr2bl w:val="nil"/>
            </w:tcBorders>
            <w:noWrap w:val="0"/>
            <w:vAlign w:val="center"/>
          </w:tcPr>
          <w:p w14:paraId="3696654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氨</w:t>
            </w:r>
          </w:p>
        </w:tc>
        <w:tc>
          <w:tcPr>
            <w:tcW w:w="600" w:type="dxa"/>
            <w:vMerge w:val="restart"/>
            <w:tcBorders>
              <w:tl2br w:val="nil"/>
              <w:tr2bl w:val="nil"/>
            </w:tcBorders>
            <w:noWrap w:val="0"/>
            <w:vAlign w:val="center"/>
          </w:tcPr>
          <w:p w14:paraId="52B4FC4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0.26</w:t>
            </w:r>
          </w:p>
        </w:tc>
        <w:tc>
          <w:tcPr>
            <w:tcW w:w="600" w:type="dxa"/>
            <w:tcBorders>
              <w:tl2br w:val="nil"/>
              <w:tr2bl w:val="nil"/>
            </w:tcBorders>
            <w:noWrap w:val="0"/>
            <w:vAlign w:val="center"/>
          </w:tcPr>
          <w:p w14:paraId="4335B2D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0.23</w:t>
            </w:r>
            <w:r>
              <w:rPr>
                <w:rFonts w:hint="eastAsia" w:ascii="Times New Roman" w:hAnsi="Times New Roman" w:eastAsia="宋体" w:cs="Times New Roman"/>
                <w:color w:val="auto"/>
                <w:kern w:val="0"/>
                <w:sz w:val="21"/>
                <w:szCs w:val="21"/>
                <w:lang w:val="en-US" w:eastAsia="zh-CN"/>
              </w:rPr>
              <w:t xml:space="preserve"> </w:t>
            </w:r>
          </w:p>
        </w:tc>
        <w:tc>
          <w:tcPr>
            <w:tcW w:w="697" w:type="dxa"/>
            <w:tcBorders>
              <w:tl2br w:val="nil"/>
              <w:tr2bl w:val="nil"/>
            </w:tcBorders>
            <w:noWrap w:val="0"/>
            <w:vAlign w:val="center"/>
          </w:tcPr>
          <w:p w14:paraId="1E10D76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0.0486 </w:t>
            </w:r>
          </w:p>
        </w:tc>
        <w:tc>
          <w:tcPr>
            <w:tcW w:w="697" w:type="dxa"/>
            <w:tcBorders>
              <w:tl2br w:val="nil"/>
              <w:tr2bl w:val="nil"/>
            </w:tcBorders>
            <w:noWrap w:val="0"/>
            <w:vAlign w:val="center"/>
          </w:tcPr>
          <w:p w14:paraId="1F1F547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88%</w:t>
            </w:r>
          </w:p>
        </w:tc>
        <w:tc>
          <w:tcPr>
            <w:tcW w:w="769" w:type="dxa"/>
            <w:tcBorders>
              <w:tl2br w:val="nil"/>
              <w:tr2bl w:val="nil"/>
            </w:tcBorders>
            <w:noWrap w:val="0"/>
            <w:vAlign w:val="center"/>
          </w:tcPr>
          <w:p w14:paraId="7C22BCA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0.03</w:t>
            </w:r>
          </w:p>
        </w:tc>
        <w:tc>
          <w:tcPr>
            <w:tcW w:w="1593" w:type="dxa"/>
            <w:tcBorders>
              <w:tl2br w:val="nil"/>
              <w:tr2bl w:val="nil"/>
            </w:tcBorders>
            <w:noWrap w:val="0"/>
            <w:vAlign w:val="center"/>
          </w:tcPr>
          <w:p w14:paraId="7E2368E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1.3</w:t>
            </w:r>
          </w:p>
        </w:tc>
        <w:tc>
          <w:tcPr>
            <w:tcW w:w="1108" w:type="dxa"/>
            <w:tcBorders>
              <w:tl2br w:val="nil"/>
              <w:tr2bl w:val="nil"/>
            </w:tcBorders>
            <w:noWrap w:val="0"/>
            <w:vAlign w:val="center"/>
          </w:tcPr>
          <w:p w14:paraId="5CE7C81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15</w:t>
            </w:r>
          </w:p>
        </w:tc>
        <w:tc>
          <w:tcPr>
            <w:tcW w:w="981" w:type="dxa"/>
            <w:tcBorders>
              <w:tl2br w:val="nil"/>
              <w:tr2bl w:val="nil"/>
            </w:tcBorders>
            <w:noWrap w:val="0"/>
            <w:vAlign w:val="center"/>
          </w:tcPr>
          <w:p w14:paraId="65BC86B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0.0063 </w:t>
            </w:r>
          </w:p>
        </w:tc>
      </w:tr>
      <w:tr w14:paraId="4C122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99" w:type="dxa"/>
            <w:vMerge w:val="continue"/>
            <w:tcBorders>
              <w:tl2br w:val="nil"/>
              <w:tr2bl w:val="nil"/>
            </w:tcBorders>
            <w:noWrap w:val="0"/>
            <w:vAlign w:val="center"/>
          </w:tcPr>
          <w:p w14:paraId="41B9A61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2"/>
                <w:sz w:val="21"/>
                <w:szCs w:val="22"/>
                <w:lang w:val="en-US" w:eastAsia="zh-CN"/>
              </w:rPr>
            </w:pPr>
          </w:p>
        </w:tc>
        <w:tc>
          <w:tcPr>
            <w:tcW w:w="660" w:type="dxa"/>
            <w:tcBorders>
              <w:tl2br w:val="nil"/>
              <w:tr2bl w:val="nil"/>
            </w:tcBorders>
            <w:noWrap w:val="0"/>
            <w:vAlign w:val="center"/>
          </w:tcPr>
          <w:p w14:paraId="45B918D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氨</w:t>
            </w:r>
          </w:p>
        </w:tc>
        <w:tc>
          <w:tcPr>
            <w:tcW w:w="600" w:type="dxa"/>
            <w:vMerge w:val="continue"/>
            <w:tcBorders>
              <w:tl2br w:val="nil"/>
              <w:tr2bl w:val="nil"/>
            </w:tcBorders>
            <w:noWrap w:val="0"/>
            <w:vAlign w:val="center"/>
          </w:tcPr>
          <w:p w14:paraId="50422A0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cs="Times New Roman"/>
                <w:color w:val="auto"/>
                <w:kern w:val="0"/>
                <w:sz w:val="21"/>
                <w:szCs w:val="21"/>
                <w:lang w:val="en-US" w:eastAsia="zh-CN"/>
              </w:rPr>
            </w:pPr>
          </w:p>
        </w:tc>
        <w:tc>
          <w:tcPr>
            <w:tcW w:w="600" w:type="dxa"/>
            <w:tcBorders>
              <w:tl2br w:val="nil"/>
              <w:tr2bl w:val="nil"/>
            </w:tcBorders>
            <w:noWrap w:val="0"/>
            <w:vAlign w:val="center"/>
          </w:tcPr>
          <w:p w14:paraId="1D466F9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0.03</w:t>
            </w:r>
          </w:p>
        </w:tc>
        <w:tc>
          <w:tcPr>
            <w:tcW w:w="697" w:type="dxa"/>
            <w:tcBorders>
              <w:tl2br w:val="nil"/>
              <w:tr2bl w:val="nil"/>
            </w:tcBorders>
            <w:noWrap w:val="0"/>
            <w:vAlign w:val="center"/>
          </w:tcPr>
          <w:p w14:paraId="0407FA3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0.0063 </w:t>
            </w:r>
          </w:p>
        </w:tc>
        <w:tc>
          <w:tcPr>
            <w:tcW w:w="697" w:type="dxa"/>
            <w:tcBorders>
              <w:tl2br w:val="nil"/>
              <w:tr2bl w:val="nil"/>
            </w:tcBorders>
            <w:noWrap w:val="0"/>
            <w:vAlign w:val="center"/>
          </w:tcPr>
          <w:p w14:paraId="7CFCC41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无组织</w:t>
            </w:r>
          </w:p>
        </w:tc>
        <w:tc>
          <w:tcPr>
            <w:tcW w:w="769" w:type="dxa"/>
            <w:tcBorders>
              <w:tl2br w:val="nil"/>
              <w:tr2bl w:val="nil"/>
            </w:tcBorders>
            <w:noWrap w:val="0"/>
            <w:vAlign w:val="center"/>
          </w:tcPr>
          <w:p w14:paraId="44D46E1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w:t>
            </w:r>
            <w:r>
              <w:rPr>
                <w:rFonts w:hint="eastAsia" w:cs="Times New Roman"/>
                <w:color w:val="auto"/>
                <w:kern w:val="0"/>
                <w:sz w:val="21"/>
                <w:szCs w:val="21"/>
                <w:lang w:val="en-US" w:eastAsia="zh-CN"/>
              </w:rPr>
              <w:t>3</w:t>
            </w:r>
          </w:p>
        </w:tc>
        <w:tc>
          <w:tcPr>
            <w:tcW w:w="1593" w:type="dxa"/>
            <w:tcBorders>
              <w:tl2br w:val="nil"/>
              <w:tr2bl w:val="nil"/>
            </w:tcBorders>
            <w:noWrap w:val="0"/>
            <w:vAlign w:val="center"/>
          </w:tcPr>
          <w:p w14:paraId="0628212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1108" w:type="dxa"/>
            <w:tcBorders>
              <w:tl2br w:val="nil"/>
              <w:tr2bl w:val="nil"/>
            </w:tcBorders>
            <w:noWrap w:val="0"/>
            <w:vAlign w:val="center"/>
          </w:tcPr>
          <w:p w14:paraId="6F59C7A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无组织排放</w:t>
            </w:r>
          </w:p>
        </w:tc>
        <w:tc>
          <w:tcPr>
            <w:tcW w:w="981" w:type="dxa"/>
            <w:tcBorders>
              <w:tl2br w:val="nil"/>
              <w:tr2bl w:val="nil"/>
            </w:tcBorders>
            <w:noWrap w:val="0"/>
            <w:vAlign w:val="center"/>
          </w:tcPr>
          <w:p w14:paraId="11E1883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0.0063 </w:t>
            </w:r>
          </w:p>
        </w:tc>
      </w:tr>
      <w:tr w14:paraId="2C850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99" w:type="dxa"/>
            <w:vMerge w:val="continue"/>
            <w:tcBorders>
              <w:tl2br w:val="nil"/>
              <w:tr2bl w:val="nil"/>
            </w:tcBorders>
            <w:noWrap w:val="0"/>
            <w:vAlign w:val="center"/>
          </w:tcPr>
          <w:p w14:paraId="7FFE2EE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2"/>
                <w:sz w:val="21"/>
                <w:szCs w:val="22"/>
                <w:lang w:val="en-US" w:eastAsia="zh-CN"/>
              </w:rPr>
            </w:pPr>
          </w:p>
        </w:tc>
        <w:tc>
          <w:tcPr>
            <w:tcW w:w="660" w:type="dxa"/>
            <w:tcBorders>
              <w:tl2br w:val="nil"/>
              <w:tr2bl w:val="nil"/>
            </w:tcBorders>
            <w:noWrap w:val="0"/>
            <w:vAlign w:val="center"/>
          </w:tcPr>
          <w:p w14:paraId="7C3180C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硫化氢</w:t>
            </w:r>
          </w:p>
        </w:tc>
        <w:tc>
          <w:tcPr>
            <w:tcW w:w="600" w:type="dxa"/>
            <w:vMerge w:val="restart"/>
            <w:tcBorders>
              <w:tl2br w:val="nil"/>
              <w:tr2bl w:val="nil"/>
            </w:tcBorders>
            <w:noWrap w:val="0"/>
            <w:vAlign w:val="center"/>
          </w:tcPr>
          <w:p w14:paraId="3F1A163C">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0.02</w:t>
            </w:r>
          </w:p>
        </w:tc>
        <w:tc>
          <w:tcPr>
            <w:tcW w:w="600" w:type="dxa"/>
            <w:tcBorders>
              <w:tl2br w:val="nil"/>
              <w:tr2bl w:val="nil"/>
            </w:tcBorders>
            <w:noWrap w:val="0"/>
            <w:vAlign w:val="center"/>
          </w:tcPr>
          <w:p w14:paraId="2791433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0.018</w:t>
            </w:r>
          </w:p>
        </w:tc>
        <w:tc>
          <w:tcPr>
            <w:tcW w:w="697" w:type="dxa"/>
            <w:tcBorders>
              <w:tl2br w:val="nil"/>
              <w:tr2bl w:val="nil"/>
            </w:tcBorders>
            <w:noWrap w:val="0"/>
            <w:vAlign w:val="center"/>
          </w:tcPr>
          <w:p w14:paraId="492255D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0.0038 </w:t>
            </w:r>
          </w:p>
        </w:tc>
        <w:tc>
          <w:tcPr>
            <w:tcW w:w="697" w:type="dxa"/>
            <w:tcBorders>
              <w:tl2br w:val="nil"/>
              <w:tr2bl w:val="nil"/>
            </w:tcBorders>
            <w:noWrap w:val="0"/>
            <w:vAlign w:val="center"/>
          </w:tcPr>
          <w:p w14:paraId="1B0A767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88%</w:t>
            </w:r>
          </w:p>
        </w:tc>
        <w:tc>
          <w:tcPr>
            <w:tcW w:w="769" w:type="dxa"/>
            <w:tcBorders>
              <w:tl2br w:val="nil"/>
              <w:tr2bl w:val="nil"/>
            </w:tcBorders>
            <w:noWrap w:val="0"/>
            <w:vAlign w:val="center"/>
          </w:tcPr>
          <w:p w14:paraId="01CCD3B9">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0.002</w:t>
            </w:r>
          </w:p>
        </w:tc>
        <w:tc>
          <w:tcPr>
            <w:tcW w:w="1593" w:type="dxa"/>
            <w:tcBorders>
              <w:tl2br w:val="nil"/>
              <w:tr2bl w:val="nil"/>
            </w:tcBorders>
            <w:noWrap w:val="0"/>
            <w:vAlign w:val="center"/>
          </w:tcPr>
          <w:p w14:paraId="5A93750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0.1</w:t>
            </w:r>
          </w:p>
        </w:tc>
        <w:tc>
          <w:tcPr>
            <w:tcW w:w="1108" w:type="dxa"/>
            <w:tcBorders>
              <w:tl2br w:val="nil"/>
              <w:tr2bl w:val="nil"/>
            </w:tcBorders>
            <w:noWrap w:val="0"/>
            <w:vAlign w:val="center"/>
          </w:tcPr>
          <w:p w14:paraId="41BD25C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15</w:t>
            </w:r>
          </w:p>
        </w:tc>
        <w:tc>
          <w:tcPr>
            <w:tcW w:w="981" w:type="dxa"/>
            <w:tcBorders>
              <w:tl2br w:val="nil"/>
              <w:tr2bl w:val="nil"/>
            </w:tcBorders>
            <w:noWrap w:val="0"/>
            <w:vAlign w:val="center"/>
          </w:tcPr>
          <w:p w14:paraId="3A7DC94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0.0004 </w:t>
            </w:r>
          </w:p>
        </w:tc>
      </w:tr>
      <w:tr w14:paraId="578EC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99" w:type="dxa"/>
            <w:vMerge w:val="continue"/>
            <w:tcBorders>
              <w:tl2br w:val="nil"/>
              <w:tr2bl w:val="nil"/>
            </w:tcBorders>
            <w:noWrap w:val="0"/>
            <w:vAlign w:val="center"/>
          </w:tcPr>
          <w:p w14:paraId="494DC45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2"/>
                <w:sz w:val="21"/>
                <w:szCs w:val="22"/>
                <w:lang w:val="en-US" w:eastAsia="zh-CN"/>
              </w:rPr>
            </w:pPr>
          </w:p>
        </w:tc>
        <w:tc>
          <w:tcPr>
            <w:tcW w:w="660" w:type="dxa"/>
            <w:tcBorders>
              <w:tl2br w:val="nil"/>
              <w:tr2bl w:val="nil"/>
            </w:tcBorders>
            <w:noWrap w:val="0"/>
            <w:vAlign w:val="center"/>
          </w:tcPr>
          <w:p w14:paraId="548B99E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硫化氢</w:t>
            </w:r>
          </w:p>
        </w:tc>
        <w:tc>
          <w:tcPr>
            <w:tcW w:w="600" w:type="dxa"/>
            <w:vMerge w:val="continue"/>
            <w:tcBorders>
              <w:tl2br w:val="nil"/>
              <w:tr2bl w:val="nil"/>
            </w:tcBorders>
            <w:noWrap w:val="0"/>
            <w:vAlign w:val="center"/>
          </w:tcPr>
          <w:p w14:paraId="3328867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cs="Times New Roman"/>
                <w:color w:val="auto"/>
                <w:kern w:val="0"/>
                <w:sz w:val="21"/>
                <w:szCs w:val="21"/>
                <w:lang w:val="en-US" w:eastAsia="zh-CN"/>
              </w:rPr>
            </w:pPr>
          </w:p>
        </w:tc>
        <w:tc>
          <w:tcPr>
            <w:tcW w:w="600" w:type="dxa"/>
            <w:tcBorders>
              <w:tl2br w:val="nil"/>
              <w:tr2bl w:val="nil"/>
            </w:tcBorders>
            <w:noWrap w:val="0"/>
            <w:vAlign w:val="center"/>
          </w:tcPr>
          <w:p w14:paraId="5528A0F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0.002</w:t>
            </w:r>
          </w:p>
        </w:tc>
        <w:tc>
          <w:tcPr>
            <w:tcW w:w="697" w:type="dxa"/>
            <w:tcBorders>
              <w:tl2br w:val="nil"/>
              <w:tr2bl w:val="nil"/>
            </w:tcBorders>
            <w:noWrap w:val="0"/>
            <w:vAlign w:val="center"/>
          </w:tcPr>
          <w:p w14:paraId="6597F56C">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0.0004 </w:t>
            </w:r>
          </w:p>
        </w:tc>
        <w:tc>
          <w:tcPr>
            <w:tcW w:w="697" w:type="dxa"/>
            <w:tcBorders>
              <w:tl2br w:val="nil"/>
              <w:tr2bl w:val="nil"/>
            </w:tcBorders>
            <w:noWrap w:val="0"/>
            <w:vAlign w:val="center"/>
          </w:tcPr>
          <w:p w14:paraId="6FE8428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无组织</w:t>
            </w:r>
          </w:p>
        </w:tc>
        <w:tc>
          <w:tcPr>
            <w:tcW w:w="769" w:type="dxa"/>
            <w:tcBorders>
              <w:tl2br w:val="nil"/>
              <w:tr2bl w:val="nil"/>
            </w:tcBorders>
            <w:noWrap w:val="0"/>
            <w:vAlign w:val="center"/>
          </w:tcPr>
          <w:p w14:paraId="511BC93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w:t>
            </w:r>
            <w:r>
              <w:rPr>
                <w:rFonts w:hint="eastAsia" w:cs="Times New Roman"/>
                <w:color w:val="auto"/>
                <w:kern w:val="0"/>
                <w:sz w:val="21"/>
                <w:szCs w:val="21"/>
                <w:lang w:val="en-US" w:eastAsia="zh-CN"/>
              </w:rPr>
              <w:t>02</w:t>
            </w:r>
          </w:p>
        </w:tc>
        <w:tc>
          <w:tcPr>
            <w:tcW w:w="1593" w:type="dxa"/>
            <w:tcBorders>
              <w:tl2br w:val="nil"/>
              <w:tr2bl w:val="nil"/>
            </w:tcBorders>
            <w:noWrap w:val="0"/>
            <w:vAlign w:val="center"/>
          </w:tcPr>
          <w:p w14:paraId="30A2503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1108" w:type="dxa"/>
            <w:tcBorders>
              <w:tl2br w:val="nil"/>
              <w:tr2bl w:val="nil"/>
            </w:tcBorders>
            <w:noWrap w:val="0"/>
            <w:vAlign w:val="center"/>
          </w:tcPr>
          <w:p w14:paraId="70A380F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无组织排放</w:t>
            </w:r>
          </w:p>
        </w:tc>
        <w:tc>
          <w:tcPr>
            <w:tcW w:w="981" w:type="dxa"/>
            <w:tcBorders>
              <w:tl2br w:val="nil"/>
              <w:tr2bl w:val="nil"/>
            </w:tcBorders>
            <w:noWrap w:val="0"/>
            <w:vAlign w:val="center"/>
          </w:tcPr>
          <w:p w14:paraId="007F5BE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0.0004 </w:t>
            </w:r>
          </w:p>
        </w:tc>
      </w:tr>
    </w:tbl>
    <w:p w14:paraId="3A39F99F">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000000"/>
          <w:sz w:val="24"/>
          <w:szCs w:val="24"/>
          <w:highlight w:val="none"/>
          <w:lang w:val="en-US" w:eastAsia="zh-CN" w:bidi="ar-SA"/>
        </w:rPr>
      </w:pPr>
      <w:r>
        <w:rPr>
          <w:rFonts w:hint="eastAsia" w:cs="Times New Roman"/>
          <w:snapToGrid w:val="0"/>
          <w:color w:val="000000"/>
          <w:sz w:val="24"/>
          <w:szCs w:val="24"/>
          <w:highlight w:val="none"/>
          <w:lang w:val="en-US" w:eastAsia="zh-CN" w:bidi="ar-SA"/>
        </w:rPr>
        <w:t>（5）</w:t>
      </w:r>
      <w:r>
        <w:rPr>
          <w:rFonts w:hint="eastAsia" w:ascii="Times New Roman" w:hAnsi="Times New Roman" w:eastAsia="宋体" w:cs="Times New Roman"/>
          <w:snapToGrid w:val="0"/>
          <w:color w:val="000000"/>
          <w:sz w:val="24"/>
          <w:szCs w:val="24"/>
          <w:highlight w:val="none"/>
          <w:lang w:val="en-US" w:eastAsia="zh-CN" w:bidi="ar-SA"/>
        </w:rPr>
        <w:t>机械车辆尾气</w:t>
      </w:r>
    </w:p>
    <w:p w14:paraId="7407B8CF">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根据《环境影响评价技术导则</w:t>
      </w:r>
      <w:r>
        <w:rPr>
          <w:rFonts w:hint="eastAsia" w:ascii="Times New Roman" w:hAnsi="Times New Roman"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大气环境》（HJ2.2-2018）</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对于编制报告书的工业项目，分析调查受本项目物料及产品运输影响新增的交通运输移动源，包括运输方式、新增交通流量、排放污染物及排放量</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p>
    <w:p w14:paraId="744533F3">
      <w:pPr>
        <w:snapToGrid w:val="0"/>
        <w:spacing w:line="360" w:lineRule="auto"/>
        <w:ind w:firstLine="480" w:firstLineChars="200"/>
        <w:rPr>
          <w:rFonts w:hint="eastAsia" w:cs="Times New Roman"/>
          <w:snapToGrid w:val="0"/>
          <w:color w:val="000000"/>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燃油机械和汽车尾气中的污染物为燃料燃烧后的产物，主要有NO</w:t>
      </w:r>
      <w:r>
        <w:rPr>
          <w:rFonts w:hint="eastAsia" w:cs="Times New Roman"/>
          <w:color w:val="000000"/>
          <w:sz w:val="24"/>
          <w:szCs w:val="24"/>
          <w:highlight w:val="none"/>
          <w:lang w:val="en-US" w:eastAsia="zh-CN"/>
        </w:rPr>
        <w:t>x</w:t>
      </w:r>
      <w:r>
        <w:rPr>
          <w:rFonts w:hint="default" w:ascii="Times New Roman" w:hAnsi="Times New Roman" w:eastAsia="宋体" w:cs="Times New Roman"/>
          <w:color w:val="000000"/>
          <w:sz w:val="24"/>
          <w:szCs w:val="24"/>
          <w:highlight w:val="none"/>
          <w:lang w:val="en-US" w:eastAsia="zh-CN"/>
        </w:rPr>
        <w:t>、CO及</w:t>
      </w:r>
      <w:r>
        <w:rPr>
          <w:rFonts w:hint="eastAsia" w:ascii="Times New Roman" w:hAnsi="Times New Roman" w:eastAsia="宋体" w:cs="Times New Roman"/>
          <w:color w:val="000000"/>
          <w:sz w:val="24"/>
          <w:szCs w:val="24"/>
          <w:highlight w:val="none"/>
          <w:lang w:val="en-US" w:eastAsia="zh-CN"/>
        </w:rPr>
        <w:t>THC</w:t>
      </w:r>
      <w:r>
        <w:rPr>
          <w:rFonts w:hint="default" w:ascii="Times New Roman" w:hAnsi="Times New Roman" w:eastAsia="宋体" w:cs="Times New Roman"/>
          <w:color w:val="000000"/>
          <w:sz w:val="24"/>
          <w:szCs w:val="24"/>
          <w:highlight w:val="none"/>
          <w:lang w:val="en-US" w:eastAsia="zh-CN"/>
        </w:rPr>
        <w:t>等，生产过程中要求使用尾气达标车辆及设备，使用优质燃料。废气污染源具有间歇性和流动性，废气量较小，对周边环境影响较小</w:t>
      </w:r>
      <w:r>
        <w:rPr>
          <w:rFonts w:hint="eastAsia" w:cs="Times New Roman"/>
          <w:color w:val="000000"/>
          <w:sz w:val="24"/>
          <w:szCs w:val="24"/>
          <w:highlight w:val="none"/>
          <w:lang w:val="en-US" w:eastAsia="zh-CN"/>
        </w:rPr>
        <w:t>，因此仅定性分析，不进行量化计算</w:t>
      </w:r>
      <w:r>
        <w:rPr>
          <w:rFonts w:hint="default" w:ascii="Times New Roman" w:hAnsi="Times New Roman" w:eastAsia="宋体" w:cs="Times New Roman"/>
          <w:color w:val="000000"/>
          <w:sz w:val="24"/>
          <w:szCs w:val="24"/>
          <w:highlight w:val="none"/>
          <w:lang w:val="en-US" w:eastAsia="zh-CN"/>
        </w:rPr>
        <w:t>。</w:t>
      </w:r>
    </w:p>
    <w:p w14:paraId="17A395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（6）现有工程饲料加工区“以新带老”</w:t>
      </w:r>
    </w:p>
    <w:p w14:paraId="0E932879">
      <w:pPr>
        <w:keepNext w:val="0"/>
        <w:keepLines w:val="0"/>
        <w:pageBreakBefore w:val="0"/>
        <w:wordWrap/>
        <w:topLinePunct w:val="0"/>
        <w:bidi w:val="0"/>
        <w:adjustRightInd/>
        <w:snapToGrid/>
        <w:spacing w:line="360" w:lineRule="auto"/>
        <w:ind w:firstLine="48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现有工程与本项目共用饲料加工区，本项目对饲料加工区增设袋式除尘进行</w:t>
      </w:r>
      <w:r>
        <w:rPr>
          <w:rFonts w:hint="eastAsia" w:ascii="Times New Roman" w:hAnsi="Times New Roman" w:cs="Times New Roman"/>
          <w:kern w:val="2"/>
          <w:sz w:val="24"/>
          <w:szCs w:val="24"/>
          <w:lang w:val="en-US" w:eastAsia="zh-CN" w:bidi="ar-SA"/>
        </w:rPr>
        <w:t>“以新带老”</w:t>
      </w:r>
      <w:r>
        <w:rPr>
          <w:rFonts w:hint="eastAsia" w:ascii="Times New Roman" w:hAnsi="Times New Roman" w:eastAsia="宋体" w:cs="Times New Roman"/>
          <w:b w:val="0"/>
          <w:bCs w:val="0"/>
          <w:color w:val="auto"/>
          <w:sz w:val="24"/>
          <w:szCs w:val="24"/>
          <w:lang w:val="en-US" w:eastAsia="zh-CN"/>
        </w:rPr>
        <w:t>，根据《排放源统计调查产排污核算方法和系数手册》132饲料加工行业系数手册，配合饲料粉碎+混合+制粒（可不制粒）+除尘产污系数0.043千克/吨产品，现有工程</w:t>
      </w:r>
      <w:r>
        <w:rPr>
          <w:rFonts w:hint="eastAsia" w:ascii="Times New Roman" w:hAnsi="Times New Roman" w:eastAsia="宋体" w:cs="Times New Roman"/>
          <w:sz w:val="24"/>
          <w:szCs w:val="24"/>
          <w:lang w:val="en-US" w:eastAsia="zh-CN"/>
        </w:rPr>
        <w:t>混合饲料共计3058.7t/a</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b w:val="0"/>
          <w:bCs w:val="0"/>
          <w:color w:val="auto"/>
          <w:sz w:val="24"/>
          <w:szCs w:val="24"/>
          <w:lang w:val="en-US" w:eastAsia="zh-CN"/>
        </w:rPr>
        <w:t>因此现有工程饲料破碎、搅拌粉尘0.13t/a。</w:t>
      </w:r>
    </w:p>
    <w:p w14:paraId="60042411">
      <w:pPr>
        <w:widowControl w:val="0"/>
        <w:autoSpaceDE w:val="0"/>
        <w:autoSpaceDN w:val="0"/>
        <w:adjustRightInd w:val="0"/>
        <w:spacing w:line="360" w:lineRule="auto"/>
        <w:ind w:firstLine="480" w:firstLineChars="200"/>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SA"/>
        </w:rPr>
        <w:t>通过包围型集气罩分别收集后共用同一套袋式除尘处置</w:t>
      </w:r>
      <w:r>
        <w:rPr>
          <w:rFonts w:hint="eastAsia" w:ascii="Times New Roman" w:hAnsi="Times New Roman" w:eastAsia="宋体" w:cs="Times New Roman"/>
          <w:snapToGrid w:val="0"/>
          <w:color w:val="000000"/>
          <w:kern w:val="0"/>
          <w:sz w:val="24"/>
          <w:szCs w:val="24"/>
          <w:highlight w:val="none"/>
          <w:lang w:val="en-US" w:eastAsia="zh-CN" w:bidi="ar-SA"/>
        </w:rPr>
        <w:t>，出料口上方1.5m处设置</w:t>
      </w:r>
      <w:r>
        <w:rPr>
          <w:rFonts w:hint="eastAsia" w:ascii="Times New Roman" w:hAnsi="Times New Roman" w:eastAsia="宋体" w:cs="Times New Roman"/>
          <w:color w:val="000000"/>
          <w:kern w:val="0"/>
          <w:sz w:val="24"/>
          <w:szCs w:val="24"/>
          <w:lang w:val="en-US" w:eastAsia="zh-CN" w:bidi="ar-SA"/>
        </w:rPr>
        <w:t>包围型集气罩，废气</w:t>
      </w:r>
      <w:r>
        <w:rPr>
          <w:rFonts w:hint="default" w:ascii="Times New Roman" w:hAnsi="Times New Roman" w:eastAsia="宋体" w:cs="Times New Roman"/>
          <w:snapToGrid w:val="0"/>
          <w:color w:val="000000"/>
          <w:kern w:val="0"/>
          <w:sz w:val="24"/>
          <w:szCs w:val="24"/>
          <w:highlight w:val="none"/>
          <w:lang w:val="en-US" w:eastAsia="zh-CN" w:bidi="ar-SA"/>
        </w:rPr>
        <w:t>通过集气罩收集后送入</w:t>
      </w:r>
      <w:r>
        <w:rPr>
          <w:rFonts w:hint="eastAsia" w:ascii="Times New Roman" w:hAnsi="Times New Roman" w:eastAsia="宋体" w:cs="Times New Roman"/>
          <w:color w:val="000000"/>
          <w:kern w:val="0"/>
          <w:sz w:val="24"/>
          <w:szCs w:val="24"/>
          <w:lang w:val="en-US" w:eastAsia="zh-CN" w:bidi="ar-SA"/>
        </w:rPr>
        <w:t>袋式除尘</w:t>
      </w:r>
      <w:r>
        <w:rPr>
          <w:rFonts w:hint="default" w:ascii="Times New Roman" w:hAnsi="Times New Roman" w:eastAsia="宋体" w:cs="Times New Roman"/>
          <w:snapToGrid w:val="0"/>
          <w:color w:val="000000"/>
          <w:kern w:val="0"/>
          <w:sz w:val="24"/>
          <w:szCs w:val="24"/>
          <w:highlight w:val="none"/>
          <w:lang w:val="en-US" w:eastAsia="zh-CN" w:bidi="ar-SA"/>
        </w:rPr>
        <w:t>处理后经</w:t>
      </w:r>
      <w:r>
        <w:rPr>
          <w:rFonts w:hint="eastAsia" w:ascii="Times New Roman" w:hAnsi="Times New Roman" w:eastAsia="宋体" w:cs="Times New Roman"/>
          <w:snapToGrid w:val="0"/>
          <w:color w:val="000000"/>
          <w:kern w:val="0"/>
          <w:sz w:val="24"/>
          <w:szCs w:val="24"/>
          <w:highlight w:val="none"/>
          <w:lang w:val="en-US" w:eastAsia="zh-CN" w:bidi="ar-SA"/>
        </w:rPr>
        <w:t>15m</w:t>
      </w:r>
      <w:r>
        <w:rPr>
          <w:rFonts w:hint="default" w:ascii="Times New Roman" w:hAnsi="Times New Roman" w:eastAsia="宋体" w:cs="Times New Roman"/>
          <w:snapToGrid w:val="0"/>
          <w:color w:val="000000"/>
          <w:kern w:val="0"/>
          <w:sz w:val="24"/>
          <w:szCs w:val="24"/>
          <w:highlight w:val="none"/>
          <w:lang w:val="en-US" w:eastAsia="zh-CN" w:bidi="ar-SA"/>
        </w:rPr>
        <w:t>排气筒排放，收集效率为</w:t>
      </w:r>
      <w:r>
        <w:rPr>
          <w:rFonts w:hint="eastAsia" w:ascii="Times New Roman" w:hAnsi="Times New Roman" w:eastAsia="宋体" w:cs="Times New Roman"/>
          <w:snapToGrid w:val="0"/>
          <w:color w:val="000000"/>
          <w:kern w:val="0"/>
          <w:sz w:val="24"/>
          <w:szCs w:val="24"/>
          <w:highlight w:val="none"/>
          <w:lang w:val="en-US" w:eastAsia="zh-CN" w:bidi="ar-SA"/>
        </w:rPr>
        <w:t>50</w:t>
      </w:r>
      <w:r>
        <w:rPr>
          <w:rFonts w:hint="default" w:ascii="Times New Roman" w:hAnsi="Times New Roman" w:eastAsia="宋体"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除尘</w:t>
      </w:r>
      <w:r>
        <w:rPr>
          <w:rFonts w:hint="default" w:ascii="Times New Roman" w:hAnsi="Times New Roman" w:eastAsia="宋体" w:cs="Times New Roman"/>
          <w:snapToGrid w:val="0"/>
          <w:color w:val="000000"/>
          <w:kern w:val="0"/>
          <w:sz w:val="24"/>
          <w:szCs w:val="24"/>
          <w:highlight w:val="none"/>
          <w:lang w:val="en-US" w:eastAsia="zh-CN" w:bidi="ar-SA"/>
        </w:rPr>
        <w:t>效率为</w:t>
      </w:r>
      <w:r>
        <w:rPr>
          <w:rFonts w:hint="eastAsia" w:ascii="Times New Roman" w:hAnsi="Times New Roman" w:eastAsia="宋体" w:cs="Times New Roman"/>
          <w:snapToGrid w:val="0"/>
          <w:color w:val="000000"/>
          <w:kern w:val="0"/>
          <w:sz w:val="24"/>
          <w:szCs w:val="24"/>
          <w:highlight w:val="none"/>
          <w:lang w:val="en-US" w:eastAsia="zh-CN" w:bidi="ar-SA"/>
        </w:rPr>
        <w:t>98</w:t>
      </w:r>
      <w:r>
        <w:rPr>
          <w:rFonts w:hint="default" w:ascii="Times New Roman" w:hAnsi="Times New Roman" w:eastAsia="宋体"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（除尘效率由</w:t>
      </w:r>
      <w:r>
        <w:rPr>
          <w:rFonts w:hint="default" w:ascii="Times New Roman" w:hAnsi="Times New Roman" w:eastAsia="宋体" w:cs="Times New Roman"/>
          <w:snapToGrid w:val="0"/>
          <w:color w:val="000000"/>
          <w:kern w:val="0"/>
          <w:sz w:val="24"/>
          <w:szCs w:val="24"/>
          <w:highlight w:val="none"/>
          <w:lang w:val="en-US" w:eastAsia="zh-CN" w:bidi="ar-SA"/>
        </w:rPr>
        <w:t>《排放源统计调查产排污核算方法和系数手册》</w:t>
      </w:r>
      <w:r>
        <w:rPr>
          <w:rFonts w:hint="eastAsia" w:ascii="Times New Roman" w:hAnsi="Times New Roman" w:eastAsia="宋体" w:cs="Times New Roman"/>
          <w:snapToGrid w:val="0"/>
          <w:color w:val="000000"/>
          <w:kern w:val="0"/>
          <w:sz w:val="24"/>
          <w:szCs w:val="24"/>
          <w:highlight w:val="none"/>
          <w:lang w:val="en-US" w:eastAsia="zh-CN" w:bidi="ar-SA"/>
        </w:rPr>
        <w:t>提供）；</w:t>
      </w:r>
      <w:r>
        <w:rPr>
          <w:rFonts w:hint="default" w:ascii="Times New Roman" w:hAnsi="Times New Roman" w:eastAsia="宋体" w:cs="Times New Roman"/>
          <w:snapToGrid w:val="0"/>
          <w:color w:val="000000"/>
          <w:kern w:val="0"/>
          <w:sz w:val="24"/>
          <w:szCs w:val="24"/>
          <w:highlight w:val="none"/>
          <w:lang w:val="en-US" w:eastAsia="zh-CN" w:bidi="ar-SA"/>
        </w:rPr>
        <w:t>本项目排气筒风量为</w:t>
      </w:r>
      <w:r>
        <w:rPr>
          <w:rFonts w:hint="eastAsia" w:ascii="Times New Roman" w:hAnsi="Times New Roman" w:eastAsia="宋体" w:cs="Times New Roman"/>
          <w:snapToGrid w:val="0"/>
          <w:color w:val="000000"/>
          <w:kern w:val="0"/>
          <w:sz w:val="24"/>
          <w:szCs w:val="24"/>
          <w:highlight w:val="none"/>
          <w:lang w:val="en-US" w:eastAsia="zh-CN" w:bidi="ar-SA"/>
        </w:rPr>
        <w:t>5000</w:t>
      </w:r>
      <w:r>
        <w:rPr>
          <w:rFonts w:hint="default" w:ascii="Times New Roman" w:hAnsi="Times New Roman" w:eastAsia="宋体" w:cs="Times New Roman"/>
          <w:snapToGrid w:val="0"/>
          <w:color w:val="000000"/>
          <w:kern w:val="0"/>
          <w:sz w:val="24"/>
          <w:szCs w:val="24"/>
          <w:highlight w:val="none"/>
          <w:lang w:val="en-US" w:eastAsia="zh-CN" w:bidi="ar-SA"/>
        </w:rPr>
        <w:t>m</w:t>
      </w:r>
      <w:r>
        <w:rPr>
          <w:rFonts w:hint="default" w:ascii="Times New Roman" w:hAnsi="Times New Roman" w:eastAsia="宋体" w:cs="Times New Roman"/>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snapToGrid w:val="0"/>
          <w:color w:val="000000"/>
          <w:kern w:val="0"/>
          <w:sz w:val="24"/>
          <w:szCs w:val="24"/>
          <w:highlight w:val="none"/>
          <w:lang w:val="en-US" w:eastAsia="zh-CN" w:bidi="ar-SA"/>
        </w:rPr>
        <w:t>/h，经处理后的</w:t>
      </w:r>
      <w:r>
        <w:rPr>
          <w:rFonts w:hint="eastAsia" w:ascii="Times New Roman" w:hAnsi="Times New Roman" w:eastAsia="宋体" w:cs="Times New Roman"/>
          <w:snapToGrid w:val="0"/>
          <w:color w:val="000000"/>
          <w:kern w:val="0"/>
          <w:sz w:val="24"/>
          <w:szCs w:val="24"/>
          <w:highlight w:val="none"/>
          <w:lang w:val="en-US" w:eastAsia="zh-CN" w:bidi="ar-SA"/>
        </w:rPr>
        <w:t>有组织</w:t>
      </w:r>
      <w:r>
        <w:rPr>
          <w:rFonts w:hint="default" w:ascii="Times New Roman" w:hAnsi="Times New Roman" w:eastAsia="宋体" w:cs="Times New Roman"/>
          <w:snapToGrid w:val="0"/>
          <w:color w:val="000000"/>
          <w:kern w:val="0"/>
          <w:sz w:val="24"/>
          <w:szCs w:val="24"/>
          <w:highlight w:val="none"/>
          <w:lang w:val="en-US" w:eastAsia="zh-CN" w:bidi="ar-SA"/>
        </w:rPr>
        <w:t>颗粒物</w:t>
      </w:r>
      <w:r>
        <w:rPr>
          <w:rFonts w:hint="eastAsia" w:ascii="Times New Roman" w:hAnsi="Times New Roman" w:eastAsia="宋体" w:cs="Times New Roman"/>
          <w:snapToGrid w:val="0"/>
          <w:color w:val="000000"/>
          <w:kern w:val="0"/>
          <w:sz w:val="24"/>
          <w:szCs w:val="24"/>
          <w:highlight w:val="none"/>
          <w:lang w:val="en-US" w:eastAsia="zh-CN" w:bidi="ar-SA"/>
        </w:rPr>
        <w:t>排放速率为0.0002kg/h，</w:t>
      </w:r>
      <w:r>
        <w:rPr>
          <w:rFonts w:hint="default" w:ascii="Times New Roman" w:hAnsi="Times New Roman" w:eastAsia="宋体" w:cs="Times New Roman"/>
          <w:snapToGrid w:val="0"/>
          <w:color w:val="000000"/>
          <w:kern w:val="0"/>
          <w:sz w:val="24"/>
          <w:szCs w:val="24"/>
          <w:highlight w:val="none"/>
          <w:lang w:val="en-US" w:eastAsia="zh-CN" w:bidi="ar-SA"/>
        </w:rPr>
        <w:t>排放浓度为</w:t>
      </w:r>
      <w:r>
        <w:rPr>
          <w:rFonts w:hint="eastAsia" w:ascii="Times New Roman" w:hAnsi="Times New Roman" w:eastAsia="宋体" w:cs="Times New Roman"/>
          <w:snapToGrid w:val="0"/>
          <w:color w:val="000000"/>
          <w:kern w:val="0"/>
          <w:sz w:val="24"/>
          <w:szCs w:val="24"/>
          <w:highlight w:val="none"/>
          <w:lang w:val="en-US" w:eastAsia="zh-CN" w:bidi="ar-SA"/>
        </w:rPr>
        <w:t>0.04</w:t>
      </w:r>
      <w:r>
        <w:rPr>
          <w:rFonts w:hint="default" w:ascii="Times New Roman" w:hAnsi="Times New Roman" w:eastAsia="宋体" w:cs="Times New Roman"/>
          <w:snapToGrid w:val="0"/>
          <w:color w:val="000000"/>
          <w:kern w:val="0"/>
          <w:sz w:val="24"/>
          <w:szCs w:val="24"/>
          <w:highlight w:val="none"/>
          <w:lang w:val="en-US" w:eastAsia="zh-CN" w:bidi="ar-SA"/>
        </w:rPr>
        <w:t>mg/m</w:t>
      </w:r>
      <w:r>
        <w:rPr>
          <w:rFonts w:hint="default" w:ascii="Times New Roman" w:hAnsi="Times New Roman" w:eastAsia="宋体" w:cs="Times New Roman"/>
          <w:snapToGrid w:val="0"/>
          <w:color w:val="000000"/>
          <w:kern w:val="0"/>
          <w:sz w:val="24"/>
          <w:szCs w:val="24"/>
          <w:highlight w:val="none"/>
          <w:vertAlign w:val="superscript"/>
          <w:lang w:val="en-US" w:eastAsia="zh-CN" w:bidi="ar-SA"/>
        </w:rPr>
        <w:t>3</w:t>
      </w:r>
      <w:r>
        <w:rPr>
          <w:rFonts w:hint="default" w:ascii="Times New Roman" w:hAnsi="Times New Roman" w:eastAsia="宋体" w:cs="Times New Roman"/>
          <w:snapToGrid w:val="0"/>
          <w:color w:val="000000"/>
          <w:kern w:val="0"/>
          <w:sz w:val="24"/>
          <w:szCs w:val="24"/>
          <w:highlight w:val="none"/>
          <w:lang w:val="en-US" w:eastAsia="zh-CN" w:bidi="ar-SA"/>
        </w:rPr>
        <w:t>，</w:t>
      </w:r>
      <w:r>
        <w:rPr>
          <w:rFonts w:hint="eastAsia" w:ascii="Times New Roman" w:hAnsi="Times New Roman" w:eastAsia="宋体" w:cs="Times New Roman"/>
          <w:snapToGrid w:val="0"/>
          <w:color w:val="000000"/>
          <w:kern w:val="0"/>
          <w:sz w:val="24"/>
          <w:szCs w:val="24"/>
          <w:highlight w:val="none"/>
          <w:lang w:val="en-US" w:eastAsia="zh-CN" w:bidi="ar-SA"/>
        </w:rPr>
        <w:t>叠加本项目后全厂颗粒物排放浓度为0.4</w:t>
      </w:r>
      <w:r>
        <w:rPr>
          <w:rFonts w:hint="default" w:ascii="Times New Roman" w:hAnsi="Times New Roman" w:eastAsia="宋体" w:cs="Times New Roman"/>
          <w:snapToGrid w:val="0"/>
          <w:color w:val="000000"/>
          <w:kern w:val="0"/>
          <w:sz w:val="24"/>
          <w:szCs w:val="24"/>
          <w:highlight w:val="none"/>
          <w:lang w:val="en-US" w:eastAsia="zh-CN" w:bidi="ar-SA"/>
        </w:rPr>
        <w:t>mg/m</w:t>
      </w:r>
      <w:r>
        <w:rPr>
          <w:rFonts w:hint="default" w:ascii="Times New Roman" w:hAnsi="Times New Roman" w:eastAsia="宋体" w:cs="Times New Roman"/>
          <w:snapToGrid w:val="0"/>
          <w:color w:val="000000"/>
          <w:kern w:val="0"/>
          <w:sz w:val="24"/>
          <w:szCs w:val="24"/>
          <w:highlight w:val="none"/>
          <w:vertAlign w:val="superscript"/>
          <w:lang w:val="en-US" w:eastAsia="zh-CN" w:bidi="ar-SA"/>
        </w:rPr>
        <w:t>3</w:t>
      </w:r>
      <w:r>
        <w:rPr>
          <w:rFonts w:hint="eastAsia" w:ascii="Times New Roman" w:hAnsi="Times New Roman" w:eastAsia="宋体" w:cs="Times New Roman"/>
          <w:snapToGrid w:val="0"/>
          <w:color w:val="000000"/>
          <w:kern w:val="0"/>
          <w:sz w:val="24"/>
          <w:szCs w:val="24"/>
          <w:highlight w:val="none"/>
          <w:lang w:val="en-US" w:eastAsia="zh-CN" w:bidi="ar-SA"/>
        </w:rPr>
        <w:t>，</w:t>
      </w:r>
      <w:r>
        <w:rPr>
          <w:rFonts w:hint="default" w:ascii="Times New Roman" w:hAnsi="Times New Roman" w:eastAsia="宋体" w:cs="Times New Roman"/>
          <w:snapToGrid w:val="0"/>
          <w:color w:val="000000"/>
          <w:kern w:val="0"/>
          <w:sz w:val="24"/>
          <w:szCs w:val="24"/>
          <w:highlight w:val="none"/>
          <w:lang w:val="en-US" w:eastAsia="zh-CN" w:bidi="ar-SA"/>
        </w:rPr>
        <w:t>可以满足《大气污染物综合排放标准》（GB16297-1996）</w:t>
      </w:r>
      <w:r>
        <w:rPr>
          <w:rFonts w:hint="default" w:ascii="Times New Roman" w:hAnsi="Times New Roman" w:eastAsia="宋体" w:cs="Times New Roman"/>
          <w:color w:val="auto"/>
          <w:kern w:val="0"/>
          <w:sz w:val="24"/>
          <w:szCs w:val="24"/>
        </w:rPr>
        <w:t>表2 新污染源大气污染物排放限值</w:t>
      </w:r>
      <w:r>
        <w:rPr>
          <w:rFonts w:hint="eastAsia" w:ascii="Times New Roman" w:hAnsi="Times New Roman" w:eastAsia="宋体" w:cs="Times New Roman"/>
          <w:color w:val="auto"/>
          <w:spacing w:val="-11"/>
          <w:kern w:val="2"/>
          <w:sz w:val="24"/>
          <w:szCs w:val="24"/>
        </w:rPr>
        <w:t>（</w:t>
      </w:r>
      <w:r>
        <w:rPr>
          <w:rFonts w:hint="eastAsia" w:ascii="Times New Roman" w:hAnsi="Times New Roman" w:eastAsia="宋体" w:cs="Times New Roman"/>
          <w:color w:val="auto"/>
          <w:spacing w:val="-11"/>
          <w:kern w:val="2"/>
          <w:sz w:val="24"/>
          <w:szCs w:val="24"/>
          <w:lang w:val="en-US" w:eastAsia="zh-CN"/>
        </w:rPr>
        <w:t>3.5kg/h，120</w:t>
      </w:r>
      <w:r>
        <w:rPr>
          <w:rFonts w:hint="eastAsia" w:ascii="Times New Roman" w:hAnsi="Times New Roman" w:eastAsia="宋体" w:cs="Times New Roman"/>
          <w:color w:val="auto"/>
          <w:spacing w:val="-11"/>
          <w:kern w:val="2"/>
          <w:sz w:val="24"/>
          <w:szCs w:val="24"/>
        </w:rPr>
        <w:t>mg/</w:t>
      </w:r>
      <w:r>
        <w:rPr>
          <w:rFonts w:hint="eastAsia" w:ascii="Times New Roman" w:hAnsi="Times New Roman" w:eastAsia="宋体" w:cs="Times New Roman"/>
          <w:color w:val="auto"/>
          <w:spacing w:val="-11"/>
          <w:kern w:val="2"/>
          <w:sz w:val="24"/>
          <w:szCs w:val="24"/>
          <w:lang w:val="en-US" w:eastAsia="zh-CN"/>
        </w:rPr>
        <w:t>m</w:t>
      </w:r>
      <w:r>
        <w:rPr>
          <w:rFonts w:hint="eastAsia" w:ascii="Times New Roman" w:hAnsi="Times New Roman" w:eastAsia="宋体" w:cs="Times New Roman"/>
          <w:color w:val="auto"/>
          <w:spacing w:val="-11"/>
          <w:kern w:val="2"/>
          <w:sz w:val="24"/>
          <w:szCs w:val="24"/>
          <w:vertAlign w:val="superscript"/>
          <w:lang w:val="en-US" w:eastAsia="zh-CN"/>
        </w:rPr>
        <w:t>3</w:t>
      </w:r>
      <w:r>
        <w:rPr>
          <w:rFonts w:hint="eastAsia" w:ascii="Times New Roman" w:hAnsi="Times New Roman" w:eastAsia="宋体" w:cs="Times New Roman"/>
          <w:color w:val="auto"/>
          <w:spacing w:val="-11"/>
          <w:kern w:val="2"/>
          <w:sz w:val="24"/>
          <w:szCs w:val="24"/>
        </w:rPr>
        <w:t>）</w:t>
      </w:r>
      <w:r>
        <w:rPr>
          <w:rFonts w:hint="eastAsia" w:ascii="Times New Roman" w:hAnsi="Times New Roman" w:eastAsia="宋体" w:cs="Times New Roman"/>
          <w:color w:val="auto"/>
          <w:spacing w:val="-11"/>
          <w:kern w:val="2"/>
          <w:sz w:val="24"/>
          <w:szCs w:val="24"/>
          <w:lang w:eastAsia="zh-CN"/>
        </w:rPr>
        <w:t>，</w:t>
      </w:r>
      <w:r>
        <w:rPr>
          <w:rFonts w:hint="eastAsia" w:ascii="Times New Roman" w:hAnsi="Times New Roman" w:eastAsia="宋体" w:cs="Times New Roman"/>
          <w:snapToGrid w:val="0"/>
          <w:color w:val="auto"/>
          <w:kern w:val="0"/>
          <w:sz w:val="24"/>
          <w:szCs w:val="24"/>
          <w:highlight w:val="none"/>
          <w:lang w:val="en-US" w:eastAsia="zh-CN" w:bidi="ar-SA"/>
        </w:rPr>
        <w:t>部分无组织逸散颗粒物</w:t>
      </w:r>
      <w:r>
        <w:rPr>
          <w:rFonts w:hint="default" w:ascii="Times New Roman" w:hAnsi="Times New Roman" w:eastAsia="宋体" w:cs="Times New Roman"/>
          <w:color w:val="000000"/>
          <w:kern w:val="0"/>
          <w:sz w:val="24"/>
          <w:szCs w:val="24"/>
          <w:lang w:val="en-US" w:eastAsia="zh-CN" w:bidi="ar-SA"/>
        </w:rPr>
        <w:t>通过</w:t>
      </w:r>
      <w:r>
        <w:rPr>
          <w:rFonts w:hint="eastAsia" w:ascii="Times New Roman" w:hAnsi="Times New Roman" w:eastAsia="宋体" w:cs="Times New Roman"/>
          <w:color w:val="000000"/>
          <w:kern w:val="0"/>
          <w:sz w:val="24"/>
          <w:szCs w:val="24"/>
          <w:lang w:val="en-US" w:eastAsia="zh-CN" w:bidi="ar-SA"/>
        </w:rPr>
        <w:t>加强封闭式作业等措施进行控制</w:t>
      </w:r>
      <w:r>
        <w:rPr>
          <w:rFonts w:hint="default" w:ascii="Times New Roman" w:hAnsi="Times New Roman" w:eastAsia="宋体" w:cs="Times New Roman"/>
          <w:color w:val="000000"/>
          <w:kern w:val="0"/>
          <w:sz w:val="24"/>
          <w:szCs w:val="24"/>
          <w:lang w:val="en-US" w:eastAsia="zh-CN" w:bidi="ar-SA"/>
        </w:rPr>
        <w:t>，厂界</w:t>
      </w:r>
      <w:r>
        <w:rPr>
          <w:rFonts w:hint="eastAsia" w:ascii="Times New Roman" w:hAnsi="Times New Roman" w:eastAsia="宋体" w:cs="Times New Roman"/>
          <w:color w:val="000000"/>
          <w:kern w:val="0"/>
          <w:sz w:val="24"/>
          <w:szCs w:val="24"/>
          <w:lang w:val="en-US" w:eastAsia="zh-CN" w:bidi="ar-SA"/>
        </w:rPr>
        <w:t>颗粒物</w:t>
      </w:r>
      <w:r>
        <w:rPr>
          <w:rFonts w:hint="default" w:ascii="Times New Roman" w:hAnsi="Times New Roman" w:eastAsia="宋体" w:cs="Times New Roman"/>
          <w:color w:val="000000"/>
          <w:kern w:val="0"/>
          <w:sz w:val="24"/>
          <w:szCs w:val="24"/>
          <w:vertAlign w:val="baseline"/>
          <w:lang w:val="en-US" w:eastAsia="zh-CN" w:bidi="ar-SA"/>
        </w:rPr>
        <w:t>满足</w:t>
      </w:r>
      <w:r>
        <w:rPr>
          <w:rFonts w:hint="default" w:ascii="Times New Roman" w:hAnsi="Times New Roman" w:eastAsia="宋体" w:cs="Times New Roman"/>
          <w:snapToGrid w:val="0"/>
          <w:color w:val="000000"/>
          <w:kern w:val="0"/>
          <w:sz w:val="24"/>
          <w:szCs w:val="24"/>
          <w:highlight w:val="none"/>
          <w:lang w:val="en-US" w:eastAsia="zh-CN" w:bidi="ar-SA"/>
        </w:rPr>
        <w:t>《大气污染物综合排放标准》（GB16297-1996）</w:t>
      </w:r>
      <w:r>
        <w:rPr>
          <w:rFonts w:hint="default" w:ascii="Times New Roman" w:hAnsi="Times New Roman" w:eastAsia="宋体" w:cs="Times New Roman"/>
          <w:color w:val="auto"/>
          <w:kern w:val="0"/>
          <w:sz w:val="24"/>
          <w:szCs w:val="24"/>
        </w:rPr>
        <w:t>表2 新污染源大气污染物排放限值</w:t>
      </w:r>
      <w:r>
        <w:rPr>
          <w:rFonts w:hint="default" w:ascii="Times New Roman" w:hAnsi="Times New Roman" w:eastAsia="宋体" w:cs="Times New Roman"/>
          <w:color w:val="000000"/>
          <w:kern w:val="0"/>
          <w:sz w:val="24"/>
          <w:szCs w:val="24"/>
          <w:lang w:val="zh-CN" w:eastAsia="zh-CN" w:bidi="ar-SA"/>
        </w:rPr>
        <w:t>（周界外浓度最高点</w:t>
      </w:r>
      <w:r>
        <w:rPr>
          <w:rFonts w:hint="eastAsia" w:ascii="Times New Roman" w:hAnsi="Times New Roman" w:eastAsia="宋体" w:cs="Times New Roman"/>
          <w:color w:val="000000"/>
          <w:kern w:val="0"/>
          <w:sz w:val="24"/>
          <w:szCs w:val="24"/>
          <w:lang w:val="en-US" w:eastAsia="zh-CN" w:bidi="ar-SA"/>
        </w:rPr>
        <w:t>1</w:t>
      </w:r>
      <w:r>
        <w:rPr>
          <w:rFonts w:hint="default" w:ascii="Times New Roman" w:hAnsi="Times New Roman" w:eastAsia="宋体" w:cs="Times New Roman"/>
          <w:color w:val="000000"/>
          <w:kern w:val="0"/>
          <w:sz w:val="24"/>
          <w:szCs w:val="24"/>
          <w:lang w:val="en-US" w:eastAsia="zh-CN" w:bidi="ar-SA"/>
        </w:rPr>
        <w:t>mg/m</w:t>
      </w:r>
      <w:r>
        <w:rPr>
          <w:rFonts w:hint="default" w:ascii="Times New Roman" w:hAnsi="Times New Roman" w:eastAsia="宋体" w:cs="Times New Roman"/>
          <w:color w:val="000000"/>
          <w:kern w:val="0"/>
          <w:sz w:val="24"/>
          <w:szCs w:val="24"/>
          <w:vertAlign w:val="superscript"/>
          <w:lang w:val="en-US" w:eastAsia="zh-CN" w:bidi="ar-SA"/>
        </w:rPr>
        <w:t>3</w:t>
      </w:r>
      <w:r>
        <w:rPr>
          <w:rFonts w:hint="default" w:ascii="Times New Roman" w:hAnsi="Times New Roman" w:eastAsia="宋体" w:cs="Times New Roman"/>
          <w:color w:val="000000"/>
          <w:kern w:val="0"/>
          <w:sz w:val="24"/>
          <w:szCs w:val="24"/>
          <w:lang w:val="zh-CN" w:eastAsia="zh-CN" w:bidi="ar-SA"/>
        </w:rPr>
        <w:t>）</w:t>
      </w:r>
      <w:r>
        <w:rPr>
          <w:rFonts w:hint="default" w:ascii="Times New Roman" w:hAnsi="Times New Roman" w:eastAsia="宋体" w:cs="Times New Roman"/>
          <w:color w:val="000000"/>
          <w:kern w:val="0"/>
          <w:sz w:val="24"/>
          <w:szCs w:val="24"/>
          <w:lang w:val="en-US" w:eastAsia="zh-CN" w:bidi="ar-SA"/>
        </w:rPr>
        <w:t>。</w:t>
      </w:r>
      <w:r>
        <w:rPr>
          <w:rFonts w:hint="eastAsia" w:ascii="Times New Roman" w:hAnsi="Times New Roman" w:eastAsia="宋体" w:cs="Times New Roman"/>
          <w:snapToGrid w:val="0"/>
          <w:color w:val="auto"/>
          <w:kern w:val="0"/>
          <w:sz w:val="24"/>
          <w:szCs w:val="24"/>
          <w:highlight w:val="none"/>
          <w:lang w:val="en-US" w:eastAsia="zh-CN" w:bidi="ar-SA"/>
        </w:rPr>
        <w:t>部分无组织逸散颗粒物</w:t>
      </w:r>
      <w:r>
        <w:rPr>
          <w:rFonts w:hint="default" w:ascii="Times New Roman" w:hAnsi="Times New Roman" w:eastAsia="宋体" w:cs="Times New Roman"/>
          <w:color w:val="000000"/>
          <w:kern w:val="0"/>
          <w:sz w:val="24"/>
          <w:szCs w:val="24"/>
          <w:lang w:val="en-US" w:eastAsia="zh-CN" w:bidi="ar-SA"/>
        </w:rPr>
        <w:t>通过</w:t>
      </w:r>
      <w:r>
        <w:rPr>
          <w:rFonts w:hint="eastAsia" w:ascii="Times New Roman" w:hAnsi="Times New Roman" w:eastAsia="宋体" w:cs="Times New Roman"/>
          <w:color w:val="000000"/>
          <w:kern w:val="0"/>
          <w:sz w:val="24"/>
          <w:szCs w:val="24"/>
          <w:lang w:val="en-US" w:eastAsia="zh-CN" w:bidi="ar-SA"/>
        </w:rPr>
        <w:t>加强封闭式作业+洒水降尘等措施进行控制</w:t>
      </w:r>
      <w:r>
        <w:rPr>
          <w:rFonts w:hint="default" w:ascii="Times New Roman" w:hAnsi="Times New Roman" w:eastAsia="宋体" w:cs="Times New Roman"/>
          <w:color w:val="000000"/>
          <w:kern w:val="0"/>
          <w:sz w:val="24"/>
          <w:szCs w:val="24"/>
          <w:lang w:val="en-US" w:eastAsia="zh-CN" w:bidi="ar-SA"/>
        </w:rPr>
        <w:t>，</w:t>
      </w:r>
      <w:r>
        <w:rPr>
          <w:rFonts w:hint="eastAsia" w:ascii="Times New Roman" w:hAnsi="Times New Roman" w:eastAsia="宋体" w:cs="Times New Roman"/>
          <w:color w:val="000000"/>
          <w:kern w:val="0"/>
          <w:sz w:val="24"/>
          <w:szCs w:val="24"/>
          <w:lang w:val="en-US" w:eastAsia="zh-CN" w:bidi="ar-SA"/>
        </w:rPr>
        <w:t>根据</w:t>
      </w:r>
      <w:r>
        <w:rPr>
          <w:rFonts w:hint="eastAsia" w:ascii="Times New Roman" w:hAnsi="Times New Roman" w:eastAsia="宋体" w:cs="Times New Roman"/>
          <w:snapToGrid w:val="0"/>
          <w:color w:val="000000"/>
          <w:kern w:val="0"/>
          <w:sz w:val="24"/>
          <w:szCs w:val="24"/>
          <w:highlight w:val="none"/>
          <w:lang w:val="en-US" w:eastAsia="zh-CN" w:bidi="ar-SA"/>
        </w:rPr>
        <w:t>《排放源统计调查产排污核算方法和系数手册》，洒水降尘控制效率为74%，因此无组织颗粒物共0.017t/a</w:t>
      </w:r>
      <w:r>
        <w:rPr>
          <w:rFonts w:hint="eastAsia" w:ascii="Times New Roman" w:hAnsi="Times New Roman" w:eastAsia="宋体" w:cs="Times New Roman"/>
          <w:color w:val="000000"/>
          <w:kern w:val="0"/>
          <w:sz w:val="24"/>
          <w:szCs w:val="24"/>
          <w:lang w:val="zh-CN" w:eastAsia="zh-CN" w:bidi="ar-SA"/>
        </w:rPr>
        <w:t>。</w:t>
      </w:r>
    </w:p>
    <w:p w14:paraId="3822F364">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废气产生和排放情况见表</w:t>
      </w:r>
      <w:r>
        <w:rPr>
          <w:rFonts w:hint="eastAsia" w:ascii="Times New Roman" w:hAnsi="Times New Roman" w:eastAsia="宋体" w:cs="Times New Roman"/>
          <w:color w:val="auto"/>
          <w:kern w:val="2"/>
          <w:sz w:val="24"/>
          <w:szCs w:val="24"/>
          <w:lang w:val="en-US" w:eastAsia="zh-CN"/>
        </w:rPr>
        <w:t>3.4-7</w:t>
      </w:r>
      <w:r>
        <w:rPr>
          <w:rFonts w:hint="default" w:ascii="Times New Roman" w:hAnsi="Times New Roman" w:eastAsia="宋体" w:cs="Times New Roman"/>
          <w:color w:val="auto"/>
          <w:kern w:val="2"/>
          <w:sz w:val="24"/>
          <w:szCs w:val="24"/>
        </w:rPr>
        <w:t>。</w:t>
      </w:r>
    </w:p>
    <w:p w14:paraId="5EA0C914">
      <w:pPr>
        <w:widowControl w:val="0"/>
        <w:overflowPunct/>
        <w:autoSpaceDE/>
        <w:autoSpaceDN/>
        <w:adjustRightInd/>
        <w:snapToGrid/>
        <w:spacing w:before="0" w:after="0" w:line="360" w:lineRule="auto"/>
        <w:ind w:left="0" w:right="0" w:firstLine="0" w:firstLineChars="0"/>
        <w:jc w:val="center"/>
        <w:rPr>
          <w:rFonts w:hint="default" w:ascii="Times New Roman" w:hAnsi="Times New Roman" w:eastAsia="宋体" w:cs="Times New Roman"/>
          <w:b/>
          <w:color w:val="auto"/>
          <w:kern w:val="0"/>
          <w:sz w:val="24"/>
          <w:szCs w:val="24"/>
          <w:lang w:val="en-US" w:eastAsia="zh-CN" w:bidi="ar-SA"/>
        </w:rPr>
      </w:pPr>
      <w:r>
        <w:rPr>
          <w:rFonts w:hint="default" w:ascii="Times New Roman" w:hAnsi="Times New Roman" w:eastAsia="宋体" w:cs="Times New Roman"/>
          <w:b/>
          <w:color w:val="auto"/>
          <w:kern w:val="0"/>
          <w:sz w:val="24"/>
          <w:szCs w:val="24"/>
          <w:lang w:val="en-US" w:eastAsia="zh-CN" w:bidi="ar-SA"/>
        </w:rPr>
        <w:t>表</w:t>
      </w:r>
      <w:r>
        <w:rPr>
          <w:rFonts w:hint="eastAsia" w:ascii="Times New Roman" w:hAnsi="Times New Roman" w:eastAsia="宋体" w:cs="Times New Roman"/>
          <w:b/>
          <w:color w:val="auto"/>
          <w:kern w:val="0"/>
          <w:sz w:val="24"/>
          <w:szCs w:val="24"/>
          <w:lang w:val="en-US" w:eastAsia="zh-CN" w:bidi="ar-SA"/>
        </w:rPr>
        <w:t>3.4-7“以新带老”废气</w:t>
      </w:r>
      <w:r>
        <w:rPr>
          <w:rFonts w:hint="default" w:ascii="Times New Roman" w:hAnsi="Times New Roman" w:eastAsia="宋体" w:cs="Times New Roman"/>
          <w:b/>
          <w:color w:val="auto"/>
          <w:kern w:val="0"/>
          <w:sz w:val="24"/>
          <w:szCs w:val="24"/>
          <w:lang w:val="en-US" w:eastAsia="zh-CN" w:bidi="ar-SA"/>
        </w:rPr>
        <w:t>产生及排放情况表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4"/>
        <w:gridCol w:w="475"/>
        <w:gridCol w:w="440"/>
        <w:gridCol w:w="631"/>
        <w:gridCol w:w="729"/>
        <w:gridCol w:w="921"/>
        <w:gridCol w:w="950"/>
        <w:gridCol w:w="950"/>
        <w:gridCol w:w="950"/>
        <w:gridCol w:w="950"/>
        <w:gridCol w:w="954"/>
      </w:tblGrid>
      <w:tr w14:paraId="5BC9C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4" w:type="dxa"/>
            <w:vMerge w:val="restart"/>
            <w:tcBorders>
              <w:tl2br w:val="nil"/>
              <w:tr2bl w:val="nil"/>
            </w:tcBorders>
            <w:noWrap w:val="0"/>
            <w:vAlign w:val="center"/>
          </w:tcPr>
          <w:p w14:paraId="74CC3B5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b/>
                <w:bCs/>
                <w:color w:val="auto"/>
                <w:kern w:val="2"/>
                <w:sz w:val="21"/>
                <w:szCs w:val="22"/>
                <w:lang w:eastAsia="zh-CN"/>
              </w:rPr>
            </w:pPr>
            <w:r>
              <w:rPr>
                <w:rFonts w:hint="eastAsia" w:ascii="Times New Roman" w:hAnsi="Times New Roman" w:eastAsia="宋体" w:cs="Times New Roman"/>
                <w:b/>
                <w:bCs/>
                <w:color w:val="auto"/>
                <w:kern w:val="2"/>
                <w:sz w:val="21"/>
                <w:szCs w:val="22"/>
                <w:lang w:val="en-US" w:eastAsia="zh-CN"/>
              </w:rPr>
              <w:t>产污环节</w:t>
            </w:r>
          </w:p>
        </w:tc>
        <w:tc>
          <w:tcPr>
            <w:tcW w:w="475" w:type="dxa"/>
            <w:vMerge w:val="restart"/>
            <w:tcBorders>
              <w:tl2br w:val="nil"/>
              <w:tr2bl w:val="nil"/>
            </w:tcBorders>
            <w:noWrap w:val="0"/>
            <w:vAlign w:val="center"/>
          </w:tcPr>
          <w:p w14:paraId="29B6F30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污染物</w:t>
            </w:r>
          </w:p>
        </w:tc>
        <w:tc>
          <w:tcPr>
            <w:tcW w:w="1071" w:type="dxa"/>
            <w:gridSpan w:val="2"/>
            <w:vMerge w:val="restart"/>
            <w:tcBorders>
              <w:tl2br w:val="nil"/>
              <w:tr2bl w:val="nil"/>
            </w:tcBorders>
            <w:noWrap w:val="0"/>
            <w:vAlign w:val="center"/>
          </w:tcPr>
          <w:p w14:paraId="1FECF19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产生量</w:t>
            </w:r>
          </w:p>
          <w:p w14:paraId="1F4BF2FC">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lang w:val="en-US" w:eastAsia="zh-CN"/>
              </w:rPr>
              <w:t>t</w:t>
            </w:r>
            <w:r>
              <w:rPr>
                <w:rFonts w:hint="default" w:ascii="Times New Roman" w:hAnsi="Times New Roman" w:eastAsia="宋体" w:cs="Times New Roman"/>
                <w:b/>
                <w:bCs/>
                <w:color w:val="auto"/>
                <w:kern w:val="2"/>
                <w:sz w:val="21"/>
                <w:szCs w:val="22"/>
              </w:rPr>
              <w:t>/a</w:t>
            </w:r>
          </w:p>
        </w:tc>
        <w:tc>
          <w:tcPr>
            <w:tcW w:w="729" w:type="dxa"/>
            <w:vMerge w:val="restart"/>
            <w:tcBorders>
              <w:tl2br w:val="nil"/>
              <w:tr2bl w:val="nil"/>
            </w:tcBorders>
            <w:noWrap w:val="0"/>
            <w:vAlign w:val="center"/>
          </w:tcPr>
          <w:p w14:paraId="3C08EF8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产生速率</w:t>
            </w:r>
            <w:r>
              <w:rPr>
                <w:rFonts w:hint="default" w:ascii="Times New Roman" w:hAnsi="Times New Roman" w:eastAsia="宋体" w:cs="Times New Roman"/>
                <w:b/>
                <w:bCs/>
                <w:color w:val="auto"/>
                <w:kern w:val="2"/>
                <w:sz w:val="21"/>
                <w:szCs w:val="22"/>
              </w:rPr>
              <w:t>（kg/h）</w:t>
            </w:r>
          </w:p>
        </w:tc>
        <w:tc>
          <w:tcPr>
            <w:tcW w:w="921" w:type="dxa"/>
            <w:vMerge w:val="restart"/>
            <w:tcBorders>
              <w:tl2br w:val="nil"/>
              <w:tr2bl w:val="nil"/>
            </w:tcBorders>
            <w:noWrap w:val="0"/>
            <w:vAlign w:val="center"/>
          </w:tcPr>
          <w:p w14:paraId="5241C6C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净化效率</w:t>
            </w:r>
          </w:p>
        </w:tc>
        <w:tc>
          <w:tcPr>
            <w:tcW w:w="4754" w:type="dxa"/>
            <w:gridSpan w:val="5"/>
            <w:tcBorders>
              <w:tl2br w:val="nil"/>
              <w:tr2bl w:val="nil"/>
            </w:tcBorders>
            <w:noWrap w:val="0"/>
            <w:vAlign w:val="center"/>
          </w:tcPr>
          <w:p w14:paraId="7BCA961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污染物排放情况</w:t>
            </w:r>
          </w:p>
        </w:tc>
      </w:tr>
      <w:tr w14:paraId="25C8F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4" w:type="dxa"/>
            <w:vMerge w:val="continue"/>
            <w:tcBorders>
              <w:tl2br w:val="nil"/>
              <w:tr2bl w:val="nil"/>
            </w:tcBorders>
            <w:noWrap w:val="0"/>
            <w:vAlign w:val="center"/>
          </w:tcPr>
          <w:p w14:paraId="7C99E0F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475" w:type="dxa"/>
            <w:vMerge w:val="continue"/>
            <w:tcBorders>
              <w:tl2br w:val="nil"/>
              <w:tr2bl w:val="nil"/>
            </w:tcBorders>
            <w:noWrap w:val="0"/>
            <w:vAlign w:val="center"/>
          </w:tcPr>
          <w:p w14:paraId="55BF2C8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1071" w:type="dxa"/>
            <w:gridSpan w:val="2"/>
            <w:vMerge w:val="continue"/>
            <w:tcBorders>
              <w:tl2br w:val="nil"/>
              <w:tr2bl w:val="nil"/>
            </w:tcBorders>
            <w:noWrap w:val="0"/>
            <w:vAlign w:val="center"/>
          </w:tcPr>
          <w:p w14:paraId="77C79E5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729" w:type="dxa"/>
            <w:vMerge w:val="continue"/>
            <w:tcBorders>
              <w:tl2br w:val="nil"/>
              <w:tr2bl w:val="nil"/>
            </w:tcBorders>
            <w:noWrap w:val="0"/>
            <w:vAlign w:val="center"/>
          </w:tcPr>
          <w:p w14:paraId="16AACE8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921" w:type="dxa"/>
            <w:vMerge w:val="continue"/>
            <w:tcBorders>
              <w:tl2br w:val="nil"/>
              <w:tr2bl w:val="nil"/>
            </w:tcBorders>
            <w:noWrap w:val="0"/>
            <w:vAlign w:val="center"/>
          </w:tcPr>
          <w:p w14:paraId="7BBA803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p>
        </w:tc>
        <w:tc>
          <w:tcPr>
            <w:tcW w:w="950" w:type="dxa"/>
            <w:tcBorders>
              <w:tl2br w:val="nil"/>
              <w:tr2bl w:val="nil"/>
            </w:tcBorders>
            <w:noWrap w:val="0"/>
            <w:vAlign w:val="center"/>
          </w:tcPr>
          <w:p w14:paraId="34406DF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排放量（</w:t>
            </w:r>
            <w:r>
              <w:rPr>
                <w:rFonts w:hint="default" w:ascii="Times New Roman" w:hAnsi="Times New Roman" w:eastAsia="宋体" w:cs="Times New Roman"/>
                <w:b/>
                <w:bCs/>
                <w:color w:val="auto"/>
                <w:kern w:val="2"/>
                <w:sz w:val="21"/>
                <w:szCs w:val="22"/>
                <w:lang w:val="en-US" w:eastAsia="zh-CN"/>
              </w:rPr>
              <w:t>t</w:t>
            </w:r>
            <w:r>
              <w:rPr>
                <w:rFonts w:hint="default" w:ascii="Times New Roman" w:hAnsi="Times New Roman" w:eastAsia="宋体" w:cs="Times New Roman"/>
                <w:b/>
                <w:bCs/>
                <w:color w:val="auto"/>
                <w:kern w:val="2"/>
                <w:sz w:val="21"/>
                <w:szCs w:val="22"/>
              </w:rPr>
              <w:t>/a）</w:t>
            </w:r>
          </w:p>
        </w:tc>
        <w:tc>
          <w:tcPr>
            <w:tcW w:w="950" w:type="dxa"/>
            <w:tcBorders>
              <w:tl2br w:val="nil"/>
              <w:tr2bl w:val="nil"/>
            </w:tcBorders>
            <w:noWrap w:val="0"/>
            <w:vAlign w:val="center"/>
          </w:tcPr>
          <w:p w14:paraId="5EA0F84A">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排放浓度（mg/m</w:t>
            </w:r>
            <w:r>
              <w:rPr>
                <w:rFonts w:hint="default" w:ascii="Times New Roman" w:hAnsi="Times New Roman" w:eastAsia="宋体" w:cs="Times New Roman"/>
                <w:b/>
                <w:bCs/>
                <w:color w:val="auto"/>
                <w:kern w:val="2"/>
                <w:sz w:val="21"/>
                <w:szCs w:val="22"/>
                <w:vertAlign w:val="superscript"/>
                <w:lang w:val="en-US" w:eastAsia="zh-CN"/>
              </w:rPr>
              <w:t>3</w:t>
            </w:r>
            <w:r>
              <w:rPr>
                <w:rFonts w:hint="default" w:ascii="Times New Roman" w:hAnsi="Times New Roman" w:eastAsia="宋体" w:cs="Times New Roman"/>
                <w:b/>
                <w:bCs/>
                <w:color w:val="auto"/>
                <w:kern w:val="2"/>
                <w:sz w:val="21"/>
                <w:szCs w:val="22"/>
              </w:rPr>
              <w:t>）</w:t>
            </w:r>
          </w:p>
        </w:tc>
        <w:tc>
          <w:tcPr>
            <w:tcW w:w="950" w:type="dxa"/>
            <w:tcBorders>
              <w:tl2br w:val="nil"/>
              <w:tr2bl w:val="nil"/>
            </w:tcBorders>
            <w:noWrap w:val="0"/>
            <w:vAlign w:val="center"/>
          </w:tcPr>
          <w:p w14:paraId="3BF33C8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lang w:val="en-US" w:eastAsia="zh-CN"/>
              </w:rPr>
            </w:pPr>
            <w:r>
              <w:rPr>
                <w:rFonts w:hint="eastAsia" w:ascii="Times New Roman" w:hAnsi="Times New Roman" w:eastAsia="宋体" w:cs="Times New Roman"/>
                <w:b/>
                <w:bCs/>
                <w:color w:val="auto"/>
                <w:kern w:val="2"/>
                <w:sz w:val="21"/>
                <w:szCs w:val="22"/>
                <w:lang w:val="en-US" w:eastAsia="zh-CN"/>
              </w:rPr>
              <w:t>叠加排放浓度</w:t>
            </w:r>
          </w:p>
        </w:tc>
        <w:tc>
          <w:tcPr>
            <w:tcW w:w="950" w:type="dxa"/>
            <w:tcBorders>
              <w:tl2br w:val="nil"/>
              <w:tr2bl w:val="nil"/>
            </w:tcBorders>
            <w:noWrap w:val="0"/>
            <w:vAlign w:val="center"/>
          </w:tcPr>
          <w:p w14:paraId="6820337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eastAsia" w:ascii="Times New Roman" w:hAnsi="Times New Roman" w:eastAsia="宋体" w:cs="Times New Roman"/>
                <w:b/>
                <w:bCs/>
                <w:color w:val="auto"/>
                <w:kern w:val="2"/>
                <w:sz w:val="21"/>
                <w:szCs w:val="22"/>
                <w:lang w:val="en-US" w:eastAsia="zh-CN"/>
              </w:rPr>
              <w:t>排气筒高度</w:t>
            </w:r>
          </w:p>
        </w:tc>
        <w:tc>
          <w:tcPr>
            <w:tcW w:w="954" w:type="dxa"/>
            <w:tcBorders>
              <w:tl2br w:val="nil"/>
              <w:tr2bl w:val="nil"/>
            </w:tcBorders>
            <w:noWrap w:val="0"/>
            <w:vAlign w:val="center"/>
          </w:tcPr>
          <w:p w14:paraId="2129DD81">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b/>
                <w:bCs/>
                <w:color w:val="auto"/>
                <w:kern w:val="2"/>
                <w:sz w:val="21"/>
                <w:szCs w:val="22"/>
              </w:rPr>
            </w:pPr>
            <w:r>
              <w:rPr>
                <w:rFonts w:hint="default" w:ascii="Times New Roman" w:hAnsi="Times New Roman" w:eastAsia="宋体" w:cs="Times New Roman"/>
                <w:b/>
                <w:bCs/>
                <w:color w:val="auto"/>
                <w:kern w:val="2"/>
                <w:sz w:val="21"/>
                <w:szCs w:val="22"/>
              </w:rPr>
              <w:t>排放速率（kg/h）</w:t>
            </w:r>
          </w:p>
        </w:tc>
      </w:tr>
      <w:tr w14:paraId="26912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554" w:type="dxa"/>
            <w:vMerge w:val="restart"/>
            <w:tcBorders>
              <w:tl2br w:val="nil"/>
              <w:tr2bl w:val="nil"/>
            </w:tcBorders>
            <w:noWrap w:val="0"/>
            <w:vAlign w:val="center"/>
          </w:tcPr>
          <w:p w14:paraId="320A2CA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2"/>
                <w:sz w:val="21"/>
                <w:szCs w:val="22"/>
                <w:lang w:val="en-US" w:eastAsia="zh-CN"/>
              </w:rPr>
            </w:pPr>
            <w:r>
              <w:rPr>
                <w:rFonts w:hint="eastAsia" w:ascii="Times New Roman" w:hAnsi="Times New Roman" w:eastAsia="宋体" w:cs="Times New Roman"/>
                <w:color w:val="auto"/>
                <w:kern w:val="2"/>
                <w:sz w:val="21"/>
                <w:szCs w:val="22"/>
                <w:lang w:val="en-US" w:eastAsia="zh-CN"/>
              </w:rPr>
              <w:t>饲料加工区（粉碎、搅拌粉尘）</w:t>
            </w:r>
          </w:p>
        </w:tc>
        <w:tc>
          <w:tcPr>
            <w:tcW w:w="475" w:type="dxa"/>
            <w:tcBorders>
              <w:tl2br w:val="nil"/>
              <w:tr2bl w:val="nil"/>
            </w:tcBorders>
            <w:noWrap w:val="0"/>
            <w:vAlign w:val="center"/>
          </w:tcPr>
          <w:p w14:paraId="26117D0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2"/>
                <w:lang w:val="en-US" w:eastAsia="zh-CN"/>
              </w:rPr>
            </w:pPr>
            <w:r>
              <w:rPr>
                <w:rFonts w:hint="eastAsia" w:ascii="Times New Roman" w:hAnsi="Times New Roman" w:eastAsia="宋体" w:cs="Times New Roman"/>
                <w:color w:val="000000"/>
                <w:kern w:val="2"/>
                <w:sz w:val="21"/>
                <w:szCs w:val="24"/>
                <w:lang w:val="en-US" w:eastAsia="zh-CN"/>
              </w:rPr>
              <w:t>颗粒物</w:t>
            </w:r>
          </w:p>
        </w:tc>
        <w:tc>
          <w:tcPr>
            <w:tcW w:w="440" w:type="dxa"/>
            <w:vMerge w:val="restart"/>
            <w:tcBorders>
              <w:tl2br w:val="nil"/>
              <w:tr2bl w:val="nil"/>
            </w:tcBorders>
            <w:noWrap w:val="0"/>
            <w:vAlign w:val="center"/>
          </w:tcPr>
          <w:p w14:paraId="105D2E9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0.13</w:t>
            </w:r>
          </w:p>
        </w:tc>
        <w:tc>
          <w:tcPr>
            <w:tcW w:w="631" w:type="dxa"/>
            <w:tcBorders>
              <w:tl2br w:val="nil"/>
              <w:tr2bl w:val="nil"/>
            </w:tcBorders>
            <w:noWrap w:val="0"/>
            <w:vAlign w:val="center"/>
          </w:tcPr>
          <w:p w14:paraId="2694547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0.065</w:t>
            </w:r>
          </w:p>
        </w:tc>
        <w:tc>
          <w:tcPr>
            <w:tcW w:w="729" w:type="dxa"/>
            <w:tcBorders>
              <w:tl2br w:val="nil"/>
              <w:tr2bl w:val="nil"/>
            </w:tcBorders>
            <w:noWrap w:val="0"/>
            <w:vAlign w:val="center"/>
          </w:tcPr>
          <w:p w14:paraId="705B9E4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0.0111</w:t>
            </w:r>
          </w:p>
        </w:tc>
        <w:tc>
          <w:tcPr>
            <w:tcW w:w="921" w:type="dxa"/>
            <w:tcBorders>
              <w:tl2br w:val="nil"/>
              <w:tr2bl w:val="nil"/>
            </w:tcBorders>
            <w:noWrap w:val="0"/>
            <w:vAlign w:val="center"/>
          </w:tcPr>
          <w:p w14:paraId="2D6FB309">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98%</w:t>
            </w:r>
          </w:p>
        </w:tc>
        <w:tc>
          <w:tcPr>
            <w:tcW w:w="950" w:type="dxa"/>
            <w:tcBorders>
              <w:tl2br w:val="nil"/>
              <w:tr2bl w:val="nil"/>
            </w:tcBorders>
            <w:noWrap w:val="0"/>
            <w:vAlign w:val="center"/>
          </w:tcPr>
          <w:p w14:paraId="704A415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0.001</w:t>
            </w:r>
          </w:p>
        </w:tc>
        <w:tc>
          <w:tcPr>
            <w:tcW w:w="950" w:type="dxa"/>
            <w:tcBorders>
              <w:tl2br w:val="nil"/>
              <w:tr2bl w:val="nil"/>
            </w:tcBorders>
            <w:noWrap w:val="0"/>
            <w:vAlign w:val="center"/>
          </w:tcPr>
          <w:p w14:paraId="245C25C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0.04</w:t>
            </w:r>
          </w:p>
        </w:tc>
        <w:tc>
          <w:tcPr>
            <w:tcW w:w="950" w:type="dxa"/>
            <w:tcBorders>
              <w:tl2br w:val="nil"/>
              <w:tr2bl w:val="nil"/>
            </w:tcBorders>
            <w:noWrap w:val="0"/>
            <w:vAlign w:val="center"/>
          </w:tcPr>
          <w:p w14:paraId="5CC4BAB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0.4</w:t>
            </w:r>
          </w:p>
        </w:tc>
        <w:tc>
          <w:tcPr>
            <w:tcW w:w="950" w:type="dxa"/>
            <w:tcBorders>
              <w:tl2br w:val="nil"/>
              <w:tr2bl w:val="nil"/>
            </w:tcBorders>
            <w:noWrap w:val="0"/>
            <w:vAlign w:val="center"/>
          </w:tcPr>
          <w:p w14:paraId="06E42FF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15</w:t>
            </w:r>
          </w:p>
        </w:tc>
        <w:tc>
          <w:tcPr>
            <w:tcW w:w="954" w:type="dxa"/>
            <w:tcBorders>
              <w:tl2br w:val="nil"/>
              <w:tr2bl w:val="nil"/>
            </w:tcBorders>
            <w:noWrap w:val="0"/>
            <w:vAlign w:val="center"/>
          </w:tcPr>
          <w:p w14:paraId="2684BDC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0.0002 </w:t>
            </w:r>
          </w:p>
        </w:tc>
      </w:tr>
      <w:tr w14:paraId="2F320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4" w:type="dxa"/>
            <w:vMerge w:val="continue"/>
            <w:tcBorders>
              <w:tl2br w:val="nil"/>
              <w:tr2bl w:val="nil"/>
            </w:tcBorders>
            <w:noWrap w:val="0"/>
            <w:vAlign w:val="center"/>
          </w:tcPr>
          <w:p w14:paraId="2BD679C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eastAsia" w:ascii="Times New Roman" w:hAnsi="Times New Roman" w:eastAsia="宋体" w:cs="Times New Roman"/>
                <w:color w:val="auto"/>
                <w:kern w:val="2"/>
                <w:sz w:val="21"/>
                <w:szCs w:val="22"/>
                <w:lang w:val="en-US" w:eastAsia="zh-CN"/>
              </w:rPr>
            </w:pPr>
          </w:p>
        </w:tc>
        <w:tc>
          <w:tcPr>
            <w:tcW w:w="475" w:type="dxa"/>
            <w:tcBorders>
              <w:tl2br w:val="nil"/>
              <w:tr2bl w:val="nil"/>
            </w:tcBorders>
            <w:noWrap w:val="0"/>
            <w:vAlign w:val="center"/>
          </w:tcPr>
          <w:p w14:paraId="3241B64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宋体"/>
                <w:b w:val="0"/>
                <w:bCs w:val="0"/>
                <w:color w:val="auto"/>
                <w:kern w:val="0"/>
                <w:sz w:val="21"/>
                <w:szCs w:val="21"/>
                <w:lang w:val="en-US" w:eastAsia="zh-CN"/>
              </w:rPr>
            </w:pPr>
            <w:r>
              <w:rPr>
                <w:rFonts w:hint="eastAsia" w:ascii="Times New Roman" w:hAnsi="Times New Roman" w:eastAsia="宋体" w:cs="Times New Roman"/>
                <w:color w:val="000000"/>
                <w:kern w:val="2"/>
                <w:sz w:val="21"/>
                <w:szCs w:val="24"/>
                <w:lang w:val="en-US" w:eastAsia="zh-CN"/>
              </w:rPr>
              <w:t>颗粒物</w:t>
            </w:r>
          </w:p>
        </w:tc>
        <w:tc>
          <w:tcPr>
            <w:tcW w:w="440" w:type="dxa"/>
            <w:vMerge w:val="continue"/>
            <w:tcBorders>
              <w:tl2br w:val="nil"/>
              <w:tr2bl w:val="nil"/>
            </w:tcBorders>
            <w:noWrap w:val="0"/>
            <w:vAlign w:val="center"/>
          </w:tcPr>
          <w:p w14:paraId="3A4F77F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p>
        </w:tc>
        <w:tc>
          <w:tcPr>
            <w:tcW w:w="631" w:type="dxa"/>
            <w:tcBorders>
              <w:tl2br w:val="nil"/>
              <w:tr2bl w:val="nil"/>
            </w:tcBorders>
            <w:noWrap w:val="0"/>
            <w:vAlign w:val="center"/>
          </w:tcPr>
          <w:p w14:paraId="0AF50AC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0.065</w:t>
            </w:r>
          </w:p>
        </w:tc>
        <w:tc>
          <w:tcPr>
            <w:tcW w:w="729" w:type="dxa"/>
            <w:tcBorders>
              <w:tl2br w:val="nil"/>
              <w:tr2bl w:val="nil"/>
            </w:tcBorders>
            <w:noWrap w:val="0"/>
            <w:vAlign w:val="center"/>
          </w:tcPr>
          <w:p w14:paraId="5157041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0.0111</w:t>
            </w:r>
          </w:p>
        </w:tc>
        <w:tc>
          <w:tcPr>
            <w:tcW w:w="921" w:type="dxa"/>
            <w:tcBorders>
              <w:tl2br w:val="nil"/>
              <w:tr2bl w:val="nil"/>
            </w:tcBorders>
            <w:noWrap w:val="0"/>
            <w:vAlign w:val="center"/>
          </w:tcPr>
          <w:p w14:paraId="2DDBFE9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2"/>
                <w:sz w:val="21"/>
                <w:szCs w:val="22"/>
                <w:lang w:val="en-US" w:eastAsia="zh-CN"/>
              </w:rPr>
              <w:t>74%</w:t>
            </w:r>
          </w:p>
        </w:tc>
        <w:tc>
          <w:tcPr>
            <w:tcW w:w="950" w:type="dxa"/>
            <w:tcBorders>
              <w:tl2br w:val="nil"/>
              <w:tr2bl w:val="nil"/>
            </w:tcBorders>
            <w:noWrap w:val="0"/>
            <w:vAlign w:val="center"/>
          </w:tcPr>
          <w:p w14:paraId="099789F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0.017</w:t>
            </w:r>
          </w:p>
        </w:tc>
        <w:tc>
          <w:tcPr>
            <w:tcW w:w="950" w:type="dxa"/>
            <w:tcBorders>
              <w:tl2br w:val="nil"/>
              <w:tr2bl w:val="nil"/>
            </w:tcBorders>
            <w:noWrap w:val="0"/>
            <w:vAlign w:val="center"/>
          </w:tcPr>
          <w:p w14:paraId="4DBC64F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950" w:type="dxa"/>
            <w:tcBorders>
              <w:tl2br w:val="nil"/>
              <w:tr2bl w:val="nil"/>
            </w:tcBorders>
            <w:noWrap w:val="0"/>
            <w:vAlign w:val="center"/>
          </w:tcPr>
          <w:p w14:paraId="7F21443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c>
          <w:tcPr>
            <w:tcW w:w="950" w:type="dxa"/>
            <w:tcBorders>
              <w:tl2br w:val="nil"/>
              <w:tr2bl w:val="nil"/>
            </w:tcBorders>
            <w:noWrap w:val="0"/>
            <w:vAlign w:val="center"/>
          </w:tcPr>
          <w:p w14:paraId="58F0EFD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无组织排放</w:t>
            </w:r>
          </w:p>
        </w:tc>
        <w:tc>
          <w:tcPr>
            <w:tcW w:w="954" w:type="dxa"/>
            <w:tcBorders>
              <w:tl2br w:val="nil"/>
              <w:tr2bl w:val="nil"/>
            </w:tcBorders>
            <w:noWrap w:val="0"/>
            <w:vAlign w:val="center"/>
          </w:tcPr>
          <w:p w14:paraId="5527C1A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0.0029 </w:t>
            </w:r>
          </w:p>
        </w:tc>
      </w:tr>
    </w:tbl>
    <w:p w14:paraId="4BEF943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综上，本项目</w:t>
      </w:r>
      <w:r>
        <w:rPr>
          <w:rFonts w:hint="eastAsia" w:ascii="Times New Roman" w:hAnsi="Times New Roman" w:eastAsia="宋体" w:cs="Times New Roman"/>
          <w:color w:val="auto"/>
          <w:sz w:val="24"/>
          <w:szCs w:val="24"/>
          <w:lang w:val="en-US" w:eastAsia="zh-CN"/>
        </w:rPr>
        <w:t>废气</w:t>
      </w:r>
      <w:r>
        <w:rPr>
          <w:rFonts w:hint="default" w:ascii="Times New Roman" w:hAnsi="Times New Roman" w:eastAsia="宋体" w:cs="Times New Roman"/>
          <w:color w:val="auto"/>
          <w:sz w:val="24"/>
          <w:szCs w:val="24"/>
        </w:rPr>
        <w:t>排放</w:t>
      </w:r>
      <w:r>
        <w:rPr>
          <w:rFonts w:hint="eastAsia" w:ascii="Times New Roman" w:hAnsi="Times New Roman" w:eastAsia="宋体" w:cs="Times New Roman"/>
          <w:color w:val="auto"/>
          <w:sz w:val="24"/>
          <w:szCs w:val="24"/>
          <w:lang w:val="en-US" w:eastAsia="zh-CN"/>
        </w:rPr>
        <w:t>情况详见</w:t>
      </w:r>
      <w:r>
        <w:rPr>
          <w:rFonts w:hint="default" w:ascii="Times New Roman" w:hAnsi="Times New Roman" w:eastAsia="宋体" w:cs="Times New Roman"/>
          <w:color w:val="auto"/>
          <w:sz w:val="24"/>
          <w:szCs w:val="24"/>
        </w:rPr>
        <w:t>表3.</w:t>
      </w:r>
      <w:r>
        <w:rPr>
          <w:rFonts w:hint="eastAsia" w:cs="Times New Roman"/>
          <w:color w:val="auto"/>
          <w:sz w:val="24"/>
          <w:szCs w:val="24"/>
          <w:lang w:val="en-US" w:eastAsia="zh-CN"/>
        </w:rPr>
        <w:t>4-8</w:t>
      </w:r>
      <w:r>
        <w:rPr>
          <w:rFonts w:hint="default" w:ascii="Times New Roman" w:hAnsi="Times New Roman" w:eastAsia="宋体" w:cs="Times New Roman"/>
          <w:color w:val="auto"/>
          <w:sz w:val="24"/>
          <w:szCs w:val="24"/>
        </w:rPr>
        <w:t>。</w:t>
      </w:r>
    </w:p>
    <w:p w14:paraId="5E4B185A">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lang w:val="en-US" w:eastAsia="zh-CN"/>
        </w:rPr>
        <w:sectPr>
          <w:pgSz w:w="11906" w:h="16838"/>
          <w:pgMar w:top="1814" w:right="1701" w:bottom="1418" w:left="1701" w:header="1134" w:footer="851" w:gutter="0"/>
          <w:pgBorders>
            <w:top w:val="none" w:sz="0" w:space="0"/>
            <w:left w:val="none" w:sz="0" w:space="0"/>
            <w:bottom w:val="none" w:sz="0" w:space="0"/>
            <w:right w:val="none" w:sz="0" w:space="0"/>
          </w:pgBorders>
          <w:pgNumType w:fmt="numberInDash"/>
          <w:cols w:space="720" w:num="1"/>
          <w:docGrid w:type="lines" w:linePitch="312" w:charSpace="0"/>
        </w:sectPr>
      </w:pPr>
      <w:bookmarkStart w:id="344" w:name="_Hlk18646069"/>
    </w:p>
    <w:p w14:paraId="0F670DE8">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4-8</w:t>
      </w:r>
      <w:r>
        <w:rPr>
          <w:rFonts w:hint="default" w:ascii="Times New Roman" w:hAnsi="Times New Roman" w:eastAsia="宋体" w:cs="Times New Roman"/>
          <w:b/>
          <w:bCs/>
          <w:color w:val="auto"/>
          <w:sz w:val="24"/>
          <w:szCs w:val="24"/>
          <w:lang w:val="en-US" w:eastAsia="zh-CN"/>
        </w:rPr>
        <w:t>本项目</w:t>
      </w:r>
      <w:r>
        <w:rPr>
          <w:rFonts w:hint="eastAsia" w:ascii="Times New Roman" w:hAnsi="Times New Roman" w:eastAsia="宋体" w:cs="Times New Roman"/>
          <w:b/>
          <w:bCs/>
          <w:color w:val="auto"/>
          <w:sz w:val="24"/>
          <w:szCs w:val="24"/>
          <w:lang w:val="en-US" w:eastAsia="zh-CN"/>
        </w:rPr>
        <w:t>废气</w:t>
      </w:r>
      <w:r>
        <w:rPr>
          <w:rFonts w:hint="default" w:ascii="Times New Roman" w:hAnsi="Times New Roman" w:eastAsia="宋体" w:cs="Times New Roman"/>
          <w:b/>
          <w:bCs/>
          <w:color w:val="auto"/>
          <w:sz w:val="24"/>
          <w:szCs w:val="24"/>
          <w:lang w:val="en-US" w:eastAsia="zh-CN"/>
        </w:rPr>
        <w:t>排放</w:t>
      </w:r>
      <w:r>
        <w:rPr>
          <w:rFonts w:hint="eastAsia" w:ascii="Times New Roman" w:hAnsi="Times New Roman" w:eastAsia="宋体" w:cs="Times New Roman"/>
          <w:b/>
          <w:bCs/>
          <w:color w:val="auto"/>
          <w:sz w:val="24"/>
          <w:szCs w:val="24"/>
          <w:lang w:val="en-US" w:eastAsia="zh-CN"/>
        </w:rPr>
        <w:t>情况一览表</w:t>
      </w:r>
    </w:p>
    <w:bookmarkEnd w:id="344"/>
    <w:tbl>
      <w:tblPr>
        <w:tblStyle w:val="20"/>
        <w:tblW w:w="520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29"/>
        <w:gridCol w:w="887"/>
        <w:gridCol w:w="794"/>
        <w:gridCol w:w="791"/>
        <w:gridCol w:w="714"/>
        <w:gridCol w:w="771"/>
        <w:gridCol w:w="822"/>
        <w:gridCol w:w="1283"/>
        <w:gridCol w:w="813"/>
        <w:gridCol w:w="884"/>
        <w:gridCol w:w="1220"/>
        <w:gridCol w:w="1220"/>
        <w:gridCol w:w="1234"/>
        <w:gridCol w:w="370"/>
        <w:gridCol w:w="481"/>
        <w:gridCol w:w="523"/>
        <w:gridCol w:w="429"/>
        <w:gridCol w:w="442"/>
      </w:tblGrid>
      <w:tr w14:paraId="218F79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vMerge w:val="restart"/>
            <w:tcBorders>
              <w:tl2br w:val="nil"/>
              <w:tr2bl w:val="nil"/>
            </w:tcBorders>
            <w:noWrap w:val="0"/>
            <w:vAlign w:val="center"/>
          </w:tcPr>
          <w:p w14:paraId="37E6574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排放口代码</w:t>
            </w:r>
          </w:p>
        </w:tc>
        <w:tc>
          <w:tcPr>
            <w:tcW w:w="312" w:type="pct"/>
            <w:vMerge w:val="restart"/>
            <w:tcBorders>
              <w:tl2br w:val="nil"/>
              <w:tr2bl w:val="nil"/>
            </w:tcBorders>
            <w:noWrap w:val="0"/>
            <w:vAlign w:val="center"/>
          </w:tcPr>
          <w:p w14:paraId="37E56891">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污染源</w:t>
            </w:r>
          </w:p>
        </w:tc>
        <w:tc>
          <w:tcPr>
            <w:tcW w:w="279" w:type="pct"/>
            <w:vMerge w:val="restart"/>
            <w:tcBorders>
              <w:tl2br w:val="nil"/>
              <w:tr2bl w:val="nil"/>
            </w:tcBorders>
            <w:noWrap w:val="0"/>
            <w:vAlign w:val="center"/>
          </w:tcPr>
          <w:p w14:paraId="5DF7B56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排气量</w:t>
            </w:r>
          </w:p>
          <w:p w14:paraId="067034FE">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Nm</w:t>
            </w:r>
            <w:r>
              <w:rPr>
                <w:rFonts w:hint="default" w:ascii="Times New Roman" w:hAnsi="Times New Roman" w:eastAsia="宋体" w:cs="Times New Roman"/>
                <w:b/>
                <w:bCs/>
                <w:color w:val="auto"/>
                <w:kern w:val="0"/>
                <w:sz w:val="21"/>
                <w:szCs w:val="21"/>
                <w:vertAlign w:val="superscript"/>
                <w:lang w:val="zh-CN" w:eastAsia="zh-CN"/>
              </w:rPr>
              <w:t>3</w:t>
            </w:r>
            <w:r>
              <w:rPr>
                <w:rFonts w:hint="default" w:ascii="Times New Roman" w:hAnsi="Times New Roman" w:eastAsia="宋体" w:cs="Times New Roman"/>
                <w:b/>
                <w:bCs/>
                <w:color w:val="auto"/>
                <w:kern w:val="0"/>
                <w:sz w:val="21"/>
                <w:szCs w:val="21"/>
                <w:lang w:val="zh-CN" w:eastAsia="zh-CN"/>
              </w:rPr>
              <w:t>/h</w:t>
            </w:r>
          </w:p>
        </w:tc>
        <w:tc>
          <w:tcPr>
            <w:tcW w:w="278" w:type="pct"/>
            <w:vMerge w:val="restart"/>
            <w:tcBorders>
              <w:tl2br w:val="nil"/>
              <w:tr2bl w:val="nil"/>
            </w:tcBorders>
            <w:noWrap w:val="0"/>
            <w:vAlign w:val="center"/>
          </w:tcPr>
          <w:p w14:paraId="3D6C9C02">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污染</w:t>
            </w:r>
          </w:p>
          <w:p w14:paraId="328EBE4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因子</w:t>
            </w:r>
          </w:p>
        </w:tc>
        <w:tc>
          <w:tcPr>
            <w:tcW w:w="811" w:type="pct"/>
            <w:gridSpan w:val="3"/>
            <w:tcBorders>
              <w:tl2br w:val="nil"/>
              <w:tr2bl w:val="nil"/>
            </w:tcBorders>
            <w:noWrap w:val="0"/>
            <w:vAlign w:val="center"/>
          </w:tcPr>
          <w:p w14:paraId="365C8AF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污染物产生情况</w:t>
            </w:r>
          </w:p>
        </w:tc>
        <w:tc>
          <w:tcPr>
            <w:tcW w:w="451" w:type="pct"/>
            <w:vMerge w:val="restart"/>
            <w:tcBorders>
              <w:tl2br w:val="nil"/>
              <w:tr2bl w:val="nil"/>
            </w:tcBorders>
            <w:noWrap w:val="0"/>
            <w:vAlign w:val="center"/>
          </w:tcPr>
          <w:p w14:paraId="70B22AF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治理措施</w:t>
            </w:r>
          </w:p>
        </w:tc>
        <w:tc>
          <w:tcPr>
            <w:tcW w:w="286" w:type="pct"/>
            <w:vMerge w:val="restart"/>
            <w:tcBorders>
              <w:tl2br w:val="nil"/>
              <w:tr2bl w:val="nil"/>
            </w:tcBorders>
            <w:noWrap w:val="0"/>
            <w:vAlign w:val="center"/>
          </w:tcPr>
          <w:p w14:paraId="5887756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cs="Times New Roman"/>
                <w:b/>
                <w:bCs/>
                <w:color w:val="auto"/>
                <w:kern w:val="0"/>
                <w:sz w:val="21"/>
                <w:szCs w:val="21"/>
                <w:lang w:val="en-US" w:eastAsia="zh-CN"/>
              </w:rPr>
              <w:t>处理效率（%）</w:t>
            </w:r>
          </w:p>
        </w:tc>
        <w:tc>
          <w:tcPr>
            <w:tcW w:w="311" w:type="pct"/>
            <w:vMerge w:val="restart"/>
            <w:tcBorders>
              <w:tl2br w:val="nil"/>
              <w:tr2bl w:val="nil"/>
            </w:tcBorders>
            <w:noWrap w:val="0"/>
            <w:vAlign w:val="center"/>
          </w:tcPr>
          <w:p w14:paraId="18C6887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rPr>
            </w:pPr>
            <w:r>
              <w:rPr>
                <w:rFonts w:hint="eastAsia" w:ascii="Times New Roman" w:hAnsi="Times New Roman" w:eastAsia="宋体" w:cs="Times New Roman"/>
                <w:b/>
                <w:bCs/>
                <w:color w:val="auto"/>
                <w:kern w:val="2"/>
                <w:sz w:val="21"/>
                <w:szCs w:val="21"/>
                <w:lang w:val="en-US" w:eastAsia="zh-CN"/>
              </w:rPr>
              <w:t>是否为可行技术</w:t>
            </w:r>
          </w:p>
        </w:tc>
        <w:tc>
          <w:tcPr>
            <w:tcW w:w="1292" w:type="pct"/>
            <w:gridSpan w:val="3"/>
            <w:tcBorders>
              <w:tl2br w:val="nil"/>
              <w:tr2bl w:val="nil"/>
            </w:tcBorders>
            <w:noWrap w:val="0"/>
            <w:vAlign w:val="center"/>
          </w:tcPr>
          <w:p w14:paraId="6E023D8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rPr>
            </w:pPr>
            <w:r>
              <w:rPr>
                <w:rFonts w:hint="default" w:ascii="Times New Roman" w:hAnsi="Times New Roman" w:eastAsia="宋体" w:cs="Times New Roman"/>
                <w:b/>
                <w:bCs/>
                <w:color w:val="auto"/>
                <w:kern w:val="2"/>
                <w:sz w:val="21"/>
                <w:szCs w:val="21"/>
                <w:lang w:val="zh-CN" w:eastAsia="zh-CN"/>
              </w:rPr>
              <w:t>污染物排放情况</w:t>
            </w:r>
          </w:p>
        </w:tc>
        <w:tc>
          <w:tcPr>
            <w:tcW w:w="483" w:type="pct"/>
            <w:gridSpan w:val="3"/>
            <w:tcBorders>
              <w:tl2br w:val="nil"/>
              <w:tr2bl w:val="nil"/>
            </w:tcBorders>
            <w:noWrap w:val="0"/>
            <w:vAlign w:val="center"/>
          </w:tcPr>
          <w:p w14:paraId="51E61EB2">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排气筒参数</w:t>
            </w:r>
          </w:p>
        </w:tc>
        <w:tc>
          <w:tcPr>
            <w:tcW w:w="150" w:type="pct"/>
            <w:vMerge w:val="restart"/>
            <w:tcBorders>
              <w:tl2br w:val="nil"/>
              <w:tr2bl w:val="nil"/>
            </w:tcBorders>
            <w:noWrap w:val="0"/>
            <w:vAlign w:val="center"/>
          </w:tcPr>
          <w:p w14:paraId="265D92BE">
            <w:pPr>
              <w:widowControl w:val="0"/>
              <w:overflowPunct w:val="0"/>
              <w:autoSpaceDE w:val="0"/>
              <w:autoSpaceDN w:val="0"/>
              <w:bidi w:val="0"/>
              <w:adjustRightInd w:val="0"/>
              <w:snapToGrid w:val="0"/>
              <w:spacing w:line="300" w:lineRule="atLeast"/>
              <w:ind w:firstLine="0" w:firstLineChars="0"/>
              <w:jc w:val="center"/>
              <w:textAlignment w:val="baseline"/>
              <w:rPr>
                <w:rFonts w:ascii="Times New Roman" w:hAnsi="Times New Roman" w:eastAsia="宋体" w:cs="Times New Roman"/>
                <w:b/>
                <w:bCs/>
                <w:color w:val="auto"/>
                <w:kern w:val="0"/>
                <w:sz w:val="21"/>
                <w:lang w:val="en-US" w:eastAsia="zh-CN" w:bidi="ar-SA"/>
              </w:rPr>
            </w:pPr>
            <w:r>
              <w:rPr>
                <w:rFonts w:hint="eastAsia" w:ascii="Times New Roman" w:hAnsi="Times New Roman" w:eastAsia="宋体" w:cs="Times New Roman"/>
                <w:b/>
                <w:bCs/>
                <w:color w:val="auto"/>
                <w:kern w:val="0"/>
                <w:sz w:val="21"/>
                <w:lang w:val="en-US" w:eastAsia="zh-CN" w:bidi="ar-SA"/>
              </w:rPr>
              <w:t>排放</w:t>
            </w:r>
          </w:p>
          <w:p w14:paraId="53A7598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eastAsia" w:ascii="Times New Roman" w:hAnsi="Times New Roman" w:eastAsia="宋体" w:cs="Times New Roman"/>
                <w:b/>
                <w:bCs/>
                <w:color w:val="auto"/>
                <w:kern w:val="0"/>
                <w:sz w:val="21"/>
                <w:lang w:val="en-US" w:eastAsia="zh-CN" w:bidi="ar-SA"/>
              </w:rPr>
              <w:t>时间（h）</w:t>
            </w:r>
          </w:p>
        </w:tc>
        <w:tc>
          <w:tcPr>
            <w:tcW w:w="155" w:type="pct"/>
            <w:vMerge w:val="restart"/>
            <w:tcBorders>
              <w:tl2br w:val="nil"/>
              <w:tr2bl w:val="nil"/>
            </w:tcBorders>
            <w:noWrap w:val="0"/>
            <w:vAlign w:val="center"/>
          </w:tcPr>
          <w:p w14:paraId="54A71387">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排放</w:t>
            </w:r>
          </w:p>
          <w:p w14:paraId="790ED8F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规律</w:t>
            </w:r>
          </w:p>
        </w:tc>
      </w:tr>
      <w:tr w14:paraId="3398E0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84" w:hRule="atLeast"/>
          <w:tblHeader/>
          <w:jc w:val="center"/>
        </w:trPr>
        <w:tc>
          <w:tcPr>
            <w:tcW w:w="186" w:type="pct"/>
            <w:vMerge w:val="continue"/>
            <w:tcBorders>
              <w:tl2br w:val="nil"/>
              <w:tr2bl w:val="nil"/>
            </w:tcBorders>
            <w:noWrap w:val="0"/>
            <w:vAlign w:val="center"/>
          </w:tcPr>
          <w:p w14:paraId="23D157A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p>
        </w:tc>
        <w:tc>
          <w:tcPr>
            <w:tcW w:w="312" w:type="pct"/>
            <w:vMerge w:val="continue"/>
            <w:tcBorders>
              <w:tl2br w:val="nil"/>
              <w:tr2bl w:val="nil"/>
            </w:tcBorders>
            <w:noWrap w:val="0"/>
            <w:vAlign w:val="center"/>
          </w:tcPr>
          <w:p w14:paraId="133DD8E5">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p>
        </w:tc>
        <w:tc>
          <w:tcPr>
            <w:tcW w:w="279" w:type="pct"/>
            <w:vMerge w:val="continue"/>
            <w:tcBorders>
              <w:tl2br w:val="nil"/>
              <w:tr2bl w:val="nil"/>
            </w:tcBorders>
            <w:noWrap w:val="0"/>
            <w:vAlign w:val="center"/>
          </w:tcPr>
          <w:p w14:paraId="3477F95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rPr>
            </w:pPr>
          </w:p>
        </w:tc>
        <w:tc>
          <w:tcPr>
            <w:tcW w:w="278" w:type="pct"/>
            <w:vMerge w:val="continue"/>
            <w:tcBorders>
              <w:tl2br w:val="nil"/>
              <w:tr2bl w:val="nil"/>
            </w:tcBorders>
            <w:noWrap w:val="0"/>
            <w:vAlign w:val="center"/>
          </w:tcPr>
          <w:p w14:paraId="1E161A1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p>
        </w:tc>
        <w:tc>
          <w:tcPr>
            <w:tcW w:w="251" w:type="pct"/>
            <w:tcBorders>
              <w:tl2br w:val="nil"/>
              <w:tr2bl w:val="nil"/>
            </w:tcBorders>
            <w:noWrap w:val="0"/>
            <w:vAlign w:val="center"/>
          </w:tcPr>
          <w:p w14:paraId="612040A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rPr>
            </w:pPr>
            <w:r>
              <w:rPr>
                <w:rFonts w:hint="default" w:ascii="Times New Roman" w:hAnsi="Times New Roman" w:eastAsia="宋体" w:cs="Times New Roman"/>
                <w:b/>
                <w:bCs/>
                <w:color w:val="auto"/>
                <w:kern w:val="2"/>
                <w:sz w:val="21"/>
                <w:szCs w:val="21"/>
                <w:lang w:val="zh-CN" w:eastAsia="zh-CN"/>
              </w:rPr>
              <w:t>浓度</w:t>
            </w:r>
          </w:p>
          <w:p w14:paraId="71A9BD7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kern w:val="2"/>
                <w:sz w:val="21"/>
                <w:szCs w:val="21"/>
                <w:lang w:val="zh-CN" w:eastAsia="zh-CN" w:bidi="ar-SA"/>
              </w:rPr>
            </w:pPr>
            <w:r>
              <w:rPr>
                <w:rFonts w:hint="eastAsia" w:cs="Times New Roman"/>
                <w:b/>
                <w:bCs/>
                <w:color w:val="auto"/>
                <w:kern w:val="0"/>
                <w:sz w:val="21"/>
                <w:szCs w:val="21"/>
                <w:lang w:val="en-US" w:eastAsia="zh-CN" w:bidi="ar-SA"/>
              </w:rPr>
              <w:t>（</w:t>
            </w:r>
            <w:r>
              <w:rPr>
                <w:rFonts w:hint="default" w:ascii="Times New Roman" w:hAnsi="Times New Roman" w:eastAsia="宋体" w:cs="Times New Roman"/>
                <w:b/>
                <w:bCs/>
                <w:color w:val="auto"/>
                <w:kern w:val="0"/>
                <w:sz w:val="21"/>
                <w:szCs w:val="21"/>
                <w:lang w:val="en-US" w:eastAsia="zh-CN" w:bidi="ar-SA"/>
              </w:rPr>
              <w:t>mg/m</w:t>
            </w:r>
            <w:r>
              <w:rPr>
                <w:rFonts w:hint="eastAsia" w:cs="Times New Roman"/>
                <w:b/>
                <w:bCs/>
                <w:color w:val="auto"/>
                <w:kern w:val="0"/>
                <w:sz w:val="21"/>
                <w:szCs w:val="21"/>
                <w:vertAlign w:val="superscript"/>
                <w:lang w:val="en-US" w:eastAsia="zh-CN" w:bidi="ar-SA"/>
              </w:rPr>
              <w:t>3</w:t>
            </w:r>
            <w:r>
              <w:rPr>
                <w:rFonts w:hint="eastAsia" w:cs="Times New Roman"/>
                <w:b/>
                <w:bCs/>
                <w:color w:val="auto"/>
                <w:kern w:val="0"/>
                <w:sz w:val="21"/>
                <w:szCs w:val="21"/>
                <w:lang w:val="en-US" w:eastAsia="zh-CN" w:bidi="ar-SA"/>
              </w:rPr>
              <w:t>）</w:t>
            </w:r>
          </w:p>
        </w:tc>
        <w:tc>
          <w:tcPr>
            <w:tcW w:w="271" w:type="pct"/>
            <w:tcBorders>
              <w:tl2br w:val="nil"/>
              <w:tr2bl w:val="nil"/>
            </w:tcBorders>
            <w:noWrap w:val="0"/>
            <w:vAlign w:val="center"/>
          </w:tcPr>
          <w:p w14:paraId="06118332">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速率</w:t>
            </w:r>
          </w:p>
          <w:p w14:paraId="552EAD47">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（kg/h）</w:t>
            </w:r>
          </w:p>
        </w:tc>
        <w:tc>
          <w:tcPr>
            <w:tcW w:w="289" w:type="pct"/>
            <w:tcBorders>
              <w:tl2br w:val="nil"/>
              <w:tr2bl w:val="nil"/>
            </w:tcBorders>
            <w:noWrap w:val="0"/>
            <w:vAlign w:val="center"/>
          </w:tcPr>
          <w:p w14:paraId="3EF4A8C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产生量（</w:t>
            </w:r>
            <w:r>
              <w:rPr>
                <w:rFonts w:hint="default" w:ascii="Times New Roman" w:hAnsi="Times New Roman" w:eastAsia="宋体" w:cs="Times New Roman"/>
                <w:b/>
                <w:bCs/>
                <w:color w:val="auto"/>
                <w:kern w:val="0"/>
                <w:sz w:val="21"/>
                <w:szCs w:val="21"/>
                <w:lang w:val="en-US" w:eastAsia="zh-CN"/>
              </w:rPr>
              <w:t>t/a</w:t>
            </w:r>
            <w:r>
              <w:rPr>
                <w:rFonts w:hint="default" w:ascii="Times New Roman" w:hAnsi="Times New Roman" w:eastAsia="宋体" w:cs="Times New Roman"/>
                <w:b/>
                <w:bCs/>
                <w:color w:val="auto"/>
                <w:kern w:val="0"/>
                <w:sz w:val="21"/>
                <w:szCs w:val="21"/>
                <w:lang w:val="zh-CN" w:eastAsia="zh-CN"/>
              </w:rPr>
              <w:t>）</w:t>
            </w:r>
          </w:p>
        </w:tc>
        <w:tc>
          <w:tcPr>
            <w:tcW w:w="451" w:type="pct"/>
            <w:vMerge w:val="continue"/>
            <w:tcBorders>
              <w:tl2br w:val="nil"/>
              <w:tr2bl w:val="nil"/>
            </w:tcBorders>
            <w:noWrap w:val="0"/>
            <w:vAlign w:val="center"/>
          </w:tcPr>
          <w:p w14:paraId="37113B8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p>
        </w:tc>
        <w:tc>
          <w:tcPr>
            <w:tcW w:w="286" w:type="pct"/>
            <w:vMerge w:val="continue"/>
            <w:tcBorders>
              <w:tl2br w:val="nil"/>
              <w:tr2bl w:val="nil"/>
            </w:tcBorders>
            <w:noWrap w:val="0"/>
            <w:vAlign w:val="center"/>
          </w:tcPr>
          <w:p w14:paraId="5F16EFA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p>
        </w:tc>
        <w:tc>
          <w:tcPr>
            <w:tcW w:w="311" w:type="pct"/>
            <w:vMerge w:val="continue"/>
            <w:tcBorders>
              <w:tl2br w:val="nil"/>
              <w:tr2bl w:val="nil"/>
            </w:tcBorders>
            <w:noWrap w:val="0"/>
            <w:vAlign w:val="center"/>
          </w:tcPr>
          <w:p w14:paraId="2F126B4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rPr>
            </w:pPr>
          </w:p>
        </w:tc>
        <w:tc>
          <w:tcPr>
            <w:tcW w:w="429" w:type="pct"/>
            <w:tcBorders>
              <w:tl2br w:val="nil"/>
              <w:tr2bl w:val="nil"/>
            </w:tcBorders>
            <w:noWrap w:val="0"/>
            <w:vAlign w:val="center"/>
          </w:tcPr>
          <w:p w14:paraId="7A09C5B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rPr>
            </w:pPr>
            <w:r>
              <w:rPr>
                <w:rFonts w:hint="default" w:ascii="Times New Roman" w:hAnsi="Times New Roman" w:eastAsia="宋体" w:cs="Times New Roman"/>
                <w:b/>
                <w:bCs/>
                <w:color w:val="auto"/>
                <w:kern w:val="2"/>
                <w:sz w:val="21"/>
                <w:szCs w:val="21"/>
                <w:lang w:val="zh-CN" w:eastAsia="zh-CN"/>
              </w:rPr>
              <w:t>浓度</w:t>
            </w:r>
          </w:p>
          <w:p w14:paraId="0EDC6CB7">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rPr>
            </w:pPr>
            <w:r>
              <w:rPr>
                <w:rFonts w:hint="eastAsia" w:cs="Times New Roman"/>
                <w:b/>
                <w:bCs/>
                <w:color w:val="auto"/>
                <w:kern w:val="2"/>
                <w:sz w:val="21"/>
                <w:szCs w:val="21"/>
                <w:lang w:val="zh-CN" w:eastAsia="zh-CN"/>
              </w:rPr>
              <w:t>（</w:t>
            </w:r>
            <w:r>
              <w:rPr>
                <w:rFonts w:hint="default" w:ascii="Times New Roman" w:hAnsi="Times New Roman" w:eastAsia="宋体" w:cs="Times New Roman"/>
                <w:b/>
                <w:bCs/>
                <w:color w:val="auto"/>
                <w:kern w:val="2"/>
                <w:sz w:val="21"/>
                <w:szCs w:val="21"/>
                <w:lang w:val="zh-CN" w:eastAsia="zh-CN"/>
              </w:rPr>
              <w:t>mg/m</w:t>
            </w:r>
            <w:r>
              <w:rPr>
                <w:rFonts w:hint="eastAsia" w:ascii="Times New Roman" w:hAnsi="Times New Roman" w:eastAsia="宋体" w:cs="Times New Roman"/>
                <w:b/>
                <w:bCs/>
                <w:color w:val="auto"/>
                <w:kern w:val="2"/>
                <w:sz w:val="21"/>
                <w:szCs w:val="21"/>
                <w:vertAlign w:val="superscript"/>
                <w:lang w:val="en-US" w:eastAsia="zh-CN"/>
              </w:rPr>
              <w:t>3</w:t>
            </w:r>
            <w:r>
              <w:rPr>
                <w:rFonts w:hint="eastAsia" w:cs="Times New Roman"/>
                <w:b/>
                <w:bCs/>
                <w:color w:val="auto"/>
                <w:kern w:val="2"/>
                <w:sz w:val="21"/>
                <w:szCs w:val="21"/>
                <w:lang w:val="zh-CN" w:eastAsia="zh-CN"/>
              </w:rPr>
              <w:t>）</w:t>
            </w:r>
          </w:p>
        </w:tc>
        <w:tc>
          <w:tcPr>
            <w:tcW w:w="429" w:type="pct"/>
            <w:tcBorders>
              <w:tl2br w:val="nil"/>
              <w:tr2bl w:val="nil"/>
            </w:tcBorders>
            <w:noWrap w:val="0"/>
            <w:vAlign w:val="center"/>
          </w:tcPr>
          <w:p w14:paraId="07AB7D1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速率</w:t>
            </w:r>
          </w:p>
          <w:p w14:paraId="0C259EA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（kg/h）</w:t>
            </w:r>
          </w:p>
        </w:tc>
        <w:tc>
          <w:tcPr>
            <w:tcW w:w="434" w:type="pct"/>
            <w:tcBorders>
              <w:tl2br w:val="nil"/>
              <w:tr2bl w:val="nil"/>
            </w:tcBorders>
            <w:noWrap w:val="0"/>
            <w:vAlign w:val="center"/>
          </w:tcPr>
          <w:p w14:paraId="305F74C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排放量（</w:t>
            </w:r>
            <w:r>
              <w:rPr>
                <w:rFonts w:hint="default" w:ascii="Times New Roman" w:hAnsi="Times New Roman" w:eastAsia="宋体" w:cs="Times New Roman"/>
                <w:b/>
                <w:bCs/>
                <w:color w:val="auto"/>
                <w:kern w:val="0"/>
                <w:sz w:val="21"/>
                <w:szCs w:val="21"/>
                <w:lang w:val="en-US" w:eastAsia="zh-CN"/>
              </w:rPr>
              <w:t>t/a</w:t>
            </w:r>
            <w:r>
              <w:rPr>
                <w:rFonts w:hint="default" w:ascii="Times New Roman" w:hAnsi="Times New Roman" w:eastAsia="宋体" w:cs="Times New Roman"/>
                <w:b/>
                <w:bCs/>
                <w:color w:val="auto"/>
                <w:kern w:val="0"/>
                <w:sz w:val="21"/>
                <w:szCs w:val="21"/>
                <w:lang w:val="zh-CN" w:eastAsia="zh-CN"/>
              </w:rPr>
              <w:t>）</w:t>
            </w:r>
          </w:p>
        </w:tc>
        <w:tc>
          <w:tcPr>
            <w:tcW w:w="130" w:type="pct"/>
            <w:tcBorders>
              <w:tl2br w:val="nil"/>
              <w:tr2bl w:val="nil"/>
            </w:tcBorders>
            <w:noWrap w:val="0"/>
            <w:vAlign w:val="center"/>
          </w:tcPr>
          <w:p w14:paraId="2CC56E42">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高度</w:t>
            </w:r>
          </w:p>
          <w:p w14:paraId="7703037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/m</w:t>
            </w:r>
          </w:p>
        </w:tc>
        <w:tc>
          <w:tcPr>
            <w:tcW w:w="169" w:type="pct"/>
            <w:tcBorders>
              <w:tl2br w:val="nil"/>
              <w:tr2bl w:val="nil"/>
            </w:tcBorders>
            <w:noWrap w:val="0"/>
            <w:vAlign w:val="center"/>
          </w:tcPr>
          <w:p w14:paraId="791854D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直径</w:t>
            </w:r>
          </w:p>
          <w:p w14:paraId="327B0E6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/m</w:t>
            </w:r>
          </w:p>
        </w:tc>
        <w:tc>
          <w:tcPr>
            <w:tcW w:w="184" w:type="pct"/>
            <w:tcBorders>
              <w:tl2br w:val="nil"/>
              <w:tr2bl w:val="nil"/>
            </w:tcBorders>
            <w:noWrap w:val="0"/>
            <w:vAlign w:val="center"/>
          </w:tcPr>
          <w:p w14:paraId="1726028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温度</w:t>
            </w:r>
          </w:p>
          <w:p w14:paraId="7EE4234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w:t>
            </w:r>
          </w:p>
        </w:tc>
        <w:tc>
          <w:tcPr>
            <w:tcW w:w="150" w:type="pct"/>
            <w:vMerge w:val="continue"/>
            <w:tcBorders>
              <w:tl2br w:val="nil"/>
              <w:tr2bl w:val="nil"/>
            </w:tcBorders>
            <w:noWrap w:val="0"/>
            <w:vAlign w:val="center"/>
          </w:tcPr>
          <w:p w14:paraId="4DBCD161">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c>
          <w:tcPr>
            <w:tcW w:w="155" w:type="pct"/>
            <w:vMerge w:val="continue"/>
            <w:tcBorders>
              <w:tl2br w:val="nil"/>
              <w:tr2bl w:val="nil"/>
            </w:tcBorders>
            <w:noWrap w:val="0"/>
            <w:vAlign w:val="center"/>
          </w:tcPr>
          <w:p w14:paraId="7985E1E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zh-CN"/>
              </w:rPr>
            </w:pPr>
          </w:p>
        </w:tc>
      </w:tr>
      <w:tr w14:paraId="517D43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186" w:type="pct"/>
            <w:vMerge w:val="restart"/>
            <w:tcBorders>
              <w:tl2br w:val="nil"/>
              <w:tr2bl w:val="nil"/>
            </w:tcBorders>
            <w:noWrap w:val="0"/>
            <w:vAlign w:val="center"/>
          </w:tcPr>
          <w:p w14:paraId="4276DF9E">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DA001</w:t>
            </w:r>
          </w:p>
        </w:tc>
        <w:tc>
          <w:tcPr>
            <w:tcW w:w="312" w:type="pct"/>
            <w:vMerge w:val="restart"/>
            <w:tcBorders>
              <w:tl2br w:val="nil"/>
              <w:tr2bl w:val="nil"/>
            </w:tcBorders>
            <w:noWrap w:val="0"/>
            <w:vAlign w:val="center"/>
          </w:tcPr>
          <w:p w14:paraId="6BC66F7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堆肥间</w:t>
            </w:r>
            <w:r>
              <w:rPr>
                <w:rFonts w:hint="eastAsia" w:ascii="Times New Roman" w:hAnsi="Times New Roman" w:cs="Times New Roman"/>
                <w:color w:val="auto"/>
                <w:kern w:val="0"/>
                <w:sz w:val="21"/>
                <w:szCs w:val="21"/>
                <w:highlight w:val="none"/>
                <w:lang w:val="en-US" w:eastAsia="zh-CN"/>
              </w:rPr>
              <w:t>排放口</w:t>
            </w:r>
          </w:p>
        </w:tc>
        <w:tc>
          <w:tcPr>
            <w:tcW w:w="279" w:type="pct"/>
            <w:vMerge w:val="restart"/>
            <w:tcBorders>
              <w:tl2br w:val="nil"/>
              <w:tr2bl w:val="nil"/>
            </w:tcBorders>
            <w:noWrap w:val="0"/>
            <w:vAlign w:val="center"/>
          </w:tcPr>
          <w:p w14:paraId="6F6BDC7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5000</w:t>
            </w:r>
          </w:p>
        </w:tc>
        <w:tc>
          <w:tcPr>
            <w:tcW w:w="278" w:type="pct"/>
            <w:tcBorders>
              <w:tl2br w:val="nil"/>
              <w:tr2bl w:val="nil"/>
            </w:tcBorders>
            <w:noWrap w:val="0"/>
            <w:vAlign w:val="center"/>
          </w:tcPr>
          <w:p w14:paraId="3380F3D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lang w:val="en-US" w:eastAsia="zh-CN" w:bidi="ar-SA"/>
              </w:rPr>
              <w:t>PM</w:t>
            </w:r>
            <w:r>
              <w:rPr>
                <w:rFonts w:hint="eastAsia" w:cs="Times New Roman"/>
                <w:color w:val="auto"/>
                <w:kern w:val="0"/>
                <w:sz w:val="21"/>
                <w:szCs w:val="21"/>
                <w:vertAlign w:val="subscript"/>
                <w:lang w:val="en-US" w:eastAsia="zh-CN" w:bidi="ar-SA"/>
              </w:rPr>
              <w:t>10</w:t>
            </w:r>
          </w:p>
        </w:tc>
        <w:tc>
          <w:tcPr>
            <w:tcW w:w="251" w:type="pct"/>
            <w:tcBorders>
              <w:tl2br w:val="nil"/>
              <w:tr2bl w:val="nil"/>
            </w:tcBorders>
            <w:noWrap w:val="0"/>
            <w:vAlign w:val="center"/>
          </w:tcPr>
          <w:p w14:paraId="5F6772E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51.2 </w:t>
            </w:r>
          </w:p>
        </w:tc>
        <w:tc>
          <w:tcPr>
            <w:tcW w:w="271" w:type="pct"/>
            <w:tcBorders>
              <w:tl2br w:val="nil"/>
              <w:tr2bl w:val="nil"/>
            </w:tcBorders>
            <w:noWrap w:val="0"/>
            <w:vAlign w:val="center"/>
          </w:tcPr>
          <w:p w14:paraId="303F87F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0.2559</w:t>
            </w:r>
          </w:p>
        </w:tc>
        <w:tc>
          <w:tcPr>
            <w:tcW w:w="289" w:type="pct"/>
            <w:tcBorders>
              <w:tl2br w:val="nil"/>
              <w:tr2bl w:val="nil"/>
            </w:tcBorders>
            <w:noWrap w:val="0"/>
            <w:vAlign w:val="center"/>
          </w:tcPr>
          <w:p w14:paraId="03951FE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1.21 </w:t>
            </w:r>
          </w:p>
        </w:tc>
        <w:tc>
          <w:tcPr>
            <w:tcW w:w="451" w:type="pct"/>
            <w:vMerge w:val="restart"/>
            <w:tcBorders>
              <w:tl2br w:val="nil"/>
              <w:tr2bl w:val="nil"/>
            </w:tcBorders>
            <w:noWrap w:val="0"/>
            <w:vAlign w:val="center"/>
          </w:tcPr>
          <w:p w14:paraId="7594DA55">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袋式除尘+生物除臭（滴滤法）</w:t>
            </w:r>
          </w:p>
        </w:tc>
        <w:tc>
          <w:tcPr>
            <w:tcW w:w="286" w:type="pct"/>
            <w:tcBorders>
              <w:tl2br w:val="nil"/>
              <w:tr2bl w:val="nil"/>
            </w:tcBorders>
            <w:noWrap w:val="0"/>
            <w:vAlign w:val="center"/>
          </w:tcPr>
          <w:p w14:paraId="41A43765">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98</w:t>
            </w:r>
          </w:p>
        </w:tc>
        <w:tc>
          <w:tcPr>
            <w:tcW w:w="311" w:type="pct"/>
            <w:tcBorders>
              <w:tl2br w:val="nil"/>
              <w:tr2bl w:val="nil"/>
            </w:tcBorders>
            <w:noWrap w:val="0"/>
            <w:vAlign w:val="center"/>
          </w:tcPr>
          <w:p w14:paraId="6ACCACC1">
            <w:pPr>
              <w:widowControl w:val="0"/>
              <w:overflowPunct w:val="0"/>
              <w:autoSpaceDE w:val="0"/>
              <w:autoSpaceDN w:val="0"/>
              <w:bidi w:val="0"/>
              <w:adjustRightInd w:val="0"/>
              <w:snapToGrid w:val="0"/>
              <w:spacing w:line="300" w:lineRule="atLeast"/>
              <w:ind w:firstLine="0" w:firstLineChars="0"/>
              <w:jc w:val="center"/>
              <w:textAlignment w:val="baseline"/>
              <w:rPr>
                <w:rFonts w:hint="eastAsia" w:cs="Times New Roman"/>
                <w:color w:val="auto"/>
                <w:kern w:val="0"/>
                <w:sz w:val="21"/>
                <w:szCs w:val="21"/>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1996BCC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0.8</w:t>
            </w:r>
          </w:p>
        </w:tc>
        <w:tc>
          <w:tcPr>
            <w:tcW w:w="429" w:type="pct"/>
            <w:tcBorders>
              <w:tl2br w:val="nil"/>
              <w:tr2bl w:val="nil"/>
            </w:tcBorders>
            <w:noWrap w:val="0"/>
            <w:vAlign w:val="center"/>
          </w:tcPr>
          <w:p w14:paraId="7E32C7E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0.0042 </w:t>
            </w:r>
          </w:p>
        </w:tc>
        <w:tc>
          <w:tcPr>
            <w:tcW w:w="434" w:type="pct"/>
            <w:tcBorders>
              <w:tl2br w:val="nil"/>
              <w:tr2bl w:val="nil"/>
            </w:tcBorders>
            <w:noWrap w:val="0"/>
            <w:vAlign w:val="center"/>
          </w:tcPr>
          <w:p w14:paraId="5B27D840">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0.02</w:t>
            </w:r>
          </w:p>
        </w:tc>
        <w:tc>
          <w:tcPr>
            <w:tcW w:w="130" w:type="pct"/>
            <w:vMerge w:val="restart"/>
            <w:tcBorders>
              <w:tl2br w:val="nil"/>
              <w:tr2bl w:val="nil"/>
            </w:tcBorders>
            <w:noWrap w:val="0"/>
            <w:vAlign w:val="center"/>
          </w:tcPr>
          <w:p w14:paraId="6A507ECB">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15</w:t>
            </w:r>
          </w:p>
        </w:tc>
        <w:tc>
          <w:tcPr>
            <w:tcW w:w="169" w:type="pct"/>
            <w:vMerge w:val="restart"/>
            <w:tcBorders>
              <w:tl2br w:val="nil"/>
              <w:tr2bl w:val="nil"/>
            </w:tcBorders>
            <w:noWrap w:val="0"/>
            <w:vAlign w:val="center"/>
          </w:tcPr>
          <w:p w14:paraId="72EC3107">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w:t>
            </w:r>
            <w:r>
              <w:rPr>
                <w:rFonts w:hint="eastAsia" w:cs="Times New Roman"/>
                <w:color w:val="auto"/>
                <w:kern w:val="0"/>
                <w:sz w:val="21"/>
                <w:szCs w:val="21"/>
                <w:highlight w:val="none"/>
                <w:lang w:val="en-US" w:eastAsia="zh-CN"/>
              </w:rPr>
              <w:t>3</w:t>
            </w:r>
          </w:p>
        </w:tc>
        <w:tc>
          <w:tcPr>
            <w:tcW w:w="184" w:type="pct"/>
            <w:vMerge w:val="restart"/>
            <w:tcBorders>
              <w:tl2br w:val="nil"/>
              <w:tr2bl w:val="nil"/>
            </w:tcBorders>
            <w:noWrap w:val="0"/>
            <w:vAlign w:val="center"/>
          </w:tcPr>
          <w:p w14:paraId="39930ED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20</w:t>
            </w:r>
          </w:p>
        </w:tc>
        <w:tc>
          <w:tcPr>
            <w:tcW w:w="150" w:type="pct"/>
            <w:vMerge w:val="restart"/>
            <w:tcBorders>
              <w:tl2br w:val="nil"/>
              <w:tr2bl w:val="nil"/>
            </w:tcBorders>
            <w:noWrap w:val="0"/>
            <w:vAlign w:val="center"/>
          </w:tcPr>
          <w:p w14:paraId="073EBD5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4728</w:t>
            </w:r>
          </w:p>
        </w:tc>
        <w:tc>
          <w:tcPr>
            <w:tcW w:w="155" w:type="pct"/>
            <w:vMerge w:val="restart"/>
            <w:tcBorders>
              <w:tl2br w:val="nil"/>
              <w:tr2bl w:val="nil"/>
            </w:tcBorders>
            <w:noWrap w:val="0"/>
            <w:vAlign w:val="center"/>
          </w:tcPr>
          <w:p w14:paraId="352AA5C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连续</w:t>
            </w:r>
          </w:p>
        </w:tc>
      </w:tr>
      <w:tr w14:paraId="28A4F6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186" w:type="pct"/>
            <w:vMerge w:val="continue"/>
            <w:tcBorders>
              <w:tl2br w:val="nil"/>
              <w:tr2bl w:val="nil"/>
            </w:tcBorders>
            <w:noWrap w:val="0"/>
            <w:vAlign w:val="center"/>
          </w:tcPr>
          <w:p w14:paraId="361F4535">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kern w:val="2"/>
                <w:sz w:val="21"/>
                <w:szCs w:val="21"/>
                <w:highlight w:val="none"/>
                <w:lang w:val="en-US" w:eastAsia="zh-CN"/>
              </w:rPr>
            </w:pPr>
          </w:p>
        </w:tc>
        <w:tc>
          <w:tcPr>
            <w:tcW w:w="312" w:type="pct"/>
            <w:vMerge w:val="continue"/>
            <w:tcBorders>
              <w:tl2br w:val="nil"/>
              <w:tr2bl w:val="nil"/>
            </w:tcBorders>
            <w:noWrap w:val="0"/>
            <w:vAlign w:val="center"/>
          </w:tcPr>
          <w:p w14:paraId="2B7E88D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kern w:val="0"/>
                <w:sz w:val="21"/>
                <w:szCs w:val="21"/>
                <w:highlight w:val="none"/>
                <w:lang w:val="en-US" w:eastAsia="zh-CN"/>
              </w:rPr>
            </w:pPr>
          </w:p>
        </w:tc>
        <w:tc>
          <w:tcPr>
            <w:tcW w:w="279" w:type="pct"/>
            <w:vMerge w:val="continue"/>
            <w:tcBorders>
              <w:tl2br w:val="nil"/>
              <w:tr2bl w:val="nil"/>
            </w:tcBorders>
            <w:noWrap w:val="0"/>
            <w:vAlign w:val="center"/>
          </w:tcPr>
          <w:p w14:paraId="3DF729B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color w:val="auto"/>
                <w:kern w:val="0"/>
                <w:sz w:val="21"/>
                <w:szCs w:val="21"/>
                <w:highlight w:val="none"/>
                <w:lang w:val="en-US" w:eastAsia="zh-CN" w:bidi="ar-SA"/>
              </w:rPr>
            </w:pPr>
          </w:p>
        </w:tc>
        <w:tc>
          <w:tcPr>
            <w:tcW w:w="278" w:type="pct"/>
            <w:tcBorders>
              <w:tl2br w:val="nil"/>
              <w:tr2bl w:val="nil"/>
            </w:tcBorders>
            <w:noWrap w:val="0"/>
            <w:vAlign w:val="center"/>
          </w:tcPr>
          <w:p w14:paraId="272939B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氨</w:t>
            </w:r>
          </w:p>
        </w:tc>
        <w:tc>
          <w:tcPr>
            <w:tcW w:w="251" w:type="pct"/>
            <w:tcBorders>
              <w:tl2br w:val="nil"/>
              <w:tr2bl w:val="nil"/>
            </w:tcBorders>
            <w:noWrap w:val="0"/>
            <w:vAlign w:val="center"/>
          </w:tcPr>
          <w:p w14:paraId="7203109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9.7 </w:t>
            </w:r>
          </w:p>
        </w:tc>
        <w:tc>
          <w:tcPr>
            <w:tcW w:w="271" w:type="pct"/>
            <w:tcBorders>
              <w:tl2br w:val="nil"/>
              <w:tr2bl w:val="nil"/>
            </w:tcBorders>
            <w:noWrap w:val="0"/>
            <w:vAlign w:val="center"/>
          </w:tcPr>
          <w:p w14:paraId="00A07A6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0.0486</w:t>
            </w:r>
          </w:p>
        </w:tc>
        <w:tc>
          <w:tcPr>
            <w:tcW w:w="289" w:type="pct"/>
            <w:tcBorders>
              <w:tl2br w:val="nil"/>
              <w:tr2bl w:val="nil"/>
            </w:tcBorders>
            <w:noWrap w:val="0"/>
            <w:vAlign w:val="center"/>
          </w:tcPr>
          <w:p w14:paraId="32A5C25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0.23 </w:t>
            </w:r>
          </w:p>
        </w:tc>
        <w:tc>
          <w:tcPr>
            <w:tcW w:w="451" w:type="pct"/>
            <w:vMerge w:val="continue"/>
            <w:tcBorders>
              <w:tl2br w:val="nil"/>
              <w:tr2bl w:val="nil"/>
            </w:tcBorders>
            <w:noWrap w:val="0"/>
            <w:vAlign w:val="center"/>
          </w:tcPr>
          <w:p w14:paraId="70C5AE0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rPr>
            </w:pPr>
          </w:p>
        </w:tc>
        <w:tc>
          <w:tcPr>
            <w:tcW w:w="286" w:type="pct"/>
            <w:tcBorders>
              <w:tl2br w:val="nil"/>
              <w:tr2bl w:val="nil"/>
            </w:tcBorders>
            <w:noWrap w:val="0"/>
            <w:vAlign w:val="center"/>
          </w:tcPr>
          <w:p w14:paraId="7FE390D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88</w:t>
            </w:r>
          </w:p>
        </w:tc>
        <w:tc>
          <w:tcPr>
            <w:tcW w:w="311" w:type="pct"/>
            <w:tcBorders>
              <w:tl2br w:val="nil"/>
              <w:tr2bl w:val="nil"/>
            </w:tcBorders>
            <w:noWrap w:val="0"/>
            <w:vAlign w:val="center"/>
          </w:tcPr>
          <w:p w14:paraId="5B1DFF5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cs="Times New Roman"/>
                <w:color w:val="auto"/>
                <w:kern w:val="0"/>
                <w:sz w:val="21"/>
                <w:szCs w:val="21"/>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0EA24A3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1.3</w:t>
            </w:r>
          </w:p>
        </w:tc>
        <w:tc>
          <w:tcPr>
            <w:tcW w:w="429" w:type="pct"/>
            <w:tcBorders>
              <w:tl2br w:val="nil"/>
              <w:tr2bl w:val="nil"/>
            </w:tcBorders>
            <w:noWrap w:val="0"/>
            <w:vAlign w:val="center"/>
          </w:tcPr>
          <w:p w14:paraId="468F10B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0.0063 </w:t>
            </w:r>
          </w:p>
        </w:tc>
        <w:tc>
          <w:tcPr>
            <w:tcW w:w="434" w:type="pct"/>
            <w:tcBorders>
              <w:tl2br w:val="nil"/>
              <w:tr2bl w:val="nil"/>
            </w:tcBorders>
            <w:noWrap w:val="0"/>
            <w:vAlign w:val="center"/>
          </w:tcPr>
          <w:p w14:paraId="3FA00C23">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0.03</w:t>
            </w:r>
          </w:p>
        </w:tc>
        <w:tc>
          <w:tcPr>
            <w:tcW w:w="130" w:type="pct"/>
            <w:vMerge w:val="continue"/>
            <w:tcBorders>
              <w:tl2br w:val="nil"/>
              <w:tr2bl w:val="nil"/>
            </w:tcBorders>
            <w:noWrap w:val="0"/>
            <w:vAlign w:val="center"/>
          </w:tcPr>
          <w:p w14:paraId="2C70769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kern w:val="0"/>
                <w:sz w:val="21"/>
                <w:szCs w:val="21"/>
                <w:highlight w:val="none"/>
                <w:lang w:val="en-US" w:eastAsia="zh-CN"/>
              </w:rPr>
            </w:pPr>
          </w:p>
        </w:tc>
        <w:tc>
          <w:tcPr>
            <w:tcW w:w="169" w:type="pct"/>
            <w:vMerge w:val="continue"/>
            <w:tcBorders>
              <w:tl2br w:val="nil"/>
              <w:tr2bl w:val="nil"/>
            </w:tcBorders>
            <w:noWrap w:val="0"/>
            <w:vAlign w:val="center"/>
          </w:tcPr>
          <w:p w14:paraId="51FCED0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kern w:val="0"/>
                <w:sz w:val="21"/>
                <w:szCs w:val="21"/>
                <w:highlight w:val="none"/>
                <w:lang w:val="en-US" w:eastAsia="zh-CN"/>
              </w:rPr>
            </w:pPr>
          </w:p>
        </w:tc>
        <w:tc>
          <w:tcPr>
            <w:tcW w:w="184" w:type="pct"/>
            <w:vMerge w:val="continue"/>
            <w:tcBorders>
              <w:tl2br w:val="nil"/>
              <w:tr2bl w:val="nil"/>
            </w:tcBorders>
            <w:noWrap w:val="0"/>
            <w:vAlign w:val="center"/>
          </w:tcPr>
          <w:p w14:paraId="6451DE8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50" w:type="pct"/>
            <w:vMerge w:val="continue"/>
            <w:tcBorders>
              <w:tl2br w:val="nil"/>
              <w:tr2bl w:val="nil"/>
            </w:tcBorders>
            <w:noWrap w:val="0"/>
            <w:vAlign w:val="center"/>
          </w:tcPr>
          <w:p w14:paraId="2AAE8CD1">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155" w:type="pct"/>
            <w:vMerge w:val="continue"/>
            <w:tcBorders>
              <w:tl2br w:val="nil"/>
              <w:tr2bl w:val="nil"/>
            </w:tcBorders>
            <w:noWrap w:val="0"/>
            <w:vAlign w:val="center"/>
          </w:tcPr>
          <w:p w14:paraId="7B7ED01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p>
        </w:tc>
      </w:tr>
      <w:tr w14:paraId="5F9DF1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186" w:type="pct"/>
            <w:vMerge w:val="continue"/>
            <w:tcBorders>
              <w:tl2br w:val="nil"/>
              <w:tr2bl w:val="nil"/>
            </w:tcBorders>
            <w:noWrap w:val="0"/>
            <w:vAlign w:val="center"/>
          </w:tcPr>
          <w:p w14:paraId="048856E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kern w:val="2"/>
                <w:sz w:val="21"/>
                <w:szCs w:val="21"/>
                <w:highlight w:val="none"/>
                <w:lang w:val="en-US" w:eastAsia="zh-CN"/>
              </w:rPr>
            </w:pPr>
          </w:p>
        </w:tc>
        <w:tc>
          <w:tcPr>
            <w:tcW w:w="312" w:type="pct"/>
            <w:vMerge w:val="continue"/>
            <w:tcBorders>
              <w:tl2br w:val="nil"/>
              <w:tr2bl w:val="nil"/>
            </w:tcBorders>
            <w:noWrap w:val="0"/>
            <w:vAlign w:val="center"/>
          </w:tcPr>
          <w:p w14:paraId="1A9855B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kern w:val="0"/>
                <w:sz w:val="21"/>
                <w:szCs w:val="21"/>
                <w:highlight w:val="none"/>
                <w:lang w:val="en-US" w:eastAsia="zh-CN"/>
              </w:rPr>
            </w:pPr>
          </w:p>
        </w:tc>
        <w:tc>
          <w:tcPr>
            <w:tcW w:w="279" w:type="pct"/>
            <w:vMerge w:val="continue"/>
            <w:tcBorders>
              <w:tl2br w:val="nil"/>
              <w:tr2bl w:val="nil"/>
            </w:tcBorders>
            <w:noWrap w:val="0"/>
            <w:vAlign w:val="center"/>
          </w:tcPr>
          <w:p w14:paraId="3D66617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color w:val="auto"/>
                <w:kern w:val="0"/>
                <w:sz w:val="21"/>
                <w:szCs w:val="21"/>
                <w:highlight w:val="none"/>
                <w:lang w:val="en-US" w:eastAsia="zh-CN" w:bidi="ar-SA"/>
              </w:rPr>
            </w:pPr>
          </w:p>
        </w:tc>
        <w:tc>
          <w:tcPr>
            <w:tcW w:w="278" w:type="pct"/>
            <w:tcBorders>
              <w:tl2br w:val="nil"/>
              <w:tr2bl w:val="nil"/>
            </w:tcBorders>
            <w:noWrap w:val="0"/>
            <w:vAlign w:val="center"/>
          </w:tcPr>
          <w:p w14:paraId="77D8E6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硫化氢</w:t>
            </w:r>
          </w:p>
        </w:tc>
        <w:tc>
          <w:tcPr>
            <w:tcW w:w="251" w:type="pct"/>
            <w:tcBorders>
              <w:tl2br w:val="nil"/>
              <w:tr2bl w:val="nil"/>
            </w:tcBorders>
            <w:noWrap w:val="0"/>
            <w:vAlign w:val="center"/>
          </w:tcPr>
          <w:p w14:paraId="74335CE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0.8 </w:t>
            </w:r>
          </w:p>
        </w:tc>
        <w:tc>
          <w:tcPr>
            <w:tcW w:w="271" w:type="pct"/>
            <w:tcBorders>
              <w:tl2br w:val="nil"/>
              <w:tr2bl w:val="nil"/>
            </w:tcBorders>
            <w:noWrap w:val="0"/>
            <w:vAlign w:val="center"/>
          </w:tcPr>
          <w:p w14:paraId="09307BD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0.0038</w:t>
            </w:r>
          </w:p>
        </w:tc>
        <w:tc>
          <w:tcPr>
            <w:tcW w:w="289" w:type="pct"/>
            <w:tcBorders>
              <w:tl2br w:val="nil"/>
              <w:tr2bl w:val="nil"/>
            </w:tcBorders>
            <w:noWrap w:val="0"/>
            <w:vAlign w:val="center"/>
          </w:tcPr>
          <w:p w14:paraId="727D983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0.018</w:t>
            </w:r>
          </w:p>
        </w:tc>
        <w:tc>
          <w:tcPr>
            <w:tcW w:w="451" w:type="pct"/>
            <w:vMerge w:val="continue"/>
            <w:tcBorders>
              <w:tl2br w:val="nil"/>
              <w:tr2bl w:val="nil"/>
            </w:tcBorders>
            <w:noWrap w:val="0"/>
            <w:vAlign w:val="center"/>
          </w:tcPr>
          <w:p w14:paraId="69B868E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rPr>
            </w:pPr>
          </w:p>
        </w:tc>
        <w:tc>
          <w:tcPr>
            <w:tcW w:w="286" w:type="pct"/>
            <w:tcBorders>
              <w:tl2br w:val="nil"/>
              <w:tr2bl w:val="nil"/>
            </w:tcBorders>
            <w:noWrap w:val="0"/>
            <w:vAlign w:val="center"/>
          </w:tcPr>
          <w:p w14:paraId="3FDD5BA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88</w:t>
            </w:r>
          </w:p>
        </w:tc>
        <w:tc>
          <w:tcPr>
            <w:tcW w:w="311" w:type="pct"/>
            <w:tcBorders>
              <w:tl2br w:val="nil"/>
              <w:tr2bl w:val="nil"/>
            </w:tcBorders>
            <w:noWrap w:val="0"/>
            <w:vAlign w:val="center"/>
          </w:tcPr>
          <w:p w14:paraId="5B47D1A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cs="Times New Roman"/>
                <w:color w:val="auto"/>
                <w:kern w:val="0"/>
                <w:sz w:val="21"/>
                <w:szCs w:val="21"/>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01CED0D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0.1</w:t>
            </w:r>
          </w:p>
        </w:tc>
        <w:tc>
          <w:tcPr>
            <w:tcW w:w="429" w:type="pct"/>
            <w:tcBorders>
              <w:tl2br w:val="nil"/>
              <w:tr2bl w:val="nil"/>
            </w:tcBorders>
            <w:noWrap w:val="0"/>
            <w:vAlign w:val="center"/>
          </w:tcPr>
          <w:p w14:paraId="426CF18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0.0004 </w:t>
            </w:r>
          </w:p>
        </w:tc>
        <w:tc>
          <w:tcPr>
            <w:tcW w:w="434" w:type="pct"/>
            <w:tcBorders>
              <w:tl2br w:val="nil"/>
              <w:tr2bl w:val="nil"/>
            </w:tcBorders>
            <w:noWrap w:val="0"/>
            <w:vAlign w:val="center"/>
          </w:tcPr>
          <w:p w14:paraId="48F0199B">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0.002</w:t>
            </w:r>
          </w:p>
        </w:tc>
        <w:tc>
          <w:tcPr>
            <w:tcW w:w="130" w:type="pct"/>
            <w:vMerge w:val="continue"/>
            <w:tcBorders>
              <w:tl2br w:val="nil"/>
              <w:tr2bl w:val="nil"/>
            </w:tcBorders>
            <w:noWrap w:val="0"/>
            <w:vAlign w:val="center"/>
          </w:tcPr>
          <w:p w14:paraId="17F3E5B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kern w:val="0"/>
                <w:sz w:val="21"/>
                <w:szCs w:val="21"/>
                <w:highlight w:val="none"/>
                <w:lang w:val="en-US" w:eastAsia="zh-CN"/>
              </w:rPr>
            </w:pPr>
          </w:p>
        </w:tc>
        <w:tc>
          <w:tcPr>
            <w:tcW w:w="169" w:type="pct"/>
            <w:vMerge w:val="continue"/>
            <w:tcBorders>
              <w:tl2br w:val="nil"/>
              <w:tr2bl w:val="nil"/>
            </w:tcBorders>
            <w:noWrap w:val="0"/>
            <w:vAlign w:val="center"/>
          </w:tcPr>
          <w:p w14:paraId="0F440FE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kern w:val="0"/>
                <w:sz w:val="21"/>
                <w:szCs w:val="21"/>
                <w:highlight w:val="none"/>
                <w:lang w:val="en-US" w:eastAsia="zh-CN"/>
              </w:rPr>
            </w:pPr>
          </w:p>
        </w:tc>
        <w:tc>
          <w:tcPr>
            <w:tcW w:w="184" w:type="pct"/>
            <w:vMerge w:val="continue"/>
            <w:tcBorders>
              <w:tl2br w:val="nil"/>
              <w:tr2bl w:val="nil"/>
            </w:tcBorders>
            <w:noWrap w:val="0"/>
            <w:vAlign w:val="center"/>
          </w:tcPr>
          <w:p w14:paraId="244CB16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50" w:type="pct"/>
            <w:vMerge w:val="continue"/>
            <w:tcBorders>
              <w:tl2br w:val="nil"/>
              <w:tr2bl w:val="nil"/>
            </w:tcBorders>
            <w:noWrap w:val="0"/>
            <w:vAlign w:val="center"/>
          </w:tcPr>
          <w:p w14:paraId="721D806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155" w:type="pct"/>
            <w:vMerge w:val="continue"/>
            <w:tcBorders>
              <w:tl2br w:val="nil"/>
              <w:tr2bl w:val="nil"/>
            </w:tcBorders>
            <w:noWrap w:val="0"/>
            <w:vAlign w:val="center"/>
          </w:tcPr>
          <w:p w14:paraId="4D6F545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p>
        </w:tc>
      </w:tr>
      <w:tr w14:paraId="75BE72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186" w:type="pct"/>
            <w:tcBorders>
              <w:tl2br w:val="nil"/>
              <w:tr2bl w:val="nil"/>
            </w:tcBorders>
            <w:noWrap w:val="0"/>
            <w:vAlign w:val="center"/>
          </w:tcPr>
          <w:p w14:paraId="134B363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DA002</w:t>
            </w:r>
          </w:p>
        </w:tc>
        <w:tc>
          <w:tcPr>
            <w:tcW w:w="312" w:type="pct"/>
            <w:tcBorders>
              <w:tl2br w:val="nil"/>
              <w:tr2bl w:val="nil"/>
            </w:tcBorders>
            <w:noWrap w:val="0"/>
            <w:vAlign w:val="center"/>
          </w:tcPr>
          <w:p w14:paraId="61E9735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饲料加工排放口</w:t>
            </w:r>
          </w:p>
        </w:tc>
        <w:tc>
          <w:tcPr>
            <w:tcW w:w="279" w:type="pct"/>
            <w:tcBorders>
              <w:tl2br w:val="nil"/>
              <w:tr2bl w:val="nil"/>
            </w:tcBorders>
            <w:noWrap w:val="0"/>
            <w:vAlign w:val="center"/>
          </w:tcPr>
          <w:p w14:paraId="22D0AF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5000</w:t>
            </w:r>
          </w:p>
        </w:tc>
        <w:tc>
          <w:tcPr>
            <w:tcW w:w="278" w:type="pct"/>
            <w:tcBorders>
              <w:tl2br w:val="nil"/>
              <w:tr2bl w:val="nil"/>
            </w:tcBorders>
            <w:noWrap w:val="0"/>
            <w:vAlign w:val="center"/>
          </w:tcPr>
          <w:p w14:paraId="6F281F5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PM</w:t>
            </w:r>
            <w:r>
              <w:rPr>
                <w:rFonts w:hint="eastAsia" w:cs="Times New Roman"/>
                <w:color w:val="auto"/>
                <w:kern w:val="0"/>
                <w:sz w:val="21"/>
                <w:szCs w:val="21"/>
                <w:vertAlign w:val="subscript"/>
                <w:lang w:val="en-US" w:eastAsia="zh-CN" w:bidi="ar-SA"/>
              </w:rPr>
              <w:t>10</w:t>
            </w:r>
          </w:p>
        </w:tc>
        <w:tc>
          <w:tcPr>
            <w:tcW w:w="251" w:type="pct"/>
            <w:tcBorders>
              <w:tl2br w:val="nil"/>
              <w:tr2bl w:val="nil"/>
            </w:tcBorders>
            <w:noWrap w:val="0"/>
            <w:vAlign w:val="center"/>
          </w:tcPr>
          <w:p w14:paraId="21145EA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16.1</w:t>
            </w:r>
          </w:p>
        </w:tc>
        <w:tc>
          <w:tcPr>
            <w:tcW w:w="271" w:type="pct"/>
            <w:tcBorders>
              <w:tl2br w:val="nil"/>
              <w:tr2bl w:val="nil"/>
            </w:tcBorders>
            <w:shd w:val="clear" w:color="auto" w:fill="auto"/>
            <w:noWrap w:val="0"/>
            <w:vAlign w:val="center"/>
          </w:tcPr>
          <w:p w14:paraId="0E48467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 xml:space="preserve">0.0805 </w:t>
            </w:r>
          </w:p>
        </w:tc>
        <w:tc>
          <w:tcPr>
            <w:tcW w:w="289" w:type="pct"/>
            <w:tcBorders>
              <w:tl2br w:val="nil"/>
              <w:tr2bl w:val="nil"/>
            </w:tcBorders>
            <w:noWrap w:val="0"/>
            <w:vAlign w:val="center"/>
          </w:tcPr>
          <w:p w14:paraId="7F11B78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cs="Times New Roman"/>
                <w:color w:val="auto"/>
                <w:kern w:val="0"/>
                <w:sz w:val="21"/>
                <w:szCs w:val="21"/>
                <w:lang w:val="en-US" w:eastAsia="zh-CN"/>
              </w:rPr>
            </w:pPr>
            <w:r>
              <w:rPr>
                <w:rFonts w:hint="eastAsia" w:cs="Times New Roman"/>
                <w:color w:val="auto"/>
                <w:kern w:val="0"/>
                <w:sz w:val="21"/>
                <w:szCs w:val="21"/>
                <w:lang w:val="en-US" w:eastAsia="zh-CN"/>
              </w:rPr>
              <w:t>0.47</w:t>
            </w:r>
          </w:p>
        </w:tc>
        <w:tc>
          <w:tcPr>
            <w:tcW w:w="451" w:type="pct"/>
            <w:tcBorders>
              <w:tl2br w:val="nil"/>
              <w:tr2bl w:val="nil"/>
            </w:tcBorders>
            <w:noWrap w:val="0"/>
            <w:vAlign w:val="center"/>
          </w:tcPr>
          <w:p w14:paraId="4E7026F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袋式除尘</w:t>
            </w:r>
          </w:p>
        </w:tc>
        <w:tc>
          <w:tcPr>
            <w:tcW w:w="286" w:type="pct"/>
            <w:tcBorders>
              <w:tl2br w:val="nil"/>
              <w:tr2bl w:val="nil"/>
            </w:tcBorders>
            <w:noWrap w:val="0"/>
            <w:vAlign w:val="center"/>
          </w:tcPr>
          <w:p w14:paraId="6D784CFF">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98</w:t>
            </w:r>
          </w:p>
        </w:tc>
        <w:tc>
          <w:tcPr>
            <w:tcW w:w="311" w:type="pct"/>
            <w:tcBorders>
              <w:tl2br w:val="nil"/>
              <w:tr2bl w:val="nil"/>
            </w:tcBorders>
            <w:noWrap w:val="0"/>
            <w:vAlign w:val="center"/>
          </w:tcPr>
          <w:p w14:paraId="7396DB9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74D7D1A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0.3</w:t>
            </w:r>
          </w:p>
        </w:tc>
        <w:tc>
          <w:tcPr>
            <w:tcW w:w="429" w:type="pct"/>
            <w:tcBorders>
              <w:tl2br w:val="nil"/>
              <w:tr2bl w:val="nil"/>
            </w:tcBorders>
            <w:noWrap w:val="0"/>
            <w:vAlign w:val="center"/>
          </w:tcPr>
          <w:p w14:paraId="00B80CC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 xml:space="preserve">0.0017 </w:t>
            </w:r>
          </w:p>
        </w:tc>
        <w:tc>
          <w:tcPr>
            <w:tcW w:w="434" w:type="pct"/>
            <w:tcBorders>
              <w:tl2br w:val="nil"/>
              <w:tr2bl w:val="nil"/>
            </w:tcBorders>
            <w:noWrap w:val="0"/>
            <w:vAlign w:val="center"/>
          </w:tcPr>
          <w:p w14:paraId="23CE427E">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0.01</w:t>
            </w:r>
          </w:p>
        </w:tc>
        <w:tc>
          <w:tcPr>
            <w:tcW w:w="130" w:type="pct"/>
            <w:tcBorders>
              <w:tl2br w:val="nil"/>
              <w:tr2bl w:val="nil"/>
            </w:tcBorders>
            <w:noWrap w:val="0"/>
            <w:vAlign w:val="center"/>
          </w:tcPr>
          <w:p w14:paraId="2D10D421">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15</w:t>
            </w:r>
          </w:p>
        </w:tc>
        <w:tc>
          <w:tcPr>
            <w:tcW w:w="169" w:type="pct"/>
            <w:tcBorders>
              <w:tl2br w:val="nil"/>
              <w:tr2bl w:val="nil"/>
            </w:tcBorders>
            <w:noWrap w:val="0"/>
            <w:vAlign w:val="center"/>
          </w:tcPr>
          <w:p w14:paraId="53E97D5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w:t>
            </w:r>
            <w:r>
              <w:rPr>
                <w:rFonts w:hint="eastAsia" w:cs="Times New Roman"/>
                <w:color w:val="auto"/>
                <w:kern w:val="0"/>
                <w:sz w:val="21"/>
                <w:szCs w:val="21"/>
                <w:highlight w:val="none"/>
                <w:lang w:val="en-US" w:eastAsia="zh-CN"/>
              </w:rPr>
              <w:t>3</w:t>
            </w:r>
          </w:p>
        </w:tc>
        <w:tc>
          <w:tcPr>
            <w:tcW w:w="184" w:type="pct"/>
            <w:tcBorders>
              <w:tl2br w:val="nil"/>
              <w:tr2bl w:val="nil"/>
            </w:tcBorders>
            <w:noWrap w:val="0"/>
            <w:vAlign w:val="center"/>
          </w:tcPr>
          <w:p w14:paraId="32A462F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20</w:t>
            </w:r>
          </w:p>
        </w:tc>
        <w:tc>
          <w:tcPr>
            <w:tcW w:w="150" w:type="pct"/>
            <w:tcBorders>
              <w:tl2br w:val="nil"/>
              <w:tr2bl w:val="nil"/>
            </w:tcBorders>
            <w:noWrap w:val="0"/>
            <w:vAlign w:val="center"/>
          </w:tcPr>
          <w:p w14:paraId="68B970A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5840</w:t>
            </w:r>
          </w:p>
        </w:tc>
        <w:tc>
          <w:tcPr>
            <w:tcW w:w="155" w:type="pct"/>
            <w:tcBorders>
              <w:tl2br w:val="nil"/>
              <w:tr2bl w:val="nil"/>
            </w:tcBorders>
            <w:noWrap w:val="0"/>
            <w:vAlign w:val="center"/>
          </w:tcPr>
          <w:p w14:paraId="047BA3D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连续</w:t>
            </w:r>
          </w:p>
        </w:tc>
      </w:tr>
      <w:tr w14:paraId="10A5C1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0509D68D">
            <w:pPr>
              <w:keepNext w:val="0"/>
              <w:keepLines w:val="0"/>
              <w:pageBreakBefore w:val="0"/>
              <w:widowControl/>
              <w:tabs>
                <w:tab w:val="left" w:pos="420"/>
              </w:tabs>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312" w:type="pct"/>
            <w:tcBorders>
              <w:tl2br w:val="nil"/>
              <w:tr2bl w:val="nil"/>
            </w:tcBorders>
            <w:noWrap w:val="0"/>
            <w:vAlign w:val="center"/>
          </w:tcPr>
          <w:p w14:paraId="13FA6A2F">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饲料</w:t>
            </w:r>
            <w:r>
              <w:rPr>
                <w:rFonts w:hint="eastAsia" w:cs="Times New Roman"/>
                <w:color w:val="auto"/>
                <w:kern w:val="0"/>
                <w:sz w:val="21"/>
                <w:szCs w:val="21"/>
                <w:highlight w:val="none"/>
                <w:lang w:val="en-US" w:eastAsia="zh-CN"/>
              </w:rPr>
              <w:t>粉碎、搅拌粉尘</w:t>
            </w:r>
          </w:p>
        </w:tc>
        <w:tc>
          <w:tcPr>
            <w:tcW w:w="279" w:type="pct"/>
            <w:tcBorders>
              <w:tl2br w:val="nil"/>
              <w:tr2bl w:val="nil"/>
            </w:tcBorders>
            <w:noWrap w:val="0"/>
            <w:vAlign w:val="center"/>
          </w:tcPr>
          <w:p w14:paraId="16B4164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c>
          <w:tcPr>
            <w:tcW w:w="278" w:type="pct"/>
            <w:tcBorders>
              <w:tl2br w:val="nil"/>
              <w:tr2bl w:val="nil"/>
            </w:tcBorders>
            <w:noWrap w:val="0"/>
            <w:vAlign w:val="center"/>
          </w:tcPr>
          <w:p w14:paraId="17C3B5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TSP</w:t>
            </w:r>
          </w:p>
        </w:tc>
        <w:tc>
          <w:tcPr>
            <w:tcW w:w="251" w:type="pct"/>
            <w:tcBorders>
              <w:tl2br w:val="nil"/>
              <w:tr2bl w:val="nil"/>
            </w:tcBorders>
            <w:noWrap w:val="0"/>
            <w:vAlign w:val="center"/>
          </w:tcPr>
          <w:p w14:paraId="3C5F5D9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c>
          <w:tcPr>
            <w:tcW w:w="271" w:type="pct"/>
            <w:tcBorders>
              <w:tl2br w:val="nil"/>
              <w:tr2bl w:val="nil"/>
            </w:tcBorders>
            <w:noWrap w:val="0"/>
            <w:vAlign w:val="center"/>
          </w:tcPr>
          <w:p w14:paraId="6089479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0.0805 </w:t>
            </w:r>
          </w:p>
        </w:tc>
        <w:tc>
          <w:tcPr>
            <w:tcW w:w="289" w:type="pct"/>
            <w:tcBorders>
              <w:tl2br w:val="nil"/>
              <w:tr2bl w:val="nil"/>
            </w:tcBorders>
            <w:noWrap w:val="0"/>
            <w:vAlign w:val="center"/>
          </w:tcPr>
          <w:p w14:paraId="60C3F51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2"/>
                <w:sz w:val="21"/>
                <w:szCs w:val="22"/>
                <w:highlight w:val="none"/>
                <w:lang w:val="en-US" w:eastAsia="zh-CN"/>
              </w:rPr>
            </w:pPr>
            <w:r>
              <w:rPr>
                <w:rFonts w:hint="eastAsia" w:cs="Times New Roman"/>
                <w:color w:val="auto"/>
                <w:kern w:val="0"/>
                <w:sz w:val="21"/>
                <w:szCs w:val="21"/>
                <w:lang w:val="en-US" w:eastAsia="zh-CN"/>
              </w:rPr>
              <w:t>0.47</w:t>
            </w:r>
          </w:p>
        </w:tc>
        <w:tc>
          <w:tcPr>
            <w:tcW w:w="451" w:type="pct"/>
            <w:tcBorders>
              <w:tl2br w:val="nil"/>
              <w:tr2bl w:val="nil"/>
            </w:tcBorders>
            <w:noWrap w:val="0"/>
            <w:vAlign w:val="center"/>
          </w:tcPr>
          <w:p w14:paraId="0EB8778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default" w:ascii="Times New Roman" w:hAnsi="Times New Roman" w:cs="Times New Roman"/>
                <w:color w:val="auto"/>
                <w:kern w:val="2"/>
                <w:sz w:val="21"/>
                <w:szCs w:val="22"/>
                <w:highlight w:val="none"/>
                <w:lang w:val="en-US" w:eastAsia="zh-CN"/>
              </w:rPr>
              <w:t>封闭式作业+</w:t>
            </w:r>
            <w:r>
              <w:rPr>
                <w:rFonts w:hint="eastAsia" w:cs="Times New Roman"/>
                <w:color w:val="auto"/>
                <w:kern w:val="2"/>
                <w:sz w:val="21"/>
                <w:szCs w:val="22"/>
                <w:highlight w:val="none"/>
                <w:lang w:val="en-US" w:eastAsia="zh-CN"/>
              </w:rPr>
              <w:t>洒水降尘</w:t>
            </w:r>
          </w:p>
        </w:tc>
        <w:tc>
          <w:tcPr>
            <w:tcW w:w="286" w:type="pct"/>
            <w:tcBorders>
              <w:tl2br w:val="nil"/>
              <w:tr2bl w:val="nil"/>
            </w:tcBorders>
            <w:noWrap w:val="0"/>
            <w:vAlign w:val="center"/>
          </w:tcPr>
          <w:p w14:paraId="0AC7046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eastAsia" w:cs="Times New Roman"/>
                <w:color w:val="auto"/>
                <w:kern w:val="2"/>
                <w:sz w:val="21"/>
                <w:szCs w:val="22"/>
                <w:highlight w:val="none"/>
                <w:lang w:val="en-US" w:eastAsia="zh-CN"/>
              </w:rPr>
              <w:t>74</w:t>
            </w:r>
          </w:p>
        </w:tc>
        <w:tc>
          <w:tcPr>
            <w:tcW w:w="311" w:type="pct"/>
            <w:tcBorders>
              <w:tl2br w:val="nil"/>
              <w:tr2bl w:val="nil"/>
            </w:tcBorders>
            <w:noWrap w:val="0"/>
            <w:vAlign w:val="center"/>
          </w:tcPr>
          <w:p w14:paraId="622E075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cs="Times New Roman"/>
                <w:color w:val="auto"/>
                <w:kern w:val="2"/>
                <w:sz w:val="21"/>
                <w:szCs w:val="22"/>
                <w:highlight w:val="none"/>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353C11D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eastAsia" w:cs="Times New Roman"/>
                <w:color w:val="auto"/>
                <w:kern w:val="2"/>
                <w:sz w:val="21"/>
                <w:szCs w:val="22"/>
                <w:highlight w:val="none"/>
                <w:lang w:val="en-US" w:eastAsia="zh-CN"/>
              </w:rPr>
              <w:t>/</w:t>
            </w:r>
          </w:p>
        </w:tc>
        <w:tc>
          <w:tcPr>
            <w:tcW w:w="429" w:type="pct"/>
            <w:tcBorders>
              <w:tl2br w:val="nil"/>
              <w:tr2bl w:val="nil"/>
            </w:tcBorders>
            <w:shd w:val="clear" w:color="auto" w:fill="auto"/>
            <w:noWrap w:val="0"/>
            <w:vAlign w:val="center"/>
          </w:tcPr>
          <w:p w14:paraId="3C85DE1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0.0205</w:t>
            </w:r>
          </w:p>
        </w:tc>
        <w:tc>
          <w:tcPr>
            <w:tcW w:w="434" w:type="pct"/>
            <w:tcBorders>
              <w:tl2br w:val="nil"/>
              <w:tr2bl w:val="nil"/>
            </w:tcBorders>
            <w:noWrap w:val="0"/>
            <w:vAlign w:val="center"/>
          </w:tcPr>
          <w:p w14:paraId="6A7E967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0.12</w:t>
            </w:r>
          </w:p>
        </w:tc>
        <w:tc>
          <w:tcPr>
            <w:tcW w:w="483" w:type="pct"/>
            <w:gridSpan w:val="3"/>
            <w:tcBorders>
              <w:tl2br w:val="nil"/>
              <w:tr2bl w:val="nil"/>
            </w:tcBorders>
            <w:noWrap w:val="0"/>
            <w:vAlign w:val="center"/>
          </w:tcPr>
          <w:p w14:paraId="494FDDA1">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无组织排放</w:t>
            </w:r>
          </w:p>
        </w:tc>
        <w:tc>
          <w:tcPr>
            <w:tcW w:w="150" w:type="pct"/>
            <w:tcBorders>
              <w:tl2br w:val="nil"/>
              <w:tr2bl w:val="nil"/>
            </w:tcBorders>
            <w:noWrap w:val="0"/>
            <w:vAlign w:val="center"/>
          </w:tcPr>
          <w:p w14:paraId="5A011CAF">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5840</w:t>
            </w:r>
          </w:p>
        </w:tc>
        <w:tc>
          <w:tcPr>
            <w:tcW w:w="155" w:type="pct"/>
            <w:tcBorders>
              <w:tl2br w:val="nil"/>
              <w:tr2bl w:val="nil"/>
            </w:tcBorders>
            <w:noWrap w:val="0"/>
            <w:vAlign w:val="center"/>
          </w:tcPr>
          <w:p w14:paraId="584F62F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连续</w:t>
            </w:r>
          </w:p>
        </w:tc>
      </w:tr>
      <w:tr w14:paraId="7D6EF7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47EA092E">
            <w:pPr>
              <w:keepNext w:val="0"/>
              <w:keepLines w:val="0"/>
              <w:pageBreakBefore w:val="0"/>
              <w:widowControl/>
              <w:tabs>
                <w:tab w:val="left" w:pos="420"/>
              </w:tabs>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312" w:type="pct"/>
            <w:tcBorders>
              <w:tl2br w:val="nil"/>
              <w:tr2bl w:val="nil"/>
            </w:tcBorders>
            <w:noWrap w:val="0"/>
            <w:vAlign w:val="center"/>
          </w:tcPr>
          <w:p w14:paraId="5858915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饲料</w:t>
            </w:r>
            <w:r>
              <w:rPr>
                <w:rFonts w:hint="eastAsia" w:cs="Times New Roman"/>
                <w:color w:val="auto"/>
                <w:kern w:val="0"/>
                <w:sz w:val="21"/>
                <w:szCs w:val="21"/>
                <w:highlight w:val="none"/>
                <w:lang w:val="en-US" w:eastAsia="zh-CN"/>
              </w:rPr>
              <w:t>撒料</w:t>
            </w:r>
            <w:r>
              <w:rPr>
                <w:rFonts w:hint="eastAsia" w:ascii="Times New Roman" w:hAnsi="Times New Roman" w:cs="Times New Roman"/>
                <w:color w:val="auto"/>
                <w:kern w:val="0"/>
                <w:sz w:val="21"/>
                <w:szCs w:val="21"/>
                <w:highlight w:val="none"/>
                <w:lang w:val="en-US" w:eastAsia="zh-CN"/>
              </w:rPr>
              <w:t>粉尘</w:t>
            </w:r>
          </w:p>
        </w:tc>
        <w:tc>
          <w:tcPr>
            <w:tcW w:w="279" w:type="pct"/>
            <w:tcBorders>
              <w:tl2br w:val="nil"/>
              <w:tr2bl w:val="nil"/>
            </w:tcBorders>
            <w:noWrap w:val="0"/>
            <w:vAlign w:val="center"/>
          </w:tcPr>
          <w:p w14:paraId="556DB702">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c>
          <w:tcPr>
            <w:tcW w:w="278" w:type="pct"/>
            <w:tcBorders>
              <w:tl2br w:val="nil"/>
              <w:tr2bl w:val="nil"/>
            </w:tcBorders>
            <w:noWrap w:val="0"/>
            <w:vAlign w:val="center"/>
          </w:tcPr>
          <w:p w14:paraId="5A971C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eastAsia="zh-CN" w:bidi="ar-SA"/>
              </w:rPr>
            </w:pPr>
            <w:r>
              <w:rPr>
                <w:rFonts w:hint="eastAsia" w:cs="Times New Roman"/>
                <w:color w:val="auto"/>
                <w:kern w:val="0"/>
                <w:sz w:val="21"/>
                <w:szCs w:val="21"/>
                <w:highlight w:val="none"/>
                <w:lang w:val="en-US" w:eastAsia="zh-CN" w:bidi="ar-SA"/>
              </w:rPr>
              <w:t>TSP</w:t>
            </w:r>
          </w:p>
        </w:tc>
        <w:tc>
          <w:tcPr>
            <w:tcW w:w="251" w:type="pct"/>
            <w:tcBorders>
              <w:tl2br w:val="nil"/>
              <w:tr2bl w:val="nil"/>
            </w:tcBorders>
            <w:noWrap w:val="0"/>
            <w:vAlign w:val="center"/>
          </w:tcPr>
          <w:p w14:paraId="3797338B">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c>
          <w:tcPr>
            <w:tcW w:w="271" w:type="pct"/>
            <w:tcBorders>
              <w:tl2br w:val="nil"/>
              <w:tr2bl w:val="nil"/>
            </w:tcBorders>
            <w:noWrap w:val="0"/>
            <w:vAlign w:val="center"/>
          </w:tcPr>
          <w:p w14:paraId="5608334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 xml:space="preserve">0.1610 </w:t>
            </w:r>
          </w:p>
        </w:tc>
        <w:tc>
          <w:tcPr>
            <w:tcW w:w="289" w:type="pct"/>
            <w:tcBorders>
              <w:tl2br w:val="nil"/>
              <w:tr2bl w:val="nil"/>
            </w:tcBorders>
            <w:noWrap w:val="0"/>
            <w:vAlign w:val="center"/>
          </w:tcPr>
          <w:p w14:paraId="5D3FA76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eastAsia" w:cs="Times New Roman"/>
                <w:color w:val="auto"/>
                <w:kern w:val="0"/>
                <w:sz w:val="21"/>
                <w:szCs w:val="21"/>
                <w:lang w:val="en-US" w:eastAsia="zh-CN"/>
              </w:rPr>
              <w:t>0.94</w:t>
            </w:r>
          </w:p>
        </w:tc>
        <w:tc>
          <w:tcPr>
            <w:tcW w:w="451" w:type="pct"/>
            <w:tcBorders>
              <w:tl2br w:val="nil"/>
              <w:tr2bl w:val="nil"/>
            </w:tcBorders>
            <w:noWrap w:val="0"/>
            <w:vAlign w:val="center"/>
          </w:tcPr>
          <w:p w14:paraId="5C95DCE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default" w:ascii="Times New Roman" w:hAnsi="Times New Roman" w:cs="Times New Roman"/>
                <w:color w:val="auto"/>
                <w:kern w:val="2"/>
                <w:sz w:val="21"/>
                <w:szCs w:val="22"/>
                <w:highlight w:val="none"/>
                <w:lang w:val="en-US" w:eastAsia="zh-CN"/>
              </w:rPr>
              <w:t>封闭式作业+润湿搅拌工艺</w:t>
            </w:r>
          </w:p>
        </w:tc>
        <w:tc>
          <w:tcPr>
            <w:tcW w:w="286" w:type="pct"/>
            <w:tcBorders>
              <w:tl2br w:val="nil"/>
              <w:tr2bl w:val="nil"/>
            </w:tcBorders>
            <w:noWrap w:val="0"/>
            <w:vAlign w:val="center"/>
          </w:tcPr>
          <w:p w14:paraId="1350DEA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eastAsia" w:cs="Times New Roman"/>
                <w:color w:val="auto"/>
                <w:kern w:val="2"/>
                <w:sz w:val="21"/>
                <w:szCs w:val="22"/>
                <w:highlight w:val="none"/>
                <w:lang w:val="en-US" w:eastAsia="zh-CN"/>
              </w:rPr>
              <w:t>/</w:t>
            </w:r>
          </w:p>
        </w:tc>
        <w:tc>
          <w:tcPr>
            <w:tcW w:w="311" w:type="pct"/>
            <w:tcBorders>
              <w:tl2br w:val="nil"/>
              <w:tr2bl w:val="nil"/>
            </w:tcBorders>
            <w:noWrap w:val="0"/>
            <w:vAlign w:val="center"/>
          </w:tcPr>
          <w:p w14:paraId="0E3416E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36804EF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zh-CN" w:eastAsia="zh-CN"/>
              </w:rPr>
            </w:pPr>
            <w:r>
              <w:rPr>
                <w:rFonts w:hint="default" w:ascii="Times New Roman" w:hAnsi="Times New Roman" w:cs="Times New Roman"/>
                <w:color w:val="auto"/>
                <w:kern w:val="2"/>
                <w:sz w:val="21"/>
                <w:szCs w:val="22"/>
                <w:highlight w:val="none"/>
                <w:lang w:val="en-US" w:eastAsia="zh-CN"/>
              </w:rPr>
              <w:t>/</w:t>
            </w:r>
          </w:p>
        </w:tc>
        <w:tc>
          <w:tcPr>
            <w:tcW w:w="429" w:type="pct"/>
            <w:tcBorders>
              <w:tl2br w:val="nil"/>
              <w:tr2bl w:val="nil"/>
            </w:tcBorders>
            <w:noWrap w:val="0"/>
            <w:vAlign w:val="center"/>
          </w:tcPr>
          <w:p w14:paraId="7CB4075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eastAsia" w:ascii="Times New Roman" w:hAnsi="Times New Roman" w:eastAsia="宋体" w:cs="Times New Roman"/>
                <w:color w:val="auto"/>
                <w:kern w:val="0"/>
                <w:sz w:val="21"/>
                <w:szCs w:val="21"/>
                <w:lang w:val="en-US" w:eastAsia="zh-CN"/>
              </w:rPr>
              <w:t xml:space="preserve">0.1610 </w:t>
            </w:r>
          </w:p>
        </w:tc>
        <w:tc>
          <w:tcPr>
            <w:tcW w:w="434" w:type="pct"/>
            <w:tcBorders>
              <w:tl2br w:val="nil"/>
              <w:tr2bl w:val="nil"/>
            </w:tcBorders>
            <w:noWrap w:val="0"/>
            <w:vAlign w:val="center"/>
          </w:tcPr>
          <w:p w14:paraId="252C401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0.94</w:t>
            </w:r>
          </w:p>
        </w:tc>
        <w:tc>
          <w:tcPr>
            <w:tcW w:w="483" w:type="pct"/>
            <w:gridSpan w:val="3"/>
            <w:tcBorders>
              <w:tl2br w:val="nil"/>
              <w:tr2bl w:val="nil"/>
            </w:tcBorders>
            <w:noWrap w:val="0"/>
            <w:vAlign w:val="center"/>
          </w:tcPr>
          <w:p w14:paraId="062E711F">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无组织排放</w:t>
            </w:r>
          </w:p>
        </w:tc>
        <w:tc>
          <w:tcPr>
            <w:tcW w:w="150" w:type="pct"/>
            <w:tcBorders>
              <w:tl2br w:val="nil"/>
              <w:tr2bl w:val="nil"/>
            </w:tcBorders>
            <w:noWrap w:val="0"/>
            <w:vAlign w:val="center"/>
          </w:tcPr>
          <w:p w14:paraId="6467028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5840</w:t>
            </w:r>
          </w:p>
        </w:tc>
        <w:tc>
          <w:tcPr>
            <w:tcW w:w="155" w:type="pct"/>
            <w:tcBorders>
              <w:tl2br w:val="nil"/>
              <w:tr2bl w:val="nil"/>
            </w:tcBorders>
            <w:noWrap w:val="0"/>
            <w:vAlign w:val="center"/>
          </w:tcPr>
          <w:p w14:paraId="096867F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zh-CN" w:eastAsia="zh-CN"/>
              </w:rPr>
            </w:pPr>
            <w:r>
              <w:rPr>
                <w:rFonts w:hint="default" w:ascii="Times New Roman" w:hAnsi="Times New Roman" w:eastAsia="宋体" w:cs="Times New Roman"/>
                <w:color w:val="auto"/>
                <w:kern w:val="0"/>
                <w:sz w:val="21"/>
                <w:szCs w:val="21"/>
                <w:highlight w:val="none"/>
                <w:lang w:val="en-US" w:eastAsia="zh-CN"/>
              </w:rPr>
              <w:t>连续</w:t>
            </w:r>
          </w:p>
        </w:tc>
      </w:tr>
      <w:tr w14:paraId="25E531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3ABA3678">
            <w:pPr>
              <w:keepNext w:val="0"/>
              <w:keepLines w:val="0"/>
              <w:pageBreakBefore w:val="0"/>
              <w:widowControl/>
              <w:tabs>
                <w:tab w:val="left" w:pos="420"/>
              </w:tabs>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312" w:type="pct"/>
            <w:tcBorders>
              <w:tl2br w:val="nil"/>
              <w:tr2bl w:val="nil"/>
            </w:tcBorders>
            <w:noWrap w:val="0"/>
            <w:vAlign w:val="center"/>
          </w:tcPr>
          <w:p w14:paraId="4C932A7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堆肥区无组织粉尘</w:t>
            </w:r>
          </w:p>
        </w:tc>
        <w:tc>
          <w:tcPr>
            <w:tcW w:w="279" w:type="pct"/>
            <w:tcBorders>
              <w:tl2br w:val="nil"/>
              <w:tr2bl w:val="nil"/>
            </w:tcBorders>
            <w:noWrap w:val="0"/>
            <w:vAlign w:val="center"/>
          </w:tcPr>
          <w:p w14:paraId="78A9FF62">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w:t>
            </w:r>
          </w:p>
        </w:tc>
        <w:tc>
          <w:tcPr>
            <w:tcW w:w="278" w:type="pct"/>
            <w:tcBorders>
              <w:tl2br w:val="nil"/>
              <w:tr2bl w:val="nil"/>
            </w:tcBorders>
            <w:noWrap w:val="0"/>
            <w:vAlign w:val="center"/>
          </w:tcPr>
          <w:p w14:paraId="74CDEAF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TSP</w:t>
            </w:r>
          </w:p>
        </w:tc>
        <w:tc>
          <w:tcPr>
            <w:tcW w:w="251" w:type="pct"/>
            <w:tcBorders>
              <w:tl2br w:val="nil"/>
              <w:tr2bl w:val="nil"/>
            </w:tcBorders>
            <w:noWrap w:val="0"/>
            <w:vAlign w:val="center"/>
          </w:tcPr>
          <w:p w14:paraId="78552B4E">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w:t>
            </w:r>
          </w:p>
        </w:tc>
        <w:tc>
          <w:tcPr>
            <w:tcW w:w="271" w:type="pct"/>
            <w:tcBorders>
              <w:tl2br w:val="nil"/>
              <w:tr2bl w:val="nil"/>
            </w:tcBorders>
            <w:noWrap w:val="0"/>
            <w:vAlign w:val="center"/>
          </w:tcPr>
          <w:p w14:paraId="2E5484E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0.0127</w:t>
            </w:r>
          </w:p>
        </w:tc>
        <w:tc>
          <w:tcPr>
            <w:tcW w:w="289" w:type="pct"/>
            <w:tcBorders>
              <w:tl2br w:val="nil"/>
              <w:tr2bl w:val="nil"/>
            </w:tcBorders>
            <w:noWrap w:val="0"/>
            <w:vAlign w:val="center"/>
          </w:tcPr>
          <w:p w14:paraId="38FFAED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2"/>
                <w:highlight w:val="none"/>
                <w:lang w:val="en-US" w:eastAsia="zh-CN"/>
              </w:rPr>
            </w:pPr>
            <w:r>
              <w:rPr>
                <w:rFonts w:hint="eastAsia" w:ascii="Times New Roman" w:hAnsi="Times New Roman" w:eastAsia="宋体" w:cs="Times New Roman"/>
                <w:color w:val="auto"/>
                <w:kern w:val="2"/>
                <w:sz w:val="21"/>
                <w:szCs w:val="22"/>
                <w:highlight w:val="none"/>
                <w:lang w:val="en-US" w:eastAsia="zh-CN"/>
              </w:rPr>
              <w:t>0.06</w:t>
            </w:r>
          </w:p>
        </w:tc>
        <w:tc>
          <w:tcPr>
            <w:tcW w:w="451" w:type="pct"/>
            <w:tcBorders>
              <w:tl2br w:val="nil"/>
              <w:tr2bl w:val="nil"/>
            </w:tcBorders>
            <w:noWrap w:val="0"/>
            <w:vAlign w:val="center"/>
          </w:tcPr>
          <w:p w14:paraId="797C1FB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2"/>
                <w:highlight w:val="none"/>
                <w:lang w:val="en-US" w:eastAsia="zh-CN"/>
              </w:rPr>
            </w:pPr>
          </w:p>
        </w:tc>
        <w:tc>
          <w:tcPr>
            <w:tcW w:w="286" w:type="pct"/>
            <w:tcBorders>
              <w:tl2br w:val="nil"/>
              <w:tr2bl w:val="nil"/>
            </w:tcBorders>
            <w:noWrap w:val="0"/>
            <w:vAlign w:val="center"/>
          </w:tcPr>
          <w:p w14:paraId="4038536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2"/>
                <w:highlight w:val="none"/>
                <w:lang w:val="en-US" w:eastAsia="zh-CN"/>
              </w:rPr>
            </w:pPr>
            <w:r>
              <w:rPr>
                <w:rFonts w:hint="eastAsia" w:ascii="Times New Roman" w:hAnsi="Times New Roman" w:eastAsia="宋体" w:cs="Times New Roman"/>
                <w:color w:val="auto"/>
                <w:kern w:val="2"/>
                <w:sz w:val="21"/>
                <w:szCs w:val="22"/>
                <w:highlight w:val="none"/>
                <w:lang w:val="en-US" w:eastAsia="zh-CN"/>
              </w:rPr>
              <w:t>86%</w:t>
            </w:r>
          </w:p>
        </w:tc>
        <w:tc>
          <w:tcPr>
            <w:tcW w:w="311" w:type="pct"/>
            <w:tcBorders>
              <w:tl2br w:val="nil"/>
              <w:tr2bl w:val="nil"/>
            </w:tcBorders>
            <w:noWrap w:val="0"/>
            <w:vAlign w:val="center"/>
          </w:tcPr>
          <w:p w14:paraId="0C349FD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52829E7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w:t>
            </w:r>
          </w:p>
        </w:tc>
        <w:tc>
          <w:tcPr>
            <w:tcW w:w="429" w:type="pct"/>
            <w:tcBorders>
              <w:tl2br w:val="nil"/>
              <w:tr2bl w:val="nil"/>
            </w:tcBorders>
            <w:noWrap w:val="0"/>
            <w:vAlign w:val="center"/>
          </w:tcPr>
          <w:p w14:paraId="255A837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0.0021</w:t>
            </w:r>
          </w:p>
        </w:tc>
        <w:tc>
          <w:tcPr>
            <w:tcW w:w="434" w:type="pct"/>
            <w:tcBorders>
              <w:tl2br w:val="nil"/>
              <w:tr2bl w:val="nil"/>
            </w:tcBorders>
            <w:noWrap w:val="0"/>
            <w:vAlign w:val="center"/>
          </w:tcPr>
          <w:p w14:paraId="74574C2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0.01</w:t>
            </w:r>
          </w:p>
        </w:tc>
        <w:tc>
          <w:tcPr>
            <w:tcW w:w="483" w:type="pct"/>
            <w:gridSpan w:val="3"/>
            <w:tcBorders>
              <w:tl2br w:val="nil"/>
              <w:tr2bl w:val="nil"/>
            </w:tcBorders>
            <w:noWrap w:val="0"/>
            <w:vAlign w:val="center"/>
          </w:tcPr>
          <w:p w14:paraId="004042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lang w:val="en-US" w:eastAsia="zh-CN"/>
              </w:rPr>
              <w:t>无组织排放</w:t>
            </w:r>
          </w:p>
        </w:tc>
        <w:tc>
          <w:tcPr>
            <w:tcW w:w="150" w:type="pct"/>
            <w:tcBorders>
              <w:tl2br w:val="nil"/>
              <w:tr2bl w:val="nil"/>
            </w:tcBorders>
            <w:noWrap w:val="0"/>
            <w:vAlign w:val="center"/>
          </w:tcPr>
          <w:p w14:paraId="531E1D7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0"/>
                <w:sz w:val="21"/>
                <w:szCs w:val="21"/>
                <w:highlight w:val="none"/>
                <w:lang w:val="en-US" w:eastAsia="zh-CN"/>
              </w:rPr>
            </w:pPr>
            <w:r>
              <w:rPr>
                <w:rFonts w:hint="eastAsia" w:cs="Times New Roman"/>
                <w:color w:val="auto"/>
                <w:kern w:val="0"/>
                <w:sz w:val="21"/>
                <w:szCs w:val="21"/>
                <w:lang w:val="en-US" w:eastAsia="zh-CN"/>
              </w:rPr>
              <w:t>4728</w:t>
            </w:r>
          </w:p>
        </w:tc>
        <w:tc>
          <w:tcPr>
            <w:tcW w:w="155" w:type="pct"/>
            <w:tcBorders>
              <w:tl2br w:val="nil"/>
              <w:tr2bl w:val="nil"/>
            </w:tcBorders>
            <w:noWrap w:val="0"/>
            <w:vAlign w:val="center"/>
          </w:tcPr>
          <w:p w14:paraId="625CE10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lang w:val="en-US" w:eastAsia="zh-CN"/>
              </w:rPr>
              <w:t>连续</w:t>
            </w:r>
          </w:p>
        </w:tc>
      </w:tr>
      <w:tr w14:paraId="552341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2738A232">
            <w:pPr>
              <w:keepNext w:val="0"/>
              <w:keepLines w:val="0"/>
              <w:pageBreakBefore w:val="0"/>
              <w:widowControl/>
              <w:tabs>
                <w:tab w:val="left" w:pos="420"/>
              </w:tabs>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312" w:type="pct"/>
            <w:tcBorders>
              <w:tl2br w:val="nil"/>
              <w:tr2bl w:val="nil"/>
            </w:tcBorders>
            <w:noWrap w:val="0"/>
            <w:vAlign w:val="center"/>
          </w:tcPr>
          <w:p w14:paraId="3A35B1E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堆肥间</w:t>
            </w:r>
            <w:r>
              <w:rPr>
                <w:rFonts w:hint="eastAsia" w:ascii="Times New Roman" w:hAnsi="Times New Roman" w:cs="Times New Roman"/>
                <w:color w:val="auto"/>
                <w:kern w:val="0"/>
                <w:sz w:val="21"/>
                <w:szCs w:val="21"/>
                <w:lang w:val="en-US" w:eastAsia="zh-CN"/>
              </w:rPr>
              <w:t>生产无组织粉尘</w:t>
            </w:r>
          </w:p>
        </w:tc>
        <w:tc>
          <w:tcPr>
            <w:tcW w:w="279" w:type="pct"/>
            <w:tcBorders>
              <w:tl2br w:val="nil"/>
              <w:tr2bl w:val="nil"/>
            </w:tcBorders>
            <w:noWrap w:val="0"/>
            <w:vAlign w:val="center"/>
          </w:tcPr>
          <w:p w14:paraId="1249DDA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278" w:type="pct"/>
            <w:tcBorders>
              <w:tl2br w:val="nil"/>
              <w:tr2bl w:val="nil"/>
            </w:tcBorders>
            <w:noWrap w:val="0"/>
            <w:vAlign w:val="center"/>
          </w:tcPr>
          <w:p w14:paraId="2E0A11B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TSP</w:t>
            </w:r>
          </w:p>
        </w:tc>
        <w:tc>
          <w:tcPr>
            <w:tcW w:w="251" w:type="pct"/>
            <w:tcBorders>
              <w:tl2br w:val="nil"/>
              <w:tr2bl w:val="nil"/>
            </w:tcBorders>
            <w:noWrap w:val="0"/>
            <w:vAlign w:val="center"/>
          </w:tcPr>
          <w:p w14:paraId="0EE69C3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271" w:type="pct"/>
            <w:tcBorders>
              <w:tl2br w:val="nil"/>
              <w:tr2bl w:val="nil"/>
            </w:tcBorders>
            <w:noWrap w:val="0"/>
            <w:vAlign w:val="center"/>
          </w:tcPr>
          <w:p w14:paraId="22F3B06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lang w:val="en-US" w:eastAsia="zh-CN"/>
              </w:rPr>
            </w:pPr>
            <w:r>
              <w:rPr>
                <w:rFonts w:hint="eastAsia" w:ascii="Times New Roman" w:hAnsi="Times New Roman" w:eastAsia="宋体" w:cs="Times New Roman"/>
                <w:color w:val="auto"/>
                <w:kern w:val="0"/>
                <w:sz w:val="21"/>
                <w:szCs w:val="21"/>
                <w:lang w:val="en-US" w:eastAsia="zh-CN"/>
              </w:rPr>
              <w:t xml:space="preserve">0.0275   </w:t>
            </w:r>
            <w:r>
              <w:rPr>
                <w:rFonts w:hint="eastAsia" w:ascii="Times New Roman" w:hAnsi="Times New Roman" w:cs="Times New Roman"/>
                <w:color w:val="auto"/>
                <w:kern w:val="2"/>
                <w:sz w:val="21"/>
                <w:szCs w:val="22"/>
                <w:lang w:val="en-US" w:eastAsia="zh-CN"/>
              </w:rPr>
              <w:t xml:space="preserve"> </w:t>
            </w:r>
          </w:p>
        </w:tc>
        <w:tc>
          <w:tcPr>
            <w:tcW w:w="289" w:type="pct"/>
            <w:tcBorders>
              <w:tl2br w:val="nil"/>
              <w:tr2bl w:val="nil"/>
            </w:tcBorders>
            <w:noWrap w:val="0"/>
            <w:vAlign w:val="center"/>
          </w:tcPr>
          <w:p w14:paraId="01AA6F0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lang w:val="en-US" w:eastAsia="zh-CN"/>
              </w:rPr>
            </w:pPr>
            <w:r>
              <w:rPr>
                <w:rFonts w:hint="eastAsia" w:cs="Times New Roman"/>
                <w:color w:val="auto"/>
                <w:kern w:val="2"/>
                <w:sz w:val="21"/>
                <w:szCs w:val="22"/>
                <w:lang w:val="en-US" w:eastAsia="zh-CN"/>
              </w:rPr>
              <w:t>0.13</w:t>
            </w:r>
          </w:p>
        </w:tc>
        <w:tc>
          <w:tcPr>
            <w:tcW w:w="451" w:type="pct"/>
            <w:tcBorders>
              <w:tl2br w:val="nil"/>
              <w:tr2bl w:val="nil"/>
            </w:tcBorders>
            <w:noWrap w:val="0"/>
            <w:vAlign w:val="center"/>
          </w:tcPr>
          <w:p w14:paraId="1C045CF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lang w:val="en-US" w:eastAsia="zh-CN"/>
              </w:rPr>
            </w:pPr>
            <w:r>
              <w:rPr>
                <w:rFonts w:hint="eastAsia" w:ascii="Times New Roman" w:hAnsi="Times New Roman" w:cs="Times New Roman"/>
                <w:color w:val="auto"/>
                <w:kern w:val="2"/>
                <w:sz w:val="21"/>
                <w:szCs w:val="22"/>
                <w:lang w:val="en-US" w:eastAsia="zh-CN"/>
              </w:rPr>
              <w:t>封闭式作业</w:t>
            </w:r>
          </w:p>
        </w:tc>
        <w:tc>
          <w:tcPr>
            <w:tcW w:w="286" w:type="pct"/>
            <w:tcBorders>
              <w:tl2br w:val="nil"/>
              <w:tr2bl w:val="nil"/>
            </w:tcBorders>
            <w:noWrap w:val="0"/>
            <w:vAlign w:val="center"/>
          </w:tcPr>
          <w:p w14:paraId="06FEAB6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lang w:val="en-US" w:eastAsia="zh-CN"/>
              </w:rPr>
            </w:pPr>
            <w:r>
              <w:rPr>
                <w:rFonts w:hint="eastAsia" w:cs="Times New Roman"/>
                <w:color w:val="auto"/>
                <w:kern w:val="2"/>
                <w:sz w:val="21"/>
                <w:szCs w:val="22"/>
                <w:highlight w:val="none"/>
                <w:lang w:val="en-US" w:eastAsia="zh-CN"/>
              </w:rPr>
              <w:t>74</w:t>
            </w:r>
          </w:p>
        </w:tc>
        <w:tc>
          <w:tcPr>
            <w:tcW w:w="311" w:type="pct"/>
            <w:tcBorders>
              <w:tl2br w:val="nil"/>
              <w:tr2bl w:val="nil"/>
            </w:tcBorders>
            <w:noWrap w:val="0"/>
            <w:vAlign w:val="center"/>
          </w:tcPr>
          <w:p w14:paraId="67FDF45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297C4B5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lang w:val="zh-CN" w:eastAsia="zh-CN"/>
              </w:rPr>
            </w:pPr>
            <w:r>
              <w:rPr>
                <w:rFonts w:hint="default" w:ascii="Times New Roman" w:hAnsi="Times New Roman" w:cs="Times New Roman"/>
                <w:color w:val="auto"/>
                <w:kern w:val="2"/>
                <w:sz w:val="21"/>
                <w:szCs w:val="22"/>
                <w:lang w:val="en-US" w:eastAsia="zh-CN"/>
              </w:rPr>
              <w:t>/</w:t>
            </w:r>
          </w:p>
        </w:tc>
        <w:tc>
          <w:tcPr>
            <w:tcW w:w="429" w:type="pct"/>
            <w:tcBorders>
              <w:tl2br w:val="nil"/>
              <w:tr2bl w:val="nil"/>
            </w:tcBorders>
            <w:shd w:val="clear" w:color="auto" w:fill="auto"/>
            <w:noWrap w:val="0"/>
            <w:vAlign w:val="center"/>
          </w:tcPr>
          <w:p w14:paraId="2CF3302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color w:val="auto"/>
                <w:kern w:val="0"/>
                <w:sz w:val="21"/>
                <w:szCs w:val="21"/>
                <w:lang w:val="en-US" w:eastAsia="zh-CN"/>
              </w:rPr>
              <w:t xml:space="preserve">0.0063 </w:t>
            </w:r>
          </w:p>
        </w:tc>
        <w:tc>
          <w:tcPr>
            <w:tcW w:w="434" w:type="pct"/>
            <w:tcBorders>
              <w:tl2br w:val="nil"/>
              <w:tr2bl w:val="nil"/>
            </w:tcBorders>
            <w:noWrap w:val="0"/>
            <w:vAlign w:val="center"/>
          </w:tcPr>
          <w:p w14:paraId="666EE5A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cs="Times New Roman"/>
                <w:color w:val="auto"/>
                <w:kern w:val="2"/>
                <w:sz w:val="21"/>
                <w:szCs w:val="22"/>
                <w:lang w:val="en-US" w:eastAsia="zh-CN"/>
              </w:rPr>
            </w:pPr>
            <w:r>
              <w:rPr>
                <w:rFonts w:hint="eastAsia" w:cs="Times New Roman"/>
                <w:color w:val="auto"/>
                <w:kern w:val="2"/>
                <w:sz w:val="21"/>
                <w:szCs w:val="22"/>
                <w:lang w:val="en-US" w:eastAsia="zh-CN"/>
              </w:rPr>
              <w:t>0.03</w:t>
            </w:r>
          </w:p>
        </w:tc>
        <w:tc>
          <w:tcPr>
            <w:tcW w:w="483" w:type="pct"/>
            <w:gridSpan w:val="3"/>
            <w:tcBorders>
              <w:tl2br w:val="nil"/>
              <w:tr2bl w:val="nil"/>
            </w:tcBorders>
            <w:noWrap w:val="0"/>
            <w:vAlign w:val="center"/>
          </w:tcPr>
          <w:p w14:paraId="0A8B82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无组织排放</w:t>
            </w:r>
          </w:p>
        </w:tc>
        <w:tc>
          <w:tcPr>
            <w:tcW w:w="150" w:type="pct"/>
            <w:tcBorders>
              <w:tl2br w:val="nil"/>
              <w:tr2bl w:val="nil"/>
            </w:tcBorders>
            <w:noWrap w:val="0"/>
            <w:vAlign w:val="center"/>
          </w:tcPr>
          <w:p w14:paraId="2FD0EB3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4728</w:t>
            </w:r>
          </w:p>
        </w:tc>
        <w:tc>
          <w:tcPr>
            <w:tcW w:w="155" w:type="pct"/>
            <w:tcBorders>
              <w:tl2br w:val="nil"/>
              <w:tr2bl w:val="nil"/>
            </w:tcBorders>
            <w:noWrap w:val="0"/>
            <w:vAlign w:val="center"/>
          </w:tcPr>
          <w:p w14:paraId="07BC148B">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连续</w:t>
            </w:r>
          </w:p>
        </w:tc>
      </w:tr>
      <w:tr w14:paraId="23AD70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5C0B2DF1">
            <w:pPr>
              <w:keepNext w:val="0"/>
              <w:keepLines w:val="0"/>
              <w:pageBreakBefore w:val="0"/>
              <w:widowControl/>
              <w:tabs>
                <w:tab w:val="left" w:pos="420"/>
              </w:tabs>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312" w:type="pct"/>
            <w:tcBorders>
              <w:tl2br w:val="nil"/>
              <w:tr2bl w:val="nil"/>
            </w:tcBorders>
            <w:noWrap w:val="0"/>
            <w:vAlign w:val="center"/>
          </w:tcPr>
          <w:p w14:paraId="7CA5BDD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color w:val="auto"/>
                <w:kern w:val="0"/>
                <w:sz w:val="21"/>
                <w:szCs w:val="21"/>
                <w:lang w:val="en-US" w:eastAsia="zh-CN"/>
              </w:rPr>
            </w:pPr>
            <w:r>
              <w:rPr>
                <w:rFonts w:hint="eastAsia" w:cs="Times New Roman"/>
                <w:b/>
                <w:bCs/>
                <w:color w:val="auto"/>
                <w:kern w:val="0"/>
                <w:sz w:val="21"/>
                <w:szCs w:val="21"/>
                <w:lang w:val="en-US" w:eastAsia="zh-CN"/>
              </w:rPr>
              <w:t>厂界</w:t>
            </w:r>
            <w:r>
              <w:rPr>
                <w:rFonts w:hint="eastAsia" w:ascii="Times New Roman" w:hAnsi="Times New Roman" w:eastAsia="宋体" w:cs="Times New Roman"/>
                <w:b/>
                <w:bCs/>
                <w:color w:val="auto"/>
                <w:kern w:val="0"/>
                <w:sz w:val="21"/>
                <w:szCs w:val="21"/>
                <w:lang w:val="en-US" w:eastAsia="zh-CN"/>
              </w:rPr>
              <w:t>无组织颗粒物总计</w:t>
            </w:r>
          </w:p>
        </w:tc>
        <w:tc>
          <w:tcPr>
            <w:tcW w:w="279" w:type="pct"/>
            <w:tcBorders>
              <w:tl2br w:val="nil"/>
              <w:tr2bl w:val="nil"/>
            </w:tcBorders>
            <w:noWrap w:val="0"/>
            <w:vAlign w:val="center"/>
          </w:tcPr>
          <w:p w14:paraId="18EA1E6F">
            <w:pPr>
              <w:keepNext w:val="0"/>
              <w:keepLines w:val="0"/>
              <w:pageBreakBefore w:val="0"/>
              <w:widowControl/>
              <w:tabs>
                <w:tab w:val="left" w:pos="420"/>
              </w:tabs>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278" w:type="pct"/>
            <w:tcBorders>
              <w:tl2br w:val="nil"/>
              <w:tr2bl w:val="nil"/>
            </w:tcBorders>
            <w:noWrap w:val="0"/>
            <w:vAlign w:val="center"/>
          </w:tcPr>
          <w:p w14:paraId="77709F5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TSP</w:t>
            </w:r>
          </w:p>
        </w:tc>
        <w:tc>
          <w:tcPr>
            <w:tcW w:w="251" w:type="pct"/>
            <w:tcBorders>
              <w:tl2br w:val="nil"/>
              <w:tr2bl w:val="nil"/>
            </w:tcBorders>
            <w:noWrap w:val="0"/>
            <w:vAlign w:val="center"/>
          </w:tcPr>
          <w:p w14:paraId="2FCF92C1">
            <w:pPr>
              <w:keepNext w:val="0"/>
              <w:keepLines w:val="0"/>
              <w:pageBreakBefore w:val="0"/>
              <w:widowControl/>
              <w:tabs>
                <w:tab w:val="left" w:pos="420"/>
              </w:tabs>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271" w:type="pct"/>
            <w:tcBorders>
              <w:tl2br w:val="nil"/>
              <w:tr2bl w:val="nil"/>
            </w:tcBorders>
            <w:noWrap w:val="0"/>
            <w:vAlign w:val="center"/>
          </w:tcPr>
          <w:p w14:paraId="1ED38CF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0.2817</w:t>
            </w:r>
          </w:p>
        </w:tc>
        <w:tc>
          <w:tcPr>
            <w:tcW w:w="289" w:type="pct"/>
            <w:tcBorders>
              <w:tl2br w:val="nil"/>
              <w:tr2bl w:val="nil"/>
            </w:tcBorders>
            <w:noWrap w:val="0"/>
            <w:vAlign w:val="center"/>
          </w:tcPr>
          <w:p w14:paraId="626B80B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1.60</w:t>
            </w:r>
          </w:p>
        </w:tc>
        <w:tc>
          <w:tcPr>
            <w:tcW w:w="451" w:type="pct"/>
            <w:tcBorders>
              <w:tl2br w:val="nil"/>
              <w:tr2bl w:val="nil"/>
            </w:tcBorders>
            <w:noWrap w:val="0"/>
            <w:vAlign w:val="center"/>
          </w:tcPr>
          <w:p w14:paraId="13A7DE4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w:t>
            </w:r>
          </w:p>
        </w:tc>
        <w:tc>
          <w:tcPr>
            <w:tcW w:w="286" w:type="pct"/>
            <w:tcBorders>
              <w:tl2br w:val="nil"/>
              <w:tr2bl w:val="nil"/>
            </w:tcBorders>
            <w:noWrap w:val="0"/>
            <w:vAlign w:val="center"/>
          </w:tcPr>
          <w:p w14:paraId="336263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w:t>
            </w:r>
          </w:p>
        </w:tc>
        <w:tc>
          <w:tcPr>
            <w:tcW w:w="311" w:type="pct"/>
            <w:tcBorders>
              <w:tl2br w:val="nil"/>
              <w:tr2bl w:val="nil"/>
            </w:tcBorders>
            <w:noWrap w:val="0"/>
            <w:vAlign w:val="center"/>
          </w:tcPr>
          <w:p w14:paraId="1ADF71A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可行</w:t>
            </w:r>
          </w:p>
        </w:tc>
        <w:tc>
          <w:tcPr>
            <w:tcW w:w="429" w:type="pct"/>
            <w:tcBorders>
              <w:tl2br w:val="nil"/>
              <w:tr2bl w:val="nil"/>
            </w:tcBorders>
            <w:noWrap w:val="0"/>
            <w:vAlign w:val="center"/>
          </w:tcPr>
          <w:p w14:paraId="2217672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w:t>
            </w:r>
          </w:p>
        </w:tc>
        <w:tc>
          <w:tcPr>
            <w:tcW w:w="429" w:type="pct"/>
            <w:tcBorders>
              <w:tl2br w:val="nil"/>
              <w:tr2bl w:val="nil"/>
            </w:tcBorders>
            <w:noWrap w:val="0"/>
            <w:vAlign w:val="center"/>
          </w:tcPr>
          <w:p w14:paraId="3F2347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0.1899</w:t>
            </w:r>
          </w:p>
        </w:tc>
        <w:tc>
          <w:tcPr>
            <w:tcW w:w="434" w:type="pct"/>
            <w:tcBorders>
              <w:tl2br w:val="nil"/>
              <w:tr2bl w:val="nil"/>
            </w:tcBorders>
            <w:noWrap w:val="0"/>
            <w:vAlign w:val="center"/>
          </w:tcPr>
          <w:p w14:paraId="2DB8D68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 xml:space="preserve">1.10 </w:t>
            </w:r>
          </w:p>
        </w:tc>
        <w:tc>
          <w:tcPr>
            <w:tcW w:w="483" w:type="pct"/>
            <w:gridSpan w:val="3"/>
            <w:tcBorders>
              <w:tl2br w:val="nil"/>
              <w:tr2bl w:val="nil"/>
            </w:tcBorders>
            <w:noWrap w:val="0"/>
            <w:vAlign w:val="center"/>
          </w:tcPr>
          <w:p w14:paraId="13AAC4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无组织排放</w:t>
            </w:r>
          </w:p>
        </w:tc>
        <w:tc>
          <w:tcPr>
            <w:tcW w:w="150" w:type="pct"/>
            <w:tcBorders>
              <w:tl2br w:val="nil"/>
              <w:tr2bl w:val="nil"/>
            </w:tcBorders>
            <w:noWrap w:val="0"/>
            <w:vAlign w:val="center"/>
          </w:tcPr>
          <w:p w14:paraId="5846FD3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cs="Times New Roman"/>
                <w:b/>
                <w:bCs/>
                <w:color w:val="auto"/>
                <w:kern w:val="0"/>
                <w:sz w:val="21"/>
                <w:szCs w:val="21"/>
                <w:lang w:val="en-US" w:eastAsia="zh-CN"/>
              </w:rPr>
              <w:t>5840（其中堆肥4728）</w:t>
            </w:r>
          </w:p>
        </w:tc>
        <w:tc>
          <w:tcPr>
            <w:tcW w:w="155" w:type="pct"/>
            <w:tcBorders>
              <w:tl2br w:val="nil"/>
              <w:tr2bl w:val="nil"/>
            </w:tcBorders>
            <w:noWrap w:val="0"/>
            <w:vAlign w:val="center"/>
          </w:tcPr>
          <w:p w14:paraId="5357D48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连续</w:t>
            </w:r>
          </w:p>
        </w:tc>
      </w:tr>
      <w:tr w14:paraId="30FB6A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5477A72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312" w:type="pct"/>
            <w:tcBorders>
              <w:tl2br w:val="nil"/>
              <w:tr2bl w:val="nil"/>
            </w:tcBorders>
            <w:noWrap w:val="0"/>
            <w:vAlign w:val="center"/>
          </w:tcPr>
          <w:p w14:paraId="2F68578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养殖区</w:t>
            </w:r>
            <w:r>
              <w:rPr>
                <w:rFonts w:hint="eastAsia" w:ascii="Times New Roman" w:hAnsi="Times New Roman" w:cs="Times New Roman"/>
                <w:color w:val="auto"/>
                <w:kern w:val="0"/>
                <w:sz w:val="21"/>
                <w:szCs w:val="21"/>
                <w:lang w:val="en-US" w:eastAsia="zh-CN" w:bidi="ar-SA"/>
              </w:rPr>
              <w:t>氨</w:t>
            </w:r>
          </w:p>
        </w:tc>
        <w:tc>
          <w:tcPr>
            <w:tcW w:w="279" w:type="pct"/>
            <w:tcBorders>
              <w:tl2br w:val="nil"/>
              <w:tr2bl w:val="nil"/>
            </w:tcBorders>
            <w:noWrap w:val="0"/>
            <w:vAlign w:val="center"/>
          </w:tcPr>
          <w:p w14:paraId="34F7A36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278" w:type="pct"/>
            <w:tcBorders>
              <w:tl2br w:val="nil"/>
              <w:tr2bl w:val="nil"/>
            </w:tcBorders>
            <w:noWrap w:val="0"/>
            <w:vAlign w:val="center"/>
          </w:tcPr>
          <w:p w14:paraId="7C8061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氨</w:t>
            </w:r>
          </w:p>
        </w:tc>
        <w:tc>
          <w:tcPr>
            <w:tcW w:w="251" w:type="pct"/>
            <w:tcBorders>
              <w:tl2br w:val="nil"/>
              <w:tr2bl w:val="nil"/>
            </w:tcBorders>
            <w:noWrap w:val="0"/>
            <w:vAlign w:val="center"/>
          </w:tcPr>
          <w:p w14:paraId="0EDE384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271" w:type="pct"/>
            <w:tcBorders>
              <w:tl2br w:val="nil"/>
              <w:tr2bl w:val="nil"/>
            </w:tcBorders>
            <w:noWrap w:val="0"/>
            <w:vAlign w:val="center"/>
          </w:tcPr>
          <w:p w14:paraId="19C4AC3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r>
              <w:rPr>
                <w:rFonts w:hint="eastAsia" w:cs="Times New Roman"/>
                <w:color w:val="auto"/>
                <w:kern w:val="0"/>
                <w:sz w:val="21"/>
                <w:szCs w:val="21"/>
                <w:highlight w:val="none"/>
                <w:lang w:val="en-US" w:eastAsia="zh-CN"/>
              </w:rPr>
              <w:t>5639</w:t>
            </w:r>
            <w:r>
              <w:rPr>
                <w:rFonts w:hint="eastAsia" w:ascii="Times New Roman" w:hAnsi="Times New Roman" w:eastAsia="宋体" w:cs="Times New Roman"/>
                <w:color w:val="auto"/>
                <w:kern w:val="0"/>
                <w:sz w:val="21"/>
                <w:szCs w:val="21"/>
                <w:highlight w:val="none"/>
                <w:lang w:val="en-US" w:eastAsia="zh-CN"/>
              </w:rPr>
              <w:t xml:space="preserve"> </w:t>
            </w:r>
          </w:p>
        </w:tc>
        <w:tc>
          <w:tcPr>
            <w:tcW w:w="289" w:type="pct"/>
            <w:tcBorders>
              <w:tl2br w:val="nil"/>
              <w:tr2bl w:val="nil"/>
            </w:tcBorders>
            <w:noWrap w:val="0"/>
            <w:vAlign w:val="center"/>
          </w:tcPr>
          <w:p w14:paraId="0D3054F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b w:val="0"/>
                <w:bCs w:val="0"/>
                <w:color w:val="auto"/>
                <w:sz w:val="21"/>
                <w:szCs w:val="21"/>
                <w:highlight w:val="none"/>
                <w:vertAlign w:val="baseline"/>
                <w:lang w:val="en-US" w:eastAsia="zh-CN"/>
              </w:rPr>
              <w:t>4.94</w:t>
            </w:r>
          </w:p>
        </w:tc>
        <w:tc>
          <w:tcPr>
            <w:tcW w:w="451" w:type="pct"/>
            <w:tcBorders>
              <w:tl2br w:val="nil"/>
              <w:tr2bl w:val="nil"/>
            </w:tcBorders>
            <w:noWrap w:val="0"/>
            <w:vAlign w:val="center"/>
          </w:tcPr>
          <w:p w14:paraId="43216E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控制饲养密度+及时清理粪污+场区绿化+喷洒生物除臭剂</w:t>
            </w:r>
          </w:p>
        </w:tc>
        <w:tc>
          <w:tcPr>
            <w:tcW w:w="286" w:type="pct"/>
            <w:tcBorders>
              <w:tl2br w:val="nil"/>
              <w:tr2bl w:val="nil"/>
            </w:tcBorders>
            <w:noWrap w:val="0"/>
            <w:vAlign w:val="center"/>
          </w:tcPr>
          <w:p w14:paraId="5739B9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2"/>
                <w:sz w:val="21"/>
                <w:szCs w:val="22"/>
                <w:highlight w:val="none"/>
                <w:lang w:val="en-US" w:eastAsia="zh-CN"/>
              </w:rPr>
              <w:t>88</w:t>
            </w:r>
          </w:p>
        </w:tc>
        <w:tc>
          <w:tcPr>
            <w:tcW w:w="311" w:type="pct"/>
            <w:tcBorders>
              <w:tl2br w:val="nil"/>
              <w:tr2bl w:val="nil"/>
            </w:tcBorders>
            <w:noWrap w:val="0"/>
            <w:vAlign w:val="center"/>
          </w:tcPr>
          <w:p w14:paraId="73FCC2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5D19002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c>
          <w:tcPr>
            <w:tcW w:w="429" w:type="pct"/>
            <w:tcBorders>
              <w:tl2br w:val="nil"/>
              <w:tr2bl w:val="nil"/>
            </w:tcBorders>
            <w:noWrap w:val="0"/>
            <w:vAlign w:val="center"/>
          </w:tcPr>
          <w:p w14:paraId="7D6CAA9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0674</w:t>
            </w:r>
          </w:p>
        </w:tc>
        <w:tc>
          <w:tcPr>
            <w:tcW w:w="434" w:type="pct"/>
            <w:tcBorders>
              <w:tl2br w:val="nil"/>
              <w:tr2bl w:val="nil"/>
            </w:tcBorders>
            <w:noWrap w:val="0"/>
            <w:vAlign w:val="center"/>
          </w:tcPr>
          <w:p w14:paraId="35162C7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0.59</w:t>
            </w:r>
          </w:p>
        </w:tc>
        <w:tc>
          <w:tcPr>
            <w:tcW w:w="483" w:type="pct"/>
            <w:gridSpan w:val="3"/>
            <w:tcBorders>
              <w:tl2br w:val="nil"/>
              <w:tr2bl w:val="nil"/>
            </w:tcBorders>
            <w:noWrap w:val="0"/>
            <w:vAlign w:val="center"/>
          </w:tcPr>
          <w:p w14:paraId="4E02D78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无组织排放</w:t>
            </w:r>
          </w:p>
        </w:tc>
        <w:tc>
          <w:tcPr>
            <w:tcW w:w="150" w:type="pct"/>
            <w:tcBorders>
              <w:tl2br w:val="nil"/>
              <w:tr2bl w:val="nil"/>
            </w:tcBorders>
            <w:noWrap w:val="0"/>
            <w:vAlign w:val="center"/>
          </w:tcPr>
          <w:p w14:paraId="1FC4257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8760</w:t>
            </w:r>
          </w:p>
        </w:tc>
        <w:tc>
          <w:tcPr>
            <w:tcW w:w="155" w:type="pct"/>
            <w:tcBorders>
              <w:tl2br w:val="nil"/>
              <w:tr2bl w:val="nil"/>
            </w:tcBorders>
            <w:noWrap w:val="0"/>
            <w:vAlign w:val="center"/>
          </w:tcPr>
          <w:p w14:paraId="11A9195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连续</w:t>
            </w:r>
          </w:p>
        </w:tc>
      </w:tr>
      <w:tr w14:paraId="0D9759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2CD5D93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312" w:type="pct"/>
            <w:tcBorders>
              <w:tl2br w:val="nil"/>
              <w:tr2bl w:val="nil"/>
            </w:tcBorders>
            <w:noWrap w:val="0"/>
            <w:vAlign w:val="center"/>
          </w:tcPr>
          <w:p w14:paraId="3079A361">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kern w:val="0"/>
                <w:sz w:val="21"/>
                <w:szCs w:val="21"/>
                <w:lang w:val="en-US" w:eastAsia="zh-CN"/>
              </w:rPr>
            </w:pPr>
            <w:r>
              <w:rPr>
                <w:rFonts w:hint="eastAsia" w:cs="Times New Roman"/>
                <w:color w:val="auto"/>
                <w:kern w:val="2"/>
                <w:sz w:val="21"/>
                <w:szCs w:val="22"/>
                <w:lang w:val="en-US" w:eastAsia="zh-CN"/>
              </w:rPr>
              <w:t>堆肥间</w:t>
            </w:r>
            <w:r>
              <w:rPr>
                <w:rFonts w:hint="eastAsia" w:ascii="Times New Roman" w:hAnsi="Times New Roman" w:cs="Times New Roman"/>
                <w:color w:val="auto"/>
                <w:kern w:val="2"/>
                <w:sz w:val="21"/>
                <w:szCs w:val="22"/>
                <w:lang w:val="en-US" w:eastAsia="zh-CN"/>
              </w:rPr>
              <w:t>生产无组织</w:t>
            </w:r>
            <w:r>
              <w:rPr>
                <w:rFonts w:hint="eastAsia" w:ascii="Times New Roman" w:hAnsi="Times New Roman" w:cs="Times New Roman"/>
                <w:color w:val="auto"/>
                <w:kern w:val="0"/>
                <w:sz w:val="21"/>
                <w:szCs w:val="21"/>
                <w:lang w:val="en-US" w:eastAsia="zh-CN" w:bidi="ar-SA"/>
              </w:rPr>
              <w:t>氨</w:t>
            </w:r>
          </w:p>
        </w:tc>
        <w:tc>
          <w:tcPr>
            <w:tcW w:w="279" w:type="pct"/>
            <w:tcBorders>
              <w:tl2br w:val="nil"/>
              <w:tr2bl w:val="nil"/>
            </w:tcBorders>
            <w:noWrap w:val="0"/>
            <w:vAlign w:val="center"/>
          </w:tcPr>
          <w:p w14:paraId="74D2C4A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278" w:type="pct"/>
            <w:tcBorders>
              <w:tl2br w:val="nil"/>
              <w:tr2bl w:val="nil"/>
            </w:tcBorders>
            <w:noWrap w:val="0"/>
            <w:vAlign w:val="center"/>
          </w:tcPr>
          <w:p w14:paraId="364972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氨</w:t>
            </w:r>
          </w:p>
        </w:tc>
        <w:tc>
          <w:tcPr>
            <w:tcW w:w="251" w:type="pct"/>
            <w:tcBorders>
              <w:tl2br w:val="nil"/>
              <w:tr2bl w:val="nil"/>
            </w:tcBorders>
            <w:noWrap w:val="0"/>
            <w:vAlign w:val="center"/>
          </w:tcPr>
          <w:p w14:paraId="49F6E6F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271" w:type="pct"/>
            <w:tcBorders>
              <w:tl2br w:val="nil"/>
              <w:tr2bl w:val="nil"/>
            </w:tcBorders>
            <w:shd w:val="clear" w:color="auto" w:fill="auto"/>
            <w:noWrap w:val="0"/>
            <w:vAlign w:val="center"/>
          </w:tcPr>
          <w:p w14:paraId="0361B21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0.0063</w:t>
            </w:r>
          </w:p>
        </w:tc>
        <w:tc>
          <w:tcPr>
            <w:tcW w:w="289" w:type="pct"/>
            <w:tcBorders>
              <w:tl2br w:val="nil"/>
              <w:tr2bl w:val="nil"/>
            </w:tcBorders>
            <w:shd w:val="clear" w:color="auto" w:fill="auto"/>
            <w:noWrap w:val="0"/>
            <w:vAlign w:val="center"/>
          </w:tcPr>
          <w:p w14:paraId="19BBB9D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0.03</w:t>
            </w:r>
            <w:r>
              <w:rPr>
                <w:rFonts w:hint="eastAsia" w:ascii="Times New Roman" w:hAnsi="Times New Roman" w:eastAsia="宋体" w:cs="Times New Roman"/>
                <w:color w:val="auto"/>
                <w:kern w:val="0"/>
                <w:sz w:val="21"/>
                <w:szCs w:val="21"/>
                <w:lang w:val="en-US" w:eastAsia="zh-CN"/>
              </w:rPr>
              <w:t xml:space="preserve"> </w:t>
            </w:r>
          </w:p>
        </w:tc>
        <w:tc>
          <w:tcPr>
            <w:tcW w:w="451" w:type="pct"/>
            <w:tcBorders>
              <w:tl2br w:val="nil"/>
              <w:tr2bl w:val="nil"/>
            </w:tcBorders>
            <w:noWrap w:val="0"/>
            <w:vAlign w:val="center"/>
          </w:tcPr>
          <w:p w14:paraId="319998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封闭式作业</w:t>
            </w:r>
          </w:p>
        </w:tc>
        <w:tc>
          <w:tcPr>
            <w:tcW w:w="286" w:type="pct"/>
            <w:tcBorders>
              <w:tl2br w:val="nil"/>
              <w:tr2bl w:val="nil"/>
            </w:tcBorders>
            <w:noWrap w:val="0"/>
            <w:vAlign w:val="center"/>
          </w:tcPr>
          <w:p w14:paraId="1F322F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0"/>
                <w:sz w:val="21"/>
                <w:szCs w:val="21"/>
                <w:highlight w:val="none"/>
                <w:lang w:val="en-US" w:eastAsia="zh-CN"/>
              </w:rPr>
            </w:pPr>
            <w:r>
              <w:rPr>
                <w:rFonts w:hint="eastAsia" w:cs="Times New Roman"/>
                <w:color w:val="auto"/>
                <w:kern w:val="2"/>
                <w:sz w:val="21"/>
                <w:szCs w:val="22"/>
                <w:highlight w:val="none"/>
                <w:lang w:val="en-US" w:eastAsia="zh-CN"/>
              </w:rPr>
              <w:t>/</w:t>
            </w:r>
          </w:p>
        </w:tc>
        <w:tc>
          <w:tcPr>
            <w:tcW w:w="311" w:type="pct"/>
            <w:tcBorders>
              <w:tl2br w:val="nil"/>
              <w:tr2bl w:val="nil"/>
            </w:tcBorders>
            <w:noWrap w:val="0"/>
            <w:vAlign w:val="center"/>
          </w:tcPr>
          <w:p w14:paraId="264CCA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2893992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1220" w:type="dxa"/>
            <w:tcBorders>
              <w:tl2br w:val="nil"/>
              <w:tr2bl w:val="nil"/>
            </w:tcBorders>
            <w:noWrap w:val="0"/>
            <w:vAlign w:val="center"/>
          </w:tcPr>
          <w:p w14:paraId="146F844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color w:val="auto"/>
                <w:kern w:val="0"/>
                <w:sz w:val="21"/>
                <w:szCs w:val="21"/>
                <w:lang w:val="en-US" w:eastAsia="zh-CN"/>
              </w:rPr>
              <w:t>0.0063</w:t>
            </w:r>
          </w:p>
        </w:tc>
        <w:tc>
          <w:tcPr>
            <w:tcW w:w="1234" w:type="dxa"/>
            <w:tcBorders>
              <w:tl2br w:val="nil"/>
              <w:tr2bl w:val="nil"/>
            </w:tcBorders>
            <w:noWrap w:val="0"/>
            <w:vAlign w:val="center"/>
          </w:tcPr>
          <w:p w14:paraId="34E268B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color w:val="auto"/>
                <w:kern w:val="0"/>
                <w:sz w:val="21"/>
                <w:szCs w:val="21"/>
                <w:lang w:val="en-US" w:eastAsia="zh-CN"/>
              </w:rPr>
              <w:t>0.03</w:t>
            </w:r>
            <w:r>
              <w:rPr>
                <w:rFonts w:hint="eastAsia" w:ascii="Times New Roman" w:hAnsi="Times New Roman" w:eastAsia="宋体" w:cs="Times New Roman"/>
                <w:color w:val="auto"/>
                <w:kern w:val="0"/>
                <w:sz w:val="21"/>
                <w:szCs w:val="21"/>
                <w:lang w:val="en-US" w:eastAsia="zh-CN"/>
              </w:rPr>
              <w:t xml:space="preserve"> </w:t>
            </w:r>
          </w:p>
        </w:tc>
        <w:tc>
          <w:tcPr>
            <w:tcW w:w="483" w:type="pct"/>
            <w:gridSpan w:val="3"/>
            <w:tcBorders>
              <w:tl2br w:val="nil"/>
              <w:tr2bl w:val="nil"/>
            </w:tcBorders>
            <w:noWrap w:val="0"/>
            <w:vAlign w:val="center"/>
          </w:tcPr>
          <w:p w14:paraId="4988933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无组织排放</w:t>
            </w:r>
          </w:p>
        </w:tc>
        <w:tc>
          <w:tcPr>
            <w:tcW w:w="150" w:type="pct"/>
            <w:tcBorders>
              <w:tl2br w:val="nil"/>
              <w:tr2bl w:val="nil"/>
            </w:tcBorders>
            <w:noWrap w:val="0"/>
            <w:vAlign w:val="center"/>
          </w:tcPr>
          <w:p w14:paraId="4645EBA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4728</w:t>
            </w:r>
          </w:p>
        </w:tc>
        <w:tc>
          <w:tcPr>
            <w:tcW w:w="155" w:type="pct"/>
            <w:tcBorders>
              <w:tl2br w:val="nil"/>
              <w:tr2bl w:val="nil"/>
            </w:tcBorders>
            <w:noWrap w:val="0"/>
            <w:vAlign w:val="center"/>
          </w:tcPr>
          <w:p w14:paraId="3FE02B1F">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连续</w:t>
            </w:r>
          </w:p>
        </w:tc>
      </w:tr>
      <w:tr w14:paraId="0B9166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633084D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312" w:type="pct"/>
            <w:tcBorders>
              <w:tl2br w:val="nil"/>
              <w:tr2bl w:val="nil"/>
            </w:tcBorders>
            <w:noWrap w:val="0"/>
            <w:vAlign w:val="center"/>
          </w:tcPr>
          <w:p w14:paraId="4EF72739">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kern w:val="2"/>
                <w:sz w:val="21"/>
                <w:szCs w:val="22"/>
                <w:lang w:val="en-US" w:eastAsia="zh-CN"/>
              </w:rPr>
            </w:pPr>
            <w:r>
              <w:rPr>
                <w:rFonts w:hint="eastAsia" w:cs="Times New Roman"/>
                <w:b/>
                <w:bCs/>
                <w:color w:val="auto"/>
                <w:kern w:val="0"/>
                <w:sz w:val="21"/>
                <w:szCs w:val="21"/>
                <w:lang w:val="en-US" w:eastAsia="zh-CN"/>
              </w:rPr>
              <w:t>厂界</w:t>
            </w:r>
            <w:r>
              <w:rPr>
                <w:rFonts w:hint="eastAsia" w:ascii="Times New Roman" w:hAnsi="Times New Roman" w:eastAsia="宋体" w:cs="Times New Roman"/>
                <w:b/>
                <w:bCs/>
                <w:color w:val="auto"/>
                <w:kern w:val="0"/>
                <w:sz w:val="21"/>
                <w:szCs w:val="21"/>
                <w:lang w:val="en-US" w:eastAsia="zh-CN"/>
              </w:rPr>
              <w:t>无组织</w:t>
            </w:r>
            <w:r>
              <w:rPr>
                <w:rFonts w:hint="eastAsia" w:ascii="Times New Roman" w:hAnsi="Times New Roman" w:cs="Times New Roman"/>
                <w:b/>
                <w:bCs/>
                <w:color w:val="auto"/>
                <w:kern w:val="0"/>
                <w:sz w:val="21"/>
                <w:szCs w:val="21"/>
                <w:lang w:val="en-US" w:eastAsia="zh-CN" w:bidi="ar-SA"/>
              </w:rPr>
              <w:t>氨</w:t>
            </w:r>
            <w:r>
              <w:rPr>
                <w:rFonts w:hint="eastAsia" w:ascii="Times New Roman" w:hAnsi="Times New Roman" w:eastAsia="宋体" w:cs="Times New Roman"/>
                <w:b/>
                <w:bCs/>
                <w:color w:val="auto"/>
                <w:kern w:val="0"/>
                <w:sz w:val="21"/>
                <w:szCs w:val="21"/>
                <w:lang w:val="en-US" w:eastAsia="zh-CN"/>
              </w:rPr>
              <w:t>总计</w:t>
            </w:r>
          </w:p>
        </w:tc>
        <w:tc>
          <w:tcPr>
            <w:tcW w:w="279" w:type="pct"/>
            <w:tcBorders>
              <w:tl2br w:val="nil"/>
              <w:tr2bl w:val="nil"/>
            </w:tcBorders>
            <w:noWrap w:val="0"/>
            <w:vAlign w:val="center"/>
          </w:tcPr>
          <w:p w14:paraId="0C0CDB8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bidi="ar-SA"/>
              </w:rPr>
              <w:t>/</w:t>
            </w:r>
          </w:p>
        </w:tc>
        <w:tc>
          <w:tcPr>
            <w:tcW w:w="278" w:type="pct"/>
            <w:tcBorders>
              <w:tl2br w:val="nil"/>
              <w:tr2bl w:val="nil"/>
            </w:tcBorders>
            <w:noWrap w:val="0"/>
            <w:vAlign w:val="center"/>
          </w:tcPr>
          <w:p w14:paraId="076FE10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cs="Times New Roman"/>
                <w:b/>
                <w:bCs/>
                <w:color w:val="auto"/>
                <w:kern w:val="0"/>
                <w:sz w:val="21"/>
                <w:szCs w:val="21"/>
                <w:lang w:val="en-US" w:eastAsia="zh-CN" w:bidi="ar-SA"/>
              </w:rPr>
            </w:pPr>
            <w:r>
              <w:rPr>
                <w:rFonts w:hint="eastAsia" w:ascii="Times New Roman" w:hAnsi="Times New Roman" w:cs="Times New Roman"/>
                <w:b/>
                <w:bCs/>
                <w:color w:val="auto"/>
                <w:kern w:val="0"/>
                <w:sz w:val="21"/>
                <w:szCs w:val="21"/>
                <w:lang w:val="en-US" w:eastAsia="zh-CN" w:bidi="ar-SA"/>
              </w:rPr>
              <w:t>氨</w:t>
            </w:r>
          </w:p>
        </w:tc>
        <w:tc>
          <w:tcPr>
            <w:tcW w:w="251" w:type="pct"/>
            <w:tcBorders>
              <w:tl2br w:val="nil"/>
              <w:tr2bl w:val="nil"/>
            </w:tcBorders>
            <w:noWrap w:val="0"/>
            <w:vAlign w:val="center"/>
          </w:tcPr>
          <w:p w14:paraId="328FC9A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w:t>
            </w:r>
          </w:p>
        </w:tc>
        <w:tc>
          <w:tcPr>
            <w:tcW w:w="771" w:type="dxa"/>
            <w:tcBorders>
              <w:tl2br w:val="nil"/>
              <w:tr2bl w:val="nil"/>
            </w:tcBorders>
            <w:noWrap w:val="0"/>
            <w:vAlign w:val="center"/>
          </w:tcPr>
          <w:p w14:paraId="5B0C099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0.5702</w:t>
            </w:r>
          </w:p>
        </w:tc>
        <w:tc>
          <w:tcPr>
            <w:tcW w:w="822" w:type="dxa"/>
            <w:tcBorders>
              <w:tl2br w:val="nil"/>
              <w:tr2bl w:val="nil"/>
            </w:tcBorders>
            <w:noWrap w:val="0"/>
            <w:vAlign w:val="center"/>
          </w:tcPr>
          <w:p w14:paraId="78E2854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4.97</w:t>
            </w:r>
          </w:p>
        </w:tc>
        <w:tc>
          <w:tcPr>
            <w:tcW w:w="451" w:type="pct"/>
            <w:tcBorders>
              <w:tl2br w:val="nil"/>
              <w:tr2bl w:val="nil"/>
            </w:tcBorders>
            <w:noWrap w:val="0"/>
            <w:vAlign w:val="center"/>
          </w:tcPr>
          <w:p w14:paraId="4F888E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w:t>
            </w:r>
          </w:p>
        </w:tc>
        <w:tc>
          <w:tcPr>
            <w:tcW w:w="286" w:type="pct"/>
            <w:tcBorders>
              <w:tl2br w:val="nil"/>
              <w:tr2bl w:val="nil"/>
            </w:tcBorders>
            <w:noWrap w:val="0"/>
            <w:vAlign w:val="center"/>
          </w:tcPr>
          <w:p w14:paraId="6827EE4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w:t>
            </w:r>
          </w:p>
        </w:tc>
        <w:tc>
          <w:tcPr>
            <w:tcW w:w="311" w:type="pct"/>
            <w:tcBorders>
              <w:tl2br w:val="nil"/>
              <w:tr2bl w:val="nil"/>
            </w:tcBorders>
            <w:noWrap w:val="0"/>
            <w:vAlign w:val="center"/>
          </w:tcPr>
          <w:p w14:paraId="54FEC60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可行</w:t>
            </w:r>
          </w:p>
        </w:tc>
        <w:tc>
          <w:tcPr>
            <w:tcW w:w="429" w:type="pct"/>
            <w:tcBorders>
              <w:tl2br w:val="nil"/>
              <w:tr2bl w:val="nil"/>
            </w:tcBorders>
            <w:noWrap w:val="0"/>
            <w:vAlign w:val="center"/>
          </w:tcPr>
          <w:p w14:paraId="2C1D8D4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w:t>
            </w:r>
          </w:p>
        </w:tc>
        <w:tc>
          <w:tcPr>
            <w:tcW w:w="1220" w:type="dxa"/>
            <w:tcBorders>
              <w:tl2br w:val="nil"/>
              <w:tr2bl w:val="nil"/>
            </w:tcBorders>
            <w:noWrap w:val="0"/>
            <w:vAlign w:val="center"/>
          </w:tcPr>
          <w:p w14:paraId="44A5D53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0.0737</w:t>
            </w:r>
          </w:p>
        </w:tc>
        <w:tc>
          <w:tcPr>
            <w:tcW w:w="1234" w:type="dxa"/>
            <w:tcBorders>
              <w:tl2br w:val="nil"/>
              <w:tr2bl w:val="nil"/>
            </w:tcBorders>
            <w:noWrap w:val="0"/>
            <w:vAlign w:val="center"/>
          </w:tcPr>
          <w:p w14:paraId="70352D8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0.62</w:t>
            </w:r>
          </w:p>
        </w:tc>
        <w:tc>
          <w:tcPr>
            <w:tcW w:w="483" w:type="pct"/>
            <w:gridSpan w:val="3"/>
            <w:tcBorders>
              <w:tl2br w:val="nil"/>
              <w:tr2bl w:val="nil"/>
            </w:tcBorders>
            <w:noWrap w:val="0"/>
            <w:vAlign w:val="center"/>
          </w:tcPr>
          <w:p w14:paraId="402DFF3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无组织排放</w:t>
            </w:r>
          </w:p>
        </w:tc>
        <w:tc>
          <w:tcPr>
            <w:tcW w:w="150" w:type="pct"/>
            <w:tcBorders>
              <w:tl2br w:val="nil"/>
              <w:tr2bl w:val="nil"/>
            </w:tcBorders>
            <w:noWrap w:val="0"/>
            <w:vAlign w:val="center"/>
          </w:tcPr>
          <w:p w14:paraId="3DF2DC9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8760</w:t>
            </w:r>
            <w:r>
              <w:rPr>
                <w:rFonts w:hint="eastAsia" w:cs="Times New Roman"/>
                <w:b/>
                <w:bCs/>
                <w:color w:val="auto"/>
                <w:kern w:val="0"/>
                <w:sz w:val="21"/>
                <w:szCs w:val="21"/>
                <w:lang w:val="en-US" w:eastAsia="zh-CN"/>
              </w:rPr>
              <w:t>（其中堆肥4728）</w:t>
            </w:r>
          </w:p>
        </w:tc>
        <w:tc>
          <w:tcPr>
            <w:tcW w:w="155" w:type="pct"/>
            <w:tcBorders>
              <w:tl2br w:val="nil"/>
              <w:tr2bl w:val="nil"/>
            </w:tcBorders>
            <w:noWrap w:val="0"/>
            <w:vAlign w:val="center"/>
          </w:tcPr>
          <w:p w14:paraId="113F65A2">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连续</w:t>
            </w:r>
          </w:p>
        </w:tc>
      </w:tr>
      <w:tr w14:paraId="40139D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4F84272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w:t>
            </w:r>
          </w:p>
        </w:tc>
        <w:tc>
          <w:tcPr>
            <w:tcW w:w="312" w:type="pct"/>
            <w:tcBorders>
              <w:tl2br w:val="nil"/>
              <w:tr2bl w:val="nil"/>
            </w:tcBorders>
            <w:noWrap w:val="0"/>
            <w:vAlign w:val="center"/>
          </w:tcPr>
          <w:p w14:paraId="2D2D021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color w:val="auto"/>
                <w:kern w:val="0"/>
                <w:sz w:val="21"/>
                <w:szCs w:val="21"/>
                <w:lang w:val="en-US" w:eastAsia="zh-CN"/>
              </w:rPr>
            </w:pPr>
            <w:r>
              <w:rPr>
                <w:rFonts w:hint="eastAsia" w:cs="Times New Roman"/>
                <w:b/>
                <w:bCs/>
                <w:color w:val="auto"/>
                <w:kern w:val="0"/>
                <w:sz w:val="21"/>
                <w:szCs w:val="21"/>
                <w:lang w:val="en-US" w:eastAsia="zh-CN"/>
              </w:rPr>
              <w:t>还田区</w:t>
            </w:r>
            <w:r>
              <w:rPr>
                <w:rFonts w:hint="eastAsia" w:ascii="Times New Roman" w:hAnsi="Times New Roman" w:cs="Times New Roman"/>
                <w:b/>
                <w:bCs/>
                <w:color w:val="auto"/>
                <w:kern w:val="0"/>
                <w:sz w:val="21"/>
                <w:szCs w:val="21"/>
                <w:lang w:val="en-US" w:eastAsia="zh-CN" w:bidi="ar-SA"/>
              </w:rPr>
              <w:t>氨</w:t>
            </w:r>
          </w:p>
        </w:tc>
        <w:tc>
          <w:tcPr>
            <w:tcW w:w="279" w:type="pct"/>
            <w:tcBorders>
              <w:tl2br w:val="nil"/>
              <w:tr2bl w:val="nil"/>
            </w:tcBorders>
            <w:noWrap w:val="0"/>
            <w:vAlign w:val="center"/>
          </w:tcPr>
          <w:p w14:paraId="485961B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278" w:type="pct"/>
            <w:tcBorders>
              <w:tl2br w:val="nil"/>
              <w:tr2bl w:val="nil"/>
            </w:tcBorders>
            <w:noWrap w:val="0"/>
            <w:vAlign w:val="center"/>
          </w:tcPr>
          <w:p w14:paraId="0664174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cs="Times New Roman"/>
                <w:b/>
                <w:bCs/>
                <w:color w:val="auto"/>
                <w:kern w:val="0"/>
                <w:sz w:val="21"/>
                <w:szCs w:val="21"/>
                <w:lang w:val="en-US" w:eastAsia="zh-CN" w:bidi="ar-SA"/>
              </w:rPr>
            </w:pPr>
            <w:r>
              <w:rPr>
                <w:rFonts w:hint="eastAsia" w:ascii="Times New Roman" w:hAnsi="Times New Roman" w:cs="Times New Roman"/>
                <w:b/>
                <w:bCs/>
                <w:color w:val="auto"/>
                <w:kern w:val="0"/>
                <w:sz w:val="21"/>
                <w:szCs w:val="21"/>
                <w:lang w:val="en-US" w:eastAsia="zh-CN" w:bidi="ar-SA"/>
              </w:rPr>
              <w:t>氨</w:t>
            </w:r>
          </w:p>
        </w:tc>
        <w:tc>
          <w:tcPr>
            <w:tcW w:w="251" w:type="pct"/>
            <w:tcBorders>
              <w:tl2br w:val="nil"/>
              <w:tr2bl w:val="nil"/>
            </w:tcBorders>
            <w:noWrap w:val="0"/>
            <w:vAlign w:val="center"/>
          </w:tcPr>
          <w:p w14:paraId="2D308AF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bidi="ar-SA"/>
              </w:rPr>
              <w:t>/</w:t>
            </w:r>
          </w:p>
        </w:tc>
        <w:tc>
          <w:tcPr>
            <w:tcW w:w="271" w:type="pct"/>
            <w:tcBorders>
              <w:tl2br w:val="nil"/>
              <w:tr2bl w:val="nil"/>
            </w:tcBorders>
            <w:noWrap w:val="0"/>
            <w:vAlign w:val="center"/>
          </w:tcPr>
          <w:p w14:paraId="66B5919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1.8359</w:t>
            </w:r>
            <w:r>
              <w:rPr>
                <w:rFonts w:hint="eastAsia" w:ascii="Times New Roman" w:hAnsi="Times New Roman" w:cs="Times New Roman"/>
                <w:b/>
                <w:bCs/>
                <w:color w:val="auto"/>
                <w:kern w:val="0"/>
                <w:sz w:val="21"/>
                <w:szCs w:val="21"/>
                <w:lang w:val="en-US" w:eastAsia="zh-CN" w:bidi="ar-SA"/>
              </w:rPr>
              <w:t xml:space="preserve"> </w:t>
            </w:r>
          </w:p>
        </w:tc>
        <w:tc>
          <w:tcPr>
            <w:tcW w:w="289" w:type="pct"/>
            <w:tcBorders>
              <w:tl2br w:val="nil"/>
              <w:tr2bl w:val="nil"/>
            </w:tcBorders>
            <w:noWrap w:val="0"/>
            <w:vAlign w:val="center"/>
          </w:tcPr>
          <w:p w14:paraId="315673D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default" w:ascii="Times New Roman" w:hAnsi="Times New Roman" w:cs="Times New Roman"/>
                <w:b/>
                <w:bCs/>
                <w:color w:val="auto"/>
                <w:kern w:val="0"/>
                <w:sz w:val="21"/>
                <w:szCs w:val="21"/>
                <w:lang w:val="en-US" w:eastAsia="zh-CN" w:bidi="ar-SA"/>
              </w:rPr>
              <w:t>8.68</w:t>
            </w:r>
          </w:p>
        </w:tc>
        <w:tc>
          <w:tcPr>
            <w:tcW w:w="451" w:type="pct"/>
            <w:tcBorders>
              <w:tl2br w:val="nil"/>
              <w:tr2bl w:val="nil"/>
            </w:tcBorders>
            <w:noWrap w:val="0"/>
            <w:vAlign w:val="center"/>
          </w:tcPr>
          <w:p w14:paraId="0AF39BA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cs="Times New Roman"/>
                <w:b/>
                <w:bCs/>
                <w:color w:val="auto"/>
                <w:kern w:val="0"/>
                <w:sz w:val="21"/>
                <w:szCs w:val="21"/>
                <w:lang w:val="en-US" w:eastAsia="zh-CN" w:bidi="ar-SA"/>
              </w:rPr>
            </w:pPr>
            <w:r>
              <w:rPr>
                <w:rFonts w:hint="eastAsia" w:ascii="Times New Roman" w:hAnsi="Times New Roman" w:cs="Times New Roman"/>
                <w:b/>
                <w:bCs/>
                <w:color w:val="auto"/>
                <w:kern w:val="0"/>
                <w:sz w:val="21"/>
                <w:szCs w:val="21"/>
                <w:lang w:val="en-US" w:eastAsia="zh-CN" w:bidi="ar-SA"/>
              </w:rPr>
              <w:t>适量轮作施肥</w:t>
            </w:r>
          </w:p>
        </w:tc>
        <w:tc>
          <w:tcPr>
            <w:tcW w:w="286" w:type="pct"/>
            <w:tcBorders>
              <w:tl2br w:val="nil"/>
              <w:tr2bl w:val="nil"/>
            </w:tcBorders>
            <w:noWrap w:val="0"/>
            <w:vAlign w:val="center"/>
          </w:tcPr>
          <w:p w14:paraId="6939A0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eastAsia" w:cs="Times New Roman"/>
                <w:color w:val="auto"/>
                <w:kern w:val="2"/>
                <w:sz w:val="21"/>
                <w:szCs w:val="22"/>
                <w:highlight w:val="none"/>
                <w:lang w:val="en-US" w:eastAsia="zh-CN"/>
              </w:rPr>
              <w:t>88</w:t>
            </w:r>
          </w:p>
        </w:tc>
        <w:tc>
          <w:tcPr>
            <w:tcW w:w="311" w:type="pct"/>
            <w:tcBorders>
              <w:tl2br w:val="nil"/>
              <w:tr2bl w:val="nil"/>
            </w:tcBorders>
            <w:noWrap w:val="0"/>
            <w:vAlign w:val="center"/>
          </w:tcPr>
          <w:p w14:paraId="7BF391B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3D137F6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cs="Times New Roman"/>
                <w:b/>
                <w:bCs/>
                <w:color w:val="auto"/>
                <w:kern w:val="0"/>
                <w:sz w:val="21"/>
                <w:szCs w:val="21"/>
                <w:lang w:val="en-US" w:eastAsia="zh-CN" w:bidi="ar-SA"/>
              </w:rPr>
            </w:pPr>
            <w:r>
              <w:rPr>
                <w:rFonts w:hint="default" w:ascii="Times New Roman" w:hAnsi="Times New Roman" w:cs="Times New Roman"/>
                <w:b/>
                <w:bCs/>
                <w:color w:val="auto"/>
                <w:kern w:val="0"/>
                <w:sz w:val="21"/>
                <w:szCs w:val="21"/>
                <w:lang w:val="en-US" w:eastAsia="zh-CN" w:bidi="ar-SA"/>
              </w:rPr>
              <w:t>/</w:t>
            </w:r>
          </w:p>
        </w:tc>
        <w:tc>
          <w:tcPr>
            <w:tcW w:w="429" w:type="pct"/>
            <w:tcBorders>
              <w:tl2br w:val="nil"/>
              <w:tr2bl w:val="nil"/>
            </w:tcBorders>
            <w:noWrap w:val="0"/>
            <w:vAlign w:val="center"/>
          </w:tcPr>
          <w:p w14:paraId="70AB239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0.2200</w:t>
            </w:r>
          </w:p>
        </w:tc>
        <w:tc>
          <w:tcPr>
            <w:tcW w:w="434" w:type="pct"/>
            <w:tcBorders>
              <w:tl2br w:val="nil"/>
              <w:tr2bl w:val="nil"/>
            </w:tcBorders>
            <w:noWrap w:val="0"/>
            <w:vAlign w:val="center"/>
          </w:tcPr>
          <w:p w14:paraId="26C24E0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default" w:ascii="Times New Roman" w:hAnsi="Times New Roman" w:cs="Times New Roman"/>
                <w:b/>
                <w:bCs/>
                <w:color w:val="auto"/>
                <w:kern w:val="0"/>
                <w:sz w:val="21"/>
                <w:szCs w:val="21"/>
                <w:lang w:val="en-US" w:eastAsia="zh-CN" w:bidi="ar-SA"/>
              </w:rPr>
              <w:t>1</w:t>
            </w:r>
            <w:r>
              <w:rPr>
                <w:rFonts w:hint="eastAsia" w:cs="Times New Roman"/>
                <w:b/>
                <w:bCs/>
                <w:color w:val="auto"/>
                <w:kern w:val="0"/>
                <w:sz w:val="21"/>
                <w:szCs w:val="21"/>
                <w:lang w:val="en-US" w:eastAsia="zh-CN" w:bidi="ar-SA"/>
              </w:rPr>
              <w:t>.04</w:t>
            </w:r>
          </w:p>
        </w:tc>
        <w:tc>
          <w:tcPr>
            <w:tcW w:w="483" w:type="pct"/>
            <w:gridSpan w:val="3"/>
            <w:tcBorders>
              <w:tl2br w:val="nil"/>
              <w:tr2bl w:val="nil"/>
            </w:tcBorders>
            <w:noWrap w:val="0"/>
            <w:vAlign w:val="center"/>
          </w:tcPr>
          <w:p w14:paraId="5BCBB9D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highlight w:val="none"/>
                <w:lang w:val="en-US" w:eastAsia="zh-CN"/>
              </w:rPr>
              <w:t>无组织排放</w:t>
            </w:r>
          </w:p>
        </w:tc>
        <w:tc>
          <w:tcPr>
            <w:tcW w:w="150" w:type="pct"/>
            <w:tcBorders>
              <w:tl2br w:val="nil"/>
              <w:tr2bl w:val="nil"/>
            </w:tcBorders>
            <w:noWrap w:val="0"/>
            <w:vAlign w:val="center"/>
          </w:tcPr>
          <w:p w14:paraId="0A682ACF">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4728</w:t>
            </w:r>
          </w:p>
        </w:tc>
        <w:tc>
          <w:tcPr>
            <w:tcW w:w="155" w:type="pct"/>
            <w:tcBorders>
              <w:tl2br w:val="nil"/>
              <w:tr2bl w:val="nil"/>
            </w:tcBorders>
            <w:noWrap w:val="0"/>
            <w:vAlign w:val="center"/>
          </w:tcPr>
          <w:p w14:paraId="2FA1ECD1">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连续</w:t>
            </w:r>
          </w:p>
        </w:tc>
      </w:tr>
      <w:tr w14:paraId="53790B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1B68A8F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312" w:type="pct"/>
            <w:tcBorders>
              <w:tl2br w:val="nil"/>
              <w:tr2bl w:val="nil"/>
            </w:tcBorders>
            <w:noWrap w:val="0"/>
            <w:vAlign w:val="center"/>
          </w:tcPr>
          <w:p w14:paraId="7759F8C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2"/>
                <w:sz w:val="21"/>
                <w:szCs w:val="22"/>
                <w:lang w:val="en-US" w:eastAsia="zh-CN"/>
              </w:rPr>
              <w:t>养殖区</w:t>
            </w:r>
            <w:r>
              <w:rPr>
                <w:rFonts w:hint="eastAsia" w:ascii="Times New Roman" w:hAnsi="Times New Roman" w:cs="Times New Roman"/>
                <w:color w:val="auto"/>
                <w:kern w:val="0"/>
                <w:sz w:val="21"/>
                <w:szCs w:val="21"/>
                <w:lang w:val="en-US" w:eastAsia="zh-CN" w:bidi="ar-SA"/>
              </w:rPr>
              <w:t>硫化氢</w:t>
            </w:r>
          </w:p>
        </w:tc>
        <w:tc>
          <w:tcPr>
            <w:tcW w:w="279" w:type="pct"/>
            <w:tcBorders>
              <w:tl2br w:val="nil"/>
              <w:tr2bl w:val="nil"/>
            </w:tcBorders>
            <w:noWrap w:val="0"/>
            <w:vAlign w:val="center"/>
          </w:tcPr>
          <w:p w14:paraId="17ED4E4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w:t>
            </w:r>
          </w:p>
        </w:tc>
        <w:tc>
          <w:tcPr>
            <w:tcW w:w="278" w:type="pct"/>
            <w:tcBorders>
              <w:tl2br w:val="nil"/>
              <w:tr2bl w:val="nil"/>
            </w:tcBorders>
            <w:noWrap w:val="0"/>
            <w:vAlign w:val="center"/>
          </w:tcPr>
          <w:p w14:paraId="64D8A62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硫化氢</w:t>
            </w:r>
          </w:p>
        </w:tc>
        <w:tc>
          <w:tcPr>
            <w:tcW w:w="251" w:type="pct"/>
            <w:tcBorders>
              <w:tl2br w:val="nil"/>
              <w:tr2bl w:val="nil"/>
            </w:tcBorders>
            <w:noWrap w:val="0"/>
            <w:vAlign w:val="center"/>
          </w:tcPr>
          <w:p w14:paraId="1EC5AAC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w:t>
            </w:r>
          </w:p>
        </w:tc>
        <w:tc>
          <w:tcPr>
            <w:tcW w:w="271" w:type="pct"/>
            <w:tcBorders>
              <w:tl2br w:val="nil"/>
              <w:tr2bl w:val="nil"/>
            </w:tcBorders>
            <w:noWrap w:val="0"/>
            <w:vAlign w:val="center"/>
          </w:tcPr>
          <w:p w14:paraId="1EA8338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lang w:val="en-US" w:eastAsia="zh-CN"/>
              </w:rPr>
              <w:t>0.0</w:t>
            </w:r>
            <w:r>
              <w:rPr>
                <w:rFonts w:hint="eastAsia" w:cs="Times New Roman"/>
                <w:color w:val="auto"/>
                <w:kern w:val="0"/>
                <w:sz w:val="21"/>
                <w:szCs w:val="21"/>
                <w:lang w:val="en-US" w:eastAsia="zh-CN"/>
              </w:rPr>
              <w:t>091</w:t>
            </w:r>
          </w:p>
        </w:tc>
        <w:tc>
          <w:tcPr>
            <w:tcW w:w="289" w:type="pct"/>
            <w:tcBorders>
              <w:tl2br w:val="nil"/>
              <w:tr2bl w:val="nil"/>
            </w:tcBorders>
            <w:noWrap w:val="0"/>
            <w:vAlign w:val="center"/>
          </w:tcPr>
          <w:p w14:paraId="6325B1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0.08</w:t>
            </w:r>
          </w:p>
        </w:tc>
        <w:tc>
          <w:tcPr>
            <w:tcW w:w="451" w:type="pct"/>
            <w:tcBorders>
              <w:tl2br w:val="nil"/>
              <w:tr2bl w:val="nil"/>
            </w:tcBorders>
            <w:noWrap w:val="0"/>
            <w:vAlign w:val="center"/>
          </w:tcPr>
          <w:p w14:paraId="0650A4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控制饲养密度+及时清理粪污+场区绿化+喷洒生物除臭剂</w:t>
            </w:r>
          </w:p>
        </w:tc>
        <w:tc>
          <w:tcPr>
            <w:tcW w:w="286" w:type="pct"/>
            <w:tcBorders>
              <w:tl2br w:val="nil"/>
              <w:tr2bl w:val="nil"/>
            </w:tcBorders>
            <w:noWrap w:val="0"/>
            <w:vAlign w:val="center"/>
          </w:tcPr>
          <w:p w14:paraId="0CAD4A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2"/>
                <w:sz w:val="21"/>
                <w:szCs w:val="22"/>
                <w:highlight w:val="none"/>
                <w:lang w:val="en-US" w:eastAsia="zh-CN"/>
              </w:rPr>
              <w:t>88</w:t>
            </w:r>
          </w:p>
        </w:tc>
        <w:tc>
          <w:tcPr>
            <w:tcW w:w="311" w:type="pct"/>
            <w:tcBorders>
              <w:tl2br w:val="nil"/>
              <w:tr2bl w:val="nil"/>
            </w:tcBorders>
            <w:noWrap w:val="0"/>
            <w:vAlign w:val="center"/>
          </w:tcPr>
          <w:p w14:paraId="28AAD0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21FE52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c>
          <w:tcPr>
            <w:tcW w:w="429" w:type="pct"/>
            <w:tcBorders>
              <w:tl2br w:val="nil"/>
              <w:tr2bl w:val="nil"/>
            </w:tcBorders>
            <w:noWrap w:val="0"/>
            <w:vAlign w:val="center"/>
          </w:tcPr>
          <w:p w14:paraId="03B3EDF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sz w:val="21"/>
                <w:szCs w:val="21"/>
                <w:lang w:val="en-US" w:eastAsia="zh-CN"/>
              </w:rPr>
              <w:t>0.0011</w:t>
            </w:r>
          </w:p>
        </w:tc>
        <w:tc>
          <w:tcPr>
            <w:tcW w:w="434" w:type="pct"/>
            <w:tcBorders>
              <w:tl2br w:val="nil"/>
              <w:tr2bl w:val="nil"/>
            </w:tcBorders>
            <w:noWrap w:val="0"/>
            <w:vAlign w:val="center"/>
          </w:tcPr>
          <w:p w14:paraId="4FBE9DBD">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b w:val="0"/>
                <w:bCs w:val="0"/>
                <w:color w:val="auto"/>
                <w:sz w:val="21"/>
                <w:szCs w:val="21"/>
                <w:vertAlign w:val="baseline"/>
                <w:lang w:val="en-US" w:eastAsia="zh-CN"/>
              </w:rPr>
              <w:t>0.01</w:t>
            </w:r>
          </w:p>
        </w:tc>
        <w:tc>
          <w:tcPr>
            <w:tcW w:w="483" w:type="pct"/>
            <w:gridSpan w:val="3"/>
            <w:tcBorders>
              <w:tl2br w:val="nil"/>
              <w:tr2bl w:val="nil"/>
            </w:tcBorders>
            <w:noWrap w:val="0"/>
            <w:vAlign w:val="center"/>
          </w:tcPr>
          <w:p w14:paraId="6C00EFFE">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无组织排放</w:t>
            </w:r>
          </w:p>
        </w:tc>
        <w:tc>
          <w:tcPr>
            <w:tcW w:w="150" w:type="pct"/>
            <w:tcBorders>
              <w:tl2br w:val="nil"/>
              <w:tr2bl w:val="nil"/>
            </w:tcBorders>
            <w:noWrap w:val="0"/>
            <w:vAlign w:val="center"/>
          </w:tcPr>
          <w:p w14:paraId="16012918">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8760</w:t>
            </w:r>
          </w:p>
        </w:tc>
        <w:tc>
          <w:tcPr>
            <w:tcW w:w="155" w:type="pct"/>
            <w:tcBorders>
              <w:tl2br w:val="nil"/>
              <w:tr2bl w:val="nil"/>
            </w:tcBorders>
            <w:noWrap w:val="0"/>
            <w:vAlign w:val="center"/>
          </w:tcPr>
          <w:p w14:paraId="76AB95F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连续</w:t>
            </w:r>
          </w:p>
        </w:tc>
      </w:tr>
      <w:tr w14:paraId="1B3881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3B98BD0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312" w:type="pct"/>
            <w:tcBorders>
              <w:tl2br w:val="nil"/>
              <w:tr2bl w:val="nil"/>
            </w:tcBorders>
            <w:noWrap w:val="0"/>
            <w:vAlign w:val="center"/>
          </w:tcPr>
          <w:p w14:paraId="44EAEC3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kern w:val="2"/>
                <w:sz w:val="21"/>
                <w:szCs w:val="22"/>
                <w:lang w:val="en-US" w:eastAsia="zh-CN"/>
              </w:rPr>
            </w:pPr>
            <w:r>
              <w:rPr>
                <w:rFonts w:hint="eastAsia" w:cs="Times New Roman"/>
                <w:color w:val="auto"/>
                <w:kern w:val="2"/>
                <w:sz w:val="21"/>
                <w:szCs w:val="22"/>
                <w:lang w:val="en-US" w:eastAsia="zh-CN"/>
              </w:rPr>
              <w:t>堆肥间</w:t>
            </w:r>
            <w:r>
              <w:rPr>
                <w:rFonts w:hint="eastAsia" w:ascii="Times New Roman" w:hAnsi="Times New Roman" w:cs="Times New Roman"/>
                <w:color w:val="auto"/>
                <w:kern w:val="2"/>
                <w:sz w:val="21"/>
                <w:szCs w:val="22"/>
                <w:lang w:val="en-US" w:eastAsia="zh-CN"/>
              </w:rPr>
              <w:t>生产无组织</w:t>
            </w:r>
            <w:r>
              <w:rPr>
                <w:rFonts w:hint="eastAsia" w:ascii="Times New Roman" w:hAnsi="Times New Roman" w:cs="Times New Roman"/>
                <w:color w:val="auto"/>
                <w:kern w:val="0"/>
                <w:sz w:val="21"/>
                <w:szCs w:val="21"/>
                <w:lang w:val="en-US" w:eastAsia="zh-CN" w:bidi="ar-SA"/>
              </w:rPr>
              <w:t>硫化氢</w:t>
            </w:r>
          </w:p>
        </w:tc>
        <w:tc>
          <w:tcPr>
            <w:tcW w:w="279" w:type="pct"/>
            <w:tcBorders>
              <w:tl2br w:val="nil"/>
              <w:tr2bl w:val="nil"/>
            </w:tcBorders>
            <w:noWrap w:val="0"/>
            <w:vAlign w:val="center"/>
          </w:tcPr>
          <w:p w14:paraId="3225877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c>
          <w:tcPr>
            <w:tcW w:w="278" w:type="pct"/>
            <w:tcBorders>
              <w:tl2br w:val="nil"/>
              <w:tr2bl w:val="nil"/>
            </w:tcBorders>
            <w:noWrap w:val="0"/>
            <w:vAlign w:val="center"/>
          </w:tcPr>
          <w:p w14:paraId="526A87A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硫化氢</w:t>
            </w:r>
          </w:p>
        </w:tc>
        <w:tc>
          <w:tcPr>
            <w:tcW w:w="251" w:type="pct"/>
            <w:tcBorders>
              <w:tl2br w:val="nil"/>
              <w:tr2bl w:val="nil"/>
            </w:tcBorders>
            <w:noWrap w:val="0"/>
            <w:vAlign w:val="center"/>
          </w:tcPr>
          <w:p w14:paraId="6C45012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c>
          <w:tcPr>
            <w:tcW w:w="771" w:type="dxa"/>
            <w:tcBorders>
              <w:tl2br w:val="nil"/>
              <w:tr2bl w:val="nil"/>
            </w:tcBorders>
            <w:noWrap w:val="0"/>
            <w:vAlign w:val="center"/>
          </w:tcPr>
          <w:p w14:paraId="183B2B1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auto"/>
                <w:kern w:val="0"/>
                <w:sz w:val="21"/>
                <w:szCs w:val="21"/>
                <w:lang w:val="en-US" w:eastAsia="zh-CN"/>
              </w:rPr>
              <w:t>0.0004</w:t>
            </w:r>
          </w:p>
        </w:tc>
        <w:tc>
          <w:tcPr>
            <w:tcW w:w="822" w:type="dxa"/>
            <w:tcBorders>
              <w:tl2br w:val="nil"/>
              <w:tr2bl w:val="nil"/>
            </w:tcBorders>
            <w:noWrap w:val="0"/>
            <w:vAlign w:val="center"/>
          </w:tcPr>
          <w:p w14:paraId="65AB7E8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auto"/>
                <w:kern w:val="0"/>
                <w:sz w:val="21"/>
                <w:szCs w:val="21"/>
                <w:lang w:val="en-US" w:eastAsia="zh-CN"/>
              </w:rPr>
              <w:t>0.002</w:t>
            </w:r>
          </w:p>
        </w:tc>
        <w:tc>
          <w:tcPr>
            <w:tcW w:w="451" w:type="pct"/>
            <w:tcBorders>
              <w:tl2br w:val="nil"/>
              <w:tr2bl w:val="nil"/>
            </w:tcBorders>
            <w:noWrap w:val="0"/>
            <w:vAlign w:val="center"/>
          </w:tcPr>
          <w:p w14:paraId="78D6428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封闭式作业</w:t>
            </w:r>
          </w:p>
        </w:tc>
        <w:tc>
          <w:tcPr>
            <w:tcW w:w="286" w:type="pct"/>
            <w:tcBorders>
              <w:tl2br w:val="nil"/>
              <w:tr2bl w:val="nil"/>
            </w:tcBorders>
            <w:noWrap w:val="0"/>
            <w:vAlign w:val="center"/>
          </w:tcPr>
          <w:p w14:paraId="1F58B16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color w:val="auto"/>
                <w:kern w:val="2"/>
                <w:sz w:val="21"/>
                <w:szCs w:val="22"/>
                <w:highlight w:val="none"/>
                <w:lang w:val="en-US" w:eastAsia="zh-CN"/>
              </w:rPr>
              <w:t>/</w:t>
            </w:r>
          </w:p>
        </w:tc>
        <w:tc>
          <w:tcPr>
            <w:tcW w:w="311" w:type="pct"/>
            <w:tcBorders>
              <w:tl2br w:val="nil"/>
              <w:tr2bl w:val="nil"/>
            </w:tcBorders>
            <w:noWrap w:val="0"/>
            <w:vAlign w:val="center"/>
          </w:tcPr>
          <w:p w14:paraId="72A147F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auto"/>
                <w:kern w:val="0"/>
                <w:sz w:val="21"/>
                <w:lang w:val="en-US" w:eastAsia="zh-CN" w:bidi="ar-SA"/>
              </w:rPr>
              <w:t>可行</w:t>
            </w:r>
          </w:p>
        </w:tc>
        <w:tc>
          <w:tcPr>
            <w:tcW w:w="429" w:type="pct"/>
            <w:tcBorders>
              <w:tl2br w:val="nil"/>
              <w:tr2bl w:val="nil"/>
            </w:tcBorders>
            <w:noWrap w:val="0"/>
            <w:vAlign w:val="center"/>
          </w:tcPr>
          <w:p w14:paraId="6166F2A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c>
          <w:tcPr>
            <w:tcW w:w="429" w:type="pct"/>
            <w:tcBorders>
              <w:tl2br w:val="nil"/>
              <w:tr2bl w:val="nil"/>
            </w:tcBorders>
            <w:noWrap w:val="0"/>
            <w:vAlign w:val="center"/>
          </w:tcPr>
          <w:p w14:paraId="5B0EBB9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auto"/>
                <w:kern w:val="0"/>
                <w:sz w:val="21"/>
                <w:szCs w:val="21"/>
                <w:lang w:val="en-US" w:eastAsia="zh-CN"/>
              </w:rPr>
              <w:t>0.0004</w:t>
            </w:r>
          </w:p>
        </w:tc>
        <w:tc>
          <w:tcPr>
            <w:tcW w:w="434" w:type="pct"/>
            <w:tcBorders>
              <w:tl2br w:val="nil"/>
              <w:tr2bl w:val="nil"/>
            </w:tcBorders>
            <w:noWrap w:val="0"/>
            <w:vAlign w:val="center"/>
          </w:tcPr>
          <w:p w14:paraId="014FC71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auto"/>
                <w:kern w:val="0"/>
                <w:sz w:val="21"/>
                <w:szCs w:val="21"/>
                <w:lang w:val="en-US" w:eastAsia="zh-CN"/>
              </w:rPr>
              <w:t>0.002</w:t>
            </w:r>
          </w:p>
        </w:tc>
        <w:tc>
          <w:tcPr>
            <w:tcW w:w="483" w:type="pct"/>
            <w:gridSpan w:val="3"/>
            <w:tcBorders>
              <w:tl2br w:val="nil"/>
              <w:tr2bl w:val="nil"/>
            </w:tcBorders>
            <w:noWrap w:val="0"/>
            <w:vAlign w:val="center"/>
          </w:tcPr>
          <w:p w14:paraId="7542FFA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无组织排放</w:t>
            </w:r>
          </w:p>
        </w:tc>
        <w:tc>
          <w:tcPr>
            <w:tcW w:w="150" w:type="pct"/>
            <w:tcBorders>
              <w:tl2br w:val="nil"/>
              <w:tr2bl w:val="nil"/>
            </w:tcBorders>
            <w:noWrap w:val="0"/>
            <w:vAlign w:val="center"/>
          </w:tcPr>
          <w:p w14:paraId="0779EA03">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4728</w:t>
            </w:r>
          </w:p>
        </w:tc>
        <w:tc>
          <w:tcPr>
            <w:tcW w:w="155" w:type="pct"/>
            <w:tcBorders>
              <w:tl2br w:val="nil"/>
              <w:tr2bl w:val="nil"/>
            </w:tcBorders>
            <w:noWrap w:val="0"/>
            <w:vAlign w:val="center"/>
          </w:tcPr>
          <w:p w14:paraId="1F30D78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连续</w:t>
            </w:r>
          </w:p>
        </w:tc>
      </w:tr>
      <w:tr w14:paraId="253C8E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7BAD96D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312" w:type="pct"/>
            <w:tcBorders>
              <w:tl2br w:val="nil"/>
              <w:tr2bl w:val="nil"/>
            </w:tcBorders>
            <w:noWrap w:val="0"/>
            <w:vAlign w:val="center"/>
          </w:tcPr>
          <w:p w14:paraId="5F71701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color w:val="auto"/>
                <w:kern w:val="0"/>
                <w:sz w:val="21"/>
                <w:szCs w:val="21"/>
                <w:lang w:val="en-US" w:eastAsia="zh-CN"/>
              </w:rPr>
            </w:pPr>
            <w:r>
              <w:rPr>
                <w:rFonts w:hint="eastAsia" w:cs="Times New Roman"/>
                <w:b/>
                <w:bCs/>
                <w:color w:val="auto"/>
                <w:kern w:val="0"/>
                <w:sz w:val="21"/>
                <w:szCs w:val="21"/>
                <w:lang w:val="en-US" w:eastAsia="zh-CN"/>
              </w:rPr>
              <w:t>厂界</w:t>
            </w:r>
            <w:r>
              <w:rPr>
                <w:rFonts w:hint="eastAsia" w:ascii="Times New Roman" w:hAnsi="Times New Roman" w:eastAsia="宋体" w:cs="Times New Roman"/>
                <w:b/>
                <w:bCs/>
                <w:color w:val="auto"/>
                <w:kern w:val="0"/>
                <w:sz w:val="21"/>
                <w:szCs w:val="21"/>
                <w:lang w:val="en-US" w:eastAsia="zh-CN"/>
              </w:rPr>
              <w:t>无组织</w:t>
            </w:r>
            <w:r>
              <w:rPr>
                <w:rFonts w:hint="eastAsia" w:ascii="Times New Roman" w:hAnsi="Times New Roman" w:cs="Times New Roman"/>
                <w:b/>
                <w:bCs/>
                <w:color w:val="auto"/>
                <w:kern w:val="0"/>
                <w:sz w:val="21"/>
                <w:szCs w:val="21"/>
                <w:lang w:val="en-US" w:eastAsia="zh-CN"/>
              </w:rPr>
              <w:t>硫化氢</w:t>
            </w:r>
            <w:r>
              <w:rPr>
                <w:rFonts w:hint="eastAsia" w:ascii="Times New Roman" w:hAnsi="Times New Roman" w:eastAsia="宋体" w:cs="Times New Roman"/>
                <w:b/>
                <w:bCs/>
                <w:color w:val="auto"/>
                <w:kern w:val="0"/>
                <w:sz w:val="21"/>
                <w:szCs w:val="21"/>
                <w:lang w:val="en-US" w:eastAsia="zh-CN"/>
              </w:rPr>
              <w:t>总计</w:t>
            </w:r>
          </w:p>
        </w:tc>
        <w:tc>
          <w:tcPr>
            <w:tcW w:w="279" w:type="pct"/>
            <w:tcBorders>
              <w:tl2br w:val="nil"/>
              <w:tr2bl w:val="nil"/>
            </w:tcBorders>
            <w:noWrap w:val="0"/>
            <w:vAlign w:val="center"/>
          </w:tcPr>
          <w:p w14:paraId="51CA81E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278" w:type="pct"/>
            <w:tcBorders>
              <w:tl2br w:val="nil"/>
              <w:tr2bl w:val="nil"/>
            </w:tcBorders>
            <w:noWrap w:val="0"/>
            <w:vAlign w:val="center"/>
          </w:tcPr>
          <w:p w14:paraId="2544084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default" w:ascii="Times New Roman" w:hAnsi="Times New Roman" w:cs="Times New Roman"/>
                <w:b/>
                <w:bCs/>
                <w:color w:val="auto"/>
                <w:kern w:val="0"/>
                <w:sz w:val="21"/>
                <w:szCs w:val="21"/>
                <w:lang w:val="en-US" w:eastAsia="zh-CN" w:bidi="ar-SA"/>
              </w:rPr>
              <w:t>硫化氢</w:t>
            </w:r>
          </w:p>
        </w:tc>
        <w:tc>
          <w:tcPr>
            <w:tcW w:w="251" w:type="pct"/>
            <w:tcBorders>
              <w:tl2br w:val="nil"/>
              <w:tr2bl w:val="nil"/>
            </w:tcBorders>
            <w:noWrap w:val="0"/>
            <w:vAlign w:val="center"/>
          </w:tcPr>
          <w:p w14:paraId="4F77E18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771" w:type="dxa"/>
            <w:tcBorders>
              <w:tl2br w:val="nil"/>
              <w:tr2bl w:val="nil"/>
            </w:tcBorders>
            <w:noWrap w:val="0"/>
            <w:vAlign w:val="center"/>
          </w:tcPr>
          <w:p w14:paraId="78E7DED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0.0095</w:t>
            </w:r>
          </w:p>
        </w:tc>
        <w:tc>
          <w:tcPr>
            <w:tcW w:w="822" w:type="dxa"/>
            <w:tcBorders>
              <w:tl2br w:val="nil"/>
              <w:tr2bl w:val="nil"/>
            </w:tcBorders>
            <w:noWrap w:val="0"/>
            <w:vAlign w:val="center"/>
          </w:tcPr>
          <w:p w14:paraId="2B81EEC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0.082</w:t>
            </w:r>
          </w:p>
        </w:tc>
        <w:tc>
          <w:tcPr>
            <w:tcW w:w="451" w:type="pct"/>
            <w:tcBorders>
              <w:tl2br w:val="nil"/>
              <w:tr2bl w:val="nil"/>
            </w:tcBorders>
            <w:noWrap w:val="0"/>
            <w:vAlign w:val="center"/>
          </w:tcPr>
          <w:p w14:paraId="111F0DF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w:t>
            </w:r>
          </w:p>
        </w:tc>
        <w:tc>
          <w:tcPr>
            <w:tcW w:w="286" w:type="pct"/>
            <w:tcBorders>
              <w:tl2br w:val="nil"/>
              <w:tr2bl w:val="nil"/>
            </w:tcBorders>
            <w:noWrap w:val="0"/>
            <w:vAlign w:val="center"/>
          </w:tcPr>
          <w:p w14:paraId="52CA6BB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w:t>
            </w:r>
          </w:p>
        </w:tc>
        <w:tc>
          <w:tcPr>
            <w:tcW w:w="311" w:type="pct"/>
            <w:tcBorders>
              <w:tl2br w:val="nil"/>
              <w:tr2bl w:val="nil"/>
            </w:tcBorders>
            <w:noWrap w:val="0"/>
            <w:vAlign w:val="center"/>
          </w:tcPr>
          <w:p w14:paraId="05C2A8E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可行</w:t>
            </w:r>
          </w:p>
        </w:tc>
        <w:tc>
          <w:tcPr>
            <w:tcW w:w="429" w:type="pct"/>
            <w:tcBorders>
              <w:tl2br w:val="nil"/>
              <w:tr2bl w:val="nil"/>
            </w:tcBorders>
            <w:noWrap w:val="0"/>
            <w:vAlign w:val="center"/>
          </w:tcPr>
          <w:p w14:paraId="0CC91C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w:t>
            </w:r>
          </w:p>
        </w:tc>
        <w:tc>
          <w:tcPr>
            <w:tcW w:w="1220" w:type="dxa"/>
            <w:tcBorders>
              <w:tl2br w:val="nil"/>
              <w:tr2bl w:val="nil"/>
            </w:tcBorders>
            <w:noWrap w:val="0"/>
            <w:vAlign w:val="center"/>
          </w:tcPr>
          <w:p w14:paraId="2925CD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0.0015</w:t>
            </w:r>
          </w:p>
        </w:tc>
        <w:tc>
          <w:tcPr>
            <w:tcW w:w="1234" w:type="dxa"/>
            <w:tcBorders>
              <w:tl2br w:val="nil"/>
              <w:tr2bl w:val="nil"/>
            </w:tcBorders>
            <w:noWrap w:val="0"/>
            <w:vAlign w:val="center"/>
          </w:tcPr>
          <w:p w14:paraId="7AB5F2F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0.012</w:t>
            </w:r>
          </w:p>
        </w:tc>
        <w:tc>
          <w:tcPr>
            <w:tcW w:w="483" w:type="pct"/>
            <w:gridSpan w:val="3"/>
            <w:tcBorders>
              <w:tl2br w:val="nil"/>
              <w:tr2bl w:val="nil"/>
            </w:tcBorders>
            <w:noWrap w:val="0"/>
            <w:vAlign w:val="center"/>
          </w:tcPr>
          <w:p w14:paraId="4CD5235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无组织排放</w:t>
            </w:r>
          </w:p>
        </w:tc>
        <w:tc>
          <w:tcPr>
            <w:tcW w:w="150" w:type="pct"/>
            <w:tcBorders>
              <w:tl2br w:val="nil"/>
              <w:tr2bl w:val="nil"/>
            </w:tcBorders>
            <w:noWrap w:val="0"/>
            <w:vAlign w:val="center"/>
          </w:tcPr>
          <w:p w14:paraId="5EDCEDA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8760</w:t>
            </w:r>
            <w:r>
              <w:rPr>
                <w:rFonts w:hint="eastAsia" w:cs="Times New Roman"/>
                <w:b/>
                <w:bCs/>
                <w:color w:val="auto"/>
                <w:kern w:val="0"/>
                <w:sz w:val="21"/>
                <w:szCs w:val="21"/>
                <w:lang w:val="en-US" w:eastAsia="zh-CN"/>
              </w:rPr>
              <w:t>（其中堆肥4728）</w:t>
            </w:r>
          </w:p>
        </w:tc>
        <w:tc>
          <w:tcPr>
            <w:tcW w:w="155" w:type="pct"/>
            <w:tcBorders>
              <w:tl2br w:val="nil"/>
              <w:tr2bl w:val="nil"/>
            </w:tcBorders>
            <w:noWrap w:val="0"/>
            <w:vAlign w:val="center"/>
          </w:tcPr>
          <w:p w14:paraId="315BE844">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连续</w:t>
            </w:r>
          </w:p>
        </w:tc>
      </w:tr>
      <w:tr w14:paraId="4478E3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86" w:type="pct"/>
            <w:tcBorders>
              <w:tl2br w:val="nil"/>
              <w:tr2bl w:val="nil"/>
            </w:tcBorders>
            <w:noWrap w:val="0"/>
            <w:vAlign w:val="center"/>
          </w:tcPr>
          <w:p w14:paraId="66A8109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w:t>
            </w:r>
          </w:p>
        </w:tc>
        <w:tc>
          <w:tcPr>
            <w:tcW w:w="312" w:type="pct"/>
            <w:tcBorders>
              <w:tl2br w:val="nil"/>
              <w:tr2bl w:val="nil"/>
            </w:tcBorders>
            <w:noWrap w:val="0"/>
            <w:vAlign w:val="center"/>
          </w:tcPr>
          <w:p w14:paraId="6B850C0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eastAsia" w:cs="Times New Roman"/>
                <w:b/>
                <w:bCs/>
                <w:color w:val="auto"/>
                <w:kern w:val="0"/>
                <w:sz w:val="21"/>
                <w:szCs w:val="21"/>
                <w:lang w:val="en-US" w:eastAsia="zh-CN"/>
              </w:rPr>
            </w:pPr>
            <w:r>
              <w:rPr>
                <w:rFonts w:hint="eastAsia" w:cs="Times New Roman"/>
                <w:b/>
                <w:bCs/>
                <w:color w:val="auto"/>
                <w:kern w:val="0"/>
                <w:sz w:val="21"/>
                <w:szCs w:val="21"/>
                <w:lang w:val="en-US" w:eastAsia="zh-CN"/>
              </w:rPr>
              <w:t>还田区</w:t>
            </w:r>
            <w:r>
              <w:rPr>
                <w:rFonts w:hint="eastAsia" w:ascii="Times New Roman" w:hAnsi="Times New Roman" w:cs="Times New Roman"/>
                <w:b/>
                <w:bCs/>
                <w:color w:val="auto"/>
                <w:kern w:val="0"/>
                <w:sz w:val="21"/>
                <w:szCs w:val="21"/>
                <w:lang w:val="en-US" w:eastAsia="zh-CN" w:bidi="ar-SA"/>
              </w:rPr>
              <w:t>硫化氢</w:t>
            </w:r>
          </w:p>
        </w:tc>
        <w:tc>
          <w:tcPr>
            <w:tcW w:w="279" w:type="pct"/>
            <w:tcBorders>
              <w:tl2br w:val="nil"/>
              <w:tr2bl w:val="nil"/>
            </w:tcBorders>
            <w:noWrap w:val="0"/>
            <w:vAlign w:val="center"/>
          </w:tcPr>
          <w:p w14:paraId="45363A9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278" w:type="pct"/>
            <w:tcBorders>
              <w:tl2br w:val="nil"/>
              <w:tr2bl w:val="nil"/>
            </w:tcBorders>
            <w:noWrap w:val="0"/>
            <w:vAlign w:val="center"/>
          </w:tcPr>
          <w:p w14:paraId="2EAF294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kern w:val="0"/>
                <w:sz w:val="21"/>
                <w:szCs w:val="21"/>
                <w:lang w:val="en-US" w:eastAsia="zh-CN" w:bidi="ar-SA"/>
              </w:rPr>
            </w:pPr>
            <w:r>
              <w:rPr>
                <w:rFonts w:hint="eastAsia" w:ascii="Times New Roman" w:hAnsi="Times New Roman" w:cs="Times New Roman"/>
                <w:b/>
                <w:bCs/>
                <w:color w:val="auto"/>
                <w:kern w:val="0"/>
                <w:sz w:val="21"/>
                <w:szCs w:val="21"/>
                <w:lang w:val="en-US" w:eastAsia="zh-CN" w:bidi="ar-SA"/>
              </w:rPr>
              <w:t>硫化氢</w:t>
            </w:r>
          </w:p>
        </w:tc>
        <w:tc>
          <w:tcPr>
            <w:tcW w:w="251" w:type="pct"/>
            <w:tcBorders>
              <w:tl2br w:val="nil"/>
              <w:tr2bl w:val="nil"/>
            </w:tcBorders>
            <w:noWrap w:val="0"/>
            <w:vAlign w:val="center"/>
          </w:tcPr>
          <w:p w14:paraId="6CEFD83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w:t>
            </w:r>
          </w:p>
        </w:tc>
        <w:tc>
          <w:tcPr>
            <w:tcW w:w="271" w:type="pct"/>
            <w:tcBorders>
              <w:tl2br w:val="nil"/>
              <w:tr2bl w:val="nil"/>
            </w:tcBorders>
            <w:noWrap w:val="0"/>
            <w:vAlign w:val="center"/>
          </w:tcPr>
          <w:p w14:paraId="65FE704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rPr>
            </w:pPr>
            <w:r>
              <w:rPr>
                <w:rFonts w:hint="eastAsia" w:ascii="Times New Roman" w:hAnsi="Times New Roman" w:cs="Times New Roman"/>
                <w:b/>
                <w:bCs/>
                <w:color w:val="auto"/>
                <w:kern w:val="0"/>
                <w:sz w:val="21"/>
                <w:szCs w:val="21"/>
                <w:lang w:val="en-US" w:eastAsia="zh-CN" w:bidi="ar-SA"/>
              </w:rPr>
              <w:t>0.0</w:t>
            </w:r>
            <w:r>
              <w:rPr>
                <w:rFonts w:hint="eastAsia" w:cs="Times New Roman"/>
                <w:b/>
                <w:bCs/>
                <w:color w:val="auto"/>
                <w:kern w:val="0"/>
                <w:sz w:val="21"/>
                <w:szCs w:val="21"/>
                <w:lang w:val="en-US" w:eastAsia="zh-CN" w:bidi="ar-SA"/>
              </w:rPr>
              <w:t>169</w:t>
            </w:r>
            <w:r>
              <w:rPr>
                <w:rFonts w:hint="eastAsia" w:ascii="Times New Roman" w:hAnsi="Times New Roman" w:cs="Times New Roman"/>
                <w:b/>
                <w:bCs/>
                <w:color w:val="auto"/>
                <w:kern w:val="0"/>
                <w:sz w:val="21"/>
                <w:szCs w:val="21"/>
                <w:lang w:val="en-US" w:eastAsia="zh-CN" w:bidi="ar-SA"/>
              </w:rPr>
              <w:t xml:space="preserve"> </w:t>
            </w:r>
          </w:p>
        </w:tc>
        <w:tc>
          <w:tcPr>
            <w:tcW w:w="289" w:type="pct"/>
            <w:tcBorders>
              <w:tl2br w:val="nil"/>
              <w:tr2bl w:val="nil"/>
            </w:tcBorders>
            <w:noWrap w:val="0"/>
            <w:vAlign w:val="center"/>
          </w:tcPr>
          <w:p w14:paraId="602C25A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0.08</w:t>
            </w:r>
          </w:p>
        </w:tc>
        <w:tc>
          <w:tcPr>
            <w:tcW w:w="451" w:type="pct"/>
            <w:tcBorders>
              <w:tl2br w:val="nil"/>
              <w:tr2bl w:val="nil"/>
            </w:tcBorders>
            <w:noWrap w:val="0"/>
            <w:vAlign w:val="center"/>
          </w:tcPr>
          <w:p w14:paraId="0F115B6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b/>
                <w:bCs/>
                <w:color w:val="auto"/>
                <w:kern w:val="0"/>
                <w:sz w:val="21"/>
                <w:szCs w:val="21"/>
                <w:lang w:val="en-US" w:eastAsia="zh-CN"/>
              </w:rPr>
            </w:pPr>
            <w:r>
              <w:rPr>
                <w:rFonts w:hint="eastAsia" w:ascii="Times New Roman" w:hAnsi="Times New Roman" w:cs="Times New Roman"/>
                <w:b/>
                <w:bCs/>
                <w:color w:val="auto"/>
                <w:kern w:val="0"/>
                <w:sz w:val="21"/>
                <w:szCs w:val="21"/>
                <w:lang w:val="en-US" w:eastAsia="zh-CN" w:bidi="ar-SA"/>
              </w:rPr>
              <w:t>适量轮作施肥</w:t>
            </w:r>
          </w:p>
        </w:tc>
        <w:tc>
          <w:tcPr>
            <w:tcW w:w="286" w:type="pct"/>
            <w:tcBorders>
              <w:tl2br w:val="nil"/>
              <w:tr2bl w:val="nil"/>
            </w:tcBorders>
            <w:noWrap w:val="0"/>
            <w:vAlign w:val="center"/>
          </w:tcPr>
          <w:p w14:paraId="7A1970E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88</w:t>
            </w:r>
          </w:p>
        </w:tc>
        <w:tc>
          <w:tcPr>
            <w:tcW w:w="311" w:type="pct"/>
            <w:tcBorders>
              <w:tl2br w:val="nil"/>
              <w:tr2bl w:val="nil"/>
            </w:tcBorders>
            <w:noWrap w:val="0"/>
            <w:vAlign w:val="center"/>
          </w:tcPr>
          <w:p w14:paraId="510066B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可行</w:t>
            </w:r>
          </w:p>
        </w:tc>
        <w:tc>
          <w:tcPr>
            <w:tcW w:w="429" w:type="pct"/>
            <w:tcBorders>
              <w:tl2br w:val="nil"/>
              <w:tr2bl w:val="nil"/>
            </w:tcBorders>
            <w:noWrap w:val="0"/>
            <w:vAlign w:val="center"/>
          </w:tcPr>
          <w:p w14:paraId="72998BC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w:t>
            </w:r>
          </w:p>
        </w:tc>
        <w:tc>
          <w:tcPr>
            <w:tcW w:w="429" w:type="pct"/>
            <w:tcBorders>
              <w:tl2br w:val="nil"/>
              <w:tr2bl w:val="nil"/>
            </w:tcBorders>
            <w:noWrap w:val="0"/>
            <w:vAlign w:val="center"/>
          </w:tcPr>
          <w:p w14:paraId="34D7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0.00</w:t>
            </w:r>
            <w:r>
              <w:rPr>
                <w:rFonts w:hint="eastAsia" w:cs="Times New Roman"/>
                <w:b/>
                <w:bCs/>
                <w:color w:val="auto"/>
                <w:kern w:val="0"/>
                <w:sz w:val="21"/>
                <w:szCs w:val="21"/>
                <w:lang w:val="en-US" w:eastAsia="zh-CN" w:bidi="ar-SA"/>
              </w:rPr>
              <w:t>21</w:t>
            </w:r>
          </w:p>
        </w:tc>
        <w:tc>
          <w:tcPr>
            <w:tcW w:w="434" w:type="pct"/>
            <w:tcBorders>
              <w:tl2br w:val="nil"/>
              <w:tr2bl w:val="nil"/>
            </w:tcBorders>
            <w:noWrap w:val="0"/>
            <w:vAlign w:val="center"/>
          </w:tcPr>
          <w:p w14:paraId="6DC06A5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0.01</w:t>
            </w:r>
          </w:p>
        </w:tc>
        <w:tc>
          <w:tcPr>
            <w:tcW w:w="483" w:type="pct"/>
            <w:gridSpan w:val="3"/>
            <w:tcBorders>
              <w:tl2br w:val="nil"/>
              <w:tr2bl w:val="nil"/>
            </w:tcBorders>
            <w:noWrap w:val="0"/>
            <w:vAlign w:val="center"/>
          </w:tcPr>
          <w:p w14:paraId="5088FD0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无组织排放</w:t>
            </w:r>
          </w:p>
        </w:tc>
        <w:tc>
          <w:tcPr>
            <w:tcW w:w="150" w:type="pct"/>
            <w:tcBorders>
              <w:tl2br w:val="nil"/>
              <w:tr2bl w:val="nil"/>
            </w:tcBorders>
            <w:noWrap w:val="0"/>
            <w:vAlign w:val="center"/>
          </w:tcPr>
          <w:p w14:paraId="12105AE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4728</w:t>
            </w:r>
          </w:p>
        </w:tc>
        <w:tc>
          <w:tcPr>
            <w:tcW w:w="155" w:type="pct"/>
            <w:tcBorders>
              <w:tl2br w:val="nil"/>
              <w:tr2bl w:val="nil"/>
            </w:tcBorders>
            <w:noWrap w:val="0"/>
            <w:vAlign w:val="center"/>
          </w:tcPr>
          <w:p w14:paraId="08A52D97">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连续</w:t>
            </w:r>
          </w:p>
        </w:tc>
      </w:tr>
    </w:tbl>
    <w:p w14:paraId="6575FCAA">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sectPr>
          <w:pgSz w:w="16838" w:h="11906" w:orient="landscape"/>
          <w:pgMar w:top="1701" w:right="1814" w:bottom="1701" w:left="1418" w:header="1134" w:footer="851" w:gutter="0"/>
          <w:pgBorders>
            <w:top w:val="none" w:sz="0" w:space="0"/>
            <w:left w:val="none" w:sz="0" w:space="0"/>
            <w:bottom w:val="none" w:sz="0" w:space="0"/>
            <w:right w:val="none" w:sz="0" w:space="0"/>
          </w:pgBorders>
          <w:pgNumType w:fmt="numberInDash"/>
          <w:cols w:space="720" w:num="1"/>
          <w:docGrid w:type="lines" w:linePitch="312" w:charSpace="0"/>
        </w:sectPr>
      </w:pPr>
    </w:p>
    <w:p w14:paraId="3E2C2A63">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3.</w:t>
      </w:r>
      <w:r>
        <w:rPr>
          <w:rFonts w:hint="eastAsia"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.2.2废水</w:t>
      </w:r>
    </w:p>
    <w:p w14:paraId="4860F3DE">
      <w:pPr>
        <w:keepNext w:val="0"/>
        <w:keepLines w:val="0"/>
        <w:pageBreakBefore w:val="0"/>
        <w:wordWrap/>
        <w:topLinePunct w:val="0"/>
        <w:bidi w:val="0"/>
        <w:adjustRightInd/>
        <w:snapToGrid/>
        <w:spacing w:line="360" w:lineRule="auto"/>
        <w:ind w:firstLine="482"/>
        <w:rPr>
          <w:rFonts w:hint="default" w:ascii="Times New Roman" w:hAnsi="Times New Roman" w:eastAsia="宋体" w:cs="Times New Roman"/>
          <w:color w:val="000000"/>
          <w:sz w:val="24"/>
          <w:szCs w:val="24"/>
          <w:highlight w:val="none"/>
          <w:lang w:val="en-US" w:eastAsia="zh-CN" w:bidi="ar-SA"/>
        </w:rPr>
      </w:pPr>
      <w:r>
        <w:rPr>
          <w:rFonts w:hint="eastAsia" w:cs="Times New Roman"/>
          <w:color w:val="000000"/>
          <w:sz w:val="24"/>
          <w:szCs w:val="24"/>
          <w:highlight w:val="none"/>
          <w:lang w:val="en-US" w:eastAsia="zh-CN" w:bidi="ar-SA"/>
        </w:rPr>
        <w:t>（1）生活污水</w:t>
      </w:r>
    </w:p>
    <w:p w14:paraId="612E5434">
      <w:pPr>
        <w:keepNext w:val="0"/>
        <w:keepLines w:val="0"/>
        <w:pageBreakBefore w:val="0"/>
        <w:wordWrap/>
        <w:topLinePunct w:val="0"/>
        <w:bidi w:val="0"/>
        <w:adjustRightInd/>
        <w:snapToGrid/>
        <w:spacing w:line="360" w:lineRule="auto"/>
        <w:ind w:firstLine="482"/>
        <w:rPr>
          <w:rFonts w:hint="default"/>
        </w:rPr>
      </w:pPr>
      <w:r>
        <w:rPr>
          <w:rFonts w:hint="default" w:ascii="Times New Roman" w:hAnsi="Times New Roman" w:eastAsia="宋体" w:cs="Times New Roman"/>
          <w:color w:val="000000"/>
          <w:sz w:val="24"/>
          <w:szCs w:val="24"/>
          <w:highlight w:val="none"/>
          <w:lang w:val="en-US" w:eastAsia="zh-CN" w:bidi="ar-SA"/>
        </w:rPr>
        <w:t>本项目职工生活污水</w:t>
      </w:r>
      <w:r>
        <w:rPr>
          <w:rFonts w:hint="eastAsia" w:cs="Times New Roman"/>
          <w:color w:val="000000"/>
          <w:sz w:val="24"/>
          <w:szCs w:val="24"/>
          <w:highlight w:val="none"/>
          <w:lang w:val="en-US" w:eastAsia="zh-CN" w:bidi="ar-SA"/>
        </w:rPr>
        <w:t>280.32</w:t>
      </w:r>
      <w:r>
        <w:rPr>
          <w:rFonts w:hint="default" w:ascii="Times New Roman" w:hAnsi="Times New Roman" w:eastAsia="宋体" w:cs="Times New Roman"/>
          <w:color w:val="000000"/>
          <w:sz w:val="24"/>
          <w:szCs w:val="24"/>
          <w:highlight w:val="none"/>
          <w:lang w:val="en-US" w:eastAsia="zh-CN" w:bidi="ar-SA"/>
        </w:rPr>
        <w:t>m</w:t>
      </w:r>
      <w:r>
        <w:rPr>
          <w:rFonts w:hint="default" w:ascii="Times New Roman" w:hAnsi="Times New Roman" w:eastAsia="宋体" w:cs="Times New Roman"/>
          <w:color w:val="000000"/>
          <w:sz w:val="24"/>
          <w:szCs w:val="24"/>
          <w:highlight w:val="none"/>
          <w:vertAlign w:val="superscript"/>
          <w:lang w:val="en-US" w:eastAsia="zh-CN" w:bidi="ar-SA"/>
        </w:rPr>
        <w:t>3</w:t>
      </w:r>
      <w:r>
        <w:rPr>
          <w:rFonts w:hint="default" w:ascii="Times New Roman" w:hAnsi="Times New Roman" w:eastAsia="宋体" w:cs="Times New Roman"/>
          <w:color w:val="000000"/>
          <w:sz w:val="24"/>
          <w:szCs w:val="24"/>
          <w:highlight w:val="none"/>
          <w:lang w:val="en-US" w:eastAsia="zh-CN" w:bidi="ar-SA"/>
        </w:rPr>
        <w:t>/a</w:t>
      </w:r>
      <w:r>
        <w:rPr>
          <w:rFonts w:hint="eastAsia" w:ascii="Times New Roman" w:hAnsi="Times New Roman" w:eastAsia="宋体" w:cs="Times New Roman"/>
          <w:color w:val="000000"/>
          <w:sz w:val="24"/>
          <w:szCs w:val="24"/>
          <w:highlight w:val="none"/>
          <w:lang w:val="en-US" w:eastAsia="zh-CN" w:bidi="ar-SA"/>
        </w:rPr>
        <w:t>，</w:t>
      </w:r>
      <w:r>
        <w:rPr>
          <w:rFonts w:hint="default" w:ascii="Times New Roman" w:hAnsi="Times New Roman" w:eastAsia="宋体" w:cs="Times New Roman"/>
          <w:color w:val="000000"/>
          <w:sz w:val="24"/>
          <w:szCs w:val="24"/>
          <w:highlight w:val="none"/>
          <w:lang w:val="en-US" w:eastAsia="zh-CN" w:bidi="ar-SA"/>
        </w:rPr>
        <w:t>废水中含</w:t>
      </w:r>
      <w:r>
        <w:rPr>
          <w:rFonts w:hint="eastAsia" w:ascii="Times New Roman" w:hAnsi="Times New Roman" w:eastAsia="宋体" w:cs="Times New Roman"/>
          <w:color w:val="000000"/>
          <w:sz w:val="24"/>
          <w:szCs w:val="24"/>
          <w:highlight w:val="none"/>
          <w:lang w:val="en-US" w:eastAsia="zh-CN" w:bidi="ar-SA"/>
        </w:rPr>
        <w:t>pH、</w:t>
      </w:r>
      <w:r>
        <w:rPr>
          <w:rFonts w:hint="default" w:ascii="Times New Roman" w:hAnsi="Times New Roman" w:eastAsia="宋体" w:cs="Times New Roman"/>
          <w:color w:val="000000"/>
          <w:sz w:val="24"/>
          <w:szCs w:val="24"/>
          <w:highlight w:val="none"/>
          <w:lang w:val="en-US" w:eastAsia="zh-CN" w:bidi="ar-SA"/>
        </w:rPr>
        <w:t>COD、BOD</w:t>
      </w:r>
      <w:r>
        <w:rPr>
          <w:rFonts w:hint="default" w:ascii="Times New Roman" w:hAnsi="Times New Roman" w:eastAsia="宋体" w:cs="Times New Roman"/>
          <w:color w:val="000000"/>
          <w:sz w:val="24"/>
          <w:szCs w:val="24"/>
          <w:highlight w:val="none"/>
          <w:vertAlign w:val="subscript"/>
          <w:lang w:val="en-US" w:eastAsia="zh-CN" w:bidi="ar-SA"/>
        </w:rPr>
        <w:t>5</w:t>
      </w:r>
      <w:r>
        <w:rPr>
          <w:rFonts w:hint="default" w:ascii="Times New Roman" w:hAnsi="Times New Roman" w:eastAsia="宋体" w:cs="Times New Roman"/>
          <w:color w:val="000000"/>
          <w:sz w:val="24"/>
          <w:szCs w:val="24"/>
          <w:highlight w:val="none"/>
          <w:lang w:val="en-US" w:eastAsia="zh-CN" w:bidi="ar-SA"/>
        </w:rPr>
        <w:t>、SS、氨氮等污染物。</w:t>
      </w:r>
      <w:r>
        <w:rPr>
          <w:rFonts w:hint="eastAsia" w:cs="Times New Roman"/>
          <w:color w:val="auto"/>
          <w:kern w:val="2"/>
          <w:sz w:val="24"/>
          <w:szCs w:val="24"/>
          <w:lang w:val="en-US" w:eastAsia="zh-CN"/>
        </w:rPr>
        <w:t>经防渗化粪池收集后定期由吸污车拉运至污水处理厂处置</w:t>
      </w:r>
      <w:r>
        <w:rPr>
          <w:rFonts w:hint="eastAsia" w:ascii="Times New Roman" w:hAnsi="Times New Roman" w:eastAsia="宋体" w:cs="Times New Roman"/>
          <w:color w:val="auto"/>
          <w:sz w:val="24"/>
          <w:szCs w:val="24"/>
          <w:highlight w:val="none"/>
          <w:lang w:val="en-US" w:eastAsia="zh-CN" w:bidi="ar-SA"/>
        </w:rPr>
        <w:t>。</w:t>
      </w:r>
    </w:p>
    <w:p w14:paraId="1F403F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项目运营期</w:t>
      </w:r>
      <w:r>
        <w:rPr>
          <w:rFonts w:hint="eastAsia" w:cs="Times New Roman"/>
          <w:color w:val="auto"/>
          <w:sz w:val="24"/>
          <w:szCs w:val="24"/>
          <w:lang w:val="en-US" w:eastAsia="zh-CN"/>
        </w:rPr>
        <w:t>生活污水</w:t>
      </w:r>
      <w:r>
        <w:rPr>
          <w:rFonts w:hint="default" w:ascii="Times New Roman" w:hAnsi="Times New Roman" w:eastAsia="宋体" w:cs="Times New Roman"/>
          <w:color w:val="auto"/>
          <w:sz w:val="24"/>
          <w:szCs w:val="24"/>
        </w:rPr>
        <w:t>产生情况见表</w:t>
      </w:r>
      <w:r>
        <w:rPr>
          <w:rFonts w:hint="eastAsia" w:cs="Times New Roman"/>
          <w:color w:val="auto"/>
          <w:sz w:val="24"/>
          <w:szCs w:val="24"/>
          <w:lang w:val="en-US" w:eastAsia="zh-CN"/>
        </w:rPr>
        <w:t>3.4-9</w:t>
      </w:r>
      <w:r>
        <w:rPr>
          <w:rFonts w:hint="default" w:ascii="Times New Roman" w:hAnsi="Times New Roman" w:eastAsia="宋体" w:cs="Times New Roman"/>
          <w:color w:val="auto"/>
          <w:sz w:val="24"/>
          <w:szCs w:val="24"/>
        </w:rPr>
        <w:t>。</w:t>
      </w:r>
    </w:p>
    <w:p w14:paraId="1E79E00C">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color w:val="auto"/>
          <w:kern w:val="2"/>
          <w:sz w:val="24"/>
          <w:szCs w:val="28"/>
          <w:lang w:val="en-US" w:eastAsia="zh-CN" w:bidi="ar-SA"/>
        </w:rPr>
      </w:pPr>
      <w:r>
        <w:rPr>
          <w:rFonts w:hint="default" w:ascii="Times New Roman" w:hAnsi="Times New Roman" w:eastAsia="宋体" w:cs="Times New Roman"/>
          <w:b/>
          <w:bCs/>
          <w:color w:val="auto"/>
          <w:sz w:val="24"/>
          <w:szCs w:val="24"/>
          <w:lang w:val="en-US" w:eastAsia="zh-CN"/>
        </w:rPr>
        <w:t>表</w:t>
      </w:r>
      <w:r>
        <w:rPr>
          <w:rFonts w:hint="eastAsia" w:cs="Times New Roman"/>
          <w:b/>
          <w:bCs/>
          <w:color w:val="auto"/>
          <w:sz w:val="24"/>
          <w:szCs w:val="24"/>
          <w:lang w:val="en-US" w:eastAsia="zh-CN"/>
        </w:rPr>
        <w:t>3.4-9</w:t>
      </w:r>
      <w:r>
        <w:rPr>
          <w:rFonts w:hint="default" w:ascii="Times New Roman" w:hAnsi="Times New Roman" w:eastAsia="宋体" w:cs="Times New Roman"/>
          <w:b/>
          <w:bCs/>
          <w:color w:val="auto"/>
          <w:sz w:val="24"/>
          <w:szCs w:val="24"/>
          <w:lang w:val="en-US" w:eastAsia="zh-CN"/>
        </w:rPr>
        <w:t>项目运营期生活污水</w:t>
      </w:r>
      <w:r>
        <w:rPr>
          <w:rFonts w:hint="eastAsia" w:ascii="Times New Roman" w:hAnsi="Times New Roman" w:eastAsia="宋体" w:cs="Times New Roman"/>
          <w:b/>
          <w:bCs/>
          <w:color w:val="auto"/>
          <w:sz w:val="24"/>
          <w:szCs w:val="24"/>
          <w:lang w:val="en-US" w:eastAsia="zh-CN"/>
        </w:rPr>
        <w:t>产生情况</w:t>
      </w:r>
      <w:r>
        <w:rPr>
          <w:rFonts w:hint="default" w:ascii="Times New Roman" w:hAnsi="Times New Roman" w:eastAsia="宋体" w:cs="Times New Roman"/>
          <w:b/>
          <w:bCs/>
          <w:color w:val="auto"/>
          <w:sz w:val="24"/>
          <w:szCs w:val="24"/>
          <w:lang w:val="en-US" w:eastAsia="zh-CN"/>
        </w:rPr>
        <w:t>一览表</w:t>
      </w:r>
    </w:p>
    <w:tbl>
      <w:tblPr>
        <w:tblStyle w:val="20"/>
        <w:tblW w:w="498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4"/>
        <w:gridCol w:w="825"/>
        <w:gridCol w:w="681"/>
        <w:gridCol w:w="1393"/>
        <w:gridCol w:w="723"/>
        <w:gridCol w:w="846"/>
        <w:gridCol w:w="846"/>
        <w:gridCol w:w="846"/>
        <w:gridCol w:w="847"/>
        <w:gridCol w:w="846"/>
      </w:tblGrid>
      <w:tr w14:paraId="7B288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restart"/>
            <w:tcBorders>
              <w:tl2br w:val="nil"/>
              <w:tr2bl w:val="nil"/>
            </w:tcBorders>
            <w:shd w:val="clear" w:color="auto" w:fill="auto"/>
            <w:noWrap w:val="0"/>
            <w:vAlign w:val="center"/>
          </w:tcPr>
          <w:p w14:paraId="0E0369E9">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废水种类</w:t>
            </w:r>
          </w:p>
        </w:tc>
        <w:tc>
          <w:tcPr>
            <w:tcW w:w="4128" w:type="pct"/>
            <w:gridSpan w:val="8"/>
            <w:tcBorders>
              <w:tl2br w:val="nil"/>
              <w:tr2bl w:val="nil"/>
            </w:tcBorders>
            <w:shd w:val="clear" w:color="auto" w:fill="auto"/>
            <w:noWrap/>
            <w:vAlign w:val="center"/>
          </w:tcPr>
          <w:p w14:paraId="1F4FE19D">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2"/>
                <w:sz w:val="24"/>
                <w:szCs w:val="28"/>
                <w:highlight w:val="none"/>
                <w:lang w:val="en-US" w:eastAsia="zh-CN" w:bidi="ar-SA"/>
              </w:rPr>
            </w:pPr>
            <w:r>
              <w:rPr>
                <w:rFonts w:hint="default" w:ascii="Times New Roman" w:hAnsi="Times New Roman" w:eastAsia="宋体" w:cs="Times New Roman"/>
                <w:b/>
                <w:bCs/>
                <w:color w:val="auto"/>
                <w:kern w:val="2"/>
                <w:sz w:val="24"/>
                <w:szCs w:val="28"/>
                <w:highlight w:val="none"/>
                <w:lang w:val="en-US" w:eastAsia="zh-CN" w:bidi="ar-SA"/>
              </w:rPr>
              <w:t>污染物</w:t>
            </w:r>
          </w:p>
        </w:tc>
        <w:tc>
          <w:tcPr>
            <w:tcW w:w="498" w:type="pct"/>
            <w:vMerge w:val="restart"/>
            <w:tcBorders>
              <w:tl2br w:val="nil"/>
              <w:tr2bl w:val="nil"/>
            </w:tcBorders>
            <w:shd w:val="clear" w:color="auto" w:fill="auto"/>
            <w:noWrap w:val="0"/>
            <w:vAlign w:val="center"/>
          </w:tcPr>
          <w:p w14:paraId="18D470DB">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治理措施</w:t>
            </w:r>
          </w:p>
        </w:tc>
      </w:tr>
      <w:tr w14:paraId="238F63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73" w:type="pct"/>
            <w:vMerge w:val="continue"/>
            <w:tcBorders>
              <w:tl2br w:val="nil"/>
              <w:tr2bl w:val="nil"/>
            </w:tcBorders>
            <w:shd w:val="clear" w:color="auto" w:fill="auto"/>
            <w:noWrap w:val="0"/>
            <w:vAlign w:val="center"/>
          </w:tcPr>
          <w:p w14:paraId="19477A83">
            <w:pPr>
              <w:widowControl/>
              <w:overflowPunct/>
              <w:autoSpaceDE/>
              <w:autoSpaceDN/>
              <w:adjustRightInd/>
              <w:snapToGrid/>
              <w:spacing w:before="0" w:after="0" w:line="240" w:lineRule="auto"/>
              <w:ind w:left="0" w:right="0" w:firstLine="0" w:firstLineChars="0"/>
              <w:jc w:val="left"/>
              <w:rPr>
                <w:rFonts w:hint="default" w:ascii="Times New Roman" w:hAnsi="Times New Roman" w:eastAsia="宋体" w:cs="Times New Roman"/>
                <w:b/>
                <w:bCs/>
                <w:color w:val="auto"/>
                <w:kern w:val="0"/>
                <w:sz w:val="21"/>
                <w:szCs w:val="21"/>
                <w:highlight w:val="none"/>
              </w:rPr>
            </w:pPr>
          </w:p>
        </w:tc>
        <w:tc>
          <w:tcPr>
            <w:tcW w:w="485" w:type="pct"/>
            <w:tcBorders>
              <w:tl2br w:val="nil"/>
              <w:tr2bl w:val="nil"/>
            </w:tcBorders>
            <w:shd w:val="clear" w:color="auto" w:fill="auto"/>
            <w:noWrap w:val="0"/>
            <w:vAlign w:val="center"/>
          </w:tcPr>
          <w:p w14:paraId="0F252B19">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产生量</w:t>
            </w:r>
            <w:r>
              <w:rPr>
                <w:rFonts w:hint="eastAsia" w:cs="Times New Roman"/>
                <w:b/>
                <w:bCs/>
                <w:color w:val="auto"/>
                <w:kern w:val="0"/>
                <w:sz w:val="21"/>
                <w:szCs w:val="21"/>
                <w:highlight w:val="none"/>
                <w:lang w:eastAsia="zh-CN"/>
              </w:rPr>
              <w:t>（</w:t>
            </w:r>
            <w:r>
              <w:rPr>
                <w:rFonts w:hint="default" w:ascii="Times New Roman" w:hAnsi="Times New Roman" w:eastAsia="宋体" w:cs="Times New Roman"/>
                <w:b/>
                <w:bCs/>
                <w:color w:val="auto"/>
                <w:kern w:val="0"/>
                <w:sz w:val="21"/>
                <w:szCs w:val="21"/>
                <w:highlight w:val="none"/>
              </w:rPr>
              <w:t>t/a</w:t>
            </w:r>
            <w:r>
              <w:rPr>
                <w:rFonts w:hint="eastAsia" w:cs="Times New Roman"/>
                <w:b/>
                <w:bCs/>
                <w:color w:val="auto"/>
                <w:kern w:val="0"/>
                <w:sz w:val="21"/>
                <w:szCs w:val="21"/>
                <w:highlight w:val="none"/>
                <w:lang w:eastAsia="zh-CN"/>
              </w:rPr>
              <w:t>）</w:t>
            </w:r>
          </w:p>
        </w:tc>
        <w:tc>
          <w:tcPr>
            <w:tcW w:w="401" w:type="pct"/>
            <w:tcBorders>
              <w:tl2br w:val="nil"/>
              <w:tr2bl w:val="nil"/>
            </w:tcBorders>
            <w:shd w:val="clear" w:color="auto" w:fill="auto"/>
            <w:noWrap w:val="0"/>
            <w:vAlign w:val="center"/>
          </w:tcPr>
          <w:p w14:paraId="51B972CA">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污染物</w:t>
            </w:r>
          </w:p>
        </w:tc>
        <w:tc>
          <w:tcPr>
            <w:tcW w:w="821" w:type="pct"/>
            <w:tcBorders>
              <w:tl2br w:val="nil"/>
              <w:tr2bl w:val="nil"/>
            </w:tcBorders>
            <w:shd w:val="clear" w:color="auto" w:fill="auto"/>
            <w:noWrap w:val="0"/>
            <w:vAlign w:val="center"/>
          </w:tcPr>
          <w:p w14:paraId="4547B0C1">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eastAsia="宋体" w:cs="Times New Roman"/>
                <w:b/>
                <w:bCs/>
                <w:color w:val="auto"/>
                <w:kern w:val="0"/>
                <w:sz w:val="21"/>
                <w:szCs w:val="21"/>
                <w:highlight w:val="none"/>
                <w:lang w:val="en-US" w:eastAsia="zh-CN"/>
              </w:rPr>
              <w:t>产污系数</w:t>
            </w:r>
          </w:p>
        </w:tc>
        <w:tc>
          <w:tcPr>
            <w:tcW w:w="425" w:type="pct"/>
            <w:tcBorders>
              <w:tl2br w:val="nil"/>
              <w:tr2bl w:val="nil"/>
            </w:tcBorders>
            <w:shd w:val="clear" w:color="auto" w:fill="auto"/>
            <w:noWrap w:val="0"/>
            <w:vAlign w:val="center"/>
          </w:tcPr>
          <w:p w14:paraId="54528340">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rPr>
            </w:pPr>
            <w:r>
              <w:rPr>
                <w:rFonts w:hint="eastAsia" w:ascii="Times New Roman" w:hAnsi="Times New Roman" w:eastAsia="宋体" w:cs="Times New Roman"/>
                <w:b/>
                <w:bCs/>
                <w:color w:val="auto"/>
                <w:kern w:val="0"/>
                <w:sz w:val="21"/>
                <w:szCs w:val="21"/>
                <w:highlight w:val="none"/>
                <w:lang w:val="en-US" w:eastAsia="zh-CN"/>
              </w:rPr>
              <w:t>产生</w:t>
            </w:r>
            <w:r>
              <w:rPr>
                <w:rFonts w:hint="default" w:ascii="Times New Roman" w:hAnsi="Times New Roman" w:eastAsia="宋体" w:cs="Times New Roman"/>
                <w:b/>
                <w:bCs/>
                <w:color w:val="auto"/>
                <w:kern w:val="0"/>
                <w:sz w:val="21"/>
                <w:szCs w:val="21"/>
                <w:highlight w:val="none"/>
              </w:rPr>
              <w:t>量t/a</w:t>
            </w:r>
          </w:p>
        </w:tc>
        <w:tc>
          <w:tcPr>
            <w:tcW w:w="498" w:type="pct"/>
            <w:tcBorders>
              <w:tl2br w:val="nil"/>
              <w:tr2bl w:val="nil"/>
            </w:tcBorders>
            <w:shd w:val="clear" w:color="auto" w:fill="auto"/>
            <w:noWrap w:val="0"/>
            <w:vAlign w:val="center"/>
          </w:tcPr>
          <w:p w14:paraId="22A3BF8D">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产生浓度mg/L</w:t>
            </w:r>
          </w:p>
        </w:tc>
        <w:tc>
          <w:tcPr>
            <w:tcW w:w="498" w:type="pct"/>
            <w:tcBorders>
              <w:tl2br w:val="nil"/>
              <w:tr2bl w:val="nil"/>
            </w:tcBorders>
            <w:shd w:val="clear" w:color="auto" w:fill="auto"/>
            <w:noWrap/>
            <w:vAlign w:val="center"/>
          </w:tcPr>
          <w:p w14:paraId="4E799C4B">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处理效率%</w:t>
            </w:r>
          </w:p>
        </w:tc>
        <w:tc>
          <w:tcPr>
            <w:tcW w:w="498" w:type="pct"/>
            <w:tcBorders>
              <w:tl2br w:val="nil"/>
              <w:tr2bl w:val="nil"/>
            </w:tcBorders>
            <w:shd w:val="clear" w:color="auto" w:fill="auto"/>
            <w:noWrap/>
            <w:vAlign w:val="center"/>
          </w:tcPr>
          <w:p w14:paraId="263992EE">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排放浓度mg/L</w:t>
            </w:r>
          </w:p>
        </w:tc>
        <w:tc>
          <w:tcPr>
            <w:tcW w:w="498" w:type="pct"/>
            <w:tcBorders>
              <w:tl2br w:val="nil"/>
              <w:tr2bl w:val="nil"/>
            </w:tcBorders>
            <w:shd w:val="clear" w:color="auto" w:fill="auto"/>
            <w:noWrap/>
            <w:vAlign w:val="center"/>
          </w:tcPr>
          <w:p w14:paraId="67BC6296">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rPr>
              <w:t>排放</w:t>
            </w:r>
            <w:r>
              <w:rPr>
                <w:rFonts w:hint="default" w:ascii="Times New Roman" w:hAnsi="Times New Roman" w:eastAsia="宋体" w:cs="Times New Roman"/>
                <w:b/>
                <w:bCs/>
                <w:color w:val="auto"/>
                <w:kern w:val="0"/>
                <w:sz w:val="21"/>
                <w:szCs w:val="21"/>
                <w:highlight w:val="none"/>
              </w:rPr>
              <w:t>量t/a</w:t>
            </w:r>
          </w:p>
        </w:tc>
        <w:tc>
          <w:tcPr>
            <w:tcW w:w="498" w:type="pct"/>
            <w:vMerge w:val="continue"/>
            <w:tcBorders>
              <w:tl2br w:val="nil"/>
              <w:tr2bl w:val="nil"/>
            </w:tcBorders>
            <w:noWrap w:val="0"/>
            <w:vAlign w:val="center"/>
          </w:tcPr>
          <w:p w14:paraId="65FE9104">
            <w:pPr>
              <w:widowControl/>
              <w:overflowPunct/>
              <w:autoSpaceDE/>
              <w:autoSpaceDN/>
              <w:adjustRightInd/>
              <w:snapToGrid/>
              <w:spacing w:before="0" w:after="0" w:line="240" w:lineRule="auto"/>
              <w:ind w:left="0" w:right="0" w:firstLine="0" w:firstLineChars="0"/>
              <w:jc w:val="left"/>
              <w:rPr>
                <w:rFonts w:hint="default" w:ascii="Times New Roman" w:hAnsi="Times New Roman" w:eastAsia="宋体" w:cs="Times New Roman"/>
                <w:b/>
                <w:bCs/>
                <w:color w:val="auto"/>
                <w:kern w:val="0"/>
                <w:sz w:val="21"/>
                <w:szCs w:val="21"/>
                <w:highlight w:val="none"/>
              </w:rPr>
            </w:pPr>
          </w:p>
        </w:tc>
      </w:tr>
      <w:tr w14:paraId="728E5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73" w:type="pct"/>
            <w:vMerge w:val="restart"/>
            <w:tcBorders>
              <w:tl2br w:val="nil"/>
              <w:tr2bl w:val="nil"/>
            </w:tcBorders>
            <w:shd w:val="clear" w:color="auto" w:fill="auto"/>
            <w:noWrap w:val="0"/>
            <w:vAlign w:val="center"/>
          </w:tcPr>
          <w:p w14:paraId="39576BAF">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生活污水</w:t>
            </w:r>
          </w:p>
        </w:tc>
        <w:tc>
          <w:tcPr>
            <w:tcW w:w="485" w:type="pct"/>
            <w:vMerge w:val="restart"/>
            <w:tcBorders>
              <w:tl2br w:val="nil"/>
              <w:tr2bl w:val="nil"/>
            </w:tcBorders>
            <w:shd w:val="clear" w:color="auto" w:fill="auto"/>
            <w:noWrap w:val="0"/>
            <w:vAlign w:val="center"/>
          </w:tcPr>
          <w:p w14:paraId="666D4982">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280.32</w:t>
            </w:r>
          </w:p>
        </w:tc>
        <w:tc>
          <w:tcPr>
            <w:tcW w:w="401" w:type="pct"/>
            <w:tcBorders>
              <w:tl2br w:val="nil"/>
              <w:tr2bl w:val="nil"/>
            </w:tcBorders>
            <w:shd w:val="clear" w:color="auto" w:fill="auto"/>
            <w:noWrap w:val="0"/>
            <w:vAlign w:val="center"/>
          </w:tcPr>
          <w:p w14:paraId="3FB4172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pH</w:t>
            </w:r>
          </w:p>
        </w:tc>
        <w:tc>
          <w:tcPr>
            <w:tcW w:w="821" w:type="pct"/>
            <w:tcBorders>
              <w:tl2br w:val="nil"/>
              <w:tr2bl w:val="nil"/>
            </w:tcBorders>
            <w:shd w:val="clear" w:color="auto" w:fill="auto"/>
            <w:noWrap w:val="0"/>
            <w:vAlign w:val="center"/>
          </w:tcPr>
          <w:p w14:paraId="31544EA6">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6-9（无量纲）</w:t>
            </w:r>
          </w:p>
        </w:tc>
        <w:tc>
          <w:tcPr>
            <w:tcW w:w="425" w:type="pct"/>
            <w:tcBorders>
              <w:tl2br w:val="nil"/>
              <w:tr2bl w:val="nil"/>
            </w:tcBorders>
            <w:shd w:val="clear" w:color="auto" w:fill="auto"/>
            <w:noWrap w:val="0"/>
            <w:vAlign w:val="center"/>
          </w:tcPr>
          <w:p w14:paraId="7E0A0A13">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498" w:type="pct"/>
            <w:tcBorders>
              <w:tl2br w:val="nil"/>
              <w:tr2bl w:val="nil"/>
            </w:tcBorders>
            <w:shd w:val="clear" w:color="auto" w:fill="auto"/>
            <w:noWrap w:val="0"/>
            <w:vAlign w:val="center"/>
          </w:tcPr>
          <w:p w14:paraId="12918F97">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6-9（无量纲）</w:t>
            </w:r>
          </w:p>
        </w:tc>
        <w:tc>
          <w:tcPr>
            <w:tcW w:w="498" w:type="pct"/>
            <w:tcBorders>
              <w:tl2br w:val="nil"/>
              <w:tr2bl w:val="nil"/>
            </w:tcBorders>
            <w:shd w:val="clear" w:color="auto" w:fill="auto"/>
            <w:noWrap/>
            <w:vAlign w:val="center"/>
          </w:tcPr>
          <w:p w14:paraId="45260C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846" w:type="dxa"/>
            <w:tcBorders>
              <w:tl2br w:val="nil"/>
              <w:tr2bl w:val="nil"/>
            </w:tcBorders>
            <w:shd w:val="clear" w:color="auto" w:fill="auto"/>
            <w:noWrap/>
            <w:vAlign w:val="center"/>
          </w:tcPr>
          <w:p w14:paraId="4ACE56D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color w:val="auto"/>
                <w:kern w:val="0"/>
                <w:sz w:val="21"/>
                <w:szCs w:val="21"/>
                <w:highlight w:val="none"/>
                <w:lang w:val="en-US" w:eastAsia="zh-CN"/>
              </w:rPr>
              <w:t>6-9（无量纲）</w:t>
            </w:r>
          </w:p>
        </w:tc>
        <w:tc>
          <w:tcPr>
            <w:tcW w:w="847" w:type="dxa"/>
            <w:tcBorders>
              <w:tl2br w:val="nil"/>
              <w:tr2bl w:val="nil"/>
            </w:tcBorders>
            <w:shd w:val="clear" w:color="auto" w:fill="auto"/>
            <w:noWrap/>
            <w:vAlign w:val="center"/>
          </w:tcPr>
          <w:p w14:paraId="09DAA4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498" w:type="pct"/>
            <w:vMerge w:val="restart"/>
            <w:tcBorders>
              <w:tl2br w:val="nil"/>
              <w:tr2bl w:val="nil"/>
            </w:tcBorders>
            <w:noWrap w:val="0"/>
            <w:vAlign w:val="center"/>
          </w:tcPr>
          <w:p w14:paraId="281501B1">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经防渗化粪池收集后定期由吸污车拉运至污水处理厂处置</w:t>
            </w:r>
            <w:r>
              <w:rPr>
                <w:rFonts w:hint="eastAsia" w:cs="Times New Roman"/>
                <w:color w:val="auto"/>
                <w:kern w:val="0"/>
                <w:sz w:val="21"/>
                <w:szCs w:val="21"/>
                <w:highlight w:val="none"/>
                <w:lang w:val="en-US" w:eastAsia="zh-CN"/>
              </w:rPr>
              <w:t>。</w:t>
            </w:r>
          </w:p>
        </w:tc>
      </w:tr>
      <w:tr w14:paraId="49358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373" w:type="pct"/>
            <w:vMerge w:val="continue"/>
            <w:tcBorders>
              <w:tl2br w:val="nil"/>
              <w:tr2bl w:val="nil"/>
            </w:tcBorders>
            <w:shd w:val="clear" w:color="auto" w:fill="auto"/>
            <w:noWrap w:val="0"/>
            <w:vAlign w:val="center"/>
          </w:tcPr>
          <w:p w14:paraId="5C3140F3">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545C26FC">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35BE019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COD</w:t>
            </w:r>
          </w:p>
        </w:tc>
        <w:tc>
          <w:tcPr>
            <w:tcW w:w="821" w:type="pct"/>
            <w:tcBorders>
              <w:tl2br w:val="nil"/>
              <w:tr2bl w:val="nil"/>
            </w:tcBorders>
            <w:shd w:val="clear" w:color="auto" w:fill="auto"/>
            <w:noWrap w:val="0"/>
            <w:vAlign w:val="center"/>
          </w:tcPr>
          <w:p w14:paraId="5617E30F">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460</w:t>
            </w:r>
            <w:r>
              <w:rPr>
                <w:rFonts w:hint="eastAsia" w:ascii="Times New Roman" w:hAnsi="Times New Roman" w:eastAsia="宋体" w:cs="Times New Roman"/>
                <w:color w:val="auto"/>
                <w:kern w:val="0"/>
                <w:sz w:val="21"/>
                <w:szCs w:val="21"/>
                <w:highlight w:val="none"/>
                <w:lang w:val="en-US" w:eastAsia="zh-CN"/>
              </w:rPr>
              <w:t>mg/L</w:t>
            </w:r>
          </w:p>
        </w:tc>
        <w:tc>
          <w:tcPr>
            <w:tcW w:w="425" w:type="pct"/>
            <w:tcBorders>
              <w:tl2br w:val="nil"/>
              <w:tr2bl w:val="nil"/>
            </w:tcBorders>
            <w:shd w:val="clear" w:color="auto" w:fill="auto"/>
            <w:noWrap w:val="0"/>
            <w:vAlign w:val="center"/>
          </w:tcPr>
          <w:p w14:paraId="5ED0135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498" w:type="pct"/>
            <w:tcBorders>
              <w:tl2br w:val="nil"/>
              <w:tr2bl w:val="nil"/>
            </w:tcBorders>
            <w:shd w:val="clear" w:color="auto" w:fill="auto"/>
            <w:noWrap w:val="0"/>
            <w:vAlign w:val="center"/>
          </w:tcPr>
          <w:p w14:paraId="4FB297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460</w:t>
            </w:r>
          </w:p>
        </w:tc>
        <w:tc>
          <w:tcPr>
            <w:tcW w:w="498" w:type="pct"/>
            <w:tcBorders>
              <w:tl2br w:val="nil"/>
              <w:tr2bl w:val="nil"/>
            </w:tcBorders>
            <w:shd w:val="clear" w:color="auto" w:fill="auto"/>
            <w:noWrap/>
            <w:vAlign w:val="center"/>
          </w:tcPr>
          <w:p w14:paraId="17EF5D9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846" w:type="dxa"/>
            <w:tcBorders>
              <w:tl2br w:val="nil"/>
              <w:tr2bl w:val="nil"/>
            </w:tcBorders>
            <w:shd w:val="clear" w:color="auto" w:fill="auto"/>
            <w:noWrap/>
            <w:vAlign w:val="center"/>
          </w:tcPr>
          <w:p w14:paraId="5EAAAC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460</w:t>
            </w:r>
            <w:r>
              <w:rPr>
                <w:rFonts w:hint="eastAsia" w:ascii="Times New Roman" w:hAnsi="Times New Roman" w:eastAsia="宋体" w:cs="Times New Roman"/>
                <w:color w:val="auto"/>
                <w:kern w:val="0"/>
                <w:sz w:val="21"/>
                <w:szCs w:val="21"/>
                <w:highlight w:val="none"/>
                <w:lang w:val="en-US" w:eastAsia="zh-CN"/>
              </w:rPr>
              <w:t>mg/L</w:t>
            </w:r>
          </w:p>
        </w:tc>
        <w:tc>
          <w:tcPr>
            <w:tcW w:w="847" w:type="dxa"/>
            <w:tcBorders>
              <w:tl2br w:val="nil"/>
              <w:tr2bl w:val="nil"/>
            </w:tcBorders>
            <w:shd w:val="clear" w:color="auto" w:fill="auto"/>
            <w:noWrap/>
            <w:vAlign w:val="center"/>
          </w:tcPr>
          <w:p w14:paraId="740B371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498" w:type="pct"/>
            <w:vMerge w:val="continue"/>
            <w:tcBorders>
              <w:tl2br w:val="nil"/>
              <w:tr2bl w:val="nil"/>
            </w:tcBorders>
            <w:noWrap w:val="0"/>
            <w:vAlign w:val="center"/>
          </w:tcPr>
          <w:p w14:paraId="1E97B4C3">
            <w:pPr>
              <w:widowControl/>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auto"/>
                <w:kern w:val="0"/>
                <w:sz w:val="21"/>
                <w:szCs w:val="21"/>
                <w:highlight w:val="none"/>
                <w:lang w:val="en-US" w:eastAsia="zh-CN"/>
              </w:rPr>
            </w:pPr>
          </w:p>
        </w:tc>
      </w:tr>
      <w:tr w14:paraId="42FA5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73" w:type="pct"/>
            <w:vMerge w:val="continue"/>
            <w:tcBorders>
              <w:tl2br w:val="nil"/>
              <w:tr2bl w:val="nil"/>
            </w:tcBorders>
            <w:shd w:val="clear" w:color="auto" w:fill="auto"/>
            <w:noWrap w:val="0"/>
            <w:vAlign w:val="center"/>
          </w:tcPr>
          <w:p w14:paraId="54B81113">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09F50807">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4EF8966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SS</w:t>
            </w:r>
          </w:p>
        </w:tc>
        <w:tc>
          <w:tcPr>
            <w:tcW w:w="821" w:type="pct"/>
            <w:tcBorders>
              <w:tl2br w:val="nil"/>
              <w:tr2bl w:val="nil"/>
            </w:tcBorders>
            <w:shd w:val="clear" w:color="auto" w:fill="auto"/>
            <w:noWrap w:val="0"/>
            <w:vAlign w:val="center"/>
          </w:tcPr>
          <w:p w14:paraId="5F9F7B2C">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339</w:t>
            </w:r>
            <w:r>
              <w:rPr>
                <w:rFonts w:hint="eastAsia" w:ascii="Times New Roman" w:hAnsi="Times New Roman" w:eastAsia="宋体" w:cs="Times New Roman"/>
                <w:color w:val="auto"/>
                <w:kern w:val="0"/>
                <w:sz w:val="21"/>
                <w:szCs w:val="21"/>
                <w:highlight w:val="none"/>
                <w:lang w:val="en-US" w:eastAsia="zh-CN"/>
              </w:rPr>
              <w:t>mg/L</w:t>
            </w:r>
          </w:p>
        </w:tc>
        <w:tc>
          <w:tcPr>
            <w:tcW w:w="425" w:type="pct"/>
            <w:tcBorders>
              <w:tl2br w:val="nil"/>
              <w:tr2bl w:val="nil"/>
            </w:tcBorders>
            <w:shd w:val="clear" w:color="auto" w:fill="auto"/>
            <w:noWrap w:val="0"/>
            <w:vAlign w:val="center"/>
          </w:tcPr>
          <w:p w14:paraId="3374EB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0.10</w:t>
            </w:r>
          </w:p>
        </w:tc>
        <w:tc>
          <w:tcPr>
            <w:tcW w:w="498" w:type="pct"/>
            <w:tcBorders>
              <w:tl2br w:val="nil"/>
              <w:tr2bl w:val="nil"/>
            </w:tcBorders>
            <w:shd w:val="clear" w:color="auto" w:fill="auto"/>
            <w:noWrap w:val="0"/>
            <w:vAlign w:val="center"/>
          </w:tcPr>
          <w:p w14:paraId="5F48A6C6">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339</w:t>
            </w:r>
          </w:p>
        </w:tc>
        <w:tc>
          <w:tcPr>
            <w:tcW w:w="498" w:type="pct"/>
            <w:tcBorders>
              <w:tl2br w:val="nil"/>
              <w:tr2bl w:val="nil"/>
            </w:tcBorders>
            <w:shd w:val="clear" w:color="auto" w:fill="auto"/>
            <w:noWrap/>
            <w:vAlign w:val="center"/>
          </w:tcPr>
          <w:p w14:paraId="02832D2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846" w:type="dxa"/>
            <w:tcBorders>
              <w:tl2br w:val="nil"/>
              <w:tr2bl w:val="nil"/>
            </w:tcBorders>
            <w:shd w:val="clear" w:color="auto" w:fill="auto"/>
            <w:noWrap/>
            <w:vAlign w:val="center"/>
          </w:tcPr>
          <w:p w14:paraId="741BD7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339</w:t>
            </w:r>
            <w:r>
              <w:rPr>
                <w:rFonts w:hint="eastAsia" w:ascii="Times New Roman" w:hAnsi="Times New Roman" w:eastAsia="宋体" w:cs="Times New Roman"/>
                <w:color w:val="auto"/>
                <w:kern w:val="0"/>
                <w:sz w:val="21"/>
                <w:szCs w:val="21"/>
                <w:highlight w:val="none"/>
                <w:lang w:val="en-US" w:eastAsia="zh-CN"/>
              </w:rPr>
              <w:t>mg/L</w:t>
            </w:r>
          </w:p>
        </w:tc>
        <w:tc>
          <w:tcPr>
            <w:tcW w:w="847" w:type="dxa"/>
            <w:tcBorders>
              <w:tl2br w:val="nil"/>
              <w:tr2bl w:val="nil"/>
            </w:tcBorders>
            <w:shd w:val="clear" w:color="auto" w:fill="auto"/>
            <w:noWrap/>
            <w:vAlign w:val="center"/>
          </w:tcPr>
          <w:p w14:paraId="0DA6A5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0.10</w:t>
            </w:r>
          </w:p>
        </w:tc>
        <w:tc>
          <w:tcPr>
            <w:tcW w:w="498" w:type="pct"/>
            <w:vMerge w:val="continue"/>
            <w:tcBorders>
              <w:tl2br w:val="nil"/>
              <w:tr2bl w:val="nil"/>
            </w:tcBorders>
            <w:noWrap w:val="0"/>
            <w:vAlign w:val="center"/>
          </w:tcPr>
          <w:p w14:paraId="26E37985">
            <w:pPr>
              <w:widowControl/>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auto"/>
                <w:kern w:val="0"/>
                <w:sz w:val="21"/>
                <w:szCs w:val="21"/>
                <w:highlight w:val="none"/>
                <w:lang w:val="en-US" w:eastAsia="zh-CN"/>
              </w:rPr>
            </w:pPr>
          </w:p>
        </w:tc>
      </w:tr>
      <w:tr w14:paraId="15DF4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373" w:type="pct"/>
            <w:vMerge w:val="continue"/>
            <w:tcBorders>
              <w:tl2br w:val="nil"/>
              <w:tr2bl w:val="nil"/>
            </w:tcBorders>
            <w:shd w:val="clear" w:color="auto" w:fill="auto"/>
            <w:noWrap w:val="0"/>
            <w:vAlign w:val="center"/>
          </w:tcPr>
          <w:p w14:paraId="7C5010CE">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6D863E2F">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459FDF1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NH</w:t>
            </w:r>
            <w:r>
              <w:rPr>
                <w:rFonts w:hint="default" w:ascii="Times New Roman" w:hAnsi="Times New Roman" w:eastAsia="宋体" w:cs="Times New Roman"/>
                <w:b w:val="0"/>
                <w:bCs w:val="0"/>
                <w:color w:val="auto"/>
                <w:sz w:val="21"/>
                <w:szCs w:val="21"/>
                <w:highlight w:val="none"/>
                <w:u w:val="none"/>
                <w:vertAlign w:val="subscript"/>
                <w:lang w:val="en-US" w:eastAsia="zh-CN" w:bidi="ar"/>
              </w:rPr>
              <w:t>3</w:t>
            </w:r>
            <w:r>
              <w:rPr>
                <w:rFonts w:hint="default" w:ascii="Times New Roman" w:hAnsi="Times New Roman" w:eastAsia="宋体" w:cs="Times New Roman"/>
                <w:b w:val="0"/>
                <w:bCs w:val="0"/>
                <w:color w:val="auto"/>
                <w:sz w:val="21"/>
                <w:szCs w:val="21"/>
                <w:highlight w:val="none"/>
                <w:u w:val="none"/>
                <w:lang w:val="en-US" w:eastAsia="zh-CN" w:bidi="ar"/>
              </w:rPr>
              <w:t>-N</w:t>
            </w:r>
          </w:p>
        </w:tc>
        <w:tc>
          <w:tcPr>
            <w:tcW w:w="821" w:type="pct"/>
            <w:tcBorders>
              <w:tl2br w:val="nil"/>
              <w:tr2bl w:val="nil"/>
            </w:tcBorders>
            <w:shd w:val="clear" w:color="auto" w:fill="auto"/>
            <w:noWrap w:val="0"/>
            <w:vAlign w:val="center"/>
          </w:tcPr>
          <w:p w14:paraId="314D0DE2">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52.2</w:t>
            </w:r>
            <w:r>
              <w:rPr>
                <w:rFonts w:hint="eastAsia" w:ascii="Times New Roman" w:hAnsi="Times New Roman" w:eastAsia="宋体" w:cs="Times New Roman"/>
                <w:color w:val="auto"/>
                <w:kern w:val="0"/>
                <w:sz w:val="21"/>
                <w:szCs w:val="21"/>
                <w:highlight w:val="none"/>
                <w:lang w:val="en-US" w:eastAsia="zh-CN"/>
              </w:rPr>
              <w:t>mg/L</w:t>
            </w:r>
          </w:p>
        </w:tc>
        <w:tc>
          <w:tcPr>
            <w:tcW w:w="425" w:type="pct"/>
            <w:tcBorders>
              <w:tl2br w:val="nil"/>
              <w:tr2bl w:val="nil"/>
            </w:tcBorders>
            <w:shd w:val="clear" w:color="auto" w:fill="auto"/>
            <w:noWrap w:val="0"/>
            <w:vAlign w:val="center"/>
          </w:tcPr>
          <w:p w14:paraId="7FDFA0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w:t>
            </w:r>
          </w:p>
        </w:tc>
        <w:tc>
          <w:tcPr>
            <w:tcW w:w="498" w:type="pct"/>
            <w:tcBorders>
              <w:tl2br w:val="nil"/>
              <w:tr2bl w:val="nil"/>
            </w:tcBorders>
            <w:shd w:val="clear" w:color="auto" w:fill="auto"/>
            <w:noWrap w:val="0"/>
            <w:vAlign w:val="center"/>
          </w:tcPr>
          <w:p w14:paraId="0B4C0FD7">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52.2</w:t>
            </w:r>
          </w:p>
        </w:tc>
        <w:tc>
          <w:tcPr>
            <w:tcW w:w="498" w:type="pct"/>
            <w:tcBorders>
              <w:tl2br w:val="nil"/>
              <w:tr2bl w:val="nil"/>
            </w:tcBorders>
            <w:shd w:val="clear" w:color="auto" w:fill="auto"/>
            <w:noWrap/>
            <w:vAlign w:val="center"/>
          </w:tcPr>
          <w:p w14:paraId="34A2BFD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846" w:type="dxa"/>
            <w:tcBorders>
              <w:tl2br w:val="nil"/>
              <w:tr2bl w:val="nil"/>
            </w:tcBorders>
            <w:shd w:val="clear" w:color="auto" w:fill="auto"/>
            <w:noWrap/>
            <w:vAlign w:val="center"/>
          </w:tcPr>
          <w:p w14:paraId="2500A39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52.2</w:t>
            </w:r>
            <w:r>
              <w:rPr>
                <w:rFonts w:hint="eastAsia" w:ascii="Times New Roman" w:hAnsi="Times New Roman" w:eastAsia="宋体" w:cs="Times New Roman"/>
                <w:color w:val="auto"/>
                <w:kern w:val="0"/>
                <w:sz w:val="21"/>
                <w:szCs w:val="21"/>
                <w:highlight w:val="none"/>
                <w:lang w:val="en-US" w:eastAsia="zh-CN"/>
              </w:rPr>
              <w:t>mg/L</w:t>
            </w:r>
          </w:p>
        </w:tc>
        <w:tc>
          <w:tcPr>
            <w:tcW w:w="847" w:type="dxa"/>
            <w:tcBorders>
              <w:tl2br w:val="nil"/>
              <w:tr2bl w:val="nil"/>
            </w:tcBorders>
            <w:shd w:val="clear" w:color="auto" w:fill="auto"/>
            <w:noWrap/>
            <w:vAlign w:val="center"/>
          </w:tcPr>
          <w:p w14:paraId="3098D2A5">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w:t>
            </w:r>
          </w:p>
        </w:tc>
        <w:tc>
          <w:tcPr>
            <w:tcW w:w="498" w:type="pct"/>
            <w:vMerge w:val="continue"/>
            <w:tcBorders>
              <w:tl2br w:val="nil"/>
              <w:tr2bl w:val="nil"/>
            </w:tcBorders>
            <w:noWrap w:val="0"/>
            <w:vAlign w:val="center"/>
          </w:tcPr>
          <w:p w14:paraId="70665603">
            <w:pPr>
              <w:widowControl/>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auto"/>
                <w:kern w:val="0"/>
                <w:sz w:val="21"/>
                <w:szCs w:val="21"/>
                <w:highlight w:val="none"/>
                <w:lang w:val="en-US" w:eastAsia="zh-CN"/>
              </w:rPr>
            </w:pPr>
          </w:p>
        </w:tc>
      </w:tr>
      <w:tr w14:paraId="08497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373" w:type="pct"/>
            <w:vMerge w:val="continue"/>
            <w:tcBorders>
              <w:tl2br w:val="nil"/>
              <w:tr2bl w:val="nil"/>
            </w:tcBorders>
            <w:shd w:val="clear" w:color="auto" w:fill="auto"/>
            <w:noWrap w:val="0"/>
            <w:vAlign w:val="center"/>
          </w:tcPr>
          <w:p w14:paraId="07E82340">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2B54A596">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7D83D25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BOD</w:t>
            </w:r>
          </w:p>
        </w:tc>
        <w:tc>
          <w:tcPr>
            <w:tcW w:w="821" w:type="pct"/>
            <w:tcBorders>
              <w:tl2br w:val="nil"/>
              <w:tr2bl w:val="nil"/>
            </w:tcBorders>
            <w:shd w:val="clear" w:color="auto" w:fill="auto"/>
            <w:noWrap w:val="0"/>
            <w:vAlign w:val="center"/>
          </w:tcPr>
          <w:p w14:paraId="749F532C">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339</w:t>
            </w:r>
            <w:r>
              <w:rPr>
                <w:rFonts w:hint="eastAsia" w:ascii="Times New Roman" w:hAnsi="Times New Roman" w:eastAsia="宋体" w:cs="Times New Roman"/>
                <w:color w:val="auto"/>
                <w:kern w:val="0"/>
                <w:sz w:val="21"/>
                <w:szCs w:val="21"/>
                <w:highlight w:val="none"/>
                <w:lang w:val="en-US" w:eastAsia="zh-CN"/>
              </w:rPr>
              <w:t>mg/L</w:t>
            </w:r>
          </w:p>
        </w:tc>
        <w:tc>
          <w:tcPr>
            <w:tcW w:w="425" w:type="pct"/>
            <w:tcBorders>
              <w:tl2br w:val="nil"/>
              <w:tr2bl w:val="nil"/>
            </w:tcBorders>
            <w:shd w:val="clear" w:color="auto" w:fill="auto"/>
            <w:noWrap w:val="0"/>
            <w:vAlign w:val="center"/>
          </w:tcPr>
          <w:p w14:paraId="22BADD9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0.10</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498" w:type="pct"/>
            <w:tcBorders>
              <w:tl2br w:val="nil"/>
              <w:tr2bl w:val="nil"/>
            </w:tcBorders>
            <w:shd w:val="clear" w:color="auto" w:fill="auto"/>
            <w:noWrap w:val="0"/>
            <w:vAlign w:val="center"/>
          </w:tcPr>
          <w:p w14:paraId="6F5D7E3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339</w:t>
            </w:r>
          </w:p>
        </w:tc>
        <w:tc>
          <w:tcPr>
            <w:tcW w:w="498" w:type="pct"/>
            <w:tcBorders>
              <w:tl2br w:val="nil"/>
              <w:tr2bl w:val="nil"/>
            </w:tcBorders>
            <w:shd w:val="clear" w:color="auto" w:fill="auto"/>
            <w:noWrap/>
            <w:vAlign w:val="center"/>
          </w:tcPr>
          <w:p w14:paraId="0E5D97C5">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846" w:type="dxa"/>
            <w:tcBorders>
              <w:tl2br w:val="nil"/>
              <w:tr2bl w:val="nil"/>
            </w:tcBorders>
            <w:shd w:val="clear" w:color="auto" w:fill="auto"/>
            <w:noWrap/>
            <w:vAlign w:val="center"/>
          </w:tcPr>
          <w:p w14:paraId="404C1DD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339</w:t>
            </w:r>
            <w:r>
              <w:rPr>
                <w:rFonts w:hint="eastAsia" w:ascii="Times New Roman" w:hAnsi="Times New Roman" w:eastAsia="宋体" w:cs="Times New Roman"/>
                <w:color w:val="auto"/>
                <w:kern w:val="0"/>
                <w:sz w:val="21"/>
                <w:szCs w:val="21"/>
                <w:highlight w:val="none"/>
                <w:lang w:val="en-US" w:eastAsia="zh-CN"/>
              </w:rPr>
              <w:t>mg/L</w:t>
            </w:r>
          </w:p>
        </w:tc>
        <w:tc>
          <w:tcPr>
            <w:tcW w:w="847" w:type="dxa"/>
            <w:tcBorders>
              <w:tl2br w:val="nil"/>
              <w:tr2bl w:val="nil"/>
            </w:tcBorders>
            <w:shd w:val="clear" w:color="auto" w:fill="auto"/>
            <w:noWrap/>
            <w:vAlign w:val="center"/>
          </w:tcPr>
          <w:p w14:paraId="3EE72B9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0.10</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498" w:type="pct"/>
            <w:vMerge w:val="continue"/>
            <w:tcBorders>
              <w:tl2br w:val="nil"/>
              <w:tr2bl w:val="nil"/>
            </w:tcBorders>
            <w:noWrap w:val="0"/>
            <w:vAlign w:val="center"/>
          </w:tcPr>
          <w:p w14:paraId="568968A3">
            <w:pPr>
              <w:widowControl/>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auto"/>
                <w:kern w:val="0"/>
                <w:sz w:val="21"/>
                <w:szCs w:val="21"/>
                <w:highlight w:val="none"/>
                <w:lang w:val="en-US" w:eastAsia="zh-CN"/>
              </w:rPr>
            </w:pPr>
          </w:p>
        </w:tc>
      </w:tr>
      <w:tr w14:paraId="5A636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10"/>
            <w:tcBorders>
              <w:tl2br w:val="nil"/>
              <w:tr2bl w:val="nil"/>
            </w:tcBorders>
            <w:shd w:val="clear" w:color="auto" w:fill="auto"/>
            <w:noWrap w:val="0"/>
            <w:vAlign w:val="center"/>
          </w:tcPr>
          <w:p w14:paraId="5A26EE07">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其中COD、氨氮系数来源于《排放源统计调查产排污核算方法和系数手册》附3生活源产排污系数手册，BOD系数来源于《第二次全国污染源普查 生活污染源产排污系数手册（试用版）》，SS类比BOD</w:t>
            </w:r>
          </w:p>
        </w:tc>
      </w:tr>
    </w:tbl>
    <w:p w14:paraId="03E9F0C4">
      <w:pPr>
        <w:keepNext w:val="0"/>
        <w:keepLines w:val="0"/>
        <w:pageBreakBefore w:val="0"/>
        <w:numPr>
          <w:ilvl w:val="0"/>
          <w:numId w:val="0"/>
        </w:numPr>
        <w:wordWrap/>
        <w:topLinePunct w:val="0"/>
        <w:bidi w:val="0"/>
        <w:adjustRightInd/>
        <w:snapToGrid/>
        <w:spacing w:line="360" w:lineRule="auto"/>
        <w:ind w:leftChars="200"/>
        <w:rPr>
          <w:rFonts w:hint="eastAsia" w:ascii="Times New Roman" w:hAnsi="Times New Roman" w:eastAsia="宋体" w:cs="Times New Roman"/>
          <w:color w:val="000000"/>
          <w:sz w:val="24"/>
          <w:szCs w:val="24"/>
          <w:highlight w:val="none"/>
          <w:lang w:val="en-US" w:eastAsia="zh-CN" w:bidi="ar-SA"/>
        </w:rPr>
      </w:pPr>
      <w:r>
        <w:rPr>
          <w:rFonts w:hint="eastAsia" w:ascii="Times New Roman" w:hAnsi="Times New Roman" w:eastAsia="宋体" w:cs="Times New Roman"/>
          <w:color w:val="000000"/>
          <w:sz w:val="24"/>
          <w:szCs w:val="24"/>
          <w:highlight w:val="none"/>
          <w:lang w:val="en-US" w:eastAsia="zh-CN" w:bidi="ar-SA"/>
        </w:rPr>
        <w:t>（2）生产废水</w:t>
      </w:r>
    </w:p>
    <w:p w14:paraId="601F3C01">
      <w:pPr>
        <w:keepNext w:val="0"/>
        <w:keepLines w:val="0"/>
        <w:pageBreakBefore w:val="0"/>
        <w:wordWrap/>
        <w:topLinePunct w:val="0"/>
        <w:bidi w:val="0"/>
        <w:adjustRightInd/>
        <w:snapToGrid/>
        <w:spacing w:line="360" w:lineRule="auto"/>
        <w:ind w:firstLine="482"/>
        <w:rPr>
          <w:rFonts w:hint="default"/>
        </w:rPr>
      </w:pPr>
      <w:r>
        <w:rPr>
          <w:rFonts w:hint="default" w:ascii="Times New Roman" w:hAnsi="Times New Roman" w:eastAsia="宋体" w:cs="Times New Roman"/>
          <w:color w:val="000000"/>
          <w:sz w:val="24"/>
          <w:szCs w:val="24"/>
          <w:highlight w:val="none"/>
          <w:lang w:val="en-US" w:eastAsia="zh-CN" w:bidi="ar-SA"/>
        </w:rPr>
        <w:t>本项目</w:t>
      </w:r>
      <w:r>
        <w:rPr>
          <w:rFonts w:hint="eastAsia" w:ascii="Times New Roman" w:hAnsi="Times New Roman" w:eastAsia="宋体" w:cs="Times New Roman"/>
          <w:color w:val="000000"/>
          <w:sz w:val="24"/>
          <w:szCs w:val="24"/>
          <w:highlight w:val="none"/>
          <w:lang w:val="en-US" w:eastAsia="zh-CN" w:bidi="ar-SA"/>
        </w:rPr>
        <w:t>牛圈</w:t>
      </w:r>
      <w:r>
        <w:rPr>
          <w:rFonts w:hint="eastAsia" w:ascii="Times New Roman" w:hAnsi="Times New Roman" w:eastAsia="宋体" w:cs="Times New Roman"/>
          <w:color w:val="000000"/>
          <w:kern w:val="2"/>
          <w:sz w:val="24"/>
          <w:szCs w:val="24"/>
          <w:lang w:val="en-US" w:eastAsia="zh-CN"/>
        </w:rPr>
        <w:t>牛</w:t>
      </w:r>
      <w:r>
        <w:rPr>
          <w:rFonts w:hint="default" w:ascii="Times New Roman" w:hAnsi="Times New Roman" w:eastAsia="宋体" w:cs="Times New Roman"/>
          <w:color w:val="000000"/>
          <w:kern w:val="2"/>
          <w:sz w:val="24"/>
          <w:szCs w:val="24"/>
        </w:rPr>
        <w:t>尿液产生量约为</w:t>
      </w:r>
      <w:r>
        <w:rPr>
          <w:rFonts w:hint="eastAsia" w:cs="Times New Roman"/>
          <w:color w:val="000000"/>
          <w:kern w:val="2"/>
          <w:sz w:val="24"/>
          <w:szCs w:val="24"/>
          <w:lang w:val="en-US" w:eastAsia="zh-CN"/>
        </w:rPr>
        <w:t>24.96</w:t>
      </w:r>
      <w:r>
        <w:rPr>
          <w:rFonts w:hint="default" w:ascii="Times New Roman" w:hAnsi="Times New Roman" w:eastAsia="宋体" w:cs="Times New Roman"/>
          <w:color w:val="000000"/>
          <w:kern w:val="0"/>
          <w:sz w:val="24"/>
          <w:szCs w:val="24"/>
        </w:rPr>
        <w:t>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2"/>
          <w:sz w:val="24"/>
          <w:szCs w:val="24"/>
        </w:rPr>
        <w:t>/d，</w:t>
      </w:r>
      <w:r>
        <w:rPr>
          <w:rFonts w:hint="eastAsia" w:cs="Times New Roman"/>
          <w:color w:val="000000"/>
          <w:kern w:val="2"/>
          <w:sz w:val="24"/>
          <w:szCs w:val="24"/>
          <w:lang w:val="en-US" w:eastAsia="zh-CN"/>
        </w:rPr>
        <w:t>9110.4</w:t>
      </w:r>
      <w:r>
        <w:rPr>
          <w:rFonts w:hint="default" w:ascii="Times New Roman" w:hAnsi="Times New Roman" w:eastAsia="宋体" w:cs="Times New Roman"/>
          <w:color w:val="000000"/>
          <w:kern w:val="0"/>
          <w:sz w:val="24"/>
          <w:szCs w:val="24"/>
        </w:rPr>
        <w:t>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2"/>
          <w:sz w:val="24"/>
          <w:szCs w:val="24"/>
        </w:rPr>
        <w:t>/a</w:t>
      </w:r>
      <w:r>
        <w:rPr>
          <w:rFonts w:hint="eastAsia" w:cs="Times New Roman"/>
          <w:color w:val="000000"/>
          <w:kern w:val="2"/>
          <w:sz w:val="24"/>
          <w:szCs w:val="24"/>
          <w:lang w:eastAsia="zh-CN"/>
        </w:rPr>
        <w:t>，</w:t>
      </w:r>
      <w:r>
        <w:rPr>
          <w:rFonts w:hint="default" w:ascii="Times New Roman" w:hAnsi="Times New Roman" w:eastAsia="宋体" w:cs="Times New Roman"/>
          <w:color w:val="000000"/>
          <w:kern w:val="2"/>
          <w:sz w:val="24"/>
          <w:szCs w:val="24"/>
        </w:rPr>
        <w:t>污染因子主要为COD、</w:t>
      </w:r>
      <w:r>
        <w:rPr>
          <w:rFonts w:hint="eastAsia" w:ascii="Times New Roman" w:hAnsi="Times New Roman" w:eastAsia="宋体" w:cs="Times New Roman"/>
          <w:color w:val="000000"/>
          <w:kern w:val="2"/>
          <w:sz w:val="24"/>
          <w:szCs w:val="24"/>
          <w:lang w:val="en-US" w:eastAsia="zh-CN"/>
        </w:rPr>
        <w:t>TN</w:t>
      </w:r>
      <w:r>
        <w:rPr>
          <w:rFonts w:hint="default" w:ascii="Times New Roman" w:hAnsi="Times New Roman" w:eastAsia="宋体" w:cs="Times New Roman"/>
          <w:color w:val="000000"/>
          <w:kern w:val="2"/>
          <w:sz w:val="24"/>
          <w:szCs w:val="24"/>
        </w:rPr>
        <w:t>、NH</w:t>
      </w:r>
      <w:r>
        <w:rPr>
          <w:rFonts w:hint="default" w:ascii="Times New Roman" w:hAnsi="Times New Roman" w:eastAsia="宋体" w:cs="Times New Roman"/>
          <w:color w:val="000000"/>
          <w:kern w:val="2"/>
          <w:sz w:val="24"/>
          <w:szCs w:val="24"/>
          <w:vertAlign w:val="subscript"/>
        </w:rPr>
        <w:t>3</w:t>
      </w:r>
      <w:r>
        <w:rPr>
          <w:rFonts w:hint="default" w:ascii="Times New Roman" w:hAnsi="Times New Roman" w:eastAsia="宋体" w:cs="Times New Roman"/>
          <w:color w:val="000000"/>
          <w:kern w:val="2"/>
          <w:sz w:val="24"/>
          <w:szCs w:val="24"/>
        </w:rPr>
        <w:t>-N和</w:t>
      </w:r>
      <w:r>
        <w:rPr>
          <w:rFonts w:hint="eastAsia" w:ascii="Times New Roman" w:hAnsi="Times New Roman" w:eastAsia="宋体" w:cs="Times New Roman"/>
          <w:color w:val="000000"/>
          <w:kern w:val="2"/>
          <w:sz w:val="24"/>
          <w:szCs w:val="24"/>
          <w:lang w:val="en-US" w:eastAsia="zh-CN"/>
        </w:rPr>
        <w:t>TP</w:t>
      </w:r>
      <w:r>
        <w:rPr>
          <w:rFonts w:hint="default"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auto"/>
          <w:sz w:val="24"/>
          <w:szCs w:val="24"/>
          <w:lang w:val="en-US" w:eastAsia="zh-CN"/>
        </w:rPr>
        <w:t>根据《</w:t>
      </w:r>
      <w:r>
        <w:rPr>
          <w:rFonts w:hint="eastAsia" w:cs="Times New Roman"/>
          <w:color w:val="auto"/>
          <w:sz w:val="24"/>
          <w:szCs w:val="24"/>
          <w:lang w:val="en-US" w:eastAsia="zh-CN"/>
        </w:rPr>
        <w:t>排污许可证申请与核发技术规范 畜禽养殖行业</w:t>
      </w:r>
      <w:r>
        <w:rPr>
          <w:rFonts w:hint="eastAsia" w:ascii="Times New Roman" w:hAnsi="Times New Roman" w:eastAsia="宋体" w:cs="Times New Roman"/>
          <w:color w:val="auto"/>
          <w:sz w:val="24"/>
          <w:szCs w:val="24"/>
          <w:lang w:val="en-US" w:eastAsia="zh-CN"/>
        </w:rPr>
        <w:t>》（HJ1029-2019）</w:t>
      </w:r>
      <w:r>
        <w:rPr>
          <w:rFonts w:hint="default" w:ascii="Times New Roman" w:hAnsi="Times New Roman" w:eastAsia="宋体" w:cs="Times New Roman"/>
          <w:color w:val="auto"/>
          <w:sz w:val="24"/>
          <w:szCs w:val="24"/>
        </w:rPr>
        <w:t>污水污染物产生量</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经发酵垫料处理后，</w:t>
      </w:r>
      <w:r>
        <w:rPr>
          <w:rFonts w:hint="eastAsia" w:cs="Times New Roman"/>
          <w:color w:val="auto"/>
          <w:kern w:val="2"/>
          <w:sz w:val="24"/>
          <w:szCs w:val="24"/>
          <w:lang w:val="en-US" w:eastAsia="zh-CN"/>
        </w:rPr>
        <w:t>根据《第一次全国污染源普查畜禽养殖业源产排污系数手册》，西北区畜禽养殖场育肥肉牛垫草垫料各污染物排污系数均为0</w:t>
      </w:r>
      <w:r>
        <w:rPr>
          <w:rFonts w:hint="eastAsia" w:ascii="Times New Roman" w:hAnsi="Times New Roman" w:eastAsia="宋体" w:cs="Times New Roman"/>
          <w:color w:val="auto"/>
          <w:sz w:val="24"/>
          <w:szCs w:val="24"/>
          <w:highlight w:val="none"/>
          <w:lang w:val="en-US" w:eastAsia="zh-CN" w:bidi="ar-SA"/>
        </w:rPr>
        <w:t>。</w:t>
      </w:r>
    </w:p>
    <w:p w14:paraId="2ED6B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项目运营期</w:t>
      </w:r>
      <w:r>
        <w:rPr>
          <w:rFonts w:hint="eastAsia" w:cs="Times New Roman"/>
          <w:color w:val="auto"/>
          <w:sz w:val="24"/>
          <w:szCs w:val="24"/>
          <w:lang w:val="en-US" w:eastAsia="zh-CN"/>
        </w:rPr>
        <w:t>生产废水</w:t>
      </w:r>
      <w:r>
        <w:rPr>
          <w:rFonts w:hint="default" w:ascii="Times New Roman" w:hAnsi="Times New Roman" w:eastAsia="宋体" w:cs="Times New Roman"/>
          <w:color w:val="auto"/>
          <w:sz w:val="24"/>
          <w:szCs w:val="24"/>
        </w:rPr>
        <w:t>产生情况见表</w:t>
      </w:r>
      <w:r>
        <w:rPr>
          <w:rFonts w:hint="eastAsia" w:cs="Times New Roman"/>
          <w:color w:val="auto"/>
          <w:sz w:val="24"/>
          <w:szCs w:val="24"/>
          <w:lang w:val="en-US" w:eastAsia="zh-CN"/>
        </w:rPr>
        <w:t>3.4-10</w:t>
      </w:r>
      <w:r>
        <w:rPr>
          <w:rFonts w:hint="default" w:ascii="Times New Roman" w:hAnsi="Times New Roman" w:eastAsia="宋体" w:cs="Times New Roman"/>
          <w:color w:val="auto"/>
          <w:sz w:val="24"/>
          <w:szCs w:val="24"/>
        </w:rPr>
        <w:t>。</w:t>
      </w:r>
    </w:p>
    <w:p w14:paraId="64D49D4F">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color w:val="auto"/>
          <w:kern w:val="2"/>
          <w:sz w:val="24"/>
          <w:szCs w:val="28"/>
          <w:lang w:val="en-US" w:eastAsia="zh-CN" w:bidi="ar-SA"/>
        </w:rPr>
      </w:pPr>
      <w:r>
        <w:rPr>
          <w:rFonts w:hint="default" w:ascii="Times New Roman" w:hAnsi="Times New Roman" w:eastAsia="宋体" w:cs="Times New Roman"/>
          <w:b/>
          <w:bCs/>
          <w:color w:val="auto"/>
          <w:sz w:val="24"/>
          <w:szCs w:val="24"/>
          <w:lang w:val="en-US" w:eastAsia="zh-CN"/>
        </w:rPr>
        <w:t>表</w:t>
      </w:r>
      <w:r>
        <w:rPr>
          <w:rFonts w:hint="eastAsia" w:cs="Times New Roman"/>
          <w:b/>
          <w:bCs/>
          <w:color w:val="auto"/>
          <w:sz w:val="24"/>
          <w:szCs w:val="24"/>
          <w:lang w:val="en-US" w:eastAsia="zh-CN"/>
        </w:rPr>
        <w:t>3.4-10</w:t>
      </w:r>
      <w:r>
        <w:rPr>
          <w:rFonts w:hint="default" w:ascii="Times New Roman" w:hAnsi="Times New Roman" w:eastAsia="宋体" w:cs="Times New Roman"/>
          <w:b/>
          <w:bCs/>
          <w:color w:val="auto"/>
          <w:sz w:val="24"/>
          <w:szCs w:val="24"/>
          <w:lang w:val="en-US" w:eastAsia="zh-CN"/>
        </w:rPr>
        <w:t>项目运营期生产废水</w:t>
      </w:r>
      <w:r>
        <w:rPr>
          <w:rFonts w:hint="eastAsia" w:ascii="Times New Roman" w:hAnsi="Times New Roman" w:eastAsia="宋体" w:cs="Times New Roman"/>
          <w:b/>
          <w:bCs/>
          <w:color w:val="auto"/>
          <w:sz w:val="24"/>
          <w:szCs w:val="24"/>
          <w:lang w:val="en-US" w:eastAsia="zh-CN"/>
        </w:rPr>
        <w:t>产生情况</w:t>
      </w:r>
      <w:r>
        <w:rPr>
          <w:rFonts w:hint="default" w:ascii="Times New Roman" w:hAnsi="Times New Roman" w:eastAsia="宋体" w:cs="Times New Roman"/>
          <w:b/>
          <w:bCs/>
          <w:color w:val="auto"/>
          <w:sz w:val="24"/>
          <w:szCs w:val="24"/>
          <w:lang w:val="en-US" w:eastAsia="zh-CN"/>
        </w:rPr>
        <w:t>一览表</w:t>
      </w:r>
    </w:p>
    <w:tbl>
      <w:tblPr>
        <w:tblStyle w:val="20"/>
        <w:tblW w:w="498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4"/>
        <w:gridCol w:w="825"/>
        <w:gridCol w:w="681"/>
        <w:gridCol w:w="1394"/>
        <w:gridCol w:w="723"/>
        <w:gridCol w:w="846"/>
        <w:gridCol w:w="846"/>
        <w:gridCol w:w="846"/>
        <w:gridCol w:w="847"/>
        <w:gridCol w:w="846"/>
      </w:tblGrid>
      <w:tr w14:paraId="2FB9C6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restart"/>
            <w:tcBorders>
              <w:tl2br w:val="nil"/>
              <w:tr2bl w:val="nil"/>
            </w:tcBorders>
            <w:shd w:val="clear" w:color="auto" w:fill="auto"/>
            <w:noWrap w:val="0"/>
            <w:vAlign w:val="center"/>
          </w:tcPr>
          <w:p w14:paraId="427A7B0A">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废水种类</w:t>
            </w:r>
          </w:p>
        </w:tc>
        <w:tc>
          <w:tcPr>
            <w:tcW w:w="4128" w:type="pct"/>
            <w:gridSpan w:val="8"/>
            <w:tcBorders>
              <w:tl2br w:val="nil"/>
              <w:tr2bl w:val="nil"/>
            </w:tcBorders>
            <w:shd w:val="clear" w:color="auto" w:fill="auto"/>
            <w:noWrap/>
            <w:vAlign w:val="center"/>
          </w:tcPr>
          <w:p w14:paraId="4540B68F">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2"/>
                <w:sz w:val="24"/>
                <w:szCs w:val="28"/>
                <w:highlight w:val="none"/>
                <w:lang w:val="en-US" w:eastAsia="zh-CN" w:bidi="ar-SA"/>
              </w:rPr>
            </w:pPr>
            <w:r>
              <w:rPr>
                <w:rFonts w:hint="default" w:ascii="Times New Roman" w:hAnsi="Times New Roman" w:eastAsia="宋体" w:cs="Times New Roman"/>
                <w:b/>
                <w:bCs/>
                <w:color w:val="auto"/>
                <w:kern w:val="2"/>
                <w:sz w:val="24"/>
                <w:szCs w:val="28"/>
                <w:highlight w:val="none"/>
                <w:lang w:val="en-US" w:eastAsia="zh-CN" w:bidi="ar-SA"/>
              </w:rPr>
              <w:t>污染物</w:t>
            </w:r>
          </w:p>
        </w:tc>
        <w:tc>
          <w:tcPr>
            <w:tcW w:w="498" w:type="pct"/>
            <w:vMerge w:val="restart"/>
            <w:tcBorders>
              <w:tl2br w:val="nil"/>
              <w:tr2bl w:val="nil"/>
            </w:tcBorders>
            <w:shd w:val="clear" w:color="auto" w:fill="auto"/>
            <w:noWrap w:val="0"/>
            <w:vAlign w:val="center"/>
          </w:tcPr>
          <w:p w14:paraId="5C9D6D96">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治理措施</w:t>
            </w:r>
          </w:p>
        </w:tc>
      </w:tr>
      <w:tr w14:paraId="6625C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73" w:type="pct"/>
            <w:vMerge w:val="continue"/>
            <w:tcBorders>
              <w:tl2br w:val="nil"/>
              <w:tr2bl w:val="nil"/>
            </w:tcBorders>
            <w:shd w:val="clear" w:color="auto" w:fill="auto"/>
            <w:noWrap w:val="0"/>
            <w:vAlign w:val="center"/>
          </w:tcPr>
          <w:p w14:paraId="36CF58B1">
            <w:pPr>
              <w:widowControl/>
              <w:overflowPunct/>
              <w:autoSpaceDE/>
              <w:autoSpaceDN/>
              <w:adjustRightInd/>
              <w:snapToGrid/>
              <w:spacing w:before="0" w:after="0" w:line="240" w:lineRule="auto"/>
              <w:ind w:left="0" w:right="0" w:firstLine="0" w:firstLineChars="0"/>
              <w:jc w:val="left"/>
              <w:rPr>
                <w:rFonts w:hint="default" w:ascii="Times New Roman" w:hAnsi="Times New Roman" w:eastAsia="宋体" w:cs="Times New Roman"/>
                <w:b/>
                <w:bCs/>
                <w:color w:val="auto"/>
                <w:kern w:val="0"/>
                <w:sz w:val="21"/>
                <w:szCs w:val="21"/>
                <w:highlight w:val="none"/>
              </w:rPr>
            </w:pPr>
          </w:p>
        </w:tc>
        <w:tc>
          <w:tcPr>
            <w:tcW w:w="485" w:type="pct"/>
            <w:tcBorders>
              <w:tl2br w:val="nil"/>
              <w:tr2bl w:val="nil"/>
            </w:tcBorders>
            <w:shd w:val="clear" w:color="auto" w:fill="auto"/>
            <w:noWrap w:val="0"/>
            <w:vAlign w:val="center"/>
          </w:tcPr>
          <w:p w14:paraId="519AB678">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产生量</w:t>
            </w:r>
            <w:r>
              <w:rPr>
                <w:rFonts w:hint="eastAsia" w:cs="Times New Roman"/>
                <w:b/>
                <w:bCs/>
                <w:color w:val="auto"/>
                <w:kern w:val="0"/>
                <w:sz w:val="21"/>
                <w:szCs w:val="21"/>
                <w:highlight w:val="none"/>
                <w:lang w:eastAsia="zh-CN"/>
              </w:rPr>
              <w:t>（</w:t>
            </w:r>
            <w:r>
              <w:rPr>
                <w:rFonts w:hint="default" w:ascii="Times New Roman" w:hAnsi="Times New Roman" w:eastAsia="宋体" w:cs="Times New Roman"/>
                <w:b/>
                <w:bCs/>
                <w:color w:val="auto"/>
                <w:kern w:val="0"/>
                <w:sz w:val="21"/>
                <w:szCs w:val="21"/>
                <w:highlight w:val="none"/>
              </w:rPr>
              <w:t>t/a</w:t>
            </w:r>
            <w:r>
              <w:rPr>
                <w:rFonts w:hint="eastAsia" w:cs="Times New Roman"/>
                <w:b/>
                <w:bCs/>
                <w:color w:val="auto"/>
                <w:kern w:val="0"/>
                <w:sz w:val="21"/>
                <w:szCs w:val="21"/>
                <w:highlight w:val="none"/>
                <w:lang w:eastAsia="zh-CN"/>
              </w:rPr>
              <w:t>）</w:t>
            </w:r>
          </w:p>
        </w:tc>
        <w:tc>
          <w:tcPr>
            <w:tcW w:w="401" w:type="pct"/>
            <w:tcBorders>
              <w:tl2br w:val="nil"/>
              <w:tr2bl w:val="nil"/>
            </w:tcBorders>
            <w:shd w:val="clear" w:color="auto" w:fill="auto"/>
            <w:noWrap w:val="0"/>
            <w:vAlign w:val="center"/>
          </w:tcPr>
          <w:p w14:paraId="6A764E30">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污染物</w:t>
            </w:r>
          </w:p>
        </w:tc>
        <w:tc>
          <w:tcPr>
            <w:tcW w:w="821" w:type="pct"/>
            <w:tcBorders>
              <w:tl2br w:val="nil"/>
              <w:tr2bl w:val="nil"/>
            </w:tcBorders>
            <w:shd w:val="clear" w:color="auto" w:fill="auto"/>
            <w:noWrap w:val="0"/>
            <w:vAlign w:val="center"/>
          </w:tcPr>
          <w:p w14:paraId="443D2231">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eastAsia="宋体" w:cs="Times New Roman"/>
                <w:b/>
                <w:bCs/>
                <w:color w:val="auto"/>
                <w:kern w:val="0"/>
                <w:sz w:val="21"/>
                <w:szCs w:val="21"/>
                <w:highlight w:val="none"/>
                <w:lang w:val="en-US" w:eastAsia="zh-CN"/>
              </w:rPr>
              <w:t>产污系数</w:t>
            </w:r>
          </w:p>
        </w:tc>
        <w:tc>
          <w:tcPr>
            <w:tcW w:w="425" w:type="pct"/>
            <w:tcBorders>
              <w:tl2br w:val="nil"/>
              <w:tr2bl w:val="nil"/>
            </w:tcBorders>
            <w:shd w:val="clear" w:color="auto" w:fill="auto"/>
            <w:noWrap w:val="0"/>
            <w:vAlign w:val="center"/>
          </w:tcPr>
          <w:p w14:paraId="4D1FB774">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rPr>
            </w:pPr>
            <w:r>
              <w:rPr>
                <w:rFonts w:hint="eastAsia" w:ascii="Times New Roman" w:hAnsi="Times New Roman" w:eastAsia="宋体" w:cs="Times New Roman"/>
                <w:b/>
                <w:bCs/>
                <w:color w:val="auto"/>
                <w:kern w:val="0"/>
                <w:sz w:val="21"/>
                <w:szCs w:val="21"/>
                <w:highlight w:val="none"/>
                <w:lang w:val="en-US" w:eastAsia="zh-CN"/>
              </w:rPr>
              <w:t>产生</w:t>
            </w:r>
            <w:r>
              <w:rPr>
                <w:rFonts w:hint="default" w:ascii="Times New Roman" w:hAnsi="Times New Roman" w:eastAsia="宋体" w:cs="Times New Roman"/>
                <w:b/>
                <w:bCs/>
                <w:color w:val="auto"/>
                <w:kern w:val="0"/>
                <w:sz w:val="21"/>
                <w:szCs w:val="21"/>
                <w:highlight w:val="none"/>
              </w:rPr>
              <w:t>量t/a</w:t>
            </w:r>
          </w:p>
        </w:tc>
        <w:tc>
          <w:tcPr>
            <w:tcW w:w="498" w:type="pct"/>
            <w:tcBorders>
              <w:tl2br w:val="nil"/>
              <w:tr2bl w:val="nil"/>
            </w:tcBorders>
            <w:shd w:val="clear" w:color="auto" w:fill="auto"/>
            <w:noWrap w:val="0"/>
            <w:vAlign w:val="center"/>
          </w:tcPr>
          <w:p w14:paraId="2A1527A7">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产生浓度mg/L</w:t>
            </w:r>
          </w:p>
        </w:tc>
        <w:tc>
          <w:tcPr>
            <w:tcW w:w="498" w:type="pct"/>
            <w:tcBorders>
              <w:tl2br w:val="nil"/>
              <w:tr2bl w:val="nil"/>
            </w:tcBorders>
            <w:shd w:val="clear" w:color="auto" w:fill="auto"/>
            <w:noWrap/>
            <w:vAlign w:val="center"/>
          </w:tcPr>
          <w:p w14:paraId="55905D1B">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处理效率%</w:t>
            </w:r>
          </w:p>
        </w:tc>
        <w:tc>
          <w:tcPr>
            <w:tcW w:w="498" w:type="pct"/>
            <w:tcBorders>
              <w:tl2br w:val="nil"/>
              <w:tr2bl w:val="nil"/>
            </w:tcBorders>
            <w:shd w:val="clear" w:color="auto" w:fill="auto"/>
            <w:noWrap/>
            <w:vAlign w:val="center"/>
          </w:tcPr>
          <w:p w14:paraId="4F3A7CA1">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排放浓度mg/L</w:t>
            </w:r>
          </w:p>
        </w:tc>
        <w:tc>
          <w:tcPr>
            <w:tcW w:w="498" w:type="pct"/>
            <w:tcBorders>
              <w:tl2br w:val="nil"/>
              <w:tr2bl w:val="nil"/>
            </w:tcBorders>
            <w:shd w:val="clear" w:color="auto" w:fill="auto"/>
            <w:noWrap/>
            <w:vAlign w:val="center"/>
          </w:tcPr>
          <w:p w14:paraId="5FD0A631">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rPr>
              <w:t>排放</w:t>
            </w:r>
            <w:r>
              <w:rPr>
                <w:rFonts w:hint="default" w:ascii="Times New Roman" w:hAnsi="Times New Roman" w:eastAsia="宋体" w:cs="Times New Roman"/>
                <w:b/>
                <w:bCs/>
                <w:color w:val="auto"/>
                <w:kern w:val="0"/>
                <w:sz w:val="21"/>
                <w:szCs w:val="21"/>
                <w:highlight w:val="none"/>
              </w:rPr>
              <w:t>量t/a</w:t>
            </w:r>
          </w:p>
        </w:tc>
        <w:tc>
          <w:tcPr>
            <w:tcW w:w="498" w:type="pct"/>
            <w:vMerge w:val="continue"/>
            <w:tcBorders>
              <w:tl2br w:val="nil"/>
              <w:tr2bl w:val="nil"/>
            </w:tcBorders>
            <w:noWrap w:val="0"/>
            <w:vAlign w:val="center"/>
          </w:tcPr>
          <w:p w14:paraId="1563CF59">
            <w:pPr>
              <w:widowControl/>
              <w:overflowPunct/>
              <w:autoSpaceDE/>
              <w:autoSpaceDN/>
              <w:adjustRightInd/>
              <w:snapToGrid/>
              <w:spacing w:before="0" w:after="0" w:line="240" w:lineRule="auto"/>
              <w:ind w:left="0" w:right="0" w:firstLine="0" w:firstLineChars="0"/>
              <w:jc w:val="left"/>
              <w:rPr>
                <w:rFonts w:hint="default" w:ascii="Times New Roman" w:hAnsi="Times New Roman" w:eastAsia="宋体" w:cs="Times New Roman"/>
                <w:b/>
                <w:bCs/>
                <w:color w:val="auto"/>
                <w:kern w:val="0"/>
                <w:sz w:val="21"/>
                <w:szCs w:val="21"/>
                <w:highlight w:val="none"/>
              </w:rPr>
            </w:pPr>
          </w:p>
        </w:tc>
      </w:tr>
      <w:tr w14:paraId="2FA6C9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restart"/>
            <w:tcBorders>
              <w:tl2br w:val="nil"/>
              <w:tr2bl w:val="nil"/>
            </w:tcBorders>
            <w:shd w:val="clear" w:color="auto" w:fill="auto"/>
            <w:noWrap w:val="0"/>
            <w:vAlign w:val="center"/>
          </w:tcPr>
          <w:p w14:paraId="4A4EA14F">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生产废水</w:t>
            </w:r>
          </w:p>
        </w:tc>
        <w:tc>
          <w:tcPr>
            <w:tcW w:w="485" w:type="pct"/>
            <w:vMerge w:val="restart"/>
            <w:tcBorders>
              <w:tl2br w:val="nil"/>
              <w:tr2bl w:val="nil"/>
            </w:tcBorders>
            <w:shd w:val="clear" w:color="auto" w:fill="auto"/>
            <w:noWrap w:val="0"/>
            <w:vAlign w:val="center"/>
          </w:tcPr>
          <w:p w14:paraId="1A0956E0">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9110.4</w:t>
            </w:r>
          </w:p>
        </w:tc>
        <w:tc>
          <w:tcPr>
            <w:tcW w:w="401" w:type="pct"/>
            <w:tcBorders>
              <w:tl2br w:val="nil"/>
              <w:tr2bl w:val="nil"/>
            </w:tcBorders>
            <w:shd w:val="clear" w:color="auto" w:fill="auto"/>
            <w:noWrap w:val="0"/>
            <w:vAlign w:val="center"/>
          </w:tcPr>
          <w:p w14:paraId="13969C6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COD</w:t>
            </w:r>
          </w:p>
        </w:tc>
        <w:tc>
          <w:tcPr>
            <w:tcW w:w="821" w:type="pct"/>
            <w:tcBorders>
              <w:tl2br w:val="nil"/>
              <w:tr2bl w:val="nil"/>
            </w:tcBorders>
            <w:shd w:val="clear" w:color="auto" w:fill="auto"/>
            <w:noWrap w:val="0"/>
            <w:vAlign w:val="center"/>
          </w:tcPr>
          <w:p w14:paraId="6066D9B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eastAsia="宋体" w:cs="Times New Roman"/>
                <w:color w:val="auto"/>
                <w:sz w:val="21"/>
                <w:szCs w:val="21"/>
                <w:lang w:val="en-US" w:eastAsia="zh-CN"/>
              </w:rPr>
              <w:t>175.3</w:t>
            </w:r>
            <w:r>
              <w:rPr>
                <w:rFonts w:hint="eastAsia" w:ascii="Times New Roman" w:hAnsi="Times New Roman" w:eastAsia="宋体" w:cs="Times New Roman"/>
                <w:b w:val="0"/>
                <w:bCs/>
                <w:color w:val="auto"/>
                <w:sz w:val="21"/>
                <w:szCs w:val="21"/>
                <w:lang w:val="en-US" w:eastAsia="zh-CN"/>
              </w:rPr>
              <w:t>g/d▪头/只</w:t>
            </w:r>
          </w:p>
        </w:tc>
        <w:tc>
          <w:tcPr>
            <w:tcW w:w="425" w:type="pct"/>
            <w:tcBorders>
              <w:tl2br w:val="nil"/>
              <w:tr2bl w:val="nil"/>
            </w:tcBorders>
            <w:shd w:val="clear" w:color="auto" w:fill="auto"/>
            <w:noWrap w:val="0"/>
            <w:vAlign w:val="center"/>
          </w:tcPr>
          <w:p w14:paraId="531FA0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000000"/>
                <w:kern w:val="0"/>
                <w:sz w:val="21"/>
                <w:szCs w:val="21"/>
                <w:u w:val="none"/>
                <w:lang w:val="en-US" w:eastAsia="zh-CN" w:bidi="ar"/>
              </w:rPr>
              <w:t>191.95</w:t>
            </w:r>
          </w:p>
        </w:tc>
        <w:tc>
          <w:tcPr>
            <w:tcW w:w="866" w:type="dxa"/>
            <w:tcBorders>
              <w:tl2br w:val="nil"/>
              <w:tr2bl w:val="nil"/>
            </w:tcBorders>
            <w:shd w:val="clear" w:color="auto" w:fill="auto"/>
            <w:noWrap w:val="0"/>
            <w:vAlign w:val="center"/>
          </w:tcPr>
          <w:p w14:paraId="5A6C03F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21069.</w:t>
            </w:r>
            <w:r>
              <w:rPr>
                <w:rFonts w:hint="eastAsia" w:cs="Times New Roman"/>
                <w:i w:val="0"/>
                <w:iCs w:val="0"/>
                <w:color w:val="000000"/>
                <w:kern w:val="0"/>
                <w:sz w:val="21"/>
                <w:szCs w:val="21"/>
                <w:u w:val="none"/>
                <w:lang w:val="en-US" w:eastAsia="zh-CN" w:bidi="ar"/>
              </w:rPr>
              <w:t>33</w:t>
            </w:r>
            <w:r>
              <w:rPr>
                <w:rFonts w:hint="eastAsia" w:ascii="Times New Roman" w:hAnsi="Times New Roman" w:eastAsia="宋体" w:cs="Times New Roman"/>
                <w:color w:val="auto"/>
                <w:kern w:val="0"/>
                <w:sz w:val="21"/>
                <w:szCs w:val="21"/>
                <w:highlight w:val="none"/>
                <w:lang w:val="en-US" w:eastAsia="zh-CN"/>
              </w:rPr>
              <w:t xml:space="preserve"> </w:t>
            </w:r>
          </w:p>
        </w:tc>
        <w:tc>
          <w:tcPr>
            <w:tcW w:w="498" w:type="pct"/>
            <w:tcBorders>
              <w:tl2br w:val="nil"/>
              <w:tr2bl w:val="nil"/>
            </w:tcBorders>
            <w:shd w:val="clear" w:color="auto" w:fill="auto"/>
            <w:noWrap/>
            <w:vAlign w:val="center"/>
          </w:tcPr>
          <w:p w14:paraId="1C3DB61D">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09DA68D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13A5B964">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w:t>
            </w:r>
          </w:p>
        </w:tc>
        <w:tc>
          <w:tcPr>
            <w:tcW w:w="498" w:type="pct"/>
            <w:vMerge w:val="restart"/>
            <w:tcBorders>
              <w:tl2br w:val="nil"/>
              <w:tr2bl w:val="nil"/>
            </w:tcBorders>
            <w:noWrap w:val="0"/>
            <w:vAlign w:val="center"/>
          </w:tcPr>
          <w:p w14:paraId="442EFB0D">
            <w:pPr>
              <w:widowControl/>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经</w:t>
            </w:r>
            <w:r>
              <w:rPr>
                <w:rFonts w:hint="eastAsia" w:cs="Times New Roman"/>
                <w:color w:val="auto"/>
                <w:kern w:val="0"/>
                <w:sz w:val="21"/>
                <w:szCs w:val="21"/>
                <w:highlight w:val="none"/>
                <w:lang w:val="en-US" w:eastAsia="zh-CN"/>
              </w:rPr>
              <w:t>发酵垫料消纳</w:t>
            </w:r>
            <w:r>
              <w:rPr>
                <w:rFonts w:hint="eastAsia" w:ascii="Times New Roman" w:hAnsi="Times New Roman" w:cs="Times New Roman"/>
                <w:color w:val="auto"/>
                <w:kern w:val="0"/>
                <w:sz w:val="21"/>
                <w:szCs w:val="21"/>
                <w:highlight w:val="none"/>
                <w:lang w:val="en-US" w:eastAsia="zh-CN"/>
              </w:rPr>
              <w:t>后还田于</w:t>
            </w:r>
            <w:r>
              <w:rPr>
                <w:rFonts w:hint="eastAsia" w:cs="Times New Roman"/>
                <w:color w:val="auto"/>
                <w:kern w:val="0"/>
                <w:sz w:val="21"/>
                <w:szCs w:val="21"/>
                <w:highlight w:val="none"/>
                <w:lang w:val="en-US" w:eastAsia="zh-CN"/>
              </w:rPr>
              <w:t>周边农田</w:t>
            </w:r>
          </w:p>
        </w:tc>
      </w:tr>
      <w:tr w14:paraId="0CFACB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373" w:type="pct"/>
            <w:vMerge w:val="continue"/>
            <w:tcBorders>
              <w:tl2br w:val="nil"/>
              <w:tr2bl w:val="nil"/>
            </w:tcBorders>
            <w:shd w:val="clear" w:color="auto" w:fill="auto"/>
            <w:noWrap w:val="0"/>
            <w:vAlign w:val="center"/>
          </w:tcPr>
          <w:p w14:paraId="2B9F3F8A">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6523E7B7">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16ECA66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TN</w:t>
            </w:r>
          </w:p>
        </w:tc>
        <w:tc>
          <w:tcPr>
            <w:tcW w:w="821" w:type="pct"/>
            <w:tcBorders>
              <w:tl2br w:val="nil"/>
              <w:tr2bl w:val="nil"/>
            </w:tcBorders>
            <w:shd w:val="clear" w:color="auto" w:fill="auto"/>
            <w:noWrap w:val="0"/>
            <w:vAlign w:val="center"/>
          </w:tcPr>
          <w:p w14:paraId="75C5083C">
            <w:pPr>
              <w:keepNext w:val="0"/>
              <w:keepLines w:val="0"/>
              <w:widowControl/>
              <w:suppressLineNumbers w:val="0"/>
              <w:jc w:val="center"/>
              <w:textAlignment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eastAsia="宋体" w:cs="Times New Roman"/>
                <w:b w:val="0"/>
                <w:bCs/>
                <w:color w:val="auto"/>
                <w:sz w:val="21"/>
                <w:szCs w:val="21"/>
                <w:lang w:val="en-US" w:eastAsia="zh-CN"/>
              </w:rPr>
              <w:t>38.8g/d▪头/只</w:t>
            </w:r>
          </w:p>
        </w:tc>
        <w:tc>
          <w:tcPr>
            <w:tcW w:w="425" w:type="pct"/>
            <w:tcBorders>
              <w:tl2br w:val="nil"/>
              <w:tr2bl w:val="nil"/>
            </w:tcBorders>
            <w:shd w:val="clear" w:color="auto" w:fill="auto"/>
            <w:noWrap w:val="0"/>
            <w:vAlign w:val="center"/>
          </w:tcPr>
          <w:p w14:paraId="084110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000000"/>
                <w:kern w:val="0"/>
                <w:sz w:val="21"/>
                <w:szCs w:val="21"/>
                <w:u w:val="none"/>
                <w:lang w:val="en-US" w:eastAsia="zh-CN" w:bidi="ar"/>
              </w:rPr>
              <w:t>42.49</w:t>
            </w:r>
          </w:p>
        </w:tc>
        <w:tc>
          <w:tcPr>
            <w:tcW w:w="866" w:type="dxa"/>
            <w:tcBorders>
              <w:tl2br w:val="nil"/>
              <w:tr2bl w:val="nil"/>
            </w:tcBorders>
            <w:shd w:val="clear" w:color="auto" w:fill="auto"/>
            <w:noWrap w:val="0"/>
            <w:vAlign w:val="center"/>
          </w:tcPr>
          <w:p w14:paraId="41E2CC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4663.</w:t>
            </w:r>
            <w:r>
              <w:rPr>
                <w:rFonts w:hint="eastAsia" w:cs="Times New Roman"/>
                <w:i w:val="0"/>
                <w:iCs w:val="0"/>
                <w:color w:val="000000"/>
                <w:kern w:val="0"/>
                <w:sz w:val="21"/>
                <w:szCs w:val="21"/>
                <w:u w:val="none"/>
                <w:lang w:val="en-US" w:eastAsia="zh-CN" w:bidi="ar"/>
              </w:rPr>
              <w:t>90</w:t>
            </w:r>
          </w:p>
        </w:tc>
        <w:tc>
          <w:tcPr>
            <w:tcW w:w="498" w:type="pct"/>
            <w:tcBorders>
              <w:tl2br w:val="nil"/>
              <w:tr2bl w:val="nil"/>
            </w:tcBorders>
            <w:shd w:val="clear" w:color="auto" w:fill="auto"/>
            <w:noWrap/>
            <w:vAlign w:val="center"/>
          </w:tcPr>
          <w:p w14:paraId="6DACC2A6">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407EA24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61C235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w:t>
            </w:r>
          </w:p>
        </w:tc>
        <w:tc>
          <w:tcPr>
            <w:tcW w:w="498" w:type="pct"/>
            <w:vMerge w:val="continue"/>
            <w:tcBorders>
              <w:tl2br w:val="nil"/>
              <w:tr2bl w:val="nil"/>
            </w:tcBorders>
            <w:noWrap w:val="0"/>
            <w:vAlign w:val="center"/>
          </w:tcPr>
          <w:p w14:paraId="5B638FE2">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r>
      <w:tr w14:paraId="26423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continue"/>
            <w:tcBorders>
              <w:tl2br w:val="nil"/>
              <w:tr2bl w:val="nil"/>
            </w:tcBorders>
            <w:shd w:val="clear" w:color="auto" w:fill="auto"/>
            <w:noWrap w:val="0"/>
            <w:vAlign w:val="center"/>
          </w:tcPr>
          <w:p w14:paraId="3561425D">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2D921E50">
            <w:pPr>
              <w:widowControl/>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71B259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color w:val="auto"/>
                <w:kern w:val="0"/>
                <w:sz w:val="21"/>
                <w:szCs w:val="21"/>
                <w:highlight w:val="none"/>
                <w:lang w:val="en-US" w:eastAsia="zh-CN"/>
              </w:rPr>
              <w:t>TP</w:t>
            </w:r>
          </w:p>
        </w:tc>
        <w:tc>
          <w:tcPr>
            <w:tcW w:w="821" w:type="pct"/>
            <w:tcBorders>
              <w:tl2br w:val="nil"/>
              <w:tr2bl w:val="nil"/>
            </w:tcBorders>
            <w:shd w:val="clear" w:color="auto" w:fill="auto"/>
            <w:noWrap w:val="0"/>
            <w:vAlign w:val="center"/>
          </w:tcPr>
          <w:p w14:paraId="4F9694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b w:val="0"/>
                <w:bCs/>
                <w:color w:val="auto"/>
                <w:sz w:val="21"/>
                <w:szCs w:val="21"/>
                <w:lang w:val="en-US" w:eastAsia="zh-CN"/>
              </w:rPr>
              <w:t>2.4g/d▪头/只</w:t>
            </w:r>
          </w:p>
        </w:tc>
        <w:tc>
          <w:tcPr>
            <w:tcW w:w="425" w:type="pct"/>
            <w:tcBorders>
              <w:tl2br w:val="nil"/>
              <w:tr2bl w:val="nil"/>
            </w:tcBorders>
            <w:shd w:val="clear" w:color="auto" w:fill="auto"/>
            <w:noWrap w:val="0"/>
            <w:vAlign w:val="center"/>
          </w:tcPr>
          <w:p w14:paraId="431CA1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000000"/>
                <w:kern w:val="0"/>
                <w:sz w:val="21"/>
                <w:szCs w:val="21"/>
                <w:u w:val="none"/>
                <w:lang w:val="en-US" w:eastAsia="zh-CN" w:bidi="ar"/>
              </w:rPr>
              <w:t>2.63</w:t>
            </w:r>
          </w:p>
        </w:tc>
        <w:tc>
          <w:tcPr>
            <w:tcW w:w="866" w:type="dxa"/>
            <w:tcBorders>
              <w:tl2br w:val="nil"/>
              <w:tr2bl w:val="nil"/>
            </w:tcBorders>
            <w:shd w:val="clear" w:color="auto" w:fill="auto"/>
            <w:noWrap w:val="0"/>
            <w:vAlign w:val="center"/>
          </w:tcPr>
          <w:p w14:paraId="1A2BA5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288.</w:t>
            </w:r>
            <w:r>
              <w:rPr>
                <w:rFonts w:hint="eastAsia" w:cs="Times New Roman"/>
                <w:i w:val="0"/>
                <w:iCs w:val="0"/>
                <w:color w:val="000000"/>
                <w:kern w:val="0"/>
                <w:sz w:val="21"/>
                <w:szCs w:val="21"/>
                <w:u w:val="none"/>
                <w:lang w:val="en-US" w:eastAsia="zh-CN" w:bidi="ar"/>
              </w:rPr>
              <w:t>68</w:t>
            </w:r>
            <w:r>
              <w:rPr>
                <w:rFonts w:hint="eastAsia" w:ascii="Times New Roman" w:hAnsi="Times New Roman" w:eastAsia="宋体" w:cs="Times New Roman"/>
                <w:i w:val="0"/>
                <w:iCs w:val="0"/>
                <w:color w:val="000000"/>
                <w:kern w:val="0"/>
                <w:sz w:val="21"/>
                <w:szCs w:val="21"/>
                <w:u w:val="none"/>
                <w:lang w:val="en-US" w:eastAsia="zh-CN" w:bidi="ar"/>
              </w:rPr>
              <w:t xml:space="preserve"> </w:t>
            </w:r>
          </w:p>
        </w:tc>
        <w:tc>
          <w:tcPr>
            <w:tcW w:w="498" w:type="pct"/>
            <w:tcBorders>
              <w:tl2br w:val="nil"/>
              <w:tr2bl w:val="nil"/>
            </w:tcBorders>
            <w:shd w:val="clear" w:color="auto" w:fill="auto"/>
            <w:noWrap/>
            <w:vAlign w:val="center"/>
          </w:tcPr>
          <w:p w14:paraId="30E4F25D">
            <w:pPr>
              <w:keepNext w:val="0"/>
              <w:keepLines w:val="0"/>
              <w:widowControl/>
              <w:suppressLineNumbers w:val="0"/>
              <w:jc w:val="center"/>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0FB82E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37D737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w:t>
            </w:r>
          </w:p>
        </w:tc>
        <w:tc>
          <w:tcPr>
            <w:tcW w:w="498" w:type="pct"/>
            <w:vMerge w:val="continue"/>
            <w:tcBorders>
              <w:tl2br w:val="nil"/>
              <w:tr2bl w:val="nil"/>
            </w:tcBorders>
            <w:noWrap w:val="0"/>
            <w:vAlign w:val="center"/>
          </w:tcPr>
          <w:p w14:paraId="2A4AAD0B">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r>
      <w:tr w14:paraId="68B4B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3" w:type="pct"/>
            <w:vMerge w:val="continue"/>
            <w:tcBorders>
              <w:tl2br w:val="nil"/>
              <w:tr2bl w:val="nil"/>
            </w:tcBorders>
            <w:shd w:val="clear" w:color="auto" w:fill="auto"/>
            <w:noWrap w:val="0"/>
            <w:vAlign w:val="center"/>
          </w:tcPr>
          <w:p w14:paraId="701D4779">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85" w:type="pct"/>
            <w:vMerge w:val="continue"/>
            <w:tcBorders>
              <w:tl2br w:val="nil"/>
              <w:tr2bl w:val="nil"/>
            </w:tcBorders>
            <w:shd w:val="clear" w:color="auto" w:fill="auto"/>
            <w:noWrap w:val="0"/>
            <w:vAlign w:val="center"/>
          </w:tcPr>
          <w:p w14:paraId="2D2F630F">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c>
          <w:tcPr>
            <w:tcW w:w="401" w:type="pct"/>
            <w:tcBorders>
              <w:tl2br w:val="nil"/>
              <w:tr2bl w:val="nil"/>
            </w:tcBorders>
            <w:shd w:val="clear" w:color="auto" w:fill="auto"/>
            <w:noWrap w:val="0"/>
            <w:vAlign w:val="center"/>
          </w:tcPr>
          <w:p w14:paraId="6BF22A74">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NH</w:t>
            </w:r>
            <w:r>
              <w:rPr>
                <w:rFonts w:hint="default" w:ascii="Times New Roman" w:hAnsi="Times New Roman" w:eastAsia="宋体" w:cs="Times New Roman"/>
                <w:b w:val="0"/>
                <w:bCs w:val="0"/>
                <w:color w:val="auto"/>
                <w:sz w:val="21"/>
                <w:szCs w:val="21"/>
                <w:highlight w:val="none"/>
                <w:u w:val="none"/>
                <w:vertAlign w:val="subscript"/>
                <w:lang w:val="en-US" w:eastAsia="zh-CN" w:bidi="ar"/>
              </w:rPr>
              <w:t>3</w:t>
            </w:r>
            <w:r>
              <w:rPr>
                <w:rFonts w:hint="default" w:ascii="Times New Roman" w:hAnsi="Times New Roman" w:eastAsia="宋体" w:cs="Times New Roman"/>
                <w:b w:val="0"/>
                <w:bCs w:val="0"/>
                <w:color w:val="auto"/>
                <w:sz w:val="21"/>
                <w:szCs w:val="21"/>
                <w:highlight w:val="none"/>
                <w:u w:val="none"/>
                <w:lang w:val="en-US" w:eastAsia="zh-CN" w:bidi="ar"/>
              </w:rPr>
              <w:t>-N</w:t>
            </w:r>
          </w:p>
        </w:tc>
        <w:tc>
          <w:tcPr>
            <w:tcW w:w="821" w:type="pct"/>
            <w:tcBorders>
              <w:tl2br w:val="nil"/>
              <w:tr2bl w:val="nil"/>
            </w:tcBorders>
            <w:shd w:val="clear" w:color="auto" w:fill="auto"/>
            <w:noWrap w:val="0"/>
            <w:vAlign w:val="center"/>
          </w:tcPr>
          <w:p w14:paraId="0D7F43A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eastAsia="宋体" w:cs="Times New Roman"/>
                <w:color w:val="auto"/>
                <w:sz w:val="21"/>
                <w:szCs w:val="21"/>
                <w:lang w:val="en-US" w:eastAsia="zh-CN"/>
              </w:rPr>
              <w:t>24.3</w:t>
            </w:r>
            <w:r>
              <w:rPr>
                <w:rFonts w:hint="eastAsia" w:ascii="Times New Roman" w:hAnsi="Times New Roman" w:eastAsia="宋体" w:cs="Times New Roman"/>
                <w:b w:val="0"/>
                <w:bCs/>
                <w:color w:val="auto"/>
                <w:sz w:val="21"/>
                <w:szCs w:val="21"/>
                <w:lang w:val="en-US" w:eastAsia="zh-CN"/>
              </w:rPr>
              <w:t>g/d▪头/只</w:t>
            </w:r>
          </w:p>
        </w:tc>
        <w:tc>
          <w:tcPr>
            <w:tcW w:w="425" w:type="pct"/>
            <w:tcBorders>
              <w:tl2br w:val="nil"/>
              <w:tr2bl w:val="nil"/>
            </w:tcBorders>
            <w:shd w:val="clear" w:color="auto" w:fill="auto"/>
            <w:noWrap w:val="0"/>
            <w:vAlign w:val="center"/>
          </w:tcPr>
          <w:p w14:paraId="53CD9A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000000"/>
                <w:kern w:val="0"/>
                <w:sz w:val="21"/>
                <w:szCs w:val="21"/>
                <w:u w:val="none"/>
                <w:lang w:val="en-US" w:eastAsia="zh-CN" w:bidi="ar"/>
              </w:rPr>
              <w:t>26.61</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866" w:type="dxa"/>
            <w:tcBorders>
              <w:tl2br w:val="nil"/>
              <w:tr2bl w:val="nil"/>
            </w:tcBorders>
            <w:shd w:val="clear" w:color="auto" w:fill="auto"/>
            <w:noWrap w:val="0"/>
            <w:vAlign w:val="center"/>
          </w:tcPr>
          <w:p w14:paraId="0CFD4A1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 xml:space="preserve">2920.84 </w:t>
            </w:r>
          </w:p>
        </w:tc>
        <w:tc>
          <w:tcPr>
            <w:tcW w:w="498" w:type="pct"/>
            <w:tcBorders>
              <w:tl2br w:val="nil"/>
              <w:tr2bl w:val="nil"/>
            </w:tcBorders>
            <w:shd w:val="clear" w:color="auto" w:fill="auto"/>
            <w:noWrap/>
            <w:vAlign w:val="center"/>
          </w:tcPr>
          <w:p w14:paraId="7B1081F8">
            <w:pPr>
              <w:keepNext w:val="0"/>
              <w:keepLines w:val="0"/>
              <w:widowControl/>
              <w:suppressLineNumbers w:val="0"/>
              <w:jc w:val="center"/>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498" w:type="pct"/>
            <w:tcBorders>
              <w:tl2br w:val="nil"/>
              <w:tr2bl w:val="nil"/>
            </w:tcBorders>
            <w:shd w:val="clear" w:color="auto" w:fill="auto"/>
            <w:noWrap/>
            <w:vAlign w:val="center"/>
          </w:tcPr>
          <w:p w14:paraId="51C201A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498" w:type="pct"/>
            <w:tcBorders>
              <w:tl2br w:val="nil"/>
              <w:tr2bl w:val="nil"/>
            </w:tcBorders>
            <w:shd w:val="clear" w:color="auto" w:fill="auto"/>
            <w:noWrap/>
            <w:vAlign w:val="center"/>
          </w:tcPr>
          <w:p w14:paraId="4F366C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0</w:t>
            </w:r>
          </w:p>
        </w:tc>
        <w:tc>
          <w:tcPr>
            <w:tcW w:w="498" w:type="pct"/>
            <w:vMerge w:val="continue"/>
            <w:tcBorders>
              <w:tl2br w:val="nil"/>
              <w:tr2bl w:val="nil"/>
            </w:tcBorders>
            <w:noWrap w:val="0"/>
            <w:vAlign w:val="center"/>
          </w:tcPr>
          <w:p w14:paraId="0487F87B">
            <w:pPr>
              <w:widowControl/>
              <w:overflowPunct/>
              <w:autoSpaceDE/>
              <w:autoSpaceDN/>
              <w:adjustRightInd/>
              <w:snapToGrid/>
              <w:spacing w:before="0" w:after="0" w:line="240" w:lineRule="auto"/>
              <w:ind w:left="0" w:leftChars="0" w:right="0" w:rightChars="0" w:firstLine="0" w:firstLineChars="0"/>
              <w:jc w:val="left"/>
              <w:rPr>
                <w:rFonts w:hint="eastAsia" w:ascii="Times New Roman" w:hAnsi="Times New Roman" w:eastAsia="宋体" w:cs="Times New Roman"/>
                <w:color w:val="auto"/>
                <w:kern w:val="0"/>
                <w:sz w:val="21"/>
                <w:szCs w:val="21"/>
                <w:highlight w:val="none"/>
                <w:lang w:val="en-US" w:eastAsia="zh-CN"/>
              </w:rPr>
            </w:pPr>
          </w:p>
        </w:tc>
      </w:tr>
    </w:tbl>
    <w:p w14:paraId="123D26DA">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3.</w:t>
      </w:r>
      <w:r>
        <w:rPr>
          <w:rFonts w:hint="eastAsia"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.2.3噪声</w:t>
      </w:r>
    </w:p>
    <w:p w14:paraId="3A4A9964">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运营期间，</w:t>
      </w:r>
      <w:r>
        <w:rPr>
          <w:rFonts w:hint="eastAsia"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US" w:eastAsia="zh-CN" w:bidi="ar-SA"/>
        </w:rPr>
        <w:t>噪声主要来源于</w:t>
      </w:r>
      <w:r>
        <w:rPr>
          <w:rFonts w:hint="eastAsia" w:eastAsia="宋体" w:cs="Times New Roman"/>
          <w:color w:val="auto"/>
          <w:kern w:val="2"/>
          <w:sz w:val="24"/>
          <w:szCs w:val="24"/>
          <w:lang w:val="en-US" w:eastAsia="zh-CN" w:bidi="ar-SA"/>
        </w:rPr>
        <w:t>牛</w:t>
      </w:r>
      <w:r>
        <w:rPr>
          <w:rFonts w:hint="default" w:ascii="Times New Roman" w:hAnsi="Times New Roman" w:eastAsia="宋体" w:cs="Times New Roman"/>
          <w:color w:val="auto"/>
          <w:kern w:val="2"/>
          <w:sz w:val="24"/>
          <w:szCs w:val="24"/>
          <w:lang w:val="en-US" w:eastAsia="zh-CN" w:bidi="ar-SA"/>
        </w:rPr>
        <w:t>的噪声</w:t>
      </w:r>
      <w:r>
        <w:rPr>
          <w:rFonts w:hint="eastAsia" w:cs="Times New Roman"/>
          <w:color w:val="auto"/>
          <w:kern w:val="2"/>
          <w:sz w:val="24"/>
          <w:szCs w:val="24"/>
          <w:lang w:val="en-US" w:eastAsia="zh-CN" w:bidi="ar-SA"/>
        </w:rPr>
        <w:t>以及养殖区</w:t>
      </w:r>
      <w:r>
        <w:rPr>
          <w:rFonts w:hint="default" w:ascii="Times New Roman" w:hAnsi="Times New Roman" w:eastAsia="宋体" w:cs="Times New Roman"/>
          <w:color w:val="auto"/>
          <w:kern w:val="2"/>
          <w:sz w:val="24"/>
          <w:szCs w:val="24"/>
          <w:lang w:val="en-US" w:eastAsia="zh-CN" w:bidi="ar-SA"/>
        </w:rPr>
        <w:t>设备运行噪声。</w:t>
      </w:r>
      <w:r>
        <w:rPr>
          <w:rFonts w:hint="eastAsia"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US" w:eastAsia="zh-CN" w:bidi="ar-SA"/>
        </w:rPr>
        <w:t>主要设备有</w:t>
      </w:r>
      <w:r>
        <w:rPr>
          <w:rFonts w:hint="default" w:ascii="Times New Roman" w:hAnsi="Times New Roman" w:eastAsia="宋体" w:cs="Times New Roman"/>
          <w:color w:val="auto"/>
          <w:kern w:val="2"/>
          <w:sz w:val="24"/>
          <w:szCs w:val="24"/>
          <w:highlight w:val="none"/>
          <w:lang w:val="en-US" w:eastAsia="zh-CN" w:bidi="ar-SA"/>
        </w:rPr>
        <w:t>水泵</w:t>
      </w:r>
      <w:r>
        <w:rPr>
          <w:rFonts w:hint="eastAsia" w:cs="Times New Roman"/>
          <w:color w:val="auto"/>
          <w:kern w:val="2"/>
          <w:sz w:val="24"/>
          <w:szCs w:val="24"/>
          <w:highlight w:val="none"/>
          <w:lang w:val="en-US" w:eastAsia="zh-CN" w:bidi="ar-SA"/>
        </w:rPr>
        <w:t>、撒料车、清粪车辆、牛床铺料机、吸污车</w:t>
      </w:r>
      <w:r>
        <w:rPr>
          <w:rFonts w:hint="default" w:ascii="Times New Roman" w:hAnsi="Times New Roman" w:eastAsia="宋体" w:cs="Times New Roman"/>
          <w:color w:val="auto"/>
          <w:kern w:val="2"/>
          <w:sz w:val="24"/>
          <w:szCs w:val="24"/>
          <w:lang w:val="en-US" w:eastAsia="zh-CN" w:bidi="ar-SA"/>
        </w:rPr>
        <w:t>等。</w:t>
      </w:r>
      <w:r>
        <w:rPr>
          <w:rFonts w:hint="eastAsia"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US" w:eastAsia="zh-CN" w:bidi="ar-SA"/>
        </w:rPr>
        <w:t>噪声源强约为</w:t>
      </w:r>
      <w:r>
        <w:rPr>
          <w:rFonts w:hint="eastAsia" w:cs="Times New Roman"/>
          <w:color w:val="auto"/>
          <w:kern w:val="2"/>
          <w:sz w:val="24"/>
          <w:szCs w:val="24"/>
          <w:lang w:val="en-US" w:eastAsia="zh-CN" w:bidi="ar-SA"/>
        </w:rPr>
        <w:t>70-93</w:t>
      </w:r>
      <w:r>
        <w:rPr>
          <w:rFonts w:hint="default" w:ascii="Times New Roman" w:hAnsi="Times New Roman" w:eastAsia="宋体" w:cs="Times New Roman"/>
          <w:color w:val="auto"/>
          <w:kern w:val="2"/>
          <w:sz w:val="24"/>
          <w:szCs w:val="24"/>
          <w:lang w:val="en-US" w:eastAsia="zh-CN" w:bidi="ar-SA"/>
        </w:rPr>
        <w:t>dB（A）。</w:t>
      </w:r>
      <w:r>
        <w:rPr>
          <w:rFonts w:hint="eastAsia" w:cs="Times New Roman"/>
          <w:color w:val="auto"/>
          <w:kern w:val="2"/>
          <w:sz w:val="24"/>
          <w:szCs w:val="24"/>
          <w:lang w:val="en-US" w:eastAsia="zh-CN" w:bidi="ar-SA"/>
        </w:rPr>
        <w:t>饲料加工区设置饲料粉碎机、风机，</w:t>
      </w:r>
      <w:r>
        <w:rPr>
          <w:rFonts w:hint="default" w:ascii="Times New Roman" w:hAnsi="Times New Roman" w:eastAsia="宋体" w:cs="Times New Roman"/>
          <w:color w:val="auto"/>
          <w:kern w:val="2"/>
          <w:sz w:val="24"/>
          <w:szCs w:val="24"/>
          <w:lang w:val="en-US" w:eastAsia="zh-CN" w:bidi="ar-SA"/>
        </w:rPr>
        <w:t>噪声设备</w:t>
      </w:r>
      <w:r>
        <w:rPr>
          <w:rFonts w:hint="eastAsia" w:cs="Times New Roman"/>
          <w:color w:val="auto"/>
          <w:kern w:val="2"/>
          <w:sz w:val="24"/>
          <w:szCs w:val="24"/>
          <w:lang w:val="en-US" w:eastAsia="zh-CN" w:bidi="ar-SA"/>
        </w:rPr>
        <w:t>均</w:t>
      </w:r>
      <w:r>
        <w:rPr>
          <w:rFonts w:hint="default" w:ascii="Times New Roman" w:hAnsi="Times New Roman" w:eastAsia="宋体" w:cs="Times New Roman"/>
          <w:color w:val="auto"/>
          <w:kern w:val="2"/>
          <w:sz w:val="24"/>
          <w:szCs w:val="24"/>
          <w:lang w:val="en-US" w:eastAsia="zh-CN" w:bidi="ar-SA"/>
        </w:rPr>
        <w:t>置于室内。噪声源强约为</w:t>
      </w:r>
      <w:r>
        <w:rPr>
          <w:rFonts w:hint="eastAsia" w:cs="Times New Roman"/>
          <w:color w:val="auto"/>
          <w:kern w:val="2"/>
          <w:sz w:val="24"/>
          <w:szCs w:val="24"/>
          <w:lang w:val="en-US" w:eastAsia="zh-CN" w:bidi="ar-SA"/>
        </w:rPr>
        <w:t>80~95</w:t>
      </w:r>
      <w:r>
        <w:rPr>
          <w:rFonts w:hint="default" w:ascii="Times New Roman" w:hAnsi="Times New Roman" w:eastAsia="宋体" w:cs="Times New Roman"/>
          <w:color w:val="auto"/>
          <w:kern w:val="2"/>
          <w:sz w:val="24"/>
          <w:szCs w:val="24"/>
          <w:lang w:val="en-US" w:eastAsia="zh-CN" w:bidi="ar-SA"/>
        </w:rPr>
        <w:t>dB（A）</w:t>
      </w:r>
      <w:r>
        <w:rPr>
          <w:rFonts w:hint="eastAsia" w:cs="Times New Roman"/>
          <w:color w:val="auto"/>
          <w:kern w:val="2"/>
          <w:sz w:val="24"/>
          <w:szCs w:val="24"/>
          <w:lang w:val="en-US" w:eastAsia="zh-CN" w:bidi="ar-SA"/>
        </w:rPr>
        <w:t>。堆肥区设置翻抛机、风机，</w:t>
      </w:r>
      <w:r>
        <w:rPr>
          <w:rFonts w:hint="default" w:ascii="Times New Roman" w:hAnsi="Times New Roman" w:eastAsia="宋体" w:cs="Times New Roman"/>
          <w:color w:val="auto"/>
          <w:kern w:val="2"/>
          <w:sz w:val="24"/>
          <w:szCs w:val="24"/>
          <w:lang w:val="en-US" w:eastAsia="zh-CN" w:bidi="ar-SA"/>
        </w:rPr>
        <w:t>噪声设备</w:t>
      </w:r>
      <w:r>
        <w:rPr>
          <w:rFonts w:hint="eastAsia" w:cs="Times New Roman"/>
          <w:color w:val="auto"/>
          <w:kern w:val="2"/>
          <w:sz w:val="24"/>
          <w:szCs w:val="24"/>
          <w:lang w:val="en-US" w:eastAsia="zh-CN" w:bidi="ar-SA"/>
        </w:rPr>
        <w:t>均</w:t>
      </w:r>
      <w:r>
        <w:rPr>
          <w:rFonts w:hint="default" w:ascii="Times New Roman" w:hAnsi="Times New Roman" w:eastAsia="宋体" w:cs="Times New Roman"/>
          <w:color w:val="auto"/>
          <w:kern w:val="2"/>
          <w:sz w:val="24"/>
          <w:szCs w:val="24"/>
          <w:lang w:val="en-US" w:eastAsia="zh-CN" w:bidi="ar-SA"/>
        </w:rPr>
        <w:t>置于室内。噪声源强约为</w:t>
      </w:r>
      <w:r>
        <w:rPr>
          <w:rFonts w:hint="eastAsia" w:cs="Times New Roman"/>
          <w:color w:val="auto"/>
          <w:kern w:val="2"/>
          <w:sz w:val="24"/>
          <w:szCs w:val="24"/>
          <w:lang w:val="en-US" w:eastAsia="zh-CN" w:bidi="ar-SA"/>
        </w:rPr>
        <w:t>80~85</w:t>
      </w:r>
      <w:r>
        <w:rPr>
          <w:rFonts w:hint="default" w:ascii="Times New Roman" w:hAnsi="Times New Roman" w:eastAsia="宋体" w:cs="Times New Roman"/>
          <w:color w:val="auto"/>
          <w:kern w:val="2"/>
          <w:sz w:val="24"/>
          <w:szCs w:val="24"/>
          <w:lang w:val="en-US" w:eastAsia="zh-CN" w:bidi="ar-SA"/>
        </w:rPr>
        <w:t>dB（A）。主要噪声源声压级及控制措施见表3.</w:t>
      </w:r>
      <w:r>
        <w:rPr>
          <w:rFonts w:hint="eastAsia" w:cs="Times New Roman"/>
          <w:color w:val="auto"/>
          <w:kern w:val="2"/>
          <w:sz w:val="24"/>
          <w:szCs w:val="24"/>
          <w:lang w:val="en-US" w:eastAsia="zh-CN" w:bidi="ar-SA"/>
        </w:rPr>
        <w:t>4-11</w:t>
      </w:r>
      <w:r>
        <w:rPr>
          <w:rFonts w:hint="default" w:ascii="Times New Roman" w:hAnsi="Times New Roman" w:eastAsia="宋体" w:cs="Times New Roman"/>
          <w:color w:val="auto"/>
          <w:kern w:val="2"/>
          <w:sz w:val="24"/>
          <w:szCs w:val="24"/>
          <w:lang w:val="en-US" w:eastAsia="zh-CN" w:bidi="ar-SA"/>
        </w:rPr>
        <w:t>。</w:t>
      </w:r>
    </w:p>
    <w:p w14:paraId="7A146599">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.4-11</w:t>
      </w:r>
      <w:r>
        <w:rPr>
          <w:rFonts w:hint="default" w:ascii="Times New Roman" w:hAnsi="Times New Roman" w:eastAsia="宋体" w:cs="Times New Roman"/>
          <w:b/>
          <w:bCs/>
          <w:color w:val="auto"/>
          <w:sz w:val="24"/>
          <w:szCs w:val="24"/>
          <w:lang w:val="en-US" w:eastAsia="zh-CN"/>
        </w:rPr>
        <w:t>设备</w:t>
      </w:r>
      <w:r>
        <w:rPr>
          <w:rFonts w:hint="eastAsia" w:ascii="Times New Roman" w:hAnsi="Times New Roman" w:eastAsia="宋体" w:cs="Times New Roman"/>
          <w:b/>
          <w:bCs/>
          <w:color w:val="auto"/>
          <w:sz w:val="24"/>
          <w:szCs w:val="24"/>
          <w:lang w:val="en-US" w:eastAsia="zh-CN"/>
        </w:rPr>
        <w:t>噪声源</w:t>
      </w:r>
      <w:r>
        <w:rPr>
          <w:rFonts w:hint="default" w:ascii="Times New Roman" w:hAnsi="Times New Roman" w:eastAsia="宋体" w:cs="Times New Roman"/>
          <w:b/>
          <w:bCs/>
          <w:color w:val="auto"/>
          <w:sz w:val="24"/>
          <w:szCs w:val="24"/>
          <w:lang w:val="en-US" w:eastAsia="zh-CN"/>
        </w:rPr>
        <w:t>声压级</w:t>
      </w:r>
    </w:p>
    <w:tbl>
      <w:tblPr>
        <w:tblStyle w:val="20"/>
        <w:tblW w:w="487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4"/>
        <w:gridCol w:w="860"/>
        <w:gridCol w:w="899"/>
        <w:gridCol w:w="962"/>
        <w:gridCol w:w="1381"/>
        <w:gridCol w:w="2232"/>
        <w:gridCol w:w="1413"/>
      </w:tblGrid>
      <w:tr w14:paraId="78728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shd w:val="clear" w:color="auto" w:fill="auto"/>
            <w:vAlign w:val="center"/>
          </w:tcPr>
          <w:p w14:paraId="3DCCAF0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Times New Roman" w:hAnsi="Times New Roman" w:eastAsia="宋体" w:cs="宋体"/>
                <w:b/>
                <w:bCs/>
                <w:color w:val="auto"/>
                <w:sz w:val="21"/>
                <w:szCs w:val="21"/>
                <w:lang w:val="en-US" w:eastAsia="zh-CN" w:bidi="ar-SA"/>
              </w:rPr>
            </w:pPr>
            <w:r>
              <w:rPr>
                <w:rFonts w:ascii="Times New Roman" w:hAnsi="Times New Roman" w:eastAsia="宋体" w:cs="宋体"/>
                <w:b/>
                <w:bCs/>
                <w:color w:val="auto"/>
                <w:sz w:val="21"/>
                <w:szCs w:val="21"/>
                <w:lang w:val="en-US" w:eastAsia="zh-CN" w:bidi="ar-SA"/>
              </w:rPr>
              <w:t>序号</w:t>
            </w:r>
          </w:p>
        </w:tc>
        <w:tc>
          <w:tcPr>
            <w:tcW w:w="1058" w:type="pct"/>
            <w:gridSpan w:val="2"/>
            <w:shd w:val="clear" w:color="auto" w:fill="auto"/>
            <w:vAlign w:val="center"/>
          </w:tcPr>
          <w:p w14:paraId="7E0A778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声源</w:t>
            </w:r>
          </w:p>
        </w:tc>
        <w:tc>
          <w:tcPr>
            <w:tcW w:w="578" w:type="pct"/>
            <w:shd w:val="clear" w:color="auto" w:fill="auto"/>
            <w:vAlign w:val="center"/>
          </w:tcPr>
          <w:p w14:paraId="2E16A17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b/>
                <w:bCs/>
                <w:color w:val="auto"/>
                <w:sz w:val="21"/>
                <w:szCs w:val="21"/>
                <w:lang w:val="en-US" w:eastAsia="zh-CN" w:bidi="ar-SA"/>
              </w:rPr>
            </w:pPr>
            <w:r>
              <w:rPr>
                <w:rFonts w:ascii="Times New Roman" w:hAnsi="Times New Roman" w:eastAsia="宋体" w:cs="宋体"/>
                <w:b/>
                <w:bCs/>
                <w:color w:val="auto"/>
                <w:sz w:val="21"/>
                <w:szCs w:val="21"/>
                <w:lang w:val="en-US" w:eastAsia="zh-CN" w:bidi="ar-SA"/>
              </w:rPr>
              <w:t>数量</w:t>
            </w:r>
          </w:p>
        </w:tc>
        <w:tc>
          <w:tcPr>
            <w:tcW w:w="830" w:type="pct"/>
            <w:shd w:val="clear" w:color="auto" w:fill="auto"/>
            <w:vAlign w:val="center"/>
          </w:tcPr>
          <w:p w14:paraId="0B96389E">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声功率级</w:t>
            </w:r>
            <w:r>
              <w:rPr>
                <w:rFonts w:ascii="Times New Roman" w:hAnsi="Times New Roman" w:eastAsia="宋体" w:cs="宋体"/>
                <w:b/>
                <w:bCs/>
                <w:color w:val="auto"/>
                <w:sz w:val="21"/>
                <w:szCs w:val="21"/>
                <w:lang w:val="en-US" w:eastAsia="zh-CN" w:bidi="ar-SA"/>
              </w:rPr>
              <w:t>dB</w:t>
            </w:r>
            <w:r>
              <w:rPr>
                <w:rFonts w:hint="eastAsia" w:cs="宋体"/>
                <w:b/>
                <w:bCs/>
                <w:color w:val="auto"/>
                <w:sz w:val="21"/>
                <w:szCs w:val="21"/>
                <w:lang w:val="en-US" w:eastAsia="zh-CN" w:bidi="ar-SA"/>
              </w:rPr>
              <w:t>（</w:t>
            </w:r>
            <w:r>
              <w:rPr>
                <w:rFonts w:ascii="Times New Roman" w:hAnsi="Times New Roman" w:eastAsia="宋体" w:cs="宋体"/>
                <w:b/>
                <w:bCs/>
                <w:color w:val="auto"/>
                <w:sz w:val="21"/>
                <w:szCs w:val="21"/>
                <w:lang w:val="en-US" w:eastAsia="zh-CN" w:bidi="ar-SA"/>
              </w:rPr>
              <w:t>A</w:t>
            </w:r>
            <w:r>
              <w:rPr>
                <w:rFonts w:hint="eastAsia" w:cs="宋体"/>
                <w:b/>
                <w:bCs/>
                <w:color w:val="auto"/>
                <w:sz w:val="21"/>
                <w:szCs w:val="21"/>
                <w:lang w:val="en-US" w:eastAsia="zh-CN" w:bidi="ar-SA"/>
              </w:rPr>
              <w:t>）</w:t>
            </w:r>
          </w:p>
        </w:tc>
        <w:tc>
          <w:tcPr>
            <w:tcW w:w="1342" w:type="pct"/>
            <w:shd w:val="clear" w:color="auto" w:fill="auto"/>
            <w:vAlign w:val="center"/>
          </w:tcPr>
          <w:p w14:paraId="09A863A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治理措施</w:t>
            </w:r>
          </w:p>
        </w:tc>
        <w:tc>
          <w:tcPr>
            <w:tcW w:w="850" w:type="pct"/>
            <w:shd w:val="clear" w:color="auto" w:fill="auto"/>
            <w:vAlign w:val="center"/>
          </w:tcPr>
          <w:p w14:paraId="03DBF41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b/>
                <w:bCs/>
                <w:color w:val="auto"/>
                <w:sz w:val="21"/>
                <w:szCs w:val="21"/>
                <w:lang w:val="en-US" w:eastAsia="zh-CN" w:bidi="ar-SA"/>
              </w:rPr>
            </w:pPr>
            <w:r>
              <w:rPr>
                <w:rFonts w:hint="eastAsia" w:ascii="Times New Roman" w:hAnsi="Times New Roman" w:eastAsia="宋体" w:cs="宋体"/>
                <w:b/>
                <w:bCs/>
                <w:color w:val="auto"/>
                <w:sz w:val="21"/>
                <w:szCs w:val="21"/>
                <w:lang w:val="en-US" w:eastAsia="zh-CN" w:bidi="ar-SA"/>
              </w:rPr>
              <w:t>降噪效果</w:t>
            </w:r>
            <w:r>
              <w:rPr>
                <w:rFonts w:ascii="Times New Roman" w:hAnsi="Times New Roman" w:eastAsia="宋体" w:cs="宋体"/>
                <w:b/>
                <w:bCs/>
                <w:color w:val="auto"/>
                <w:sz w:val="21"/>
                <w:szCs w:val="21"/>
                <w:lang w:val="en-US" w:eastAsia="zh-CN" w:bidi="ar-SA"/>
              </w:rPr>
              <w:t>dB</w:t>
            </w:r>
            <w:r>
              <w:rPr>
                <w:rFonts w:hint="eastAsia" w:cs="宋体"/>
                <w:b/>
                <w:bCs/>
                <w:color w:val="auto"/>
                <w:sz w:val="21"/>
                <w:szCs w:val="21"/>
                <w:lang w:val="en-US" w:eastAsia="zh-CN" w:bidi="ar-SA"/>
              </w:rPr>
              <w:t>（</w:t>
            </w:r>
            <w:r>
              <w:rPr>
                <w:rFonts w:ascii="Times New Roman" w:hAnsi="Times New Roman" w:eastAsia="宋体" w:cs="宋体"/>
                <w:b/>
                <w:bCs/>
                <w:color w:val="auto"/>
                <w:sz w:val="21"/>
                <w:szCs w:val="21"/>
                <w:lang w:val="en-US" w:eastAsia="zh-CN" w:bidi="ar-SA"/>
              </w:rPr>
              <w:t>A</w:t>
            </w:r>
            <w:r>
              <w:rPr>
                <w:rFonts w:hint="eastAsia" w:cs="宋体"/>
                <w:b/>
                <w:bCs/>
                <w:color w:val="auto"/>
                <w:sz w:val="21"/>
                <w:szCs w:val="21"/>
                <w:lang w:val="en-US" w:eastAsia="zh-CN" w:bidi="ar-SA"/>
              </w:rPr>
              <w:t>）</w:t>
            </w:r>
          </w:p>
        </w:tc>
      </w:tr>
      <w:tr w14:paraId="0D55E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339" w:type="pct"/>
            <w:shd w:val="clear" w:color="auto" w:fill="auto"/>
            <w:vAlign w:val="center"/>
          </w:tcPr>
          <w:p w14:paraId="7B19BE9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1</w:t>
            </w:r>
          </w:p>
        </w:tc>
        <w:tc>
          <w:tcPr>
            <w:tcW w:w="517" w:type="pct"/>
            <w:vMerge w:val="restart"/>
            <w:shd w:val="clear" w:color="auto" w:fill="auto"/>
            <w:vAlign w:val="center"/>
          </w:tcPr>
          <w:p w14:paraId="3CDB5D1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宋体"/>
                <w:color w:val="auto"/>
                <w:sz w:val="21"/>
                <w:szCs w:val="21"/>
                <w:lang w:val="en-US" w:eastAsia="zh-CN" w:bidi="ar-SA"/>
              </w:rPr>
            </w:pPr>
            <w:r>
              <w:rPr>
                <w:rFonts w:hint="eastAsia" w:cs="宋体"/>
                <w:color w:val="auto"/>
                <w:sz w:val="21"/>
                <w:szCs w:val="21"/>
                <w:lang w:val="en-US" w:eastAsia="zh-CN" w:bidi="ar-SA"/>
              </w:rPr>
              <w:t>养殖区</w:t>
            </w:r>
          </w:p>
        </w:tc>
        <w:tc>
          <w:tcPr>
            <w:tcW w:w="540" w:type="pct"/>
            <w:shd w:val="clear" w:color="auto" w:fill="auto"/>
            <w:vAlign w:val="center"/>
          </w:tcPr>
          <w:p w14:paraId="717F15C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eastAsia="宋体" w:cs="宋体"/>
                <w:color w:val="auto"/>
                <w:sz w:val="21"/>
                <w:szCs w:val="21"/>
                <w:lang w:val="en-US" w:eastAsia="zh-CN" w:bidi="ar-SA"/>
              </w:rPr>
            </w:pPr>
            <w:r>
              <w:rPr>
                <w:rFonts w:hint="eastAsia" w:eastAsia="宋体" w:cs="宋体"/>
                <w:color w:val="auto"/>
                <w:sz w:val="21"/>
                <w:szCs w:val="21"/>
                <w:lang w:val="en-US" w:eastAsia="zh-CN" w:bidi="ar-SA"/>
              </w:rPr>
              <w:t>牛叫</w:t>
            </w:r>
          </w:p>
        </w:tc>
        <w:tc>
          <w:tcPr>
            <w:tcW w:w="578" w:type="pct"/>
            <w:shd w:val="clear" w:color="auto" w:fill="auto"/>
            <w:vAlign w:val="center"/>
          </w:tcPr>
          <w:p w14:paraId="5836D7E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w:t>
            </w:r>
          </w:p>
        </w:tc>
        <w:tc>
          <w:tcPr>
            <w:tcW w:w="830" w:type="pct"/>
            <w:shd w:val="clear" w:color="auto" w:fill="auto"/>
            <w:vAlign w:val="center"/>
          </w:tcPr>
          <w:p w14:paraId="43560953">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70</w:t>
            </w:r>
          </w:p>
        </w:tc>
        <w:tc>
          <w:tcPr>
            <w:tcW w:w="1342" w:type="pct"/>
            <w:shd w:val="clear" w:color="auto" w:fill="auto"/>
            <w:vAlign w:val="center"/>
          </w:tcPr>
          <w:p w14:paraId="7880DA8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隔音，避免</w:t>
            </w:r>
            <w:r>
              <w:rPr>
                <w:rFonts w:hint="eastAsia" w:eastAsia="宋体" w:cs="Times New Roman"/>
                <w:color w:val="auto"/>
                <w:kern w:val="2"/>
                <w:sz w:val="21"/>
                <w:szCs w:val="20"/>
                <w:lang w:val="en-US" w:eastAsia="zh-CN" w:bidi="ar-SA"/>
              </w:rPr>
              <w:t>牛</w:t>
            </w:r>
            <w:r>
              <w:rPr>
                <w:rFonts w:hint="eastAsia" w:ascii="Times New Roman" w:hAnsi="Times New Roman" w:eastAsia="宋体" w:cs="Times New Roman"/>
                <w:color w:val="auto"/>
                <w:kern w:val="2"/>
                <w:sz w:val="21"/>
                <w:szCs w:val="20"/>
                <w:lang w:val="en-US" w:eastAsia="zh-CN" w:bidi="ar-SA"/>
              </w:rPr>
              <w:t>受惊扰，之间互相</w:t>
            </w:r>
            <w:r>
              <w:rPr>
                <w:rFonts w:hint="eastAsia" w:eastAsia="宋体" w:cs="Times New Roman"/>
                <w:color w:val="auto"/>
                <w:kern w:val="2"/>
                <w:sz w:val="21"/>
                <w:szCs w:val="20"/>
                <w:lang w:val="en-US" w:eastAsia="zh-CN" w:bidi="ar-SA"/>
              </w:rPr>
              <w:t>顶撞</w:t>
            </w:r>
          </w:p>
        </w:tc>
        <w:tc>
          <w:tcPr>
            <w:tcW w:w="850" w:type="pct"/>
            <w:shd w:val="clear" w:color="auto" w:fill="auto"/>
            <w:vAlign w:val="center"/>
          </w:tcPr>
          <w:p w14:paraId="731FB779">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1BE21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39" w:type="pct"/>
            <w:shd w:val="clear" w:color="auto" w:fill="auto"/>
            <w:vAlign w:val="center"/>
          </w:tcPr>
          <w:p w14:paraId="4A9FE9A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2</w:t>
            </w:r>
          </w:p>
        </w:tc>
        <w:tc>
          <w:tcPr>
            <w:tcW w:w="517" w:type="pct"/>
            <w:vMerge w:val="continue"/>
            <w:shd w:val="clear" w:color="auto" w:fill="auto"/>
            <w:vAlign w:val="center"/>
          </w:tcPr>
          <w:p w14:paraId="1325DD93">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p>
        </w:tc>
        <w:tc>
          <w:tcPr>
            <w:tcW w:w="540" w:type="pct"/>
            <w:shd w:val="clear" w:color="auto" w:fill="auto"/>
            <w:vAlign w:val="center"/>
          </w:tcPr>
          <w:p w14:paraId="1BEAF148">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撒料车</w:t>
            </w:r>
          </w:p>
        </w:tc>
        <w:tc>
          <w:tcPr>
            <w:tcW w:w="578" w:type="pct"/>
            <w:shd w:val="clear" w:color="auto" w:fill="auto"/>
            <w:vAlign w:val="center"/>
          </w:tcPr>
          <w:p w14:paraId="36C5ED0F">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4</w:t>
            </w:r>
            <w:r>
              <w:rPr>
                <w:rFonts w:hint="eastAsia" w:ascii="Times New Roman" w:hAnsi="Times New Roman" w:eastAsia="宋体" w:cs="Times New Roman"/>
                <w:color w:val="auto"/>
                <w:kern w:val="2"/>
                <w:sz w:val="21"/>
                <w:szCs w:val="20"/>
                <w:lang w:val="en-US" w:eastAsia="zh-CN" w:bidi="ar-SA"/>
              </w:rPr>
              <w:t>台</w:t>
            </w:r>
          </w:p>
        </w:tc>
        <w:tc>
          <w:tcPr>
            <w:tcW w:w="830" w:type="pct"/>
            <w:shd w:val="clear" w:color="auto" w:fill="auto"/>
            <w:vAlign w:val="center"/>
          </w:tcPr>
          <w:p w14:paraId="38B6491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86</w:t>
            </w:r>
          </w:p>
        </w:tc>
        <w:tc>
          <w:tcPr>
            <w:tcW w:w="1342" w:type="pct"/>
            <w:vMerge w:val="restart"/>
            <w:shd w:val="clear" w:color="auto" w:fill="auto"/>
            <w:vAlign w:val="center"/>
          </w:tcPr>
          <w:p w14:paraId="2E428E2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spacing w:val="-1"/>
                <w:sz w:val="21"/>
                <w:szCs w:val="21"/>
                <w:lang w:val="en-US" w:eastAsia="zh-CN"/>
              </w:rPr>
              <w:t>基础减振+距离衰减</w:t>
            </w:r>
          </w:p>
        </w:tc>
        <w:tc>
          <w:tcPr>
            <w:tcW w:w="850" w:type="pct"/>
            <w:shd w:val="clear" w:color="auto" w:fill="auto"/>
            <w:vAlign w:val="center"/>
          </w:tcPr>
          <w:p w14:paraId="0C2DB8E2">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rPr>
            </w:pPr>
            <w:r>
              <w:rPr>
                <w:rFonts w:hint="eastAsia" w:ascii="Times New Roman" w:hAnsi="Times New Roman" w:eastAsia="宋体" w:cs="Times New Roman"/>
                <w:color w:val="auto"/>
                <w:kern w:val="2"/>
                <w:sz w:val="21"/>
                <w:szCs w:val="20"/>
                <w:lang w:val="en-US" w:eastAsia="zh-CN"/>
              </w:rPr>
              <w:t>20</w:t>
            </w:r>
          </w:p>
        </w:tc>
      </w:tr>
      <w:tr w14:paraId="2A91D5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39" w:type="pct"/>
            <w:shd w:val="clear" w:color="auto" w:fill="auto"/>
            <w:vAlign w:val="center"/>
          </w:tcPr>
          <w:p w14:paraId="3DD95DA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3</w:t>
            </w:r>
          </w:p>
        </w:tc>
        <w:tc>
          <w:tcPr>
            <w:tcW w:w="517" w:type="pct"/>
            <w:vMerge w:val="continue"/>
            <w:shd w:val="clear" w:color="auto" w:fill="auto"/>
            <w:vAlign w:val="center"/>
          </w:tcPr>
          <w:p w14:paraId="34E7D34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p>
        </w:tc>
        <w:tc>
          <w:tcPr>
            <w:tcW w:w="540" w:type="pct"/>
            <w:shd w:val="clear" w:color="auto" w:fill="auto"/>
            <w:vAlign w:val="center"/>
          </w:tcPr>
          <w:p w14:paraId="5F9CAB7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牛床铺料机</w:t>
            </w:r>
          </w:p>
        </w:tc>
        <w:tc>
          <w:tcPr>
            <w:tcW w:w="578" w:type="pct"/>
            <w:shd w:val="clear" w:color="auto" w:fill="auto"/>
            <w:vAlign w:val="center"/>
          </w:tcPr>
          <w:p w14:paraId="668F412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1</w:t>
            </w:r>
            <w:r>
              <w:rPr>
                <w:rFonts w:hint="eastAsia" w:ascii="Times New Roman" w:hAnsi="Times New Roman" w:eastAsia="宋体" w:cs="Times New Roman"/>
                <w:color w:val="auto"/>
                <w:kern w:val="2"/>
                <w:sz w:val="21"/>
                <w:szCs w:val="20"/>
                <w:lang w:val="en-US" w:eastAsia="zh-CN" w:bidi="ar-SA"/>
              </w:rPr>
              <w:t>台</w:t>
            </w:r>
          </w:p>
        </w:tc>
        <w:tc>
          <w:tcPr>
            <w:tcW w:w="830" w:type="pct"/>
            <w:shd w:val="clear" w:color="auto" w:fill="auto"/>
            <w:vAlign w:val="center"/>
          </w:tcPr>
          <w:p w14:paraId="5706D21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90</w:t>
            </w:r>
          </w:p>
        </w:tc>
        <w:tc>
          <w:tcPr>
            <w:tcW w:w="1342" w:type="pct"/>
            <w:vMerge w:val="continue"/>
            <w:shd w:val="clear" w:color="auto" w:fill="auto"/>
            <w:vAlign w:val="center"/>
          </w:tcPr>
          <w:p w14:paraId="437A280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p>
        </w:tc>
        <w:tc>
          <w:tcPr>
            <w:tcW w:w="850" w:type="pct"/>
            <w:shd w:val="clear" w:color="auto" w:fill="auto"/>
            <w:vAlign w:val="center"/>
          </w:tcPr>
          <w:p w14:paraId="4381CC83">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61F52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5C6DFEA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eastAsia="宋体" w:cs="Times New Roman"/>
                <w:color w:val="auto"/>
                <w:kern w:val="2"/>
                <w:sz w:val="21"/>
                <w:szCs w:val="20"/>
                <w:lang w:val="en-US" w:eastAsia="zh-CN" w:bidi="ar-SA"/>
              </w:rPr>
              <w:t>4</w:t>
            </w:r>
          </w:p>
        </w:tc>
        <w:tc>
          <w:tcPr>
            <w:tcW w:w="517" w:type="pct"/>
            <w:vMerge w:val="continue"/>
            <w:shd w:val="clear" w:color="auto" w:fill="auto"/>
            <w:vAlign w:val="center"/>
          </w:tcPr>
          <w:p w14:paraId="57220D2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p>
        </w:tc>
        <w:tc>
          <w:tcPr>
            <w:tcW w:w="540" w:type="pct"/>
            <w:shd w:val="clear" w:color="auto" w:fill="auto"/>
            <w:vAlign w:val="center"/>
          </w:tcPr>
          <w:p w14:paraId="71C2CB57">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eastAsia="宋体" w:cs="宋体"/>
                <w:color w:val="auto"/>
                <w:sz w:val="21"/>
                <w:szCs w:val="21"/>
                <w:lang w:val="en-US" w:eastAsia="zh-CN" w:bidi="ar-SA"/>
              </w:rPr>
            </w:pPr>
            <w:r>
              <w:rPr>
                <w:rFonts w:hint="eastAsia" w:eastAsia="宋体" w:cs="宋体"/>
                <w:color w:val="auto"/>
                <w:sz w:val="21"/>
                <w:szCs w:val="21"/>
                <w:lang w:val="en-US" w:eastAsia="zh-CN" w:bidi="ar-SA"/>
              </w:rPr>
              <w:t>水</w:t>
            </w:r>
            <w:r>
              <w:rPr>
                <w:rFonts w:hint="eastAsia" w:ascii="Times New Roman" w:hAnsi="Times New Roman" w:eastAsia="宋体" w:cs="宋体"/>
                <w:color w:val="auto"/>
                <w:sz w:val="21"/>
                <w:szCs w:val="21"/>
                <w:lang w:val="en-US" w:eastAsia="zh-CN" w:bidi="ar-SA"/>
              </w:rPr>
              <w:t>泵</w:t>
            </w:r>
          </w:p>
        </w:tc>
        <w:tc>
          <w:tcPr>
            <w:tcW w:w="578" w:type="pct"/>
            <w:shd w:val="clear" w:color="auto" w:fill="auto"/>
            <w:vAlign w:val="center"/>
          </w:tcPr>
          <w:p w14:paraId="718248E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1</w:t>
            </w:r>
            <w:r>
              <w:rPr>
                <w:rFonts w:hint="eastAsia" w:ascii="Times New Roman" w:hAnsi="Times New Roman" w:eastAsia="宋体" w:cs="Times New Roman"/>
                <w:color w:val="auto"/>
                <w:kern w:val="2"/>
                <w:sz w:val="21"/>
                <w:szCs w:val="20"/>
                <w:lang w:val="en-US" w:eastAsia="zh-CN" w:bidi="ar-SA"/>
              </w:rPr>
              <w:t>台</w:t>
            </w:r>
          </w:p>
        </w:tc>
        <w:tc>
          <w:tcPr>
            <w:tcW w:w="830" w:type="pct"/>
            <w:shd w:val="clear" w:color="auto" w:fill="auto"/>
            <w:vAlign w:val="center"/>
          </w:tcPr>
          <w:p w14:paraId="1833912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宋体"/>
                <w:color w:val="auto"/>
                <w:sz w:val="21"/>
                <w:szCs w:val="21"/>
                <w:lang w:val="en-US" w:eastAsia="zh-CN" w:bidi="ar-SA"/>
              </w:rPr>
            </w:pPr>
            <w:r>
              <w:rPr>
                <w:rFonts w:hint="eastAsia" w:cs="Times New Roman"/>
                <w:color w:val="auto"/>
                <w:kern w:val="2"/>
                <w:sz w:val="21"/>
                <w:szCs w:val="20"/>
                <w:lang w:val="en-US" w:eastAsia="zh-CN" w:bidi="ar-SA"/>
              </w:rPr>
              <w:t>85</w:t>
            </w:r>
          </w:p>
        </w:tc>
        <w:tc>
          <w:tcPr>
            <w:tcW w:w="1342" w:type="pct"/>
            <w:vMerge w:val="continue"/>
            <w:shd w:val="clear" w:color="auto" w:fill="auto"/>
            <w:vAlign w:val="center"/>
          </w:tcPr>
          <w:p w14:paraId="4F59A997">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p>
        </w:tc>
        <w:tc>
          <w:tcPr>
            <w:tcW w:w="850" w:type="pct"/>
            <w:shd w:val="clear" w:color="auto" w:fill="auto"/>
            <w:vAlign w:val="center"/>
          </w:tcPr>
          <w:p w14:paraId="7B3E7F20">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rPr>
            </w:pPr>
            <w:r>
              <w:rPr>
                <w:rFonts w:hint="eastAsia" w:ascii="Times New Roman" w:hAnsi="Times New Roman" w:eastAsia="宋体" w:cs="Times New Roman"/>
                <w:color w:val="auto"/>
                <w:kern w:val="2"/>
                <w:sz w:val="21"/>
                <w:szCs w:val="20"/>
                <w:lang w:val="en-US" w:eastAsia="zh-CN"/>
              </w:rPr>
              <w:t>20</w:t>
            </w:r>
          </w:p>
        </w:tc>
      </w:tr>
      <w:tr w14:paraId="07A08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6B10CB83">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5</w:t>
            </w:r>
          </w:p>
        </w:tc>
        <w:tc>
          <w:tcPr>
            <w:tcW w:w="517" w:type="pct"/>
            <w:vMerge w:val="continue"/>
            <w:shd w:val="clear" w:color="auto" w:fill="auto"/>
            <w:vAlign w:val="center"/>
          </w:tcPr>
          <w:p w14:paraId="3D9F468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p>
        </w:tc>
        <w:tc>
          <w:tcPr>
            <w:tcW w:w="540" w:type="pct"/>
            <w:shd w:val="clear" w:color="auto" w:fill="auto"/>
            <w:vAlign w:val="center"/>
          </w:tcPr>
          <w:p w14:paraId="0B44EB7F">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eastAsia="宋体" w:cs="宋体"/>
                <w:color w:val="auto"/>
                <w:sz w:val="21"/>
                <w:szCs w:val="21"/>
                <w:lang w:val="en-US" w:eastAsia="zh-CN" w:bidi="ar-SA"/>
              </w:rPr>
            </w:pPr>
            <w:r>
              <w:rPr>
                <w:rFonts w:hint="default" w:eastAsia="宋体" w:cs="宋体"/>
                <w:color w:val="auto"/>
                <w:sz w:val="21"/>
                <w:szCs w:val="21"/>
                <w:lang w:val="en-US" w:eastAsia="zh-CN" w:bidi="ar-SA"/>
              </w:rPr>
              <w:t>清粪车辆</w:t>
            </w:r>
          </w:p>
        </w:tc>
        <w:tc>
          <w:tcPr>
            <w:tcW w:w="578" w:type="pct"/>
            <w:shd w:val="clear" w:color="auto" w:fill="auto"/>
            <w:vAlign w:val="center"/>
          </w:tcPr>
          <w:p w14:paraId="3C576EC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cs="Times New Roman"/>
                <w:color w:val="auto"/>
                <w:kern w:val="2"/>
                <w:sz w:val="21"/>
                <w:szCs w:val="20"/>
                <w:lang w:val="en-US" w:eastAsia="zh-CN" w:bidi="ar-SA"/>
              </w:rPr>
            </w:pPr>
            <w:r>
              <w:rPr>
                <w:rFonts w:hint="eastAsia" w:cs="Times New Roman"/>
                <w:color w:val="auto"/>
                <w:kern w:val="2"/>
                <w:sz w:val="21"/>
                <w:szCs w:val="20"/>
                <w:lang w:val="en-US" w:eastAsia="zh-CN" w:bidi="ar-SA"/>
              </w:rPr>
              <w:t>2</w:t>
            </w:r>
            <w:r>
              <w:rPr>
                <w:rFonts w:hint="eastAsia" w:ascii="Times New Roman" w:hAnsi="Times New Roman" w:eastAsia="宋体" w:cs="Times New Roman"/>
                <w:color w:val="auto"/>
                <w:kern w:val="2"/>
                <w:sz w:val="21"/>
                <w:szCs w:val="20"/>
                <w:lang w:val="en-US" w:eastAsia="zh-CN" w:bidi="ar-SA"/>
              </w:rPr>
              <w:t>台</w:t>
            </w:r>
          </w:p>
        </w:tc>
        <w:tc>
          <w:tcPr>
            <w:tcW w:w="830" w:type="pct"/>
            <w:shd w:val="clear" w:color="auto" w:fill="auto"/>
            <w:vAlign w:val="center"/>
          </w:tcPr>
          <w:p w14:paraId="5C446D8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cs="Times New Roman"/>
                <w:color w:val="auto"/>
                <w:kern w:val="2"/>
                <w:sz w:val="21"/>
                <w:szCs w:val="20"/>
                <w:lang w:val="en-US" w:eastAsia="zh-CN" w:bidi="ar-SA"/>
              </w:rPr>
            </w:pPr>
            <w:r>
              <w:rPr>
                <w:rFonts w:hint="eastAsia" w:cs="Times New Roman"/>
                <w:color w:val="auto"/>
                <w:kern w:val="2"/>
                <w:sz w:val="21"/>
                <w:szCs w:val="20"/>
                <w:lang w:val="en-US" w:eastAsia="zh-CN" w:bidi="ar-SA"/>
              </w:rPr>
              <w:t>93</w:t>
            </w:r>
          </w:p>
        </w:tc>
        <w:tc>
          <w:tcPr>
            <w:tcW w:w="1342" w:type="pct"/>
            <w:vMerge w:val="continue"/>
            <w:shd w:val="clear" w:color="auto" w:fill="auto"/>
            <w:vAlign w:val="center"/>
          </w:tcPr>
          <w:p w14:paraId="6D5470C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p>
        </w:tc>
        <w:tc>
          <w:tcPr>
            <w:tcW w:w="850" w:type="pct"/>
            <w:shd w:val="clear" w:color="auto" w:fill="auto"/>
            <w:vAlign w:val="center"/>
          </w:tcPr>
          <w:p w14:paraId="202617A1">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eastAsia="宋体" w:cs="Times New Roman"/>
                <w:color w:val="auto"/>
                <w:kern w:val="2"/>
                <w:sz w:val="21"/>
                <w:szCs w:val="20"/>
                <w:lang w:val="en-US" w:eastAsia="zh-CN"/>
              </w:rPr>
            </w:pPr>
            <w:r>
              <w:rPr>
                <w:rFonts w:hint="eastAsia" w:cs="Times New Roman"/>
                <w:color w:val="auto"/>
                <w:kern w:val="2"/>
                <w:sz w:val="21"/>
                <w:szCs w:val="20"/>
                <w:lang w:val="en-US" w:eastAsia="zh-CN"/>
              </w:rPr>
              <w:t>20</w:t>
            </w:r>
          </w:p>
        </w:tc>
      </w:tr>
      <w:tr w14:paraId="274D1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12222ADB">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6</w:t>
            </w:r>
          </w:p>
        </w:tc>
        <w:tc>
          <w:tcPr>
            <w:tcW w:w="517" w:type="pct"/>
            <w:vMerge w:val="continue"/>
            <w:shd w:val="clear" w:color="auto" w:fill="auto"/>
            <w:vAlign w:val="center"/>
          </w:tcPr>
          <w:p w14:paraId="4979B1F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宋体"/>
                <w:color w:val="auto"/>
                <w:sz w:val="21"/>
                <w:szCs w:val="21"/>
                <w:lang w:val="en-US" w:eastAsia="zh-CN" w:bidi="ar-SA"/>
              </w:rPr>
            </w:pPr>
          </w:p>
        </w:tc>
        <w:tc>
          <w:tcPr>
            <w:tcW w:w="540" w:type="pct"/>
            <w:shd w:val="clear" w:color="auto" w:fill="auto"/>
            <w:vAlign w:val="center"/>
          </w:tcPr>
          <w:p w14:paraId="52E0C827">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eastAsia="宋体" w:cs="宋体"/>
                <w:color w:val="auto"/>
                <w:sz w:val="21"/>
                <w:szCs w:val="21"/>
                <w:lang w:val="en-US" w:eastAsia="zh-CN" w:bidi="ar-SA"/>
              </w:rPr>
            </w:pPr>
            <w:r>
              <w:rPr>
                <w:rFonts w:hint="eastAsia" w:cs="宋体"/>
                <w:color w:val="auto"/>
                <w:sz w:val="21"/>
                <w:szCs w:val="21"/>
                <w:lang w:val="en-US" w:eastAsia="zh-CN" w:bidi="ar-SA"/>
              </w:rPr>
              <w:t>吸污车</w:t>
            </w:r>
          </w:p>
        </w:tc>
        <w:tc>
          <w:tcPr>
            <w:tcW w:w="578" w:type="pct"/>
            <w:shd w:val="clear" w:color="auto" w:fill="auto"/>
            <w:vAlign w:val="center"/>
          </w:tcPr>
          <w:p w14:paraId="6EFCA86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cs="Times New Roman"/>
                <w:color w:val="auto"/>
                <w:kern w:val="2"/>
                <w:sz w:val="21"/>
                <w:szCs w:val="20"/>
                <w:lang w:val="en-US" w:eastAsia="zh-CN" w:bidi="ar-SA"/>
              </w:rPr>
            </w:pPr>
            <w:r>
              <w:rPr>
                <w:rFonts w:hint="eastAsia" w:cs="Times New Roman"/>
                <w:color w:val="auto"/>
                <w:kern w:val="2"/>
                <w:sz w:val="21"/>
                <w:szCs w:val="20"/>
                <w:lang w:val="en-US" w:eastAsia="zh-CN" w:bidi="ar-SA"/>
              </w:rPr>
              <w:t>1</w:t>
            </w:r>
            <w:r>
              <w:rPr>
                <w:rFonts w:hint="eastAsia" w:ascii="Times New Roman" w:hAnsi="Times New Roman" w:eastAsia="宋体" w:cs="Times New Roman"/>
                <w:color w:val="auto"/>
                <w:kern w:val="2"/>
                <w:sz w:val="21"/>
                <w:szCs w:val="20"/>
                <w:lang w:val="en-US" w:eastAsia="zh-CN" w:bidi="ar-SA"/>
              </w:rPr>
              <w:t>台</w:t>
            </w:r>
          </w:p>
        </w:tc>
        <w:tc>
          <w:tcPr>
            <w:tcW w:w="830" w:type="pct"/>
            <w:shd w:val="clear" w:color="auto" w:fill="auto"/>
            <w:vAlign w:val="center"/>
          </w:tcPr>
          <w:p w14:paraId="2EEA6E6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cs="Times New Roman"/>
                <w:color w:val="auto"/>
                <w:kern w:val="2"/>
                <w:sz w:val="21"/>
                <w:szCs w:val="20"/>
                <w:lang w:val="en-US" w:eastAsia="zh-CN" w:bidi="ar-SA"/>
              </w:rPr>
            </w:pPr>
            <w:r>
              <w:rPr>
                <w:rFonts w:hint="eastAsia" w:cs="Times New Roman"/>
                <w:color w:val="auto"/>
                <w:kern w:val="2"/>
                <w:sz w:val="21"/>
                <w:szCs w:val="20"/>
                <w:lang w:val="en-US" w:eastAsia="zh-CN" w:bidi="ar-SA"/>
              </w:rPr>
              <w:t>90</w:t>
            </w:r>
          </w:p>
        </w:tc>
        <w:tc>
          <w:tcPr>
            <w:tcW w:w="1342" w:type="pct"/>
            <w:vMerge w:val="continue"/>
            <w:shd w:val="clear" w:color="auto" w:fill="auto"/>
            <w:vAlign w:val="center"/>
          </w:tcPr>
          <w:p w14:paraId="6199DC2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p>
        </w:tc>
        <w:tc>
          <w:tcPr>
            <w:tcW w:w="850" w:type="pct"/>
            <w:shd w:val="clear" w:color="auto" w:fill="auto"/>
            <w:vAlign w:val="center"/>
          </w:tcPr>
          <w:p w14:paraId="14236B37">
            <w:pPr>
              <w:keepNext w:val="0"/>
              <w:keepLines w:val="0"/>
              <w:pageBreakBefore w:val="0"/>
              <w:widowControl w:val="0"/>
              <w:kinsoku/>
              <w:wordWrap/>
              <w:overflowPunct/>
              <w:topLinePunct w:val="0"/>
              <w:bidi w:val="0"/>
              <w:snapToGrid/>
              <w:spacing w:line="400" w:lineRule="exact"/>
              <w:jc w:val="center"/>
              <w:textAlignment w:val="auto"/>
              <w:rPr>
                <w:rFonts w:hint="eastAsia" w:cs="Times New Roman"/>
                <w:color w:val="auto"/>
                <w:kern w:val="2"/>
                <w:sz w:val="21"/>
                <w:szCs w:val="20"/>
                <w:lang w:val="en-US" w:eastAsia="zh-CN"/>
              </w:rPr>
            </w:pPr>
            <w:r>
              <w:rPr>
                <w:rFonts w:hint="eastAsia" w:cs="Times New Roman"/>
                <w:color w:val="auto"/>
                <w:kern w:val="2"/>
                <w:sz w:val="21"/>
                <w:szCs w:val="20"/>
                <w:lang w:val="en-US" w:eastAsia="zh-CN"/>
              </w:rPr>
              <w:t>20</w:t>
            </w:r>
          </w:p>
        </w:tc>
      </w:tr>
      <w:tr w14:paraId="2A0CB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5F5A59F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7</w:t>
            </w:r>
          </w:p>
        </w:tc>
        <w:tc>
          <w:tcPr>
            <w:tcW w:w="517" w:type="pct"/>
            <w:vMerge w:val="restart"/>
            <w:shd w:val="clear" w:color="auto" w:fill="auto"/>
            <w:vAlign w:val="center"/>
          </w:tcPr>
          <w:p w14:paraId="44897B1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eastAsia="宋体" w:cs="宋体"/>
                <w:color w:val="auto"/>
                <w:sz w:val="21"/>
                <w:szCs w:val="21"/>
                <w:lang w:val="en-US" w:eastAsia="zh-CN" w:bidi="ar-SA"/>
              </w:rPr>
            </w:pPr>
            <w:r>
              <w:rPr>
                <w:rFonts w:hint="eastAsia" w:cs="Times New Roman"/>
                <w:sz w:val="21"/>
                <w:szCs w:val="21"/>
                <w:lang w:val="en-US" w:eastAsia="zh-CN"/>
              </w:rPr>
              <w:t>饲料加工区</w:t>
            </w:r>
          </w:p>
        </w:tc>
        <w:tc>
          <w:tcPr>
            <w:tcW w:w="540" w:type="pct"/>
            <w:shd w:val="clear" w:color="auto" w:fill="auto"/>
            <w:vAlign w:val="center"/>
          </w:tcPr>
          <w:p w14:paraId="43EA693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饲料粉碎机</w:t>
            </w:r>
          </w:p>
        </w:tc>
        <w:tc>
          <w:tcPr>
            <w:tcW w:w="578" w:type="pct"/>
            <w:shd w:val="clear" w:color="auto" w:fill="auto"/>
            <w:vAlign w:val="center"/>
          </w:tcPr>
          <w:p w14:paraId="76BCECB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cs="Times New Roman"/>
                <w:color w:val="auto"/>
                <w:kern w:val="2"/>
                <w:sz w:val="21"/>
                <w:szCs w:val="20"/>
                <w:lang w:val="en-US" w:eastAsia="zh-CN" w:bidi="ar-SA"/>
              </w:rPr>
            </w:pPr>
            <w:r>
              <w:rPr>
                <w:rFonts w:hint="eastAsia" w:cs="Times New Roman"/>
                <w:color w:val="auto"/>
                <w:kern w:val="2"/>
                <w:sz w:val="21"/>
                <w:szCs w:val="20"/>
                <w:lang w:val="en-US" w:eastAsia="zh-CN" w:bidi="ar-SA"/>
              </w:rPr>
              <w:t>1台</w:t>
            </w:r>
          </w:p>
        </w:tc>
        <w:tc>
          <w:tcPr>
            <w:tcW w:w="830" w:type="pct"/>
            <w:shd w:val="clear" w:color="auto" w:fill="auto"/>
            <w:vAlign w:val="center"/>
          </w:tcPr>
          <w:p w14:paraId="797F537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95</w:t>
            </w:r>
          </w:p>
        </w:tc>
        <w:tc>
          <w:tcPr>
            <w:tcW w:w="1342" w:type="pct"/>
            <w:vMerge w:val="restart"/>
            <w:shd w:val="clear" w:color="auto" w:fill="auto"/>
            <w:vAlign w:val="center"/>
          </w:tcPr>
          <w:p w14:paraId="6CA500F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spacing w:val="-1"/>
                <w:sz w:val="21"/>
                <w:szCs w:val="21"/>
              </w:rPr>
              <w:t>减振+建筑物隔声</w:t>
            </w:r>
          </w:p>
        </w:tc>
        <w:tc>
          <w:tcPr>
            <w:tcW w:w="850" w:type="pct"/>
            <w:shd w:val="clear" w:color="auto" w:fill="auto"/>
            <w:vAlign w:val="center"/>
          </w:tcPr>
          <w:p w14:paraId="203C5ED9">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39E9C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4BD3A0F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8</w:t>
            </w:r>
          </w:p>
        </w:tc>
        <w:tc>
          <w:tcPr>
            <w:tcW w:w="517" w:type="pct"/>
            <w:vMerge w:val="continue"/>
            <w:shd w:val="clear" w:color="auto" w:fill="auto"/>
            <w:vAlign w:val="center"/>
          </w:tcPr>
          <w:p w14:paraId="4D4E42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sz w:val="21"/>
                <w:szCs w:val="21"/>
                <w:lang w:val="en-US" w:eastAsia="zh-CN"/>
              </w:rPr>
            </w:pPr>
          </w:p>
        </w:tc>
        <w:tc>
          <w:tcPr>
            <w:tcW w:w="540" w:type="pct"/>
            <w:shd w:val="clear" w:color="auto" w:fill="auto"/>
            <w:vAlign w:val="center"/>
          </w:tcPr>
          <w:p w14:paraId="1A065D0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cs="Times New Roman"/>
                <w:sz w:val="21"/>
                <w:szCs w:val="21"/>
                <w:lang w:val="en-US" w:eastAsia="zh-CN"/>
              </w:rPr>
            </w:pPr>
            <w:r>
              <w:rPr>
                <w:rFonts w:hint="eastAsia" w:cs="Times New Roman"/>
                <w:color w:val="auto"/>
                <w:kern w:val="0"/>
                <w:sz w:val="21"/>
                <w:szCs w:val="21"/>
                <w:lang w:val="en-US" w:eastAsia="zh-CN" w:bidi="ar-SA"/>
              </w:rPr>
              <w:t>固定式</w:t>
            </w:r>
            <w:r>
              <w:rPr>
                <w:rFonts w:hint="default" w:ascii="Times New Roman" w:hAnsi="Times New Roman" w:eastAsia="宋体" w:cs="Times New Roman"/>
                <w:color w:val="auto"/>
                <w:kern w:val="0"/>
                <w:sz w:val="21"/>
                <w:szCs w:val="21"/>
                <w:lang w:val="en-US" w:eastAsia="zh-CN" w:bidi="ar-SA"/>
              </w:rPr>
              <w:t>TMR机</w:t>
            </w:r>
          </w:p>
        </w:tc>
        <w:tc>
          <w:tcPr>
            <w:tcW w:w="578" w:type="pct"/>
            <w:shd w:val="clear" w:color="auto" w:fill="auto"/>
            <w:vAlign w:val="center"/>
          </w:tcPr>
          <w:p w14:paraId="2164B55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cs="Times New Roman"/>
                <w:color w:val="auto"/>
                <w:kern w:val="2"/>
                <w:sz w:val="21"/>
                <w:szCs w:val="20"/>
                <w:lang w:val="en-US" w:eastAsia="zh-CN" w:bidi="ar-SA"/>
              </w:rPr>
            </w:pPr>
            <w:r>
              <w:rPr>
                <w:rFonts w:hint="eastAsia" w:cs="Times New Roman"/>
                <w:color w:val="auto"/>
                <w:kern w:val="2"/>
                <w:sz w:val="21"/>
                <w:szCs w:val="20"/>
                <w:lang w:val="en-US" w:eastAsia="zh-CN" w:bidi="ar-SA"/>
              </w:rPr>
              <w:t>4台</w:t>
            </w:r>
          </w:p>
        </w:tc>
        <w:tc>
          <w:tcPr>
            <w:tcW w:w="830" w:type="pct"/>
            <w:shd w:val="clear" w:color="auto" w:fill="auto"/>
            <w:vAlign w:val="center"/>
          </w:tcPr>
          <w:p w14:paraId="457149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86</w:t>
            </w:r>
          </w:p>
        </w:tc>
        <w:tc>
          <w:tcPr>
            <w:tcW w:w="1342" w:type="pct"/>
            <w:vMerge w:val="continue"/>
            <w:shd w:val="clear" w:color="auto" w:fill="auto"/>
            <w:vAlign w:val="center"/>
          </w:tcPr>
          <w:p w14:paraId="1AD6996C">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spacing w:val="-1"/>
                <w:sz w:val="21"/>
                <w:szCs w:val="21"/>
              </w:rPr>
            </w:pPr>
          </w:p>
        </w:tc>
        <w:tc>
          <w:tcPr>
            <w:tcW w:w="850" w:type="pct"/>
            <w:shd w:val="clear" w:color="auto" w:fill="auto"/>
            <w:vAlign w:val="center"/>
          </w:tcPr>
          <w:p w14:paraId="4EC4ECED">
            <w:pPr>
              <w:keepNext w:val="0"/>
              <w:keepLines w:val="0"/>
              <w:pageBreakBefore w:val="0"/>
              <w:widowControl w:val="0"/>
              <w:kinsoku/>
              <w:wordWrap/>
              <w:overflowPunct/>
              <w:topLinePunct w:val="0"/>
              <w:bidi w:val="0"/>
              <w:snapToGrid/>
              <w:spacing w:line="400" w:lineRule="exact"/>
              <w:jc w:val="center"/>
              <w:textAlignment w:val="auto"/>
              <w:rPr>
                <w:rFonts w:hint="default" w:ascii="Times New Roman" w:hAnsi="Times New Roman" w:eastAsia="宋体" w:cs="Times New Roman"/>
                <w:color w:val="auto"/>
                <w:kern w:val="2"/>
                <w:sz w:val="21"/>
                <w:szCs w:val="20"/>
                <w:lang w:val="en-US" w:eastAsia="zh-CN"/>
              </w:rPr>
            </w:pPr>
            <w:r>
              <w:rPr>
                <w:rFonts w:hint="eastAsia" w:cs="Times New Roman"/>
                <w:color w:val="auto"/>
                <w:kern w:val="2"/>
                <w:sz w:val="21"/>
                <w:szCs w:val="20"/>
                <w:lang w:val="en-US" w:eastAsia="zh-CN"/>
              </w:rPr>
              <w:t>20</w:t>
            </w:r>
          </w:p>
        </w:tc>
      </w:tr>
      <w:tr w14:paraId="024897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02507342">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9</w:t>
            </w:r>
          </w:p>
        </w:tc>
        <w:tc>
          <w:tcPr>
            <w:tcW w:w="517" w:type="pct"/>
            <w:vMerge w:val="continue"/>
            <w:shd w:val="clear" w:color="auto" w:fill="auto"/>
            <w:vAlign w:val="center"/>
          </w:tcPr>
          <w:p w14:paraId="190094F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sz w:val="21"/>
                <w:szCs w:val="21"/>
                <w:lang w:val="en-US" w:eastAsia="zh-CN"/>
              </w:rPr>
            </w:pPr>
          </w:p>
        </w:tc>
        <w:tc>
          <w:tcPr>
            <w:tcW w:w="540" w:type="pct"/>
            <w:shd w:val="clear" w:color="auto" w:fill="auto"/>
            <w:vAlign w:val="center"/>
          </w:tcPr>
          <w:p w14:paraId="0CA660D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sz w:val="21"/>
                <w:szCs w:val="21"/>
                <w:lang w:val="en-US" w:eastAsia="zh-CN"/>
              </w:rPr>
            </w:pPr>
            <w:r>
              <w:rPr>
                <w:rFonts w:hint="eastAsia" w:cs="宋体"/>
                <w:sz w:val="21"/>
                <w:szCs w:val="21"/>
                <w:lang w:val="en-US" w:eastAsia="zh-CN"/>
              </w:rPr>
              <w:t>风机</w:t>
            </w:r>
          </w:p>
        </w:tc>
        <w:tc>
          <w:tcPr>
            <w:tcW w:w="578" w:type="pct"/>
            <w:shd w:val="clear" w:color="auto" w:fill="auto"/>
            <w:vAlign w:val="center"/>
          </w:tcPr>
          <w:p w14:paraId="08DFFE6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cs="Times New Roman"/>
                <w:color w:val="auto"/>
                <w:kern w:val="2"/>
                <w:sz w:val="21"/>
                <w:szCs w:val="20"/>
                <w:lang w:val="en-US" w:eastAsia="zh-CN" w:bidi="ar-SA"/>
              </w:rPr>
            </w:pPr>
            <w:r>
              <w:rPr>
                <w:rFonts w:hint="eastAsia" w:cs="Times New Roman"/>
                <w:color w:val="auto"/>
                <w:kern w:val="2"/>
                <w:sz w:val="21"/>
                <w:szCs w:val="20"/>
                <w:lang w:val="en-US" w:eastAsia="zh-CN" w:bidi="ar-SA"/>
              </w:rPr>
              <w:t>1台</w:t>
            </w:r>
          </w:p>
        </w:tc>
        <w:tc>
          <w:tcPr>
            <w:tcW w:w="830" w:type="pct"/>
            <w:shd w:val="clear" w:color="auto" w:fill="auto"/>
            <w:vAlign w:val="center"/>
          </w:tcPr>
          <w:p w14:paraId="092E892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80</w:t>
            </w:r>
          </w:p>
        </w:tc>
        <w:tc>
          <w:tcPr>
            <w:tcW w:w="1342" w:type="pct"/>
            <w:vMerge w:val="continue"/>
            <w:shd w:val="clear" w:color="auto" w:fill="auto"/>
            <w:vAlign w:val="center"/>
          </w:tcPr>
          <w:p w14:paraId="7E7D0ED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spacing w:val="-1"/>
                <w:sz w:val="21"/>
                <w:szCs w:val="21"/>
              </w:rPr>
            </w:pPr>
          </w:p>
        </w:tc>
        <w:tc>
          <w:tcPr>
            <w:tcW w:w="850" w:type="pct"/>
            <w:shd w:val="clear" w:color="auto" w:fill="auto"/>
            <w:vAlign w:val="center"/>
          </w:tcPr>
          <w:p w14:paraId="3AE1EDF2">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2ACC9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279C9DBA">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10</w:t>
            </w:r>
          </w:p>
        </w:tc>
        <w:tc>
          <w:tcPr>
            <w:tcW w:w="517" w:type="pct"/>
            <w:vMerge w:val="restart"/>
            <w:shd w:val="clear" w:color="auto" w:fill="auto"/>
            <w:vAlign w:val="center"/>
          </w:tcPr>
          <w:p w14:paraId="13F25AA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sz w:val="21"/>
                <w:szCs w:val="21"/>
                <w:lang w:val="en-US" w:eastAsia="zh-CN"/>
              </w:rPr>
            </w:pPr>
            <w:r>
              <w:rPr>
                <w:rFonts w:hint="eastAsia" w:cs="Times New Roman"/>
                <w:sz w:val="21"/>
                <w:szCs w:val="21"/>
                <w:lang w:val="en-US" w:eastAsia="zh-CN"/>
              </w:rPr>
              <w:t>堆肥区</w:t>
            </w:r>
          </w:p>
        </w:tc>
        <w:tc>
          <w:tcPr>
            <w:tcW w:w="540" w:type="pct"/>
            <w:shd w:val="clear" w:color="auto" w:fill="auto"/>
            <w:vAlign w:val="center"/>
          </w:tcPr>
          <w:p w14:paraId="7B22943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翻抛机</w:t>
            </w:r>
          </w:p>
        </w:tc>
        <w:tc>
          <w:tcPr>
            <w:tcW w:w="578" w:type="pct"/>
            <w:shd w:val="clear" w:color="auto" w:fill="auto"/>
            <w:vAlign w:val="center"/>
          </w:tcPr>
          <w:p w14:paraId="12D3025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cs="Times New Roman"/>
                <w:color w:val="auto"/>
                <w:kern w:val="2"/>
                <w:sz w:val="21"/>
                <w:szCs w:val="20"/>
                <w:lang w:val="en-US" w:eastAsia="zh-CN" w:bidi="ar-SA"/>
              </w:rPr>
            </w:pPr>
            <w:r>
              <w:rPr>
                <w:rFonts w:hint="eastAsia" w:cs="Times New Roman"/>
                <w:color w:val="auto"/>
                <w:kern w:val="2"/>
                <w:sz w:val="21"/>
                <w:szCs w:val="20"/>
                <w:lang w:val="en-US" w:eastAsia="zh-CN" w:bidi="ar-SA"/>
              </w:rPr>
              <w:t>1台</w:t>
            </w:r>
          </w:p>
        </w:tc>
        <w:tc>
          <w:tcPr>
            <w:tcW w:w="830" w:type="pct"/>
            <w:shd w:val="clear" w:color="auto" w:fill="auto"/>
            <w:vAlign w:val="center"/>
          </w:tcPr>
          <w:p w14:paraId="1804726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4"/>
                <w:kern w:val="2"/>
                <w:sz w:val="21"/>
                <w:szCs w:val="21"/>
                <w:lang w:val="en-US" w:eastAsia="zh-CN" w:bidi="ar-SA"/>
              </w:rPr>
            </w:pPr>
            <w:r>
              <w:rPr>
                <w:rFonts w:hint="eastAsia" w:ascii="Times New Roman" w:hAnsi="Times New Roman" w:eastAsia="宋体" w:cs="Times New Roman"/>
                <w:spacing w:val="-4"/>
                <w:kern w:val="2"/>
                <w:sz w:val="21"/>
                <w:szCs w:val="21"/>
                <w:lang w:val="en-US" w:eastAsia="zh-CN" w:bidi="ar-SA"/>
              </w:rPr>
              <w:t>85</w:t>
            </w:r>
          </w:p>
        </w:tc>
        <w:tc>
          <w:tcPr>
            <w:tcW w:w="1342" w:type="pct"/>
            <w:vMerge w:val="restart"/>
            <w:shd w:val="clear" w:color="auto" w:fill="auto"/>
            <w:vAlign w:val="center"/>
          </w:tcPr>
          <w:p w14:paraId="476A1593">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spacing w:val="-1"/>
                <w:sz w:val="21"/>
                <w:szCs w:val="21"/>
              </w:rPr>
            </w:pPr>
            <w:r>
              <w:rPr>
                <w:rFonts w:hint="default" w:ascii="Times New Roman" w:hAnsi="Times New Roman" w:eastAsia="宋体" w:cs="Times New Roman"/>
                <w:spacing w:val="-1"/>
                <w:sz w:val="21"/>
                <w:szCs w:val="21"/>
              </w:rPr>
              <w:t>减振+建筑物隔声</w:t>
            </w:r>
          </w:p>
        </w:tc>
        <w:tc>
          <w:tcPr>
            <w:tcW w:w="850" w:type="pct"/>
            <w:shd w:val="clear" w:color="auto" w:fill="auto"/>
            <w:vAlign w:val="center"/>
          </w:tcPr>
          <w:p w14:paraId="5071C432">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733EF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1FFB189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11</w:t>
            </w:r>
          </w:p>
        </w:tc>
        <w:tc>
          <w:tcPr>
            <w:tcW w:w="517" w:type="pct"/>
            <w:vMerge w:val="continue"/>
            <w:shd w:val="clear" w:color="auto" w:fill="auto"/>
            <w:vAlign w:val="center"/>
          </w:tcPr>
          <w:p w14:paraId="528A425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sz w:val="21"/>
                <w:szCs w:val="21"/>
                <w:lang w:val="en-US" w:eastAsia="zh-CN"/>
              </w:rPr>
            </w:pPr>
          </w:p>
        </w:tc>
        <w:tc>
          <w:tcPr>
            <w:tcW w:w="540" w:type="pct"/>
            <w:shd w:val="clear" w:color="auto" w:fill="auto"/>
            <w:vAlign w:val="center"/>
          </w:tcPr>
          <w:p w14:paraId="255A3B8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sz w:val="21"/>
                <w:szCs w:val="21"/>
                <w:lang w:val="en-US" w:eastAsia="zh-CN"/>
              </w:rPr>
            </w:pPr>
            <w:r>
              <w:rPr>
                <w:rFonts w:hint="eastAsia" w:cs="宋体"/>
                <w:sz w:val="21"/>
                <w:szCs w:val="21"/>
                <w:lang w:val="en-US" w:eastAsia="zh-CN"/>
              </w:rPr>
              <w:t>混料机</w:t>
            </w:r>
          </w:p>
        </w:tc>
        <w:tc>
          <w:tcPr>
            <w:tcW w:w="578" w:type="pct"/>
            <w:shd w:val="clear" w:color="auto" w:fill="auto"/>
            <w:vAlign w:val="center"/>
          </w:tcPr>
          <w:p w14:paraId="7B0A367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cs="Times New Roman"/>
                <w:color w:val="auto"/>
                <w:kern w:val="2"/>
                <w:sz w:val="21"/>
                <w:szCs w:val="20"/>
                <w:lang w:val="en-US" w:eastAsia="zh-CN" w:bidi="ar-SA"/>
              </w:rPr>
            </w:pPr>
            <w:r>
              <w:rPr>
                <w:rFonts w:hint="eastAsia" w:cs="Times New Roman"/>
                <w:color w:val="auto"/>
                <w:kern w:val="2"/>
                <w:sz w:val="21"/>
                <w:szCs w:val="20"/>
                <w:lang w:val="en-US" w:eastAsia="zh-CN" w:bidi="ar-SA"/>
              </w:rPr>
              <w:t>1台</w:t>
            </w:r>
          </w:p>
        </w:tc>
        <w:tc>
          <w:tcPr>
            <w:tcW w:w="830" w:type="pct"/>
            <w:shd w:val="clear" w:color="auto" w:fill="auto"/>
            <w:vAlign w:val="center"/>
          </w:tcPr>
          <w:p w14:paraId="41FAA56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4"/>
                <w:kern w:val="2"/>
                <w:sz w:val="21"/>
                <w:szCs w:val="21"/>
                <w:lang w:val="en-US" w:eastAsia="zh-CN" w:bidi="ar-SA"/>
              </w:rPr>
            </w:pPr>
            <w:r>
              <w:rPr>
                <w:rFonts w:hint="eastAsia" w:cs="Times New Roman"/>
                <w:spacing w:val="-4"/>
                <w:kern w:val="2"/>
                <w:sz w:val="21"/>
                <w:szCs w:val="21"/>
                <w:lang w:val="en-US" w:eastAsia="zh-CN" w:bidi="ar-SA"/>
              </w:rPr>
              <w:t>80</w:t>
            </w:r>
          </w:p>
        </w:tc>
        <w:tc>
          <w:tcPr>
            <w:tcW w:w="1342" w:type="pct"/>
            <w:vMerge w:val="continue"/>
            <w:shd w:val="clear" w:color="auto" w:fill="auto"/>
            <w:vAlign w:val="center"/>
          </w:tcPr>
          <w:p w14:paraId="1D24E020">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spacing w:val="-1"/>
                <w:sz w:val="21"/>
                <w:szCs w:val="21"/>
              </w:rPr>
            </w:pPr>
          </w:p>
        </w:tc>
        <w:tc>
          <w:tcPr>
            <w:tcW w:w="850" w:type="pct"/>
            <w:shd w:val="clear" w:color="auto" w:fill="auto"/>
            <w:vAlign w:val="center"/>
          </w:tcPr>
          <w:p w14:paraId="6E92B24E">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r w14:paraId="50C8F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39" w:type="pct"/>
            <w:shd w:val="clear" w:color="auto" w:fill="auto"/>
            <w:vAlign w:val="center"/>
          </w:tcPr>
          <w:p w14:paraId="52BC5E1D">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cs="Times New Roman"/>
                <w:color w:val="auto"/>
                <w:kern w:val="2"/>
                <w:sz w:val="21"/>
                <w:szCs w:val="20"/>
                <w:lang w:val="en-US" w:eastAsia="zh-CN" w:bidi="ar-SA"/>
              </w:rPr>
            </w:pPr>
            <w:r>
              <w:rPr>
                <w:rFonts w:hint="eastAsia" w:cs="Times New Roman"/>
                <w:color w:val="auto"/>
                <w:kern w:val="2"/>
                <w:sz w:val="21"/>
                <w:szCs w:val="20"/>
                <w:lang w:val="en-US" w:eastAsia="zh-CN" w:bidi="ar-SA"/>
              </w:rPr>
              <w:t>12</w:t>
            </w:r>
          </w:p>
        </w:tc>
        <w:tc>
          <w:tcPr>
            <w:tcW w:w="517" w:type="pct"/>
            <w:vMerge w:val="continue"/>
            <w:shd w:val="clear" w:color="auto" w:fill="auto"/>
            <w:vAlign w:val="center"/>
          </w:tcPr>
          <w:p w14:paraId="61DA0D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sz w:val="21"/>
                <w:szCs w:val="21"/>
                <w:lang w:val="en-US" w:eastAsia="zh-CN"/>
              </w:rPr>
            </w:pPr>
          </w:p>
        </w:tc>
        <w:tc>
          <w:tcPr>
            <w:tcW w:w="540" w:type="pct"/>
            <w:shd w:val="clear" w:color="auto" w:fill="auto"/>
            <w:vAlign w:val="center"/>
          </w:tcPr>
          <w:p w14:paraId="68ADC6E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sz w:val="21"/>
                <w:szCs w:val="21"/>
                <w:lang w:val="en-US" w:eastAsia="zh-CN"/>
              </w:rPr>
            </w:pPr>
            <w:r>
              <w:rPr>
                <w:rFonts w:hint="eastAsia" w:cs="宋体"/>
                <w:sz w:val="21"/>
                <w:szCs w:val="21"/>
                <w:lang w:val="en-US" w:eastAsia="zh-CN"/>
              </w:rPr>
              <w:t>风机</w:t>
            </w:r>
          </w:p>
        </w:tc>
        <w:tc>
          <w:tcPr>
            <w:tcW w:w="578" w:type="pct"/>
            <w:shd w:val="clear" w:color="auto" w:fill="auto"/>
            <w:vAlign w:val="center"/>
          </w:tcPr>
          <w:p w14:paraId="6378186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cs="Times New Roman"/>
                <w:color w:val="auto"/>
                <w:kern w:val="2"/>
                <w:sz w:val="21"/>
                <w:szCs w:val="20"/>
                <w:lang w:val="en-US" w:eastAsia="zh-CN" w:bidi="ar-SA"/>
              </w:rPr>
            </w:pPr>
            <w:r>
              <w:rPr>
                <w:rFonts w:hint="eastAsia" w:cs="Times New Roman"/>
                <w:color w:val="auto"/>
                <w:kern w:val="2"/>
                <w:sz w:val="21"/>
                <w:szCs w:val="20"/>
                <w:lang w:val="en-US" w:eastAsia="zh-CN" w:bidi="ar-SA"/>
              </w:rPr>
              <w:t>2台</w:t>
            </w:r>
          </w:p>
        </w:tc>
        <w:tc>
          <w:tcPr>
            <w:tcW w:w="830" w:type="pct"/>
            <w:shd w:val="clear" w:color="auto" w:fill="auto"/>
            <w:vAlign w:val="center"/>
          </w:tcPr>
          <w:p w14:paraId="1274B0E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4"/>
                <w:kern w:val="2"/>
                <w:sz w:val="21"/>
                <w:szCs w:val="21"/>
                <w:lang w:val="en-US" w:eastAsia="zh-CN" w:bidi="ar-SA"/>
              </w:rPr>
            </w:pPr>
            <w:r>
              <w:rPr>
                <w:rFonts w:hint="eastAsia" w:cs="Times New Roman"/>
                <w:spacing w:val="-4"/>
                <w:kern w:val="2"/>
                <w:sz w:val="21"/>
                <w:szCs w:val="21"/>
                <w:lang w:val="en-US" w:eastAsia="zh-CN" w:bidi="ar-SA"/>
              </w:rPr>
              <w:t>83</w:t>
            </w:r>
          </w:p>
        </w:tc>
        <w:tc>
          <w:tcPr>
            <w:tcW w:w="1342" w:type="pct"/>
            <w:vMerge w:val="continue"/>
            <w:shd w:val="clear" w:color="auto" w:fill="auto"/>
            <w:vAlign w:val="center"/>
          </w:tcPr>
          <w:p w14:paraId="3EFF25D6">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spacing w:val="-1"/>
                <w:sz w:val="21"/>
                <w:szCs w:val="21"/>
              </w:rPr>
            </w:pPr>
          </w:p>
        </w:tc>
        <w:tc>
          <w:tcPr>
            <w:tcW w:w="850" w:type="pct"/>
            <w:shd w:val="clear" w:color="auto" w:fill="auto"/>
            <w:vAlign w:val="center"/>
          </w:tcPr>
          <w:p w14:paraId="3C795516">
            <w:pPr>
              <w:keepNext w:val="0"/>
              <w:keepLines w:val="0"/>
              <w:pageBreakBefore w:val="0"/>
              <w:widowControl w:val="0"/>
              <w:kinsoku/>
              <w:wordWrap/>
              <w:overflowPunct/>
              <w:topLinePunct w:val="0"/>
              <w:bidi w:val="0"/>
              <w:snapToGrid/>
              <w:spacing w:line="400" w:lineRule="exact"/>
              <w:jc w:val="center"/>
              <w:textAlignment w:val="auto"/>
              <w:rPr>
                <w:rFonts w:hint="eastAsia" w:ascii="Times New Roman" w:hAnsi="Times New Roman" w:eastAsia="宋体" w:cs="Times New Roman"/>
                <w:color w:val="auto"/>
                <w:kern w:val="2"/>
                <w:sz w:val="21"/>
                <w:szCs w:val="20"/>
                <w:lang w:val="en-US" w:eastAsia="zh-CN"/>
              </w:rPr>
            </w:pPr>
            <w:r>
              <w:rPr>
                <w:rFonts w:hint="eastAsia" w:ascii="Times New Roman" w:hAnsi="Times New Roman" w:eastAsia="宋体" w:cs="Times New Roman"/>
                <w:color w:val="auto"/>
                <w:kern w:val="2"/>
                <w:sz w:val="21"/>
                <w:szCs w:val="20"/>
                <w:lang w:val="en-US" w:eastAsia="zh-CN"/>
              </w:rPr>
              <w:t>20</w:t>
            </w:r>
          </w:p>
        </w:tc>
      </w:tr>
    </w:tbl>
    <w:p w14:paraId="3B94D562">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3.</w:t>
      </w:r>
      <w:r>
        <w:rPr>
          <w:rFonts w:hint="eastAsia"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.2.4固体废物</w:t>
      </w:r>
    </w:p>
    <w:p w14:paraId="09638F2E">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本项目产生的固体废物主要</w:t>
      </w:r>
      <w:r>
        <w:rPr>
          <w:rFonts w:hint="eastAsia" w:cs="Times New Roman"/>
          <w:color w:val="auto"/>
          <w:sz w:val="24"/>
          <w:szCs w:val="24"/>
          <w:lang w:val="en-US" w:eastAsia="zh-CN"/>
        </w:rPr>
        <w:t>为</w:t>
      </w:r>
      <w:r>
        <w:rPr>
          <w:rFonts w:hint="default" w:ascii="Times New Roman" w:hAnsi="Times New Roman" w:eastAsia="宋体" w:cs="Times New Roman"/>
          <w:color w:val="auto"/>
          <w:sz w:val="24"/>
          <w:szCs w:val="24"/>
        </w:rPr>
        <w:t>生活垃圾</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牛粪及废发酵垫</w:t>
      </w:r>
      <w:r>
        <w:rPr>
          <w:rFonts w:hint="eastAsia" w:ascii="Times New Roman" w:hAnsi="Times New Roman" w:eastAsia="宋体" w:cs="Times New Roman"/>
          <w:color w:val="auto"/>
          <w:sz w:val="24"/>
          <w:szCs w:val="24"/>
          <w:lang w:val="en-US" w:eastAsia="zh-CN"/>
        </w:rPr>
        <w:t>、病死</w:t>
      </w:r>
      <w:r>
        <w:rPr>
          <w:rFonts w:hint="eastAsia" w:eastAsia="宋体" w:cs="Times New Roman"/>
          <w:color w:val="auto"/>
          <w:sz w:val="24"/>
          <w:szCs w:val="24"/>
          <w:lang w:val="en-US" w:eastAsia="zh-CN"/>
        </w:rPr>
        <w:t>牛</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000000"/>
          <w:kern w:val="2"/>
          <w:sz w:val="24"/>
          <w:szCs w:val="24"/>
          <w:highlight w:val="none"/>
          <w:lang w:val="en-US" w:eastAsia="zh-CN" w:bidi="ar-SA"/>
        </w:rPr>
        <w:t>废包装材料</w:t>
      </w:r>
      <w:r>
        <w:rPr>
          <w:rFonts w:hint="eastAsia" w:cs="Times New Roman"/>
          <w:color w:val="auto"/>
          <w:sz w:val="24"/>
          <w:szCs w:val="24"/>
          <w:lang w:val="en-US" w:eastAsia="zh-CN"/>
        </w:rPr>
        <w:t>、医疗废物、除尘灰</w:t>
      </w:r>
      <w:r>
        <w:rPr>
          <w:rFonts w:hint="default" w:ascii="Times New Roman" w:hAnsi="Times New Roman" w:eastAsia="宋体" w:cs="Times New Roman"/>
          <w:color w:val="auto"/>
          <w:sz w:val="24"/>
          <w:szCs w:val="24"/>
        </w:rPr>
        <w:t>和</w:t>
      </w:r>
      <w:r>
        <w:rPr>
          <w:rFonts w:hint="eastAsia" w:cs="Times New Roman"/>
          <w:color w:val="auto"/>
          <w:sz w:val="24"/>
          <w:szCs w:val="24"/>
          <w:lang w:val="en-US" w:eastAsia="zh-CN"/>
        </w:rPr>
        <w:t>废填料</w:t>
      </w:r>
      <w:r>
        <w:rPr>
          <w:rFonts w:hint="default" w:ascii="Times New Roman" w:hAnsi="Times New Roman" w:eastAsia="宋体" w:cs="Times New Roman"/>
          <w:color w:val="auto"/>
          <w:sz w:val="24"/>
          <w:szCs w:val="24"/>
        </w:rPr>
        <w:t>。</w:t>
      </w:r>
    </w:p>
    <w:p w14:paraId="28E3A924">
      <w:pPr>
        <w:keepNext w:val="0"/>
        <w:keepLines w:val="0"/>
        <w:pageBreakBefore w:val="0"/>
        <w:numPr>
          <w:ilvl w:val="0"/>
          <w:numId w:val="9"/>
        </w:numPr>
        <w:wordWrap/>
        <w:topLinePunct w:val="0"/>
        <w:bidi w:val="0"/>
        <w:adjustRightInd/>
        <w:snapToGrid/>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生活垃圾</w:t>
      </w:r>
    </w:p>
    <w:p w14:paraId="4A61DF9D">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本项目生活垃圾主要是员工日常办公及生活产生的废物。本项目</w:t>
      </w:r>
      <w:r>
        <w:rPr>
          <w:rFonts w:hint="eastAsia" w:ascii="Times New Roman" w:hAnsi="Times New Roman" w:eastAsia="宋体" w:cs="Times New Roman"/>
          <w:color w:val="auto"/>
          <w:sz w:val="24"/>
          <w:szCs w:val="24"/>
          <w:lang w:val="en-US" w:eastAsia="zh-CN"/>
        </w:rPr>
        <w:t>劳动定员</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rPr>
        <w:t>人，生活垃圾按每人每天</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kg/d计，生活垃圾产生量约为</w:t>
      </w:r>
      <w:r>
        <w:rPr>
          <w:rFonts w:hint="eastAsia" w:cs="Times New Roman"/>
          <w:color w:val="auto"/>
          <w:sz w:val="24"/>
          <w:szCs w:val="24"/>
          <w:lang w:val="en-US" w:eastAsia="zh-CN"/>
        </w:rPr>
        <w:t>4.38</w:t>
      </w:r>
      <w:r>
        <w:rPr>
          <w:rFonts w:hint="default" w:ascii="Times New Roman" w:hAnsi="Times New Roman" w:eastAsia="宋体" w:cs="Times New Roman"/>
          <w:color w:val="auto"/>
          <w:sz w:val="24"/>
          <w:szCs w:val="24"/>
        </w:rPr>
        <w:t>t/a。生活垃圾</w:t>
      </w:r>
      <w:r>
        <w:rPr>
          <w:rFonts w:hint="eastAsia" w:ascii="Times New Roman" w:hAnsi="Times New Roman" w:eastAsia="宋体" w:cs="Times New Roman"/>
          <w:color w:val="auto"/>
          <w:sz w:val="24"/>
          <w:szCs w:val="24"/>
          <w:lang w:val="en-US" w:eastAsia="zh-CN"/>
        </w:rPr>
        <w:t>集中收集后</w:t>
      </w:r>
      <w:r>
        <w:rPr>
          <w:rFonts w:hint="default" w:ascii="Times New Roman" w:hAnsi="Times New Roman" w:eastAsia="宋体" w:cs="Times New Roman"/>
          <w:color w:val="auto"/>
          <w:sz w:val="24"/>
          <w:szCs w:val="24"/>
        </w:rPr>
        <w:t>，委托环卫部门</w:t>
      </w:r>
      <w:r>
        <w:rPr>
          <w:rFonts w:hint="eastAsia" w:ascii="Times New Roman" w:hAnsi="Times New Roman" w:eastAsia="宋体" w:cs="Times New Roman"/>
          <w:color w:val="auto"/>
          <w:sz w:val="24"/>
          <w:szCs w:val="24"/>
          <w:lang w:val="en-US" w:eastAsia="zh-CN"/>
        </w:rPr>
        <w:t>定期</w:t>
      </w:r>
      <w:r>
        <w:rPr>
          <w:rFonts w:hint="default" w:ascii="Times New Roman" w:hAnsi="Times New Roman" w:eastAsia="宋体" w:cs="Times New Roman"/>
          <w:color w:val="auto"/>
          <w:sz w:val="24"/>
          <w:szCs w:val="24"/>
        </w:rPr>
        <w:t>清运。</w:t>
      </w:r>
    </w:p>
    <w:p w14:paraId="4E98C8B5">
      <w:pPr>
        <w:keepNext w:val="0"/>
        <w:keepLines w:val="0"/>
        <w:pageBreakBefore w:val="0"/>
        <w:numPr>
          <w:ilvl w:val="0"/>
          <w:numId w:val="9"/>
        </w:numPr>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养殖区固废</w:t>
      </w:r>
    </w:p>
    <w:p w14:paraId="0DFC71BB">
      <w:pPr>
        <w:keepNext w:val="0"/>
        <w:keepLines w:val="0"/>
        <w:pageBreakBefore w:val="0"/>
        <w:numPr>
          <w:ilvl w:val="0"/>
          <w:numId w:val="0"/>
        </w:numPr>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①</w:t>
      </w:r>
      <w:r>
        <w:rPr>
          <w:rFonts w:hint="eastAsia" w:eastAsia="宋体" w:cs="Times New Roman"/>
          <w:color w:val="auto"/>
          <w:sz w:val="24"/>
          <w:szCs w:val="24"/>
          <w:lang w:val="en-US" w:eastAsia="zh-CN"/>
        </w:rPr>
        <w:t>牛粪及废发酵垫</w:t>
      </w:r>
    </w:p>
    <w:p w14:paraId="4897A79D">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lang w:val="en-US" w:eastAsia="zh-CN"/>
        </w:rPr>
        <w:t>《排污许可证申请与核发技术规范 畜禽养殖行业》（HJ1029-2019）</w:t>
      </w:r>
      <w:r>
        <w:rPr>
          <w:rFonts w:hint="eastAsia" w:cs="Times New Roman"/>
          <w:color w:val="auto"/>
          <w:sz w:val="24"/>
          <w:lang w:val="en-US" w:eastAsia="zh-CN"/>
        </w:rPr>
        <w:t>肉牛粪便产生量10.88kg/d·头</w:t>
      </w:r>
      <w:r>
        <w:rPr>
          <w:rFonts w:hint="eastAsia" w:ascii="Times New Roman" w:hAnsi="Times New Roman" w:eastAsia="宋体" w:cs="Times New Roman"/>
          <w:color w:val="auto"/>
          <w:sz w:val="24"/>
          <w:lang w:val="en-US" w:eastAsia="zh-CN"/>
        </w:rPr>
        <w:t>，则本项目运营期</w:t>
      </w:r>
      <w:r>
        <w:rPr>
          <w:rFonts w:hint="eastAsia" w:eastAsia="宋体" w:cs="Times New Roman"/>
          <w:color w:val="auto"/>
          <w:sz w:val="24"/>
          <w:szCs w:val="24"/>
          <w:lang w:val="en-US" w:eastAsia="zh-CN"/>
        </w:rPr>
        <w:t>牛粪</w:t>
      </w:r>
      <w:r>
        <w:rPr>
          <w:rFonts w:hint="eastAsia" w:ascii="Times New Roman" w:hAnsi="Times New Roman" w:eastAsia="宋体" w:cs="Times New Roman"/>
          <w:color w:val="auto"/>
          <w:sz w:val="24"/>
          <w:lang w:val="en-US" w:eastAsia="zh-CN"/>
        </w:rPr>
        <w:t>产生量为</w:t>
      </w:r>
      <w:r>
        <w:rPr>
          <w:rFonts w:hint="eastAsia" w:cs="Times New Roman"/>
          <w:color w:val="auto"/>
          <w:sz w:val="24"/>
          <w:lang w:val="en-US" w:eastAsia="zh-CN"/>
        </w:rPr>
        <w:t>11913.6</w:t>
      </w:r>
      <w:r>
        <w:rPr>
          <w:rFonts w:hint="eastAsia" w:ascii="Times New Roman" w:hAnsi="Times New Roman" w:eastAsia="宋体" w:cs="Times New Roman"/>
          <w:color w:val="auto"/>
          <w:sz w:val="24"/>
          <w:lang w:val="en-US" w:eastAsia="zh-CN"/>
        </w:rPr>
        <w:t>t/a</w:t>
      </w:r>
      <w:r>
        <w:rPr>
          <w:rFonts w:hint="default" w:ascii="Times New Roman" w:hAnsi="Times New Roman" w:eastAsia="宋体" w:cs="Times New Roman"/>
          <w:color w:val="auto"/>
          <w:sz w:val="24"/>
          <w:szCs w:val="24"/>
        </w:rPr>
        <w:t>。</w:t>
      </w:r>
    </w:p>
    <w:p w14:paraId="433FFA95">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生物菌发酵床技术铺设垫床一般采用</w:t>
      </w:r>
      <w:r>
        <w:rPr>
          <w:rFonts w:hint="eastAsia" w:ascii="Times New Roman" w:hAnsi="Times New Roman" w:eastAsia="宋体" w:cs="Times New Roman"/>
          <w:color w:val="auto"/>
          <w:kern w:val="0"/>
          <w:sz w:val="24"/>
          <w:szCs w:val="24"/>
          <w:lang w:val="en-US" w:eastAsia="zh-CN"/>
        </w:rPr>
        <w:t>玉米秸秆</w:t>
      </w:r>
      <w:r>
        <w:rPr>
          <w:rFonts w:hint="eastAsia"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稻草、锯末和稻壳</w:t>
      </w:r>
      <w:r>
        <w:rPr>
          <w:rFonts w:hint="eastAsia" w:ascii="Times New Roman" w:hAnsi="Times New Roman" w:eastAsia="宋体" w:cs="Times New Roman"/>
          <w:color w:val="auto"/>
          <w:sz w:val="24"/>
          <w:szCs w:val="24"/>
          <w:lang w:val="en-US" w:eastAsia="zh-CN"/>
        </w:rPr>
        <w:t>等农业材料。项目的牛粪和牛尿液均进入垫草垫料中，经牛踩结形成粪床。</w:t>
      </w:r>
      <w:r>
        <w:rPr>
          <w:rFonts w:hint="eastAsia" w:eastAsia="宋体" w:cs="Times New Roman"/>
          <w:color w:val="auto"/>
          <w:sz w:val="24"/>
          <w:szCs w:val="24"/>
          <w:lang w:val="en-US" w:eastAsia="zh-CN"/>
        </w:rPr>
        <w:t>其中牛尿在发酵过程中蒸发损耗，垫料每年集中清理一次，</w:t>
      </w:r>
      <w:r>
        <w:rPr>
          <w:rFonts w:hint="eastAsia" w:cs="Times New Roman"/>
          <w:color w:val="auto"/>
          <w:sz w:val="24"/>
          <w:szCs w:val="24"/>
          <w:lang w:val="en-US" w:eastAsia="zh-CN"/>
        </w:rPr>
        <w:t>根据建设单位提供材料，发酵垫料</w:t>
      </w:r>
      <w:r>
        <w:rPr>
          <w:rFonts w:hint="eastAsia" w:eastAsia="宋体" w:cs="Times New Roman"/>
          <w:color w:val="auto"/>
          <w:sz w:val="24"/>
          <w:szCs w:val="24"/>
          <w:lang w:val="en-US" w:eastAsia="zh-CN"/>
        </w:rPr>
        <w:t>更换量</w:t>
      </w:r>
      <w:r>
        <w:rPr>
          <w:rFonts w:hint="eastAsia" w:cs="Times New Roman"/>
          <w:color w:val="auto"/>
          <w:sz w:val="24"/>
          <w:szCs w:val="24"/>
          <w:lang w:val="en-US" w:eastAsia="zh-CN"/>
        </w:rPr>
        <w:t>共</w:t>
      </w:r>
      <w:r>
        <w:rPr>
          <w:rFonts w:hint="eastAsia" w:eastAsia="宋体" w:cs="Times New Roman"/>
          <w:color w:val="auto"/>
          <w:sz w:val="24"/>
          <w:szCs w:val="24"/>
          <w:lang w:val="en-US" w:eastAsia="zh-CN"/>
        </w:rPr>
        <w:t>为</w:t>
      </w:r>
      <w:r>
        <w:rPr>
          <w:rFonts w:hint="eastAsia" w:cs="Times New Roman"/>
          <w:color w:val="auto"/>
          <w:sz w:val="24"/>
          <w:szCs w:val="24"/>
          <w:highlight w:val="none"/>
          <w:lang w:val="en-US" w:eastAsia="zh-CN"/>
        </w:rPr>
        <w:t>220</w:t>
      </w:r>
      <w:r>
        <w:rPr>
          <w:rFonts w:hint="eastAsia" w:eastAsia="宋体" w:cs="Times New Roman"/>
          <w:color w:val="auto"/>
          <w:sz w:val="24"/>
          <w:szCs w:val="24"/>
          <w:lang w:val="en-US" w:eastAsia="zh-CN"/>
        </w:rPr>
        <w:t>t/a，定期更换的废发酵垫料与牛粪一同送入</w:t>
      </w:r>
      <w:r>
        <w:rPr>
          <w:rFonts w:hint="eastAsia" w:cs="Times New Roman"/>
          <w:color w:val="auto"/>
          <w:sz w:val="24"/>
          <w:szCs w:val="24"/>
          <w:lang w:val="en-US" w:eastAsia="zh-CN"/>
        </w:rPr>
        <w:t>堆肥间翻抛后还田</w:t>
      </w:r>
      <w:r>
        <w:rPr>
          <w:rFonts w:hint="eastAsia" w:eastAsia="宋体" w:cs="Times New Roman"/>
          <w:color w:val="auto"/>
          <w:sz w:val="24"/>
          <w:szCs w:val="24"/>
          <w:lang w:val="en-US" w:eastAsia="zh-CN"/>
        </w:rPr>
        <w:t>，全过程按照无害化，资源化进行处理处置。</w:t>
      </w:r>
    </w:p>
    <w:p w14:paraId="659A68BF">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cs="Times New Roman"/>
          <w:color w:val="auto"/>
          <w:sz w:val="24"/>
          <w:szCs w:val="24"/>
          <w:lang w:val="en-US" w:eastAsia="zh-CN"/>
        </w:rPr>
        <w:t>②</w:t>
      </w:r>
      <w:r>
        <w:rPr>
          <w:rFonts w:hint="default" w:ascii="Times New Roman" w:hAnsi="Times New Roman" w:eastAsia="宋体" w:cs="Times New Roman"/>
          <w:color w:val="auto"/>
          <w:sz w:val="24"/>
          <w:szCs w:val="24"/>
        </w:rPr>
        <w:t>病死</w:t>
      </w:r>
      <w:r>
        <w:rPr>
          <w:rFonts w:hint="eastAsia" w:eastAsia="宋体" w:cs="Times New Roman"/>
          <w:color w:val="auto"/>
          <w:sz w:val="24"/>
          <w:szCs w:val="24"/>
          <w:lang w:val="en-US" w:eastAsia="zh-CN"/>
        </w:rPr>
        <w:t>牛</w:t>
      </w:r>
    </w:p>
    <w:p w14:paraId="492F592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w:t>
      </w:r>
      <w:r>
        <w:rPr>
          <w:rFonts w:hint="eastAsia" w:ascii="Times New Roman" w:hAnsi="Times New Roman" w:eastAsia="宋体" w:cs="Times New Roman"/>
          <w:color w:val="auto"/>
          <w:sz w:val="24"/>
          <w:szCs w:val="24"/>
          <w:lang w:val="en-US" w:eastAsia="zh-CN"/>
        </w:rPr>
        <w:t>建设单位提供资料，育肥牛及成年死亡率较低，在1‰</w:t>
      </w:r>
      <w:r>
        <w:rPr>
          <w:rFonts w:hint="eastAsia" w:eastAsia="宋体" w:cs="Times New Roman"/>
          <w:color w:val="auto"/>
          <w:sz w:val="24"/>
          <w:szCs w:val="24"/>
          <w:lang w:val="en-US" w:eastAsia="zh-CN"/>
        </w:rPr>
        <w:t>左右</w:t>
      </w:r>
      <w:r>
        <w:rPr>
          <w:rFonts w:hint="default" w:ascii="Times New Roman" w:hAnsi="Times New Roman" w:eastAsia="宋体" w:cs="Times New Roman"/>
          <w:color w:val="auto"/>
          <w:sz w:val="24"/>
          <w:szCs w:val="24"/>
        </w:rPr>
        <w:t>，平均重量以</w:t>
      </w:r>
      <w:r>
        <w:rPr>
          <w:rFonts w:hint="eastAsia" w:eastAsia="宋体" w:cs="Times New Roman"/>
          <w:color w:val="auto"/>
          <w:sz w:val="24"/>
          <w:szCs w:val="24"/>
          <w:lang w:val="en-US" w:eastAsia="zh-CN"/>
        </w:rPr>
        <w:t>30</w:t>
      </w:r>
      <w:r>
        <w:rPr>
          <w:rFonts w:hint="eastAsia" w:ascii="Times New Roman" w:hAnsi="Times New Roman" w:eastAsia="宋体" w:cs="Times New Roman"/>
          <w:color w:val="auto"/>
          <w:sz w:val="24"/>
          <w:szCs w:val="24"/>
          <w:lang w:val="en-US" w:eastAsia="zh-CN"/>
        </w:rPr>
        <w:t>0</w:t>
      </w:r>
      <w:r>
        <w:rPr>
          <w:rFonts w:hint="default" w:ascii="Times New Roman" w:hAnsi="Times New Roman" w:eastAsia="宋体" w:cs="Times New Roman"/>
          <w:color w:val="auto"/>
          <w:sz w:val="24"/>
          <w:szCs w:val="24"/>
        </w:rPr>
        <w:t>kg/头计。本项目按照养殖场年存栏量</w:t>
      </w:r>
      <w:r>
        <w:rPr>
          <w:rFonts w:hint="eastAsia" w:cs="Times New Roman"/>
          <w:color w:val="auto"/>
          <w:sz w:val="24"/>
          <w:szCs w:val="24"/>
          <w:lang w:val="en-US" w:eastAsia="zh-CN"/>
        </w:rPr>
        <w:t>3000</w:t>
      </w:r>
      <w:r>
        <w:rPr>
          <w:rFonts w:hint="default" w:ascii="Times New Roman" w:hAnsi="Times New Roman" w:eastAsia="宋体" w:cs="Times New Roman"/>
          <w:color w:val="auto"/>
          <w:sz w:val="24"/>
          <w:szCs w:val="24"/>
        </w:rPr>
        <w:t>头计算，则本项目</w:t>
      </w:r>
      <w:r>
        <w:rPr>
          <w:rFonts w:hint="eastAsia" w:eastAsia="宋体" w:cs="Times New Roman"/>
          <w:color w:val="auto"/>
          <w:sz w:val="24"/>
          <w:szCs w:val="24"/>
          <w:lang w:val="en-US" w:eastAsia="zh-CN"/>
        </w:rPr>
        <w:t>病死牛</w:t>
      </w:r>
      <w:r>
        <w:rPr>
          <w:rFonts w:hint="default" w:ascii="Times New Roman" w:hAnsi="Times New Roman" w:eastAsia="宋体" w:cs="Times New Roman"/>
          <w:color w:val="auto"/>
          <w:sz w:val="24"/>
          <w:szCs w:val="24"/>
        </w:rPr>
        <w:t>产生量约</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头/年</w:t>
      </w:r>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0.9</w:t>
      </w:r>
      <w:r>
        <w:rPr>
          <w:rFonts w:hint="eastAsia"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szCs w:val="24"/>
        </w:rPr>
        <w:t>。</w:t>
      </w:r>
    </w:p>
    <w:p w14:paraId="0E675AC3">
      <w:pPr>
        <w:keepNext w:val="0"/>
        <w:keepLines w:val="0"/>
        <w:pageBreakBefore w:val="0"/>
        <w:wordWrap/>
        <w:topLinePunct w:val="0"/>
        <w:bidi w:val="0"/>
        <w:adjustRightInd/>
        <w:snapToGrid/>
        <w:spacing w:line="360" w:lineRule="auto"/>
        <w:ind w:firstLine="480" w:firstLineChars="200"/>
        <w:rPr>
          <w:rFonts w:hint="eastAsia" w:cs="Times New Roman"/>
          <w:color w:val="auto"/>
          <w:sz w:val="24"/>
          <w:szCs w:val="24"/>
          <w:lang w:eastAsia="zh-CN"/>
        </w:rPr>
      </w:pPr>
      <w:r>
        <w:rPr>
          <w:rFonts w:hint="eastAsia"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rPr>
        <w:t>《国家危险废物名录（</w:t>
      </w:r>
      <w:r>
        <w:rPr>
          <w:rFonts w:hint="eastAsia" w:ascii="Times New Roman" w:hAnsi="Times New Roman" w:eastAsia="宋体" w:cs="Times New Roman"/>
          <w:color w:val="auto"/>
          <w:sz w:val="24"/>
          <w:szCs w:val="24"/>
          <w:lang w:val="en-US" w:eastAsia="zh-CN"/>
        </w:rPr>
        <w:t>2021</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版</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常见问题解答</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原农业部发布的《病死及病害动物无害化处理技术规范》（农医发〔2017〕25号）也明确了病死及病害动物和相关动物产品无害化处理操作技术。因此，为防治动物传染病而需要收集和处置的废物由农业农村部门按照有关法律法规和技术规范进行监管，可以实现废物的无害化处理和污染防治目的，《名录》不再将其列入。”</w:t>
      </w:r>
    </w:p>
    <w:p w14:paraId="428F5F68">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根据《关于病害动物无害化处理有关意见的复函》（环办函</w:t>
      </w:r>
      <w:r>
        <w:rPr>
          <w:rFonts w:hint="eastAsia" w:cs="Times New Roman"/>
          <w:color w:val="auto"/>
          <w:sz w:val="24"/>
          <w:szCs w:val="24"/>
          <w:lang w:val="en-US" w:eastAsia="zh-CN"/>
        </w:rPr>
        <w:t>〔2014〕789号</w:t>
      </w:r>
      <w:r>
        <w:rPr>
          <w:rFonts w:hint="eastAsia" w:ascii="Times New Roman" w:hAnsi="Times New Roman" w:eastAsia="宋体" w:cs="Times New Roman"/>
          <w:color w:val="auto"/>
          <w:sz w:val="24"/>
          <w:szCs w:val="24"/>
          <w:lang w:val="en-US" w:eastAsia="zh-CN"/>
        </w:rPr>
        <w:t>），病害动物无害化处理不宜在认定为危险废物集中处置项目。</w:t>
      </w:r>
    </w:p>
    <w:p w14:paraId="0C33FED2">
      <w:pPr>
        <w:keepNext w:val="0"/>
        <w:keepLines w:val="0"/>
        <w:pageBreakBefore w:val="0"/>
        <w:wordWrap/>
        <w:topLinePunct w:val="0"/>
        <w:bidi w:val="0"/>
        <w:adjustRightInd/>
        <w:snapToGrid/>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参照广西壮族自治区生态环境厅关于“养殖场防疫废物是否属于危险废物”问题的回复：“根据《固体废物污染环境法》第七十五条规定，《国家危险废物名录》是确定危险废物的依据，养殖场动物防疫废物未列入《国家危险废物名录》，不属于危险废物；同时根据《医疗废物管理条例》，动物防疫废弃物不属于医疗废物，也不应当按照医疗废物进行管理与处置。依据国家动物防疫法明确要求，该类废物应当按照国务院兽医主管部门的规定进行无害化处理，具体规定和工作要求请咨询当地兽医主管部门。”</w:t>
      </w:r>
    </w:p>
    <w:p w14:paraId="0E94035D">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rPr>
      </w:pPr>
      <w:r>
        <w:rPr>
          <w:rFonts w:hint="eastAsia" w:cs="Times New Roman"/>
          <w:color w:val="auto"/>
          <w:sz w:val="24"/>
          <w:szCs w:val="24"/>
          <w:lang w:val="en-US" w:eastAsia="zh-CN"/>
        </w:rPr>
        <w:t>因此病死牛为一般固废，本项目委托病死畜禽无害化处理单位处理本项目病死牛，由病死畜禽无害化处理单位配套的病死畜禽专用运输车辆运输。</w:t>
      </w:r>
    </w:p>
    <w:p w14:paraId="5CDFCD9F">
      <w:pPr>
        <w:keepNext w:val="0"/>
        <w:keepLines w:val="0"/>
        <w:pageBreakBefore w:val="0"/>
        <w:numPr>
          <w:ilvl w:val="0"/>
          <w:numId w:val="0"/>
        </w:numPr>
        <w:wordWrap/>
        <w:topLinePunct w:val="0"/>
        <w:bidi w:val="0"/>
        <w:adjustRightInd/>
        <w:snapToGrid/>
        <w:spacing w:line="360" w:lineRule="auto"/>
        <w:ind w:leftChars="200"/>
        <w:rPr>
          <w:rFonts w:hint="default"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③废包装材料</w:t>
      </w:r>
    </w:p>
    <w:p w14:paraId="06C08C32">
      <w:pPr>
        <w:keepNext w:val="0"/>
        <w:keepLines w:val="0"/>
        <w:pageBreakBefore w:val="0"/>
        <w:numPr>
          <w:ilvl w:val="0"/>
          <w:numId w:val="0"/>
        </w:numPr>
        <w:wordWrap/>
        <w:topLinePunct w:val="0"/>
        <w:bidi w:val="0"/>
        <w:adjustRightInd/>
        <w:snapToGrid/>
        <w:spacing w:line="360" w:lineRule="auto"/>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养殖区废包装物主要为精饲料袋、生物除臭剂包装桶、生物菌剂包装桶。废包装袋共219000</w:t>
      </w:r>
      <w:r>
        <w:rPr>
          <w:rFonts w:hint="eastAsia" w:ascii="Times New Roman" w:hAnsi="Times New Roman" w:eastAsia="宋体" w:cs="Times New Roman"/>
          <w:color w:val="000000"/>
          <w:kern w:val="2"/>
          <w:sz w:val="24"/>
          <w:szCs w:val="24"/>
          <w:highlight w:val="none"/>
          <w:lang w:val="en-US" w:eastAsia="zh-CN" w:bidi="ar-SA"/>
        </w:rPr>
        <w:t>个/a</w:t>
      </w:r>
      <w:r>
        <w:rPr>
          <w:rFonts w:hint="eastAsia" w:cs="Times New Roman"/>
          <w:color w:val="auto"/>
          <w:sz w:val="24"/>
          <w:szCs w:val="24"/>
          <w:highlight w:val="none"/>
          <w:lang w:val="en-US" w:eastAsia="zh-CN"/>
        </w:rPr>
        <w:t>，单个包装袋重约50g，共10.95t/a。生物除臭剂采用25L塑料桶装，25L单桶重950g，共计0.09t/a；生物菌剂采用1L包装桶，1L单桶重约40g，共计0.003t/a。因此养殖区包装物共约11.04t/a。精饲料袋、生物除臭剂包装桶、生物菌剂包装桶属于一般工业固废，分类暂存于库房内，</w:t>
      </w:r>
      <w:r>
        <w:rPr>
          <w:rFonts w:hint="eastAsia" w:ascii="Times New Roman" w:hAnsi="Times New Roman" w:eastAsia="宋体" w:cs="Times New Roman"/>
          <w:color w:val="000000"/>
          <w:kern w:val="2"/>
          <w:sz w:val="24"/>
          <w:szCs w:val="24"/>
          <w:highlight w:val="none"/>
          <w:lang w:val="en-US" w:eastAsia="zh-CN" w:bidi="ar-SA"/>
        </w:rPr>
        <w:t>定期外售回收单位综合利用。</w:t>
      </w:r>
    </w:p>
    <w:p w14:paraId="692AC01D">
      <w:pPr>
        <w:keepNext w:val="0"/>
        <w:keepLines w:val="0"/>
        <w:pageBreakBefore w:val="0"/>
        <w:numPr>
          <w:ilvl w:val="0"/>
          <w:numId w:val="0"/>
        </w:numPr>
        <w:wordWrap/>
        <w:topLinePunct w:val="0"/>
        <w:bidi w:val="0"/>
        <w:adjustRightInd/>
        <w:snapToGrid/>
        <w:spacing w:line="360" w:lineRule="auto"/>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本项目消毒剂包装桶，1L单桶重约40g，单个包装袋重约50g，因此共0.09t/a。本项目消毒剂戊二醛、生石灰等均属于危险化学品，包装物沾染毒性，属于危险废物，根据</w:t>
      </w:r>
      <w:r>
        <w:rPr>
          <w:rFonts w:hint="default" w:ascii="Times New Roman" w:hAnsi="Times New Roman" w:eastAsia="宋体" w:cs="Times New Roman"/>
          <w:color w:val="auto"/>
          <w:sz w:val="24"/>
          <w:szCs w:val="24"/>
          <w:highlight w:val="none"/>
        </w:rPr>
        <w:t>《国家危险废物名录（</w:t>
      </w:r>
      <w:r>
        <w:rPr>
          <w:rFonts w:hint="eastAsia" w:ascii="Times New Roman" w:hAnsi="Times New Roman" w:eastAsia="宋体" w:cs="Times New Roman"/>
          <w:color w:val="auto"/>
          <w:sz w:val="24"/>
          <w:szCs w:val="24"/>
          <w:highlight w:val="none"/>
          <w:lang w:val="en-US" w:eastAsia="zh-CN"/>
        </w:rPr>
        <w:t>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lang w:val="en-US" w:eastAsia="zh-CN"/>
        </w:rPr>
        <w:t>版</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属于HW49 其他废物900-041-49 含有或沾染毒性、感染性危险废物的废弃包装物、容器、过滤吸附介质</w:t>
      </w:r>
      <w:r>
        <w:rPr>
          <w:rFonts w:hint="eastAsia" w:cs="Times New Roman"/>
          <w:color w:val="auto"/>
          <w:sz w:val="24"/>
          <w:szCs w:val="24"/>
          <w:highlight w:val="none"/>
          <w:lang w:val="en-US" w:eastAsia="zh-CN"/>
        </w:rPr>
        <w:t>，集中收集后设置10m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危险废物贮存点暂存，委托有资质的单位运输处置</w:t>
      </w:r>
      <w:r>
        <w:rPr>
          <w:rFonts w:hint="eastAsia" w:ascii="Times New Roman" w:hAnsi="Times New Roman" w:eastAsia="宋体" w:cs="Times New Roman"/>
          <w:color w:val="000000"/>
          <w:kern w:val="2"/>
          <w:sz w:val="24"/>
          <w:szCs w:val="24"/>
          <w:highlight w:val="none"/>
          <w:lang w:val="en-US" w:eastAsia="zh-CN" w:bidi="ar-SA"/>
        </w:rPr>
        <w:t>。</w:t>
      </w:r>
    </w:p>
    <w:p w14:paraId="22D10ECF">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cs="Times New Roman"/>
          <w:color w:val="auto"/>
          <w:sz w:val="24"/>
          <w:szCs w:val="24"/>
          <w:lang w:val="en-US" w:eastAsia="zh-CN"/>
        </w:rPr>
        <w:t>④医疗废物</w:t>
      </w:r>
    </w:p>
    <w:p w14:paraId="7D8006E1">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为畜禽养殖项目，场区内设有兽医室，运营期间防疫过程将会产生医疗废物，其主要为防疫药剂废弃包装、消毒棉球和纱布及绷带、一次性注射器、医用手套和衣服等，全部分类收集打包，暂时存放在场区内医疗废物</w:t>
      </w:r>
      <w:r>
        <w:rPr>
          <w:rFonts w:hint="eastAsia" w:ascii="Times New Roman" w:hAnsi="Times New Roman" w:eastAsia="宋体" w:cs="Times New Roman"/>
          <w:color w:val="auto"/>
          <w:sz w:val="24"/>
          <w:szCs w:val="24"/>
          <w:lang w:val="en-US" w:eastAsia="zh-CN"/>
        </w:rPr>
        <w:t>暂存</w:t>
      </w:r>
      <w:r>
        <w:rPr>
          <w:rFonts w:hint="default" w:ascii="Times New Roman" w:hAnsi="Times New Roman" w:eastAsia="宋体" w:cs="Times New Roman"/>
          <w:color w:val="auto"/>
          <w:sz w:val="24"/>
          <w:szCs w:val="24"/>
        </w:rPr>
        <w:t>间。根据</w:t>
      </w:r>
      <w:r>
        <w:rPr>
          <w:rFonts w:hint="eastAsia" w:cs="Times New Roman"/>
          <w:color w:val="auto"/>
          <w:sz w:val="24"/>
          <w:szCs w:val="24"/>
          <w:lang w:val="en-US" w:eastAsia="zh-CN"/>
        </w:rPr>
        <w:t>同类企业实际运营</w:t>
      </w:r>
      <w:r>
        <w:rPr>
          <w:rFonts w:hint="eastAsia" w:ascii="Times New Roman" w:hAnsi="Times New Roman" w:eastAsia="宋体" w:cs="Times New Roman"/>
          <w:color w:val="auto"/>
          <w:sz w:val="24"/>
          <w:szCs w:val="24"/>
          <w:lang w:val="en-US" w:eastAsia="zh-CN"/>
        </w:rPr>
        <w:t>经验进行估算，本项目建成后兽用医疗废物产生量约为0.</w:t>
      </w:r>
      <w:r>
        <w:rPr>
          <w:rFonts w:hint="eastAsia" w:cs="Times New Roman"/>
          <w:color w:val="auto"/>
          <w:sz w:val="24"/>
          <w:szCs w:val="24"/>
          <w:lang w:val="en-US" w:eastAsia="zh-CN"/>
        </w:rPr>
        <w:t>20</w:t>
      </w:r>
      <w:r>
        <w:rPr>
          <w:rFonts w:hint="eastAsia"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szCs w:val="24"/>
        </w:rPr>
        <w:t>。</w:t>
      </w:r>
    </w:p>
    <w:p w14:paraId="4416A980">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本项目建设有1座</w:t>
      </w:r>
      <w:r>
        <w:rPr>
          <w:rFonts w:hint="eastAsia"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医疗废物暂存间，项目产生的医疗废物收集至医疗废物暂存间内暂存，定期委托有资质单位进行处置。</w:t>
      </w:r>
    </w:p>
    <w:p w14:paraId="0A63AD06">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根据《国家危险废物名录（</w:t>
      </w:r>
      <w:r>
        <w:rPr>
          <w:rFonts w:hint="eastAsia"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版</w:t>
      </w:r>
      <w:r>
        <w:rPr>
          <w:rFonts w:hint="default" w:ascii="Times New Roman" w:hAnsi="Times New Roman" w:eastAsia="宋体" w:cs="Times New Roman"/>
          <w:color w:val="auto"/>
          <w:sz w:val="24"/>
          <w:szCs w:val="24"/>
        </w:rPr>
        <w:t>）》，本项目运营期间产生医疗废物属危险废物，其危险废物类别为HW01医疗废物</w:t>
      </w:r>
      <w:r>
        <w:rPr>
          <w:rFonts w:hint="eastAsia" w:cs="Times New Roman"/>
          <w:color w:val="auto"/>
          <w:sz w:val="24"/>
          <w:szCs w:val="24"/>
          <w:lang w:eastAsia="zh-CN"/>
        </w:rPr>
        <w:t>841-001-01，感染性废物</w:t>
      </w:r>
      <w:r>
        <w:rPr>
          <w:rFonts w:hint="default" w:ascii="Times New Roman" w:hAnsi="Times New Roman" w:eastAsia="宋体" w:cs="Times New Roman"/>
          <w:color w:val="auto"/>
          <w:sz w:val="24"/>
          <w:szCs w:val="24"/>
        </w:rPr>
        <w:t>，危险特性In。医疗废物的具体管理办法参照《医疗废物管理条例》（2003年6月16日）和</w:t>
      </w:r>
      <w:r>
        <w:rPr>
          <w:rFonts w:hint="default" w:ascii="Times New Roman" w:hAnsi="Times New Roman" w:eastAsia="宋体" w:cs="Times New Roman"/>
          <w:color w:val="000000"/>
          <w:sz w:val="24"/>
          <w:szCs w:val="24"/>
          <w:highlight w:val="none"/>
          <w:lang w:val="en-US" w:eastAsia="zh-CN" w:bidi="ar-SA"/>
        </w:rPr>
        <w:t>《危险废物贮存污染控制标准》（GB18597-2023）</w:t>
      </w:r>
      <w:r>
        <w:rPr>
          <w:rFonts w:hint="default" w:ascii="Times New Roman" w:hAnsi="Times New Roman" w:eastAsia="宋体" w:cs="Times New Roman"/>
          <w:color w:val="auto"/>
          <w:sz w:val="24"/>
          <w:szCs w:val="24"/>
        </w:rPr>
        <w:t>中的相应要求进行收集、暂存，并交由有资质的单位处置。</w:t>
      </w:r>
    </w:p>
    <w:p w14:paraId="49E02573">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医疗废物</w:t>
      </w:r>
      <w:r>
        <w:rPr>
          <w:rFonts w:hint="eastAsia" w:ascii="Times New Roman" w:hAnsi="Times New Roman" w:eastAsia="宋体" w:cs="Times New Roman"/>
          <w:color w:val="auto"/>
          <w:sz w:val="24"/>
          <w:szCs w:val="24"/>
          <w:lang w:val="en-US" w:eastAsia="zh-CN"/>
        </w:rPr>
        <w:t>暂存间</w:t>
      </w:r>
      <w:r>
        <w:rPr>
          <w:rFonts w:hint="default" w:ascii="Times New Roman" w:hAnsi="Times New Roman" w:eastAsia="宋体" w:cs="Times New Roman"/>
          <w:color w:val="auto"/>
          <w:sz w:val="24"/>
          <w:szCs w:val="24"/>
        </w:rPr>
        <w:t>为封闭式，地面做防渗处理，贮存间周围要设置警告标志，防止无关人员靠近。</w:t>
      </w:r>
      <w:r>
        <w:rPr>
          <w:rFonts w:hint="eastAsia" w:ascii="Times New Roman" w:hAnsi="Times New Roman" w:eastAsia="宋体" w:cs="Times New Roman"/>
          <w:color w:val="auto"/>
          <w:sz w:val="24"/>
          <w:szCs w:val="24"/>
          <w:lang w:val="en-US" w:eastAsia="zh-CN"/>
        </w:rPr>
        <w:t>暂存间</w:t>
      </w:r>
      <w:r>
        <w:rPr>
          <w:rFonts w:hint="default" w:ascii="Times New Roman" w:hAnsi="Times New Roman" w:eastAsia="宋体" w:cs="Times New Roman"/>
          <w:color w:val="auto"/>
          <w:sz w:val="24"/>
          <w:szCs w:val="24"/>
        </w:rPr>
        <w:t>需要有专职兽医进行管理。</w:t>
      </w:r>
    </w:p>
    <w:p w14:paraId="7ED2D285">
      <w:pPr>
        <w:keepNext w:val="0"/>
        <w:keepLines w:val="0"/>
        <w:pageBreakBefore w:val="0"/>
        <w:numPr>
          <w:ilvl w:val="0"/>
          <w:numId w:val="9"/>
        </w:numPr>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堆肥间固废</w:t>
      </w:r>
    </w:p>
    <w:p w14:paraId="3EDDF961">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①除尘灰</w:t>
      </w:r>
    </w:p>
    <w:p w14:paraId="26E754DF">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w:t>
      </w:r>
      <w:r>
        <w:rPr>
          <w:rFonts w:hint="eastAsia" w:cs="Times New Roman"/>
          <w:snapToGrid w:val="0"/>
          <w:color w:val="000000"/>
          <w:sz w:val="24"/>
          <w:szCs w:val="24"/>
          <w:highlight w:val="none"/>
          <w:lang w:val="en-US" w:eastAsia="zh-CN" w:bidi="ar-SA"/>
        </w:rPr>
        <w:t>堆肥间</w:t>
      </w:r>
      <w:r>
        <w:rPr>
          <w:rFonts w:hint="eastAsia" w:ascii="Times New Roman" w:hAnsi="Times New Roman" w:eastAsia="宋体" w:cs="Times New Roman"/>
          <w:color w:val="000000"/>
          <w:kern w:val="2"/>
          <w:sz w:val="24"/>
          <w:szCs w:val="24"/>
          <w:highlight w:val="none"/>
          <w:lang w:val="en-US" w:eastAsia="zh-CN" w:bidi="ar-SA"/>
        </w:rPr>
        <w:t>除尘器收集粉尘产生量约为</w:t>
      </w:r>
      <w:r>
        <w:rPr>
          <w:rFonts w:hint="eastAsia" w:cs="Times New Roman"/>
          <w:color w:val="000000"/>
          <w:kern w:val="2"/>
          <w:sz w:val="24"/>
          <w:szCs w:val="24"/>
          <w:highlight w:val="none"/>
          <w:lang w:val="en-US" w:eastAsia="zh-CN" w:bidi="ar-SA"/>
        </w:rPr>
        <w:t>1.19</w:t>
      </w:r>
      <w:r>
        <w:rPr>
          <w:rFonts w:hint="eastAsia" w:ascii="Times New Roman" w:hAnsi="Times New Roman" w:eastAsia="宋体" w:cs="Times New Roman"/>
          <w:color w:val="000000"/>
          <w:kern w:val="2"/>
          <w:sz w:val="24"/>
          <w:szCs w:val="24"/>
          <w:highlight w:val="none"/>
          <w:lang w:val="en-US" w:eastAsia="zh-CN" w:bidi="ar-SA"/>
        </w:rPr>
        <w:t>t/a，属于一般固废，经收集后</w:t>
      </w:r>
      <w:r>
        <w:rPr>
          <w:rFonts w:hint="eastAsia" w:cs="Times New Roman"/>
          <w:color w:val="000000"/>
          <w:kern w:val="2"/>
          <w:sz w:val="24"/>
          <w:szCs w:val="24"/>
          <w:highlight w:val="none"/>
          <w:lang w:val="en-US" w:eastAsia="zh-CN" w:bidi="ar-SA"/>
        </w:rPr>
        <w:t>，暂存于堆肥间内，</w:t>
      </w:r>
      <w:r>
        <w:rPr>
          <w:rFonts w:hint="eastAsia" w:ascii="Times New Roman" w:hAnsi="Times New Roman" w:eastAsia="宋体" w:cs="Times New Roman"/>
          <w:color w:val="000000"/>
          <w:kern w:val="2"/>
          <w:sz w:val="24"/>
          <w:szCs w:val="24"/>
          <w:highlight w:val="none"/>
          <w:lang w:val="en-US" w:eastAsia="zh-CN" w:bidi="ar-SA"/>
        </w:rPr>
        <w:t>回用于</w:t>
      </w:r>
      <w:r>
        <w:rPr>
          <w:rFonts w:hint="eastAsia" w:cs="Times New Roman"/>
          <w:color w:val="000000"/>
          <w:kern w:val="2"/>
          <w:sz w:val="24"/>
          <w:szCs w:val="24"/>
          <w:highlight w:val="none"/>
          <w:lang w:val="en-US" w:eastAsia="zh-CN" w:bidi="ar-SA"/>
        </w:rPr>
        <w:t>堆肥</w:t>
      </w:r>
      <w:r>
        <w:rPr>
          <w:rFonts w:hint="eastAsia" w:ascii="Times New Roman" w:hAnsi="Times New Roman" w:eastAsia="宋体" w:cs="Times New Roman"/>
          <w:color w:val="auto"/>
          <w:lang w:val="en-US" w:eastAsia="zh-CN"/>
        </w:rPr>
        <w:t>。</w:t>
      </w:r>
    </w:p>
    <w:p w14:paraId="2D150F2D">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②</w:t>
      </w:r>
      <w:r>
        <w:rPr>
          <w:rFonts w:hint="eastAsia" w:cs="Times New Roman"/>
          <w:snapToGrid w:val="0"/>
          <w:color w:val="000000"/>
          <w:sz w:val="24"/>
          <w:szCs w:val="24"/>
          <w:highlight w:val="none"/>
          <w:lang w:val="en-US" w:eastAsia="zh-CN" w:bidi="ar-SA"/>
        </w:rPr>
        <w:t>废布袋</w:t>
      </w:r>
    </w:p>
    <w:p w14:paraId="604F0E0D">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本项目袋式除尘器需定期更换布袋，会产生一定的废布袋，产生量约为0.</w:t>
      </w:r>
      <w:r>
        <w:rPr>
          <w:rFonts w:hint="eastAsia" w:ascii="Times New Roman" w:hAnsi="Times New Roman" w:cs="Times New Roman"/>
          <w:color w:val="000000"/>
          <w:kern w:val="2"/>
          <w:sz w:val="24"/>
          <w:szCs w:val="24"/>
          <w:highlight w:val="none"/>
          <w:lang w:val="en-US" w:eastAsia="zh-CN" w:bidi="ar-SA"/>
        </w:rPr>
        <w:t>2</w:t>
      </w:r>
      <w:r>
        <w:rPr>
          <w:rFonts w:hint="eastAsia" w:ascii="Times New Roman" w:hAnsi="Times New Roman" w:eastAsia="宋体" w:cs="Times New Roman"/>
          <w:color w:val="000000"/>
          <w:kern w:val="2"/>
          <w:sz w:val="24"/>
          <w:szCs w:val="24"/>
          <w:highlight w:val="none"/>
          <w:lang w:val="en-US" w:eastAsia="zh-CN" w:bidi="ar-SA"/>
        </w:rPr>
        <w:t>t/a，属于一般固废，经收集后暂存于堆肥间内，定期外售综合利用。</w:t>
      </w:r>
    </w:p>
    <w:p w14:paraId="598F2749">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snapToGrid w:val="0"/>
          <w:color w:val="000000"/>
          <w:sz w:val="24"/>
          <w:szCs w:val="24"/>
          <w:highlight w:val="none"/>
          <w:lang w:val="en-US" w:eastAsia="zh-CN" w:bidi="ar-SA"/>
        </w:rPr>
      </w:pPr>
      <w:r>
        <w:rPr>
          <w:rFonts w:hint="eastAsia" w:cs="Times New Roman"/>
          <w:snapToGrid w:val="0"/>
          <w:color w:val="000000"/>
          <w:sz w:val="24"/>
          <w:szCs w:val="24"/>
          <w:highlight w:val="none"/>
          <w:lang w:val="en-US" w:eastAsia="zh-CN" w:bidi="ar-SA"/>
        </w:rPr>
        <w:t>③</w:t>
      </w:r>
      <w:r>
        <w:rPr>
          <w:rFonts w:hint="eastAsia" w:ascii="Times New Roman" w:hAnsi="Times New Roman" w:eastAsia="宋体" w:cs="Times New Roman"/>
          <w:snapToGrid w:val="0"/>
          <w:color w:val="000000"/>
          <w:sz w:val="24"/>
          <w:szCs w:val="24"/>
          <w:highlight w:val="none"/>
          <w:lang w:val="en-US" w:eastAsia="zh-CN" w:bidi="ar-SA"/>
        </w:rPr>
        <w:t>废填料</w:t>
      </w:r>
    </w:p>
    <w:p w14:paraId="6C8C62E6">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本项目车间生物除臭填料需定期更换，填料主要为聚丙烯、陶粒、颗粒活性炭等惰性填料，由于除臭微生物对恶臭气体进行脱除，能够将含氮、硫等微生物在降解过程中形成酸性代谢污染物滤除干净，因此废填料不含有有毒有害气体，属于一般固废，产生量约为0.5t/a，集中收集后暂存于车间内，定期外售回收单位综合利用。</w:t>
      </w:r>
    </w:p>
    <w:p w14:paraId="2E428B1D">
      <w:pPr>
        <w:keepNext w:val="0"/>
        <w:keepLines w:val="0"/>
        <w:pageBreakBefore w:val="0"/>
        <w:numPr>
          <w:ilvl w:val="0"/>
          <w:numId w:val="9"/>
        </w:numPr>
        <w:wordWrap/>
        <w:topLinePunct w:val="0"/>
        <w:bidi w:val="0"/>
        <w:adjustRightInd/>
        <w:snapToGrid/>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饲料加工区固废</w:t>
      </w:r>
    </w:p>
    <w:p w14:paraId="6A43FB93">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①除尘灰</w:t>
      </w:r>
    </w:p>
    <w:p w14:paraId="10211D00">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w:t>
      </w:r>
      <w:r>
        <w:rPr>
          <w:rFonts w:hint="eastAsia" w:cs="Times New Roman"/>
          <w:color w:val="000000"/>
          <w:kern w:val="2"/>
          <w:sz w:val="24"/>
          <w:szCs w:val="24"/>
          <w:highlight w:val="none"/>
          <w:lang w:val="en-US" w:eastAsia="zh-CN" w:bidi="ar-SA"/>
        </w:rPr>
        <w:t>饲料加工区</w:t>
      </w:r>
      <w:r>
        <w:rPr>
          <w:rFonts w:hint="eastAsia" w:ascii="Times New Roman" w:hAnsi="Times New Roman" w:eastAsia="宋体" w:cs="Times New Roman"/>
          <w:color w:val="000000"/>
          <w:kern w:val="2"/>
          <w:sz w:val="24"/>
          <w:szCs w:val="24"/>
          <w:highlight w:val="none"/>
          <w:lang w:val="en-US" w:eastAsia="zh-CN" w:bidi="ar-SA"/>
        </w:rPr>
        <w:t>除尘器收集粉尘产生量约为</w:t>
      </w:r>
      <w:r>
        <w:rPr>
          <w:rFonts w:hint="eastAsia" w:cs="Times New Roman"/>
          <w:color w:val="000000"/>
          <w:kern w:val="2"/>
          <w:sz w:val="24"/>
          <w:szCs w:val="24"/>
          <w:highlight w:val="none"/>
          <w:lang w:val="en-US" w:eastAsia="zh-CN" w:bidi="ar-SA"/>
        </w:rPr>
        <w:t>0.46</w:t>
      </w:r>
      <w:r>
        <w:rPr>
          <w:rFonts w:hint="eastAsia" w:ascii="Times New Roman" w:hAnsi="Times New Roman" w:eastAsia="宋体" w:cs="Times New Roman"/>
          <w:color w:val="000000"/>
          <w:kern w:val="2"/>
          <w:sz w:val="24"/>
          <w:szCs w:val="24"/>
          <w:highlight w:val="none"/>
          <w:lang w:val="en-US" w:eastAsia="zh-CN" w:bidi="ar-SA"/>
        </w:rPr>
        <w:t>t/a，属于一般固废，经收集后</w:t>
      </w:r>
      <w:r>
        <w:rPr>
          <w:rFonts w:hint="eastAsia" w:cs="Times New Roman"/>
          <w:color w:val="000000"/>
          <w:kern w:val="2"/>
          <w:sz w:val="24"/>
          <w:szCs w:val="24"/>
          <w:highlight w:val="none"/>
          <w:lang w:val="en-US" w:eastAsia="zh-CN" w:bidi="ar-SA"/>
        </w:rPr>
        <w:t>，暂存于库房内，</w:t>
      </w:r>
      <w:r>
        <w:rPr>
          <w:rFonts w:hint="eastAsia" w:ascii="Times New Roman" w:hAnsi="Times New Roman" w:eastAsia="宋体" w:cs="Times New Roman"/>
          <w:color w:val="000000"/>
          <w:kern w:val="2"/>
          <w:sz w:val="24"/>
          <w:szCs w:val="24"/>
          <w:highlight w:val="none"/>
          <w:lang w:val="en-US" w:eastAsia="zh-CN" w:bidi="ar-SA"/>
        </w:rPr>
        <w:t>回用于</w:t>
      </w:r>
      <w:r>
        <w:rPr>
          <w:rFonts w:hint="eastAsia" w:cs="Times New Roman"/>
          <w:color w:val="000000"/>
          <w:kern w:val="2"/>
          <w:sz w:val="24"/>
          <w:szCs w:val="24"/>
          <w:highlight w:val="none"/>
          <w:lang w:val="en-US" w:eastAsia="zh-CN" w:bidi="ar-SA"/>
        </w:rPr>
        <w:t>饲料加工</w:t>
      </w:r>
      <w:r>
        <w:rPr>
          <w:rFonts w:hint="eastAsia" w:ascii="Times New Roman" w:hAnsi="Times New Roman" w:eastAsia="宋体" w:cs="Times New Roman"/>
          <w:color w:val="000000"/>
          <w:kern w:val="2"/>
          <w:sz w:val="24"/>
          <w:szCs w:val="24"/>
          <w:highlight w:val="none"/>
          <w:lang w:val="en-US" w:eastAsia="zh-CN" w:bidi="ar-SA"/>
        </w:rPr>
        <w:t>。</w:t>
      </w:r>
    </w:p>
    <w:p w14:paraId="50C83254">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②</w:t>
      </w:r>
      <w:r>
        <w:rPr>
          <w:rFonts w:hint="eastAsia" w:cs="Times New Roman"/>
          <w:snapToGrid w:val="0"/>
          <w:color w:val="000000"/>
          <w:sz w:val="24"/>
          <w:szCs w:val="24"/>
          <w:highlight w:val="none"/>
          <w:lang w:val="en-US" w:eastAsia="zh-CN" w:bidi="ar-SA"/>
        </w:rPr>
        <w:t>废布袋</w:t>
      </w:r>
    </w:p>
    <w:p w14:paraId="3CC8253A">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lang w:val="en-US" w:eastAsia="zh-CN"/>
        </w:rPr>
      </w:pPr>
      <w:r>
        <w:rPr>
          <w:rFonts w:hint="eastAsia" w:ascii="Times New Roman" w:hAnsi="Times New Roman" w:eastAsia="宋体" w:cs="Times New Roman"/>
          <w:color w:val="000000"/>
          <w:kern w:val="2"/>
          <w:sz w:val="24"/>
          <w:szCs w:val="24"/>
          <w:highlight w:val="none"/>
          <w:lang w:val="en-US" w:eastAsia="zh-CN" w:bidi="ar-SA"/>
        </w:rPr>
        <w:t>本项目袋式除尘器需定期更换布袋，会产生一定的废布袋，产生量约为0.2t/a，属于一般固废，经收集后暂存于堆肥间内，由原厂回收。</w:t>
      </w:r>
    </w:p>
    <w:p w14:paraId="678C8AF5">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4-12</w:t>
      </w:r>
      <w:r>
        <w:rPr>
          <w:rFonts w:hint="default" w:ascii="Times New Roman" w:hAnsi="Times New Roman" w:eastAsia="宋体" w:cs="Times New Roman"/>
          <w:b/>
          <w:bCs/>
          <w:color w:val="auto"/>
          <w:sz w:val="24"/>
          <w:szCs w:val="24"/>
          <w:lang w:val="en-US" w:eastAsia="zh-CN"/>
        </w:rPr>
        <w:t>本项目固废产生和处理措施</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550"/>
        <w:gridCol w:w="493"/>
        <w:gridCol w:w="493"/>
        <w:gridCol w:w="1189"/>
        <w:gridCol w:w="1189"/>
        <w:gridCol w:w="766"/>
        <w:gridCol w:w="767"/>
        <w:gridCol w:w="1527"/>
        <w:gridCol w:w="1530"/>
      </w:tblGrid>
      <w:tr w14:paraId="078F3A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0992B5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986" w:type="dxa"/>
            <w:gridSpan w:val="2"/>
            <w:noWrap w:val="0"/>
            <w:vAlign w:val="center"/>
          </w:tcPr>
          <w:p w14:paraId="4B19A0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污染物名称</w:t>
            </w:r>
          </w:p>
        </w:tc>
        <w:tc>
          <w:tcPr>
            <w:tcW w:w="1189" w:type="dxa"/>
            <w:noWrap w:val="0"/>
            <w:vAlign w:val="center"/>
          </w:tcPr>
          <w:p w14:paraId="26CF22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lang w:val="en-US" w:eastAsia="zh-CN"/>
              </w:rPr>
              <w:t>产生环节</w:t>
            </w:r>
          </w:p>
        </w:tc>
        <w:tc>
          <w:tcPr>
            <w:tcW w:w="1189" w:type="dxa"/>
            <w:noWrap w:val="0"/>
            <w:vAlign w:val="center"/>
          </w:tcPr>
          <w:p w14:paraId="4BF5C1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产生量</w:t>
            </w:r>
            <w:r>
              <w:rPr>
                <w:rFonts w:hint="default" w:ascii="Times New Roman" w:hAnsi="Times New Roman" w:eastAsia="宋体" w:cs="Times New Roman"/>
                <w:b/>
                <w:bCs/>
                <w:color w:val="auto"/>
                <w:sz w:val="21"/>
                <w:szCs w:val="21"/>
                <w:lang w:eastAsia="zh-CN"/>
              </w:rPr>
              <w:t>（</w:t>
            </w:r>
            <w:r>
              <w:rPr>
                <w:rFonts w:hint="default" w:ascii="Times New Roman" w:hAnsi="Times New Roman" w:eastAsia="宋体" w:cs="Times New Roman"/>
                <w:b/>
                <w:bCs/>
                <w:color w:val="auto"/>
                <w:sz w:val="21"/>
                <w:szCs w:val="21"/>
              </w:rPr>
              <w:t>t/a</w:t>
            </w:r>
            <w:r>
              <w:rPr>
                <w:rFonts w:hint="default" w:ascii="Times New Roman" w:hAnsi="Times New Roman" w:eastAsia="宋体" w:cs="Times New Roman"/>
                <w:b/>
                <w:bCs/>
                <w:color w:val="auto"/>
                <w:sz w:val="21"/>
                <w:szCs w:val="21"/>
                <w:lang w:eastAsia="zh-CN"/>
              </w:rPr>
              <w:t>）</w:t>
            </w:r>
          </w:p>
        </w:tc>
        <w:tc>
          <w:tcPr>
            <w:tcW w:w="1533" w:type="dxa"/>
            <w:gridSpan w:val="2"/>
            <w:noWrap w:val="0"/>
            <w:vAlign w:val="center"/>
          </w:tcPr>
          <w:p w14:paraId="3710FD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危废/固废代码</w:t>
            </w:r>
          </w:p>
        </w:tc>
        <w:tc>
          <w:tcPr>
            <w:tcW w:w="1527" w:type="dxa"/>
            <w:noWrap w:val="0"/>
            <w:vAlign w:val="center"/>
          </w:tcPr>
          <w:p w14:paraId="71C120A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000000"/>
                <w:kern w:val="0"/>
                <w:sz w:val="21"/>
                <w:szCs w:val="21"/>
                <w:highlight w:val="none"/>
                <w:lang w:val="en-US" w:eastAsia="zh-CN" w:bidi="ar"/>
              </w:rPr>
              <w:t>废物代码</w:t>
            </w:r>
          </w:p>
        </w:tc>
        <w:tc>
          <w:tcPr>
            <w:tcW w:w="1530" w:type="dxa"/>
            <w:noWrap w:val="0"/>
            <w:vAlign w:val="center"/>
          </w:tcPr>
          <w:p w14:paraId="2999A9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处理措施</w:t>
            </w:r>
          </w:p>
        </w:tc>
      </w:tr>
      <w:tr w14:paraId="56D18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238E07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986" w:type="dxa"/>
            <w:gridSpan w:val="2"/>
            <w:noWrap w:val="0"/>
            <w:vAlign w:val="center"/>
          </w:tcPr>
          <w:p w14:paraId="1C5CA2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生活垃圾</w:t>
            </w:r>
          </w:p>
        </w:tc>
        <w:tc>
          <w:tcPr>
            <w:tcW w:w="1189" w:type="dxa"/>
            <w:noWrap w:val="0"/>
            <w:vAlign w:val="center"/>
          </w:tcPr>
          <w:p w14:paraId="2A0FD7DC">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ascii="Times New Roman" w:hAnsi="Times New Roman" w:eastAsia="宋体" w:cs="Times New Roman"/>
                <w:color w:val="auto"/>
                <w:kern w:val="0"/>
                <w:sz w:val="21"/>
                <w:szCs w:val="21"/>
                <w:highlight w:val="none"/>
                <w:lang w:val="en-US" w:eastAsia="zh-CN" w:bidi="ar"/>
              </w:rPr>
              <w:t>办公生活区</w:t>
            </w:r>
          </w:p>
        </w:tc>
        <w:tc>
          <w:tcPr>
            <w:tcW w:w="1189" w:type="dxa"/>
            <w:noWrap w:val="0"/>
            <w:vAlign w:val="center"/>
          </w:tcPr>
          <w:p w14:paraId="1F9E2A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4.38</w:t>
            </w:r>
          </w:p>
        </w:tc>
        <w:tc>
          <w:tcPr>
            <w:tcW w:w="766" w:type="dxa"/>
            <w:noWrap w:val="0"/>
            <w:vAlign w:val="center"/>
          </w:tcPr>
          <w:p w14:paraId="2A5779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767" w:type="dxa"/>
            <w:noWrap w:val="0"/>
            <w:vAlign w:val="center"/>
          </w:tcPr>
          <w:p w14:paraId="1473A2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1527" w:type="dxa"/>
            <w:noWrap w:val="0"/>
            <w:vAlign w:val="center"/>
          </w:tcPr>
          <w:p w14:paraId="0197CD2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eastAsia="宋体" w:cs="Times New Roman"/>
                <w:color w:val="000000"/>
                <w:kern w:val="0"/>
                <w:sz w:val="21"/>
                <w:szCs w:val="21"/>
                <w:highlight w:val="none"/>
                <w:lang w:val="en-US" w:eastAsia="zh-CN" w:bidi="ar"/>
              </w:rPr>
              <w:t>-</w:t>
            </w:r>
          </w:p>
        </w:tc>
        <w:tc>
          <w:tcPr>
            <w:tcW w:w="1530" w:type="dxa"/>
            <w:noWrap w:val="0"/>
            <w:vAlign w:val="center"/>
          </w:tcPr>
          <w:p w14:paraId="6E0DE3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集中收集，委托环卫部门清运</w:t>
            </w:r>
          </w:p>
        </w:tc>
      </w:tr>
      <w:tr w14:paraId="6D781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46EB8C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w:t>
            </w:r>
          </w:p>
        </w:tc>
        <w:tc>
          <w:tcPr>
            <w:tcW w:w="493" w:type="dxa"/>
            <w:vMerge w:val="restart"/>
            <w:noWrap w:val="0"/>
            <w:vAlign w:val="center"/>
          </w:tcPr>
          <w:p w14:paraId="489E74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养殖区</w:t>
            </w:r>
          </w:p>
        </w:tc>
        <w:tc>
          <w:tcPr>
            <w:tcW w:w="493" w:type="dxa"/>
            <w:noWrap w:val="0"/>
            <w:vAlign w:val="center"/>
          </w:tcPr>
          <w:p w14:paraId="65FE79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牛粪及废发酵垫</w:t>
            </w:r>
          </w:p>
        </w:tc>
        <w:tc>
          <w:tcPr>
            <w:tcW w:w="1189" w:type="dxa"/>
            <w:noWrap w:val="0"/>
            <w:vAlign w:val="center"/>
          </w:tcPr>
          <w:p w14:paraId="0E5AFB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牛圈</w:t>
            </w:r>
          </w:p>
        </w:tc>
        <w:tc>
          <w:tcPr>
            <w:tcW w:w="1189" w:type="dxa"/>
            <w:shd w:val="clear" w:color="auto" w:fill="auto"/>
            <w:noWrap w:val="0"/>
            <w:vAlign w:val="center"/>
          </w:tcPr>
          <w:p w14:paraId="4DFC7C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highlight w:val="none"/>
                <w:lang w:val="en-US" w:eastAsia="zh-CN"/>
              </w:rPr>
              <w:t>12133.6</w:t>
            </w:r>
          </w:p>
        </w:tc>
        <w:tc>
          <w:tcPr>
            <w:tcW w:w="766" w:type="dxa"/>
            <w:noWrap w:val="0"/>
            <w:vAlign w:val="center"/>
          </w:tcPr>
          <w:p w14:paraId="74A922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default" w:cs="Times New Roman"/>
                <w:color w:val="auto"/>
                <w:sz w:val="21"/>
                <w:szCs w:val="21"/>
                <w:lang w:val="en-US" w:eastAsia="zh-CN"/>
              </w:rPr>
              <w:t>一般固废</w:t>
            </w:r>
          </w:p>
        </w:tc>
        <w:tc>
          <w:tcPr>
            <w:tcW w:w="767" w:type="dxa"/>
            <w:noWrap w:val="0"/>
            <w:vAlign w:val="center"/>
          </w:tcPr>
          <w:p w14:paraId="0418CE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031-001-33</w:t>
            </w:r>
          </w:p>
        </w:tc>
        <w:tc>
          <w:tcPr>
            <w:tcW w:w="1527" w:type="dxa"/>
            <w:noWrap w:val="0"/>
            <w:vAlign w:val="center"/>
          </w:tcPr>
          <w:p w14:paraId="66AC2C6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kern w:val="0"/>
                <w:sz w:val="21"/>
                <w:szCs w:val="21"/>
                <w:highlight w:val="none"/>
                <w:lang w:val="en-US" w:eastAsia="zh-CN" w:bidi="ar"/>
              </w:rPr>
              <w:t>SW59其他工业固体废物</w:t>
            </w:r>
          </w:p>
        </w:tc>
        <w:tc>
          <w:tcPr>
            <w:tcW w:w="1530" w:type="dxa"/>
            <w:noWrap w:val="0"/>
            <w:vAlign w:val="center"/>
          </w:tcPr>
          <w:p w14:paraId="15DF90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堆肥间生产商品有机肥外售</w:t>
            </w:r>
          </w:p>
        </w:tc>
      </w:tr>
      <w:tr w14:paraId="1E044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04894E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w:t>
            </w:r>
          </w:p>
        </w:tc>
        <w:tc>
          <w:tcPr>
            <w:tcW w:w="493" w:type="dxa"/>
            <w:vMerge w:val="continue"/>
            <w:noWrap w:val="0"/>
            <w:vAlign w:val="center"/>
          </w:tcPr>
          <w:p w14:paraId="63192F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eastAsia="zh-CN"/>
              </w:rPr>
            </w:pPr>
          </w:p>
        </w:tc>
        <w:tc>
          <w:tcPr>
            <w:tcW w:w="493" w:type="dxa"/>
            <w:noWrap w:val="0"/>
            <w:vAlign w:val="center"/>
          </w:tcPr>
          <w:p w14:paraId="37CC71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病死</w:t>
            </w:r>
            <w:r>
              <w:rPr>
                <w:rFonts w:hint="eastAsia" w:eastAsia="宋体" w:cs="Times New Roman"/>
                <w:color w:val="auto"/>
                <w:sz w:val="21"/>
                <w:szCs w:val="21"/>
                <w:lang w:val="en-US" w:eastAsia="zh-CN"/>
              </w:rPr>
              <w:t>牛</w:t>
            </w:r>
          </w:p>
        </w:tc>
        <w:tc>
          <w:tcPr>
            <w:tcW w:w="1189" w:type="dxa"/>
            <w:noWrap w:val="0"/>
            <w:vAlign w:val="center"/>
          </w:tcPr>
          <w:p w14:paraId="17224A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隔离圈</w:t>
            </w:r>
          </w:p>
        </w:tc>
        <w:tc>
          <w:tcPr>
            <w:tcW w:w="1189" w:type="dxa"/>
            <w:noWrap w:val="0"/>
            <w:vAlign w:val="center"/>
          </w:tcPr>
          <w:p w14:paraId="6133A0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0.9</w:t>
            </w:r>
          </w:p>
        </w:tc>
        <w:tc>
          <w:tcPr>
            <w:tcW w:w="766" w:type="dxa"/>
            <w:noWrap w:val="0"/>
            <w:vAlign w:val="center"/>
          </w:tcPr>
          <w:p w14:paraId="003038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一般固废</w:t>
            </w:r>
          </w:p>
        </w:tc>
        <w:tc>
          <w:tcPr>
            <w:tcW w:w="767" w:type="dxa"/>
            <w:noWrap w:val="0"/>
            <w:vAlign w:val="center"/>
          </w:tcPr>
          <w:p w14:paraId="5C6292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031-001-99</w:t>
            </w:r>
          </w:p>
        </w:tc>
        <w:tc>
          <w:tcPr>
            <w:tcW w:w="1527" w:type="dxa"/>
            <w:noWrap w:val="0"/>
            <w:vAlign w:val="center"/>
          </w:tcPr>
          <w:p w14:paraId="26886B9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0"/>
                <w:sz w:val="21"/>
                <w:szCs w:val="21"/>
                <w:highlight w:val="none"/>
                <w:lang w:val="en-US" w:eastAsia="zh-CN" w:bidi="ar"/>
              </w:rPr>
              <w:t>SW59其他工业固体废物</w:t>
            </w:r>
          </w:p>
        </w:tc>
        <w:tc>
          <w:tcPr>
            <w:tcW w:w="1530" w:type="dxa"/>
            <w:noWrap w:val="0"/>
            <w:vAlign w:val="center"/>
          </w:tcPr>
          <w:p w14:paraId="5832DC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委托病死畜禽无害化处置单位处置</w:t>
            </w:r>
          </w:p>
        </w:tc>
      </w:tr>
      <w:tr w14:paraId="3B31E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92" w:hRule="atLeast"/>
          <w:jc w:val="center"/>
        </w:trPr>
        <w:tc>
          <w:tcPr>
            <w:tcW w:w="550" w:type="dxa"/>
            <w:vMerge w:val="restart"/>
            <w:noWrap w:val="0"/>
            <w:vAlign w:val="center"/>
          </w:tcPr>
          <w:p w14:paraId="024D75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493" w:type="dxa"/>
            <w:vMerge w:val="continue"/>
            <w:noWrap w:val="0"/>
            <w:vAlign w:val="center"/>
          </w:tcPr>
          <w:p w14:paraId="04CC04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eastAsia="zh-CN"/>
              </w:rPr>
            </w:pPr>
          </w:p>
        </w:tc>
        <w:tc>
          <w:tcPr>
            <w:tcW w:w="493" w:type="dxa"/>
            <w:vMerge w:val="restart"/>
            <w:noWrap w:val="0"/>
            <w:vAlign w:val="center"/>
          </w:tcPr>
          <w:p w14:paraId="77C0C5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废包装材料</w:t>
            </w:r>
          </w:p>
        </w:tc>
        <w:tc>
          <w:tcPr>
            <w:tcW w:w="1189" w:type="dxa"/>
            <w:vMerge w:val="restart"/>
            <w:noWrap w:val="0"/>
            <w:vAlign w:val="center"/>
          </w:tcPr>
          <w:p w14:paraId="23F691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养殖区</w:t>
            </w:r>
          </w:p>
        </w:tc>
        <w:tc>
          <w:tcPr>
            <w:tcW w:w="1189" w:type="dxa"/>
            <w:noWrap w:val="0"/>
            <w:vAlign w:val="center"/>
          </w:tcPr>
          <w:p w14:paraId="7DAFEE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11.04</w:t>
            </w:r>
          </w:p>
        </w:tc>
        <w:tc>
          <w:tcPr>
            <w:tcW w:w="766" w:type="dxa"/>
            <w:noWrap w:val="0"/>
            <w:vAlign w:val="center"/>
          </w:tcPr>
          <w:p w14:paraId="4B1ECB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一般固废</w:t>
            </w:r>
          </w:p>
        </w:tc>
        <w:tc>
          <w:tcPr>
            <w:tcW w:w="767" w:type="dxa"/>
            <w:noWrap w:val="0"/>
            <w:vAlign w:val="center"/>
          </w:tcPr>
          <w:p w14:paraId="1C1B44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031-001-07</w:t>
            </w:r>
          </w:p>
        </w:tc>
        <w:tc>
          <w:tcPr>
            <w:tcW w:w="1527" w:type="dxa"/>
            <w:noWrap w:val="0"/>
            <w:vAlign w:val="center"/>
          </w:tcPr>
          <w:p w14:paraId="65DF23B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eastAsia="宋体" w:cs="Times New Roman"/>
                <w:color w:val="000000"/>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SW17可再生类废物</w:t>
            </w:r>
          </w:p>
        </w:tc>
        <w:tc>
          <w:tcPr>
            <w:tcW w:w="1530" w:type="dxa"/>
            <w:noWrap w:val="0"/>
            <w:vAlign w:val="center"/>
          </w:tcPr>
          <w:p w14:paraId="593209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分类暂存于库房内，定期外售回收单位综合利用</w:t>
            </w:r>
          </w:p>
        </w:tc>
      </w:tr>
      <w:tr w14:paraId="450C34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92" w:hRule="atLeast"/>
          <w:jc w:val="center"/>
        </w:trPr>
        <w:tc>
          <w:tcPr>
            <w:tcW w:w="550" w:type="dxa"/>
            <w:vMerge w:val="continue"/>
            <w:noWrap w:val="0"/>
            <w:vAlign w:val="center"/>
          </w:tcPr>
          <w:p w14:paraId="73D818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p>
        </w:tc>
        <w:tc>
          <w:tcPr>
            <w:tcW w:w="493" w:type="dxa"/>
            <w:vMerge w:val="continue"/>
            <w:noWrap w:val="0"/>
            <w:vAlign w:val="center"/>
          </w:tcPr>
          <w:p w14:paraId="2BCC4A4F">
            <w:pPr>
              <w:keepNext w:val="0"/>
              <w:keepLines w:val="0"/>
              <w:pageBreakBefore w:val="0"/>
              <w:widowControl w:val="0"/>
              <w:kinsoku/>
              <w:wordWrap/>
              <w:overflowPunct/>
              <w:topLinePunct w:val="0"/>
              <w:autoSpaceDE/>
              <w:autoSpaceDN/>
              <w:bidi w:val="0"/>
              <w:adjustRightInd/>
              <w:snapToGrid/>
              <w:spacing w:line="400" w:lineRule="exact"/>
              <w:jc w:val="center"/>
              <w:textAlignment w:val="auto"/>
            </w:pPr>
          </w:p>
        </w:tc>
        <w:tc>
          <w:tcPr>
            <w:tcW w:w="493" w:type="dxa"/>
            <w:vMerge w:val="continue"/>
            <w:noWrap w:val="0"/>
            <w:vAlign w:val="center"/>
          </w:tcPr>
          <w:p w14:paraId="597A3DA3">
            <w:pPr>
              <w:keepNext w:val="0"/>
              <w:keepLines w:val="0"/>
              <w:pageBreakBefore w:val="0"/>
              <w:widowControl w:val="0"/>
              <w:kinsoku/>
              <w:wordWrap/>
              <w:overflowPunct/>
              <w:topLinePunct w:val="0"/>
              <w:autoSpaceDE/>
              <w:autoSpaceDN/>
              <w:bidi w:val="0"/>
              <w:adjustRightInd/>
              <w:snapToGrid/>
              <w:spacing w:line="400" w:lineRule="exact"/>
              <w:jc w:val="center"/>
              <w:textAlignment w:val="auto"/>
            </w:pPr>
          </w:p>
        </w:tc>
        <w:tc>
          <w:tcPr>
            <w:tcW w:w="1189" w:type="dxa"/>
            <w:vMerge w:val="continue"/>
            <w:noWrap w:val="0"/>
            <w:vAlign w:val="center"/>
          </w:tcPr>
          <w:p w14:paraId="4FB67F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p>
        </w:tc>
        <w:tc>
          <w:tcPr>
            <w:tcW w:w="1189" w:type="dxa"/>
            <w:noWrap w:val="0"/>
            <w:vAlign w:val="center"/>
          </w:tcPr>
          <w:p w14:paraId="32ACD0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0.09</w:t>
            </w:r>
          </w:p>
        </w:tc>
        <w:tc>
          <w:tcPr>
            <w:tcW w:w="766" w:type="dxa"/>
            <w:noWrap w:val="0"/>
            <w:vAlign w:val="center"/>
          </w:tcPr>
          <w:p w14:paraId="65C93D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危险废物</w:t>
            </w:r>
          </w:p>
        </w:tc>
        <w:tc>
          <w:tcPr>
            <w:tcW w:w="767" w:type="dxa"/>
            <w:noWrap w:val="0"/>
            <w:vAlign w:val="center"/>
          </w:tcPr>
          <w:p w14:paraId="7244B2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900-041-49</w:t>
            </w:r>
          </w:p>
        </w:tc>
        <w:tc>
          <w:tcPr>
            <w:tcW w:w="1527" w:type="dxa"/>
            <w:noWrap w:val="0"/>
            <w:vAlign w:val="center"/>
          </w:tcPr>
          <w:p w14:paraId="3FB6DA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1530" w:type="dxa"/>
            <w:noWrap w:val="0"/>
            <w:vAlign w:val="center"/>
          </w:tcPr>
          <w:p w14:paraId="1A5161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暂存于危险废物贮存点，</w:t>
            </w:r>
            <w:r>
              <w:rPr>
                <w:rFonts w:hint="eastAsia" w:ascii="Times New Roman" w:hAnsi="Times New Roman" w:eastAsia="宋体" w:cs="Times New Roman"/>
                <w:color w:val="auto"/>
                <w:sz w:val="21"/>
                <w:szCs w:val="21"/>
                <w:lang w:val="en-US" w:eastAsia="zh-CN"/>
              </w:rPr>
              <w:t>委托</w:t>
            </w:r>
            <w:r>
              <w:rPr>
                <w:rFonts w:hint="default" w:ascii="Times New Roman" w:hAnsi="Times New Roman" w:eastAsia="宋体" w:cs="Times New Roman"/>
                <w:color w:val="auto"/>
                <w:sz w:val="21"/>
                <w:szCs w:val="21"/>
              </w:rPr>
              <w:t>有资质的单位</w:t>
            </w:r>
            <w:r>
              <w:rPr>
                <w:rFonts w:hint="eastAsia" w:ascii="Times New Roman" w:hAnsi="Times New Roman" w:cs="Times New Roman"/>
                <w:color w:val="auto"/>
                <w:sz w:val="21"/>
                <w:szCs w:val="21"/>
                <w:lang w:val="en-US" w:eastAsia="zh-CN"/>
              </w:rPr>
              <w:t>运输</w:t>
            </w:r>
            <w:r>
              <w:rPr>
                <w:rFonts w:hint="default" w:ascii="Times New Roman" w:hAnsi="Times New Roman" w:eastAsia="宋体" w:cs="Times New Roman"/>
                <w:color w:val="auto"/>
                <w:sz w:val="21"/>
                <w:szCs w:val="21"/>
              </w:rPr>
              <w:t>处置</w:t>
            </w:r>
          </w:p>
        </w:tc>
      </w:tr>
      <w:tr w14:paraId="6AECF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675862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w:t>
            </w:r>
          </w:p>
        </w:tc>
        <w:tc>
          <w:tcPr>
            <w:tcW w:w="493" w:type="dxa"/>
            <w:vMerge w:val="continue"/>
            <w:noWrap w:val="0"/>
            <w:vAlign w:val="center"/>
          </w:tcPr>
          <w:p w14:paraId="383069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493" w:type="dxa"/>
            <w:noWrap w:val="0"/>
            <w:vAlign w:val="center"/>
          </w:tcPr>
          <w:p w14:paraId="703FEF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医疗废物</w:t>
            </w:r>
          </w:p>
        </w:tc>
        <w:tc>
          <w:tcPr>
            <w:tcW w:w="1189" w:type="dxa"/>
            <w:tcBorders>
              <w:top w:val="single" w:color="auto" w:sz="4" w:space="0"/>
              <w:bottom w:val="single" w:color="auto" w:sz="4" w:space="0"/>
            </w:tcBorders>
            <w:noWrap w:val="0"/>
            <w:vAlign w:val="center"/>
          </w:tcPr>
          <w:p w14:paraId="42A64E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兽医室</w:t>
            </w:r>
          </w:p>
        </w:tc>
        <w:tc>
          <w:tcPr>
            <w:tcW w:w="1189" w:type="dxa"/>
            <w:tcBorders>
              <w:top w:val="single" w:color="auto" w:sz="4" w:space="0"/>
              <w:bottom w:val="single" w:color="auto" w:sz="4" w:space="0"/>
            </w:tcBorders>
            <w:noWrap w:val="0"/>
            <w:vAlign w:val="center"/>
          </w:tcPr>
          <w:p w14:paraId="76BA4F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0.20</w:t>
            </w:r>
          </w:p>
        </w:tc>
        <w:tc>
          <w:tcPr>
            <w:tcW w:w="766" w:type="dxa"/>
            <w:noWrap w:val="0"/>
            <w:vAlign w:val="center"/>
          </w:tcPr>
          <w:p w14:paraId="071C30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危险废物</w:t>
            </w:r>
          </w:p>
        </w:tc>
        <w:tc>
          <w:tcPr>
            <w:tcW w:w="767" w:type="dxa"/>
            <w:tcBorders>
              <w:top w:val="single" w:color="auto" w:sz="4" w:space="0"/>
              <w:bottom w:val="single" w:color="auto" w:sz="4" w:space="0"/>
            </w:tcBorders>
            <w:noWrap w:val="0"/>
            <w:vAlign w:val="center"/>
          </w:tcPr>
          <w:p w14:paraId="50BA39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841-001-01</w:t>
            </w:r>
          </w:p>
        </w:tc>
        <w:tc>
          <w:tcPr>
            <w:tcW w:w="1527" w:type="dxa"/>
            <w:tcBorders>
              <w:top w:val="single" w:color="auto" w:sz="4" w:space="0"/>
              <w:bottom w:val="single" w:color="auto" w:sz="4" w:space="0"/>
            </w:tcBorders>
            <w:noWrap w:val="0"/>
            <w:vAlign w:val="center"/>
          </w:tcPr>
          <w:p w14:paraId="0ED492B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000000"/>
                <w:kern w:val="0"/>
                <w:sz w:val="21"/>
                <w:szCs w:val="21"/>
                <w:highlight w:val="none"/>
                <w:lang w:val="en-US" w:eastAsia="zh-CN" w:bidi="ar"/>
              </w:rPr>
              <w:t>-</w:t>
            </w:r>
          </w:p>
        </w:tc>
        <w:tc>
          <w:tcPr>
            <w:tcW w:w="1530" w:type="dxa"/>
            <w:tcBorders>
              <w:top w:val="single" w:color="auto" w:sz="4" w:space="0"/>
              <w:bottom w:val="single" w:color="auto" w:sz="4" w:space="0"/>
            </w:tcBorders>
            <w:noWrap w:val="0"/>
            <w:vAlign w:val="center"/>
          </w:tcPr>
          <w:p w14:paraId="36EBB8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暂存于医疗废物暂存间，委托</w:t>
            </w:r>
            <w:r>
              <w:rPr>
                <w:rFonts w:hint="default" w:ascii="Times New Roman" w:hAnsi="Times New Roman" w:eastAsia="宋体" w:cs="Times New Roman"/>
                <w:color w:val="auto"/>
                <w:sz w:val="21"/>
                <w:szCs w:val="21"/>
              </w:rPr>
              <w:t>有资质的单位处置</w:t>
            </w:r>
          </w:p>
        </w:tc>
      </w:tr>
      <w:tr w14:paraId="60A95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799852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bookmarkStart w:id="345" w:name="_Toc1644"/>
            <w:bookmarkStart w:id="346" w:name="_Toc395"/>
            <w:bookmarkStart w:id="347" w:name="_Toc4337"/>
            <w:r>
              <w:rPr>
                <w:rFonts w:hint="eastAsia" w:cs="Times New Roman"/>
                <w:color w:val="auto"/>
                <w:sz w:val="21"/>
                <w:szCs w:val="21"/>
                <w:lang w:val="en-US" w:eastAsia="zh-CN"/>
              </w:rPr>
              <w:t>6</w:t>
            </w:r>
          </w:p>
        </w:tc>
        <w:tc>
          <w:tcPr>
            <w:tcW w:w="493" w:type="dxa"/>
            <w:vMerge w:val="restart"/>
            <w:noWrap w:val="0"/>
            <w:vAlign w:val="center"/>
          </w:tcPr>
          <w:p w14:paraId="49E91D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堆肥区</w:t>
            </w:r>
          </w:p>
        </w:tc>
        <w:tc>
          <w:tcPr>
            <w:tcW w:w="493" w:type="dxa"/>
            <w:noWrap w:val="0"/>
            <w:vAlign w:val="center"/>
          </w:tcPr>
          <w:p w14:paraId="188852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除尘灰</w:t>
            </w:r>
          </w:p>
        </w:tc>
        <w:tc>
          <w:tcPr>
            <w:tcW w:w="1189" w:type="dxa"/>
            <w:vMerge w:val="restart"/>
            <w:tcBorders>
              <w:top w:val="single" w:color="auto" w:sz="4" w:space="0"/>
            </w:tcBorders>
            <w:noWrap w:val="0"/>
            <w:vAlign w:val="center"/>
          </w:tcPr>
          <w:p w14:paraId="45E210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堆肥间除尘器</w:t>
            </w:r>
          </w:p>
        </w:tc>
        <w:tc>
          <w:tcPr>
            <w:tcW w:w="1189" w:type="dxa"/>
            <w:tcBorders>
              <w:top w:val="single" w:color="auto" w:sz="4" w:space="0"/>
              <w:bottom w:val="single" w:color="auto" w:sz="4" w:space="0"/>
            </w:tcBorders>
            <w:noWrap w:val="0"/>
            <w:vAlign w:val="center"/>
          </w:tcPr>
          <w:p w14:paraId="185DC8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1.19</w:t>
            </w:r>
          </w:p>
        </w:tc>
        <w:tc>
          <w:tcPr>
            <w:tcW w:w="766" w:type="dxa"/>
            <w:noWrap w:val="0"/>
            <w:vAlign w:val="center"/>
          </w:tcPr>
          <w:p w14:paraId="3E09CC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一般固废</w:t>
            </w:r>
          </w:p>
        </w:tc>
        <w:tc>
          <w:tcPr>
            <w:tcW w:w="767" w:type="dxa"/>
            <w:tcBorders>
              <w:top w:val="single" w:color="auto" w:sz="4" w:space="0"/>
              <w:bottom w:val="single" w:color="auto" w:sz="4" w:space="0"/>
            </w:tcBorders>
            <w:noWrap w:val="0"/>
            <w:vAlign w:val="center"/>
          </w:tcPr>
          <w:p w14:paraId="5CE5EC37">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031</w:t>
            </w:r>
            <w:r>
              <w:rPr>
                <w:rFonts w:hint="eastAsia" w:ascii="Times New Roman" w:hAnsi="Times New Roman" w:eastAsia="宋体" w:cs="Times New Roman"/>
                <w:color w:val="000000"/>
                <w:kern w:val="0"/>
                <w:sz w:val="21"/>
                <w:szCs w:val="21"/>
                <w:highlight w:val="none"/>
                <w:lang w:val="en-US" w:eastAsia="zh-CN" w:bidi="ar"/>
              </w:rPr>
              <w:t>-005-66</w:t>
            </w:r>
          </w:p>
        </w:tc>
        <w:tc>
          <w:tcPr>
            <w:tcW w:w="1527" w:type="dxa"/>
            <w:tcBorders>
              <w:top w:val="single" w:color="auto" w:sz="4" w:space="0"/>
              <w:bottom w:val="single" w:color="auto" w:sz="4" w:space="0"/>
            </w:tcBorders>
            <w:noWrap w:val="0"/>
            <w:vAlign w:val="center"/>
          </w:tcPr>
          <w:p w14:paraId="69EC318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SW59其他工业固体废物</w:t>
            </w:r>
          </w:p>
        </w:tc>
        <w:tc>
          <w:tcPr>
            <w:tcW w:w="1530" w:type="dxa"/>
            <w:tcBorders>
              <w:top w:val="single" w:color="auto" w:sz="4" w:space="0"/>
              <w:bottom w:val="single" w:color="auto" w:sz="4" w:space="0"/>
            </w:tcBorders>
            <w:noWrap w:val="0"/>
            <w:vAlign w:val="center"/>
          </w:tcPr>
          <w:p w14:paraId="2A6E68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000000"/>
                <w:kern w:val="0"/>
                <w:sz w:val="21"/>
                <w:szCs w:val="21"/>
                <w:highlight w:val="none"/>
                <w:lang w:val="en-US" w:eastAsia="zh-CN" w:bidi="ar"/>
              </w:rPr>
              <w:t>暂存于堆肥间，</w:t>
            </w:r>
            <w:r>
              <w:rPr>
                <w:rFonts w:hint="eastAsia" w:ascii="Times New Roman" w:hAnsi="Times New Roman" w:eastAsia="宋体" w:cs="Times New Roman"/>
                <w:color w:val="000000"/>
                <w:kern w:val="0"/>
                <w:sz w:val="21"/>
                <w:szCs w:val="21"/>
                <w:highlight w:val="none"/>
                <w:lang w:val="en-US" w:eastAsia="zh-CN" w:bidi="ar"/>
              </w:rPr>
              <w:t>回用于</w:t>
            </w:r>
            <w:r>
              <w:rPr>
                <w:rFonts w:hint="eastAsia" w:cs="Times New Roman"/>
                <w:color w:val="000000"/>
                <w:kern w:val="0"/>
                <w:sz w:val="21"/>
                <w:szCs w:val="21"/>
                <w:highlight w:val="none"/>
                <w:lang w:val="en-US" w:eastAsia="zh-CN" w:bidi="ar"/>
              </w:rPr>
              <w:t>堆肥</w:t>
            </w:r>
          </w:p>
        </w:tc>
      </w:tr>
      <w:tr w14:paraId="0F0A7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shd w:val="clear" w:color="auto" w:fill="auto"/>
            <w:noWrap w:val="0"/>
            <w:vAlign w:val="center"/>
          </w:tcPr>
          <w:p w14:paraId="464CCA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7</w:t>
            </w:r>
          </w:p>
        </w:tc>
        <w:tc>
          <w:tcPr>
            <w:tcW w:w="493" w:type="dxa"/>
            <w:vMerge w:val="continue"/>
            <w:noWrap w:val="0"/>
            <w:vAlign w:val="center"/>
          </w:tcPr>
          <w:p w14:paraId="3A20DE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p>
        </w:tc>
        <w:tc>
          <w:tcPr>
            <w:tcW w:w="493" w:type="dxa"/>
            <w:noWrap w:val="0"/>
            <w:vAlign w:val="center"/>
          </w:tcPr>
          <w:p w14:paraId="63469C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废布袋</w:t>
            </w:r>
          </w:p>
        </w:tc>
        <w:tc>
          <w:tcPr>
            <w:tcW w:w="1189" w:type="dxa"/>
            <w:vMerge w:val="continue"/>
            <w:tcBorders>
              <w:bottom w:val="single" w:color="auto" w:sz="4" w:space="0"/>
            </w:tcBorders>
            <w:noWrap w:val="0"/>
            <w:vAlign w:val="center"/>
          </w:tcPr>
          <w:p w14:paraId="601BEC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p>
        </w:tc>
        <w:tc>
          <w:tcPr>
            <w:tcW w:w="1189" w:type="dxa"/>
            <w:tcBorders>
              <w:top w:val="single" w:color="auto" w:sz="4" w:space="0"/>
              <w:bottom w:val="single" w:color="auto" w:sz="4" w:space="0"/>
            </w:tcBorders>
            <w:noWrap w:val="0"/>
            <w:vAlign w:val="center"/>
          </w:tcPr>
          <w:p w14:paraId="0783D8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0.2</w:t>
            </w:r>
          </w:p>
        </w:tc>
        <w:tc>
          <w:tcPr>
            <w:tcW w:w="766" w:type="dxa"/>
            <w:noWrap w:val="0"/>
            <w:vAlign w:val="center"/>
          </w:tcPr>
          <w:p w14:paraId="15AA33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一般固废</w:t>
            </w:r>
          </w:p>
        </w:tc>
        <w:tc>
          <w:tcPr>
            <w:tcW w:w="767" w:type="dxa"/>
            <w:tcBorders>
              <w:top w:val="single" w:color="auto" w:sz="4" w:space="0"/>
              <w:bottom w:val="single" w:color="auto" w:sz="4" w:space="0"/>
            </w:tcBorders>
            <w:noWrap w:val="0"/>
            <w:vAlign w:val="center"/>
          </w:tcPr>
          <w:p w14:paraId="4E2FF9F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cs="Times New Roman"/>
                <w:color w:val="auto"/>
                <w:sz w:val="21"/>
                <w:szCs w:val="21"/>
                <w:lang w:val="en-US" w:eastAsia="zh-CN"/>
              </w:rPr>
              <w:t>031-001</w:t>
            </w:r>
            <w:r>
              <w:rPr>
                <w:rFonts w:hint="eastAsia" w:ascii="Times New Roman" w:hAnsi="Times New Roman" w:eastAsia="宋体" w:cs="Times New Roman"/>
                <w:color w:val="000000"/>
                <w:kern w:val="0"/>
                <w:sz w:val="21"/>
                <w:szCs w:val="21"/>
                <w:highlight w:val="none"/>
                <w:lang w:val="en-US" w:eastAsia="zh-CN" w:bidi="ar"/>
              </w:rPr>
              <w:t>-99</w:t>
            </w:r>
          </w:p>
        </w:tc>
        <w:tc>
          <w:tcPr>
            <w:tcW w:w="1527" w:type="dxa"/>
            <w:tcBorders>
              <w:top w:val="single" w:color="auto" w:sz="4" w:space="0"/>
              <w:bottom w:val="single" w:color="auto" w:sz="4" w:space="0"/>
            </w:tcBorders>
            <w:noWrap w:val="0"/>
            <w:vAlign w:val="center"/>
          </w:tcPr>
          <w:p w14:paraId="11CBC34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SW59其他工业固体废物</w:t>
            </w:r>
          </w:p>
        </w:tc>
        <w:tc>
          <w:tcPr>
            <w:tcW w:w="1530" w:type="dxa"/>
            <w:tcBorders>
              <w:top w:val="single" w:color="auto" w:sz="4" w:space="0"/>
              <w:bottom w:val="single" w:color="auto" w:sz="4" w:space="0"/>
            </w:tcBorders>
            <w:noWrap w:val="0"/>
            <w:vAlign w:val="center"/>
          </w:tcPr>
          <w:p w14:paraId="00C9E1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暂存于堆肥间，原厂回收</w:t>
            </w:r>
          </w:p>
        </w:tc>
      </w:tr>
      <w:tr w14:paraId="130D4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shd w:val="clear" w:color="auto" w:fill="auto"/>
            <w:noWrap w:val="0"/>
            <w:vAlign w:val="center"/>
          </w:tcPr>
          <w:p w14:paraId="5013FD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8</w:t>
            </w:r>
          </w:p>
        </w:tc>
        <w:tc>
          <w:tcPr>
            <w:tcW w:w="493" w:type="dxa"/>
            <w:vMerge w:val="continue"/>
            <w:noWrap w:val="0"/>
            <w:vAlign w:val="center"/>
          </w:tcPr>
          <w:p w14:paraId="6F8302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p>
        </w:tc>
        <w:tc>
          <w:tcPr>
            <w:tcW w:w="493" w:type="dxa"/>
            <w:noWrap w:val="0"/>
            <w:vAlign w:val="center"/>
          </w:tcPr>
          <w:p w14:paraId="78D419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废填料</w:t>
            </w:r>
          </w:p>
        </w:tc>
        <w:tc>
          <w:tcPr>
            <w:tcW w:w="1189" w:type="dxa"/>
            <w:tcBorders>
              <w:top w:val="single" w:color="auto" w:sz="4" w:space="0"/>
              <w:bottom w:val="single" w:color="auto" w:sz="4" w:space="0"/>
            </w:tcBorders>
            <w:noWrap w:val="0"/>
            <w:vAlign w:val="center"/>
          </w:tcPr>
          <w:p w14:paraId="746A2F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生物除臭</w:t>
            </w:r>
          </w:p>
        </w:tc>
        <w:tc>
          <w:tcPr>
            <w:tcW w:w="1189" w:type="dxa"/>
            <w:tcBorders>
              <w:top w:val="single" w:color="auto" w:sz="4" w:space="0"/>
              <w:bottom w:val="single" w:color="auto" w:sz="4" w:space="0"/>
            </w:tcBorders>
            <w:noWrap w:val="0"/>
            <w:vAlign w:val="center"/>
          </w:tcPr>
          <w:p w14:paraId="400404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0.50</w:t>
            </w:r>
          </w:p>
        </w:tc>
        <w:tc>
          <w:tcPr>
            <w:tcW w:w="766" w:type="dxa"/>
            <w:noWrap w:val="0"/>
            <w:vAlign w:val="center"/>
          </w:tcPr>
          <w:p w14:paraId="617426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一般固废</w:t>
            </w:r>
          </w:p>
        </w:tc>
        <w:tc>
          <w:tcPr>
            <w:tcW w:w="767" w:type="dxa"/>
            <w:tcBorders>
              <w:top w:val="single" w:color="auto" w:sz="4" w:space="0"/>
              <w:bottom w:val="single" w:color="auto" w:sz="4" w:space="0"/>
            </w:tcBorders>
            <w:noWrap w:val="0"/>
            <w:vAlign w:val="center"/>
          </w:tcPr>
          <w:p w14:paraId="3B7FFC3C">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auto"/>
                <w:sz w:val="21"/>
                <w:szCs w:val="21"/>
                <w:lang w:val="en-US" w:eastAsia="zh-CN"/>
              </w:rPr>
              <w:t>031</w:t>
            </w:r>
            <w:r>
              <w:rPr>
                <w:rFonts w:hint="eastAsia" w:ascii="Times New Roman" w:hAnsi="Times New Roman" w:eastAsia="宋体" w:cs="Times New Roman"/>
                <w:color w:val="000000"/>
                <w:kern w:val="0"/>
                <w:sz w:val="21"/>
                <w:szCs w:val="21"/>
                <w:highlight w:val="none"/>
                <w:lang w:val="en-US" w:eastAsia="zh-CN" w:bidi="ar"/>
              </w:rPr>
              <w:t>-005</w:t>
            </w:r>
            <w:r>
              <w:rPr>
                <w:rFonts w:hint="eastAsia" w:ascii="Times New Roman" w:hAnsi="Times New Roman" w:eastAsia="宋体" w:cs="Times New Roman"/>
                <w:color w:val="auto"/>
                <w:kern w:val="0"/>
                <w:sz w:val="21"/>
                <w:szCs w:val="21"/>
                <w:highlight w:val="none"/>
                <w:lang w:val="en-US" w:eastAsia="zh-CN" w:bidi="ar"/>
              </w:rPr>
              <w:t>-</w:t>
            </w:r>
            <w:r>
              <w:rPr>
                <w:rFonts w:hint="eastAsia" w:cs="Times New Roman"/>
                <w:color w:val="auto"/>
                <w:kern w:val="0"/>
                <w:sz w:val="21"/>
                <w:szCs w:val="21"/>
                <w:highlight w:val="none"/>
                <w:lang w:val="en-US" w:eastAsia="zh-CN" w:bidi="ar"/>
              </w:rPr>
              <w:t>99</w:t>
            </w:r>
          </w:p>
        </w:tc>
        <w:tc>
          <w:tcPr>
            <w:tcW w:w="1527" w:type="dxa"/>
            <w:tcBorders>
              <w:top w:val="single" w:color="auto" w:sz="4" w:space="0"/>
              <w:bottom w:val="single" w:color="auto" w:sz="4" w:space="0"/>
            </w:tcBorders>
            <w:noWrap w:val="0"/>
            <w:vAlign w:val="center"/>
          </w:tcPr>
          <w:p w14:paraId="73347E9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SW59其他工业固体废物</w:t>
            </w:r>
          </w:p>
        </w:tc>
        <w:tc>
          <w:tcPr>
            <w:tcW w:w="1530" w:type="dxa"/>
            <w:tcBorders>
              <w:top w:val="single" w:color="auto" w:sz="4" w:space="0"/>
              <w:bottom w:val="single" w:color="auto" w:sz="4" w:space="0"/>
            </w:tcBorders>
            <w:noWrap w:val="0"/>
            <w:vAlign w:val="center"/>
          </w:tcPr>
          <w:p w14:paraId="4A7AB0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集中收集后暂存于</w:t>
            </w:r>
            <w:r>
              <w:rPr>
                <w:rFonts w:hint="eastAsia" w:cs="Times New Roman"/>
                <w:color w:val="000000"/>
                <w:kern w:val="0"/>
                <w:sz w:val="21"/>
                <w:szCs w:val="21"/>
                <w:highlight w:val="none"/>
                <w:lang w:val="en-US" w:eastAsia="zh-CN" w:bidi="ar"/>
              </w:rPr>
              <w:t>堆肥间</w:t>
            </w:r>
            <w:r>
              <w:rPr>
                <w:rFonts w:hint="eastAsia" w:ascii="Times New Roman" w:hAnsi="Times New Roman" w:eastAsia="宋体" w:cs="Times New Roman"/>
                <w:color w:val="000000"/>
                <w:kern w:val="0"/>
                <w:sz w:val="21"/>
                <w:szCs w:val="21"/>
                <w:highlight w:val="none"/>
                <w:lang w:val="en-US" w:eastAsia="zh-CN" w:bidi="ar"/>
              </w:rPr>
              <w:t>内，</w:t>
            </w:r>
            <w:r>
              <w:rPr>
                <w:rFonts w:hint="eastAsia" w:ascii="Times New Roman" w:hAnsi="Times New Roman" w:eastAsia="宋体" w:cs="Times New Roman"/>
                <w:color w:val="auto"/>
                <w:sz w:val="21"/>
                <w:szCs w:val="21"/>
                <w:lang w:val="en-US" w:eastAsia="zh-CN"/>
              </w:rPr>
              <w:t>外售</w:t>
            </w:r>
            <w:r>
              <w:rPr>
                <w:rFonts w:hint="eastAsia" w:cs="Times New Roman"/>
                <w:color w:val="auto"/>
                <w:sz w:val="21"/>
                <w:szCs w:val="21"/>
                <w:lang w:val="en-US" w:eastAsia="zh-CN"/>
              </w:rPr>
              <w:t>回收单位</w:t>
            </w:r>
            <w:r>
              <w:rPr>
                <w:rFonts w:hint="eastAsia" w:ascii="Times New Roman" w:hAnsi="Times New Roman" w:eastAsia="宋体" w:cs="Times New Roman"/>
                <w:color w:val="auto"/>
                <w:sz w:val="21"/>
                <w:szCs w:val="21"/>
                <w:lang w:val="en-US" w:eastAsia="zh-CN"/>
              </w:rPr>
              <w:t>综合利用</w:t>
            </w:r>
          </w:p>
        </w:tc>
      </w:tr>
      <w:tr w14:paraId="14CF7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6BFE14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9</w:t>
            </w:r>
          </w:p>
        </w:tc>
        <w:tc>
          <w:tcPr>
            <w:tcW w:w="493" w:type="dxa"/>
            <w:vMerge w:val="restart"/>
            <w:noWrap w:val="0"/>
            <w:vAlign w:val="center"/>
          </w:tcPr>
          <w:p w14:paraId="1453CB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饲料加工区</w:t>
            </w:r>
          </w:p>
        </w:tc>
        <w:tc>
          <w:tcPr>
            <w:tcW w:w="493" w:type="dxa"/>
            <w:noWrap w:val="0"/>
            <w:vAlign w:val="center"/>
          </w:tcPr>
          <w:p w14:paraId="0B0A20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除尘灰</w:t>
            </w:r>
          </w:p>
        </w:tc>
        <w:tc>
          <w:tcPr>
            <w:tcW w:w="1189" w:type="dxa"/>
            <w:vMerge w:val="restart"/>
            <w:tcBorders>
              <w:top w:val="single" w:color="auto" w:sz="4" w:space="0"/>
            </w:tcBorders>
            <w:noWrap w:val="0"/>
            <w:vAlign w:val="center"/>
          </w:tcPr>
          <w:p w14:paraId="48C036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饲料加工除尘器</w:t>
            </w:r>
          </w:p>
        </w:tc>
        <w:tc>
          <w:tcPr>
            <w:tcW w:w="1189" w:type="dxa"/>
            <w:tcBorders>
              <w:top w:val="single" w:color="auto" w:sz="4" w:space="0"/>
              <w:bottom w:val="single" w:color="auto" w:sz="4" w:space="0"/>
            </w:tcBorders>
            <w:noWrap w:val="0"/>
            <w:vAlign w:val="center"/>
          </w:tcPr>
          <w:p w14:paraId="318E77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0.46</w:t>
            </w:r>
          </w:p>
        </w:tc>
        <w:tc>
          <w:tcPr>
            <w:tcW w:w="766" w:type="dxa"/>
            <w:noWrap w:val="0"/>
            <w:vAlign w:val="center"/>
          </w:tcPr>
          <w:p w14:paraId="1A9BA9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一般固废</w:t>
            </w:r>
          </w:p>
        </w:tc>
        <w:tc>
          <w:tcPr>
            <w:tcW w:w="767" w:type="dxa"/>
            <w:tcBorders>
              <w:top w:val="single" w:color="auto" w:sz="4" w:space="0"/>
              <w:bottom w:val="single" w:color="auto" w:sz="4" w:space="0"/>
            </w:tcBorders>
            <w:noWrap w:val="0"/>
            <w:vAlign w:val="center"/>
          </w:tcPr>
          <w:p w14:paraId="78D9851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031-001-66</w:t>
            </w:r>
          </w:p>
        </w:tc>
        <w:tc>
          <w:tcPr>
            <w:tcW w:w="1527" w:type="dxa"/>
            <w:tcBorders>
              <w:top w:val="single" w:color="auto" w:sz="4" w:space="0"/>
              <w:bottom w:val="single" w:color="auto" w:sz="4" w:space="0"/>
            </w:tcBorders>
            <w:noWrap w:val="0"/>
            <w:vAlign w:val="center"/>
          </w:tcPr>
          <w:p w14:paraId="1782CA6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SW59其他工业固体废物</w:t>
            </w:r>
          </w:p>
        </w:tc>
        <w:tc>
          <w:tcPr>
            <w:tcW w:w="1530" w:type="dxa"/>
            <w:tcBorders>
              <w:top w:val="single" w:color="auto" w:sz="4" w:space="0"/>
              <w:bottom w:val="single" w:color="auto" w:sz="4" w:space="0"/>
            </w:tcBorders>
            <w:noWrap w:val="0"/>
            <w:vAlign w:val="center"/>
          </w:tcPr>
          <w:p w14:paraId="5EFD13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暂存于库房内，回用于饲料加工</w:t>
            </w:r>
          </w:p>
        </w:tc>
      </w:tr>
      <w:tr w14:paraId="6A363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0" w:type="dxa"/>
            <w:noWrap w:val="0"/>
            <w:vAlign w:val="center"/>
          </w:tcPr>
          <w:p w14:paraId="1DF119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10</w:t>
            </w:r>
          </w:p>
        </w:tc>
        <w:tc>
          <w:tcPr>
            <w:tcW w:w="493" w:type="dxa"/>
            <w:vMerge w:val="continue"/>
            <w:noWrap w:val="0"/>
            <w:vAlign w:val="center"/>
          </w:tcPr>
          <w:p w14:paraId="2CB1EE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p>
        </w:tc>
        <w:tc>
          <w:tcPr>
            <w:tcW w:w="493" w:type="dxa"/>
            <w:noWrap w:val="0"/>
            <w:vAlign w:val="center"/>
          </w:tcPr>
          <w:p w14:paraId="5E9604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废布袋</w:t>
            </w:r>
          </w:p>
        </w:tc>
        <w:tc>
          <w:tcPr>
            <w:tcW w:w="1189" w:type="dxa"/>
            <w:vMerge w:val="continue"/>
            <w:tcBorders>
              <w:bottom w:val="single" w:color="auto" w:sz="4" w:space="0"/>
            </w:tcBorders>
            <w:noWrap w:val="0"/>
            <w:vAlign w:val="center"/>
          </w:tcPr>
          <w:p w14:paraId="4A93B7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p>
        </w:tc>
        <w:tc>
          <w:tcPr>
            <w:tcW w:w="1189" w:type="dxa"/>
            <w:tcBorders>
              <w:top w:val="single" w:color="auto" w:sz="4" w:space="0"/>
              <w:bottom w:val="single" w:color="auto" w:sz="4" w:space="0"/>
            </w:tcBorders>
            <w:noWrap w:val="0"/>
            <w:vAlign w:val="center"/>
          </w:tcPr>
          <w:p w14:paraId="76739C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0.2</w:t>
            </w:r>
          </w:p>
        </w:tc>
        <w:tc>
          <w:tcPr>
            <w:tcW w:w="766" w:type="dxa"/>
            <w:noWrap w:val="0"/>
            <w:vAlign w:val="center"/>
          </w:tcPr>
          <w:p w14:paraId="755A20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一般固废</w:t>
            </w:r>
          </w:p>
        </w:tc>
        <w:tc>
          <w:tcPr>
            <w:tcW w:w="767" w:type="dxa"/>
            <w:tcBorders>
              <w:top w:val="single" w:color="auto" w:sz="4" w:space="0"/>
              <w:bottom w:val="single" w:color="auto" w:sz="4" w:space="0"/>
            </w:tcBorders>
            <w:noWrap w:val="0"/>
            <w:vAlign w:val="center"/>
          </w:tcPr>
          <w:p w14:paraId="0F8B2F5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color w:val="000000"/>
                <w:kern w:val="0"/>
                <w:sz w:val="21"/>
                <w:szCs w:val="21"/>
                <w:highlight w:val="none"/>
                <w:lang w:val="en-US" w:eastAsia="zh-CN" w:bidi="ar"/>
              </w:rPr>
            </w:pPr>
            <w:r>
              <w:rPr>
                <w:rFonts w:hint="eastAsia" w:cs="Times New Roman"/>
                <w:color w:val="auto"/>
                <w:sz w:val="21"/>
                <w:szCs w:val="21"/>
                <w:lang w:val="en-US" w:eastAsia="zh-CN"/>
              </w:rPr>
              <w:t>031-001</w:t>
            </w:r>
            <w:r>
              <w:rPr>
                <w:rFonts w:hint="eastAsia" w:ascii="Times New Roman" w:hAnsi="Times New Roman" w:eastAsia="宋体" w:cs="Times New Roman"/>
                <w:color w:val="000000"/>
                <w:kern w:val="0"/>
                <w:sz w:val="21"/>
                <w:szCs w:val="21"/>
                <w:highlight w:val="none"/>
                <w:lang w:val="en-US" w:eastAsia="zh-CN" w:bidi="ar"/>
              </w:rPr>
              <w:t>-99</w:t>
            </w:r>
          </w:p>
        </w:tc>
        <w:tc>
          <w:tcPr>
            <w:tcW w:w="1527" w:type="dxa"/>
            <w:tcBorders>
              <w:top w:val="single" w:color="auto" w:sz="4" w:space="0"/>
              <w:bottom w:val="single" w:color="auto" w:sz="4" w:space="0"/>
            </w:tcBorders>
            <w:noWrap w:val="0"/>
            <w:vAlign w:val="center"/>
          </w:tcPr>
          <w:p w14:paraId="5CD701A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SW59其他工业固体废物</w:t>
            </w:r>
          </w:p>
        </w:tc>
        <w:tc>
          <w:tcPr>
            <w:tcW w:w="1530" w:type="dxa"/>
            <w:tcBorders>
              <w:top w:val="single" w:color="auto" w:sz="4" w:space="0"/>
              <w:bottom w:val="single" w:color="auto" w:sz="4" w:space="0"/>
            </w:tcBorders>
            <w:noWrap w:val="0"/>
            <w:vAlign w:val="center"/>
          </w:tcPr>
          <w:p w14:paraId="79109A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暂存于堆肥间，原厂回收</w:t>
            </w:r>
          </w:p>
        </w:tc>
      </w:tr>
      <w:tr w14:paraId="18DDA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504" w:type="dxa"/>
            <w:gridSpan w:val="9"/>
            <w:noWrap w:val="0"/>
            <w:vAlign w:val="center"/>
          </w:tcPr>
          <w:p w14:paraId="154E8A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000000"/>
                <w:kern w:val="0"/>
                <w:sz w:val="21"/>
                <w:szCs w:val="21"/>
                <w:highlight w:val="none"/>
                <w:lang w:val="en-US" w:eastAsia="zh-CN" w:bidi="ar"/>
              </w:rPr>
              <w:t>一般固体废物分类与代码根据《一般固体废物分类与代码》（GB/T39198</w:t>
            </w:r>
            <w:r>
              <w:rPr>
                <w:rFonts w:hint="eastAsia" w:cs="Times New Roman"/>
                <w:color w:val="000000"/>
                <w:kern w:val="0"/>
                <w:sz w:val="21"/>
                <w:szCs w:val="21"/>
                <w:highlight w:val="none"/>
                <w:lang w:val="en-US" w:eastAsia="zh-CN" w:bidi="ar"/>
              </w:rPr>
              <w:t>-</w:t>
            </w:r>
            <w:r>
              <w:rPr>
                <w:rFonts w:hint="eastAsia" w:ascii="Times New Roman" w:hAnsi="Times New Roman" w:eastAsia="宋体" w:cs="Times New Roman"/>
                <w:color w:val="000000"/>
                <w:kern w:val="0"/>
                <w:sz w:val="21"/>
                <w:szCs w:val="21"/>
                <w:highlight w:val="none"/>
                <w:lang w:val="en-US" w:eastAsia="zh-CN" w:bidi="ar"/>
              </w:rPr>
              <w:t>2020）确定；废物代码根据《一般工业固体废物管理台账制定指南（试行）》确定</w:t>
            </w:r>
          </w:p>
        </w:tc>
      </w:tr>
    </w:tbl>
    <w:p w14:paraId="55296A18">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1"/>
        <w:rPr>
          <w:rFonts w:hint="default" w:ascii="Times New Roman" w:hAnsi="Times New Roman" w:eastAsia="宋体" w:cs="Times New Roman"/>
          <w:b/>
          <w:bCs/>
          <w:color w:val="auto"/>
          <w:kern w:val="2"/>
          <w:sz w:val="30"/>
          <w:szCs w:val="30"/>
          <w:lang w:val="en-US" w:eastAsia="zh-CN" w:bidi="ar-SA"/>
        </w:rPr>
      </w:pPr>
      <w:bookmarkStart w:id="348" w:name="_Toc27383"/>
      <w:r>
        <w:rPr>
          <w:rFonts w:hint="eastAsia" w:ascii="Times New Roman" w:hAnsi="Times New Roman" w:eastAsia="宋体" w:cs="Times New Roman"/>
          <w:b/>
          <w:bCs/>
          <w:color w:val="auto"/>
          <w:kern w:val="2"/>
          <w:sz w:val="30"/>
          <w:szCs w:val="30"/>
          <w:lang w:val="en-US" w:eastAsia="zh-CN" w:bidi="ar-SA"/>
        </w:rPr>
        <w:t>3.</w:t>
      </w:r>
      <w:r>
        <w:rPr>
          <w:rFonts w:hint="eastAsia" w:cs="Times New Roman"/>
          <w:b/>
          <w:bCs/>
          <w:color w:val="auto"/>
          <w:kern w:val="2"/>
          <w:sz w:val="30"/>
          <w:szCs w:val="30"/>
          <w:lang w:val="en-US" w:eastAsia="zh-CN" w:bidi="ar-SA"/>
        </w:rPr>
        <w:t>5</w:t>
      </w:r>
      <w:r>
        <w:rPr>
          <w:rFonts w:hint="default" w:ascii="Times New Roman" w:hAnsi="Times New Roman" w:eastAsia="宋体" w:cs="Times New Roman"/>
          <w:b/>
          <w:bCs/>
          <w:color w:val="auto"/>
          <w:kern w:val="2"/>
          <w:sz w:val="30"/>
          <w:szCs w:val="30"/>
          <w:lang w:val="en-US" w:eastAsia="zh-CN" w:bidi="ar-SA"/>
        </w:rPr>
        <w:t>污染物排放汇总表</w:t>
      </w:r>
      <w:bookmarkEnd w:id="345"/>
      <w:bookmarkEnd w:id="346"/>
      <w:bookmarkEnd w:id="347"/>
      <w:bookmarkEnd w:id="348"/>
    </w:p>
    <w:p w14:paraId="360978F0">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本项目运营期污染物排放量汇总情况见表3</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w:t>
      </w:r>
    </w:p>
    <w:p w14:paraId="3F118A32">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5</w:t>
      </w:r>
      <w:r>
        <w:rPr>
          <w:rFonts w:hint="eastAsia"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lang w:val="en-US" w:eastAsia="zh-CN"/>
        </w:rPr>
        <w:t>污染物产生和排放量汇总表</w:t>
      </w:r>
    </w:p>
    <w:tbl>
      <w:tblPr>
        <w:tblStyle w:val="20"/>
        <w:tblW w:w="850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78"/>
        <w:gridCol w:w="1050"/>
        <w:gridCol w:w="1260"/>
        <w:gridCol w:w="1210"/>
        <w:gridCol w:w="2980"/>
        <w:gridCol w:w="1229"/>
      </w:tblGrid>
      <w:tr w14:paraId="425593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8" w:type="dxa"/>
            <w:noWrap w:val="0"/>
            <w:vAlign w:val="center"/>
          </w:tcPr>
          <w:p w14:paraId="5538E3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内容</w:t>
            </w:r>
          </w:p>
          <w:p w14:paraId="4A2E38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类型</w:t>
            </w:r>
          </w:p>
        </w:tc>
        <w:tc>
          <w:tcPr>
            <w:tcW w:w="1050" w:type="dxa"/>
            <w:noWrap w:val="0"/>
            <w:vAlign w:val="center"/>
          </w:tcPr>
          <w:p w14:paraId="5B3CC6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排放源</w:t>
            </w:r>
          </w:p>
        </w:tc>
        <w:tc>
          <w:tcPr>
            <w:tcW w:w="1260" w:type="dxa"/>
            <w:noWrap w:val="0"/>
            <w:vAlign w:val="center"/>
          </w:tcPr>
          <w:p w14:paraId="61028F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污染物</w:t>
            </w:r>
          </w:p>
        </w:tc>
        <w:tc>
          <w:tcPr>
            <w:tcW w:w="1210" w:type="dxa"/>
            <w:noWrap w:val="0"/>
            <w:vAlign w:val="center"/>
          </w:tcPr>
          <w:p w14:paraId="2E22E6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产生量（t/a）</w:t>
            </w:r>
          </w:p>
        </w:tc>
        <w:tc>
          <w:tcPr>
            <w:tcW w:w="2980" w:type="dxa"/>
            <w:noWrap w:val="0"/>
            <w:vAlign w:val="center"/>
          </w:tcPr>
          <w:p w14:paraId="2E64E4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val="0"/>
                <w:color w:val="auto"/>
                <w:sz w:val="21"/>
                <w:szCs w:val="21"/>
                <w:lang w:eastAsia="zh-CN"/>
              </w:rPr>
            </w:pPr>
            <w:r>
              <w:rPr>
                <w:rFonts w:hint="eastAsia" w:ascii="Times New Roman" w:hAnsi="Times New Roman" w:eastAsia="宋体" w:cs="Times New Roman"/>
                <w:b/>
                <w:bCs w:val="0"/>
                <w:color w:val="auto"/>
                <w:sz w:val="21"/>
                <w:szCs w:val="21"/>
                <w:lang w:val="en-US" w:eastAsia="zh-CN"/>
              </w:rPr>
              <w:t>治理措施</w:t>
            </w:r>
          </w:p>
        </w:tc>
        <w:tc>
          <w:tcPr>
            <w:tcW w:w="1229" w:type="dxa"/>
            <w:noWrap w:val="0"/>
            <w:vAlign w:val="center"/>
          </w:tcPr>
          <w:p w14:paraId="4D27C3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排放量（t/a）</w:t>
            </w:r>
          </w:p>
        </w:tc>
      </w:tr>
      <w:tr w14:paraId="590C3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15" w:hRule="atLeast"/>
          <w:jc w:val="center"/>
        </w:trPr>
        <w:tc>
          <w:tcPr>
            <w:tcW w:w="778" w:type="dxa"/>
            <w:vMerge w:val="restart"/>
            <w:noWrap w:val="0"/>
            <w:vAlign w:val="center"/>
          </w:tcPr>
          <w:p w14:paraId="1BCBF6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大气</w:t>
            </w:r>
          </w:p>
          <w:p w14:paraId="63ACCF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污染</w:t>
            </w:r>
          </w:p>
        </w:tc>
        <w:tc>
          <w:tcPr>
            <w:tcW w:w="1050" w:type="dxa"/>
            <w:vMerge w:val="restart"/>
            <w:noWrap w:val="0"/>
            <w:vAlign w:val="center"/>
          </w:tcPr>
          <w:p w14:paraId="5D3187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养殖区</w:t>
            </w:r>
          </w:p>
        </w:tc>
        <w:tc>
          <w:tcPr>
            <w:tcW w:w="1260" w:type="dxa"/>
            <w:noWrap w:val="0"/>
            <w:vAlign w:val="center"/>
          </w:tcPr>
          <w:p w14:paraId="18476B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NH</w:t>
            </w:r>
            <w:r>
              <w:rPr>
                <w:rFonts w:hint="default" w:ascii="Times New Roman" w:hAnsi="Times New Roman" w:eastAsia="宋体" w:cs="Times New Roman"/>
                <w:bCs/>
                <w:color w:val="auto"/>
                <w:sz w:val="21"/>
                <w:szCs w:val="21"/>
                <w:vertAlign w:val="subscript"/>
              </w:rPr>
              <w:t>3</w:t>
            </w:r>
          </w:p>
        </w:tc>
        <w:tc>
          <w:tcPr>
            <w:tcW w:w="1210" w:type="dxa"/>
            <w:noWrap w:val="0"/>
            <w:vAlign w:val="center"/>
          </w:tcPr>
          <w:p w14:paraId="6B3C258E">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4.94</w:t>
            </w:r>
          </w:p>
        </w:tc>
        <w:tc>
          <w:tcPr>
            <w:tcW w:w="2980" w:type="dxa"/>
            <w:vMerge w:val="restart"/>
            <w:noWrap w:val="0"/>
            <w:vAlign w:val="center"/>
          </w:tcPr>
          <w:p w14:paraId="1C3750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控制饲养密度+及时清理粪污+场区绿化+喷洒生物除臭剂</w:t>
            </w:r>
          </w:p>
        </w:tc>
        <w:tc>
          <w:tcPr>
            <w:tcW w:w="1229" w:type="dxa"/>
            <w:noWrap w:val="0"/>
            <w:vAlign w:val="center"/>
          </w:tcPr>
          <w:p w14:paraId="0B4ED82C">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0.59</w:t>
            </w:r>
          </w:p>
        </w:tc>
      </w:tr>
      <w:tr w14:paraId="06F081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112AB0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68DF11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260" w:type="dxa"/>
            <w:noWrap w:val="0"/>
            <w:vAlign w:val="center"/>
          </w:tcPr>
          <w:p w14:paraId="5800EE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H</w:t>
            </w:r>
            <w:r>
              <w:rPr>
                <w:rFonts w:hint="default" w:ascii="Times New Roman" w:hAnsi="Times New Roman" w:eastAsia="宋体" w:cs="Times New Roman"/>
                <w:bCs/>
                <w:color w:val="auto"/>
                <w:sz w:val="21"/>
                <w:szCs w:val="21"/>
                <w:vertAlign w:val="subscript"/>
              </w:rPr>
              <w:t>2</w:t>
            </w:r>
            <w:r>
              <w:rPr>
                <w:rFonts w:hint="default" w:ascii="Times New Roman" w:hAnsi="Times New Roman" w:eastAsia="宋体" w:cs="Times New Roman"/>
                <w:bCs/>
                <w:color w:val="auto"/>
                <w:sz w:val="21"/>
                <w:szCs w:val="21"/>
              </w:rPr>
              <w:t>S</w:t>
            </w:r>
          </w:p>
        </w:tc>
        <w:tc>
          <w:tcPr>
            <w:tcW w:w="1210" w:type="dxa"/>
            <w:noWrap w:val="0"/>
            <w:vAlign w:val="center"/>
          </w:tcPr>
          <w:p w14:paraId="33C3C09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0.08</w:t>
            </w:r>
          </w:p>
        </w:tc>
        <w:tc>
          <w:tcPr>
            <w:tcW w:w="2980" w:type="dxa"/>
            <w:vMerge w:val="continue"/>
            <w:noWrap w:val="0"/>
            <w:vAlign w:val="center"/>
          </w:tcPr>
          <w:p w14:paraId="131862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p>
        </w:tc>
        <w:tc>
          <w:tcPr>
            <w:tcW w:w="1229" w:type="dxa"/>
            <w:noWrap w:val="0"/>
            <w:vAlign w:val="center"/>
          </w:tcPr>
          <w:p w14:paraId="122A1446">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71E28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0" w:hRule="atLeast"/>
          <w:jc w:val="center"/>
        </w:trPr>
        <w:tc>
          <w:tcPr>
            <w:tcW w:w="778" w:type="dxa"/>
            <w:vMerge w:val="continue"/>
            <w:noWrap w:val="0"/>
            <w:vAlign w:val="center"/>
          </w:tcPr>
          <w:p w14:paraId="3BC954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198515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260" w:type="dxa"/>
            <w:noWrap w:val="0"/>
            <w:vAlign w:val="center"/>
          </w:tcPr>
          <w:p w14:paraId="06E8E0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TSP</w:t>
            </w:r>
          </w:p>
        </w:tc>
        <w:tc>
          <w:tcPr>
            <w:tcW w:w="1210" w:type="dxa"/>
            <w:shd w:val="clear" w:color="auto" w:fill="auto"/>
            <w:noWrap w:val="0"/>
            <w:vAlign w:val="center"/>
          </w:tcPr>
          <w:p w14:paraId="1FA0F5B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0.94</w:t>
            </w:r>
          </w:p>
        </w:tc>
        <w:tc>
          <w:tcPr>
            <w:tcW w:w="2980" w:type="dxa"/>
            <w:noWrap w:val="0"/>
            <w:vAlign w:val="center"/>
          </w:tcPr>
          <w:p w14:paraId="5B4AC4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color w:val="auto"/>
                <w:sz w:val="21"/>
                <w:szCs w:val="21"/>
                <w:lang w:val="en-US" w:eastAsia="zh-CN"/>
              </w:rPr>
            </w:pPr>
            <w:r>
              <w:rPr>
                <w:rFonts w:hint="eastAsia" w:eastAsia="宋体" w:cs="Times New Roman"/>
                <w:bCs/>
                <w:color w:val="auto"/>
                <w:sz w:val="21"/>
                <w:szCs w:val="21"/>
                <w:lang w:val="en-US" w:eastAsia="zh-CN"/>
              </w:rPr>
              <w:t>封闭式作业+润湿搅拌工艺</w:t>
            </w:r>
          </w:p>
        </w:tc>
        <w:tc>
          <w:tcPr>
            <w:tcW w:w="1229" w:type="dxa"/>
            <w:shd w:val="clear" w:color="auto" w:fill="auto"/>
            <w:noWrap w:val="0"/>
            <w:vAlign w:val="center"/>
          </w:tcPr>
          <w:p w14:paraId="436403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0.94</w:t>
            </w:r>
          </w:p>
        </w:tc>
      </w:tr>
      <w:tr w14:paraId="0F66D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845" w:hRule="atLeast"/>
          <w:jc w:val="center"/>
        </w:trPr>
        <w:tc>
          <w:tcPr>
            <w:tcW w:w="778" w:type="dxa"/>
            <w:vMerge w:val="continue"/>
            <w:noWrap w:val="0"/>
            <w:vAlign w:val="center"/>
          </w:tcPr>
          <w:p w14:paraId="4E2D6B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restart"/>
            <w:noWrap w:val="0"/>
            <w:vAlign w:val="center"/>
          </w:tcPr>
          <w:p w14:paraId="4B4D7D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饲料加工车间</w:t>
            </w:r>
          </w:p>
        </w:tc>
        <w:tc>
          <w:tcPr>
            <w:tcW w:w="1260" w:type="dxa"/>
            <w:noWrap w:val="0"/>
            <w:vAlign w:val="center"/>
          </w:tcPr>
          <w:p w14:paraId="3AD8DD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PM</w:t>
            </w:r>
            <w:r>
              <w:rPr>
                <w:rFonts w:hint="eastAsia" w:cs="Times New Roman"/>
                <w:bCs/>
                <w:color w:val="auto"/>
                <w:sz w:val="21"/>
                <w:szCs w:val="21"/>
                <w:vertAlign w:val="subscript"/>
                <w:lang w:val="en-US" w:eastAsia="zh-CN"/>
              </w:rPr>
              <w:t>10</w:t>
            </w:r>
          </w:p>
        </w:tc>
        <w:tc>
          <w:tcPr>
            <w:tcW w:w="1210" w:type="dxa"/>
            <w:shd w:val="clear" w:color="auto" w:fill="auto"/>
            <w:noWrap w:val="0"/>
            <w:vAlign w:val="center"/>
          </w:tcPr>
          <w:p w14:paraId="472A17B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0.47</w:t>
            </w:r>
          </w:p>
        </w:tc>
        <w:tc>
          <w:tcPr>
            <w:tcW w:w="2980" w:type="dxa"/>
            <w:noWrap w:val="0"/>
            <w:vAlign w:val="center"/>
          </w:tcPr>
          <w:p w14:paraId="2889BC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袋式除尘+15m排气筒</w:t>
            </w:r>
          </w:p>
        </w:tc>
        <w:tc>
          <w:tcPr>
            <w:tcW w:w="1229" w:type="dxa"/>
            <w:shd w:val="clear" w:color="auto" w:fill="auto"/>
            <w:noWrap w:val="0"/>
            <w:vAlign w:val="center"/>
          </w:tcPr>
          <w:p w14:paraId="7297A1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0.01</w:t>
            </w:r>
          </w:p>
        </w:tc>
      </w:tr>
      <w:tr w14:paraId="310CF7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845" w:hRule="atLeast"/>
          <w:jc w:val="center"/>
        </w:trPr>
        <w:tc>
          <w:tcPr>
            <w:tcW w:w="778" w:type="dxa"/>
            <w:vMerge w:val="continue"/>
            <w:noWrap w:val="0"/>
            <w:vAlign w:val="center"/>
          </w:tcPr>
          <w:p w14:paraId="54590E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5BB7F4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784A01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TSP</w:t>
            </w:r>
          </w:p>
        </w:tc>
        <w:tc>
          <w:tcPr>
            <w:tcW w:w="1210" w:type="dxa"/>
            <w:shd w:val="clear" w:color="auto" w:fill="auto"/>
            <w:noWrap w:val="0"/>
            <w:vAlign w:val="center"/>
          </w:tcPr>
          <w:p w14:paraId="1B5C053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0.47</w:t>
            </w:r>
          </w:p>
        </w:tc>
        <w:tc>
          <w:tcPr>
            <w:tcW w:w="2980" w:type="dxa"/>
            <w:noWrap w:val="0"/>
            <w:vAlign w:val="center"/>
          </w:tcPr>
          <w:p w14:paraId="014626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color w:val="auto"/>
                <w:sz w:val="21"/>
                <w:szCs w:val="21"/>
                <w:lang w:val="en-US" w:eastAsia="zh-CN"/>
              </w:rPr>
            </w:pPr>
            <w:r>
              <w:rPr>
                <w:rFonts w:hint="eastAsia" w:cs="Times New Roman"/>
                <w:bCs/>
                <w:color w:val="auto"/>
                <w:sz w:val="21"/>
                <w:szCs w:val="21"/>
                <w:highlight w:val="none"/>
                <w:lang w:val="en-US" w:eastAsia="zh-CN"/>
              </w:rPr>
              <w:t>封闭式作业+洒水降尘</w:t>
            </w:r>
          </w:p>
        </w:tc>
        <w:tc>
          <w:tcPr>
            <w:tcW w:w="1229" w:type="dxa"/>
            <w:shd w:val="clear" w:color="auto" w:fill="auto"/>
            <w:noWrap w:val="0"/>
            <w:vAlign w:val="center"/>
          </w:tcPr>
          <w:p w14:paraId="7886271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12</w:t>
            </w:r>
          </w:p>
        </w:tc>
      </w:tr>
      <w:tr w14:paraId="053E1A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738CEC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restart"/>
            <w:noWrap w:val="0"/>
            <w:vAlign w:val="center"/>
          </w:tcPr>
          <w:p w14:paraId="3D65CD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堆肥间</w:t>
            </w:r>
          </w:p>
        </w:tc>
        <w:tc>
          <w:tcPr>
            <w:tcW w:w="1260" w:type="dxa"/>
            <w:noWrap w:val="0"/>
            <w:vAlign w:val="center"/>
          </w:tcPr>
          <w:p w14:paraId="5C500E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color w:val="auto"/>
                <w:sz w:val="21"/>
                <w:szCs w:val="21"/>
                <w:lang w:val="en-US" w:eastAsia="zh-CN"/>
              </w:rPr>
            </w:pPr>
            <w:r>
              <w:rPr>
                <w:rFonts w:hint="eastAsia" w:cs="Times New Roman"/>
                <w:bCs/>
                <w:color w:val="auto"/>
                <w:sz w:val="21"/>
                <w:szCs w:val="21"/>
                <w:lang w:val="en-US" w:eastAsia="zh-CN"/>
              </w:rPr>
              <w:t>PM</w:t>
            </w:r>
            <w:r>
              <w:rPr>
                <w:rFonts w:hint="eastAsia" w:cs="Times New Roman"/>
                <w:bCs/>
                <w:color w:val="auto"/>
                <w:sz w:val="21"/>
                <w:szCs w:val="21"/>
                <w:vertAlign w:val="subscript"/>
                <w:lang w:val="en-US" w:eastAsia="zh-CN"/>
              </w:rPr>
              <w:t>10</w:t>
            </w:r>
          </w:p>
        </w:tc>
        <w:tc>
          <w:tcPr>
            <w:tcW w:w="1210" w:type="dxa"/>
            <w:noWrap w:val="0"/>
            <w:vAlign w:val="center"/>
          </w:tcPr>
          <w:p w14:paraId="08ACD7BB">
            <w:pPr>
              <w:keepNext w:val="0"/>
              <w:keepLines w:val="0"/>
              <w:widowControl/>
              <w:suppressLineNumbers w:val="0"/>
              <w:jc w:val="center"/>
              <w:textAlignment w:val="center"/>
              <w:rPr>
                <w:rFonts w:hint="default" w:eastAsia="宋体" w:cs="Times New Roman"/>
                <w:bCs/>
                <w:color w:val="auto"/>
                <w:sz w:val="21"/>
                <w:szCs w:val="21"/>
                <w:highlight w:val="yellow"/>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1.21</w:t>
            </w:r>
          </w:p>
        </w:tc>
        <w:tc>
          <w:tcPr>
            <w:tcW w:w="2980" w:type="dxa"/>
            <w:vMerge w:val="restart"/>
            <w:noWrap w:val="0"/>
            <w:vAlign w:val="center"/>
          </w:tcPr>
          <w:p w14:paraId="67C342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color w:val="auto"/>
                <w:sz w:val="21"/>
                <w:szCs w:val="21"/>
                <w:lang w:val="en-US" w:eastAsia="zh-CN"/>
              </w:rPr>
            </w:pPr>
            <w:r>
              <w:rPr>
                <w:rFonts w:hint="eastAsia" w:cs="Times New Roman"/>
                <w:bCs/>
                <w:color w:val="auto"/>
                <w:sz w:val="21"/>
                <w:szCs w:val="21"/>
                <w:lang w:val="en-US" w:eastAsia="zh-CN"/>
              </w:rPr>
              <w:t>袋式除尘+生物除臭（滴滤法）+15m排气筒</w:t>
            </w:r>
          </w:p>
        </w:tc>
        <w:tc>
          <w:tcPr>
            <w:tcW w:w="1229" w:type="dxa"/>
            <w:noWrap w:val="0"/>
            <w:vAlign w:val="center"/>
          </w:tcPr>
          <w:p w14:paraId="6115AE7C">
            <w:pPr>
              <w:keepNext w:val="0"/>
              <w:keepLines w:val="0"/>
              <w:widowControl/>
              <w:suppressLineNumbers w:val="0"/>
              <w:jc w:val="center"/>
              <w:textAlignment w:val="center"/>
              <w:rPr>
                <w:rFonts w:hint="default" w:eastAsia="宋体" w:cs="Times New Roman"/>
                <w:bCs/>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0.02</w:t>
            </w:r>
          </w:p>
        </w:tc>
      </w:tr>
      <w:tr w14:paraId="64DBD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5C173B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7769F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7DF355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default" w:ascii="Times New Roman" w:hAnsi="Times New Roman" w:eastAsia="宋体" w:cs="Times New Roman"/>
                <w:bCs/>
                <w:color w:val="auto"/>
                <w:sz w:val="21"/>
                <w:szCs w:val="21"/>
              </w:rPr>
              <w:t>NH</w:t>
            </w:r>
            <w:r>
              <w:rPr>
                <w:rFonts w:hint="default" w:ascii="Times New Roman" w:hAnsi="Times New Roman" w:eastAsia="宋体" w:cs="Times New Roman"/>
                <w:bCs/>
                <w:color w:val="auto"/>
                <w:sz w:val="21"/>
                <w:szCs w:val="21"/>
                <w:vertAlign w:val="subscript"/>
              </w:rPr>
              <w:t>3</w:t>
            </w:r>
          </w:p>
        </w:tc>
        <w:tc>
          <w:tcPr>
            <w:tcW w:w="1210" w:type="dxa"/>
            <w:noWrap w:val="0"/>
            <w:vAlign w:val="center"/>
          </w:tcPr>
          <w:p w14:paraId="4BCD796B">
            <w:pPr>
              <w:keepNext w:val="0"/>
              <w:keepLines w:val="0"/>
              <w:widowControl/>
              <w:suppressLineNumbers w:val="0"/>
              <w:jc w:val="center"/>
              <w:textAlignment w:val="center"/>
              <w:rPr>
                <w:rFonts w:hint="eastAsia" w:ascii="Times New Roman" w:hAnsi="Times New Roman" w:cs="Times New Roman"/>
                <w:color w:val="auto"/>
                <w:kern w:val="0"/>
                <w:sz w:val="21"/>
                <w:szCs w:val="21"/>
                <w:highlight w:val="yellow"/>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0.23</w:t>
            </w:r>
          </w:p>
        </w:tc>
        <w:tc>
          <w:tcPr>
            <w:tcW w:w="2980" w:type="dxa"/>
            <w:vMerge w:val="continue"/>
            <w:noWrap w:val="0"/>
            <w:vAlign w:val="center"/>
          </w:tcPr>
          <w:p w14:paraId="7B329C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29" w:type="dxa"/>
            <w:noWrap w:val="0"/>
            <w:vAlign w:val="center"/>
          </w:tcPr>
          <w:p w14:paraId="51F50B0B">
            <w:pPr>
              <w:keepNext w:val="0"/>
              <w:keepLines w:val="0"/>
              <w:widowControl/>
              <w:suppressLineNumbers w:val="0"/>
              <w:jc w:val="center"/>
              <w:textAlignment w:val="center"/>
              <w:rPr>
                <w:rFonts w:hint="eastAsia" w:cs="Times New Roman"/>
                <w:bCs/>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0.03</w:t>
            </w:r>
          </w:p>
        </w:tc>
      </w:tr>
      <w:tr w14:paraId="45EBE1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446A69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09F823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28D492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default" w:ascii="Times New Roman" w:hAnsi="Times New Roman" w:eastAsia="宋体" w:cs="Times New Roman"/>
                <w:bCs/>
                <w:color w:val="auto"/>
                <w:sz w:val="21"/>
                <w:szCs w:val="21"/>
              </w:rPr>
              <w:t>H</w:t>
            </w:r>
            <w:r>
              <w:rPr>
                <w:rFonts w:hint="default" w:ascii="Times New Roman" w:hAnsi="Times New Roman" w:eastAsia="宋体" w:cs="Times New Roman"/>
                <w:bCs/>
                <w:color w:val="auto"/>
                <w:sz w:val="21"/>
                <w:szCs w:val="21"/>
                <w:vertAlign w:val="subscript"/>
              </w:rPr>
              <w:t>2</w:t>
            </w:r>
            <w:r>
              <w:rPr>
                <w:rFonts w:hint="default" w:ascii="Times New Roman" w:hAnsi="Times New Roman" w:eastAsia="宋体" w:cs="Times New Roman"/>
                <w:bCs/>
                <w:color w:val="auto"/>
                <w:sz w:val="21"/>
                <w:szCs w:val="21"/>
              </w:rPr>
              <w:t>S</w:t>
            </w:r>
          </w:p>
        </w:tc>
        <w:tc>
          <w:tcPr>
            <w:tcW w:w="1210" w:type="dxa"/>
            <w:noWrap w:val="0"/>
            <w:vAlign w:val="center"/>
          </w:tcPr>
          <w:p w14:paraId="542B444C">
            <w:pPr>
              <w:keepNext w:val="0"/>
              <w:keepLines w:val="0"/>
              <w:widowControl/>
              <w:suppressLineNumbers w:val="0"/>
              <w:jc w:val="center"/>
              <w:textAlignment w:val="center"/>
              <w:rPr>
                <w:rFonts w:hint="eastAsia" w:ascii="Times New Roman" w:hAnsi="Times New Roman" w:cs="Times New Roman"/>
                <w:color w:val="auto"/>
                <w:kern w:val="0"/>
                <w:sz w:val="21"/>
                <w:szCs w:val="21"/>
                <w:highlight w:val="yellow"/>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0.018</w:t>
            </w:r>
          </w:p>
        </w:tc>
        <w:tc>
          <w:tcPr>
            <w:tcW w:w="2980" w:type="dxa"/>
            <w:vMerge w:val="continue"/>
            <w:noWrap w:val="0"/>
            <w:vAlign w:val="center"/>
          </w:tcPr>
          <w:p w14:paraId="3EA504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29" w:type="dxa"/>
            <w:noWrap w:val="0"/>
            <w:vAlign w:val="center"/>
          </w:tcPr>
          <w:p w14:paraId="00B51249">
            <w:pPr>
              <w:keepNext w:val="0"/>
              <w:keepLines w:val="0"/>
              <w:widowControl/>
              <w:suppressLineNumbers w:val="0"/>
              <w:jc w:val="center"/>
              <w:textAlignment w:val="center"/>
              <w:rPr>
                <w:rFonts w:hint="eastAsia" w:cs="Times New Roman"/>
                <w:bCs/>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1A369A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6EB72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09E7CF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7BD7C7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color w:val="auto"/>
                <w:sz w:val="21"/>
                <w:szCs w:val="21"/>
                <w:highlight w:val="yellow"/>
                <w:lang w:val="en-US" w:eastAsia="zh-CN"/>
              </w:rPr>
            </w:pPr>
            <w:r>
              <w:rPr>
                <w:rFonts w:hint="eastAsia" w:cs="Times New Roman"/>
                <w:bCs/>
                <w:color w:val="auto"/>
                <w:sz w:val="21"/>
                <w:szCs w:val="21"/>
                <w:highlight w:val="none"/>
                <w:lang w:val="en-US" w:eastAsia="zh-CN"/>
              </w:rPr>
              <w:t>TSP</w:t>
            </w:r>
          </w:p>
        </w:tc>
        <w:tc>
          <w:tcPr>
            <w:tcW w:w="1210" w:type="dxa"/>
            <w:noWrap w:val="0"/>
            <w:vAlign w:val="center"/>
          </w:tcPr>
          <w:p w14:paraId="4DBAD2D6">
            <w:pPr>
              <w:keepNext w:val="0"/>
              <w:keepLines w:val="0"/>
              <w:widowControl/>
              <w:suppressLineNumbers w:val="0"/>
              <w:jc w:val="center"/>
              <w:textAlignment w:val="center"/>
              <w:rPr>
                <w:rFonts w:hint="default" w:eastAsia="宋体" w:cs="Times New Roman"/>
                <w:bCs/>
                <w:color w:val="auto"/>
                <w:sz w:val="21"/>
                <w:szCs w:val="21"/>
                <w:highlight w:val="yellow"/>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0.13</w:t>
            </w:r>
          </w:p>
        </w:tc>
        <w:tc>
          <w:tcPr>
            <w:tcW w:w="2980" w:type="dxa"/>
            <w:vMerge w:val="restart"/>
            <w:noWrap w:val="0"/>
            <w:vAlign w:val="center"/>
          </w:tcPr>
          <w:p w14:paraId="2D2B21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color w:val="auto"/>
                <w:sz w:val="21"/>
                <w:szCs w:val="21"/>
                <w:highlight w:val="yellow"/>
                <w:lang w:val="en-US" w:eastAsia="zh-CN"/>
              </w:rPr>
            </w:pPr>
            <w:r>
              <w:rPr>
                <w:rFonts w:hint="eastAsia" w:cs="Times New Roman"/>
                <w:bCs/>
                <w:color w:val="auto"/>
                <w:sz w:val="21"/>
                <w:szCs w:val="21"/>
                <w:highlight w:val="none"/>
                <w:lang w:val="en-US" w:eastAsia="zh-CN"/>
              </w:rPr>
              <w:t>封闭式作业+洒水降尘</w:t>
            </w:r>
          </w:p>
        </w:tc>
        <w:tc>
          <w:tcPr>
            <w:tcW w:w="1229" w:type="dxa"/>
            <w:noWrap w:val="0"/>
            <w:vAlign w:val="center"/>
          </w:tcPr>
          <w:p w14:paraId="0AB1C38C">
            <w:pPr>
              <w:keepNext w:val="0"/>
              <w:keepLines w:val="0"/>
              <w:widowControl/>
              <w:suppressLineNumbers w:val="0"/>
              <w:jc w:val="center"/>
              <w:textAlignment w:val="center"/>
              <w:rPr>
                <w:rFonts w:hint="default" w:eastAsia="宋体" w:cs="Times New Roman"/>
                <w:bCs/>
                <w:color w:val="auto"/>
                <w:sz w:val="21"/>
                <w:szCs w:val="21"/>
                <w:highlight w:val="yellow"/>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03</w:t>
            </w:r>
          </w:p>
        </w:tc>
      </w:tr>
      <w:tr w14:paraId="1E964D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2690A7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0A1E47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5FADD2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NH</w:t>
            </w:r>
            <w:r>
              <w:rPr>
                <w:rFonts w:hint="default" w:ascii="Times New Roman" w:hAnsi="Times New Roman" w:eastAsia="宋体" w:cs="Times New Roman"/>
                <w:bCs/>
                <w:color w:val="auto"/>
                <w:sz w:val="21"/>
                <w:szCs w:val="21"/>
                <w:highlight w:val="none"/>
                <w:vertAlign w:val="subscript"/>
              </w:rPr>
              <w:t>3</w:t>
            </w:r>
          </w:p>
        </w:tc>
        <w:tc>
          <w:tcPr>
            <w:tcW w:w="1210" w:type="dxa"/>
            <w:noWrap w:val="0"/>
            <w:vAlign w:val="center"/>
          </w:tcPr>
          <w:p w14:paraId="768BDC56">
            <w:pPr>
              <w:keepNext w:val="0"/>
              <w:keepLines w:val="0"/>
              <w:widowControl/>
              <w:suppressLineNumbers w:val="0"/>
              <w:jc w:val="center"/>
              <w:textAlignment w:val="center"/>
              <w:rPr>
                <w:rFonts w:hint="default" w:cs="Times New Roman"/>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c>
          <w:tcPr>
            <w:tcW w:w="2980" w:type="dxa"/>
            <w:vMerge w:val="continue"/>
            <w:noWrap w:val="0"/>
            <w:vAlign w:val="center"/>
          </w:tcPr>
          <w:p w14:paraId="042701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highlight w:val="none"/>
                <w:lang w:val="en-US" w:eastAsia="zh-CN"/>
              </w:rPr>
            </w:pPr>
          </w:p>
        </w:tc>
        <w:tc>
          <w:tcPr>
            <w:tcW w:w="1229" w:type="dxa"/>
            <w:noWrap w:val="0"/>
            <w:vAlign w:val="center"/>
          </w:tcPr>
          <w:p w14:paraId="537474D2">
            <w:pPr>
              <w:keepNext w:val="0"/>
              <w:keepLines w:val="0"/>
              <w:widowControl/>
              <w:suppressLineNumbers w:val="0"/>
              <w:jc w:val="center"/>
              <w:textAlignment w:val="center"/>
              <w:rPr>
                <w:rFonts w:hint="default" w:cs="Times New Roman"/>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03</w:t>
            </w:r>
          </w:p>
        </w:tc>
      </w:tr>
      <w:tr w14:paraId="51588E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0522D2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787318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255E41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H</w:t>
            </w:r>
            <w:r>
              <w:rPr>
                <w:rFonts w:hint="default" w:ascii="Times New Roman" w:hAnsi="Times New Roman" w:eastAsia="宋体" w:cs="Times New Roman"/>
                <w:bCs/>
                <w:color w:val="auto"/>
                <w:sz w:val="21"/>
                <w:szCs w:val="21"/>
                <w:highlight w:val="none"/>
                <w:vertAlign w:val="subscript"/>
              </w:rPr>
              <w:t>2</w:t>
            </w:r>
            <w:r>
              <w:rPr>
                <w:rFonts w:hint="default" w:ascii="Times New Roman" w:hAnsi="Times New Roman" w:eastAsia="宋体" w:cs="Times New Roman"/>
                <w:bCs/>
                <w:color w:val="auto"/>
                <w:sz w:val="21"/>
                <w:szCs w:val="21"/>
                <w:highlight w:val="none"/>
              </w:rPr>
              <w:t>S</w:t>
            </w:r>
          </w:p>
        </w:tc>
        <w:tc>
          <w:tcPr>
            <w:tcW w:w="1210" w:type="dxa"/>
            <w:noWrap w:val="0"/>
            <w:vAlign w:val="center"/>
          </w:tcPr>
          <w:p w14:paraId="5126FEF3">
            <w:pPr>
              <w:keepNext w:val="0"/>
              <w:keepLines w:val="0"/>
              <w:widowControl/>
              <w:suppressLineNumbers w:val="0"/>
              <w:jc w:val="center"/>
              <w:textAlignment w:val="center"/>
              <w:rPr>
                <w:rFonts w:hint="default" w:cs="Times New Roman"/>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2980" w:type="dxa"/>
            <w:vMerge w:val="continue"/>
            <w:noWrap w:val="0"/>
            <w:vAlign w:val="center"/>
          </w:tcPr>
          <w:p w14:paraId="72FE2E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highlight w:val="none"/>
                <w:lang w:val="en-US" w:eastAsia="zh-CN"/>
              </w:rPr>
            </w:pPr>
          </w:p>
        </w:tc>
        <w:tc>
          <w:tcPr>
            <w:tcW w:w="1229" w:type="dxa"/>
            <w:noWrap w:val="0"/>
            <w:vAlign w:val="center"/>
          </w:tcPr>
          <w:p w14:paraId="7E06AEA0">
            <w:pPr>
              <w:keepNext w:val="0"/>
              <w:keepLines w:val="0"/>
              <w:widowControl/>
              <w:suppressLineNumbers w:val="0"/>
              <w:jc w:val="center"/>
              <w:textAlignment w:val="center"/>
              <w:rPr>
                <w:rFonts w:hint="eastAsia" w:cs="Times New Roman"/>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0F624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0182CD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noWrap w:val="0"/>
            <w:vAlign w:val="center"/>
          </w:tcPr>
          <w:p w14:paraId="4F6F1F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堆肥区</w:t>
            </w:r>
          </w:p>
        </w:tc>
        <w:tc>
          <w:tcPr>
            <w:tcW w:w="1260" w:type="dxa"/>
            <w:noWrap w:val="0"/>
            <w:vAlign w:val="center"/>
          </w:tcPr>
          <w:p w14:paraId="670E92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highlight w:val="none"/>
              </w:rPr>
            </w:pPr>
            <w:r>
              <w:rPr>
                <w:rFonts w:hint="eastAsia" w:cs="Times New Roman"/>
                <w:bCs/>
                <w:color w:val="auto"/>
                <w:sz w:val="21"/>
                <w:szCs w:val="21"/>
                <w:highlight w:val="none"/>
                <w:lang w:val="en-US" w:eastAsia="zh-CN"/>
              </w:rPr>
              <w:t>TSP</w:t>
            </w:r>
          </w:p>
        </w:tc>
        <w:tc>
          <w:tcPr>
            <w:tcW w:w="1210" w:type="dxa"/>
            <w:shd w:val="clear" w:color="auto" w:fill="auto"/>
            <w:noWrap w:val="0"/>
            <w:vAlign w:val="center"/>
          </w:tcPr>
          <w:p w14:paraId="1713F5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2980" w:type="dxa"/>
            <w:noWrap w:val="0"/>
            <w:vAlign w:val="center"/>
          </w:tcPr>
          <w:p w14:paraId="5F8EAB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编织覆盖+洒水降尘</w:t>
            </w:r>
          </w:p>
        </w:tc>
        <w:tc>
          <w:tcPr>
            <w:tcW w:w="1229" w:type="dxa"/>
            <w:noWrap w:val="0"/>
            <w:vAlign w:val="center"/>
          </w:tcPr>
          <w:p w14:paraId="654311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0.01</w:t>
            </w:r>
          </w:p>
        </w:tc>
      </w:tr>
      <w:tr w14:paraId="1D57F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508E64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restart"/>
            <w:noWrap w:val="0"/>
            <w:vAlign w:val="center"/>
          </w:tcPr>
          <w:p w14:paraId="2F406A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还田区</w:t>
            </w:r>
          </w:p>
        </w:tc>
        <w:tc>
          <w:tcPr>
            <w:tcW w:w="1260" w:type="dxa"/>
            <w:noWrap w:val="0"/>
            <w:vAlign w:val="center"/>
          </w:tcPr>
          <w:p w14:paraId="41DCA5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default" w:ascii="Times New Roman" w:hAnsi="Times New Roman" w:eastAsia="宋体" w:cs="Times New Roman"/>
                <w:bCs/>
                <w:color w:val="auto"/>
                <w:sz w:val="21"/>
                <w:szCs w:val="21"/>
              </w:rPr>
              <w:t>NH</w:t>
            </w:r>
            <w:r>
              <w:rPr>
                <w:rFonts w:hint="default" w:ascii="Times New Roman" w:hAnsi="Times New Roman" w:eastAsia="宋体" w:cs="Times New Roman"/>
                <w:bCs/>
                <w:color w:val="auto"/>
                <w:sz w:val="21"/>
                <w:szCs w:val="21"/>
                <w:vertAlign w:val="subscript"/>
              </w:rPr>
              <w:t>3</w:t>
            </w:r>
          </w:p>
        </w:tc>
        <w:tc>
          <w:tcPr>
            <w:tcW w:w="1210" w:type="dxa"/>
            <w:noWrap w:val="0"/>
            <w:vAlign w:val="center"/>
          </w:tcPr>
          <w:p w14:paraId="491502B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8.68</w:t>
            </w:r>
          </w:p>
        </w:tc>
        <w:tc>
          <w:tcPr>
            <w:tcW w:w="2980" w:type="dxa"/>
            <w:vMerge w:val="restart"/>
            <w:noWrap w:val="0"/>
            <w:vAlign w:val="center"/>
          </w:tcPr>
          <w:p w14:paraId="7A7E3B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适量轮作施肥</w:t>
            </w:r>
          </w:p>
        </w:tc>
        <w:tc>
          <w:tcPr>
            <w:tcW w:w="1229" w:type="dxa"/>
            <w:shd w:val="clear" w:color="auto" w:fill="auto"/>
            <w:noWrap w:val="0"/>
            <w:vAlign w:val="center"/>
          </w:tcPr>
          <w:p w14:paraId="29376D8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1.04</w:t>
            </w:r>
          </w:p>
        </w:tc>
      </w:tr>
      <w:tr w14:paraId="0A440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717303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3EA5F5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648F33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highlight w:val="none"/>
              </w:rPr>
              <w:t>H</w:t>
            </w:r>
            <w:r>
              <w:rPr>
                <w:rFonts w:hint="default" w:ascii="Times New Roman" w:hAnsi="Times New Roman" w:eastAsia="宋体" w:cs="Times New Roman"/>
                <w:bCs/>
                <w:color w:val="auto"/>
                <w:sz w:val="21"/>
                <w:szCs w:val="21"/>
                <w:highlight w:val="none"/>
                <w:vertAlign w:val="subscript"/>
              </w:rPr>
              <w:t>2</w:t>
            </w:r>
            <w:r>
              <w:rPr>
                <w:rFonts w:hint="default" w:ascii="Times New Roman" w:hAnsi="Times New Roman" w:eastAsia="宋体" w:cs="Times New Roman"/>
                <w:bCs/>
                <w:color w:val="auto"/>
                <w:sz w:val="21"/>
                <w:szCs w:val="21"/>
                <w:highlight w:val="none"/>
              </w:rPr>
              <w:t>S</w:t>
            </w:r>
          </w:p>
        </w:tc>
        <w:tc>
          <w:tcPr>
            <w:tcW w:w="1210" w:type="dxa"/>
            <w:noWrap w:val="0"/>
            <w:vAlign w:val="center"/>
          </w:tcPr>
          <w:p w14:paraId="44743FC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0.08</w:t>
            </w:r>
          </w:p>
        </w:tc>
        <w:tc>
          <w:tcPr>
            <w:tcW w:w="2980" w:type="dxa"/>
            <w:vMerge w:val="continue"/>
            <w:noWrap w:val="0"/>
            <w:vAlign w:val="center"/>
          </w:tcPr>
          <w:p w14:paraId="7E1951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val="0"/>
                <w:bCs w:val="0"/>
                <w:color w:val="auto"/>
                <w:sz w:val="21"/>
                <w:szCs w:val="21"/>
                <w:lang w:val="en-US" w:eastAsia="zh-CN"/>
              </w:rPr>
            </w:pPr>
          </w:p>
        </w:tc>
        <w:tc>
          <w:tcPr>
            <w:tcW w:w="1229" w:type="dxa"/>
            <w:shd w:val="clear" w:color="auto" w:fill="auto"/>
            <w:noWrap w:val="0"/>
            <w:vAlign w:val="center"/>
          </w:tcPr>
          <w:p w14:paraId="17FBD49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0.01</w:t>
            </w:r>
          </w:p>
        </w:tc>
      </w:tr>
      <w:tr w14:paraId="0E8C3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restart"/>
            <w:noWrap w:val="0"/>
            <w:vAlign w:val="center"/>
          </w:tcPr>
          <w:p w14:paraId="65823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水污染</w:t>
            </w:r>
          </w:p>
        </w:tc>
        <w:tc>
          <w:tcPr>
            <w:tcW w:w="1050" w:type="dxa"/>
            <w:vMerge w:val="restart"/>
            <w:noWrap w:val="0"/>
            <w:vAlign w:val="center"/>
          </w:tcPr>
          <w:p w14:paraId="10D872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生活污水</w:t>
            </w:r>
          </w:p>
        </w:tc>
        <w:tc>
          <w:tcPr>
            <w:tcW w:w="1260" w:type="dxa"/>
            <w:noWrap w:val="0"/>
            <w:vAlign w:val="center"/>
          </w:tcPr>
          <w:p w14:paraId="14BED101">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COD</w:t>
            </w:r>
          </w:p>
        </w:tc>
        <w:tc>
          <w:tcPr>
            <w:tcW w:w="1210" w:type="dxa"/>
            <w:noWrap w:val="0"/>
            <w:vAlign w:val="center"/>
          </w:tcPr>
          <w:p w14:paraId="0AD3CC7D">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2980" w:type="dxa"/>
            <w:vMerge w:val="restart"/>
            <w:noWrap w:val="0"/>
            <w:vAlign w:val="center"/>
          </w:tcPr>
          <w:p w14:paraId="3A8134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经防渗化粪池收集后定期拉运至污水处理厂处置</w:t>
            </w:r>
          </w:p>
        </w:tc>
        <w:tc>
          <w:tcPr>
            <w:tcW w:w="1229" w:type="dxa"/>
            <w:noWrap w:val="0"/>
            <w:vAlign w:val="center"/>
          </w:tcPr>
          <w:p w14:paraId="29C764CC">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w:t>
            </w:r>
          </w:p>
        </w:tc>
      </w:tr>
      <w:tr w14:paraId="527BA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39775E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4A7D0D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71998796">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SS</w:t>
            </w:r>
          </w:p>
        </w:tc>
        <w:tc>
          <w:tcPr>
            <w:tcW w:w="1210" w:type="dxa"/>
            <w:noWrap w:val="0"/>
            <w:vAlign w:val="center"/>
          </w:tcPr>
          <w:p w14:paraId="3B3836EE">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0.10</w:t>
            </w:r>
          </w:p>
        </w:tc>
        <w:tc>
          <w:tcPr>
            <w:tcW w:w="2980" w:type="dxa"/>
            <w:vMerge w:val="continue"/>
            <w:noWrap w:val="0"/>
            <w:vAlign w:val="center"/>
          </w:tcPr>
          <w:p w14:paraId="53AA1D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29" w:type="dxa"/>
            <w:noWrap w:val="0"/>
            <w:vAlign w:val="center"/>
          </w:tcPr>
          <w:p w14:paraId="31ABDBCD">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w:t>
            </w:r>
          </w:p>
        </w:tc>
      </w:tr>
      <w:tr w14:paraId="24394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785483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539CDE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0D95FF99">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氨氮</w:t>
            </w:r>
          </w:p>
        </w:tc>
        <w:tc>
          <w:tcPr>
            <w:tcW w:w="1210" w:type="dxa"/>
            <w:noWrap w:val="0"/>
            <w:vAlign w:val="center"/>
          </w:tcPr>
          <w:p w14:paraId="16EF4769">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0.01</w:t>
            </w:r>
          </w:p>
        </w:tc>
        <w:tc>
          <w:tcPr>
            <w:tcW w:w="2980" w:type="dxa"/>
            <w:vMerge w:val="continue"/>
            <w:noWrap w:val="0"/>
            <w:vAlign w:val="center"/>
          </w:tcPr>
          <w:p w14:paraId="39E0AB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29" w:type="dxa"/>
            <w:noWrap w:val="0"/>
            <w:vAlign w:val="center"/>
          </w:tcPr>
          <w:p w14:paraId="457375F8">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w:t>
            </w:r>
          </w:p>
        </w:tc>
      </w:tr>
      <w:tr w14:paraId="1BC4D9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5" w:hRule="atLeast"/>
          <w:jc w:val="center"/>
        </w:trPr>
        <w:tc>
          <w:tcPr>
            <w:tcW w:w="778" w:type="dxa"/>
            <w:vMerge w:val="continue"/>
            <w:noWrap w:val="0"/>
            <w:vAlign w:val="center"/>
          </w:tcPr>
          <w:p w14:paraId="0E34E3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7DA486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37BF3DA2">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highlight w:val="none"/>
                <w:u w:val="none"/>
                <w:lang w:val="en-US" w:eastAsia="zh-CN" w:bidi="ar"/>
              </w:rPr>
              <w:t>BOD</w:t>
            </w:r>
          </w:p>
        </w:tc>
        <w:tc>
          <w:tcPr>
            <w:tcW w:w="1210" w:type="dxa"/>
            <w:noWrap w:val="0"/>
            <w:vAlign w:val="center"/>
          </w:tcPr>
          <w:p w14:paraId="0C93D8E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0.10</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2980" w:type="dxa"/>
            <w:vMerge w:val="continue"/>
            <w:noWrap w:val="0"/>
            <w:vAlign w:val="center"/>
          </w:tcPr>
          <w:p w14:paraId="7B715E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29" w:type="dxa"/>
            <w:noWrap w:val="0"/>
            <w:vAlign w:val="center"/>
          </w:tcPr>
          <w:p w14:paraId="4A148212">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w:t>
            </w:r>
          </w:p>
        </w:tc>
      </w:tr>
      <w:tr w14:paraId="27593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6" w:hRule="atLeast"/>
          <w:jc w:val="center"/>
        </w:trPr>
        <w:tc>
          <w:tcPr>
            <w:tcW w:w="778" w:type="dxa"/>
            <w:vMerge w:val="restart"/>
            <w:noWrap w:val="0"/>
            <w:vAlign w:val="center"/>
          </w:tcPr>
          <w:p w14:paraId="5DD409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eastAsia="zh-CN"/>
              </w:rPr>
              <w:t>噪声</w:t>
            </w:r>
          </w:p>
        </w:tc>
        <w:tc>
          <w:tcPr>
            <w:tcW w:w="1050" w:type="dxa"/>
            <w:noWrap w:val="0"/>
            <w:vAlign w:val="center"/>
          </w:tcPr>
          <w:p w14:paraId="3C0F84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养殖区</w:t>
            </w:r>
          </w:p>
        </w:tc>
        <w:tc>
          <w:tcPr>
            <w:tcW w:w="1260" w:type="dxa"/>
            <w:vMerge w:val="restart"/>
            <w:noWrap w:val="0"/>
            <w:vAlign w:val="center"/>
          </w:tcPr>
          <w:p w14:paraId="4EECCE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L</w:t>
            </w:r>
            <w:r>
              <w:rPr>
                <w:rFonts w:hint="eastAsia" w:ascii="Times New Roman" w:hAnsi="Times New Roman" w:eastAsia="宋体" w:cs="Times New Roman"/>
                <w:bCs/>
                <w:color w:val="auto"/>
                <w:sz w:val="21"/>
                <w:szCs w:val="21"/>
                <w:vertAlign w:val="subscript"/>
                <w:lang w:val="en-US" w:eastAsia="zh-CN"/>
              </w:rPr>
              <w:t>Aeq</w:t>
            </w:r>
          </w:p>
        </w:tc>
        <w:tc>
          <w:tcPr>
            <w:tcW w:w="1210" w:type="dxa"/>
            <w:noWrap w:val="0"/>
            <w:vAlign w:val="center"/>
          </w:tcPr>
          <w:p w14:paraId="09179C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70-</w:t>
            </w:r>
            <w:r>
              <w:rPr>
                <w:rFonts w:hint="eastAsia" w:cs="Times New Roman"/>
                <w:bCs/>
                <w:color w:val="auto"/>
                <w:sz w:val="21"/>
                <w:szCs w:val="21"/>
                <w:lang w:val="en-US" w:eastAsia="zh-CN"/>
              </w:rPr>
              <w:t>93</w:t>
            </w:r>
            <w:r>
              <w:rPr>
                <w:rFonts w:hint="default" w:ascii="Times New Roman" w:hAnsi="Times New Roman" w:eastAsia="宋体" w:cs="Times New Roman"/>
                <w:bCs/>
                <w:color w:val="auto"/>
                <w:sz w:val="21"/>
                <w:szCs w:val="21"/>
              </w:rPr>
              <w:t>dB</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A</w:t>
            </w:r>
            <w:r>
              <w:rPr>
                <w:rFonts w:hint="default" w:ascii="Times New Roman" w:hAnsi="Times New Roman" w:eastAsia="宋体" w:cs="Times New Roman"/>
                <w:bCs/>
                <w:color w:val="auto"/>
                <w:sz w:val="21"/>
                <w:szCs w:val="21"/>
                <w:lang w:eastAsia="zh-CN"/>
              </w:rPr>
              <w:t>）</w:t>
            </w:r>
          </w:p>
        </w:tc>
        <w:tc>
          <w:tcPr>
            <w:tcW w:w="2980" w:type="dxa"/>
            <w:vMerge w:val="restart"/>
            <w:noWrap w:val="0"/>
            <w:vAlign w:val="center"/>
          </w:tcPr>
          <w:p w14:paraId="53AD3C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基础减振、建筑物隔声、距离衰减</w:t>
            </w:r>
          </w:p>
        </w:tc>
        <w:tc>
          <w:tcPr>
            <w:tcW w:w="1229" w:type="dxa"/>
            <w:vMerge w:val="restart"/>
            <w:noWrap w:val="0"/>
            <w:vAlign w:val="center"/>
          </w:tcPr>
          <w:p w14:paraId="6B321D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highlight w:val="none"/>
                <w:lang w:val="en-US" w:eastAsia="zh-CN"/>
              </w:rPr>
              <w:t>50-75</w:t>
            </w:r>
            <w:r>
              <w:rPr>
                <w:rFonts w:hint="default" w:ascii="Times New Roman" w:hAnsi="Times New Roman" w:eastAsia="宋体" w:cs="Times New Roman"/>
                <w:bCs/>
                <w:color w:val="auto"/>
                <w:sz w:val="21"/>
                <w:szCs w:val="21"/>
                <w:highlight w:val="none"/>
              </w:rPr>
              <w:t>dB</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A</w:t>
            </w:r>
            <w:r>
              <w:rPr>
                <w:rFonts w:hint="default" w:ascii="Times New Roman" w:hAnsi="Times New Roman" w:eastAsia="宋体" w:cs="Times New Roman"/>
                <w:bCs/>
                <w:color w:val="auto"/>
                <w:sz w:val="21"/>
                <w:szCs w:val="21"/>
                <w:highlight w:val="none"/>
                <w:lang w:eastAsia="zh-CN"/>
              </w:rPr>
              <w:t>）</w:t>
            </w:r>
          </w:p>
        </w:tc>
      </w:tr>
      <w:tr w14:paraId="0A4F2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6" w:hRule="atLeast"/>
          <w:jc w:val="center"/>
        </w:trPr>
        <w:tc>
          <w:tcPr>
            <w:tcW w:w="778" w:type="dxa"/>
            <w:vMerge w:val="continue"/>
            <w:noWrap w:val="0"/>
            <w:vAlign w:val="center"/>
          </w:tcPr>
          <w:p w14:paraId="13BE94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p>
        </w:tc>
        <w:tc>
          <w:tcPr>
            <w:tcW w:w="1050" w:type="dxa"/>
            <w:noWrap w:val="0"/>
            <w:vAlign w:val="center"/>
          </w:tcPr>
          <w:p w14:paraId="575BD1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饲料加工车间</w:t>
            </w:r>
          </w:p>
        </w:tc>
        <w:tc>
          <w:tcPr>
            <w:tcW w:w="1260" w:type="dxa"/>
            <w:vMerge w:val="continue"/>
            <w:noWrap w:val="0"/>
            <w:vAlign w:val="center"/>
          </w:tcPr>
          <w:p w14:paraId="62B243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10" w:type="dxa"/>
            <w:noWrap w:val="0"/>
            <w:vAlign w:val="center"/>
          </w:tcPr>
          <w:p w14:paraId="12741F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80~95dB</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A</w:t>
            </w:r>
            <w:r>
              <w:rPr>
                <w:rFonts w:hint="default" w:ascii="Times New Roman" w:hAnsi="Times New Roman" w:eastAsia="宋体" w:cs="Times New Roman"/>
                <w:bCs/>
                <w:color w:val="auto"/>
                <w:sz w:val="21"/>
                <w:szCs w:val="21"/>
                <w:lang w:eastAsia="zh-CN"/>
              </w:rPr>
              <w:t>）</w:t>
            </w:r>
          </w:p>
        </w:tc>
        <w:tc>
          <w:tcPr>
            <w:tcW w:w="2980" w:type="dxa"/>
            <w:vMerge w:val="continue"/>
            <w:noWrap w:val="0"/>
            <w:vAlign w:val="center"/>
          </w:tcPr>
          <w:p w14:paraId="1EF342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29" w:type="dxa"/>
            <w:vMerge w:val="continue"/>
            <w:noWrap w:val="0"/>
            <w:vAlign w:val="center"/>
          </w:tcPr>
          <w:p w14:paraId="1781CB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highlight w:val="none"/>
                <w:lang w:val="en-US" w:eastAsia="zh-CN"/>
              </w:rPr>
            </w:pPr>
          </w:p>
        </w:tc>
      </w:tr>
      <w:tr w14:paraId="660BC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6" w:hRule="atLeast"/>
          <w:jc w:val="center"/>
        </w:trPr>
        <w:tc>
          <w:tcPr>
            <w:tcW w:w="778" w:type="dxa"/>
            <w:vMerge w:val="continue"/>
            <w:noWrap w:val="0"/>
            <w:vAlign w:val="center"/>
          </w:tcPr>
          <w:p w14:paraId="7AA9F4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p>
        </w:tc>
        <w:tc>
          <w:tcPr>
            <w:tcW w:w="1050" w:type="dxa"/>
            <w:noWrap w:val="0"/>
            <w:vAlign w:val="center"/>
          </w:tcPr>
          <w:p w14:paraId="322324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bCs/>
                <w:color w:val="auto"/>
                <w:sz w:val="21"/>
                <w:szCs w:val="21"/>
                <w:lang w:val="en-US" w:eastAsia="zh-CN"/>
              </w:rPr>
            </w:pPr>
            <w:r>
              <w:rPr>
                <w:rFonts w:hint="eastAsia" w:cs="Times New Roman"/>
                <w:bCs/>
                <w:color w:val="auto"/>
                <w:sz w:val="21"/>
                <w:szCs w:val="21"/>
                <w:lang w:val="en-US" w:eastAsia="zh-CN"/>
              </w:rPr>
              <w:t>堆肥间</w:t>
            </w:r>
          </w:p>
        </w:tc>
        <w:tc>
          <w:tcPr>
            <w:tcW w:w="1260" w:type="dxa"/>
            <w:vMerge w:val="continue"/>
            <w:noWrap w:val="0"/>
            <w:vAlign w:val="center"/>
          </w:tcPr>
          <w:p w14:paraId="5C44B8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10" w:type="dxa"/>
            <w:noWrap w:val="0"/>
            <w:vAlign w:val="center"/>
          </w:tcPr>
          <w:p w14:paraId="04BF7D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80-85</w:t>
            </w:r>
            <w:r>
              <w:rPr>
                <w:rFonts w:hint="default" w:ascii="Times New Roman" w:hAnsi="Times New Roman" w:eastAsia="宋体" w:cs="Times New Roman"/>
                <w:bCs/>
                <w:color w:val="auto"/>
                <w:sz w:val="21"/>
                <w:szCs w:val="21"/>
              </w:rPr>
              <w:t>dB</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A</w:t>
            </w:r>
            <w:r>
              <w:rPr>
                <w:rFonts w:hint="default" w:ascii="Times New Roman" w:hAnsi="Times New Roman" w:eastAsia="宋体" w:cs="Times New Roman"/>
                <w:bCs/>
                <w:color w:val="auto"/>
                <w:sz w:val="21"/>
                <w:szCs w:val="21"/>
                <w:lang w:eastAsia="zh-CN"/>
              </w:rPr>
              <w:t>）</w:t>
            </w:r>
          </w:p>
        </w:tc>
        <w:tc>
          <w:tcPr>
            <w:tcW w:w="2980" w:type="dxa"/>
            <w:vMerge w:val="continue"/>
            <w:noWrap w:val="0"/>
            <w:vAlign w:val="center"/>
          </w:tcPr>
          <w:p w14:paraId="2F4FD6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29" w:type="dxa"/>
            <w:vMerge w:val="continue"/>
            <w:noWrap w:val="0"/>
            <w:vAlign w:val="center"/>
          </w:tcPr>
          <w:p w14:paraId="2A25EC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r>
      <w:tr w14:paraId="409058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0" w:hRule="atLeast"/>
          <w:jc w:val="center"/>
        </w:trPr>
        <w:tc>
          <w:tcPr>
            <w:tcW w:w="778" w:type="dxa"/>
            <w:vMerge w:val="restart"/>
            <w:noWrap w:val="0"/>
            <w:vAlign w:val="center"/>
          </w:tcPr>
          <w:p w14:paraId="621B10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固体废弃物</w:t>
            </w:r>
          </w:p>
        </w:tc>
        <w:tc>
          <w:tcPr>
            <w:tcW w:w="1050" w:type="dxa"/>
            <w:vMerge w:val="restart"/>
            <w:noWrap w:val="0"/>
            <w:vAlign w:val="center"/>
          </w:tcPr>
          <w:p w14:paraId="7FD2E5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养殖区</w:t>
            </w:r>
          </w:p>
        </w:tc>
        <w:tc>
          <w:tcPr>
            <w:tcW w:w="1260" w:type="dxa"/>
            <w:noWrap w:val="0"/>
            <w:vAlign w:val="center"/>
          </w:tcPr>
          <w:p w14:paraId="3F2566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rPr>
              <w:t>粪便</w:t>
            </w:r>
            <w:r>
              <w:rPr>
                <w:rFonts w:hint="eastAsia" w:eastAsia="宋体" w:cs="Times New Roman"/>
                <w:bCs/>
                <w:color w:val="auto"/>
                <w:sz w:val="21"/>
                <w:szCs w:val="21"/>
                <w:lang w:val="en-US" w:eastAsia="zh-CN"/>
              </w:rPr>
              <w:t>及废发酵垫</w:t>
            </w:r>
          </w:p>
        </w:tc>
        <w:tc>
          <w:tcPr>
            <w:tcW w:w="1210" w:type="dxa"/>
            <w:noWrap w:val="0"/>
            <w:vAlign w:val="center"/>
          </w:tcPr>
          <w:p w14:paraId="3CE1D1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rPr>
            </w:pPr>
            <w:r>
              <w:rPr>
                <w:rFonts w:hint="eastAsia" w:cs="Times New Roman"/>
                <w:color w:val="auto"/>
                <w:sz w:val="21"/>
                <w:szCs w:val="21"/>
                <w:highlight w:val="none"/>
                <w:lang w:val="en-US" w:eastAsia="zh-CN"/>
              </w:rPr>
              <w:t>12133.6</w:t>
            </w:r>
          </w:p>
        </w:tc>
        <w:tc>
          <w:tcPr>
            <w:tcW w:w="2980" w:type="dxa"/>
            <w:noWrap w:val="0"/>
            <w:vAlign w:val="center"/>
          </w:tcPr>
          <w:p w14:paraId="32CABB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还田于周边农田</w:t>
            </w:r>
          </w:p>
        </w:tc>
        <w:tc>
          <w:tcPr>
            <w:tcW w:w="1229" w:type="dxa"/>
            <w:noWrap w:val="0"/>
            <w:vAlign w:val="center"/>
          </w:tcPr>
          <w:p w14:paraId="5C6A6F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w:t>
            </w:r>
          </w:p>
        </w:tc>
      </w:tr>
      <w:tr w14:paraId="357AA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0" w:hRule="atLeast"/>
          <w:jc w:val="center"/>
        </w:trPr>
        <w:tc>
          <w:tcPr>
            <w:tcW w:w="778" w:type="dxa"/>
            <w:vMerge w:val="continue"/>
            <w:noWrap w:val="0"/>
            <w:vAlign w:val="center"/>
          </w:tcPr>
          <w:p w14:paraId="478BDA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5F262C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32381B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病死</w:t>
            </w:r>
            <w:r>
              <w:rPr>
                <w:rFonts w:hint="eastAsia" w:ascii="Times New Roman" w:hAnsi="Times New Roman" w:eastAsia="宋体" w:cs="Times New Roman"/>
                <w:bCs/>
                <w:color w:val="auto"/>
                <w:sz w:val="21"/>
                <w:szCs w:val="21"/>
                <w:lang w:val="en-US" w:eastAsia="zh-CN"/>
              </w:rPr>
              <w:t>牛</w:t>
            </w:r>
            <w:r>
              <w:rPr>
                <w:rFonts w:hint="default" w:ascii="Times New Roman" w:hAnsi="Times New Roman" w:eastAsia="宋体" w:cs="Times New Roman"/>
                <w:bCs/>
                <w:color w:val="auto"/>
                <w:sz w:val="21"/>
                <w:szCs w:val="21"/>
              </w:rPr>
              <w:t>尸体</w:t>
            </w:r>
          </w:p>
        </w:tc>
        <w:tc>
          <w:tcPr>
            <w:tcW w:w="1210" w:type="dxa"/>
            <w:noWrap w:val="0"/>
            <w:vAlign w:val="center"/>
          </w:tcPr>
          <w:p w14:paraId="5ED81A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0.9</w:t>
            </w:r>
          </w:p>
        </w:tc>
        <w:tc>
          <w:tcPr>
            <w:tcW w:w="2980" w:type="dxa"/>
            <w:noWrap w:val="0"/>
            <w:vAlign w:val="center"/>
          </w:tcPr>
          <w:p w14:paraId="16CD99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委托病死畜禽无害化处置单位进行无害化处置</w:t>
            </w:r>
          </w:p>
        </w:tc>
        <w:tc>
          <w:tcPr>
            <w:tcW w:w="1229" w:type="dxa"/>
            <w:noWrap w:val="0"/>
            <w:vAlign w:val="center"/>
          </w:tcPr>
          <w:p w14:paraId="72260B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rPr>
            </w:pPr>
            <w:r>
              <w:rPr>
                <w:rFonts w:hint="eastAsia" w:cs="Times New Roman"/>
                <w:color w:val="auto"/>
                <w:sz w:val="21"/>
                <w:szCs w:val="21"/>
                <w:lang w:val="en-US" w:eastAsia="zh-CN"/>
              </w:rPr>
              <w:t>0</w:t>
            </w:r>
          </w:p>
        </w:tc>
      </w:tr>
      <w:tr w14:paraId="73A4D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 w:hRule="atLeast"/>
          <w:jc w:val="center"/>
        </w:trPr>
        <w:tc>
          <w:tcPr>
            <w:tcW w:w="778" w:type="dxa"/>
            <w:vMerge w:val="continue"/>
            <w:noWrap w:val="0"/>
            <w:vAlign w:val="center"/>
          </w:tcPr>
          <w:p w14:paraId="4C296F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29B6A6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715666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废包装材料</w:t>
            </w:r>
          </w:p>
        </w:tc>
        <w:tc>
          <w:tcPr>
            <w:tcW w:w="1210" w:type="dxa"/>
            <w:noWrap w:val="0"/>
            <w:vAlign w:val="center"/>
          </w:tcPr>
          <w:p w14:paraId="4AC3A0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11.04</w:t>
            </w:r>
          </w:p>
        </w:tc>
        <w:tc>
          <w:tcPr>
            <w:tcW w:w="2980" w:type="dxa"/>
            <w:noWrap w:val="0"/>
            <w:vAlign w:val="center"/>
          </w:tcPr>
          <w:p w14:paraId="56ABA2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分类暂存于库房内，定期外售回收单位综合利用</w:t>
            </w:r>
          </w:p>
        </w:tc>
        <w:tc>
          <w:tcPr>
            <w:tcW w:w="1229" w:type="dxa"/>
            <w:noWrap w:val="0"/>
            <w:vAlign w:val="center"/>
          </w:tcPr>
          <w:p w14:paraId="263360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rPr>
            </w:pPr>
            <w:r>
              <w:rPr>
                <w:rFonts w:hint="eastAsia" w:cs="Times New Roman"/>
                <w:color w:val="auto"/>
                <w:sz w:val="21"/>
                <w:szCs w:val="21"/>
                <w:lang w:val="en-US" w:eastAsia="zh-CN"/>
              </w:rPr>
              <w:t>0</w:t>
            </w:r>
          </w:p>
        </w:tc>
      </w:tr>
      <w:tr w14:paraId="5475A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 w:hRule="atLeast"/>
          <w:jc w:val="center"/>
        </w:trPr>
        <w:tc>
          <w:tcPr>
            <w:tcW w:w="778" w:type="dxa"/>
            <w:vMerge w:val="continue"/>
            <w:noWrap w:val="0"/>
            <w:vAlign w:val="center"/>
          </w:tcPr>
          <w:p w14:paraId="2DCE26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17334C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620126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Cs/>
                <w:color w:val="auto"/>
                <w:sz w:val="21"/>
                <w:szCs w:val="21"/>
                <w:lang w:val="en-US" w:eastAsia="zh-CN"/>
              </w:rPr>
            </w:pPr>
            <w:r>
              <w:rPr>
                <w:rFonts w:hint="eastAsia" w:cs="Times New Roman"/>
                <w:bCs/>
                <w:color w:val="auto"/>
                <w:sz w:val="21"/>
                <w:szCs w:val="21"/>
                <w:lang w:val="en-US" w:eastAsia="zh-CN"/>
              </w:rPr>
              <w:t>废包装材料</w:t>
            </w:r>
          </w:p>
        </w:tc>
        <w:tc>
          <w:tcPr>
            <w:tcW w:w="1210" w:type="dxa"/>
            <w:noWrap w:val="0"/>
            <w:vAlign w:val="center"/>
          </w:tcPr>
          <w:p w14:paraId="02FAD9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0.09</w:t>
            </w:r>
          </w:p>
        </w:tc>
        <w:tc>
          <w:tcPr>
            <w:tcW w:w="2980" w:type="dxa"/>
            <w:noWrap w:val="0"/>
            <w:vAlign w:val="center"/>
          </w:tcPr>
          <w:p w14:paraId="6C057A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ascii="Times New Roman" w:hAnsi="Times New Roman" w:cs="Times New Roman"/>
                <w:color w:val="auto"/>
                <w:sz w:val="21"/>
                <w:szCs w:val="21"/>
                <w:lang w:val="en-US" w:eastAsia="zh-CN"/>
              </w:rPr>
              <w:t>暂存于</w:t>
            </w:r>
            <w:r>
              <w:rPr>
                <w:rFonts w:hint="eastAsia" w:cs="Times New Roman"/>
                <w:color w:val="auto"/>
                <w:sz w:val="21"/>
                <w:szCs w:val="21"/>
                <w:lang w:val="en-US" w:eastAsia="zh-CN"/>
              </w:rPr>
              <w:t>危险废物贮存点</w:t>
            </w:r>
            <w:r>
              <w:rPr>
                <w:rFonts w:hint="eastAsia" w:ascii="Times New Roman" w:hAnsi="Times New Roman"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委托</w:t>
            </w:r>
            <w:r>
              <w:rPr>
                <w:rFonts w:hint="default" w:ascii="Times New Roman" w:hAnsi="Times New Roman" w:eastAsia="宋体" w:cs="Times New Roman"/>
                <w:color w:val="auto"/>
                <w:sz w:val="21"/>
                <w:szCs w:val="21"/>
              </w:rPr>
              <w:t>有资质的单位</w:t>
            </w:r>
            <w:r>
              <w:rPr>
                <w:rFonts w:hint="eastAsia" w:ascii="Times New Roman" w:hAnsi="Times New Roman" w:cs="Times New Roman"/>
                <w:color w:val="auto"/>
                <w:sz w:val="21"/>
                <w:szCs w:val="21"/>
                <w:lang w:val="en-US" w:eastAsia="zh-CN"/>
              </w:rPr>
              <w:t>运输</w:t>
            </w:r>
            <w:r>
              <w:rPr>
                <w:rFonts w:hint="default" w:ascii="Times New Roman" w:hAnsi="Times New Roman" w:eastAsia="宋体" w:cs="Times New Roman"/>
                <w:color w:val="auto"/>
                <w:sz w:val="21"/>
                <w:szCs w:val="21"/>
              </w:rPr>
              <w:t>处置</w:t>
            </w:r>
          </w:p>
        </w:tc>
        <w:tc>
          <w:tcPr>
            <w:tcW w:w="1229" w:type="dxa"/>
            <w:noWrap w:val="0"/>
            <w:vAlign w:val="center"/>
          </w:tcPr>
          <w:p w14:paraId="77898F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w:t>
            </w:r>
          </w:p>
        </w:tc>
      </w:tr>
      <w:tr w14:paraId="59A81E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0" w:hRule="atLeast"/>
          <w:jc w:val="center"/>
        </w:trPr>
        <w:tc>
          <w:tcPr>
            <w:tcW w:w="778" w:type="dxa"/>
            <w:vMerge w:val="continue"/>
            <w:noWrap w:val="0"/>
            <w:vAlign w:val="center"/>
          </w:tcPr>
          <w:p w14:paraId="13D1F4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358794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p>
        </w:tc>
        <w:tc>
          <w:tcPr>
            <w:tcW w:w="1260" w:type="dxa"/>
            <w:noWrap w:val="0"/>
            <w:vAlign w:val="center"/>
          </w:tcPr>
          <w:p w14:paraId="20E55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cs="Times New Roman"/>
                <w:bCs/>
                <w:color w:val="auto"/>
                <w:sz w:val="21"/>
                <w:szCs w:val="21"/>
                <w:lang w:val="en-US" w:eastAsia="zh-CN"/>
              </w:rPr>
              <w:t>医疗废物</w:t>
            </w:r>
          </w:p>
        </w:tc>
        <w:tc>
          <w:tcPr>
            <w:tcW w:w="1210" w:type="dxa"/>
            <w:noWrap w:val="0"/>
            <w:vAlign w:val="center"/>
          </w:tcPr>
          <w:p w14:paraId="16BEFB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0.20</w:t>
            </w:r>
          </w:p>
        </w:tc>
        <w:tc>
          <w:tcPr>
            <w:tcW w:w="2980" w:type="dxa"/>
            <w:noWrap w:val="0"/>
            <w:vAlign w:val="center"/>
          </w:tcPr>
          <w:p w14:paraId="2AD85E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ascii="Times New Roman" w:hAnsi="Times New Roman" w:eastAsia="宋体" w:cs="Times New Roman"/>
                <w:color w:val="auto"/>
                <w:sz w:val="21"/>
                <w:szCs w:val="21"/>
                <w:lang w:val="en-US" w:eastAsia="zh-CN"/>
              </w:rPr>
              <w:t>暂存于医疗废物暂存间，委托</w:t>
            </w:r>
            <w:r>
              <w:rPr>
                <w:rFonts w:hint="default" w:ascii="Times New Roman" w:hAnsi="Times New Roman" w:eastAsia="宋体" w:cs="Times New Roman"/>
                <w:color w:val="auto"/>
                <w:sz w:val="21"/>
                <w:szCs w:val="21"/>
              </w:rPr>
              <w:t>有资质的单位</w:t>
            </w:r>
            <w:r>
              <w:rPr>
                <w:rFonts w:hint="eastAsia" w:ascii="Times New Roman" w:hAnsi="Times New Roman" w:cs="Times New Roman"/>
                <w:color w:val="auto"/>
                <w:sz w:val="21"/>
                <w:szCs w:val="21"/>
                <w:lang w:val="en-US" w:eastAsia="zh-CN"/>
              </w:rPr>
              <w:t>运输</w:t>
            </w:r>
            <w:r>
              <w:rPr>
                <w:rFonts w:hint="default" w:ascii="Times New Roman" w:hAnsi="Times New Roman" w:eastAsia="宋体" w:cs="Times New Roman"/>
                <w:color w:val="auto"/>
                <w:sz w:val="21"/>
                <w:szCs w:val="21"/>
              </w:rPr>
              <w:t>处置</w:t>
            </w:r>
          </w:p>
        </w:tc>
        <w:tc>
          <w:tcPr>
            <w:tcW w:w="1229" w:type="dxa"/>
            <w:noWrap w:val="0"/>
            <w:vAlign w:val="center"/>
          </w:tcPr>
          <w:p w14:paraId="20F4AA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w:t>
            </w:r>
          </w:p>
        </w:tc>
      </w:tr>
      <w:tr w14:paraId="36B9CD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70" w:hRule="atLeast"/>
          <w:jc w:val="center"/>
        </w:trPr>
        <w:tc>
          <w:tcPr>
            <w:tcW w:w="778" w:type="dxa"/>
            <w:vMerge w:val="continue"/>
            <w:noWrap w:val="0"/>
            <w:vAlign w:val="center"/>
          </w:tcPr>
          <w:p w14:paraId="518BEF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noWrap w:val="0"/>
            <w:vAlign w:val="center"/>
          </w:tcPr>
          <w:p w14:paraId="402F13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生活区</w:t>
            </w:r>
          </w:p>
        </w:tc>
        <w:tc>
          <w:tcPr>
            <w:tcW w:w="1260" w:type="dxa"/>
            <w:noWrap w:val="0"/>
            <w:vAlign w:val="center"/>
          </w:tcPr>
          <w:p w14:paraId="59FDDE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生活垃圾</w:t>
            </w:r>
          </w:p>
        </w:tc>
        <w:tc>
          <w:tcPr>
            <w:tcW w:w="1210" w:type="dxa"/>
            <w:noWrap w:val="0"/>
            <w:vAlign w:val="center"/>
          </w:tcPr>
          <w:p w14:paraId="33AEE9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4.38</w:t>
            </w:r>
          </w:p>
        </w:tc>
        <w:tc>
          <w:tcPr>
            <w:tcW w:w="2980" w:type="dxa"/>
            <w:noWrap w:val="0"/>
            <w:vAlign w:val="center"/>
          </w:tcPr>
          <w:p w14:paraId="4474CC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定期</w:t>
            </w:r>
            <w:r>
              <w:rPr>
                <w:rFonts w:hint="eastAsia" w:ascii="Times New Roman" w:hAnsi="Times New Roman" w:eastAsia="宋体" w:cs="Times New Roman"/>
                <w:bCs/>
                <w:color w:val="auto"/>
                <w:sz w:val="21"/>
                <w:szCs w:val="21"/>
                <w:lang w:val="en-US" w:eastAsia="zh-CN"/>
              </w:rPr>
              <w:t>委托环卫部门定期清运</w:t>
            </w:r>
          </w:p>
        </w:tc>
        <w:tc>
          <w:tcPr>
            <w:tcW w:w="1229" w:type="dxa"/>
            <w:noWrap w:val="0"/>
            <w:vAlign w:val="center"/>
          </w:tcPr>
          <w:p w14:paraId="70FFBB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color w:val="auto"/>
                <w:sz w:val="21"/>
                <w:szCs w:val="21"/>
                <w:lang w:val="en-US" w:eastAsia="zh-CN"/>
              </w:rPr>
              <w:t>0</w:t>
            </w:r>
          </w:p>
        </w:tc>
      </w:tr>
      <w:tr w14:paraId="065EBC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8" w:type="dxa"/>
            <w:vMerge w:val="continue"/>
            <w:noWrap w:val="0"/>
            <w:vAlign w:val="center"/>
          </w:tcPr>
          <w:p w14:paraId="51A045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restart"/>
            <w:noWrap w:val="0"/>
            <w:vAlign w:val="center"/>
          </w:tcPr>
          <w:p w14:paraId="7C3283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堆肥间</w:t>
            </w:r>
          </w:p>
        </w:tc>
        <w:tc>
          <w:tcPr>
            <w:tcW w:w="1260" w:type="dxa"/>
            <w:noWrap w:val="0"/>
            <w:vAlign w:val="center"/>
          </w:tcPr>
          <w:p w14:paraId="5186A6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lang w:val="en-US" w:eastAsia="zh-CN"/>
              </w:rPr>
              <w:t>除尘灰</w:t>
            </w:r>
          </w:p>
        </w:tc>
        <w:tc>
          <w:tcPr>
            <w:tcW w:w="1210" w:type="dxa"/>
            <w:noWrap w:val="0"/>
            <w:vAlign w:val="center"/>
          </w:tcPr>
          <w:p w14:paraId="29F395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rPr>
            </w:pPr>
            <w:r>
              <w:rPr>
                <w:rFonts w:hint="eastAsia" w:cs="Times New Roman"/>
                <w:color w:val="auto"/>
                <w:sz w:val="21"/>
                <w:szCs w:val="21"/>
                <w:lang w:val="en-US" w:eastAsia="zh-CN"/>
              </w:rPr>
              <w:t>1.19</w:t>
            </w:r>
          </w:p>
        </w:tc>
        <w:tc>
          <w:tcPr>
            <w:tcW w:w="2980" w:type="dxa"/>
            <w:noWrap w:val="0"/>
            <w:vAlign w:val="center"/>
          </w:tcPr>
          <w:p w14:paraId="3FF41A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eastAsia="zh-CN"/>
              </w:rPr>
            </w:pPr>
            <w:r>
              <w:rPr>
                <w:rFonts w:hint="eastAsia" w:ascii="宋体" w:hAnsi="宋体" w:eastAsia="宋体" w:cs="宋体"/>
                <w:i w:val="0"/>
                <w:iCs w:val="0"/>
                <w:color w:val="000000"/>
                <w:kern w:val="0"/>
                <w:sz w:val="21"/>
                <w:szCs w:val="21"/>
                <w:u w:val="none"/>
                <w:lang w:val="en-US" w:eastAsia="zh-CN" w:bidi="ar"/>
              </w:rPr>
              <w:t>暂存于堆肥间内</w:t>
            </w:r>
            <w:r>
              <w:rPr>
                <w:rFonts w:hint="eastAsia" w:ascii="Times New Roman" w:hAnsi="Times New Roman" w:eastAsia="宋体" w:cs="Times New Roman"/>
                <w:bCs/>
                <w:color w:val="auto"/>
                <w:sz w:val="21"/>
                <w:szCs w:val="21"/>
                <w:lang w:val="en-US" w:eastAsia="zh-CN"/>
              </w:rPr>
              <w:t>，</w:t>
            </w:r>
            <w:r>
              <w:rPr>
                <w:rFonts w:hint="eastAsia" w:ascii="Times New Roman" w:hAnsi="Times New Roman" w:eastAsia="宋体" w:cs="Times New Roman"/>
                <w:color w:val="000000"/>
                <w:kern w:val="0"/>
                <w:sz w:val="21"/>
                <w:szCs w:val="21"/>
                <w:highlight w:val="none"/>
                <w:lang w:val="en-US" w:eastAsia="zh-CN" w:bidi="ar"/>
              </w:rPr>
              <w:t>回用于</w:t>
            </w:r>
            <w:r>
              <w:rPr>
                <w:rFonts w:hint="eastAsia" w:cs="Times New Roman"/>
                <w:color w:val="000000"/>
                <w:kern w:val="0"/>
                <w:sz w:val="21"/>
                <w:szCs w:val="21"/>
                <w:highlight w:val="none"/>
                <w:lang w:val="en-US" w:eastAsia="zh-CN" w:bidi="ar"/>
              </w:rPr>
              <w:t>堆肥</w:t>
            </w:r>
          </w:p>
        </w:tc>
        <w:tc>
          <w:tcPr>
            <w:tcW w:w="1229" w:type="dxa"/>
            <w:noWrap w:val="0"/>
            <w:vAlign w:val="center"/>
          </w:tcPr>
          <w:p w14:paraId="1DC0FF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lang w:val="en-US" w:eastAsia="zh-CN"/>
              </w:rPr>
            </w:pPr>
            <w:r>
              <w:rPr>
                <w:rFonts w:hint="eastAsia" w:cs="Times New Roman"/>
                <w:color w:val="auto"/>
                <w:sz w:val="21"/>
                <w:szCs w:val="21"/>
                <w:lang w:val="en-US" w:eastAsia="zh-CN"/>
              </w:rPr>
              <w:t>0</w:t>
            </w:r>
          </w:p>
        </w:tc>
      </w:tr>
      <w:tr w14:paraId="53DBFA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8" w:type="dxa"/>
            <w:vMerge w:val="continue"/>
            <w:noWrap w:val="0"/>
            <w:vAlign w:val="center"/>
          </w:tcPr>
          <w:p w14:paraId="63077C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bookmarkStart w:id="349" w:name="_Toc263850730"/>
            <w:bookmarkStart w:id="350" w:name="_Toc30172"/>
            <w:bookmarkStart w:id="351" w:name="_Toc457381972"/>
            <w:bookmarkStart w:id="352" w:name="_Toc16346"/>
            <w:bookmarkStart w:id="353" w:name="_Toc2728"/>
            <w:bookmarkStart w:id="354" w:name="_Toc473125047"/>
            <w:bookmarkStart w:id="355" w:name="_Toc457381886"/>
            <w:bookmarkStart w:id="356" w:name="_Toc10811"/>
          </w:p>
        </w:tc>
        <w:tc>
          <w:tcPr>
            <w:tcW w:w="1050" w:type="dxa"/>
            <w:vMerge w:val="continue"/>
            <w:noWrap w:val="0"/>
            <w:vAlign w:val="center"/>
          </w:tcPr>
          <w:p w14:paraId="1EDF35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3B2167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废布袋</w:t>
            </w:r>
          </w:p>
        </w:tc>
        <w:tc>
          <w:tcPr>
            <w:tcW w:w="1210" w:type="dxa"/>
            <w:noWrap w:val="0"/>
            <w:vAlign w:val="center"/>
          </w:tcPr>
          <w:p w14:paraId="34DF9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0.20</w:t>
            </w:r>
          </w:p>
        </w:tc>
        <w:tc>
          <w:tcPr>
            <w:tcW w:w="2980" w:type="dxa"/>
            <w:noWrap w:val="0"/>
            <w:vAlign w:val="center"/>
          </w:tcPr>
          <w:p w14:paraId="7EC66E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暂存于堆肥间内</w:t>
            </w:r>
            <w:r>
              <w:rPr>
                <w:rFonts w:hint="eastAsia" w:ascii="Times New Roman" w:hAnsi="Times New Roman" w:eastAsia="宋体" w:cs="Times New Roman"/>
                <w:bCs/>
                <w:color w:val="auto"/>
                <w:sz w:val="21"/>
                <w:szCs w:val="21"/>
                <w:lang w:val="en-US" w:eastAsia="zh-CN"/>
              </w:rPr>
              <w:t>，</w:t>
            </w:r>
            <w:r>
              <w:rPr>
                <w:rFonts w:hint="eastAsia" w:cs="Times New Roman"/>
                <w:bCs/>
                <w:color w:val="auto"/>
                <w:sz w:val="21"/>
                <w:szCs w:val="21"/>
                <w:lang w:val="en-US" w:eastAsia="zh-CN"/>
              </w:rPr>
              <w:t>原厂回收</w:t>
            </w:r>
          </w:p>
        </w:tc>
        <w:tc>
          <w:tcPr>
            <w:tcW w:w="1229" w:type="dxa"/>
            <w:noWrap w:val="0"/>
            <w:vAlign w:val="center"/>
          </w:tcPr>
          <w:p w14:paraId="0956CD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p>
        </w:tc>
      </w:tr>
      <w:tr w14:paraId="35C40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8" w:type="dxa"/>
            <w:vMerge w:val="continue"/>
            <w:noWrap w:val="0"/>
            <w:vAlign w:val="center"/>
          </w:tcPr>
          <w:p w14:paraId="2DA295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4E6427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703EF4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废填料</w:t>
            </w:r>
          </w:p>
        </w:tc>
        <w:tc>
          <w:tcPr>
            <w:tcW w:w="1210" w:type="dxa"/>
            <w:noWrap w:val="0"/>
            <w:vAlign w:val="center"/>
          </w:tcPr>
          <w:p w14:paraId="099388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0.50</w:t>
            </w:r>
          </w:p>
        </w:tc>
        <w:tc>
          <w:tcPr>
            <w:tcW w:w="2980" w:type="dxa"/>
            <w:noWrap w:val="0"/>
            <w:vAlign w:val="center"/>
          </w:tcPr>
          <w:p w14:paraId="0D10FC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暂存于堆肥间内</w:t>
            </w:r>
            <w:r>
              <w:rPr>
                <w:rFonts w:hint="eastAsia" w:ascii="Times New Roman" w:hAnsi="Times New Roman" w:eastAsia="宋体" w:cs="Times New Roman"/>
                <w:bCs/>
                <w:color w:val="auto"/>
                <w:sz w:val="21"/>
                <w:szCs w:val="21"/>
                <w:lang w:val="en-US" w:eastAsia="zh-CN"/>
              </w:rPr>
              <w:t>，外售综合利用</w:t>
            </w:r>
          </w:p>
        </w:tc>
        <w:tc>
          <w:tcPr>
            <w:tcW w:w="1229" w:type="dxa"/>
            <w:noWrap w:val="0"/>
            <w:vAlign w:val="center"/>
          </w:tcPr>
          <w:p w14:paraId="40ED26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w:t>
            </w:r>
          </w:p>
        </w:tc>
      </w:tr>
      <w:tr w14:paraId="1F759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8" w:type="dxa"/>
            <w:vMerge w:val="continue"/>
            <w:noWrap w:val="0"/>
            <w:vAlign w:val="center"/>
          </w:tcPr>
          <w:p w14:paraId="40CB91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restart"/>
            <w:noWrap w:val="0"/>
            <w:vAlign w:val="center"/>
          </w:tcPr>
          <w:p w14:paraId="7707C6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r>
              <w:rPr>
                <w:rFonts w:hint="eastAsia" w:cs="Times New Roman"/>
                <w:color w:val="auto"/>
                <w:sz w:val="21"/>
                <w:szCs w:val="21"/>
                <w:lang w:val="en-US" w:eastAsia="zh-CN"/>
              </w:rPr>
              <w:t>饲料加工区</w:t>
            </w:r>
          </w:p>
        </w:tc>
        <w:tc>
          <w:tcPr>
            <w:tcW w:w="1260" w:type="dxa"/>
            <w:noWrap w:val="0"/>
            <w:vAlign w:val="center"/>
          </w:tcPr>
          <w:p w14:paraId="7030F2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除尘灰</w:t>
            </w:r>
          </w:p>
        </w:tc>
        <w:tc>
          <w:tcPr>
            <w:tcW w:w="1210" w:type="dxa"/>
            <w:noWrap w:val="0"/>
            <w:vAlign w:val="center"/>
          </w:tcPr>
          <w:p w14:paraId="3D2912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0.46</w:t>
            </w:r>
          </w:p>
        </w:tc>
        <w:tc>
          <w:tcPr>
            <w:tcW w:w="2980" w:type="dxa"/>
            <w:noWrap w:val="0"/>
            <w:vAlign w:val="center"/>
          </w:tcPr>
          <w:p w14:paraId="55BCF0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宋体" w:hAnsi="宋体" w:cs="宋体"/>
                <w:i w:val="0"/>
                <w:iCs w:val="0"/>
                <w:color w:val="000000"/>
                <w:kern w:val="0"/>
                <w:sz w:val="21"/>
                <w:szCs w:val="21"/>
                <w:u w:val="none"/>
                <w:lang w:val="en-US" w:eastAsia="zh-CN" w:bidi="ar"/>
              </w:rPr>
              <w:t>暂存于饲料加工车间内，回用于饲料加工</w:t>
            </w:r>
          </w:p>
        </w:tc>
        <w:tc>
          <w:tcPr>
            <w:tcW w:w="1229" w:type="dxa"/>
            <w:noWrap w:val="0"/>
            <w:vAlign w:val="center"/>
          </w:tcPr>
          <w:p w14:paraId="0D879A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w:t>
            </w:r>
          </w:p>
        </w:tc>
      </w:tr>
      <w:tr w14:paraId="3F36E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778" w:type="dxa"/>
            <w:vMerge w:val="continue"/>
            <w:noWrap w:val="0"/>
            <w:vAlign w:val="center"/>
          </w:tcPr>
          <w:p w14:paraId="396961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sz w:val="21"/>
                <w:szCs w:val="21"/>
              </w:rPr>
            </w:pPr>
          </w:p>
        </w:tc>
        <w:tc>
          <w:tcPr>
            <w:tcW w:w="1050" w:type="dxa"/>
            <w:vMerge w:val="continue"/>
            <w:noWrap w:val="0"/>
            <w:vAlign w:val="center"/>
          </w:tcPr>
          <w:p w14:paraId="037589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color w:val="auto"/>
                <w:sz w:val="21"/>
                <w:szCs w:val="21"/>
                <w:lang w:val="en-US" w:eastAsia="zh-CN"/>
              </w:rPr>
            </w:pPr>
          </w:p>
        </w:tc>
        <w:tc>
          <w:tcPr>
            <w:tcW w:w="1260" w:type="dxa"/>
            <w:noWrap w:val="0"/>
            <w:vAlign w:val="center"/>
          </w:tcPr>
          <w:p w14:paraId="277FE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废布袋</w:t>
            </w:r>
          </w:p>
        </w:tc>
        <w:tc>
          <w:tcPr>
            <w:tcW w:w="1210" w:type="dxa"/>
            <w:noWrap w:val="0"/>
            <w:vAlign w:val="center"/>
          </w:tcPr>
          <w:p w14:paraId="2AA8FF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0.20</w:t>
            </w:r>
          </w:p>
        </w:tc>
        <w:tc>
          <w:tcPr>
            <w:tcW w:w="2980" w:type="dxa"/>
            <w:noWrap w:val="0"/>
            <w:vAlign w:val="center"/>
          </w:tcPr>
          <w:p w14:paraId="73449E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暂存于堆肥间内</w:t>
            </w:r>
            <w:r>
              <w:rPr>
                <w:rFonts w:hint="eastAsia" w:ascii="Times New Roman" w:hAnsi="Times New Roman" w:eastAsia="宋体" w:cs="Times New Roman"/>
                <w:bCs/>
                <w:color w:val="auto"/>
                <w:sz w:val="21"/>
                <w:szCs w:val="21"/>
                <w:lang w:val="en-US" w:eastAsia="zh-CN"/>
              </w:rPr>
              <w:t>，</w:t>
            </w:r>
            <w:r>
              <w:rPr>
                <w:rFonts w:hint="eastAsia" w:cs="Times New Roman"/>
                <w:bCs/>
                <w:color w:val="auto"/>
                <w:sz w:val="21"/>
                <w:szCs w:val="21"/>
                <w:lang w:val="en-US" w:eastAsia="zh-CN"/>
              </w:rPr>
              <w:t>原厂回收</w:t>
            </w:r>
          </w:p>
        </w:tc>
        <w:tc>
          <w:tcPr>
            <w:tcW w:w="1229" w:type="dxa"/>
            <w:noWrap w:val="0"/>
            <w:vAlign w:val="center"/>
          </w:tcPr>
          <w:p w14:paraId="213C3C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w:t>
            </w:r>
          </w:p>
        </w:tc>
      </w:tr>
    </w:tbl>
    <w:p w14:paraId="249950BF">
      <w:pPr>
        <w:widowControl w:val="0"/>
        <w:overflowPunct w:val="0"/>
        <w:autoSpaceDE w:val="0"/>
        <w:autoSpaceDN w:val="0"/>
        <w:adjustRightInd w:val="0"/>
        <w:snapToGrid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本项目建成后全厂污染物减排情况见下表：</w:t>
      </w:r>
    </w:p>
    <w:p w14:paraId="2B84E3C1">
      <w:pPr>
        <w:widowControl/>
        <w:overflowPunct w:val="0"/>
        <w:autoSpaceDE w:val="0"/>
        <w:autoSpaceDN w:val="0"/>
        <w:adjustRightInd w:val="0"/>
        <w:snapToGrid w:val="0"/>
        <w:spacing w:after="0" w:line="360" w:lineRule="auto"/>
        <w:ind w:firstLine="482" w:firstLineChars="200"/>
        <w:jc w:val="center"/>
        <w:rPr>
          <w:rFonts w:hint="default" w:ascii="Times New Roman" w:hAnsi="Times New Roman" w:eastAsia="宋体" w:cs="Times New Roman"/>
          <w:b/>
          <w:color w:val="000000"/>
          <w:kern w:val="0"/>
          <w:sz w:val="24"/>
          <w:szCs w:val="24"/>
          <w:highlight w:val="none"/>
          <w:lang w:val="en-US" w:eastAsia="zh-CN" w:bidi="en-US"/>
        </w:rPr>
      </w:pPr>
      <w:r>
        <w:rPr>
          <w:rFonts w:hint="default" w:ascii="Times New Roman" w:hAnsi="Times New Roman" w:eastAsia="宋体" w:cs="Times New Roman"/>
          <w:b/>
          <w:color w:val="000000"/>
          <w:kern w:val="0"/>
          <w:sz w:val="24"/>
          <w:szCs w:val="24"/>
          <w:highlight w:val="none"/>
          <w:lang w:val="en-US" w:eastAsia="zh-CN" w:bidi="en-US"/>
        </w:rPr>
        <w:t>表3.</w:t>
      </w:r>
      <w:r>
        <w:rPr>
          <w:rFonts w:hint="eastAsia" w:ascii="Times New Roman" w:hAnsi="Times New Roman" w:cs="Times New Roman"/>
          <w:b/>
          <w:color w:val="000000"/>
          <w:kern w:val="0"/>
          <w:sz w:val="24"/>
          <w:szCs w:val="24"/>
          <w:highlight w:val="none"/>
          <w:lang w:val="en-US" w:eastAsia="zh-CN" w:bidi="en-US"/>
        </w:rPr>
        <w:t>5-2</w:t>
      </w:r>
      <w:r>
        <w:rPr>
          <w:rFonts w:hint="default" w:ascii="Times New Roman" w:hAnsi="Times New Roman" w:eastAsia="宋体" w:cs="Times New Roman"/>
          <w:b/>
          <w:color w:val="000000"/>
          <w:kern w:val="0"/>
          <w:sz w:val="24"/>
          <w:szCs w:val="24"/>
          <w:highlight w:val="none"/>
          <w:lang w:val="en-US" w:eastAsia="zh-CN" w:bidi="en-US"/>
        </w:rPr>
        <w:t>项目</w:t>
      </w:r>
      <w:r>
        <w:rPr>
          <w:rFonts w:hint="eastAsia" w:ascii="Times New Roman" w:hAnsi="Times New Roman" w:cs="Times New Roman"/>
          <w:b/>
          <w:color w:val="000000"/>
          <w:kern w:val="0"/>
          <w:sz w:val="24"/>
          <w:szCs w:val="24"/>
          <w:highlight w:val="none"/>
          <w:lang w:val="en-US" w:eastAsia="zh-CN" w:bidi="en-US"/>
        </w:rPr>
        <w:t>“</w:t>
      </w:r>
      <w:r>
        <w:rPr>
          <w:rFonts w:hint="default" w:ascii="Times New Roman" w:hAnsi="Times New Roman" w:eastAsia="宋体" w:cs="Times New Roman"/>
          <w:b/>
          <w:color w:val="000000"/>
          <w:kern w:val="0"/>
          <w:sz w:val="24"/>
          <w:szCs w:val="24"/>
          <w:highlight w:val="none"/>
          <w:lang w:val="en-US" w:eastAsia="zh-CN" w:bidi="en-US"/>
        </w:rPr>
        <w:t>三本账</w:t>
      </w:r>
      <w:r>
        <w:rPr>
          <w:rFonts w:hint="eastAsia" w:ascii="Times New Roman" w:hAnsi="Times New Roman" w:cs="Times New Roman"/>
          <w:b/>
          <w:color w:val="000000"/>
          <w:kern w:val="0"/>
          <w:sz w:val="24"/>
          <w:szCs w:val="24"/>
          <w:highlight w:val="none"/>
          <w:lang w:val="en-US" w:eastAsia="zh-CN" w:bidi="en-US"/>
        </w:rPr>
        <w:t>”</w:t>
      </w:r>
      <w:r>
        <w:rPr>
          <w:rFonts w:hint="default" w:ascii="Times New Roman" w:hAnsi="Times New Roman" w:eastAsia="宋体" w:cs="Times New Roman"/>
          <w:b/>
          <w:color w:val="000000"/>
          <w:kern w:val="0"/>
          <w:sz w:val="24"/>
          <w:szCs w:val="24"/>
          <w:highlight w:val="none"/>
          <w:lang w:val="en-US" w:eastAsia="zh-CN" w:bidi="en-US"/>
        </w:rPr>
        <w:t xml:space="preserve">   单位：t/a</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187"/>
        <w:gridCol w:w="1032"/>
        <w:gridCol w:w="800"/>
        <w:gridCol w:w="1032"/>
        <w:gridCol w:w="955"/>
        <w:gridCol w:w="1065"/>
        <w:gridCol w:w="986"/>
        <w:gridCol w:w="742"/>
      </w:tblGrid>
      <w:tr w14:paraId="19721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5" w:type="dxa"/>
            <w:tcBorders>
              <w:tl2br w:val="nil"/>
              <w:tr2bl w:val="nil"/>
            </w:tcBorders>
            <w:noWrap w:val="0"/>
            <w:tcMar>
              <w:left w:w="28" w:type="dxa"/>
              <w:right w:w="28" w:type="dxa"/>
            </w:tcMar>
            <w:vAlign w:val="center"/>
          </w:tcPr>
          <w:p w14:paraId="5DD620D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项目</w:t>
            </w:r>
          </w:p>
          <w:p w14:paraId="0E907D7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分类</w:t>
            </w:r>
          </w:p>
        </w:tc>
        <w:tc>
          <w:tcPr>
            <w:tcW w:w="1187" w:type="dxa"/>
            <w:tcBorders>
              <w:tl2br w:val="nil"/>
              <w:tr2bl w:val="nil"/>
            </w:tcBorders>
            <w:noWrap w:val="0"/>
            <w:tcMar>
              <w:left w:w="28" w:type="dxa"/>
              <w:right w:w="28" w:type="dxa"/>
            </w:tcMar>
            <w:vAlign w:val="center"/>
          </w:tcPr>
          <w:p w14:paraId="6A11878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污染物名称</w:t>
            </w:r>
          </w:p>
        </w:tc>
        <w:tc>
          <w:tcPr>
            <w:tcW w:w="1032" w:type="dxa"/>
            <w:tcBorders>
              <w:tl2br w:val="nil"/>
              <w:tr2bl w:val="nil"/>
            </w:tcBorders>
            <w:noWrap w:val="0"/>
            <w:tcMar>
              <w:left w:w="28" w:type="dxa"/>
              <w:right w:w="28" w:type="dxa"/>
            </w:tcMar>
            <w:vAlign w:val="center"/>
          </w:tcPr>
          <w:p w14:paraId="3A909A1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现有工程</w:t>
            </w:r>
          </w:p>
          <w:p w14:paraId="6D56515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排放量</w:t>
            </w:r>
          </w:p>
        </w:tc>
        <w:tc>
          <w:tcPr>
            <w:tcW w:w="800" w:type="dxa"/>
            <w:tcBorders>
              <w:tl2br w:val="nil"/>
              <w:tr2bl w:val="nil"/>
            </w:tcBorders>
            <w:noWrap w:val="0"/>
            <w:tcMar>
              <w:left w:w="28" w:type="dxa"/>
              <w:right w:w="28" w:type="dxa"/>
            </w:tcMar>
            <w:vAlign w:val="center"/>
          </w:tcPr>
          <w:p w14:paraId="1F63A19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现有工程许可排放量</w:t>
            </w:r>
          </w:p>
          <w:p w14:paraId="44AA3A9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1032" w:type="dxa"/>
            <w:tcBorders>
              <w:tl2br w:val="nil"/>
              <w:tr2bl w:val="nil"/>
            </w:tcBorders>
            <w:noWrap w:val="0"/>
            <w:tcMar>
              <w:left w:w="28" w:type="dxa"/>
              <w:right w:w="28" w:type="dxa"/>
            </w:tcMar>
            <w:vAlign w:val="center"/>
          </w:tcPr>
          <w:p w14:paraId="4528310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在建工程</w:t>
            </w:r>
          </w:p>
          <w:p w14:paraId="1B5B9D6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排放量</w:t>
            </w:r>
          </w:p>
        </w:tc>
        <w:tc>
          <w:tcPr>
            <w:tcW w:w="955" w:type="dxa"/>
            <w:tcBorders>
              <w:tl2br w:val="nil"/>
              <w:tr2bl w:val="nil"/>
            </w:tcBorders>
            <w:noWrap w:val="0"/>
            <w:tcMar>
              <w:left w:w="28" w:type="dxa"/>
              <w:right w:w="28" w:type="dxa"/>
            </w:tcMar>
            <w:vAlign w:val="center"/>
          </w:tcPr>
          <w:p w14:paraId="12D0E5F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本项目</w:t>
            </w:r>
          </w:p>
          <w:p w14:paraId="5B016D0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排放量</w:t>
            </w:r>
          </w:p>
        </w:tc>
        <w:tc>
          <w:tcPr>
            <w:tcW w:w="1065" w:type="dxa"/>
            <w:tcBorders>
              <w:tl2br w:val="nil"/>
              <w:tr2bl w:val="nil"/>
            </w:tcBorders>
            <w:noWrap w:val="0"/>
            <w:tcMar>
              <w:left w:w="28" w:type="dxa"/>
              <w:right w:w="28" w:type="dxa"/>
            </w:tcMar>
            <w:vAlign w:val="center"/>
          </w:tcPr>
          <w:p w14:paraId="67F9E5F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以新带老削减量</w:t>
            </w:r>
          </w:p>
          <w:p w14:paraId="2FA71E0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986" w:type="dxa"/>
            <w:tcBorders>
              <w:tl2br w:val="nil"/>
              <w:tr2bl w:val="nil"/>
            </w:tcBorders>
            <w:noWrap w:val="0"/>
            <w:tcMar>
              <w:left w:w="28" w:type="dxa"/>
              <w:right w:w="28" w:type="dxa"/>
            </w:tcMar>
            <w:vAlign w:val="center"/>
          </w:tcPr>
          <w:p w14:paraId="544B1DD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本项目建成后全厂排放量</w:t>
            </w:r>
          </w:p>
        </w:tc>
        <w:tc>
          <w:tcPr>
            <w:tcW w:w="742" w:type="dxa"/>
            <w:tcBorders>
              <w:tl2br w:val="nil"/>
              <w:tr2bl w:val="nil"/>
            </w:tcBorders>
            <w:noWrap w:val="0"/>
            <w:tcMar>
              <w:left w:w="28" w:type="dxa"/>
              <w:right w:w="28" w:type="dxa"/>
            </w:tcMar>
            <w:vAlign w:val="center"/>
          </w:tcPr>
          <w:p w14:paraId="69AF1F0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变化量</w:t>
            </w:r>
          </w:p>
        </w:tc>
      </w:tr>
      <w:tr w14:paraId="30F9A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05" w:type="dxa"/>
            <w:vMerge w:val="restart"/>
            <w:tcBorders>
              <w:tl2br w:val="nil"/>
              <w:tr2bl w:val="nil"/>
            </w:tcBorders>
            <w:noWrap w:val="0"/>
            <w:vAlign w:val="center"/>
          </w:tcPr>
          <w:p w14:paraId="2CFFD039">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r>
              <w:rPr>
                <w:rFonts w:hint="eastAsia" w:ascii="Times New Roman" w:hAnsi="Times New Roman" w:eastAsia="宋体" w:cs="宋体"/>
                <w:snapToGrid w:val="0"/>
                <w:color w:val="000000"/>
                <w:kern w:val="21"/>
                <w:sz w:val="21"/>
                <w:szCs w:val="21"/>
                <w:highlight w:val="none"/>
                <w:lang w:val="en-US" w:eastAsia="zh-CN" w:bidi="ar-SA"/>
              </w:rPr>
              <w:t>废气</w:t>
            </w:r>
          </w:p>
        </w:tc>
        <w:tc>
          <w:tcPr>
            <w:tcW w:w="1187" w:type="dxa"/>
            <w:tcBorders>
              <w:tl2br w:val="nil"/>
              <w:tr2bl w:val="nil"/>
            </w:tcBorders>
            <w:noWrap w:val="0"/>
            <w:vAlign w:val="center"/>
          </w:tcPr>
          <w:p w14:paraId="0015E8F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颗粒物</w:t>
            </w:r>
            <w:r>
              <w:rPr>
                <w:rStyle w:val="44"/>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t/a</w:t>
            </w:r>
            <w:r>
              <w:rPr>
                <w:rStyle w:val="44"/>
                <w:lang w:val="en-US" w:eastAsia="zh-CN" w:bidi="ar"/>
              </w:rPr>
              <w:t>）</w:t>
            </w:r>
          </w:p>
        </w:tc>
        <w:tc>
          <w:tcPr>
            <w:tcW w:w="1032" w:type="dxa"/>
            <w:tcBorders>
              <w:tl2br w:val="nil"/>
              <w:tr2bl w:val="nil"/>
            </w:tcBorders>
            <w:noWrap w:val="0"/>
            <w:vAlign w:val="center"/>
          </w:tcPr>
          <w:p w14:paraId="31B6CF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0.1</w:t>
            </w:r>
            <w:r>
              <w:rPr>
                <w:rFonts w:hint="eastAsia" w:ascii="Times New Roman" w:hAnsi="Times New Roman" w:eastAsia="宋体" w:cs="Times New Roman"/>
                <w:i w:val="0"/>
                <w:iCs w:val="0"/>
                <w:color w:val="000000"/>
                <w:kern w:val="0"/>
                <w:sz w:val="21"/>
                <w:szCs w:val="21"/>
                <w:u w:val="none"/>
                <w:lang w:val="en-US" w:eastAsia="zh-CN" w:bidi="ar"/>
              </w:rPr>
              <w:t>4</w:t>
            </w:r>
          </w:p>
        </w:tc>
        <w:tc>
          <w:tcPr>
            <w:tcW w:w="800" w:type="dxa"/>
            <w:tcBorders>
              <w:tl2br w:val="nil"/>
              <w:tr2bl w:val="nil"/>
            </w:tcBorders>
            <w:noWrap w:val="0"/>
            <w:vAlign w:val="center"/>
          </w:tcPr>
          <w:p w14:paraId="4128063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4BADA21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7D3AB1F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1.13</w:t>
            </w:r>
          </w:p>
        </w:tc>
        <w:tc>
          <w:tcPr>
            <w:tcW w:w="1065" w:type="dxa"/>
            <w:tcBorders>
              <w:tl2br w:val="nil"/>
              <w:tr2bl w:val="nil"/>
            </w:tcBorders>
            <w:noWrap w:val="0"/>
            <w:vAlign w:val="center"/>
          </w:tcPr>
          <w:p w14:paraId="1DD3DBB1">
            <w:pPr>
              <w:widowControl/>
              <w:overflowPunct/>
              <w:autoSpaceDE/>
              <w:autoSpaceDN/>
              <w:adjustRightInd/>
              <w:snapToGrid/>
              <w:spacing w:line="320" w:lineRule="exact"/>
              <w:ind w:firstLine="0" w:firstLineChars="0"/>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0.112</w:t>
            </w:r>
          </w:p>
        </w:tc>
        <w:tc>
          <w:tcPr>
            <w:tcW w:w="986" w:type="dxa"/>
            <w:tcBorders>
              <w:tl2br w:val="nil"/>
              <w:tr2bl w:val="nil"/>
            </w:tcBorders>
            <w:noWrap w:val="0"/>
            <w:vAlign w:val="center"/>
          </w:tcPr>
          <w:p w14:paraId="337C64F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color w:val="auto"/>
                <w:kern w:val="2"/>
                <w:sz w:val="21"/>
                <w:szCs w:val="22"/>
                <w:lang w:val="en-US" w:eastAsia="zh-CN"/>
              </w:rPr>
              <w:t>1.158</w:t>
            </w:r>
          </w:p>
        </w:tc>
        <w:tc>
          <w:tcPr>
            <w:tcW w:w="742" w:type="dxa"/>
            <w:tcBorders>
              <w:tl2br w:val="nil"/>
              <w:tr2bl w:val="nil"/>
            </w:tcBorders>
            <w:noWrap w:val="0"/>
            <w:vAlign w:val="center"/>
          </w:tcPr>
          <w:p w14:paraId="6DCD654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color w:val="auto"/>
                <w:kern w:val="2"/>
                <w:sz w:val="21"/>
                <w:szCs w:val="22"/>
                <w:lang w:val="en-US" w:eastAsia="zh-CN"/>
              </w:rPr>
              <w:t>+1.018</w:t>
            </w:r>
          </w:p>
        </w:tc>
      </w:tr>
      <w:tr w14:paraId="539FE1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continue"/>
            <w:tcBorders>
              <w:tl2br w:val="nil"/>
              <w:tr2bl w:val="nil"/>
            </w:tcBorders>
            <w:noWrap w:val="0"/>
            <w:vAlign w:val="center"/>
          </w:tcPr>
          <w:p w14:paraId="54601204">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299EFC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氨</w:t>
            </w:r>
            <w:r>
              <w:rPr>
                <w:rStyle w:val="44"/>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t/a</w:t>
            </w:r>
            <w:r>
              <w:rPr>
                <w:rStyle w:val="44"/>
                <w:lang w:val="en-US" w:eastAsia="zh-CN" w:bidi="ar"/>
              </w:rPr>
              <w:t>）</w:t>
            </w:r>
          </w:p>
        </w:tc>
        <w:tc>
          <w:tcPr>
            <w:tcW w:w="1032" w:type="dxa"/>
            <w:tcBorders>
              <w:tl2br w:val="nil"/>
              <w:tr2bl w:val="nil"/>
            </w:tcBorders>
            <w:noWrap w:val="0"/>
            <w:vAlign w:val="center"/>
          </w:tcPr>
          <w:p w14:paraId="016928D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w:t>
            </w:r>
          </w:p>
        </w:tc>
        <w:tc>
          <w:tcPr>
            <w:tcW w:w="800" w:type="dxa"/>
            <w:tcBorders>
              <w:tl2br w:val="nil"/>
              <w:tr2bl w:val="nil"/>
            </w:tcBorders>
            <w:noWrap w:val="0"/>
            <w:vAlign w:val="center"/>
          </w:tcPr>
          <w:p w14:paraId="79381D3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55C5641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0615CF9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1.69</w:t>
            </w:r>
          </w:p>
        </w:tc>
        <w:tc>
          <w:tcPr>
            <w:tcW w:w="1065" w:type="dxa"/>
            <w:tcBorders>
              <w:tl2br w:val="nil"/>
              <w:tr2bl w:val="nil"/>
            </w:tcBorders>
            <w:shd w:val="clear" w:color="auto" w:fill="auto"/>
            <w:noWrap w:val="0"/>
            <w:vAlign w:val="center"/>
          </w:tcPr>
          <w:p w14:paraId="6994160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86" w:type="dxa"/>
            <w:tcBorders>
              <w:tl2br w:val="nil"/>
              <w:tr2bl w:val="nil"/>
            </w:tcBorders>
            <w:shd w:val="clear" w:color="auto" w:fill="auto"/>
            <w:noWrap w:val="0"/>
            <w:vAlign w:val="center"/>
          </w:tcPr>
          <w:p w14:paraId="33143B1F">
            <w:pPr>
              <w:widowControl/>
              <w:overflowPunct/>
              <w:autoSpaceDE/>
              <w:autoSpaceDN/>
              <w:adjustRightInd/>
              <w:snapToGrid/>
              <w:spacing w:line="320" w:lineRule="exact"/>
              <w:ind w:firstLine="0" w:firstLineChars="0"/>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1.77</w:t>
            </w:r>
          </w:p>
        </w:tc>
        <w:tc>
          <w:tcPr>
            <w:tcW w:w="742" w:type="dxa"/>
            <w:tcBorders>
              <w:tl2br w:val="nil"/>
              <w:tr2bl w:val="nil"/>
            </w:tcBorders>
            <w:shd w:val="clear" w:color="auto" w:fill="auto"/>
            <w:noWrap w:val="0"/>
            <w:vAlign w:val="center"/>
          </w:tcPr>
          <w:p w14:paraId="7700975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+1.69</w:t>
            </w:r>
          </w:p>
        </w:tc>
      </w:tr>
      <w:tr w14:paraId="2326EB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continue"/>
            <w:tcBorders>
              <w:tl2br w:val="nil"/>
              <w:tr2bl w:val="nil"/>
            </w:tcBorders>
            <w:noWrap w:val="0"/>
            <w:vAlign w:val="center"/>
          </w:tcPr>
          <w:p w14:paraId="39A98C25">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75DF819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硫化氢</w:t>
            </w:r>
            <w:r>
              <w:rPr>
                <w:rStyle w:val="44"/>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t/a</w:t>
            </w:r>
            <w:r>
              <w:rPr>
                <w:rStyle w:val="44"/>
                <w:lang w:val="en-US" w:eastAsia="zh-CN" w:bidi="ar"/>
              </w:rPr>
              <w:t>）</w:t>
            </w:r>
          </w:p>
        </w:tc>
        <w:tc>
          <w:tcPr>
            <w:tcW w:w="1032" w:type="dxa"/>
            <w:tcBorders>
              <w:tl2br w:val="nil"/>
              <w:tr2bl w:val="nil"/>
            </w:tcBorders>
            <w:noWrap w:val="0"/>
            <w:vAlign w:val="center"/>
          </w:tcPr>
          <w:p w14:paraId="16092B6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800" w:type="dxa"/>
            <w:tcBorders>
              <w:tl2br w:val="nil"/>
              <w:tr2bl w:val="nil"/>
            </w:tcBorders>
            <w:noWrap w:val="0"/>
            <w:vAlign w:val="center"/>
          </w:tcPr>
          <w:p w14:paraId="3F1CA11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168D272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07E8DD0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0.024</w:t>
            </w:r>
          </w:p>
        </w:tc>
        <w:tc>
          <w:tcPr>
            <w:tcW w:w="1065" w:type="dxa"/>
            <w:tcBorders>
              <w:tl2br w:val="nil"/>
              <w:tr2bl w:val="nil"/>
            </w:tcBorders>
            <w:shd w:val="clear" w:color="auto" w:fill="auto"/>
            <w:noWrap w:val="0"/>
            <w:vAlign w:val="center"/>
          </w:tcPr>
          <w:p w14:paraId="4937F6D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986" w:type="dxa"/>
            <w:tcBorders>
              <w:tl2br w:val="nil"/>
              <w:tr2bl w:val="nil"/>
            </w:tcBorders>
            <w:shd w:val="clear" w:color="auto" w:fill="auto"/>
            <w:noWrap w:val="0"/>
            <w:vAlign w:val="center"/>
          </w:tcPr>
          <w:p w14:paraId="7D15C797">
            <w:pPr>
              <w:widowControl/>
              <w:overflowPunct/>
              <w:autoSpaceDE/>
              <w:autoSpaceDN/>
              <w:adjustRightInd/>
              <w:snapToGrid/>
              <w:spacing w:line="320" w:lineRule="exact"/>
              <w:ind w:firstLine="0" w:firstLineChars="0"/>
              <w:jc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0.025</w:t>
            </w:r>
          </w:p>
        </w:tc>
        <w:tc>
          <w:tcPr>
            <w:tcW w:w="742" w:type="dxa"/>
            <w:tcBorders>
              <w:tl2br w:val="nil"/>
              <w:tr2bl w:val="nil"/>
            </w:tcBorders>
            <w:shd w:val="clear" w:color="auto" w:fill="auto"/>
            <w:noWrap w:val="0"/>
            <w:vAlign w:val="center"/>
          </w:tcPr>
          <w:p w14:paraId="1F200DD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+0.024</w:t>
            </w:r>
          </w:p>
        </w:tc>
      </w:tr>
      <w:tr w14:paraId="5207F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restart"/>
            <w:tcBorders>
              <w:tl2br w:val="nil"/>
              <w:tr2bl w:val="nil"/>
            </w:tcBorders>
            <w:noWrap w:val="0"/>
            <w:vAlign w:val="center"/>
          </w:tcPr>
          <w:p w14:paraId="6084F2FB">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auto"/>
                <w:kern w:val="21"/>
                <w:sz w:val="21"/>
                <w:szCs w:val="21"/>
                <w:highlight w:val="none"/>
                <w:lang w:val="en-US" w:eastAsia="zh-CN" w:bidi="ar-SA"/>
              </w:rPr>
            </w:pPr>
            <w:r>
              <w:rPr>
                <w:rFonts w:hint="eastAsia" w:ascii="Times New Roman" w:hAnsi="Times New Roman" w:eastAsia="宋体" w:cs="宋体"/>
                <w:snapToGrid w:val="0"/>
                <w:color w:val="auto"/>
                <w:kern w:val="21"/>
                <w:sz w:val="21"/>
                <w:szCs w:val="21"/>
                <w:highlight w:val="none"/>
                <w:lang w:val="en-US" w:eastAsia="zh-CN" w:bidi="ar-SA"/>
              </w:rPr>
              <w:t>废水</w:t>
            </w:r>
          </w:p>
        </w:tc>
        <w:tc>
          <w:tcPr>
            <w:tcW w:w="1187" w:type="dxa"/>
            <w:tcBorders>
              <w:tl2br w:val="nil"/>
              <w:tr2bl w:val="nil"/>
            </w:tcBorders>
            <w:noWrap w:val="0"/>
            <w:vAlign w:val="center"/>
          </w:tcPr>
          <w:p w14:paraId="5E7EF134">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宋体"/>
                <w:snapToGrid w:val="0"/>
                <w:color w:val="auto"/>
                <w:kern w:val="21"/>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COD</w:t>
            </w:r>
            <w:r>
              <w:rPr>
                <w:rStyle w:val="43"/>
                <w:color w:val="auto"/>
                <w:kern w:val="2"/>
                <w:lang w:val="en-US" w:eastAsia="zh-CN" w:bidi="ar"/>
              </w:rPr>
              <w:t>（</w:t>
            </w:r>
            <w:r>
              <w:rPr>
                <w:rFonts w:hint="default" w:ascii="Times New Roman" w:hAnsi="Times New Roman" w:eastAsia="宋体" w:cs="Times New Roman"/>
                <w:color w:val="auto"/>
                <w:kern w:val="2"/>
                <w:szCs w:val="21"/>
                <w:u w:val="none"/>
                <w:lang w:val="en-US" w:eastAsia="zh-CN" w:bidi="ar"/>
              </w:rPr>
              <w:t>t/a</w:t>
            </w:r>
            <w:r>
              <w:rPr>
                <w:rStyle w:val="43"/>
                <w:color w:val="auto"/>
                <w:kern w:val="2"/>
                <w:lang w:val="en-US" w:eastAsia="zh-CN" w:bidi="ar"/>
              </w:rPr>
              <w:t>）</w:t>
            </w:r>
          </w:p>
        </w:tc>
        <w:tc>
          <w:tcPr>
            <w:tcW w:w="1032" w:type="dxa"/>
            <w:tcBorders>
              <w:tl2br w:val="nil"/>
              <w:tr2bl w:val="nil"/>
            </w:tcBorders>
            <w:noWrap w:val="0"/>
            <w:vAlign w:val="center"/>
          </w:tcPr>
          <w:p w14:paraId="05DDAAD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00" w:type="dxa"/>
            <w:tcBorders>
              <w:tl2br w:val="nil"/>
              <w:tr2bl w:val="nil"/>
            </w:tcBorders>
            <w:noWrap w:val="0"/>
            <w:vAlign w:val="center"/>
          </w:tcPr>
          <w:p w14:paraId="122052A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7816555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6A899CCB">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highlight w:val="yellow"/>
                <w:u w:val="none"/>
                <w:lang w:val="en-US" w:eastAsia="zh-CN" w:bidi="ar"/>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1065" w:type="dxa"/>
            <w:tcBorders>
              <w:tl2br w:val="nil"/>
              <w:tr2bl w:val="nil"/>
            </w:tcBorders>
            <w:noWrap w:val="0"/>
            <w:vAlign w:val="center"/>
          </w:tcPr>
          <w:p w14:paraId="2AA4F3B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986" w:type="dxa"/>
            <w:tcBorders>
              <w:tl2br w:val="nil"/>
              <w:tr2bl w:val="nil"/>
            </w:tcBorders>
            <w:noWrap w:val="0"/>
            <w:vAlign w:val="center"/>
          </w:tcPr>
          <w:p w14:paraId="1EDEFAC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742" w:type="dxa"/>
            <w:tcBorders>
              <w:tl2br w:val="nil"/>
              <w:tr2bl w:val="nil"/>
            </w:tcBorders>
            <w:noWrap w:val="0"/>
            <w:vAlign w:val="center"/>
          </w:tcPr>
          <w:p w14:paraId="11577D1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r>
      <w:tr w14:paraId="0E9E3B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continue"/>
            <w:tcBorders>
              <w:tl2br w:val="nil"/>
              <w:tr2bl w:val="nil"/>
            </w:tcBorders>
            <w:noWrap w:val="0"/>
            <w:vAlign w:val="center"/>
          </w:tcPr>
          <w:p w14:paraId="1F410A79">
            <w:pPr>
              <w:widowControl w:val="0"/>
              <w:overflowPunct w:val="0"/>
              <w:autoSpaceDE w:val="0"/>
              <w:autoSpaceDN w:val="0"/>
              <w:adjustRightInd w:val="0"/>
              <w:snapToGrid w:val="0"/>
              <w:spacing w:before="0" w:beforeLines="0" w:after="0" w:afterLines="0" w:line="240" w:lineRule="auto"/>
              <w:ind w:left="0" w:right="0" w:firstLine="420" w:firstLineChars="200"/>
              <w:jc w:val="center"/>
              <w:rPr>
                <w:rFonts w:hint="eastAsia" w:ascii="Times New Roman" w:hAnsi="Times New Roman" w:eastAsia="宋体" w:cs="宋体"/>
                <w:snapToGrid w:val="0"/>
                <w:color w:val="auto"/>
                <w:kern w:val="21"/>
                <w:sz w:val="21"/>
                <w:szCs w:val="21"/>
                <w:highlight w:val="none"/>
                <w:lang w:val="en-US" w:eastAsia="zh-CN" w:bidi="ar-SA"/>
              </w:rPr>
            </w:pPr>
          </w:p>
        </w:tc>
        <w:tc>
          <w:tcPr>
            <w:tcW w:w="1187" w:type="dxa"/>
            <w:tcBorders>
              <w:tl2br w:val="nil"/>
              <w:tr2bl w:val="nil"/>
            </w:tcBorders>
            <w:noWrap w:val="0"/>
            <w:vAlign w:val="center"/>
          </w:tcPr>
          <w:p w14:paraId="62925F0D">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宋体"/>
                <w:snapToGrid w:val="0"/>
                <w:color w:val="auto"/>
                <w:kern w:val="21"/>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氨氮（</w:t>
            </w:r>
            <w:r>
              <w:rPr>
                <w:rFonts w:hint="default" w:ascii="Times New Roman" w:hAnsi="Times New Roman" w:eastAsia="宋体" w:cs="Times New Roman"/>
                <w:color w:val="auto"/>
                <w:kern w:val="2"/>
                <w:szCs w:val="21"/>
                <w:u w:val="none"/>
                <w:lang w:val="en-US" w:eastAsia="zh-CN" w:bidi="ar"/>
              </w:rPr>
              <w:t>t/a</w:t>
            </w:r>
            <w:r>
              <w:rPr>
                <w:rStyle w:val="43"/>
                <w:color w:val="auto"/>
                <w:kern w:val="2"/>
                <w:lang w:val="en-US" w:eastAsia="zh-CN" w:bidi="ar"/>
              </w:rPr>
              <w:t>）</w:t>
            </w:r>
          </w:p>
        </w:tc>
        <w:tc>
          <w:tcPr>
            <w:tcW w:w="1032" w:type="dxa"/>
            <w:tcBorders>
              <w:tl2br w:val="nil"/>
              <w:tr2bl w:val="nil"/>
            </w:tcBorders>
            <w:noWrap w:val="0"/>
            <w:vAlign w:val="center"/>
          </w:tcPr>
          <w:p w14:paraId="11F7C22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800" w:type="dxa"/>
            <w:tcBorders>
              <w:tl2br w:val="nil"/>
              <w:tr2bl w:val="nil"/>
            </w:tcBorders>
            <w:noWrap w:val="0"/>
            <w:vAlign w:val="center"/>
          </w:tcPr>
          <w:p w14:paraId="6ED59EF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hAnsi="Times New Roman"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65DBE5E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119951C1">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highlight w:val="yellow"/>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0.01</w:t>
            </w:r>
          </w:p>
        </w:tc>
        <w:tc>
          <w:tcPr>
            <w:tcW w:w="1065" w:type="dxa"/>
            <w:tcBorders>
              <w:tl2br w:val="nil"/>
              <w:tr2bl w:val="nil"/>
            </w:tcBorders>
            <w:noWrap w:val="0"/>
            <w:vAlign w:val="center"/>
          </w:tcPr>
          <w:p w14:paraId="2E2E8A2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986" w:type="dxa"/>
            <w:tcBorders>
              <w:tl2br w:val="nil"/>
              <w:tr2bl w:val="nil"/>
            </w:tcBorders>
            <w:noWrap w:val="0"/>
            <w:vAlign w:val="center"/>
          </w:tcPr>
          <w:p w14:paraId="7F3ED11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0.01</w:t>
            </w:r>
          </w:p>
        </w:tc>
        <w:tc>
          <w:tcPr>
            <w:tcW w:w="742" w:type="dxa"/>
            <w:tcBorders>
              <w:tl2br w:val="nil"/>
              <w:tr2bl w:val="nil"/>
            </w:tcBorders>
            <w:noWrap w:val="0"/>
            <w:vAlign w:val="center"/>
          </w:tcPr>
          <w:p w14:paraId="2076B1F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+0.01</w:t>
            </w:r>
          </w:p>
        </w:tc>
      </w:tr>
      <w:tr w14:paraId="262F9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restart"/>
            <w:tcBorders>
              <w:tl2br w:val="nil"/>
              <w:tr2bl w:val="nil"/>
            </w:tcBorders>
            <w:noWrap w:val="0"/>
            <w:vAlign w:val="center"/>
          </w:tcPr>
          <w:p w14:paraId="319C387B">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r>
              <w:rPr>
                <w:rFonts w:hint="eastAsia" w:ascii="Times New Roman" w:hAnsi="Times New Roman" w:eastAsia="宋体" w:cs="宋体"/>
                <w:snapToGrid w:val="0"/>
                <w:color w:val="000000"/>
                <w:kern w:val="21"/>
                <w:sz w:val="21"/>
                <w:szCs w:val="21"/>
                <w:highlight w:val="none"/>
                <w:lang w:val="en-US" w:eastAsia="zh-CN" w:bidi="ar-SA"/>
              </w:rPr>
              <w:t>工业固体废物</w:t>
            </w:r>
          </w:p>
        </w:tc>
        <w:tc>
          <w:tcPr>
            <w:tcW w:w="1187" w:type="dxa"/>
            <w:tcBorders>
              <w:tl2br w:val="nil"/>
              <w:tr2bl w:val="nil"/>
            </w:tcBorders>
            <w:shd w:val="clear" w:color="auto" w:fill="auto"/>
            <w:noWrap w:val="0"/>
            <w:vAlign w:val="center"/>
          </w:tcPr>
          <w:p w14:paraId="36A1D68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废包装材料（</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33434E33">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1"/>
                <w:szCs w:val="21"/>
                <w:highlight w:val="none"/>
                <w:lang w:val="en-US"/>
              </w:rPr>
            </w:pPr>
            <w:r>
              <w:rPr>
                <w:rFonts w:hint="default" w:ascii="Times New Roman" w:hAnsi="Times New Roman" w:eastAsia="宋体" w:cs="Times New Roman"/>
                <w:i w:val="0"/>
                <w:iCs w:val="0"/>
                <w:color w:val="000000"/>
                <w:kern w:val="0"/>
                <w:sz w:val="21"/>
                <w:szCs w:val="21"/>
                <w:u w:val="none"/>
                <w:lang w:val="en-US" w:eastAsia="zh-CN" w:bidi="ar"/>
              </w:rPr>
              <w:t>2.497</w:t>
            </w:r>
          </w:p>
        </w:tc>
        <w:tc>
          <w:tcPr>
            <w:tcW w:w="800" w:type="dxa"/>
            <w:tcBorders>
              <w:tl2br w:val="nil"/>
              <w:tr2bl w:val="nil"/>
            </w:tcBorders>
            <w:shd w:val="clear" w:color="auto" w:fill="auto"/>
            <w:noWrap w:val="0"/>
            <w:vAlign w:val="center"/>
          </w:tcPr>
          <w:p w14:paraId="617DEE4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4B8FE38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29BEBE2F">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11.04</w:t>
            </w:r>
          </w:p>
        </w:tc>
        <w:tc>
          <w:tcPr>
            <w:tcW w:w="1065" w:type="dxa"/>
            <w:tcBorders>
              <w:tl2br w:val="nil"/>
              <w:tr2bl w:val="nil"/>
            </w:tcBorders>
            <w:noWrap w:val="0"/>
            <w:vAlign w:val="center"/>
          </w:tcPr>
          <w:p w14:paraId="6347D61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86" w:type="dxa"/>
            <w:tcBorders>
              <w:tl2br w:val="nil"/>
              <w:tr2bl w:val="nil"/>
            </w:tcBorders>
            <w:noWrap w:val="0"/>
            <w:vAlign w:val="center"/>
          </w:tcPr>
          <w:p w14:paraId="3B38CFA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13.537</w:t>
            </w:r>
          </w:p>
        </w:tc>
        <w:tc>
          <w:tcPr>
            <w:tcW w:w="742" w:type="dxa"/>
            <w:tcBorders>
              <w:tl2br w:val="nil"/>
              <w:tr2bl w:val="nil"/>
            </w:tcBorders>
            <w:noWrap w:val="0"/>
            <w:vAlign w:val="center"/>
          </w:tcPr>
          <w:p w14:paraId="7F5CDF70">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11.04</w:t>
            </w:r>
          </w:p>
        </w:tc>
      </w:tr>
      <w:tr w14:paraId="27EDB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5" w:type="dxa"/>
            <w:vMerge w:val="continue"/>
            <w:tcBorders>
              <w:tl2br w:val="nil"/>
              <w:tr2bl w:val="nil"/>
            </w:tcBorders>
            <w:noWrap w:val="0"/>
            <w:vAlign w:val="center"/>
          </w:tcPr>
          <w:p w14:paraId="323AEB54">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7C4585E9">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牛粪及发酵垫料（</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21D211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1683.93</w:t>
            </w:r>
          </w:p>
        </w:tc>
        <w:tc>
          <w:tcPr>
            <w:tcW w:w="800" w:type="dxa"/>
            <w:tcBorders>
              <w:tl2br w:val="nil"/>
              <w:tr2bl w:val="nil"/>
            </w:tcBorders>
            <w:shd w:val="clear" w:color="auto" w:fill="auto"/>
            <w:noWrap w:val="0"/>
            <w:vAlign w:val="center"/>
          </w:tcPr>
          <w:p w14:paraId="700DED4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163C095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591A220A">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12133.6</w:t>
            </w:r>
          </w:p>
        </w:tc>
        <w:tc>
          <w:tcPr>
            <w:tcW w:w="1065" w:type="dxa"/>
            <w:tcBorders>
              <w:tl2br w:val="nil"/>
              <w:tr2bl w:val="nil"/>
            </w:tcBorders>
            <w:noWrap w:val="0"/>
            <w:vAlign w:val="center"/>
          </w:tcPr>
          <w:p w14:paraId="1074ECC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86" w:type="dxa"/>
            <w:tcBorders>
              <w:tl2br w:val="nil"/>
              <w:tr2bl w:val="nil"/>
            </w:tcBorders>
            <w:noWrap w:val="0"/>
            <w:vAlign w:val="center"/>
          </w:tcPr>
          <w:p w14:paraId="050D98C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13817.53</w:t>
            </w:r>
          </w:p>
        </w:tc>
        <w:tc>
          <w:tcPr>
            <w:tcW w:w="742" w:type="dxa"/>
            <w:tcBorders>
              <w:tl2br w:val="nil"/>
              <w:tr2bl w:val="nil"/>
            </w:tcBorders>
            <w:noWrap w:val="0"/>
            <w:vAlign w:val="center"/>
          </w:tcPr>
          <w:p w14:paraId="2D66AB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12133.6</w:t>
            </w:r>
          </w:p>
        </w:tc>
      </w:tr>
      <w:tr w14:paraId="16FB0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5" w:type="dxa"/>
            <w:vMerge w:val="continue"/>
            <w:tcBorders>
              <w:tl2br w:val="nil"/>
              <w:tr2bl w:val="nil"/>
            </w:tcBorders>
            <w:noWrap w:val="0"/>
            <w:vAlign w:val="center"/>
          </w:tcPr>
          <w:p w14:paraId="4E1C611F">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03BE19DF">
            <w:pPr>
              <w:keepNext w:val="0"/>
              <w:keepLines w:val="0"/>
              <w:widowControl/>
              <w:suppressLineNumbers w:val="0"/>
              <w:jc w:val="center"/>
              <w:textAlignment w:val="center"/>
              <w:rPr>
                <w:rFonts w:hint="default" w:ascii="Times New Roman" w:hAnsi="Times New Roman" w:eastAsia="宋体" w:cs="宋体"/>
                <w:snapToGrid w:val="0"/>
                <w:color w:val="000000"/>
                <w:kern w:val="21"/>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病死牛（</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1E4B1CC8">
            <w:pPr>
              <w:keepNext w:val="0"/>
              <w:keepLines w:val="0"/>
              <w:widowControl/>
              <w:suppressLineNumbers w:val="0"/>
              <w:jc w:val="center"/>
              <w:textAlignment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w:t>
            </w:r>
          </w:p>
        </w:tc>
        <w:tc>
          <w:tcPr>
            <w:tcW w:w="800" w:type="dxa"/>
            <w:tcBorders>
              <w:tl2br w:val="nil"/>
              <w:tr2bl w:val="nil"/>
            </w:tcBorders>
            <w:noWrap w:val="0"/>
            <w:vAlign w:val="center"/>
          </w:tcPr>
          <w:p w14:paraId="403AD03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462EC81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5EF30A4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i w:val="0"/>
                <w:iCs w:val="0"/>
                <w:color w:val="000000"/>
                <w:kern w:val="0"/>
                <w:sz w:val="21"/>
                <w:szCs w:val="21"/>
                <w:u w:val="none"/>
                <w:lang w:val="en-US" w:eastAsia="zh-CN" w:bidi="ar"/>
              </w:rPr>
              <w:t>0.9</w:t>
            </w:r>
          </w:p>
        </w:tc>
        <w:tc>
          <w:tcPr>
            <w:tcW w:w="1065" w:type="dxa"/>
            <w:tcBorders>
              <w:tl2br w:val="nil"/>
              <w:tr2bl w:val="nil"/>
            </w:tcBorders>
            <w:noWrap w:val="0"/>
            <w:vAlign w:val="center"/>
          </w:tcPr>
          <w:p w14:paraId="3CE37B5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86" w:type="dxa"/>
            <w:tcBorders>
              <w:tl2br w:val="nil"/>
              <w:tr2bl w:val="nil"/>
            </w:tcBorders>
            <w:noWrap w:val="0"/>
            <w:vAlign w:val="center"/>
          </w:tcPr>
          <w:p w14:paraId="1C6AD59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1.2</w:t>
            </w:r>
          </w:p>
        </w:tc>
        <w:tc>
          <w:tcPr>
            <w:tcW w:w="742" w:type="dxa"/>
            <w:tcBorders>
              <w:tl2br w:val="nil"/>
              <w:tr2bl w:val="nil"/>
            </w:tcBorders>
            <w:noWrap w:val="0"/>
            <w:vAlign w:val="center"/>
          </w:tcPr>
          <w:p w14:paraId="2A15B64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i w:val="0"/>
                <w:iCs w:val="0"/>
                <w:color w:val="auto"/>
                <w:kern w:val="0"/>
                <w:sz w:val="21"/>
                <w:szCs w:val="21"/>
                <w:highlight w:val="none"/>
                <w:u w:val="none"/>
                <w:lang w:val="en-US" w:eastAsia="zh-CN" w:bidi="ar"/>
              </w:rPr>
              <w:t>+</w:t>
            </w:r>
            <w:r>
              <w:rPr>
                <w:rFonts w:hint="eastAsia" w:ascii="Times New Roman" w:hAnsi="Times New Roman" w:cs="Times New Roman"/>
                <w:i w:val="0"/>
                <w:iCs w:val="0"/>
                <w:color w:val="000000"/>
                <w:kern w:val="0"/>
                <w:sz w:val="21"/>
                <w:szCs w:val="21"/>
                <w:u w:val="none"/>
                <w:lang w:val="en-US" w:eastAsia="zh-CN" w:bidi="ar"/>
              </w:rPr>
              <w:t>0.9</w:t>
            </w:r>
          </w:p>
        </w:tc>
      </w:tr>
      <w:tr w14:paraId="502C5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5" w:type="dxa"/>
            <w:vMerge w:val="continue"/>
            <w:tcBorders>
              <w:tl2br w:val="nil"/>
              <w:tr2bl w:val="nil"/>
            </w:tcBorders>
            <w:noWrap w:val="0"/>
            <w:vAlign w:val="center"/>
          </w:tcPr>
          <w:p w14:paraId="03755DC1">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74444C6D">
            <w:pPr>
              <w:keepNext w:val="0"/>
              <w:keepLines w:val="0"/>
              <w:widowControl/>
              <w:suppressLineNumbers w:val="0"/>
              <w:jc w:val="center"/>
              <w:textAlignment w:val="center"/>
              <w:rPr>
                <w:rFonts w:hint="default" w:ascii="Times New Roman" w:hAnsi="Times New Roman" w:cs="宋体"/>
                <w:snapToGrid w:val="0"/>
                <w:color w:val="000000"/>
                <w:kern w:val="21"/>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废填料（</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546840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800" w:type="dxa"/>
            <w:tcBorders>
              <w:tl2br w:val="nil"/>
              <w:tr2bl w:val="nil"/>
            </w:tcBorders>
            <w:noWrap w:val="0"/>
            <w:vAlign w:val="center"/>
          </w:tcPr>
          <w:p w14:paraId="3D0DD99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2EBFB61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4C0DDC5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w:t>
            </w:r>
          </w:p>
        </w:tc>
        <w:tc>
          <w:tcPr>
            <w:tcW w:w="1065" w:type="dxa"/>
            <w:tcBorders>
              <w:tl2br w:val="nil"/>
              <w:tr2bl w:val="nil"/>
            </w:tcBorders>
            <w:noWrap w:val="0"/>
            <w:vAlign w:val="center"/>
          </w:tcPr>
          <w:p w14:paraId="591B80D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986" w:type="dxa"/>
            <w:tcBorders>
              <w:tl2br w:val="nil"/>
              <w:tr2bl w:val="nil"/>
            </w:tcBorders>
            <w:noWrap w:val="0"/>
            <w:vAlign w:val="center"/>
          </w:tcPr>
          <w:p w14:paraId="60165D0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0.5</w:t>
            </w:r>
          </w:p>
        </w:tc>
        <w:tc>
          <w:tcPr>
            <w:tcW w:w="742" w:type="dxa"/>
            <w:tcBorders>
              <w:tl2br w:val="nil"/>
              <w:tr2bl w:val="nil"/>
            </w:tcBorders>
            <w:noWrap w:val="0"/>
            <w:vAlign w:val="center"/>
          </w:tcPr>
          <w:p w14:paraId="1F599FD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0.5</w:t>
            </w:r>
          </w:p>
        </w:tc>
      </w:tr>
      <w:tr w14:paraId="60B68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5" w:type="dxa"/>
            <w:vMerge w:val="continue"/>
            <w:tcBorders>
              <w:tl2br w:val="nil"/>
              <w:tr2bl w:val="nil"/>
            </w:tcBorders>
            <w:noWrap w:val="0"/>
            <w:vAlign w:val="center"/>
          </w:tcPr>
          <w:p w14:paraId="5F935B7C">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0BFEDB53">
            <w:pPr>
              <w:keepNext w:val="0"/>
              <w:keepLines w:val="0"/>
              <w:widowControl/>
              <w:suppressLineNumbers w:val="0"/>
              <w:jc w:val="center"/>
              <w:textAlignment w:val="center"/>
              <w:rPr>
                <w:rFonts w:hint="default" w:ascii="Times New Roman" w:hAnsi="Times New Roman" w:cs="宋体"/>
                <w:snapToGrid w:val="0"/>
                <w:color w:val="000000"/>
                <w:kern w:val="21"/>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除尘灰（</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5A2F59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800" w:type="dxa"/>
            <w:tcBorders>
              <w:tl2br w:val="nil"/>
              <w:tr2bl w:val="nil"/>
            </w:tcBorders>
            <w:noWrap w:val="0"/>
            <w:vAlign w:val="center"/>
          </w:tcPr>
          <w:p w14:paraId="09B8D51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1641F08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1154F9E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1.65</w:t>
            </w:r>
          </w:p>
        </w:tc>
        <w:tc>
          <w:tcPr>
            <w:tcW w:w="1065" w:type="dxa"/>
            <w:tcBorders>
              <w:tl2br w:val="nil"/>
              <w:tr2bl w:val="nil"/>
            </w:tcBorders>
            <w:noWrap w:val="0"/>
            <w:vAlign w:val="center"/>
          </w:tcPr>
          <w:p w14:paraId="72B260B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986" w:type="dxa"/>
            <w:tcBorders>
              <w:tl2br w:val="nil"/>
              <w:tr2bl w:val="nil"/>
            </w:tcBorders>
            <w:noWrap w:val="0"/>
            <w:vAlign w:val="center"/>
          </w:tcPr>
          <w:p w14:paraId="6088B45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1.65</w:t>
            </w:r>
          </w:p>
        </w:tc>
        <w:tc>
          <w:tcPr>
            <w:tcW w:w="742" w:type="dxa"/>
            <w:tcBorders>
              <w:tl2br w:val="nil"/>
              <w:tr2bl w:val="nil"/>
            </w:tcBorders>
            <w:noWrap w:val="0"/>
            <w:vAlign w:val="center"/>
          </w:tcPr>
          <w:p w14:paraId="28977AD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1.65</w:t>
            </w:r>
          </w:p>
        </w:tc>
      </w:tr>
      <w:tr w14:paraId="4147F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continue"/>
            <w:tcBorders>
              <w:tl2br w:val="nil"/>
              <w:tr2bl w:val="nil"/>
            </w:tcBorders>
            <w:noWrap w:val="0"/>
            <w:vAlign w:val="center"/>
          </w:tcPr>
          <w:p w14:paraId="379F303D">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6951DB79">
            <w:pPr>
              <w:keepNext w:val="0"/>
              <w:keepLines w:val="0"/>
              <w:widowControl/>
              <w:suppressLineNumbers w:val="0"/>
              <w:jc w:val="center"/>
              <w:textAlignment w:val="center"/>
              <w:rPr>
                <w:rFonts w:hint="default" w:ascii="Times New Roman" w:hAnsi="Times New Roman" w:cs="宋体"/>
                <w:snapToGrid w:val="0"/>
                <w:color w:val="000000"/>
                <w:kern w:val="21"/>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废布袋（</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337FAFBB">
            <w:pPr>
              <w:keepNext w:val="0"/>
              <w:keepLines w:val="0"/>
              <w:widowControl/>
              <w:suppressLineNumbers w:val="0"/>
              <w:jc w:val="center"/>
              <w:textAlignment w:val="center"/>
              <w:rPr>
                <w:rFonts w:hint="eastAsia"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800" w:type="dxa"/>
            <w:tcBorders>
              <w:tl2br w:val="nil"/>
              <w:tr2bl w:val="nil"/>
            </w:tcBorders>
            <w:noWrap w:val="0"/>
            <w:vAlign w:val="center"/>
          </w:tcPr>
          <w:p w14:paraId="5B0CBD7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65AD9FC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001ED76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0.4</w:t>
            </w:r>
          </w:p>
        </w:tc>
        <w:tc>
          <w:tcPr>
            <w:tcW w:w="1065" w:type="dxa"/>
            <w:tcBorders>
              <w:tl2br w:val="nil"/>
              <w:tr2bl w:val="nil"/>
            </w:tcBorders>
            <w:noWrap w:val="0"/>
            <w:vAlign w:val="center"/>
          </w:tcPr>
          <w:p w14:paraId="1DA7553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986" w:type="dxa"/>
            <w:tcBorders>
              <w:tl2br w:val="nil"/>
              <w:tr2bl w:val="nil"/>
            </w:tcBorders>
            <w:noWrap w:val="0"/>
            <w:vAlign w:val="center"/>
          </w:tcPr>
          <w:p w14:paraId="5589ECB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0.4</w:t>
            </w:r>
          </w:p>
        </w:tc>
        <w:tc>
          <w:tcPr>
            <w:tcW w:w="742" w:type="dxa"/>
            <w:tcBorders>
              <w:tl2br w:val="nil"/>
              <w:tr2bl w:val="nil"/>
            </w:tcBorders>
            <w:noWrap w:val="0"/>
            <w:vAlign w:val="center"/>
          </w:tcPr>
          <w:p w14:paraId="04E523F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w:t>
            </w:r>
            <w:r>
              <w:rPr>
                <w:rFonts w:hint="eastAsia" w:ascii="Times New Roman" w:hAnsi="Times New Roman" w:cs="Times New Roman"/>
                <w:i w:val="0"/>
                <w:iCs w:val="0"/>
                <w:color w:val="000000"/>
                <w:kern w:val="0"/>
                <w:sz w:val="21"/>
                <w:szCs w:val="21"/>
                <w:u w:val="none"/>
                <w:lang w:val="en-US" w:eastAsia="zh-CN" w:bidi="ar"/>
              </w:rPr>
              <w:t>0.4</w:t>
            </w:r>
          </w:p>
        </w:tc>
      </w:tr>
      <w:tr w14:paraId="1AE91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continue"/>
            <w:tcBorders>
              <w:tl2br w:val="nil"/>
              <w:tr2bl w:val="nil"/>
            </w:tcBorders>
            <w:noWrap w:val="0"/>
            <w:vAlign w:val="center"/>
          </w:tcPr>
          <w:p w14:paraId="408C34B9">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68A0F832">
            <w:pPr>
              <w:keepNext w:val="0"/>
              <w:keepLines w:val="0"/>
              <w:widowControl/>
              <w:suppressLineNumbers w:val="0"/>
              <w:jc w:val="center"/>
              <w:textAlignment w:val="center"/>
              <w:rPr>
                <w:rFonts w:hint="eastAsia" w:ascii="Times New Roman" w:hAnsi="Times New Roman" w:cs="宋体"/>
                <w:snapToGrid w:val="0"/>
                <w:color w:val="000000"/>
                <w:kern w:val="21"/>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废消毒剂包装材料（</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339AA1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800" w:type="dxa"/>
            <w:tcBorders>
              <w:tl2br w:val="nil"/>
              <w:tr2bl w:val="nil"/>
            </w:tcBorders>
            <w:noWrap w:val="0"/>
            <w:vAlign w:val="center"/>
          </w:tcPr>
          <w:p w14:paraId="2B3B14E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1B36FCE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5880E03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0.09</w:t>
            </w:r>
          </w:p>
        </w:tc>
        <w:tc>
          <w:tcPr>
            <w:tcW w:w="1065" w:type="dxa"/>
            <w:tcBorders>
              <w:tl2br w:val="nil"/>
              <w:tr2bl w:val="nil"/>
            </w:tcBorders>
            <w:noWrap w:val="0"/>
            <w:vAlign w:val="center"/>
          </w:tcPr>
          <w:p w14:paraId="2D8A8BB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986" w:type="dxa"/>
            <w:tcBorders>
              <w:tl2br w:val="nil"/>
              <w:tr2bl w:val="nil"/>
            </w:tcBorders>
            <w:noWrap w:val="0"/>
            <w:vAlign w:val="center"/>
          </w:tcPr>
          <w:p w14:paraId="2766486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0.093</w:t>
            </w:r>
          </w:p>
        </w:tc>
        <w:tc>
          <w:tcPr>
            <w:tcW w:w="742" w:type="dxa"/>
            <w:tcBorders>
              <w:tl2br w:val="nil"/>
              <w:tr2bl w:val="nil"/>
            </w:tcBorders>
            <w:noWrap w:val="0"/>
            <w:vAlign w:val="center"/>
          </w:tcPr>
          <w:p w14:paraId="5DA3FBC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w:t>
            </w:r>
            <w:r>
              <w:rPr>
                <w:rFonts w:hint="eastAsia" w:ascii="Times New Roman" w:hAnsi="Times New Roman" w:cs="Times New Roman"/>
                <w:i w:val="0"/>
                <w:iCs w:val="0"/>
                <w:color w:val="000000"/>
                <w:kern w:val="0"/>
                <w:sz w:val="21"/>
                <w:szCs w:val="21"/>
                <w:u w:val="none"/>
                <w:lang w:val="en-US" w:eastAsia="zh-CN" w:bidi="ar"/>
              </w:rPr>
              <w:t>0.09</w:t>
            </w:r>
          </w:p>
        </w:tc>
      </w:tr>
      <w:tr w14:paraId="2E673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Merge w:val="continue"/>
            <w:tcBorders>
              <w:tl2br w:val="nil"/>
              <w:tr2bl w:val="nil"/>
            </w:tcBorders>
            <w:noWrap w:val="0"/>
            <w:vAlign w:val="center"/>
          </w:tcPr>
          <w:p w14:paraId="57C50EF7">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187" w:type="dxa"/>
            <w:tcBorders>
              <w:tl2br w:val="nil"/>
              <w:tr2bl w:val="nil"/>
            </w:tcBorders>
            <w:noWrap w:val="0"/>
            <w:vAlign w:val="center"/>
          </w:tcPr>
          <w:p w14:paraId="4AF4C79D">
            <w:pPr>
              <w:keepNext w:val="0"/>
              <w:keepLines w:val="0"/>
              <w:widowControl/>
              <w:suppressLineNumbers w:val="0"/>
              <w:jc w:val="center"/>
              <w:textAlignment w:val="center"/>
              <w:rPr>
                <w:rFonts w:hint="default" w:ascii="Times New Roman" w:hAnsi="Times New Roman" w:cs="宋体"/>
                <w:snapToGrid w:val="0"/>
                <w:color w:val="000000"/>
                <w:kern w:val="21"/>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医疗废物（</w:t>
            </w:r>
            <w:r>
              <w:rPr>
                <w:rStyle w:val="45"/>
                <w:rFonts w:eastAsia="宋体"/>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032" w:type="dxa"/>
            <w:tcBorders>
              <w:tl2br w:val="nil"/>
              <w:tr2bl w:val="nil"/>
            </w:tcBorders>
            <w:noWrap w:val="0"/>
            <w:vAlign w:val="center"/>
          </w:tcPr>
          <w:p w14:paraId="606D22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800" w:type="dxa"/>
            <w:tcBorders>
              <w:tl2br w:val="nil"/>
              <w:tr2bl w:val="nil"/>
            </w:tcBorders>
            <w:noWrap w:val="0"/>
            <w:vAlign w:val="center"/>
          </w:tcPr>
          <w:p w14:paraId="7073F8A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32" w:type="dxa"/>
            <w:tcBorders>
              <w:tl2br w:val="nil"/>
              <w:tr2bl w:val="nil"/>
            </w:tcBorders>
            <w:noWrap w:val="0"/>
            <w:vAlign w:val="center"/>
          </w:tcPr>
          <w:p w14:paraId="3D6F01E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55" w:type="dxa"/>
            <w:tcBorders>
              <w:tl2br w:val="nil"/>
              <w:tr2bl w:val="nil"/>
            </w:tcBorders>
            <w:noWrap w:val="0"/>
            <w:vAlign w:val="center"/>
          </w:tcPr>
          <w:p w14:paraId="5E5AD2A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0.20</w:t>
            </w:r>
          </w:p>
        </w:tc>
        <w:tc>
          <w:tcPr>
            <w:tcW w:w="1065" w:type="dxa"/>
            <w:tcBorders>
              <w:tl2br w:val="nil"/>
              <w:tr2bl w:val="nil"/>
            </w:tcBorders>
            <w:noWrap w:val="0"/>
            <w:vAlign w:val="center"/>
          </w:tcPr>
          <w:p w14:paraId="7F8C2DD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c>
          <w:tcPr>
            <w:tcW w:w="986" w:type="dxa"/>
            <w:tcBorders>
              <w:tl2br w:val="nil"/>
              <w:tr2bl w:val="nil"/>
            </w:tcBorders>
            <w:noWrap w:val="0"/>
            <w:vAlign w:val="center"/>
          </w:tcPr>
          <w:p w14:paraId="123F870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0.21</w:t>
            </w:r>
          </w:p>
        </w:tc>
        <w:tc>
          <w:tcPr>
            <w:tcW w:w="742" w:type="dxa"/>
            <w:tcBorders>
              <w:tl2br w:val="nil"/>
              <w:tr2bl w:val="nil"/>
            </w:tcBorders>
            <w:noWrap w:val="0"/>
            <w:vAlign w:val="center"/>
          </w:tcPr>
          <w:p w14:paraId="354E917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w:t>
            </w:r>
            <w:r>
              <w:rPr>
                <w:rFonts w:hint="eastAsia" w:ascii="Times New Roman" w:hAnsi="Times New Roman" w:cs="Times New Roman"/>
                <w:i w:val="0"/>
                <w:iCs w:val="0"/>
                <w:color w:val="000000"/>
                <w:kern w:val="0"/>
                <w:sz w:val="21"/>
                <w:szCs w:val="21"/>
                <w:u w:val="none"/>
                <w:lang w:val="en-US" w:eastAsia="zh-CN" w:bidi="ar"/>
              </w:rPr>
              <w:t>0.20</w:t>
            </w:r>
          </w:p>
        </w:tc>
      </w:tr>
    </w:tbl>
    <w:p w14:paraId="2997C06B">
      <w:pPr>
        <w:widowControl w:val="0"/>
        <w:bidi w:val="0"/>
        <w:spacing w:before="120" w:after="120" w:line="500" w:lineRule="exact"/>
        <w:jc w:val="both"/>
        <w:outlineLvl w:val="1"/>
        <w:rPr>
          <w:rFonts w:hint="default" w:ascii="Times New Roman" w:hAnsi="Times New Roman" w:eastAsia="宋体" w:cs="楷体_GB2312"/>
          <w:b/>
          <w:bCs/>
          <w:kern w:val="2"/>
          <w:sz w:val="30"/>
          <w:szCs w:val="30"/>
          <w:lang w:val="en-US" w:eastAsia="zh-CN" w:bidi="ar-SA"/>
        </w:rPr>
      </w:pPr>
      <w:bookmarkStart w:id="357" w:name="_Toc22333"/>
      <w:r>
        <w:rPr>
          <w:rFonts w:hint="eastAsia" w:ascii="Times New Roman" w:hAnsi="Times New Roman" w:eastAsia="宋体" w:cs="楷体_GB2312"/>
          <w:b/>
          <w:bCs/>
          <w:kern w:val="2"/>
          <w:sz w:val="30"/>
          <w:szCs w:val="30"/>
          <w:lang w:val="en-US" w:eastAsia="zh-CN" w:bidi="ar-SA"/>
        </w:rPr>
        <w:t>3.</w:t>
      </w:r>
      <w:r>
        <w:rPr>
          <w:rFonts w:hint="eastAsia" w:cs="楷体_GB2312"/>
          <w:b/>
          <w:bCs/>
          <w:kern w:val="2"/>
          <w:sz w:val="30"/>
          <w:szCs w:val="30"/>
          <w:lang w:val="en-US" w:eastAsia="zh-CN" w:bidi="ar-SA"/>
        </w:rPr>
        <w:t>6</w:t>
      </w:r>
      <w:r>
        <w:rPr>
          <w:rFonts w:hint="default" w:ascii="Times New Roman" w:hAnsi="Times New Roman" w:eastAsia="宋体" w:cs="楷体_GB2312"/>
          <w:b/>
          <w:bCs/>
          <w:kern w:val="2"/>
          <w:sz w:val="30"/>
          <w:szCs w:val="30"/>
          <w:lang w:val="en-US" w:eastAsia="zh-CN" w:bidi="ar-SA"/>
        </w:rPr>
        <w:t>清洁生产</w:t>
      </w:r>
      <w:bookmarkEnd w:id="349"/>
      <w:r>
        <w:rPr>
          <w:rFonts w:hint="default" w:ascii="Times New Roman" w:hAnsi="Times New Roman" w:eastAsia="宋体" w:cs="楷体_GB2312"/>
          <w:b/>
          <w:bCs/>
          <w:kern w:val="2"/>
          <w:sz w:val="30"/>
          <w:szCs w:val="30"/>
          <w:lang w:val="en-US" w:eastAsia="zh-CN" w:bidi="ar-SA"/>
        </w:rPr>
        <w:t>与循环经济分析</w:t>
      </w:r>
      <w:bookmarkEnd w:id="350"/>
      <w:bookmarkEnd w:id="351"/>
      <w:bookmarkEnd w:id="352"/>
      <w:bookmarkEnd w:id="353"/>
      <w:bookmarkEnd w:id="354"/>
      <w:bookmarkEnd w:id="355"/>
      <w:bookmarkEnd w:id="356"/>
      <w:bookmarkEnd w:id="357"/>
    </w:p>
    <w:p w14:paraId="2EA2FCC9">
      <w:pPr>
        <w:keepNext w:val="0"/>
        <w:keepLines w:val="0"/>
        <w:widowControl w:val="0"/>
        <w:bidi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358" w:name="_Toc435094461"/>
      <w:bookmarkStart w:id="359" w:name="_Toc457381887"/>
      <w:bookmarkStart w:id="360" w:name="_Toc2704"/>
      <w:bookmarkStart w:id="361" w:name="_Toc457381973"/>
      <w:bookmarkStart w:id="362" w:name="_Toc26106"/>
      <w:bookmarkStart w:id="363" w:name="_Toc473125048"/>
      <w:bookmarkStart w:id="364" w:name="_Toc10926"/>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.1</w:t>
      </w:r>
      <w:r>
        <w:rPr>
          <w:rFonts w:hint="default" w:ascii="Times New Roman" w:hAnsi="Times New Roman" w:eastAsia="宋体" w:cs="Times New Roman"/>
          <w:b/>
          <w:bCs/>
          <w:kern w:val="2"/>
          <w:sz w:val="28"/>
          <w:szCs w:val="28"/>
          <w:lang w:val="en-US" w:eastAsia="zh-CN" w:bidi="ar-SA"/>
        </w:rPr>
        <w:t>清洁生产的目的</w:t>
      </w:r>
      <w:bookmarkEnd w:id="358"/>
      <w:bookmarkEnd w:id="359"/>
      <w:bookmarkEnd w:id="360"/>
      <w:bookmarkEnd w:id="361"/>
      <w:bookmarkEnd w:id="362"/>
      <w:bookmarkEnd w:id="363"/>
      <w:bookmarkEnd w:id="364"/>
    </w:p>
    <w:p w14:paraId="5C45F6B8">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bookmarkStart w:id="365" w:name="_Toc289104628"/>
      <w:bookmarkStart w:id="366" w:name="_Toc275162254"/>
      <w:bookmarkStart w:id="367" w:name="_Toc275249328"/>
      <w:r>
        <w:rPr>
          <w:rFonts w:hint="default" w:ascii="Times New Roman" w:hAnsi="Times New Roman" w:eastAsia="宋体" w:cs="Times New Roman"/>
          <w:color w:val="000000"/>
          <w:sz w:val="24"/>
        </w:rPr>
        <w:t>清洁生产分析是对建设项目的技术先进性和环境友好性进行综合评价。其目的要求将综合预防污染的环境策略持续应用于生产过程和产品中，提高企业的经济效率，减少生产活动对人类环境的污染，更好</w:t>
      </w:r>
      <w:r>
        <w:rPr>
          <w:rFonts w:hint="eastAsia" w:cs="Times New Roman"/>
          <w:color w:val="000000"/>
          <w:sz w:val="24"/>
          <w:lang w:eastAsia="zh-CN"/>
        </w:rPr>
        <w:t>地</w:t>
      </w:r>
      <w:r>
        <w:rPr>
          <w:rFonts w:hint="default" w:ascii="Times New Roman" w:hAnsi="Times New Roman" w:eastAsia="宋体" w:cs="Times New Roman"/>
          <w:color w:val="000000"/>
          <w:sz w:val="24"/>
        </w:rPr>
        <w:t>保护环境。清洁生产要求在生产过程中最大限度地利用资源和能源，通过循环利用、重复使用，使原材料最大限度地转换为产品。将节约能源、降低原材料消耗、减少污染物的产生量和排放量贯穿于产品生产的全过程中。</w:t>
      </w:r>
    </w:p>
    <w:p w14:paraId="12242090">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清洁生产的实质是使用清洁的原料和能源；采用先进的无害的生产工艺、技术与装备；采取清洁生产过程；生产出清洁的产品四个主要方面。它要求从生产的源头及全过程实行控制，对必须排放的污染物采用先进可靠的处理技术，消除或减少污染物的产生和排放，确保污染物达标排放和总量控制要求，以最小的投入获得最大的产出，实现建设项目经济、社会和环境效益的协调统一。</w:t>
      </w:r>
    </w:p>
    <w:p w14:paraId="0CBBA2B9">
      <w:pPr>
        <w:keepNext w:val="0"/>
        <w:keepLines w:val="0"/>
        <w:widowControl w:val="0"/>
        <w:bidi w:val="0"/>
        <w:spacing w:before="0" w:after="0" w:line="500" w:lineRule="exact"/>
        <w:jc w:val="both"/>
        <w:outlineLvl w:val="2"/>
        <w:rPr>
          <w:rFonts w:hint="default" w:ascii="Times New Roman" w:hAnsi="Times New Roman" w:eastAsia="宋体" w:cs="Times New Roman"/>
          <w:b/>
          <w:bCs/>
          <w:kern w:val="2"/>
          <w:sz w:val="28"/>
          <w:szCs w:val="28"/>
          <w:lang w:val="en-US" w:eastAsia="zh-CN" w:bidi="ar-SA"/>
        </w:rPr>
      </w:pPr>
      <w:bookmarkStart w:id="368" w:name="_Toc435094462"/>
      <w:bookmarkStart w:id="369" w:name="_Toc457381888"/>
      <w:bookmarkStart w:id="370" w:name="_Toc473125049"/>
      <w:bookmarkStart w:id="371" w:name="_Toc16034"/>
      <w:bookmarkStart w:id="372" w:name="_Toc457381974"/>
      <w:bookmarkStart w:id="373" w:name="_Toc25222"/>
      <w:bookmarkStart w:id="374" w:name="_Toc2274"/>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清洁生产评价体系</w:t>
      </w:r>
      <w:bookmarkEnd w:id="365"/>
      <w:bookmarkEnd w:id="366"/>
      <w:bookmarkEnd w:id="367"/>
      <w:r>
        <w:rPr>
          <w:rFonts w:hint="default" w:ascii="Times New Roman" w:hAnsi="Times New Roman" w:eastAsia="宋体" w:cs="Times New Roman"/>
          <w:b/>
          <w:bCs/>
          <w:kern w:val="2"/>
          <w:sz w:val="28"/>
          <w:szCs w:val="28"/>
          <w:lang w:val="en-US" w:eastAsia="zh-CN" w:bidi="ar-SA"/>
        </w:rPr>
        <w:t>选取</w:t>
      </w:r>
      <w:bookmarkEnd w:id="368"/>
      <w:bookmarkEnd w:id="369"/>
      <w:bookmarkEnd w:id="370"/>
      <w:bookmarkEnd w:id="371"/>
      <w:bookmarkEnd w:id="372"/>
      <w:bookmarkEnd w:id="373"/>
      <w:bookmarkEnd w:id="374"/>
    </w:p>
    <w:p w14:paraId="5EB3955D">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清洁生产是我国工业可持续发展的一项重要战略，也是实现我国污染控制由末端控制向全过程控制转变的重大举措。根据清洁生产的一般要求，清洁生产指标原则上分为生产工艺与装备要求、资源能源利用指标、产品指标、污染物产生指标（末端处理前）、废物回收利用指标和环境管理要求进行分析。由于目前相关部门尚未发布机械制造行业相关清洁生产标准，因此本项目将借鉴清洁生产的一般指标，对本项目在生产工艺、资源能源利用、污染物产生等方面</w:t>
      </w:r>
      <w:r>
        <w:rPr>
          <w:rFonts w:hint="eastAsia" w:cs="Times New Roman"/>
          <w:color w:val="000000"/>
          <w:sz w:val="24"/>
          <w:lang w:eastAsia="zh-CN"/>
        </w:rPr>
        <w:t>作出</w:t>
      </w:r>
      <w:r>
        <w:rPr>
          <w:rFonts w:hint="default" w:ascii="Times New Roman" w:hAnsi="Times New Roman" w:eastAsia="宋体" w:cs="Times New Roman"/>
          <w:color w:val="000000"/>
          <w:sz w:val="24"/>
        </w:rPr>
        <w:t>定性评述，对本项目在生产运营过程中的环境管理提出要求。</w:t>
      </w:r>
    </w:p>
    <w:p w14:paraId="40F20CE1">
      <w:pPr>
        <w:keepNext w:val="0"/>
        <w:keepLines w:val="0"/>
        <w:widowControl w:val="0"/>
        <w:bidi w:val="0"/>
        <w:spacing w:before="0" w:after="0" w:line="500" w:lineRule="exact"/>
        <w:jc w:val="both"/>
        <w:outlineLvl w:val="2"/>
        <w:rPr>
          <w:rFonts w:hint="default" w:ascii="Times New Roman" w:hAnsi="Times New Roman" w:eastAsia="宋体" w:cs="Times New Roman"/>
          <w:b/>
          <w:bCs/>
          <w:kern w:val="2"/>
          <w:sz w:val="28"/>
          <w:szCs w:val="28"/>
          <w:lang w:val="en-US" w:eastAsia="zh-CN" w:bidi="ar-SA"/>
        </w:rPr>
      </w:pPr>
      <w:bookmarkStart w:id="375" w:name="_Toc435094463"/>
      <w:bookmarkStart w:id="376" w:name="_Toc457381975"/>
      <w:bookmarkStart w:id="377" w:name="_Toc473125050"/>
      <w:bookmarkStart w:id="378" w:name="_Toc8368"/>
      <w:bookmarkStart w:id="379" w:name="_Toc30137"/>
      <w:bookmarkStart w:id="380" w:name="_Toc16646"/>
      <w:bookmarkStart w:id="381" w:name="_Toc457381889"/>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.3</w:t>
      </w:r>
      <w:r>
        <w:rPr>
          <w:rFonts w:hint="default" w:ascii="Times New Roman" w:hAnsi="Times New Roman" w:eastAsia="宋体" w:cs="Times New Roman"/>
          <w:b/>
          <w:bCs/>
          <w:kern w:val="2"/>
          <w:sz w:val="28"/>
          <w:szCs w:val="28"/>
          <w:lang w:val="en-US" w:eastAsia="zh-CN" w:bidi="ar-SA"/>
        </w:rPr>
        <w:t>清洁生产评述</w:t>
      </w:r>
      <w:bookmarkEnd w:id="375"/>
      <w:bookmarkEnd w:id="376"/>
      <w:bookmarkEnd w:id="377"/>
      <w:bookmarkEnd w:id="378"/>
      <w:bookmarkEnd w:id="379"/>
      <w:bookmarkEnd w:id="380"/>
      <w:bookmarkEnd w:id="381"/>
    </w:p>
    <w:p w14:paraId="7CF9B50E">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本项目建设后</w:t>
      </w:r>
      <w:r>
        <w:rPr>
          <w:rFonts w:hint="eastAsia" w:cs="Times New Roman"/>
          <w:color w:val="000000"/>
          <w:sz w:val="24"/>
          <w:lang w:eastAsia="zh-CN"/>
        </w:rPr>
        <w:t>，</w:t>
      </w:r>
      <w:r>
        <w:rPr>
          <w:rFonts w:hint="eastAsia" w:cs="Times New Roman"/>
          <w:color w:val="000000"/>
          <w:sz w:val="24"/>
          <w:lang w:val="en-US" w:eastAsia="zh-CN"/>
        </w:rPr>
        <w:t>采取各项措施</w:t>
      </w:r>
      <w:r>
        <w:rPr>
          <w:rFonts w:hint="default" w:ascii="Times New Roman" w:hAnsi="Times New Roman" w:eastAsia="宋体" w:cs="Times New Roman"/>
          <w:color w:val="000000"/>
          <w:sz w:val="24"/>
        </w:rPr>
        <w:t>，大幅度降低污染物的</w:t>
      </w:r>
      <w:r>
        <w:rPr>
          <w:rFonts w:hint="eastAsia" w:cs="Times New Roman"/>
          <w:color w:val="000000"/>
          <w:sz w:val="24"/>
          <w:lang w:val="en-US" w:eastAsia="zh-CN"/>
        </w:rPr>
        <w:t>排放</w:t>
      </w:r>
      <w:r>
        <w:rPr>
          <w:rFonts w:hint="default" w:ascii="Times New Roman" w:hAnsi="Times New Roman" w:eastAsia="宋体" w:cs="Times New Roman"/>
          <w:color w:val="000000"/>
          <w:sz w:val="24"/>
        </w:rPr>
        <w:t>量。场区合理绿化，可有效防治畜牧养殖场对空气的污染。</w:t>
      </w:r>
      <w:r>
        <w:rPr>
          <w:rFonts w:hint="eastAsia" w:cs="Times New Roman"/>
          <w:color w:val="000000"/>
          <w:sz w:val="24"/>
          <w:lang w:val="en-US" w:eastAsia="zh-CN"/>
        </w:rPr>
        <w:t>粪污经无害化处理后还田</w:t>
      </w:r>
      <w:r>
        <w:rPr>
          <w:rFonts w:hint="default" w:ascii="Times New Roman" w:hAnsi="Times New Roman" w:eastAsia="宋体" w:cs="Times New Roman"/>
          <w:color w:val="000000"/>
          <w:sz w:val="24"/>
        </w:rPr>
        <w:t>，实现了畜牧养殖业无废物排放，资源再生循环利用，发展了绿色畜牧产业，保证了畜牧业的可持续发展。</w:t>
      </w:r>
    </w:p>
    <w:p w14:paraId="51CE8E3E">
      <w:pPr>
        <w:widowControl w:val="0"/>
        <w:bidi w:val="0"/>
        <w:spacing w:line="360" w:lineRule="auto"/>
        <w:jc w:val="both"/>
        <w:outlineLvl w:val="3"/>
        <w:rPr>
          <w:rFonts w:hint="default" w:ascii="Times New Roman" w:hAnsi="Times New Roman" w:eastAsia="宋体" w:cs="Times New Roman"/>
          <w:b/>
          <w:kern w:val="2"/>
          <w:sz w:val="21"/>
          <w:szCs w:val="24"/>
          <w:lang w:val="en-US" w:eastAsia="zh-CN" w:bidi="ar-SA"/>
        </w:rPr>
      </w:pPr>
      <w:bookmarkStart w:id="382" w:name="_Toc3818"/>
      <w:bookmarkStart w:id="383" w:name="_Toc19070"/>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.3.1</w:t>
      </w:r>
      <w:r>
        <w:rPr>
          <w:rFonts w:hint="default" w:ascii="Times New Roman" w:hAnsi="Times New Roman" w:eastAsia="宋体" w:cs="Times New Roman"/>
          <w:b/>
          <w:kern w:val="2"/>
          <w:sz w:val="24"/>
          <w:szCs w:val="24"/>
          <w:lang w:val="en-US" w:eastAsia="zh-CN" w:bidi="ar-SA"/>
        </w:rPr>
        <w:t>企业拟采取的清洁生产措施</w:t>
      </w:r>
      <w:bookmarkEnd w:id="382"/>
      <w:bookmarkEnd w:id="383"/>
    </w:p>
    <w:p w14:paraId="2EABFB1D">
      <w:pPr>
        <w:keepNext w:val="0"/>
        <w:keepLines w:val="0"/>
        <w:pageBreakBefore w:val="0"/>
        <w:tabs>
          <w:tab w:val="left" w:leader="dot" w:pos="8770"/>
        </w:tabs>
        <w:kinsoku/>
        <w:wordWrap/>
        <w:overflowPunct/>
        <w:topLinePunct w:val="0"/>
        <w:autoSpaceDE/>
        <w:autoSpaceDN/>
        <w:bidi w:val="0"/>
        <w:adjustRightInd/>
        <w:snapToGrid/>
        <w:spacing w:line="360" w:lineRule="auto"/>
        <w:ind w:firstLine="720" w:firstLineChars="3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建设项目拟采取以下措施：</w:t>
      </w:r>
    </w:p>
    <w:p w14:paraId="6CE25C5A">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1</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宜采用节水型饮水设备。</w:t>
      </w:r>
    </w:p>
    <w:p w14:paraId="34EBCD7E">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2</w:t>
      </w:r>
      <w:r>
        <w:rPr>
          <w:rFonts w:hint="eastAsia" w:ascii="Times New Roman" w:hAnsi="Times New Roman" w:eastAsia="宋体" w:cs="Times New Roman"/>
          <w:color w:val="000000"/>
          <w:sz w:val="24"/>
          <w:lang w:eastAsia="zh-CN"/>
        </w:rPr>
        <w:t>）</w:t>
      </w:r>
      <w:r>
        <w:rPr>
          <w:rFonts w:hint="eastAsia" w:cs="Times New Roman"/>
          <w:color w:val="000000"/>
          <w:sz w:val="24"/>
          <w:lang w:val="en-US" w:eastAsia="zh-CN"/>
        </w:rPr>
        <w:t>采用原位发酵床技术，无</w:t>
      </w:r>
      <w:r>
        <w:rPr>
          <w:rFonts w:hint="default" w:ascii="Times New Roman" w:hAnsi="Times New Roman" w:eastAsia="宋体" w:cs="Times New Roman"/>
          <w:color w:val="000000"/>
          <w:sz w:val="24"/>
        </w:rPr>
        <w:t>圈栏冲洗用水。</w:t>
      </w:r>
    </w:p>
    <w:p w14:paraId="7E6BA103">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cs="Times New Roman"/>
          <w:color w:val="000000"/>
          <w:sz w:val="24"/>
          <w:lang w:val="en-US" w:eastAsia="zh-CN"/>
        </w:rPr>
        <w:t>3</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宜采用低蛋白平衡日粮等动物营养调控技术</w:t>
      </w:r>
      <w:r>
        <w:rPr>
          <w:rFonts w:hint="eastAsia" w:eastAsia="宋体" w:cs="Times New Roman"/>
          <w:color w:val="000000"/>
          <w:sz w:val="24"/>
          <w:lang w:eastAsia="zh-CN"/>
        </w:rPr>
        <w:t>，</w:t>
      </w:r>
      <w:r>
        <w:rPr>
          <w:rFonts w:hint="default" w:ascii="Times New Roman" w:hAnsi="Times New Roman" w:eastAsia="宋体" w:cs="Times New Roman"/>
          <w:color w:val="000000"/>
          <w:sz w:val="24"/>
        </w:rPr>
        <w:t>降低粪便中有机物的排放。</w:t>
      </w:r>
    </w:p>
    <w:p w14:paraId="41C95CD7">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cs="Times New Roman"/>
          <w:color w:val="000000"/>
          <w:sz w:val="24"/>
          <w:lang w:val="en-US" w:eastAsia="zh-CN"/>
        </w:rPr>
        <w:t>4</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粪污治理工程的设计、施工、验收和运行维护应符合</w:t>
      </w:r>
      <w:r>
        <w:rPr>
          <w:rFonts w:hint="eastAsia" w:cs="Times New Roman"/>
          <w:color w:val="000000"/>
          <w:sz w:val="24"/>
          <w:lang w:eastAsia="zh-CN"/>
        </w:rPr>
        <w:t>《畜禽养殖业污染治理工程技术规范》（</w:t>
      </w:r>
      <w:r>
        <w:rPr>
          <w:rFonts w:hint="default" w:ascii="Times New Roman" w:hAnsi="Times New Roman" w:eastAsia="宋体" w:cs="Times New Roman"/>
          <w:color w:val="000000"/>
          <w:sz w:val="24"/>
        </w:rPr>
        <w:t>HJ497</w:t>
      </w:r>
      <w:r>
        <w:rPr>
          <w:rFonts w:hint="eastAsia" w:cs="Times New Roman"/>
          <w:color w:val="000000"/>
          <w:sz w:val="24"/>
          <w:lang w:val="en-US" w:eastAsia="zh-CN"/>
        </w:rPr>
        <w:t>-</w:t>
      </w:r>
      <w:r>
        <w:rPr>
          <w:rFonts w:hint="default" w:ascii="Times New Roman" w:hAnsi="Times New Roman" w:eastAsia="宋体" w:cs="Times New Roman"/>
          <w:color w:val="000000"/>
          <w:sz w:val="24"/>
        </w:rPr>
        <w:t>2009</w:t>
      </w:r>
      <w:r>
        <w:rPr>
          <w:rFonts w:hint="eastAsia" w:cs="Times New Roman"/>
          <w:color w:val="000000"/>
          <w:sz w:val="24"/>
          <w:lang w:eastAsia="zh-CN"/>
        </w:rPr>
        <w:t>）</w:t>
      </w:r>
      <w:r>
        <w:rPr>
          <w:rFonts w:hint="default" w:ascii="Times New Roman" w:hAnsi="Times New Roman" w:eastAsia="宋体" w:cs="Times New Roman"/>
          <w:color w:val="000000"/>
          <w:sz w:val="24"/>
        </w:rPr>
        <w:t>的技术要求。</w:t>
      </w:r>
    </w:p>
    <w:p w14:paraId="5EF17B63">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cs="Times New Roman"/>
          <w:color w:val="000000"/>
          <w:sz w:val="24"/>
          <w:lang w:val="en-US" w:eastAsia="zh-CN"/>
        </w:rPr>
        <w:t>5</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 xml:space="preserve">粪污处理和利用应符合《畜禽规模养殖污染防治条例》及 </w:t>
      </w:r>
      <w:r>
        <w:rPr>
          <w:rFonts w:hint="eastAsia" w:cs="Times New Roman"/>
          <w:color w:val="000000"/>
          <w:sz w:val="24"/>
          <w:lang w:eastAsia="zh-CN"/>
        </w:rPr>
        <w:t>《畜禽养殖业污染物排放标准》（</w:t>
      </w:r>
      <w:r>
        <w:rPr>
          <w:rFonts w:hint="default" w:ascii="Times New Roman" w:hAnsi="Times New Roman" w:eastAsia="宋体" w:cs="Times New Roman"/>
          <w:color w:val="000000"/>
          <w:sz w:val="24"/>
        </w:rPr>
        <w:t>GB18596</w:t>
      </w:r>
      <w:r>
        <w:rPr>
          <w:rFonts w:hint="eastAsia" w:cs="Times New Roman"/>
          <w:color w:val="000000"/>
          <w:sz w:val="24"/>
          <w:lang w:val="en-US" w:eastAsia="zh-CN"/>
        </w:rPr>
        <w:t>-2001</w:t>
      </w:r>
      <w:r>
        <w:rPr>
          <w:rFonts w:hint="eastAsia" w:cs="Times New Roman"/>
          <w:color w:val="000000"/>
          <w:sz w:val="24"/>
          <w:lang w:eastAsia="zh-CN"/>
        </w:rPr>
        <w:t>）</w:t>
      </w:r>
      <w:r>
        <w:rPr>
          <w:rFonts w:hint="default" w:ascii="Times New Roman" w:hAnsi="Times New Roman" w:eastAsia="宋体" w:cs="Times New Roman"/>
          <w:color w:val="000000"/>
          <w:sz w:val="24"/>
        </w:rPr>
        <w:t>的规定。</w:t>
      </w:r>
    </w:p>
    <w:p w14:paraId="61EA744D">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cs="Times New Roman"/>
          <w:color w:val="000000"/>
          <w:sz w:val="24"/>
          <w:lang w:val="en-US" w:eastAsia="zh-CN"/>
        </w:rPr>
        <w:t>6</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采用生物方法减少臭气排放</w:t>
      </w:r>
      <w:r>
        <w:rPr>
          <w:rFonts w:hint="eastAsia" w:cs="Times New Roman"/>
          <w:color w:val="000000"/>
          <w:sz w:val="24"/>
          <w:lang w:eastAsia="zh-CN"/>
        </w:rPr>
        <w:t>，</w:t>
      </w:r>
      <w:r>
        <w:rPr>
          <w:rFonts w:hint="default" w:ascii="Times New Roman" w:hAnsi="Times New Roman" w:eastAsia="宋体" w:cs="Times New Roman"/>
          <w:color w:val="000000"/>
          <w:sz w:val="24"/>
        </w:rPr>
        <w:t xml:space="preserve"> 排放浓度应符合</w:t>
      </w:r>
      <w:r>
        <w:rPr>
          <w:rFonts w:hint="eastAsia" w:cs="Times New Roman"/>
          <w:color w:val="000000"/>
          <w:sz w:val="24"/>
          <w:lang w:eastAsia="zh-CN"/>
        </w:rPr>
        <w:t>《畜禽养殖业污染物排放标准》（</w:t>
      </w:r>
      <w:r>
        <w:rPr>
          <w:rFonts w:hint="default" w:ascii="Times New Roman" w:hAnsi="Times New Roman" w:eastAsia="宋体" w:cs="Times New Roman"/>
          <w:color w:val="000000"/>
          <w:sz w:val="24"/>
        </w:rPr>
        <w:t>GB18596</w:t>
      </w:r>
      <w:r>
        <w:rPr>
          <w:rFonts w:hint="eastAsia" w:cs="Times New Roman"/>
          <w:color w:val="000000"/>
          <w:sz w:val="24"/>
          <w:lang w:val="en-US" w:eastAsia="zh-CN"/>
        </w:rPr>
        <w:t>-2001</w:t>
      </w:r>
      <w:r>
        <w:rPr>
          <w:rFonts w:hint="eastAsia" w:cs="Times New Roman"/>
          <w:color w:val="000000"/>
          <w:sz w:val="24"/>
          <w:lang w:eastAsia="zh-CN"/>
        </w:rPr>
        <w:t>）</w:t>
      </w:r>
      <w:r>
        <w:rPr>
          <w:rFonts w:hint="default" w:ascii="Times New Roman" w:hAnsi="Times New Roman" w:eastAsia="宋体" w:cs="Times New Roman"/>
          <w:color w:val="000000"/>
          <w:sz w:val="24"/>
        </w:rPr>
        <w:t>的规定。</w:t>
      </w:r>
    </w:p>
    <w:p w14:paraId="77174FA9">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384" w:name="_Toc15808"/>
      <w:bookmarkStart w:id="385" w:name="_Toc16958"/>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.3.2</w:t>
      </w:r>
      <w:r>
        <w:rPr>
          <w:rFonts w:hint="default" w:ascii="Times New Roman" w:hAnsi="Times New Roman" w:eastAsia="宋体" w:cs="Times New Roman"/>
          <w:b/>
          <w:kern w:val="2"/>
          <w:sz w:val="24"/>
          <w:szCs w:val="24"/>
          <w:lang w:val="en-US" w:eastAsia="zh-CN" w:bidi="ar-SA"/>
        </w:rPr>
        <w:t>评价建议采取的清洁生产措施</w:t>
      </w:r>
      <w:bookmarkEnd w:id="384"/>
      <w:bookmarkEnd w:id="385"/>
    </w:p>
    <w:p w14:paraId="5C9E177F">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建设项目应采取以下措施：</w:t>
      </w:r>
    </w:p>
    <w:p w14:paraId="1604AEAE">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（1）合理配制饲料。准确测定畜禽营养需要量和饲料原料的营养价值，准确地配制出符合不同生产阶段和目的的畜禽饲料，以减少养分的过度供给并降低养分的排泄量，避免对环境造成污染。</w:t>
      </w:r>
    </w:p>
    <w:p w14:paraId="60F013BA">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（2）加强环保型饲料的应用，通过生物活性物质和合成氨基酸的添加来降低畜禽氮和磷的排泄量。</w:t>
      </w:r>
    </w:p>
    <w:p w14:paraId="331CDBB7">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也可以加强生物饲料的应用，生物饲料即微生物饲料是在微生态理论指导下采用已知有益的微生物与饲料混合经发酵、干燥等特殊工艺制成的含活性益生菌的安全、无污染、无残留的优质饲料，是营养丰富、防病促长、治理环境的畜禽</w:t>
      </w:r>
      <w:r>
        <w:rPr>
          <w:rFonts w:hint="eastAsia" w:cs="Times New Roman"/>
          <w:color w:val="000000"/>
          <w:sz w:val="24"/>
          <w:lang w:eastAsia="zh-CN"/>
        </w:rPr>
        <w:t>“</w:t>
      </w:r>
      <w:r>
        <w:rPr>
          <w:rFonts w:hint="default" w:ascii="Times New Roman" w:hAnsi="Times New Roman" w:eastAsia="宋体" w:cs="Times New Roman"/>
          <w:color w:val="000000"/>
          <w:sz w:val="24"/>
        </w:rPr>
        <w:t>绿色食品</w:t>
      </w:r>
      <w:r>
        <w:rPr>
          <w:rFonts w:hint="eastAsia" w:cs="Times New Roman"/>
          <w:color w:val="000000"/>
          <w:sz w:val="24"/>
          <w:lang w:eastAsia="zh-CN"/>
        </w:rPr>
        <w:t>”</w:t>
      </w:r>
      <w:r>
        <w:rPr>
          <w:rFonts w:hint="default" w:ascii="Times New Roman" w:hAnsi="Times New Roman" w:eastAsia="宋体" w:cs="Times New Roman"/>
          <w:color w:val="000000"/>
          <w:sz w:val="24"/>
        </w:rPr>
        <w:t>。</w:t>
      </w:r>
    </w:p>
    <w:p w14:paraId="52589558">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（3）加强畜禽污染的宣传教育，要大力宣传畜禽污染的严重性，</w:t>
      </w:r>
      <w:r>
        <w:rPr>
          <w:rFonts w:hint="eastAsia" w:cs="Times New Roman"/>
          <w:color w:val="000000"/>
          <w:sz w:val="24"/>
          <w:lang w:eastAsia="zh-CN"/>
        </w:rPr>
        <w:t>提升</w:t>
      </w:r>
      <w:r>
        <w:rPr>
          <w:rFonts w:hint="default" w:ascii="Times New Roman" w:hAnsi="Times New Roman" w:eastAsia="宋体" w:cs="Times New Roman"/>
          <w:color w:val="000000"/>
          <w:sz w:val="24"/>
        </w:rPr>
        <w:t>员工的环境意识和管理水平，防止任意排污现象的发生。</w:t>
      </w:r>
    </w:p>
    <w:p w14:paraId="4E6BD155">
      <w:pPr>
        <w:keepNext w:val="0"/>
        <w:keepLines w:val="0"/>
        <w:widowControl w:val="0"/>
        <w:bidi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386" w:name="_Toc457381890"/>
      <w:bookmarkStart w:id="387" w:name="_Toc14496"/>
      <w:bookmarkStart w:id="388" w:name="_Toc457381976"/>
      <w:bookmarkStart w:id="389" w:name="_Toc3139"/>
      <w:bookmarkStart w:id="390" w:name="_Toc13663"/>
      <w:bookmarkStart w:id="391" w:name="_Toc435094464"/>
      <w:bookmarkStart w:id="392" w:name="_Toc473125051"/>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采取改进措施后的清洁生产水平</w:t>
      </w:r>
      <w:bookmarkEnd w:id="386"/>
      <w:bookmarkEnd w:id="387"/>
      <w:bookmarkEnd w:id="388"/>
      <w:bookmarkEnd w:id="389"/>
      <w:bookmarkEnd w:id="390"/>
      <w:bookmarkEnd w:id="391"/>
      <w:bookmarkEnd w:id="392"/>
    </w:p>
    <w:p w14:paraId="32963F4D">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393" w:name="_Toc8212"/>
      <w:bookmarkStart w:id="394" w:name="_Toc12300"/>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.4.1</w:t>
      </w:r>
      <w:r>
        <w:rPr>
          <w:rFonts w:hint="default" w:ascii="Times New Roman" w:hAnsi="Times New Roman" w:eastAsia="宋体" w:cs="Times New Roman"/>
          <w:b/>
          <w:kern w:val="2"/>
          <w:sz w:val="24"/>
          <w:szCs w:val="24"/>
          <w:lang w:val="en-US" w:eastAsia="zh-CN" w:bidi="ar-SA"/>
        </w:rPr>
        <w:t>生产工艺指标</w:t>
      </w:r>
      <w:bookmarkEnd w:id="393"/>
      <w:bookmarkEnd w:id="394"/>
    </w:p>
    <w:p w14:paraId="40B67A90">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（1）选用优良新品种</w:t>
      </w:r>
      <w:r>
        <w:rPr>
          <w:rFonts w:hint="eastAsia" w:ascii="Times New Roman" w:hAnsi="Times New Roman" w:eastAsia="宋体" w:cs="Times New Roman"/>
          <w:color w:val="000000"/>
          <w:sz w:val="24"/>
          <w:lang w:eastAsia="zh-CN"/>
        </w:rPr>
        <w:t>分区、分段饲养，</w:t>
      </w:r>
      <w:r>
        <w:rPr>
          <w:rFonts w:hint="default" w:ascii="Times New Roman" w:hAnsi="Times New Roman" w:eastAsia="宋体" w:cs="Times New Roman"/>
          <w:color w:val="000000"/>
          <w:sz w:val="24"/>
        </w:rPr>
        <w:t>有利于养殖业健康稳定，持续发展。</w:t>
      </w:r>
    </w:p>
    <w:p w14:paraId="213E4C80">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（2）采取适度规模的集约化养殖方式，有利于采用能耗物耗小，污染物排放量少的清洁生产工艺，提高经济效益，提高环境质量。</w:t>
      </w:r>
    </w:p>
    <w:p w14:paraId="346F9C20">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（3）养殖场设施完善，圈舍结构合理，设计和建设时将充分考虑环保的要求，</w:t>
      </w:r>
      <w:r>
        <w:rPr>
          <w:rFonts w:hint="eastAsia" w:cs="Times New Roman"/>
          <w:color w:val="000000"/>
          <w:sz w:val="24"/>
          <w:lang w:val="en-US" w:eastAsia="zh-CN"/>
        </w:rPr>
        <w:t>牛舍、饲喂凉棚少量因管理不善产生的渗滤</w:t>
      </w:r>
      <w:r>
        <w:rPr>
          <w:rFonts w:hint="default" w:ascii="Times New Roman" w:hAnsi="Times New Roman" w:eastAsia="宋体" w:cs="Times New Roman"/>
          <w:color w:val="000000"/>
          <w:sz w:val="24"/>
        </w:rPr>
        <w:t>尿液通过管道收集处理。</w:t>
      </w:r>
    </w:p>
    <w:p w14:paraId="5B34E85F">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w:t>
      </w:r>
      <w:r>
        <w:rPr>
          <w:rFonts w:hint="eastAsia" w:ascii="Times New Roman" w:hAnsi="Times New Roman" w:eastAsia="宋体" w:cs="Times New Roman"/>
          <w:color w:val="000000"/>
          <w:sz w:val="24"/>
          <w:lang w:val="en-US" w:eastAsia="zh-CN"/>
        </w:rPr>
        <w:t>4</w:t>
      </w:r>
      <w:r>
        <w:rPr>
          <w:rFonts w:hint="default" w:ascii="Times New Roman" w:hAnsi="Times New Roman" w:eastAsia="宋体" w:cs="Times New Roman"/>
          <w:color w:val="000000"/>
          <w:sz w:val="24"/>
        </w:rPr>
        <w:t>）坚持农牧结合、种养平衡原则，严格根据土地对</w:t>
      </w:r>
      <w:r>
        <w:rPr>
          <w:rFonts w:hint="eastAsia" w:cs="Times New Roman"/>
          <w:color w:val="000000"/>
          <w:sz w:val="24"/>
          <w:lang w:val="en-US" w:eastAsia="zh-CN"/>
        </w:rPr>
        <w:t>粪污</w:t>
      </w:r>
      <w:r>
        <w:rPr>
          <w:rFonts w:hint="default" w:ascii="Times New Roman" w:hAnsi="Times New Roman" w:eastAsia="宋体" w:cs="Times New Roman"/>
          <w:color w:val="000000"/>
          <w:sz w:val="24"/>
        </w:rPr>
        <w:t>的消纳能力，控制养殖规模，做到污染物零排放，以控制对环境的污染。</w:t>
      </w:r>
    </w:p>
    <w:p w14:paraId="5FA4365C">
      <w:pPr>
        <w:widowControl w:val="0"/>
        <w:bidi w:val="0"/>
        <w:spacing w:line="500" w:lineRule="exact"/>
        <w:jc w:val="both"/>
        <w:outlineLvl w:val="3"/>
        <w:rPr>
          <w:rFonts w:hint="default" w:ascii="Times New Roman" w:hAnsi="Times New Roman" w:eastAsia="宋体" w:cs="Times New Roman"/>
          <w:b/>
          <w:kern w:val="2"/>
          <w:sz w:val="24"/>
          <w:szCs w:val="24"/>
          <w:lang w:val="en-US" w:eastAsia="zh-CN" w:bidi="ar-SA"/>
        </w:rPr>
      </w:pPr>
      <w:bookmarkStart w:id="395" w:name="_Toc15859"/>
      <w:bookmarkStart w:id="396" w:name="_Toc4509"/>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.4.2</w:t>
      </w:r>
      <w:r>
        <w:rPr>
          <w:rFonts w:hint="default" w:ascii="Times New Roman" w:hAnsi="Times New Roman" w:eastAsia="宋体" w:cs="Times New Roman"/>
          <w:b/>
          <w:kern w:val="2"/>
          <w:sz w:val="24"/>
          <w:szCs w:val="24"/>
          <w:lang w:val="en-US" w:eastAsia="zh-CN" w:bidi="ar-SA"/>
        </w:rPr>
        <w:t>资源能源消耗指标</w:t>
      </w:r>
      <w:bookmarkEnd w:id="395"/>
      <w:bookmarkEnd w:id="396"/>
    </w:p>
    <w:p w14:paraId="7D0A75B3">
      <w:pPr>
        <w:pageBreakBefore w:val="0"/>
        <w:tabs>
          <w:tab w:val="left" w:pos="1264"/>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综上所述，本项目选用的生产工艺、设备、能源、污染物的处理方式等均可达到减污降耗的目的，均处于国内先进水平，所以本项目的清洁生产水平属于国内先进水平。</w:t>
      </w:r>
    </w:p>
    <w:p w14:paraId="51E08B61">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kern w:val="2"/>
          <w:sz w:val="28"/>
          <w:szCs w:val="28"/>
          <w:lang w:val="en-US" w:eastAsia="zh-CN" w:bidi="ar-SA"/>
        </w:rPr>
      </w:pPr>
      <w:bookmarkStart w:id="397" w:name="_Toc2957"/>
      <w:bookmarkStart w:id="398" w:name="_Toc21902"/>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.5</w:t>
      </w:r>
      <w:r>
        <w:rPr>
          <w:rFonts w:hint="default" w:ascii="Times New Roman" w:hAnsi="Times New Roman" w:eastAsia="宋体" w:cs="Times New Roman"/>
          <w:b/>
          <w:bCs/>
          <w:kern w:val="2"/>
          <w:sz w:val="28"/>
          <w:szCs w:val="28"/>
          <w:lang w:val="en-US" w:eastAsia="zh-CN" w:bidi="ar-SA"/>
        </w:rPr>
        <w:t>废物回收利用指标</w:t>
      </w:r>
      <w:bookmarkEnd w:id="397"/>
      <w:bookmarkEnd w:id="398"/>
    </w:p>
    <w:p w14:paraId="3FDC336A">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本项目产生的废水主要是</w:t>
      </w:r>
      <w:r>
        <w:rPr>
          <w:rFonts w:hint="eastAsia" w:eastAsia="宋体" w:cs="Times New Roman"/>
          <w:color w:val="000000"/>
          <w:sz w:val="24"/>
          <w:lang w:val="en-US" w:eastAsia="zh-CN"/>
        </w:rPr>
        <w:t>牛尿</w:t>
      </w:r>
      <w:r>
        <w:rPr>
          <w:rFonts w:hint="default" w:ascii="Times New Roman" w:hAnsi="Times New Roman" w:eastAsia="宋体" w:cs="Times New Roman"/>
          <w:color w:val="000000"/>
          <w:sz w:val="24"/>
        </w:rPr>
        <w:t>和职工生活污水，</w:t>
      </w:r>
      <w:r>
        <w:rPr>
          <w:rFonts w:hint="eastAsia" w:cs="Times New Roman"/>
          <w:color w:val="000000"/>
          <w:sz w:val="24"/>
          <w:lang w:val="en-US" w:eastAsia="zh-CN"/>
        </w:rPr>
        <w:t>生活污水经化粪池收集定期拉运至污水处理厂处置，</w:t>
      </w:r>
      <w:r>
        <w:rPr>
          <w:rFonts w:hint="eastAsia" w:eastAsia="宋体" w:cs="Times New Roman"/>
          <w:color w:val="000000"/>
          <w:sz w:val="24"/>
          <w:lang w:val="en-US" w:eastAsia="zh-CN"/>
        </w:rPr>
        <w:t>牛尿</w:t>
      </w:r>
      <w:r>
        <w:rPr>
          <w:rFonts w:hint="eastAsia" w:cs="Times New Roman"/>
          <w:color w:val="000000"/>
          <w:sz w:val="24"/>
          <w:lang w:val="en-US" w:eastAsia="zh-CN"/>
        </w:rPr>
        <w:t>与牛粪一同</w:t>
      </w:r>
      <w:r>
        <w:rPr>
          <w:rFonts w:hint="default" w:ascii="Times New Roman" w:hAnsi="Times New Roman" w:eastAsia="宋体" w:cs="Times New Roman"/>
          <w:color w:val="000000"/>
          <w:sz w:val="24"/>
        </w:rPr>
        <w:t>进入</w:t>
      </w:r>
      <w:r>
        <w:rPr>
          <w:rFonts w:hint="eastAsia" w:cs="Times New Roman"/>
          <w:color w:val="000000"/>
          <w:sz w:val="24"/>
          <w:lang w:val="en-US" w:eastAsia="zh-CN"/>
        </w:rPr>
        <w:t>原位发酵床经</w:t>
      </w:r>
      <w:r>
        <w:rPr>
          <w:rFonts w:hint="default" w:ascii="Times New Roman" w:hAnsi="Times New Roman" w:eastAsia="宋体" w:cs="Times New Roman"/>
          <w:color w:val="000000"/>
          <w:sz w:val="24"/>
        </w:rPr>
        <w:t>发酵处理后</w:t>
      </w:r>
      <w:r>
        <w:rPr>
          <w:rFonts w:hint="eastAsia" w:cs="Times New Roman"/>
          <w:color w:val="000000"/>
          <w:sz w:val="24"/>
          <w:lang w:val="en-US" w:eastAsia="zh-CN"/>
        </w:rPr>
        <w:t>每年还田期在堆肥间翻抛后</w:t>
      </w:r>
      <w:r>
        <w:rPr>
          <w:rFonts w:hint="eastAsia" w:eastAsia="宋体" w:cs="Times New Roman"/>
          <w:color w:val="000000"/>
          <w:sz w:val="24"/>
          <w:lang w:val="en-US" w:eastAsia="zh-CN"/>
        </w:rPr>
        <w:t>还田于</w:t>
      </w:r>
      <w:r>
        <w:rPr>
          <w:rFonts w:hint="eastAsia" w:cs="Times New Roman"/>
          <w:color w:val="000000"/>
          <w:sz w:val="24"/>
          <w:lang w:val="en-US" w:eastAsia="zh-CN"/>
        </w:rPr>
        <w:t>本项目周边农田</w:t>
      </w:r>
      <w:r>
        <w:rPr>
          <w:rFonts w:hint="default" w:ascii="Times New Roman" w:hAnsi="Times New Roman" w:eastAsia="宋体" w:cs="Times New Roman"/>
          <w:color w:val="000000"/>
          <w:sz w:val="24"/>
        </w:rPr>
        <w:t>。</w:t>
      </w:r>
      <w:r>
        <w:rPr>
          <w:rFonts w:hint="eastAsia" w:cs="Times New Roman"/>
          <w:color w:val="000000"/>
          <w:sz w:val="24"/>
          <w:lang w:val="en-US" w:eastAsia="zh-CN"/>
        </w:rPr>
        <w:t>养殖区</w:t>
      </w:r>
      <w:r>
        <w:rPr>
          <w:rFonts w:hint="default" w:ascii="Times New Roman" w:hAnsi="Times New Roman" w:eastAsia="宋体" w:cs="Times New Roman"/>
          <w:color w:val="000000"/>
          <w:sz w:val="24"/>
        </w:rPr>
        <w:t>固体废弃物主要是</w:t>
      </w:r>
      <w:r>
        <w:rPr>
          <w:rFonts w:hint="eastAsia" w:eastAsia="宋体" w:cs="Times New Roman"/>
          <w:color w:val="000000"/>
          <w:sz w:val="24"/>
          <w:lang w:val="en-US" w:eastAsia="zh-CN"/>
        </w:rPr>
        <w:t>牛粪及废发酵</w:t>
      </w:r>
      <w:r>
        <w:rPr>
          <w:rFonts w:hint="eastAsia" w:cs="Times New Roman"/>
          <w:color w:val="000000"/>
          <w:sz w:val="24"/>
          <w:lang w:val="en-US" w:eastAsia="zh-CN"/>
        </w:rPr>
        <w:t>垫料</w:t>
      </w:r>
      <w:r>
        <w:rPr>
          <w:rFonts w:hint="default" w:ascii="Times New Roman" w:hAnsi="Times New Roman" w:eastAsia="宋体" w:cs="Times New Roman"/>
          <w:color w:val="000000"/>
          <w:sz w:val="24"/>
        </w:rPr>
        <w:t>、病死</w:t>
      </w:r>
      <w:r>
        <w:rPr>
          <w:rFonts w:hint="eastAsia" w:eastAsia="宋体" w:cs="Times New Roman"/>
          <w:color w:val="000000"/>
          <w:sz w:val="24"/>
          <w:lang w:val="en-US" w:eastAsia="zh-CN"/>
        </w:rPr>
        <w:t>牛</w:t>
      </w:r>
      <w:r>
        <w:rPr>
          <w:rFonts w:hint="eastAsia" w:cs="Times New Roman"/>
          <w:color w:val="000000"/>
          <w:sz w:val="24"/>
          <w:lang w:val="en-US" w:eastAsia="zh-CN"/>
        </w:rPr>
        <w:t>、废包装材料</w:t>
      </w:r>
      <w:r>
        <w:rPr>
          <w:rFonts w:hint="eastAsia" w:eastAsia="宋体" w:cs="Times New Roman"/>
          <w:color w:val="000000"/>
          <w:sz w:val="24"/>
          <w:lang w:val="en-US" w:eastAsia="zh-CN"/>
        </w:rPr>
        <w:t>、医疗</w:t>
      </w:r>
      <w:r>
        <w:rPr>
          <w:rFonts w:hint="eastAsia" w:ascii="Times New Roman" w:hAnsi="Times New Roman" w:eastAsia="宋体" w:cs="Times New Roman"/>
          <w:color w:val="000000"/>
          <w:sz w:val="24"/>
          <w:lang w:val="en-US" w:eastAsia="zh-CN"/>
        </w:rPr>
        <w:t>废物</w:t>
      </w:r>
      <w:r>
        <w:rPr>
          <w:rFonts w:hint="default" w:ascii="Times New Roman" w:hAnsi="Times New Roman" w:eastAsia="宋体" w:cs="Times New Roman"/>
          <w:color w:val="000000"/>
          <w:sz w:val="24"/>
        </w:rPr>
        <w:t>，</w:t>
      </w:r>
      <w:r>
        <w:rPr>
          <w:rFonts w:hint="eastAsia" w:eastAsia="宋体" w:cs="Times New Roman"/>
          <w:color w:val="000000"/>
          <w:sz w:val="24"/>
          <w:lang w:val="en-US" w:eastAsia="zh-CN"/>
        </w:rPr>
        <w:t>牛粪及废发酵</w:t>
      </w:r>
      <w:r>
        <w:rPr>
          <w:rFonts w:hint="eastAsia" w:cs="Times New Roman"/>
          <w:color w:val="000000"/>
          <w:sz w:val="24"/>
          <w:lang w:val="en-US" w:eastAsia="zh-CN"/>
        </w:rPr>
        <w:t>垫料经发酵后还田</w:t>
      </w:r>
      <w:r>
        <w:rPr>
          <w:rFonts w:hint="default" w:ascii="Times New Roman" w:hAnsi="Times New Roman" w:eastAsia="宋体" w:cs="Times New Roman"/>
          <w:color w:val="000000"/>
          <w:sz w:val="24"/>
        </w:rPr>
        <w:t>，病死</w:t>
      </w:r>
      <w:r>
        <w:rPr>
          <w:rFonts w:hint="eastAsia" w:eastAsia="宋体" w:cs="Times New Roman"/>
          <w:color w:val="000000"/>
          <w:sz w:val="24"/>
          <w:lang w:val="en-US" w:eastAsia="zh-CN"/>
        </w:rPr>
        <w:t>牛</w:t>
      </w:r>
      <w:r>
        <w:rPr>
          <w:rFonts w:hint="eastAsia" w:cs="Times New Roman"/>
          <w:color w:val="000000"/>
          <w:sz w:val="24"/>
          <w:lang w:val="en-US" w:eastAsia="zh-CN"/>
        </w:rPr>
        <w:t>委托病死畜禽无害化处理单位配套的病死畜禽专用运输车辆运输至病死畜禽无害化处置单位内进行无害化处置，一般工业固废废包装材料定期外售回收单位综合利用，危险废物废包装材料暂存于本项目建设的危险废物贮存点内定期委托有资质单位运输处置</w:t>
      </w:r>
      <w:r>
        <w:rPr>
          <w:rFonts w:hint="default" w:ascii="Times New Roman" w:hAnsi="Times New Roman" w:eastAsia="宋体" w:cs="Times New Roman"/>
          <w:color w:val="000000"/>
          <w:sz w:val="24"/>
        </w:rPr>
        <w:t>，兽用医疗</w:t>
      </w:r>
      <w:r>
        <w:rPr>
          <w:rFonts w:hint="eastAsia" w:cs="Times New Roman"/>
          <w:color w:val="000000"/>
          <w:sz w:val="24"/>
          <w:lang w:val="en-US" w:eastAsia="zh-CN"/>
        </w:rPr>
        <w:t>废物</w:t>
      </w:r>
      <w:r>
        <w:rPr>
          <w:rFonts w:hint="eastAsia" w:ascii="Times New Roman" w:hAnsi="Times New Roman" w:eastAsia="宋体" w:cs="Times New Roman"/>
          <w:color w:val="000000"/>
          <w:sz w:val="24"/>
          <w:lang w:val="en-US" w:eastAsia="zh-CN"/>
        </w:rPr>
        <w:t>暂存于</w:t>
      </w:r>
      <w:r>
        <w:rPr>
          <w:rFonts w:hint="eastAsia" w:cs="Times New Roman"/>
          <w:color w:val="000000"/>
          <w:sz w:val="24"/>
          <w:lang w:val="en-US" w:eastAsia="zh-CN"/>
        </w:rPr>
        <w:t>建设的</w:t>
      </w:r>
      <w:r>
        <w:rPr>
          <w:rFonts w:hint="eastAsia" w:ascii="Times New Roman" w:hAnsi="Times New Roman" w:eastAsia="宋体" w:cs="Times New Roman"/>
          <w:color w:val="000000"/>
          <w:sz w:val="24"/>
          <w:lang w:val="en-US" w:eastAsia="zh-CN"/>
        </w:rPr>
        <w:t>医疗废物暂存间后</w:t>
      </w:r>
      <w:r>
        <w:rPr>
          <w:rFonts w:hint="eastAsia" w:cs="Times New Roman"/>
          <w:color w:val="000000"/>
          <w:sz w:val="24"/>
          <w:lang w:val="en-US" w:eastAsia="zh-CN"/>
        </w:rPr>
        <w:t>定期委托</w:t>
      </w:r>
      <w:r>
        <w:rPr>
          <w:rFonts w:hint="default" w:ascii="Times New Roman" w:hAnsi="Times New Roman" w:eastAsia="宋体" w:cs="Times New Roman"/>
          <w:color w:val="000000"/>
          <w:sz w:val="24"/>
        </w:rPr>
        <w:t>有资质单位</w:t>
      </w:r>
      <w:r>
        <w:rPr>
          <w:rFonts w:hint="eastAsia" w:cs="Times New Roman"/>
          <w:color w:val="000000"/>
          <w:sz w:val="24"/>
          <w:lang w:val="en-US" w:eastAsia="zh-CN"/>
        </w:rPr>
        <w:t>运输</w:t>
      </w:r>
      <w:r>
        <w:rPr>
          <w:rFonts w:hint="default" w:ascii="Times New Roman" w:hAnsi="Times New Roman" w:eastAsia="宋体" w:cs="Times New Roman"/>
          <w:color w:val="000000"/>
          <w:sz w:val="24"/>
        </w:rPr>
        <w:t>处置。</w:t>
      </w:r>
      <w:r>
        <w:rPr>
          <w:rFonts w:hint="eastAsia" w:cs="Times New Roman"/>
          <w:color w:val="000000"/>
          <w:sz w:val="24"/>
          <w:lang w:val="en-US" w:eastAsia="zh-CN"/>
        </w:rPr>
        <w:t>堆肥间固体废物主要是除尘灰、废布袋、废填料，其中除尘灰回用于堆肥工段，废布袋原厂回收，废填料外售回收单位综合利用。饲料加工区固体废物主要是除尘灰、废布袋，其中除尘灰回用于饲料加工工段，废布袋原厂回收。生活垃圾定期委托环卫部门清运，做到</w:t>
      </w:r>
      <w:r>
        <w:rPr>
          <w:rFonts w:hint="default" w:ascii="Times New Roman" w:hAnsi="Times New Roman" w:eastAsia="宋体" w:cs="Times New Roman"/>
          <w:color w:val="000000"/>
          <w:sz w:val="24"/>
        </w:rPr>
        <w:t>废物综合利用，不仅可以实现废物资源化，同时减少污染物的排放量，具有显著的经济效益和环境效益。</w:t>
      </w:r>
    </w:p>
    <w:p w14:paraId="63325BF0">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2"/>
        <w:rPr>
          <w:rFonts w:hint="default" w:ascii="Times New Roman" w:hAnsi="Times New Roman" w:eastAsia="宋体" w:cs="Times New Roman"/>
          <w:b/>
          <w:bCs/>
          <w:kern w:val="2"/>
          <w:sz w:val="28"/>
          <w:szCs w:val="28"/>
          <w:lang w:val="en-US" w:eastAsia="zh-CN" w:bidi="ar-SA"/>
        </w:rPr>
      </w:pPr>
      <w:bookmarkStart w:id="399" w:name="_Toc21389"/>
      <w:bookmarkStart w:id="400" w:name="_Toc30585"/>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.6</w:t>
      </w:r>
      <w:r>
        <w:rPr>
          <w:rFonts w:hint="default" w:ascii="Times New Roman" w:hAnsi="Times New Roman" w:eastAsia="宋体" w:cs="Times New Roman"/>
          <w:b/>
          <w:bCs/>
          <w:kern w:val="2"/>
          <w:sz w:val="28"/>
          <w:szCs w:val="28"/>
          <w:lang w:val="en-US" w:eastAsia="zh-CN" w:bidi="ar-SA"/>
        </w:rPr>
        <w:t>管理指标</w:t>
      </w:r>
      <w:bookmarkEnd w:id="399"/>
      <w:bookmarkEnd w:id="400"/>
    </w:p>
    <w:p w14:paraId="69EF3F94">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环评要求本项目实施后要建立健全生产管理、环保、技术管理制度，并进行清洁生产审核，找出差距及时改进。综上所述，在严格落实各项清洁生产措施后本项目清洁生产水平基本可以达到国内先进水平。</w:t>
      </w:r>
    </w:p>
    <w:p w14:paraId="7AB338E8">
      <w:pPr>
        <w:keepNext w:val="0"/>
        <w:keepLines w:val="0"/>
        <w:widowControl w:val="0"/>
        <w:bidi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401" w:name="_Toc26870"/>
      <w:bookmarkStart w:id="402" w:name="_Toc435094465"/>
      <w:bookmarkStart w:id="403" w:name="_Toc457381891"/>
      <w:bookmarkStart w:id="404" w:name="_Toc473125052"/>
      <w:bookmarkStart w:id="405" w:name="_Toc13785"/>
      <w:bookmarkStart w:id="406" w:name="_Toc457381977"/>
      <w:bookmarkStart w:id="407" w:name="_Toc4465"/>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.7</w:t>
      </w:r>
      <w:r>
        <w:rPr>
          <w:rFonts w:hint="default" w:ascii="Times New Roman" w:hAnsi="Times New Roman" w:eastAsia="宋体" w:cs="Times New Roman"/>
          <w:b/>
          <w:bCs/>
          <w:kern w:val="2"/>
          <w:sz w:val="28"/>
          <w:szCs w:val="28"/>
          <w:lang w:val="en-US" w:eastAsia="zh-CN" w:bidi="ar-SA"/>
        </w:rPr>
        <w:t>持续清洁生产措施</w:t>
      </w:r>
      <w:bookmarkEnd w:id="401"/>
      <w:bookmarkEnd w:id="402"/>
      <w:bookmarkEnd w:id="403"/>
      <w:bookmarkEnd w:id="404"/>
      <w:bookmarkEnd w:id="405"/>
      <w:bookmarkEnd w:id="406"/>
      <w:bookmarkEnd w:id="407"/>
    </w:p>
    <w:p w14:paraId="27163861">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408" w:name="_Toc14842"/>
      <w:bookmarkStart w:id="409" w:name="_Toc10643"/>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.7.1</w:t>
      </w:r>
      <w:r>
        <w:rPr>
          <w:rFonts w:hint="default" w:ascii="Times New Roman" w:hAnsi="Times New Roman" w:eastAsia="宋体" w:cs="Times New Roman"/>
          <w:b/>
          <w:kern w:val="2"/>
          <w:sz w:val="24"/>
          <w:szCs w:val="24"/>
          <w:lang w:val="en-US" w:eastAsia="zh-CN" w:bidi="ar-SA"/>
        </w:rPr>
        <w:t>持续清洁生产的必要性</w:t>
      </w:r>
      <w:bookmarkEnd w:id="408"/>
      <w:bookmarkEnd w:id="409"/>
    </w:p>
    <w:p w14:paraId="463DA652">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1、为了最大</w:t>
      </w:r>
      <w:r>
        <w:rPr>
          <w:rFonts w:hint="eastAsia" w:cs="Times New Roman"/>
          <w:color w:val="000000"/>
          <w:sz w:val="24"/>
          <w:lang w:eastAsia="zh-CN"/>
        </w:rPr>
        <w:t>地</w:t>
      </w:r>
      <w:r>
        <w:rPr>
          <w:rFonts w:hint="default" w:ascii="Times New Roman" w:hAnsi="Times New Roman" w:eastAsia="宋体" w:cs="Times New Roman"/>
          <w:color w:val="000000"/>
          <w:sz w:val="24"/>
        </w:rPr>
        <w:t>节约能源，减少污染物的排放量，企业应有专人负责清洁生产的管理，按《工业企业清洁生产手册》上的程序开展清洁生产审核工作。</w:t>
      </w:r>
    </w:p>
    <w:p w14:paraId="0C8008A4">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2、根据企业的生产工艺，制定清洁生产方案，对于企业目前的经济、技术不能实现的方案，企业应随着经济的发展，加强技术改造，予以实施。</w:t>
      </w:r>
    </w:p>
    <w:p w14:paraId="43DFD5ED">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3、企业在发展过程中会不断出现新的问题，清洁生产是一个不间断的过程，针对企业不同的发展阶段，出现的新问题都能发现解决，不断减少资源能源的消耗、废物的排放量，进一步提高清洁生产水平。</w:t>
      </w:r>
    </w:p>
    <w:p w14:paraId="3D114F62">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410" w:name="_Toc16257"/>
      <w:bookmarkStart w:id="411" w:name="_Toc24243"/>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.7.2</w:t>
      </w:r>
      <w:r>
        <w:rPr>
          <w:rFonts w:hint="default" w:ascii="Times New Roman" w:hAnsi="Times New Roman" w:eastAsia="宋体" w:cs="Times New Roman"/>
          <w:b/>
          <w:kern w:val="2"/>
          <w:sz w:val="24"/>
          <w:szCs w:val="24"/>
          <w:lang w:val="en-US" w:eastAsia="zh-CN" w:bidi="ar-SA"/>
        </w:rPr>
        <w:t>建立和完善清洁生产组织</w:t>
      </w:r>
      <w:bookmarkEnd w:id="410"/>
      <w:bookmarkEnd w:id="411"/>
    </w:p>
    <w:p w14:paraId="0DB275E4">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清洁生产是一个动态的相对的概念，是一个连续的过程，因而需有一个固定的机构、稳定的工作人员来组织和协调这方面的工作，建立清洁生产实施的长效机制，以巩固已取得的清洁生产成果，并使清洁生产工作持续地开展下去。</w:t>
      </w:r>
    </w:p>
    <w:p w14:paraId="2C94B331">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建议企业应单独建立清洁生产办公室直接归属总经理领导，且需要专人负责，并须具备以下工作能力：熟练掌握清洁生产审计知识、熟悉企业的环保情况、了解企业的生产和技术情况、具有较强的工作协调能力及较强的工作责任心和敬业精神。</w:t>
      </w:r>
    </w:p>
    <w:p w14:paraId="712DB114">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清洁生产办公室的任务有以下几个方面：</w:t>
      </w:r>
    </w:p>
    <w:p w14:paraId="1957AB5A">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1</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组织协调并监督实施清洁生产审计提出的生产方案；</w:t>
      </w:r>
    </w:p>
    <w:p w14:paraId="65D126FC">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2</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经常性地组织对企业职工的清洁生产教育和培训；</w:t>
      </w:r>
    </w:p>
    <w:p w14:paraId="348BFBA5">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3</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负责清洁生产活动的日常管理。</w:t>
      </w:r>
    </w:p>
    <w:p w14:paraId="2C1FB1D6">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412" w:name="_Toc29034"/>
      <w:bookmarkStart w:id="413" w:name="_Toc1702"/>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.7.3</w:t>
      </w:r>
      <w:r>
        <w:rPr>
          <w:rFonts w:hint="default" w:ascii="Times New Roman" w:hAnsi="Times New Roman" w:eastAsia="宋体" w:cs="Times New Roman"/>
          <w:b/>
          <w:kern w:val="2"/>
          <w:sz w:val="24"/>
          <w:szCs w:val="24"/>
          <w:lang w:val="en-US" w:eastAsia="zh-CN" w:bidi="ar-SA"/>
        </w:rPr>
        <w:t>建立和完善清洁生产管理制度</w:t>
      </w:r>
      <w:bookmarkEnd w:id="412"/>
      <w:bookmarkEnd w:id="413"/>
    </w:p>
    <w:p w14:paraId="3EED07A1">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清洁生产管理制度包括把清洁生产纳入企业的日常管理轨道，建立激励机制和保证稳定的清洁生产资金来源。把清洁生产纳入企业的日常管理轨道，是巩固清洁生产成效，防止走过场的重要手段，特别是要把方案中提出的一些无/低费方案及时纳入企业的日常管理轨道。把清洁生产分析提出的加强管理的措施文件化，形成制度；把清洁生产分析提出的岗位操作改进措施，写入岗位的操作规程，并要求严格遵照执行。把清洁生产分析提出的工艺过程控制的改进措施，写入企业的技术规范。</w:t>
      </w:r>
    </w:p>
    <w:p w14:paraId="4EBF23DE">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建立和完善清洁生产奖惩机制：在奖惩方面，充分与清洁生产挂钩，建立清洁生产奖惩激励机制，以调动全体职工参与清洁生产的积极性。</w:t>
      </w:r>
    </w:p>
    <w:p w14:paraId="790DC05A">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保证稳定的清洁生产资金来源：清洁生产资金来源可以有多种渠道，例如贷款、集资等，但是清洁生产管理制度的一</w:t>
      </w:r>
      <w:r>
        <w:rPr>
          <w:rFonts w:hint="eastAsia" w:cs="Times New Roman"/>
          <w:color w:val="000000"/>
          <w:sz w:val="24"/>
          <w:lang w:eastAsia="zh-CN"/>
        </w:rPr>
        <w:t>个</w:t>
      </w:r>
      <w:r>
        <w:rPr>
          <w:rFonts w:hint="default" w:ascii="Times New Roman" w:hAnsi="Times New Roman" w:eastAsia="宋体" w:cs="Times New Roman"/>
          <w:color w:val="000000"/>
          <w:sz w:val="24"/>
        </w:rPr>
        <w:t>重要作用是保证实施清洁生产所产生的经济效益，全部或部分</w:t>
      </w:r>
      <w:r>
        <w:rPr>
          <w:rFonts w:hint="eastAsia" w:cs="Times New Roman"/>
          <w:color w:val="000000"/>
          <w:sz w:val="24"/>
          <w:lang w:eastAsia="zh-CN"/>
        </w:rPr>
        <w:t>地</w:t>
      </w:r>
      <w:r>
        <w:rPr>
          <w:rFonts w:hint="default" w:ascii="Times New Roman" w:hAnsi="Times New Roman" w:eastAsia="宋体" w:cs="Times New Roman"/>
          <w:color w:val="000000"/>
          <w:sz w:val="24"/>
        </w:rPr>
        <w:t>用于持续清洁生产工作，以持续滚动地推进清洁生产。</w:t>
      </w:r>
    </w:p>
    <w:p w14:paraId="6D801CF7">
      <w:pPr>
        <w:keepNext w:val="0"/>
        <w:keepLines w:val="0"/>
        <w:widowControl w:val="0"/>
        <w:bidi w:val="0"/>
        <w:spacing w:before="0" w:after="0" w:line="500" w:lineRule="exact"/>
        <w:jc w:val="both"/>
        <w:outlineLvl w:val="2"/>
        <w:rPr>
          <w:rFonts w:hint="default" w:ascii="Times New Roman" w:hAnsi="Times New Roman" w:eastAsia="宋体" w:cs="Times New Roman"/>
          <w:b/>
          <w:bCs/>
          <w:kern w:val="2"/>
          <w:sz w:val="28"/>
          <w:szCs w:val="28"/>
          <w:lang w:val="en-US" w:eastAsia="zh-CN" w:bidi="ar-SA"/>
        </w:rPr>
      </w:pPr>
      <w:bookmarkStart w:id="414" w:name="_Toc5251"/>
      <w:bookmarkStart w:id="415" w:name="_Toc473125053"/>
      <w:bookmarkStart w:id="416" w:name="_Toc457381892"/>
      <w:bookmarkStart w:id="417" w:name="_Toc4133"/>
      <w:bookmarkStart w:id="418" w:name="_Toc457381978"/>
      <w:bookmarkStart w:id="419" w:name="_Toc24886"/>
      <w:bookmarkStart w:id="420" w:name="_Toc435094466"/>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.8</w:t>
      </w:r>
      <w:r>
        <w:rPr>
          <w:rFonts w:hint="default" w:ascii="Times New Roman" w:hAnsi="Times New Roman" w:eastAsia="宋体" w:cs="Times New Roman"/>
          <w:b/>
          <w:bCs/>
          <w:kern w:val="2"/>
          <w:sz w:val="28"/>
          <w:szCs w:val="28"/>
          <w:lang w:val="en-US" w:eastAsia="zh-CN" w:bidi="ar-SA"/>
        </w:rPr>
        <w:t>清洁生产建议</w:t>
      </w:r>
      <w:bookmarkEnd w:id="414"/>
      <w:bookmarkEnd w:id="415"/>
      <w:bookmarkEnd w:id="416"/>
      <w:bookmarkEnd w:id="417"/>
      <w:bookmarkEnd w:id="418"/>
      <w:bookmarkEnd w:id="419"/>
      <w:bookmarkEnd w:id="420"/>
    </w:p>
    <w:p w14:paraId="477CB3EB">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根据项目实际情况和在清洁生产方面实际存在的差距，对本项目实施清洁工艺技术的重点建议如下：</w:t>
      </w:r>
    </w:p>
    <w:p w14:paraId="2E63EDBB">
      <w:pPr>
        <w:widowControl w:val="0"/>
        <w:bidi w:val="0"/>
        <w:spacing w:line="360" w:lineRule="auto"/>
        <w:jc w:val="both"/>
        <w:outlineLvl w:val="3"/>
        <w:rPr>
          <w:rFonts w:hint="default" w:ascii="Times New Roman" w:hAnsi="Times New Roman" w:eastAsia="宋体" w:cs="Times New Roman"/>
          <w:b/>
          <w:kern w:val="2"/>
          <w:sz w:val="21"/>
          <w:szCs w:val="24"/>
          <w:lang w:val="en-US" w:eastAsia="zh-CN" w:bidi="ar-SA"/>
        </w:rPr>
      </w:pPr>
      <w:bookmarkStart w:id="421" w:name="_Toc25743"/>
      <w:bookmarkStart w:id="422" w:name="_Toc1261"/>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.8.1</w:t>
      </w:r>
      <w:r>
        <w:rPr>
          <w:rFonts w:hint="default" w:ascii="Times New Roman" w:hAnsi="Times New Roman" w:eastAsia="宋体" w:cs="Times New Roman"/>
          <w:b/>
          <w:kern w:val="2"/>
          <w:sz w:val="24"/>
          <w:szCs w:val="24"/>
          <w:lang w:val="en-US" w:eastAsia="zh-CN" w:bidi="ar-SA"/>
        </w:rPr>
        <w:t>使用环保型精饲料</w:t>
      </w:r>
      <w:bookmarkEnd w:id="421"/>
      <w:bookmarkEnd w:id="422"/>
    </w:p>
    <w:p w14:paraId="422CBDC8">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饲料是导致畜禽粪尿污染的根源，从畜禽养殖污染的源头控制入手，使用各阶段平衡饲料，提高养分消化率，降低粪便中氮、磷和金属元素的排放量。</w:t>
      </w:r>
    </w:p>
    <w:p w14:paraId="74FCE7EA">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一是在日粮设计中采取低蛋白，高赖氨酸的饲料，系统总结了</w:t>
      </w:r>
      <w:r>
        <w:rPr>
          <w:rFonts w:hint="eastAsia" w:eastAsia="宋体" w:cs="Times New Roman"/>
          <w:color w:val="000000"/>
          <w:sz w:val="24"/>
          <w:lang w:val="en-US" w:eastAsia="zh-CN"/>
        </w:rPr>
        <w:t>肉牛</w:t>
      </w:r>
      <w:r>
        <w:rPr>
          <w:rFonts w:hint="default" w:ascii="Times New Roman" w:hAnsi="Times New Roman" w:eastAsia="宋体" w:cs="Times New Roman"/>
          <w:color w:val="000000"/>
          <w:sz w:val="24"/>
        </w:rPr>
        <w:t>饲养各阶段饲料配方，使日粮中蛋白质的氨基酸比例合适，减少氨的排泄量和对环境的污染；</w:t>
      </w:r>
    </w:p>
    <w:p w14:paraId="140633C2">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二是应用酶制剂、吸附剂等新型饲料添加剂开发的环保型饲料，提高了饲料利用率，降低了粪尿中氮磷和重金属的含量。在日粮中降低粗蛋白，添加蛋白酶和植酸酶、沸石后，补充氨基酸，对</w:t>
      </w:r>
      <w:r>
        <w:rPr>
          <w:rFonts w:hint="eastAsia" w:eastAsia="宋体" w:cs="Times New Roman"/>
          <w:color w:val="000000"/>
          <w:sz w:val="24"/>
          <w:lang w:val="en-US" w:eastAsia="zh-CN"/>
        </w:rPr>
        <w:t>牛</w:t>
      </w:r>
      <w:r>
        <w:rPr>
          <w:rFonts w:hint="default" w:ascii="Times New Roman" w:hAnsi="Times New Roman" w:eastAsia="宋体" w:cs="Times New Roman"/>
          <w:color w:val="000000"/>
          <w:sz w:val="24"/>
        </w:rPr>
        <w:t>的试验表明，粪便氮的排泄量减少20.87%，粪便磷的排泄量减少17.04%。</w:t>
      </w:r>
    </w:p>
    <w:p w14:paraId="6B823C20">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423" w:name="_Toc30159"/>
      <w:bookmarkStart w:id="424" w:name="_Toc23037"/>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.8.2</w:t>
      </w:r>
      <w:r>
        <w:rPr>
          <w:rFonts w:hint="default" w:ascii="Times New Roman" w:hAnsi="Times New Roman" w:eastAsia="宋体" w:cs="Times New Roman"/>
          <w:b/>
          <w:kern w:val="2"/>
          <w:sz w:val="24"/>
          <w:szCs w:val="24"/>
          <w:lang w:val="en-US" w:eastAsia="zh-CN" w:bidi="ar-SA"/>
        </w:rPr>
        <w:t>节水</w:t>
      </w:r>
      <w:bookmarkEnd w:id="423"/>
      <w:bookmarkEnd w:id="424"/>
    </w:p>
    <w:p w14:paraId="2E12F2B0">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（1）在</w:t>
      </w:r>
      <w:r>
        <w:rPr>
          <w:rFonts w:hint="eastAsia" w:cs="Times New Roman"/>
          <w:color w:val="000000"/>
          <w:sz w:val="24"/>
          <w:lang w:val="en-US" w:eastAsia="zh-CN"/>
        </w:rPr>
        <w:t>牛圈</w:t>
      </w:r>
      <w:r>
        <w:rPr>
          <w:rFonts w:hint="default" w:ascii="Times New Roman" w:hAnsi="Times New Roman" w:eastAsia="宋体" w:cs="Times New Roman"/>
          <w:color w:val="000000"/>
          <w:sz w:val="24"/>
        </w:rPr>
        <w:t>配置自动控制供水器，节约用水。</w:t>
      </w:r>
    </w:p>
    <w:p w14:paraId="5313FB76">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rPr>
        <w:t>（2）</w:t>
      </w:r>
      <w:r>
        <w:rPr>
          <w:rFonts w:hint="eastAsia" w:cs="Times New Roman"/>
          <w:color w:val="000000"/>
          <w:sz w:val="24"/>
          <w:lang w:val="en-US" w:eastAsia="zh-CN"/>
        </w:rPr>
        <w:t>采用原位发酵床技术，无圈舍冲洗用水。</w:t>
      </w:r>
    </w:p>
    <w:p w14:paraId="65CAB403">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cs="Times New Roman"/>
          <w:color w:val="000000"/>
          <w:sz w:val="24"/>
          <w:lang w:eastAsia="zh-CN"/>
        </w:rPr>
        <w:t>（</w:t>
      </w:r>
      <w:r>
        <w:rPr>
          <w:rFonts w:hint="eastAsia" w:cs="Times New Roman"/>
          <w:color w:val="000000"/>
          <w:sz w:val="24"/>
          <w:lang w:val="en-US" w:eastAsia="zh-CN"/>
        </w:rPr>
        <w:t>3</w:t>
      </w:r>
      <w:r>
        <w:rPr>
          <w:rFonts w:hint="eastAsia" w:cs="Times New Roman"/>
          <w:color w:val="000000"/>
          <w:sz w:val="24"/>
          <w:lang w:eastAsia="zh-CN"/>
        </w:rPr>
        <w:t>）</w:t>
      </w:r>
      <w:r>
        <w:rPr>
          <w:rFonts w:hint="default" w:ascii="Times New Roman" w:hAnsi="Times New Roman" w:eastAsia="宋体" w:cs="Times New Roman"/>
          <w:color w:val="000000"/>
          <w:sz w:val="24"/>
        </w:rPr>
        <w:t>加强员工教育，在生产中注意减少跑、冒、滴、漏现象的发生。</w:t>
      </w:r>
    </w:p>
    <w:p w14:paraId="1D215FF1">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425" w:name="_Toc13065"/>
      <w:bookmarkStart w:id="426" w:name="_Toc3477"/>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.8.3</w:t>
      </w:r>
      <w:r>
        <w:rPr>
          <w:rFonts w:hint="default" w:ascii="Times New Roman" w:hAnsi="Times New Roman" w:eastAsia="宋体" w:cs="Times New Roman"/>
          <w:b/>
          <w:kern w:val="2"/>
          <w:sz w:val="24"/>
          <w:szCs w:val="24"/>
          <w:lang w:val="en-US" w:eastAsia="zh-CN" w:bidi="ar-SA"/>
        </w:rPr>
        <w:t>节能</w:t>
      </w:r>
      <w:bookmarkEnd w:id="425"/>
      <w:bookmarkEnd w:id="426"/>
    </w:p>
    <w:p w14:paraId="67137373">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进一步完善企业管理制度，明确责任，防止跑、冒、滴、漏。加强用电管理，降低电耗。</w:t>
      </w:r>
    </w:p>
    <w:p w14:paraId="033DF2B7">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环境保护为企业生存发展的生命工程，企业应当把环保当作一种资源来看待，将环保作为一项产业来经营，使企业的生产经营与环境保护协调发展，取得经济效益和环境效益的双赢。</w:t>
      </w:r>
    </w:p>
    <w:p w14:paraId="56A9EC35">
      <w:pPr>
        <w:keepNext w:val="0"/>
        <w:keepLines w:val="0"/>
        <w:widowControl w:val="0"/>
        <w:bidi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427" w:name="_Toc435094467"/>
      <w:bookmarkStart w:id="428" w:name="_Toc457381893"/>
      <w:bookmarkStart w:id="429" w:name="_Toc457381979"/>
      <w:bookmarkStart w:id="430" w:name="_Toc473125054"/>
      <w:bookmarkStart w:id="431" w:name="_Toc10600"/>
      <w:bookmarkStart w:id="432" w:name="_Toc12441"/>
      <w:bookmarkStart w:id="433" w:name="_Toc4890"/>
      <w:r>
        <w:rPr>
          <w:rFonts w:hint="eastAsia" w:ascii="Times New Roman" w:hAnsi="Times New Roman" w:eastAsia="宋体" w:cs="Times New Roman"/>
          <w:b/>
          <w:bCs/>
          <w:kern w:val="2"/>
          <w:sz w:val="28"/>
          <w:szCs w:val="28"/>
          <w:lang w:val="en-US" w:eastAsia="zh-CN" w:bidi="ar-SA"/>
        </w:rPr>
        <w:t>3.</w:t>
      </w:r>
      <w:r>
        <w:rPr>
          <w:rFonts w:hint="eastAsia" w:cs="Times New Roman"/>
          <w:b/>
          <w:bCs/>
          <w:kern w:val="2"/>
          <w:sz w:val="28"/>
          <w:szCs w:val="28"/>
          <w:lang w:val="en-US" w:eastAsia="zh-CN" w:bidi="ar-SA"/>
        </w:rPr>
        <w:t>6</w:t>
      </w:r>
      <w:r>
        <w:rPr>
          <w:rFonts w:hint="eastAsia" w:ascii="Times New Roman" w:hAnsi="Times New Roman" w:eastAsia="宋体" w:cs="Times New Roman"/>
          <w:b/>
          <w:bCs/>
          <w:kern w:val="2"/>
          <w:sz w:val="28"/>
          <w:szCs w:val="28"/>
          <w:lang w:val="en-US" w:eastAsia="zh-CN" w:bidi="ar-SA"/>
        </w:rPr>
        <w:t>.9</w:t>
      </w:r>
      <w:r>
        <w:rPr>
          <w:rFonts w:hint="default" w:ascii="Times New Roman" w:hAnsi="Times New Roman" w:eastAsia="宋体" w:cs="Times New Roman"/>
          <w:b/>
          <w:bCs/>
          <w:kern w:val="2"/>
          <w:sz w:val="28"/>
          <w:szCs w:val="28"/>
          <w:lang w:val="en-US" w:eastAsia="zh-CN" w:bidi="ar-SA"/>
        </w:rPr>
        <w:t>循环经济分析</w:t>
      </w:r>
      <w:bookmarkEnd w:id="427"/>
      <w:bookmarkEnd w:id="428"/>
      <w:bookmarkEnd w:id="429"/>
      <w:bookmarkEnd w:id="430"/>
      <w:bookmarkEnd w:id="431"/>
      <w:bookmarkEnd w:id="432"/>
      <w:bookmarkEnd w:id="433"/>
    </w:p>
    <w:p w14:paraId="3C7D14D5">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畜禽养殖业循环经济是农业循环经济的重要组成部分，</w:t>
      </w:r>
      <w:r>
        <w:rPr>
          <w:rFonts w:hint="eastAsia" w:cs="Times New Roman"/>
          <w:color w:val="000000"/>
          <w:sz w:val="24"/>
          <w:lang w:eastAsia="zh-CN"/>
        </w:rPr>
        <w:t>它</w:t>
      </w:r>
      <w:r>
        <w:rPr>
          <w:rFonts w:hint="default" w:ascii="Times New Roman" w:hAnsi="Times New Roman" w:eastAsia="宋体" w:cs="Times New Roman"/>
          <w:color w:val="000000"/>
          <w:sz w:val="24"/>
        </w:rPr>
        <w:t>是按照可持续发展观点，把循环经济理念引入到畜禽养殖业生产体系中，建立畜禽养殖循环经济产业链，使其活动对自然环境的影响减少到尽可能小的程度。从根本上协调人类和自然的关系，转变畜禽养殖业发展模式和资源利用方式，探索出符合实施畜禽养殖业可持续发展之路，促进畜禽养殖业可持续发展。</w:t>
      </w:r>
    </w:p>
    <w:p w14:paraId="446DE17A">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循环经济是一种善待资源和环境，使物质不断循环再生利用的经济发展模式，以</w:t>
      </w:r>
      <w:r>
        <w:rPr>
          <w:rFonts w:hint="eastAsia" w:cs="Times New Roman"/>
          <w:color w:val="000000"/>
          <w:sz w:val="24"/>
          <w:lang w:eastAsia="zh-CN"/>
        </w:rPr>
        <w:t>“</w:t>
      </w:r>
      <w:r>
        <w:rPr>
          <w:rFonts w:hint="default" w:ascii="Times New Roman" w:hAnsi="Times New Roman" w:eastAsia="宋体" w:cs="Times New Roman"/>
          <w:color w:val="000000"/>
          <w:sz w:val="24"/>
        </w:rPr>
        <w:t>减量化、再使用、再循环</w:t>
      </w:r>
      <w:r>
        <w:rPr>
          <w:rFonts w:hint="eastAsia" w:cs="Times New Roman"/>
          <w:color w:val="000000"/>
          <w:sz w:val="24"/>
          <w:lang w:eastAsia="zh-CN"/>
        </w:rPr>
        <w:t>”</w:t>
      </w:r>
      <w:r>
        <w:rPr>
          <w:rFonts w:hint="default" w:ascii="Times New Roman" w:hAnsi="Times New Roman" w:eastAsia="宋体" w:cs="Times New Roman"/>
          <w:color w:val="000000"/>
          <w:sz w:val="24"/>
        </w:rPr>
        <w:t>的3R原则和减少废弃物优先原则作为经济活动的行为准则，以物质、能量梯次和多次循环使用为特征。循环经济要求把经济活动组装成</w:t>
      </w:r>
      <w:r>
        <w:rPr>
          <w:rFonts w:hint="eastAsia" w:cs="Times New Roman"/>
          <w:color w:val="000000"/>
          <w:sz w:val="24"/>
          <w:lang w:eastAsia="zh-CN"/>
        </w:rPr>
        <w:t>“</w:t>
      </w:r>
      <w:r>
        <w:rPr>
          <w:rFonts w:hint="default" w:ascii="Times New Roman" w:hAnsi="Times New Roman" w:eastAsia="宋体" w:cs="Times New Roman"/>
          <w:color w:val="000000"/>
          <w:sz w:val="24"/>
        </w:rPr>
        <w:t>自然资源—产品—再生资源</w:t>
      </w:r>
      <w:r>
        <w:rPr>
          <w:rFonts w:hint="eastAsia" w:cs="Times New Roman"/>
          <w:color w:val="000000"/>
          <w:sz w:val="24"/>
          <w:lang w:eastAsia="zh-CN"/>
        </w:rPr>
        <w:t>”</w:t>
      </w:r>
      <w:r>
        <w:rPr>
          <w:rFonts w:hint="default" w:ascii="Times New Roman" w:hAnsi="Times New Roman" w:eastAsia="宋体" w:cs="Times New Roman"/>
          <w:color w:val="000000"/>
          <w:sz w:val="24"/>
        </w:rPr>
        <w:t>的反馈式流程，所有原料和能量要在这个不断进行的循环中得到最合理的和持久的利用。各生产系统内部及不同生产部门之间以互联的方式进行物质和能量的交换与传递，实现最大限度地利用进入系统的物质和能量，从而获得</w:t>
      </w:r>
      <w:r>
        <w:rPr>
          <w:rFonts w:hint="eastAsia" w:cs="Times New Roman"/>
          <w:color w:val="000000"/>
          <w:sz w:val="24"/>
          <w:lang w:eastAsia="zh-CN"/>
        </w:rPr>
        <w:t>“</w:t>
      </w:r>
      <w:r>
        <w:rPr>
          <w:rFonts w:hint="default" w:ascii="Times New Roman" w:hAnsi="Times New Roman" w:eastAsia="宋体" w:cs="Times New Roman"/>
          <w:color w:val="000000"/>
          <w:sz w:val="24"/>
        </w:rPr>
        <w:t>两低一高</w:t>
      </w:r>
      <w:r>
        <w:rPr>
          <w:rFonts w:hint="eastAsia" w:cs="Times New Roman"/>
          <w:color w:val="000000"/>
          <w:sz w:val="24"/>
          <w:lang w:eastAsia="zh-CN"/>
        </w:rPr>
        <w:t>”</w:t>
      </w:r>
      <w:r>
        <w:rPr>
          <w:rFonts w:hint="default" w:ascii="Times New Roman" w:hAnsi="Times New Roman" w:eastAsia="宋体" w:cs="Times New Roman"/>
          <w:color w:val="000000"/>
          <w:sz w:val="24"/>
        </w:rPr>
        <w:t>（资源的低消耗、物质和能量的高利用和污染物的低排放）的人与环境和谐结果。</w:t>
      </w:r>
    </w:p>
    <w:p w14:paraId="67330EB1">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434" w:name="_Toc11161"/>
      <w:bookmarkStart w:id="435" w:name="_Toc1357"/>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.9.1</w:t>
      </w:r>
      <w:r>
        <w:rPr>
          <w:rFonts w:hint="default" w:ascii="Times New Roman" w:hAnsi="Times New Roman" w:eastAsia="宋体" w:cs="Times New Roman"/>
          <w:b/>
          <w:kern w:val="2"/>
          <w:sz w:val="24"/>
          <w:szCs w:val="24"/>
          <w:lang w:val="en-US" w:eastAsia="zh-CN" w:bidi="ar-SA"/>
        </w:rPr>
        <w:t>畜禽粪便处理工程</w:t>
      </w:r>
      <w:bookmarkEnd w:id="434"/>
      <w:bookmarkEnd w:id="435"/>
    </w:p>
    <w:p w14:paraId="4348E01D">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eastAsia" w:eastAsia="宋体" w:cs="Times New Roman"/>
          <w:color w:val="000000"/>
          <w:sz w:val="24"/>
          <w:lang w:val="en-US" w:eastAsia="zh-CN"/>
        </w:rPr>
        <w:t>牛粪</w:t>
      </w:r>
      <w:r>
        <w:rPr>
          <w:rFonts w:hint="default" w:ascii="Times New Roman" w:hAnsi="Times New Roman" w:eastAsia="宋体" w:cs="Times New Roman"/>
          <w:color w:val="000000"/>
          <w:sz w:val="24"/>
        </w:rPr>
        <w:t>便含有丰富的N、P、K及微量元素，通过处理及加工后是理想的有机肥料或饲料，是解决规模化</w:t>
      </w:r>
      <w:r>
        <w:rPr>
          <w:rFonts w:hint="eastAsia" w:eastAsia="宋体" w:cs="Times New Roman"/>
          <w:color w:val="000000"/>
          <w:sz w:val="24"/>
          <w:lang w:val="en-US" w:eastAsia="zh-CN"/>
        </w:rPr>
        <w:t>养殖场</w:t>
      </w:r>
      <w:r>
        <w:rPr>
          <w:rFonts w:hint="default" w:ascii="Times New Roman" w:hAnsi="Times New Roman" w:eastAsia="宋体" w:cs="Times New Roman"/>
          <w:color w:val="000000"/>
          <w:sz w:val="24"/>
        </w:rPr>
        <w:t>粪便污染的有效措施，也是实现规模化畜禽养殖场粪便资源化的重要途径之一。本项目</w:t>
      </w:r>
      <w:r>
        <w:rPr>
          <w:rFonts w:hint="eastAsia" w:eastAsia="宋体" w:cs="Times New Roman"/>
          <w:color w:val="000000"/>
          <w:sz w:val="24"/>
          <w:lang w:val="en-US" w:eastAsia="zh-CN"/>
        </w:rPr>
        <w:t>养殖场</w:t>
      </w:r>
      <w:r>
        <w:rPr>
          <w:rFonts w:hint="default" w:ascii="Times New Roman" w:hAnsi="Times New Roman" w:eastAsia="宋体" w:cs="Times New Roman"/>
          <w:color w:val="000000"/>
          <w:sz w:val="24"/>
        </w:rPr>
        <w:t>将畜禽</w:t>
      </w:r>
      <w:r>
        <w:rPr>
          <w:rFonts w:hint="eastAsia" w:cs="Times New Roman"/>
          <w:color w:val="000000"/>
          <w:sz w:val="24"/>
          <w:lang w:val="en-US" w:eastAsia="zh-CN"/>
        </w:rPr>
        <w:t>粪污发酵后还田</w:t>
      </w:r>
      <w:r>
        <w:rPr>
          <w:rFonts w:hint="default" w:ascii="Times New Roman" w:hAnsi="Times New Roman" w:eastAsia="宋体" w:cs="Times New Roman"/>
          <w:color w:val="000000"/>
          <w:sz w:val="24"/>
        </w:rPr>
        <w:t>，促进生态农业及有机农业的发展。</w:t>
      </w:r>
    </w:p>
    <w:p w14:paraId="60F0087C">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436" w:name="_Toc30773"/>
      <w:bookmarkStart w:id="437" w:name="_Toc10737"/>
      <w:r>
        <w:rPr>
          <w:rFonts w:hint="eastAsia" w:ascii="Times New Roman" w:hAnsi="Times New Roman" w:eastAsia="宋体" w:cs="Times New Roman"/>
          <w:b/>
          <w:kern w:val="2"/>
          <w:sz w:val="24"/>
          <w:szCs w:val="24"/>
          <w:lang w:val="en-US" w:eastAsia="zh-CN" w:bidi="ar-SA"/>
        </w:rPr>
        <w:t>3.</w:t>
      </w:r>
      <w:r>
        <w:rPr>
          <w:rFonts w:hint="eastAsia" w:cs="Times New Roman"/>
          <w:b/>
          <w:kern w:val="2"/>
          <w:sz w:val="24"/>
          <w:szCs w:val="24"/>
          <w:lang w:val="en-US" w:eastAsia="zh-CN" w:bidi="ar-SA"/>
        </w:rPr>
        <w:t>6</w:t>
      </w:r>
      <w:r>
        <w:rPr>
          <w:rFonts w:hint="eastAsia" w:ascii="Times New Roman" w:hAnsi="Times New Roman" w:eastAsia="宋体" w:cs="Times New Roman"/>
          <w:b/>
          <w:kern w:val="2"/>
          <w:sz w:val="24"/>
          <w:szCs w:val="24"/>
          <w:lang w:val="en-US" w:eastAsia="zh-CN" w:bidi="ar-SA"/>
        </w:rPr>
        <w:t>.9.2</w:t>
      </w:r>
      <w:r>
        <w:rPr>
          <w:rFonts w:hint="default" w:ascii="Times New Roman" w:hAnsi="Times New Roman" w:eastAsia="宋体" w:cs="Times New Roman"/>
          <w:b/>
          <w:kern w:val="2"/>
          <w:sz w:val="24"/>
          <w:szCs w:val="24"/>
          <w:lang w:val="en-US" w:eastAsia="zh-CN" w:bidi="ar-SA"/>
        </w:rPr>
        <w:t>种养结合发展模式</w:t>
      </w:r>
      <w:bookmarkEnd w:id="436"/>
      <w:bookmarkEnd w:id="437"/>
    </w:p>
    <w:p w14:paraId="16228B75">
      <w:pPr>
        <w:keepNext w:val="0"/>
        <w:keepLines w:val="0"/>
        <w:pageBreakBefore w:val="0"/>
        <w:tabs>
          <w:tab w:val="left" w:leader="dot" w:pos="877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种养结合协调发展模式基于畜禽养殖与种植紧密相连、互为利用的</w:t>
      </w:r>
      <w:r>
        <w:rPr>
          <w:rFonts w:hint="eastAsia" w:cs="Times New Roman"/>
          <w:color w:val="000000"/>
          <w:sz w:val="24"/>
          <w:lang w:eastAsia="zh-CN"/>
        </w:rPr>
        <w:t>“</w:t>
      </w:r>
      <w:r>
        <w:rPr>
          <w:rFonts w:hint="default" w:ascii="Times New Roman" w:hAnsi="Times New Roman" w:eastAsia="宋体" w:cs="Times New Roman"/>
          <w:color w:val="000000"/>
          <w:sz w:val="24"/>
        </w:rPr>
        <w:t>耦合体</w:t>
      </w:r>
      <w:r>
        <w:rPr>
          <w:rFonts w:hint="eastAsia" w:cs="Times New Roman"/>
          <w:color w:val="000000"/>
          <w:sz w:val="24"/>
          <w:lang w:eastAsia="zh-CN"/>
        </w:rPr>
        <w:t>”</w:t>
      </w:r>
      <w:r>
        <w:rPr>
          <w:rFonts w:hint="default" w:ascii="Times New Roman" w:hAnsi="Times New Roman" w:eastAsia="宋体" w:cs="Times New Roman"/>
          <w:color w:val="000000"/>
          <w:sz w:val="24"/>
        </w:rPr>
        <w:t>这一特性，按照生态学原理，采取生物（物理）工程措施，进行人工设计、组装成</w:t>
      </w:r>
      <w:r>
        <w:rPr>
          <w:rFonts w:hint="eastAsia" w:cs="Times New Roman"/>
          <w:color w:val="000000"/>
          <w:sz w:val="24"/>
          <w:lang w:eastAsia="zh-CN"/>
        </w:rPr>
        <w:t>“</w:t>
      </w:r>
      <w:r>
        <w:rPr>
          <w:rFonts w:hint="default" w:ascii="Times New Roman" w:hAnsi="Times New Roman" w:eastAsia="宋体" w:cs="Times New Roman"/>
          <w:color w:val="000000"/>
          <w:sz w:val="24"/>
        </w:rPr>
        <w:t>畜禽养殖（种植）</w:t>
      </w:r>
      <w:r>
        <w:rPr>
          <w:rFonts w:hint="eastAsia" w:cs="Times New Roman"/>
          <w:color w:val="000000"/>
          <w:sz w:val="24"/>
          <w:lang w:eastAsia="zh-CN"/>
        </w:rPr>
        <w:t>－</w:t>
      </w:r>
      <w:r>
        <w:rPr>
          <w:rFonts w:hint="default" w:ascii="Times New Roman" w:hAnsi="Times New Roman" w:eastAsia="宋体" w:cs="Times New Roman"/>
          <w:color w:val="000000"/>
          <w:sz w:val="24"/>
        </w:rPr>
        <w:t>生物（物理）工程</w:t>
      </w:r>
      <w:r>
        <w:rPr>
          <w:rFonts w:hint="eastAsia" w:cs="Times New Roman"/>
          <w:color w:val="000000"/>
          <w:sz w:val="24"/>
          <w:lang w:eastAsia="zh-CN"/>
        </w:rPr>
        <w:t>－</w:t>
      </w:r>
      <w:r>
        <w:rPr>
          <w:rFonts w:hint="default" w:ascii="Times New Roman" w:hAnsi="Times New Roman" w:eastAsia="宋体" w:cs="Times New Roman"/>
          <w:color w:val="000000"/>
          <w:sz w:val="24"/>
        </w:rPr>
        <w:t>种植（畜禽养殖）</w:t>
      </w:r>
      <w:r>
        <w:rPr>
          <w:rFonts w:hint="eastAsia" w:cs="Times New Roman"/>
          <w:color w:val="000000"/>
          <w:sz w:val="24"/>
          <w:lang w:eastAsia="zh-CN"/>
        </w:rPr>
        <w:t>”</w:t>
      </w:r>
      <w:r>
        <w:rPr>
          <w:rFonts w:hint="default" w:ascii="Times New Roman" w:hAnsi="Times New Roman" w:eastAsia="宋体" w:cs="Times New Roman"/>
          <w:color w:val="000000"/>
          <w:sz w:val="24"/>
        </w:rPr>
        <w:t>生态链，把畜禽粪便或种植业副产品等有机废弃物转变为有用的资源进行综合利用，建立种养结合协调发展模式。主要有：畜（牛、羊等）</w:t>
      </w:r>
      <w:r>
        <w:rPr>
          <w:rFonts w:hint="eastAsia" w:cs="Times New Roman"/>
          <w:color w:val="000000"/>
          <w:sz w:val="24"/>
          <w:lang w:eastAsia="zh-CN"/>
        </w:rPr>
        <w:t>－</w:t>
      </w:r>
      <w:r>
        <w:rPr>
          <w:rFonts w:hint="default" w:ascii="Times New Roman" w:hAnsi="Times New Roman" w:eastAsia="宋体" w:cs="Times New Roman"/>
          <w:color w:val="000000"/>
          <w:sz w:val="24"/>
        </w:rPr>
        <w:t>沼</w:t>
      </w:r>
      <w:r>
        <w:rPr>
          <w:rFonts w:hint="eastAsia" w:cs="Times New Roman"/>
          <w:color w:val="000000"/>
          <w:sz w:val="24"/>
          <w:lang w:eastAsia="zh-CN"/>
        </w:rPr>
        <w:t>－</w:t>
      </w:r>
      <w:r>
        <w:rPr>
          <w:rFonts w:hint="default" w:ascii="Times New Roman" w:hAnsi="Times New Roman" w:eastAsia="宋体" w:cs="Times New Roman"/>
          <w:color w:val="000000"/>
          <w:sz w:val="24"/>
        </w:rPr>
        <w:t>果（菜、粮、食用菌、中药材等）、禽（鸡）</w:t>
      </w:r>
      <w:r>
        <w:rPr>
          <w:rFonts w:hint="eastAsia" w:cs="Times New Roman"/>
          <w:color w:val="000000"/>
          <w:sz w:val="24"/>
          <w:lang w:eastAsia="zh-CN"/>
        </w:rPr>
        <w:t>－</w:t>
      </w:r>
      <w:r>
        <w:rPr>
          <w:rFonts w:hint="default" w:ascii="Times New Roman" w:hAnsi="Times New Roman" w:eastAsia="宋体" w:cs="Times New Roman"/>
          <w:color w:val="000000"/>
          <w:sz w:val="24"/>
        </w:rPr>
        <w:t>加工</w:t>
      </w:r>
      <w:r>
        <w:rPr>
          <w:rFonts w:hint="eastAsia" w:cs="Times New Roman"/>
          <w:color w:val="000000"/>
          <w:sz w:val="24"/>
          <w:lang w:eastAsia="zh-CN"/>
        </w:rPr>
        <w:t>－</w:t>
      </w:r>
      <w:r>
        <w:rPr>
          <w:rFonts w:hint="default" w:ascii="Times New Roman" w:hAnsi="Times New Roman" w:eastAsia="宋体" w:cs="Times New Roman"/>
          <w:color w:val="000000"/>
          <w:sz w:val="24"/>
        </w:rPr>
        <w:t>果（菜、粮、鸡、中药材等）等，形成畜禽养殖与果园、蔬菜种植、中药材基地及农田种植等有机结合起来，使畜禽养殖业与种植业资源循环利用，实现畜禽养殖业在内的农业可持续发展。</w:t>
      </w:r>
    </w:p>
    <w:p w14:paraId="73620721">
      <w:pPr>
        <w:pageBreakBefore w:val="0"/>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eastAsia" w:eastAsia="宋体" w:cs="Times New Roman"/>
          <w:color w:val="000000"/>
          <w:kern w:val="2"/>
          <w:sz w:val="24"/>
          <w:szCs w:val="24"/>
          <w:lang w:val="en-US" w:eastAsia="zh-CN" w:bidi="ar-SA"/>
        </w:rPr>
        <w:t>本项目</w:t>
      </w:r>
      <w:r>
        <w:rPr>
          <w:rFonts w:hint="eastAsia" w:ascii="Times New Roman" w:hAnsi="Times New Roman" w:eastAsia="宋体" w:cs="Times New Roman"/>
          <w:color w:val="000000"/>
          <w:kern w:val="2"/>
          <w:sz w:val="24"/>
          <w:szCs w:val="24"/>
          <w:lang w:val="en-US" w:eastAsia="zh-CN" w:bidi="ar-SA"/>
        </w:rPr>
        <w:t>占地面积</w:t>
      </w:r>
      <w:r>
        <w:rPr>
          <w:rFonts w:hint="eastAsia" w:cs="Times New Roman"/>
          <w:color w:val="000000"/>
          <w:kern w:val="2"/>
          <w:sz w:val="24"/>
          <w:szCs w:val="24"/>
          <w:highlight w:val="none"/>
          <w:lang w:val="en-US" w:eastAsia="zh-CN" w:bidi="ar-SA"/>
        </w:rPr>
        <w:t>180</w:t>
      </w:r>
      <w:r>
        <w:rPr>
          <w:rFonts w:hint="eastAsia" w:cs="Times New Roman"/>
          <w:color w:val="000000"/>
          <w:kern w:val="2"/>
          <w:sz w:val="24"/>
          <w:szCs w:val="24"/>
          <w:lang w:val="en-US" w:eastAsia="zh-CN" w:bidi="ar-SA"/>
        </w:rPr>
        <w:t>亩</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sz w:val="24"/>
        </w:rPr>
        <w:t>发展模式为：畜牧养殖—肥料—作物的农业产业链。</w:t>
      </w:r>
    </w:p>
    <w:p w14:paraId="35882D78">
      <w:pPr>
        <w:pageBreakBefore w:val="0"/>
        <w:tabs>
          <w:tab w:val="left" w:leader="dot" w:pos="8770"/>
        </w:tabs>
        <w:kinsoku/>
        <w:wordWrap/>
        <w:bidi w:val="0"/>
        <w:adjustRightInd/>
        <w:snapToGrid/>
        <w:spacing w:beforeAutospacing="0" w:afterAutospacing="0" w:line="360" w:lineRule="auto"/>
        <w:ind w:firstLine="480" w:firstLineChars="200"/>
        <w:rPr>
          <w:rFonts w:hint="eastAsia" w:ascii="Times New Roman" w:hAnsi="Times New Roman" w:eastAsia="宋体" w:cs="Times New Roman"/>
          <w:color w:val="000000"/>
          <w:kern w:val="2"/>
          <w:sz w:val="24"/>
          <w:szCs w:val="24"/>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default" w:ascii="Times New Roman" w:hAnsi="Times New Roman" w:eastAsia="宋体" w:cs="Times New Roman"/>
          <w:color w:val="000000"/>
          <w:kern w:val="2"/>
          <w:sz w:val="24"/>
          <w:szCs w:val="24"/>
          <w:lang w:val="en-US" w:eastAsia="zh-CN" w:bidi="ar-SA"/>
        </w:rPr>
        <w:t>生态养殖基地与</w:t>
      </w:r>
      <w:r>
        <w:rPr>
          <w:rFonts w:hint="eastAsia" w:ascii="Times New Roman" w:hAnsi="Times New Roman" w:eastAsia="宋体" w:cs="Times New Roman"/>
          <w:color w:val="000000"/>
          <w:kern w:val="2"/>
          <w:sz w:val="24"/>
          <w:szCs w:val="24"/>
          <w:lang w:val="en-US" w:eastAsia="zh-CN" w:bidi="ar-SA"/>
        </w:rPr>
        <w:t>农田</w:t>
      </w:r>
      <w:r>
        <w:rPr>
          <w:rFonts w:hint="default" w:ascii="Times New Roman" w:hAnsi="Times New Roman" w:eastAsia="宋体" w:cs="Times New Roman"/>
          <w:color w:val="000000"/>
          <w:kern w:val="2"/>
          <w:sz w:val="24"/>
          <w:szCs w:val="24"/>
          <w:lang w:val="en-US" w:eastAsia="zh-CN" w:bidi="ar-SA"/>
        </w:rPr>
        <w:t>相结合符合农牧结合、种养平衡的原则，</w:t>
      </w:r>
      <w:r>
        <w:rPr>
          <w:rFonts w:hint="eastAsia" w:cs="Times New Roman"/>
          <w:color w:val="000000"/>
          <w:kern w:val="2"/>
          <w:sz w:val="24"/>
          <w:szCs w:val="24"/>
          <w:lang w:val="en-US" w:eastAsia="zh-CN" w:bidi="ar-SA"/>
        </w:rPr>
        <w:t>项目周边</w:t>
      </w:r>
      <w:r>
        <w:rPr>
          <w:rFonts w:hint="default" w:ascii="Times New Roman" w:hAnsi="Times New Roman" w:eastAsia="宋体" w:cs="Times New Roman"/>
          <w:color w:val="000000"/>
          <w:kern w:val="2"/>
          <w:sz w:val="24"/>
          <w:szCs w:val="24"/>
          <w:lang w:val="en-US" w:eastAsia="zh-CN" w:bidi="ar-SA"/>
        </w:rPr>
        <w:t>农田可消纳本项目</w:t>
      </w:r>
      <w:r>
        <w:rPr>
          <w:rFonts w:hint="eastAsia" w:cs="Times New Roman"/>
          <w:color w:val="000000"/>
          <w:kern w:val="2"/>
          <w:sz w:val="24"/>
          <w:szCs w:val="24"/>
          <w:lang w:val="en-US" w:eastAsia="zh-CN" w:bidi="ar-SA"/>
        </w:rPr>
        <w:t>固态</w:t>
      </w:r>
      <w:r>
        <w:rPr>
          <w:rFonts w:hint="eastAsia" w:ascii="Times New Roman" w:hAnsi="Times New Roman" w:eastAsia="宋体" w:cs="Times New Roman"/>
          <w:color w:val="000000"/>
          <w:kern w:val="2"/>
          <w:sz w:val="24"/>
          <w:szCs w:val="24"/>
          <w:lang w:val="en-US" w:eastAsia="zh-CN" w:bidi="ar-SA"/>
        </w:rPr>
        <w:t>有机肥</w:t>
      </w:r>
      <w:r>
        <w:rPr>
          <w:rFonts w:hint="default" w:ascii="Times New Roman" w:hAnsi="Times New Roman" w:eastAsia="宋体" w:cs="Times New Roman"/>
          <w:color w:val="000000"/>
          <w:kern w:val="2"/>
          <w:sz w:val="24"/>
          <w:szCs w:val="24"/>
          <w:lang w:val="en-US" w:eastAsia="zh-CN" w:bidi="ar-SA"/>
        </w:rPr>
        <w:t>作为农用肥，实现</w:t>
      </w:r>
      <w:r>
        <w:rPr>
          <w:rFonts w:hint="eastAsia" w:ascii="Times New Roman" w:hAnsi="Times New Roman" w:eastAsia="宋体" w:cs="Times New Roman"/>
          <w:color w:val="000000"/>
          <w:kern w:val="2"/>
          <w:sz w:val="24"/>
          <w:szCs w:val="24"/>
          <w:lang w:val="en-US" w:eastAsia="zh-CN" w:bidi="ar-SA"/>
        </w:rPr>
        <w:t>污水</w:t>
      </w:r>
      <w:r>
        <w:rPr>
          <w:rFonts w:hint="default" w:ascii="Times New Roman" w:hAnsi="Times New Roman" w:eastAsia="宋体" w:cs="Times New Roman"/>
          <w:color w:val="000000"/>
          <w:kern w:val="2"/>
          <w:sz w:val="24"/>
          <w:szCs w:val="24"/>
          <w:lang w:val="en-US" w:eastAsia="zh-CN" w:bidi="ar-SA"/>
        </w:rPr>
        <w:t>的综合利用。项目整体上符合循环经济理念</w:t>
      </w:r>
      <w:r>
        <w:rPr>
          <w:rFonts w:hint="eastAsia" w:ascii="Times New Roman" w:hAnsi="Times New Roman" w:eastAsia="宋体" w:cs="Times New Roman"/>
          <w:color w:val="000000"/>
          <w:kern w:val="2"/>
          <w:sz w:val="24"/>
          <w:szCs w:val="24"/>
          <w:lang w:val="en-US" w:eastAsia="zh-CN" w:bidi="ar-SA"/>
        </w:rPr>
        <w:t>。</w:t>
      </w:r>
    </w:p>
    <w:p w14:paraId="5A3EAF65">
      <w:pPr>
        <w:keepNext w:val="0"/>
        <w:keepLines w:val="0"/>
        <w:pageBreakBefore w:val="0"/>
        <w:widowControl/>
        <w:numPr>
          <w:ilvl w:val="0"/>
          <w:numId w:val="0"/>
        </w:numPr>
        <w:kinsoku/>
        <w:wordWrap/>
        <w:overflowPunct/>
        <w:topLinePunct w:val="0"/>
        <w:autoSpaceDE/>
        <w:autoSpaceDN/>
        <w:bidi w:val="0"/>
        <w:snapToGrid w:val="0"/>
        <w:spacing w:after="0" w:afterLines="0" w:line="360" w:lineRule="auto"/>
        <w:ind w:left="0" w:leftChars="0" w:firstLine="0" w:firstLineChars="0"/>
        <w:jc w:val="left"/>
        <w:textAlignment w:val="auto"/>
        <w:outlineLvl w:val="0"/>
        <w:rPr>
          <w:rFonts w:hint="default" w:ascii="Times New Roman" w:hAnsi="Times New Roman" w:eastAsia="宋体" w:cs="Times New Roman"/>
          <w:b/>
          <w:bCs/>
          <w:color w:val="auto"/>
          <w:kern w:val="44"/>
          <w:sz w:val="32"/>
          <w:szCs w:val="32"/>
          <w:lang w:val="en-US" w:eastAsia="zh-CN" w:bidi="ar-SA"/>
        </w:rPr>
      </w:pPr>
      <w:bookmarkStart w:id="438" w:name="_Toc1930"/>
      <w:bookmarkStart w:id="439" w:name="_Toc12029"/>
      <w:bookmarkStart w:id="440" w:name="_Toc4614"/>
      <w:bookmarkStart w:id="441" w:name="_Toc30795"/>
      <w:bookmarkStart w:id="442" w:name="_Toc26456756"/>
      <w:r>
        <w:rPr>
          <w:rFonts w:hint="default" w:ascii="Times New Roman" w:hAnsi="Times New Roman" w:eastAsia="宋体" w:cs="Times New Roman"/>
          <w:b/>
          <w:bCs/>
          <w:color w:val="auto"/>
          <w:kern w:val="44"/>
          <w:sz w:val="32"/>
          <w:szCs w:val="32"/>
          <w:lang w:val="en-US" w:eastAsia="zh-CN" w:bidi="ar-SA"/>
        </w:rPr>
        <w:t>4、环境现状调查与评价</w:t>
      </w:r>
      <w:bookmarkEnd w:id="438"/>
      <w:bookmarkEnd w:id="439"/>
      <w:bookmarkEnd w:id="440"/>
      <w:bookmarkEnd w:id="441"/>
      <w:bookmarkEnd w:id="442"/>
    </w:p>
    <w:p w14:paraId="633B007D">
      <w:pPr>
        <w:keepNext w:val="0"/>
        <w:keepLines w:val="0"/>
        <w:pageBreakBefore w:val="0"/>
        <w:widowControl/>
        <w:numPr>
          <w:ilvl w:val="1"/>
          <w:numId w:val="0"/>
        </w:numPr>
        <w:kinsoku/>
        <w:wordWrap/>
        <w:overflowPunct/>
        <w:topLinePunct w:val="0"/>
        <w:autoSpaceDE/>
        <w:autoSpaceDN/>
        <w:bidi w:val="0"/>
        <w:snapToGrid w:val="0"/>
        <w:spacing w:line="360" w:lineRule="auto"/>
        <w:ind w:left="0" w:leftChars="0" w:firstLine="0" w:firstLineChars="0"/>
        <w:jc w:val="left"/>
        <w:textAlignment w:val="auto"/>
        <w:outlineLvl w:val="1"/>
        <w:rPr>
          <w:rFonts w:hint="default" w:ascii="Times New Roman" w:hAnsi="Times New Roman" w:eastAsia="宋体" w:cs="Times New Roman"/>
          <w:b/>
          <w:bCs/>
          <w:color w:val="auto"/>
          <w:kern w:val="0"/>
          <w:sz w:val="30"/>
          <w:szCs w:val="32"/>
          <w:lang w:val="en-US" w:eastAsia="zh-CN" w:bidi="ar-SA"/>
        </w:rPr>
      </w:pPr>
      <w:bookmarkStart w:id="443" w:name="_Toc3259"/>
      <w:bookmarkStart w:id="444" w:name="_Toc9972"/>
      <w:bookmarkStart w:id="445" w:name="_Toc13206"/>
      <w:bookmarkStart w:id="446" w:name="_Toc26456757"/>
      <w:bookmarkStart w:id="447" w:name="_Toc4082511"/>
      <w:bookmarkStart w:id="448" w:name="_Toc19314"/>
      <w:r>
        <w:rPr>
          <w:rFonts w:hint="default" w:ascii="Times New Roman" w:hAnsi="Times New Roman" w:eastAsia="宋体" w:cs="Times New Roman"/>
          <w:b/>
          <w:bCs/>
          <w:color w:val="auto"/>
          <w:kern w:val="0"/>
          <w:sz w:val="30"/>
          <w:szCs w:val="32"/>
          <w:lang w:val="en-US" w:eastAsia="zh-CN" w:bidi="ar-SA"/>
        </w:rPr>
        <w:t>4.1自然环境概况</w:t>
      </w:r>
      <w:bookmarkEnd w:id="443"/>
      <w:bookmarkEnd w:id="444"/>
      <w:bookmarkEnd w:id="445"/>
      <w:bookmarkEnd w:id="446"/>
      <w:bookmarkEnd w:id="447"/>
      <w:bookmarkEnd w:id="448"/>
    </w:p>
    <w:p w14:paraId="4381D0A0">
      <w:pPr>
        <w:keepNext w:val="0"/>
        <w:keepLines w:val="0"/>
        <w:pageBreakBefore w:val="0"/>
        <w:widowControl/>
        <w:numPr>
          <w:ilvl w:val="2"/>
          <w:numId w:val="0"/>
        </w:numPr>
        <w:kinsoku/>
        <w:wordWrap/>
        <w:overflowPunct/>
        <w:topLinePunct w:val="0"/>
        <w:autoSpaceDE/>
        <w:autoSpaceDN/>
        <w:bidi w:val="0"/>
        <w:snapToGrid w:val="0"/>
        <w:spacing w:line="360" w:lineRule="auto"/>
        <w:ind w:left="0" w:leftChars="0" w:firstLine="0" w:firstLineChars="0"/>
        <w:jc w:val="left"/>
        <w:textAlignment w:val="auto"/>
        <w:outlineLvl w:val="2"/>
        <w:rPr>
          <w:rFonts w:hint="default" w:ascii="Times New Roman" w:hAnsi="Times New Roman" w:eastAsia="宋体" w:cs="Times New Roman"/>
          <w:b/>
          <w:bCs/>
          <w:color w:val="auto"/>
          <w:kern w:val="0"/>
          <w:sz w:val="28"/>
          <w:szCs w:val="28"/>
          <w:lang w:val="en-US" w:eastAsia="zh-CN" w:bidi="ar-SA"/>
        </w:rPr>
      </w:pPr>
      <w:r>
        <w:rPr>
          <w:rFonts w:hint="default" w:ascii="Times New Roman" w:hAnsi="Times New Roman" w:eastAsia="宋体" w:cs="Times New Roman"/>
          <w:b/>
          <w:bCs/>
          <w:color w:val="auto"/>
          <w:kern w:val="0"/>
          <w:sz w:val="30"/>
          <w:szCs w:val="28"/>
          <w:lang w:val="en-US" w:eastAsia="zh-CN" w:bidi="ar-SA"/>
        </w:rPr>
        <w:t>4.1.1</w:t>
      </w:r>
      <w:r>
        <w:rPr>
          <w:rFonts w:hint="default" w:ascii="Times New Roman" w:hAnsi="Times New Roman" w:eastAsia="宋体" w:cs="Times New Roman"/>
          <w:b/>
          <w:bCs/>
          <w:color w:val="auto"/>
          <w:kern w:val="0"/>
          <w:sz w:val="28"/>
          <w:szCs w:val="28"/>
          <w:lang w:val="en-US" w:eastAsia="zh-CN" w:bidi="ar-SA"/>
        </w:rPr>
        <w:t>地理位置</w:t>
      </w:r>
    </w:p>
    <w:p w14:paraId="51D5722B">
      <w:pPr>
        <w:pageBreakBefore w:val="0"/>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第七师位于准噶尔盆地西南部的奎屯河流域，南面天山，北接库尔班通古特沙漠。第七师境域分布在新疆维吾尔自治区的奎屯市、乌苏市、克拉玛依市及沙湾市、和布克赛尔蒙古自治县境内。师部驻地胡杨河为全师政治、经济、文化中心。七师128团位于新疆维吾尔自治区乌苏市和克拉玛依市境内。在准噶尔盆地西南部，天山北麓奎屯河下游冲积平原和加依尔山（俗称北山）南麓水系冲积平原的交汇处。地理坐标：东经84°32′00″～85°52′30″，北纬 44°52′50″～45°10′00″之间。地处乌苏市东北部，独克公路61～90km之间。东西横跨克拉玛依市和乌苏市，以128团四支渠为界，东部属克拉玛依市辖区。以东与129团为邻，以西与123团为邻。</w:t>
      </w:r>
    </w:p>
    <w:p w14:paraId="5DF05E35">
      <w:pPr>
        <w:widowControl w:val="0"/>
        <w:tabs>
          <w:tab w:val="left" w:pos="2304"/>
        </w:tabs>
        <w:adjustRightInd w:val="0"/>
        <w:snapToGrid w:val="0"/>
        <w:spacing w:line="360" w:lineRule="auto"/>
        <w:ind w:left="0" w:leftChars="0" w:firstLine="480" w:firstLineChars="200"/>
        <w:jc w:val="both"/>
        <w:rPr>
          <w:rFonts w:hint="default" w:ascii="Times New Roman" w:hAnsi="Times New Roman" w:eastAsia="宋体" w:cs="Times New Roman"/>
          <w:b w:val="0"/>
          <w:bCs/>
          <w:color w:val="auto"/>
          <w:kern w:val="0"/>
          <w:sz w:val="24"/>
          <w:szCs w:val="24"/>
          <w:highlight w:val="none"/>
          <w:lang w:val="en-US" w:eastAsia="zh-CN" w:bidi="ar-SA"/>
        </w:rPr>
      </w:pPr>
      <w:r>
        <w:rPr>
          <w:rFonts w:hint="default" w:ascii="Times New Roman" w:hAnsi="Times New Roman" w:eastAsia="宋体" w:cs="Times New Roman"/>
          <w:b w:val="0"/>
          <w:bCs/>
          <w:color w:val="auto"/>
          <w:kern w:val="0"/>
          <w:sz w:val="24"/>
          <w:szCs w:val="24"/>
          <w:lang w:val="en-US" w:eastAsia="zh-CN" w:bidi="ar-SA"/>
        </w:rPr>
        <w:t>本项目选址位于第七师胡杨河市125团（柳沟镇）14连瓜村西区323号，东侧、南侧、北侧为道路，东侧隔道路为125团14连耕地，南侧隔道路为胡杨河市金逸养殖农民专业合作社，北侧隔道路为胡杨河鑫风苑养殖场，西侧为林地</w:t>
      </w:r>
      <w:r>
        <w:rPr>
          <w:rFonts w:hint="eastAsia" w:cs="Times New Roman"/>
          <w:b w:val="0"/>
          <w:bCs/>
          <w:color w:val="auto"/>
          <w:kern w:val="0"/>
          <w:sz w:val="24"/>
          <w:szCs w:val="24"/>
          <w:lang w:val="en-US" w:eastAsia="zh-CN" w:bidi="ar-SA"/>
        </w:rPr>
        <w:t>，</w:t>
      </w:r>
      <w:r>
        <w:rPr>
          <w:rFonts w:hint="default" w:ascii="Times New Roman" w:hAnsi="Times New Roman" w:eastAsia="宋体" w:cs="Times New Roman"/>
          <w:b w:val="0"/>
          <w:bCs/>
          <w:color w:val="auto"/>
          <w:kern w:val="0"/>
          <w:sz w:val="24"/>
          <w:szCs w:val="24"/>
          <w:lang w:val="en-US" w:eastAsia="zh-CN" w:bidi="ar-SA"/>
        </w:rPr>
        <w:t>场界中心地理坐标为：</w:t>
      </w:r>
      <w:r>
        <w:rPr>
          <w:rFonts w:hint="default" w:ascii="Times New Roman" w:hAnsi="Times New Roman" w:eastAsia="宋体" w:cs="Times New Roman"/>
          <w:color w:val="000000"/>
          <w:kern w:val="2"/>
          <w:sz w:val="24"/>
          <w:szCs w:val="24"/>
          <w:lang w:val="en-US" w:eastAsia="zh-CN" w:bidi="ar-SA"/>
        </w:rPr>
        <w:t>E84°29′41.203″，N44°44′38.982″</w:t>
      </w:r>
      <w:r>
        <w:rPr>
          <w:rFonts w:hint="default" w:ascii="Times New Roman" w:hAnsi="Times New Roman" w:eastAsia="宋体" w:cs="Times New Roman"/>
          <w:b w:val="0"/>
          <w:bCs/>
          <w:color w:val="auto"/>
          <w:kern w:val="0"/>
          <w:sz w:val="24"/>
          <w:szCs w:val="24"/>
          <w:lang w:val="en-US" w:eastAsia="zh-CN" w:bidi="ar-SA"/>
        </w:rPr>
        <w:t>。</w:t>
      </w:r>
      <w:r>
        <w:rPr>
          <w:rFonts w:hint="default" w:ascii="Times New Roman" w:hAnsi="Times New Roman" w:eastAsia="宋体" w:cs="Times New Roman"/>
          <w:b w:val="0"/>
          <w:bCs/>
          <w:color w:val="auto"/>
          <w:kern w:val="0"/>
          <w:sz w:val="24"/>
          <w:szCs w:val="24"/>
          <w:highlight w:val="none"/>
          <w:lang w:val="en-US" w:eastAsia="zh-CN" w:bidi="ar-SA"/>
        </w:rPr>
        <w:t>项目地理位置见图4.1-1，卫星图见图4.1-2。</w:t>
      </w:r>
    </w:p>
    <w:p w14:paraId="3E5D479D">
      <w:pPr>
        <w:widowControl/>
        <w:numPr>
          <w:ilvl w:val="2"/>
          <w:numId w:val="0"/>
        </w:numPr>
        <w:bidi w:val="0"/>
        <w:snapToGrid w:val="0"/>
        <w:spacing w:line="360" w:lineRule="auto"/>
        <w:ind w:left="0" w:leftChars="0" w:firstLine="0" w:firstLineChars="0"/>
        <w:jc w:val="left"/>
        <w:outlineLvl w:val="2"/>
        <w:rPr>
          <w:rFonts w:hint="default" w:ascii="Times New Roman" w:hAnsi="Times New Roman" w:eastAsia="宋体" w:cs="Times New Roman"/>
          <w:b/>
          <w:bCs/>
          <w:color w:val="auto"/>
          <w:kern w:val="0"/>
          <w:sz w:val="28"/>
          <w:szCs w:val="28"/>
          <w:lang w:val="en-US" w:eastAsia="zh-CN" w:bidi="ar-SA"/>
        </w:rPr>
      </w:pPr>
      <w:r>
        <w:rPr>
          <w:rFonts w:hint="default" w:ascii="Times New Roman" w:hAnsi="Times New Roman" w:eastAsia="宋体" w:cs="Times New Roman"/>
          <w:b/>
          <w:bCs/>
          <w:color w:val="auto"/>
          <w:kern w:val="0"/>
          <w:sz w:val="30"/>
          <w:szCs w:val="28"/>
          <w:lang w:val="en-US" w:eastAsia="zh-CN" w:bidi="ar-SA"/>
        </w:rPr>
        <w:t>4.1.2</w:t>
      </w:r>
      <w:r>
        <w:rPr>
          <w:rFonts w:hint="default" w:ascii="Times New Roman" w:hAnsi="Times New Roman" w:eastAsia="宋体" w:cs="Times New Roman"/>
          <w:b/>
          <w:bCs/>
          <w:color w:val="auto"/>
          <w:kern w:val="0"/>
          <w:sz w:val="28"/>
          <w:szCs w:val="28"/>
          <w:lang w:val="en-US" w:eastAsia="zh-CN" w:bidi="ar-SA"/>
        </w:rPr>
        <w:t>地形地貌</w:t>
      </w:r>
    </w:p>
    <w:p w14:paraId="1F2D7BFC">
      <w:pPr>
        <w:pageBreakBefore w:val="0"/>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第七师辖区地貌的基本类型为山地和盆地。山地242.3万亩，占全师总土地面积的27.4</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rPr>
        <w:t>，盆地642.4万亩，占72.6</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rPr>
        <w:t>。第七师分为四个垦区：奎屯垦区、车排子垦区、高泉垦区、乌尔禾垦区。垦区绝大部分在天山北麓的奎屯河、四棵树河、古尔图河的洪积冲积平原上，仅137团分布在白杨河流域的乌尔禾谷地。纵贯准噶尔盆地，地形沿三河河势南高北低。地面高程600</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265m，垦区南部纵坡15‰左右，向北渐缓，最缓1‰。全境地势基本平坦，只有较小起伏，局部有深1</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5m，宽2</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10m 的自然冲沟分布，在准噶尔盆地腹心地带有固定与半固定的沙丘。 </w:t>
      </w:r>
    </w:p>
    <w:p w14:paraId="7655FB59">
      <w:pPr>
        <w:pageBreakBefore w:val="0"/>
        <w:numPr>
          <w:ilvl w:val="0"/>
          <w:numId w:val="12"/>
        </w:numPr>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洪积冲积扇海拔高程在480</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600m之间。洪积冲积扇的中上部，地面坡度大，为深厚的粗骨质砂砾石洪积物。随着海拔的降低，坡度逐渐减缓，表面为再沉积的黄土状物质所覆盖，其厚度从上往下逐渐增加。洪积冲积扇上河流深切，地下径流通畅。地下水位深，土体极为干燥，生物作用极弱，土壤自然发育缓慢。然而，在扇形地下部，因土层深厚，排水条件好，土壤次生盐渍化威胁甚微，而且灌溉便利，主要是124团高泉区和131团南区。 </w:t>
      </w:r>
    </w:p>
    <w:p w14:paraId="709F3925">
      <w:pPr>
        <w:pageBreakBefore w:val="0"/>
        <w:numPr>
          <w:ilvl w:val="0"/>
          <w:numId w:val="12"/>
        </w:numPr>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b w:val="0"/>
          <w:bCs w:val="0"/>
          <w:color w:val="000000"/>
          <w:sz w:val="24"/>
          <w:szCs w:val="24"/>
          <w:lang w:val="en-US" w:eastAsia="zh-CN"/>
        </w:rPr>
      </w:pPr>
      <w:r>
        <w:rPr>
          <w:rFonts w:hint="default" w:ascii="Times New Roman" w:hAnsi="Times New Roman" w:eastAsia="宋体" w:cs="Times New Roman"/>
          <w:b w:val="0"/>
          <w:bCs w:val="0"/>
          <w:color w:val="000000"/>
          <w:sz w:val="24"/>
          <w:szCs w:val="24"/>
        </w:rPr>
        <w:t>扇缘泉水溢出带洪积冲积扇下缘，地形平坦，坡度平缓，砾石层消失，黄土状物质深厚，地下水径流受阻，形成上升泉溢出地表，在奎屯北部和高泉的低洼地区汇集成积水苇湖沼泽。扇缘的地下水位小于3m，地下水矿化度多小于 1g/L或1</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3g/L，优越的水分条件，使草甸植被和沼泽水生植物生长茂盛，土壤腐殖质累积过程强烈，氧化还原过程和潜育化过程明显，因而普遍发育草甸土、沼泽土或草甸盐土。主要是124团的上双河和131团东区。</w:t>
      </w:r>
    </w:p>
    <w:p w14:paraId="196A002C">
      <w:pPr>
        <w:pageBreakBefore w:val="0"/>
        <w:numPr>
          <w:ilvl w:val="0"/>
          <w:numId w:val="12"/>
        </w:numPr>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b w:val="0"/>
          <w:bCs w:val="0"/>
          <w:color w:val="000000"/>
          <w:sz w:val="24"/>
          <w:szCs w:val="24"/>
          <w:lang w:val="en-US" w:eastAsia="zh-CN"/>
        </w:rPr>
      </w:pPr>
      <w:r>
        <w:rPr>
          <w:rFonts w:hint="default" w:ascii="Times New Roman" w:hAnsi="Times New Roman" w:eastAsia="宋体" w:cs="Times New Roman"/>
          <w:b w:val="0"/>
          <w:bCs w:val="0"/>
          <w:color w:val="000000"/>
          <w:sz w:val="24"/>
          <w:szCs w:val="24"/>
        </w:rPr>
        <w:t>冲积平原海拔高程在265</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480m之间，是第七师垦区的主要部分，主要包括123团、125团、126团、127团、128团、129团、131团。该区域地形平坦，坡降约1～3‰，堆积着数十米以上的黄土状物质。由于古老冲积平原侵蚀基面下切和河流改道，平原上有深3～5m的干沟。开垦前，地下水普遍在5m甚至10m以下，土体干燥，生物作用弱，土壤荒漠化过程明显，主要是灰漠土、盐化灰漠土。车排子地区普遍存在埋藏腐殖质层，深土层出现明显的铁锈斑纹。由此可判断，那里历史上曾是积水洼地，而且地下水消退年代也不会太久远。平原林木（主要是梭梭柴、红柳）分布广泛，发育着林灌草甸土。冲积平原上的泉水沟下游，地势低洼，泉水沟河床消失，泉水漫流，地下水位高或季节性积水，形成柳沟和三角庄沼泽草甸。土壤腐殖质累积过程和氧化还原过程增强，土壤现代积盐过程亦强烈，盐化草甸土、草甸盐土分布普遍。冲积平原由于排水条件差，开荒后，地下水得到渠道渗漏水和灌溉水的大量补给，地下水位迅速上升，潮化过程发生并迅速增强，耕地中潮土分布广泛。 </w:t>
      </w:r>
    </w:p>
    <w:p w14:paraId="6E0DBA77">
      <w:pPr>
        <w:pageBreakBefore w:val="0"/>
        <w:numPr>
          <w:ilvl w:val="0"/>
          <w:numId w:val="12"/>
        </w:numPr>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b w:val="0"/>
          <w:bCs w:val="0"/>
          <w:color w:val="000000"/>
          <w:sz w:val="24"/>
          <w:szCs w:val="24"/>
          <w:lang w:val="en-US" w:eastAsia="zh-CN"/>
        </w:rPr>
      </w:pPr>
      <w:r>
        <w:rPr>
          <w:rFonts w:hint="default" w:ascii="Times New Roman" w:hAnsi="Times New Roman" w:eastAsia="宋体" w:cs="Times New Roman"/>
          <w:b w:val="0"/>
          <w:bCs w:val="0"/>
          <w:color w:val="000000"/>
          <w:sz w:val="24"/>
          <w:szCs w:val="24"/>
        </w:rPr>
        <w:t>乌尔禾谷地东西两边是强烈侵蚀的成吉斯汗山前第三纪残丘。谷地是由白杨河侵蚀下切并再冲积沉积而成。表层大部分为厚达1.5m以上的黄土状物质，少部分地表和冲沟有砾石裸露，西部有不连续的带状风积沙丘。地下水位 1.5～2m，矿化度1～3g/L，土壤水分良好，腐殖质累积过程和盐化过程较强，发育着盐化草甸土和林灌草甸土，主要是137团乌尔禾地区。</w:t>
      </w:r>
    </w:p>
    <w:p w14:paraId="07F4DDE9">
      <w:pPr>
        <w:pageBreakBefore w:val="0"/>
        <w:numPr>
          <w:ilvl w:val="0"/>
          <w:numId w:val="0"/>
        </w:numPr>
        <w:tabs>
          <w:tab w:val="left" w:leader="dot" w:pos="8770"/>
        </w:tabs>
        <w:kinsoku/>
        <w:wordWrap/>
        <w:bidi w:val="0"/>
        <w:adjustRightInd/>
        <w:snapToGrid/>
        <w:spacing w:beforeAutospacing="0" w:afterAutospacing="0" w:line="360" w:lineRule="auto"/>
        <w:ind w:firstLine="480" w:firstLineChars="200"/>
        <w:rPr>
          <w:rFonts w:hint="eastAsia" w:ascii="宋体" w:hAnsi="宋体" w:eastAsia="宋体" w:cs="宋体"/>
          <w:b w:val="0"/>
          <w:bCs w:val="0"/>
          <w:color w:val="000000"/>
          <w:sz w:val="24"/>
          <w:szCs w:val="24"/>
          <w:lang w:val="en-US" w:eastAsia="zh-CN"/>
        </w:rPr>
      </w:pPr>
      <w:r>
        <w:rPr>
          <w:rFonts w:hint="default" w:ascii="Times New Roman" w:hAnsi="Times New Roman" w:eastAsia="宋体" w:cs="Times New Roman"/>
          <w:color w:val="000000"/>
          <w:kern w:val="2"/>
          <w:sz w:val="24"/>
          <w:szCs w:val="24"/>
          <w:lang w:val="en-US" w:eastAsia="zh-CN" w:bidi="ar-SA"/>
        </w:rPr>
        <w:t>项目所在区域地貌上位于准噶尔盆地西部，奎屯河冲洪积平原下游，地层属第四系全新统冲洪积沉积物，第四系覆盖层厚度大于300m，附近地区没有活动的隐伏构造，属于区域构造稳定区</w:t>
      </w:r>
      <w:r>
        <w:rPr>
          <w:rFonts w:hint="eastAsia" w:ascii="宋体" w:hAnsi="宋体" w:eastAsia="宋体" w:cs="宋体"/>
          <w:b w:val="0"/>
          <w:bCs w:val="0"/>
          <w:color w:val="000000"/>
          <w:sz w:val="24"/>
          <w:szCs w:val="24"/>
        </w:rPr>
        <w:t>。</w:t>
      </w:r>
    </w:p>
    <w:p w14:paraId="3506BAFB">
      <w:pPr>
        <w:widowControl/>
        <w:numPr>
          <w:ilvl w:val="2"/>
          <w:numId w:val="0"/>
        </w:numPr>
        <w:bidi w:val="0"/>
        <w:snapToGrid w:val="0"/>
        <w:spacing w:line="360" w:lineRule="auto"/>
        <w:ind w:left="0" w:leftChars="0" w:firstLine="0" w:firstLineChars="0"/>
        <w:jc w:val="left"/>
        <w:outlineLvl w:val="2"/>
        <w:rPr>
          <w:rFonts w:hint="default" w:ascii="Times New Roman" w:hAnsi="Times New Roman" w:eastAsia="宋体" w:cs="Times New Roman"/>
          <w:b/>
          <w:bCs/>
          <w:color w:val="auto"/>
          <w:kern w:val="0"/>
          <w:sz w:val="28"/>
          <w:szCs w:val="28"/>
          <w:lang w:val="en-US" w:eastAsia="zh-CN" w:bidi="ar-SA"/>
        </w:rPr>
      </w:pPr>
      <w:r>
        <w:rPr>
          <w:rFonts w:hint="default" w:ascii="Times New Roman" w:hAnsi="Times New Roman" w:eastAsia="宋体" w:cs="Times New Roman"/>
          <w:b/>
          <w:bCs/>
          <w:color w:val="auto"/>
          <w:kern w:val="0"/>
          <w:sz w:val="30"/>
          <w:szCs w:val="28"/>
          <w:lang w:val="en-US" w:eastAsia="zh-CN" w:bidi="ar-SA"/>
        </w:rPr>
        <w:t>4.1.3</w:t>
      </w:r>
      <w:r>
        <w:rPr>
          <w:rFonts w:hint="default" w:ascii="Times New Roman" w:hAnsi="Times New Roman" w:eastAsia="宋体" w:cs="Times New Roman"/>
          <w:b/>
          <w:bCs/>
          <w:color w:val="auto"/>
          <w:kern w:val="0"/>
          <w:sz w:val="28"/>
          <w:szCs w:val="28"/>
          <w:lang w:val="en-US" w:eastAsia="zh-CN" w:bidi="ar-SA"/>
        </w:rPr>
        <w:t>水文及水资源情况</w:t>
      </w:r>
    </w:p>
    <w:p w14:paraId="14BB9117">
      <w:pPr>
        <w:keepNext/>
        <w:keepLines/>
        <w:widowControl w:val="0"/>
        <w:numPr>
          <w:ilvl w:val="3"/>
          <w:numId w:val="0"/>
        </w:numPr>
        <w:bidi w:val="0"/>
        <w:snapToGrid w:val="0"/>
        <w:spacing w:beforeLines="0" w:beforeAutospacing="0" w:afterLines="0" w:afterAutospacing="0" w:line="360" w:lineRule="auto"/>
        <w:ind w:left="0" w:leftChars="0" w:firstLine="0" w:firstLineChars="0"/>
        <w:jc w:val="both"/>
        <w:outlineLvl w:val="3"/>
        <w:rPr>
          <w:rFonts w:hint="default" w:ascii="Times New Roman" w:hAnsi="Times New Roman" w:eastAsia="宋体" w:cs="Times New Roman"/>
          <w:b/>
          <w:color w:val="auto"/>
          <w:kern w:val="2"/>
          <w:sz w:val="24"/>
          <w:szCs w:val="21"/>
          <w:lang w:val="en-US" w:eastAsia="zh-CN" w:bidi="ar-SA"/>
        </w:rPr>
      </w:pPr>
      <w:r>
        <w:rPr>
          <w:rFonts w:hint="default" w:ascii="Times New Roman" w:hAnsi="Times New Roman" w:eastAsia="宋体" w:cs="Times New Roman"/>
          <w:b/>
          <w:color w:val="auto"/>
          <w:kern w:val="2"/>
          <w:sz w:val="24"/>
          <w:szCs w:val="21"/>
          <w:lang w:val="en-US" w:eastAsia="zh-CN" w:bidi="ar-SA"/>
        </w:rPr>
        <w:t>4.1.3.1地表水</w:t>
      </w:r>
    </w:p>
    <w:p w14:paraId="0EC62E37">
      <w:pPr>
        <w:pageBreakBefore w:val="0"/>
        <w:tabs>
          <w:tab w:val="left" w:leader="dot" w:pos="8770"/>
        </w:tabs>
        <w:kinsoku/>
        <w:wordWrap/>
        <w:bidi w:val="0"/>
        <w:adjustRightInd/>
        <w:snapToGrid/>
        <w:spacing w:beforeAutospacing="0" w:afterAutospacing="0" w:line="360" w:lineRule="auto"/>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第七师从东到西，有奎屯河、四棵树河、古尔图河，北部有白杨河。四条河流均为季节性河流，可供农业灌溉和水力发电。另有源于山区的主要起汇积水和供牧畜饮水作用的上述四河的上游支流及和布克河、克尔根达斯河和察汗鄂博河的支流河沟共</w:t>
      </w:r>
      <w:r>
        <w:rPr>
          <w:rFonts w:ascii="Times New Roman PS MT" w:hAnsi="Times New Roman PS MT" w:eastAsia="Times New Roman PS MT" w:cs="Times New Roman PS MT"/>
          <w:b w:val="0"/>
          <w:bCs w:val="0"/>
          <w:color w:val="000000"/>
          <w:sz w:val="24"/>
          <w:szCs w:val="24"/>
        </w:rPr>
        <w:t>22</w:t>
      </w:r>
      <w:r>
        <w:rPr>
          <w:rFonts w:hint="eastAsia" w:ascii="宋体" w:hAnsi="宋体" w:eastAsia="宋体" w:cs="宋体"/>
          <w:b w:val="0"/>
          <w:bCs w:val="0"/>
          <w:color w:val="000000"/>
          <w:sz w:val="24"/>
          <w:szCs w:val="24"/>
        </w:rPr>
        <w:t xml:space="preserve">条。河流共同特点： </w:t>
      </w:r>
    </w:p>
    <w:p w14:paraId="7BF0CC88">
      <w:pPr>
        <w:pageBreakBefore w:val="0"/>
        <w:numPr>
          <w:ilvl w:val="0"/>
          <w:numId w:val="13"/>
        </w:numPr>
        <w:tabs>
          <w:tab w:val="left" w:leader="dot" w:pos="8770"/>
        </w:tabs>
        <w:kinsoku/>
        <w:wordWrap/>
        <w:bidi w:val="0"/>
        <w:adjustRightInd/>
        <w:snapToGrid/>
        <w:spacing w:beforeAutospacing="0" w:afterAutospacing="0" w:line="360" w:lineRule="auto"/>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均为内陆河。除奎屯河水系各支流发源于北天山北坡之外，其余都发源于准噶尔西部山地。其归宿都是流入准噶尔盆地或山间封闭盆地的低洼处。 </w:t>
      </w:r>
    </w:p>
    <w:p w14:paraId="00F007B5">
      <w:pPr>
        <w:pageBreakBefore w:val="0"/>
        <w:numPr>
          <w:ilvl w:val="0"/>
          <w:numId w:val="13"/>
        </w:numPr>
        <w:tabs>
          <w:tab w:val="left" w:leader="dot" w:pos="8770"/>
        </w:tabs>
        <w:kinsoku/>
        <w:wordWrap/>
        <w:bidi w:val="0"/>
        <w:adjustRightInd/>
        <w:snapToGrid/>
        <w:spacing w:beforeAutospacing="0" w:afterAutospacing="0" w:line="360" w:lineRule="auto"/>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宋体" w:hAnsi="宋体" w:eastAsia="宋体" w:cs="宋体"/>
          <w:b w:val="0"/>
          <w:bCs w:val="0"/>
          <w:color w:val="000000"/>
          <w:sz w:val="24"/>
          <w:szCs w:val="24"/>
        </w:rPr>
        <w:t xml:space="preserve">河流的水源来自山区冰川和积雪融化水及大量降雨。源于萨吾尔山的河沟水源来自山泉和降水。以山口为界，河流一般可分为径流形成区和散失区。上游（山区河道）因降水多，引水少，是径流形成汇集区。出山后，河水被大量引到灌区，加之山前平原区地面平坦，集流缓慢，下渗量大，降水稀少，蒸发强烈。故平原不能形成径流，河流的中下游都是径流散失区。 </w:t>
      </w:r>
    </w:p>
    <w:p w14:paraId="46F9BA5C">
      <w:pPr>
        <w:pageBreakBefore w:val="0"/>
        <w:numPr>
          <w:ilvl w:val="0"/>
          <w:numId w:val="13"/>
        </w:numPr>
        <w:tabs>
          <w:tab w:val="left" w:leader="dot" w:pos="8770"/>
        </w:tabs>
        <w:kinsoku/>
        <w:wordWrap/>
        <w:bidi w:val="0"/>
        <w:adjustRightInd/>
        <w:snapToGrid/>
        <w:spacing w:beforeAutospacing="0" w:afterAutospacing="0" w:line="360" w:lineRule="auto"/>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宋体" w:hAnsi="宋体" w:eastAsia="宋体" w:cs="宋体"/>
          <w:b w:val="0"/>
          <w:bCs w:val="0"/>
          <w:color w:val="000000"/>
          <w:sz w:val="24"/>
          <w:szCs w:val="24"/>
        </w:rPr>
        <w:t>河流条数多，水量少，流程短，冰封时上述河流除</w:t>
      </w:r>
      <w:r>
        <w:rPr>
          <w:rFonts w:hint="default" w:ascii="Times New Roman PS MT" w:hAnsi="Times New Roman PS MT" w:eastAsia="Times New Roman PS MT" w:cs="Times New Roman PS MT"/>
          <w:b w:val="0"/>
          <w:bCs w:val="0"/>
          <w:color w:val="000000"/>
          <w:sz w:val="24"/>
          <w:szCs w:val="24"/>
        </w:rPr>
        <w:t>4</w:t>
      </w:r>
      <w:r>
        <w:rPr>
          <w:rFonts w:hint="eastAsia" w:ascii="宋体" w:hAnsi="宋体" w:eastAsia="宋体" w:cs="宋体"/>
          <w:b w:val="0"/>
          <w:bCs w:val="0"/>
          <w:color w:val="000000"/>
          <w:sz w:val="24"/>
          <w:szCs w:val="24"/>
        </w:rPr>
        <w:t>条年径流量超过</w:t>
      </w:r>
      <w:r>
        <w:rPr>
          <w:rFonts w:hint="default" w:ascii="Times New Roman PS MT" w:hAnsi="Times New Roman PS MT" w:eastAsia="Times New Roman PS MT" w:cs="Times New Roman PS MT"/>
          <w:b w:val="0"/>
          <w:bCs w:val="0"/>
          <w:color w:val="000000"/>
          <w:sz w:val="24"/>
          <w:szCs w:val="24"/>
        </w:rPr>
        <w:t>1.2</w:t>
      </w:r>
      <w:r>
        <w:rPr>
          <w:rFonts w:hint="eastAsia" w:ascii="宋体" w:hAnsi="宋体" w:eastAsia="宋体" w:cs="宋体"/>
          <w:b w:val="0"/>
          <w:bCs w:val="0"/>
          <w:color w:val="000000"/>
          <w:sz w:val="24"/>
          <w:szCs w:val="24"/>
        </w:rPr>
        <w:t>亿</w:t>
      </w:r>
      <w:r>
        <w:rPr>
          <w:rFonts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宋体" w:cs="Times New Roman PS MT"/>
          <w:b w:val="0"/>
          <w:bCs w:val="0"/>
          <w:color w:val="000000"/>
          <w:sz w:val="24"/>
          <w:szCs w:val="24"/>
          <w:vertAlign w:val="superscript"/>
          <w:lang w:val="en-US" w:eastAsia="zh-CN"/>
        </w:rPr>
        <w:t>3</w:t>
      </w:r>
      <w:r>
        <w:rPr>
          <w:rFonts w:hint="eastAsia" w:ascii="宋体" w:hAnsi="宋体" w:eastAsia="宋体" w:cs="宋体"/>
          <w:b w:val="0"/>
          <w:bCs w:val="0"/>
          <w:color w:val="000000"/>
          <w:sz w:val="24"/>
          <w:szCs w:val="24"/>
        </w:rPr>
        <w:t>外，其余均在</w:t>
      </w:r>
      <w:r>
        <w:rPr>
          <w:rFonts w:hint="default" w:ascii="Times New Roman PS MT" w:hAnsi="Times New Roman PS MT" w:eastAsia="Times New Roman PS MT" w:cs="Times New Roman PS MT"/>
          <w:b w:val="0"/>
          <w:bCs w:val="0"/>
          <w:color w:val="000000"/>
          <w:sz w:val="24"/>
          <w:szCs w:val="24"/>
        </w:rPr>
        <w:t>0.9</w:t>
      </w:r>
      <w:r>
        <w:rPr>
          <w:rFonts w:hint="eastAsia" w:ascii="宋体" w:hAnsi="宋体" w:eastAsia="宋体" w:cs="宋体"/>
          <w:b w:val="0"/>
          <w:bCs w:val="0"/>
          <w:color w:val="000000"/>
          <w:sz w:val="24"/>
          <w:szCs w:val="24"/>
        </w:rPr>
        <w:t>亿</w:t>
      </w:r>
      <w:r>
        <w:rPr>
          <w:rFonts w:hint="default"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宋体" w:cs="Times New Roman PS MT"/>
          <w:b w:val="0"/>
          <w:bCs w:val="0"/>
          <w:color w:val="000000"/>
          <w:sz w:val="24"/>
          <w:szCs w:val="24"/>
          <w:vertAlign w:val="superscript"/>
          <w:lang w:val="en-US" w:eastAsia="zh-CN"/>
        </w:rPr>
        <w:t>3</w:t>
      </w:r>
      <w:r>
        <w:rPr>
          <w:rFonts w:hint="eastAsia" w:ascii="宋体" w:hAnsi="宋体" w:eastAsia="宋体" w:cs="宋体"/>
          <w:b w:val="0"/>
          <w:bCs w:val="0"/>
          <w:color w:val="000000"/>
          <w:sz w:val="24"/>
          <w:szCs w:val="24"/>
        </w:rPr>
        <w:t>以下，冰封时和枯水季常断流。山区因河道纵坡降大河床窄，</w:t>
      </w:r>
      <w:r>
        <w:rPr>
          <w:rFonts w:hint="eastAsia" w:ascii="宋体" w:hAnsi="宋体" w:cs="宋体"/>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V</w:t>
      </w:r>
      <w:r>
        <w:rPr>
          <w:rFonts w:hint="eastAsia" w:ascii="宋体" w:hAnsi="宋体" w:cs="宋体"/>
          <w:b w:val="0"/>
          <w:bCs w:val="0"/>
          <w:color w:val="000000"/>
          <w:sz w:val="24"/>
          <w:szCs w:val="24"/>
          <w:lang w:eastAsia="zh-CN"/>
        </w:rPr>
        <w:t>”</w:t>
      </w:r>
      <w:r>
        <w:rPr>
          <w:rFonts w:hint="eastAsia" w:ascii="宋体" w:hAnsi="宋体" w:cs="宋体"/>
          <w:b w:val="0"/>
          <w:bCs w:val="0"/>
          <w:color w:val="000000"/>
          <w:sz w:val="24"/>
          <w:szCs w:val="24"/>
          <w:lang w:val="en-US" w:eastAsia="zh-CN"/>
        </w:rPr>
        <w:t>形</w:t>
      </w:r>
      <w:r>
        <w:rPr>
          <w:rFonts w:hint="eastAsia" w:ascii="宋体" w:hAnsi="宋体" w:eastAsia="宋体" w:cs="宋体"/>
          <w:b w:val="0"/>
          <w:bCs w:val="0"/>
          <w:color w:val="000000"/>
          <w:sz w:val="24"/>
          <w:szCs w:val="24"/>
        </w:rPr>
        <w:t>谷底存水浅，故上游都是时令河沟。中游多因山洪冲运到河床大量石块和流砂淤积，使河面变得宽浅，河水易被大量蒸发和下渗，使中游也出现枯水期河水断流。下游多因引水灌溉农田，或</w:t>
      </w:r>
      <w:r>
        <w:rPr>
          <w:rFonts w:hint="eastAsia" w:ascii="宋体" w:hAnsi="宋体" w:cs="宋体"/>
          <w:b w:val="0"/>
          <w:bCs w:val="0"/>
          <w:color w:val="000000"/>
          <w:sz w:val="24"/>
          <w:szCs w:val="24"/>
          <w:lang w:eastAsia="zh-CN"/>
        </w:rPr>
        <w:t>修建</w:t>
      </w:r>
      <w:r>
        <w:rPr>
          <w:rFonts w:hint="eastAsia" w:ascii="宋体" w:hAnsi="宋体" w:eastAsia="宋体" w:cs="宋体"/>
          <w:b w:val="0"/>
          <w:bCs w:val="0"/>
          <w:color w:val="000000"/>
          <w:sz w:val="24"/>
          <w:szCs w:val="24"/>
        </w:rPr>
        <w:t xml:space="preserve">拦截水的水库、引水渠等工程，使河水量大减而断流。 </w:t>
      </w:r>
    </w:p>
    <w:p w14:paraId="5C2FB01E">
      <w:pPr>
        <w:pageBreakBefore w:val="0"/>
        <w:numPr>
          <w:ilvl w:val="0"/>
          <w:numId w:val="13"/>
        </w:numPr>
        <w:tabs>
          <w:tab w:val="left" w:leader="dot" w:pos="8770"/>
        </w:tabs>
        <w:kinsoku/>
        <w:wordWrap/>
        <w:bidi w:val="0"/>
        <w:adjustRightInd/>
        <w:snapToGrid/>
        <w:spacing w:beforeAutospacing="0" w:afterAutospacing="0" w:line="360" w:lineRule="auto"/>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宋体" w:hAnsi="宋体" w:eastAsia="宋体" w:cs="宋体"/>
          <w:b w:val="0"/>
          <w:bCs w:val="0"/>
          <w:color w:val="000000"/>
          <w:sz w:val="24"/>
          <w:szCs w:val="24"/>
        </w:rPr>
        <w:t>灌区河道来水较稳定，奎屯河最大年份来水是最小年份来水的</w:t>
      </w:r>
      <w:r>
        <w:rPr>
          <w:rFonts w:hint="default" w:ascii="Times New Roman PS MT" w:hAnsi="Times New Roman PS MT" w:eastAsia="Times New Roman PS MT" w:cs="Times New Roman PS MT"/>
          <w:b w:val="0"/>
          <w:bCs w:val="0"/>
          <w:color w:val="000000"/>
          <w:sz w:val="24"/>
          <w:szCs w:val="24"/>
        </w:rPr>
        <w:t>1.48</w:t>
      </w:r>
      <w:r>
        <w:rPr>
          <w:rFonts w:hint="eastAsia" w:ascii="宋体" w:hAnsi="宋体" w:eastAsia="宋体" w:cs="宋体"/>
          <w:b w:val="0"/>
          <w:bCs w:val="0"/>
          <w:color w:val="000000"/>
          <w:sz w:val="24"/>
          <w:szCs w:val="24"/>
        </w:rPr>
        <w:t>倍，但河流的来水量有地区间分布不平衡和年度内季节性分配不均。奎屯河水系的年径流量多年平均为</w:t>
      </w:r>
      <w:r>
        <w:rPr>
          <w:rFonts w:hint="default" w:ascii="Times New Roman PS MT" w:hAnsi="Times New Roman PS MT" w:eastAsia="Times New Roman PS MT" w:cs="Times New Roman PS MT"/>
          <w:b w:val="0"/>
          <w:bCs w:val="0"/>
          <w:color w:val="000000"/>
          <w:sz w:val="24"/>
          <w:szCs w:val="24"/>
        </w:rPr>
        <w:t>12.252</w:t>
      </w:r>
      <w:r>
        <w:rPr>
          <w:rFonts w:hint="eastAsia" w:ascii="宋体" w:hAnsi="宋体" w:eastAsia="宋体" w:cs="宋体"/>
          <w:b w:val="0"/>
          <w:bCs w:val="0"/>
          <w:color w:val="000000"/>
          <w:sz w:val="24"/>
          <w:szCs w:val="24"/>
        </w:rPr>
        <w:t>亿</w:t>
      </w:r>
      <w:r>
        <w:rPr>
          <w:rFonts w:hint="default"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宋体" w:cs="Times New Roman PS MT"/>
          <w:b w:val="0"/>
          <w:bCs w:val="0"/>
          <w:color w:val="000000"/>
          <w:sz w:val="24"/>
          <w:szCs w:val="24"/>
          <w:vertAlign w:val="superscript"/>
          <w:lang w:val="en-US" w:eastAsia="zh-CN"/>
        </w:rPr>
        <w:t>3</w:t>
      </w:r>
      <w:r>
        <w:rPr>
          <w:rFonts w:hint="eastAsia" w:ascii="宋体" w:hAnsi="宋体" w:eastAsia="宋体" w:cs="宋体"/>
          <w:b w:val="0"/>
          <w:bCs w:val="0"/>
          <w:color w:val="000000"/>
          <w:sz w:val="24"/>
          <w:szCs w:val="24"/>
        </w:rPr>
        <w:t>，</w:t>
      </w:r>
      <w:r>
        <w:rPr>
          <w:rFonts w:hint="eastAsia" w:ascii="宋体" w:hAnsi="宋体" w:cs="宋体"/>
          <w:b w:val="0"/>
          <w:bCs w:val="0"/>
          <w:color w:val="000000"/>
          <w:sz w:val="24"/>
          <w:szCs w:val="24"/>
          <w:lang w:eastAsia="zh-CN"/>
        </w:rPr>
        <w:t>占</w:t>
      </w:r>
      <w:r>
        <w:rPr>
          <w:rFonts w:hint="eastAsia" w:ascii="宋体" w:hAnsi="宋体" w:eastAsia="宋体" w:cs="宋体"/>
          <w:b w:val="0"/>
          <w:bCs w:val="0"/>
          <w:color w:val="000000"/>
          <w:sz w:val="24"/>
          <w:szCs w:val="24"/>
        </w:rPr>
        <w:t>总年径流量</w:t>
      </w:r>
      <w:r>
        <w:rPr>
          <w:rFonts w:hint="default" w:ascii="Times New Roman PS MT" w:hAnsi="Times New Roman PS MT" w:eastAsia="Times New Roman PS MT" w:cs="Times New Roman PS MT"/>
          <w:b w:val="0"/>
          <w:bCs w:val="0"/>
          <w:color w:val="000000"/>
          <w:sz w:val="24"/>
          <w:szCs w:val="24"/>
        </w:rPr>
        <w:t>91.l%</w:t>
      </w:r>
      <w:r>
        <w:rPr>
          <w:rFonts w:hint="eastAsia" w:ascii="宋体" w:hAnsi="宋体" w:eastAsia="宋体" w:cs="宋体"/>
          <w:b w:val="0"/>
          <w:bCs w:val="0"/>
          <w:color w:val="000000"/>
          <w:sz w:val="24"/>
          <w:szCs w:val="24"/>
        </w:rPr>
        <w:t>。而</w:t>
      </w:r>
      <w:r>
        <w:rPr>
          <w:rFonts w:hint="eastAsia" w:ascii="宋体" w:hAnsi="宋体" w:cs="宋体"/>
          <w:b w:val="0"/>
          <w:bCs w:val="0"/>
          <w:color w:val="000000"/>
          <w:sz w:val="24"/>
          <w:szCs w:val="24"/>
          <w:lang w:eastAsia="zh-CN"/>
        </w:rPr>
        <w:t>白杨河</w:t>
      </w:r>
      <w:r>
        <w:rPr>
          <w:rFonts w:hint="eastAsia" w:ascii="宋体" w:hAnsi="宋体" w:eastAsia="宋体" w:cs="宋体"/>
          <w:b w:val="0"/>
          <w:bCs w:val="0"/>
          <w:color w:val="000000"/>
          <w:sz w:val="24"/>
          <w:szCs w:val="24"/>
        </w:rPr>
        <w:t>仅</w:t>
      </w:r>
      <w:r>
        <w:rPr>
          <w:rFonts w:hint="default" w:ascii="Times New Roman PS MT" w:hAnsi="Times New Roman PS MT" w:eastAsia="Times New Roman PS MT" w:cs="Times New Roman PS MT"/>
          <w:b w:val="0"/>
          <w:bCs w:val="0"/>
          <w:color w:val="000000"/>
          <w:sz w:val="24"/>
          <w:szCs w:val="24"/>
        </w:rPr>
        <w:t>1.20</w:t>
      </w:r>
      <w:r>
        <w:rPr>
          <w:rFonts w:hint="eastAsia" w:ascii="宋体" w:hAnsi="宋体" w:eastAsia="宋体" w:cs="宋体"/>
          <w:b w:val="0"/>
          <w:bCs w:val="0"/>
          <w:color w:val="000000"/>
          <w:sz w:val="24"/>
          <w:szCs w:val="24"/>
        </w:rPr>
        <w:t>亿</w:t>
      </w:r>
      <w:r>
        <w:rPr>
          <w:rFonts w:hint="default"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宋体" w:cs="Times New Roman PS MT"/>
          <w:b w:val="0"/>
          <w:bCs w:val="0"/>
          <w:color w:val="000000"/>
          <w:sz w:val="24"/>
          <w:szCs w:val="24"/>
          <w:vertAlign w:val="superscript"/>
          <w:lang w:val="en-US" w:eastAsia="zh-CN"/>
        </w:rPr>
        <w:t>3</w:t>
      </w:r>
      <w:r>
        <w:rPr>
          <w:rFonts w:hint="eastAsia" w:ascii="宋体" w:hAnsi="宋体" w:eastAsia="宋体" w:cs="宋体"/>
          <w:b w:val="0"/>
          <w:bCs w:val="0"/>
          <w:color w:val="000000"/>
          <w:sz w:val="24"/>
          <w:szCs w:val="24"/>
        </w:rPr>
        <w:t>。据多年观测四条河</w:t>
      </w:r>
      <w:r>
        <w:rPr>
          <w:rFonts w:hint="default" w:ascii="Times New Roman PS MT" w:hAnsi="Times New Roman PS MT" w:eastAsia="Times New Roman PS MT" w:cs="Times New Roman PS MT"/>
          <w:b w:val="0"/>
          <w:bCs w:val="0"/>
          <w:color w:val="000000"/>
          <w:sz w:val="24"/>
          <w:szCs w:val="24"/>
        </w:rPr>
        <w:t>l</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5</w:t>
      </w:r>
      <w:r>
        <w:rPr>
          <w:rFonts w:hint="eastAsia" w:ascii="宋体" w:hAnsi="宋体" w:eastAsia="宋体" w:cs="宋体"/>
          <w:b w:val="0"/>
          <w:bCs w:val="0"/>
          <w:color w:val="000000"/>
          <w:sz w:val="24"/>
          <w:szCs w:val="24"/>
        </w:rPr>
        <w:t>月、</w:t>
      </w:r>
      <w:r>
        <w:rPr>
          <w:rFonts w:hint="default" w:ascii="Times New Roman PS MT" w:hAnsi="Times New Roman PS MT" w:eastAsia="Times New Roman PS MT" w:cs="Times New Roman PS MT"/>
          <w:b w:val="0"/>
          <w:bCs w:val="0"/>
          <w:color w:val="000000"/>
          <w:sz w:val="24"/>
          <w:szCs w:val="24"/>
        </w:rPr>
        <w:t>6</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8</w:t>
      </w:r>
      <w:r>
        <w:rPr>
          <w:rFonts w:hint="eastAsia" w:ascii="宋体" w:hAnsi="宋体" w:eastAsia="宋体" w:cs="宋体"/>
          <w:b w:val="0"/>
          <w:bCs w:val="0"/>
          <w:color w:val="000000"/>
          <w:sz w:val="24"/>
          <w:szCs w:val="24"/>
        </w:rPr>
        <w:t>月、</w:t>
      </w:r>
      <w:r>
        <w:rPr>
          <w:rFonts w:hint="default" w:ascii="Times New Roman PS MT" w:hAnsi="Times New Roman PS MT" w:eastAsia="Times New Roman PS MT" w:cs="Times New Roman PS MT"/>
          <w:b w:val="0"/>
          <w:bCs w:val="0"/>
          <w:color w:val="000000"/>
          <w:sz w:val="24"/>
          <w:szCs w:val="24"/>
        </w:rPr>
        <w:t>9</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12</w:t>
      </w:r>
      <w:r>
        <w:rPr>
          <w:rFonts w:hint="eastAsia" w:ascii="宋体" w:hAnsi="宋体" w:eastAsia="宋体" w:cs="宋体"/>
          <w:b w:val="0"/>
          <w:bCs w:val="0"/>
          <w:color w:val="000000"/>
          <w:sz w:val="24"/>
          <w:szCs w:val="24"/>
        </w:rPr>
        <w:t>月的来水量分别占全年来</w:t>
      </w:r>
      <w:r>
        <w:rPr>
          <w:rFonts w:hint="eastAsia" w:ascii="宋体" w:hAnsi="宋体" w:cs="宋体"/>
          <w:b w:val="0"/>
          <w:bCs w:val="0"/>
          <w:color w:val="000000"/>
          <w:sz w:val="24"/>
          <w:szCs w:val="24"/>
          <w:lang w:eastAsia="zh-CN"/>
        </w:rPr>
        <w:t>水</w:t>
      </w:r>
      <w:r>
        <w:rPr>
          <w:rFonts w:hint="eastAsia" w:ascii="宋体" w:hAnsi="宋体" w:eastAsia="宋体" w:cs="宋体"/>
          <w:b w:val="0"/>
          <w:bCs w:val="0"/>
          <w:color w:val="000000"/>
          <w:sz w:val="24"/>
          <w:szCs w:val="24"/>
        </w:rPr>
        <w:t>总量的</w:t>
      </w:r>
      <w:r>
        <w:rPr>
          <w:rFonts w:hint="default" w:ascii="Times New Roman PS MT" w:hAnsi="Times New Roman PS MT" w:eastAsia="Times New Roman PS MT" w:cs="Times New Roman PS MT"/>
          <w:b w:val="0"/>
          <w:bCs w:val="0"/>
          <w:color w:val="000000"/>
          <w:sz w:val="24"/>
          <w:szCs w:val="24"/>
        </w:rPr>
        <w:t>18%</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59%</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23%</w:t>
      </w:r>
      <w:r>
        <w:rPr>
          <w:rFonts w:hint="eastAsia" w:ascii="宋体" w:hAnsi="宋体" w:eastAsia="宋体" w:cs="宋体"/>
          <w:b w:val="0"/>
          <w:bCs w:val="0"/>
          <w:color w:val="000000"/>
          <w:sz w:val="24"/>
          <w:szCs w:val="24"/>
        </w:rPr>
        <w:t>。可见</w:t>
      </w:r>
      <w:r>
        <w:rPr>
          <w:rFonts w:hint="default" w:ascii="Times New Roman PS MT" w:hAnsi="Times New Roman PS MT" w:eastAsia="Times New Roman PS MT" w:cs="Times New Roman PS MT"/>
          <w:b w:val="0"/>
          <w:bCs w:val="0"/>
          <w:color w:val="000000"/>
          <w:sz w:val="24"/>
          <w:szCs w:val="24"/>
        </w:rPr>
        <w:t>6</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8</w:t>
      </w:r>
      <w:r>
        <w:rPr>
          <w:rFonts w:hint="eastAsia" w:ascii="宋体" w:hAnsi="宋体" w:eastAsia="宋体" w:cs="宋体"/>
          <w:b w:val="0"/>
          <w:bCs w:val="0"/>
          <w:color w:val="000000"/>
          <w:sz w:val="24"/>
          <w:szCs w:val="24"/>
        </w:rPr>
        <w:t>月三个月的来水比重大。据国家水年鉴资料，四条河流多年平均的年输沙量为</w:t>
      </w:r>
      <w:r>
        <w:rPr>
          <w:rFonts w:hint="default" w:ascii="Times New Roman PS MT" w:hAnsi="Times New Roman PS MT" w:eastAsia="Times New Roman PS MT" w:cs="Times New Roman PS MT"/>
          <w:b w:val="0"/>
          <w:bCs w:val="0"/>
          <w:color w:val="000000"/>
          <w:sz w:val="24"/>
          <w:szCs w:val="24"/>
        </w:rPr>
        <w:t>41.778kg/s</w:t>
      </w:r>
      <w:r>
        <w:rPr>
          <w:rFonts w:hint="eastAsia" w:ascii="宋体" w:hAnsi="宋体" w:eastAsia="宋体" w:cs="宋体"/>
          <w:b w:val="0"/>
          <w:bCs w:val="0"/>
          <w:color w:val="000000"/>
          <w:sz w:val="24"/>
          <w:szCs w:val="24"/>
        </w:rPr>
        <w:t>，平均年输沙量为</w:t>
      </w:r>
      <w:r>
        <w:rPr>
          <w:rFonts w:hint="default" w:ascii="Times New Roman PS MT" w:hAnsi="Times New Roman PS MT" w:eastAsia="Times New Roman PS MT" w:cs="Times New Roman PS MT"/>
          <w:b w:val="0"/>
          <w:bCs w:val="0"/>
          <w:color w:val="000000"/>
          <w:sz w:val="24"/>
          <w:szCs w:val="24"/>
        </w:rPr>
        <w:t>131.9</w:t>
      </w:r>
      <w:r>
        <w:rPr>
          <w:rFonts w:hint="eastAsia" w:ascii="宋体" w:hAnsi="宋体" w:eastAsia="宋体" w:cs="宋体"/>
          <w:b w:val="0"/>
          <w:bCs w:val="0"/>
          <w:color w:val="000000"/>
          <w:sz w:val="24"/>
          <w:szCs w:val="24"/>
        </w:rPr>
        <w:t>万</w:t>
      </w:r>
      <w:r>
        <w:rPr>
          <w:rFonts w:hint="default" w:ascii="Times New Roman PS MT" w:hAnsi="Times New Roman PS MT" w:eastAsia="Times New Roman PS MT" w:cs="Times New Roman PS MT"/>
          <w:b w:val="0"/>
          <w:bCs w:val="0"/>
          <w:color w:val="000000"/>
          <w:sz w:val="24"/>
          <w:szCs w:val="24"/>
        </w:rPr>
        <w:t>t</w:t>
      </w:r>
      <w:r>
        <w:rPr>
          <w:rFonts w:hint="eastAsia" w:ascii="宋体" w:hAnsi="宋体" w:eastAsia="宋体" w:cs="宋体"/>
          <w:b w:val="0"/>
          <w:bCs w:val="0"/>
          <w:color w:val="000000"/>
          <w:sz w:val="24"/>
          <w:szCs w:val="24"/>
        </w:rPr>
        <w:t>，侵蚀模数为</w:t>
      </w:r>
      <w:r>
        <w:rPr>
          <w:rFonts w:hint="default" w:ascii="Times New Roman PS MT" w:hAnsi="Times New Roman PS MT" w:eastAsia="Times New Roman PS MT" w:cs="Times New Roman PS MT"/>
          <w:b w:val="0"/>
          <w:bCs w:val="0"/>
          <w:color w:val="000000"/>
          <w:sz w:val="24"/>
          <w:szCs w:val="24"/>
        </w:rPr>
        <w:t>189.5t/m</w:t>
      </w:r>
      <w:r>
        <w:rPr>
          <w:rFonts w:hint="eastAsia" w:ascii="Times New Roman PS MT" w:hAnsi="Times New Roman PS MT" w:eastAsia="宋体" w:cs="Times New Roman PS MT"/>
          <w:b w:val="0"/>
          <w:bCs w:val="0"/>
          <w:color w:val="000000"/>
          <w:sz w:val="24"/>
          <w:szCs w:val="24"/>
          <w:vertAlign w:val="superscript"/>
          <w:lang w:val="en-US" w:eastAsia="zh-CN"/>
        </w:rPr>
        <w:t>2</w:t>
      </w:r>
      <w:r>
        <w:rPr>
          <w:rFonts w:hint="eastAsia" w:ascii="宋体" w:hAnsi="宋体" w:eastAsia="宋体" w:cs="宋体"/>
          <w:b w:val="0"/>
          <w:bCs w:val="0"/>
          <w:color w:val="000000"/>
          <w:sz w:val="24"/>
          <w:szCs w:val="24"/>
        </w:rPr>
        <w:t>。</w:t>
      </w:r>
    </w:p>
    <w:p w14:paraId="02345197">
      <w:pPr>
        <w:pageBreakBefore w:val="0"/>
        <w:numPr>
          <w:ilvl w:val="0"/>
          <w:numId w:val="0"/>
        </w:numPr>
        <w:tabs>
          <w:tab w:val="left" w:leader="dot" w:pos="8770"/>
        </w:tabs>
        <w:kinsoku/>
        <w:wordWrap/>
        <w:bidi w:val="0"/>
        <w:adjustRightInd/>
        <w:snapToGrid/>
        <w:spacing w:beforeAutospacing="0" w:afterAutospacing="0" w:line="360" w:lineRule="auto"/>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奎屯河发源于依连哈比尔尕山北坡海拔</w:t>
      </w:r>
      <w:r>
        <w:rPr>
          <w:rFonts w:hint="default" w:ascii="Times New Roman PS MT" w:hAnsi="Times New Roman PS MT" w:eastAsia="Times New Roman PS MT" w:cs="Times New Roman PS MT"/>
          <w:b w:val="0"/>
          <w:bCs w:val="0"/>
          <w:color w:val="000000"/>
          <w:sz w:val="24"/>
          <w:szCs w:val="24"/>
        </w:rPr>
        <w:t>2800</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3600m</w:t>
      </w:r>
      <w:r>
        <w:rPr>
          <w:rFonts w:hint="eastAsia" w:ascii="宋体" w:hAnsi="宋体" w:eastAsia="宋体" w:cs="宋体"/>
          <w:b w:val="0"/>
          <w:bCs w:val="0"/>
          <w:color w:val="000000"/>
          <w:sz w:val="24"/>
          <w:szCs w:val="24"/>
        </w:rPr>
        <w:t>的山区。由南向北经</w:t>
      </w:r>
      <w:r>
        <w:rPr>
          <w:rFonts w:hint="default" w:ascii="Times New Roman PS MT" w:hAnsi="Times New Roman PS MT" w:eastAsia="Times New Roman PS MT" w:cs="Times New Roman PS MT"/>
          <w:b w:val="0"/>
          <w:bCs w:val="0"/>
          <w:color w:val="000000"/>
          <w:sz w:val="24"/>
          <w:szCs w:val="24"/>
        </w:rPr>
        <w:t>131</w:t>
      </w:r>
      <w:r>
        <w:rPr>
          <w:rFonts w:hint="eastAsia" w:ascii="宋体" w:hAnsi="宋体" w:eastAsia="宋体" w:cs="宋体"/>
          <w:b w:val="0"/>
          <w:bCs w:val="0"/>
          <w:color w:val="000000"/>
          <w:sz w:val="24"/>
          <w:szCs w:val="24"/>
        </w:rPr>
        <w:t>团山区牧场，乌苏巴音沟牧场，</w:t>
      </w:r>
      <w:r>
        <w:rPr>
          <w:rFonts w:hint="default" w:ascii="Times New Roman PS MT" w:hAnsi="Times New Roman PS MT" w:eastAsia="Times New Roman PS MT" w:cs="Times New Roman PS MT"/>
          <w:b w:val="0"/>
          <w:bCs w:val="0"/>
          <w:color w:val="000000"/>
          <w:sz w:val="24"/>
          <w:szCs w:val="24"/>
        </w:rPr>
        <w:t>36145</w:t>
      </w:r>
      <w:r>
        <w:rPr>
          <w:rFonts w:hint="eastAsia" w:ascii="宋体" w:hAnsi="宋体" w:eastAsia="宋体" w:cs="宋体"/>
          <w:b w:val="0"/>
          <w:bCs w:val="0"/>
          <w:color w:val="000000"/>
          <w:sz w:val="24"/>
          <w:szCs w:val="24"/>
        </w:rPr>
        <w:t>部队，在独山子矿区出山后流入准噶尔盆地区，在乌伊公路奎屯河大桥处沿</w:t>
      </w:r>
      <w:r>
        <w:rPr>
          <w:rFonts w:hint="default" w:ascii="Times New Roman PS MT" w:hAnsi="Times New Roman PS MT" w:eastAsia="Times New Roman PS MT" w:cs="Times New Roman PS MT"/>
          <w:b w:val="0"/>
          <w:bCs w:val="0"/>
          <w:color w:val="000000"/>
          <w:sz w:val="24"/>
          <w:szCs w:val="24"/>
        </w:rPr>
        <w:t>131</w:t>
      </w:r>
      <w:r>
        <w:rPr>
          <w:rFonts w:hint="eastAsia" w:ascii="宋体" w:hAnsi="宋体" w:eastAsia="宋体" w:cs="宋体"/>
          <w:b w:val="0"/>
          <w:bCs w:val="0"/>
          <w:color w:val="000000"/>
          <w:sz w:val="24"/>
          <w:szCs w:val="24"/>
        </w:rPr>
        <w:t>团西缘向北流，经乌苏良种场、九间楼和皇宫乡、头台乡，沿</w:t>
      </w:r>
      <w:r>
        <w:rPr>
          <w:rFonts w:hint="default" w:ascii="Times New Roman PS MT" w:hAnsi="Times New Roman PS MT" w:eastAsia="Times New Roman PS MT" w:cs="Times New Roman PS MT"/>
          <w:b w:val="0"/>
          <w:bCs w:val="0"/>
          <w:color w:val="000000"/>
          <w:sz w:val="24"/>
          <w:szCs w:val="24"/>
        </w:rPr>
        <w:t>130</w:t>
      </w:r>
      <w:r>
        <w:rPr>
          <w:rFonts w:hint="eastAsia" w:ascii="宋体" w:hAnsi="宋体" w:eastAsia="宋体" w:cs="宋体"/>
          <w:b w:val="0"/>
          <w:bCs w:val="0"/>
          <w:color w:val="000000"/>
          <w:sz w:val="24"/>
          <w:szCs w:val="24"/>
        </w:rPr>
        <w:t>团西北流入奎屯水库，再沿</w:t>
      </w:r>
      <w:r>
        <w:rPr>
          <w:rFonts w:hint="default" w:ascii="Times New Roman PS MT" w:hAnsi="Times New Roman PS MT" w:eastAsia="Times New Roman PS MT" w:cs="Times New Roman PS MT"/>
          <w:b w:val="0"/>
          <w:bCs w:val="0"/>
          <w:color w:val="000000"/>
          <w:sz w:val="24"/>
          <w:szCs w:val="24"/>
        </w:rPr>
        <w:t>125</w:t>
      </w:r>
      <w:r>
        <w:rPr>
          <w:rFonts w:hint="eastAsia" w:ascii="宋体" w:hAnsi="宋体" w:eastAsia="宋体" w:cs="宋体"/>
          <w:b w:val="0"/>
          <w:bCs w:val="0"/>
          <w:color w:val="000000"/>
          <w:sz w:val="24"/>
          <w:szCs w:val="24"/>
        </w:rPr>
        <w:t>团东缘向北，经乌苏车排子乡向西北，沿</w:t>
      </w:r>
      <w:r>
        <w:rPr>
          <w:rFonts w:hint="default" w:ascii="Times New Roman PS MT" w:hAnsi="Times New Roman PS MT" w:eastAsia="Times New Roman PS MT" w:cs="Times New Roman PS MT"/>
          <w:b w:val="0"/>
          <w:bCs w:val="0"/>
          <w:color w:val="000000"/>
          <w:sz w:val="24"/>
          <w:szCs w:val="24"/>
        </w:rPr>
        <w:t>123</w:t>
      </w:r>
      <w:r>
        <w:rPr>
          <w:rFonts w:hint="eastAsia" w:ascii="宋体" w:hAnsi="宋体" w:eastAsia="宋体" w:cs="宋体"/>
          <w:b w:val="0"/>
          <w:bCs w:val="0"/>
          <w:color w:val="000000"/>
          <w:sz w:val="24"/>
          <w:szCs w:val="24"/>
        </w:rPr>
        <w:t>团和</w:t>
      </w:r>
      <w:r>
        <w:rPr>
          <w:rFonts w:hint="default" w:ascii="Times New Roman PS MT" w:hAnsi="Times New Roman PS MT" w:eastAsia="Times New Roman PS MT" w:cs="Times New Roman PS MT"/>
          <w:b w:val="0"/>
          <w:bCs w:val="0"/>
          <w:color w:val="000000"/>
          <w:sz w:val="24"/>
          <w:szCs w:val="24"/>
        </w:rPr>
        <w:t>127</w:t>
      </w:r>
      <w:r>
        <w:rPr>
          <w:rFonts w:hint="eastAsia" w:ascii="宋体" w:hAnsi="宋体" w:eastAsia="宋体" w:cs="宋体"/>
          <w:b w:val="0"/>
          <w:bCs w:val="0"/>
          <w:color w:val="000000"/>
          <w:sz w:val="24"/>
          <w:szCs w:val="24"/>
        </w:rPr>
        <w:t>团西南缘及</w:t>
      </w:r>
      <w:r>
        <w:rPr>
          <w:rFonts w:hint="default" w:ascii="Times New Roman PS MT" w:hAnsi="Times New Roman PS MT" w:eastAsia="Times New Roman PS MT" w:cs="Times New Roman PS MT"/>
          <w:b w:val="0"/>
          <w:bCs w:val="0"/>
          <w:color w:val="000000"/>
          <w:sz w:val="24"/>
          <w:szCs w:val="24"/>
        </w:rPr>
        <w:t>126</w:t>
      </w:r>
      <w:r>
        <w:rPr>
          <w:rFonts w:hint="eastAsia" w:ascii="宋体" w:hAnsi="宋体" w:eastAsia="宋体" w:cs="宋体"/>
          <w:b w:val="0"/>
          <w:bCs w:val="0"/>
          <w:color w:val="000000"/>
          <w:sz w:val="24"/>
          <w:szCs w:val="24"/>
        </w:rPr>
        <w:t>团南缘向西流经乌苏石桥乡甘家湖林场，甘家湖牧场，在五道泉处进入精河县东北经散德克库木大沙漠</w:t>
      </w:r>
      <w:r>
        <w:rPr>
          <w:rFonts w:hint="eastAsia" w:ascii="宋体" w:hAnsi="宋体" w:cs="宋体"/>
          <w:b w:val="0"/>
          <w:bCs w:val="0"/>
          <w:color w:val="000000"/>
          <w:sz w:val="24"/>
          <w:szCs w:val="24"/>
          <w:lang w:eastAsia="zh-CN"/>
        </w:rPr>
        <w:t>流入</w:t>
      </w:r>
      <w:r>
        <w:rPr>
          <w:rFonts w:hint="eastAsia" w:ascii="宋体" w:hAnsi="宋体" w:eastAsia="宋体" w:cs="宋体"/>
          <w:b w:val="0"/>
          <w:bCs w:val="0"/>
          <w:color w:val="000000"/>
          <w:sz w:val="24"/>
          <w:szCs w:val="24"/>
        </w:rPr>
        <w:t>艾比湖，全长</w:t>
      </w:r>
      <w:r>
        <w:rPr>
          <w:rFonts w:hint="default" w:ascii="Times New Roman PS MT" w:hAnsi="Times New Roman PS MT" w:eastAsia="Times New Roman PS MT" w:cs="Times New Roman PS MT"/>
          <w:b w:val="0"/>
          <w:bCs w:val="0"/>
          <w:color w:val="000000"/>
          <w:sz w:val="24"/>
          <w:szCs w:val="24"/>
        </w:rPr>
        <w:t>359.6km</w:t>
      </w:r>
      <w:r>
        <w:rPr>
          <w:rFonts w:hint="eastAsia" w:ascii="宋体" w:hAnsi="宋体" w:eastAsia="宋体" w:cs="宋体"/>
          <w:b w:val="0"/>
          <w:bCs w:val="0"/>
          <w:color w:val="000000"/>
          <w:sz w:val="24"/>
          <w:szCs w:val="24"/>
        </w:rPr>
        <w:t>，其中流经第七师垦区河长</w:t>
      </w:r>
      <w:r>
        <w:rPr>
          <w:rFonts w:hint="default" w:ascii="Times New Roman PS MT" w:hAnsi="Times New Roman PS MT" w:eastAsia="Times New Roman PS MT" w:cs="Times New Roman PS MT"/>
          <w:b w:val="0"/>
          <w:bCs w:val="0"/>
          <w:color w:val="000000"/>
          <w:sz w:val="24"/>
          <w:szCs w:val="24"/>
        </w:rPr>
        <w:t>84.0km</w:t>
      </w:r>
      <w:r>
        <w:rPr>
          <w:rFonts w:hint="eastAsia" w:ascii="宋体" w:hAnsi="宋体" w:eastAsia="宋体" w:cs="宋体"/>
          <w:b w:val="0"/>
          <w:bCs w:val="0"/>
          <w:color w:val="000000"/>
          <w:sz w:val="24"/>
          <w:szCs w:val="24"/>
        </w:rPr>
        <w:t>（不包括天山区草牧场的河道），是第七师辖区内最长的河流。</w:t>
      </w:r>
    </w:p>
    <w:p w14:paraId="0963A15A">
      <w:pPr>
        <w:pageBreakBefore w:val="0"/>
        <w:numPr>
          <w:ilvl w:val="0"/>
          <w:numId w:val="0"/>
        </w:numPr>
        <w:tabs>
          <w:tab w:val="left" w:leader="dot" w:pos="8770"/>
        </w:tabs>
        <w:kinsoku/>
        <w:wordWrap/>
        <w:bidi w:val="0"/>
        <w:adjustRightInd/>
        <w:snapToGrid/>
        <w:spacing w:beforeAutospacing="0" w:afterAutospacing="0" w:line="360" w:lineRule="auto"/>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宋体" w:hAnsi="宋体" w:eastAsia="宋体" w:cs="宋体"/>
          <w:b w:val="0"/>
          <w:bCs w:val="0"/>
          <w:color w:val="000000"/>
          <w:sz w:val="24"/>
          <w:szCs w:val="24"/>
        </w:rPr>
        <w:t>本项目地表水评价范围内无地表径流，项目区与奎屯河流域关系见图</w:t>
      </w:r>
      <w:r>
        <w:rPr>
          <w:rFonts w:hint="default" w:ascii="Times New Roman PS MT" w:hAnsi="Times New Roman PS MT" w:eastAsia="Times New Roman PS MT" w:cs="Times New Roman PS MT"/>
          <w:b w:val="0"/>
          <w:bCs w:val="0"/>
          <w:color w:val="000000"/>
          <w:sz w:val="24"/>
          <w:szCs w:val="24"/>
        </w:rPr>
        <w:t>4.1-1</w:t>
      </w:r>
      <w:r>
        <w:rPr>
          <w:rFonts w:hint="eastAsia" w:ascii="Times New Roman" w:hAnsi="Times New Roman" w:eastAsia="宋体" w:cs="Times New Roman"/>
          <w:color w:val="000000"/>
          <w:kern w:val="2"/>
          <w:sz w:val="24"/>
          <w:szCs w:val="24"/>
          <w:lang w:val="en-US" w:eastAsia="zh-CN" w:bidi="ar-SA"/>
        </w:rPr>
        <w:t xml:space="preserve">。 </w:t>
      </w:r>
    </w:p>
    <w:p w14:paraId="3D58A055">
      <w:pPr>
        <w:keepNext/>
        <w:keepLines/>
        <w:widowControl w:val="0"/>
        <w:numPr>
          <w:ilvl w:val="3"/>
          <w:numId w:val="0"/>
        </w:numPr>
        <w:bidi w:val="0"/>
        <w:snapToGrid w:val="0"/>
        <w:spacing w:beforeLines="0" w:beforeAutospacing="0" w:afterLines="0" w:afterAutospacing="0" w:line="360" w:lineRule="auto"/>
        <w:ind w:left="0" w:leftChars="0" w:firstLine="0" w:firstLineChars="0"/>
        <w:jc w:val="both"/>
        <w:outlineLvl w:val="3"/>
        <w:rPr>
          <w:rFonts w:hint="default" w:ascii="Times New Roman" w:hAnsi="Times New Roman" w:eastAsia="宋体" w:cs="Times New Roman"/>
          <w:b/>
          <w:color w:val="auto"/>
          <w:kern w:val="2"/>
          <w:sz w:val="24"/>
          <w:szCs w:val="21"/>
          <w:lang w:val="en-US" w:eastAsia="zh-CN" w:bidi="ar-SA"/>
        </w:rPr>
      </w:pPr>
      <w:r>
        <w:rPr>
          <w:rFonts w:hint="default" w:ascii="Times New Roman" w:hAnsi="Times New Roman" w:eastAsia="宋体" w:cs="Times New Roman"/>
          <w:b/>
          <w:color w:val="auto"/>
          <w:kern w:val="2"/>
          <w:sz w:val="24"/>
          <w:szCs w:val="21"/>
          <w:lang w:val="en-US" w:eastAsia="zh-CN" w:bidi="ar-SA"/>
        </w:rPr>
        <w:t>4.1.3.2地下水</w:t>
      </w:r>
    </w:p>
    <w:p w14:paraId="50DDFAE7">
      <w:pPr>
        <w:pageBreakBefore w:val="0"/>
        <w:tabs>
          <w:tab w:val="left" w:leader="dot" w:pos="8770"/>
        </w:tabs>
        <w:kinsoku/>
        <w:wordWrap/>
        <w:bidi w:val="0"/>
        <w:adjustRightInd/>
        <w:snapToGrid/>
        <w:spacing w:beforeAutospacing="0" w:afterAutospacing="0" w:line="360" w:lineRule="auto"/>
        <w:ind w:firstLine="480" w:firstLineChars="200"/>
        <w:rPr>
          <w:rFonts w:hint="eastAsia"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b w:val="0"/>
          <w:bCs w:val="0"/>
          <w:color w:val="000000"/>
          <w:sz w:val="24"/>
          <w:szCs w:val="24"/>
        </w:rPr>
        <w:t>第七师</w:t>
      </w:r>
      <w:r>
        <w:rPr>
          <w:rFonts w:hint="eastAsia" w:ascii="Times New Roman" w:hAnsi="Times New Roman" w:eastAsia="宋体" w:cs="Times New Roman"/>
          <w:color w:val="000000"/>
          <w:kern w:val="2"/>
          <w:sz w:val="24"/>
          <w:szCs w:val="24"/>
          <w:lang w:val="en-US" w:eastAsia="zh-CN" w:bidi="ar-SA"/>
        </w:rPr>
        <w:t>地下水总储量3.4亿m</w:t>
      </w:r>
      <w:r>
        <w:rPr>
          <w:rFonts w:hint="eastAsia" w:cs="Times New Roman"/>
          <w:color w:val="000000"/>
          <w:kern w:val="2"/>
          <w:sz w:val="24"/>
          <w:szCs w:val="24"/>
          <w:vertAlign w:val="superscript"/>
          <w:lang w:val="en-US" w:eastAsia="zh-CN" w:bidi="ar-SA"/>
        </w:rPr>
        <w:t>3</w:t>
      </w:r>
      <w:r>
        <w:rPr>
          <w:rFonts w:hint="eastAsia" w:ascii="Times New Roman" w:hAnsi="Times New Roman" w:eastAsia="宋体" w:cs="Times New Roman"/>
          <w:color w:val="000000"/>
          <w:kern w:val="2"/>
          <w:sz w:val="24"/>
          <w:szCs w:val="24"/>
          <w:lang w:val="en-US" w:eastAsia="zh-CN" w:bidi="ar-SA"/>
        </w:rPr>
        <w:t>，可采量为2.4亿m</w:t>
      </w:r>
      <w:r>
        <w:rPr>
          <w:rFonts w:hint="eastAsia" w:cs="Times New Roman"/>
          <w:color w:val="000000"/>
          <w:kern w:val="2"/>
          <w:sz w:val="24"/>
          <w:szCs w:val="24"/>
          <w:vertAlign w:val="superscript"/>
          <w:lang w:val="en-US" w:eastAsia="zh-CN" w:bidi="ar-SA"/>
        </w:rPr>
        <w:t>3</w:t>
      </w:r>
      <w:r>
        <w:rPr>
          <w:rFonts w:hint="eastAsia" w:ascii="Times New Roman" w:hAnsi="Times New Roman" w:eastAsia="宋体" w:cs="Times New Roman"/>
          <w:color w:val="000000"/>
          <w:kern w:val="2"/>
          <w:sz w:val="24"/>
          <w:szCs w:val="24"/>
          <w:lang w:val="en-US" w:eastAsia="zh-CN" w:bidi="ar-SA"/>
        </w:rPr>
        <w:t>。地下水资源量分布由南向北逐渐减少。车排子地区和129团、128团地下水含氟、砷量超过人畜饮用标准，且地下水开采价值不高。</w:t>
      </w:r>
      <w:r>
        <w:rPr>
          <w:rFonts w:hint="eastAsia" w:cs="Times New Roman"/>
          <w:color w:val="000000"/>
          <w:kern w:val="2"/>
          <w:sz w:val="24"/>
          <w:szCs w:val="24"/>
          <w:lang w:val="en-US" w:eastAsia="zh-CN" w:bidi="ar-SA"/>
        </w:rPr>
        <w:t>适合</w:t>
      </w:r>
      <w:r>
        <w:rPr>
          <w:rFonts w:hint="eastAsia" w:ascii="Times New Roman" w:hAnsi="Times New Roman" w:eastAsia="宋体" w:cs="Times New Roman"/>
          <w:color w:val="000000"/>
          <w:kern w:val="2"/>
          <w:sz w:val="24"/>
          <w:szCs w:val="24"/>
          <w:lang w:val="en-US" w:eastAsia="zh-CN" w:bidi="ar-SA"/>
        </w:rPr>
        <w:t>集中开采的有三大水源地，即奎屯水源地、达子庙水源地和高泉水源地。</w:t>
      </w:r>
    </w:p>
    <w:p w14:paraId="2F340268">
      <w:pPr>
        <w:pageBreakBefore w:val="0"/>
        <w:tabs>
          <w:tab w:val="left" w:leader="dot" w:pos="8770"/>
        </w:tabs>
        <w:kinsoku/>
        <w:wordWrap/>
        <w:bidi w:val="0"/>
        <w:adjustRightInd/>
        <w:snapToGrid/>
        <w:spacing w:beforeAutospacing="0" w:afterAutospacing="0" w:line="360" w:lineRule="auto"/>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三大水源地下水储量计1.93亿m</w:t>
      </w:r>
      <w:r>
        <w:rPr>
          <w:rFonts w:hint="eastAsia" w:cs="Times New Roman"/>
          <w:color w:val="000000"/>
          <w:kern w:val="2"/>
          <w:sz w:val="24"/>
          <w:szCs w:val="24"/>
          <w:vertAlign w:val="superscript"/>
          <w:lang w:val="en-US" w:eastAsia="zh-CN" w:bidi="ar-SA"/>
        </w:rPr>
        <w:t>3</w:t>
      </w:r>
      <w:r>
        <w:rPr>
          <w:rFonts w:hint="eastAsia" w:ascii="Times New Roman" w:hAnsi="Times New Roman" w:eastAsia="宋体" w:cs="Times New Roman"/>
          <w:color w:val="000000"/>
          <w:kern w:val="2"/>
          <w:sz w:val="24"/>
          <w:szCs w:val="24"/>
          <w:lang w:val="en-US" w:eastAsia="zh-CN" w:bidi="ar-SA"/>
        </w:rPr>
        <w:t>，可开采量1.4亿m</w:t>
      </w:r>
      <w:r>
        <w:rPr>
          <w:rFonts w:hint="eastAsia" w:cs="Times New Roman"/>
          <w:color w:val="000000"/>
          <w:kern w:val="2"/>
          <w:sz w:val="24"/>
          <w:szCs w:val="24"/>
          <w:vertAlign w:val="superscript"/>
          <w:lang w:val="en-US" w:eastAsia="zh-CN" w:bidi="ar-SA"/>
        </w:rPr>
        <w:t>3</w:t>
      </w:r>
      <w:r>
        <w:rPr>
          <w:rFonts w:hint="eastAsia" w:ascii="Times New Roman" w:hAnsi="Times New Roman" w:eastAsia="宋体" w:cs="Times New Roman"/>
          <w:color w:val="000000"/>
          <w:kern w:val="2"/>
          <w:sz w:val="24"/>
          <w:szCs w:val="24"/>
          <w:lang w:val="en-US" w:eastAsia="zh-CN" w:bidi="ar-SA"/>
        </w:rPr>
        <w:t>。另外柳沟、双河、黄沟等地区分布有小片集中可采的地下水1.007亿m</w:t>
      </w:r>
      <w:r>
        <w:rPr>
          <w:rFonts w:hint="eastAsia" w:cs="Times New Roman"/>
          <w:color w:val="000000"/>
          <w:kern w:val="2"/>
          <w:sz w:val="24"/>
          <w:szCs w:val="24"/>
          <w:vertAlign w:val="superscript"/>
          <w:lang w:val="en-US" w:eastAsia="zh-CN" w:bidi="ar-SA"/>
        </w:rPr>
        <w:t>3</w:t>
      </w:r>
      <w:r>
        <w:rPr>
          <w:rFonts w:hint="eastAsia" w:ascii="Times New Roman" w:hAnsi="Times New Roman" w:eastAsia="宋体" w:cs="Times New Roman"/>
          <w:color w:val="000000"/>
          <w:kern w:val="2"/>
          <w:sz w:val="24"/>
          <w:szCs w:val="24"/>
          <w:lang w:val="en-US" w:eastAsia="zh-CN" w:bidi="ar-SA"/>
        </w:rPr>
        <w:t>。</w:t>
      </w:r>
    </w:p>
    <w:p w14:paraId="1F03CD13">
      <w:pPr>
        <w:widowControl/>
        <w:numPr>
          <w:ilvl w:val="2"/>
          <w:numId w:val="0"/>
        </w:numPr>
        <w:bidi w:val="0"/>
        <w:snapToGrid w:val="0"/>
        <w:spacing w:line="360" w:lineRule="auto"/>
        <w:ind w:left="0" w:leftChars="0" w:firstLine="0" w:firstLineChars="0"/>
        <w:jc w:val="left"/>
        <w:outlineLvl w:val="2"/>
        <w:rPr>
          <w:rFonts w:hint="default" w:ascii="Times New Roman" w:hAnsi="Times New Roman" w:eastAsia="宋体" w:cs="Times New Roman"/>
          <w:b/>
          <w:bCs/>
          <w:color w:val="auto"/>
          <w:kern w:val="0"/>
          <w:sz w:val="28"/>
          <w:szCs w:val="28"/>
          <w:lang w:val="en-US" w:eastAsia="zh-CN" w:bidi="ar-SA"/>
        </w:rPr>
      </w:pPr>
      <w:r>
        <w:rPr>
          <w:rFonts w:hint="default" w:ascii="Times New Roman" w:hAnsi="Times New Roman" w:eastAsia="宋体" w:cs="Times New Roman"/>
          <w:b/>
          <w:bCs/>
          <w:color w:val="auto"/>
          <w:kern w:val="0"/>
          <w:sz w:val="30"/>
          <w:szCs w:val="28"/>
          <w:lang w:val="en-US" w:eastAsia="zh-CN" w:bidi="ar-SA"/>
        </w:rPr>
        <w:t>4.1.</w:t>
      </w:r>
      <w:r>
        <w:rPr>
          <w:rFonts w:hint="eastAsia" w:eastAsia="宋体" w:cs="Times New Roman"/>
          <w:b/>
          <w:bCs/>
          <w:color w:val="auto"/>
          <w:kern w:val="0"/>
          <w:sz w:val="30"/>
          <w:szCs w:val="28"/>
          <w:lang w:val="en-US" w:eastAsia="zh-CN" w:bidi="ar-SA"/>
        </w:rPr>
        <w:t>5</w:t>
      </w:r>
      <w:r>
        <w:rPr>
          <w:rFonts w:hint="default" w:ascii="Times New Roman" w:hAnsi="Times New Roman" w:eastAsia="宋体" w:cs="Times New Roman"/>
          <w:b/>
          <w:bCs/>
          <w:color w:val="auto"/>
          <w:kern w:val="0"/>
          <w:sz w:val="28"/>
          <w:szCs w:val="28"/>
          <w:lang w:val="en-US" w:eastAsia="zh-CN" w:bidi="ar-SA"/>
        </w:rPr>
        <w:t>气候气象</w:t>
      </w:r>
    </w:p>
    <w:p w14:paraId="6657F244">
      <w:pPr>
        <w:pageBreakBefore w:val="0"/>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第七师位于北天山北坡和准噶尔西部山区均因受西风气流和山区</w:t>
      </w:r>
      <w:r>
        <w:rPr>
          <w:rFonts w:hint="eastAsia" w:cs="Times New Roman"/>
          <w:b w:val="0"/>
          <w:bCs w:val="0"/>
          <w:color w:val="000000"/>
          <w:sz w:val="24"/>
          <w:szCs w:val="24"/>
          <w:lang w:eastAsia="zh-CN"/>
        </w:rPr>
        <w:t>潮湿</w:t>
      </w:r>
      <w:r>
        <w:rPr>
          <w:rFonts w:hint="default" w:ascii="Times New Roman" w:hAnsi="Times New Roman" w:eastAsia="宋体" w:cs="Times New Roman"/>
          <w:b w:val="0"/>
          <w:bCs w:val="0"/>
          <w:color w:val="000000"/>
          <w:sz w:val="24"/>
          <w:szCs w:val="24"/>
        </w:rPr>
        <w:t>气候影响，年降水量达400～600mm，最大</w:t>
      </w:r>
      <w:r>
        <w:rPr>
          <w:rFonts w:hint="eastAsia" w:cs="Times New Roman"/>
          <w:b w:val="0"/>
          <w:bCs w:val="0"/>
          <w:color w:val="000000"/>
          <w:sz w:val="24"/>
          <w:szCs w:val="24"/>
          <w:lang w:eastAsia="zh-CN"/>
        </w:rPr>
        <w:t>降水量</w:t>
      </w:r>
      <w:r>
        <w:rPr>
          <w:rFonts w:hint="default" w:ascii="Times New Roman" w:hAnsi="Times New Roman" w:eastAsia="宋体" w:cs="Times New Roman"/>
          <w:b w:val="0"/>
          <w:bCs w:val="0"/>
          <w:color w:val="000000"/>
          <w:sz w:val="24"/>
          <w:szCs w:val="24"/>
        </w:rPr>
        <w:t>高达800mm。坡面径流丰富，岩石风化成土作用强烈。河流下切深，多</w:t>
      </w:r>
      <w:r>
        <w:rPr>
          <w:rFonts w:hint="eastAsia" w:cs="Times New Roman"/>
          <w:b w:val="0"/>
          <w:bCs w:val="0"/>
          <w:color w:val="000000"/>
          <w:sz w:val="24"/>
          <w:szCs w:val="24"/>
          <w:lang w:eastAsia="zh-CN"/>
        </w:rPr>
        <w:t>呈“</w:t>
      </w:r>
      <w:r>
        <w:rPr>
          <w:rFonts w:hint="default" w:ascii="Times New Roman" w:hAnsi="Times New Roman" w:eastAsia="宋体" w:cs="Times New Roman"/>
          <w:b w:val="0"/>
          <w:bCs w:val="0"/>
          <w:color w:val="000000"/>
          <w:sz w:val="24"/>
          <w:szCs w:val="24"/>
        </w:rPr>
        <w:t>V</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形谷。年平均风速为1.8～3.2m/s。4～6月平均每天都有3m/s以上的风，是风能开发最佳季节。日最低气温≤0℃的初霜冻日，一般在九月下旬出现，最南边的高泉初霜到来较晚，一般在十月中旬出现。终霜期则相反，越往北越晚。各地年蒸发最大，在1710～2118mm之间，分别为年降水量的12.9～31.5倍。年蒸发量的变化规律是：气温升高的4～10月蒸发量大于气温低的11月至翌年3月，平原区大于山区，盆地内的沙漠戈壁大于植被茂密区，山区积雪分布多因</w:t>
      </w:r>
      <w:r>
        <w:rPr>
          <w:rFonts w:hint="eastAsia" w:cs="Times New Roman"/>
          <w:b w:val="0"/>
          <w:bCs w:val="0"/>
          <w:color w:val="000000"/>
          <w:sz w:val="24"/>
          <w:szCs w:val="24"/>
          <w:lang w:eastAsia="zh-CN"/>
        </w:rPr>
        <w:t>海拔</w:t>
      </w:r>
      <w:r>
        <w:rPr>
          <w:rFonts w:hint="default" w:ascii="Times New Roman" w:hAnsi="Times New Roman" w:eastAsia="宋体" w:cs="Times New Roman"/>
          <w:b w:val="0"/>
          <w:bCs w:val="0"/>
          <w:color w:val="000000"/>
          <w:sz w:val="24"/>
          <w:szCs w:val="24"/>
        </w:rPr>
        <w:t>而异。</w:t>
      </w:r>
    </w:p>
    <w:p w14:paraId="70FFB4D2">
      <w:pPr>
        <w:pageBreakBefore w:val="0"/>
        <w:tabs>
          <w:tab w:val="left" w:leader="dot" w:pos="8770"/>
        </w:tabs>
        <w:kinsoku/>
        <w:wordWrap/>
        <w:bidi w:val="0"/>
        <w:adjustRightInd/>
        <w:snapToGrid/>
        <w:spacing w:beforeAutospacing="0" w:afterAutospacing="0" w:line="360" w:lineRule="auto"/>
        <w:ind w:firstLine="480" w:firstLineChars="200"/>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b w:val="0"/>
          <w:bCs w:val="0"/>
          <w:color w:val="000000"/>
          <w:sz w:val="24"/>
          <w:szCs w:val="24"/>
        </w:rPr>
        <w:t>评价区域地处亚欧大陆中心，远离海洋，属北温带大陆性气候，冬寒夏热，四季分明，降水量小，蒸发量大，气温年较差大，年平均气温8.9°C，气温最高月份为7月</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25.8°C</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，最低月份为1月</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-13.6°C</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，极端最低气温为-27.3°C，极端最高气温40.7°C。</w:t>
      </w:r>
      <w:r>
        <w:rPr>
          <w:rFonts w:hint="eastAsia" w:cs="Times New Roman"/>
          <w:b w:val="0"/>
          <w:bCs w:val="0"/>
          <w:color w:val="000000"/>
          <w:sz w:val="24"/>
          <w:szCs w:val="24"/>
          <w:lang w:eastAsia="zh-CN"/>
        </w:rPr>
        <w:t>平均年降水量</w:t>
      </w:r>
      <w:r>
        <w:rPr>
          <w:rFonts w:hint="default" w:ascii="Times New Roman" w:hAnsi="Times New Roman" w:eastAsia="宋体" w:cs="Times New Roman"/>
          <w:b w:val="0"/>
          <w:bCs w:val="0"/>
          <w:color w:val="000000"/>
          <w:sz w:val="24"/>
          <w:szCs w:val="24"/>
        </w:rPr>
        <w:t>204.5mm，降水主要集中在春秋两季，最大一日降水量25.5mm，年平均蒸发量为1758.7mm。年平均无霜期为182天，年平均相对湿度63.3%，年平均日照时数为2598.1h，冬季多年平均积雪深18mm，冻土深度1.5m。项目区常年主导风向为西北风</w:t>
      </w:r>
      <w:r>
        <w:rPr>
          <w:rFonts w:hint="default" w:ascii="Times New Roman" w:hAnsi="Times New Roman" w:eastAsia="宋体" w:cs="Times New Roman"/>
          <w:color w:val="000000"/>
          <w:kern w:val="2"/>
          <w:sz w:val="24"/>
          <w:szCs w:val="24"/>
          <w:lang w:val="en-US" w:eastAsia="zh-CN" w:bidi="ar-SA"/>
        </w:rPr>
        <w:t xml:space="preserve">。 </w:t>
      </w:r>
    </w:p>
    <w:p w14:paraId="0C3DA9D8">
      <w:pPr>
        <w:keepNext w:val="0"/>
        <w:keepLines w:val="0"/>
        <w:widowControl w:val="0"/>
        <w:spacing w:before="0" w:after="0" w:line="360" w:lineRule="auto"/>
        <w:jc w:val="both"/>
        <w:outlineLvl w:val="2"/>
        <w:rPr>
          <w:rFonts w:hint="default" w:ascii="Times New Roman" w:hAnsi="Times New Roman" w:eastAsia="宋体" w:cs="Times New Roman"/>
          <w:b/>
          <w:bCs/>
          <w:color w:val="auto"/>
          <w:kern w:val="2"/>
          <w:sz w:val="28"/>
          <w:szCs w:val="28"/>
          <w:lang w:val="zh-CN" w:eastAsia="zh-CN" w:bidi="ar-SA"/>
        </w:rPr>
      </w:pPr>
      <w:r>
        <w:rPr>
          <w:rFonts w:hint="default" w:ascii="Times New Roman" w:hAnsi="Times New Roman" w:eastAsia="宋体" w:cs="Times New Roman"/>
          <w:b/>
          <w:bCs/>
          <w:color w:val="auto"/>
          <w:kern w:val="2"/>
          <w:sz w:val="28"/>
          <w:szCs w:val="28"/>
          <w:lang w:val="en-US" w:eastAsia="zh-CN" w:bidi="ar-SA"/>
        </w:rPr>
        <w:t>4</w:t>
      </w:r>
      <w:r>
        <w:rPr>
          <w:rFonts w:hint="default" w:ascii="Times New Roman" w:hAnsi="Times New Roman" w:eastAsia="宋体" w:cs="Times New Roman"/>
          <w:b/>
          <w:bCs/>
          <w:color w:val="auto"/>
          <w:kern w:val="2"/>
          <w:sz w:val="28"/>
          <w:szCs w:val="28"/>
          <w:lang w:val="zh-CN" w:eastAsia="zh-CN" w:bidi="ar-SA"/>
        </w:rPr>
        <w:t>.1.</w:t>
      </w:r>
      <w:r>
        <w:rPr>
          <w:rFonts w:hint="default" w:ascii="Times New Roman" w:hAnsi="Times New Roman" w:eastAsia="宋体" w:cs="Times New Roman"/>
          <w:b/>
          <w:bCs/>
          <w:color w:val="auto"/>
          <w:kern w:val="2"/>
          <w:sz w:val="28"/>
          <w:szCs w:val="28"/>
          <w:lang w:val="en-US" w:eastAsia="zh-CN" w:bidi="ar-SA"/>
        </w:rPr>
        <w:t>5土壤、植被</w:t>
      </w:r>
    </w:p>
    <w:p w14:paraId="0FD54ED0">
      <w:pPr>
        <w:widowControl w:val="0"/>
        <w:adjustRightInd w:val="0"/>
        <w:spacing w:line="360" w:lineRule="auto"/>
        <w:ind w:firstLine="480" w:firstLineChars="200"/>
        <w:jc w:val="left"/>
        <w:textAlignment w:val="baseline"/>
        <w:rPr>
          <w:rFonts w:hint="eastAsia"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区域土壤类型主要为灰漠土</w:t>
      </w:r>
      <w:r>
        <w:rPr>
          <w:rFonts w:hint="eastAsia"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占总面积的55.59%</w:t>
      </w:r>
      <w:r>
        <w:rPr>
          <w:rFonts w:hint="eastAsia"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、草甸土</w:t>
      </w:r>
      <w:r>
        <w:rPr>
          <w:rFonts w:hint="eastAsia"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22.48%</w:t>
      </w:r>
      <w:r>
        <w:rPr>
          <w:rFonts w:hint="eastAsia"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和盐土</w:t>
      </w:r>
      <w:r>
        <w:rPr>
          <w:rFonts w:hint="eastAsia"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2.55%</w:t>
      </w:r>
      <w:r>
        <w:rPr>
          <w:rFonts w:hint="eastAsia"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，土壤的有机质含量0.5%～1%，全氮含量0.084%～0.145%。土壤质地轻，宜耕性好，透水性适中，土层厚，自然肥力中等偏下，土壤容重一般在1.35g/cm</w:t>
      </w:r>
      <w:r>
        <w:rPr>
          <w:rFonts w:hint="default" w:ascii="Times New Roman" w:hAnsi="Times New Roman" w:eastAsia="宋体" w:cs="Times New Roman"/>
          <w:color w:val="auto"/>
          <w:kern w:val="0"/>
          <w:sz w:val="24"/>
          <w:szCs w:val="24"/>
          <w:vertAlign w:val="superscript"/>
          <w:lang w:val="en-US" w:eastAsia="zh-CN" w:bidi="ar-SA"/>
        </w:rPr>
        <w:t>3</w:t>
      </w:r>
      <w:r>
        <w:rPr>
          <w:rFonts w:hint="default" w:ascii="Times New Roman" w:hAnsi="Times New Roman" w:eastAsia="宋体" w:cs="Times New Roman"/>
          <w:color w:val="auto"/>
          <w:kern w:val="0"/>
          <w:sz w:val="24"/>
          <w:szCs w:val="24"/>
          <w:lang w:val="en-US" w:eastAsia="zh-CN" w:bidi="ar-SA"/>
        </w:rPr>
        <w:t>以上，松紧度在紧实以上，土壤结构差，板结严重，轻盐化土占87</w:t>
      </w:r>
      <w:r>
        <w:rPr>
          <w:rFonts w:hint="default" w:ascii="Times New Roman" w:hAnsi="Times New Roman"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w:t>
      </w:r>
      <w:r>
        <w:rPr>
          <w:rFonts w:hint="eastAsia" w:cs="Times New Roman"/>
          <w:color w:val="auto"/>
          <w:kern w:val="0"/>
          <w:sz w:val="24"/>
          <w:szCs w:val="24"/>
          <w:lang w:val="en-US" w:eastAsia="zh-CN" w:bidi="ar-SA"/>
        </w:rPr>
        <w:t xml:space="preserve"> </w:t>
      </w:r>
    </w:p>
    <w:p w14:paraId="3D6150AE">
      <w:pPr>
        <w:widowControl w:val="0"/>
        <w:adjustRightInd w:val="0"/>
        <w:spacing w:line="360" w:lineRule="auto"/>
        <w:ind w:firstLine="480" w:firstLineChars="200"/>
        <w:jc w:val="left"/>
        <w:textAlignment w:val="baseline"/>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区域植被主要为沙漠植被和平原植被。沙漠植被有柽柳、沙拐枣、白刺、野枸杞、梭梭柴、铃铛刺等灌木外，骆驼刺、芨芨草、蒿属、碱蓬等矮生型植物。平原植被包括旱生性植被和草甸草本植被。旱生性植被多分布在未开垦的荒地和沙土上，主要有琵琶柴、柽柳、沙枣刺、铃铛刺、野枸杞、碱嵩、盐梭梭、骆驼刺、胖姑娘、碱灰藜、灯笼草、鸡眼草、白刺等。草甸草本植被分布在农田、渠道附近，受渠水浸润而生长旺，主要有芦苇、甘草、苦豆子、芨芨草等。</w:t>
      </w:r>
    </w:p>
    <w:p w14:paraId="51B2A68B">
      <w:pPr>
        <w:widowControl w:val="0"/>
        <w:adjustRightInd w:val="0"/>
        <w:spacing w:line="360" w:lineRule="auto"/>
        <w:ind w:firstLine="480" w:firstLineChars="200"/>
        <w:jc w:val="left"/>
        <w:textAlignment w:val="baseline"/>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评价范围内没有国家或自治区级法定保护的野生动植物种，也没有自然保护区分布。地表优势植被主要为旱生性植被，高度多为10cm～20cm，盖度10%～15%，植被类型单一。生态系统结构相对简单，生态多样性或环境异质性较低。</w:t>
      </w:r>
    </w:p>
    <w:p w14:paraId="73C82298">
      <w:pPr>
        <w:keepNext w:val="0"/>
        <w:keepLines w:val="0"/>
        <w:widowControl w:val="0"/>
        <w:spacing w:before="0" w:after="0" w:line="360" w:lineRule="auto"/>
        <w:jc w:val="both"/>
        <w:outlineLvl w:val="2"/>
        <w:rPr>
          <w:rFonts w:hint="default" w:ascii="Times New Roman" w:hAnsi="Times New Roman" w:eastAsia="宋体" w:cs="Times New Roman"/>
          <w:b/>
          <w:bCs/>
          <w:color w:val="auto"/>
          <w:kern w:val="2"/>
          <w:sz w:val="28"/>
          <w:szCs w:val="28"/>
          <w:lang w:val="en-US" w:eastAsia="zh-CN" w:bidi="ar-SA"/>
        </w:rPr>
      </w:pPr>
      <w:r>
        <w:rPr>
          <w:rFonts w:hint="default" w:ascii="Times New Roman" w:hAnsi="Times New Roman" w:eastAsia="宋体" w:cs="Times New Roman"/>
          <w:b/>
          <w:bCs/>
          <w:color w:val="auto"/>
          <w:kern w:val="2"/>
          <w:sz w:val="28"/>
          <w:szCs w:val="28"/>
          <w:lang w:val="en-US" w:eastAsia="zh-CN" w:bidi="ar-SA"/>
        </w:rPr>
        <w:t>4</w:t>
      </w:r>
      <w:r>
        <w:rPr>
          <w:rFonts w:hint="default" w:ascii="Times New Roman" w:hAnsi="Times New Roman" w:eastAsia="宋体" w:cs="Times New Roman"/>
          <w:b/>
          <w:bCs/>
          <w:color w:val="auto"/>
          <w:kern w:val="2"/>
          <w:sz w:val="28"/>
          <w:szCs w:val="28"/>
          <w:lang w:val="zh-CN" w:eastAsia="zh-CN" w:bidi="ar-SA"/>
        </w:rPr>
        <w:t>.1.</w:t>
      </w:r>
      <w:r>
        <w:rPr>
          <w:rFonts w:hint="eastAsia" w:ascii="Times New Roman" w:hAnsi="Times New Roman" w:eastAsia="宋体" w:cs="Times New Roman"/>
          <w:b/>
          <w:bCs/>
          <w:color w:val="auto"/>
          <w:kern w:val="2"/>
          <w:sz w:val="28"/>
          <w:szCs w:val="28"/>
          <w:lang w:val="en-US" w:eastAsia="zh-CN" w:bidi="ar-SA"/>
        </w:rPr>
        <w:t>6防沙治沙现状</w:t>
      </w:r>
    </w:p>
    <w:p w14:paraId="472AB86E">
      <w:pPr>
        <w:widowControl/>
        <w:snapToGrid w:val="0"/>
        <w:spacing w:after="0" w:line="360" w:lineRule="auto"/>
        <w:ind w:left="0" w:leftChars="0"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根据《新疆生产建设兵团水土保持公报（2024年）》，2024年第七师水土流失面积2566.51平方公里，占全师土地总面积的66.10%，其中水力侵蚀面积为45.83平方公里，占水土流失面积的1.79%；风力侵蚀面积为2520.68平方公里，占水土流失面积的98.21%。</w:t>
      </w:r>
    </w:p>
    <w:p w14:paraId="29297A2D">
      <w:pPr>
        <w:widowControl/>
        <w:snapToGrid w:val="0"/>
        <w:spacing w:after="0" w:line="360" w:lineRule="auto"/>
        <w:ind w:left="0" w:leftChars="0"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根据实地调查，水土流失类型以风力侵蚀为主。项目区现状植被稀少。根据项目区的地形地貌、地表植被、土壤状况、气象资料综合分析</w:t>
      </w:r>
      <w:r>
        <w:rPr>
          <w:rFonts w:hint="eastAsia" w:ascii="Times New Roman" w:hAnsi="Times New Roman" w:eastAsia="宋体" w:cs="Times New Roman"/>
          <w:color w:val="auto"/>
          <w:kern w:val="0"/>
          <w:sz w:val="24"/>
          <w:szCs w:val="21"/>
          <w:lang w:val="en-US" w:eastAsia="zh-CN" w:bidi="ar-SA"/>
        </w:rPr>
        <w:t>项目</w:t>
      </w:r>
      <w:r>
        <w:rPr>
          <w:rFonts w:hint="default" w:ascii="Times New Roman" w:hAnsi="Times New Roman" w:eastAsia="宋体" w:cs="Times New Roman"/>
          <w:color w:val="auto"/>
          <w:kern w:val="0"/>
          <w:sz w:val="24"/>
          <w:szCs w:val="21"/>
          <w:lang w:val="en-US" w:eastAsia="zh-CN" w:bidi="ar-SA"/>
        </w:rPr>
        <w:t>区环境状况，判断本项目区</w:t>
      </w:r>
      <w:r>
        <w:rPr>
          <w:rFonts w:hint="eastAsia" w:ascii="Times New Roman" w:hAnsi="Times New Roman" w:eastAsia="宋体" w:cs="Times New Roman"/>
          <w:color w:val="auto"/>
          <w:kern w:val="0"/>
          <w:sz w:val="24"/>
          <w:szCs w:val="21"/>
          <w:lang w:val="en-US" w:eastAsia="zh-CN" w:bidi="ar-SA"/>
        </w:rPr>
        <w:t>属于</w:t>
      </w:r>
      <w:r>
        <w:rPr>
          <w:rFonts w:hint="eastAsia" w:cs="Times New Roman"/>
          <w:color w:val="auto"/>
          <w:kern w:val="0"/>
          <w:sz w:val="24"/>
          <w:szCs w:val="21"/>
          <w:lang w:val="en-US" w:eastAsia="zh-CN" w:bidi="ar-SA"/>
        </w:rPr>
        <w:t>轻度</w:t>
      </w:r>
      <w:r>
        <w:rPr>
          <w:rFonts w:hint="default" w:ascii="Times New Roman" w:hAnsi="Times New Roman" w:eastAsia="宋体" w:cs="Times New Roman"/>
          <w:color w:val="auto"/>
          <w:kern w:val="0"/>
          <w:sz w:val="24"/>
          <w:szCs w:val="21"/>
          <w:lang w:val="en-US" w:eastAsia="zh-CN" w:bidi="ar-SA"/>
        </w:rPr>
        <w:t>风力侵蚀区。</w:t>
      </w:r>
    </w:p>
    <w:p w14:paraId="48117B2E">
      <w:pPr>
        <w:widowControl/>
        <w:snapToGrid w:val="0"/>
        <w:spacing w:after="0" w:line="360" w:lineRule="auto"/>
        <w:ind w:left="0" w:leftChars="0" w:firstLine="480" w:firstLineChars="200"/>
        <w:jc w:val="both"/>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1"/>
          <w:highlight w:val="none"/>
          <w:lang w:val="en-US" w:eastAsia="zh-CN" w:bidi="ar-SA"/>
        </w:rPr>
        <w:t>根据《新疆第六次沙化监测报告》可知，</w:t>
      </w:r>
      <w:r>
        <w:rPr>
          <w:rFonts w:hint="eastAsia" w:cs="Times New Roman"/>
          <w:color w:val="auto"/>
          <w:kern w:val="0"/>
          <w:sz w:val="24"/>
          <w:szCs w:val="21"/>
          <w:highlight w:val="none"/>
          <w:lang w:val="en-US" w:eastAsia="zh-CN" w:bidi="ar-SA"/>
        </w:rPr>
        <w:t>胡杨河市</w:t>
      </w:r>
      <w:r>
        <w:rPr>
          <w:rFonts w:hint="eastAsia" w:ascii="Times New Roman" w:hAnsi="Times New Roman" w:eastAsia="宋体" w:cs="Times New Roman"/>
          <w:color w:val="auto"/>
          <w:kern w:val="0"/>
          <w:sz w:val="24"/>
          <w:szCs w:val="21"/>
          <w:highlight w:val="none"/>
          <w:lang w:val="en-US" w:eastAsia="zh-CN" w:bidi="ar-SA"/>
        </w:rPr>
        <w:t>沙化土地面积为1598.14公顷，具有明显沙化趋势的土地面积为24376.54公顷。</w:t>
      </w:r>
    </w:p>
    <w:p w14:paraId="6B3EA260">
      <w:pPr>
        <w:pageBreakBefore w:val="0"/>
        <w:widowControl/>
        <w:numPr>
          <w:ilvl w:val="1"/>
          <w:numId w:val="0"/>
        </w:numPr>
        <w:kinsoku/>
        <w:wordWrap/>
        <w:overflowPunct/>
        <w:topLinePunct w:val="0"/>
        <w:autoSpaceDE/>
        <w:autoSpaceDN/>
        <w:bidi w:val="0"/>
        <w:adjustRightInd/>
        <w:snapToGrid w:val="0"/>
        <w:spacing w:line="360" w:lineRule="auto"/>
        <w:ind w:left="0" w:leftChars="0" w:firstLine="0" w:firstLineChars="0"/>
        <w:jc w:val="left"/>
        <w:textAlignment w:val="auto"/>
        <w:outlineLvl w:val="1"/>
        <w:rPr>
          <w:rFonts w:hint="default" w:ascii="Times New Roman" w:hAnsi="Times New Roman" w:eastAsia="宋体" w:cs="Times New Roman"/>
          <w:b/>
          <w:bCs/>
          <w:color w:val="auto"/>
          <w:kern w:val="0"/>
          <w:sz w:val="30"/>
          <w:szCs w:val="32"/>
          <w:lang w:val="en-US" w:eastAsia="zh-CN" w:bidi="ar-SA"/>
        </w:rPr>
      </w:pPr>
      <w:bookmarkStart w:id="449" w:name="_Toc18615"/>
      <w:r>
        <w:rPr>
          <w:rFonts w:hint="default" w:ascii="Times New Roman" w:hAnsi="Times New Roman" w:eastAsia="宋体" w:cs="Times New Roman"/>
          <w:b/>
          <w:bCs/>
          <w:color w:val="auto"/>
          <w:kern w:val="0"/>
          <w:sz w:val="30"/>
          <w:szCs w:val="32"/>
          <w:lang w:val="en-US" w:eastAsia="zh-CN" w:bidi="ar-SA"/>
        </w:rPr>
        <w:t>4.</w:t>
      </w:r>
      <w:r>
        <w:rPr>
          <w:rFonts w:hint="eastAsia" w:eastAsia="宋体" w:cs="Times New Roman"/>
          <w:b/>
          <w:bCs/>
          <w:color w:val="auto"/>
          <w:kern w:val="0"/>
          <w:sz w:val="30"/>
          <w:szCs w:val="32"/>
          <w:lang w:val="en-US" w:eastAsia="zh-CN" w:bidi="ar-SA"/>
        </w:rPr>
        <w:t>2</w:t>
      </w:r>
      <w:r>
        <w:rPr>
          <w:rFonts w:hint="default" w:ascii="Times New Roman" w:hAnsi="Times New Roman" w:eastAsia="宋体" w:cs="Times New Roman"/>
          <w:b/>
          <w:bCs/>
          <w:color w:val="auto"/>
          <w:kern w:val="0"/>
          <w:sz w:val="30"/>
          <w:szCs w:val="32"/>
          <w:lang w:val="en-US" w:eastAsia="zh-CN" w:bidi="ar-SA"/>
        </w:rPr>
        <w:t>环境质量现状调查及评价</w:t>
      </w:r>
      <w:bookmarkEnd w:id="449"/>
    </w:p>
    <w:p w14:paraId="72CE8F90">
      <w:pPr>
        <w:widowControl/>
        <w:numPr>
          <w:ilvl w:val="2"/>
          <w:numId w:val="0"/>
        </w:numPr>
        <w:bidi w:val="0"/>
        <w:snapToGrid w:val="0"/>
        <w:spacing w:line="360" w:lineRule="auto"/>
        <w:ind w:left="0" w:leftChars="0" w:firstLine="0" w:firstLineChars="0"/>
        <w:jc w:val="left"/>
        <w:outlineLvl w:val="2"/>
        <w:rPr>
          <w:rFonts w:hint="default" w:ascii="Times New Roman" w:hAnsi="Times New Roman" w:eastAsia="宋体" w:cs="Times New Roman"/>
          <w:b/>
          <w:bCs/>
          <w:color w:val="auto"/>
          <w:kern w:val="0"/>
          <w:sz w:val="28"/>
          <w:szCs w:val="28"/>
          <w:lang w:val="en-US" w:eastAsia="zh-CN" w:bidi="ar-SA"/>
        </w:rPr>
      </w:pPr>
      <w:r>
        <w:rPr>
          <w:rFonts w:hint="default" w:ascii="Times New Roman" w:hAnsi="Times New Roman" w:eastAsia="宋体" w:cs="Times New Roman"/>
          <w:b/>
          <w:bCs/>
          <w:color w:val="auto"/>
          <w:kern w:val="0"/>
          <w:sz w:val="30"/>
          <w:szCs w:val="28"/>
          <w:lang w:val="en-US" w:eastAsia="zh-CN" w:bidi="ar-SA"/>
        </w:rPr>
        <w:t>4.</w:t>
      </w:r>
      <w:r>
        <w:rPr>
          <w:rFonts w:hint="eastAsia" w:eastAsia="宋体" w:cs="Times New Roman"/>
          <w:b/>
          <w:bCs/>
          <w:color w:val="auto"/>
          <w:kern w:val="0"/>
          <w:sz w:val="30"/>
          <w:szCs w:val="28"/>
          <w:lang w:val="en-US" w:eastAsia="zh-CN" w:bidi="ar-SA"/>
        </w:rPr>
        <w:t>2</w:t>
      </w:r>
      <w:r>
        <w:rPr>
          <w:rFonts w:hint="default" w:ascii="Times New Roman" w:hAnsi="Times New Roman" w:eastAsia="宋体" w:cs="Times New Roman"/>
          <w:b/>
          <w:bCs/>
          <w:color w:val="auto"/>
          <w:kern w:val="0"/>
          <w:sz w:val="30"/>
          <w:szCs w:val="28"/>
          <w:lang w:val="en-US" w:eastAsia="zh-CN" w:bidi="ar-SA"/>
        </w:rPr>
        <w:t>.1</w:t>
      </w:r>
      <w:r>
        <w:rPr>
          <w:rFonts w:hint="default" w:ascii="Times New Roman" w:hAnsi="Times New Roman" w:eastAsia="宋体" w:cs="Times New Roman"/>
          <w:b/>
          <w:bCs/>
          <w:color w:val="auto"/>
          <w:kern w:val="0"/>
          <w:sz w:val="28"/>
          <w:szCs w:val="28"/>
          <w:lang w:val="en-US" w:eastAsia="zh-CN" w:bidi="ar-SA"/>
        </w:rPr>
        <w:t>环境空气现状调查与评价</w:t>
      </w:r>
    </w:p>
    <w:p w14:paraId="4B741D0B">
      <w:pPr>
        <w:keepNext/>
        <w:keepLines/>
        <w:widowControl w:val="0"/>
        <w:numPr>
          <w:ilvl w:val="3"/>
          <w:numId w:val="0"/>
        </w:numPr>
        <w:bidi w:val="0"/>
        <w:snapToGrid w:val="0"/>
        <w:spacing w:beforeLines="0" w:beforeAutospacing="0" w:afterLines="0" w:afterAutospacing="0" w:line="360" w:lineRule="auto"/>
        <w:ind w:left="0" w:leftChars="0" w:firstLine="0" w:firstLineChars="0"/>
        <w:jc w:val="both"/>
        <w:outlineLvl w:val="3"/>
        <w:rPr>
          <w:rFonts w:hint="default" w:ascii="Times New Roman" w:hAnsi="Times New Roman" w:eastAsia="宋体" w:cs="Times New Roman"/>
          <w:b/>
          <w:color w:val="auto"/>
          <w:kern w:val="2"/>
          <w:sz w:val="24"/>
          <w:szCs w:val="21"/>
          <w:lang w:val="en-US" w:eastAsia="zh-CN" w:bidi="ar-SA"/>
        </w:rPr>
      </w:pPr>
      <w:r>
        <w:rPr>
          <w:rFonts w:hint="default" w:ascii="Times New Roman" w:hAnsi="Times New Roman" w:eastAsia="宋体" w:cs="Times New Roman"/>
          <w:b/>
          <w:color w:val="auto"/>
          <w:kern w:val="2"/>
          <w:sz w:val="24"/>
          <w:szCs w:val="21"/>
          <w:lang w:val="en-US" w:eastAsia="zh-CN" w:bidi="ar-SA"/>
        </w:rPr>
        <w:t>4.</w:t>
      </w:r>
      <w:r>
        <w:rPr>
          <w:rFonts w:hint="eastAsia" w:eastAsia="宋体" w:cs="Times New Roman"/>
          <w:b/>
          <w:color w:val="auto"/>
          <w:kern w:val="2"/>
          <w:sz w:val="24"/>
          <w:szCs w:val="21"/>
          <w:lang w:val="en-US" w:eastAsia="zh-CN" w:bidi="ar-SA"/>
        </w:rPr>
        <w:t>2</w:t>
      </w:r>
      <w:r>
        <w:rPr>
          <w:rFonts w:hint="default" w:ascii="Times New Roman" w:hAnsi="Times New Roman" w:eastAsia="宋体" w:cs="Times New Roman"/>
          <w:b/>
          <w:color w:val="auto"/>
          <w:kern w:val="2"/>
          <w:sz w:val="24"/>
          <w:szCs w:val="21"/>
          <w:lang w:val="en-US" w:eastAsia="zh-CN" w:bidi="ar-SA"/>
        </w:rPr>
        <w:t>.1.1数据来源</w:t>
      </w:r>
    </w:p>
    <w:p w14:paraId="5AB6B381">
      <w:pPr>
        <w:widowControl/>
        <w:snapToGrid w:val="0"/>
        <w:spacing w:after="0" w:line="360" w:lineRule="auto"/>
        <w:ind w:left="0" w:leftChars="0" w:firstLine="480" w:firstLineChars="200"/>
        <w:jc w:val="both"/>
        <w:rPr>
          <w:rFonts w:hint="eastAsia"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根据《环境影响评价技术导则 大气环境》（HJ2.2-2018）要求，采用评价范围内国家或地方环境空气质量监测网中评价基准年连续1年的监测数据，或采用生态环境主管部门公开发布的环境空气质量现状数据</w:t>
      </w:r>
      <w:r>
        <w:rPr>
          <w:rFonts w:hint="eastAsia" w:eastAsia="宋体" w:cs="Times New Roman"/>
          <w:color w:val="auto"/>
          <w:kern w:val="0"/>
          <w:sz w:val="24"/>
          <w:szCs w:val="21"/>
          <w:lang w:val="en-US" w:eastAsia="zh-CN" w:bidi="ar-SA"/>
        </w:rPr>
        <w:t>。评价范围内没有环境空气质量监测网数据或公开发布的环境空气质量现状数据的，可选择符合HJ 664 规定，并且与评价范围地理位置邻近，地形、气候条件相近的环境空气质量城市点或区域点监测数据。</w:t>
      </w:r>
    </w:p>
    <w:p w14:paraId="71DF45CF">
      <w:pPr>
        <w:overflowPunct/>
        <w:autoSpaceDE/>
        <w:autoSpaceDN/>
        <w:bidi w:val="0"/>
        <w:adjustRightInd/>
        <w:snapToGrid/>
        <w:spacing w:before="0" w:after="0" w:line="360" w:lineRule="auto"/>
        <w:ind w:left="0" w:right="0" w:firstLine="480" w:firstLineChars="200"/>
        <w:jc w:val="both"/>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本项目位于</w:t>
      </w:r>
      <w:r>
        <w:rPr>
          <w:rFonts w:hint="eastAsia" w:cs="Times New Roman"/>
          <w:color w:val="auto"/>
          <w:kern w:val="0"/>
          <w:sz w:val="24"/>
          <w:szCs w:val="24"/>
          <w:lang w:val="en-US" w:eastAsia="zh-CN"/>
        </w:rPr>
        <w:t>第七师胡杨河市</w:t>
      </w:r>
      <w:r>
        <w:rPr>
          <w:rFonts w:hint="eastAsia" w:ascii="Times New Roman" w:hAnsi="Times New Roman" w:eastAsia="宋体" w:cs="Times New Roman"/>
          <w:color w:val="auto"/>
          <w:kern w:val="0"/>
          <w:sz w:val="24"/>
          <w:szCs w:val="24"/>
          <w:lang w:val="en-US" w:eastAsia="zh-CN"/>
        </w:rPr>
        <w:t>，选取</w:t>
      </w:r>
      <w:r>
        <w:rPr>
          <w:rFonts w:hint="eastAsia" w:cs="Times New Roman"/>
          <w:color w:val="auto"/>
          <w:kern w:val="0"/>
          <w:sz w:val="24"/>
          <w:szCs w:val="24"/>
          <w:lang w:val="en-US" w:eastAsia="zh-CN"/>
        </w:rPr>
        <w:t>独山子区</w:t>
      </w:r>
      <w:r>
        <w:rPr>
          <w:rFonts w:hint="default" w:ascii="Times New Roman" w:hAnsi="Times New Roman" w:eastAsia="宋体" w:cs="Times New Roman"/>
          <w:color w:val="auto"/>
          <w:kern w:val="0"/>
          <w:sz w:val="24"/>
          <w:szCs w:val="24"/>
          <w:lang w:val="en-US" w:eastAsia="zh-CN"/>
        </w:rPr>
        <w:t>20</w:t>
      </w:r>
      <w:r>
        <w:rPr>
          <w:rFonts w:hint="eastAsia" w:ascii="Times New Roman" w:hAnsi="Times New Roman" w:eastAsia="宋体" w:cs="Times New Roman"/>
          <w:color w:val="auto"/>
          <w:kern w:val="0"/>
          <w:sz w:val="24"/>
          <w:szCs w:val="24"/>
          <w:lang w:val="en-US" w:eastAsia="zh-CN"/>
        </w:rPr>
        <w:t>2</w:t>
      </w:r>
      <w:r>
        <w:rPr>
          <w:rFonts w:hint="eastAsia" w:cs="Times New Roman"/>
          <w:color w:val="auto"/>
          <w:kern w:val="0"/>
          <w:sz w:val="24"/>
          <w:szCs w:val="24"/>
          <w:lang w:val="en-US" w:eastAsia="zh-CN"/>
        </w:rPr>
        <w:t>4</w:t>
      </w:r>
      <w:r>
        <w:rPr>
          <w:rFonts w:hint="eastAsia" w:ascii="Times New Roman" w:hAnsi="Times New Roman" w:eastAsia="宋体" w:cs="Times New Roman"/>
          <w:color w:val="auto"/>
          <w:kern w:val="0"/>
          <w:sz w:val="24"/>
          <w:szCs w:val="24"/>
          <w:lang w:val="en-US" w:eastAsia="zh-CN"/>
        </w:rPr>
        <w:t>年基准年连续</w:t>
      </w:r>
      <w:r>
        <w:rPr>
          <w:rFonts w:hint="default" w:ascii="Times New Roman" w:hAnsi="Times New Roman" w:eastAsia="宋体" w:cs="Times New Roman"/>
          <w:color w:val="auto"/>
          <w:kern w:val="0"/>
          <w:sz w:val="24"/>
          <w:szCs w:val="24"/>
          <w:lang w:val="en-US" w:eastAsia="zh-CN"/>
        </w:rPr>
        <w:t>1</w:t>
      </w:r>
      <w:r>
        <w:rPr>
          <w:rFonts w:hint="eastAsia" w:ascii="Times New Roman" w:hAnsi="Times New Roman" w:eastAsia="宋体" w:cs="Times New Roman"/>
          <w:color w:val="auto"/>
          <w:kern w:val="0"/>
          <w:sz w:val="24"/>
          <w:szCs w:val="24"/>
          <w:lang w:val="en-US" w:eastAsia="zh-CN"/>
        </w:rPr>
        <w:t>年的监测数据，作为本项目环境空气现状评价基本污染物</w:t>
      </w:r>
      <w:r>
        <w:rPr>
          <w:rFonts w:hint="default" w:ascii="Times New Roman" w:hAnsi="Times New Roman" w:eastAsia="宋体" w:cs="Times New Roman"/>
          <w:color w:val="auto"/>
          <w:kern w:val="0"/>
          <w:sz w:val="24"/>
          <w:szCs w:val="24"/>
          <w:lang w:val="en-US" w:eastAsia="zh-CN"/>
        </w:rPr>
        <w:t>SO</w:t>
      </w:r>
      <w:r>
        <w:rPr>
          <w:rFonts w:hint="default" w:ascii="Times New Roman" w:hAnsi="Times New Roman" w:eastAsia="宋体" w:cs="Times New Roman"/>
          <w:color w:val="auto"/>
          <w:kern w:val="0"/>
          <w:sz w:val="24"/>
          <w:szCs w:val="24"/>
          <w:vertAlign w:val="subscript"/>
          <w:lang w:val="en-US" w:eastAsia="zh-CN"/>
        </w:rPr>
        <w:t>2</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NO</w:t>
      </w:r>
      <w:r>
        <w:rPr>
          <w:rFonts w:hint="default" w:ascii="Times New Roman" w:hAnsi="Times New Roman" w:eastAsia="宋体" w:cs="Times New Roman"/>
          <w:color w:val="auto"/>
          <w:kern w:val="0"/>
          <w:sz w:val="24"/>
          <w:szCs w:val="24"/>
          <w:vertAlign w:val="subscript"/>
          <w:lang w:val="en-US" w:eastAsia="zh-CN"/>
        </w:rPr>
        <w:t>2</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PM</w:t>
      </w:r>
      <w:r>
        <w:rPr>
          <w:rFonts w:hint="default" w:ascii="Times New Roman" w:hAnsi="Times New Roman" w:eastAsia="宋体" w:cs="Times New Roman"/>
          <w:color w:val="auto"/>
          <w:kern w:val="0"/>
          <w:sz w:val="24"/>
          <w:szCs w:val="24"/>
          <w:vertAlign w:val="subscript"/>
          <w:lang w:val="en-US" w:eastAsia="zh-CN"/>
        </w:rPr>
        <w:t>10</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PM</w:t>
      </w:r>
      <w:r>
        <w:rPr>
          <w:rFonts w:hint="default" w:ascii="Times New Roman" w:hAnsi="Times New Roman" w:eastAsia="宋体" w:cs="Times New Roman"/>
          <w:color w:val="auto"/>
          <w:kern w:val="0"/>
          <w:sz w:val="24"/>
          <w:szCs w:val="24"/>
          <w:vertAlign w:val="subscript"/>
          <w:lang w:val="en-US" w:eastAsia="zh-CN"/>
        </w:rPr>
        <w:t>2.5</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CO</w:t>
      </w:r>
      <w:r>
        <w:rPr>
          <w:rFonts w:hint="eastAsia" w:ascii="Times New Roman" w:hAnsi="Times New Roman" w:eastAsia="宋体" w:cs="Times New Roman"/>
          <w:color w:val="auto"/>
          <w:kern w:val="0"/>
          <w:sz w:val="24"/>
          <w:szCs w:val="24"/>
          <w:lang w:val="en-US" w:eastAsia="zh-CN"/>
        </w:rPr>
        <w:t>和</w:t>
      </w:r>
      <w:r>
        <w:rPr>
          <w:rFonts w:hint="default" w:ascii="Times New Roman" w:hAnsi="Times New Roman" w:eastAsia="宋体" w:cs="Times New Roman"/>
          <w:color w:val="auto"/>
          <w:kern w:val="0"/>
          <w:sz w:val="24"/>
          <w:szCs w:val="24"/>
          <w:lang w:val="en-US" w:eastAsia="zh-CN"/>
        </w:rPr>
        <w:t>O</w:t>
      </w:r>
      <w:r>
        <w:rPr>
          <w:rFonts w:hint="default" w:ascii="Times New Roman" w:hAnsi="Times New Roman" w:eastAsia="宋体" w:cs="Times New Roman"/>
          <w:color w:val="auto"/>
          <w:kern w:val="0"/>
          <w:sz w:val="24"/>
          <w:szCs w:val="24"/>
          <w:vertAlign w:val="subscript"/>
          <w:lang w:val="en-US" w:eastAsia="zh-CN"/>
        </w:rPr>
        <w:t>3</w:t>
      </w:r>
      <w:r>
        <w:rPr>
          <w:rFonts w:hint="eastAsia" w:ascii="Times New Roman" w:hAnsi="Times New Roman" w:eastAsia="宋体" w:cs="Times New Roman"/>
          <w:color w:val="auto"/>
          <w:kern w:val="0"/>
          <w:sz w:val="24"/>
          <w:szCs w:val="24"/>
          <w:lang w:val="en-US" w:eastAsia="zh-CN"/>
        </w:rPr>
        <w:t>的数据来源。独山子区监测点</w:t>
      </w:r>
      <w:r>
        <w:rPr>
          <w:rFonts w:hint="eastAsia" w:ascii="Times New Roman" w:hAnsi="Times New Roman" w:eastAsia="宋体" w:cs="Times New Roman"/>
          <w:color w:val="auto"/>
          <w:kern w:val="0"/>
          <w:sz w:val="24"/>
          <w:szCs w:val="24"/>
          <w:highlight w:val="none"/>
          <w:lang w:val="en-US" w:eastAsia="zh-CN"/>
        </w:rPr>
        <w:t>（站点坐标为</w:t>
      </w:r>
      <w:r>
        <w:rPr>
          <w:rFonts w:hint="default" w:ascii="Times New Roman" w:hAnsi="Times New Roman" w:eastAsia="宋体" w:cs="Times New Roman"/>
          <w:b w:val="0"/>
          <w:bCs/>
          <w:color w:val="auto"/>
          <w:kern w:val="0"/>
          <w:sz w:val="24"/>
          <w:szCs w:val="24"/>
          <w:lang w:val="en-US" w:eastAsia="zh-CN" w:bidi="ar-SA"/>
        </w:rPr>
        <w:t>E8</w:t>
      </w:r>
      <w:r>
        <w:rPr>
          <w:rFonts w:hint="eastAsia" w:cs="Times New Roman"/>
          <w:b w:val="0"/>
          <w:bCs/>
          <w:color w:val="auto"/>
          <w:kern w:val="0"/>
          <w:sz w:val="24"/>
          <w:szCs w:val="24"/>
          <w:lang w:val="en-US" w:eastAsia="zh-CN" w:bidi="ar-SA"/>
        </w:rPr>
        <w:t>4</w:t>
      </w:r>
      <w:r>
        <w:rPr>
          <w:rFonts w:hint="default" w:ascii="Times New Roman" w:hAnsi="Times New Roman" w:eastAsia="宋体" w:cs="Times New Roman"/>
          <w:b w:val="0"/>
          <w:bCs/>
          <w:color w:val="auto"/>
          <w:kern w:val="0"/>
          <w:sz w:val="24"/>
          <w:szCs w:val="24"/>
          <w:lang w:val="en-US" w:eastAsia="zh-CN" w:bidi="ar-SA"/>
        </w:rPr>
        <w:t>°</w:t>
      </w:r>
      <w:r>
        <w:rPr>
          <w:rFonts w:hint="eastAsia" w:cs="Times New Roman"/>
          <w:b w:val="0"/>
          <w:bCs/>
          <w:color w:val="auto"/>
          <w:kern w:val="0"/>
          <w:sz w:val="24"/>
          <w:szCs w:val="24"/>
          <w:lang w:val="en-US" w:eastAsia="zh-CN" w:bidi="ar-SA"/>
        </w:rPr>
        <w:t>54</w:t>
      </w:r>
      <w:r>
        <w:rPr>
          <w:rFonts w:hint="default" w:ascii="Times New Roman" w:hAnsi="Times New Roman" w:eastAsia="宋体" w:cs="Times New Roman"/>
          <w:b w:val="0"/>
          <w:bCs/>
          <w:color w:val="auto"/>
          <w:kern w:val="0"/>
          <w:sz w:val="24"/>
          <w:szCs w:val="24"/>
          <w:lang w:val="en-US" w:eastAsia="zh-CN" w:bidi="ar-SA"/>
        </w:rPr>
        <w:t>′</w:t>
      </w:r>
      <w:r>
        <w:rPr>
          <w:rFonts w:hint="eastAsia" w:cs="Times New Roman"/>
          <w:b w:val="0"/>
          <w:bCs/>
          <w:color w:val="auto"/>
          <w:kern w:val="0"/>
          <w:sz w:val="24"/>
          <w:szCs w:val="24"/>
          <w:lang w:val="en-US" w:eastAsia="zh-CN" w:bidi="ar-SA"/>
        </w:rPr>
        <w:t>18.0</w:t>
      </w:r>
      <w:r>
        <w:rPr>
          <w:rFonts w:hint="default" w:ascii="Times New Roman" w:hAnsi="Times New Roman" w:eastAsia="宋体" w:cs="Times New Roman"/>
          <w:b w:val="0"/>
          <w:bCs/>
          <w:color w:val="auto"/>
          <w:kern w:val="0"/>
          <w:sz w:val="24"/>
          <w:szCs w:val="24"/>
          <w:lang w:val="en-US" w:eastAsia="zh-CN" w:bidi="ar-SA"/>
        </w:rPr>
        <w:t>00″，N44°</w:t>
      </w:r>
      <w:r>
        <w:rPr>
          <w:rFonts w:hint="eastAsia" w:cs="Times New Roman"/>
          <w:b w:val="0"/>
          <w:bCs/>
          <w:color w:val="auto"/>
          <w:kern w:val="0"/>
          <w:sz w:val="24"/>
          <w:szCs w:val="24"/>
          <w:lang w:val="en-US" w:eastAsia="zh-CN" w:bidi="ar-SA"/>
        </w:rPr>
        <w:t>20</w:t>
      </w:r>
      <w:r>
        <w:rPr>
          <w:rFonts w:hint="default" w:ascii="Times New Roman" w:hAnsi="Times New Roman" w:eastAsia="宋体" w:cs="Times New Roman"/>
          <w:b w:val="0"/>
          <w:bCs/>
          <w:color w:val="auto"/>
          <w:kern w:val="0"/>
          <w:sz w:val="24"/>
          <w:szCs w:val="24"/>
          <w:lang w:val="en-US" w:eastAsia="zh-CN" w:bidi="ar-SA"/>
        </w:rPr>
        <w:t>′</w:t>
      </w:r>
      <w:r>
        <w:rPr>
          <w:rFonts w:hint="eastAsia" w:cs="Times New Roman"/>
          <w:b w:val="0"/>
          <w:bCs/>
          <w:color w:val="auto"/>
          <w:kern w:val="0"/>
          <w:sz w:val="24"/>
          <w:szCs w:val="24"/>
          <w:lang w:val="en-US" w:eastAsia="zh-CN" w:bidi="ar-SA"/>
        </w:rPr>
        <w:t>22.5</w:t>
      </w:r>
      <w:r>
        <w:rPr>
          <w:rFonts w:hint="default" w:ascii="Times New Roman" w:hAnsi="Times New Roman" w:eastAsia="宋体" w:cs="Times New Roman"/>
          <w:b w:val="0"/>
          <w:bCs/>
          <w:color w:val="auto"/>
          <w:kern w:val="0"/>
          <w:sz w:val="24"/>
          <w:szCs w:val="24"/>
          <w:lang w:val="en-US" w:eastAsia="zh-CN" w:bidi="ar-SA"/>
        </w:rPr>
        <w:t>60″</w:t>
      </w:r>
      <w:r>
        <w:rPr>
          <w:rFonts w:hint="eastAsia" w:ascii="Times New Roman" w:hAnsi="Times New Roman" w:eastAsia="宋体"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lang w:val="en-US" w:eastAsia="zh-CN"/>
        </w:rPr>
        <w:t>位于项目区东</w:t>
      </w:r>
      <w:r>
        <w:rPr>
          <w:rFonts w:hint="eastAsia" w:cs="Times New Roman"/>
          <w:color w:val="auto"/>
          <w:kern w:val="0"/>
          <w:sz w:val="24"/>
          <w:szCs w:val="24"/>
          <w:lang w:val="en-US" w:eastAsia="zh-CN"/>
        </w:rPr>
        <w:t>南</w:t>
      </w:r>
      <w:r>
        <w:rPr>
          <w:rFonts w:hint="eastAsia" w:ascii="Times New Roman" w:hAnsi="Times New Roman" w:eastAsia="宋体" w:cs="Times New Roman"/>
          <w:color w:val="auto"/>
          <w:kern w:val="0"/>
          <w:sz w:val="24"/>
          <w:szCs w:val="24"/>
          <w:lang w:val="en-US" w:eastAsia="zh-CN"/>
        </w:rPr>
        <w:t>方向约</w:t>
      </w:r>
      <w:r>
        <w:rPr>
          <w:rFonts w:hint="eastAsia" w:cs="Times New Roman"/>
          <w:color w:val="auto"/>
          <w:kern w:val="0"/>
          <w:sz w:val="24"/>
          <w:szCs w:val="24"/>
          <w:lang w:val="en-US" w:eastAsia="zh-CN"/>
        </w:rPr>
        <w:t>55.2</w:t>
      </w:r>
      <w:r>
        <w:rPr>
          <w:rFonts w:hint="default" w:ascii="Times New Roman" w:hAnsi="Times New Roman" w:eastAsia="宋体" w:cs="Times New Roman"/>
          <w:color w:val="auto"/>
          <w:kern w:val="0"/>
          <w:sz w:val="24"/>
          <w:szCs w:val="24"/>
          <w:lang w:val="en-US" w:eastAsia="zh-CN"/>
        </w:rPr>
        <w:t>km</w:t>
      </w:r>
      <w:r>
        <w:rPr>
          <w:rFonts w:hint="eastAsia" w:ascii="Times New Roman" w:hAnsi="Times New Roman" w:eastAsia="宋体" w:cs="Times New Roman"/>
          <w:color w:val="auto"/>
          <w:kern w:val="0"/>
          <w:sz w:val="24"/>
          <w:szCs w:val="24"/>
          <w:lang w:val="en-US" w:eastAsia="zh-CN"/>
        </w:rPr>
        <w:t>处，监测点位和项目所在区域地形、气象条件、环境特征、环境功能基本一致，引用数据能客观体现所在区域环境质量，项目引用环境质量资料基本可行。</w:t>
      </w:r>
    </w:p>
    <w:p w14:paraId="6ED7DFEA">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eastAsia="宋体" w:cs="宋体"/>
          <w:b w:val="0"/>
          <w:bCs w:val="0"/>
          <w:color w:val="auto"/>
          <w:kern w:val="0"/>
          <w:sz w:val="24"/>
          <w:szCs w:val="22"/>
          <w:lang w:val="en-US" w:eastAsia="zh-CN"/>
        </w:rPr>
      </w:pPr>
      <w:r>
        <w:rPr>
          <w:rFonts w:hint="default" w:ascii="Times New Roman" w:hAnsi="Times New Roman" w:eastAsia="宋体" w:cs="宋体"/>
          <w:b w:val="0"/>
          <w:bCs w:val="0"/>
          <w:color w:val="auto"/>
          <w:kern w:val="0"/>
          <w:sz w:val="24"/>
          <w:szCs w:val="22"/>
          <w:highlight w:val="none"/>
        </w:rPr>
        <w:t>特征污染因子</w:t>
      </w:r>
      <w:r>
        <w:rPr>
          <w:rFonts w:hint="eastAsia" w:ascii="Times New Roman" w:hAnsi="Times New Roman" w:eastAsia="宋体" w:cs="宋体"/>
          <w:b w:val="0"/>
          <w:bCs w:val="0"/>
          <w:color w:val="auto"/>
          <w:kern w:val="0"/>
          <w:sz w:val="24"/>
          <w:szCs w:val="22"/>
          <w:highlight w:val="none"/>
          <w:lang w:val="en-US" w:eastAsia="zh-CN"/>
        </w:rPr>
        <w:t>TSP、氨、硫化氢、臭气浓度</w:t>
      </w:r>
      <w:r>
        <w:rPr>
          <w:rFonts w:hint="eastAsia" w:cs="宋体"/>
          <w:b w:val="0"/>
          <w:bCs w:val="0"/>
          <w:color w:val="auto"/>
          <w:kern w:val="0"/>
          <w:sz w:val="24"/>
          <w:szCs w:val="22"/>
          <w:highlight w:val="none"/>
          <w:lang w:val="en-US" w:eastAsia="zh-CN"/>
        </w:rPr>
        <w:t>委托</w:t>
      </w:r>
      <w:r>
        <w:rPr>
          <w:rFonts w:ascii="宋体" w:hAnsi="宋体" w:eastAsia="宋体" w:cs="宋体"/>
          <w:sz w:val="24"/>
          <w:szCs w:val="24"/>
        </w:rPr>
        <w:t>新疆国联环保科技有限公司</w:t>
      </w:r>
      <w:r>
        <w:rPr>
          <w:rFonts w:hint="eastAsia" w:ascii="Times New Roman" w:hAnsi="Times New Roman" w:eastAsia="宋体" w:cs="宋体"/>
          <w:b w:val="0"/>
          <w:bCs w:val="0"/>
          <w:color w:val="auto"/>
          <w:kern w:val="0"/>
          <w:sz w:val="24"/>
          <w:szCs w:val="22"/>
          <w:lang w:val="en-US" w:eastAsia="zh-CN"/>
        </w:rPr>
        <w:t>于202</w:t>
      </w:r>
      <w:r>
        <w:rPr>
          <w:rFonts w:hint="eastAsia" w:cs="宋体"/>
          <w:b w:val="0"/>
          <w:bCs w:val="0"/>
          <w:color w:val="auto"/>
          <w:kern w:val="0"/>
          <w:sz w:val="24"/>
          <w:szCs w:val="22"/>
          <w:lang w:val="en-US" w:eastAsia="zh-CN"/>
        </w:rPr>
        <w:t>6</w:t>
      </w:r>
      <w:r>
        <w:rPr>
          <w:rFonts w:hint="eastAsia" w:ascii="Times New Roman" w:hAnsi="Times New Roman" w:eastAsia="宋体" w:cs="宋体"/>
          <w:b w:val="0"/>
          <w:bCs w:val="0"/>
          <w:color w:val="auto"/>
          <w:kern w:val="0"/>
          <w:sz w:val="24"/>
          <w:szCs w:val="22"/>
          <w:lang w:val="en-US" w:eastAsia="zh-CN"/>
        </w:rPr>
        <w:t>年</w:t>
      </w:r>
      <w:r>
        <w:rPr>
          <w:rFonts w:hint="eastAsia" w:cs="宋体"/>
          <w:b w:val="0"/>
          <w:bCs w:val="0"/>
          <w:color w:val="auto"/>
          <w:kern w:val="0"/>
          <w:sz w:val="24"/>
          <w:szCs w:val="22"/>
          <w:lang w:val="en-US" w:eastAsia="zh-CN"/>
        </w:rPr>
        <w:t>4</w:t>
      </w:r>
      <w:r>
        <w:rPr>
          <w:rFonts w:hint="eastAsia" w:ascii="Times New Roman" w:hAnsi="Times New Roman" w:eastAsia="宋体" w:cs="宋体"/>
          <w:b w:val="0"/>
          <w:bCs w:val="0"/>
          <w:color w:val="auto"/>
          <w:kern w:val="0"/>
          <w:sz w:val="24"/>
          <w:szCs w:val="22"/>
          <w:lang w:val="en-US" w:eastAsia="zh-CN"/>
        </w:rPr>
        <w:t>月</w:t>
      </w:r>
      <w:r>
        <w:rPr>
          <w:rFonts w:hint="eastAsia" w:cs="宋体"/>
          <w:b w:val="0"/>
          <w:bCs w:val="0"/>
          <w:color w:val="auto"/>
          <w:kern w:val="0"/>
          <w:sz w:val="24"/>
          <w:szCs w:val="22"/>
          <w:lang w:val="en-US" w:eastAsia="zh-CN"/>
        </w:rPr>
        <w:t>14日起至2026年4</w:t>
      </w:r>
      <w:r>
        <w:rPr>
          <w:rFonts w:hint="eastAsia" w:ascii="Times New Roman" w:hAnsi="Times New Roman" w:eastAsia="宋体" w:cs="宋体"/>
          <w:b w:val="0"/>
          <w:bCs w:val="0"/>
          <w:color w:val="auto"/>
          <w:kern w:val="0"/>
          <w:sz w:val="24"/>
          <w:szCs w:val="22"/>
          <w:lang w:val="en-US" w:eastAsia="zh-CN"/>
        </w:rPr>
        <w:t>月</w:t>
      </w:r>
      <w:r>
        <w:rPr>
          <w:rFonts w:hint="eastAsia" w:cs="宋体"/>
          <w:b w:val="0"/>
          <w:bCs w:val="0"/>
          <w:color w:val="auto"/>
          <w:kern w:val="0"/>
          <w:sz w:val="24"/>
          <w:szCs w:val="22"/>
          <w:lang w:val="en-US" w:eastAsia="zh-CN"/>
        </w:rPr>
        <w:t>20</w:t>
      </w:r>
      <w:r>
        <w:rPr>
          <w:rFonts w:hint="eastAsia" w:ascii="Times New Roman" w:hAnsi="Times New Roman" w:eastAsia="宋体" w:cs="宋体"/>
          <w:b w:val="0"/>
          <w:bCs w:val="0"/>
          <w:color w:val="auto"/>
          <w:kern w:val="0"/>
          <w:sz w:val="24"/>
          <w:szCs w:val="22"/>
          <w:lang w:val="en-US" w:eastAsia="zh-CN"/>
        </w:rPr>
        <w:t>日对</w:t>
      </w:r>
      <w:r>
        <w:rPr>
          <w:rFonts w:hint="eastAsia" w:cs="宋体"/>
          <w:b w:val="0"/>
          <w:bCs w:val="0"/>
          <w:color w:val="auto"/>
          <w:kern w:val="0"/>
          <w:sz w:val="24"/>
          <w:szCs w:val="22"/>
          <w:lang w:val="en-US" w:eastAsia="zh-CN"/>
        </w:rPr>
        <w:t>项目区下风向进行监测</w:t>
      </w:r>
      <w:r>
        <w:rPr>
          <w:rFonts w:hint="eastAsia" w:eastAsia="宋体" w:cs="宋体"/>
          <w:b w:val="0"/>
          <w:bCs w:val="0"/>
          <w:color w:val="auto"/>
          <w:kern w:val="0"/>
          <w:sz w:val="24"/>
          <w:szCs w:val="22"/>
          <w:lang w:val="en-US" w:eastAsia="zh-CN"/>
        </w:rPr>
        <w:t>。</w:t>
      </w:r>
    </w:p>
    <w:p w14:paraId="562524FC">
      <w:pPr>
        <w:widowControl w:val="0"/>
        <w:bidi w:val="0"/>
        <w:spacing w:line="360" w:lineRule="auto"/>
        <w:jc w:val="both"/>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4.</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.1.</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监测布点</w:t>
      </w:r>
    </w:p>
    <w:p w14:paraId="49F525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根据项目区气象气候和地形条件，特征污染因子现状监测</w:t>
      </w:r>
      <w:r>
        <w:rPr>
          <w:rFonts w:hint="default" w:ascii="Times New Roman" w:hAnsi="Times New Roman" w:eastAsia="宋体" w:cs="Times New Roman"/>
          <w:kern w:val="2"/>
          <w:sz w:val="24"/>
          <w:szCs w:val="24"/>
          <w:lang w:eastAsia="zh-CN"/>
        </w:rPr>
        <w:t>位于</w:t>
      </w:r>
      <w:r>
        <w:rPr>
          <w:rFonts w:hint="eastAsia" w:ascii="Times New Roman" w:hAnsi="Times New Roman" w:eastAsia="宋体" w:cs="Times New Roman"/>
          <w:kern w:val="2"/>
          <w:sz w:val="24"/>
          <w:szCs w:val="24"/>
          <w:lang w:val="en-US" w:eastAsia="zh-CN"/>
        </w:rPr>
        <w:t>项目区下风向</w:t>
      </w:r>
      <w:r>
        <w:rPr>
          <w:rFonts w:hint="default" w:ascii="Times New Roman" w:hAnsi="Times New Roman" w:eastAsia="宋体" w:cs="Times New Roman"/>
          <w:kern w:val="2"/>
          <w:sz w:val="24"/>
          <w:szCs w:val="24"/>
        </w:rPr>
        <w:t>布设</w:t>
      </w:r>
      <w:r>
        <w:rPr>
          <w:rFonts w:hint="eastAsia" w:cs="Times New Roman"/>
          <w:kern w:val="2"/>
          <w:sz w:val="24"/>
          <w:szCs w:val="24"/>
          <w:lang w:val="en-US" w:eastAsia="zh-CN"/>
        </w:rPr>
        <w:t>1</w:t>
      </w:r>
      <w:r>
        <w:rPr>
          <w:rFonts w:hint="default" w:ascii="Times New Roman" w:hAnsi="Times New Roman" w:eastAsia="宋体" w:cs="Times New Roman"/>
          <w:kern w:val="2"/>
          <w:sz w:val="24"/>
          <w:szCs w:val="24"/>
        </w:rPr>
        <w:t>个监测点</w:t>
      </w:r>
      <w:r>
        <w:rPr>
          <w:rFonts w:hint="default" w:ascii="Times New Roman" w:hAnsi="Times New Roman" w:eastAsia="宋体" w:cs="Times New Roman"/>
          <w:kern w:val="2"/>
          <w:sz w:val="24"/>
          <w:szCs w:val="24"/>
          <w:lang w:eastAsia="zh-CN"/>
        </w:rPr>
        <w:t>，</w:t>
      </w:r>
      <w:r>
        <w:rPr>
          <w:rFonts w:hint="default" w:ascii="Times New Roman" w:hAnsi="Times New Roman" w:eastAsia="宋体" w:cs="Times New Roman"/>
          <w:kern w:val="2"/>
          <w:sz w:val="24"/>
          <w:szCs w:val="24"/>
        </w:rPr>
        <w:t>能够代表区域特征污染因子</w:t>
      </w:r>
      <w:r>
        <w:rPr>
          <w:rFonts w:hint="default" w:ascii="Times New Roman" w:hAnsi="Times New Roman" w:eastAsia="宋体" w:cs="Times New Roman"/>
          <w:kern w:val="2"/>
          <w:sz w:val="24"/>
          <w:szCs w:val="24"/>
          <w:lang w:eastAsia="zh-CN"/>
        </w:rPr>
        <w:t>污染</w:t>
      </w:r>
      <w:r>
        <w:rPr>
          <w:rFonts w:hint="default" w:ascii="Times New Roman" w:hAnsi="Times New Roman" w:eastAsia="宋体" w:cs="Times New Roman"/>
          <w:kern w:val="2"/>
          <w:sz w:val="24"/>
          <w:szCs w:val="24"/>
        </w:rPr>
        <w:t>状况。本项目环境监测布点情况见图4.</w:t>
      </w:r>
      <w:r>
        <w:rPr>
          <w:rFonts w:hint="eastAsia" w:ascii="Times New Roman" w:hAnsi="Times New Roman" w:eastAsia="宋体" w:cs="Times New Roman"/>
          <w:kern w:val="2"/>
          <w:sz w:val="24"/>
          <w:szCs w:val="24"/>
          <w:lang w:val="en-US" w:eastAsia="zh-CN"/>
        </w:rPr>
        <w:t>2</w:t>
      </w:r>
      <w:r>
        <w:rPr>
          <w:rFonts w:hint="default" w:ascii="Times New Roman" w:hAnsi="Times New Roman" w:eastAsia="宋体" w:cs="Times New Roman"/>
          <w:kern w:val="2"/>
          <w:sz w:val="24"/>
          <w:szCs w:val="24"/>
        </w:rPr>
        <w:t>-1。</w:t>
      </w:r>
    </w:p>
    <w:p w14:paraId="3A832003">
      <w:pPr>
        <w:widowControl w:val="0"/>
        <w:bidi w:val="0"/>
        <w:spacing w:line="500" w:lineRule="exact"/>
        <w:jc w:val="both"/>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4.</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.1.</w:t>
      </w:r>
      <w:r>
        <w:rPr>
          <w:rFonts w:hint="eastAsia" w:ascii="Times New Roman" w:hAnsi="Times New Roman" w:eastAsia="宋体" w:cs="Times New Roman"/>
          <w:b/>
          <w:kern w:val="0"/>
          <w:sz w:val="24"/>
          <w:szCs w:val="24"/>
          <w:lang w:val="en-US" w:eastAsia="zh-CN" w:bidi="ar-SA"/>
        </w:rPr>
        <w:t>3</w:t>
      </w:r>
      <w:r>
        <w:rPr>
          <w:rFonts w:hint="default" w:ascii="Times New Roman" w:hAnsi="Times New Roman" w:eastAsia="宋体" w:cs="Times New Roman"/>
          <w:b/>
          <w:kern w:val="0"/>
          <w:sz w:val="24"/>
          <w:szCs w:val="24"/>
          <w:lang w:val="en-US" w:eastAsia="zh-CN" w:bidi="ar-SA"/>
        </w:rPr>
        <w:t>采样及分析方法</w:t>
      </w:r>
    </w:p>
    <w:p w14:paraId="4EFE06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snapToGrid w:val="0"/>
          <w:color w:val="auto"/>
          <w:kern w:val="0"/>
          <w:sz w:val="24"/>
          <w:szCs w:val="24"/>
          <w:lang w:val="en-US" w:eastAsia="zh-CN" w:bidi="ar-SA"/>
        </w:rPr>
      </w:pPr>
      <w:r>
        <w:rPr>
          <w:rFonts w:hint="default" w:ascii="Times New Roman" w:hAnsi="Times New Roman" w:eastAsia="宋体" w:cs="Times New Roman"/>
          <w:snapToGrid w:val="0"/>
          <w:color w:val="auto"/>
          <w:kern w:val="0"/>
          <w:sz w:val="24"/>
          <w:szCs w:val="24"/>
          <w:lang w:val="en-US" w:eastAsia="zh-CN" w:bidi="ar-SA"/>
        </w:rPr>
        <w:t>采样分析方法均按《空气和废气监测分析方法</w:t>
      </w:r>
      <w:r>
        <w:rPr>
          <w:rFonts w:hint="eastAsia" w:cs="Times New Roman"/>
          <w:snapToGrid w:val="0"/>
          <w:color w:val="auto"/>
          <w:kern w:val="0"/>
          <w:sz w:val="24"/>
          <w:szCs w:val="24"/>
          <w:lang w:val="en-US" w:eastAsia="zh-CN" w:bidi="ar-SA"/>
        </w:rPr>
        <w:t>》和《</w:t>
      </w:r>
      <w:r>
        <w:rPr>
          <w:rFonts w:hint="default" w:ascii="Times New Roman" w:hAnsi="Times New Roman" w:eastAsia="宋体" w:cs="Times New Roman"/>
          <w:snapToGrid w:val="0"/>
          <w:color w:val="auto"/>
          <w:kern w:val="0"/>
          <w:sz w:val="24"/>
          <w:szCs w:val="24"/>
          <w:lang w:val="en-US" w:eastAsia="zh-CN" w:bidi="ar-SA"/>
        </w:rPr>
        <w:t>环境监测技术规范》中的有关规定执行。</w:t>
      </w:r>
    </w:p>
    <w:p w14:paraId="203E88E9">
      <w:pPr>
        <w:widowControl w:val="0"/>
        <w:bidi w:val="0"/>
        <w:spacing w:line="500" w:lineRule="exact"/>
        <w:jc w:val="both"/>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4.</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.1.</w:t>
      </w:r>
      <w:r>
        <w:rPr>
          <w:rFonts w:hint="eastAsia" w:ascii="Times New Roman" w:hAnsi="Times New Roman" w:eastAsia="宋体" w:cs="Times New Roman"/>
          <w:b/>
          <w:kern w:val="0"/>
          <w:sz w:val="24"/>
          <w:szCs w:val="24"/>
          <w:lang w:val="en-US" w:eastAsia="zh-CN" w:bidi="ar-SA"/>
        </w:rPr>
        <w:t>4</w:t>
      </w:r>
      <w:r>
        <w:rPr>
          <w:rFonts w:hint="default" w:ascii="Times New Roman" w:hAnsi="Times New Roman" w:eastAsia="宋体" w:cs="Times New Roman"/>
          <w:b/>
          <w:kern w:val="0"/>
          <w:sz w:val="24"/>
          <w:szCs w:val="24"/>
          <w:lang w:val="en-US" w:eastAsia="zh-CN" w:bidi="ar-SA"/>
        </w:rPr>
        <w:t>大气环境质量现状评价</w:t>
      </w:r>
    </w:p>
    <w:p w14:paraId="14459C83">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①</w:t>
      </w:r>
      <w:r>
        <w:rPr>
          <w:rFonts w:hint="default" w:ascii="Times New Roman" w:hAnsi="Times New Roman" w:eastAsia="宋体" w:cs="宋体"/>
          <w:color w:val="auto"/>
          <w:kern w:val="0"/>
          <w:sz w:val="24"/>
          <w:szCs w:val="22"/>
          <w:lang w:val="en-US" w:eastAsia="zh-CN"/>
        </w:rPr>
        <w:t>评价标准</w:t>
      </w:r>
    </w:p>
    <w:p w14:paraId="18072091">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根据本项目所在区域的环境功能区划，常规污染物</w:t>
      </w:r>
      <w:r>
        <w:rPr>
          <w:rFonts w:hint="eastAsia" w:ascii="Times New Roman" w:hAnsi="Times New Roman" w:eastAsia="宋体" w:cs="宋体"/>
          <w:color w:val="auto"/>
          <w:kern w:val="0"/>
          <w:sz w:val="24"/>
          <w:szCs w:val="22"/>
          <w:lang w:val="en-US" w:eastAsia="zh-CN"/>
        </w:rPr>
        <w:t>均</w:t>
      </w:r>
      <w:r>
        <w:rPr>
          <w:rFonts w:hint="default" w:ascii="Times New Roman" w:hAnsi="Times New Roman" w:eastAsia="宋体" w:cs="宋体"/>
          <w:color w:val="auto"/>
          <w:kern w:val="0"/>
          <w:sz w:val="24"/>
          <w:szCs w:val="22"/>
          <w:lang w:val="en-US" w:eastAsia="zh-CN"/>
        </w:rPr>
        <w:t>执行《环境空气质量标准》（GB 3095—2026）中过渡阶段二级标准。</w:t>
      </w:r>
    </w:p>
    <w:p w14:paraId="765531E3">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②</w:t>
      </w:r>
      <w:r>
        <w:rPr>
          <w:rFonts w:hint="default" w:ascii="Times New Roman" w:hAnsi="Times New Roman" w:eastAsia="宋体" w:cs="宋体"/>
          <w:color w:val="auto"/>
          <w:kern w:val="0"/>
          <w:sz w:val="24"/>
          <w:szCs w:val="22"/>
          <w:lang w:val="en-US" w:eastAsia="zh-CN"/>
        </w:rPr>
        <w:t>常规污染物监测结果及评价统计</w:t>
      </w:r>
    </w:p>
    <w:p w14:paraId="2DC1E2AC">
      <w:pPr>
        <w:overflowPunct/>
        <w:autoSpaceDE/>
        <w:autoSpaceDN/>
        <w:bidi w:val="0"/>
        <w:adjustRightInd/>
        <w:snapToGrid/>
        <w:spacing w:before="0" w:after="0" w:line="360" w:lineRule="auto"/>
        <w:ind w:left="0" w:leftChars="0" w:right="0" w:firstLine="480" w:firstLineChars="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根据20</w:t>
      </w:r>
      <w:r>
        <w:rPr>
          <w:rFonts w:hint="eastAsia" w:cs="宋体"/>
          <w:color w:val="auto"/>
          <w:kern w:val="0"/>
          <w:sz w:val="24"/>
          <w:szCs w:val="22"/>
          <w:lang w:val="en-US" w:eastAsia="zh-CN"/>
        </w:rPr>
        <w:t>24</w:t>
      </w:r>
      <w:r>
        <w:rPr>
          <w:rFonts w:hint="eastAsia" w:ascii="Times New Roman" w:hAnsi="Times New Roman" w:eastAsia="宋体" w:cs="宋体"/>
          <w:color w:val="auto"/>
          <w:kern w:val="0"/>
          <w:sz w:val="24"/>
          <w:szCs w:val="22"/>
          <w:lang w:val="en-US" w:eastAsia="zh-CN"/>
        </w:rPr>
        <w:t>年</w:t>
      </w:r>
      <w:r>
        <w:rPr>
          <w:rFonts w:hint="eastAsia" w:cs="宋体"/>
          <w:color w:val="auto"/>
          <w:kern w:val="0"/>
          <w:sz w:val="24"/>
          <w:szCs w:val="22"/>
          <w:lang w:val="en-US" w:eastAsia="zh-CN"/>
        </w:rPr>
        <w:t>独山子区</w:t>
      </w:r>
      <w:r>
        <w:rPr>
          <w:rFonts w:hint="eastAsia" w:ascii="Times New Roman" w:hAnsi="Times New Roman" w:eastAsia="宋体" w:cs="宋体"/>
          <w:color w:val="auto"/>
          <w:kern w:val="0"/>
          <w:sz w:val="24"/>
          <w:szCs w:val="22"/>
          <w:lang w:val="en-US" w:eastAsia="zh-CN"/>
        </w:rPr>
        <w:t>监测站点空气质量逐日统计结果，</w:t>
      </w:r>
      <w:r>
        <w:rPr>
          <w:rFonts w:hint="default" w:ascii="Times New Roman" w:hAnsi="Times New Roman" w:eastAsia="宋体" w:cs="宋体"/>
          <w:color w:val="auto"/>
          <w:kern w:val="0"/>
          <w:sz w:val="24"/>
          <w:szCs w:val="22"/>
          <w:lang w:val="en-US" w:eastAsia="zh-CN"/>
        </w:rPr>
        <w:t>SO</w:t>
      </w:r>
      <w:r>
        <w:rPr>
          <w:rFonts w:hint="default" w:ascii="Times New Roman" w:hAnsi="Times New Roman" w:eastAsia="宋体" w:cs="宋体"/>
          <w:color w:val="auto"/>
          <w:kern w:val="0"/>
          <w:sz w:val="24"/>
          <w:szCs w:val="22"/>
          <w:vertAlign w:val="subscript"/>
          <w:lang w:val="en-US" w:eastAsia="zh-CN"/>
        </w:rPr>
        <w:t>2</w:t>
      </w:r>
      <w:r>
        <w:rPr>
          <w:rFonts w:hint="default" w:ascii="Times New Roman" w:hAnsi="Times New Roman" w:eastAsia="宋体" w:cs="宋体"/>
          <w:color w:val="auto"/>
          <w:kern w:val="0"/>
          <w:sz w:val="24"/>
          <w:szCs w:val="22"/>
          <w:lang w:val="en-US" w:eastAsia="zh-CN"/>
        </w:rPr>
        <w:t>、NO</w:t>
      </w:r>
      <w:r>
        <w:rPr>
          <w:rFonts w:hint="default" w:ascii="Times New Roman" w:hAnsi="Times New Roman" w:eastAsia="宋体" w:cs="宋体"/>
          <w:color w:val="auto"/>
          <w:kern w:val="0"/>
          <w:sz w:val="24"/>
          <w:szCs w:val="22"/>
          <w:vertAlign w:val="subscript"/>
          <w:lang w:val="en-US" w:eastAsia="zh-CN"/>
        </w:rPr>
        <w:t>2</w:t>
      </w:r>
      <w:r>
        <w:rPr>
          <w:rFonts w:hint="default" w:ascii="Times New Roman" w:hAnsi="Times New Roman" w:eastAsia="宋体" w:cs="宋体"/>
          <w:color w:val="auto"/>
          <w:kern w:val="0"/>
          <w:sz w:val="24"/>
          <w:szCs w:val="22"/>
          <w:lang w:val="en-US" w:eastAsia="zh-CN"/>
        </w:rPr>
        <w:t>、PM</w:t>
      </w:r>
      <w:r>
        <w:rPr>
          <w:rFonts w:hint="default" w:ascii="Times New Roman" w:hAnsi="Times New Roman" w:eastAsia="宋体" w:cs="宋体"/>
          <w:color w:val="auto"/>
          <w:kern w:val="0"/>
          <w:sz w:val="24"/>
          <w:szCs w:val="22"/>
          <w:vertAlign w:val="subscript"/>
          <w:lang w:val="en-US" w:eastAsia="zh-CN"/>
        </w:rPr>
        <w:t>10</w:t>
      </w:r>
      <w:r>
        <w:rPr>
          <w:rFonts w:hint="default" w:ascii="Times New Roman" w:hAnsi="Times New Roman" w:eastAsia="宋体" w:cs="宋体"/>
          <w:color w:val="auto"/>
          <w:kern w:val="0"/>
          <w:sz w:val="24"/>
          <w:szCs w:val="22"/>
          <w:lang w:val="en-US" w:eastAsia="zh-CN"/>
        </w:rPr>
        <w:t>、PM</w:t>
      </w:r>
      <w:r>
        <w:rPr>
          <w:rFonts w:hint="default" w:ascii="Times New Roman" w:hAnsi="Times New Roman" w:eastAsia="宋体" w:cs="宋体"/>
          <w:color w:val="auto"/>
          <w:kern w:val="0"/>
          <w:sz w:val="24"/>
          <w:szCs w:val="22"/>
          <w:vertAlign w:val="subscript"/>
          <w:lang w:val="en-US" w:eastAsia="zh-CN"/>
        </w:rPr>
        <w:t>2.5</w:t>
      </w:r>
      <w:r>
        <w:rPr>
          <w:rFonts w:hint="default" w:ascii="Times New Roman" w:hAnsi="Times New Roman" w:eastAsia="宋体" w:cs="宋体"/>
          <w:color w:val="auto"/>
          <w:kern w:val="0"/>
          <w:sz w:val="24"/>
          <w:szCs w:val="22"/>
          <w:lang w:val="en-US" w:eastAsia="zh-CN"/>
        </w:rPr>
        <w:t>年均浓度</w:t>
      </w:r>
      <w:r>
        <w:rPr>
          <w:rFonts w:hint="eastAsia" w:ascii="Times New Roman" w:hAnsi="Times New Roman" w:eastAsia="宋体" w:cs="宋体"/>
          <w:color w:val="auto"/>
          <w:kern w:val="0"/>
          <w:sz w:val="24"/>
          <w:szCs w:val="22"/>
          <w:lang w:val="en-US" w:eastAsia="zh-CN"/>
        </w:rPr>
        <w:t>以及</w:t>
      </w:r>
      <w:r>
        <w:rPr>
          <w:rFonts w:hint="default" w:ascii="Times New Roman" w:hAnsi="Times New Roman" w:eastAsia="宋体" w:cs="宋体"/>
          <w:color w:val="auto"/>
          <w:kern w:val="0"/>
          <w:sz w:val="24"/>
          <w:szCs w:val="22"/>
          <w:lang w:val="en-US" w:eastAsia="zh-CN"/>
        </w:rPr>
        <w:t>CO 24小时平均第95百分位数</w:t>
      </w:r>
      <w:r>
        <w:rPr>
          <w:rFonts w:hint="eastAsia" w:ascii="Times New Roman" w:hAnsi="Times New Roman" w:eastAsia="宋体"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O</w:t>
      </w:r>
      <w:r>
        <w:rPr>
          <w:rFonts w:hint="default" w:ascii="Times New Roman" w:hAnsi="Times New Roman" w:eastAsia="宋体" w:cs="宋体"/>
          <w:color w:val="auto"/>
          <w:kern w:val="0"/>
          <w:sz w:val="24"/>
          <w:szCs w:val="22"/>
          <w:vertAlign w:val="subscript"/>
          <w:lang w:val="en-US" w:eastAsia="zh-CN"/>
        </w:rPr>
        <w:t>3</w:t>
      </w:r>
      <w:r>
        <w:rPr>
          <w:rFonts w:hint="default" w:ascii="Times New Roman" w:hAnsi="Times New Roman" w:eastAsia="宋体" w:cs="宋体"/>
          <w:color w:val="auto"/>
          <w:kern w:val="0"/>
          <w:sz w:val="24"/>
          <w:szCs w:val="22"/>
          <w:lang w:val="en-US" w:eastAsia="zh-CN"/>
        </w:rPr>
        <w:t>日最大8小时平均第90百分位数</w:t>
      </w:r>
      <w:r>
        <w:rPr>
          <w:rFonts w:hint="eastAsia" w:ascii="Times New Roman" w:hAnsi="Times New Roman" w:eastAsia="宋体"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本项目所在区域空气质量达标区判定情况见表</w:t>
      </w:r>
      <w:r>
        <w:rPr>
          <w:rFonts w:hint="eastAsia" w:ascii="Times New Roman" w:hAnsi="Times New Roman" w:eastAsia="宋体" w:cs="宋体"/>
          <w:color w:val="auto"/>
          <w:kern w:val="0"/>
          <w:sz w:val="24"/>
          <w:szCs w:val="22"/>
          <w:lang w:val="en-US" w:eastAsia="zh-CN"/>
        </w:rPr>
        <w:t>4.2-1</w:t>
      </w:r>
      <w:r>
        <w:rPr>
          <w:rFonts w:hint="default" w:ascii="Times New Roman" w:hAnsi="Times New Roman" w:eastAsia="宋体" w:cs="宋体"/>
          <w:color w:val="auto"/>
          <w:kern w:val="0"/>
          <w:sz w:val="24"/>
          <w:szCs w:val="22"/>
          <w:lang w:val="en-US" w:eastAsia="zh-CN"/>
        </w:rPr>
        <w:t>。</w:t>
      </w:r>
    </w:p>
    <w:p w14:paraId="03F416C5">
      <w:pPr>
        <w:overflowPunct/>
        <w:autoSpaceDE/>
        <w:autoSpaceDN/>
        <w:bidi w:val="0"/>
        <w:adjustRightInd/>
        <w:snapToGrid/>
        <w:spacing w:before="0" w:after="0" w:line="360" w:lineRule="auto"/>
        <w:ind w:left="0" w:leftChars="0" w:right="0" w:firstLine="480" w:firstLineChars="0"/>
        <w:jc w:val="center"/>
        <w:rPr>
          <w:rFonts w:hint="default" w:ascii="Times New Roman" w:hAnsi="Times New Roman" w:eastAsia="宋体" w:cs="宋体"/>
          <w:b/>
          <w:bCs/>
          <w:color w:val="auto"/>
          <w:kern w:val="0"/>
          <w:sz w:val="24"/>
          <w:szCs w:val="22"/>
          <w:lang w:val="en-US" w:eastAsia="zh-CN"/>
        </w:rPr>
      </w:pPr>
      <w:r>
        <w:rPr>
          <w:rFonts w:hint="default" w:ascii="Times New Roman" w:hAnsi="Times New Roman" w:eastAsia="宋体" w:cs="宋体"/>
          <w:b/>
          <w:bCs/>
          <w:color w:val="auto"/>
          <w:kern w:val="0"/>
          <w:sz w:val="24"/>
          <w:szCs w:val="22"/>
          <w:lang w:eastAsia="zh-CN"/>
        </w:rPr>
        <w:t>表</w:t>
      </w:r>
      <w:r>
        <w:rPr>
          <w:rFonts w:hint="eastAsia" w:ascii="Times New Roman" w:hAnsi="Times New Roman" w:eastAsia="宋体" w:cs="宋体"/>
          <w:b/>
          <w:bCs/>
          <w:color w:val="auto"/>
          <w:kern w:val="0"/>
          <w:sz w:val="24"/>
          <w:szCs w:val="22"/>
          <w:lang w:val="en-US" w:eastAsia="zh-CN"/>
        </w:rPr>
        <w:t>4.2-1</w:t>
      </w:r>
      <w:r>
        <w:rPr>
          <w:rFonts w:hint="default" w:ascii="Times New Roman" w:hAnsi="Times New Roman" w:eastAsia="宋体" w:cs="宋体"/>
          <w:b/>
          <w:bCs/>
          <w:color w:val="auto"/>
          <w:kern w:val="0"/>
          <w:sz w:val="24"/>
          <w:szCs w:val="22"/>
          <w:lang w:eastAsia="zh-CN"/>
        </w:rPr>
        <w:t>区域空气质量现状评价表</w:t>
      </w:r>
      <w:r>
        <w:rPr>
          <w:rFonts w:hint="eastAsia" w:ascii="Times New Roman" w:hAnsi="Times New Roman" w:eastAsia="宋体" w:cs="宋体"/>
          <w:b/>
          <w:bCs/>
          <w:color w:val="auto"/>
          <w:kern w:val="0"/>
          <w:sz w:val="24"/>
          <w:szCs w:val="22"/>
          <w:lang w:val="en-US" w:eastAsia="zh-CN"/>
        </w:rPr>
        <w:t xml:space="preserve">  </w:t>
      </w:r>
      <w:r>
        <w:rPr>
          <w:rFonts w:hint="default" w:ascii="Times New Roman" w:hAnsi="Times New Roman" w:eastAsia="宋体" w:cs="宋体"/>
          <w:b/>
          <w:bCs/>
          <w:color w:val="auto"/>
          <w:kern w:val="0"/>
          <w:sz w:val="24"/>
          <w:szCs w:val="22"/>
          <w:lang w:eastAsia="zh-CN"/>
        </w:rPr>
        <w:t>单位：</w:t>
      </w:r>
      <w:r>
        <w:rPr>
          <w:rFonts w:hint="default" w:ascii="Times New Roman" w:hAnsi="Times New Roman" w:eastAsia="宋体" w:cs="宋体"/>
          <w:b/>
          <w:bCs/>
          <w:color w:val="auto"/>
          <w:kern w:val="0"/>
          <w:sz w:val="24"/>
          <w:szCs w:val="22"/>
        </w:rPr>
        <w:t>μg/m</w:t>
      </w:r>
      <w:r>
        <w:rPr>
          <w:rFonts w:hint="default" w:ascii="Times New Roman" w:hAnsi="Times New Roman" w:eastAsia="宋体" w:cs="宋体"/>
          <w:b/>
          <w:bCs/>
          <w:color w:val="auto"/>
          <w:kern w:val="0"/>
          <w:sz w:val="24"/>
          <w:szCs w:val="22"/>
          <w:vertAlign w:val="superscript"/>
        </w:rPr>
        <w:t>3</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31"/>
        <w:gridCol w:w="829"/>
        <w:gridCol w:w="2290"/>
        <w:gridCol w:w="1443"/>
        <w:gridCol w:w="1145"/>
        <w:gridCol w:w="1135"/>
        <w:gridCol w:w="1031"/>
      </w:tblGrid>
      <w:tr w14:paraId="474A80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631" w:type="dxa"/>
            <w:tcBorders>
              <w:tl2br w:val="nil"/>
              <w:tr2bl w:val="nil"/>
            </w:tcBorders>
            <w:noWrap w:val="0"/>
            <w:vAlign w:val="center"/>
          </w:tcPr>
          <w:p w14:paraId="5AB4347D">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bidi="ar-SA"/>
              </w:rPr>
              <w:t>序号</w:t>
            </w:r>
          </w:p>
        </w:tc>
        <w:tc>
          <w:tcPr>
            <w:tcW w:w="829" w:type="dxa"/>
            <w:tcBorders>
              <w:tl2br w:val="nil"/>
              <w:tr2bl w:val="nil"/>
            </w:tcBorders>
            <w:noWrap w:val="0"/>
            <w:vAlign w:val="center"/>
          </w:tcPr>
          <w:p w14:paraId="6629E883">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bidi="ar-SA"/>
              </w:rPr>
              <w:t>项目</w:t>
            </w:r>
          </w:p>
        </w:tc>
        <w:tc>
          <w:tcPr>
            <w:tcW w:w="2290" w:type="dxa"/>
            <w:tcBorders>
              <w:tl2br w:val="nil"/>
              <w:tr2bl w:val="nil"/>
            </w:tcBorders>
            <w:noWrap w:val="0"/>
            <w:vAlign w:val="center"/>
          </w:tcPr>
          <w:p w14:paraId="24FB99B9">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bidi="ar-SA"/>
              </w:rPr>
              <w:t>平均时间</w:t>
            </w:r>
          </w:p>
        </w:tc>
        <w:tc>
          <w:tcPr>
            <w:tcW w:w="1443" w:type="dxa"/>
            <w:tcBorders>
              <w:tl2br w:val="nil"/>
              <w:tr2bl w:val="nil"/>
            </w:tcBorders>
            <w:noWrap w:val="0"/>
            <w:vAlign w:val="center"/>
          </w:tcPr>
          <w:p w14:paraId="5B97CD57">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bidi="ar-SA"/>
              </w:rPr>
              <w:t>标准值</w:t>
            </w:r>
          </w:p>
        </w:tc>
        <w:tc>
          <w:tcPr>
            <w:tcW w:w="1145" w:type="dxa"/>
            <w:tcBorders>
              <w:tl2br w:val="nil"/>
              <w:tr2bl w:val="nil"/>
            </w:tcBorders>
            <w:noWrap w:val="0"/>
            <w:vAlign w:val="center"/>
          </w:tcPr>
          <w:p w14:paraId="3E9D657B">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bidi="ar-SA"/>
              </w:rPr>
              <w:t>现状浓度</w:t>
            </w:r>
          </w:p>
        </w:tc>
        <w:tc>
          <w:tcPr>
            <w:tcW w:w="1135" w:type="dxa"/>
            <w:tcBorders>
              <w:tl2br w:val="nil"/>
              <w:tr2bl w:val="nil"/>
            </w:tcBorders>
            <w:noWrap w:val="0"/>
            <w:vAlign w:val="center"/>
          </w:tcPr>
          <w:p w14:paraId="23771087">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bidi="ar-SA"/>
              </w:rPr>
              <w:t>占标率%</w:t>
            </w:r>
          </w:p>
        </w:tc>
        <w:tc>
          <w:tcPr>
            <w:tcW w:w="1031" w:type="dxa"/>
            <w:tcBorders>
              <w:tl2br w:val="nil"/>
              <w:tr2bl w:val="nil"/>
            </w:tcBorders>
            <w:noWrap w:val="0"/>
            <w:vAlign w:val="center"/>
          </w:tcPr>
          <w:p w14:paraId="5B0A242A">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auto"/>
                <w:kern w:val="0"/>
                <w:sz w:val="21"/>
                <w:szCs w:val="21"/>
                <w:lang w:val="en-US" w:eastAsia="zh-CN" w:bidi="ar-SA"/>
              </w:rPr>
              <w:t>达标情况</w:t>
            </w:r>
          </w:p>
        </w:tc>
      </w:tr>
      <w:tr w14:paraId="09AC17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631" w:type="dxa"/>
            <w:tcBorders>
              <w:tl2br w:val="nil"/>
              <w:tr2bl w:val="nil"/>
            </w:tcBorders>
            <w:noWrap w:val="0"/>
            <w:vAlign w:val="center"/>
          </w:tcPr>
          <w:p w14:paraId="0C3092E1">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1</w:t>
            </w:r>
          </w:p>
        </w:tc>
        <w:tc>
          <w:tcPr>
            <w:tcW w:w="829" w:type="dxa"/>
            <w:tcBorders>
              <w:tl2br w:val="nil"/>
              <w:tr2bl w:val="nil"/>
            </w:tcBorders>
            <w:noWrap w:val="0"/>
            <w:vAlign w:val="center"/>
          </w:tcPr>
          <w:p w14:paraId="1A45D9EE">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SO</w:t>
            </w:r>
            <w:r>
              <w:rPr>
                <w:rFonts w:hint="default" w:ascii="Times New Roman" w:hAnsi="Times New Roman" w:eastAsia="宋体" w:cs="Times New Roman"/>
                <w:color w:val="auto"/>
                <w:kern w:val="0"/>
                <w:sz w:val="21"/>
                <w:szCs w:val="21"/>
                <w:vertAlign w:val="subscript"/>
                <w:lang w:val="en-US" w:eastAsia="zh-CN" w:bidi="ar-SA"/>
              </w:rPr>
              <w:t>2</w:t>
            </w:r>
          </w:p>
        </w:tc>
        <w:tc>
          <w:tcPr>
            <w:tcW w:w="2290" w:type="dxa"/>
            <w:tcBorders>
              <w:tl2br w:val="nil"/>
              <w:tr2bl w:val="nil"/>
            </w:tcBorders>
            <w:noWrap w:val="0"/>
            <w:vAlign w:val="center"/>
          </w:tcPr>
          <w:p w14:paraId="07CEE581">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年平均</w:t>
            </w:r>
          </w:p>
        </w:tc>
        <w:tc>
          <w:tcPr>
            <w:tcW w:w="1443" w:type="dxa"/>
            <w:tcBorders>
              <w:tl2br w:val="nil"/>
              <w:tr2bl w:val="nil"/>
            </w:tcBorders>
            <w:noWrap w:val="0"/>
            <w:vAlign w:val="center"/>
          </w:tcPr>
          <w:p w14:paraId="344A0C14">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60</w:t>
            </w:r>
          </w:p>
        </w:tc>
        <w:tc>
          <w:tcPr>
            <w:tcW w:w="1145" w:type="dxa"/>
            <w:tcBorders>
              <w:tl2br w:val="nil"/>
              <w:tr2bl w:val="nil"/>
            </w:tcBorders>
            <w:noWrap w:val="0"/>
            <w:vAlign w:val="center"/>
          </w:tcPr>
          <w:p w14:paraId="7EB15D5C">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5</w:t>
            </w:r>
          </w:p>
        </w:tc>
        <w:tc>
          <w:tcPr>
            <w:tcW w:w="1135" w:type="dxa"/>
            <w:tcBorders>
              <w:tl2br w:val="nil"/>
              <w:tr2bl w:val="nil"/>
            </w:tcBorders>
            <w:noWrap w:val="0"/>
            <w:vAlign w:val="center"/>
          </w:tcPr>
          <w:p w14:paraId="1603DFA9">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 xml:space="preserve">8.33 </w:t>
            </w:r>
          </w:p>
        </w:tc>
        <w:tc>
          <w:tcPr>
            <w:tcW w:w="1031" w:type="dxa"/>
            <w:tcBorders>
              <w:tl2br w:val="nil"/>
              <w:tr2bl w:val="nil"/>
            </w:tcBorders>
            <w:noWrap w:val="0"/>
            <w:vAlign w:val="center"/>
          </w:tcPr>
          <w:p w14:paraId="2C8AE52D">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达标</w:t>
            </w:r>
          </w:p>
        </w:tc>
      </w:tr>
      <w:tr w14:paraId="4073B9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631" w:type="dxa"/>
            <w:tcBorders>
              <w:tl2br w:val="nil"/>
              <w:tr2bl w:val="nil"/>
            </w:tcBorders>
            <w:noWrap w:val="0"/>
            <w:vAlign w:val="center"/>
          </w:tcPr>
          <w:p w14:paraId="41876C60">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2</w:t>
            </w:r>
          </w:p>
        </w:tc>
        <w:tc>
          <w:tcPr>
            <w:tcW w:w="829" w:type="dxa"/>
            <w:tcBorders>
              <w:tl2br w:val="nil"/>
              <w:tr2bl w:val="nil"/>
            </w:tcBorders>
            <w:noWrap w:val="0"/>
            <w:vAlign w:val="center"/>
          </w:tcPr>
          <w:p w14:paraId="0F35E2E4">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NO</w:t>
            </w:r>
            <w:r>
              <w:rPr>
                <w:rFonts w:hint="default" w:ascii="Times New Roman" w:hAnsi="Times New Roman" w:eastAsia="宋体" w:cs="Times New Roman"/>
                <w:color w:val="auto"/>
                <w:kern w:val="0"/>
                <w:sz w:val="21"/>
                <w:szCs w:val="21"/>
                <w:vertAlign w:val="subscript"/>
                <w:lang w:val="en-US" w:eastAsia="zh-CN" w:bidi="ar-SA"/>
              </w:rPr>
              <w:t>2</w:t>
            </w:r>
          </w:p>
        </w:tc>
        <w:tc>
          <w:tcPr>
            <w:tcW w:w="2290" w:type="dxa"/>
            <w:tcBorders>
              <w:tl2br w:val="nil"/>
              <w:tr2bl w:val="nil"/>
            </w:tcBorders>
            <w:noWrap w:val="0"/>
            <w:vAlign w:val="center"/>
          </w:tcPr>
          <w:p w14:paraId="1A4E9BB6">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年平均</w:t>
            </w:r>
          </w:p>
        </w:tc>
        <w:tc>
          <w:tcPr>
            <w:tcW w:w="1443" w:type="dxa"/>
            <w:tcBorders>
              <w:tl2br w:val="nil"/>
              <w:tr2bl w:val="nil"/>
            </w:tcBorders>
            <w:noWrap w:val="0"/>
            <w:vAlign w:val="center"/>
          </w:tcPr>
          <w:p w14:paraId="209AFC60">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40</w:t>
            </w:r>
          </w:p>
        </w:tc>
        <w:tc>
          <w:tcPr>
            <w:tcW w:w="1145" w:type="dxa"/>
            <w:tcBorders>
              <w:tl2br w:val="nil"/>
              <w:tr2bl w:val="nil"/>
            </w:tcBorders>
            <w:noWrap w:val="0"/>
            <w:vAlign w:val="center"/>
          </w:tcPr>
          <w:p w14:paraId="441D3081">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7</w:t>
            </w:r>
          </w:p>
        </w:tc>
        <w:tc>
          <w:tcPr>
            <w:tcW w:w="1135" w:type="dxa"/>
            <w:tcBorders>
              <w:tl2br w:val="nil"/>
              <w:tr2bl w:val="nil"/>
            </w:tcBorders>
            <w:noWrap w:val="0"/>
            <w:vAlign w:val="center"/>
          </w:tcPr>
          <w:p w14:paraId="0CF21955">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 xml:space="preserve">17.50 </w:t>
            </w:r>
          </w:p>
        </w:tc>
        <w:tc>
          <w:tcPr>
            <w:tcW w:w="1031" w:type="dxa"/>
            <w:tcBorders>
              <w:tl2br w:val="nil"/>
              <w:tr2bl w:val="nil"/>
            </w:tcBorders>
            <w:noWrap w:val="0"/>
            <w:vAlign w:val="center"/>
          </w:tcPr>
          <w:p w14:paraId="4A44D557">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rPr>
            </w:pPr>
            <w:r>
              <w:rPr>
                <w:rFonts w:hint="eastAsia" w:ascii="Times New Roman" w:hAnsi="Times New Roman" w:eastAsia="宋体" w:cs="Times New Roman"/>
                <w:color w:val="auto"/>
                <w:kern w:val="0"/>
                <w:sz w:val="21"/>
                <w:szCs w:val="21"/>
                <w:lang w:val="en-US" w:eastAsia="zh-CN" w:bidi="ar-SA"/>
              </w:rPr>
              <w:t>达标</w:t>
            </w:r>
          </w:p>
        </w:tc>
      </w:tr>
      <w:tr w14:paraId="7E2946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631" w:type="dxa"/>
            <w:tcBorders>
              <w:tl2br w:val="nil"/>
              <w:tr2bl w:val="nil"/>
            </w:tcBorders>
            <w:noWrap w:val="0"/>
            <w:vAlign w:val="center"/>
          </w:tcPr>
          <w:p w14:paraId="073CB708">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3</w:t>
            </w:r>
          </w:p>
        </w:tc>
        <w:tc>
          <w:tcPr>
            <w:tcW w:w="829" w:type="dxa"/>
            <w:tcBorders>
              <w:tl2br w:val="nil"/>
              <w:tr2bl w:val="nil"/>
            </w:tcBorders>
            <w:noWrap w:val="0"/>
            <w:vAlign w:val="center"/>
          </w:tcPr>
          <w:p w14:paraId="7EBB6E2A">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PM</w:t>
            </w:r>
            <w:r>
              <w:rPr>
                <w:rFonts w:hint="default" w:ascii="Times New Roman" w:hAnsi="Times New Roman" w:eastAsia="宋体" w:cs="Times New Roman"/>
                <w:color w:val="auto"/>
                <w:kern w:val="0"/>
                <w:sz w:val="21"/>
                <w:szCs w:val="21"/>
                <w:vertAlign w:val="subscript"/>
                <w:lang w:val="en-US" w:eastAsia="zh-CN" w:bidi="ar-SA"/>
              </w:rPr>
              <w:t>10</w:t>
            </w:r>
          </w:p>
        </w:tc>
        <w:tc>
          <w:tcPr>
            <w:tcW w:w="2290" w:type="dxa"/>
            <w:tcBorders>
              <w:tl2br w:val="nil"/>
              <w:tr2bl w:val="nil"/>
            </w:tcBorders>
            <w:noWrap w:val="0"/>
            <w:vAlign w:val="center"/>
          </w:tcPr>
          <w:p w14:paraId="1E2A96D6">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年平均</w:t>
            </w:r>
          </w:p>
        </w:tc>
        <w:tc>
          <w:tcPr>
            <w:tcW w:w="1443" w:type="dxa"/>
            <w:tcBorders>
              <w:tl2br w:val="nil"/>
              <w:tr2bl w:val="nil"/>
            </w:tcBorders>
            <w:noWrap w:val="0"/>
            <w:vAlign w:val="center"/>
          </w:tcPr>
          <w:p w14:paraId="177636BC">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60</w:t>
            </w:r>
          </w:p>
        </w:tc>
        <w:tc>
          <w:tcPr>
            <w:tcW w:w="1145" w:type="dxa"/>
            <w:tcBorders>
              <w:tl2br w:val="nil"/>
              <w:tr2bl w:val="nil"/>
            </w:tcBorders>
            <w:noWrap w:val="0"/>
            <w:vAlign w:val="center"/>
          </w:tcPr>
          <w:p w14:paraId="08F27653">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29</w:t>
            </w:r>
          </w:p>
        </w:tc>
        <w:tc>
          <w:tcPr>
            <w:tcW w:w="1135" w:type="dxa"/>
            <w:tcBorders>
              <w:tl2br w:val="nil"/>
              <w:tr2bl w:val="nil"/>
            </w:tcBorders>
            <w:noWrap w:val="0"/>
            <w:vAlign w:val="center"/>
          </w:tcPr>
          <w:p w14:paraId="004B6DC3">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 xml:space="preserve">48.33 </w:t>
            </w:r>
          </w:p>
        </w:tc>
        <w:tc>
          <w:tcPr>
            <w:tcW w:w="1031" w:type="dxa"/>
            <w:tcBorders>
              <w:tl2br w:val="nil"/>
              <w:tr2bl w:val="nil"/>
            </w:tcBorders>
            <w:noWrap w:val="0"/>
            <w:vAlign w:val="center"/>
          </w:tcPr>
          <w:p w14:paraId="10C9DD05">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eastAsia"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auto"/>
                <w:kern w:val="0"/>
                <w:sz w:val="21"/>
                <w:szCs w:val="21"/>
                <w:lang w:val="en-US" w:eastAsia="zh-CN" w:bidi="ar-SA"/>
              </w:rPr>
              <w:t>达标</w:t>
            </w:r>
          </w:p>
        </w:tc>
      </w:tr>
      <w:tr w14:paraId="08CDD0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631" w:type="dxa"/>
            <w:tcBorders>
              <w:tl2br w:val="nil"/>
              <w:tr2bl w:val="nil"/>
            </w:tcBorders>
            <w:noWrap w:val="0"/>
            <w:vAlign w:val="center"/>
          </w:tcPr>
          <w:p w14:paraId="08DF0DE5">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4</w:t>
            </w:r>
          </w:p>
        </w:tc>
        <w:tc>
          <w:tcPr>
            <w:tcW w:w="829" w:type="dxa"/>
            <w:tcBorders>
              <w:tl2br w:val="nil"/>
              <w:tr2bl w:val="nil"/>
            </w:tcBorders>
            <w:noWrap w:val="0"/>
            <w:vAlign w:val="center"/>
          </w:tcPr>
          <w:p w14:paraId="34B7D21D">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PM</w:t>
            </w:r>
            <w:r>
              <w:rPr>
                <w:rFonts w:hint="default" w:ascii="Times New Roman" w:hAnsi="Times New Roman" w:eastAsia="宋体" w:cs="Times New Roman"/>
                <w:color w:val="auto"/>
                <w:kern w:val="0"/>
                <w:sz w:val="21"/>
                <w:szCs w:val="21"/>
                <w:vertAlign w:val="subscript"/>
                <w:lang w:val="en-US" w:eastAsia="zh-CN" w:bidi="ar-SA"/>
              </w:rPr>
              <w:t>2.5</w:t>
            </w:r>
          </w:p>
        </w:tc>
        <w:tc>
          <w:tcPr>
            <w:tcW w:w="2290" w:type="dxa"/>
            <w:tcBorders>
              <w:tl2br w:val="nil"/>
              <w:tr2bl w:val="nil"/>
            </w:tcBorders>
            <w:noWrap w:val="0"/>
            <w:vAlign w:val="center"/>
          </w:tcPr>
          <w:p w14:paraId="3A4CDABC">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年平均</w:t>
            </w:r>
          </w:p>
        </w:tc>
        <w:tc>
          <w:tcPr>
            <w:tcW w:w="1443" w:type="dxa"/>
            <w:tcBorders>
              <w:tl2br w:val="nil"/>
              <w:tr2bl w:val="nil"/>
            </w:tcBorders>
            <w:noWrap w:val="0"/>
            <w:vAlign w:val="center"/>
          </w:tcPr>
          <w:p w14:paraId="0239BEE7">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30</w:t>
            </w:r>
          </w:p>
        </w:tc>
        <w:tc>
          <w:tcPr>
            <w:tcW w:w="1145" w:type="dxa"/>
            <w:tcBorders>
              <w:tl2br w:val="nil"/>
              <w:tr2bl w:val="nil"/>
            </w:tcBorders>
            <w:noWrap w:val="0"/>
            <w:vAlign w:val="center"/>
          </w:tcPr>
          <w:p w14:paraId="1A172372">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13</w:t>
            </w:r>
          </w:p>
        </w:tc>
        <w:tc>
          <w:tcPr>
            <w:tcW w:w="1135" w:type="dxa"/>
            <w:tcBorders>
              <w:tl2br w:val="nil"/>
              <w:tr2bl w:val="nil"/>
            </w:tcBorders>
            <w:noWrap w:val="0"/>
            <w:vAlign w:val="center"/>
          </w:tcPr>
          <w:p w14:paraId="2654FA2D">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 xml:space="preserve">43.33 </w:t>
            </w:r>
          </w:p>
        </w:tc>
        <w:tc>
          <w:tcPr>
            <w:tcW w:w="1031" w:type="dxa"/>
            <w:tcBorders>
              <w:tl2br w:val="nil"/>
              <w:tr2bl w:val="nil"/>
            </w:tcBorders>
            <w:noWrap w:val="0"/>
            <w:vAlign w:val="center"/>
          </w:tcPr>
          <w:p w14:paraId="0C73C16F">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auto"/>
                <w:kern w:val="0"/>
                <w:sz w:val="21"/>
                <w:szCs w:val="21"/>
                <w:lang w:val="en-US" w:eastAsia="zh-CN" w:bidi="ar-SA"/>
              </w:rPr>
              <w:t>达标</w:t>
            </w:r>
          </w:p>
        </w:tc>
      </w:tr>
      <w:tr w14:paraId="25B3D7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631" w:type="dxa"/>
            <w:tcBorders>
              <w:tl2br w:val="nil"/>
              <w:tr2bl w:val="nil"/>
            </w:tcBorders>
            <w:noWrap w:val="0"/>
            <w:vAlign w:val="center"/>
          </w:tcPr>
          <w:p w14:paraId="260A107B">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5</w:t>
            </w:r>
          </w:p>
        </w:tc>
        <w:tc>
          <w:tcPr>
            <w:tcW w:w="829" w:type="dxa"/>
            <w:tcBorders>
              <w:tl2br w:val="nil"/>
              <w:tr2bl w:val="nil"/>
            </w:tcBorders>
            <w:noWrap w:val="0"/>
            <w:vAlign w:val="center"/>
          </w:tcPr>
          <w:p w14:paraId="0F63B6AD">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CO</w:t>
            </w:r>
          </w:p>
        </w:tc>
        <w:tc>
          <w:tcPr>
            <w:tcW w:w="2290" w:type="dxa"/>
            <w:tcBorders>
              <w:tl2br w:val="nil"/>
              <w:tr2bl w:val="nil"/>
            </w:tcBorders>
            <w:noWrap w:val="0"/>
            <w:vAlign w:val="center"/>
          </w:tcPr>
          <w:p w14:paraId="4BB54F67">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95百分位24小时平均</w:t>
            </w:r>
          </w:p>
        </w:tc>
        <w:tc>
          <w:tcPr>
            <w:tcW w:w="1443" w:type="dxa"/>
            <w:tcBorders>
              <w:tl2br w:val="nil"/>
              <w:tr2bl w:val="nil"/>
            </w:tcBorders>
            <w:noWrap w:val="0"/>
            <w:vAlign w:val="center"/>
          </w:tcPr>
          <w:p w14:paraId="53F8F84D">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4</w:t>
            </w:r>
            <w:r>
              <w:rPr>
                <w:rFonts w:hint="eastAsia" w:ascii="Times New Roman" w:hAnsi="宋体" w:eastAsia="宋体" w:cs="Times New Roman"/>
                <w:color w:val="auto"/>
                <w:kern w:val="0"/>
                <w:sz w:val="21"/>
                <w:szCs w:val="21"/>
                <w:lang w:val="en-US" w:eastAsia="zh-CN" w:bidi="ar-SA"/>
              </w:rPr>
              <w:t>000</w:t>
            </w:r>
          </w:p>
        </w:tc>
        <w:tc>
          <w:tcPr>
            <w:tcW w:w="1145" w:type="dxa"/>
            <w:tcBorders>
              <w:tl2br w:val="nil"/>
              <w:tr2bl w:val="nil"/>
            </w:tcBorders>
            <w:noWrap w:val="0"/>
            <w:vAlign w:val="center"/>
          </w:tcPr>
          <w:p w14:paraId="313C8069">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400</w:t>
            </w:r>
          </w:p>
        </w:tc>
        <w:tc>
          <w:tcPr>
            <w:tcW w:w="1135" w:type="dxa"/>
            <w:tcBorders>
              <w:tl2br w:val="nil"/>
              <w:tr2bl w:val="nil"/>
            </w:tcBorders>
            <w:noWrap w:val="0"/>
            <w:vAlign w:val="center"/>
          </w:tcPr>
          <w:p w14:paraId="2A323D1C">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 xml:space="preserve">10.00 </w:t>
            </w:r>
          </w:p>
        </w:tc>
        <w:tc>
          <w:tcPr>
            <w:tcW w:w="1031" w:type="dxa"/>
            <w:tcBorders>
              <w:tl2br w:val="nil"/>
              <w:tr2bl w:val="nil"/>
            </w:tcBorders>
            <w:noWrap w:val="0"/>
            <w:vAlign w:val="center"/>
          </w:tcPr>
          <w:p w14:paraId="6F7CC516">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达标</w:t>
            </w:r>
          </w:p>
        </w:tc>
      </w:tr>
      <w:tr w14:paraId="6E0B7A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631" w:type="dxa"/>
            <w:tcBorders>
              <w:tl2br w:val="nil"/>
              <w:tr2bl w:val="nil"/>
            </w:tcBorders>
            <w:noWrap w:val="0"/>
            <w:vAlign w:val="center"/>
          </w:tcPr>
          <w:p w14:paraId="642217BC">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6</w:t>
            </w:r>
          </w:p>
        </w:tc>
        <w:tc>
          <w:tcPr>
            <w:tcW w:w="829" w:type="dxa"/>
            <w:tcBorders>
              <w:tl2br w:val="nil"/>
              <w:tr2bl w:val="nil"/>
            </w:tcBorders>
            <w:noWrap w:val="0"/>
            <w:vAlign w:val="center"/>
          </w:tcPr>
          <w:p w14:paraId="30CFB360">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O</w:t>
            </w:r>
            <w:r>
              <w:rPr>
                <w:rFonts w:hint="default" w:ascii="Times New Roman" w:hAnsi="Times New Roman" w:eastAsia="宋体" w:cs="Times New Roman"/>
                <w:color w:val="auto"/>
                <w:kern w:val="0"/>
                <w:sz w:val="21"/>
                <w:szCs w:val="21"/>
                <w:vertAlign w:val="subscript"/>
                <w:lang w:val="en-US" w:eastAsia="zh-CN" w:bidi="ar-SA"/>
              </w:rPr>
              <w:t>3</w:t>
            </w:r>
          </w:p>
        </w:tc>
        <w:tc>
          <w:tcPr>
            <w:tcW w:w="2290" w:type="dxa"/>
            <w:tcBorders>
              <w:tl2br w:val="nil"/>
              <w:tr2bl w:val="nil"/>
            </w:tcBorders>
            <w:noWrap w:val="0"/>
            <w:vAlign w:val="center"/>
          </w:tcPr>
          <w:p w14:paraId="6E3AD0CF">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90百分位8小时平均</w:t>
            </w:r>
          </w:p>
        </w:tc>
        <w:tc>
          <w:tcPr>
            <w:tcW w:w="1443" w:type="dxa"/>
            <w:tcBorders>
              <w:tl2br w:val="nil"/>
              <w:tr2bl w:val="nil"/>
            </w:tcBorders>
            <w:noWrap w:val="0"/>
            <w:vAlign w:val="center"/>
          </w:tcPr>
          <w:p w14:paraId="3D8F07A5">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160</w:t>
            </w:r>
          </w:p>
        </w:tc>
        <w:tc>
          <w:tcPr>
            <w:tcW w:w="1145" w:type="dxa"/>
            <w:tcBorders>
              <w:tl2br w:val="nil"/>
              <w:tr2bl w:val="nil"/>
            </w:tcBorders>
            <w:noWrap w:val="0"/>
            <w:vAlign w:val="center"/>
          </w:tcPr>
          <w:p w14:paraId="43A48CD5">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eastAsia" w:ascii="Times New Roman" w:hAnsi="宋体" w:eastAsia="宋体" w:cs="Times New Roman"/>
                <w:color w:val="auto"/>
                <w:kern w:val="0"/>
                <w:sz w:val="21"/>
                <w:szCs w:val="21"/>
                <w:lang w:val="en-US" w:eastAsia="zh-CN" w:bidi="ar-SA"/>
              </w:rPr>
              <w:t>77</w:t>
            </w:r>
          </w:p>
        </w:tc>
        <w:tc>
          <w:tcPr>
            <w:tcW w:w="1135" w:type="dxa"/>
            <w:tcBorders>
              <w:tl2br w:val="nil"/>
              <w:tr2bl w:val="nil"/>
            </w:tcBorders>
            <w:noWrap w:val="0"/>
            <w:vAlign w:val="center"/>
          </w:tcPr>
          <w:p w14:paraId="6B669753">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 xml:space="preserve">48.13 </w:t>
            </w:r>
          </w:p>
        </w:tc>
        <w:tc>
          <w:tcPr>
            <w:tcW w:w="1031" w:type="dxa"/>
            <w:tcBorders>
              <w:tl2br w:val="nil"/>
              <w:tr2bl w:val="nil"/>
            </w:tcBorders>
            <w:noWrap w:val="0"/>
            <w:vAlign w:val="center"/>
          </w:tcPr>
          <w:p w14:paraId="46F58F09">
            <w:pPr>
              <w:keepNext w:val="0"/>
              <w:keepLines w:val="0"/>
              <w:pageBreakBefore w:val="0"/>
              <w:widowControl w:val="0"/>
              <w:kinsoku/>
              <w:wordWrap/>
              <w:overflowPunct/>
              <w:topLinePunct w:val="0"/>
              <w:autoSpaceDE/>
              <w:autoSpaceDN/>
              <w:bidi w:val="0"/>
              <w:adjustRightInd w:val="0"/>
              <w:snapToGrid/>
              <w:spacing w:line="320" w:lineRule="atLeast"/>
              <w:ind w:firstLine="0" w:firstLineChars="0"/>
              <w:jc w:val="center"/>
              <w:textAlignment w:val="baseline"/>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auto"/>
                <w:kern w:val="0"/>
                <w:sz w:val="21"/>
                <w:szCs w:val="21"/>
                <w:lang w:val="en-US" w:eastAsia="zh-CN" w:bidi="ar-SA"/>
              </w:rPr>
              <w:t>达标</w:t>
            </w:r>
          </w:p>
        </w:tc>
      </w:tr>
    </w:tbl>
    <w:p w14:paraId="2A21997C">
      <w:pPr>
        <w:bidi w:val="0"/>
        <w:spacing w:line="360" w:lineRule="auto"/>
        <w:ind w:firstLine="480" w:firstLineChars="200"/>
        <w:jc w:val="both"/>
        <w:rPr>
          <w:rFonts w:hint="default" w:ascii="Times New Roman" w:hAnsi="Times New Roman" w:eastAsia="宋体" w:cs="Times New Roman"/>
          <w:kern w:val="2"/>
          <w:sz w:val="24"/>
          <w:szCs w:val="24"/>
        </w:rPr>
      </w:pPr>
      <w:r>
        <w:rPr>
          <w:rFonts w:hint="default" w:ascii="Times New Roman" w:hAnsi="Times New Roman" w:eastAsia="宋体" w:cs="Times New Roman"/>
          <w:color w:val="auto"/>
          <w:kern w:val="2"/>
          <w:sz w:val="24"/>
          <w:szCs w:val="24"/>
        </w:rPr>
        <w:t>由评价结果来看，</w:t>
      </w:r>
      <w:r>
        <w:rPr>
          <w:rFonts w:hint="eastAsia" w:ascii="Times New Roman" w:hAnsi="Times New Roman" w:eastAsia="宋体" w:cs="Times New Roman"/>
          <w:color w:val="auto"/>
          <w:kern w:val="2"/>
          <w:sz w:val="24"/>
          <w:szCs w:val="24"/>
          <w:lang w:val="en-US" w:eastAsia="zh-CN" w:bidi="ar-SA"/>
        </w:rPr>
        <w:t>SO</w:t>
      </w:r>
      <w:r>
        <w:rPr>
          <w:rFonts w:hint="eastAsia" w:ascii="Times New Roman" w:hAnsi="Times New Roman" w:eastAsia="宋体" w:cs="Times New Roman"/>
          <w:color w:val="auto"/>
          <w:kern w:val="2"/>
          <w:sz w:val="24"/>
          <w:szCs w:val="24"/>
          <w:vertAlign w:val="subscript"/>
          <w:lang w:val="en-US" w:eastAsia="zh-CN" w:bidi="ar-SA"/>
        </w:rPr>
        <w:t>2</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NO</w:t>
      </w:r>
      <w:r>
        <w:rPr>
          <w:rFonts w:hint="default" w:ascii="Times New Roman" w:hAnsi="Times New Roman" w:eastAsia="宋体" w:cs="Times New Roman"/>
          <w:color w:val="auto"/>
          <w:kern w:val="0"/>
          <w:sz w:val="24"/>
          <w:szCs w:val="24"/>
          <w:vertAlign w:val="subscript"/>
          <w:lang w:val="en-US" w:eastAsia="zh-CN" w:bidi="ar-SA"/>
        </w:rPr>
        <w:t>2</w:t>
      </w:r>
      <w:r>
        <w:rPr>
          <w:rFonts w:hint="eastAsia" w:ascii="Times New Roman" w:hAnsi="Times New Roman" w:eastAsia="宋体" w:cs="Times New Roman"/>
          <w:color w:val="auto"/>
          <w:kern w:val="0"/>
          <w:sz w:val="21"/>
          <w:szCs w:val="21"/>
          <w:vertAlign w:val="baseline"/>
          <w:lang w:val="en-US" w:eastAsia="zh-CN" w:bidi="ar-SA"/>
        </w:rPr>
        <w:t>、</w:t>
      </w:r>
      <w:r>
        <w:rPr>
          <w:rFonts w:hint="eastAsia" w:ascii="Times New Roman" w:hAnsi="Times New Roman" w:eastAsia="宋体" w:cs="Times New Roman"/>
          <w:color w:val="auto"/>
          <w:kern w:val="2"/>
          <w:sz w:val="24"/>
          <w:szCs w:val="24"/>
          <w:lang w:val="en-US" w:eastAsia="zh-CN" w:bidi="ar-SA"/>
        </w:rPr>
        <w:t>PM</w:t>
      </w:r>
      <w:r>
        <w:rPr>
          <w:rFonts w:hint="eastAsia" w:ascii="Times New Roman" w:hAnsi="Times New Roman" w:eastAsia="宋体" w:cs="Times New Roman"/>
          <w:color w:val="auto"/>
          <w:kern w:val="2"/>
          <w:sz w:val="24"/>
          <w:szCs w:val="24"/>
          <w:vertAlign w:val="subscript"/>
          <w:lang w:val="en-US" w:eastAsia="zh-CN" w:bidi="ar-SA"/>
        </w:rPr>
        <w:t>10</w:t>
      </w:r>
      <w:r>
        <w:rPr>
          <w:rFonts w:hint="eastAsia" w:ascii="Times New Roman" w:hAnsi="Times New Roman" w:eastAsia="宋体" w:cs="Times New Roman"/>
          <w:color w:val="auto"/>
          <w:kern w:val="2"/>
          <w:sz w:val="24"/>
          <w:szCs w:val="24"/>
          <w:lang w:val="en-US" w:eastAsia="zh-CN" w:bidi="ar-SA"/>
        </w:rPr>
        <w:t>、PM</w:t>
      </w:r>
      <w:r>
        <w:rPr>
          <w:rFonts w:hint="eastAsia" w:ascii="Times New Roman" w:hAnsi="Times New Roman" w:eastAsia="宋体" w:cs="Times New Roman"/>
          <w:color w:val="auto"/>
          <w:kern w:val="2"/>
          <w:sz w:val="24"/>
          <w:szCs w:val="24"/>
          <w:vertAlign w:val="subscript"/>
          <w:lang w:val="en-US" w:eastAsia="zh-CN" w:bidi="ar-SA"/>
        </w:rPr>
        <w:t>2.5</w:t>
      </w:r>
      <w:r>
        <w:rPr>
          <w:rFonts w:hint="eastAsia" w:ascii="Times New Roman" w:hAnsi="Times New Roman" w:eastAsia="宋体" w:cs="Times New Roman"/>
          <w:color w:val="auto"/>
          <w:kern w:val="2"/>
          <w:sz w:val="24"/>
          <w:szCs w:val="24"/>
          <w:lang w:val="en-US" w:eastAsia="zh-CN" w:bidi="ar-SA"/>
        </w:rPr>
        <w:t>、CO、O</w:t>
      </w:r>
      <w:r>
        <w:rPr>
          <w:rFonts w:hint="eastAsia" w:ascii="Times New Roman" w:hAnsi="Times New Roman" w:eastAsia="宋体" w:cs="Times New Roman"/>
          <w:color w:val="auto"/>
          <w:kern w:val="2"/>
          <w:sz w:val="24"/>
          <w:szCs w:val="24"/>
          <w:vertAlign w:val="subscript"/>
          <w:lang w:val="en-US" w:eastAsia="zh-CN" w:bidi="ar-SA"/>
        </w:rPr>
        <w:t>3</w:t>
      </w:r>
      <w:r>
        <w:rPr>
          <w:rFonts w:hint="default" w:ascii="Times New Roman" w:hAnsi="Times New Roman" w:eastAsia="宋体" w:cs="Times New Roman"/>
          <w:color w:val="auto"/>
          <w:kern w:val="2"/>
          <w:sz w:val="24"/>
          <w:szCs w:val="24"/>
        </w:rPr>
        <w:t>平均浓度均优于</w:t>
      </w:r>
      <w:r>
        <w:rPr>
          <w:rFonts w:hint="default" w:ascii="Times New Roman" w:hAnsi="Times New Roman" w:eastAsia="宋体" w:cs="宋体"/>
          <w:color w:val="auto"/>
          <w:kern w:val="0"/>
          <w:sz w:val="24"/>
          <w:szCs w:val="22"/>
          <w:lang w:val="en-US" w:eastAsia="zh-CN"/>
        </w:rPr>
        <w:t>《环境空气质量标准》（GB 3095—2026）中过渡阶段二级标准</w:t>
      </w:r>
      <w:r>
        <w:rPr>
          <w:rFonts w:hint="eastAsia"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auto"/>
          <w:kern w:val="2"/>
          <w:sz w:val="24"/>
          <w:szCs w:val="24"/>
        </w:rPr>
        <w:t>项目区为</w:t>
      </w:r>
      <w:r>
        <w:rPr>
          <w:rFonts w:hint="eastAsia" w:ascii="Times New Roman" w:hAnsi="Times New Roman" w:eastAsia="宋体" w:cs="Times New Roman"/>
          <w:color w:val="auto"/>
          <w:kern w:val="2"/>
          <w:sz w:val="24"/>
          <w:szCs w:val="24"/>
          <w:lang w:val="en-US" w:eastAsia="zh-CN"/>
        </w:rPr>
        <w:t>空气质量</w:t>
      </w:r>
      <w:r>
        <w:rPr>
          <w:rFonts w:hint="default" w:ascii="Times New Roman" w:hAnsi="Times New Roman" w:eastAsia="宋体" w:cs="Times New Roman"/>
          <w:color w:val="auto"/>
          <w:kern w:val="2"/>
          <w:sz w:val="24"/>
          <w:szCs w:val="24"/>
        </w:rPr>
        <w:t>达标区。</w:t>
      </w:r>
    </w:p>
    <w:p w14:paraId="7AD7E984">
      <w:pPr>
        <w:widowControl w:val="0"/>
        <w:bidi w:val="0"/>
        <w:spacing w:line="360" w:lineRule="auto"/>
        <w:jc w:val="both"/>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4.</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.1.</w:t>
      </w:r>
      <w:r>
        <w:rPr>
          <w:rFonts w:hint="eastAsia" w:ascii="Times New Roman" w:hAnsi="Times New Roman" w:eastAsia="宋体" w:cs="Times New Roman"/>
          <w:b/>
          <w:kern w:val="0"/>
          <w:sz w:val="24"/>
          <w:szCs w:val="24"/>
          <w:lang w:val="en-US" w:eastAsia="zh-CN" w:bidi="ar-SA"/>
        </w:rPr>
        <w:t>5</w:t>
      </w:r>
      <w:r>
        <w:rPr>
          <w:rFonts w:hint="default" w:ascii="Times New Roman" w:hAnsi="Times New Roman" w:eastAsia="宋体" w:cs="Times New Roman"/>
          <w:b/>
          <w:kern w:val="0"/>
          <w:sz w:val="24"/>
          <w:szCs w:val="24"/>
          <w:lang w:val="en-US" w:eastAsia="zh-CN" w:bidi="ar-SA"/>
        </w:rPr>
        <w:t>特征污染物环境质量现状调查</w:t>
      </w:r>
    </w:p>
    <w:p w14:paraId="5783E862">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bookmarkStart w:id="450" w:name="_Toc402878757"/>
      <w:bookmarkStart w:id="451" w:name="_Toc263844416"/>
      <w:bookmarkStart w:id="452" w:name="_Toc402354075"/>
      <w:bookmarkStart w:id="453" w:name="_Toc376355357"/>
      <w:bookmarkStart w:id="454" w:name="_Toc394504990"/>
      <w:bookmarkStart w:id="455" w:name="_Toc376272148"/>
      <w:bookmarkStart w:id="456" w:name="_Toc399193214"/>
      <w:bookmarkStart w:id="457" w:name="_Toc394504648"/>
      <w:bookmarkStart w:id="458" w:name="_Toc402353749"/>
      <w:bookmarkStart w:id="459" w:name="_Toc404178062"/>
      <w:bookmarkStart w:id="460" w:name="_Toc402868643"/>
      <w:r>
        <w:rPr>
          <w:rFonts w:hint="default" w:ascii="Times New Roman" w:hAnsi="Times New Roman" w:eastAsia="宋体" w:cs="Times New Roman"/>
          <w:bCs/>
          <w:kern w:val="2"/>
          <w:sz w:val="24"/>
          <w:szCs w:val="24"/>
          <w:lang w:val="en-US" w:eastAsia="zh-CN" w:bidi="ar-SA"/>
        </w:rPr>
        <w:t>为了解项目所在地区环境空气中污染物现状，本次委托</w:t>
      </w:r>
      <w:r>
        <w:rPr>
          <w:rFonts w:ascii="宋体" w:hAnsi="宋体" w:eastAsia="宋体" w:cs="宋体"/>
          <w:sz w:val="24"/>
          <w:szCs w:val="24"/>
        </w:rPr>
        <w:t>新疆国联环保科技有限公司</w:t>
      </w:r>
      <w:r>
        <w:rPr>
          <w:rFonts w:hint="default" w:ascii="Times New Roman" w:hAnsi="Times New Roman" w:eastAsia="宋体" w:cs="Times New Roman"/>
          <w:bCs/>
          <w:kern w:val="2"/>
          <w:sz w:val="24"/>
          <w:szCs w:val="24"/>
          <w:lang w:val="en-US" w:eastAsia="zh-CN" w:bidi="ar-SA"/>
        </w:rPr>
        <w:t>进行现状监测，在项目区</w:t>
      </w:r>
      <w:r>
        <w:rPr>
          <w:rFonts w:hint="eastAsia" w:ascii="Times New Roman" w:hAnsi="Times New Roman" w:eastAsia="宋体" w:cs="Times New Roman"/>
          <w:bCs/>
          <w:kern w:val="2"/>
          <w:sz w:val="24"/>
          <w:szCs w:val="24"/>
          <w:lang w:val="en-US" w:eastAsia="zh-CN" w:bidi="ar-SA"/>
        </w:rPr>
        <w:t>下风向</w:t>
      </w:r>
      <w:r>
        <w:rPr>
          <w:rFonts w:hint="default" w:ascii="Times New Roman" w:hAnsi="Times New Roman" w:eastAsia="宋体" w:cs="Times New Roman"/>
          <w:bCs/>
          <w:kern w:val="2"/>
          <w:sz w:val="24"/>
          <w:szCs w:val="24"/>
          <w:lang w:val="en-US" w:eastAsia="zh-CN" w:bidi="ar-SA"/>
        </w:rPr>
        <w:t>布设</w:t>
      </w:r>
      <w:r>
        <w:rPr>
          <w:rFonts w:hint="eastAsia" w:ascii="Times New Roman" w:hAnsi="Times New Roman" w:eastAsia="宋体" w:cs="Times New Roman"/>
          <w:bCs/>
          <w:kern w:val="2"/>
          <w:sz w:val="24"/>
          <w:szCs w:val="24"/>
          <w:lang w:val="en-US" w:eastAsia="zh-CN" w:bidi="ar-SA"/>
        </w:rPr>
        <w:t>1</w:t>
      </w:r>
      <w:r>
        <w:rPr>
          <w:rFonts w:hint="default" w:ascii="Times New Roman" w:hAnsi="Times New Roman" w:eastAsia="宋体" w:cs="Times New Roman"/>
          <w:bCs/>
          <w:kern w:val="2"/>
          <w:sz w:val="24"/>
          <w:szCs w:val="24"/>
          <w:lang w:val="en-US" w:eastAsia="zh-CN" w:bidi="ar-SA"/>
        </w:rPr>
        <w:t>个监测点</w:t>
      </w:r>
      <w:r>
        <w:rPr>
          <w:rFonts w:hint="eastAsia" w:ascii="Times New Roman" w:hAnsi="Times New Roman" w:eastAsia="宋体" w:cs="Times New Roman"/>
          <w:bCs/>
          <w:kern w:val="2"/>
          <w:sz w:val="24"/>
          <w:szCs w:val="24"/>
          <w:lang w:val="en-US" w:eastAsia="zh-CN" w:bidi="ar-SA"/>
        </w:rPr>
        <w:t>，特征污染因子TSP、氨、硫化氢、臭气浓度委托</w:t>
      </w:r>
      <w:r>
        <w:rPr>
          <w:rFonts w:ascii="宋体" w:hAnsi="宋体" w:eastAsia="宋体" w:cs="宋体"/>
          <w:sz w:val="24"/>
          <w:szCs w:val="24"/>
        </w:rPr>
        <w:t>新疆国联环保科技有限公司</w:t>
      </w:r>
      <w:r>
        <w:rPr>
          <w:rFonts w:hint="eastAsia" w:ascii="Times New Roman" w:hAnsi="Times New Roman" w:eastAsia="宋体" w:cs="宋体"/>
          <w:b w:val="0"/>
          <w:bCs w:val="0"/>
          <w:color w:val="auto"/>
          <w:kern w:val="0"/>
          <w:sz w:val="24"/>
          <w:szCs w:val="22"/>
          <w:lang w:val="en-US" w:eastAsia="zh-CN"/>
        </w:rPr>
        <w:t>于202</w:t>
      </w:r>
      <w:r>
        <w:rPr>
          <w:rFonts w:hint="eastAsia" w:cs="宋体"/>
          <w:b w:val="0"/>
          <w:bCs w:val="0"/>
          <w:color w:val="auto"/>
          <w:kern w:val="0"/>
          <w:sz w:val="24"/>
          <w:szCs w:val="22"/>
          <w:lang w:val="en-US" w:eastAsia="zh-CN"/>
        </w:rPr>
        <w:t>6</w:t>
      </w:r>
      <w:r>
        <w:rPr>
          <w:rFonts w:hint="eastAsia" w:ascii="Times New Roman" w:hAnsi="Times New Roman" w:eastAsia="宋体" w:cs="宋体"/>
          <w:b w:val="0"/>
          <w:bCs w:val="0"/>
          <w:color w:val="auto"/>
          <w:kern w:val="0"/>
          <w:sz w:val="24"/>
          <w:szCs w:val="22"/>
          <w:lang w:val="en-US" w:eastAsia="zh-CN"/>
        </w:rPr>
        <w:t>年</w:t>
      </w:r>
      <w:r>
        <w:rPr>
          <w:rFonts w:hint="eastAsia" w:cs="宋体"/>
          <w:b w:val="0"/>
          <w:bCs w:val="0"/>
          <w:color w:val="auto"/>
          <w:kern w:val="0"/>
          <w:sz w:val="24"/>
          <w:szCs w:val="22"/>
          <w:lang w:val="en-US" w:eastAsia="zh-CN"/>
        </w:rPr>
        <w:t>4</w:t>
      </w:r>
      <w:r>
        <w:rPr>
          <w:rFonts w:hint="eastAsia" w:ascii="Times New Roman" w:hAnsi="Times New Roman" w:eastAsia="宋体" w:cs="宋体"/>
          <w:b w:val="0"/>
          <w:bCs w:val="0"/>
          <w:color w:val="auto"/>
          <w:kern w:val="0"/>
          <w:sz w:val="24"/>
          <w:szCs w:val="22"/>
          <w:lang w:val="en-US" w:eastAsia="zh-CN"/>
        </w:rPr>
        <w:t>月</w:t>
      </w:r>
      <w:r>
        <w:rPr>
          <w:rFonts w:hint="eastAsia" w:cs="宋体"/>
          <w:b w:val="0"/>
          <w:bCs w:val="0"/>
          <w:color w:val="auto"/>
          <w:kern w:val="0"/>
          <w:sz w:val="24"/>
          <w:szCs w:val="22"/>
          <w:lang w:val="en-US" w:eastAsia="zh-CN"/>
        </w:rPr>
        <w:t>14日起至2026年4</w:t>
      </w:r>
      <w:r>
        <w:rPr>
          <w:rFonts w:hint="eastAsia" w:ascii="Times New Roman" w:hAnsi="Times New Roman" w:eastAsia="宋体" w:cs="宋体"/>
          <w:b w:val="0"/>
          <w:bCs w:val="0"/>
          <w:color w:val="auto"/>
          <w:kern w:val="0"/>
          <w:sz w:val="24"/>
          <w:szCs w:val="22"/>
          <w:lang w:val="en-US" w:eastAsia="zh-CN"/>
        </w:rPr>
        <w:t>月</w:t>
      </w:r>
      <w:r>
        <w:rPr>
          <w:rFonts w:hint="eastAsia" w:cs="宋体"/>
          <w:b w:val="0"/>
          <w:bCs w:val="0"/>
          <w:color w:val="auto"/>
          <w:kern w:val="0"/>
          <w:sz w:val="24"/>
          <w:szCs w:val="22"/>
          <w:lang w:val="en-US" w:eastAsia="zh-CN"/>
        </w:rPr>
        <w:t>20</w:t>
      </w:r>
      <w:r>
        <w:rPr>
          <w:rFonts w:hint="eastAsia" w:ascii="Times New Roman" w:hAnsi="Times New Roman" w:eastAsia="宋体" w:cs="宋体"/>
          <w:b w:val="0"/>
          <w:bCs w:val="0"/>
          <w:color w:val="auto"/>
          <w:kern w:val="0"/>
          <w:sz w:val="24"/>
          <w:szCs w:val="22"/>
          <w:lang w:val="en-US" w:eastAsia="zh-CN"/>
        </w:rPr>
        <w:t>日</w:t>
      </w:r>
      <w:r>
        <w:rPr>
          <w:rFonts w:hint="eastAsia" w:ascii="Times New Roman" w:hAnsi="Times New Roman" w:eastAsia="宋体" w:cs="Times New Roman"/>
          <w:bCs/>
          <w:kern w:val="2"/>
          <w:sz w:val="24"/>
          <w:szCs w:val="24"/>
          <w:lang w:val="en-US" w:eastAsia="zh-CN" w:bidi="ar-SA"/>
        </w:rPr>
        <w:t>对项目区下风向</w:t>
      </w:r>
      <w:r>
        <w:rPr>
          <w:rFonts w:hint="eastAsia" w:cs="Times New Roman"/>
          <w:bCs/>
          <w:kern w:val="2"/>
          <w:sz w:val="24"/>
          <w:szCs w:val="24"/>
          <w:lang w:val="en-US" w:eastAsia="zh-CN" w:bidi="ar-SA"/>
        </w:rPr>
        <w:t>2m处</w:t>
      </w:r>
      <w:r>
        <w:rPr>
          <w:rFonts w:hint="eastAsia" w:ascii="Times New Roman" w:hAnsi="Times New Roman" w:eastAsia="宋体" w:cs="Times New Roman"/>
          <w:bCs/>
          <w:kern w:val="2"/>
          <w:sz w:val="24"/>
          <w:szCs w:val="24"/>
          <w:lang w:val="en-US" w:eastAsia="zh-CN" w:bidi="ar-SA"/>
        </w:rPr>
        <w:t>进行补充监测，监测点位见图4.3-1</w:t>
      </w:r>
      <w:r>
        <w:rPr>
          <w:rFonts w:hint="default" w:ascii="Times New Roman" w:hAnsi="Times New Roman" w:eastAsia="宋体" w:cs="Times New Roman"/>
          <w:bCs/>
          <w:kern w:val="2"/>
          <w:sz w:val="24"/>
          <w:szCs w:val="24"/>
          <w:lang w:val="en-US" w:eastAsia="zh-CN" w:bidi="ar-SA"/>
        </w:rPr>
        <w:t>。</w:t>
      </w:r>
    </w:p>
    <w:p w14:paraId="1F43D664">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（1）</w:t>
      </w:r>
      <w:bookmarkEnd w:id="450"/>
      <w:bookmarkEnd w:id="451"/>
      <w:bookmarkEnd w:id="452"/>
      <w:bookmarkEnd w:id="453"/>
      <w:bookmarkEnd w:id="454"/>
      <w:bookmarkEnd w:id="455"/>
      <w:bookmarkEnd w:id="456"/>
      <w:bookmarkEnd w:id="457"/>
      <w:bookmarkEnd w:id="458"/>
      <w:bookmarkEnd w:id="459"/>
      <w:bookmarkEnd w:id="460"/>
      <w:bookmarkStart w:id="461" w:name="_Toc376272149"/>
      <w:bookmarkStart w:id="462" w:name="_Toc399193215"/>
      <w:bookmarkStart w:id="463" w:name="_Toc404178063"/>
      <w:bookmarkStart w:id="464" w:name="_Toc376355358"/>
      <w:bookmarkStart w:id="465" w:name="_Toc263844417"/>
      <w:bookmarkStart w:id="466" w:name="_Toc402868644"/>
      <w:bookmarkStart w:id="467" w:name="_Toc394504649"/>
      <w:bookmarkStart w:id="468" w:name="_Toc402878758"/>
      <w:bookmarkStart w:id="469" w:name="_Toc402354076"/>
      <w:bookmarkStart w:id="470" w:name="_Toc402353750"/>
      <w:bookmarkStart w:id="471" w:name="_Toc394504991"/>
      <w:r>
        <w:rPr>
          <w:rFonts w:hint="default" w:ascii="Times New Roman" w:hAnsi="Times New Roman" w:eastAsia="宋体" w:cs="Times New Roman"/>
          <w:bCs/>
          <w:kern w:val="2"/>
          <w:sz w:val="24"/>
          <w:szCs w:val="24"/>
          <w:lang w:val="en-US" w:eastAsia="zh-CN" w:bidi="ar-SA"/>
        </w:rPr>
        <w:t>监测因子</w:t>
      </w:r>
      <w:bookmarkEnd w:id="461"/>
      <w:bookmarkEnd w:id="462"/>
      <w:bookmarkEnd w:id="463"/>
      <w:bookmarkEnd w:id="464"/>
      <w:bookmarkEnd w:id="465"/>
      <w:bookmarkEnd w:id="466"/>
      <w:bookmarkEnd w:id="467"/>
      <w:bookmarkEnd w:id="468"/>
      <w:bookmarkEnd w:id="469"/>
      <w:bookmarkEnd w:id="470"/>
      <w:bookmarkEnd w:id="471"/>
    </w:p>
    <w:p w14:paraId="2D36F0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kern w:val="2"/>
          <w:sz w:val="24"/>
          <w:szCs w:val="24"/>
          <w:lang w:val="en-US" w:eastAsia="zh-CN" w:bidi="ar-SA"/>
        </w:rPr>
      </w:pPr>
      <w:r>
        <w:rPr>
          <w:rFonts w:hint="eastAsia" w:ascii="宋体" w:hAnsi="宋体" w:eastAsia="宋体" w:cs="Times New Roman"/>
          <w:kern w:val="0"/>
          <w:sz w:val="24"/>
          <w:szCs w:val="24"/>
          <w:vertAlign w:val="baseline"/>
          <w:lang w:val="en-US" w:eastAsia="zh-CN"/>
        </w:rPr>
        <w:t>下风向监测点监测因子：</w:t>
      </w:r>
      <w:r>
        <w:rPr>
          <w:rFonts w:hint="default" w:ascii="Times New Roman" w:hAnsi="Times New Roman" w:eastAsia="宋体" w:cs="Times New Roman"/>
          <w:kern w:val="0"/>
          <w:sz w:val="24"/>
          <w:szCs w:val="24"/>
          <w:lang w:val="en-US" w:eastAsia="zh-CN"/>
        </w:rPr>
        <w:t>NH</w:t>
      </w:r>
      <w:r>
        <w:rPr>
          <w:rFonts w:hint="default" w:ascii="Times New Roman" w:hAnsi="Times New Roman" w:eastAsia="宋体" w:cs="Times New Roman"/>
          <w:kern w:val="0"/>
          <w:sz w:val="24"/>
          <w:szCs w:val="24"/>
          <w:vertAlign w:val="subscript"/>
          <w:lang w:val="en-US" w:eastAsia="zh-CN"/>
        </w:rPr>
        <w:t>3</w:t>
      </w:r>
      <w:r>
        <w:rPr>
          <w:rFonts w:hint="default" w:ascii="Times New Roman" w:hAnsi="Times New Roman" w:eastAsia="宋体" w:cs="Times New Roman"/>
          <w:kern w:val="0"/>
          <w:sz w:val="24"/>
          <w:szCs w:val="24"/>
          <w:lang w:val="en-US" w:eastAsia="zh-CN"/>
        </w:rPr>
        <w:t>、H</w:t>
      </w:r>
      <w:r>
        <w:rPr>
          <w:rFonts w:hint="default" w:ascii="Times New Roman" w:hAnsi="Times New Roman" w:eastAsia="宋体" w:cs="Times New Roman"/>
          <w:kern w:val="0"/>
          <w:sz w:val="24"/>
          <w:szCs w:val="24"/>
          <w:vertAlign w:val="subscript"/>
          <w:lang w:val="en-US" w:eastAsia="zh-CN"/>
        </w:rPr>
        <w:t>2</w:t>
      </w:r>
      <w:r>
        <w:rPr>
          <w:rFonts w:hint="default" w:ascii="Times New Roman" w:hAnsi="Times New Roman" w:eastAsia="宋体" w:cs="Times New Roman"/>
          <w:kern w:val="0"/>
          <w:sz w:val="24"/>
          <w:szCs w:val="24"/>
          <w:lang w:val="en-US" w:eastAsia="zh-CN"/>
        </w:rPr>
        <w:t>S</w:t>
      </w:r>
      <w:r>
        <w:rPr>
          <w:rFonts w:hint="eastAsia" w:ascii="Times New Roman" w:hAnsi="Times New Roman" w:eastAsia="宋体" w:cs="Times New Roman"/>
          <w:kern w:val="0"/>
          <w:sz w:val="24"/>
          <w:szCs w:val="24"/>
          <w:lang w:val="en-US" w:eastAsia="zh-CN"/>
        </w:rPr>
        <w:t>、TSP、臭气浓度</w:t>
      </w:r>
      <w:r>
        <w:rPr>
          <w:rFonts w:hint="default" w:ascii="Times New Roman" w:hAnsi="Times New Roman" w:eastAsia="宋体" w:cs="Times New Roman"/>
          <w:bCs/>
          <w:kern w:val="2"/>
          <w:sz w:val="24"/>
          <w:szCs w:val="24"/>
          <w:lang w:val="en-US" w:eastAsia="zh-CN" w:bidi="ar-SA"/>
        </w:rPr>
        <w:t>。</w:t>
      </w:r>
    </w:p>
    <w:p w14:paraId="2106680D">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bookmarkStart w:id="472" w:name="_Toc394504650"/>
      <w:bookmarkStart w:id="473" w:name="_Toc402354077"/>
      <w:bookmarkStart w:id="474" w:name="_Toc402868645"/>
      <w:bookmarkStart w:id="475" w:name="_Toc402878759"/>
      <w:bookmarkStart w:id="476" w:name="_Toc394504992"/>
      <w:bookmarkStart w:id="477" w:name="_Toc404178064"/>
      <w:bookmarkStart w:id="478" w:name="_Toc399193216"/>
      <w:bookmarkStart w:id="479" w:name="_Toc402353751"/>
      <w:r>
        <w:rPr>
          <w:rFonts w:hint="default" w:ascii="Times New Roman" w:hAnsi="Times New Roman" w:eastAsia="宋体" w:cs="Times New Roman"/>
          <w:bCs/>
          <w:kern w:val="2"/>
          <w:sz w:val="24"/>
          <w:szCs w:val="24"/>
          <w:lang w:val="en-US" w:eastAsia="zh-CN" w:bidi="ar-SA"/>
        </w:rPr>
        <w:t>（2）监测时间和频次</w:t>
      </w:r>
      <w:bookmarkEnd w:id="472"/>
      <w:bookmarkEnd w:id="473"/>
      <w:bookmarkEnd w:id="474"/>
      <w:bookmarkEnd w:id="475"/>
      <w:bookmarkEnd w:id="476"/>
      <w:bookmarkEnd w:id="477"/>
      <w:bookmarkEnd w:id="478"/>
      <w:bookmarkEnd w:id="479"/>
    </w:p>
    <w:p w14:paraId="1DFEA528">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bookmarkStart w:id="480" w:name="_Toc399193217"/>
      <w:bookmarkStart w:id="481" w:name="_Toc402878760"/>
      <w:bookmarkStart w:id="482" w:name="_Toc402353752"/>
      <w:bookmarkStart w:id="483" w:name="_Toc394504993"/>
      <w:bookmarkStart w:id="484" w:name="_Toc402868646"/>
      <w:bookmarkStart w:id="485" w:name="_Toc402354078"/>
      <w:bookmarkStart w:id="486" w:name="_Toc394504651"/>
      <w:r>
        <w:rPr>
          <w:rFonts w:hint="default" w:ascii="Times New Roman" w:hAnsi="Times New Roman" w:eastAsia="宋体" w:cs="Times New Roman"/>
          <w:bCs/>
          <w:kern w:val="2"/>
          <w:sz w:val="24"/>
          <w:szCs w:val="24"/>
          <w:lang w:val="en-US" w:eastAsia="zh-CN" w:bidi="ar-SA"/>
        </w:rPr>
        <w:t>监测时间：</w:t>
      </w:r>
      <w:r>
        <w:rPr>
          <w:rFonts w:hint="eastAsia" w:ascii="Times New Roman" w:hAnsi="Times New Roman" w:eastAsia="宋体" w:cs="宋体"/>
          <w:b w:val="0"/>
          <w:bCs w:val="0"/>
          <w:color w:val="auto"/>
          <w:kern w:val="0"/>
          <w:sz w:val="24"/>
          <w:szCs w:val="22"/>
          <w:lang w:val="en-US" w:eastAsia="zh-CN"/>
        </w:rPr>
        <w:t>202</w:t>
      </w:r>
      <w:r>
        <w:rPr>
          <w:rFonts w:hint="eastAsia" w:cs="宋体"/>
          <w:b w:val="0"/>
          <w:bCs w:val="0"/>
          <w:color w:val="auto"/>
          <w:kern w:val="0"/>
          <w:sz w:val="24"/>
          <w:szCs w:val="22"/>
          <w:lang w:val="en-US" w:eastAsia="zh-CN"/>
        </w:rPr>
        <w:t>6</w:t>
      </w:r>
      <w:r>
        <w:rPr>
          <w:rFonts w:hint="eastAsia" w:ascii="Times New Roman" w:hAnsi="Times New Roman" w:eastAsia="宋体" w:cs="宋体"/>
          <w:b w:val="0"/>
          <w:bCs w:val="0"/>
          <w:color w:val="auto"/>
          <w:kern w:val="0"/>
          <w:sz w:val="24"/>
          <w:szCs w:val="22"/>
          <w:lang w:val="en-US" w:eastAsia="zh-CN"/>
        </w:rPr>
        <w:t>年</w:t>
      </w:r>
      <w:r>
        <w:rPr>
          <w:rFonts w:hint="eastAsia" w:cs="宋体"/>
          <w:b w:val="0"/>
          <w:bCs w:val="0"/>
          <w:color w:val="auto"/>
          <w:kern w:val="0"/>
          <w:sz w:val="24"/>
          <w:szCs w:val="22"/>
          <w:lang w:val="en-US" w:eastAsia="zh-CN"/>
        </w:rPr>
        <w:t>4</w:t>
      </w:r>
      <w:r>
        <w:rPr>
          <w:rFonts w:hint="eastAsia" w:ascii="Times New Roman" w:hAnsi="Times New Roman" w:eastAsia="宋体" w:cs="宋体"/>
          <w:b w:val="0"/>
          <w:bCs w:val="0"/>
          <w:color w:val="auto"/>
          <w:kern w:val="0"/>
          <w:sz w:val="24"/>
          <w:szCs w:val="22"/>
          <w:lang w:val="en-US" w:eastAsia="zh-CN"/>
        </w:rPr>
        <w:t>月</w:t>
      </w:r>
      <w:r>
        <w:rPr>
          <w:rFonts w:hint="eastAsia" w:cs="宋体"/>
          <w:b w:val="0"/>
          <w:bCs w:val="0"/>
          <w:color w:val="auto"/>
          <w:kern w:val="0"/>
          <w:sz w:val="24"/>
          <w:szCs w:val="22"/>
          <w:lang w:val="en-US" w:eastAsia="zh-CN"/>
        </w:rPr>
        <w:t>14日起至2026年4</w:t>
      </w:r>
      <w:r>
        <w:rPr>
          <w:rFonts w:hint="eastAsia" w:ascii="Times New Roman" w:hAnsi="Times New Roman" w:eastAsia="宋体" w:cs="宋体"/>
          <w:b w:val="0"/>
          <w:bCs w:val="0"/>
          <w:color w:val="auto"/>
          <w:kern w:val="0"/>
          <w:sz w:val="24"/>
          <w:szCs w:val="22"/>
          <w:lang w:val="en-US" w:eastAsia="zh-CN"/>
        </w:rPr>
        <w:t>月</w:t>
      </w:r>
      <w:r>
        <w:rPr>
          <w:rFonts w:hint="eastAsia" w:cs="宋体"/>
          <w:b w:val="0"/>
          <w:bCs w:val="0"/>
          <w:color w:val="auto"/>
          <w:kern w:val="0"/>
          <w:sz w:val="24"/>
          <w:szCs w:val="22"/>
          <w:lang w:val="en-US" w:eastAsia="zh-CN"/>
        </w:rPr>
        <w:t>20</w:t>
      </w:r>
      <w:r>
        <w:rPr>
          <w:rFonts w:hint="eastAsia" w:ascii="Times New Roman" w:hAnsi="Times New Roman" w:eastAsia="宋体" w:cs="宋体"/>
          <w:b w:val="0"/>
          <w:bCs w:val="0"/>
          <w:color w:val="auto"/>
          <w:kern w:val="0"/>
          <w:sz w:val="24"/>
          <w:szCs w:val="22"/>
          <w:lang w:val="en-US" w:eastAsia="zh-CN"/>
        </w:rPr>
        <w:t>日</w:t>
      </w:r>
      <w:r>
        <w:rPr>
          <w:rFonts w:hint="default" w:ascii="Times New Roman" w:hAnsi="Times New Roman" w:eastAsia="宋体" w:cs="Times New Roman"/>
          <w:bCs/>
          <w:kern w:val="2"/>
          <w:sz w:val="24"/>
          <w:szCs w:val="24"/>
          <w:lang w:val="en-US" w:eastAsia="zh-CN" w:bidi="ar-SA"/>
        </w:rPr>
        <w:t>；</w:t>
      </w:r>
    </w:p>
    <w:p w14:paraId="4126EA5B">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监测频率：TSP每天24h连续监测，氨、硫化氢、臭气浓度小时浓度每天采样四次，每次采样1小时。</w:t>
      </w:r>
    </w:p>
    <w:p w14:paraId="2A4945C9">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（3）分析方法</w:t>
      </w:r>
      <w:bookmarkEnd w:id="480"/>
      <w:bookmarkEnd w:id="481"/>
      <w:bookmarkEnd w:id="482"/>
      <w:bookmarkEnd w:id="483"/>
      <w:bookmarkEnd w:id="484"/>
      <w:bookmarkEnd w:id="485"/>
      <w:bookmarkEnd w:id="486"/>
    </w:p>
    <w:p w14:paraId="0663DF8A">
      <w:pPr>
        <w:keepNext w:val="0"/>
        <w:keepLines w:val="0"/>
        <w:pageBreakBefore w:val="0"/>
        <w:kinsoku w:val="0"/>
        <w:wordWrap/>
        <w:overflowPunct w:val="0"/>
        <w:topLinePunct w:val="0"/>
        <w:autoSpaceDE w:val="0"/>
        <w:autoSpaceDN w:val="0"/>
        <w:bidi w:val="0"/>
        <w:adjustRightInd/>
        <w:snapToGrid/>
        <w:spacing w:line="360" w:lineRule="auto"/>
        <w:ind w:firstLine="480" w:firstLineChars="200"/>
        <w:rPr>
          <w:rFonts w:hint="default" w:ascii="Times New Roman" w:hAnsi="Times New Roman" w:eastAsia="宋体" w:cs="Times New Roman"/>
          <w:kern w:val="2"/>
          <w:sz w:val="21"/>
          <w:szCs w:val="24"/>
        </w:rPr>
      </w:pPr>
      <w:r>
        <w:rPr>
          <w:rFonts w:hint="default" w:ascii="Times New Roman" w:hAnsi="Times New Roman" w:eastAsia="宋体" w:cs="Times New Roman"/>
          <w:kern w:val="2"/>
          <w:sz w:val="24"/>
          <w:szCs w:val="24"/>
        </w:rPr>
        <w:t>分析方法：大气污染物监测分析方法见表4.</w:t>
      </w:r>
      <w:r>
        <w:rPr>
          <w:rFonts w:hint="eastAsia" w:ascii="Times New Roman" w:hAnsi="Times New Roman" w:eastAsia="宋体" w:cs="Times New Roman"/>
          <w:kern w:val="2"/>
          <w:sz w:val="24"/>
          <w:szCs w:val="24"/>
          <w:lang w:val="en-US" w:eastAsia="zh-CN"/>
        </w:rPr>
        <w:t>2</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2</w:t>
      </w:r>
      <w:r>
        <w:rPr>
          <w:rFonts w:hint="default" w:ascii="Times New Roman" w:hAnsi="Times New Roman" w:eastAsia="宋体" w:cs="Times New Roman"/>
          <w:kern w:val="2"/>
          <w:sz w:val="24"/>
          <w:szCs w:val="24"/>
        </w:rPr>
        <w:t>。</w:t>
      </w:r>
    </w:p>
    <w:p w14:paraId="5FD26AE4">
      <w:pPr>
        <w:keepNext w:val="0"/>
        <w:keepLines w:val="0"/>
        <w:pageBreakBefore w:val="0"/>
        <w:widowControl w:val="0"/>
        <w:wordWrap/>
        <w:topLinePunct w:val="0"/>
        <w:bidi w:val="0"/>
        <w:adjustRightInd/>
        <w:snapToGrid/>
        <w:spacing w:before="0" w:beforeAutospacing="0" w:after="0" w:afterAutospacing="0" w:line="360" w:lineRule="auto"/>
        <w:ind w:firstLine="480"/>
        <w:jc w:val="center"/>
        <w:textAlignment w:val="baseline"/>
        <w:rPr>
          <w:rFonts w:hint="default" w:ascii="Times New Roman" w:hAnsi="Times New Roman" w:eastAsia="宋体" w:cs="Times New Roman"/>
          <w:b/>
          <w:snapToGrid w:val="0"/>
          <w:kern w:val="2"/>
          <w:sz w:val="21"/>
          <w:szCs w:val="21"/>
          <w:lang w:val="en-US" w:eastAsia="zh-CN" w:bidi="en-US"/>
        </w:rPr>
      </w:pPr>
      <w:r>
        <w:rPr>
          <w:rFonts w:hint="default" w:ascii="Times New Roman" w:hAnsi="Times New Roman" w:eastAsia="宋体" w:cs="Times New Roman"/>
          <w:b/>
          <w:snapToGrid w:val="0"/>
          <w:kern w:val="2"/>
          <w:sz w:val="24"/>
          <w:szCs w:val="24"/>
          <w:lang w:val="en-US" w:eastAsia="zh-CN" w:bidi="en-US"/>
        </w:rPr>
        <w:t>表4.</w:t>
      </w:r>
      <w:r>
        <w:rPr>
          <w:rFonts w:hint="eastAsia" w:ascii="Times New Roman" w:hAnsi="Times New Roman" w:eastAsia="宋体" w:cs="Times New Roman"/>
          <w:b/>
          <w:snapToGrid w:val="0"/>
          <w:kern w:val="2"/>
          <w:sz w:val="24"/>
          <w:szCs w:val="24"/>
          <w:lang w:val="en-US" w:eastAsia="zh-CN" w:bidi="en-US"/>
        </w:rPr>
        <w:t>2</w:t>
      </w:r>
      <w:r>
        <w:rPr>
          <w:rFonts w:hint="default" w:ascii="Times New Roman" w:hAnsi="Times New Roman" w:eastAsia="宋体" w:cs="Times New Roman"/>
          <w:b/>
          <w:snapToGrid w:val="0"/>
          <w:kern w:val="2"/>
          <w:sz w:val="24"/>
          <w:szCs w:val="24"/>
          <w:lang w:val="en-US" w:eastAsia="zh-CN" w:bidi="en-US"/>
        </w:rPr>
        <w:t>-</w:t>
      </w:r>
      <w:r>
        <w:rPr>
          <w:rFonts w:hint="eastAsia" w:ascii="Times New Roman" w:hAnsi="Times New Roman" w:eastAsia="宋体" w:cs="Times New Roman"/>
          <w:b/>
          <w:snapToGrid w:val="0"/>
          <w:kern w:val="2"/>
          <w:sz w:val="24"/>
          <w:szCs w:val="24"/>
          <w:lang w:val="en-US" w:eastAsia="zh-CN" w:bidi="en-US"/>
        </w:rPr>
        <w:t>2</w:t>
      </w:r>
      <w:r>
        <w:rPr>
          <w:rFonts w:hint="default" w:ascii="Times New Roman" w:hAnsi="Times New Roman" w:eastAsia="宋体" w:cs="Times New Roman"/>
          <w:b/>
          <w:snapToGrid w:val="0"/>
          <w:kern w:val="2"/>
          <w:sz w:val="24"/>
          <w:szCs w:val="24"/>
          <w:lang w:val="en-US" w:eastAsia="zh-CN" w:bidi="en-US"/>
        </w:rPr>
        <w:t>大气监测项目分析方法</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6104"/>
        <w:gridCol w:w="1319"/>
      </w:tblGrid>
      <w:tr w14:paraId="68394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81" w:type="dxa"/>
            <w:noWrap w:val="0"/>
            <w:vAlign w:val="center"/>
          </w:tcPr>
          <w:p w14:paraId="5C08AF69">
            <w:pPr>
              <w:keepNext w:val="0"/>
              <w:keepLines w:val="0"/>
              <w:pageBreakBefore w:val="0"/>
              <w:widowControl w:val="0"/>
              <w:kinsoku w:val="0"/>
              <w:wordWrap/>
              <w:overflowPunct w:val="0"/>
              <w:topLinePunct w:val="0"/>
              <w:autoSpaceDE w:val="0"/>
              <w:autoSpaceDN w:val="0"/>
              <w:bidi w:val="0"/>
              <w:adjustRightInd/>
              <w:snapToGrid/>
              <w:spacing w:before="0" w:after="0" w:line="320" w:lineRule="exact"/>
              <w:ind w:left="0" w:right="0" w:firstLine="0" w:firstLineChars="0"/>
              <w:jc w:val="center"/>
              <w:textAlignment w:val="auto"/>
              <w:rPr>
                <w:rFonts w:hint="default" w:ascii="Times New Roman" w:hAnsi="Times New Roman" w:eastAsia="宋体" w:cs="宋体"/>
                <w:b/>
                <w:bCs/>
                <w:color w:val="auto"/>
                <w:kern w:val="0"/>
                <w:sz w:val="21"/>
                <w:szCs w:val="21"/>
              </w:rPr>
            </w:pPr>
            <w:bookmarkStart w:id="487" w:name="_Toc399193218"/>
            <w:bookmarkStart w:id="488" w:name="_Toc263844419"/>
            <w:bookmarkStart w:id="489" w:name="_Toc402868647"/>
            <w:bookmarkStart w:id="490" w:name="_Toc376272150"/>
            <w:bookmarkStart w:id="491" w:name="_Toc402354079"/>
            <w:bookmarkStart w:id="492" w:name="_Toc402353753"/>
            <w:bookmarkStart w:id="493" w:name="_Toc402878761"/>
            <w:bookmarkStart w:id="494" w:name="_Toc404178065"/>
            <w:bookmarkStart w:id="495" w:name="_Toc394504994"/>
            <w:bookmarkStart w:id="496" w:name="_Toc394504652"/>
            <w:bookmarkStart w:id="497" w:name="_Toc376355359"/>
            <w:r>
              <w:rPr>
                <w:rFonts w:hint="default" w:ascii="Times New Roman" w:hAnsi="Times New Roman" w:eastAsia="宋体" w:cs="宋体"/>
                <w:b/>
                <w:bCs/>
                <w:color w:val="auto"/>
                <w:kern w:val="0"/>
                <w:sz w:val="21"/>
                <w:szCs w:val="21"/>
              </w:rPr>
              <w:t>监测项目</w:t>
            </w:r>
          </w:p>
        </w:tc>
        <w:tc>
          <w:tcPr>
            <w:tcW w:w="6104" w:type="dxa"/>
            <w:noWrap w:val="0"/>
            <w:vAlign w:val="center"/>
          </w:tcPr>
          <w:p w14:paraId="37DCAF84">
            <w:pPr>
              <w:keepNext w:val="0"/>
              <w:keepLines w:val="0"/>
              <w:pageBreakBefore w:val="0"/>
              <w:widowControl w:val="0"/>
              <w:kinsoku w:val="0"/>
              <w:wordWrap/>
              <w:overflowPunct w:val="0"/>
              <w:topLinePunct w:val="0"/>
              <w:autoSpaceDE w:val="0"/>
              <w:autoSpaceDN w:val="0"/>
              <w:bidi w:val="0"/>
              <w:adjustRightInd/>
              <w:snapToGrid/>
              <w:spacing w:before="0" w:after="0" w:line="320" w:lineRule="exact"/>
              <w:ind w:left="0" w:right="0" w:firstLine="0" w:firstLineChars="0"/>
              <w:jc w:val="center"/>
              <w:textAlignment w:val="auto"/>
              <w:rPr>
                <w:rFonts w:hint="default" w:ascii="Times New Roman" w:hAnsi="Times New Roman" w:eastAsia="宋体" w:cs="宋体"/>
                <w:b/>
                <w:bCs/>
                <w:color w:val="auto"/>
                <w:kern w:val="0"/>
                <w:sz w:val="21"/>
                <w:szCs w:val="21"/>
              </w:rPr>
            </w:pPr>
            <w:r>
              <w:rPr>
                <w:rFonts w:hint="default" w:ascii="Times New Roman" w:hAnsi="Times New Roman" w:eastAsia="宋体" w:cs="宋体"/>
                <w:b/>
                <w:bCs/>
                <w:color w:val="auto"/>
                <w:kern w:val="0"/>
                <w:sz w:val="21"/>
                <w:szCs w:val="21"/>
              </w:rPr>
              <w:t>分析方法（依据的标准）</w:t>
            </w:r>
          </w:p>
        </w:tc>
        <w:tc>
          <w:tcPr>
            <w:tcW w:w="1319" w:type="dxa"/>
            <w:noWrap w:val="0"/>
            <w:vAlign w:val="center"/>
          </w:tcPr>
          <w:p w14:paraId="436B7385">
            <w:pPr>
              <w:keepNext w:val="0"/>
              <w:keepLines w:val="0"/>
              <w:pageBreakBefore w:val="0"/>
              <w:widowControl w:val="0"/>
              <w:kinsoku w:val="0"/>
              <w:wordWrap/>
              <w:overflowPunct w:val="0"/>
              <w:topLinePunct w:val="0"/>
              <w:autoSpaceDE w:val="0"/>
              <w:autoSpaceDN w:val="0"/>
              <w:bidi w:val="0"/>
              <w:adjustRightInd/>
              <w:snapToGrid/>
              <w:spacing w:before="0" w:after="0" w:line="320" w:lineRule="exact"/>
              <w:ind w:left="0" w:right="0" w:firstLine="0" w:firstLineChars="0"/>
              <w:jc w:val="center"/>
              <w:textAlignment w:val="auto"/>
              <w:rPr>
                <w:rFonts w:hint="default" w:ascii="Times New Roman" w:hAnsi="Times New Roman" w:eastAsia="宋体" w:cs="宋体"/>
                <w:b/>
                <w:bCs/>
                <w:color w:val="auto"/>
                <w:kern w:val="0"/>
                <w:sz w:val="21"/>
                <w:szCs w:val="21"/>
              </w:rPr>
            </w:pPr>
            <w:r>
              <w:rPr>
                <w:rFonts w:hint="default" w:ascii="Times New Roman" w:hAnsi="Times New Roman" w:eastAsia="宋体" w:cs="宋体"/>
                <w:b/>
                <w:bCs/>
                <w:color w:val="auto"/>
                <w:kern w:val="0"/>
                <w:sz w:val="21"/>
                <w:szCs w:val="21"/>
              </w:rPr>
              <w:t>检出限</w:t>
            </w:r>
          </w:p>
        </w:tc>
      </w:tr>
      <w:tr w14:paraId="10458A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81" w:type="dxa"/>
            <w:noWrap w:val="0"/>
            <w:vAlign w:val="center"/>
          </w:tcPr>
          <w:p w14:paraId="5603A591">
            <w:pPr>
              <w:keepNext w:val="0"/>
              <w:keepLines w:val="0"/>
              <w:pageBreakBefore w:val="0"/>
              <w:widowControl w:val="0"/>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 xml:space="preserve">TSP </w:t>
            </w:r>
          </w:p>
        </w:tc>
        <w:tc>
          <w:tcPr>
            <w:tcW w:w="6104" w:type="dxa"/>
            <w:noWrap w:val="0"/>
            <w:vAlign w:val="center"/>
          </w:tcPr>
          <w:p w14:paraId="17CE97F0">
            <w:pPr>
              <w:keepNext w:val="0"/>
              <w:keepLines w:val="0"/>
              <w:pageBreakBefore w:val="0"/>
              <w:widowControl w:val="0"/>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lang w:val="en-US" w:eastAsia="zh-CN"/>
              </w:rPr>
              <w:t>环境空气</w:t>
            </w:r>
            <w:r>
              <w:rPr>
                <w:rFonts w:hint="eastAsia" w:cs="宋体"/>
                <w:color w:val="auto"/>
                <w:kern w:val="0"/>
                <w:sz w:val="21"/>
                <w:szCs w:val="21"/>
                <w:lang w:val="en-US" w:eastAsia="zh-CN"/>
              </w:rPr>
              <w:t xml:space="preserve"> </w:t>
            </w:r>
            <w:r>
              <w:rPr>
                <w:rFonts w:hint="default" w:ascii="Times New Roman" w:hAnsi="Times New Roman" w:eastAsia="宋体" w:cs="宋体"/>
                <w:color w:val="auto"/>
                <w:kern w:val="0"/>
                <w:sz w:val="21"/>
                <w:szCs w:val="21"/>
                <w:lang w:val="en-US" w:eastAsia="zh-CN"/>
              </w:rPr>
              <w:t>总悬浮颗粒物的测定</w:t>
            </w:r>
            <w:r>
              <w:rPr>
                <w:rFonts w:hint="eastAsia" w:cs="宋体"/>
                <w:color w:val="auto"/>
                <w:kern w:val="0"/>
                <w:sz w:val="21"/>
                <w:szCs w:val="21"/>
                <w:lang w:val="en-US" w:eastAsia="zh-CN"/>
              </w:rPr>
              <w:t xml:space="preserve"> </w:t>
            </w:r>
            <w:r>
              <w:rPr>
                <w:rFonts w:hint="default" w:ascii="Times New Roman" w:hAnsi="Times New Roman" w:eastAsia="宋体" w:cs="宋体"/>
                <w:color w:val="auto"/>
                <w:kern w:val="0"/>
                <w:sz w:val="21"/>
                <w:szCs w:val="21"/>
                <w:lang w:val="en-US" w:eastAsia="zh-CN"/>
              </w:rPr>
              <w:t>重量法</w:t>
            </w:r>
            <w:r>
              <w:rPr>
                <w:rFonts w:hint="eastAsia" w:cs="宋体"/>
                <w:color w:val="auto"/>
                <w:kern w:val="0"/>
                <w:sz w:val="21"/>
                <w:szCs w:val="21"/>
                <w:lang w:val="en-US" w:eastAsia="zh-CN"/>
              </w:rPr>
              <w:t xml:space="preserve"> </w:t>
            </w:r>
            <w:r>
              <w:rPr>
                <w:rFonts w:hint="default" w:ascii="Times New Roman" w:hAnsi="Times New Roman" w:eastAsia="宋体" w:cs="宋体"/>
                <w:color w:val="auto"/>
                <w:kern w:val="0"/>
                <w:sz w:val="21"/>
                <w:szCs w:val="21"/>
                <w:lang w:val="en-US" w:eastAsia="zh-CN"/>
              </w:rPr>
              <w:t>HJ1263-2022</w:t>
            </w:r>
          </w:p>
        </w:tc>
        <w:tc>
          <w:tcPr>
            <w:tcW w:w="1319" w:type="dxa"/>
            <w:noWrap w:val="0"/>
            <w:vAlign w:val="center"/>
          </w:tcPr>
          <w:p w14:paraId="29DECAD2">
            <w:pPr>
              <w:keepNext w:val="0"/>
              <w:keepLines w:val="0"/>
              <w:pageBreakBefore w:val="0"/>
              <w:widowControl w:val="0"/>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宋体"/>
                <w:color w:val="auto"/>
                <w:kern w:val="0"/>
                <w:sz w:val="21"/>
                <w:szCs w:val="21"/>
              </w:rPr>
            </w:pPr>
            <w:r>
              <w:rPr>
                <w:rFonts w:hint="default" w:ascii="Times New Roman" w:hAnsi="Times New Roman" w:eastAsia="宋体" w:cs="宋体"/>
                <w:color w:val="auto"/>
                <w:kern w:val="0"/>
                <w:sz w:val="21"/>
                <w:szCs w:val="21"/>
              </w:rPr>
              <w:t>0.0</w:t>
            </w:r>
            <w:r>
              <w:rPr>
                <w:rFonts w:hint="eastAsia" w:ascii="Times New Roman" w:hAnsi="Times New Roman" w:eastAsia="宋体" w:cs="宋体"/>
                <w:color w:val="auto"/>
                <w:kern w:val="0"/>
                <w:sz w:val="21"/>
                <w:szCs w:val="21"/>
                <w:lang w:val="en-US" w:eastAsia="zh-CN"/>
              </w:rPr>
              <w:t>0</w:t>
            </w:r>
            <w:r>
              <w:rPr>
                <w:rFonts w:hint="eastAsia" w:cs="宋体"/>
                <w:color w:val="auto"/>
                <w:kern w:val="0"/>
                <w:sz w:val="21"/>
                <w:szCs w:val="21"/>
                <w:lang w:val="en-US" w:eastAsia="zh-CN"/>
              </w:rPr>
              <w:t>7</w:t>
            </w:r>
            <w:r>
              <w:rPr>
                <w:rFonts w:hint="default" w:ascii="Times New Roman" w:hAnsi="Times New Roman" w:eastAsia="宋体" w:cs="宋体"/>
                <w:color w:val="auto"/>
                <w:kern w:val="0"/>
                <w:sz w:val="21"/>
                <w:szCs w:val="21"/>
              </w:rPr>
              <w:t>mg/m</w:t>
            </w:r>
            <w:r>
              <w:rPr>
                <w:rFonts w:hint="default" w:ascii="Times New Roman" w:hAnsi="Times New Roman" w:eastAsia="宋体" w:cs="宋体"/>
                <w:color w:val="auto"/>
                <w:kern w:val="0"/>
                <w:sz w:val="21"/>
                <w:szCs w:val="21"/>
                <w:vertAlign w:val="superscript"/>
              </w:rPr>
              <w:t>3</w:t>
            </w:r>
          </w:p>
        </w:tc>
      </w:tr>
      <w:tr w14:paraId="34E44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81" w:type="dxa"/>
            <w:noWrap w:val="0"/>
            <w:vAlign w:val="center"/>
          </w:tcPr>
          <w:p w14:paraId="296B6FA6">
            <w:pPr>
              <w:keepNext w:val="0"/>
              <w:keepLines w:val="0"/>
              <w:pageBreakBefore w:val="0"/>
              <w:widowControl w:val="0"/>
              <w:wordWrap/>
              <w:topLinePunct w:val="0"/>
              <w:bidi w:val="0"/>
              <w:adjustRightInd/>
              <w:snapToGrid/>
              <w:spacing w:line="320" w:lineRule="exact"/>
              <w:jc w:val="center"/>
              <w:textAlignment w:val="auto"/>
              <w:rPr>
                <w:rFonts w:hint="eastAsia" w:ascii="Times New Roman" w:hAnsi="Times New Roman" w:eastAsia="宋体" w:cs="宋体"/>
                <w:color w:val="auto"/>
                <w:kern w:val="0"/>
                <w:sz w:val="21"/>
                <w:szCs w:val="21"/>
                <w:lang w:val="en-US" w:eastAsia="zh-CN"/>
              </w:rPr>
            </w:pPr>
            <w:r>
              <w:rPr>
                <w:rFonts w:hint="default" w:ascii="Times New Roman" w:hAnsi="Times New Roman" w:eastAsia="宋体" w:cs="Times New Roman"/>
                <w:color w:val="auto"/>
                <w:kern w:val="0"/>
                <w:sz w:val="21"/>
                <w:szCs w:val="21"/>
              </w:rPr>
              <w:t>硫化氢</w:t>
            </w:r>
          </w:p>
        </w:tc>
        <w:tc>
          <w:tcPr>
            <w:tcW w:w="6104" w:type="dxa"/>
            <w:noWrap w:val="0"/>
            <w:vAlign w:val="center"/>
          </w:tcPr>
          <w:p w14:paraId="5F7A0595">
            <w:pPr>
              <w:keepNext w:val="0"/>
              <w:keepLines w:val="0"/>
              <w:pageBreakBefore w:val="0"/>
              <w:widowControl w:val="0"/>
              <w:wordWrap/>
              <w:topLinePunct w:val="0"/>
              <w:bidi w:val="0"/>
              <w:adjustRightInd/>
              <w:snapToGrid/>
              <w:spacing w:line="320" w:lineRule="exact"/>
              <w:jc w:val="center"/>
              <w:textAlignment w:val="auto"/>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highlight w:val="none"/>
                <w:lang w:eastAsia="zh-CN"/>
              </w:rPr>
              <w:t>空气质量 硫化氢、甲硫醇、甲硫醚和二甲二硫的测定 气相色谱法</w:t>
            </w:r>
            <w:r>
              <w:rPr>
                <w:rFonts w:hint="eastAsia" w:ascii="Times New Roman" w:hAnsi="Times New Roman" w:eastAsia="宋体" w:cs="宋体"/>
                <w:color w:val="auto"/>
                <w:kern w:val="0"/>
                <w:sz w:val="21"/>
                <w:szCs w:val="21"/>
                <w:highlight w:val="none"/>
                <w:lang w:val="en-US" w:eastAsia="zh-CN"/>
              </w:rPr>
              <w:t xml:space="preserve"> </w:t>
            </w:r>
            <w:r>
              <w:rPr>
                <w:rFonts w:hint="default" w:ascii="Times New Roman" w:hAnsi="Times New Roman" w:eastAsia="宋体" w:cs="宋体"/>
                <w:color w:val="auto"/>
                <w:kern w:val="0"/>
                <w:sz w:val="21"/>
                <w:szCs w:val="21"/>
                <w:highlight w:val="none"/>
                <w:lang w:eastAsia="zh-CN"/>
              </w:rPr>
              <w:t>GB/T 14678-1993</w:t>
            </w:r>
          </w:p>
        </w:tc>
        <w:tc>
          <w:tcPr>
            <w:tcW w:w="1319" w:type="dxa"/>
            <w:noWrap w:val="0"/>
            <w:vAlign w:val="center"/>
          </w:tcPr>
          <w:p w14:paraId="63097E45">
            <w:pPr>
              <w:keepNext w:val="0"/>
              <w:keepLines w:val="0"/>
              <w:pageBreakBefore w:val="0"/>
              <w:widowControl w:val="0"/>
              <w:wordWrap/>
              <w:topLinePunct w:val="0"/>
              <w:bidi w:val="0"/>
              <w:adjustRightInd/>
              <w:snapToGrid/>
              <w:spacing w:line="320" w:lineRule="exact"/>
              <w:jc w:val="center"/>
              <w:textAlignment w:val="auto"/>
              <w:rPr>
                <w:rFonts w:hint="eastAsia" w:cs="Times New Roman"/>
                <w:b w:val="0"/>
                <w:bCs w:val="0"/>
                <w:color w:val="auto"/>
                <w:kern w:val="0"/>
                <w:sz w:val="21"/>
                <w:szCs w:val="21"/>
                <w:highlight w:val="none"/>
                <w:lang w:val="en-US" w:eastAsia="zh-CN"/>
              </w:rPr>
            </w:pPr>
            <w:r>
              <w:rPr>
                <w:rFonts w:hint="eastAsia" w:ascii="Times New Roman" w:hAnsi="Times New Roman" w:eastAsia="宋体" w:cs="Times New Roman"/>
                <w:b w:val="0"/>
                <w:bCs w:val="0"/>
                <w:color w:val="auto"/>
                <w:kern w:val="0"/>
                <w:sz w:val="21"/>
                <w:szCs w:val="21"/>
                <w:highlight w:val="none"/>
                <w:lang w:val="en-US" w:eastAsia="zh-CN"/>
              </w:rPr>
              <w:t>0.00</w:t>
            </w:r>
            <w:r>
              <w:rPr>
                <w:rFonts w:hint="eastAsia" w:cs="Times New Roman"/>
                <w:b w:val="0"/>
                <w:bCs w:val="0"/>
                <w:color w:val="auto"/>
                <w:kern w:val="0"/>
                <w:sz w:val="21"/>
                <w:szCs w:val="21"/>
                <w:highlight w:val="none"/>
                <w:lang w:val="en-US" w:eastAsia="zh-CN"/>
              </w:rPr>
              <w:t>02</w:t>
            </w:r>
          </w:p>
          <w:p w14:paraId="599DD924">
            <w:pPr>
              <w:keepNext w:val="0"/>
              <w:keepLines w:val="0"/>
              <w:pageBreakBefore w:val="0"/>
              <w:widowControl w:val="0"/>
              <w:wordWrap/>
              <w:topLinePunct w:val="0"/>
              <w:bidi w:val="0"/>
              <w:adjustRightInd/>
              <w:snapToGrid/>
              <w:spacing w:line="320" w:lineRule="exact"/>
              <w:jc w:val="center"/>
              <w:textAlignment w:val="auto"/>
              <w:rPr>
                <w:rFonts w:hint="default" w:ascii="Times New Roman" w:hAnsi="Times New Roman" w:eastAsia="宋体" w:cs="宋体"/>
                <w:color w:val="auto"/>
                <w:kern w:val="0"/>
                <w:sz w:val="21"/>
                <w:szCs w:val="21"/>
              </w:rPr>
            </w:pPr>
            <w:r>
              <w:rPr>
                <w:rFonts w:hint="default" w:ascii="Times New Roman" w:hAnsi="Times New Roman" w:eastAsia="宋体" w:cs="Times New Roman"/>
                <w:b w:val="0"/>
                <w:bCs w:val="0"/>
                <w:color w:val="auto"/>
                <w:kern w:val="0"/>
                <w:sz w:val="21"/>
                <w:szCs w:val="21"/>
                <w:highlight w:val="none"/>
                <w:vertAlign w:val="baseline"/>
                <w:lang w:val="en-US" w:eastAsia="zh-CN"/>
              </w:rPr>
              <w:t>mg/m</w:t>
            </w:r>
            <w:r>
              <w:rPr>
                <w:rFonts w:hint="default" w:ascii="Times New Roman" w:hAnsi="Times New Roman" w:eastAsia="宋体" w:cs="Times New Roman"/>
                <w:b w:val="0"/>
                <w:bCs w:val="0"/>
                <w:color w:val="auto"/>
                <w:kern w:val="0"/>
                <w:sz w:val="21"/>
                <w:szCs w:val="21"/>
                <w:highlight w:val="none"/>
                <w:vertAlign w:val="superscript"/>
                <w:lang w:val="en-US" w:eastAsia="zh-CN"/>
              </w:rPr>
              <w:t>3</w:t>
            </w:r>
          </w:p>
        </w:tc>
      </w:tr>
      <w:tr w14:paraId="7CC94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81" w:type="dxa"/>
            <w:noWrap w:val="0"/>
            <w:vAlign w:val="center"/>
          </w:tcPr>
          <w:p w14:paraId="6AFB0AE8">
            <w:pPr>
              <w:keepNext w:val="0"/>
              <w:keepLines w:val="0"/>
              <w:pageBreakBefore w:val="0"/>
              <w:widowControl w:val="0"/>
              <w:wordWrap/>
              <w:topLinePunct w:val="0"/>
              <w:bidi w:val="0"/>
              <w:adjustRightInd/>
              <w:snapToGrid/>
              <w:spacing w:line="320" w:lineRule="exact"/>
              <w:jc w:val="center"/>
              <w:textAlignment w:val="auto"/>
              <w:rPr>
                <w:rFonts w:hint="eastAsia" w:ascii="Times New Roman" w:hAnsi="Times New Roman" w:eastAsia="宋体" w:cs="宋体"/>
                <w:color w:val="auto"/>
                <w:kern w:val="0"/>
                <w:sz w:val="21"/>
                <w:szCs w:val="21"/>
                <w:lang w:val="en-US" w:eastAsia="zh-CN"/>
              </w:rPr>
            </w:pPr>
            <w:r>
              <w:rPr>
                <w:rFonts w:hint="default" w:ascii="Times New Roman" w:hAnsi="Times New Roman" w:eastAsia="宋体" w:cs="Times New Roman"/>
                <w:color w:val="auto"/>
                <w:kern w:val="0"/>
                <w:sz w:val="21"/>
                <w:szCs w:val="21"/>
              </w:rPr>
              <w:t>氨</w:t>
            </w:r>
          </w:p>
        </w:tc>
        <w:tc>
          <w:tcPr>
            <w:tcW w:w="6104" w:type="dxa"/>
            <w:noWrap w:val="0"/>
            <w:vAlign w:val="center"/>
          </w:tcPr>
          <w:p w14:paraId="599A954B">
            <w:pPr>
              <w:keepNext w:val="0"/>
              <w:keepLines w:val="0"/>
              <w:pageBreakBefore w:val="0"/>
              <w:widowControl w:val="0"/>
              <w:wordWrap/>
              <w:topLinePunct w:val="0"/>
              <w:bidi w:val="0"/>
              <w:adjustRightInd/>
              <w:snapToGrid/>
              <w:spacing w:line="320" w:lineRule="exact"/>
              <w:jc w:val="center"/>
              <w:textAlignment w:val="auto"/>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highlight w:val="none"/>
                <w:lang w:val="en-US" w:eastAsia="zh-CN"/>
              </w:rPr>
              <w:t>环境空气和废气</w:t>
            </w:r>
            <w:r>
              <w:rPr>
                <w:rFonts w:hint="eastAsia" w:ascii="Times New Roman" w:hAnsi="Times New Roman" w:eastAsia="宋体" w:cs="宋体"/>
                <w:color w:val="auto"/>
                <w:kern w:val="0"/>
                <w:sz w:val="21"/>
                <w:szCs w:val="21"/>
                <w:highlight w:val="none"/>
                <w:lang w:val="en-US" w:eastAsia="zh-CN"/>
              </w:rPr>
              <w:t xml:space="preserve"> </w:t>
            </w:r>
            <w:r>
              <w:rPr>
                <w:rFonts w:hint="default" w:ascii="Times New Roman" w:hAnsi="Times New Roman" w:eastAsia="宋体" w:cs="宋体"/>
                <w:color w:val="auto"/>
                <w:kern w:val="0"/>
                <w:sz w:val="21"/>
                <w:szCs w:val="21"/>
                <w:highlight w:val="none"/>
                <w:lang w:val="en-US" w:eastAsia="zh-CN"/>
              </w:rPr>
              <w:t>氨的测定</w:t>
            </w:r>
            <w:r>
              <w:rPr>
                <w:rFonts w:hint="eastAsia" w:ascii="Times New Roman" w:hAnsi="Times New Roman" w:eastAsia="宋体" w:cs="宋体"/>
                <w:color w:val="auto"/>
                <w:kern w:val="0"/>
                <w:sz w:val="21"/>
                <w:szCs w:val="21"/>
                <w:highlight w:val="none"/>
                <w:lang w:val="en-US" w:eastAsia="zh-CN"/>
              </w:rPr>
              <w:t xml:space="preserve"> </w:t>
            </w:r>
            <w:r>
              <w:rPr>
                <w:rFonts w:hint="default" w:ascii="Times New Roman" w:hAnsi="Times New Roman" w:eastAsia="宋体" w:cs="宋体"/>
                <w:color w:val="auto"/>
                <w:kern w:val="0"/>
                <w:sz w:val="21"/>
                <w:szCs w:val="21"/>
                <w:highlight w:val="none"/>
                <w:lang w:val="en-US" w:eastAsia="zh-CN"/>
              </w:rPr>
              <w:t>纳氏试剂分光光度法HJ 533-2009</w:t>
            </w:r>
          </w:p>
        </w:tc>
        <w:tc>
          <w:tcPr>
            <w:tcW w:w="1319" w:type="dxa"/>
            <w:noWrap w:val="0"/>
            <w:vAlign w:val="center"/>
          </w:tcPr>
          <w:p w14:paraId="2465507B">
            <w:pPr>
              <w:keepNext w:val="0"/>
              <w:keepLines w:val="0"/>
              <w:pageBreakBefore w:val="0"/>
              <w:widowControl w:val="0"/>
              <w:wordWrap/>
              <w:topLinePunct w:val="0"/>
              <w:bidi w:val="0"/>
              <w:adjustRightInd/>
              <w:snapToGrid/>
              <w:spacing w:line="320" w:lineRule="exact"/>
              <w:jc w:val="center"/>
              <w:textAlignment w:val="auto"/>
              <w:rPr>
                <w:rFonts w:hint="default" w:ascii="Times New Roman" w:hAnsi="Times New Roman" w:eastAsia="宋体" w:cs="宋体"/>
                <w:color w:val="auto"/>
                <w:kern w:val="0"/>
                <w:sz w:val="21"/>
                <w:szCs w:val="21"/>
              </w:rPr>
            </w:pPr>
            <w:r>
              <w:rPr>
                <w:rFonts w:hint="default" w:ascii="Times New Roman" w:hAnsi="Times New Roman" w:eastAsia="宋体" w:cs="Times New Roman"/>
                <w:color w:val="auto"/>
                <w:kern w:val="0"/>
                <w:sz w:val="21"/>
                <w:szCs w:val="21"/>
              </w:rPr>
              <w:t>0.01 mg/m</w:t>
            </w:r>
            <w:r>
              <w:rPr>
                <w:rFonts w:hint="default" w:ascii="Times New Roman" w:hAnsi="Times New Roman" w:eastAsia="宋体" w:cs="Times New Roman"/>
                <w:color w:val="auto"/>
                <w:kern w:val="0"/>
                <w:sz w:val="21"/>
                <w:szCs w:val="21"/>
                <w:vertAlign w:val="superscript"/>
              </w:rPr>
              <w:t>3</w:t>
            </w:r>
          </w:p>
        </w:tc>
      </w:tr>
      <w:tr w14:paraId="723F9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81" w:type="dxa"/>
            <w:noWrap w:val="0"/>
            <w:vAlign w:val="center"/>
          </w:tcPr>
          <w:p w14:paraId="5AC58732">
            <w:pPr>
              <w:keepNext w:val="0"/>
              <w:keepLines w:val="0"/>
              <w:pageBreakBefore w:val="0"/>
              <w:widowControl w:val="0"/>
              <w:wordWrap/>
              <w:topLinePunct w:val="0"/>
              <w:bidi w:val="0"/>
              <w:adjustRightInd/>
              <w:snapToGrid/>
              <w:spacing w:line="320" w:lineRule="exact"/>
              <w:jc w:val="center"/>
              <w:textAlignment w:val="auto"/>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lang w:val="en-US" w:eastAsia="zh-CN"/>
              </w:rPr>
              <w:t>臭气浓度</w:t>
            </w:r>
          </w:p>
        </w:tc>
        <w:tc>
          <w:tcPr>
            <w:tcW w:w="6104" w:type="dxa"/>
            <w:noWrap w:val="0"/>
            <w:vAlign w:val="center"/>
          </w:tcPr>
          <w:p w14:paraId="2F987803">
            <w:pPr>
              <w:keepNext w:val="0"/>
              <w:keepLines w:val="0"/>
              <w:pageBreakBefore w:val="0"/>
              <w:widowControl w:val="0"/>
              <w:wordWrap/>
              <w:topLinePunct w:val="0"/>
              <w:bidi w:val="0"/>
              <w:adjustRightInd/>
              <w:snapToGrid/>
              <w:spacing w:line="32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环境空气和废气 臭气的测定 三点比较式臭袋法 HJ1262-2022</w:t>
            </w:r>
          </w:p>
        </w:tc>
        <w:tc>
          <w:tcPr>
            <w:tcW w:w="1319" w:type="dxa"/>
            <w:noWrap w:val="0"/>
            <w:vAlign w:val="center"/>
          </w:tcPr>
          <w:p w14:paraId="62C62197">
            <w:pPr>
              <w:keepNext w:val="0"/>
              <w:keepLines w:val="0"/>
              <w:pageBreakBefore w:val="0"/>
              <w:widowControl w:val="0"/>
              <w:wordWrap/>
              <w:topLinePunct w:val="0"/>
              <w:bidi w:val="0"/>
              <w:adjustRightInd/>
              <w:snapToGrid/>
              <w:spacing w:line="320" w:lineRule="exact"/>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p>
        </w:tc>
      </w:tr>
    </w:tbl>
    <w:p w14:paraId="526025FC">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（4）评价标准</w:t>
      </w:r>
      <w:bookmarkEnd w:id="487"/>
      <w:bookmarkEnd w:id="488"/>
      <w:bookmarkEnd w:id="489"/>
      <w:bookmarkEnd w:id="490"/>
      <w:bookmarkEnd w:id="491"/>
      <w:bookmarkEnd w:id="492"/>
      <w:bookmarkEnd w:id="493"/>
      <w:bookmarkEnd w:id="494"/>
      <w:bookmarkEnd w:id="495"/>
      <w:bookmarkEnd w:id="496"/>
      <w:bookmarkEnd w:id="497"/>
    </w:p>
    <w:p w14:paraId="3F93348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硫化氢、氨</w:t>
      </w:r>
      <w:r>
        <w:rPr>
          <w:rFonts w:hint="eastAsia" w:ascii="Times New Roman" w:hAnsi="Times New Roman" w:eastAsia="宋体" w:cs="Times New Roman"/>
          <w:bCs/>
          <w:kern w:val="2"/>
          <w:sz w:val="24"/>
          <w:szCs w:val="24"/>
          <w:lang w:val="en-US" w:eastAsia="zh-CN" w:bidi="ar-SA"/>
        </w:rPr>
        <w:t>执行</w:t>
      </w:r>
      <w:r>
        <w:rPr>
          <w:rFonts w:hint="default" w:ascii="Times New Roman" w:hAnsi="Times New Roman" w:eastAsia="宋体" w:cs="Times New Roman"/>
          <w:bCs/>
          <w:kern w:val="0"/>
          <w:sz w:val="24"/>
          <w:szCs w:val="24"/>
        </w:rPr>
        <w:t>《环境影响评价技术导则 大气环境》</w:t>
      </w: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rPr>
        <w:t>HJ2.2-2018</w:t>
      </w: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rPr>
        <w:t>中表D.1其他污染物空气质量浓度参考限值</w:t>
      </w:r>
      <w:r>
        <w:rPr>
          <w:rFonts w:hint="default" w:ascii="Times New Roman" w:hAnsi="Times New Roman" w:eastAsia="宋体" w:cs="Times New Roman"/>
          <w:bCs/>
          <w:kern w:val="2"/>
          <w:sz w:val="24"/>
          <w:szCs w:val="24"/>
          <w:lang w:val="en-US" w:eastAsia="zh-CN" w:bidi="ar-SA"/>
        </w:rPr>
        <w:t>（硫化氢一小时平均10μg/m</w:t>
      </w:r>
      <w:r>
        <w:rPr>
          <w:rFonts w:hint="default" w:ascii="Times New Roman" w:hAnsi="Times New Roman" w:eastAsia="宋体" w:cs="Times New Roman"/>
          <w:bCs/>
          <w:kern w:val="2"/>
          <w:sz w:val="24"/>
          <w:szCs w:val="24"/>
          <w:vertAlign w:val="superscript"/>
          <w:lang w:val="en-US" w:eastAsia="zh-CN" w:bidi="ar-SA"/>
        </w:rPr>
        <w:t>3</w:t>
      </w:r>
      <w:r>
        <w:rPr>
          <w:rFonts w:hint="default" w:ascii="Times New Roman" w:hAnsi="Times New Roman" w:eastAsia="宋体" w:cs="Times New Roman"/>
          <w:bCs/>
          <w:kern w:val="2"/>
          <w:sz w:val="24"/>
          <w:szCs w:val="24"/>
          <w:lang w:val="en-US" w:eastAsia="zh-CN" w:bidi="ar-SA"/>
        </w:rPr>
        <w:t>；氨一小时平均200μg/m</w:t>
      </w:r>
      <w:r>
        <w:rPr>
          <w:rFonts w:hint="default" w:ascii="Times New Roman" w:hAnsi="Times New Roman" w:eastAsia="宋体" w:cs="Times New Roman"/>
          <w:bCs/>
          <w:kern w:val="2"/>
          <w:sz w:val="24"/>
          <w:szCs w:val="24"/>
          <w:vertAlign w:val="superscript"/>
          <w:lang w:val="en-US" w:eastAsia="zh-CN" w:bidi="ar-SA"/>
        </w:rPr>
        <w:t>3</w:t>
      </w:r>
      <w:r>
        <w:rPr>
          <w:rFonts w:hint="default"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snapToGrid w:val="0"/>
          <w:color w:val="000000"/>
          <w:kern w:val="0"/>
          <w:sz w:val="24"/>
          <w:szCs w:val="24"/>
          <w:lang w:val="en-US" w:eastAsia="zh-CN" w:bidi="ar-SA"/>
        </w:rPr>
        <w:t>TSP</w:t>
      </w:r>
      <w:r>
        <w:rPr>
          <w:rFonts w:hint="default" w:ascii="Times New Roman" w:hAnsi="Times New Roman" w:eastAsia="宋体" w:cs="Times New Roman"/>
          <w:snapToGrid w:val="0"/>
          <w:color w:val="000000"/>
          <w:kern w:val="0"/>
          <w:sz w:val="24"/>
          <w:szCs w:val="24"/>
          <w:lang w:val="en-US" w:eastAsia="zh-CN" w:bidi="ar-SA"/>
        </w:rPr>
        <w:t>执行《环境空气质量标准》（GB3095-2026）表2环境空气污染物其他项目浓度限值二级标准</w:t>
      </w:r>
      <w:r>
        <w:rPr>
          <w:rFonts w:hint="eastAsia" w:ascii="Times New Roman" w:hAnsi="Times New Roman" w:eastAsia="宋体" w:cs="Times New Roman"/>
          <w:snapToGrid w:val="0"/>
          <w:color w:val="000000"/>
          <w:kern w:val="0"/>
          <w:sz w:val="24"/>
          <w:szCs w:val="24"/>
          <w:lang w:val="en-US" w:eastAsia="zh-CN" w:bidi="ar-SA"/>
        </w:rPr>
        <w:t>（24小时平均</w:t>
      </w:r>
      <w:r>
        <w:rPr>
          <w:rFonts w:hint="eastAsia" w:ascii="Times New Roman" w:hAnsi="Times New Roman" w:eastAsia="宋体"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00μg/m</w:t>
      </w:r>
      <w:r>
        <w:rPr>
          <w:rFonts w:hint="default" w:ascii="Times New Roman" w:hAnsi="Times New Roman" w:eastAsia="宋体" w:cs="Times New Roman"/>
          <w:bCs/>
          <w:kern w:val="2"/>
          <w:sz w:val="24"/>
          <w:szCs w:val="24"/>
          <w:vertAlign w:val="superscript"/>
          <w:lang w:val="en-US" w:eastAsia="zh-CN" w:bidi="ar-SA"/>
        </w:rPr>
        <w:t>3</w:t>
      </w:r>
      <w:r>
        <w:rPr>
          <w:rFonts w:hint="eastAsia" w:ascii="Times New Roman" w:hAnsi="Times New Roman" w:eastAsia="宋体" w:cs="Times New Roman"/>
          <w:snapToGrid w:val="0"/>
          <w:color w:val="000000"/>
          <w:kern w:val="0"/>
          <w:sz w:val="24"/>
          <w:szCs w:val="24"/>
          <w:lang w:val="en-US" w:eastAsia="zh-CN" w:bidi="ar-SA"/>
        </w:rPr>
        <w:t>）</w:t>
      </w:r>
      <w:r>
        <w:rPr>
          <w:rFonts w:hint="default" w:ascii="Times New Roman" w:hAnsi="Times New Roman" w:eastAsia="宋体" w:cs="Times New Roman"/>
          <w:bCs/>
          <w:kern w:val="2"/>
          <w:sz w:val="24"/>
          <w:szCs w:val="24"/>
          <w:lang w:val="en-US" w:eastAsia="zh-CN" w:bidi="ar-SA"/>
        </w:rPr>
        <w:t>。</w:t>
      </w:r>
    </w:p>
    <w:p w14:paraId="02E8B9B6">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bookmarkStart w:id="498" w:name="_Toc376272151"/>
      <w:bookmarkStart w:id="499" w:name="_Toc394504995"/>
      <w:bookmarkStart w:id="500" w:name="_Toc404178066"/>
      <w:bookmarkStart w:id="501" w:name="_Toc402353754"/>
      <w:bookmarkStart w:id="502" w:name="_Toc376355360"/>
      <w:bookmarkStart w:id="503" w:name="_Toc402868648"/>
      <w:bookmarkStart w:id="504" w:name="_Toc402878762"/>
      <w:bookmarkStart w:id="505" w:name="_Toc402354080"/>
      <w:bookmarkStart w:id="506" w:name="_Toc263844420"/>
      <w:bookmarkStart w:id="507" w:name="_Toc399193219"/>
      <w:bookmarkStart w:id="508" w:name="_Toc394504653"/>
      <w:r>
        <w:rPr>
          <w:rFonts w:hint="default" w:ascii="Times New Roman" w:hAnsi="Times New Roman" w:eastAsia="宋体" w:cs="Times New Roman"/>
          <w:bCs/>
          <w:kern w:val="2"/>
          <w:sz w:val="24"/>
          <w:szCs w:val="24"/>
          <w:lang w:val="en-US" w:eastAsia="zh-CN" w:bidi="ar-SA"/>
        </w:rPr>
        <w:t>（5）评价方法</w:t>
      </w:r>
      <w:bookmarkEnd w:id="498"/>
      <w:bookmarkEnd w:id="499"/>
      <w:bookmarkEnd w:id="500"/>
      <w:bookmarkEnd w:id="501"/>
      <w:bookmarkEnd w:id="502"/>
      <w:bookmarkEnd w:id="503"/>
      <w:bookmarkEnd w:id="504"/>
      <w:bookmarkEnd w:id="505"/>
      <w:bookmarkEnd w:id="506"/>
      <w:bookmarkEnd w:id="507"/>
      <w:bookmarkEnd w:id="508"/>
    </w:p>
    <w:p w14:paraId="12819876">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本次环评大气环境质量现状采用</w:t>
      </w:r>
      <w:r>
        <w:rPr>
          <w:rFonts w:hint="eastAsia" w:ascii="Times New Roman" w:hAnsi="Times New Roman" w:eastAsia="宋体" w:cs="Times New Roman"/>
          <w:bCs/>
          <w:kern w:val="2"/>
          <w:sz w:val="24"/>
          <w:szCs w:val="24"/>
          <w:lang w:val="en-US" w:eastAsia="zh-CN" w:bidi="ar-SA"/>
        </w:rPr>
        <w:t>占标率</w:t>
      </w:r>
      <w:r>
        <w:rPr>
          <w:rFonts w:hint="default" w:ascii="Times New Roman" w:hAnsi="Times New Roman" w:eastAsia="宋体" w:cs="Times New Roman"/>
          <w:bCs/>
          <w:kern w:val="2"/>
          <w:sz w:val="24"/>
          <w:szCs w:val="24"/>
          <w:lang w:val="en-US" w:eastAsia="zh-CN" w:bidi="ar-SA"/>
        </w:rPr>
        <w:t>法，计算公式为：</w:t>
      </w:r>
    </w:p>
    <w:p w14:paraId="5D3FFE4B">
      <w:pPr>
        <w:keepNext w:val="0"/>
        <w:keepLines w:val="0"/>
        <w:pageBreakBefore w:val="0"/>
        <w:widowControl w:val="0"/>
        <w:wordWrap/>
        <w:topLinePunct w:val="0"/>
        <w:bidi w:val="0"/>
        <w:adjustRightInd/>
        <w:snapToGrid/>
        <w:spacing w:line="360" w:lineRule="auto"/>
        <w:ind w:firstLine="480" w:firstLineChars="200"/>
        <w:jc w:val="center"/>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drawing>
          <wp:inline distT="0" distB="0" distL="114300" distR="114300">
            <wp:extent cx="1031240" cy="446405"/>
            <wp:effectExtent l="0" t="0" r="0" b="12065"/>
            <wp:docPr id="4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13"/>
                    <pic:cNvPicPr>
                      <a:picLocks noChangeAspect="1"/>
                    </pic:cNvPicPr>
                  </pic:nvPicPr>
                  <pic:blipFill>
                    <a:blip r:embed="rId37"/>
                    <a:stretch>
                      <a:fillRect/>
                    </a:stretch>
                  </pic:blipFill>
                  <pic:spPr>
                    <a:xfrm>
                      <a:off x="0" y="0"/>
                      <a:ext cx="1031240" cy="446405"/>
                    </a:xfrm>
                    <a:prstGeom prst="rect">
                      <a:avLst/>
                    </a:prstGeom>
                    <a:noFill/>
                    <a:ln>
                      <a:noFill/>
                    </a:ln>
                  </pic:spPr>
                </pic:pic>
              </a:graphicData>
            </a:graphic>
          </wp:inline>
        </w:drawing>
      </w:r>
    </w:p>
    <w:p w14:paraId="23629FC6">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式中：P</w:t>
      </w:r>
      <w:r>
        <w:rPr>
          <w:rFonts w:hint="default" w:ascii="Times New Roman" w:hAnsi="Times New Roman" w:eastAsia="宋体" w:cs="Times New Roman"/>
          <w:bCs/>
          <w:kern w:val="2"/>
          <w:sz w:val="24"/>
          <w:szCs w:val="24"/>
          <w:vertAlign w:val="subscript"/>
          <w:lang w:val="en-US" w:eastAsia="zh-CN" w:bidi="ar-SA"/>
        </w:rPr>
        <w:t>i</w:t>
      </w:r>
      <w:r>
        <w:rPr>
          <w:rFonts w:hint="default" w:ascii="Times New Roman" w:hAnsi="Times New Roman" w:eastAsia="宋体" w:cs="Times New Roman"/>
          <w:bCs/>
          <w:kern w:val="2"/>
          <w:sz w:val="24"/>
          <w:szCs w:val="24"/>
          <w:lang w:val="en-US" w:eastAsia="zh-CN" w:bidi="ar-SA"/>
        </w:rPr>
        <w:t>——第i个污染物的监测最大浓度占相应标准浓度限值的百分比，%；</w:t>
      </w:r>
    </w:p>
    <w:p w14:paraId="57907220">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 xml:space="preserve">  C</w:t>
      </w:r>
      <w:r>
        <w:rPr>
          <w:rFonts w:hint="default" w:ascii="Times New Roman" w:hAnsi="Times New Roman" w:eastAsia="宋体" w:cs="Times New Roman"/>
          <w:bCs/>
          <w:kern w:val="2"/>
          <w:sz w:val="24"/>
          <w:szCs w:val="24"/>
          <w:vertAlign w:val="subscript"/>
          <w:lang w:val="en-US" w:eastAsia="zh-CN" w:bidi="ar-SA"/>
        </w:rPr>
        <w:t>i</w:t>
      </w:r>
      <w:r>
        <w:rPr>
          <w:rFonts w:hint="default" w:ascii="Times New Roman" w:hAnsi="Times New Roman" w:eastAsia="宋体" w:cs="Times New Roman"/>
          <w:bCs/>
          <w:kern w:val="2"/>
          <w:sz w:val="24"/>
          <w:szCs w:val="24"/>
          <w:lang w:val="en-US" w:eastAsia="zh-CN" w:bidi="ar-SA"/>
        </w:rPr>
        <w:t>——第i个污染物的监测最大浓度值，mg/m</w:t>
      </w:r>
      <w:r>
        <w:rPr>
          <w:rFonts w:hint="default" w:ascii="Times New Roman" w:hAnsi="Times New Roman" w:eastAsia="宋体" w:cs="Times New Roman"/>
          <w:bCs/>
          <w:kern w:val="2"/>
          <w:sz w:val="24"/>
          <w:szCs w:val="24"/>
          <w:vertAlign w:val="superscript"/>
          <w:lang w:val="en-US" w:eastAsia="zh-CN" w:bidi="ar-SA"/>
        </w:rPr>
        <w:t>3</w:t>
      </w:r>
      <w:r>
        <w:rPr>
          <w:rFonts w:hint="default" w:ascii="Times New Roman" w:hAnsi="Times New Roman" w:eastAsia="宋体" w:cs="Times New Roman"/>
          <w:bCs/>
          <w:kern w:val="2"/>
          <w:sz w:val="24"/>
          <w:szCs w:val="24"/>
          <w:lang w:val="en-US" w:eastAsia="zh-CN" w:bidi="ar-SA"/>
        </w:rPr>
        <w:t>；</w:t>
      </w:r>
    </w:p>
    <w:p w14:paraId="5CCF10B5">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 xml:space="preserve">  C</w:t>
      </w:r>
      <w:r>
        <w:rPr>
          <w:rFonts w:hint="default" w:ascii="Times New Roman" w:hAnsi="Times New Roman" w:eastAsia="宋体" w:cs="Times New Roman"/>
          <w:bCs/>
          <w:kern w:val="2"/>
          <w:sz w:val="24"/>
          <w:szCs w:val="24"/>
          <w:vertAlign w:val="subscript"/>
          <w:lang w:val="en-US" w:eastAsia="zh-CN" w:bidi="ar-SA"/>
        </w:rPr>
        <w:t>0i</w:t>
      </w:r>
      <w:r>
        <w:rPr>
          <w:rFonts w:hint="default" w:ascii="Times New Roman" w:hAnsi="Times New Roman" w:eastAsia="宋体" w:cs="Times New Roman"/>
          <w:bCs/>
          <w:kern w:val="2"/>
          <w:sz w:val="24"/>
          <w:szCs w:val="24"/>
          <w:lang w:val="en-US" w:eastAsia="zh-CN" w:bidi="ar-SA"/>
        </w:rPr>
        <w:t>——第i个污染物的环境空气质量标准，mg/m</w:t>
      </w:r>
      <w:r>
        <w:rPr>
          <w:rFonts w:hint="default" w:ascii="Times New Roman" w:hAnsi="Times New Roman" w:eastAsia="宋体" w:cs="Times New Roman"/>
          <w:bCs/>
          <w:kern w:val="2"/>
          <w:sz w:val="24"/>
          <w:szCs w:val="24"/>
          <w:vertAlign w:val="superscript"/>
          <w:lang w:val="en-US" w:eastAsia="zh-CN" w:bidi="ar-SA"/>
        </w:rPr>
        <w:t>3</w:t>
      </w:r>
      <w:r>
        <w:rPr>
          <w:rFonts w:hint="default" w:ascii="Times New Roman" w:hAnsi="Times New Roman" w:eastAsia="宋体" w:cs="Times New Roman"/>
          <w:bCs/>
          <w:kern w:val="2"/>
          <w:sz w:val="24"/>
          <w:szCs w:val="24"/>
          <w:lang w:val="en-US" w:eastAsia="zh-CN" w:bidi="ar-SA"/>
        </w:rPr>
        <w:t>。</w:t>
      </w:r>
    </w:p>
    <w:p w14:paraId="7BE9CEE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bookmarkStart w:id="509" w:name="_Toc394504654"/>
      <w:bookmarkStart w:id="510" w:name="_Toc399193220"/>
      <w:bookmarkStart w:id="511" w:name="_Toc402354081"/>
      <w:bookmarkStart w:id="512" w:name="_Toc376272152"/>
      <w:bookmarkStart w:id="513" w:name="_Toc394504996"/>
      <w:bookmarkStart w:id="514" w:name="_Toc402878763"/>
      <w:bookmarkStart w:id="515" w:name="_Toc404178067"/>
      <w:bookmarkStart w:id="516" w:name="_Toc263844421"/>
      <w:bookmarkStart w:id="517" w:name="_Toc376355361"/>
      <w:bookmarkStart w:id="518" w:name="_Toc402868649"/>
      <w:bookmarkStart w:id="519" w:name="_Toc402353755"/>
      <w:r>
        <w:rPr>
          <w:rFonts w:hint="default" w:ascii="Times New Roman" w:hAnsi="Times New Roman" w:eastAsia="宋体" w:cs="Times New Roman"/>
          <w:bCs/>
          <w:kern w:val="2"/>
          <w:sz w:val="24"/>
          <w:szCs w:val="24"/>
          <w:lang w:val="en-US" w:eastAsia="zh-CN" w:bidi="ar-SA"/>
        </w:rPr>
        <w:t>（6）监测及评价结果</w:t>
      </w:r>
      <w:bookmarkEnd w:id="509"/>
      <w:bookmarkEnd w:id="510"/>
      <w:bookmarkEnd w:id="511"/>
      <w:bookmarkEnd w:id="512"/>
      <w:bookmarkEnd w:id="513"/>
      <w:bookmarkEnd w:id="514"/>
      <w:bookmarkEnd w:id="515"/>
      <w:bookmarkEnd w:id="516"/>
      <w:bookmarkEnd w:id="517"/>
      <w:bookmarkEnd w:id="518"/>
      <w:bookmarkEnd w:id="519"/>
    </w:p>
    <w:p w14:paraId="47B9FF07">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根据环境空气质量现状调查结果，常规大气污染物日均监测及评价结果见表4.</w:t>
      </w:r>
      <w:r>
        <w:rPr>
          <w:rFonts w:hint="eastAsia" w:ascii="Times New Roman" w:hAnsi="Times New Roman" w:eastAsia="宋体" w:cs="Times New Roman"/>
          <w:bCs/>
          <w:kern w:val="2"/>
          <w:sz w:val="24"/>
          <w:szCs w:val="24"/>
          <w:lang w:val="en-US" w:eastAsia="zh-CN" w:bidi="ar-SA"/>
        </w:rPr>
        <w:t>2</w:t>
      </w:r>
      <w:r>
        <w:rPr>
          <w:rFonts w:hint="default"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w:t>
      </w:r>
    </w:p>
    <w:p w14:paraId="795DA158">
      <w:pPr>
        <w:keepNext w:val="0"/>
        <w:keepLines w:val="0"/>
        <w:pageBreakBefore w:val="0"/>
        <w:widowControl w:val="0"/>
        <w:wordWrap/>
        <w:topLinePunct w:val="0"/>
        <w:bidi w:val="0"/>
        <w:adjustRightInd/>
        <w:snapToGrid/>
        <w:spacing w:line="360" w:lineRule="auto"/>
        <w:ind w:left="0" w:leftChars="0" w:firstLine="0" w:firstLineChars="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snapToGrid w:val="0"/>
          <w:kern w:val="0"/>
          <w:sz w:val="24"/>
          <w:szCs w:val="24"/>
          <w:lang w:val="en-US" w:eastAsia="zh-CN" w:bidi="en-US"/>
        </w:rPr>
        <w:t>表4.</w:t>
      </w:r>
      <w:r>
        <w:rPr>
          <w:rFonts w:hint="eastAsia" w:ascii="Times New Roman" w:hAnsi="Times New Roman" w:eastAsia="宋体" w:cs="Times New Roman"/>
          <w:b/>
          <w:snapToGrid w:val="0"/>
          <w:kern w:val="0"/>
          <w:sz w:val="24"/>
          <w:szCs w:val="24"/>
          <w:lang w:val="en-US" w:eastAsia="zh-CN" w:bidi="en-US"/>
        </w:rPr>
        <w:t>2</w:t>
      </w:r>
      <w:r>
        <w:rPr>
          <w:rFonts w:hint="default" w:ascii="Times New Roman" w:hAnsi="Times New Roman" w:eastAsia="宋体" w:cs="Times New Roman"/>
          <w:b/>
          <w:snapToGrid w:val="0"/>
          <w:kern w:val="0"/>
          <w:sz w:val="24"/>
          <w:szCs w:val="24"/>
          <w:lang w:val="en-US" w:eastAsia="zh-CN" w:bidi="en-US"/>
        </w:rPr>
        <w:t>-</w:t>
      </w:r>
      <w:r>
        <w:rPr>
          <w:rFonts w:hint="eastAsia" w:ascii="Times New Roman" w:hAnsi="Times New Roman" w:eastAsia="宋体" w:cs="Times New Roman"/>
          <w:b/>
          <w:snapToGrid w:val="0"/>
          <w:kern w:val="0"/>
          <w:sz w:val="24"/>
          <w:szCs w:val="24"/>
          <w:lang w:val="en-US" w:eastAsia="zh-CN" w:bidi="en-US"/>
        </w:rPr>
        <w:t>3</w:t>
      </w:r>
      <w:r>
        <w:rPr>
          <w:rFonts w:hint="default" w:ascii="Times New Roman" w:hAnsi="Times New Roman" w:eastAsia="宋体" w:cs="Times New Roman"/>
          <w:b/>
          <w:snapToGrid w:val="0"/>
          <w:kern w:val="0"/>
          <w:sz w:val="24"/>
          <w:szCs w:val="24"/>
          <w:lang w:val="en-US" w:eastAsia="zh-CN" w:bidi="en-US"/>
        </w:rPr>
        <w:t>环境空气质量特征因子现状监测与评价结果统计表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1929"/>
        <w:gridCol w:w="1339"/>
        <w:gridCol w:w="1339"/>
        <w:gridCol w:w="1339"/>
        <w:gridCol w:w="1339"/>
      </w:tblGrid>
      <w:tr w14:paraId="286EC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dxa"/>
            <w:tcBorders>
              <w:tl2br w:val="nil"/>
              <w:tr2bl w:val="nil"/>
            </w:tcBorders>
            <w:noWrap w:val="0"/>
            <w:vAlign w:val="center"/>
          </w:tcPr>
          <w:p w14:paraId="1DD4BB73">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b/>
                <w:bCs/>
                <w:color w:val="auto"/>
                <w:kern w:val="0"/>
                <w:sz w:val="21"/>
                <w:szCs w:val="21"/>
                <w:lang w:val="en-US" w:eastAsia="zh-CN"/>
              </w:rPr>
            </w:pPr>
            <w:r>
              <w:rPr>
                <w:rFonts w:hint="default" w:ascii="Times New Roman" w:hAnsi="Times New Roman" w:eastAsia="宋体" w:cs="宋体"/>
                <w:b/>
                <w:bCs/>
                <w:color w:val="auto"/>
                <w:kern w:val="0"/>
                <w:sz w:val="21"/>
                <w:szCs w:val="21"/>
                <w:lang w:val="en-US" w:eastAsia="zh-CN"/>
              </w:rPr>
              <w:t>监测点</w:t>
            </w:r>
          </w:p>
        </w:tc>
        <w:tc>
          <w:tcPr>
            <w:tcW w:w="1929" w:type="dxa"/>
            <w:tcBorders>
              <w:tl2br w:val="nil"/>
              <w:tr2bl w:val="nil"/>
            </w:tcBorders>
            <w:noWrap w:val="0"/>
            <w:vAlign w:val="center"/>
          </w:tcPr>
          <w:p w14:paraId="7AB4EB0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b/>
                <w:bCs/>
                <w:color w:val="auto"/>
                <w:kern w:val="0"/>
                <w:sz w:val="21"/>
                <w:szCs w:val="21"/>
                <w:lang w:val="en-US" w:eastAsia="zh-CN"/>
              </w:rPr>
            </w:pPr>
            <w:r>
              <w:rPr>
                <w:rFonts w:hint="default" w:ascii="Times New Roman" w:hAnsi="Times New Roman" w:eastAsia="宋体" w:cs="宋体"/>
                <w:b/>
                <w:bCs/>
                <w:color w:val="auto"/>
                <w:kern w:val="0"/>
                <w:sz w:val="21"/>
                <w:szCs w:val="21"/>
                <w:lang w:val="en-US" w:eastAsia="zh-CN"/>
              </w:rPr>
              <w:t>项目</w:t>
            </w:r>
          </w:p>
        </w:tc>
        <w:tc>
          <w:tcPr>
            <w:tcW w:w="1339" w:type="dxa"/>
            <w:tcBorders>
              <w:tl2br w:val="nil"/>
              <w:tr2bl w:val="nil"/>
            </w:tcBorders>
            <w:noWrap w:val="0"/>
            <w:vAlign w:val="center"/>
          </w:tcPr>
          <w:p w14:paraId="7CDE178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b/>
                <w:bCs/>
                <w:color w:val="auto"/>
                <w:kern w:val="0"/>
                <w:sz w:val="21"/>
                <w:szCs w:val="21"/>
                <w:highlight w:val="none"/>
                <w:lang w:val="en-US" w:eastAsia="zh-CN"/>
              </w:rPr>
            </w:pPr>
            <w:r>
              <w:rPr>
                <w:rFonts w:hint="eastAsia" w:ascii="Times New Roman" w:hAnsi="Times New Roman" w:eastAsia="宋体" w:cs="宋体"/>
                <w:b/>
                <w:bCs/>
                <w:color w:val="auto"/>
                <w:kern w:val="0"/>
                <w:sz w:val="21"/>
                <w:szCs w:val="21"/>
                <w:highlight w:val="none"/>
                <w:lang w:val="en-US" w:eastAsia="zh-CN"/>
              </w:rPr>
              <w:t>TSP</w:t>
            </w:r>
          </w:p>
        </w:tc>
        <w:tc>
          <w:tcPr>
            <w:tcW w:w="1339" w:type="dxa"/>
            <w:tcBorders>
              <w:tl2br w:val="nil"/>
              <w:tr2bl w:val="nil"/>
            </w:tcBorders>
            <w:noWrap w:val="0"/>
            <w:vAlign w:val="center"/>
          </w:tcPr>
          <w:p w14:paraId="260D09DD">
            <w:pPr>
              <w:spacing w:line="320" w:lineRule="exact"/>
              <w:jc w:val="center"/>
              <w:outlineLvl w:val="3"/>
              <w:rPr>
                <w:rFonts w:hint="eastAsia" w:ascii="Times New Roman" w:hAnsi="Times New Roman" w:eastAsia="宋体" w:cs="宋体"/>
                <w:b/>
                <w:bCs/>
                <w:color w:val="auto"/>
                <w:kern w:val="0"/>
                <w:sz w:val="21"/>
                <w:szCs w:val="21"/>
                <w:highlight w:val="none"/>
                <w:lang w:val="en-US" w:eastAsia="zh-CN"/>
              </w:rPr>
            </w:pPr>
            <w:r>
              <w:rPr>
                <w:rFonts w:hint="eastAsia" w:ascii="Times New Roman" w:hAnsi="Times New Roman" w:eastAsia="宋体" w:cs="宋体"/>
                <w:b/>
                <w:bCs/>
                <w:color w:val="auto"/>
                <w:kern w:val="0"/>
                <w:sz w:val="21"/>
                <w:szCs w:val="21"/>
                <w:highlight w:val="none"/>
                <w:lang w:val="en-US" w:eastAsia="zh-CN"/>
              </w:rPr>
              <w:t>硫化氢</w:t>
            </w:r>
          </w:p>
        </w:tc>
        <w:tc>
          <w:tcPr>
            <w:tcW w:w="1339" w:type="dxa"/>
            <w:tcBorders>
              <w:tl2br w:val="nil"/>
              <w:tr2bl w:val="nil"/>
            </w:tcBorders>
            <w:noWrap w:val="0"/>
            <w:vAlign w:val="center"/>
          </w:tcPr>
          <w:p w14:paraId="792DC5FD">
            <w:pPr>
              <w:spacing w:line="320" w:lineRule="exact"/>
              <w:jc w:val="center"/>
              <w:outlineLvl w:val="3"/>
              <w:rPr>
                <w:rFonts w:hint="eastAsia" w:ascii="Times New Roman" w:hAnsi="Times New Roman" w:eastAsia="宋体" w:cs="宋体"/>
                <w:b/>
                <w:bCs/>
                <w:color w:val="auto"/>
                <w:kern w:val="0"/>
                <w:sz w:val="21"/>
                <w:szCs w:val="21"/>
                <w:highlight w:val="none"/>
                <w:lang w:val="en-US" w:eastAsia="zh-CN"/>
              </w:rPr>
            </w:pPr>
            <w:r>
              <w:rPr>
                <w:rFonts w:hint="eastAsia" w:ascii="Times New Roman" w:hAnsi="Times New Roman" w:eastAsia="宋体" w:cs="宋体"/>
                <w:b/>
                <w:bCs/>
                <w:color w:val="auto"/>
                <w:kern w:val="0"/>
                <w:sz w:val="21"/>
                <w:szCs w:val="21"/>
                <w:highlight w:val="none"/>
                <w:lang w:val="en-US" w:eastAsia="zh-CN"/>
              </w:rPr>
              <w:t>氨</w:t>
            </w:r>
          </w:p>
        </w:tc>
        <w:tc>
          <w:tcPr>
            <w:tcW w:w="1339" w:type="dxa"/>
            <w:tcBorders>
              <w:tl2br w:val="nil"/>
              <w:tr2bl w:val="nil"/>
            </w:tcBorders>
            <w:noWrap w:val="0"/>
            <w:vAlign w:val="center"/>
          </w:tcPr>
          <w:p w14:paraId="11799C39">
            <w:pPr>
              <w:spacing w:line="320" w:lineRule="exact"/>
              <w:jc w:val="center"/>
              <w:outlineLvl w:val="3"/>
              <w:rPr>
                <w:rFonts w:hint="default" w:ascii="Times New Roman" w:hAnsi="Times New Roman" w:eastAsia="宋体" w:cs="宋体"/>
                <w:b/>
                <w:bCs/>
                <w:color w:val="auto"/>
                <w:kern w:val="0"/>
                <w:sz w:val="21"/>
                <w:szCs w:val="21"/>
                <w:highlight w:val="none"/>
                <w:lang w:val="en-US" w:eastAsia="zh-CN"/>
              </w:rPr>
            </w:pPr>
            <w:r>
              <w:rPr>
                <w:rFonts w:hint="eastAsia" w:ascii="Times New Roman" w:hAnsi="Times New Roman" w:eastAsia="宋体" w:cs="宋体"/>
                <w:b/>
                <w:bCs/>
                <w:color w:val="auto"/>
                <w:kern w:val="0"/>
                <w:sz w:val="21"/>
                <w:szCs w:val="21"/>
                <w:highlight w:val="none"/>
                <w:lang w:val="en-US" w:eastAsia="zh-CN"/>
              </w:rPr>
              <w:t>臭气浓度</w:t>
            </w:r>
          </w:p>
        </w:tc>
      </w:tr>
      <w:tr w14:paraId="35702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dxa"/>
            <w:vMerge w:val="restart"/>
            <w:tcBorders>
              <w:tl2br w:val="nil"/>
              <w:tr2bl w:val="nil"/>
            </w:tcBorders>
            <w:noWrap w:val="0"/>
            <w:vAlign w:val="center"/>
          </w:tcPr>
          <w:p w14:paraId="5CD2E32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宋体"/>
                <w:color w:val="auto"/>
                <w:kern w:val="0"/>
                <w:sz w:val="21"/>
                <w:szCs w:val="21"/>
                <w:highlight w:val="none"/>
                <w:lang w:val="en-US" w:eastAsia="zh-CN"/>
              </w:rPr>
            </w:pPr>
            <w:r>
              <w:rPr>
                <w:rFonts w:hint="eastAsia" w:eastAsia="宋体" w:cs="宋体"/>
                <w:color w:val="auto"/>
                <w:kern w:val="0"/>
                <w:sz w:val="21"/>
                <w:szCs w:val="21"/>
                <w:highlight w:val="none"/>
                <w:lang w:val="en-US" w:eastAsia="zh-CN"/>
              </w:rPr>
              <w:t>监测点位1#</w:t>
            </w:r>
          </w:p>
        </w:tc>
        <w:tc>
          <w:tcPr>
            <w:tcW w:w="1929" w:type="dxa"/>
            <w:tcBorders>
              <w:tl2br w:val="nil"/>
              <w:tr2bl w:val="nil"/>
            </w:tcBorders>
            <w:noWrap w:val="0"/>
            <w:vAlign w:val="center"/>
          </w:tcPr>
          <w:p w14:paraId="0121D26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lang w:val="en-US" w:eastAsia="zh-CN"/>
              </w:rPr>
              <w:t>有效日数</w:t>
            </w:r>
          </w:p>
        </w:tc>
        <w:tc>
          <w:tcPr>
            <w:tcW w:w="1339" w:type="dxa"/>
            <w:tcBorders>
              <w:tl2br w:val="nil"/>
              <w:tr2bl w:val="nil"/>
            </w:tcBorders>
            <w:noWrap w:val="0"/>
            <w:vAlign w:val="center"/>
          </w:tcPr>
          <w:p w14:paraId="35B8C12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7</w:t>
            </w:r>
          </w:p>
        </w:tc>
        <w:tc>
          <w:tcPr>
            <w:tcW w:w="1339" w:type="dxa"/>
            <w:tcBorders>
              <w:tl2br w:val="nil"/>
              <w:tr2bl w:val="nil"/>
            </w:tcBorders>
            <w:noWrap w:val="0"/>
            <w:vAlign w:val="center"/>
          </w:tcPr>
          <w:p w14:paraId="0CB8CEFC">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7</w:t>
            </w:r>
          </w:p>
        </w:tc>
        <w:tc>
          <w:tcPr>
            <w:tcW w:w="1339" w:type="dxa"/>
            <w:tcBorders>
              <w:tl2br w:val="nil"/>
              <w:tr2bl w:val="nil"/>
            </w:tcBorders>
            <w:noWrap w:val="0"/>
            <w:vAlign w:val="center"/>
          </w:tcPr>
          <w:p w14:paraId="41C1C338">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7</w:t>
            </w:r>
          </w:p>
        </w:tc>
        <w:tc>
          <w:tcPr>
            <w:tcW w:w="1339" w:type="dxa"/>
            <w:tcBorders>
              <w:tl2br w:val="nil"/>
              <w:tr2bl w:val="nil"/>
            </w:tcBorders>
            <w:noWrap w:val="0"/>
            <w:vAlign w:val="center"/>
          </w:tcPr>
          <w:p w14:paraId="7E525851">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7</w:t>
            </w:r>
          </w:p>
        </w:tc>
      </w:tr>
      <w:tr w14:paraId="52837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dxa"/>
            <w:vMerge w:val="continue"/>
            <w:tcBorders>
              <w:tl2br w:val="nil"/>
              <w:tr2bl w:val="nil"/>
            </w:tcBorders>
            <w:noWrap w:val="0"/>
            <w:vAlign w:val="center"/>
          </w:tcPr>
          <w:p w14:paraId="31CF5A0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宋体"/>
                <w:color w:val="auto"/>
                <w:kern w:val="0"/>
                <w:sz w:val="21"/>
                <w:szCs w:val="21"/>
                <w:highlight w:val="none"/>
                <w:lang w:val="en-US" w:eastAsia="zh-CN"/>
              </w:rPr>
            </w:pPr>
          </w:p>
        </w:tc>
        <w:tc>
          <w:tcPr>
            <w:tcW w:w="1929" w:type="dxa"/>
            <w:tcBorders>
              <w:tl2br w:val="nil"/>
              <w:tr2bl w:val="nil"/>
            </w:tcBorders>
            <w:noWrap w:val="0"/>
            <w:vAlign w:val="center"/>
          </w:tcPr>
          <w:p w14:paraId="05BB62F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lang w:val="en-US" w:eastAsia="zh-CN"/>
              </w:rPr>
              <w:t>浓度范围（mg/m</w:t>
            </w:r>
            <w:r>
              <w:rPr>
                <w:rFonts w:hint="default" w:ascii="Times New Roman" w:hAnsi="Times New Roman" w:eastAsia="宋体" w:cs="宋体"/>
                <w:color w:val="auto"/>
                <w:kern w:val="0"/>
                <w:sz w:val="21"/>
                <w:szCs w:val="21"/>
                <w:vertAlign w:val="superscript"/>
              </w:rPr>
              <w:t>3</w:t>
            </w:r>
            <w:r>
              <w:rPr>
                <w:rFonts w:hint="default" w:ascii="Times New Roman" w:hAnsi="Times New Roman" w:eastAsia="宋体" w:cs="宋体"/>
                <w:color w:val="auto"/>
                <w:kern w:val="0"/>
                <w:sz w:val="21"/>
                <w:szCs w:val="21"/>
                <w:lang w:val="en-US" w:eastAsia="zh-CN"/>
              </w:rPr>
              <w:t>）</w:t>
            </w:r>
          </w:p>
        </w:tc>
        <w:tc>
          <w:tcPr>
            <w:tcW w:w="1339" w:type="dxa"/>
            <w:tcBorders>
              <w:tl2br w:val="nil"/>
              <w:tr2bl w:val="nil"/>
            </w:tcBorders>
            <w:noWrap w:val="0"/>
            <w:vAlign w:val="center"/>
          </w:tcPr>
          <w:p w14:paraId="1E2E243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0.1</w:t>
            </w:r>
            <w:r>
              <w:rPr>
                <w:rFonts w:hint="eastAsia" w:cs="宋体"/>
                <w:color w:val="auto"/>
                <w:kern w:val="0"/>
                <w:sz w:val="21"/>
                <w:szCs w:val="21"/>
                <w:highlight w:val="none"/>
                <w:lang w:val="en-US" w:eastAsia="zh-CN"/>
              </w:rPr>
              <w:t>15-</w:t>
            </w:r>
            <w:r>
              <w:rPr>
                <w:rFonts w:hint="eastAsia" w:ascii="Times New Roman" w:hAnsi="Times New Roman" w:eastAsia="宋体" w:cs="宋体"/>
                <w:color w:val="auto"/>
                <w:kern w:val="0"/>
                <w:sz w:val="21"/>
                <w:szCs w:val="21"/>
                <w:highlight w:val="none"/>
                <w:lang w:val="en-US" w:eastAsia="zh-CN"/>
              </w:rPr>
              <w:t>0.</w:t>
            </w:r>
            <w:r>
              <w:rPr>
                <w:rFonts w:hint="eastAsia" w:cs="宋体"/>
                <w:color w:val="auto"/>
                <w:kern w:val="0"/>
                <w:sz w:val="21"/>
                <w:szCs w:val="21"/>
                <w:highlight w:val="none"/>
                <w:lang w:val="en-US" w:eastAsia="zh-CN"/>
              </w:rPr>
              <w:t>207</w:t>
            </w:r>
          </w:p>
        </w:tc>
        <w:tc>
          <w:tcPr>
            <w:tcW w:w="1339" w:type="dxa"/>
            <w:tcBorders>
              <w:tl2br w:val="nil"/>
              <w:tr2bl w:val="nil"/>
            </w:tcBorders>
            <w:noWrap w:val="0"/>
            <w:vAlign w:val="center"/>
          </w:tcPr>
          <w:p w14:paraId="2FE4BD71">
            <w:pPr>
              <w:spacing w:line="320" w:lineRule="exact"/>
              <w:jc w:val="center"/>
              <w:outlineLvl w:val="3"/>
              <w:rPr>
                <w:rFonts w:hint="default" w:ascii="Times New Roman" w:hAnsi="Times New Roman" w:eastAsia="宋体" w:cs="宋体"/>
                <w:color w:val="auto"/>
                <w:kern w:val="0"/>
                <w:sz w:val="21"/>
                <w:szCs w:val="21"/>
                <w:highlight w:val="yellow"/>
                <w:lang w:val="en-US" w:eastAsia="zh-CN"/>
              </w:rPr>
            </w:pPr>
            <w:r>
              <w:rPr>
                <w:rFonts w:hint="eastAsia" w:cs="Times New Roman"/>
                <w:color w:val="auto"/>
                <w:kern w:val="0"/>
                <w:sz w:val="21"/>
                <w:szCs w:val="21"/>
                <w:highlight w:val="none"/>
                <w:lang w:val="en-US" w:eastAsia="zh-CN"/>
              </w:rPr>
              <w:t>&lt;2.0×10</w:t>
            </w:r>
            <w:r>
              <w:rPr>
                <w:rFonts w:hint="eastAsia" w:cs="Times New Roman"/>
                <w:color w:val="auto"/>
                <w:kern w:val="0"/>
                <w:sz w:val="21"/>
                <w:szCs w:val="21"/>
                <w:highlight w:val="none"/>
                <w:vertAlign w:val="superscript"/>
                <w:lang w:val="en-US" w:eastAsia="zh-CN"/>
              </w:rPr>
              <w:t>-4</w:t>
            </w:r>
          </w:p>
        </w:tc>
        <w:tc>
          <w:tcPr>
            <w:tcW w:w="1339" w:type="dxa"/>
            <w:tcBorders>
              <w:tl2br w:val="nil"/>
              <w:tr2bl w:val="nil"/>
            </w:tcBorders>
            <w:noWrap w:val="0"/>
            <w:vAlign w:val="center"/>
          </w:tcPr>
          <w:p w14:paraId="523D12FA">
            <w:pPr>
              <w:spacing w:line="320" w:lineRule="exact"/>
              <w:jc w:val="center"/>
              <w:outlineLvl w:val="3"/>
              <w:rPr>
                <w:rFonts w:hint="default" w:ascii="Times New Roman" w:hAnsi="Times New Roman" w:eastAsia="宋体" w:cs="宋体"/>
                <w:color w:val="auto"/>
                <w:kern w:val="0"/>
                <w:sz w:val="21"/>
                <w:szCs w:val="21"/>
                <w:highlight w:val="yellow"/>
                <w:lang w:val="en-US" w:eastAsia="zh-CN"/>
              </w:rPr>
            </w:pPr>
            <w:r>
              <w:rPr>
                <w:rFonts w:hint="eastAsia" w:ascii="Times New Roman" w:hAnsi="Times New Roman" w:eastAsia="宋体" w:cs="宋体"/>
                <w:color w:val="auto"/>
                <w:kern w:val="0"/>
                <w:sz w:val="21"/>
                <w:szCs w:val="21"/>
                <w:highlight w:val="none"/>
                <w:lang w:val="en-US" w:eastAsia="zh-CN"/>
              </w:rPr>
              <w:t>0.0</w:t>
            </w:r>
            <w:r>
              <w:rPr>
                <w:rFonts w:hint="eastAsia" w:cs="宋体"/>
                <w:color w:val="auto"/>
                <w:kern w:val="0"/>
                <w:sz w:val="21"/>
                <w:szCs w:val="21"/>
                <w:highlight w:val="none"/>
                <w:lang w:val="en-US" w:eastAsia="zh-CN"/>
              </w:rPr>
              <w:t>6</w:t>
            </w:r>
            <w:r>
              <w:rPr>
                <w:rFonts w:hint="eastAsia" w:ascii="Times New Roman" w:hAnsi="Times New Roman" w:eastAsia="宋体" w:cs="宋体"/>
                <w:color w:val="auto"/>
                <w:kern w:val="0"/>
                <w:sz w:val="21"/>
                <w:szCs w:val="21"/>
                <w:highlight w:val="none"/>
                <w:lang w:val="en-US" w:eastAsia="zh-CN"/>
              </w:rPr>
              <w:t>-0.</w:t>
            </w:r>
            <w:r>
              <w:rPr>
                <w:rFonts w:hint="eastAsia" w:cs="宋体"/>
                <w:color w:val="auto"/>
                <w:kern w:val="0"/>
                <w:sz w:val="21"/>
                <w:szCs w:val="21"/>
                <w:highlight w:val="none"/>
                <w:lang w:val="en-US" w:eastAsia="zh-CN"/>
              </w:rPr>
              <w:t>08</w:t>
            </w:r>
          </w:p>
        </w:tc>
        <w:tc>
          <w:tcPr>
            <w:tcW w:w="1339" w:type="dxa"/>
            <w:tcBorders>
              <w:tl2br w:val="nil"/>
              <w:tr2bl w:val="nil"/>
            </w:tcBorders>
            <w:noWrap w:val="0"/>
            <w:vAlign w:val="center"/>
          </w:tcPr>
          <w:p w14:paraId="58165C70">
            <w:pPr>
              <w:spacing w:line="320" w:lineRule="exact"/>
              <w:jc w:val="center"/>
              <w:outlineLvl w:val="3"/>
              <w:rPr>
                <w:rFonts w:hint="default" w:ascii="Times New Roman" w:hAnsi="Times New Roman" w:eastAsia="宋体" w:cs="宋体"/>
                <w:color w:val="auto"/>
                <w:kern w:val="0"/>
                <w:sz w:val="21"/>
                <w:szCs w:val="21"/>
                <w:highlight w:val="yellow"/>
                <w:lang w:val="en-US" w:eastAsia="zh-CN"/>
              </w:rPr>
            </w:pPr>
            <w:r>
              <w:rPr>
                <w:rFonts w:hint="eastAsia" w:ascii="Times New Roman" w:hAnsi="Times New Roman" w:eastAsia="宋体" w:cs="Times New Roman"/>
                <w:color w:val="auto"/>
                <w:kern w:val="0"/>
                <w:sz w:val="21"/>
                <w:szCs w:val="21"/>
                <w:highlight w:val="none"/>
                <w:lang w:val="en-US" w:eastAsia="zh-CN"/>
              </w:rPr>
              <w:t>＜10</w:t>
            </w:r>
            <w:r>
              <w:rPr>
                <w:rFonts w:hint="eastAsia" w:ascii="Times New Roman" w:hAnsi="Times New Roman" w:eastAsia="宋体" w:cs="宋体"/>
                <w:color w:val="auto"/>
                <w:kern w:val="0"/>
                <w:sz w:val="21"/>
                <w:szCs w:val="21"/>
                <w:highlight w:val="none"/>
                <w:lang w:val="en-US" w:eastAsia="zh-CN"/>
              </w:rPr>
              <w:t>（无量纲）</w:t>
            </w:r>
          </w:p>
        </w:tc>
      </w:tr>
      <w:tr w14:paraId="576A8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dxa"/>
            <w:vMerge w:val="continue"/>
            <w:tcBorders>
              <w:tl2br w:val="nil"/>
              <w:tr2bl w:val="nil"/>
            </w:tcBorders>
            <w:noWrap w:val="0"/>
            <w:vAlign w:val="center"/>
          </w:tcPr>
          <w:p w14:paraId="304FF0D1">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宋体"/>
                <w:color w:val="auto"/>
                <w:kern w:val="0"/>
                <w:sz w:val="21"/>
                <w:szCs w:val="21"/>
                <w:highlight w:val="none"/>
                <w:lang w:val="en-US" w:eastAsia="zh-CN"/>
              </w:rPr>
            </w:pPr>
          </w:p>
        </w:tc>
        <w:tc>
          <w:tcPr>
            <w:tcW w:w="1929" w:type="dxa"/>
            <w:tcBorders>
              <w:tl2br w:val="nil"/>
              <w:tr2bl w:val="nil"/>
            </w:tcBorders>
            <w:noWrap w:val="0"/>
            <w:vAlign w:val="center"/>
          </w:tcPr>
          <w:p w14:paraId="272E3CE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lang w:val="en-US" w:eastAsia="zh-CN"/>
              </w:rPr>
              <w:t>超标率（%）</w:t>
            </w:r>
          </w:p>
        </w:tc>
        <w:tc>
          <w:tcPr>
            <w:tcW w:w="1339" w:type="dxa"/>
            <w:tcBorders>
              <w:tl2br w:val="nil"/>
              <w:tr2bl w:val="nil"/>
            </w:tcBorders>
            <w:noWrap w:val="0"/>
            <w:vAlign w:val="center"/>
          </w:tcPr>
          <w:p w14:paraId="4D507C5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0</w:t>
            </w:r>
          </w:p>
        </w:tc>
        <w:tc>
          <w:tcPr>
            <w:tcW w:w="1339" w:type="dxa"/>
            <w:tcBorders>
              <w:tl2br w:val="nil"/>
              <w:tr2bl w:val="nil"/>
            </w:tcBorders>
            <w:noWrap w:val="0"/>
            <w:vAlign w:val="center"/>
          </w:tcPr>
          <w:p w14:paraId="3E1CDF0D">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rPr>
              <w:t>0</w:t>
            </w:r>
          </w:p>
        </w:tc>
        <w:tc>
          <w:tcPr>
            <w:tcW w:w="1339" w:type="dxa"/>
            <w:tcBorders>
              <w:tl2br w:val="nil"/>
              <w:tr2bl w:val="nil"/>
            </w:tcBorders>
            <w:noWrap w:val="0"/>
            <w:vAlign w:val="center"/>
          </w:tcPr>
          <w:p w14:paraId="53C7734C">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0</w:t>
            </w:r>
          </w:p>
        </w:tc>
        <w:tc>
          <w:tcPr>
            <w:tcW w:w="1339" w:type="dxa"/>
            <w:tcBorders>
              <w:tl2br w:val="nil"/>
              <w:tr2bl w:val="nil"/>
            </w:tcBorders>
            <w:noWrap w:val="0"/>
            <w:vAlign w:val="center"/>
          </w:tcPr>
          <w:p w14:paraId="50965CA4">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0</w:t>
            </w:r>
          </w:p>
        </w:tc>
      </w:tr>
      <w:tr w14:paraId="32ECE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dxa"/>
            <w:vMerge w:val="continue"/>
            <w:tcBorders>
              <w:tl2br w:val="nil"/>
              <w:tr2bl w:val="nil"/>
            </w:tcBorders>
            <w:noWrap w:val="0"/>
            <w:vAlign w:val="center"/>
          </w:tcPr>
          <w:p w14:paraId="257DB2C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宋体"/>
                <w:color w:val="auto"/>
                <w:kern w:val="0"/>
                <w:sz w:val="21"/>
                <w:szCs w:val="21"/>
                <w:highlight w:val="none"/>
                <w:lang w:val="en-US" w:eastAsia="zh-CN"/>
              </w:rPr>
            </w:pPr>
          </w:p>
        </w:tc>
        <w:tc>
          <w:tcPr>
            <w:tcW w:w="1929" w:type="dxa"/>
            <w:tcBorders>
              <w:tl2br w:val="nil"/>
              <w:tr2bl w:val="nil"/>
            </w:tcBorders>
            <w:noWrap w:val="0"/>
            <w:vAlign w:val="center"/>
          </w:tcPr>
          <w:p w14:paraId="6C4E59F1">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lang w:val="en-US" w:eastAsia="zh-CN"/>
              </w:rPr>
              <w:t>最大超标倍数</w:t>
            </w:r>
          </w:p>
        </w:tc>
        <w:tc>
          <w:tcPr>
            <w:tcW w:w="1339" w:type="dxa"/>
            <w:tcBorders>
              <w:tl2br w:val="nil"/>
              <w:tr2bl w:val="nil"/>
            </w:tcBorders>
            <w:noWrap w:val="0"/>
            <w:vAlign w:val="center"/>
          </w:tcPr>
          <w:p w14:paraId="075C08A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0</w:t>
            </w:r>
          </w:p>
        </w:tc>
        <w:tc>
          <w:tcPr>
            <w:tcW w:w="1339" w:type="dxa"/>
            <w:tcBorders>
              <w:tl2br w:val="nil"/>
              <w:tr2bl w:val="nil"/>
            </w:tcBorders>
            <w:noWrap w:val="0"/>
            <w:vAlign w:val="center"/>
          </w:tcPr>
          <w:p w14:paraId="1788967F">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rPr>
              <w:t>0</w:t>
            </w:r>
          </w:p>
        </w:tc>
        <w:tc>
          <w:tcPr>
            <w:tcW w:w="1339" w:type="dxa"/>
            <w:tcBorders>
              <w:tl2br w:val="nil"/>
              <w:tr2bl w:val="nil"/>
            </w:tcBorders>
            <w:noWrap w:val="0"/>
            <w:vAlign w:val="center"/>
          </w:tcPr>
          <w:p w14:paraId="34C33E4F">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0</w:t>
            </w:r>
          </w:p>
        </w:tc>
        <w:tc>
          <w:tcPr>
            <w:tcW w:w="1339" w:type="dxa"/>
            <w:tcBorders>
              <w:tl2br w:val="nil"/>
              <w:tr2bl w:val="nil"/>
            </w:tcBorders>
            <w:noWrap w:val="0"/>
            <w:vAlign w:val="center"/>
          </w:tcPr>
          <w:p w14:paraId="62964365">
            <w:pPr>
              <w:spacing w:line="320" w:lineRule="exact"/>
              <w:jc w:val="center"/>
              <w:outlineLvl w:val="3"/>
              <w:rPr>
                <w:rFonts w:hint="eastAsia"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0</w:t>
            </w:r>
          </w:p>
        </w:tc>
      </w:tr>
      <w:tr w14:paraId="0106B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dxa"/>
            <w:vMerge w:val="continue"/>
            <w:tcBorders>
              <w:tl2br w:val="nil"/>
              <w:tr2bl w:val="nil"/>
            </w:tcBorders>
            <w:noWrap w:val="0"/>
            <w:vAlign w:val="center"/>
          </w:tcPr>
          <w:p w14:paraId="2B479C4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宋体"/>
                <w:color w:val="auto"/>
                <w:kern w:val="0"/>
                <w:sz w:val="21"/>
                <w:szCs w:val="21"/>
                <w:highlight w:val="none"/>
                <w:lang w:val="en-US" w:eastAsia="zh-CN"/>
              </w:rPr>
            </w:pPr>
          </w:p>
        </w:tc>
        <w:tc>
          <w:tcPr>
            <w:tcW w:w="1929" w:type="dxa"/>
            <w:tcBorders>
              <w:tl2br w:val="nil"/>
              <w:tr2bl w:val="nil"/>
            </w:tcBorders>
            <w:noWrap w:val="0"/>
            <w:vAlign w:val="center"/>
          </w:tcPr>
          <w:p w14:paraId="1978DD0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lang w:val="en-US" w:eastAsia="zh-CN"/>
              </w:rPr>
            </w:pPr>
            <w:r>
              <w:rPr>
                <w:rFonts w:hint="default" w:ascii="Times New Roman" w:hAnsi="Times New Roman" w:eastAsia="宋体" w:cs="宋体"/>
                <w:color w:val="auto"/>
                <w:kern w:val="0"/>
                <w:sz w:val="21"/>
                <w:szCs w:val="21"/>
                <w:lang w:val="en-US" w:eastAsia="zh-CN"/>
              </w:rPr>
              <w:t>Pi</w:t>
            </w:r>
          </w:p>
        </w:tc>
        <w:tc>
          <w:tcPr>
            <w:tcW w:w="1339" w:type="dxa"/>
            <w:tcBorders>
              <w:tl2br w:val="nil"/>
              <w:tr2bl w:val="nil"/>
            </w:tcBorders>
            <w:noWrap w:val="0"/>
            <w:vAlign w:val="center"/>
          </w:tcPr>
          <w:p w14:paraId="2263CE4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宋体"/>
                <w:color w:val="auto"/>
                <w:kern w:val="0"/>
                <w:sz w:val="21"/>
                <w:szCs w:val="21"/>
                <w:highlight w:val="yellow"/>
                <w:lang w:val="en-US" w:eastAsia="zh-CN"/>
              </w:rPr>
            </w:pPr>
            <w:r>
              <w:rPr>
                <w:rFonts w:hint="eastAsia" w:cs="宋体"/>
                <w:color w:val="auto"/>
                <w:kern w:val="0"/>
                <w:sz w:val="21"/>
                <w:szCs w:val="21"/>
                <w:highlight w:val="none"/>
                <w:lang w:val="en-US" w:eastAsia="zh-CN"/>
              </w:rPr>
              <w:t>38.33</w:t>
            </w:r>
            <w:r>
              <w:rPr>
                <w:rFonts w:hint="eastAsia" w:ascii="Times New Roman" w:hAnsi="Times New Roman" w:eastAsia="宋体" w:cs="宋体"/>
                <w:color w:val="auto"/>
                <w:kern w:val="0"/>
                <w:sz w:val="21"/>
                <w:szCs w:val="21"/>
                <w:highlight w:val="none"/>
                <w:lang w:val="en-US" w:eastAsia="zh-CN"/>
              </w:rPr>
              <w:t>-</w:t>
            </w:r>
            <w:r>
              <w:rPr>
                <w:rFonts w:hint="eastAsia" w:cs="宋体"/>
                <w:color w:val="auto"/>
                <w:kern w:val="0"/>
                <w:sz w:val="21"/>
                <w:szCs w:val="21"/>
                <w:highlight w:val="none"/>
                <w:lang w:val="en-US" w:eastAsia="zh-CN"/>
              </w:rPr>
              <w:t>69</w:t>
            </w:r>
          </w:p>
        </w:tc>
        <w:tc>
          <w:tcPr>
            <w:tcW w:w="1339" w:type="dxa"/>
            <w:tcBorders>
              <w:tl2br w:val="nil"/>
              <w:tr2bl w:val="nil"/>
            </w:tcBorders>
            <w:noWrap w:val="0"/>
            <w:vAlign w:val="center"/>
          </w:tcPr>
          <w:p w14:paraId="229C43C1">
            <w:pPr>
              <w:spacing w:line="320" w:lineRule="exact"/>
              <w:jc w:val="center"/>
              <w:outlineLvl w:val="3"/>
              <w:rPr>
                <w:rFonts w:hint="default" w:ascii="Times New Roman" w:hAnsi="Times New Roman" w:eastAsia="宋体" w:cs="宋体"/>
                <w:color w:val="auto"/>
                <w:kern w:val="0"/>
                <w:sz w:val="21"/>
                <w:szCs w:val="21"/>
                <w:highlight w:val="yellow"/>
                <w:lang w:val="en-US" w:eastAsia="zh-CN"/>
              </w:rPr>
            </w:pPr>
            <w:r>
              <w:rPr>
                <w:rFonts w:hint="eastAsia" w:cs="Times New Roman"/>
                <w:color w:val="auto"/>
                <w:kern w:val="0"/>
                <w:sz w:val="21"/>
                <w:szCs w:val="21"/>
                <w:highlight w:val="none"/>
                <w:lang w:val="en-US" w:eastAsia="zh-CN"/>
              </w:rPr>
              <w:t>&lt;</w:t>
            </w:r>
            <w:r>
              <w:rPr>
                <w:rFonts w:hint="eastAsia" w:cs="宋体"/>
                <w:color w:val="auto"/>
                <w:kern w:val="0"/>
                <w:sz w:val="21"/>
                <w:szCs w:val="21"/>
                <w:highlight w:val="none"/>
                <w:lang w:val="en-US" w:eastAsia="zh-CN"/>
              </w:rPr>
              <w:t>2</w:t>
            </w:r>
          </w:p>
        </w:tc>
        <w:tc>
          <w:tcPr>
            <w:tcW w:w="1339" w:type="dxa"/>
            <w:tcBorders>
              <w:tl2br w:val="nil"/>
              <w:tr2bl w:val="nil"/>
            </w:tcBorders>
            <w:noWrap w:val="0"/>
            <w:vAlign w:val="center"/>
          </w:tcPr>
          <w:p w14:paraId="1A8ED3D4">
            <w:pPr>
              <w:spacing w:line="320" w:lineRule="exact"/>
              <w:jc w:val="center"/>
              <w:outlineLvl w:val="3"/>
              <w:rPr>
                <w:rFonts w:hint="default" w:ascii="Times New Roman" w:hAnsi="Times New Roman" w:eastAsia="宋体" w:cs="宋体"/>
                <w:color w:val="auto"/>
                <w:kern w:val="0"/>
                <w:sz w:val="21"/>
                <w:szCs w:val="21"/>
                <w:highlight w:val="yellow"/>
                <w:lang w:val="en-US" w:eastAsia="zh-CN"/>
              </w:rPr>
            </w:pPr>
            <w:r>
              <w:rPr>
                <w:rFonts w:hint="eastAsia" w:cs="宋体"/>
                <w:color w:val="auto"/>
                <w:kern w:val="0"/>
                <w:sz w:val="21"/>
                <w:szCs w:val="21"/>
                <w:highlight w:val="none"/>
                <w:lang w:val="en-US" w:eastAsia="zh-CN"/>
              </w:rPr>
              <w:t>30</w:t>
            </w:r>
            <w:r>
              <w:rPr>
                <w:rFonts w:hint="eastAsia" w:ascii="Times New Roman" w:hAnsi="Times New Roman" w:eastAsia="宋体" w:cs="宋体"/>
                <w:color w:val="auto"/>
                <w:kern w:val="0"/>
                <w:sz w:val="21"/>
                <w:szCs w:val="21"/>
                <w:highlight w:val="none"/>
                <w:lang w:val="en-US" w:eastAsia="zh-CN"/>
              </w:rPr>
              <w:t>-</w:t>
            </w:r>
            <w:r>
              <w:rPr>
                <w:rFonts w:hint="eastAsia" w:cs="宋体"/>
                <w:color w:val="auto"/>
                <w:kern w:val="0"/>
                <w:sz w:val="21"/>
                <w:szCs w:val="21"/>
                <w:highlight w:val="none"/>
                <w:lang w:val="en-US" w:eastAsia="zh-CN"/>
              </w:rPr>
              <w:t>40</w:t>
            </w:r>
          </w:p>
        </w:tc>
        <w:tc>
          <w:tcPr>
            <w:tcW w:w="1339" w:type="dxa"/>
            <w:tcBorders>
              <w:tl2br w:val="nil"/>
              <w:tr2bl w:val="nil"/>
            </w:tcBorders>
            <w:noWrap w:val="0"/>
            <w:vAlign w:val="center"/>
          </w:tcPr>
          <w:p w14:paraId="7F9005DC">
            <w:pPr>
              <w:spacing w:line="320" w:lineRule="exact"/>
              <w:jc w:val="center"/>
              <w:outlineLvl w:val="3"/>
              <w:rPr>
                <w:rFonts w:hint="default" w:ascii="Times New Roman" w:hAnsi="Times New Roman" w:eastAsia="宋体" w:cs="宋体"/>
                <w:color w:val="auto"/>
                <w:kern w:val="0"/>
                <w:sz w:val="21"/>
                <w:szCs w:val="21"/>
                <w:highlight w:val="none"/>
                <w:lang w:val="en-US" w:eastAsia="zh-CN"/>
              </w:rPr>
            </w:pPr>
            <w:r>
              <w:rPr>
                <w:rFonts w:hint="eastAsia" w:ascii="Times New Roman" w:hAnsi="Times New Roman" w:eastAsia="宋体" w:cs="宋体"/>
                <w:color w:val="auto"/>
                <w:kern w:val="0"/>
                <w:sz w:val="21"/>
                <w:szCs w:val="21"/>
                <w:highlight w:val="none"/>
                <w:lang w:val="en-US" w:eastAsia="zh-CN"/>
              </w:rPr>
              <w:t>/</w:t>
            </w:r>
          </w:p>
        </w:tc>
      </w:tr>
    </w:tbl>
    <w:p w14:paraId="26F1875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由表4.</w:t>
      </w:r>
      <w:r>
        <w:rPr>
          <w:rFonts w:hint="eastAsia" w:ascii="Times New Roman" w:hAnsi="Times New Roman" w:eastAsia="宋体" w:cs="Times New Roman"/>
          <w:bCs/>
          <w:kern w:val="2"/>
          <w:sz w:val="24"/>
          <w:szCs w:val="24"/>
          <w:lang w:val="en-US" w:eastAsia="zh-CN" w:bidi="ar-SA"/>
        </w:rPr>
        <w:t>2</w:t>
      </w:r>
      <w:r>
        <w:rPr>
          <w:rFonts w:hint="default"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可知，评价区域现状监测点特征因子浓度值均能满足</w:t>
      </w:r>
      <w:r>
        <w:rPr>
          <w:rFonts w:hint="eastAsia" w:ascii="Times New Roman" w:hAnsi="Times New Roman" w:eastAsia="宋体" w:cs="Times New Roman"/>
          <w:bCs/>
          <w:kern w:val="2"/>
          <w:sz w:val="24"/>
          <w:szCs w:val="24"/>
          <w:lang w:val="en-US" w:eastAsia="zh-CN" w:bidi="ar-SA"/>
        </w:rPr>
        <w:t>相关标准限值</w:t>
      </w:r>
      <w:r>
        <w:rPr>
          <w:rFonts w:hint="default" w:ascii="Times New Roman" w:hAnsi="Times New Roman" w:eastAsia="宋体" w:cs="Times New Roman"/>
          <w:bCs/>
          <w:kern w:val="2"/>
          <w:sz w:val="24"/>
          <w:szCs w:val="24"/>
          <w:lang w:val="en-US" w:eastAsia="zh-CN" w:bidi="ar-SA"/>
        </w:rPr>
        <w:t>。</w:t>
      </w:r>
    </w:p>
    <w:p w14:paraId="0B4B8F6C">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评价结果表明，根据基本污染源</w:t>
      </w:r>
      <w:r>
        <w:rPr>
          <w:rFonts w:hint="eastAsia" w:cs="Times New Roman"/>
          <w:kern w:val="2"/>
          <w:sz w:val="24"/>
          <w:szCs w:val="24"/>
          <w:lang w:val="en-US" w:eastAsia="zh-CN" w:bidi="ar-SA"/>
        </w:rPr>
        <w:t>2024</w:t>
      </w:r>
      <w:r>
        <w:rPr>
          <w:rFonts w:hint="default" w:ascii="Times New Roman" w:hAnsi="Times New Roman" w:eastAsia="宋体" w:cs="Times New Roman"/>
          <w:kern w:val="2"/>
          <w:sz w:val="24"/>
          <w:szCs w:val="24"/>
          <w:lang w:val="en-US" w:eastAsia="zh-CN" w:bidi="ar-SA"/>
        </w:rPr>
        <w:t>年</w:t>
      </w:r>
      <w:r>
        <w:rPr>
          <w:rFonts w:hint="eastAsia" w:cs="Times New Roman"/>
          <w:kern w:val="2"/>
          <w:sz w:val="24"/>
          <w:szCs w:val="24"/>
          <w:lang w:val="en-US" w:eastAsia="zh-CN" w:bidi="ar-SA"/>
        </w:rPr>
        <w:t>独山子区</w:t>
      </w:r>
      <w:r>
        <w:rPr>
          <w:rFonts w:hint="default" w:ascii="Times New Roman" w:hAnsi="Times New Roman" w:eastAsia="宋体" w:cs="Times New Roman"/>
          <w:kern w:val="2"/>
          <w:sz w:val="24"/>
          <w:szCs w:val="24"/>
          <w:lang w:val="en-US" w:eastAsia="zh-CN" w:bidi="ar-SA"/>
        </w:rPr>
        <w:t>空气质量监测数据，为达标区，特征污染物达标。</w:t>
      </w:r>
    </w:p>
    <w:p w14:paraId="5768C7CE">
      <w:pPr>
        <w:keepNext w:val="0"/>
        <w:keepLines w:val="0"/>
        <w:pageBreakBefore w:val="0"/>
        <w:widowControl w:val="0"/>
        <w:numPr>
          <w:ilvl w:val="2"/>
          <w:numId w:val="0"/>
        </w:numPr>
        <w:kinsoku/>
        <w:wordWrap/>
        <w:overflowPunct/>
        <w:topLinePunct w:val="0"/>
        <w:bidi w:val="0"/>
        <w:adjustRightInd/>
        <w:snapToGrid/>
        <w:spacing w:before="0" w:after="0" w:line="360" w:lineRule="auto"/>
        <w:ind w:leftChars="0"/>
        <w:jc w:val="both"/>
        <w:textAlignment w:val="auto"/>
        <w:outlineLvl w:val="2"/>
        <w:rPr>
          <w:rFonts w:hint="default" w:ascii="Times New Roman" w:hAnsi="Times New Roman" w:eastAsia="宋体" w:cs="Times New Roman"/>
          <w:b/>
          <w:bCs/>
          <w:sz w:val="28"/>
          <w:szCs w:val="28"/>
          <w:lang w:val="en-US" w:eastAsia="zh-CN" w:bidi="ar-SA"/>
        </w:rPr>
      </w:pPr>
      <w:bookmarkStart w:id="520" w:name="_Toc15572_WPSOffice_Level3"/>
      <w:bookmarkStart w:id="521" w:name="_Toc4883"/>
      <w:bookmarkStart w:id="522" w:name="_Toc472451905"/>
      <w:bookmarkStart w:id="523" w:name="_Toc337673471"/>
      <w:r>
        <w:rPr>
          <w:rFonts w:hint="default" w:ascii="Times New Roman" w:hAnsi="Times New Roman" w:eastAsia="宋体" w:cs="Times New Roman"/>
          <w:b/>
          <w:bCs/>
          <w:sz w:val="28"/>
          <w:szCs w:val="28"/>
          <w:lang w:val="en-US" w:eastAsia="zh-CN" w:bidi="ar-SA"/>
        </w:rPr>
        <w:t>4.</w:t>
      </w:r>
      <w:r>
        <w:rPr>
          <w:rFonts w:hint="eastAsia" w:ascii="Times New Roman" w:hAnsi="Times New Roman" w:eastAsia="宋体" w:cs="Times New Roman"/>
          <w:b/>
          <w:bCs/>
          <w:sz w:val="28"/>
          <w:szCs w:val="28"/>
          <w:lang w:val="en-US" w:eastAsia="zh-CN" w:bidi="ar-SA"/>
        </w:rPr>
        <w:t>2</w:t>
      </w:r>
      <w:r>
        <w:rPr>
          <w:rFonts w:hint="default" w:ascii="Times New Roman" w:hAnsi="Times New Roman" w:eastAsia="宋体" w:cs="Times New Roman"/>
          <w:b/>
          <w:bCs/>
          <w:sz w:val="28"/>
          <w:szCs w:val="28"/>
          <w:lang w:val="en-US" w:eastAsia="zh-CN" w:bidi="ar-SA"/>
        </w:rPr>
        <w:t>.2地下水质量现状调查及评价</w:t>
      </w:r>
      <w:bookmarkEnd w:id="520"/>
      <w:bookmarkEnd w:id="521"/>
      <w:bookmarkEnd w:id="522"/>
      <w:bookmarkEnd w:id="523"/>
    </w:p>
    <w:p w14:paraId="05AD0746">
      <w:pPr>
        <w:widowControl w:val="0"/>
        <w:bidi w:val="0"/>
        <w:spacing w:line="360" w:lineRule="auto"/>
        <w:jc w:val="both"/>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4.</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.2.1监测布点</w:t>
      </w:r>
    </w:p>
    <w:p w14:paraId="2426278A">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评价本次</w:t>
      </w:r>
      <w:r>
        <w:rPr>
          <w:rFonts w:hint="eastAsia" w:eastAsia="宋体" w:cs="Times New Roman"/>
          <w:bCs/>
          <w:kern w:val="2"/>
          <w:sz w:val="24"/>
          <w:szCs w:val="24"/>
          <w:lang w:val="en-US" w:eastAsia="zh-CN" w:bidi="ar-SA"/>
        </w:rPr>
        <w:t>委托新疆国联环保科技有限公司</w:t>
      </w:r>
      <w:r>
        <w:rPr>
          <w:rFonts w:hint="default" w:ascii="Times New Roman" w:hAnsi="Times New Roman" w:eastAsia="宋体" w:cs="Times New Roman"/>
          <w:bCs/>
          <w:kern w:val="2"/>
          <w:sz w:val="24"/>
          <w:szCs w:val="24"/>
          <w:lang w:val="en-US" w:eastAsia="zh-CN" w:bidi="ar-SA"/>
        </w:rPr>
        <w:t>于20</w:t>
      </w:r>
      <w:r>
        <w:rPr>
          <w:rFonts w:hint="eastAsia" w:ascii="Times New Roman" w:hAnsi="Times New Roman" w:eastAsia="宋体" w:cs="Times New Roman"/>
          <w:bCs/>
          <w:kern w:val="2"/>
          <w:sz w:val="24"/>
          <w:szCs w:val="24"/>
          <w:lang w:val="en-US" w:eastAsia="zh-CN" w:bidi="ar-SA"/>
        </w:rPr>
        <w:t>2</w:t>
      </w:r>
      <w:r>
        <w:rPr>
          <w:rFonts w:hint="eastAsia" w:cs="Times New Roman"/>
          <w:bCs/>
          <w:kern w:val="2"/>
          <w:sz w:val="24"/>
          <w:szCs w:val="24"/>
          <w:lang w:val="en-US" w:eastAsia="zh-CN" w:bidi="ar-SA"/>
        </w:rPr>
        <w:t>6</w:t>
      </w:r>
      <w:r>
        <w:rPr>
          <w:rFonts w:hint="default" w:ascii="Times New Roman" w:hAnsi="Times New Roman" w:eastAsia="宋体" w:cs="Times New Roman"/>
          <w:bCs/>
          <w:kern w:val="2"/>
          <w:sz w:val="24"/>
          <w:szCs w:val="24"/>
          <w:lang w:val="en-US" w:eastAsia="zh-CN" w:bidi="ar-SA"/>
        </w:rPr>
        <w:t>年</w:t>
      </w:r>
      <w:r>
        <w:rPr>
          <w:rFonts w:hint="eastAsia" w:cs="Times New Roman"/>
          <w:bCs/>
          <w:kern w:val="2"/>
          <w:sz w:val="24"/>
          <w:szCs w:val="24"/>
          <w:lang w:val="en-US" w:eastAsia="zh-CN" w:bidi="ar-SA"/>
        </w:rPr>
        <w:t>4</w:t>
      </w:r>
      <w:r>
        <w:rPr>
          <w:rFonts w:hint="default" w:ascii="Times New Roman" w:hAnsi="Times New Roman" w:eastAsia="宋体" w:cs="Times New Roman"/>
          <w:bCs/>
          <w:kern w:val="2"/>
          <w:sz w:val="24"/>
          <w:szCs w:val="24"/>
          <w:lang w:val="en-US" w:eastAsia="zh-CN" w:bidi="ar-SA"/>
        </w:rPr>
        <w:t>月</w:t>
      </w:r>
      <w:r>
        <w:rPr>
          <w:rFonts w:hint="eastAsia" w:cs="Times New Roman"/>
          <w:bCs/>
          <w:kern w:val="2"/>
          <w:sz w:val="24"/>
          <w:szCs w:val="24"/>
          <w:lang w:val="en-US" w:eastAsia="zh-CN" w:bidi="ar-SA"/>
        </w:rPr>
        <w:t>17</w:t>
      </w:r>
      <w:r>
        <w:rPr>
          <w:rFonts w:hint="default" w:ascii="Times New Roman" w:hAnsi="Times New Roman" w:eastAsia="宋体" w:cs="Times New Roman"/>
          <w:bCs/>
          <w:kern w:val="2"/>
          <w:sz w:val="24"/>
          <w:szCs w:val="24"/>
          <w:lang w:val="en-US" w:eastAsia="zh-CN" w:bidi="ar-SA"/>
        </w:rPr>
        <w:t>日对</w:t>
      </w:r>
      <w:r>
        <w:rPr>
          <w:rFonts w:hint="eastAsia" w:eastAsia="宋体" w:cs="Times New Roman"/>
          <w:bCs/>
          <w:kern w:val="2"/>
          <w:sz w:val="24"/>
          <w:szCs w:val="24"/>
          <w:lang w:val="en-US" w:eastAsia="zh-CN" w:bidi="ar-SA"/>
        </w:rPr>
        <w:t>项目区进行</w:t>
      </w:r>
      <w:r>
        <w:rPr>
          <w:rFonts w:hint="eastAsia" w:ascii="Times New Roman" w:hAnsi="Times New Roman" w:eastAsia="宋体" w:cs="Times New Roman"/>
          <w:bCs/>
          <w:kern w:val="2"/>
          <w:sz w:val="24"/>
          <w:szCs w:val="24"/>
          <w:lang w:val="en-US" w:eastAsia="zh-CN" w:bidi="ar-SA"/>
        </w:rPr>
        <w:t>地下水监测</w:t>
      </w:r>
      <w:r>
        <w:rPr>
          <w:rFonts w:hint="default" w:ascii="Times New Roman" w:hAnsi="Times New Roman" w:eastAsia="宋体" w:cs="Times New Roman"/>
          <w:bCs/>
          <w:kern w:val="2"/>
          <w:sz w:val="24"/>
          <w:szCs w:val="24"/>
          <w:lang w:val="en-US" w:eastAsia="zh-CN" w:bidi="ar-SA"/>
        </w:rPr>
        <w:t>。具体位置见图4.</w:t>
      </w:r>
      <w:r>
        <w:rPr>
          <w:rFonts w:hint="eastAsia" w:ascii="Times New Roman" w:hAnsi="Times New Roman" w:eastAsia="宋体" w:cs="Times New Roman"/>
          <w:bCs/>
          <w:kern w:val="2"/>
          <w:sz w:val="24"/>
          <w:szCs w:val="24"/>
          <w:lang w:val="en-US" w:eastAsia="zh-CN" w:bidi="ar-SA"/>
        </w:rPr>
        <w:t>2</w:t>
      </w:r>
      <w:r>
        <w:rPr>
          <w:rFonts w:hint="default"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bCs/>
          <w:kern w:val="2"/>
          <w:sz w:val="24"/>
          <w:szCs w:val="24"/>
          <w:lang w:val="en-US" w:eastAsia="zh-CN" w:bidi="ar-SA"/>
        </w:rPr>
        <w:t>1</w:t>
      </w:r>
      <w:r>
        <w:rPr>
          <w:rFonts w:hint="default" w:ascii="Times New Roman" w:hAnsi="Times New Roman" w:eastAsia="宋体" w:cs="Times New Roman"/>
          <w:bCs/>
          <w:kern w:val="2"/>
          <w:sz w:val="24"/>
          <w:szCs w:val="24"/>
          <w:lang w:val="en-US" w:eastAsia="zh-CN" w:bidi="ar-SA"/>
        </w:rPr>
        <w:t>。</w:t>
      </w:r>
    </w:p>
    <w:p w14:paraId="7E9F1427">
      <w:pPr>
        <w:keepNext w:val="0"/>
        <w:keepLines w:val="0"/>
        <w:pageBreakBefore w:val="0"/>
        <w:widowControl w:val="0"/>
        <w:wordWrap/>
        <w:topLinePunct w:val="0"/>
        <w:bidi w:val="0"/>
        <w:adjustRightInd/>
        <w:snapToGrid/>
        <w:spacing w:line="360" w:lineRule="auto"/>
        <w:ind w:firstLine="480" w:firstLineChars="200"/>
        <w:jc w:val="both"/>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（1）监测布点合理性分析</w:t>
      </w:r>
    </w:p>
    <w:p w14:paraId="305B55B4">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kern w:val="2"/>
          <w:sz w:val="24"/>
          <w:szCs w:val="24"/>
          <w:lang w:val="en-US" w:eastAsia="zh-CN"/>
        </w:rPr>
        <w:t>本次地下水环境质量现状位于建设项目场地上游水质监测点位1个，</w:t>
      </w:r>
      <w:r>
        <w:rPr>
          <w:rFonts w:hint="eastAsia" w:ascii="Times New Roman" w:hAnsi="Times New Roman" w:eastAsia="宋体" w:cs="Times New Roman"/>
          <w:kern w:val="2"/>
          <w:sz w:val="24"/>
          <w:szCs w:val="24"/>
          <w:lang w:val="en-US" w:eastAsia="zh-CN"/>
        </w:rPr>
        <w:t>项目区</w:t>
      </w:r>
      <w:r>
        <w:rPr>
          <w:rFonts w:hint="eastAsia" w:cs="Times New Roman"/>
          <w:kern w:val="2"/>
          <w:sz w:val="24"/>
          <w:szCs w:val="24"/>
          <w:lang w:val="en-US" w:eastAsia="zh-CN"/>
        </w:rPr>
        <w:t>内</w:t>
      </w:r>
      <w:r>
        <w:rPr>
          <w:rFonts w:hint="default" w:ascii="Times New Roman" w:hAnsi="Times New Roman" w:eastAsia="宋体" w:cs="Times New Roman"/>
          <w:kern w:val="2"/>
          <w:sz w:val="24"/>
          <w:szCs w:val="24"/>
          <w:lang w:val="en-US" w:eastAsia="zh-CN"/>
        </w:rPr>
        <w:t>水质监测点1个，建设项目场地下游影响区的地下水水质监测点</w:t>
      </w:r>
      <w:r>
        <w:rPr>
          <w:rFonts w:hint="eastAsia" w:ascii="Times New Roman" w:hAnsi="Times New Roman" w:eastAsia="宋体" w:cs="Times New Roman"/>
          <w:kern w:val="2"/>
          <w:sz w:val="24"/>
          <w:szCs w:val="24"/>
          <w:lang w:val="en-US" w:eastAsia="zh-CN"/>
        </w:rPr>
        <w:t>1</w:t>
      </w:r>
      <w:r>
        <w:rPr>
          <w:rFonts w:hint="default" w:ascii="Times New Roman" w:hAnsi="Times New Roman" w:eastAsia="宋体" w:cs="Times New Roman"/>
          <w:kern w:val="2"/>
          <w:sz w:val="24"/>
          <w:szCs w:val="24"/>
          <w:lang w:val="en-US" w:eastAsia="zh-CN"/>
        </w:rPr>
        <w:t>个，监测布点符合《环境影响评价技术导则 地下水环境》（HJ 610-2016）</w:t>
      </w:r>
      <w:r>
        <w:rPr>
          <w:rFonts w:hint="eastAsia" w:ascii="Times New Roman" w:hAnsi="Times New Roman" w:eastAsia="宋体" w:cs="Times New Roman"/>
          <w:kern w:val="2"/>
          <w:sz w:val="24"/>
          <w:szCs w:val="24"/>
          <w:lang w:val="en-US" w:eastAsia="zh-CN"/>
        </w:rPr>
        <w:t>要求</w:t>
      </w:r>
      <w:r>
        <w:rPr>
          <w:rFonts w:hint="default" w:ascii="Times New Roman" w:hAnsi="Times New Roman" w:eastAsia="宋体" w:cs="Times New Roman"/>
          <w:kern w:val="2"/>
          <w:sz w:val="24"/>
          <w:szCs w:val="24"/>
          <w:lang w:val="en-US" w:eastAsia="zh-CN"/>
        </w:rPr>
        <w:t>。</w:t>
      </w:r>
      <w:r>
        <w:rPr>
          <w:rFonts w:hint="default" w:ascii="Times New Roman" w:hAnsi="Times New Roman" w:eastAsia="宋体" w:cs="Times New Roman"/>
          <w:color w:val="auto"/>
          <w:kern w:val="0"/>
          <w:sz w:val="24"/>
          <w:szCs w:val="21"/>
          <w:lang w:val="en-US" w:eastAsia="zh-CN" w:bidi="ar-SA"/>
        </w:rPr>
        <w:t>监测点布设情况具体见图4.2-1。</w:t>
      </w:r>
    </w:p>
    <w:p w14:paraId="0AAF3A85">
      <w:pPr>
        <w:widowControl/>
        <w:snapToGrid w:val="0"/>
        <w:spacing w:after="0" w:line="240" w:lineRule="auto"/>
        <w:ind w:left="0" w:leftChars="0" w:firstLine="0" w:firstLineChars="0"/>
        <w:jc w:val="center"/>
        <w:rPr>
          <w:rFonts w:hint="default" w:ascii="Times New Roman" w:hAnsi="Times New Roman" w:eastAsia="宋体" w:cs="Times New Roman"/>
          <w:b/>
          <w:bCs/>
          <w:color w:val="auto"/>
          <w:kern w:val="0"/>
          <w:sz w:val="24"/>
          <w:szCs w:val="24"/>
          <w:highlight w:val="none"/>
          <w:lang w:val="en-US" w:eastAsia="zh-CN" w:bidi="ar-SA"/>
        </w:rPr>
      </w:pPr>
      <w:r>
        <w:rPr>
          <w:rFonts w:hint="default" w:ascii="Times New Roman" w:hAnsi="Times New Roman" w:eastAsia="宋体" w:cs="Times New Roman"/>
          <w:b/>
          <w:bCs/>
          <w:color w:val="auto"/>
          <w:kern w:val="0"/>
          <w:sz w:val="24"/>
          <w:szCs w:val="24"/>
          <w:highlight w:val="none"/>
          <w:lang w:val="en-US" w:eastAsia="zh-CN" w:bidi="ar-SA"/>
        </w:rPr>
        <w:t>表4.</w:t>
      </w:r>
      <w:r>
        <w:rPr>
          <w:rFonts w:hint="eastAsia" w:ascii="Times New Roman" w:hAnsi="Times New Roman" w:eastAsia="宋体" w:cs="Times New Roman"/>
          <w:b/>
          <w:bCs/>
          <w:color w:val="auto"/>
          <w:kern w:val="0"/>
          <w:sz w:val="24"/>
          <w:szCs w:val="24"/>
          <w:highlight w:val="none"/>
          <w:lang w:val="en-US" w:eastAsia="zh-CN" w:bidi="ar-SA"/>
        </w:rPr>
        <w:t>2</w:t>
      </w:r>
      <w:r>
        <w:rPr>
          <w:rFonts w:hint="default" w:ascii="Times New Roman" w:hAnsi="Times New Roman" w:eastAsia="宋体" w:cs="Times New Roman"/>
          <w:b/>
          <w:bCs/>
          <w:color w:val="auto"/>
          <w:kern w:val="0"/>
          <w:sz w:val="24"/>
          <w:szCs w:val="24"/>
          <w:highlight w:val="none"/>
          <w:lang w:val="en-US" w:eastAsia="zh-CN" w:bidi="ar-SA"/>
        </w:rPr>
        <w:t>-</w:t>
      </w:r>
      <w:r>
        <w:rPr>
          <w:rFonts w:hint="eastAsia" w:ascii="Times New Roman" w:hAnsi="Times New Roman" w:eastAsia="宋体" w:cs="Times New Roman"/>
          <w:b/>
          <w:bCs/>
          <w:color w:val="auto"/>
          <w:kern w:val="0"/>
          <w:sz w:val="24"/>
          <w:szCs w:val="24"/>
          <w:highlight w:val="none"/>
          <w:lang w:val="en-US" w:eastAsia="zh-CN" w:bidi="ar-SA"/>
        </w:rPr>
        <w:t>4</w:t>
      </w:r>
      <w:r>
        <w:rPr>
          <w:rFonts w:hint="default" w:ascii="Times New Roman" w:hAnsi="Times New Roman" w:eastAsia="宋体" w:cs="Times New Roman"/>
          <w:b/>
          <w:bCs/>
          <w:color w:val="auto"/>
          <w:kern w:val="0"/>
          <w:sz w:val="24"/>
          <w:szCs w:val="24"/>
          <w:highlight w:val="none"/>
          <w:lang w:val="en-US" w:eastAsia="zh-CN" w:bidi="ar-SA"/>
        </w:rPr>
        <w:t>地下水环境质量现状监测点位一览表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728"/>
        <w:gridCol w:w="1773"/>
        <w:gridCol w:w="728"/>
        <w:gridCol w:w="1261"/>
        <w:gridCol w:w="1338"/>
        <w:gridCol w:w="1338"/>
        <w:gridCol w:w="1338"/>
      </w:tblGrid>
      <w:tr w14:paraId="29F76C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2" w:hRule="atLeast"/>
          <w:jc w:val="center"/>
        </w:trPr>
        <w:tc>
          <w:tcPr>
            <w:tcW w:w="428" w:type="pct"/>
            <w:tcBorders>
              <w:tl2br w:val="nil"/>
              <w:tr2bl w:val="nil"/>
            </w:tcBorders>
            <w:noWrap w:val="0"/>
            <w:vAlign w:val="center"/>
          </w:tcPr>
          <w:p w14:paraId="781DFF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bidi="ar-SA"/>
              </w:rPr>
            </w:pPr>
            <w:r>
              <w:rPr>
                <w:rFonts w:hint="default" w:ascii="Times New Roman" w:hAnsi="Times New Roman" w:eastAsia="宋体" w:cs="Times New Roman"/>
                <w:b/>
                <w:bCs/>
                <w:color w:val="auto"/>
                <w:kern w:val="2"/>
                <w:sz w:val="21"/>
                <w:szCs w:val="21"/>
                <w:lang w:val="zh-CN" w:eastAsia="zh-CN" w:bidi="ar-SA"/>
              </w:rPr>
              <w:t>编号</w:t>
            </w:r>
          </w:p>
        </w:tc>
        <w:tc>
          <w:tcPr>
            <w:tcW w:w="1042" w:type="pct"/>
            <w:tcBorders>
              <w:tl2br w:val="nil"/>
              <w:tr2bl w:val="nil"/>
            </w:tcBorders>
            <w:noWrap w:val="0"/>
            <w:vAlign w:val="center"/>
          </w:tcPr>
          <w:p w14:paraId="35C4F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bidi="ar-SA"/>
              </w:rPr>
            </w:pPr>
            <w:r>
              <w:rPr>
                <w:rFonts w:hint="default" w:ascii="Times New Roman" w:hAnsi="Times New Roman" w:eastAsia="宋体" w:cs="Times New Roman"/>
                <w:b/>
                <w:bCs/>
                <w:color w:val="auto"/>
                <w:kern w:val="2"/>
                <w:sz w:val="21"/>
                <w:szCs w:val="21"/>
                <w:lang w:val="zh-CN" w:eastAsia="zh-CN" w:bidi="ar-SA"/>
              </w:rPr>
              <w:t>经纬度坐标</w:t>
            </w:r>
          </w:p>
        </w:tc>
        <w:tc>
          <w:tcPr>
            <w:tcW w:w="428" w:type="pct"/>
            <w:tcBorders>
              <w:tl2br w:val="nil"/>
              <w:tr2bl w:val="nil"/>
            </w:tcBorders>
            <w:noWrap w:val="0"/>
            <w:vAlign w:val="center"/>
          </w:tcPr>
          <w:p w14:paraId="41F08E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zh-CN" w:eastAsia="zh-CN" w:bidi="ar-SA"/>
              </w:rPr>
            </w:pPr>
            <w:r>
              <w:rPr>
                <w:rFonts w:hint="default" w:ascii="Times New Roman" w:hAnsi="Times New Roman" w:eastAsia="宋体" w:cs="Times New Roman"/>
                <w:b/>
                <w:bCs/>
                <w:color w:val="auto"/>
                <w:kern w:val="2"/>
                <w:sz w:val="21"/>
                <w:szCs w:val="21"/>
                <w:lang w:val="zh-CN" w:eastAsia="zh-CN" w:bidi="ar-SA"/>
              </w:rPr>
              <w:t>方位</w:t>
            </w:r>
          </w:p>
        </w:tc>
        <w:tc>
          <w:tcPr>
            <w:tcW w:w="741" w:type="pct"/>
            <w:tcBorders>
              <w:tl2br w:val="nil"/>
              <w:tr2bl w:val="nil"/>
            </w:tcBorders>
            <w:noWrap w:val="0"/>
            <w:vAlign w:val="center"/>
          </w:tcPr>
          <w:p w14:paraId="308729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zh-CN" w:eastAsia="zh-CN" w:bidi="ar-SA"/>
              </w:rPr>
              <w:t>距离</w:t>
            </w:r>
            <w:r>
              <w:rPr>
                <w:rFonts w:hint="default" w:ascii="Times New Roman" w:hAnsi="Times New Roman" w:eastAsia="宋体" w:cs="Times New Roman"/>
                <w:b/>
                <w:bCs/>
                <w:color w:val="auto"/>
                <w:kern w:val="2"/>
                <w:sz w:val="21"/>
                <w:szCs w:val="21"/>
                <w:lang w:val="en-US" w:eastAsia="zh-CN" w:bidi="ar-SA"/>
              </w:rPr>
              <w:t>/km</w:t>
            </w:r>
          </w:p>
        </w:tc>
        <w:tc>
          <w:tcPr>
            <w:tcW w:w="786" w:type="pct"/>
            <w:tcBorders>
              <w:tl2br w:val="nil"/>
              <w:tr2bl w:val="nil"/>
            </w:tcBorders>
            <w:noWrap w:val="0"/>
            <w:vAlign w:val="center"/>
          </w:tcPr>
          <w:p w14:paraId="2FC40B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井深</w:t>
            </w:r>
          </w:p>
        </w:tc>
        <w:tc>
          <w:tcPr>
            <w:tcW w:w="786" w:type="pct"/>
            <w:tcBorders>
              <w:tl2br w:val="nil"/>
              <w:tr2bl w:val="nil"/>
            </w:tcBorders>
            <w:noWrap w:val="0"/>
            <w:vAlign w:val="center"/>
          </w:tcPr>
          <w:p w14:paraId="3B2BFC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层位</w:t>
            </w:r>
          </w:p>
        </w:tc>
        <w:tc>
          <w:tcPr>
            <w:tcW w:w="786" w:type="pct"/>
            <w:tcBorders>
              <w:tl2br w:val="nil"/>
              <w:tr2bl w:val="nil"/>
            </w:tcBorders>
            <w:noWrap w:val="0"/>
            <w:vAlign w:val="center"/>
          </w:tcPr>
          <w:p w14:paraId="6AD662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备注</w:t>
            </w:r>
          </w:p>
        </w:tc>
      </w:tr>
      <w:tr w14:paraId="00A5BA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28" w:type="pct"/>
            <w:tcBorders>
              <w:tl2br w:val="nil"/>
              <w:tr2bl w:val="nil"/>
            </w:tcBorders>
            <w:noWrap w:val="0"/>
            <w:vAlign w:val="center"/>
          </w:tcPr>
          <w:p w14:paraId="3227D4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eastAsia"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kern w:val="2"/>
                <w:sz w:val="21"/>
                <w:szCs w:val="21"/>
                <w:lang w:val="en-US" w:eastAsia="zh-CN" w:bidi="ar-SA"/>
              </w:rPr>
              <w:t>#</w:t>
            </w:r>
          </w:p>
        </w:tc>
        <w:tc>
          <w:tcPr>
            <w:tcW w:w="1042" w:type="pct"/>
            <w:tcBorders>
              <w:tl2br w:val="nil"/>
              <w:tr2bl w:val="nil"/>
            </w:tcBorders>
            <w:noWrap w:val="0"/>
            <w:vAlign w:val="center"/>
          </w:tcPr>
          <w:p w14:paraId="6B0F5947">
            <w:pPr>
              <w:snapToGrid w:val="0"/>
              <w:spacing w:line="240" w:lineRule="auto"/>
              <w:ind w:left="72" w:leftChars="0"/>
              <w:jc w:val="center"/>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kern w:val="2"/>
                <w:sz w:val="21"/>
                <w:szCs w:val="21"/>
                <w:highlight w:val="none"/>
                <w:lang w:val="zh-CN" w:eastAsia="zh-CN" w:bidi="ar-SA"/>
              </w:rPr>
              <w:t>84°29′35.74″， 44°44′6.76″</w:t>
            </w:r>
          </w:p>
        </w:tc>
        <w:tc>
          <w:tcPr>
            <w:tcW w:w="428" w:type="pct"/>
            <w:tcBorders>
              <w:tl2br w:val="nil"/>
              <w:tr2bl w:val="nil"/>
            </w:tcBorders>
            <w:noWrap w:val="0"/>
            <w:vAlign w:val="center"/>
          </w:tcPr>
          <w:p w14:paraId="3888AD7B">
            <w:pPr>
              <w:snapToGrid w:val="0"/>
              <w:spacing w:line="240" w:lineRule="auto"/>
              <w:ind w:left="72" w:left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S</w:t>
            </w:r>
          </w:p>
        </w:tc>
        <w:tc>
          <w:tcPr>
            <w:tcW w:w="741" w:type="pct"/>
            <w:tcBorders>
              <w:tl2br w:val="nil"/>
              <w:tr2bl w:val="nil"/>
            </w:tcBorders>
            <w:noWrap w:val="0"/>
            <w:vAlign w:val="center"/>
          </w:tcPr>
          <w:p w14:paraId="0480EEAD">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cs="Times New Roman"/>
                <w:color w:val="auto"/>
                <w:spacing w:val="-6"/>
                <w:kern w:val="2"/>
                <w:sz w:val="21"/>
                <w:szCs w:val="21"/>
                <w:highlight w:val="none"/>
                <w:lang w:val="en-US" w:eastAsia="zh-CN"/>
              </w:rPr>
              <w:t>0.6</w:t>
            </w:r>
          </w:p>
        </w:tc>
        <w:tc>
          <w:tcPr>
            <w:tcW w:w="786" w:type="pct"/>
            <w:tcBorders>
              <w:tl2br w:val="nil"/>
              <w:tr2bl w:val="nil"/>
            </w:tcBorders>
            <w:noWrap w:val="0"/>
            <w:vAlign w:val="center"/>
          </w:tcPr>
          <w:p w14:paraId="641F0095">
            <w:pPr>
              <w:spacing w:line="240" w:lineRule="auto"/>
              <w:jc w:val="center"/>
              <w:rPr>
                <w:rFonts w:hint="eastAsia" w:ascii="Times New Roman" w:hAnsi="Times New Roman" w:eastAsia="宋体" w:cs="Times New Roman"/>
                <w:color w:val="auto"/>
                <w:spacing w:val="-6"/>
                <w:kern w:val="2"/>
                <w:sz w:val="21"/>
                <w:szCs w:val="21"/>
                <w:highlight w:val="none"/>
                <w:lang w:val="en-US" w:eastAsia="zh-CN"/>
              </w:rPr>
            </w:pPr>
            <w:r>
              <w:rPr>
                <w:rFonts w:hint="eastAsia" w:cs="Times New Roman"/>
                <w:color w:val="auto"/>
                <w:spacing w:val="-6"/>
                <w:kern w:val="2"/>
                <w:sz w:val="21"/>
                <w:szCs w:val="21"/>
                <w:highlight w:val="none"/>
                <w:lang w:val="en-US" w:eastAsia="zh-CN"/>
              </w:rPr>
              <w:t>120</w:t>
            </w:r>
            <w:r>
              <w:rPr>
                <w:rFonts w:hint="eastAsia" w:ascii="Times New Roman" w:hAnsi="Times New Roman" w:eastAsia="宋体" w:cs="Times New Roman"/>
                <w:color w:val="auto"/>
                <w:spacing w:val="-6"/>
                <w:kern w:val="2"/>
                <w:sz w:val="21"/>
                <w:szCs w:val="21"/>
                <w:highlight w:val="none"/>
                <w:lang w:val="en-US" w:eastAsia="zh-CN"/>
              </w:rPr>
              <w:t>m</w:t>
            </w:r>
          </w:p>
        </w:tc>
        <w:tc>
          <w:tcPr>
            <w:tcW w:w="786" w:type="pct"/>
            <w:tcBorders>
              <w:tl2br w:val="nil"/>
              <w:tr2bl w:val="nil"/>
            </w:tcBorders>
            <w:noWrap w:val="0"/>
            <w:vAlign w:val="center"/>
          </w:tcPr>
          <w:p w14:paraId="221CB261">
            <w:pPr>
              <w:spacing w:line="240" w:lineRule="auto"/>
              <w:jc w:val="center"/>
              <w:rPr>
                <w:rFonts w:hint="eastAsia" w:ascii="Times New Roman" w:hAnsi="Times New Roman" w:eastAsia="宋体" w:cs="Times New Roman"/>
                <w:color w:val="auto"/>
                <w:spacing w:val="-6"/>
                <w:kern w:val="2"/>
                <w:sz w:val="21"/>
                <w:szCs w:val="21"/>
                <w:highlight w:val="none"/>
                <w:lang w:val="en-US" w:eastAsia="zh-CN"/>
              </w:rPr>
            </w:pPr>
            <w:r>
              <w:rPr>
                <w:rFonts w:hint="eastAsia" w:ascii="Times New Roman" w:hAnsi="Times New Roman" w:eastAsia="宋体" w:cs="Times New Roman"/>
                <w:color w:val="auto"/>
                <w:spacing w:val="-6"/>
                <w:kern w:val="2"/>
                <w:sz w:val="21"/>
                <w:szCs w:val="21"/>
                <w:highlight w:val="none"/>
                <w:lang w:val="en-US" w:eastAsia="zh-CN"/>
              </w:rPr>
              <w:t>潜水含水层</w:t>
            </w:r>
          </w:p>
        </w:tc>
        <w:tc>
          <w:tcPr>
            <w:tcW w:w="786" w:type="pct"/>
            <w:tcBorders>
              <w:tl2br w:val="nil"/>
              <w:tr2bl w:val="nil"/>
            </w:tcBorders>
            <w:noWrap w:val="0"/>
            <w:vAlign w:val="center"/>
          </w:tcPr>
          <w:p w14:paraId="21FF5113">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ascii="Times New Roman" w:hAnsi="Times New Roman" w:eastAsia="宋体" w:cs="Times New Roman"/>
                <w:color w:val="auto"/>
                <w:spacing w:val="-6"/>
                <w:kern w:val="2"/>
                <w:sz w:val="21"/>
                <w:szCs w:val="21"/>
                <w:highlight w:val="none"/>
                <w:lang w:val="en-US" w:eastAsia="zh-CN"/>
              </w:rPr>
              <w:t>上游</w:t>
            </w:r>
          </w:p>
        </w:tc>
      </w:tr>
      <w:tr w14:paraId="113F2B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28" w:type="pct"/>
            <w:tcBorders>
              <w:tl2br w:val="nil"/>
              <w:tr2bl w:val="nil"/>
            </w:tcBorders>
            <w:noWrap w:val="0"/>
            <w:vAlign w:val="center"/>
          </w:tcPr>
          <w:p w14:paraId="202FCD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zh-CN" w:eastAsia="zh-CN" w:bidi="ar-SA"/>
              </w:rPr>
            </w:pPr>
            <w:r>
              <w:rPr>
                <w:rFonts w:hint="eastAsia"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kern w:val="2"/>
                <w:sz w:val="21"/>
                <w:szCs w:val="21"/>
                <w:lang w:val="en-US" w:eastAsia="zh-CN" w:bidi="ar-SA"/>
              </w:rPr>
              <w:t>#</w:t>
            </w:r>
          </w:p>
        </w:tc>
        <w:tc>
          <w:tcPr>
            <w:tcW w:w="1042" w:type="pct"/>
            <w:tcBorders>
              <w:tl2br w:val="nil"/>
              <w:tr2bl w:val="nil"/>
            </w:tcBorders>
            <w:noWrap w:val="0"/>
            <w:vAlign w:val="center"/>
          </w:tcPr>
          <w:p w14:paraId="14981EE3">
            <w:pPr>
              <w:snapToGrid w:val="0"/>
              <w:spacing w:line="240" w:lineRule="auto"/>
              <w:ind w:left="72" w:leftChars="0"/>
              <w:jc w:val="center"/>
              <w:rPr>
                <w:rFonts w:hint="default" w:ascii="Times New Roman" w:hAnsi="Times New Roman" w:eastAsia="宋体" w:cs="Times New Roman"/>
                <w:color w:val="auto"/>
                <w:kern w:val="2"/>
                <w:sz w:val="21"/>
                <w:szCs w:val="21"/>
                <w:lang w:val="zh-CN" w:eastAsia="zh-CN" w:bidi="ar-SA"/>
              </w:rPr>
            </w:pPr>
            <w:r>
              <w:rPr>
                <w:rFonts w:hint="eastAsia" w:cs="Times New Roman"/>
                <w:color w:val="auto"/>
                <w:kern w:val="2"/>
                <w:sz w:val="21"/>
                <w:szCs w:val="21"/>
                <w:lang w:val="en-US" w:eastAsia="zh-CN" w:bidi="ar-SA"/>
              </w:rPr>
              <w:t>E</w:t>
            </w:r>
            <w:r>
              <w:rPr>
                <w:rFonts w:hint="default" w:ascii="Times New Roman" w:hAnsi="Times New Roman" w:eastAsia="宋体" w:cs="Times New Roman"/>
                <w:color w:val="auto"/>
                <w:kern w:val="2"/>
                <w:sz w:val="21"/>
                <w:szCs w:val="21"/>
                <w:lang w:val="zh-CN" w:eastAsia="zh-CN" w:bidi="ar-SA"/>
              </w:rPr>
              <w:t>84°29</w:t>
            </w:r>
            <w:r>
              <w:rPr>
                <w:rFonts w:hint="default" w:ascii="Times New Roman" w:hAnsi="Times New Roman" w:eastAsia="宋体" w:cs="Times New Roman"/>
                <w:color w:val="auto"/>
                <w:spacing w:val="-6"/>
                <w:kern w:val="2"/>
                <w:sz w:val="21"/>
                <w:szCs w:val="21"/>
                <w:highlight w:val="none"/>
                <w:lang w:val="en-US" w:eastAsia="zh-CN"/>
              </w:rPr>
              <w:t>′</w:t>
            </w:r>
            <w:r>
              <w:rPr>
                <w:rFonts w:hint="default" w:ascii="Times New Roman" w:hAnsi="Times New Roman" w:eastAsia="宋体" w:cs="Times New Roman"/>
                <w:color w:val="auto"/>
                <w:kern w:val="2"/>
                <w:sz w:val="21"/>
                <w:szCs w:val="21"/>
                <w:lang w:val="zh-CN" w:eastAsia="zh-CN" w:bidi="ar-SA"/>
              </w:rPr>
              <w:t>43</w:t>
            </w:r>
            <w:r>
              <w:rPr>
                <w:rFonts w:hint="default" w:ascii="Times New Roman" w:hAnsi="Times New Roman" w:eastAsia="宋体" w:cs="Times New Roman"/>
                <w:color w:val="auto"/>
                <w:spacing w:val="-6"/>
                <w:kern w:val="2"/>
                <w:sz w:val="21"/>
                <w:szCs w:val="21"/>
                <w:highlight w:val="none"/>
                <w:lang w:val="en-US" w:eastAsia="zh-CN"/>
              </w:rPr>
              <w:t>″</w:t>
            </w:r>
            <w:r>
              <w:rPr>
                <w:rFonts w:hint="eastAsia" w:cs="Times New Roman"/>
                <w:color w:val="auto"/>
                <w:kern w:val="2"/>
                <w:sz w:val="21"/>
                <w:szCs w:val="21"/>
                <w:lang w:val="zh-CN" w:eastAsia="zh-CN" w:bidi="ar-SA"/>
              </w:rPr>
              <w:t>，</w:t>
            </w:r>
            <w:r>
              <w:rPr>
                <w:rFonts w:hint="default" w:ascii="Times New Roman" w:hAnsi="Times New Roman" w:eastAsia="宋体" w:cs="Times New Roman"/>
                <w:color w:val="auto"/>
                <w:kern w:val="2"/>
                <w:sz w:val="21"/>
                <w:szCs w:val="21"/>
                <w:lang w:val="zh-CN" w:eastAsia="zh-CN" w:bidi="ar-SA"/>
              </w:rPr>
              <w:t xml:space="preserve"> </w:t>
            </w:r>
          </w:p>
          <w:p w14:paraId="7C3DBFF8">
            <w:pPr>
              <w:snapToGrid w:val="0"/>
              <w:spacing w:line="240" w:lineRule="auto"/>
              <w:ind w:left="72" w:leftChars="0"/>
              <w:jc w:val="center"/>
              <w:rPr>
                <w:rFonts w:hint="default" w:ascii="Times New Roman" w:hAnsi="Times New Roman" w:eastAsia="宋体" w:cs="Times New Roman"/>
                <w:color w:val="auto"/>
                <w:kern w:val="2"/>
                <w:sz w:val="21"/>
                <w:szCs w:val="21"/>
                <w:lang w:val="zh-CN" w:eastAsia="zh-CN" w:bidi="ar-SA"/>
              </w:rPr>
            </w:pPr>
            <w:r>
              <w:rPr>
                <w:rFonts w:hint="default" w:ascii="Times New Roman" w:hAnsi="Times New Roman" w:eastAsia="宋体" w:cs="Times New Roman"/>
                <w:color w:val="auto"/>
                <w:kern w:val="2"/>
                <w:sz w:val="21"/>
                <w:szCs w:val="21"/>
                <w:lang w:val="zh-CN" w:eastAsia="zh-CN" w:bidi="ar-SA"/>
              </w:rPr>
              <w:t>N44°44</w:t>
            </w:r>
            <w:r>
              <w:rPr>
                <w:rFonts w:hint="default" w:ascii="Times New Roman" w:hAnsi="Times New Roman" w:eastAsia="宋体" w:cs="Times New Roman"/>
                <w:color w:val="auto"/>
                <w:spacing w:val="-6"/>
                <w:kern w:val="2"/>
                <w:sz w:val="21"/>
                <w:szCs w:val="21"/>
                <w:highlight w:val="none"/>
                <w:lang w:val="en-US" w:eastAsia="zh-CN"/>
              </w:rPr>
              <w:t>′</w:t>
            </w:r>
            <w:r>
              <w:rPr>
                <w:rFonts w:hint="default" w:ascii="Times New Roman" w:hAnsi="Times New Roman" w:eastAsia="宋体" w:cs="Times New Roman"/>
                <w:color w:val="auto"/>
                <w:kern w:val="2"/>
                <w:sz w:val="21"/>
                <w:szCs w:val="21"/>
                <w:lang w:val="zh-CN" w:eastAsia="zh-CN" w:bidi="ar-SA"/>
              </w:rPr>
              <w:t>46</w:t>
            </w:r>
            <w:r>
              <w:rPr>
                <w:rFonts w:hint="default" w:ascii="Times New Roman" w:hAnsi="Times New Roman" w:eastAsia="宋体" w:cs="Times New Roman"/>
                <w:color w:val="auto"/>
                <w:spacing w:val="-6"/>
                <w:kern w:val="2"/>
                <w:sz w:val="21"/>
                <w:szCs w:val="21"/>
                <w:highlight w:val="none"/>
                <w:lang w:val="en-US" w:eastAsia="zh-CN"/>
              </w:rPr>
              <w:t>″</w:t>
            </w:r>
          </w:p>
        </w:tc>
        <w:tc>
          <w:tcPr>
            <w:tcW w:w="428" w:type="pct"/>
            <w:tcBorders>
              <w:tl2br w:val="nil"/>
              <w:tr2bl w:val="nil"/>
            </w:tcBorders>
            <w:noWrap w:val="0"/>
            <w:vAlign w:val="center"/>
          </w:tcPr>
          <w:p w14:paraId="5818A4CF">
            <w:pPr>
              <w:snapToGrid w:val="0"/>
              <w:spacing w:line="240" w:lineRule="auto"/>
              <w:ind w:left="72" w:left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w:t>
            </w:r>
          </w:p>
        </w:tc>
        <w:tc>
          <w:tcPr>
            <w:tcW w:w="741" w:type="pct"/>
            <w:tcBorders>
              <w:tl2br w:val="nil"/>
              <w:tr2bl w:val="nil"/>
            </w:tcBorders>
            <w:noWrap w:val="0"/>
            <w:vAlign w:val="center"/>
          </w:tcPr>
          <w:p w14:paraId="4199B83B">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cs="Times New Roman"/>
                <w:color w:val="auto"/>
                <w:spacing w:val="-6"/>
                <w:kern w:val="2"/>
                <w:sz w:val="21"/>
                <w:szCs w:val="21"/>
                <w:highlight w:val="none"/>
                <w:lang w:val="en-US" w:eastAsia="zh-CN"/>
              </w:rPr>
              <w:t>/</w:t>
            </w:r>
          </w:p>
        </w:tc>
        <w:tc>
          <w:tcPr>
            <w:tcW w:w="786" w:type="pct"/>
            <w:tcBorders>
              <w:tl2br w:val="nil"/>
              <w:tr2bl w:val="nil"/>
            </w:tcBorders>
            <w:noWrap w:val="0"/>
            <w:vAlign w:val="center"/>
          </w:tcPr>
          <w:p w14:paraId="7C93634B">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cs="Times New Roman"/>
                <w:color w:val="auto"/>
                <w:spacing w:val="-6"/>
                <w:kern w:val="2"/>
                <w:sz w:val="21"/>
                <w:szCs w:val="21"/>
                <w:highlight w:val="none"/>
                <w:lang w:val="en-US" w:eastAsia="zh-CN"/>
              </w:rPr>
              <w:t>200</w:t>
            </w:r>
            <w:r>
              <w:rPr>
                <w:rFonts w:hint="eastAsia" w:ascii="Times New Roman" w:hAnsi="Times New Roman" w:eastAsia="宋体" w:cs="Times New Roman"/>
                <w:color w:val="auto"/>
                <w:spacing w:val="-6"/>
                <w:kern w:val="2"/>
                <w:sz w:val="21"/>
                <w:szCs w:val="21"/>
                <w:highlight w:val="none"/>
                <w:lang w:val="en-US" w:eastAsia="zh-CN"/>
              </w:rPr>
              <w:t>m</w:t>
            </w:r>
          </w:p>
        </w:tc>
        <w:tc>
          <w:tcPr>
            <w:tcW w:w="786" w:type="pct"/>
            <w:tcBorders>
              <w:tl2br w:val="nil"/>
              <w:tr2bl w:val="nil"/>
            </w:tcBorders>
            <w:noWrap w:val="0"/>
            <w:vAlign w:val="center"/>
          </w:tcPr>
          <w:p w14:paraId="7228AE44">
            <w:pPr>
              <w:spacing w:line="240" w:lineRule="auto"/>
              <w:jc w:val="center"/>
              <w:rPr>
                <w:rFonts w:hint="eastAsia" w:ascii="Times New Roman" w:hAnsi="Times New Roman" w:eastAsia="宋体" w:cs="Times New Roman"/>
                <w:color w:val="auto"/>
                <w:spacing w:val="-6"/>
                <w:kern w:val="2"/>
                <w:sz w:val="21"/>
                <w:szCs w:val="21"/>
                <w:highlight w:val="none"/>
                <w:lang w:val="en-US" w:eastAsia="zh-CN"/>
              </w:rPr>
            </w:pPr>
            <w:r>
              <w:rPr>
                <w:rFonts w:hint="eastAsia" w:ascii="Times New Roman" w:hAnsi="Times New Roman" w:eastAsia="宋体" w:cs="Times New Roman"/>
                <w:color w:val="auto"/>
                <w:spacing w:val="-6"/>
                <w:kern w:val="2"/>
                <w:sz w:val="21"/>
                <w:szCs w:val="21"/>
                <w:highlight w:val="none"/>
                <w:lang w:val="en-US" w:eastAsia="zh-CN"/>
              </w:rPr>
              <w:t>潜水含水层</w:t>
            </w:r>
          </w:p>
        </w:tc>
        <w:tc>
          <w:tcPr>
            <w:tcW w:w="786" w:type="pct"/>
            <w:tcBorders>
              <w:tl2br w:val="nil"/>
              <w:tr2bl w:val="nil"/>
            </w:tcBorders>
            <w:noWrap w:val="0"/>
            <w:vAlign w:val="center"/>
          </w:tcPr>
          <w:p w14:paraId="2D091515">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cs="Times New Roman"/>
                <w:color w:val="auto"/>
                <w:spacing w:val="-6"/>
                <w:kern w:val="2"/>
                <w:sz w:val="21"/>
                <w:szCs w:val="21"/>
                <w:highlight w:val="none"/>
                <w:lang w:val="en-US" w:eastAsia="zh-CN"/>
              </w:rPr>
              <w:t>项目区内</w:t>
            </w:r>
          </w:p>
        </w:tc>
      </w:tr>
      <w:tr w14:paraId="3683CE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28" w:type="pct"/>
            <w:tcBorders>
              <w:tl2br w:val="nil"/>
              <w:tr2bl w:val="nil"/>
            </w:tcBorders>
            <w:noWrap w:val="0"/>
            <w:vAlign w:val="center"/>
          </w:tcPr>
          <w:p w14:paraId="0E910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w:t>
            </w:r>
          </w:p>
        </w:tc>
        <w:tc>
          <w:tcPr>
            <w:tcW w:w="1042" w:type="pct"/>
            <w:tcBorders>
              <w:tl2br w:val="nil"/>
              <w:tr2bl w:val="nil"/>
            </w:tcBorders>
            <w:noWrap w:val="0"/>
            <w:vAlign w:val="center"/>
          </w:tcPr>
          <w:p w14:paraId="7F677756">
            <w:pPr>
              <w:snapToGrid w:val="0"/>
              <w:spacing w:line="240" w:lineRule="auto"/>
              <w:ind w:left="72" w:leftChars="0"/>
              <w:jc w:val="center"/>
              <w:rPr>
                <w:rFonts w:hint="default" w:ascii="Times New Roman" w:hAnsi="Times New Roman" w:eastAsia="宋体" w:cs="Times New Roman"/>
                <w:color w:val="auto"/>
                <w:spacing w:val="-6"/>
                <w:kern w:val="2"/>
                <w:sz w:val="21"/>
                <w:szCs w:val="21"/>
                <w:highlight w:val="none"/>
                <w:lang w:val="en-US" w:eastAsia="zh-CN"/>
              </w:rPr>
            </w:pPr>
            <w:r>
              <w:rPr>
                <w:rFonts w:hint="default" w:ascii="Times New Roman" w:hAnsi="Times New Roman" w:eastAsia="宋体" w:cs="Times New Roman"/>
                <w:color w:val="auto"/>
                <w:spacing w:val="-6"/>
                <w:kern w:val="2"/>
                <w:sz w:val="21"/>
                <w:szCs w:val="21"/>
                <w:highlight w:val="none"/>
                <w:lang w:val="en-US" w:eastAsia="zh-CN"/>
              </w:rPr>
              <w:t>E84°29′53″</w:t>
            </w:r>
            <w:r>
              <w:rPr>
                <w:rFonts w:hint="eastAsia" w:cs="Times New Roman"/>
                <w:color w:val="auto"/>
                <w:spacing w:val="-6"/>
                <w:kern w:val="2"/>
                <w:sz w:val="21"/>
                <w:szCs w:val="21"/>
                <w:highlight w:val="none"/>
                <w:lang w:val="en-US" w:eastAsia="zh-CN"/>
              </w:rPr>
              <w:t>，</w:t>
            </w:r>
            <w:r>
              <w:rPr>
                <w:rFonts w:hint="default" w:ascii="Times New Roman" w:hAnsi="Times New Roman" w:eastAsia="宋体" w:cs="Times New Roman"/>
                <w:color w:val="auto"/>
                <w:spacing w:val="-6"/>
                <w:kern w:val="2"/>
                <w:sz w:val="21"/>
                <w:szCs w:val="21"/>
                <w:highlight w:val="none"/>
                <w:lang w:val="en-US" w:eastAsia="zh-CN"/>
              </w:rPr>
              <w:t>N44°44′58″</w:t>
            </w:r>
          </w:p>
        </w:tc>
        <w:tc>
          <w:tcPr>
            <w:tcW w:w="428" w:type="pct"/>
            <w:tcBorders>
              <w:tl2br w:val="nil"/>
              <w:tr2bl w:val="nil"/>
            </w:tcBorders>
            <w:noWrap w:val="0"/>
            <w:vAlign w:val="center"/>
          </w:tcPr>
          <w:p w14:paraId="15196F08">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ascii="Times New Roman" w:hAnsi="Times New Roman" w:eastAsia="宋体" w:cs="Times New Roman"/>
                <w:color w:val="auto"/>
                <w:spacing w:val="-6"/>
                <w:kern w:val="2"/>
                <w:sz w:val="21"/>
                <w:szCs w:val="21"/>
                <w:highlight w:val="none"/>
                <w:lang w:val="en-US" w:eastAsia="zh-CN"/>
              </w:rPr>
              <w:t>N</w:t>
            </w:r>
          </w:p>
        </w:tc>
        <w:tc>
          <w:tcPr>
            <w:tcW w:w="741" w:type="pct"/>
            <w:tcBorders>
              <w:tl2br w:val="nil"/>
              <w:tr2bl w:val="nil"/>
            </w:tcBorders>
            <w:noWrap w:val="0"/>
            <w:vAlign w:val="center"/>
          </w:tcPr>
          <w:p w14:paraId="0A13FC50">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cs="Times New Roman"/>
                <w:color w:val="auto"/>
                <w:spacing w:val="-6"/>
                <w:kern w:val="2"/>
                <w:sz w:val="21"/>
                <w:szCs w:val="21"/>
                <w:highlight w:val="none"/>
                <w:lang w:val="en-US" w:eastAsia="zh-CN"/>
              </w:rPr>
              <w:t>0.2</w:t>
            </w:r>
          </w:p>
        </w:tc>
        <w:tc>
          <w:tcPr>
            <w:tcW w:w="786" w:type="pct"/>
            <w:tcBorders>
              <w:tl2br w:val="nil"/>
              <w:tr2bl w:val="nil"/>
            </w:tcBorders>
            <w:noWrap w:val="0"/>
            <w:vAlign w:val="center"/>
          </w:tcPr>
          <w:p w14:paraId="75DEA293">
            <w:pPr>
              <w:spacing w:line="240" w:lineRule="auto"/>
              <w:jc w:val="center"/>
              <w:rPr>
                <w:rFonts w:hint="eastAsia" w:ascii="Times New Roman" w:hAnsi="Times New Roman" w:eastAsia="宋体" w:cs="Times New Roman"/>
                <w:color w:val="auto"/>
                <w:spacing w:val="-6"/>
                <w:kern w:val="2"/>
                <w:sz w:val="21"/>
                <w:szCs w:val="21"/>
                <w:highlight w:val="none"/>
                <w:lang w:val="en-US" w:eastAsia="zh-CN"/>
              </w:rPr>
            </w:pPr>
            <w:r>
              <w:rPr>
                <w:rFonts w:hint="eastAsia" w:cs="Times New Roman"/>
                <w:color w:val="auto"/>
                <w:spacing w:val="-6"/>
                <w:kern w:val="2"/>
                <w:sz w:val="21"/>
                <w:szCs w:val="21"/>
                <w:highlight w:val="none"/>
                <w:lang w:val="en-US" w:eastAsia="zh-CN"/>
              </w:rPr>
              <w:t>130</w:t>
            </w:r>
            <w:r>
              <w:rPr>
                <w:rFonts w:hint="eastAsia" w:ascii="Times New Roman" w:hAnsi="Times New Roman" w:eastAsia="宋体" w:cs="Times New Roman"/>
                <w:color w:val="auto"/>
                <w:spacing w:val="-6"/>
                <w:kern w:val="2"/>
                <w:sz w:val="21"/>
                <w:szCs w:val="21"/>
                <w:highlight w:val="none"/>
                <w:lang w:val="en-US" w:eastAsia="zh-CN"/>
              </w:rPr>
              <w:t>m</w:t>
            </w:r>
          </w:p>
        </w:tc>
        <w:tc>
          <w:tcPr>
            <w:tcW w:w="786" w:type="pct"/>
            <w:tcBorders>
              <w:tl2br w:val="nil"/>
              <w:tr2bl w:val="nil"/>
            </w:tcBorders>
            <w:noWrap w:val="0"/>
            <w:vAlign w:val="center"/>
          </w:tcPr>
          <w:p w14:paraId="378DC787">
            <w:pPr>
              <w:spacing w:line="240" w:lineRule="auto"/>
              <w:jc w:val="center"/>
              <w:rPr>
                <w:rFonts w:hint="eastAsia" w:ascii="Times New Roman" w:hAnsi="Times New Roman" w:eastAsia="宋体" w:cs="Times New Roman"/>
                <w:color w:val="auto"/>
                <w:spacing w:val="-6"/>
                <w:kern w:val="2"/>
                <w:sz w:val="21"/>
                <w:szCs w:val="21"/>
                <w:highlight w:val="none"/>
                <w:lang w:val="en-US" w:eastAsia="zh-CN"/>
              </w:rPr>
            </w:pPr>
            <w:r>
              <w:rPr>
                <w:rFonts w:hint="eastAsia" w:ascii="Times New Roman" w:hAnsi="Times New Roman" w:eastAsia="宋体" w:cs="Times New Roman"/>
                <w:color w:val="auto"/>
                <w:spacing w:val="-6"/>
                <w:kern w:val="2"/>
                <w:sz w:val="21"/>
                <w:szCs w:val="21"/>
                <w:highlight w:val="none"/>
                <w:lang w:val="en-US" w:eastAsia="zh-CN"/>
              </w:rPr>
              <w:t>潜水含水层</w:t>
            </w:r>
          </w:p>
        </w:tc>
        <w:tc>
          <w:tcPr>
            <w:tcW w:w="786" w:type="pct"/>
            <w:tcBorders>
              <w:tl2br w:val="nil"/>
              <w:tr2bl w:val="nil"/>
            </w:tcBorders>
            <w:noWrap w:val="0"/>
            <w:vAlign w:val="center"/>
          </w:tcPr>
          <w:p w14:paraId="19EB5CC7">
            <w:pPr>
              <w:spacing w:line="240" w:lineRule="auto"/>
              <w:jc w:val="center"/>
              <w:rPr>
                <w:rFonts w:hint="default" w:ascii="Times New Roman" w:hAnsi="Times New Roman" w:eastAsia="宋体" w:cs="Times New Roman"/>
                <w:color w:val="auto"/>
                <w:spacing w:val="-6"/>
                <w:kern w:val="2"/>
                <w:sz w:val="21"/>
                <w:szCs w:val="21"/>
                <w:highlight w:val="none"/>
                <w:lang w:val="en-US" w:eastAsia="zh-CN"/>
              </w:rPr>
            </w:pPr>
            <w:r>
              <w:rPr>
                <w:rFonts w:hint="eastAsia" w:ascii="Times New Roman" w:hAnsi="Times New Roman" w:eastAsia="宋体" w:cs="Times New Roman"/>
                <w:color w:val="auto"/>
                <w:spacing w:val="-6"/>
                <w:kern w:val="2"/>
                <w:sz w:val="21"/>
                <w:szCs w:val="21"/>
                <w:highlight w:val="none"/>
                <w:lang w:val="en-US" w:eastAsia="zh-CN"/>
              </w:rPr>
              <w:t>侧向</w:t>
            </w:r>
          </w:p>
        </w:tc>
      </w:tr>
    </w:tbl>
    <w:p w14:paraId="752D4444">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.2.2监测项目</w:t>
      </w:r>
    </w:p>
    <w:p w14:paraId="1D6BA2C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bookmarkStart w:id="524" w:name="_Toc204667343"/>
      <w:r>
        <w:rPr>
          <w:rFonts w:hint="eastAsia" w:ascii="Times New Roman" w:hAnsi="Times New Roman" w:eastAsia="宋体" w:cs="Times New Roman"/>
          <w:kern w:val="2"/>
          <w:sz w:val="24"/>
          <w:szCs w:val="24"/>
          <w:lang w:val="en-US" w:eastAsia="zh-CN" w:bidi="ar-SA"/>
        </w:rPr>
        <w:t>（1）</w:t>
      </w:r>
      <w:r>
        <w:rPr>
          <w:rFonts w:hint="default" w:ascii="Times New Roman" w:hAnsi="Times New Roman" w:eastAsia="宋体" w:cs="Times New Roman"/>
          <w:kern w:val="2"/>
          <w:sz w:val="24"/>
          <w:szCs w:val="24"/>
          <w:lang w:val="en-US" w:eastAsia="zh-CN" w:bidi="ar-SA"/>
        </w:rPr>
        <w:t>K</w:t>
      </w:r>
      <w:r>
        <w:rPr>
          <w:rFonts w:hint="default" w:ascii="Times New Roman" w:hAnsi="Times New Roman" w:eastAsia="宋体" w:cs="Times New Roman"/>
          <w:kern w:val="2"/>
          <w:sz w:val="24"/>
          <w:szCs w:val="24"/>
          <w:vertAlign w:val="superscript"/>
          <w:lang w:val="en-US" w:eastAsia="zh-CN" w:bidi="ar-SA"/>
        </w:rPr>
        <w:t>+</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Na</w:t>
      </w:r>
      <w:r>
        <w:rPr>
          <w:rFonts w:hint="default" w:ascii="Times New Roman" w:hAnsi="Times New Roman" w:eastAsia="宋体" w:cs="Times New Roman"/>
          <w:kern w:val="2"/>
          <w:sz w:val="24"/>
          <w:szCs w:val="24"/>
          <w:vertAlign w:val="superscript"/>
          <w:lang w:val="en-US" w:eastAsia="zh-CN" w:bidi="ar-SA"/>
        </w:rPr>
        <w:t>+</w:t>
      </w:r>
      <w:r>
        <w:rPr>
          <w:rFonts w:hint="default" w:ascii="Times New Roman" w:hAnsi="Times New Roman" w:eastAsia="宋体" w:cs="Times New Roman"/>
          <w:kern w:val="2"/>
          <w:sz w:val="24"/>
          <w:szCs w:val="24"/>
          <w:lang w:val="en-US" w:eastAsia="zh-CN" w:bidi="ar-SA"/>
        </w:rPr>
        <w:t>、Ca</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、Mg</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、CO</w:t>
      </w:r>
      <w:r>
        <w:rPr>
          <w:rFonts w:hint="default" w:ascii="Times New Roman" w:hAnsi="Times New Roman" w:eastAsia="宋体" w:cs="Times New Roman"/>
          <w:kern w:val="2"/>
          <w:sz w:val="24"/>
          <w:szCs w:val="24"/>
          <w:vertAlign w:val="subscript"/>
          <w:lang w:val="en-US" w:eastAsia="zh-CN" w:bidi="ar-SA"/>
        </w:rPr>
        <w:t>3</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、HCO</w:t>
      </w:r>
      <w:r>
        <w:rPr>
          <w:rFonts w:hint="default" w:ascii="Times New Roman" w:hAnsi="Times New Roman" w:eastAsia="宋体" w:cs="Times New Roman"/>
          <w:kern w:val="2"/>
          <w:sz w:val="24"/>
          <w:szCs w:val="24"/>
          <w:vertAlign w:val="subscript"/>
          <w:lang w:val="en-US" w:eastAsia="zh-CN" w:bidi="ar-SA"/>
        </w:rPr>
        <w:t>3</w:t>
      </w:r>
      <w:r>
        <w:rPr>
          <w:rFonts w:hint="default" w:ascii="Times New Roman" w:hAnsi="Times New Roman" w:eastAsia="宋体" w:cs="Times New Roman"/>
          <w:kern w:val="2"/>
          <w:sz w:val="24"/>
          <w:szCs w:val="24"/>
          <w:vertAlign w:val="superscript"/>
          <w:lang w:val="en-US" w:eastAsia="zh-CN" w:bidi="ar-SA"/>
        </w:rPr>
        <w:t>-</w:t>
      </w:r>
      <w:r>
        <w:rPr>
          <w:rFonts w:hint="default" w:ascii="Times New Roman" w:hAnsi="Times New Roman" w:eastAsia="宋体" w:cs="Times New Roman"/>
          <w:kern w:val="2"/>
          <w:sz w:val="24"/>
          <w:szCs w:val="24"/>
          <w:lang w:val="en-US" w:eastAsia="zh-CN" w:bidi="ar-SA"/>
        </w:rPr>
        <w:t>、Cl</w:t>
      </w:r>
      <w:r>
        <w:rPr>
          <w:rFonts w:hint="default" w:ascii="Times New Roman" w:hAnsi="Times New Roman" w:eastAsia="宋体" w:cs="Times New Roman"/>
          <w:kern w:val="2"/>
          <w:sz w:val="24"/>
          <w:szCs w:val="24"/>
          <w:vertAlign w:val="superscript"/>
          <w:lang w:val="en-US" w:eastAsia="zh-CN" w:bidi="ar-SA"/>
        </w:rPr>
        <w:t>-</w:t>
      </w:r>
      <w:r>
        <w:rPr>
          <w:rFonts w:hint="default" w:ascii="Times New Roman" w:hAnsi="Times New Roman" w:eastAsia="宋体" w:cs="Times New Roman"/>
          <w:kern w:val="2"/>
          <w:sz w:val="24"/>
          <w:szCs w:val="24"/>
          <w:lang w:val="en-US" w:eastAsia="zh-CN" w:bidi="ar-SA"/>
        </w:rPr>
        <w:t>、SO</w:t>
      </w:r>
      <w:r>
        <w:rPr>
          <w:rFonts w:hint="default" w:ascii="Times New Roman" w:hAnsi="Times New Roman" w:eastAsia="宋体" w:cs="Times New Roman"/>
          <w:kern w:val="2"/>
          <w:sz w:val="24"/>
          <w:szCs w:val="24"/>
          <w:vertAlign w:val="subscript"/>
          <w:lang w:val="en-US" w:eastAsia="zh-CN" w:bidi="ar-SA"/>
        </w:rPr>
        <w:t>4</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浓度</w:t>
      </w:r>
    </w:p>
    <w:p w14:paraId="6B1D832A">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（2）pH、总硬度、溶解性总固体、铁、锰、铜、锌、铝、挥发性酚类、阴离子表面活性剂、耗氧量、氨氮、硫化物、总大肠菌群、菌落总数共15项。</w:t>
      </w:r>
    </w:p>
    <w:p w14:paraId="3A3B119C">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.2.3监测项目结果</w:t>
      </w:r>
    </w:p>
    <w:p w14:paraId="4607EC40">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监测项目结果见下表。</w:t>
      </w:r>
    </w:p>
    <w:p w14:paraId="3938DCE7">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表4.</w:t>
      </w:r>
      <w:r>
        <w:rPr>
          <w:rFonts w:hint="eastAsia" w:ascii="Times New Roman" w:hAnsi="Times New Roman" w:eastAsia="宋体" w:cs="Times New Roman"/>
          <w:b/>
          <w:bCs/>
          <w:kern w:val="2"/>
          <w:sz w:val="24"/>
          <w:szCs w:val="24"/>
          <w:lang w:val="en-US" w:eastAsia="zh-CN" w:bidi="ar-SA"/>
        </w:rPr>
        <w:t>2</w:t>
      </w:r>
      <w:r>
        <w:rPr>
          <w:rFonts w:hint="default" w:ascii="Times New Roman" w:hAnsi="Times New Roman" w:eastAsia="宋体" w:cs="Times New Roman"/>
          <w:b/>
          <w:bCs/>
          <w:kern w:val="2"/>
          <w:sz w:val="24"/>
          <w:szCs w:val="24"/>
          <w:lang w:val="en-US" w:eastAsia="zh-CN" w:bidi="ar-SA"/>
        </w:rPr>
        <w:t>-</w:t>
      </w:r>
      <w:r>
        <w:rPr>
          <w:rFonts w:hint="eastAsia" w:ascii="Times New Roman" w:hAnsi="Times New Roman" w:eastAsia="宋体" w:cs="Times New Roman"/>
          <w:b/>
          <w:bCs/>
          <w:kern w:val="2"/>
          <w:sz w:val="24"/>
          <w:szCs w:val="24"/>
          <w:lang w:val="en-US" w:eastAsia="zh-CN" w:bidi="ar-SA"/>
        </w:rPr>
        <w:t>5</w:t>
      </w:r>
      <w:r>
        <w:rPr>
          <w:rFonts w:hint="default" w:ascii="Times New Roman" w:hAnsi="Times New Roman" w:eastAsia="宋体" w:cs="Times New Roman"/>
          <w:b/>
          <w:bCs/>
          <w:kern w:val="2"/>
          <w:sz w:val="24"/>
          <w:szCs w:val="24"/>
          <w:lang w:val="en-US" w:eastAsia="zh-CN" w:bidi="ar-SA"/>
        </w:rPr>
        <w:t>地下水监测结果及标准</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1055"/>
        <w:gridCol w:w="1452"/>
        <w:gridCol w:w="1449"/>
        <w:gridCol w:w="1440"/>
        <w:gridCol w:w="1656"/>
      </w:tblGrid>
      <w:tr w14:paraId="0D8893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1452" w:type="dxa"/>
            <w:tcBorders>
              <w:tl2br w:val="nil"/>
              <w:tr2bl w:val="nil"/>
            </w:tcBorders>
            <w:noWrap w:val="0"/>
            <w:vAlign w:val="center"/>
          </w:tcPr>
          <w:p w14:paraId="2B28CAC3">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rPr>
              <w:t>检测</w:t>
            </w:r>
            <w:r>
              <w:rPr>
                <w:rFonts w:hint="default" w:ascii="Times New Roman" w:hAnsi="Times New Roman" w:eastAsia="宋体" w:cs="Times New Roman"/>
                <w:b/>
                <w:bCs/>
                <w:color w:val="auto"/>
                <w:kern w:val="0"/>
                <w:sz w:val="21"/>
                <w:szCs w:val="21"/>
                <w:lang w:val="en-US" w:eastAsia="zh-CN"/>
              </w:rPr>
              <w:t>项目</w:t>
            </w:r>
          </w:p>
        </w:tc>
        <w:tc>
          <w:tcPr>
            <w:tcW w:w="1055" w:type="dxa"/>
            <w:tcBorders>
              <w:tl2br w:val="nil"/>
              <w:tr2bl w:val="nil"/>
            </w:tcBorders>
            <w:noWrap w:val="0"/>
            <w:vAlign w:val="center"/>
          </w:tcPr>
          <w:p w14:paraId="1B6DD24A">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单位</w:t>
            </w:r>
          </w:p>
        </w:tc>
        <w:tc>
          <w:tcPr>
            <w:tcW w:w="1452" w:type="dxa"/>
            <w:tcBorders>
              <w:tl2br w:val="nil"/>
              <w:tr2bl w:val="nil"/>
            </w:tcBorders>
            <w:noWrap w:val="0"/>
            <w:vAlign w:val="center"/>
          </w:tcPr>
          <w:p w14:paraId="7E05EC2C">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采样点1#</w:t>
            </w:r>
          </w:p>
        </w:tc>
        <w:tc>
          <w:tcPr>
            <w:tcW w:w="1449" w:type="dxa"/>
            <w:tcBorders>
              <w:tl2br w:val="nil"/>
              <w:tr2bl w:val="nil"/>
            </w:tcBorders>
            <w:noWrap w:val="0"/>
            <w:vAlign w:val="center"/>
          </w:tcPr>
          <w:p w14:paraId="19A070F7">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rPr>
              <w:t>采样点2#</w:t>
            </w:r>
          </w:p>
        </w:tc>
        <w:tc>
          <w:tcPr>
            <w:tcW w:w="1440" w:type="dxa"/>
            <w:tcBorders>
              <w:tl2br w:val="nil"/>
              <w:tr2bl w:val="nil"/>
            </w:tcBorders>
            <w:noWrap w:val="0"/>
            <w:vAlign w:val="center"/>
          </w:tcPr>
          <w:p w14:paraId="22562359">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rPr>
              <w:t>采样点3#</w:t>
            </w:r>
          </w:p>
        </w:tc>
        <w:tc>
          <w:tcPr>
            <w:tcW w:w="1656" w:type="dxa"/>
            <w:tcBorders>
              <w:tl2br w:val="nil"/>
              <w:tr2bl w:val="nil"/>
            </w:tcBorders>
            <w:noWrap w:val="0"/>
            <w:vAlign w:val="center"/>
          </w:tcPr>
          <w:p w14:paraId="7B81BD4E">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标准限值</w:t>
            </w:r>
          </w:p>
        </w:tc>
      </w:tr>
      <w:tr w14:paraId="226A5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tcBorders>
              <w:tl2br w:val="nil"/>
              <w:tr2bl w:val="nil"/>
            </w:tcBorders>
            <w:noWrap w:val="0"/>
            <w:vAlign w:val="center"/>
          </w:tcPr>
          <w:p w14:paraId="721C7F74">
            <w:pPr>
              <w:jc w:val="center"/>
              <w:rPr>
                <w:rFonts w:hint="default" w:ascii="Times New Roman" w:hAnsi="Times New Roman" w:eastAsia="宋体" w:cs="Times New Roman"/>
                <w:b w:val="0"/>
                <w:bCs/>
                <w:color w:val="auto"/>
                <w:kern w:val="2"/>
                <w:sz w:val="21"/>
                <w:szCs w:val="21"/>
                <w:lang w:val="en-US" w:eastAsia="zh-CN" w:bidi="ar"/>
              </w:rPr>
            </w:pPr>
            <w:r>
              <w:rPr>
                <w:rFonts w:ascii="Times New Roman" w:hAnsi="Times New Roman" w:eastAsia="宋体" w:cs="Times New Roman"/>
                <w:color w:val="auto"/>
                <w:szCs w:val="21"/>
              </w:rPr>
              <w:t>pH</w:t>
            </w:r>
          </w:p>
        </w:tc>
        <w:tc>
          <w:tcPr>
            <w:tcW w:w="1055" w:type="dxa"/>
            <w:tcBorders>
              <w:tl2br w:val="nil"/>
              <w:tr2bl w:val="nil"/>
            </w:tcBorders>
            <w:noWrap w:val="0"/>
            <w:vAlign w:val="center"/>
          </w:tcPr>
          <w:p w14:paraId="18A9502E">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无量纲</w:t>
            </w:r>
          </w:p>
        </w:tc>
        <w:tc>
          <w:tcPr>
            <w:tcW w:w="1452" w:type="dxa"/>
            <w:tcBorders>
              <w:tl2br w:val="nil"/>
              <w:tr2bl w:val="nil"/>
            </w:tcBorders>
            <w:noWrap w:val="0"/>
            <w:vAlign w:val="center"/>
          </w:tcPr>
          <w:p w14:paraId="54A84461">
            <w:pPr>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7.1</w:t>
            </w:r>
          </w:p>
        </w:tc>
        <w:tc>
          <w:tcPr>
            <w:tcW w:w="1449" w:type="dxa"/>
            <w:tcBorders>
              <w:tl2br w:val="nil"/>
              <w:tr2bl w:val="nil"/>
            </w:tcBorders>
            <w:noWrap w:val="0"/>
            <w:vAlign w:val="center"/>
          </w:tcPr>
          <w:p w14:paraId="7236D6FD">
            <w:pPr>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7.2</w:t>
            </w:r>
          </w:p>
        </w:tc>
        <w:tc>
          <w:tcPr>
            <w:tcW w:w="1440" w:type="dxa"/>
            <w:tcBorders>
              <w:tl2br w:val="nil"/>
              <w:tr2bl w:val="nil"/>
            </w:tcBorders>
            <w:noWrap w:val="0"/>
            <w:vAlign w:val="center"/>
          </w:tcPr>
          <w:p w14:paraId="57459017">
            <w:pPr>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7.1</w:t>
            </w:r>
          </w:p>
        </w:tc>
        <w:tc>
          <w:tcPr>
            <w:tcW w:w="1656" w:type="dxa"/>
            <w:tcBorders>
              <w:tl2br w:val="nil"/>
              <w:tr2bl w:val="nil"/>
            </w:tcBorders>
            <w:noWrap w:val="0"/>
            <w:vAlign w:val="center"/>
          </w:tcPr>
          <w:p w14:paraId="3DCA932C">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000000"/>
                <w:szCs w:val="21"/>
                <w:lang w:val="en-US" w:eastAsia="zh-CN"/>
              </w:rPr>
              <w:t>6.5-8.5</w:t>
            </w:r>
          </w:p>
        </w:tc>
      </w:tr>
      <w:tr w14:paraId="1EAB2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266CCEA0">
            <w:pPr>
              <w:jc w:val="center"/>
              <w:rPr>
                <w:rFonts w:hint="eastAsia" w:ascii="Times New Roman" w:hAnsi="Times New Roman" w:eastAsia="宋体" w:cs="Times New Roman"/>
                <w:bCs/>
                <w:color w:val="auto"/>
                <w:sz w:val="21"/>
                <w:szCs w:val="21"/>
                <w:highlight w:val="none"/>
                <w:lang w:val="en-US" w:eastAsia="zh-CN" w:bidi="ar"/>
              </w:rPr>
            </w:pPr>
            <w:r>
              <w:rPr>
                <w:rFonts w:hint="eastAsia" w:ascii="Times New Roman" w:hAnsi="Times New Roman" w:eastAsia="宋体" w:cs="Times New Roman"/>
                <w:bCs/>
                <w:color w:val="auto"/>
                <w:sz w:val="21"/>
                <w:szCs w:val="21"/>
                <w:highlight w:val="none"/>
                <w:lang w:val="en-US" w:eastAsia="zh-CN" w:bidi="ar"/>
              </w:rPr>
              <w:t>总硬度</w:t>
            </w:r>
          </w:p>
        </w:tc>
        <w:tc>
          <w:tcPr>
            <w:tcW w:w="1055" w:type="dxa"/>
            <w:vAlign w:val="center"/>
          </w:tcPr>
          <w:p w14:paraId="50C0EFF6">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0EF6A179">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lang w:val="en-US" w:eastAsia="zh-CN"/>
              </w:rPr>
              <w:t>125</w:t>
            </w:r>
          </w:p>
        </w:tc>
        <w:tc>
          <w:tcPr>
            <w:tcW w:w="1449" w:type="dxa"/>
            <w:vAlign w:val="center"/>
          </w:tcPr>
          <w:p w14:paraId="3997BFDB">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lang w:val="en-US" w:eastAsia="zh-CN"/>
              </w:rPr>
              <w:t>60</w:t>
            </w:r>
          </w:p>
        </w:tc>
        <w:tc>
          <w:tcPr>
            <w:tcW w:w="1440" w:type="dxa"/>
            <w:vAlign w:val="center"/>
          </w:tcPr>
          <w:p w14:paraId="569BD4D0">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highlight w:val="none"/>
                <w:lang w:val="en-US" w:eastAsia="zh-CN"/>
              </w:rPr>
              <w:t>52</w:t>
            </w:r>
          </w:p>
        </w:tc>
        <w:tc>
          <w:tcPr>
            <w:tcW w:w="1656" w:type="dxa"/>
            <w:vAlign w:val="center"/>
          </w:tcPr>
          <w:p w14:paraId="26E93C21">
            <w:pPr>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450</w:t>
            </w:r>
          </w:p>
        </w:tc>
      </w:tr>
      <w:tr w14:paraId="327C7F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494AB1CC">
            <w:pPr>
              <w:jc w:val="center"/>
              <w:rPr>
                <w:rFonts w:hint="default" w:ascii="Times New Roman" w:hAnsi="Times New Roman" w:eastAsia="宋体" w:cs="Times New Roman"/>
                <w:b w:val="0"/>
                <w:bCs/>
                <w:color w:val="auto"/>
                <w:kern w:val="2"/>
                <w:sz w:val="21"/>
                <w:szCs w:val="21"/>
                <w:lang w:val="en-US" w:eastAsia="zh-CN" w:bidi="ar"/>
              </w:rPr>
            </w:pPr>
            <w:r>
              <w:rPr>
                <w:rFonts w:hint="eastAsia" w:ascii="Times New Roman" w:hAnsi="Times New Roman" w:eastAsia="宋体" w:cs="Times New Roman"/>
                <w:bCs/>
                <w:color w:val="auto"/>
                <w:sz w:val="21"/>
                <w:szCs w:val="21"/>
                <w:highlight w:val="none"/>
                <w:lang w:val="en-US" w:eastAsia="zh-CN" w:bidi="ar"/>
              </w:rPr>
              <w:t>溶解性总固体</w:t>
            </w:r>
          </w:p>
        </w:tc>
        <w:tc>
          <w:tcPr>
            <w:tcW w:w="1055" w:type="dxa"/>
            <w:vAlign w:val="center"/>
          </w:tcPr>
          <w:p w14:paraId="7409799B">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mg/L</w:t>
            </w:r>
          </w:p>
        </w:tc>
        <w:tc>
          <w:tcPr>
            <w:tcW w:w="1452" w:type="dxa"/>
            <w:vAlign w:val="center"/>
          </w:tcPr>
          <w:p w14:paraId="74E99A8C">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lang w:val="en-US" w:eastAsia="zh-CN"/>
              </w:rPr>
              <w:t>607</w:t>
            </w:r>
          </w:p>
        </w:tc>
        <w:tc>
          <w:tcPr>
            <w:tcW w:w="1449" w:type="dxa"/>
            <w:vAlign w:val="center"/>
          </w:tcPr>
          <w:p w14:paraId="1E034DE1">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lang w:val="en-US" w:eastAsia="zh-CN"/>
              </w:rPr>
              <w:t>751</w:t>
            </w:r>
          </w:p>
        </w:tc>
        <w:tc>
          <w:tcPr>
            <w:tcW w:w="1440" w:type="dxa"/>
            <w:vAlign w:val="center"/>
          </w:tcPr>
          <w:p w14:paraId="7C23BD28">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618</w:t>
            </w:r>
          </w:p>
        </w:tc>
        <w:tc>
          <w:tcPr>
            <w:tcW w:w="1656" w:type="dxa"/>
            <w:vAlign w:val="center"/>
          </w:tcPr>
          <w:p w14:paraId="415E31A7">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1000</w:t>
            </w:r>
          </w:p>
        </w:tc>
      </w:tr>
      <w:tr w14:paraId="5E315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21653BA8">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硫酸盐</w:t>
            </w:r>
          </w:p>
        </w:tc>
        <w:tc>
          <w:tcPr>
            <w:tcW w:w="1055" w:type="dxa"/>
            <w:vAlign w:val="center"/>
          </w:tcPr>
          <w:p w14:paraId="1C76C28F">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mg/L</w:t>
            </w:r>
          </w:p>
        </w:tc>
        <w:tc>
          <w:tcPr>
            <w:tcW w:w="1452" w:type="dxa"/>
            <w:vAlign w:val="center"/>
          </w:tcPr>
          <w:p w14:paraId="5FA886EC">
            <w:pPr>
              <w:snapToGrid w:val="0"/>
              <w:ind w:left="72"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72.3</w:t>
            </w:r>
          </w:p>
        </w:tc>
        <w:tc>
          <w:tcPr>
            <w:tcW w:w="1449" w:type="dxa"/>
            <w:vAlign w:val="center"/>
          </w:tcPr>
          <w:p w14:paraId="675877EA">
            <w:pPr>
              <w:snapToGrid w:val="0"/>
              <w:ind w:left="72"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14.5</w:t>
            </w:r>
          </w:p>
        </w:tc>
        <w:tc>
          <w:tcPr>
            <w:tcW w:w="1440" w:type="dxa"/>
            <w:vAlign w:val="center"/>
          </w:tcPr>
          <w:p w14:paraId="1B238470">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000000"/>
                <w:szCs w:val="21"/>
                <w:lang w:val="en-US" w:eastAsia="zh-CN"/>
              </w:rPr>
              <w:t>198</w:t>
            </w:r>
          </w:p>
        </w:tc>
        <w:tc>
          <w:tcPr>
            <w:tcW w:w="1656" w:type="dxa"/>
            <w:vAlign w:val="center"/>
          </w:tcPr>
          <w:p w14:paraId="33D5ECDF">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250</w:t>
            </w:r>
          </w:p>
        </w:tc>
      </w:tr>
      <w:tr w14:paraId="27944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4F065A60">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氯化物</w:t>
            </w:r>
          </w:p>
        </w:tc>
        <w:tc>
          <w:tcPr>
            <w:tcW w:w="1055" w:type="dxa"/>
            <w:vAlign w:val="center"/>
          </w:tcPr>
          <w:p w14:paraId="78E1A3E7">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mg/L</w:t>
            </w:r>
          </w:p>
        </w:tc>
        <w:tc>
          <w:tcPr>
            <w:tcW w:w="1452" w:type="dxa"/>
            <w:vAlign w:val="center"/>
          </w:tcPr>
          <w:p w14:paraId="31BA4DDF">
            <w:pPr>
              <w:snapToGrid w:val="0"/>
              <w:ind w:left="72"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44.4</w:t>
            </w:r>
          </w:p>
        </w:tc>
        <w:tc>
          <w:tcPr>
            <w:tcW w:w="1449" w:type="dxa"/>
            <w:vAlign w:val="center"/>
          </w:tcPr>
          <w:p w14:paraId="422848FC">
            <w:pPr>
              <w:snapToGrid w:val="0"/>
              <w:ind w:left="72"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82.3</w:t>
            </w:r>
          </w:p>
        </w:tc>
        <w:tc>
          <w:tcPr>
            <w:tcW w:w="1440" w:type="dxa"/>
            <w:vAlign w:val="center"/>
          </w:tcPr>
          <w:p w14:paraId="0A79DC8E">
            <w:pPr>
              <w:snapToGrid w:val="0"/>
              <w:ind w:left="72" w:lef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73.3</w:t>
            </w:r>
          </w:p>
        </w:tc>
        <w:tc>
          <w:tcPr>
            <w:tcW w:w="1656" w:type="dxa"/>
            <w:vAlign w:val="center"/>
          </w:tcPr>
          <w:p w14:paraId="520A444A">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bCs/>
                <w:color w:val="auto"/>
                <w:sz w:val="21"/>
                <w:szCs w:val="21"/>
                <w:highlight w:val="none"/>
                <w:lang w:val="en-US" w:eastAsia="zh-CN" w:bidi="ar"/>
              </w:rPr>
              <w:t>250</w:t>
            </w:r>
          </w:p>
        </w:tc>
      </w:tr>
      <w:tr w14:paraId="7D8A6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01041661">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铁</w:t>
            </w:r>
          </w:p>
        </w:tc>
        <w:tc>
          <w:tcPr>
            <w:tcW w:w="1055" w:type="dxa"/>
            <w:vAlign w:val="center"/>
          </w:tcPr>
          <w:p w14:paraId="5ED2C4B0">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mg/L</w:t>
            </w:r>
          </w:p>
        </w:tc>
        <w:tc>
          <w:tcPr>
            <w:tcW w:w="1452" w:type="dxa"/>
            <w:vAlign w:val="center"/>
          </w:tcPr>
          <w:p w14:paraId="7F05DA2A">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0.03</w:t>
            </w:r>
          </w:p>
        </w:tc>
        <w:tc>
          <w:tcPr>
            <w:tcW w:w="1449" w:type="dxa"/>
            <w:vAlign w:val="center"/>
          </w:tcPr>
          <w:p w14:paraId="1F5205AB">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0.03</w:t>
            </w:r>
          </w:p>
        </w:tc>
        <w:tc>
          <w:tcPr>
            <w:tcW w:w="1440" w:type="dxa"/>
            <w:vAlign w:val="center"/>
          </w:tcPr>
          <w:p w14:paraId="3EDAA132">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0.03</w:t>
            </w:r>
          </w:p>
        </w:tc>
        <w:tc>
          <w:tcPr>
            <w:tcW w:w="1656" w:type="dxa"/>
            <w:vAlign w:val="center"/>
          </w:tcPr>
          <w:p w14:paraId="0B906C7B">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0.3</w:t>
            </w:r>
          </w:p>
        </w:tc>
      </w:tr>
      <w:tr w14:paraId="625D1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0103F721">
            <w:pPr>
              <w:jc w:val="center"/>
              <w:rPr>
                <w:rFonts w:hint="default" w:ascii="Times New Roman" w:hAnsi="Times New Roman" w:eastAsia="宋体" w:cs="Times New Roman"/>
                <w:bCs/>
                <w:color w:val="auto"/>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锰</w:t>
            </w:r>
          </w:p>
        </w:tc>
        <w:tc>
          <w:tcPr>
            <w:tcW w:w="1055" w:type="dxa"/>
            <w:vAlign w:val="center"/>
          </w:tcPr>
          <w:p w14:paraId="292CFE04">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448DC3A7">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0.01</w:t>
            </w:r>
          </w:p>
        </w:tc>
        <w:tc>
          <w:tcPr>
            <w:tcW w:w="1449" w:type="dxa"/>
            <w:vAlign w:val="center"/>
          </w:tcPr>
          <w:p w14:paraId="7620F404">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0.01</w:t>
            </w:r>
          </w:p>
        </w:tc>
        <w:tc>
          <w:tcPr>
            <w:tcW w:w="1440" w:type="dxa"/>
            <w:vAlign w:val="center"/>
          </w:tcPr>
          <w:p w14:paraId="6E4685C4">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0.01</w:t>
            </w:r>
          </w:p>
        </w:tc>
        <w:tc>
          <w:tcPr>
            <w:tcW w:w="1656" w:type="dxa"/>
            <w:vAlign w:val="center"/>
          </w:tcPr>
          <w:p w14:paraId="1284D2EF">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0.10</w:t>
            </w:r>
          </w:p>
        </w:tc>
      </w:tr>
      <w:tr w14:paraId="4D0CC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6B301135">
            <w:pPr>
              <w:jc w:val="center"/>
              <w:rPr>
                <w:rFonts w:hint="default" w:ascii="Times New Roman" w:hAnsi="Times New Roman" w:eastAsia="宋体" w:cs="Times New Roman"/>
                <w:bCs/>
                <w:color w:val="auto"/>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铜</w:t>
            </w:r>
          </w:p>
        </w:tc>
        <w:tc>
          <w:tcPr>
            <w:tcW w:w="1055" w:type="dxa"/>
            <w:vAlign w:val="center"/>
          </w:tcPr>
          <w:p w14:paraId="0A9509ED">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0D71DBC2">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cs="Times New Roman"/>
                <w:i w:val="0"/>
                <w:color w:val="auto"/>
                <w:kern w:val="0"/>
                <w:sz w:val="21"/>
                <w:szCs w:val="21"/>
                <w:highlight w:val="none"/>
                <w:u w:val="none"/>
                <w:lang w:val="en-US" w:eastAsia="zh-CN" w:bidi="ar"/>
              </w:rPr>
              <w:t>0.00</w:t>
            </w:r>
            <w:r>
              <w:rPr>
                <w:rFonts w:hint="eastAsia" w:eastAsia="宋体" w:cs="Times New Roman"/>
                <w:i w:val="0"/>
                <w:color w:val="auto"/>
                <w:kern w:val="0"/>
                <w:sz w:val="21"/>
                <w:szCs w:val="21"/>
                <w:highlight w:val="none"/>
                <w:u w:val="none"/>
                <w:lang w:val="en-US" w:eastAsia="zh-CN" w:bidi="ar"/>
              </w:rPr>
              <w:t>1</w:t>
            </w:r>
          </w:p>
        </w:tc>
        <w:tc>
          <w:tcPr>
            <w:tcW w:w="1449" w:type="dxa"/>
            <w:vAlign w:val="center"/>
          </w:tcPr>
          <w:p w14:paraId="0D3D2AFC">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cs="Times New Roman"/>
                <w:i w:val="0"/>
                <w:color w:val="auto"/>
                <w:kern w:val="0"/>
                <w:sz w:val="21"/>
                <w:szCs w:val="21"/>
                <w:highlight w:val="none"/>
                <w:u w:val="none"/>
                <w:lang w:val="en-US" w:eastAsia="zh-CN" w:bidi="ar"/>
              </w:rPr>
              <w:t>0.00</w:t>
            </w:r>
            <w:r>
              <w:rPr>
                <w:rFonts w:hint="eastAsia" w:eastAsia="宋体" w:cs="Times New Roman"/>
                <w:i w:val="0"/>
                <w:color w:val="auto"/>
                <w:kern w:val="0"/>
                <w:sz w:val="21"/>
                <w:szCs w:val="21"/>
                <w:highlight w:val="none"/>
                <w:u w:val="none"/>
                <w:lang w:val="en-US" w:eastAsia="zh-CN" w:bidi="ar"/>
              </w:rPr>
              <w:t>1</w:t>
            </w:r>
          </w:p>
        </w:tc>
        <w:tc>
          <w:tcPr>
            <w:tcW w:w="1440" w:type="dxa"/>
            <w:vAlign w:val="center"/>
          </w:tcPr>
          <w:p w14:paraId="42707BDA">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cs="Times New Roman"/>
                <w:i w:val="0"/>
                <w:color w:val="auto"/>
                <w:kern w:val="0"/>
                <w:sz w:val="21"/>
                <w:szCs w:val="21"/>
                <w:highlight w:val="none"/>
                <w:u w:val="none"/>
                <w:lang w:val="en-US" w:eastAsia="zh-CN" w:bidi="ar"/>
              </w:rPr>
              <w:t>0.00</w:t>
            </w:r>
            <w:r>
              <w:rPr>
                <w:rFonts w:hint="eastAsia" w:eastAsia="宋体" w:cs="Times New Roman"/>
                <w:i w:val="0"/>
                <w:color w:val="auto"/>
                <w:kern w:val="0"/>
                <w:sz w:val="21"/>
                <w:szCs w:val="21"/>
                <w:highlight w:val="none"/>
                <w:u w:val="none"/>
                <w:lang w:val="en-US" w:eastAsia="zh-CN" w:bidi="ar"/>
              </w:rPr>
              <w:t>1</w:t>
            </w:r>
          </w:p>
        </w:tc>
        <w:tc>
          <w:tcPr>
            <w:tcW w:w="1656" w:type="dxa"/>
            <w:vAlign w:val="center"/>
          </w:tcPr>
          <w:p w14:paraId="5F556C9E">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1.00</w:t>
            </w:r>
          </w:p>
        </w:tc>
      </w:tr>
      <w:tr w14:paraId="4B2C5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3B0888E4">
            <w:pPr>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eastAsia="宋体" w:cs="Times New Roman"/>
                <w:bCs/>
                <w:color w:val="auto"/>
                <w:sz w:val="21"/>
                <w:szCs w:val="21"/>
                <w:highlight w:val="none"/>
                <w:lang w:val="en-US" w:eastAsia="zh-CN" w:bidi="ar"/>
              </w:rPr>
              <w:t>锌</w:t>
            </w:r>
          </w:p>
        </w:tc>
        <w:tc>
          <w:tcPr>
            <w:tcW w:w="1055" w:type="dxa"/>
            <w:vAlign w:val="center"/>
          </w:tcPr>
          <w:p w14:paraId="78EF4231">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12060648">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w:t>
            </w:r>
            <w:r>
              <w:rPr>
                <w:rFonts w:hint="eastAsia" w:cs="Times New Roman"/>
                <w:i w:val="0"/>
                <w:color w:val="auto"/>
                <w:kern w:val="0"/>
                <w:sz w:val="21"/>
                <w:szCs w:val="21"/>
                <w:highlight w:val="none"/>
                <w:u w:val="none"/>
                <w:lang w:val="en-US" w:eastAsia="zh-CN" w:bidi="ar"/>
              </w:rPr>
              <w:t>2</w:t>
            </w:r>
          </w:p>
        </w:tc>
        <w:tc>
          <w:tcPr>
            <w:tcW w:w="1449" w:type="dxa"/>
            <w:vAlign w:val="center"/>
          </w:tcPr>
          <w:p w14:paraId="7A0D63A9">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w:t>
            </w:r>
            <w:r>
              <w:rPr>
                <w:rFonts w:hint="eastAsia" w:cs="Times New Roman"/>
                <w:i w:val="0"/>
                <w:color w:val="auto"/>
                <w:kern w:val="0"/>
                <w:sz w:val="21"/>
                <w:szCs w:val="21"/>
                <w:highlight w:val="none"/>
                <w:u w:val="none"/>
                <w:lang w:val="en-US" w:eastAsia="zh-CN" w:bidi="ar"/>
              </w:rPr>
              <w:t>2</w:t>
            </w:r>
          </w:p>
        </w:tc>
        <w:tc>
          <w:tcPr>
            <w:tcW w:w="1440" w:type="dxa"/>
            <w:vAlign w:val="center"/>
          </w:tcPr>
          <w:p w14:paraId="78049410">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w:t>
            </w:r>
            <w:r>
              <w:rPr>
                <w:rFonts w:hint="eastAsia" w:cs="Times New Roman"/>
                <w:i w:val="0"/>
                <w:color w:val="auto"/>
                <w:kern w:val="0"/>
                <w:sz w:val="21"/>
                <w:szCs w:val="21"/>
                <w:highlight w:val="none"/>
                <w:u w:val="none"/>
                <w:lang w:val="en-US" w:eastAsia="zh-CN" w:bidi="ar"/>
              </w:rPr>
              <w:t>2</w:t>
            </w:r>
          </w:p>
        </w:tc>
        <w:tc>
          <w:tcPr>
            <w:tcW w:w="1656" w:type="dxa"/>
            <w:vAlign w:val="center"/>
          </w:tcPr>
          <w:p w14:paraId="1F08CFE0">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1.00</w:t>
            </w:r>
          </w:p>
        </w:tc>
      </w:tr>
      <w:tr w14:paraId="647B6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48C34F8D">
            <w:pPr>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eastAsia="宋体" w:cs="Times New Roman"/>
                <w:bCs/>
                <w:color w:val="auto"/>
                <w:sz w:val="21"/>
                <w:szCs w:val="21"/>
                <w:highlight w:val="none"/>
                <w:lang w:val="en-US" w:eastAsia="zh-CN" w:bidi="ar"/>
              </w:rPr>
              <w:t>铝</w:t>
            </w:r>
          </w:p>
        </w:tc>
        <w:tc>
          <w:tcPr>
            <w:tcW w:w="1055" w:type="dxa"/>
            <w:vAlign w:val="center"/>
          </w:tcPr>
          <w:p w14:paraId="6C682B73">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0AD4E7F6">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0.00</w:t>
            </w:r>
            <w:r>
              <w:rPr>
                <w:rFonts w:hint="eastAsia" w:cs="Times New Roman"/>
                <w:i w:val="0"/>
                <w:color w:val="auto"/>
                <w:kern w:val="0"/>
                <w:sz w:val="21"/>
                <w:szCs w:val="21"/>
                <w:highlight w:val="none"/>
                <w:u w:val="none"/>
                <w:lang w:val="en-US" w:eastAsia="zh-CN" w:bidi="ar"/>
              </w:rPr>
              <w:t>8</w:t>
            </w:r>
          </w:p>
        </w:tc>
        <w:tc>
          <w:tcPr>
            <w:tcW w:w="1449" w:type="dxa"/>
            <w:vAlign w:val="center"/>
          </w:tcPr>
          <w:p w14:paraId="7319BB3C">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0.00</w:t>
            </w:r>
            <w:r>
              <w:rPr>
                <w:rFonts w:hint="eastAsia" w:cs="Times New Roman"/>
                <w:i w:val="0"/>
                <w:color w:val="auto"/>
                <w:kern w:val="0"/>
                <w:sz w:val="21"/>
                <w:szCs w:val="21"/>
                <w:highlight w:val="none"/>
                <w:u w:val="none"/>
                <w:lang w:val="en-US" w:eastAsia="zh-CN" w:bidi="ar"/>
              </w:rPr>
              <w:t>8</w:t>
            </w:r>
          </w:p>
        </w:tc>
        <w:tc>
          <w:tcPr>
            <w:tcW w:w="1440" w:type="dxa"/>
            <w:vAlign w:val="center"/>
          </w:tcPr>
          <w:p w14:paraId="6DD4866F">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0.00</w:t>
            </w:r>
            <w:r>
              <w:rPr>
                <w:rFonts w:hint="eastAsia" w:cs="Times New Roman"/>
                <w:i w:val="0"/>
                <w:color w:val="auto"/>
                <w:kern w:val="0"/>
                <w:sz w:val="21"/>
                <w:szCs w:val="21"/>
                <w:highlight w:val="none"/>
                <w:u w:val="none"/>
                <w:lang w:val="en-US" w:eastAsia="zh-CN" w:bidi="ar"/>
              </w:rPr>
              <w:t>8</w:t>
            </w:r>
          </w:p>
        </w:tc>
        <w:tc>
          <w:tcPr>
            <w:tcW w:w="1656" w:type="dxa"/>
            <w:vAlign w:val="center"/>
          </w:tcPr>
          <w:p w14:paraId="1E9AD949">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0.20</w:t>
            </w:r>
          </w:p>
        </w:tc>
      </w:tr>
      <w:tr w14:paraId="39AEA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5F480A34">
            <w:pPr>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eastAsia="宋体" w:cs="Times New Roman"/>
                <w:bCs/>
                <w:color w:val="auto"/>
                <w:sz w:val="21"/>
                <w:szCs w:val="21"/>
                <w:highlight w:val="none"/>
                <w:lang w:val="en-US" w:eastAsia="zh-CN" w:bidi="ar"/>
              </w:rPr>
              <w:t>挥发酚</w:t>
            </w:r>
          </w:p>
        </w:tc>
        <w:tc>
          <w:tcPr>
            <w:tcW w:w="1055" w:type="dxa"/>
            <w:vAlign w:val="center"/>
          </w:tcPr>
          <w:p w14:paraId="12EE3A8D">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2DA1EF19">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0.0003</w:t>
            </w:r>
          </w:p>
        </w:tc>
        <w:tc>
          <w:tcPr>
            <w:tcW w:w="1449" w:type="dxa"/>
            <w:vAlign w:val="center"/>
          </w:tcPr>
          <w:p w14:paraId="63D846A8">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0.0003</w:t>
            </w:r>
          </w:p>
        </w:tc>
        <w:tc>
          <w:tcPr>
            <w:tcW w:w="1440" w:type="dxa"/>
            <w:vAlign w:val="center"/>
          </w:tcPr>
          <w:p w14:paraId="6E7BA916">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0.0003</w:t>
            </w:r>
          </w:p>
        </w:tc>
        <w:tc>
          <w:tcPr>
            <w:tcW w:w="1656" w:type="dxa"/>
            <w:vAlign w:val="center"/>
          </w:tcPr>
          <w:p w14:paraId="23B892CF">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0.002</w:t>
            </w:r>
          </w:p>
        </w:tc>
      </w:tr>
      <w:tr w14:paraId="39589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16A5141A">
            <w:pPr>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eastAsia="宋体" w:cs="Times New Roman"/>
                <w:bCs/>
                <w:color w:val="auto"/>
                <w:sz w:val="21"/>
                <w:szCs w:val="21"/>
                <w:highlight w:val="none"/>
                <w:lang w:val="en-US" w:eastAsia="zh-CN" w:bidi="ar"/>
              </w:rPr>
              <w:t>阴离子表面活性剂</w:t>
            </w:r>
          </w:p>
        </w:tc>
        <w:tc>
          <w:tcPr>
            <w:tcW w:w="1055" w:type="dxa"/>
            <w:vAlign w:val="center"/>
          </w:tcPr>
          <w:p w14:paraId="182A61F9">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099CBB03">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0.05</w:t>
            </w:r>
          </w:p>
        </w:tc>
        <w:tc>
          <w:tcPr>
            <w:tcW w:w="1449" w:type="dxa"/>
            <w:vAlign w:val="center"/>
          </w:tcPr>
          <w:p w14:paraId="6328916E">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0.05</w:t>
            </w:r>
          </w:p>
        </w:tc>
        <w:tc>
          <w:tcPr>
            <w:tcW w:w="1440" w:type="dxa"/>
            <w:vAlign w:val="center"/>
          </w:tcPr>
          <w:p w14:paraId="48270300">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eastAsia="宋体" w:cs="Times New Roman"/>
                <w:i w:val="0"/>
                <w:color w:val="auto"/>
                <w:kern w:val="0"/>
                <w:sz w:val="21"/>
                <w:szCs w:val="21"/>
                <w:highlight w:val="none"/>
                <w:u w:val="none"/>
                <w:lang w:val="en-US" w:eastAsia="zh-CN" w:bidi="ar"/>
              </w:rPr>
              <w:t>0.05</w:t>
            </w:r>
          </w:p>
        </w:tc>
        <w:tc>
          <w:tcPr>
            <w:tcW w:w="1656" w:type="dxa"/>
            <w:vAlign w:val="center"/>
          </w:tcPr>
          <w:p w14:paraId="329FFC97">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0.3</w:t>
            </w:r>
          </w:p>
        </w:tc>
      </w:tr>
      <w:tr w14:paraId="3A989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5E73D579">
            <w:pPr>
              <w:jc w:val="center"/>
              <w:rPr>
                <w:rFonts w:hint="default" w:ascii="Times New Roman" w:hAnsi="Times New Roman" w:eastAsia="宋体" w:cs="Times New Roman"/>
                <w:bCs/>
                <w:color w:val="auto"/>
                <w:kern w:val="0"/>
                <w:sz w:val="21"/>
                <w:szCs w:val="24"/>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耗氧量（高锰酸盐指数）</w:t>
            </w:r>
          </w:p>
        </w:tc>
        <w:tc>
          <w:tcPr>
            <w:tcW w:w="1055" w:type="dxa"/>
            <w:vAlign w:val="center"/>
          </w:tcPr>
          <w:p w14:paraId="101C32C5">
            <w:pPr>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mg/L</w:t>
            </w:r>
          </w:p>
        </w:tc>
        <w:tc>
          <w:tcPr>
            <w:tcW w:w="1452" w:type="dxa"/>
            <w:vAlign w:val="center"/>
          </w:tcPr>
          <w:p w14:paraId="45D2C767">
            <w:pPr>
              <w:snapToGrid w:val="0"/>
              <w:ind w:left="72" w:leftChars="0"/>
              <w:jc w:val="center"/>
              <w:rPr>
                <w:rFonts w:hint="default" w:ascii="Times New Roman" w:hAnsi="Times New Roman" w:eastAsia="宋体" w:cs="Times New Roman"/>
                <w:color w:val="000000"/>
                <w:szCs w:val="21"/>
                <w:highlight w:val="none"/>
                <w:lang w:val="en-US" w:eastAsia="zh-CN"/>
              </w:rPr>
            </w:pPr>
            <w:r>
              <w:rPr>
                <w:rFonts w:hint="eastAsia" w:cs="Times New Roman"/>
                <w:color w:val="auto"/>
                <w:sz w:val="21"/>
                <w:szCs w:val="21"/>
                <w:highlight w:val="none"/>
                <w:lang w:val="en-US" w:eastAsia="zh-CN"/>
              </w:rPr>
              <w:t>0.5</w:t>
            </w:r>
          </w:p>
        </w:tc>
        <w:tc>
          <w:tcPr>
            <w:tcW w:w="1449" w:type="dxa"/>
            <w:vAlign w:val="center"/>
          </w:tcPr>
          <w:p w14:paraId="6AD1B32D">
            <w:pPr>
              <w:snapToGrid w:val="0"/>
              <w:ind w:left="72" w:leftChars="0"/>
              <w:jc w:val="center"/>
              <w:rPr>
                <w:rFonts w:hint="default" w:ascii="Times New Roman" w:hAnsi="Times New Roman" w:eastAsia="宋体" w:cs="Times New Roman"/>
                <w:color w:val="000000"/>
                <w:szCs w:val="21"/>
                <w:highlight w:val="none"/>
                <w:lang w:val="en-US" w:eastAsia="zh-CN"/>
              </w:rPr>
            </w:pPr>
            <w:r>
              <w:rPr>
                <w:rFonts w:hint="eastAsia" w:cs="Times New Roman"/>
                <w:color w:val="auto"/>
                <w:sz w:val="21"/>
                <w:szCs w:val="21"/>
                <w:highlight w:val="none"/>
                <w:lang w:val="en-US" w:eastAsia="zh-CN"/>
              </w:rPr>
              <w:t>0.3</w:t>
            </w:r>
          </w:p>
        </w:tc>
        <w:tc>
          <w:tcPr>
            <w:tcW w:w="1440" w:type="dxa"/>
            <w:vAlign w:val="center"/>
          </w:tcPr>
          <w:p w14:paraId="1E7243E2">
            <w:pPr>
              <w:snapToGrid w:val="0"/>
              <w:ind w:left="72" w:leftChars="0"/>
              <w:jc w:val="center"/>
              <w:rPr>
                <w:rFonts w:hint="default" w:ascii="Times New Roman" w:hAnsi="Times New Roman" w:eastAsia="宋体" w:cs="Times New Roman"/>
                <w:color w:val="000000"/>
                <w:szCs w:val="21"/>
                <w:highlight w:val="none"/>
                <w:lang w:val="en-US" w:eastAsia="zh-CN"/>
              </w:rPr>
            </w:pPr>
            <w:r>
              <w:rPr>
                <w:rFonts w:hint="eastAsia" w:cs="Times New Roman"/>
                <w:color w:val="auto"/>
                <w:sz w:val="21"/>
                <w:szCs w:val="21"/>
                <w:highlight w:val="none"/>
                <w:lang w:val="en-US" w:eastAsia="zh-CN"/>
              </w:rPr>
              <w:t>0.6</w:t>
            </w:r>
          </w:p>
        </w:tc>
        <w:tc>
          <w:tcPr>
            <w:tcW w:w="1656" w:type="dxa"/>
            <w:vAlign w:val="center"/>
          </w:tcPr>
          <w:p w14:paraId="7D26BD73">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3.0</w:t>
            </w:r>
          </w:p>
        </w:tc>
      </w:tr>
      <w:tr w14:paraId="22E60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669281F1">
            <w:pPr>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eastAsia="宋体" w:cs="Times New Roman"/>
                <w:bCs/>
                <w:color w:val="auto"/>
                <w:sz w:val="21"/>
                <w:szCs w:val="21"/>
                <w:highlight w:val="none"/>
                <w:lang w:val="en-US" w:eastAsia="zh-CN" w:bidi="ar"/>
              </w:rPr>
              <w:t>氨氮</w:t>
            </w:r>
          </w:p>
        </w:tc>
        <w:tc>
          <w:tcPr>
            <w:tcW w:w="1055" w:type="dxa"/>
            <w:vAlign w:val="center"/>
          </w:tcPr>
          <w:p w14:paraId="04C57438">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mg/L</w:t>
            </w:r>
          </w:p>
        </w:tc>
        <w:tc>
          <w:tcPr>
            <w:tcW w:w="1452" w:type="dxa"/>
            <w:vAlign w:val="center"/>
          </w:tcPr>
          <w:p w14:paraId="000CCE2D">
            <w:pPr>
              <w:snapToGrid w:val="0"/>
              <w:ind w:left="72" w:leftChars="0"/>
              <w:jc w:val="center"/>
              <w:rPr>
                <w:rFonts w:hint="default" w:ascii="Times New Roman" w:hAnsi="Times New Roman" w:eastAsia="宋体" w:cs="Times New Roman"/>
                <w:color w:val="000000"/>
                <w:szCs w:val="21"/>
                <w:lang w:val="en-US" w:eastAsia="zh-CN"/>
              </w:rPr>
            </w:pPr>
            <w:r>
              <w:rPr>
                <w:rFonts w:hint="eastAsia" w:eastAsia="宋体" w:cs="Times New Roman"/>
                <w:color w:val="auto"/>
                <w:sz w:val="21"/>
                <w:szCs w:val="21"/>
                <w:lang w:val="en-US" w:eastAsia="zh-CN"/>
              </w:rPr>
              <w:t>0.</w:t>
            </w:r>
            <w:r>
              <w:rPr>
                <w:rFonts w:hint="eastAsia" w:cs="Times New Roman"/>
                <w:color w:val="auto"/>
                <w:sz w:val="21"/>
                <w:szCs w:val="21"/>
                <w:lang w:val="en-US" w:eastAsia="zh-CN"/>
              </w:rPr>
              <w:t>154</w:t>
            </w:r>
          </w:p>
        </w:tc>
        <w:tc>
          <w:tcPr>
            <w:tcW w:w="1449" w:type="dxa"/>
            <w:vAlign w:val="center"/>
          </w:tcPr>
          <w:p w14:paraId="752E060A">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lang w:val="en-US" w:eastAsia="zh-CN"/>
              </w:rPr>
              <w:t>0.289</w:t>
            </w:r>
          </w:p>
        </w:tc>
        <w:tc>
          <w:tcPr>
            <w:tcW w:w="1440" w:type="dxa"/>
            <w:vAlign w:val="center"/>
          </w:tcPr>
          <w:p w14:paraId="6C8F5775">
            <w:pPr>
              <w:snapToGrid w:val="0"/>
              <w:ind w:left="72" w:leftChars="0"/>
              <w:jc w:val="center"/>
              <w:rPr>
                <w:rFonts w:hint="default" w:ascii="Times New Roman" w:hAnsi="Times New Roman" w:eastAsia="宋体" w:cs="Times New Roman"/>
                <w:color w:val="000000"/>
                <w:szCs w:val="21"/>
                <w:lang w:val="en-US" w:eastAsia="zh-CN"/>
              </w:rPr>
            </w:pPr>
            <w:r>
              <w:rPr>
                <w:rFonts w:hint="eastAsia" w:eastAsia="宋体" w:cs="Times New Roman"/>
                <w:color w:val="auto"/>
                <w:sz w:val="21"/>
                <w:szCs w:val="21"/>
                <w:lang w:val="en-US" w:eastAsia="zh-CN"/>
              </w:rPr>
              <w:t>0.</w:t>
            </w:r>
            <w:r>
              <w:rPr>
                <w:rFonts w:hint="eastAsia" w:cs="Times New Roman"/>
                <w:color w:val="auto"/>
                <w:sz w:val="21"/>
                <w:szCs w:val="21"/>
                <w:lang w:val="en-US" w:eastAsia="zh-CN"/>
              </w:rPr>
              <w:t>164</w:t>
            </w:r>
          </w:p>
        </w:tc>
        <w:tc>
          <w:tcPr>
            <w:tcW w:w="1656" w:type="dxa"/>
            <w:vAlign w:val="center"/>
          </w:tcPr>
          <w:p w14:paraId="721B552F">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0.50</w:t>
            </w:r>
          </w:p>
        </w:tc>
      </w:tr>
      <w:tr w14:paraId="74D94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6A38A188">
            <w:pPr>
              <w:jc w:val="center"/>
              <w:rPr>
                <w:rFonts w:hint="default" w:ascii="Times New Roman" w:hAnsi="Times New Roman" w:eastAsia="宋体" w:cs="Times New Roman"/>
                <w:bCs/>
                <w:color w:val="auto"/>
                <w:kern w:val="0"/>
                <w:sz w:val="21"/>
                <w:szCs w:val="24"/>
                <w:lang w:val="en-US" w:eastAsia="zh-CN"/>
              </w:rPr>
            </w:pPr>
            <w:r>
              <w:rPr>
                <w:rFonts w:hint="eastAsia" w:ascii="Times New Roman" w:hAnsi="Times New Roman" w:eastAsia="宋体" w:cs="Times New Roman"/>
                <w:bCs/>
                <w:color w:val="auto"/>
                <w:sz w:val="21"/>
                <w:szCs w:val="21"/>
                <w:highlight w:val="none"/>
                <w:lang w:val="en-US" w:eastAsia="zh-CN" w:bidi="ar"/>
              </w:rPr>
              <w:t>硫化物</w:t>
            </w:r>
          </w:p>
        </w:tc>
        <w:tc>
          <w:tcPr>
            <w:tcW w:w="1055" w:type="dxa"/>
            <w:vAlign w:val="center"/>
          </w:tcPr>
          <w:p w14:paraId="036B60BA">
            <w:pPr>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mg/L</w:t>
            </w:r>
          </w:p>
        </w:tc>
        <w:tc>
          <w:tcPr>
            <w:tcW w:w="1452" w:type="dxa"/>
            <w:vAlign w:val="center"/>
          </w:tcPr>
          <w:p w14:paraId="257B92CE">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0.003</w:t>
            </w:r>
          </w:p>
        </w:tc>
        <w:tc>
          <w:tcPr>
            <w:tcW w:w="1449" w:type="dxa"/>
            <w:vAlign w:val="center"/>
          </w:tcPr>
          <w:p w14:paraId="5DF56217">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0.003</w:t>
            </w:r>
          </w:p>
        </w:tc>
        <w:tc>
          <w:tcPr>
            <w:tcW w:w="1440" w:type="dxa"/>
            <w:vAlign w:val="center"/>
          </w:tcPr>
          <w:p w14:paraId="1ECF0D51">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0.003</w:t>
            </w:r>
          </w:p>
        </w:tc>
        <w:tc>
          <w:tcPr>
            <w:tcW w:w="1656" w:type="dxa"/>
            <w:vAlign w:val="center"/>
          </w:tcPr>
          <w:p w14:paraId="0709BDB5">
            <w:pPr>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0.02</w:t>
            </w:r>
          </w:p>
        </w:tc>
      </w:tr>
      <w:tr w14:paraId="18FF2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2C2EA254">
            <w:pPr>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钠</w:t>
            </w:r>
          </w:p>
        </w:tc>
        <w:tc>
          <w:tcPr>
            <w:tcW w:w="1055" w:type="dxa"/>
            <w:vAlign w:val="center"/>
          </w:tcPr>
          <w:p w14:paraId="2C1CF907">
            <w:pPr>
              <w:jc w:val="center"/>
              <w:rPr>
                <w:rFonts w:hint="default" w:ascii="Times New Roman" w:hAnsi="Times New Roman" w:eastAsia="宋体" w:cs="Times New Roman"/>
                <w:color w:val="auto"/>
                <w:kern w:val="2"/>
                <w:sz w:val="21"/>
                <w:szCs w:val="21"/>
              </w:rPr>
            </w:pPr>
            <w:r>
              <w:rPr>
                <w:rFonts w:ascii="Times New Roman" w:hAnsi="Times New Roman" w:eastAsia="宋体" w:cs="Times New Roman"/>
                <w:color w:val="000000"/>
                <w:szCs w:val="21"/>
              </w:rPr>
              <w:t>mg/L</w:t>
            </w:r>
          </w:p>
        </w:tc>
        <w:tc>
          <w:tcPr>
            <w:tcW w:w="1452" w:type="dxa"/>
            <w:vAlign w:val="center"/>
          </w:tcPr>
          <w:p w14:paraId="75A6DD70">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99.1</w:t>
            </w:r>
          </w:p>
        </w:tc>
        <w:tc>
          <w:tcPr>
            <w:tcW w:w="1449" w:type="dxa"/>
            <w:vAlign w:val="center"/>
          </w:tcPr>
          <w:p w14:paraId="16FF1359">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highlight w:val="none"/>
                <w:lang w:val="en-US" w:eastAsia="zh-CN"/>
              </w:rPr>
              <w:t>139</w:t>
            </w:r>
          </w:p>
        </w:tc>
        <w:tc>
          <w:tcPr>
            <w:tcW w:w="1440" w:type="dxa"/>
            <w:vAlign w:val="center"/>
          </w:tcPr>
          <w:p w14:paraId="5F2C459B">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color w:val="auto"/>
                <w:sz w:val="21"/>
                <w:szCs w:val="21"/>
                <w:highlight w:val="none"/>
                <w:lang w:val="en-US" w:eastAsia="zh-CN"/>
              </w:rPr>
              <w:t>166</w:t>
            </w:r>
          </w:p>
        </w:tc>
        <w:tc>
          <w:tcPr>
            <w:tcW w:w="1656" w:type="dxa"/>
            <w:vAlign w:val="center"/>
          </w:tcPr>
          <w:p w14:paraId="16EF3BA4">
            <w:pPr>
              <w:jc w:val="center"/>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200</w:t>
            </w:r>
          </w:p>
        </w:tc>
      </w:tr>
      <w:tr w14:paraId="494A4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70077AB5">
            <w:pPr>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总大肠菌群</w:t>
            </w:r>
          </w:p>
        </w:tc>
        <w:tc>
          <w:tcPr>
            <w:tcW w:w="1055" w:type="dxa"/>
            <w:vAlign w:val="center"/>
          </w:tcPr>
          <w:p w14:paraId="6BA94022">
            <w:pPr>
              <w:spacing w:line="240" w:lineRule="auto"/>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MPN</w:t>
            </w:r>
            <w:r>
              <w:rPr>
                <w:rFonts w:hint="default" w:ascii="Times New Roman" w:hAnsi="Times New Roman" w:eastAsia="宋体" w:cs="Times New Roman"/>
                <w:color w:val="auto"/>
                <w:kern w:val="2"/>
                <w:sz w:val="21"/>
                <w:szCs w:val="21"/>
              </w:rPr>
              <w:t>/</w:t>
            </w:r>
            <w:r>
              <w:rPr>
                <w:rFonts w:hint="eastAsia" w:eastAsia="宋体" w:cs="Times New Roman"/>
                <w:color w:val="000000"/>
                <w:szCs w:val="21"/>
                <w:highlight w:val="none"/>
                <w:lang w:val="en-US" w:eastAsia="zh-CN"/>
              </w:rPr>
              <w:t>100mL</w:t>
            </w:r>
          </w:p>
        </w:tc>
        <w:tc>
          <w:tcPr>
            <w:tcW w:w="1452" w:type="dxa"/>
            <w:vAlign w:val="center"/>
          </w:tcPr>
          <w:p w14:paraId="7C67DF2C">
            <w:pPr>
              <w:snapToGrid w:val="0"/>
              <w:ind w:left="72" w:leftChars="0"/>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cs="Times New Roman"/>
                <w:i w:val="0"/>
                <w:color w:val="auto"/>
                <w:kern w:val="0"/>
                <w:sz w:val="21"/>
                <w:szCs w:val="21"/>
                <w:highlight w:val="none"/>
                <w:u w:val="none"/>
                <w:lang w:val="en-US" w:eastAsia="zh-CN" w:bidi="ar"/>
              </w:rPr>
              <w:t>1</w:t>
            </w:r>
          </w:p>
        </w:tc>
        <w:tc>
          <w:tcPr>
            <w:tcW w:w="1449" w:type="dxa"/>
            <w:vAlign w:val="center"/>
          </w:tcPr>
          <w:p w14:paraId="29CC9679">
            <w:pPr>
              <w:snapToGrid w:val="0"/>
              <w:ind w:left="72" w:leftChars="0"/>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cs="Times New Roman"/>
                <w:i w:val="0"/>
                <w:color w:val="auto"/>
                <w:kern w:val="0"/>
                <w:sz w:val="21"/>
                <w:szCs w:val="21"/>
                <w:highlight w:val="none"/>
                <w:u w:val="none"/>
                <w:lang w:val="en-US" w:eastAsia="zh-CN" w:bidi="ar"/>
              </w:rPr>
              <w:t>1</w:t>
            </w:r>
          </w:p>
        </w:tc>
        <w:tc>
          <w:tcPr>
            <w:tcW w:w="1440" w:type="dxa"/>
            <w:vAlign w:val="center"/>
          </w:tcPr>
          <w:p w14:paraId="19D5697C">
            <w:pPr>
              <w:snapToGrid w:val="0"/>
              <w:ind w:left="72" w:leftChars="0"/>
              <w:jc w:val="center"/>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cs="Times New Roman"/>
                <w:i w:val="0"/>
                <w:color w:val="auto"/>
                <w:kern w:val="0"/>
                <w:sz w:val="21"/>
                <w:szCs w:val="21"/>
                <w:highlight w:val="none"/>
                <w:u w:val="none"/>
                <w:lang w:val="en-US" w:eastAsia="zh-CN" w:bidi="ar"/>
              </w:rPr>
              <w:t>1</w:t>
            </w:r>
          </w:p>
        </w:tc>
        <w:tc>
          <w:tcPr>
            <w:tcW w:w="1656" w:type="dxa"/>
            <w:vAlign w:val="center"/>
          </w:tcPr>
          <w:p w14:paraId="6FD0378C">
            <w:pPr>
              <w:jc w:val="center"/>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3.0</w:t>
            </w:r>
            <w:r>
              <w:rPr>
                <w:rFonts w:hint="eastAsia" w:eastAsia="宋体" w:cs="Times New Roman"/>
                <w:color w:val="000000"/>
                <w:szCs w:val="21"/>
                <w:highlight w:val="none"/>
                <w:lang w:val="en-US" w:eastAsia="zh-CN"/>
              </w:rPr>
              <w:t>MPN/100mL</w:t>
            </w:r>
          </w:p>
        </w:tc>
      </w:tr>
      <w:tr w14:paraId="1DC19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1782CA4E">
            <w:pPr>
              <w:jc w:val="center"/>
              <w:rPr>
                <w:rFonts w:hint="default" w:ascii="Times New Roman" w:hAnsi="Times New Roman" w:eastAsia="宋体" w:cs="Times New Roman"/>
                <w:bCs/>
                <w:color w:val="auto"/>
                <w:sz w:val="21"/>
                <w:szCs w:val="21"/>
                <w:highlight w:val="none"/>
                <w:lang w:val="en-US" w:eastAsia="zh-CN" w:bidi="ar"/>
              </w:rPr>
            </w:pPr>
            <w:r>
              <w:rPr>
                <w:rFonts w:hint="eastAsia" w:ascii="Times New Roman" w:hAnsi="Times New Roman" w:eastAsia="宋体" w:cs="Times New Roman"/>
                <w:bCs/>
                <w:color w:val="auto"/>
                <w:sz w:val="21"/>
                <w:szCs w:val="21"/>
                <w:highlight w:val="none"/>
                <w:lang w:val="en-US" w:eastAsia="zh-CN" w:bidi="ar"/>
              </w:rPr>
              <w:t>菌落总数</w:t>
            </w:r>
          </w:p>
        </w:tc>
        <w:tc>
          <w:tcPr>
            <w:tcW w:w="1055" w:type="dxa"/>
            <w:vAlign w:val="center"/>
          </w:tcPr>
          <w:p w14:paraId="1112412F">
            <w:pPr>
              <w:spacing w:line="240" w:lineRule="auto"/>
              <w:jc w:val="center"/>
              <w:rPr>
                <w:rFonts w:ascii="Times New Roman" w:hAnsi="Times New Roman" w:eastAsia="宋体" w:cs="Times New Roman"/>
                <w:color w:val="000000"/>
                <w:szCs w:val="21"/>
              </w:rPr>
            </w:pPr>
            <w:r>
              <w:rPr>
                <w:rFonts w:hint="default" w:ascii="Times New Roman" w:hAnsi="Times New Roman" w:eastAsia="宋体" w:cs="Times New Roman"/>
                <w:color w:val="auto"/>
                <w:kern w:val="2"/>
                <w:sz w:val="21"/>
                <w:szCs w:val="21"/>
                <w:lang w:val="en-US" w:eastAsia="zh-CN"/>
              </w:rPr>
              <w:t>CFU/mL</w:t>
            </w:r>
          </w:p>
        </w:tc>
        <w:tc>
          <w:tcPr>
            <w:tcW w:w="1452" w:type="dxa"/>
            <w:vAlign w:val="center"/>
          </w:tcPr>
          <w:p w14:paraId="6BA9A8E5">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i w:val="0"/>
                <w:color w:val="auto"/>
                <w:kern w:val="0"/>
                <w:sz w:val="21"/>
                <w:szCs w:val="21"/>
                <w:highlight w:val="none"/>
                <w:u w:val="none"/>
                <w:lang w:val="en-US" w:eastAsia="zh-CN" w:bidi="ar"/>
              </w:rPr>
              <w:t>22</w:t>
            </w:r>
          </w:p>
        </w:tc>
        <w:tc>
          <w:tcPr>
            <w:tcW w:w="1449" w:type="dxa"/>
            <w:vAlign w:val="center"/>
          </w:tcPr>
          <w:p w14:paraId="43DBEBC9">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i w:val="0"/>
                <w:color w:val="auto"/>
                <w:kern w:val="0"/>
                <w:sz w:val="21"/>
                <w:szCs w:val="21"/>
                <w:highlight w:val="none"/>
                <w:u w:val="none"/>
                <w:lang w:val="en-US" w:eastAsia="zh-CN" w:bidi="ar"/>
              </w:rPr>
              <w:t>28</w:t>
            </w:r>
          </w:p>
        </w:tc>
        <w:tc>
          <w:tcPr>
            <w:tcW w:w="1440" w:type="dxa"/>
            <w:vAlign w:val="center"/>
          </w:tcPr>
          <w:p w14:paraId="7416FACF">
            <w:pPr>
              <w:snapToGrid w:val="0"/>
              <w:ind w:left="72" w:leftChars="0"/>
              <w:jc w:val="center"/>
              <w:rPr>
                <w:rFonts w:hint="default" w:ascii="Times New Roman" w:hAnsi="Times New Roman" w:eastAsia="宋体" w:cs="Times New Roman"/>
                <w:color w:val="000000"/>
                <w:szCs w:val="21"/>
                <w:lang w:val="en-US" w:eastAsia="zh-CN"/>
              </w:rPr>
            </w:pPr>
            <w:r>
              <w:rPr>
                <w:rFonts w:hint="eastAsia" w:cs="Times New Roman"/>
                <w:i w:val="0"/>
                <w:color w:val="auto"/>
                <w:kern w:val="0"/>
                <w:sz w:val="21"/>
                <w:szCs w:val="21"/>
                <w:highlight w:val="none"/>
                <w:u w:val="none"/>
                <w:lang w:val="en-US" w:eastAsia="zh-CN" w:bidi="ar"/>
              </w:rPr>
              <w:t>22</w:t>
            </w:r>
          </w:p>
        </w:tc>
        <w:tc>
          <w:tcPr>
            <w:tcW w:w="1656" w:type="dxa"/>
            <w:vAlign w:val="center"/>
          </w:tcPr>
          <w:p w14:paraId="456F0DB0">
            <w:pPr>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w:t>
            </w:r>
            <w:r>
              <w:rPr>
                <w:rFonts w:hint="eastAsia" w:ascii="Times New Roman" w:hAnsi="Times New Roman" w:eastAsia="宋体" w:cs="Times New Roman"/>
                <w:color w:val="000000"/>
                <w:szCs w:val="21"/>
                <w:lang w:val="en-US" w:eastAsia="zh-CN"/>
              </w:rPr>
              <w:t>100</w:t>
            </w:r>
          </w:p>
        </w:tc>
      </w:tr>
      <w:tr w14:paraId="1A442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5224F477">
            <w:pPr>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钾离子</w:t>
            </w:r>
          </w:p>
        </w:tc>
        <w:tc>
          <w:tcPr>
            <w:tcW w:w="1055" w:type="dxa"/>
            <w:vAlign w:val="center"/>
          </w:tcPr>
          <w:p w14:paraId="30A13E98">
            <w:pPr>
              <w:jc w:val="center"/>
              <w:rPr>
                <w:rFonts w:hint="default" w:ascii="Times New Roman" w:hAnsi="Times New Roman" w:eastAsia="宋体" w:cs="Times New Roman"/>
                <w:color w:val="auto"/>
                <w:kern w:val="2"/>
                <w:sz w:val="21"/>
                <w:szCs w:val="21"/>
              </w:rPr>
            </w:pPr>
            <w:r>
              <w:rPr>
                <w:rFonts w:ascii="Times New Roman" w:hAnsi="Times New Roman" w:eastAsia="宋体" w:cs="Times New Roman"/>
                <w:color w:val="000000"/>
                <w:szCs w:val="21"/>
              </w:rPr>
              <w:t>mg/L</w:t>
            </w:r>
          </w:p>
        </w:tc>
        <w:tc>
          <w:tcPr>
            <w:tcW w:w="1452" w:type="dxa"/>
            <w:vAlign w:val="center"/>
          </w:tcPr>
          <w:p w14:paraId="708F931F">
            <w:pPr>
              <w:snapToGrid w:val="0"/>
              <w:ind w:left="72" w:leftChars="0"/>
              <w:jc w:val="center"/>
              <w:rPr>
                <w:rFonts w:hint="eastAsia"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1.23</w:t>
            </w:r>
          </w:p>
        </w:tc>
        <w:tc>
          <w:tcPr>
            <w:tcW w:w="1449" w:type="dxa"/>
            <w:vAlign w:val="center"/>
          </w:tcPr>
          <w:p w14:paraId="605AA0BC">
            <w:pPr>
              <w:snapToGrid w:val="0"/>
              <w:ind w:left="72" w:left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1.18</w:t>
            </w:r>
          </w:p>
        </w:tc>
        <w:tc>
          <w:tcPr>
            <w:tcW w:w="1440" w:type="dxa"/>
            <w:vAlign w:val="center"/>
          </w:tcPr>
          <w:p w14:paraId="4D8605D6">
            <w:pPr>
              <w:snapToGrid w:val="0"/>
              <w:ind w:left="72" w:left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1.18</w:t>
            </w:r>
          </w:p>
        </w:tc>
        <w:tc>
          <w:tcPr>
            <w:tcW w:w="1656" w:type="dxa"/>
            <w:vAlign w:val="center"/>
          </w:tcPr>
          <w:p w14:paraId="030BA927">
            <w:pPr>
              <w:jc w:val="center"/>
              <w:rPr>
                <w:rFonts w:hint="eastAsia"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000000"/>
                <w:szCs w:val="21"/>
                <w:lang w:val="en-US" w:eastAsia="zh-CN"/>
              </w:rPr>
              <w:t>--</w:t>
            </w:r>
          </w:p>
        </w:tc>
      </w:tr>
      <w:tr w14:paraId="61E71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2F8D6E1D">
            <w:pPr>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钙离子</w:t>
            </w:r>
          </w:p>
        </w:tc>
        <w:tc>
          <w:tcPr>
            <w:tcW w:w="1055" w:type="dxa"/>
            <w:vAlign w:val="center"/>
          </w:tcPr>
          <w:p w14:paraId="439E9455">
            <w:pPr>
              <w:jc w:val="center"/>
              <w:rPr>
                <w:rFonts w:hint="default" w:ascii="Times New Roman" w:hAnsi="Times New Roman" w:eastAsia="宋体" w:cs="Times New Roman"/>
                <w:color w:val="auto"/>
                <w:kern w:val="2"/>
                <w:sz w:val="21"/>
                <w:szCs w:val="21"/>
              </w:rPr>
            </w:pPr>
            <w:r>
              <w:rPr>
                <w:rFonts w:ascii="Times New Roman" w:hAnsi="Times New Roman" w:eastAsia="宋体" w:cs="Times New Roman"/>
                <w:color w:val="000000"/>
                <w:szCs w:val="21"/>
              </w:rPr>
              <w:t>mg/L</w:t>
            </w:r>
          </w:p>
        </w:tc>
        <w:tc>
          <w:tcPr>
            <w:tcW w:w="1452" w:type="dxa"/>
            <w:vAlign w:val="center"/>
          </w:tcPr>
          <w:p w14:paraId="2C56849B">
            <w:pPr>
              <w:snapToGrid w:val="0"/>
              <w:ind w:left="72" w:leftChars="0"/>
              <w:jc w:val="center"/>
              <w:rPr>
                <w:rFonts w:hint="eastAsia"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4.62</w:t>
            </w:r>
          </w:p>
        </w:tc>
        <w:tc>
          <w:tcPr>
            <w:tcW w:w="1449" w:type="dxa"/>
            <w:vAlign w:val="center"/>
          </w:tcPr>
          <w:p w14:paraId="0F96B052">
            <w:pPr>
              <w:snapToGrid w:val="0"/>
              <w:ind w:left="72" w:left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4.12</w:t>
            </w:r>
          </w:p>
        </w:tc>
        <w:tc>
          <w:tcPr>
            <w:tcW w:w="1440" w:type="dxa"/>
            <w:vAlign w:val="center"/>
          </w:tcPr>
          <w:p w14:paraId="2ED7D52B">
            <w:pPr>
              <w:snapToGrid w:val="0"/>
              <w:ind w:left="72" w:left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2.49</w:t>
            </w:r>
          </w:p>
        </w:tc>
        <w:tc>
          <w:tcPr>
            <w:tcW w:w="1656" w:type="dxa"/>
            <w:vAlign w:val="center"/>
          </w:tcPr>
          <w:p w14:paraId="5EF9BEA1">
            <w:pPr>
              <w:jc w:val="center"/>
              <w:rPr>
                <w:rFonts w:hint="eastAsia"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000000"/>
                <w:szCs w:val="21"/>
                <w:lang w:val="en-US" w:eastAsia="zh-CN"/>
              </w:rPr>
              <w:t>--</w:t>
            </w:r>
          </w:p>
        </w:tc>
      </w:tr>
      <w:tr w14:paraId="13994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593ECD6F">
            <w:pPr>
              <w:jc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镁离子</w:t>
            </w:r>
          </w:p>
        </w:tc>
        <w:tc>
          <w:tcPr>
            <w:tcW w:w="1055" w:type="dxa"/>
            <w:vAlign w:val="center"/>
          </w:tcPr>
          <w:p w14:paraId="5206CB24">
            <w:pPr>
              <w:jc w:val="center"/>
              <w:rPr>
                <w:rFonts w:hint="default" w:ascii="Times New Roman" w:hAnsi="Times New Roman" w:eastAsia="宋体" w:cs="Times New Roman"/>
                <w:color w:val="auto"/>
                <w:kern w:val="2"/>
                <w:sz w:val="21"/>
                <w:szCs w:val="21"/>
              </w:rPr>
            </w:pPr>
            <w:r>
              <w:rPr>
                <w:rFonts w:ascii="Times New Roman" w:hAnsi="Times New Roman" w:eastAsia="宋体" w:cs="Times New Roman"/>
                <w:color w:val="000000"/>
                <w:szCs w:val="21"/>
              </w:rPr>
              <w:t>mg/L</w:t>
            </w:r>
          </w:p>
        </w:tc>
        <w:tc>
          <w:tcPr>
            <w:tcW w:w="1452" w:type="dxa"/>
            <w:vAlign w:val="center"/>
          </w:tcPr>
          <w:p w14:paraId="3E0435E4">
            <w:pPr>
              <w:spacing w:line="288" w:lineRule="auto"/>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22.0</w:t>
            </w:r>
          </w:p>
        </w:tc>
        <w:tc>
          <w:tcPr>
            <w:tcW w:w="1449" w:type="dxa"/>
            <w:vAlign w:val="center"/>
          </w:tcPr>
          <w:p w14:paraId="72E9D828">
            <w:pPr>
              <w:spacing w:line="288" w:lineRule="auto"/>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20.8</w:t>
            </w:r>
          </w:p>
        </w:tc>
        <w:tc>
          <w:tcPr>
            <w:tcW w:w="1440" w:type="dxa"/>
            <w:vAlign w:val="center"/>
          </w:tcPr>
          <w:p w14:paraId="6B396EC1">
            <w:pPr>
              <w:spacing w:line="288" w:lineRule="auto"/>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8.75</w:t>
            </w:r>
          </w:p>
        </w:tc>
        <w:tc>
          <w:tcPr>
            <w:tcW w:w="1656" w:type="dxa"/>
            <w:vAlign w:val="center"/>
          </w:tcPr>
          <w:p w14:paraId="7FD6920B">
            <w:pPr>
              <w:jc w:val="center"/>
              <w:rPr>
                <w:rFonts w:hint="eastAsia"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000000"/>
                <w:szCs w:val="21"/>
                <w:lang w:val="en-US" w:eastAsia="zh-CN"/>
              </w:rPr>
              <w:t>--</w:t>
            </w:r>
          </w:p>
        </w:tc>
      </w:tr>
      <w:tr w14:paraId="7B719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09BCF204">
            <w:pPr>
              <w:spacing w:line="288"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Cs w:val="21"/>
                <w:lang w:eastAsia="zh-CN"/>
              </w:rPr>
              <w:t>碳酸根离子</w:t>
            </w:r>
          </w:p>
        </w:tc>
        <w:tc>
          <w:tcPr>
            <w:tcW w:w="1055" w:type="dxa"/>
            <w:vAlign w:val="center"/>
          </w:tcPr>
          <w:p w14:paraId="5B042CEF">
            <w:pPr>
              <w:jc w:val="center"/>
              <w:rPr>
                <w:rFonts w:hint="default" w:ascii="Times New Roman" w:hAnsi="Times New Roman" w:eastAsia="宋体" w:cs="Times New Roman"/>
                <w:color w:val="auto"/>
                <w:kern w:val="2"/>
                <w:sz w:val="21"/>
                <w:szCs w:val="21"/>
              </w:rPr>
            </w:pPr>
            <w:r>
              <w:rPr>
                <w:rFonts w:ascii="Times New Roman" w:hAnsi="Times New Roman" w:eastAsia="宋体" w:cs="Times New Roman"/>
                <w:color w:val="000000"/>
                <w:szCs w:val="21"/>
              </w:rPr>
              <w:t>mg/L</w:t>
            </w:r>
          </w:p>
        </w:tc>
        <w:tc>
          <w:tcPr>
            <w:tcW w:w="1452" w:type="dxa"/>
            <w:vAlign w:val="center"/>
          </w:tcPr>
          <w:p w14:paraId="5B676230">
            <w:pPr>
              <w:snapToGrid w:val="0"/>
              <w:ind w:left="72" w:leftChars="0"/>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5</w:t>
            </w:r>
          </w:p>
        </w:tc>
        <w:tc>
          <w:tcPr>
            <w:tcW w:w="1449" w:type="dxa"/>
            <w:vAlign w:val="center"/>
          </w:tcPr>
          <w:p w14:paraId="5573FB3E">
            <w:pPr>
              <w:snapToGrid w:val="0"/>
              <w:ind w:left="72" w:leftChars="0"/>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5</w:t>
            </w:r>
          </w:p>
        </w:tc>
        <w:tc>
          <w:tcPr>
            <w:tcW w:w="1440" w:type="dxa"/>
            <w:vAlign w:val="center"/>
          </w:tcPr>
          <w:p w14:paraId="7C0B0D23">
            <w:pPr>
              <w:snapToGrid w:val="0"/>
              <w:ind w:left="72" w:leftChars="0"/>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5</w:t>
            </w:r>
          </w:p>
        </w:tc>
        <w:tc>
          <w:tcPr>
            <w:tcW w:w="1656" w:type="dxa"/>
            <w:vAlign w:val="center"/>
          </w:tcPr>
          <w:p w14:paraId="468EC51F">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000000"/>
                <w:szCs w:val="21"/>
                <w:lang w:val="en-US" w:eastAsia="zh-CN"/>
              </w:rPr>
              <w:t>--</w:t>
            </w:r>
          </w:p>
        </w:tc>
      </w:tr>
      <w:tr w14:paraId="1281E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vAlign w:val="center"/>
          </w:tcPr>
          <w:p w14:paraId="08AF9ABF">
            <w:pPr>
              <w:spacing w:line="288"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Cs w:val="21"/>
                <w:lang w:eastAsia="zh-CN"/>
              </w:rPr>
              <w:t>碳酸氢根离子</w:t>
            </w:r>
          </w:p>
        </w:tc>
        <w:tc>
          <w:tcPr>
            <w:tcW w:w="1055" w:type="dxa"/>
            <w:vAlign w:val="center"/>
          </w:tcPr>
          <w:p w14:paraId="7B2290EA">
            <w:pPr>
              <w:jc w:val="center"/>
              <w:rPr>
                <w:rFonts w:hint="default" w:ascii="Times New Roman" w:hAnsi="Times New Roman" w:eastAsia="宋体" w:cs="Times New Roman"/>
                <w:color w:val="auto"/>
                <w:kern w:val="2"/>
                <w:sz w:val="21"/>
                <w:szCs w:val="21"/>
              </w:rPr>
            </w:pPr>
            <w:r>
              <w:rPr>
                <w:rFonts w:ascii="Times New Roman" w:hAnsi="Times New Roman" w:eastAsia="宋体" w:cs="Times New Roman"/>
                <w:color w:val="000000"/>
                <w:szCs w:val="21"/>
              </w:rPr>
              <w:t>mg/L</w:t>
            </w:r>
          </w:p>
        </w:tc>
        <w:tc>
          <w:tcPr>
            <w:tcW w:w="1452" w:type="dxa"/>
            <w:vAlign w:val="center"/>
          </w:tcPr>
          <w:p w14:paraId="071C8374">
            <w:pPr>
              <w:snapToGrid w:val="0"/>
              <w:ind w:left="72" w:left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190</w:t>
            </w:r>
          </w:p>
        </w:tc>
        <w:tc>
          <w:tcPr>
            <w:tcW w:w="1449" w:type="dxa"/>
            <w:vAlign w:val="center"/>
          </w:tcPr>
          <w:p w14:paraId="363E00EB">
            <w:pPr>
              <w:snapToGrid w:val="0"/>
              <w:ind w:left="72" w:left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225</w:t>
            </w:r>
          </w:p>
        </w:tc>
        <w:tc>
          <w:tcPr>
            <w:tcW w:w="1440" w:type="dxa"/>
            <w:vAlign w:val="center"/>
          </w:tcPr>
          <w:p w14:paraId="224A704E">
            <w:pPr>
              <w:snapToGrid w:val="0"/>
              <w:ind w:left="72" w:leftChars="0"/>
              <w:jc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85</w:t>
            </w:r>
          </w:p>
        </w:tc>
        <w:tc>
          <w:tcPr>
            <w:tcW w:w="1656" w:type="dxa"/>
            <w:vAlign w:val="center"/>
          </w:tcPr>
          <w:p w14:paraId="72B3959D">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000000"/>
                <w:szCs w:val="21"/>
                <w:lang w:val="en-US" w:eastAsia="zh-CN"/>
              </w:rPr>
              <w:t>--</w:t>
            </w:r>
          </w:p>
        </w:tc>
      </w:tr>
    </w:tbl>
    <w:p w14:paraId="4D1BB671">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4.2.</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.4分析方法</w:t>
      </w:r>
      <w:bookmarkEnd w:id="524"/>
    </w:p>
    <w:p w14:paraId="54EC6D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本次地下水水质监测与分析均按《环境监测技术规范》和《水和废水监测分析方法》中有关规定进行。</w:t>
      </w:r>
    </w:p>
    <w:p w14:paraId="21D829FE">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4.2.</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.5评价方法及标准</w:t>
      </w:r>
    </w:p>
    <w:p w14:paraId="7581AB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评价方法采用</w:t>
      </w:r>
      <w:r>
        <w:rPr>
          <w:rFonts w:hint="eastAsia" w:ascii="Times New Roman" w:hAnsi="Times New Roman" w:eastAsia="宋体" w:cs="Times New Roman"/>
          <w:kern w:val="2"/>
          <w:sz w:val="24"/>
          <w:szCs w:val="24"/>
          <w:lang w:val="en-US" w:eastAsia="zh-CN"/>
        </w:rPr>
        <w:t>标准</w:t>
      </w:r>
      <w:r>
        <w:rPr>
          <w:rFonts w:hint="default" w:ascii="Times New Roman" w:hAnsi="Times New Roman" w:eastAsia="宋体" w:cs="Times New Roman"/>
          <w:kern w:val="2"/>
          <w:sz w:val="24"/>
          <w:szCs w:val="24"/>
        </w:rPr>
        <w:t>指数法，评价公式为：</w:t>
      </w:r>
    </w:p>
    <w:p w14:paraId="2029CE90">
      <w:pPr>
        <w:keepNext w:val="0"/>
        <w:keepLines w:val="0"/>
        <w:pageBreakBefore w:val="0"/>
        <w:widowControl w:val="0"/>
        <w:wordWrap/>
        <w:topLinePunct w:val="0"/>
        <w:bidi w:val="0"/>
        <w:adjustRightInd/>
        <w:snapToGrid/>
        <w:spacing w:line="360" w:lineRule="auto"/>
        <w:ind w:firstLine="480" w:firstLineChars="200"/>
        <w:jc w:val="center"/>
        <w:rPr>
          <w:rFonts w:hint="default" w:ascii="Times New Roman" w:hAnsi="Times New Roman" w:eastAsia="宋体" w:cs="Times New Roman"/>
          <w:kern w:val="2"/>
          <w:position w:val="-24"/>
          <w:sz w:val="24"/>
          <w:szCs w:val="24"/>
          <w:lang w:val="en-US" w:eastAsia="zh-CN" w:bidi="ar-SA"/>
        </w:rPr>
      </w:pPr>
      <w:r>
        <w:rPr>
          <w:rFonts w:hint="default" w:ascii="Times New Roman" w:hAnsi="Times New Roman" w:eastAsia="宋体" w:cs="Times New Roman"/>
          <w:kern w:val="2"/>
          <w:sz w:val="24"/>
          <w:szCs w:val="24"/>
          <w:lang w:val="en-US" w:eastAsia="zh-CN" w:bidi="ar-SA"/>
        </w:rPr>
        <w:t>Pi=</w:t>
      </w:r>
      <w:r>
        <w:rPr>
          <w:rFonts w:hint="default" w:ascii="Times New Roman" w:hAnsi="Times New Roman" w:eastAsia="宋体" w:cs="Times New Roman"/>
          <w:kern w:val="2"/>
          <w:position w:val="-24"/>
          <w:sz w:val="24"/>
          <w:szCs w:val="24"/>
          <w:lang w:val="en-US" w:eastAsia="zh-CN" w:bidi="ar-SA"/>
        </w:rPr>
        <w:object>
          <v:shape id="_x0000_i1025" o:spt="75" type="#_x0000_t75" style="height:30.65pt;width:21.8pt;" o:ole="t" filled="f" o:preferrelative="t" stroked="f" coordsize="21600,21600">
            <v:path/>
            <v:fill on="f" focussize="0,0"/>
            <v:stroke on="f"/>
            <v:imagedata r:id="rId39" o:title=""/>
            <o:lock v:ext="edit" aspectratio="t"/>
            <w10:wrap type="none"/>
            <w10:anchorlock/>
          </v:shape>
          <o:OLEObject Type="Embed" ProgID="Equation.3" ShapeID="_x0000_i1025" DrawAspect="Content" ObjectID="_1468075725" r:id="rId38">
            <o:LockedField>false</o:LockedField>
          </o:OLEObject>
        </w:object>
      </w:r>
    </w:p>
    <w:p w14:paraId="6233EB01">
      <w:pPr>
        <w:keepNext w:val="0"/>
        <w:keepLines w:val="0"/>
        <w:pageBreakBefore w:val="0"/>
        <w:widowControl w:val="0"/>
        <w:wordWrap/>
        <w:topLinePunct w:val="0"/>
        <w:bidi w:val="0"/>
        <w:adjustRightInd/>
        <w:snapToGrid/>
        <w:spacing w:line="360" w:lineRule="auto"/>
        <w:ind w:firstLine="720" w:firstLineChars="3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式中：P</w:t>
      </w:r>
      <w:r>
        <w:rPr>
          <w:rFonts w:hint="default" w:ascii="Times New Roman" w:hAnsi="Times New Roman" w:eastAsia="宋体" w:cs="Times New Roman"/>
          <w:bCs/>
          <w:kern w:val="2"/>
          <w:sz w:val="24"/>
          <w:szCs w:val="24"/>
          <w:vertAlign w:val="subscript"/>
          <w:lang w:val="en-US" w:eastAsia="zh-CN" w:bidi="ar-SA"/>
        </w:rPr>
        <w:t>i</w:t>
      </w:r>
      <w:r>
        <w:rPr>
          <w:rFonts w:hint="default" w:ascii="Times New Roman" w:hAnsi="Times New Roman" w:eastAsia="宋体" w:cs="Times New Roman"/>
          <w:bCs/>
          <w:kern w:val="2"/>
          <w:sz w:val="24"/>
          <w:szCs w:val="24"/>
          <w:lang w:val="en-US" w:eastAsia="zh-CN" w:bidi="ar-SA"/>
        </w:rPr>
        <w:t>—第 i个水质因子的标准指数，无量纲；</w:t>
      </w:r>
    </w:p>
    <w:p w14:paraId="4581FD1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Cs/>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 xml:space="preserve">  C</w:t>
      </w:r>
      <w:r>
        <w:rPr>
          <w:rFonts w:hint="default" w:ascii="Times New Roman" w:hAnsi="Times New Roman" w:eastAsia="宋体" w:cs="Times New Roman"/>
          <w:bCs/>
          <w:kern w:val="2"/>
          <w:sz w:val="24"/>
          <w:szCs w:val="24"/>
          <w:vertAlign w:val="subscript"/>
          <w:lang w:val="en-US" w:eastAsia="zh-CN" w:bidi="ar-SA"/>
        </w:rPr>
        <w:t>i</w:t>
      </w:r>
      <w:r>
        <w:rPr>
          <w:rFonts w:hint="default" w:ascii="Times New Roman" w:hAnsi="Times New Roman" w:eastAsia="宋体" w:cs="Times New Roman"/>
          <w:bCs/>
          <w:kern w:val="2"/>
          <w:sz w:val="24"/>
          <w:szCs w:val="24"/>
          <w:lang w:val="en-US" w:eastAsia="zh-CN" w:bidi="ar-SA"/>
        </w:rPr>
        <w:t>—第 i 个水质因子的监测浓度值，mg/L；</w:t>
      </w:r>
    </w:p>
    <w:p w14:paraId="6CAEEDD6">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Cs/>
          <w:kern w:val="2"/>
          <w:sz w:val="24"/>
          <w:szCs w:val="24"/>
          <w:lang w:val="en-US" w:eastAsia="zh-CN" w:bidi="ar-SA"/>
        </w:rPr>
        <w:t xml:space="preserve">  Cs</w:t>
      </w:r>
      <w:r>
        <w:rPr>
          <w:rFonts w:hint="default" w:ascii="Times New Roman" w:hAnsi="Times New Roman" w:eastAsia="宋体" w:cs="Times New Roman"/>
          <w:bCs/>
          <w:kern w:val="2"/>
          <w:sz w:val="24"/>
          <w:szCs w:val="24"/>
          <w:vertAlign w:val="subscript"/>
          <w:lang w:val="en-US" w:eastAsia="zh-CN" w:bidi="ar-SA"/>
        </w:rPr>
        <w:t>i</w:t>
      </w:r>
      <w:r>
        <w:rPr>
          <w:rFonts w:hint="default" w:ascii="Times New Roman" w:hAnsi="Times New Roman" w:eastAsia="宋体" w:cs="Times New Roman"/>
          <w:bCs/>
          <w:kern w:val="2"/>
          <w:sz w:val="24"/>
          <w:szCs w:val="24"/>
          <w:lang w:val="en-US" w:eastAsia="zh-CN" w:bidi="ar-SA"/>
        </w:rPr>
        <w:t>—第 i 个水质因子的标准浓度值，mg/L</w:t>
      </w:r>
      <w:r>
        <w:rPr>
          <w:rFonts w:hint="default" w:ascii="Times New Roman" w:hAnsi="Times New Roman" w:eastAsia="宋体" w:cs="Times New Roman"/>
          <w:kern w:val="2"/>
          <w:sz w:val="24"/>
          <w:szCs w:val="24"/>
          <w:lang w:val="en-US" w:eastAsia="zh-CN" w:bidi="ar-SA"/>
        </w:rPr>
        <w:t>；</w:t>
      </w:r>
    </w:p>
    <w:p w14:paraId="576D95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pH值标准指数公式为：</w:t>
      </w:r>
    </w:p>
    <w:p w14:paraId="46521B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320" w:firstLineChars="550"/>
        <w:jc w:val="center"/>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i/>
          <w:kern w:val="2"/>
          <w:sz w:val="24"/>
          <w:szCs w:val="24"/>
        </w:rPr>
        <w:t>I</w:t>
      </w:r>
      <w:r>
        <w:rPr>
          <w:rFonts w:hint="default" w:ascii="Times New Roman" w:hAnsi="Times New Roman" w:eastAsia="宋体" w:cs="Times New Roman"/>
          <w:i/>
          <w:kern w:val="2"/>
          <w:sz w:val="24"/>
          <w:szCs w:val="24"/>
          <w:vertAlign w:val="subscript"/>
        </w:rPr>
        <w:t>pH</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position w:val="-40"/>
          <w:sz w:val="24"/>
          <w:szCs w:val="24"/>
        </w:rPr>
        <w:object>
          <v:shape id="_x0000_i1026" o:spt="75" type="#_x0000_t75" style="height:43pt;width:61.55pt;" o:ole="t" filled="f" o:preferrelative="t" stroked="f" coordsize="21600,21600">
            <v:path/>
            <v:fill on="f" focussize="0,0"/>
            <v:stroke on="f"/>
            <v:imagedata r:id="rId41" o:title=""/>
            <o:lock v:ext="edit" aspectratio="t"/>
            <w10:wrap type="none"/>
            <w10:anchorlock/>
          </v:shape>
          <o:OLEObject Type="Embed" ProgID="Equation.3" ShapeID="_x0000_i1026" DrawAspect="Content" ObjectID="_1468075726" r:id="rId40">
            <o:LockedField>false</o:LockedField>
          </o:OLEObject>
        </w:objec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pH</w:t>
      </w:r>
      <w:r>
        <w:rPr>
          <w:rFonts w:hint="default" w:ascii="Times New Roman" w:hAnsi="Times New Roman" w:eastAsia="宋体" w:cs="Times New Roman"/>
          <w:kern w:val="2"/>
          <w:sz w:val="24"/>
          <w:szCs w:val="24"/>
        </w:rPr>
        <w:t>≤7.0）；</w:t>
      </w:r>
    </w:p>
    <w:p w14:paraId="5066EA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320" w:firstLineChars="550"/>
        <w:jc w:val="center"/>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i/>
          <w:kern w:val="2"/>
          <w:sz w:val="24"/>
          <w:szCs w:val="24"/>
        </w:rPr>
        <w:t>I</w:t>
      </w:r>
      <w:r>
        <w:rPr>
          <w:rFonts w:hint="default" w:ascii="Times New Roman" w:hAnsi="Times New Roman" w:eastAsia="宋体" w:cs="Times New Roman"/>
          <w:i/>
          <w:kern w:val="2"/>
          <w:sz w:val="24"/>
          <w:szCs w:val="24"/>
          <w:vertAlign w:val="subscript"/>
        </w:rPr>
        <w:t>pH</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position w:val="-40"/>
          <w:sz w:val="24"/>
          <w:szCs w:val="24"/>
        </w:rPr>
        <w:object>
          <v:shape id="_x0000_i1027" o:spt="75" type="#_x0000_t75" style="height:38.8pt;width:64.65pt;" o:ole="t" filled="f" o:preferrelative="t" stroked="f" coordsize="21600,21600">
            <v:path/>
            <v:fill on="f" focussize="0,0"/>
            <v:stroke on="f"/>
            <v:imagedata r:id="rId43" o:title=""/>
            <o:lock v:ext="edit" aspectratio="t"/>
            <w10:wrap type="none"/>
            <w10:anchorlock/>
          </v:shape>
          <o:OLEObject Type="Embed" ProgID="Equation.3" ShapeID="_x0000_i1027" DrawAspect="Content" ObjectID="_1468075727" r:id="rId42">
            <o:LockedField>false</o:LockedField>
          </o:OLEObject>
        </w:objec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pH</w:t>
      </w:r>
      <w:r>
        <w:rPr>
          <w:rFonts w:hint="default" w:ascii="Times New Roman" w:hAnsi="Times New Roman" w:eastAsia="宋体" w:cs="Times New Roman"/>
          <w:kern w:val="2"/>
          <w:sz w:val="24"/>
          <w:szCs w:val="24"/>
        </w:rPr>
        <w:t>＞7.0）。</w:t>
      </w:r>
    </w:p>
    <w:p w14:paraId="089067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当</w:t>
      </w:r>
      <w:r>
        <w:rPr>
          <w:rFonts w:hint="default" w:ascii="Times New Roman" w:hAnsi="Times New Roman" w:eastAsia="宋体" w:cs="Times New Roman"/>
          <w:kern w:val="2"/>
          <w:sz w:val="24"/>
          <w:szCs w:val="24"/>
          <w:lang w:val="en-US" w:eastAsia="zh-CN"/>
        </w:rPr>
        <w:t>P</w:t>
      </w:r>
      <w:r>
        <w:rPr>
          <w:rFonts w:hint="default" w:ascii="Times New Roman" w:hAnsi="Times New Roman" w:eastAsia="宋体" w:cs="Times New Roman"/>
          <w:kern w:val="2"/>
          <w:sz w:val="24"/>
          <w:szCs w:val="24"/>
        </w:rPr>
        <w:t>i≤1时，表示环境中污染物浓度不超标；当</w:t>
      </w:r>
      <w:r>
        <w:rPr>
          <w:rFonts w:hint="default" w:ascii="Times New Roman" w:hAnsi="Times New Roman" w:eastAsia="宋体" w:cs="Times New Roman"/>
          <w:kern w:val="2"/>
          <w:sz w:val="24"/>
          <w:szCs w:val="24"/>
          <w:lang w:val="en-US" w:eastAsia="zh-CN"/>
        </w:rPr>
        <w:t>P</w:t>
      </w:r>
      <w:r>
        <w:rPr>
          <w:rFonts w:hint="default" w:ascii="Times New Roman" w:hAnsi="Times New Roman" w:eastAsia="宋体" w:cs="Times New Roman"/>
          <w:kern w:val="2"/>
          <w:sz w:val="24"/>
          <w:szCs w:val="24"/>
        </w:rPr>
        <w:t>i＞1时，表示该污染物浓度超过评价标准。</w:t>
      </w:r>
    </w:p>
    <w:p w14:paraId="0B67FA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评价标准为《地下水质量标准》（</w:t>
      </w:r>
      <w:r>
        <w:rPr>
          <w:rFonts w:hint="default" w:ascii="Times New Roman" w:hAnsi="Times New Roman" w:eastAsia="宋体" w:cs="Times New Roman"/>
          <w:kern w:val="2"/>
          <w:sz w:val="24"/>
          <w:szCs w:val="24"/>
          <w:lang w:eastAsia="zh-CN"/>
        </w:rPr>
        <w:t>GB/T14848-2017</w:t>
      </w:r>
      <w:r>
        <w:rPr>
          <w:rFonts w:hint="default" w:ascii="Times New Roman" w:hAnsi="Times New Roman" w:eastAsia="宋体" w:cs="Times New Roman"/>
          <w:kern w:val="2"/>
          <w:sz w:val="24"/>
          <w:szCs w:val="24"/>
        </w:rPr>
        <w:t>）中Ⅲ类标准。</w:t>
      </w:r>
    </w:p>
    <w:p w14:paraId="0F084316">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4.2.</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.6评价结果</w:t>
      </w:r>
    </w:p>
    <w:p w14:paraId="7F83A6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场区地下水质监测结果见表4.</w:t>
      </w:r>
      <w:r>
        <w:rPr>
          <w:rFonts w:hint="eastAsia" w:ascii="Times New Roman" w:hAnsi="Times New Roman" w:eastAsia="宋体" w:cs="Times New Roman"/>
          <w:kern w:val="2"/>
          <w:sz w:val="24"/>
          <w:szCs w:val="24"/>
          <w:lang w:val="en-US" w:eastAsia="zh-CN"/>
        </w:rPr>
        <w:t>2</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6</w:t>
      </w:r>
      <w:r>
        <w:rPr>
          <w:rFonts w:hint="default" w:ascii="Times New Roman" w:hAnsi="Times New Roman" w:eastAsia="宋体" w:cs="Times New Roman"/>
          <w:kern w:val="2"/>
          <w:sz w:val="24"/>
          <w:szCs w:val="24"/>
        </w:rPr>
        <w:t>。</w:t>
      </w:r>
    </w:p>
    <w:p w14:paraId="1659B4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jc w:val="center"/>
        <w:textAlignment w:val="auto"/>
        <w:rPr>
          <w:rFonts w:hint="default" w:ascii="Times New Roman" w:hAnsi="Times New Roman" w:eastAsia="宋体" w:cs="Times New Roman"/>
          <w:b/>
          <w:kern w:val="2"/>
          <w:sz w:val="24"/>
          <w:szCs w:val="24"/>
        </w:rPr>
      </w:pPr>
      <w:r>
        <w:rPr>
          <w:rFonts w:hint="default" w:ascii="Times New Roman" w:hAnsi="Times New Roman" w:eastAsia="宋体" w:cs="Times New Roman"/>
          <w:b/>
          <w:kern w:val="2"/>
          <w:sz w:val="24"/>
          <w:szCs w:val="24"/>
        </w:rPr>
        <w:t>表4.</w:t>
      </w:r>
      <w:r>
        <w:rPr>
          <w:rFonts w:hint="eastAsia" w:ascii="Times New Roman" w:hAnsi="Times New Roman" w:eastAsia="宋体" w:cs="Times New Roman"/>
          <w:b/>
          <w:kern w:val="2"/>
          <w:sz w:val="24"/>
          <w:szCs w:val="24"/>
          <w:lang w:val="en-US" w:eastAsia="zh-CN"/>
        </w:rPr>
        <w:t>2</w:t>
      </w:r>
      <w:r>
        <w:rPr>
          <w:rFonts w:hint="default" w:ascii="Times New Roman" w:hAnsi="Times New Roman" w:eastAsia="宋体" w:cs="Times New Roman"/>
          <w:b/>
          <w:kern w:val="2"/>
          <w:sz w:val="24"/>
          <w:szCs w:val="24"/>
          <w:lang w:val="en-US" w:eastAsia="zh-CN"/>
        </w:rPr>
        <w:t>-</w:t>
      </w:r>
      <w:r>
        <w:rPr>
          <w:rFonts w:hint="eastAsia" w:ascii="Times New Roman" w:hAnsi="Times New Roman" w:eastAsia="宋体" w:cs="Times New Roman"/>
          <w:b/>
          <w:kern w:val="2"/>
          <w:sz w:val="24"/>
          <w:szCs w:val="24"/>
          <w:lang w:val="en-US" w:eastAsia="zh-CN"/>
        </w:rPr>
        <w:t>6</w:t>
      </w:r>
      <w:r>
        <w:rPr>
          <w:rFonts w:hint="default" w:ascii="Times New Roman" w:hAnsi="Times New Roman" w:eastAsia="宋体" w:cs="Times New Roman"/>
          <w:b/>
          <w:kern w:val="2"/>
          <w:sz w:val="24"/>
          <w:szCs w:val="24"/>
        </w:rPr>
        <w:t>评价结果统计一览表</w:t>
      </w:r>
      <w:r>
        <w:rPr>
          <w:rFonts w:hint="default" w:ascii="Times New Roman" w:hAnsi="Times New Roman" w:eastAsia="宋体" w:cs="Times New Roman"/>
          <w:b/>
          <w:kern w:val="2"/>
          <w:sz w:val="24"/>
          <w:szCs w:val="24"/>
          <w:lang w:val="en-US" w:eastAsia="zh-CN"/>
        </w:rPr>
        <w:t xml:space="preserve"> </w:t>
      </w:r>
      <w:r>
        <w:rPr>
          <w:rFonts w:hint="default" w:ascii="Times New Roman" w:hAnsi="Times New Roman" w:eastAsia="宋体" w:cs="Times New Roman"/>
          <w:b/>
          <w:kern w:val="2"/>
          <w:sz w:val="24"/>
          <w:szCs w:val="24"/>
        </w:rPr>
        <w:t xml:space="preserve"> </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131"/>
        <w:gridCol w:w="2121"/>
        <w:gridCol w:w="2121"/>
        <w:gridCol w:w="2131"/>
      </w:tblGrid>
      <w:tr w14:paraId="06DDF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vMerge w:val="restart"/>
            <w:noWrap w:val="0"/>
            <w:vAlign w:val="center"/>
          </w:tcPr>
          <w:p w14:paraId="7883BE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监测项目</w:t>
            </w:r>
          </w:p>
        </w:tc>
        <w:tc>
          <w:tcPr>
            <w:tcW w:w="3648" w:type="dxa"/>
            <w:gridSpan w:val="3"/>
            <w:noWrap w:val="0"/>
            <w:vAlign w:val="center"/>
          </w:tcPr>
          <w:p w14:paraId="0B7927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pacing w:val="-20"/>
                <w:kern w:val="0"/>
                <w:sz w:val="21"/>
                <w:szCs w:val="21"/>
                <w:lang w:val="en-US" w:eastAsia="zh-CN" w:bidi="ar-SA"/>
              </w:rPr>
            </w:pPr>
            <w:r>
              <w:rPr>
                <w:rFonts w:hint="default" w:ascii="Times New Roman" w:hAnsi="Times New Roman" w:eastAsia="宋体" w:cs="Times New Roman"/>
                <w:b/>
                <w:bCs/>
                <w:spacing w:val="-20"/>
                <w:kern w:val="0"/>
                <w:sz w:val="21"/>
                <w:szCs w:val="21"/>
                <w:lang w:val="en-US" w:eastAsia="zh-CN" w:bidi="ar-SA"/>
              </w:rPr>
              <w:t>评价结果Pi</w:t>
            </w:r>
          </w:p>
        </w:tc>
      </w:tr>
      <w:tr w14:paraId="6C3F4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vMerge w:val="continue"/>
            <w:noWrap w:val="0"/>
            <w:vAlign w:val="center"/>
          </w:tcPr>
          <w:p w14:paraId="5E5BFF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lang w:val="en-US" w:eastAsia="zh-CN" w:bidi="ar-SA"/>
              </w:rPr>
            </w:pPr>
          </w:p>
        </w:tc>
        <w:tc>
          <w:tcPr>
            <w:tcW w:w="1214" w:type="dxa"/>
            <w:noWrap w:val="0"/>
            <w:vAlign w:val="center"/>
          </w:tcPr>
          <w:p w14:paraId="4491AC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1#</w:t>
            </w:r>
          </w:p>
        </w:tc>
        <w:tc>
          <w:tcPr>
            <w:tcW w:w="1214" w:type="dxa"/>
            <w:noWrap w:val="0"/>
            <w:vAlign w:val="center"/>
          </w:tcPr>
          <w:p w14:paraId="7A107F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pacing w:val="-20"/>
                <w:kern w:val="0"/>
                <w:sz w:val="21"/>
                <w:szCs w:val="21"/>
                <w:lang w:val="en-US" w:eastAsia="zh-CN" w:bidi="ar-SA"/>
              </w:rPr>
            </w:pPr>
            <w:r>
              <w:rPr>
                <w:rFonts w:hint="default" w:ascii="Times New Roman" w:hAnsi="Times New Roman" w:eastAsia="宋体" w:cs="Times New Roman"/>
                <w:b/>
                <w:bCs/>
                <w:kern w:val="0"/>
                <w:sz w:val="21"/>
                <w:szCs w:val="21"/>
                <w:lang w:val="en-US" w:eastAsia="zh-CN" w:bidi="ar-SA"/>
              </w:rPr>
              <w:t>2#</w:t>
            </w:r>
          </w:p>
        </w:tc>
        <w:tc>
          <w:tcPr>
            <w:tcW w:w="1220" w:type="dxa"/>
            <w:noWrap w:val="0"/>
            <w:vAlign w:val="center"/>
          </w:tcPr>
          <w:p w14:paraId="34083D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1"/>
                <w:szCs w:val="21"/>
                <w:lang w:val="en-US" w:eastAsia="zh-CN" w:bidi="ar-SA"/>
              </w:rPr>
            </w:pPr>
            <w:r>
              <w:rPr>
                <w:rFonts w:hint="eastAsia" w:ascii="Times New Roman" w:hAnsi="Times New Roman" w:eastAsia="宋体" w:cs="Times New Roman"/>
                <w:b/>
                <w:bCs/>
                <w:kern w:val="0"/>
                <w:sz w:val="21"/>
                <w:szCs w:val="21"/>
                <w:lang w:val="en-US" w:eastAsia="zh-CN" w:bidi="ar-SA"/>
              </w:rPr>
              <w:t>3</w:t>
            </w:r>
            <w:r>
              <w:rPr>
                <w:rFonts w:hint="default" w:ascii="Times New Roman" w:hAnsi="Times New Roman" w:eastAsia="宋体" w:cs="Times New Roman"/>
                <w:b/>
                <w:bCs/>
                <w:kern w:val="0"/>
                <w:sz w:val="21"/>
                <w:szCs w:val="21"/>
                <w:lang w:val="en-US" w:eastAsia="zh-CN" w:bidi="ar-SA"/>
              </w:rPr>
              <w:t>#</w:t>
            </w:r>
          </w:p>
        </w:tc>
      </w:tr>
      <w:tr w14:paraId="1A371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43423F4C">
            <w:pPr>
              <w:jc w:val="center"/>
              <w:rPr>
                <w:rFonts w:hint="default" w:ascii="Times New Roman" w:hAnsi="Times New Roman" w:eastAsia="宋体" w:cs="Times New Roman"/>
                <w:b w:val="0"/>
                <w:bCs/>
                <w:color w:val="000000"/>
                <w:kern w:val="2"/>
                <w:sz w:val="21"/>
                <w:szCs w:val="21"/>
                <w:lang w:val="en-US" w:eastAsia="zh-CN" w:bidi="ar"/>
              </w:rPr>
            </w:pPr>
            <w:r>
              <w:rPr>
                <w:rFonts w:ascii="Times New Roman" w:hAnsi="Times New Roman" w:eastAsia="宋体" w:cs="Times New Roman"/>
                <w:color w:val="auto"/>
                <w:szCs w:val="21"/>
              </w:rPr>
              <w:t>pH</w:t>
            </w:r>
          </w:p>
        </w:tc>
        <w:tc>
          <w:tcPr>
            <w:tcW w:w="1214" w:type="dxa"/>
            <w:noWrap w:val="0"/>
            <w:vAlign w:val="center"/>
          </w:tcPr>
          <w:p w14:paraId="6D374B00">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rPr>
            </w:pPr>
            <w:r>
              <w:rPr>
                <w:rFonts w:hint="eastAsia" w:cs="Times New Roman"/>
                <w:i w:val="0"/>
                <w:iCs w:val="0"/>
                <w:color w:val="000000"/>
                <w:kern w:val="0"/>
                <w:sz w:val="21"/>
                <w:szCs w:val="21"/>
                <w:u w:val="none"/>
                <w:lang w:val="en-US" w:eastAsia="zh-CN" w:bidi="ar"/>
              </w:rPr>
              <w:t>0.067</w:t>
            </w:r>
          </w:p>
        </w:tc>
        <w:tc>
          <w:tcPr>
            <w:tcW w:w="1214" w:type="dxa"/>
            <w:noWrap w:val="0"/>
            <w:vAlign w:val="center"/>
          </w:tcPr>
          <w:p w14:paraId="19526F8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rPr>
            </w:pPr>
            <w:r>
              <w:rPr>
                <w:rFonts w:hint="eastAsia" w:cs="Times New Roman"/>
                <w:i w:val="0"/>
                <w:iCs w:val="0"/>
                <w:color w:val="000000"/>
                <w:kern w:val="0"/>
                <w:sz w:val="21"/>
                <w:szCs w:val="21"/>
                <w:u w:val="none"/>
                <w:lang w:val="en-US" w:eastAsia="zh-CN" w:bidi="ar"/>
              </w:rPr>
              <w:t>0.13</w:t>
            </w:r>
          </w:p>
        </w:tc>
        <w:tc>
          <w:tcPr>
            <w:tcW w:w="1220" w:type="dxa"/>
            <w:noWrap w:val="0"/>
            <w:vAlign w:val="center"/>
          </w:tcPr>
          <w:p w14:paraId="65EA267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rPr>
            </w:pPr>
            <w:r>
              <w:rPr>
                <w:rFonts w:hint="eastAsia" w:cs="Times New Roman"/>
                <w:i w:val="0"/>
                <w:iCs w:val="0"/>
                <w:color w:val="000000"/>
                <w:kern w:val="0"/>
                <w:sz w:val="21"/>
                <w:szCs w:val="21"/>
                <w:u w:val="none"/>
                <w:lang w:val="en-US" w:eastAsia="zh-CN" w:bidi="ar"/>
              </w:rPr>
              <w:t>0.067</w:t>
            </w:r>
          </w:p>
        </w:tc>
      </w:tr>
      <w:tr w14:paraId="511BD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7E4650EB">
            <w:pPr>
              <w:jc w:val="center"/>
              <w:rPr>
                <w:rFonts w:hint="default" w:ascii="Times New Roman" w:hAnsi="Times New Roman" w:eastAsia="宋体" w:cs="Times New Roman"/>
                <w:b w:val="0"/>
                <w:bCs/>
                <w:color w:val="000000"/>
                <w:kern w:val="2"/>
                <w:sz w:val="21"/>
                <w:szCs w:val="21"/>
                <w:lang w:val="en-US" w:eastAsia="zh-CN" w:bidi="ar"/>
              </w:rPr>
            </w:pPr>
            <w:r>
              <w:rPr>
                <w:rFonts w:hint="eastAsia" w:ascii="Times New Roman" w:hAnsi="Times New Roman" w:eastAsia="宋体" w:cs="Times New Roman"/>
                <w:bCs/>
                <w:color w:val="auto"/>
                <w:sz w:val="21"/>
                <w:szCs w:val="21"/>
                <w:highlight w:val="none"/>
                <w:lang w:val="en-US" w:eastAsia="zh-CN" w:bidi="ar"/>
              </w:rPr>
              <w:t>总硬度</w:t>
            </w:r>
          </w:p>
        </w:tc>
        <w:tc>
          <w:tcPr>
            <w:tcW w:w="1214" w:type="dxa"/>
            <w:noWrap w:val="0"/>
            <w:vAlign w:val="center"/>
          </w:tcPr>
          <w:p w14:paraId="09630B4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0.28 </w:t>
            </w:r>
          </w:p>
        </w:tc>
        <w:tc>
          <w:tcPr>
            <w:tcW w:w="1214" w:type="dxa"/>
            <w:noWrap w:val="0"/>
            <w:vAlign w:val="center"/>
          </w:tcPr>
          <w:p w14:paraId="52D94D8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0.13 </w:t>
            </w:r>
          </w:p>
        </w:tc>
        <w:tc>
          <w:tcPr>
            <w:tcW w:w="1220" w:type="dxa"/>
            <w:noWrap w:val="0"/>
            <w:vAlign w:val="center"/>
          </w:tcPr>
          <w:p w14:paraId="1B168E3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0.12 </w:t>
            </w:r>
          </w:p>
        </w:tc>
      </w:tr>
      <w:tr w14:paraId="72015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7A5C8327">
            <w:pPr>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溶解性总固体</w:t>
            </w:r>
          </w:p>
        </w:tc>
        <w:tc>
          <w:tcPr>
            <w:tcW w:w="1214" w:type="dxa"/>
            <w:noWrap w:val="0"/>
            <w:vAlign w:val="center"/>
          </w:tcPr>
          <w:p w14:paraId="7421A42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0.61 </w:t>
            </w:r>
          </w:p>
        </w:tc>
        <w:tc>
          <w:tcPr>
            <w:tcW w:w="1214" w:type="dxa"/>
            <w:noWrap w:val="0"/>
            <w:vAlign w:val="center"/>
          </w:tcPr>
          <w:p w14:paraId="718AD92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0.75 </w:t>
            </w:r>
          </w:p>
        </w:tc>
        <w:tc>
          <w:tcPr>
            <w:tcW w:w="1220" w:type="dxa"/>
            <w:noWrap w:val="0"/>
            <w:vAlign w:val="center"/>
          </w:tcPr>
          <w:p w14:paraId="4FEA6C9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0.62 </w:t>
            </w:r>
          </w:p>
        </w:tc>
      </w:tr>
      <w:tr w14:paraId="3F82E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0B8262A4">
            <w:pPr>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硫酸盐</w:t>
            </w:r>
          </w:p>
        </w:tc>
        <w:tc>
          <w:tcPr>
            <w:tcW w:w="1214" w:type="dxa"/>
            <w:noWrap w:val="0"/>
            <w:vAlign w:val="center"/>
          </w:tcPr>
          <w:p w14:paraId="676EDBF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0.29 </w:t>
            </w:r>
          </w:p>
        </w:tc>
        <w:tc>
          <w:tcPr>
            <w:tcW w:w="1214" w:type="dxa"/>
            <w:noWrap w:val="0"/>
            <w:vAlign w:val="center"/>
          </w:tcPr>
          <w:p w14:paraId="65F84E1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0.06 </w:t>
            </w:r>
          </w:p>
        </w:tc>
        <w:tc>
          <w:tcPr>
            <w:tcW w:w="1220" w:type="dxa"/>
            <w:noWrap w:val="0"/>
            <w:vAlign w:val="center"/>
          </w:tcPr>
          <w:p w14:paraId="3874C37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0.79 </w:t>
            </w:r>
          </w:p>
        </w:tc>
      </w:tr>
      <w:tr w14:paraId="4865A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7024F2F1">
            <w:pPr>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bCs/>
                <w:color w:val="auto"/>
                <w:sz w:val="21"/>
                <w:szCs w:val="21"/>
                <w:highlight w:val="none"/>
                <w:lang w:val="en-US" w:eastAsia="zh-CN" w:bidi="ar"/>
              </w:rPr>
              <w:t>氯化物</w:t>
            </w:r>
          </w:p>
        </w:tc>
        <w:tc>
          <w:tcPr>
            <w:tcW w:w="1214" w:type="dxa"/>
            <w:noWrap w:val="0"/>
            <w:vAlign w:val="center"/>
          </w:tcPr>
          <w:p w14:paraId="3AA4D4A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0.18 </w:t>
            </w:r>
          </w:p>
        </w:tc>
        <w:tc>
          <w:tcPr>
            <w:tcW w:w="1214" w:type="dxa"/>
            <w:noWrap w:val="0"/>
            <w:vAlign w:val="center"/>
          </w:tcPr>
          <w:p w14:paraId="7681DD8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0.33 </w:t>
            </w:r>
          </w:p>
        </w:tc>
        <w:tc>
          <w:tcPr>
            <w:tcW w:w="1220" w:type="dxa"/>
            <w:noWrap w:val="0"/>
            <w:vAlign w:val="center"/>
          </w:tcPr>
          <w:p w14:paraId="0903D65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0.29 </w:t>
            </w:r>
          </w:p>
        </w:tc>
      </w:tr>
      <w:tr w14:paraId="05EC0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7587C0A5">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铁</w:t>
            </w:r>
          </w:p>
        </w:tc>
        <w:tc>
          <w:tcPr>
            <w:tcW w:w="1214" w:type="dxa"/>
            <w:noWrap w:val="0"/>
            <w:vAlign w:val="center"/>
          </w:tcPr>
          <w:p w14:paraId="59B631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0.10 </w:t>
            </w:r>
          </w:p>
        </w:tc>
        <w:tc>
          <w:tcPr>
            <w:tcW w:w="1214" w:type="dxa"/>
            <w:noWrap w:val="0"/>
            <w:vAlign w:val="center"/>
          </w:tcPr>
          <w:p w14:paraId="02A0CC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0.10</w:t>
            </w:r>
          </w:p>
        </w:tc>
        <w:tc>
          <w:tcPr>
            <w:tcW w:w="1220" w:type="dxa"/>
            <w:noWrap w:val="0"/>
            <w:vAlign w:val="center"/>
          </w:tcPr>
          <w:p w14:paraId="7C2065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0.10</w:t>
            </w:r>
          </w:p>
        </w:tc>
      </w:tr>
      <w:tr w14:paraId="00013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1BCF71AB">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锰</w:t>
            </w:r>
          </w:p>
        </w:tc>
        <w:tc>
          <w:tcPr>
            <w:tcW w:w="1214" w:type="dxa"/>
            <w:noWrap w:val="0"/>
            <w:vAlign w:val="center"/>
          </w:tcPr>
          <w:p w14:paraId="5649F8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0.10</w:t>
            </w:r>
          </w:p>
        </w:tc>
        <w:tc>
          <w:tcPr>
            <w:tcW w:w="1214" w:type="dxa"/>
            <w:noWrap w:val="0"/>
            <w:vAlign w:val="center"/>
          </w:tcPr>
          <w:p w14:paraId="384787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0.10</w:t>
            </w:r>
          </w:p>
        </w:tc>
        <w:tc>
          <w:tcPr>
            <w:tcW w:w="1220" w:type="dxa"/>
            <w:noWrap w:val="0"/>
            <w:vAlign w:val="center"/>
          </w:tcPr>
          <w:p w14:paraId="3D9470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0.10</w:t>
            </w:r>
          </w:p>
        </w:tc>
      </w:tr>
      <w:tr w14:paraId="2F39C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347FC455">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铜</w:t>
            </w:r>
          </w:p>
        </w:tc>
        <w:tc>
          <w:tcPr>
            <w:tcW w:w="1214" w:type="dxa"/>
            <w:noWrap w:val="0"/>
            <w:vAlign w:val="center"/>
          </w:tcPr>
          <w:p w14:paraId="7AF09B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0.001 </w:t>
            </w:r>
          </w:p>
        </w:tc>
        <w:tc>
          <w:tcPr>
            <w:tcW w:w="1214" w:type="dxa"/>
            <w:noWrap w:val="0"/>
            <w:vAlign w:val="center"/>
          </w:tcPr>
          <w:p w14:paraId="009024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0.001</w:t>
            </w:r>
          </w:p>
        </w:tc>
        <w:tc>
          <w:tcPr>
            <w:tcW w:w="1220" w:type="dxa"/>
            <w:noWrap w:val="0"/>
            <w:vAlign w:val="center"/>
          </w:tcPr>
          <w:p w14:paraId="3498FD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0.001</w:t>
            </w:r>
          </w:p>
        </w:tc>
      </w:tr>
      <w:tr w14:paraId="6A672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17BE66A3">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锌</w:t>
            </w:r>
          </w:p>
        </w:tc>
        <w:tc>
          <w:tcPr>
            <w:tcW w:w="1214" w:type="dxa"/>
            <w:noWrap w:val="0"/>
            <w:vAlign w:val="center"/>
          </w:tcPr>
          <w:p w14:paraId="0E1EED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2</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p>
        </w:tc>
        <w:tc>
          <w:tcPr>
            <w:tcW w:w="1214" w:type="dxa"/>
            <w:noWrap w:val="0"/>
            <w:vAlign w:val="center"/>
          </w:tcPr>
          <w:p w14:paraId="13BE67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2</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p>
        </w:tc>
        <w:tc>
          <w:tcPr>
            <w:tcW w:w="1220" w:type="dxa"/>
            <w:noWrap w:val="0"/>
            <w:vAlign w:val="center"/>
          </w:tcPr>
          <w:p w14:paraId="7FF4C4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0.0</w:t>
            </w:r>
            <w:r>
              <w:rPr>
                <w:rFonts w:hint="eastAsia" w:cs="Times New Roman"/>
                <w:i w:val="0"/>
                <w:iCs w:val="0"/>
                <w:color w:val="000000"/>
                <w:kern w:val="0"/>
                <w:sz w:val="21"/>
                <w:szCs w:val="21"/>
                <w:highlight w:val="none"/>
                <w:u w:val="none"/>
                <w:lang w:val="en-US" w:eastAsia="zh-CN" w:bidi="ar"/>
              </w:rPr>
              <w:t>2</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p>
        </w:tc>
      </w:tr>
      <w:tr w14:paraId="75EB63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75AB763C">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铝</w:t>
            </w:r>
          </w:p>
        </w:tc>
        <w:tc>
          <w:tcPr>
            <w:tcW w:w="1214" w:type="dxa"/>
            <w:noWrap w:val="0"/>
            <w:vAlign w:val="center"/>
          </w:tcPr>
          <w:p w14:paraId="39C5A0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0.04 </w:t>
            </w:r>
          </w:p>
        </w:tc>
        <w:tc>
          <w:tcPr>
            <w:tcW w:w="1214" w:type="dxa"/>
            <w:noWrap w:val="0"/>
            <w:vAlign w:val="center"/>
          </w:tcPr>
          <w:p w14:paraId="0E156E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0.04 </w:t>
            </w:r>
          </w:p>
        </w:tc>
        <w:tc>
          <w:tcPr>
            <w:tcW w:w="1220" w:type="dxa"/>
            <w:noWrap w:val="0"/>
            <w:vAlign w:val="center"/>
          </w:tcPr>
          <w:p w14:paraId="143D15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0.04 </w:t>
            </w:r>
          </w:p>
        </w:tc>
      </w:tr>
      <w:tr w14:paraId="4E4A3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74E6B551">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挥发酚</w:t>
            </w:r>
          </w:p>
        </w:tc>
        <w:tc>
          <w:tcPr>
            <w:tcW w:w="1214" w:type="dxa"/>
            <w:noWrap w:val="0"/>
            <w:vAlign w:val="center"/>
          </w:tcPr>
          <w:p w14:paraId="3326DF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0.15</w:t>
            </w:r>
          </w:p>
        </w:tc>
        <w:tc>
          <w:tcPr>
            <w:tcW w:w="1214" w:type="dxa"/>
            <w:noWrap w:val="0"/>
            <w:vAlign w:val="center"/>
          </w:tcPr>
          <w:p w14:paraId="1671A5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0.15</w:t>
            </w:r>
          </w:p>
        </w:tc>
        <w:tc>
          <w:tcPr>
            <w:tcW w:w="1220" w:type="dxa"/>
            <w:noWrap w:val="0"/>
            <w:vAlign w:val="center"/>
          </w:tcPr>
          <w:p w14:paraId="08FD58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0.15</w:t>
            </w:r>
          </w:p>
        </w:tc>
      </w:tr>
      <w:tr w14:paraId="31D3DA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2C1D189B">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阴离子表面活性剂</w:t>
            </w:r>
          </w:p>
        </w:tc>
        <w:tc>
          <w:tcPr>
            <w:tcW w:w="1214" w:type="dxa"/>
            <w:noWrap w:val="0"/>
            <w:vAlign w:val="center"/>
          </w:tcPr>
          <w:p w14:paraId="3345F2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0.17 </w:t>
            </w:r>
          </w:p>
        </w:tc>
        <w:tc>
          <w:tcPr>
            <w:tcW w:w="1214" w:type="dxa"/>
            <w:noWrap w:val="0"/>
            <w:vAlign w:val="center"/>
          </w:tcPr>
          <w:p w14:paraId="787785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0.17 </w:t>
            </w:r>
          </w:p>
        </w:tc>
        <w:tc>
          <w:tcPr>
            <w:tcW w:w="1220" w:type="dxa"/>
            <w:noWrap w:val="0"/>
            <w:vAlign w:val="center"/>
          </w:tcPr>
          <w:p w14:paraId="52F633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0.17 </w:t>
            </w:r>
          </w:p>
        </w:tc>
      </w:tr>
      <w:tr w14:paraId="2253D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63B8A71E">
            <w:pPr>
              <w:jc w:val="center"/>
              <w:rPr>
                <w:rFonts w:hint="default" w:ascii="Times New Roman" w:hAnsi="Times New Roman" w:eastAsia="宋体" w:cs="Times New Roman"/>
                <w:bCs/>
                <w:color w:val="000000"/>
                <w:kern w:val="0"/>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耗氧量（高锰酸盐指数）</w:t>
            </w:r>
          </w:p>
        </w:tc>
        <w:tc>
          <w:tcPr>
            <w:tcW w:w="1214" w:type="dxa"/>
            <w:noWrap w:val="0"/>
            <w:vAlign w:val="center"/>
          </w:tcPr>
          <w:p w14:paraId="3DA3916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0.17 </w:t>
            </w:r>
          </w:p>
        </w:tc>
        <w:tc>
          <w:tcPr>
            <w:tcW w:w="1214" w:type="dxa"/>
            <w:noWrap w:val="0"/>
            <w:vAlign w:val="center"/>
          </w:tcPr>
          <w:p w14:paraId="5B2F730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0.10 </w:t>
            </w:r>
          </w:p>
        </w:tc>
        <w:tc>
          <w:tcPr>
            <w:tcW w:w="1220" w:type="dxa"/>
            <w:noWrap w:val="0"/>
            <w:vAlign w:val="center"/>
          </w:tcPr>
          <w:p w14:paraId="1B4F187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0.20 </w:t>
            </w:r>
          </w:p>
        </w:tc>
      </w:tr>
      <w:tr w14:paraId="71EC72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79AEDDEE">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氨氮</w:t>
            </w:r>
          </w:p>
        </w:tc>
        <w:tc>
          <w:tcPr>
            <w:tcW w:w="1214" w:type="dxa"/>
            <w:noWrap w:val="0"/>
            <w:vAlign w:val="center"/>
          </w:tcPr>
          <w:p w14:paraId="74312CD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0.31 </w:t>
            </w:r>
          </w:p>
        </w:tc>
        <w:tc>
          <w:tcPr>
            <w:tcW w:w="1214" w:type="dxa"/>
            <w:noWrap w:val="0"/>
            <w:vAlign w:val="center"/>
          </w:tcPr>
          <w:p w14:paraId="2124D3E7">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0.58 </w:t>
            </w:r>
          </w:p>
        </w:tc>
        <w:tc>
          <w:tcPr>
            <w:tcW w:w="1220" w:type="dxa"/>
            <w:noWrap w:val="0"/>
            <w:vAlign w:val="center"/>
          </w:tcPr>
          <w:p w14:paraId="012C534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0.33 </w:t>
            </w:r>
          </w:p>
        </w:tc>
      </w:tr>
      <w:tr w14:paraId="71CB1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39B29C15">
            <w:pPr>
              <w:jc w:val="center"/>
              <w:rPr>
                <w:rFonts w:hint="default" w:ascii="Times New Roman" w:hAnsi="Times New Roman" w:eastAsia="宋体" w:cs="Times New Roman"/>
                <w:bCs/>
                <w:color w:val="000000"/>
                <w:kern w:val="0"/>
                <w:sz w:val="21"/>
                <w:szCs w:val="24"/>
                <w:lang w:val="en-US" w:eastAsia="zh-CN" w:bidi="ar-SA"/>
              </w:rPr>
            </w:pPr>
            <w:r>
              <w:rPr>
                <w:rFonts w:hint="eastAsia" w:ascii="Times New Roman" w:hAnsi="Times New Roman" w:eastAsia="宋体" w:cs="Times New Roman"/>
                <w:bCs/>
                <w:color w:val="auto"/>
                <w:sz w:val="21"/>
                <w:szCs w:val="21"/>
                <w:highlight w:val="none"/>
                <w:lang w:val="en-US" w:eastAsia="zh-CN" w:bidi="ar"/>
              </w:rPr>
              <w:t>硫化物</w:t>
            </w:r>
          </w:p>
        </w:tc>
        <w:tc>
          <w:tcPr>
            <w:tcW w:w="1214" w:type="dxa"/>
            <w:noWrap w:val="0"/>
            <w:vAlign w:val="center"/>
          </w:tcPr>
          <w:p w14:paraId="010851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0.15</w:t>
            </w:r>
          </w:p>
        </w:tc>
        <w:tc>
          <w:tcPr>
            <w:tcW w:w="1214" w:type="dxa"/>
            <w:noWrap w:val="0"/>
            <w:vAlign w:val="center"/>
          </w:tcPr>
          <w:p w14:paraId="7A444B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0.15</w:t>
            </w:r>
          </w:p>
        </w:tc>
        <w:tc>
          <w:tcPr>
            <w:tcW w:w="1220" w:type="dxa"/>
            <w:noWrap w:val="0"/>
            <w:vAlign w:val="center"/>
          </w:tcPr>
          <w:p w14:paraId="60AA60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iCs w:val="0"/>
                <w:color w:val="000000"/>
                <w:kern w:val="0"/>
                <w:sz w:val="21"/>
                <w:szCs w:val="21"/>
                <w:highlight w:val="none"/>
                <w:u w:val="none"/>
                <w:lang w:val="en-US" w:eastAsia="zh-CN" w:bidi="ar"/>
              </w:rPr>
              <w:t>0.15</w:t>
            </w:r>
          </w:p>
        </w:tc>
      </w:tr>
      <w:tr w14:paraId="2AAAA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556C193D">
            <w:pPr>
              <w:jc w:val="center"/>
              <w:rPr>
                <w:rFonts w:hint="eastAsia" w:ascii="Times New Roman" w:hAnsi="Times New Roman" w:eastAsia="宋体" w:cs="Times New Roman"/>
                <w:bCs/>
                <w:color w:val="auto"/>
                <w:sz w:val="21"/>
                <w:szCs w:val="21"/>
                <w:highlight w:val="none"/>
                <w:lang w:val="en-US" w:eastAsia="zh-CN" w:bidi="ar"/>
              </w:rPr>
            </w:pPr>
            <w:r>
              <w:rPr>
                <w:rFonts w:hint="eastAsia" w:ascii="Times New Roman" w:hAnsi="Times New Roman" w:eastAsia="宋体" w:cs="Times New Roman"/>
                <w:bCs/>
                <w:color w:val="auto"/>
                <w:sz w:val="21"/>
                <w:szCs w:val="21"/>
                <w:highlight w:val="none"/>
                <w:lang w:val="en-US" w:eastAsia="zh-CN" w:bidi="ar"/>
              </w:rPr>
              <w:t>钠</w:t>
            </w:r>
          </w:p>
        </w:tc>
        <w:tc>
          <w:tcPr>
            <w:tcW w:w="1214" w:type="dxa"/>
            <w:noWrap w:val="0"/>
            <w:vAlign w:val="center"/>
          </w:tcPr>
          <w:p w14:paraId="08664F1F">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0.50 </w:t>
            </w:r>
          </w:p>
        </w:tc>
        <w:tc>
          <w:tcPr>
            <w:tcW w:w="1214" w:type="dxa"/>
            <w:noWrap w:val="0"/>
            <w:vAlign w:val="center"/>
          </w:tcPr>
          <w:p w14:paraId="4A8C535D">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0.70 </w:t>
            </w:r>
          </w:p>
        </w:tc>
        <w:tc>
          <w:tcPr>
            <w:tcW w:w="1220" w:type="dxa"/>
            <w:noWrap w:val="0"/>
            <w:vAlign w:val="center"/>
          </w:tcPr>
          <w:p w14:paraId="20DCCDBD">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0.83 </w:t>
            </w:r>
          </w:p>
        </w:tc>
      </w:tr>
      <w:tr w14:paraId="104CD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339D2923">
            <w:pPr>
              <w:jc w:val="center"/>
              <w:rPr>
                <w:rFonts w:hint="eastAsia" w:ascii="Times New Roman" w:hAnsi="Times New Roman" w:eastAsia="宋体" w:cs="Times New Roman"/>
                <w:bCs/>
                <w:color w:val="auto"/>
                <w:sz w:val="21"/>
                <w:szCs w:val="21"/>
                <w:highlight w:val="none"/>
                <w:lang w:val="en-US" w:eastAsia="zh-CN" w:bidi="ar"/>
              </w:rPr>
            </w:pPr>
            <w:r>
              <w:rPr>
                <w:rFonts w:hint="eastAsia" w:ascii="Times New Roman" w:hAnsi="Times New Roman" w:eastAsia="宋体" w:cs="Times New Roman"/>
                <w:bCs/>
                <w:color w:val="auto"/>
                <w:sz w:val="21"/>
                <w:szCs w:val="21"/>
                <w:highlight w:val="none"/>
                <w:lang w:val="en-US" w:eastAsia="zh-CN" w:bidi="ar"/>
              </w:rPr>
              <w:t>总大肠菌群</w:t>
            </w:r>
          </w:p>
        </w:tc>
        <w:tc>
          <w:tcPr>
            <w:tcW w:w="1214" w:type="dxa"/>
            <w:noWrap w:val="0"/>
            <w:vAlign w:val="center"/>
          </w:tcPr>
          <w:p w14:paraId="6CB7A86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0.33</w:t>
            </w:r>
          </w:p>
        </w:tc>
        <w:tc>
          <w:tcPr>
            <w:tcW w:w="1214" w:type="dxa"/>
            <w:noWrap w:val="0"/>
            <w:vAlign w:val="center"/>
          </w:tcPr>
          <w:p w14:paraId="4DA10539">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0.33</w:t>
            </w:r>
          </w:p>
        </w:tc>
        <w:tc>
          <w:tcPr>
            <w:tcW w:w="1220" w:type="dxa"/>
            <w:noWrap w:val="0"/>
            <w:vAlign w:val="center"/>
          </w:tcPr>
          <w:p w14:paraId="13DCD3E5">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color w:val="auto"/>
                <w:kern w:val="0"/>
                <w:sz w:val="21"/>
                <w:szCs w:val="21"/>
                <w:highlight w:val="none"/>
                <w:u w:val="none"/>
                <w:lang w:val="en-US" w:eastAsia="zh-CN" w:bidi="ar"/>
              </w:rPr>
              <w:t>&lt;</w:t>
            </w:r>
            <w:r>
              <w:rPr>
                <w:rFonts w:hint="eastAsia" w:ascii="Times New Roman" w:hAnsi="Times New Roman" w:eastAsia="宋体" w:cs="Times New Roman"/>
                <w:i w:val="0"/>
                <w:color w:val="auto"/>
                <w:kern w:val="0"/>
                <w:sz w:val="21"/>
                <w:szCs w:val="21"/>
                <w:highlight w:val="none"/>
                <w:u w:val="none"/>
                <w:lang w:val="en-US" w:eastAsia="zh-CN" w:bidi="ar"/>
              </w:rPr>
              <w:t>0.33</w:t>
            </w:r>
          </w:p>
        </w:tc>
      </w:tr>
      <w:tr w14:paraId="2C14B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0" w:type="dxa"/>
            <w:noWrap w:val="0"/>
            <w:vAlign w:val="center"/>
          </w:tcPr>
          <w:p w14:paraId="2B9B2FE6">
            <w:pPr>
              <w:jc w:val="center"/>
              <w:rPr>
                <w:rFonts w:hint="eastAsia" w:ascii="Times New Roman" w:hAnsi="Times New Roman" w:eastAsia="宋体" w:cs="Times New Roman"/>
                <w:bCs/>
                <w:color w:val="auto"/>
                <w:sz w:val="21"/>
                <w:szCs w:val="21"/>
                <w:highlight w:val="none"/>
                <w:lang w:val="en-US" w:eastAsia="zh-CN" w:bidi="ar"/>
              </w:rPr>
            </w:pPr>
            <w:r>
              <w:rPr>
                <w:rFonts w:hint="eastAsia" w:ascii="Times New Roman" w:hAnsi="Times New Roman" w:eastAsia="宋体" w:cs="Times New Roman"/>
                <w:bCs/>
                <w:color w:val="auto"/>
                <w:sz w:val="21"/>
                <w:szCs w:val="21"/>
                <w:highlight w:val="none"/>
                <w:lang w:val="en-US" w:eastAsia="zh-CN" w:bidi="ar"/>
              </w:rPr>
              <w:t>菌落总数</w:t>
            </w:r>
          </w:p>
        </w:tc>
        <w:tc>
          <w:tcPr>
            <w:tcW w:w="1214" w:type="dxa"/>
            <w:noWrap w:val="0"/>
            <w:vAlign w:val="center"/>
          </w:tcPr>
          <w:p w14:paraId="1B38CB19">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0.22 </w:t>
            </w:r>
          </w:p>
        </w:tc>
        <w:tc>
          <w:tcPr>
            <w:tcW w:w="1214" w:type="dxa"/>
            <w:noWrap w:val="0"/>
            <w:vAlign w:val="center"/>
          </w:tcPr>
          <w:p w14:paraId="00D053A3">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0.28 </w:t>
            </w:r>
          </w:p>
        </w:tc>
        <w:tc>
          <w:tcPr>
            <w:tcW w:w="1220" w:type="dxa"/>
            <w:noWrap w:val="0"/>
            <w:vAlign w:val="center"/>
          </w:tcPr>
          <w:p w14:paraId="332D72C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 xml:space="preserve">0.22 </w:t>
            </w:r>
          </w:p>
        </w:tc>
      </w:tr>
    </w:tbl>
    <w:p w14:paraId="3B49494A">
      <w:pPr>
        <w:keepNext w:val="0"/>
        <w:keepLines w:val="0"/>
        <w:pageBreakBefore w:val="0"/>
        <w:widowControl w:val="0"/>
        <w:kinsoku/>
        <w:wordWrap/>
        <w:overflowPunct w:val="0"/>
        <w:topLinePunct/>
        <w:autoSpaceDE/>
        <w:autoSpaceDN/>
        <w:bidi w:val="0"/>
        <w:adjustRightInd/>
        <w:snapToGrid/>
        <w:spacing w:beforeAutospacing="0" w:afterAutospacing="0" w:line="360" w:lineRule="auto"/>
        <w:ind w:firstLine="480" w:firstLineChars="200"/>
        <w:jc w:val="left"/>
        <w:textAlignment w:val="auto"/>
        <w:rPr>
          <w:rFonts w:hint="default" w:ascii="Times New Roman" w:hAnsi="Times New Roman" w:eastAsia="宋体" w:cs="Times New Roman"/>
          <w:color w:val="auto"/>
          <w:kern w:val="2"/>
          <w:sz w:val="24"/>
          <w:szCs w:val="21"/>
        </w:rPr>
      </w:pPr>
      <w:r>
        <w:rPr>
          <w:rFonts w:hint="default" w:ascii="Times New Roman" w:hAnsi="Times New Roman" w:eastAsia="宋体" w:cs="Times New Roman"/>
          <w:caps w:val="0"/>
          <w:color w:val="000000"/>
          <w:spacing w:val="0"/>
          <w:w w:val="100"/>
          <w:kern w:val="0"/>
          <w:position w:val="0"/>
          <w:sz w:val="24"/>
          <w:highlight w:val="none"/>
        </w:rPr>
        <w:t>由监测及评价结果可知，监测井现状监测结果中各项监测指标均满足《地下水质量标准》（</w:t>
      </w:r>
      <w:r>
        <w:rPr>
          <w:rFonts w:hint="default" w:ascii="Times New Roman" w:hAnsi="Times New Roman" w:eastAsia="Times New Roman" w:cs="Times New Roman"/>
          <w:caps w:val="0"/>
          <w:color w:val="000000"/>
          <w:spacing w:val="0"/>
          <w:w w:val="100"/>
          <w:kern w:val="0"/>
          <w:position w:val="0"/>
          <w:sz w:val="24"/>
          <w:highlight w:val="none"/>
        </w:rPr>
        <w:t>GB/T14848-2017</w:t>
      </w:r>
      <w:r>
        <w:rPr>
          <w:rFonts w:hint="default" w:ascii="Times New Roman" w:hAnsi="Times New Roman" w:eastAsia="宋体" w:cs="Times New Roman"/>
          <w:caps w:val="0"/>
          <w:color w:val="000000"/>
          <w:spacing w:val="0"/>
          <w:w w:val="100"/>
          <w:kern w:val="0"/>
          <w:position w:val="0"/>
          <w:sz w:val="24"/>
          <w:highlight w:val="none"/>
        </w:rPr>
        <w:t>）中</w:t>
      </w:r>
      <w:r>
        <w:rPr>
          <w:rFonts w:hint="default" w:ascii="Times New Roman" w:hAnsi="Times New Roman" w:eastAsia="Times New Roman" w:cs="Times New Roman"/>
          <w:caps w:val="0"/>
          <w:color w:val="000000"/>
          <w:spacing w:val="0"/>
          <w:w w:val="100"/>
          <w:kern w:val="0"/>
          <w:position w:val="0"/>
          <w:sz w:val="24"/>
          <w:highlight w:val="none"/>
        </w:rPr>
        <w:t>Ⅲ</w:t>
      </w:r>
      <w:r>
        <w:rPr>
          <w:rFonts w:hint="default" w:ascii="Times New Roman" w:hAnsi="Times New Roman" w:eastAsia="宋体" w:cs="Times New Roman"/>
          <w:caps w:val="0"/>
          <w:color w:val="000000"/>
          <w:spacing w:val="0"/>
          <w:w w:val="100"/>
          <w:kern w:val="0"/>
          <w:position w:val="0"/>
          <w:sz w:val="24"/>
          <w:highlight w:val="none"/>
        </w:rPr>
        <w:t>类水标准的要求</w:t>
      </w:r>
      <w:r>
        <w:rPr>
          <w:rFonts w:hint="default" w:ascii="Times New Roman" w:hAnsi="Times New Roman" w:eastAsia="宋体" w:cs="Times New Roman"/>
          <w:color w:val="auto"/>
          <w:kern w:val="2"/>
          <w:sz w:val="24"/>
          <w:szCs w:val="21"/>
        </w:rPr>
        <w:t>。</w:t>
      </w:r>
    </w:p>
    <w:p w14:paraId="51C307D5">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bookmarkStart w:id="525" w:name="_Toc27272"/>
      <w:bookmarkStart w:id="526" w:name="_Toc422307270"/>
      <w:bookmarkStart w:id="527" w:name="_Toc282689261"/>
      <w:bookmarkStart w:id="528" w:name="_Toc28026"/>
      <w:bookmarkStart w:id="529" w:name="_Toc265800216"/>
      <w:bookmarkStart w:id="530" w:name="_Toc484105107"/>
      <w:bookmarkStart w:id="531" w:name="_Toc246236391"/>
      <w:bookmarkStart w:id="532" w:name="_Toc370052904"/>
      <w:bookmarkStart w:id="533" w:name="_Toc8060"/>
      <w:bookmarkStart w:id="534" w:name="_Toc265437433"/>
      <w:bookmarkStart w:id="535" w:name="_Toc271828092"/>
      <w:bookmarkStart w:id="536" w:name="_Toc32266"/>
      <w:bookmarkStart w:id="537" w:name="_Toc391741198"/>
      <w:bookmarkStart w:id="538" w:name="_Toc265440712"/>
      <w:r>
        <w:rPr>
          <w:rFonts w:hint="default" w:ascii="Times New Roman" w:hAnsi="Times New Roman" w:eastAsia="宋体" w:cs="Times New Roman"/>
          <w:b/>
          <w:kern w:val="2"/>
          <w:sz w:val="24"/>
          <w:szCs w:val="24"/>
          <w:lang w:val="en-US" w:eastAsia="zh-CN" w:bidi="ar-SA"/>
        </w:rPr>
        <w:t>4.2.2.</w:t>
      </w:r>
      <w:r>
        <w:rPr>
          <w:rFonts w:hint="eastAsia" w:ascii="Times New Roman" w:hAnsi="Times New Roman" w:eastAsia="宋体" w:cs="Times New Roman"/>
          <w:b/>
          <w:kern w:val="2"/>
          <w:sz w:val="24"/>
          <w:szCs w:val="24"/>
          <w:lang w:val="en-US" w:eastAsia="zh-CN" w:bidi="ar-SA"/>
        </w:rPr>
        <w:t>7地下水位调查情况</w:t>
      </w:r>
    </w:p>
    <w:p w14:paraId="56051191">
      <w:pPr>
        <w:spacing w:line="360" w:lineRule="auto"/>
        <w:ind w:firstLine="480" w:firstLineChars="200"/>
        <w:rPr>
          <w:rFonts w:hint="eastAsia" w:ascii="Times New Roman" w:hAnsi="Times New Roman" w:eastAsia="宋体" w:cs="Times New Roman"/>
          <w:color w:val="auto"/>
          <w:kern w:val="2"/>
          <w:sz w:val="24"/>
          <w:szCs w:val="24"/>
          <w:lang w:val="en-US" w:eastAsia="zh-CN"/>
        </w:rPr>
      </w:pPr>
      <w:bookmarkStart w:id="539" w:name="_Hlk164155630"/>
      <w:r>
        <w:rPr>
          <w:rFonts w:hint="eastAsia" w:ascii="Times New Roman" w:hAnsi="Times New Roman" w:eastAsia="宋体" w:cs="Times New Roman"/>
          <w:color w:val="auto"/>
          <w:kern w:val="2"/>
          <w:sz w:val="24"/>
          <w:szCs w:val="24"/>
          <w:lang w:val="en-US" w:eastAsia="zh-CN"/>
        </w:rPr>
        <w:t xml:space="preserve">根据《环境影响评价技术导则 地下水环境》（HJ 610-2016）评价等级为三级的建设项目，若掌握近3年内至少一期的监测资料，评价期内可不再进行现状水位监测。 </w:t>
      </w:r>
    </w:p>
    <w:p w14:paraId="113EDD1F">
      <w:pPr>
        <w:spacing w:line="360" w:lineRule="auto"/>
        <w:ind w:firstLine="480" w:firstLineChars="200"/>
        <w:rPr>
          <w:rFonts w:hint="eastAsia" w:ascii="Times New Roman" w:hAnsi="Times New Roman" w:eastAsia="宋体" w:cs="Times New Roman"/>
          <w:color w:val="000000"/>
          <w:sz w:val="24"/>
          <w:szCs w:val="24"/>
        </w:rPr>
      </w:pPr>
      <w:r>
        <w:rPr>
          <w:rFonts w:hint="eastAsia" w:ascii="Times New Roman" w:hAnsi="Times New Roman" w:eastAsia="宋体" w:cs="Times New Roman"/>
          <w:color w:val="auto"/>
          <w:kern w:val="2"/>
          <w:sz w:val="24"/>
          <w:szCs w:val="24"/>
        </w:rPr>
        <w:t>通过收集区域地下水位信息，浅表层土岩性以含砂砾石为主，渗透性能较好，</w:t>
      </w:r>
      <w:r>
        <w:rPr>
          <w:rFonts w:hint="eastAsia" w:ascii="Times New Roman" w:hAnsi="Times New Roman" w:eastAsia="宋体" w:cs="Times New Roman"/>
          <w:color w:val="000000"/>
          <w:sz w:val="24"/>
          <w:szCs w:val="24"/>
        </w:rPr>
        <w:t>地下水位在</w:t>
      </w:r>
      <w:r>
        <w:rPr>
          <w:rFonts w:hint="eastAsia" w:cs="Times New Roman"/>
          <w:color w:val="000000"/>
          <w:sz w:val="24"/>
          <w:szCs w:val="24"/>
          <w:highlight w:val="none"/>
          <w:lang w:val="en-US" w:eastAsia="zh-CN"/>
        </w:rPr>
        <w:t>12—23</w:t>
      </w:r>
      <w:r>
        <w:rPr>
          <w:rFonts w:hint="eastAsia" w:ascii="Times New Roman" w:hAnsi="Times New Roman" w:eastAsia="宋体" w:cs="Times New Roman"/>
          <w:color w:val="000000"/>
          <w:sz w:val="24"/>
          <w:szCs w:val="24"/>
          <w:highlight w:val="none"/>
        </w:rPr>
        <w:t>m之间</w:t>
      </w:r>
      <w:r>
        <w:rPr>
          <w:rFonts w:hint="eastAsia" w:ascii="Times New Roman" w:hAnsi="Times New Roman" w:eastAsia="宋体" w:cs="Times New Roman"/>
          <w:color w:val="000000"/>
          <w:sz w:val="24"/>
          <w:szCs w:val="24"/>
        </w:rPr>
        <w:t>。</w:t>
      </w:r>
    </w:p>
    <w:p w14:paraId="049BB28D">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表4.</w:t>
      </w:r>
      <w:r>
        <w:rPr>
          <w:rFonts w:hint="eastAsia" w:ascii="Times New Roman" w:hAnsi="Times New Roman" w:eastAsia="宋体" w:cs="Times New Roman"/>
          <w:b/>
          <w:sz w:val="24"/>
          <w:szCs w:val="24"/>
          <w:lang w:val="en-US" w:eastAsia="zh-CN"/>
        </w:rPr>
        <w:t>3</w:t>
      </w:r>
      <w:r>
        <w:rPr>
          <w:rFonts w:hint="default" w:ascii="Times New Roman" w:hAnsi="Times New Roman" w:eastAsia="宋体" w:cs="Times New Roman"/>
          <w:b/>
          <w:sz w:val="24"/>
          <w:szCs w:val="24"/>
        </w:rPr>
        <w:t>-</w:t>
      </w:r>
      <w:r>
        <w:rPr>
          <w:rFonts w:hint="eastAsia" w:ascii="Times New Roman" w:hAnsi="Times New Roman" w:eastAsia="宋体" w:cs="Times New Roman"/>
          <w:b/>
          <w:sz w:val="24"/>
          <w:szCs w:val="24"/>
          <w:lang w:val="en-US" w:eastAsia="zh-CN"/>
        </w:rPr>
        <w:t>7</w:t>
      </w:r>
      <w:r>
        <w:rPr>
          <w:rFonts w:hint="default" w:ascii="Times New Roman" w:hAnsi="Times New Roman" w:eastAsia="宋体" w:cs="Times New Roman"/>
          <w:b/>
          <w:sz w:val="24"/>
          <w:szCs w:val="24"/>
        </w:rPr>
        <w:t>地下水</w:t>
      </w:r>
      <w:r>
        <w:rPr>
          <w:rFonts w:hint="eastAsia" w:ascii="Times New Roman" w:hAnsi="Times New Roman" w:eastAsia="宋体" w:cs="Times New Roman"/>
          <w:b/>
          <w:sz w:val="24"/>
          <w:szCs w:val="24"/>
        </w:rPr>
        <w:t>水位</w:t>
      </w:r>
      <w:r>
        <w:rPr>
          <w:rFonts w:hint="default" w:ascii="Times New Roman" w:hAnsi="Times New Roman" w:eastAsia="宋体" w:cs="Times New Roman"/>
          <w:b/>
          <w:sz w:val="24"/>
          <w:szCs w:val="24"/>
        </w:rPr>
        <w:t>监测结果表</w:t>
      </w:r>
    </w:p>
    <w:tbl>
      <w:tblPr>
        <w:tblStyle w:val="21"/>
        <w:tblW w:w="49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3663"/>
        <w:gridCol w:w="1665"/>
        <w:gridCol w:w="1880"/>
      </w:tblGrid>
      <w:tr w14:paraId="5FEF7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672293D4">
            <w:pPr>
              <w:jc w:val="center"/>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点位</w:t>
            </w:r>
          </w:p>
        </w:tc>
        <w:tc>
          <w:tcPr>
            <w:tcW w:w="2153" w:type="pct"/>
            <w:tcBorders>
              <w:tl2br w:val="nil"/>
              <w:tr2bl w:val="nil"/>
            </w:tcBorders>
            <w:vAlign w:val="center"/>
          </w:tcPr>
          <w:p w14:paraId="5548149C">
            <w:pPr>
              <w:jc w:val="center"/>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坐标</w:t>
            </w:r>
          </w:p>
        </w:tc>
        <w:tc>
          <w:tcPr>
            <w:tcW w:w="979" w:type="pct"/>
            <w:tcBorders>
              <w:tl2br w:val="nil"/>
              <w:tr2bl w:val="nil"/>
            </w:tcBorders>
            <w:vAlign w:val="center"/>
          </w:tcPr>
          <w:p w14:paraId="6DC3DB9C">
            <w:pPr>
              <w:jc w:val="center"/>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水位</w:t>
            </w:r>
          </w:p>
        </w:tc>
        <w:tc>
          <w:tcPr>
            <w:tcW w:w="1105" w:type="pct"/>
            <w:tcBorders>
              <w:tl2br w:val="nil"/>
              <w:tr2bl w:val="nil"/>
            </w:tcBorders>
          </w:tcPr>
          <w:p w14:paraId="65EF0335">
            <w:pPr>
              <w:jc w:val="center"/>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和项目位置关系</w:t>
            </w:r>
          </w:p>
        </w:tc>
      </w:tr>
      <w:tr w14:paraId="3D5DE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3ECAD57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3662" w:type="dxa"/>
            <w:tcBorders>
              <w:tl2br w:val="nil"/>
              <w:tr2bl w:val="nil"/>
            </w:tcBorders>
            <w:vAlign w:val="center"/>
          </w:tcPr>
          <w:p w14:paraId="38049F46">
            <w:pPr>
              <w:snapToGrid w:val="0"/>
              <w:spacing w:line="240" w:lineRule="auto"/>
              <w:ind w:left="72" w:lef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E84</w:t>
            </w:r>
            <w:r>
              <w:rPr>
                <w:rFonts w:hint="default" w:ascii="Times New Roman" w:hAnsi="Times New Roman" w:eastAsia="宋体" w:cs="Times New Roman"/>
                <w:color w:val="auto"/>
                <w:spacing w:val="-6"/>
                <w:kern w:val="2"/>
                <w:sz w:val="21"/>
                <w:szCs w:val="21"/>
                <w:highlight w:val="none"/>
                <w:lang w:val="en-US" w:eastAsia="zh-CN"/>
              </w:rPr>
              <w:t>°</w:t>
            </w:r>
            <w:r>
              <w:rPr>
                <w:rFonts w:hint="eastAsia" w:ascii="Times New Roman" w:hAnsi="Times New Roman" w:eastAsia="宋体" w:cs="Times New Roman"/>
                <w:color w:val="auto"/>
                <w:kern w:val="2"/>
                <w:sz w:val="21"/>
                <w:szCs w:val="21"/>
                <w:highlight w:val="none"/>
                <w:lang w:val="en-US" w:eastAsia="zh-CN" w:bidi="ar-SA"/>
              </w:rPr>
              <w:t>29</w:t>
            </w:r>
            <w:r>
              <w:rPr>
                <w:rFonts w:hint="default" w:ascii="Times New Roman" w:hAnsi="Times New Roman" w:eastAsia="宋体" w:cs="Times New Roman"/>
                <w:color w:val="auto"/>
                <w:spacing w:val="-6"/>
                <w:kern w:val="2"/>
                <w:sz w:val="21"/>
                <w:szCs w:val="21"/>
                <w:highlight w:val="none"/>
                <w:lang w:val="en-US" w:eastAsia="zh-CN"/>
              </w:rPr>
              <w:t>′</w:t>
            </w:r>
            <w:r>
              <w:rPr>
                <w:rFonts w:hint="eastAsia" w:ascii="Times New Roman" w:hAnsi="Times New Roman" w:eastAsia="宋体" w:cs="Times New Roman"/>
                <w:color w:val="auto"/>
                <w:kern w:val="2"/>
                <w:sz w:val="21"/>
                <w:szCs w:val="21"/>
                <w:highlight w:val="none"/>
                <w:lang w:val="en-US" w:eastAsia="zh-CN" w:bidi="ar-SA"/>
              </w:rPr>
              <w:t>39</w:t>
            </w:r>
            <w:r>
              <w:rPr>
                <w:rFonts w:hint="default" w:ascii="Times New Roman" w:hAnsi="Times New Roman" w:eastAsia="宋体" w:cs="Times New Roman"/>
                <w:color w:val="auto"/>
                <w:spacing w:val="-6"/>
                <w:kern w:val="2"/>
                <w:sz w:val="21"/>
                <w:szCs w:val="21"/>
                <w:highlight w:val="none"/>
                <w:lang w:val="en-US" w:eastAsia="zh-CN"/>
              </w:rPr>
              <w:t>″</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 xml:space="preserve"> N44</w:t>
            </w:r>
            <w:r>
              <w:rPr>
                <w:rFonts w:hint="default" w:ascii="Times New Roman" w:hAnsi="Times New Roman" w:eastAsia="宋体" w:cs="Times New Roman"/>
                <w:color w:val="auto"/>
                <w:spacing w:val="-6"/>
                <w:kern w:val="2"/>
                <w:sz w:val="21"/>
                <w:szCs w:val="21"/>
                <w:highlight w:val="none"/>
                <w:lang w:val="en-US" w:eastAsia="zh-CN"/>
              </w:rPr>
              <w:t>°</w:t>
            </w:r>
            <w:r>
              <w:rPr>
                <w:rFonts w:hint="eastAsia" w:ascii="Times New Roman" w:hAnsi="Times New Roman" w:eastAsia="宋体" w:cs="Times New Roman"/>
                <w:color w:val="auto"/>
                <w:kern w:val="2"/>
                <w:sz w:val="21"/>
                <w:szCs w:val="21"/>
                <w:highlight w:val="none"/>
                <w:lang w:val="en-US" w:eastAsia="zh-CN" w:bidi="ar-SA"/>
              </w:rPr>
              <w:t>44</w:t>
            </w:r>
            <w:r>
              <w:rPr>
                <w:rFonts w:hint="default" w:ascii="Times New Roman" w:hAnsi="Times New Roman" w:eastAsia="宋体" w:cs="Times New Roman"/>
                <w:color w:val="auto"/>
                <w:spacing w:val="-6"/>
                <w:kern w:val="2"/>
                <w:sz w:val="21"/>
                <w:szCs w:val="21"/>
                <w:highlight w:val="none"/>
                <w:lang w:val="en-US" w:eastAsia="zh-CN"/>
              </w:rPr>
              <w:t>′</w:t>
            </w:r>
            <w:r>
              <w:rPr>
                <w:rFonts w:hint="eastAsia" w:ascii="Times New Roman" w:hAnsi="Times New Roman" w:eastAsia="宋体" w:cs="Times New Roman"/>
                <w:color w:val="auto"/>
                <w:kern w:val="2"/>
                <w:sz w:val="21"/>
                <w:szCs w:val="21"/>
                <w:highlight w:val="none"/>
                <w:lang w:val="en-US" w:eastAsia="zh-CN" w:bidi="ar-SA"/>
              </w:rPr>
              <w:t>33</w:t>
            </w:r>
            <w:r>
              <w:rPr>
                <w:rFonts w:hint="default" w:ascii="Times New Roman" w:hAnsi="Times New Roman" w:eastAsia="宋体" w:cs="Times New Roman"/>
                <w:color w:val="auto"/>
                <w:spacing w:val="-6"/>
                <w:kern w:val="2"/>
                <w:sz w:val="21"/>
                <w:szCs w:val="21"/>
                <w:highlight w:val="none"/>
                <w:lang w:val="en-US" w:eastAsia="zh-CN"/>
              </w:rPr>
              <w:t>″</w:t>
            </w:r>
          </w:p>
        </w:tc>
        <w:tc>
          <w:tcPr>
            <w:tcW w:w="979" w:type="pct"/>
            <w:tcBorders>
              <w:tl2br w:val="nil"/>
              <w:tr2bl w:val="nil"/>
            </w:tcBorders>
            <w:vAlign w:val="center"/>
          </w:tcPr>
          <w:p w14:paraId="487CD72B">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w:t>
            </w:r>
            <w:r>
              <w:rPr>
                <w:rFonts w:hint="eastAsia" w:ascii="Times New Roman" w:hAnsi="Times New Roman" w:eastAsia="宋体" w:cs="Times New Roman"/>
                <w:color w:val="auto"/>
                <w:kern w:val="2"/>
                <w:sz w:val="21"/>
                <w:szCs w:val="21"/>
                <w:highlight w:val="none"/>
                <w:lang w:val="en-US" w:eastAsia="zh-CN" w:bidi="ar-SA"/>
              </w:rPr>
              <w:t>m</w:t>
            </w:r>
          </w:p>
        </w:tc>
        <w:tc>
          <w:tcPr>
            <w:tcW w:w="1105" w:type="pct"/>
            <w:tcBorders>
              <w:tl2br w:val="nil"/>
              <w:tr2bl w:val="nil"/>
            </w:tcBorders>
            <w:vAlign w:val="center"/>
          </w:tcPr>
          <w:p w14:paraId="58A66E19">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南侧0.6km</w:t>
            </w:r>
          </w:p>
        </w:tc>
      </w:tr>
      <w:tr w14:paraId="51CDD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17A8295D">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3662" w:type="dxa"/>
            <w:tcBorders>
              <w:tl2br w:val="nil"/>
              <w:tr2bl w:val="nil"/>
            </w:tcBorders>
            <w:vAlign w:val="center"/>
          </w:tcPr>
          <w:p w14:paraId="6B6B54BD">
            <w:pPr>
              <w:snapToGrid w:val="0"/>
              <w:spacing w:line="240" w:lineRule="auto"/>
              <w:ind w:left="72" w:lef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SA"/>
              </w:rPr>
              <w:t>E</w:t>
            </w:r>
            <w:r>
              <w:rPr>
                <w:rFonts w:hint="default" w:ascii="Times New Roman" w:hAnsi="Times New Roman" w:eastAsia="宋体" w:cs="Times New Roman"/>
                <w:color w:val="auto"/>
                <w:kern w:val="2"/>
                <w:sz w:val="21"/>
                <w:szCs w:val="21"/>
                <w:lang w:val="zh-CN" w:eastAsia="zh-CN" w:bidi="ar-SA"/>
              </w:rPr>
              <w:t>84°29</w:t>
            </w:r>
            <w:r>
              <w:rPr>
                <w:rFonts w:hint="default" w:ascii="Times New Roman" w:hAnsi="Times New Roman" w:eastAsia="宋体" w:cs="Times New Roman"/>
                <w:color w:val="auto"/>
                <w:spacing w:val="-6"/>
                <w:kern w:val="2"/>
                <w:sz w:val="21"/>
                <w:szCs w:val="21"/>
                <w:highlight w:val="none"/>
                <w:lang w:val="en-US" w:eastAsia="zh-CN"/>
              </w:rPr>
              <w:t>′</w:t>
            </w:r>
            <w:r>
              <w:rPr>
                <w:rFonts w:hint="default" w:ascii="Times New Roman" w:hAnsi="Times New Roman" w:eastAsia="宋体" w:cs="Times New Roman"/>
                <w:color w:val="auto"/>
                <w:kern w:val="2"/>
                <w:sz w:val="21"/>
                <w:szCs w:val="21"/>
                <w:lang w:val="zh-CN" w:eastAsia="zh-CN" w:bidi="ar-SA"/>
              </w:rPr>
              <w:t>43</w:t>
            </w:r>
            <w:r>
              <w:rPr>
                <w:rFonts w:hint="default" w:ascii="Times New Roman" w:hAnsi="Times New Roman" w:eastAsia="宋体" w:cs="Times New Roman"/>
                <w:color w:val="auto"/>
                <w:spacing w:val="-6"/>
                <w:kern w:val="2"/>
                <w:sz w:val="21"/>
                <w:szCs w:val="21"/>
                <w:highlight w:val="none"/>
                <w:lang w:val="en-US" w:eastAsia="zh-CN"/>
              </w:rPr>
              <w:t>″</w:t>
            </w:r>
            <w:r>
              <w:rPr>
                <w:rFonts w:hint="eastAsia" w:cs="Times New Roman"/>
                <w:color w:val="auto"/>
                <w:kern w:val="2"/>
                <w:sz w:val="21"/>
                <w:szCs w:val="21"/>
                <w:lang w:val="zh-CN" w:eastAsia="zh-CN" w:bidi="ar-SA"/>
              </w:rPr>
              <w:t>，</w:t>
            </w:r>
            <w:r>
              <w:rPr>
                <w:rFonts w:hint="default" w:ascii="Times New Roman" w:hAnsi="Times New Roman" w:eastAsia="宋体" w:cs="Times New Roman"/>
                <w:color w:val="auto"/>
                <w:kern w:val="2"/>
                <w:sz w:val="21"/>
                <w:szCs w:val="21"/>
                <w:lang w:val="zh-CN" w:eastAsia="zh-CN" w:bidi="ar-SA"/>
              </w:rPr>
              <w:t>N44°44</w:t>
            </w:r>
            <w:r>
              <w:rPr>
                <w:rFonts w:hint="default" w:ascii="Times New Roman" w:hAnsi="Times New Roman" w:eastAsia="宋体" w:cs="Times New Roman"/>
                <w:color w:val="auto"/>
                <w:spacing w:val="-6"/>
                <w:kern w:val="2"/>
                <w:sz w:val="21"/>
                <w:szCs w:val="21"/>
                <w:highlight w:val="none"/>
                <w:lang w:val="en-US" w:eastAsia="zh-CN"/>
              </w:rPr>
              <w:t>′</w:t>
            </w:r>
            <w:r>
              <w:rPr>
                <w:rFonts w:hint="default" w:ascii="Times New Roman" w:hAnsi="Times New Roman" w:eastAsia="宋体" w:cs="Times New Roman"/>
                <w:color w:val="auto"/>
                <w:kern w:val="2"/>
                <w:sz w:val="21"/>
                <w:szCs w:val="21"/>
                <w:lang w:val="zh-CN" w:eastAsia="zh-CN" w:bidi="ar-SA"/>
              </w:rPr>
              <w:t>46</w:t>
            </w:r>
            <w:r>
              <w:rPr>
                <w:rFonts w:hint="default" w:ascii="Times New Roman" w:hAnsi="Times New Roman" w:eastAsia="宋体" w:cs="Times New Roman"/>
                <w:color w:val="auto"/>
                <w:spacing w:val="-6"/>
                <w:kern w:val="2"/>
                <w:sz w:val="21"/>
                <w:szCs w:val="21"/>
                <w:highlight w:val="none"/>
                <w:lang w:val="en-US" w:eastAsia="zh-CN"/>
              </w:rPr>
              <w:t>″</w:t>
            </w:r>
          </w:p>
        </w:tc>
        <w:tc>
          <w:tcPr>
            <w:tcW w:w="979" w:type="pct"/>
            <w:tcBorders>
              <w:tl2br w:val="nil"/>
              <w:tr2bl w:val="nil"/>
            </w:tcBorders>
            <w:vAlign w:val="center"/>
          </w:tcPr>
          <w:p w14:paraId="71392A7C">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w:t>
            </w:r>
            <w:r>
              <w:rPr>
                <w:rFonts w:hint="eastAsia" w:ascii="Times New Roman" w:hAnsi="Times New Roman" w:eastAsia="宋体" w:cs="Times New Roman"/>
                <w:color w:val="auto"/>
                <w:kern w:val="2"/>
                <w:sz w:val="21"/>
                <w:szCs w:val="21"/>
                <w:highlight w:val="none"/>
                <w:lang w:val="en-US" w:eastAsia="zh-CN" w:bidi="ar-SA"/>
              </w:rPr>
              <w:t>m</w:t>
            </w:r>
          </w:p>
        </w:tc>
        <w:tc>
          <w:tcPr>
            <w:tcW w:w="1105" w:type="pct"/>
            <w:tcBorders>
              <w:tl2br w:val="nil"/>
              <w:tr2bl w:val="nil"/>
            </w:tcBorders>
            <w:vAlign w:val="center"/>
          </w:tcPr>
          <w:p w14:paraId="033520B6">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pacing w:val="-6"/>
                <w:kern w:val="2"/>
                <w:sz w:val="21"/>
                <w:szCs w:val="21"/>
                <w:highlight w:val="none"/>
                <w:lang w:val="en-US" w:eastAsia="zh-CN"/>
              </w:rPr>
              <w:t>项目区内</w:t>
            </w:r>
          </w:p>
        </w:tc>
      </w:tr>
      <w:tr w14:paraId="0771E9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5F6CA31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3662" w:type="dxa"/>
            <w:tcBorders>
              <w:tl2br w:val="nil"/>
              <w:tr2bl w:val="nil"/>
            </w:tcBorders>
            <w:vAlign w:val="center"/>
          </w:tcPr>
          <w:p w14:paraId="66FEA897">
            <w:pPr>
              <w:snapToGrid w:val="0"/>
              <w:spacing w:line="240" w:lineRule="auto"/>
              <w:ind w:left="72" w:lef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6"/>
                <w:kern w:val="2"/>
                <w:sz w:val="21"/>
                <w:szCs w:val="21"/>
                <w:highlight w:val="none"/>
                <w:lang w:val="en-US" w:eastAsia="zh-CN"/>
              </w:rPr>
              <w:t>E84°29′53″</w:t>
            </w:r>
            <w:r>
              <w:rPr>
                <w:rFonts w:hint="eastAsia" w:cs="Times New Roman"/>
                <w:color w:val="auto"/>
                <w:spacing w:val="-6"/>
                <w:kern w:val="2"/>
                <w:sz w:val="21"/>
                <w:szCs w:val="21"/>
                <w:highlight w:val="none"/>
                <w:lang w:val="en-US" w:eastAsia="zh-CN"/>
              </w:rPr>
              <w:t>，</w:t>
            </w:r>
            <w:r>
              <w:rPr>
                <w:rFonts w:hint="default" w:ascii="Times New Roman" w:hAnsi="Times New Roman" w:eastAsia="宋体" w:cs="Times New Roman"/>
                <w:color w:val="auto"/>
                <w:spacing w:val="-6"/>
                <w:kern w:val="2"/>
                <w:sz w:val="21"/>
                <w:szCs w:val="21"/>
                <w:highlight w:val="none"/>
                <w:lang w:val="en-US" w:eastAsia="zh-CN"/>
              </w:rPr>
              <w:t>N44°44′58″</w:t>
            </w:r>
          </w:p>
        </w:tc>
        <w:tc>
          <w:tcPr>
            <w:tcW w:w="979" w:type="pct"/>
            <w:tcBorders>
              <w:tl2br w:val="nil"/>
              <w:tr2bl w:val="nil"/>
            </w:tcBorders>
            <w:vAlign w:val="center"/>
          </w:tcPr>
          <w:p w14:paraId="639E6466">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23</w:t>
            </w:r>
            <w:r>
              <w:rPr>
                <w:rFonts w:hint="eastAsia" w:ascii="Times New Roman" w:hAnsi="Times New Roman" w:eastAsia="宋体" w:cs="Times New Roman"/>
                <w:color w:val="auto"/>
                <w:kern w:val="2"/>
                <w:sz w:val="21"/>
                <w:szCs w:val="21"/>
                <w:highlight w:val="none"/>
                <w:lang w:val="en-US" w:eastAsia="zh-CN" w:bidi="ar-SA"/>
              </w:rPr>
              <w:t>m</w:t>
            </w:r>
          </w:p>
        </w:tc>
        <w:tc>
          <w:tcPr>
            <w:tcW w:w="1105" w:type="pct"/>
            <w:tcBorders>
              <w:tl2br w:val="nil"/>
              <w:tr2bl w:val="nil"/>
            </w:tcBorders>
            <w:vAlign w:val="center"/>
          </w:tcPr>
          <w:p w14:paraId="1F1C893C">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pacing w:val="-6"/>
                <w:kern w:val="2"/>
                <w:sz w:val="21"/>
                <w:szCs w:val="21"/>
                <w:highlight w:val="none"/>
                <w:lang w:val="en-US" w:eastAsia="zh-CN"/>
              </w:rPr>
              <w:t>北侧</w:t>
            </w:r>
            <w:r>
              <w:rPr>
                <w:rFonts w:hint="eastAsia" w:cs="Times New Roman"/>
                <w:color w:val="auto"/>
                <w:spacing w:val="-6"/>
                <w:kern w:val="2"/>
                <w:sz w:val="21"/>
                <w:szCs w:val="21"/>
                <w:highlight w:val="none"/>
                <w:lang w:val="en-US" w:eastAsia="zh-CN"/>
              </w:rPr>
              <w:t>0.2</w:t>
            </w:r>
            <w:r>
              <w:rPr>
                <w:rFonts w:hint="eastAsia" w:ascii="Times New Roman" w:hAnsi="Times New Roman" w:eastAsia="宋体" w:cs="Times New Roman"/>
                <w:color w:val="auto"/>
                <w:kern w:val="2"/>
                <w:sz w:val="21"/>
                <w:szCs w:val="21"/>
                <w:highlight w:val="none"/>
                <w:lang w:val="en-US" w:eastAsia="zh-CN" w:bidi="ar-SA"/>
              </w:rPr>
              <w:t>km</w:t>
            </w:r>
          </w:p>
        </w:tc>
      </w:tr>
      <w:tr w14:paraId="037C2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623E4E1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2153" w:type="pct"/>
            <w:tcBorders>
              <w:tl2br w:val="nil"/>
              <w:tr2bl w:val="nil"/>
            </w:tcBorders>
            <w:vAlign w:val="center"/>
          </w:tcPr>
          <w:p w14:paraId="6231205D">
            <w:pPr>
              <w:snapToGrid w:val="0"/>
              <w:spacing w:line="240" w:lineRule="auto"/>
              <w:ind w:left="72" w:lef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6"/>
                <w:kern w:val="2"/>
                <w:sz w:val="21"/>
                <w:szCs w:val="21"/>
                <w:highlight w:val="none"/>
                <w:lang w:val="en-US" w:eastAsia="zh-CN"/>
              </w:rPr>
              <w:t>E84°32′8.201″，N44°39′42.631″</w:t>
            </w:r>
          </w:p>
        </w:tc>
        <w:tc>
          <w:tcPr>
            <w:tcW w:w="979" w:type="pct"/>
            <w:tcBorders>
              <w:tl2br w:val="nil"/>
              <w:tr2bl w:val="nil"/>
            </w:tcBorders>
            <w:vAlign w:val="center"/>
          </w:tcPr>
          <w:p w14:paraId="4EFD3A1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r>
              <w:rPr>
                <w:rFonts w:hint="eastAsia" w:ascii="Times New Roman" w:hAnsi="Times New Roman" w:eastAsia="宋体" w:cs="Times New Roman"/>
                <w:color w:val="auto"/>
                <w:kern w:val="2"/>
                <w:sz w:val="21"/>
                <w:szCs w:val="21"/>
                <w:highlight w:val="none"/>
                <w:lang w:val="en-US" w:eastAsia="zh-CN" w:bidi="ar-SA"/>
              </w:rPr>
              <w:t>m</w:t>
            </w:r>
          </w:p>
        </w:tc>
        <w:tc>
          <w:tcPr>
            <w:tcW w:w="1105" w:type="pct"/>
            <w:tcBorders>
              <w:tl2br w:val="nil"/>
              <w:tr2bl w:val="nil"/>
            </w:tcBorders>
            <w:vAlign w:val="center"/>
          </w:tcPr>
          <w:p w14:paraId="077FC6C1">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pacing w:val="-6"/>
                <w:kern w:val="2"/>
                <w:sz w:val="21"/>
                <w:szCs w:val="21"/>
                <w:highlight w:val="none"/>
                <w:lang w:val="en-US" w:eastAsia="zh-CN"/>
              </w:rPr>
              <w:t>东南侧9.3</w:t>
            </w:r>
            <w:r>
              <w:rPr>
                <w:rFonts w:hint="eastAsia" w:ascii="Times New Roman" w:hAnsi="Times New Roman" w:eastAsia="宋体" w:cs="Times New Roman"/>
                <w:color w:val="auto"/>
                <w:kern w:val="2"/>
                <w:sz w:val="21"/>
                <w:szCs w:val="21"/>
                <w:highlight w:val="none"/>
                <w:lang w:val="en-US" w:eastAsia="zh-CN" w:bidi="ar-SA"/>
              </w:rPr>
              <w:t>km</w:t>
            </w:r>
          </w:p>
        </w:tc>
      </w:tr>
      <w:tr w14:paraId="115AF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07F8EF44">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c>
          <w:tcPr>
            <w:tcW w:w="2153" w:type="pct"/>
            <w:tcBorders>
              <w:tl2br w:val="nil"/>
              <w:tr2bl w:val="nil"/>
            </w:tcBorders>
            <w:vAlign w:val="center"/>
          </w:tcPr>
          <w:p w14:paraId="17A473D1">
            <w:pPr>
              <w:snapToGrid w:val="0"/>
              <w:spacing w:line="240" w:lineRule="auto"/>
              <w:ind w:left="72" w:leftChars="0"/>
              <w:jc w:val="center"/>
              <w:rPr>
                <w:rFonts w:hint="default" w:ascii="Times New Roman" w:hAnsi="Times New Roman" w:eastAsia="宋体" w:cs="Times New Roman"/>
                <w:color w:val="auto"/>
                <w:kern w:val="2"/>
                <w:sz w:val="21"/>
                <w:szCs w:val="21"/>
                <w:highlight w:val="yellow"/>
                <w:lang w:val="en-US" w:eastAsia="zh-CN" w:bidi="ar-SA"/>
              </w:rPr>
            </w:pPr>
            <w:r>
              <w:rPr>
                <w:rFonts w:hint="default" w:ascii="Times New Roman" w:hAnsi="Times New Roman" w:eastAsia="宋体" w:cs="Times New Roman"/>
                <w:color w:val="auto"/>
                <w:spacing w:val="-6"/>
                <w:kern w:val="2"/>
                <w:sz w:val="21"/>
                <w:szCs w:val="21"/>
                <w:highlight w:val="none"/>
                <w:lang w:val="en-US" w:eastAsia="zh-CN"/>
              </w:rPr>
              <w:t>E84°32′09.39″，</w:t>
            </w:r>
            <w:r>
              <w:rPr>
                <w:rFonts w:hint="eastAsia" w:cs="Times New Roman"/>
                <w:color w:val="auto"/>
                <w:spacing w:val="-6"/>
                <w:kern w:val="2"/>
                <w:sz w:val="21"/>
                <w:szCs w:val="21"/>
                <w:highlight w:val="none"/>
                <w:lang w:val="en-US" w:eastAsia="zh-CN"/>
              </w:rPr>
              <w:t>N</w:t>
            </w:r>
            <w:r>
              <w:rPr>
                <w:rFonts w:hint="default" w:ascii="Times New Roman" w:hAnsi="Times New Roman" w:eastAsia="宋体" w:cs="Times New Roman"/>
                <w:color w:val="auto"/>
                <w:spacing w:val="-6"/>
                <w:kern w:val="2"/>
                <w:sz w:val="21"/>
                <w:szCs w:val="21"/>
                <w:highlight w:val="none"/>
                <w:lang w:val="en-US" w:eastAsia="zh-CN"/>
              </w:rPr>
              <w:t>44°50′12.00″</w:t>
            </w:r>
          </w:p>
        </w:tc>
        <w:tc>
          <w:tcPr>
            <w:tcW w:w="979" w:type="pct"/>
            <w:tcBorders>
              <w:tl2br w:val="nil"/>
              <w:tr2bl w:val="nil"/>
            </w:tcBorders>
            <w:vAlign w:val="center"/>
          </w:tcPr>
          <w:p w14:paraId="2DDB013E">
            <w:pPr>
              <w:jc w:val="center"/>
              <w:rPr>
                <w:rFonts w:hint="eastAsia" w:ascii="Times New Roman" w:hAnsi="Times New Roman" w:eastAsia="宋体" w:cs="Times New Roman"/>
                <w:color w:val="auto"/>
                <w:kern w:val="2"/>
                <w:sz w:val="21"/>
                <w:szCs w:val="21"/>
                <w:highlight w:val="yellow"/>
                <w:lang w:val="en-US" w:eastAsia="zh-CN" w:bidi="ar-SA"/>
              </w:rPr>
            </w:pPr>
            <w:r>
              <w:rPr>
                <w:rFonts w:hint="eastAsia" w:cs="Times New Roman"/>
                <w:color w:val="auto"/>
                <w:kern w:val="2"/>
                <w:sz w:val="21"/>
                <w:szCs w:val="21"/>
                <w:highlight w:val="none"/>
                <w:lang w:val="en-US" w:eastAsia="zh-CN" w:bidi="ar-SA"/>
              </w:rPr>
              <w:t>20</w:t>
            </w:r>
            <w:r>
              <w:rPr>
                <w:rFonts w:hint="eastAsia" w:ascii="Times New Roman" w:hAnsi="Times New Roman" w:eastAsia="宋体" w:cs="Times New Roman"/>
                <w:color w:val="auto"/>
                <w:kern w:val="2"/>
                <w:sz w:val="21"/>
                <w:szCs w:val="21"/>
                <w:highlight w:val="none"/>
                <w:lang w:val="en-US" w:eastAsia="zh-CN" w:bidi="ar-SA"/>
              </w:rPr>
              <w:t>m</w:t>
            </w:r>
          </w:p>
        </w:tc>
        <w:tc>
          <w:tcPr>
            <w:tcW w:w="1105" w:type="pct"/>
            <w:tcBorders>
              <w:tl2br w:val="nil"/>
              <w:tr2bl w:val="nil"/>
            </w:tcBorders>
            <w:vAlign w:val="center"/>
          </w:tcPr>
          <w:p w14:paraId="1BEBC77D">
            <w:pPr>
              <w:spacing w:line="240" w:lineRule="auto"/>
              <w:jc w:val="center"/>
              <w:rPr>
                <w:rFonts w:hint="eastAsia" w:ascii="Times New Roman" w:hAnsi="Times New Roman" w:eastAsia="宋体" w:cs="Times New Roman"/>
                <w:color w:val="auto"/>
                <w:kern w:val="2"/>
                <w:sz w:val="21"/>
                <w:szCs w:val="21"/>
                <w:highlight w:val="yellow"/>
                <w:lang w:val="en-US" w:eastAsia="zh-CN" w:bidi="ar-SA"/>
              </w:rPr>
            </w:pPr>
            <w:r>
              <w:rPr>
                <w:rFonts w:hint="eastAsia" w:cs="Times New Roman"/>
                <w:color w:val="auto"/>
                <w:spacing w:val="-6"/>
                <w:kern w:val="2"/>
                <w:sz w:val="21"/>
                <w:szCs w:val="21"/>
                <w:highlight w:val="none"/>
                <w:lang w:val="en-US" w:eastAsia="zh-CN"/>
              </w:rPr>
              <w:t>东</w:t>
            </w:r>
            <w:r>
              <w:rPr>
                <w:rFonts w:hint="eastAsia" w:ascii="Times New Roman" w:hAnsi="Times New Roman" w:eastAsia="宋体" w:cs="Times New Roman"/>
                <w:color w:val="auto"/>
                <w:spacing w:val="-6"/>
                <w:kern w:val="2"/>
                <w:sz w:val="21"/>
                <w:szCs w:val="21"/>
                <w:highlight w:val="none"/>
                <w:lang w:val="en-US" w:eastAsia="zh-CN"/>
              </w:rPr>
              <w:t>北侧</w:t>
            </w:r>
            <w:r>
              <w:rPr>
                <w:rFonts w:hint="eastAsia" w:cs="Times New Roman"/>
                <w:color w:val="auto"/>
                <w:spacing w:val="-6"/>
                <w:kern w:val="2"/>
                <w:sz w:val="21"/>
                <w:szCs w:val="21"/>
                <w:highlight w:val="none"/>
                <w:lang w:val="en-US" w:eastAsia="zh-CN"/>
              </w:rPr>
              <w:t>10.3</w:t>
            </w:r>
            <w:r>
              <w:rPr>
                <w:rFonts w:hint="eastAsia" w:ascii="Times New Roman" w:hAnsi="Times New Roman" w:eastAsia="宋体" w:cs="Times New Roman"/>
                <w:color w:val="auto"/>
                <w:kern w:val="2"/>
                <w:sz w:val="21"/>
                <w:szCs w:val="21"/>
                <w:highlight w:val="none"/>
                <w:lang w:val="en-US" w:eastAsia="zh-CN" w:bidi="ar-SA"/>
              </w:rPr>
              <w:t>km</w:t>
            </w:r>
          </w:p>
        </w:tc>
      </w:tr>
      <w:tr w14:paraId="6C46E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1" w:type="pct"/>
            <w:tcBorders>
              <w:tl2br w:val="nil"/>
              <w:tr2bl w:val="nil"/>
            </w:tcBorders>
            <w:vAlign w:val="center"/>
          </w:tcPr>
          <w:p w14:paraId="4631D174">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p>
        </w:tc>
        <w:tc>
          <w:tcPr>
            <w:tcW w:w="2153" w:type="pct"/>
            <w:tcBorders>
              <w:tl2br w:val="nil"/>
              <w:tr2bl w:val="nil"/>
            </w:tcBorders>
            <w:vAlign w:val="center"/>
          </w:tcPr>
          <w:p w14:paraId="532A3628">
            <w:pPr>
              <w:jc w:val="center"/>
              <w:rPr>
                <w:rFonts w:hint="default" w:ascii="Times New Roman" w:hAnsi="Times New Roman" w:eastAsia="宋体" w:cs="Times New Roman"/>
                <w:color w:val="auto"/>
                <w:kern w:val="2"/>
                <w:sz w:val="21"/>
                <w:szCs w:val="21"/>
                <w:highlight w:val="yellow"/>
                <w:lang w:val="en-US" w:eastAsia="zh-CN" w:bidi="ar-SA"/>
              </w:rPr>
            </w:pPr>
            <w:r>
              <w:rPr>
                <w:rFonts w:hint="default" w:ascii="Times New Roman" w:hAnsi="Times New Roman" w:eastAsia="宋体" w:cs="Times New Roman"/>
                <w:color w:val="auto"/>
                <w:kern w:val="2"/>
                <w:sz w:val="21"/>
                <w:szCs w:val="21"/>
                <w:highlight w:val="none"/>
                <w:lang w:val="zh-CN" w:eastAsia="zh-CN" w:bidi="ar-SA"/>
              </w:rPr>
              <w:t>E84°32′32.44″，</w:t>
            </w:r>
            <w:r>
              <w:rPr>
                <w:rFonts w:hint="eastAsia" w:cs="Times New Roman"/>
                <w:color w:val="auto"/>
                <w:kern w:val="2"/>
                <w:sz w:val="21"/>
                <w:szCs w:val="21"/>
                <w:highlight w:val="none"/>
                <w:lang w:val="en-US" w:eastAsia="zh-CN" w:bidi="ar-SA"/>
              </w:rPr>
              <w:t>N</w:t>
            </w:r>
            <w:r>
              <w:rPr>
                <w:rFonts w:hint="default" w:ascii="Times New Roman" w:hAnsi="Times New Roman" w:eastAsia="宋体" w:cs="Times New Roman"/>
                <w:color w:val="auto"/>
                <w:kern w:val="2"/>
                <w:sz w:val="21"/>
                <w:szCs w:val="21"/>
                <w:highlight w:val="none"/>
                <w:lang w:val="zh-CN" w:eastAsia="zh-CN" w:bidi="ar-SA"/>
              </w:rPr>
              <w:t>44°50′53.52″</w:t>
            </w:r>
          </w:p>
        </w:tc>
        <w:tc>
          <w:tcPr>
            <w:tcW w:w="979" w:type="pct"/>
            <w:tcBorders>
              <w:tl2br w:val="nil"/>
              <w:tr2bl w:val="nil"/>
            </w:tcBorders>
            <w:vAlign w:val="center"/>
          </w:tcPr>
          <w:p w14:paraId="3A5437F4">
            <w:pPr>
              <w:jc w:val="center"/>
              <w:rPr>
                <w:rFonts w:hint="default" w:ascii="Times New Roman" w:hAnsi="Times New Roman" w:eastAsia="宋体" w:cs="Times New Roman"/>
                <w:color w:val="auto"/>
                <w:kern w:val="2"/>
                <w:sz w:val="21"/>
                <w:szCs w:val="21"/>
                <w:highlight w:val="yellow"/>
                <w:lang w:val="en-US" w:eastAsia="zh-CN" w:bidi="ar-SA"/>
              </w:rPr>
            </w:pPr>
            <w:r>
              <w:rPr>
                <w:rFonts w:hint="eastAsia" w:cs="Times New Roman"/>
                <w:color w:val="auto"/>
                <w:kern w:val="2"/>
                <w:sz w:val="21"/>
                <w:szCs w:val="21"/>
                <w:highlight w:val="none"/>
                <w:lang w:val="en-US" w:eastAsia="zh-CN" w:bidi="ar-SA"/>
              </w:rPr>
              <w:t>20</w:t>
            </w:r>
            <w:r>
              <w:rPr>
                <w:rFonts w:hint="eastAsia" w:ascii="Times New Roman" w:hAnsi="Times New Roman" w:eastAsia="宋体" w:cs="Times New Roman"/>
                <w:color w:val="auto"/>
                <w:kern w:val="2"/>
                <w:sz w:val="21"/>
                <w:szCs w:val="21"/>
                <w:highlight w:val="none"/>
                <w:lang w:val="en-US" w:eastAsia="zh-CN" w:bidi="ar-SA"/>
              </w:rPr>
              <w:t>m</w:t>
            </w:r>
          </w:p>
        </w:tc>
        <w:tc>
          <w:tcPr>
            <w:tcW w:w="1105" w:type="pct"/>
            <w:tcBorders>
              <w:tl2br w:val="nil"/>
              <w:tr2bl w:val="nil"/>
            </w:tcBorders>
            <w:vAlign w:val="center"/>
          </w:tcPr>
          <w:p w14:paraId="67A759C7">
            <w:pPr>
              <w:jc w:val="center"/>
              <w:rPr>
                <w:rFonts w:hint="eastAsia" w:ascii="Times New Roman" w:hAnsi="Times New Roman" w:eastAsia="宋体" w:cs="Times New Roman"/>
                <w:color w:val="auto"/>
                <w:kern w:val="2"/>
                <w:sz w:val="21"/>
                <w:szCs w:val="21"/>
                <w:highlight w:val="yellow"/>
                <w:lang w:val="en-US" w:eastAsia="zh-CN" w:bidi="ar-SA"/>
              </w:rPr>
            </w:pPr>
            <w:r>
              <w:rPr>
                <w:rFonts w:hint="eastAsia" w:cs="Times New Roman"/>
                <w:color w:val="auto"/>
                <w:spacing w:val="-6"/>
                <w:kern w:val="2"/>
                <w:sz w:val="21"/>
                <w:szCs w:val="21"/>
                <w:highlight w:val="none"/>
                <w:lang w:val="en-US" w:eastAsia="zh-CN"/>
              </w:rPr>
              <w:t>东</w:t>
            </w:r>
            <w:r>
              <w:rPr>
                <w:rFonts w:hint="eastAsia" w:ascii="Times New Roman" w:hAnsi="Times New Roman" w:eastAsia="宋体" w:cs="Times New Roman"/>
                <w:color w:val="auto"/>
                <w:spacing w:val="-6"/>
                <w:kern w:val="2"/>
                <w:sz w:val="21"/>
                <w:szCs w:val="21"/>
                <w:highlight w:val="none"/>
                <w:lang w:val="en-US" w:eastAsia="zh-CN"/>
              </w:rPr>
              <w:t>北侧</w:t>
            </w:r>
            <w:r>
              <w:rPr>
                <w:rFonts w:hint="eastAsia" w:cs="Times New Roman"/>
                <w:color w:val="auto"/>
                <w:kern w:val="2"/>
                <w:sz w:val="21"/>
                <w:szCs w:val="21"/>
                <w:highlight w:val="none"/>
                <w:lang w:val="en-US" w:eastAsia="zh-CN" w:bidi="ar-SA"/>
              </w:rPr>
              <w:t>11.7</w:t>
            </w:r>
            <w:r>
              <w:rPr>
                <w:rFonts w:hint="eastAsia" w:ascii="Times New Roman" w:hAnsi="Times New Roman" w:eastAsia="宋体" w:cs="Times New Roman"/>
                <w:color w:val="auto"/>
                <w:kern w:val="2"/>
                <w:sz w:val="21"/>
                <w:szCs w:val="21"/>
                <w:highlight w:val="none"/>
                <w:lang w:val="en-US" w:eastAsia="zh-CN" w:bidi="ar-SA"/>
              </w:rPr>
              <w:t>km</w:t>
            </w:r>
          </w:p>
        </w:tc>
      </w:tr>
      <w:bookmarkEnd w:id="539"/>
    </w:tbl>
    <w:p w14:paraId="3ED437D5">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2.3</w:t>
      </w:r>
      <w:r>
        <w:rPr>
          <w:rFonts w:hint="default" w:ascii="Times New Roman" w:hAnsi="Times New Roman" w:eastAsia="宋体" w:cs="Times New Roman"/>
          <w:b/>
          <w:bCs/>
          <w:kern w:val="2"/>
          <w:sz w:val="28"/>
          <w:szCs w:val="28"/>
          <w:lang w:val="en-US" w:eastAsia="zh-CN" w:bidi="ar-SA"/>
        </w:rPr>
        <w:t>地表水环境质量现状评价</w:t>
      </w:r>
      <w:bookmarkEnd w:id="525"/>
      <w:bookmarkEnd w:id="526"/>
    </w:p>
    <w:p w14:paraId="0EA5C068">
      <w:pPr>
        <w:overflowPunct w:val="0"/>
        <w:autoSpaceDE w:val="0"/>
        <w:autoSpaceDN w:val="0"/>
        <w:bidi w:val="0"/>
        <w:adjustRightInd w:val="0"/>
        <w:snapToGrid w:val="0"/>
        <w:spacing w:line="360" w:lineRule="auto"/>
        <w:ind w:firstLine="480" w:firstLineChars="200"/>
        <w:rPr>
          <w:rFonts w:ascii="Times New Roman" w:hAnsi="Times New Roman" w:eastAsia="宋体" w:cs="Times New Roman"/>
          <w:sz w:val="24"/>
          <w:szCs w:val="22"/>
        </w:rPr>
      </w:pPr>
      <w:bookmarkStart w:id="540" w:name="_Hlk518024793"/>
      <w:r>
        <w:rPr>
          <w:rFonts w:ascii="Times New Roman" w:hAnsi="Times New Roman" w:eastAsia="宋体" w:cs="Times New Roman"/>
          <w:sz w:val="24"/>
          <w:szCs w:val="22"/>
        </w:rPr>
        <w:t>本项目</w:t>
      </w:r>
      <w:r>
        <w:rPr>
          <w:rFonts w:hint="eastAsia" w:eastAsia="宋体" w:cs="Times New Roman"/>
          <w:sz w:val="24"/>
          <w:szCs w:val="22"/>
          <w:lang w:val="en-US" w:eastAsia="zh-CN"/>
        </w:rPr>
        <w:t>生活污水</w:t>
      </w:r>
      <w:r>
        <w:rPr>
          <w:rFonts w:hint="eastAsia" w:cs="Times New Roman"/>
          <w:sz w:val="24"/>
          <w:szCs w:val="22"/>
          <w:lang w:val="en-US" w:eastAsia="zh-CN"/>
        </w:rPr>
        <w:t>经防渗化粪池收集后定期拉运至污水处理厂处置，</w:t>
      </w:r>
      <w:r>
        <w:rPr>
          <w:rFonts w:hint="eastAsia" w:eastAsia="宋体"/>
          <w:bCs/>
          <w:color w:val="000000"/>
          <w:sz w:val="24"/>
          <w:highlight w:val="none"/>
          <w:lang w:val="en-US" w:eastAsia="zh-CN"/>
        </w:rPr>
        <w:t>不会产生地表径流</w:t>
      </w:r>
      <w:r>
        <w:rPr>
          <w:rFonts w:ascii="Times New Roman" w:hAnsi="Times New Roman" w:eastAsia="宋体" w:cs="Times New Roman"/>
          <w:sz w:val="24"/>
          <w:szCs w:val="22"/>
        </w:rPr>
        <w:t>，不排入</w:t>
      </w:r>
      <w:r>
        <w:rPr>
          <w:rFonts w:ascii="Times New Roman" w:hAnsi="Times New Roman" w:eastAsia="宋体" w:cs="Times New Roman"/>
          <w:color w:val="000000"/>
          <w:sz w:val="24"/>
          <w:szCs w:val="22"/>
        </w:rPr>
        <w:t>地表水体</w:t>
      </w:r>
      <w:r>
        <w:rPr>
          <w:rFonts w:ascii="Times New Roman" w:hAnsi="Times New Roman" w:eastAsia="宋体" w:cs="Times New Roman"/>
          <w:color w:val="000000"/>
          <w:sz w:val="24"/>
          <w:szCs w:val="22"/>
          <w:highlight w:val="none"/>
        </w:rPr>
        <w:t>，</w:t>
      </w:r>
      <w:r>
        <w:rPr>
          <w:rFonts w:ascii="Times New Roman" w:hAnsi="Times New Roman" w:eastAsia="宋体" w:cs="Times New Roman"/>
          <w:color w:val="000000"/>
          <w:sz w:val="24"/>
          <w:szCs w:val="22"/>
        </w:rPr>
        <w:t>不会</w:t>
      </w:r>
      <w:r>
        <w:rPr>
          <w:rFonts w:ascii="Times New Roman" w:hAnsi="Times New Roman" w:eastAsia="宋体" w:cs="Times New Roman"/>
          <w:sz w:val="24"/>
          <w:szCs w:val="22"/>
        </w:rPr>
        <w:t>对地表水产生影响。因此本项目与地表水没有直接的水力联系，故不对地表水质量现状进行评价。</w:t>
      </w:r>
      <w:bookmarkEnd w:id="540"/>
    </w:p>
    <w:p w14:paraId="1CEDBEA1">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4.</w:t>
      </w:r>
      <w:r>
        <w:rPr>
          <w:rFonts w:hint="eastAsia" w:ascii="Times New Roman" w:hAnsi="Times New Roman" w:eastAsia="宋体"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w:t>
      </w:r>
      <w:r>
        <w:rPr>
          <w:rFonts w:hint="eastAsia" w:ascii="Times New Roman" w:hAnsi="Times New Roman" w:eastAsia="宋体"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声环境质量现状调查与评价</w:t>
      </w:r>
      <w:bookmarkEnd w:id="527"/>
      <w:bookmarkEnd w:id="528"/>
      <w:bookmarkEnd w:id="529"/>
      <w:bookmarkEnd w:id="530"/>
      <w:bookmarkEnd w:id="531"/>
      <w:bookmarkEnd w:id="532"/>
      <w:bookmarkEnd w:id="533"/>
      <w:bookmarkEnd w:id="534"/>
      <w:bookmarkEnd w:id="535"/>
      <w:bookmarkEnd w:id="536"/>
      <w:bookmarkEnd w:id="537"/>
      <w:bookmarkEnd w:id="538"/>
    </w:p>
    <w:p w14:paraId="246D7F4B">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.1监测布点</w:t>
      </w:r>
    </w:p>
    <w:p w14:paraId="1852C06F">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本环评声环境现状监测点位共设置4个，分别为本项目的东、南、西、北四个方向的厂界处。</w:t>
      </w:r>
    </w:p>
    <w:p w14:paraId="71116F35">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.2监测因子</w:t>
      </w:r>
    </w:p>
    <w:p w14:paraId="2612FC85">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监测因子为等效A声级，监测仪器采用AWA5688型声级计。 </w:t>
      </w:r>
    </w:p>
    <w:p w14:paraId="6B5437E2">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.3监测时间及频率</w:t>
      </w:r>
    </w:p>
    <w:p w14:paraId="21A05974">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监测时间为202</w:t>
      </w:r>
      <w:r>
        <w:rPr>
          <w:rFonts w:hint="eastAsia" w:cs="Times New Roman"/>
          <w:kern w:val="2"/>
          <w:sz w:val="24"/>
          <w:szCs w:val="24"/>
          <w:lang w:val="en-US" w:eastAsia="zh-CN" w:bidi="ar-SA"/>
        </w:rPr>
        <w:t>6</w:t>
      </w:r>
      <w:r>
        <w:rPr>
          <w:rFonts w:hint="default" w:ascii="Times New Roman" w:hAnsi="Times New Roman" w:eastAsia="宋体" w:cs="Times New Roman"/>
          <w:kern w:val="2"/>
          <w:sz w:val="24"/>
          <w:szCs w:val="24"/>
          <w:lang w:val="en-US" w:eastAsia="zh-CN" w:bidi="ar-SA"/>
        </w:rPr>
        <w:t>年</w:t>
      </w:r>
      <w:r>
        <w:rPr>
          <w:rFonts w:hint="eastAsia" w:cs="Times New Roman"/>
          <w:kern w:val="2"/>
          <w:sz w:val="24"/>
          <w:szCs w:val="24"/>
          <w:lang w:val="en-US" w:eastAsia="zh-CN" w:bidi="ar-SA"/>
        </w:rPr>
        <w:t>4</w:t>
      </w:r>
      <w:r>
        <w:rPr>
          <w:rFonts w:hint="default" w:ascii="Times New Roman" w:hAnsi="Times New Roman" w:eastAsia="宋体" w:cs="Times New Roman"/>
          <w:kern w:val="2"/>
          <w:sz w:val="24"/>
          <w:szCs w:val="24"/>
          <w:lang w:val="en-US" w:eastAsia="zh-CN" w:bidi="ar-SA"/>
        </w:rPr>
        <w:t>月</w:t>
      </w:r>
      <w:r>
        <w:rPr>
          <w:rFonts w:hint="eastAsia" w:cs="Times New Roman"/>
          <w:kern w:val="2"/>
          <w:sz w:val="24"/>
          <w:szCs w:val="24"/>
          <w:lang w:val="en-US" w:eastAsia="zh-CN" w:bidi="ar-SA"/>
        </w:rPr>
        <w:t>17</w:t>
      </w:r>
      <w:r>
        <w:rPr>
          <w:rFonts w:hint="default" w:ascii="Times New Roman" w:hAnsi="Times New Roman" w:eastAsia="宋体" w:cs="Times New Roman"/>
          <w:kern w:val="2"/>
          <w:sz w:val="24"/>
          <w:szCs w:val="24"/>
          <w:lang w:val="en-US" w:eastAsia="zh-CN" w:bidi="ar-SA"/>
        </w:rPr>
        <w:t>日，分昼间和夜间两个时段各进行一次监测。</w:t>
      </w:r>
    </w:p>
    <w:p w14:paraId="5C14AECE">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.4评价标准与方法</w:t>
      </w:r>
    </w:p>
    <w:p w14:paraId="5121C9DE">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厂界噪声执行《声环境质量标准》（GB3096-2008）中的</w:t>
      </w: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类声环境功能区标准。评价方法采用监测值与标准值直接比较的方法。</w:t>
      </w:r>
    </w:p>
    <w:p w14:paraId="60A0E7CB">
      <w:pPr>
        <w:keepNext w:val="0"/>
        <w:keepLines w:val="0"/>
        <w:pageBreakBefore w:val="0"/>
        <w:widowControl w:val="0"/>
        <w:wordWrap/>
        <w:topLinePunct w:val="0"/>
        <w:bidi w:val="0"/>
        <w:adjustRightInd/>
        <w:snapToGrid/>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.5监测及评价结果</w:t>
      </w:r>
    </w:p>
    <w:p w14:paraId="5C3D31B4">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kern w:val="2"/>
          <w:sz w:val="24"/>
          <w:szCs w:val="24"/>
          <w:lang w:val="en-US" w:eastAsia="zh-CN" w:bidi="ar-SA"/>
        </w:rPr>
        <w:t>噪声监测及评价结果见表4.</w:t>
      </w: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w:t>
      </w:r>
      <w:r>
        <w:rPr>
          <w:rFonts w:hint="eastAsia" w:eastAsia="宋体" w:cs="Times New Roman"/>
          <w:kern w:val="2"/>
          <w:sz w:val="24"/>
          <w:szCs w:val="24"/>
          <w:lang w:val="en-US" w:eastAsia="zh-CN" w:bidi="ar-SA"/>
        </w:rPr>
        <w:t>8</w:t>
      </w:r>
      <w:r>
        <w:rPr>
          <w:rFonts w:hint="default" w:ascii="Times New Roman" w:hAnsi="Times New Roman" w:eastAsia="宋体" w:cs="Times New Roman"/>
          <w:kern w:val="2"/>
          <w:sz w:val="24"/>
          <w:szCs w:val="24"/>
          <w:lang w:val="en-US" w:eastAsia="zh-CN" w:bidi="ar-SA"/>
        </w:rPr>
        <w:t>。</w:t>
      </w:r>
    </w:p>
    <w:p w14:paraId="2C2888F1">
      <w:pPr>
        <w:keepNext w:val="0"/>
        <w:keepLines w:val="0"/>
        <w:pageBreakBefore w:val="0"/>
        <w:wordWrap/>
        <w:topLinePunct w:val="0"/>
        <w:bidi w:val="0"/>
        <w:adjustRightInd/>
        <w:snapToGrid/>
        <w:spacing w:line="360" w:lineRule="auto"/>
        <w:jc w:val="center"/>
        <w:rPr>
          <w:rFonts w:hint="default" w:ascii="Times New Roman" w:hAnsi="Times New Roman" w:eastAsia="宋体" w:cs="Times New Roman"/>
          <w:b/>
        </w:rPr>
      </w:pPr>
      <w:r>
        <w:rPr>
          <w:rFonts w:hint="default" w:ascii="Times New Roman" w:hAnsi="Times New Roman" w:eastAsia="宋体" w:cs="Times New Roman"/>
          <w:b/>
          <w:sz w:val="24"/>
          <w:szCs w:val="24"/>
        </w:rPr>
        <w:t>表4.</w:t>
      </w:r>
      <w:r>
        <w:rPr>
          <w:rFonts w:hint="eastAsia" w:ascii="Times New Roman" w:hAnsi="Times New Roman" w:eastAsia="宋体" w:cs="Times New Roman"/>
          <w:b/>
          <w:sz w:val="24"/>
          <w:szCs w:val="24"/>
          <w:lang w:val="en-US" w:eastAsia="zh-CN"/>
        </w:rPr>
        <w:t>2</w:t>
      </w:r>
      <w:r>
        <w:rPr>
          <w:rFonts w:hint="default" w:ascii="Times New Roman" w:hAnsi="Times New Roman" w:eastAsia="宋体" w:cs="Times New Roman"/>
          <w:b/>
          <w:sz w:val="24"/>
          <w:szCs w:val="24"/>
        </w:rPr>
        <w:t>-</w:t>
      </w:r>
      <w:r>
        <w:rPr>
          <w:rFonts w:hint="eastAsia" w:eastAsia="宋体" w:cs="Times New Roman"/>
          <w:b/>
          <w:sz w:val="24"/>
          <w:szCs w:val="24"/>
          <w:lang w:val="en-US" w:eastAsia="zh-CN"/>
        </w:rPr>
        <w:t>8</w:t>
      </w:r>
      <w:r>
        <w:rPr>
          <w:rFonts w:hint="default" w:ascii="Times New Roman" w:hAnsi="Times New Roman" w:eastAsia="宋体" w:cs="Times New Roman"/>
          <w:b/>
          <w:sz w:val="24"/>
          <w:szCs w:val="24"/>
        </w:rPr>
        <w:t>声环境监测结果  单位</w:t>
      </w:r>
      <w:r>
        <w:rPr>
          <w:rFonts w:hint="eastAsia" w:cs="Times New Roman"/>
          <w:b/>
          <w:sz w:val="24"/>
          <w:szCs w:val="24"/>
          <w:lang w:eastAsia="zh-CN"/>
        </w:rPr>
        <w:t>：</w:t>
      </w:r>
      <w:r>
        <w:rPr>
          <w:rFonts w:hint="default" w:ascii="Times New Roman" w:hAnsi="Times New Roman" w:eastAsia="宋体" w:cs="Times New Roman"/>
          <w:b/>
          <w:sz w:val="24"/>
          <w:szCs w:val="24"/>
        </w:rPr>
        <w:t>dB（A）</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1259"/>
        <w:gridCol w:w="1118"/>
        <w:gridCol w:w="1117"/>
        <w:gridCol w:w="1116"/>
        <w:gridCol w:w="1117"/>
        <w:gridCol w:w="1128"/>
      </w:tblGrid>
      <w:tr w14:paraId="3F9D3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vMerge w:val="restart"/>
            <w:noWrap w:val="0"/>
            <w:vAlign w:val="center"/>
          </w:tcPr>
          <w:p w14:paraId="7567CE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监测点</w:t>
            </w:r>
          </w:p>
        </w:tc>
        <w:tc>
          <w:tcPr>
            <w:tcW w:w="3501" w:type="dxa"/>
            <w:gridSpan w:val="3"/>
            <w:noWrap w:val="0"/>
            <w:vAlign w:val="center"/>
          </w:tcPr>
          <w:p w14:paraId="250078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昼间</w:t>
            </w:r>
          </w:p>
        </w:tc>
        <w:tc>
          <w:tcPr>
            <w:tcW w:w="3367" w:type="dxa"/>
            <w:gridSpan w:val="3"/>
            <w:noWrap w:val="0"/>
            <w:vAlign w:val="center"/>
          </w:tcPr>
          <w:p w14:paraId="2C4485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夜间</w:t>
            </w:r>
          </w:p>
        </w:tc>
      </w:tr>
      <w:tr w14:paraId="41763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vMerge w:val="continue"/>
            <w:noWrap w:val="0"/>
            <w:vAlign w:val="center"/>
          </w:tcPr>
          <w:p w14:paraId="66E9EF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p>
        </w:tc>
        <w:tc>
          <w:tcPr>
            <w:tcW w:w="1262" w:type="dxa"/>
            <w:noWrap w:val="0"/>
            <w:vAlign w:val="center"/>
          </w:tcPr>
          <w:p w14:paraId="59F6A8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监测值</w:t>
            </w:r>
          </w:p>
        </w:tc>
        <w:tc>
          <w:tcPr>
            <w:tcW w:w="1120" w:type="dxa"/>
            <w:noWrap w:val="0"/>
            <w:vAlign w:val="center"/>
          </w:tcPr>
          <w:p w14:paraId="4D917F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标准值</w:t>
            </w:r>
          </w:p>
        </w:tc>
        <w:tc>
          <w:tcPr>
            <w:tcW w:w="1119" w:type="dxa"/>
            <w:noWrap w:val="0"/>
            <w:vAlign w:val="center"/>
          </w:tcPr>
          <w:p w14:paraId="162D5D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判定</w:t>
            </w:r>
          </w:p>
        </w:tc>
        <w:tc>
          <w:tcPr>
            <w:tcW w:w="1118" w:type="dxa"/>
            <w:noWrap w:val="0"/>
            <w:vAlign w:val="center"/>
          </w:tcPr>
          <w:p w14:paraId="6492D2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监测值</w:t>
            </w:r>
          </w:p>
        </w:tc>
        <w:tc>
          <w:tcPr>
            <w:tcW w:w="1119" w:type="dxa"/>
            <w:noWrap w:val="0"/>
            <w:vAlign w:val="center"/>
          </w:tcPr>
          <w:p w14:paraId="1F8CC7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标准值</w:t>
            </w:r>
          </w:p>
        </w:tc>
        <w:tc>
          <w:tcPr>
            <w:tcW w:w="1130" w:type="dxa"/>
            <w:noWrap w:val="0"/>
            <w:vAlign w:val="center"/>
          </w:tcPr>
          <w:p w14:paraId="59B252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判定</w:t>
            </w:r>
          </w:p>
        </w:tc>
      </w:tr>
      <w:tr w14:paraId="5E9A2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noWrap w:val="0"/>
            <w:vAlign w:val="center"/>
          </w:tcPr>
          <w:p w14:paraId="3B5195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厂界东</w:t>
            </w:r>
          </w:p>
        </w:tc>
        <w:tc>
          <w:tcPr>
            <w:tcW w:w="1262" w:type="dxa"/>
            <w:noWrap w:val="0"/>
            <w:vAlign w:val="center"/>
          </w:tcPr>
          <w:p w14:paraId="2B2D55D3">
            <w:pPr>
              <w:widowControl/>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color w:val="auto"/>
                <w:szCs w:val="21"/>
                <w:lang w:val="en-US" w:eastAsia="zh-CN"/>
              </w:rPr>
              <w:t>52</w:t>
            </w:r>
          </w:p>
        </w:tc>
        <w:tc>
          <w:tcPr>
            <w:tcW w:w="1120" w:type="dxa"/>
            <w:noWrap w:val="0"/>
            <w:vAlign w:val="center"/>
          </w:tcPr>
          <w:p w14:paraId="3CD4AC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60</w:t>
            </w:r>
          </w:p>
        </w:tc>
        <w:tc>
          <w:tcPr>
            <w:tcW w:w="1119" w:type="dxa"/>
            <w:noWrap w:val="0"/>
            <w:vAlign w:val="center"/>
          </w:tcPr>
          <w:p w14:paraId="7B40E7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1118" w:type="dxa"/>
            <w:noWrap w:val="0"/>
            <w:vAlign w:val="center"/>
          </w:tcPr>
          <w:p w14:paraId="3629EBBF">
            <w:pPr>
              <w:widowControl/>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Cs w:val="21"/>
                <w:lang w:val="en-US" w:eastAsia="zh-CN"/>
              </w:rPr>
              <w:t>43</w:t>
            </w:r>
          </w:p>
        </w:tc>
        <w:tc>
          <w:tcPr>
            <w:tcW w:w="1119" w:type="dxa"/>
            <w:noWrap w:val="0"/>
            <w:vAlign w:val="center"/>
          </w:tcPr>
          <w:p w14:paraId="3E6DB2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50</w:t>
            </w:r>
          </w:p>
        </w:tc>
        <w:tc>
          <w:tcPr>
            <w:tcW w:w="1130" w:type="dxa"/>
            <w:noWrap w:val="0"/>
            <w:vAlign w:val="center"/>
          </w:tcPr>
          <w:p w14:paraId="755CA4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09CED2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noWrap w:val="0"/>
            <w:vAlign w:val="center"/>
          </w:tcPr>
          <w:p w14:paraId="1CA4CC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厂界南</w:t>
            </w:r>
          </w:p>
        </w:tc>
        <w:tc>
          <w:tcPr>
            <w:tcW w:w="1262" w:type="dxa"/>
            <w:noWrap w:val="0"/>
            <w:vAlign w:val="center"/>
          </w:tcPr>
          <w:p w14:paraId="0507E9DF">
            <w:pPr>
              <w:widowControl/>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color w:val="auto"/>
                <w:szCs w:val="21"/>
                <w:lang w:val="en-US" w:eastAsia="zh-CN"/>
              </w:rPr>
              <w:t>52</w:t>
            </w:r>
          </w:p>
        </w:tc>
        <w:tc>
          <w:tcPr>
            <w:tcW w:w="1120" w:type="dxa"/>
            <w:noWrap w:val="0"/>
            <w:vAlign w:val="center"/>
          </w:tcPr>
          <w:p w14:paraId="7EDA44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60</w:t>
            </w:r>
          </w:p>
        </w:tc>
        <w:tc>
          <w:tcPr>
            <w:tcW w:w="1119" w:type="dxa"/>
            <w:noWrap w:val="0"/>
            <w:vAlign w:val="center"/>
          </w:tcPr>
          <w:p w14:paraId="44A97C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1118" w:type="dxa"/>
            <w:noWrap w:val="0"/>
            <w:vAlign w:val="center"/>
          </w:tcPr>
          <w:p w14:paraId="30E2B3A7">
            <w:pPr>
              <w:widowControl/>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Cs w:val="21"/>
                <w:lang w:val="en-US" w:eastAsia="zh-CN"/>
              </w:rPr>
              <w:t>42</w:t>
            </w:r>
          </w:p>
        </w:tc>
        <w:tc>
          <w:tcPr>
            <w:tcW w:w="1119" w:type="dxa"/>
            <w:noWrap w:val="0"/>
            <w:vAlign w:val="center"/>
          </w:tcPr>
          <w:p w14:paraId="160CFB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50</w:t>
            </w:r>
          </w:p>
        </w:tc>
        <w:tc>
          <w:tcPr>
            <w:tcW w:w="1130" w:type="dxa"/>
            <w:noWrap w:val="0"/>
            <w:vAlign w:val="center"/>
          </w:tcPr>
          <w:p w14:paraId="706B5B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1C85B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noWrap w:val="0"/>
            <w:vAlign w:val="center"/>
          </w:tcPr>
          <w:p w14:paraId="4CF0A5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厂界西</w:t>
            </w:r>
          </w:p>
        </w:tc>
        <w:tc>
          <w:tcPr>
            <w:tcW w:w="1262" w:type="dxa"/>
            <w:noWrap w:val="0"/>
            <w:vAlign w:val="center"/>
          </w:tcPr>
          <w:p w14:paraId="5ED39836">
            <w:pPr>
              <w:widowControl/>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color w:val="auto"/>
                <w:szCs w:val="21"/>
                <w:lang w:val="en-US" w:eastAsia="zh-CN"/>
              </w:rPr>
              <w:t>53</w:t>
            </w:r>
          </w:p>
        </w:tc>
        <w:tc>
          <w:tcPr>
            <w:tcW w:w="1120" w:type="dxa"/>
            <w:noWrap w:val="0"/>
            <w:vAlign w:val="center"/>
          </w:tcPr>
          <w:p w14:paraId="7CE558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60</w:t>
            </w:r>
          </w:p>
        </w:tc>
        <w:tc>
          <w:tcPr>
            <w:tcW w:w="1119" w:type="dxa"/>
            <w:noWrap w:val="0"/>
            <w:vAlign w:val="center"/>
          </w:tcPr>
          <w:p w14:paraId="734B2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1118" w:type="dxa"/>
            <w:noWrap w:val="0"/>
            <w:vAlign w:val="center"/>
          </w:tcPr>
          <w:p w14:paraId="3CE9D4BB">
            <w:pPr>
              <w:widowControl/>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Cs w:val="21"/>
                <w:lang w:val="en-US" w:eastAsia="zh-CN"/>
              </w:rPr>
              <w:t>42</w:t>
            </w:r>
          </w:p>
        </w:tc>
        <w:tc>
          <w:tcPr>
            <w:tcW w:w="1119" w:type="dxa"/>
            <w:noWrap w:val="0"/>
            <w:vAlign w:val="center"/>
          </w:tcPr>
          <w:p w14:paraId="5411CE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50</w:t>
            </w:r>
          </w:p>
        </w:tc>
        <w:tc>
          <w:tcPr>
            <w:tcW w:w="1130" w:type="dxa"/>
            <w:noWrap w:val="0"/>
            <w:vAlign w:val="center"/>
          </w:tcPr>
          <w:p w14:paraId="3AA4EC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23FE8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3" w:type="dxa"/>
            <w:noWrap w:val="0"/>
            <w:vAlign w:val="center"/>
          </w:tcPr>
          <w:p w14:paraId="7029B7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厂界北</w:t>
            </w:r>
          </w:p>
        </w:tc>
        <w:tc>
          <w:tcPr>
            <w:tcW w:w="1262" w:type="dxa"/>
            <w:noWrap w:val="0"/>
            <w:vAlign w:val="center"/>
          </w:tcPr>
          <w:p w14:paraId="6447FC63">
            <w:pPr>
              <w:widowControl/>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color w:val="auto"/>
                <w:szCs w:val="21"/>
                <w:lang w:val="en-US" w:eastAsia="zh-CN"/>
              </w:rPr>
              <w:t>52</w:t>
            </w:r>
          </w:p>
        </w:tc>
        <w:tc>
          <w:tcPr>
            <w:tcW w:w="1120" w:type="dxa"/>
            <w:noWrap w:val="0"/>
            <w:vAlign w:val="center"/>
          </w:tcPr>
          <w:p w14:paraId="6BA684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60</w:t>
            </w:r>
          </w:p>
        </w:tc>
        <w:tc>
          <w:tcPr>
            <w:tcW w:w="1119" w:type="dxa"/>
            <w:noWrap w:val="0"/>
            <w:vAlign w:val="center"/>
          </w:tcPr>
          <w:p w14:paraId="461902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1118" w:type="dxa"/>
            <w:noWrap w:val="0"/>
            <w:vAlign w:val="center"/>
          </w:tcPr>
          <w:p w14:paraId="6AE46626">
            <w:pPr>
              <w:widowControl/>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szCs w:val="21"/>
                <w:lang w:val="en-US" w:eastAsia="zh-CN"/>
              </w:rPr>
              <w:t>42</w:t>
            </w:r>
          </w:p>
        </w:tc>
        <w:tc>
          <w:tcPr>
            <w:tcW w:w="1119" w:type="dxa"/>
            <w:noWrap w:val="0"/>
            <w:vAlign w:val="center"/>
          </w:tcPr>
          <w:p w14:paraId="4CD625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bidi="ar-SA"/>
              </w:rPr>
              <w:t>50</w:t>
            </w:r>
          </w:p>
        </w:tc>
        <w:tc>
          <w:tcPr>
            <w:tcW w:w="1130" w:type="dxa"/>
            <w:noWrap w:val="0"/>
            <w:vAlign w:val="center"/>
          </w:tcPr>
          <w:p w14:paraId="42CD7C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bl>
    <w:p w14:paraId="232CDDC7">
      <w:pPr>
        <w:widowControl w:val="0"/>
        <w:spacing w:after="120" w:line="360" w:lineRule="auto"/>
        <w:ind w:firstLine="480" w:firstLineChars="200"/>
        <w:jc w:val="both"/>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4"/>
          <w:szCs w:val="24"/>
          <w:lang w:val="en-US" w:eastAsia="zh-CN" w:bidi="ar-SA"/>
        </w:rPr>
        <w:t>由监测结果可知，厂界监测点位昼间、夜间噪声监测值均符合《声环境质量标准》（GB3096-2008）中</w:t>
      </w: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类功能区标准限值要求，区域声环境质量良好。</w:t>
      </w:r>
    </w:p>
    <w:p w14:paraId="3AAAA6AA">
      <w:pPr>
        <w:spacing w:line="360" w:lineRule="auto"/>
        <w:outlineLvl w:val="2"/>
        <w:rPr>
          <w:rFonts w:hint="default" w:ascii="Times New Roman" w:hAnsi="Times New Roman" w:eastAsia="宋体" w:cs="Times New Roman"/>
          <w:b/>
          <w:color w:val="000000"/>
          <w:sz w:val="28"/>
          <w:szCs w:val="28"/>
          <w:highlight w:val="none"/>
        </w:rPr>
      </w:pPr>
      <w:r>
        <w:rPr>
          <w:rFonts w:hint="default" w:ascii="Times New Roman" w:hAnsi="Times New Roman" w:eastAsia="宋体" w:cs="Times New Roman"/>
          <w:b/>
          <w:color w:val="000000"/>
          <w:sz w:val="28"/>
          <w:szCs w:val="28"/>
          <w:highlight w:val="none"/>
        </w:rPr>
        <w:t>4.</w:t>
      </w:r>
      <w:r>
        <w:rPr>
          <w:rFonts w:hint="eastAsia" w:ascii="Times New Roman" w:hAnsi="Times New Roman" w:eastAsia="宋体" w:cs="Times New Roman"/>
          <w:b/>
          <w:color w:val="000000"/>
          <w:sz w:val="28"/>
          <w:szCs w:val="28"/>
          <w:highlight w:val="none"/>
          <w:lang w:val="en-US" w:eastAsia="zh-CN"/>
        </w:rPr>
        <w:t>2</w:t>
      </w:r>
      <w:r>
        <w:rPr>
          <w:rFonts w:hint="default" w:ascii="Times New Roman" w:hAnsi="Times New Roman" w:eastAsia="宋体" w:cs="Times New Roman"/>
          <w:b/>
          <w:color w:val="000000"/>
          <w:sz w:val="28"/>
          <w:szCs w:val="28"/>
          <w:highlight w:val="none"/>
        </w:rPr>
        <w:t>.</w:t>
      </w:r>
      <w:r>
        <w:rPr>
          <w:rFonts w:hint="eastAsia" w:ascii="Times New Roman" w:hAnsi="Times New Roman" w:eastAsia="宋体" w:cs="Times New Roman"/>
          <w:b/>
          <w:color w:val="000000"/>
          <w:sz w:val="28"/>
          <w:szCs w:val="28"/>
          <w:highlight w:val="none"/>
          <w:lang w:val="en-US" w:eastAsia="zh-CN"/>
        </w:rPr>
        <w:t>5</w:t>
      </w:r>
      <w:r>
        <w:rPr>
          <w:rFonts w:hint="default" w:ascii="Times New Roman" w:hAnsi="Times New Roman" w:eastAsia="宋体" w:cs="Times New Roman"/>
          <w:b/>
          <w:color w:val="000000"/>
          <w:sz w:val="28"/>
          <w:szCs w:val="28"/>
          <w:highlight w:val="none"/>
          <w:lang w:eastAsia="zh-CN"/>
        </w:rPr>
        <w:t>土壤</w:t>
      </w:r>
      <w:r>
        <w:rPr>
          <w:rFonts w:hint="default" w:ascii="Times New Roman" w:hAnsi="Times New Roman" w:eastAsia="宋体" w:cs="Times New Roman"/>
          <w:b/>
          <w:color w:val="000000"/>
          <w:sz w:val="28"/>
          <w:szCs w:val="28"/>
          <w:highlight w:val="none"/>
        </w:rPr>
        <w:t>环境现状调查</w:t>
      </w:r>
    </w:p>
    <w:p w14:paraId="4D1100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本项目土壤现状监测委托</w:t>
      </w:r>
      <w:r>
        <w:rPr>
          <w:rFonts w:hint="eastAsia" w:eastAsia="宋体" w:cs="Times New Roman"/>
          <w:bCs/>
          <w:kern w:val="2"/>
          <w:sz w:val="24"/>
          <w:szCs w:val="24"/>
          <w:lang w:val="en-US" w:eastAsia="zh-CN" w:bidi="ar-SA"/>
        </w:rPr>
        <w:t>新疆国联环保科技有限公司</w:t>
      </w:r>
      <w:r>
        <w:rPr>
          <w:rFonts w:hint="eastAsia" w:ascii="Times New Roman" w:hAnsi="Times New Roman" w:eastAsia="宋体" w:cs="Times New Roman"/>
          <w:color w:val="auto"/>
          <w:sz w:val="24"/>
          <w:lang w:val="en-US" w:eastAsia="zh-CN"/>
        </w:rPr>
        <w:t>于202</w:t>
      </w:r>
      <w:r>
        <w:rPr>
          <w:rFonts w:hint="eastAsia" w:cs="Times New Roman"/>
          <w:color w:val="auto"/>
          <w:sz w:val="24"/>
          <w:lang w:val="en-US" w:eastAsia="zh-CN"/>
        </w:rPr>
        <w:t>6</w:t>
      </w:r>
      <w:r>
        <w:rPr>
          <w:rFonts w:hint="eastAsia" w:ascii="Times New Roman" w:hAnsi="Times New Roman" w:eastAsia="宋体" w:cs="Times New Roman"/>
          <w:color w:val="auto"/>
          <w:sz w:val="24"/>
          <w:lang w:val="en-US" w:eastAsia="zh-CN"/>
        </w:rPr>
        <w:t>年</w:t>
      </w:r>
      <w:r>
        <w:rPr>
          <w:rFonts w:hint="eastAsia" w:cs="Times New Roman"/>
          <w:color w:val="auto"/>
          <w:sz w:val="24"/>
          <w:lang w:val="en-US" w:eastAsia="zh-CN"/>
        </w:rPr>
        <w:t>4</w:t>
      </w:r>
      <w:r>
        <w:rPr>
          <w:rFonts w:hint="eastAsia" w:ascii="Times New Roman" w:hAnsi="Times New Roman" w:eastAsia="宋体" w:cs="Times New Roman"/>
          <w:color w:val="auto"/>
          <w:sz w:val="24"/>
          <w:lang w:val="en-US" w:eastAsia="zh-CN"/>
        </w:rPr>
        <w:t>月</w:t>
      </w:r>
      <w:r>
        <w:rPr>
          <w:rFonts w:hint="eastAsia" w:cs="Times New Roman"/>
          <w:color w:val="auto"/>
          <w:sz w:val="24"/>
          <w:lang w:val="en-US" w:eastAsia="zh-CN"/>
        </w:rPr>
        <w:t>14</w:t>
      </w:r>
      <w:r>
        <w:rPr>
          <w:rFonts w:hint="eastAsia" w:ascii="Times New Roman" w:hAnsi="Times New Roman" w:eastAsia="宋体" w:cs="Times New Roman"/>
          <w:color w:val="auto"/>
          <w:sz w:val="24"/>
          <w:lang w:val="en-US" w:eastAsia="zh-CN"/>
        </w:rPr>
        <w:t>日进行监测，本项目土壤环境影响评价工作等级为三级，本次共设置</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个采样点</w:t>
      </w:r>
      <w:r>
        <w:rPr>
          <w:rFonts w:hint="eastAsia" w:ascii="Times New Roman" w:hAnsi="Times New Roman" w:eastAsia="宋体" w:cs="Times New Roman"/>
          <w:color w:val="auto"/>
          <w:sz w:val="24"/>
        </w:rPr>
        <w:t>。</w:t>
      </w:r>
    </w:p>
    <w:p w14:paraId="647885EB">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eastAsia"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4</w:t>
      </w:r>
      <w:r>
        <w:rPr>
          <w:rFonts w:hint="eastAsia" w:ascii="Times New Roman" w:hAnsi="Times New Roman" w:eastAsia="宋体" w:cs="Times New Roman"/>
          <w:b/>
          <w:color w:val="auto"/>
          <w:kern w:val="2"/>
          <w:sz w:val="24"/>
          <w:szCs w:val="24"/>
          <w:lang w:val="en-US" w:eastAsia="zh-CN" w:bidi="ar-SA"/>
        </w:rPr>
        <w:t>.2.5.1</w:t>
      </w:r>
      <w:r>
        <w:rPr>
          <w:rFonts w:hint="default" w:ascii="Times New Roman" w:hAnsi="Times New Roman" w:eastAsia="宋体" w:cs="Times New Roman"/>
          <w:b/>
          <w:color w:val="auto"/>
          <w:kern w:val="2"/>
          <w:sz w:val="24"/>
          <w:szCs w:val="24"/>
          <w:lang w:val="en-US" w:eastAsia="zh-CN" w:bidi="ar-SA"/>
        </w:rPr>
        <w:t>监测点</w:t>
      </w:r>
      <w:r>
        <w:rPr>
          <w:rFonts w:hint="eastAsia" w:ascii="Times New Roman" w:hAnsi="Times New Roman" w:eastAsia="宋体" w:cs="Times New Roman"/>
          <w:b/>
          <w:color w:val="auto"/>
          <w:kern w:val="2"/>
          <w:sz w:val="24"/>
          <w:szCs w:val="24"/>
          <w:lang w:val="en-US" w:eastAsia="zh-CN" w:bidi="ar-SA"/>
        </w:rPr>
        <w:t>位</w:t>
      </w:r>
    </w:p>
    <w:p w14:paraId="4A7CB2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val="0"/>
          <w:bCs/>
          <w:color w:val="auto"/>
          <w:kern w:val="2"/>
          <w:sz w:val="24"/>
          <w:szCs w:val="24"/>
          <w:lang w:val="en-US" w:eastAsia="zh-CN" w:bidi="ar-SA"/>
        </w:rPr>
        <w:t>本项目共设3个监测点位，其中：场区内布设3个表层样点；土壤监测点位图</w:t>
      </w:r>
      <w:r>
        <w:rPr>
          <w:rFonts w:hint="default" w:ascii="Times New Roman" w:hAnsi="Times New Roman" w:eastAsia="宋体" w:cs="Times New Roman"/>
          <w:color w:val="auto"/>
          <w:sz w:val="24"/>
          <w:szCs w:val="24"/>
        </w:rPr>
        <w:t>具体位置见图4.2-1。</w:t>
      </w:r>
    </w:p>
    <w:p w14:paraId="524054F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eastAsia"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4</w:t>
      </w:r>
      <w:r>
        <w:rPr>
          <w:rFonts w:hint="eastAsia" w:ascii="Times New Roman" w:hAnsi="Times New Roman" w:eastAsia="宋体" w:cs="Times New Roman"/>
          <w:b/>
          <w:color w:val="auto"/>
          <w:kern w:val="2"/>
          <w:sz w:val="24"/>
          <w:szCs w:val="24"/>
          <w:lang w:val="en-US" w:eastAsia="zh-CN" w:bidi="ar-SA"/>
        </w:rPr>
        <w:t>.2.5.2</w:t>
      </w:r>
      <w:r>
        <w:rPr>
          <w:rFonts w:hint="default" w:ascii="Times New Roman" w:hAnsi="Times New Roman" w:eastAsia="宋体" w:cs="Times New Roman"/>
          <w:b/>
          <w:color w:val="auto"/>
          <w:kern w:val="2"/>
          <w:sz w:val="24"/>
          <w:szCs w:val="24"/>
          <w:lang w:val="en-US" w:eastAsia="zh-CN" w:bidi="ar-SA"/>
        </w:rPr>
        <w:t>监测点</w:t>
      </w:r>
      <w:r>
        <w:rPr>
          <w:rFonts w:hint="eastAsia" w:ascii="Times New Roman" w:hAnsi="Times New Roman" w:eastAsia="宋体" w:cs="Times New Roman"/>
          <w:b/>
          <w:color w:val="auto"/>
          <w:kern w:val="2"/>
          <w:sz w:val="24"/>
          <w:szCs w:val="24"/>
          <w:lang w:val="en-US" w:eastAsia="zh-CN" w:bidi="ar-SA"/>
        </w:rPr>
        <w:t>位</w:t>
      </w:r>
    </w:p>
    <w:p w14:paraId="215B4F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val="0"/>
          <w:bCs/>
          <w:color w:val="auto"/>
          <w:kern w:val="2"/>
          <w:sz w:val="24"/>
          <w:szCs w:val="24"/>
          <w:lang w:val="en-US" w:eastAsia="zh-CN" w:bidi="ar-SA"/>
        </w:rPr>
        <w:t>本次土壤环境质量现状监测项目包括：镉、汞、砷、铜、铅、铬、锌、镍、六六六、滴滴涕</w:t>
      </w:r>
      <w:r>
        <w:rPr>
          <w:rFonts w:hint="eastAsia" w:cs="Times New Roman"/>
          <w:b w:val="0"/>
          <w:bCs/>
          <w:color w:val="auto"/>
          <w:kern w:val="2"/>
          <w:sz w:val="24"/>
          <w:szCs w:val="24"/>
          <w:lang w:val="en-US" w:eastAsia="zh-CN" w:bidi="ar-SA"/>
        </w:rPr>
        <w:t>、寄生虫卵数</w:t>
      </w:r>
      <w:r>
        <w:rPr>
          <w:rFonts w:hint="eastAsia" w:ascii="Times New Roman" w:hAnsi="Times New Roman" w:eastAsia="宋体" w:cs="Times New Roman"/>
          <w:b w:val="0"/>
          <w:bCs/>
          <w:color w:val="auto"/>
          <w:kern w:val="2"/>
          <w:sz w:val="24"/>
          <w:szCs w:val="24"/>
          <w:lang w:val="en-US" w:eastAsia="zh-CN" w:bidi="ar-SA"/>
        </w:rPr>
        <w:t>。</w:t>
      </w:r>
    </w:p>
    <w:p w14:paraId="1EB6B07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4.2.5.3执行标准</w:t>
      </w:r>
    </w:p>
    <w:p w14:paraId="215EE7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color w:val="auto"/>
          <w:sz w:val="24"/>
          <w:szCs w:val="24"/>
          <w:lang w:val="en-US" w:eastAsia="zh-CN"/>
        </w:rPr>
        <w:t>本</w:t>
      </w:r>
      <w:r>
        <w:rPr>
          <w:rFonts w:hint="default" w:ascii="Times New Roman" w:hAnsi="Times New Roman" w:eastAsia="宋体" w:cs="Times New Roman"/>
          <w:color w:val="auto"/>
          <w:sz w:val="24"/>
          <w:szCs w:val="24"/>
        </w:rPr>
        <w:t>项目的土壤质量执行《</w:t>
      </w:r>
      <w:r>
        <w:rPr>
          <w:rFonts w:hint="eastAsia" w:cs="Times New Roman"/>
          <w:color w:val="auto"/>
          <w:sz w:val="24"/>
          <w:szCs w:val="24"/>
          <w:lang w:eastAsia="zh-CN"/>
        </w:rPr>
        <w:t>畜禽养殖产地环境评价规范</w:t>
      </w:r>
      <w:r>
        <w:rPr>
          <w:rFonts w:hint="default" w:ascii="Times New Roman" w:hAnsi="Times New Roman" w:eastAsia="宋体" w:cs="Times New Roman"/>
          <w:color w:val="auto"/>
          <w:sz w:val="24"/>
          <w:szCs w:val="24"/>
        </w:rPr>
        <w:t>》（HJ568-2010）中的表4养殖场土壤环境质量评价指标和限值</w:t>
      </w:r>
      <w:r>
        <w:rPr>
          <w:rFonts w:hint="eastAsia" w:ascii="Times New Roman" w:hAnsi="Times New Roman" w:eastAsia="宋体" w:cs="Times New Roman"/>
          <w:color w:val="auto"/>
          <w:sz w:val="24"/>
          <w:szCs w:val="24"/>
          <w:lang w:eastAsia="zh-CN"/>
        </w:rPr>
        <w:t>。</w:t>
      </w:r>
    </w:p>
    <w:p w14:paraId="5B05F2C0">
      <w:pPr>
        <w:widowControl w:val="0"/>
        <w:spacing w:line="360" w:lineRule="auto"/>
        <w:jc w:val="both"/>
        <w:outlineLvl w:val="3"/>
        <w:rPr>
          <w:rFonts w:hint="default" w:ascii="Times New Roman" w:hAnsi="Times New Roman" w:eastAsia="宋体" w:cs="Times New Roman"/>
          <w:b/>
          <w:color w:val="000000"/>
          <w:kern w:val="0"/>
          <w:sz w:val="24"/>
          <w:szCs w:val="24"/>
          <w:highlight w:val="none"/>
          <w:lang w:val="en-US" w:eastAsia="zh-TW" w:bidi="ar-SA"/>
        </w:rPr>
      </w:pPr>
      <w:r>
        <w:rPr>
          <w:rFonts w:hint="default" w:ascii="Times New Roman" w:hAnsi="Times New Roman" w:eastAsia="宋体" w:cs="Times New Roman"/>
          <w:b/>
          <w:color w:val="000000"/>
          <w:kern w:val="0"/>
          <w:sz w:val="24"/>
          <w:szCs w:val="24"/>
          <w:highlight w:val="none"/>
          <w:lang w:val="en-US" w:eastAsia="zh-CN" w:bidi="ar-SA"/>
        </w:rPr>
        <w:t>4.</w:t>
      </w:r>
      <w:r>
        <w:rPr>
          <w:rFonts w:hint="eastAsia" w:ascii="Times New Roman" w:hAnsi="Times New Roman" w:eastAsia="宋体" w:cs="Times New Roman"/>
          <w:b/>
          <w:color w:val="000000"/>
          <w:kern w:val="0"/>
          <w:sz w:val="24"/>
          <w:szCs w:val="24"/>
          <w:highlight w:val="none"/>
          <w:lang w:val="en-US" w:eastAsia="zh-CN" w:bidi="ar-SA"/>
        </w:rPr>
        <w:t>2</w:t>
      </w:r>
      <w:r>
        <w:rPr>
          <w:rFonts w:hint="default" w:ascii="Times New Roman" w:hAnsi="Times New Roman" w:eastAsia="宋体" w:cs="Times New Roman"/>
          <w:b/>
          <w:color w:val="000000"/>
          <w:kern w:val="0"/>
          <w:sz w:val="24"/>
          <w:szCs w:val="24"/>
          <w:highlight w:val="none"/>
          <w:lang w:val="en-US" w:eastAsia="zh-CN" w:bidi="ar-SA"/>
        </w:rPr>
        <w:t>.</w:t>
      </w:r>
      <w:r>
        <w:rPr>
          <w:rFonts w:hint="eastAsia" w:ascii="Times New Roman" w:hAnsi="Times New Roman" w:eastAsia="宋体" w:cs="Times New Roman"/>
          <w:b/>
          <w:color w:val="000000"/>
          <w:kern w:val="0"/>
          <w:sz w:val="24"/>
          <w:szCs w:val="24"/>
          <w:highlight w:val="none"/>
          <w:lang w:val="en-US" w:eastAsia="zh-CN" w:bidi="ar-SA"/>
        </w:rPr>
        <w:t>5</w:t>
      </w:r>
      <w:r>
        <w:rPr>
          <w:rFonts w:hint="default" w:ascii="Times New Roman" w:hAnsi="Times New Roman" w:eastAsia="宋体" w:cs="Times New Roman"/>
          <w:b/>
          <w:color w:val="000000"/>
          <w:kern w:val="0"/>
          <w:sz w:val="24"/>
          <w:szCs w:val="24"/>
          <w:highlight w:val="none"/>
          <w:lang w:val="en-US" w:eastAsia="zh-CN" w:bidi="ar-SA"/>
        </w:rPr>
        <w:t>.</w:t>
      </w:r>
      <w:r>
        <w:rPr>
          <w:rFonts w:hint="eastAsia" w:ascii="Times New Roman" w:hAnsi="Times New Roman" w:eastAsia="宋体" w:cs="Times New Roman"/>
          <w:b/>
          <w:color w:val="000000"/>
          <w:kern w:val="0"/>
          <w:sz w:val="24"/>
          <w:szCs w:val="24"/>
          <w:highlight w:val="none"/>
          <w:lang w:val="en-US" w:eastAsia="zh-CN" w:bidi="ar-SA"/>
        </w:rPr>
        <w:t>4</w:t>
      </w:r>
      <w:r>
        <w:rPr>
          <w:rFonts w:hint="default" w:ascii="Times New Roman" w:hAnsi="Times New Roman" w:eastAsia="宋体" w:cs="Times New Roman"/>
          <w:b/>
          <w:color w:val="000000"/>
          <w:kern w:val="0"/>
          <w:sz w:val="24"/>
          <w:szCs w:val="24"/>
          <w:highlight w:val="none"/>
          <w:lang w:val="en-US" w:eastAsia="zh-CN" w:bidi="ar-SA"/>
        </w:rPr>
        <w:t>土壤理化特性调查</w:t>
      </w:r>
    </w:p>
    <w:p w14:paraId="0779C4ED">
      <w:pPr>
        <w:widowControl w:val="0"/>
        <w:spacing w:line="360" w:lineRule="auto"/>
        <w:ind w:firstLine="480" w:firstLineChars="200"/>
        <w:jc w:val="both"/>
        <w:rPr>
          <w:rFonts w:hint="default" w:ascii="Times New Roman" w:hAnsi="Times New Roman" w:eastAsia="宋体" w:cs="Times New Roman"/>
          <w:color w:val="000000"/>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bidi="ar-SA"/>
        </w:rPr>
        <w:t>调查区域土壤类型及分布情况见表4.</w:t>
      </w:r>
      <w:r>
        <w:rPr>
          <w:rFonts w:hint="eastAsia" w:ascii="Times New Roman" w:hAnsi="Times New Roman" w:eastAsia="宋体" w:cs="Times New Roman"/>
          <w:color w:val="000000"/>
          <w:sz w:val="24"/>
          <w:szCs w:val="24"/>
          <w:highlight w:val="none"/>
          <w:lang w:val="en-US" w:eastAsia="zh-CN" w:bidi="ar-SA"/>
        </w:rPr>
        <w:t>2</w:t>
      </w:r>
      <w:r>
        <w:rPr>
          <w:rFonts w:hint="default" w:ascii="Times New Roman" w:hAnsi="Times New Roman" w:eastAsia="宋体" w:cs="Times New Roman"/>
          <w:color w:val="000000"/>
          <w:sz w:val="24"/>
          <w:szCs w:val="24"/>
          <w:highlight w:val="none"/>
          <w:lang w:val="en-US" w:eastAsia="zh-CN" w:bidi="ar-SA"/>
        </w:rPr>
        <w:t>-</w:t>
      </w:r>
      <w:r>
        <w:rPr>
          <w:rFonts w:hint="eastAsia" w:eastAsia="宋体" w:cs="Times New Roman"/>
          <w:color w:val="000000"/>
          <w:sz w:val="24"/>
          <w:szCs w:val="24"/>
          <w:highlight w:val="none"/>
          <w:lang w:val="en-US" w:eastAsia="zh-CN" w:bidi="ar-SA"/>
        </w:rPr>
        <w:t>9</w:t>
      </w:r>
      <w:r>
        <w:rPr>
          <w:rFonts w:hint="default" w:ascii="Times New Roman" w:hAnsi="Times New Roman" w:eastAsia="宋体" w:cs="Times New Roman"/>
          <w:color w:val="000000"/>
          <w:sz w:val="24"/>
          <w:szCs w:val="24"/>
          <w:highlight w:val="none"/>
          <w:lang w:val="en-US" w:eastAsia="zh-CN" w:bidi="ar-SA"/>
        </w:rPr>
        <w:t>。</w:t>
      </w:r>
    </w:p>
    <w:p w14:paraId="0EA56CBE">
      <w:pPr>
        <w:widowControl/>
        <w:spacing w:after="0" w:line="360" w:lineRule="auto"/>
        <w:ind w:firstLine="0"/>
        <w:jc w:val="center"/>
        <w:rPr>
          <w:rFonts w:hint="default" w:ascii="Times New Roman" w:hAnsi="Times New Roman" w:eastAsia="宋体" w:cs="Times New Roman"/>
          <w:b/>
          <w:color w:val="000000"/>
          <w:kern w:val="0"/>
          <w:sz w:val="24"/>
          <w:szCs w:val="24"/>
          <w:highlight w:val="none"/>
          <w:lang w:val="en-US" w:eastAsia="zh-CN" w:bidi="en-US"/>
        </w:rPr>
      </w:pPr>
      <w:r>
        <w:rPr>
          <w:rFonts w:hint="default" w:ascii="Times New Roman" w:hAnsi="Times New Roman" w:eastAsia="宋体" w:cs="Times New Roman"/>
          <w:b/>
          <w:color w:val="000000"/>
          <w:kern w:val="0"/>
          <w:sz w:val="24"/>
          <w:szCs w:val="24"/>
          <w:highlight w:val="none"/>
          <w:lang w:val="en-US" w:eastAsia="en-US" w:bidi="en-US"/>
        </w:rPr>
        <w:t>表</w:t>
      </w:r>
      <w:r>
        <w:rPr>
          <w:rFonts w:hint="default" w:ascii="Times New Roman" w:hAnsi="Times New Roman" w:eastAsia="宋体" w:cs="Times New Roman"/>
          <w:b/>
          <w:color w:val="000000"/>
          <w:kern w:val="0"/>
          <w:sz w:val="24"/>
          <w:szCs w:val="24"/>
          <w:highlight w:val="none"/>
          <w:lang w:val="en-US" w:eastAsia="zh-CN" w:bidi="en-US"/>
        </w:rPr>
        <w:t>4.</w:t>
      </w:r>
      <w:r>
        <w:rPr>
          <w:rFonts w:hint="eastAsia" w:ascii="Times New Roman" w:hAnsi="Times New Roman" w:eastAsia="宋体" w:cs="Times New Roman"/>
          <w:b/>
          <w:color w:val="000000"/>
          <w:kern w:val="0"/>
          <w:sz w:val="24"/>
          <w:szCs w:val="24"/>
          <w:highlight w:val="none"/>
          <w:lang w:val="en-US" w:eastAsia="zh-CN" w:bidi="en-US"/>
        </w:rPr>
        <w:t>2</w:t>
      </w:r>
      <w:r>
        <w:rPr>
          <w:rFonts w:hint="default" w:ascii="Times New Roman" w:hAnsi="Times New Roman" w:eastAsia="宋体" w:cs="Times New Roman"/>
          <w:b/>
          <w:color w:val="000000"/>
          <w:kern w:val="0"/>
          <w:sz w:val="24"/>
          <w:szCs w:val="24"/>
          <w:highlight w:val="none"/>
          <w:lang w:val="en-US" w:eastAsia="zh-CN" w:bidi="en-US"/>
        </w:rPr>
        <w:t>-</w:t>
      </w:r>
      <w:r>
        <w:rPr>
          <w:rFonts w:hint="eastAsia" w:eastAsia="宋体" w:cs="Times New Roman"/>
          <w:b/>
          <w:color w:val="000000"/>
          <w:kern w:val="0"/>
          <w:sz w:val="24"/>
          <w:szCs w:val="24"/>
          <w:highlight w:val="none"/>
          <w:lang w:val="en-US" w:eastAsia="zh-CN" w:bidi="en-US"/>
        </w:rPr>
        <w:t>9</w:t>
      </w:r>
      <w:r>
        <w:rPr>
          <w:rFonts w:hint="default" w:ascii="Times New Roman" w:hAnsi="Times New Roman" w:eastAsia="宋体" w:cs="Times New Roman"/>
          <w:b/>
          <w:color w:val="000000"/>
          <w:kern w:val="0"/>
          <w:sz w:val="24"/>
          <w:szCs w:val="24"/>
          <w:highlight w:val="none"/>
          <w:lang w:val="en-US" w:eastAsia="en-US" w:bidi="en-US"/>
        </w:rPr>
        <w:t>土壤</w:t>
      </w:r>
      <w:r>
        <w:rPr>
          <w:rFonts w:hint="default" w:ascii="Times New Roman" w:hAnsi="Times New Roman" w:eastAsia="宋体" w:cs="Times New Roman"/>
          <w:b/>
          <w:color w:val="000000"/>
          <w:kern w:val="0"/>
          <w:sz w:val="24"/>
          <w:szCs w:val="24"/>
          <w:highlight w:val="none"/>
          <w:lang w:val="en-US" w:eastAsia="zh-CN" w:bidi="en-US"/>
        </w:rPr>
        <w:t>理化特性调查一览表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215"/>
        <w:gridCol w:w="2042"/>
        <w:gridCol w:w="2042"/>
        <w:gridCol w:w="2042"/>
      </w:tblGrid>
      <w:tr w14:paraId="17FCE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8" w:type="dxa"/>
            <w:gridSpan w:val="2"/>
            <w:tcBorders>
              <w:top w:val="single" w:color="auto" w:sz="12" w:space="0"/>
              <w:left w:val="single" w:color="auto" w:sz="12" w:space="0"/>
            </w:tcBorders>
            <w:noWrap w:val="0"/>
            <w:vAlign w:val="center"/>
          </w:tcPr>
          <w:p w14:paraId="1ACA9517">
            <w:pPr>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点号</w:t>
            </w:r>
          </w:p>
        </w:tc>
        <w:tc>
          <w:tcPr>
            <w:tcW w:w="2042" w:type="dxa"/>
            <w:tcBorders>
              <w:top w:val="single" w:color="auto" w:sz="12" w:space="0"/>
              <w:left w:val="single" w:color="auto" w:sz="4" w:space="0"/>
            </w:tcBorders>
            <w:noWrap w:val="0"/>
            <w:vAlign w:val="center"/>
          </w:tcPr>
          <w:p w14:paraId="14532904">
            <w:pPr>
              <w:widowControl/>
              <w:jc w:val="center"/>
              <w:textAlignment w:val="center"/>
              <w:rPr>
                <w:rFonts w:hint="default" w:ascii="Times New Roman" w:hAnsi="Times New Roman" w:eastAsia="宋体" w:cs="Times New Roman"/>
                <w:color w:val="000000"/>
                <w:sz w:val="21"/>
                <w:szCs w:val="21"/>
                <w:highlight w:val="none"/>
                <w:lang w:val="en-US" w:eastAsia="zh-CN"/>
              </w:rPr>
            </w:pPr>
            <w:r>
              <w:rPr>
                <w:rFonts w:hint="eastAsia" w:eastAsia="宋体"/>
                <w:sz w:val="21"/>
                <w:szCs w:val="21"/>
                <w:highlight w:val="none"/>
                <w:lang w:val="en-US" w:eastAsia="zh-CN"/>
              </w:rPr>
              <w:t>TC-1</w:t>
            </w:r>
            <w:r>
              <w:rPr>
                <w:rFonts w:hint="eastAsia" w:eastAsia="宋体"/>
                <w:sz w:val="21"/>
                <w:szCs w:val="21"/>
                <w:highlight w:val="none"/>
                <w:vertAlign w:val="superscript"/>
                <w:lang w:val="en-US" w:eastAsia="zh-CN"/>
              </w:rPr>
              <w:t>#</w:t>
            </w:r>
            <w:r>
              <w:rPr>
                <w:rFonts w:hint="eastAsia" w:eastAsia="宋体"/>
                <w:sz w:val="21"/>
                <w:szCs w:val="21"/>
                <w:highlight w:val="none"/>
                <w:lang w:val="en-US" w:eastAsia="zh-CN"/>
              </w:rPr>
              <w:t>-1</w:t>
            </w:r>
          </w:p>
        </w:tc>
        <w:tc>
          <w:tcPr>
            <w:tcW w:w="2042" w:type="dxa"/>
            <w:tcBorders>
              <w:top w:val="single" w:color="auto" w:sz="12" w:space="0"/>
              <w:left w:val="single" w:color="auto" w:sz="4" w:space="0"/>
            </w:tcBorders>
            <w:noWrap w:val="0"/>
            <w:vAlign w:val="center"/>
          </w:tcPr>
          <w:p w14:paraId="13DA33C7">
            <w:pPr>
              <w:widowControl/>
              <w:jc w:val="center"/>
              <w:textAlignment w:val="center"/>
              <w:rPr>
                <w:rFonts w:hint="eastAsia" w:eastAsia="宋体"/>
                <w:sz w:val="21"/>
                <w:szCs w:val="21"/>
                <w:highlight w:val="none"/>
                <w:lang w:val="en-US" w:eastAsia="zh-CN"/>
              </w:rPr>
            </w:pPr>
            <w:r>
              <w:rPr>
                <w:rFonts w:hint="eastAsia" w:eastAsia="宋体"/>
                <w:sz w:val="21"/>
                <w:szCs w:val="21"/>
                <w:highlight w:val="none"/>
                <w:lang w:val="en-US" w:eastAsia="zh-CN"/>
              </w:rPr>
              <w:t>TC-</w:t>
            </w:r>
            <w:r>
              <w:rPr>
                <w:rFonts w:hint="eastAsia" w:ascii="Times New Roman" w:eastAsia="宋体"/>
                <w:sz w:val="21"/>
                <w:szCs w:val="21"/>
                <w:highlight w:val="none"/>
                <w:lang w:val="en-US" w:eastAsia="zh-CN"/>
              </w:rPr>
              <w:t>2</w:t>
            </w:r>
            <w:r>
              <w:rPr>
                <w:rFonts w:hint="eastAsia" w:eastAsia="宋体"/>
                <w:sz w:val="21"/>
                <w:szCs w:val="21"/>
                <w:highlight w:val="none"/>
                <w:vertAlign w:val="superscript"/>
                <w:lang w:val="en-US" w:eastAsia="zh-CN"/>
              </w:rPr>
              <w:t>#</w:t>
            </w:r>
            <w:r>
              <w:rPr>
                <w:rFonts w:hint="eastAsia" w:eastAsia="宋体"/>
                <w:sz w:val="21"/>
                <w:szCs w:val="21"/>
                <w:highlight w:val="none"/>
                <w:lang w:val="en-US" w:eastAsia="zh-CN"/>
              </w:rPr>
              <w:t>-1</w:t>
            </w:r>
          </w:p>
        </w:tc>
        <w:tc>
          <w:tcPr>
            <w:tcW w:w="2042" w:type="dxa"/>
            <w:tcBorders>
              <w:top w:val="single" w:color="auto" w:sz="12" w:space="0"/>
              <w:left w:val="single" w:color="auto" w:sz="4" w:space="0"/>
            </w:tcBorders>
            <w:noWrap w:val="0"/>
            <w:vAlign w:val="center"/>
          </w:tcPr>
          <w:p w14:paraId="278B64C5">
            <w:pPr>
              <w:widowControl/>
              <w:jc w:val="center"/>
              <w:textAlignment w:val="center"/>
              <w:rPr>
                <w:rFonts w:hint="eastAsia" w:eastAsia="宋体"/>
                <w:sz w:val="21"/>
                <w:szCs w:val="21"/>
                <w:highlight w:val="none"/>
                <w:lang w:val="en-US" w:eastAsia="zh-CN"/>
              </w:rPr>
            </w:pPr>
            <w:r>
              <w:rPr>
                <w:rFonts w:hint="eastAsia" w:eastAsia="宋体"/>
                <w:sz w:val="21"/>
                <w:szCs w:val="21"/>
                <w:highlight w:val="none"/>
                <w:lang w:val="en-US" w:eastAsia="zh-CN"/>
              </w:rPr>
              <w:t>TC-</w:t>
            </w:r>
            <w:r>
              <w:rPr>
                <w:rFonts w:hint="eastAsia" w:ascii="Times New Roman" w:eastAsia="宋体"/>
                <w:sz w:val="21"/>
                <w:szCs w:val="21"/>
                <w:highlight w:val="none"/>
                <w:lang w:val="en-US" w:eastAsia="zh-CN"/>
              </w:rPr>
              <w:t>3</w:t>
            </w:r>
            <w:r>
              <w:rPr>
                <w:rFonts w:hint="eastAsia" w:eastAsia="宋体"/>
                <w:sz w:val="21"/>
                <w:szCs w:val="21"/>
                <w:highlight w:val="none"/>
                <w:vertAlign w:val="superscript"/>
                <w:lang w:val="en-US" w:eastAsia="zh-CN"/>
              </w:rPr>
              <w:t>#</w:t>
            </w:r>
            <w:r>
              <w:rPr>
                <w:rFonts w:hint="eastAsia" w:eastAsia="宋体"/>
                <w:sz w:val="21"/>
                <w:szCs w:val="21"/>
                <w:highlight w:val="none"/>
                <w:lang w:val="en-US" w:eastAsia="zh-CN"/>
              </w:rPr>
              <w:t>-1</w:t>
            </w:r>
          </w:p>
        </w:tc>
      </w:tr>
      <w:tr w14:paraId="759A7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8" w:type="dxa"/>
            <w:gridSpan w:val="2"/>
            <w:tcBorders>
              <w:top w:val="single" w:color="auto" w:sz="4" w:space="0"/>
              <w:left w:val="single" w:color="auto" w:sz="12" w:space="0"/>
            </w:tcBorders>
            <w:noWrap w:val="0"/>
            <w:vAlign w:val="center"/>
          </w:tcPr>
          <w:p w14:paraId="5A1C72DB">
            <w:pPr>
              <w:jc w:val="center"/>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eastAsia="zh-CN"/>
              </w:rPr>
              <w:t>层次</w:t>
            </w:r>
          </w:p>
        </w:tc>
        <w:tc>
          <w:tcPr>
            <w:tcW w:w="2042" w:type="dxa"/>
            <w:tcBorders>
              <w:top w:val="single" w:color="auto" w:sz="4" w:space="0"/>
              <w:left w:val="single" w:color="auto" w:sz="4" w:space="0"/>
            </w:tcBorders>
            <w:noWrap w:val="0"/>
            <w:vAlign w:val="center"/>
          </w:tcPr>
          <w:p w14:paraId="1313C9A3">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表层（</w:t>
            </w:r>
            <w:r>
              <w:rPr>
                <w:rFonts w:hint="eastAsia" w:cs="Times New Roman"/>
                <w:color w:val="000000"/>
                <w:sz w:val="21"/>
                <w:szCs w:val="21"/>
                <w:lang w:val="en-US" w:eastAsia="zh-CN"/>
              </w:rPr>
              <w:t>0-20</w:t>
            </w:r>
            <w:r>
              <w:rPr>
                <w:rFonts w:hint="default" w:ascii="Times New Roman" w:hAnsi="Times New Roman" w:eastAsia="宋体" w:cs="Times New Roman"/>
                <w:color w:val="000000"/>
                <w:sz w:val="21"/>
                <w:szCs w:val="21"/>
                <w:lang w:val="en-US" w:eastAsia="zh-CN"/>
              </w:rPr>
              <w:t>cm）</w:t>
            </w:r>
          </w:p>
        </w:tc>
        <w:tc>
          <w:tcPr>
            <w:tcW w:w="2042" w:type="dxa"/>
            <w:tcBorders>
              <w:top w:val="single" w:color="auto" w:sz="4" w:space="0"/>
              <w:left w:val="single" w:color="auto" w:sz="4" w:space="0"/>
            </w:tcBorders>
            <w:noWrap w:val="0"/>
            <w:vAlign w:val="center"/>
          </w:tcPr>
          <w:p w14:paraId="1CDD60BC">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表层（</w:t>
            </w:r>
            <w:r>
              <w:rPr>
                <w:rFonts w:hint="eastAsia" w:cs="Times New Roman"/>
                <w:color w:val="000000"/>
                <w:sz w:val="21"/>
                <w:szCs w:val="21"/>
                <w:lang w:val="en-US" w:eastAsia="zh-CN"/>
              </w:rPr>
              <w:t>0-20</w:t>
            </w:r>
            <w:r>
              <w:rPr>
                <w:rFonts w:hint="default" w:ascii="Times New Roman" w:hAnsi="Times New Roman" w:eastAsia="宋体" w:cs="Times New Roman"/>
                <w:color w:val="000000"/>
                <w:sz w:val="21"/>
                <w:szCs w:val="21"/>
                <w:lang w:val="en-US" w:eastAsia="zh-CN"/>
              </w:rPr>
              <w:t>cm）</w:t>
            </w:r>
          </w:p>
        </w:tc>
        <w:tc>
          <w:tcPr>
            <w:tcW w:w="2042" w:type="dxa"/>
            <w:tcBorders>
              <w:top w:val="single" w:color="auto" w:sz="4" w:space="0"/>
              <w:left w:val="single" w:color="auto" w:sz="4" w:space="0"/>
            </w:tcBorders>
            <w:noWrap w:val="0"/>
            <w:vAlign w:val="center"/>
          </w:tcPr>
          <w:p w14:paraId="5A3AC824">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表层（</w:t>
            </w:r>
            <w:r>
              <w:rPr>
                <w:rFonts w:hint="eastAsia" w:cs="Times New Roman"/>
                <w:color w:val="000000"/>
                <w:sz w:val="21"/>
                <w:szCs w:val="21"/>
                <w:lang w:val="en-US" w:eastAsia="zh-CN"/>
              </w:rPr>
              <w:t>0-20</w:t>
            </w:r>
            <w:r>
              <w:rPr>
                <w:rFonts w:hint="default" w:ascii="Times New Roman" w:hAnsi="Times New Roman" w:eastAsia="宋体" w:cs="Times New Roman"/>
                <w:color w:val="000000"/>
                <w:sz w:val="21"/>
                <w:szCs w:val="21"/>
                <w:lang w:val="en-US" w:eastAsia="zh-CN"/>
              </w:rPr>
              <w:t>cm）</w:t>
            </w:r>
          </w:p>
        </w:tc>
      </w:tr>
      <w:tr w14:paraId="7BD48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restart"/>
            <w:tcBorders>
              <w:top w:val="single" w:color="auto" w:sz="4" w:space="0"/>
              <w:left w:val="single" w:color="auto" w:sz="12" w:space="0"/>
            </w:tcBorders>
            <w:noWrap w:val="0"/>
            <w:vAlign w:val="center"/>
          </w:tcPr>
          <w:p w14:paraId="07B72EFB">
            <w:pPr>
              <w:jc w:val="center"/>
              <w:rPr>
                <w:rFonts w:hint="default" w:ascii="Times New Roman" w:hAnsi="Times New Roman" w:eastAsia="宋体" w:cs="Times New Roman"/>
                <w:b/>
                <w:bCs/>
                <w:color w:val="000000"/>
                <w:sz w:val="21"/>
                <w:szCs w:val="21"/>
                <w:lang w:eastAsia="zh-CN"/>
              </w:rPr>
            </w:pPr>
            <w:r>
              <w:rPr>
                <w:rFonts w:hint="eastAsia" w:eastAsia="宋体"/>
                <w:b/>
                <w:bCs/>
                <w:color w:val="000000"/>
                <w:sz w:val="21"/>
                <w:szCs w:val="21"/>
                <w:lang w:eastAsia="zh-CN"/>
              </w:rPr>
              <w:t>现场记录</w:t>
            </w:r>
          </w:p>
        </w:tc>
        <w:tc>
          <w:tcPr>
            <w:tcW w:w="1215" w:type="dxa"/>
            <w:tcBorders>
              <w:top w:val="single" w:color="auto" w:sz="4" w:space="0"/>
              <w:left w:val="single" w:color="auto" w:sz="4" w:space="0"/>
            </w:tcBorders>
            <w:noWrap w:val="0"/>
            <w:vAlign w:val="center"/>
          </w:tcPr>
          <w:p w14:paraId="2E17C901">
            <w:pPr>
              <w:jc w:val="center"/>
              <w:rPr>
                <w:rFonts w:hint="default" w:ascii="Times New Roman" w:hAnsi="Times New Roman" w:eastAsia="宋体" w:cs="Times New Roman"/>
                <w:b/>
                <w:bCs/>
                <w:color w:val="000000"/>
                <w:sz w:val="21"/>
                <w:szCs w:val="21"/>
                <w:lang w:eastAsia="zh-CN"/>
              </w:rPr>
            </w:pPr>
            <w:r>
              <w:rPr>
                <w:rFonts w:hint="eastAsia" w:eastAsia="宋体"/>
                <w:b/>
                <w:bCs/>
                <w:color w:val="000000"/>
                <w:sz w:val="21"/>
                <w:szCs w:val="21"/>
                <w:lang w:eastAsia="zh-CN"/>
              </w:rPr>
              <w:t>颜色</w:t>
            </w:r>
          </w:p>
        </w:tc>
        <w:tc>
          <w:tcPr>
            <w:tcW w:w="2042" w:type="dxa"/>
            <w:tcBorders>
              <w:top w:val="single" w:color="auto" w:sz="4" w:space="0"/>
              <w:left w:val="single" w:color="auto" w:sz="4" w:space="0"/>
            </w:tcBorders>
            <w:noWrap w:val="0"/>
            <w:vAlign w:val="center"/>
          </w:tcPr>
          <w:p w14:paraId="4387C76F">
            <w:pPr>
              <w:widowControl/>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灰棕色</w:t>
            </w:r>
          </w:p>
        </w:tc>
        <w:tc>
          <w:tcPr>
            <w:tcW w:w="2042" w:type="dxa"/>
            <w:tcBorders>
              <w:top w:val="single" w:color="auto" w:sz="4" w:space="0"/>
              <w:left w:val="single" w:color="auto" w:sz="4" w:space="0"/>
            </w:tcBorders>
            <w:noWrap w:val="0"/>
            <w:vAlign w:val="center"/>
          </w:tcPr>
          <w:p w14:paraId="5C4C0086">
            <w:pPr>
              <w:widowControl/>
              <w:jc w:val="center"/>
              <w:textAlignment w:val="center"/>
              <w:rPr>
                <w:rFonts w:hint="eastAsia" w:eastAsia="宋体" w:cs="Times New Roman"/>
                <w:bCs/>
                <w:color w:val="auto"/>
                <w:kern w:val="0"/>
                <w:sz w:val="21"/>
                <w:szCs w:val="21"/>
                <w:lang w:val="en-US" w:eastAsia="zh-CN" w:bidi="ar"/>
              </w:rPr>
            </w:pPr>
            <w:r>
              <w:rPr>
                <w:rFonts w:hint="default" w:ascii="Times New Roman" w:hAnsi="Times New Roman" w:eastAsia="宋体" w:cs="Times New Roman"/>
                <w:sz w:val="21"/>
                <w:szCs w:val="21"/>
                <w:lang w:val="en-US" w:eastAsia="zh-CN"/>
              </w:rPr>
              <w:t>灰棕色</w:t>
            </w:r>
          </w:p>
        </w:tc>
        <w:tc>
          <w:tcPr>
            <w:tcW w:w="2042" w:type="dxa"/>
            <w:tcBorders>
              <w:top w:val="single" w:color="auto" w:sz="4" w:space="0"/>
              <w:left w:val="single" w:color="auto" w:sz="4" w:space="0"/>
            </w:tcBorders>
            <w:noWrap w:val="0"/>
            <w:vAlign w:val="center"/>
          </w:tcPr>
          <w:p w14:paraId="484C5572">
            <w:pPr>
              <w:widowControl/>
              <w:jc w:val="center"/>
              <w:textAlignment w:val="center"/>
              <w:rPr>
                <w:rFonts w:hint="eastAsia" w:eastAsia="宋体" w:cs="Times New Roman"/>
                <w:bCs/>
                <w:color w:val="auto"/>
                <w:kern w:val="0"/>
                <w:sz w:val="21"/>
                <w:szCs w:val="21"/>
                <w:lang w:val="en-US" w:eastAsia="zh-CN" w:bidi="ar"/>
              </w:rPr>
            </w:pPr>
            <w:r>
              <w:rPr>
                <w:rFonts w:hint="default" w:ascii="Times New Roman" w:hAnsi="Times New Roman" w:eastAsia="宋体" w:cs="Times New Roman"/>
                <w:sz w:val="21"/>
                <w:szCs w:val="21"/>
                <w:lang w:val="en-US" w:eastAsia="zh-CN"/>
              </w:rPr>
              <w:t>灰棕色</w:t>
            </w:r>
          </w:p>
        </w:tc>
      </w:tr>
      <w:tr w14:paraId="1E4E0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24F4CE2B">
            <w:pPr>
              <w:jc w:val="center"/>
              <w:rPr>
                <w:rFonts w:hint="default" w:ascii="Times New Roman" w:hAnsi="Times New Roman" w:eastAsia="宋体" w:cs="Times New Roman"/>
                <w:b/>
                <w:bCs/>
                <w:kern w:val="0"/>
                <w:sz w:val="21"/>
                <w:szCs w:val="21"/>
                <w:lang w:val="en-US" w:eastAsia="zh-CN"/>
              </w:rPr>
            </w:pPr>
          </w:p>
        </w:tc>
        <w:tc>
          <w:tcPr>
            <w:tcW w:w="1215" w:type="dxa"/>
            <w:tcBorders>
              <w:top w:val="single" w:color="auto" w:sz="4" w:space="0"/>
              <w:left w:val="single" w:color="auto" w:sz="4" w:space="0"/>
            </w:tcBorders>
            <w:noWrap w:val="0"/>
            <w:vAlign w:val="center"/>
          </w:tcPr>
          <w:p w14:paraId="6B6C6272">
            <w:pPr>
              <w:jc w:val="center"/>
              <w:rPr>
                <w:rFonts w:hint="default" w:ascii="Times New Roman" w:hAnsi="Times New Roman" w:eastAsia="宋体" w:cs="Times New Roman"/>
                <w:b/>
                <w:bCs/>
                <w:kern w:val="0"/>
                <w:sz w:val="21"/>
                <w:szCs w:val="21"/>
                <w:lang w:eastAsia="zh-CN"/>
              </w:rPr>
            </w:pPr>
            <w:r>
              <w:rPr>
                <w:rFonts w:hint="eastAsia" w:eastAsia="宋体"/>
                <w:b/>
                <w:bCs/>
                <w:kern w:val="0"/>
                <w:sz w:val="21"/>
                <w:szCs w:val="21"/>
                <w:highlight w:val="none"/>
                <w:lang w:eastAsia="zh-CN"/>
              </w:rPr>
              <w:t>结构</w:t>
            </w:r>
          </w:p>
        </w:tc>
        <w:tc>
          <w:tcPr>
            <w:tcW w:w="2042" w:type="dxa"/>
            <w:tcBorders>
              <w:top w:val="single" w:color="auto" w:sz="4" w:space="0"/>
              <w:left w:val="single" w:color="auto" w:sz="4" w:space="0"/>
            </w:tcBorders>
            <w:noWrap w:val="0"/>
            <w:vAlign w:val="center"/>
          </w:tcPr>
          <w:p w14:paraId="04A19359">
            <w:pPr>
              <w:jc w:val="center"/>
              <w:rPr>
                <w:rFonts w:hint="default" w:ascii="Times New Roman" w:hAnsi="Times New Roman" w:eastAsia="宋体" w:cs="Times New Roman"/>
                <w:color w:val="000000"/>
                <w:sz w:val="21"/>
                <w:szCs w:val="21"/>
                <w:lang w:val="en-US" w:eastAsia="zh-CN"/>
              </w:rPr>
            </w:pPr>
            <w:r>
              <w:rPr>
                <w:rFonts w:hint="eastAsia" w:ascii="宋体" w:hAnsi="宋体" w:cs="宋体"/>
                <w:b w:val="0"/>
                <w:bCs w:val="0"/>
                <w:color w:val="000000"/>
                <w:sz w:val="21"/>
                <w:szCs w:val="21"/>
                <w:lang w:val="en-US" w:eastAsia="zh-CN"/>
              </w:rPr>
              <w:t>碎</w:t>
            </w:r>
            <w:r>
              <w:rPr>
                <w:rFonts w:hint="eastAsia" w:ascii="宋体" w:hAnsi="宋体" w:eastAsia="宋体" w:cs="宋体"/>
                <w:b w:val="0"/>
                <w:bCs w:val="0"/>
                <w:color w:val="000000"/>
                <w:sz w:val="21"/>
                <w:szCs w:val="21"/>
              </w:rPr>
              <w:t>块状</w:t>
            </w:r>
          </w:p>
        </w:tc>
        <w:tc>
          <w:tcPr>
            <w:tcW w:w="2042" w:type="dxa"/>
            <w:tcBorders>
              <w:top w:val="single" w:color="auto" w:sz="4" w:space="0"/>
              <w:left w:val="single" w:color="auto" w:sz="4" w:space="0"/>
            </w:tcBorders>
            <w:noWrap w:val="0"/>
            <w:vAlign w:val="center"/>
          </w:tcPr>
          <w:p w14:paraId="50756145">
            <w:pPr>
              <w:jc w:val="center"/>
              <w:rPr>
                <w:rFonts w:hint="eastAsia" w:eastAsia="宋体" w:cs="Times New Roman"/>
                <w:bCs/>
                <w:color w:val="auto"/>
                <w:kern w:val="2"/>
                <w:sz w:val="21"/>
                <w:szCs w:val="21"/>
                <w:highlight w:val="none"/>
                <w:lang w:val="en-US" w:eastAsia="zh-CN" w:bidi="ar-SA"/>
              </w:rPr>
            </w:pPr>
            <w:r>
              <w:rPr>
                <w:rFonts w:hint="eastAsia" w:ascii="宋体" w:hAnsi="宋体" w:cs="宋体"/>
                <w:b w:val="0"/>
                <w:bCs w:val="0"/>
                <w:color w:val="000000"/>
                <w:sz w:val="21"/>
                <w:szCs w:val="21"/>
                <w:lang w:val="en-US" w:eastAsia="zh-CN"/>
              </w:rPr>
              <w:t>碎</w:t>
            </w:r>
            <w:r>
              <w:rPr>
                <w:rFonts w:hint="eastAsia" w:ascii="宋体" w:hAnsi="宋体" w:eastAsia="宋体" w:cs="宋体"/>
                <w:b w:val="0"/>
                <w:bCs w:val="0"/>
                <w:color w:val="000000"/>
                <w:sz w:val="21"/>
                <w:szCs w:val="21"/>
              </w:rPr>
              <w:t>块状</w:t>
            </w:r>
          </w:p>
        </w:tc>
        <w:tc>
          <w:tcPr>
            <w:tcW w:w="2042" w:type="dxa"/>
            <w:tcBorders>
              <w:top w:val="single" w:color="auto" w:sz="4" w:space="0"/>
              <w:left w:val="single" w:color="auto" w:sz="4" w:space="0"/>
            </w:tcBorders>
            <w:noWrap w:val="0"/>
            <w:vAlign w:val="center"/>
          </w:tcPr>
          <w:p w14:paraId="6C4CA71D">
            <w:pPr>
              <w:jc w:val="center"/>
              <w:rPr>
                <w:rFonts w:hint="eastAsia" w:eastAsia="宋体" w:cs="Times New Roman"/>
                <w:bCs/>
                <w:color w:val="auto"/>
                <w:kern w:val="2"/>
                <w:sz w:val="21"/>
                <w:szCs w:val="21"/>
                <w:highlight w:val="none"/>
                <w:lang w:val="en-US" w:eastAsia="zh-CN" w:bidi="ar-SA"/>
              </w:rPr>
            </w:pPr>
            <w:r>
              <w:rPr>
                <w:rFonts w:hint="eastAsia" w:ascii="宋体" w:hAnsi="宋体" w:cs="宋体"/>
                <w:b w:val="0"/>
                <w:bCs w:val="0"/>
                <w:color w:val="000000"/>
                <w:sz w:val="21"/>
                <w:szCs w:val="21"/>
                <w:lang w:val="en-US" w:eastAsia="zh-CN"/>
              </w:rPr>
              <w:t>碎</w:t>
            </w:r>
            <w:r>
              <w:rPr>
                <w:rFonts w:hint="eastAsia" w:ascii="宋体" w:hAnsi="宋体" w:eastAsia="宋体" w:cs="宋体"/>
                <w:b w:val="0"/>
                <w:bCs w:val="0"/>
                <w:color w:val="000000"/>
                <w:sz w:val="21"/>
                <w:szCs w:val="21"/>
              </w:rPr>
              <w:t>块状</w:t>
            </w:r>
          </w:p>
        </w:tc>
      </w:tr>
      <w:tr w14:paraId="6CA94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339F6CDA">
            <w:pPr>
              <w:jc w:val="center"/>
              <w:rPr>
                <w:rFonts w:hint="default" w:ascii="Times New Roman" w:hAnsi="Times New Roman" w:eastAsia="宋体" w:cs="Times New Roman"/>
                <w:b/>
                <w:bCs/>
                <w:kern w:val="0"/>
                <w:sz w:val="21"/>
                <w:szCs w:val="21"/>
                <w:lang w:val="en-US" w:eastAsia="zh-CN"/>
              </w:rPr>
            </w:pPr>
          </w:p>
        </w:tc>
        <w:tc>
          <w:tcPr>
            <w:tcW w:w="1215" w:type="dxa"/>
            <w:tcBorders>
              <w:top w:val="single" w:color="auto" w:sz="4" w:space="0"/>
              <w:left w:val="single" w:color="auto" w:sz="4" w:space="0"/>
            </w:tcBorders>
            <w:noWrap w:val="0"/>
            <w:vAlign w:val="center"/>
          </w:tcPr>
          <w:p w14:paraId="65D59FA1">
            <w:pPr>
              <w:jc w:val="center"/>
              <w:rPr>
                <w:rFonts w:hint="default" w:ascii="Times New Roman" w:hAnsi="Times New Roman" w:eastAsia="宋体" w:cs="Times New Roman"/>
                <w:b/>
                <w:bCs/>
                <w:color w:val="000000"/>
                <w:sz w:val="21"/>
                <w:szCs w:val="21"/>
                <w:lang w:eastAsia="zh-CN"/>
              </w:rPr>
            </w:pPr>
            <w:r>
              <w:rPr>
                <w:rFonts w:hint="eastAsia" w:eastAsia="宋体"/>
                <w:b/>
                <w:bCs/>
                <w:color w:val="000000"/>
                <w:sz w:val="21"/>
                <w:szCs w:val="21"/>
                <w:lang w:eastAsia="zh-CN"/>
              </w:rPr>
              <w:t>质地</w:t>
            </w:r>
          </w:p>
        </w:tc>
        <w:tc>
          <w:tcPr>
            <w:tcW w:w="2042" w:type="dxa"/>
            <w:tcBorders>
              <w:top w:val="single" w:color="auto" w:sz="4" w:space="0"/>
              <w:left w:val="single" w:color="auto" w:sz="4" w:space="0"/>
            </w:tcBorders>
            <w:noWrap w:val="0"/>
            <w:vAlign w:val="center"/>
          </w:tcPr>
          <w:p w14:paraId="4C38589B">
            <w:pPr>
              <w:jc w:val="center"/>
              <w:rPr>
                <w:rFonts w:hint="default" w:ascii="Times New Roman" w:hAnsi="Times New Roman" w:eastAsia="宋体" w:cs="Times New Roman"/>
                <w:color w:val="000000"/>
                <w:sz w:val="21"/>
                <w:szCs w:val="21"/>
                <w:lang w:val="en-US" w:eastAsia="zh-CN"/>
              </w:rPr>
            </w:pPr>
            <w:r>
              <w:rPr>
                <w:rFonts w:hint="eastAsia" w:eastAsia="宋体" w:cs="Times New Roman"/>
                <w:bCs/>
                <w:color w:val="auto"/>
                <w:kern w:val="2"/>
                <w:sz w:val="21"/>
                <w:szCs w:val="21"/>
                <w:highlight w:val="none"/>
                <w:lang w:val="en-US" w:eastAsia="zh-CN" w:bidi="ar-SA"/>
              </w:rPr>
              <w:t>壤土</w:t>
            </w:r>
          </w:p>
        </w:tc>
        <w:tc>
          <w:tcPr>
            <w:tcW w:w="2042" w:type="dxa"/>
            <w:tcBorders>
              <w:top w:val="single" w:color="auto" w:sz="4" w:space="0"/>
              <w:left w:val="single" w:color="auto" w:sz="4" w:space="0"/>
            </w:tcBorders>
            <w:noWrap w:val="0"/>
            <w:vAlign w:val="center"/>
          </w:tcPr>
          <w:p w14:paraId="1FE4DF1D">
            <w:pPr>
              <w:jc w:val="center"/>
              <w:rPr>
                <w:rFonts w:hint="eastAsia" w:eastAsia="宋体" w:cs="Times New Roman"/>
                <w:bCs/>
                <w:color w:val="auto"/>
                <w:kern w:val="2"/>
                <w:sz w:val="21"/>
                <w:szCs w:val="21"/>
                <w:highlight w:val="none"/>
                <w:lang w:val="en-US" w:eastAsia="zh-CN" w:bidi="ar-SA"/>
              </w:rPr>
            </w:pPr>
            <w:r>
              <w:rPr>
                <w:rFonts w:hint="eastAsia" w:eastAsia="宋体" w:cs="Times New Roman"/>
                <w:bCs/>
                <w:color w:val="auto"/>
                <w:kern w:val="2"/>
                <w:sz w:val="21"/>
                <w:szCs w:val="21"/>
                <w:highlight w:val="none"/>
                <w:lang w:val="en-US" w:eastAsia="zh-CN" w:bidi="ar-SA"/>
              </w:rPr>
              <w:t>壤土</w:t>
            </w:r>
          </w:p>
        </w:tc>
        <w:tc>
          <w:tcPr>
            <w:tcW w:w="2042" w:type="dxa"/>
            <w:tcBorders>
              <w:top w:val="single" w:color="auto" w:sz="4" w:space="0"/>
              <w:left w:val="single" w:color="auto" w:sz="4" w:space="0"/>
            </w:tcBorders>
            <w:noWrap w:val="0"/>
            <w:vAlign w:val="center"/>
          </w:tcPr>
          <w:p w14:paraId="7F74604F">
            <w:pPr>
              <w:jc w:val="center"/>
              <w:rPr>
                <w:rFonts w:hint="eastAsia" w:eastAsia="宋体" w:cs="Times New Roman"/>
                <w:bCs/>
                <w:color w:val="auto"/>
                <w:kern w:val="2"/>
                <w:sz w:val="21"/>
                <w:szCs w:val="21"/>
                <w:highlight w:val="none"/>
                <w:lang w:val="en-US" w:eastAsia="zh-CN" w:bidi="ar-SA"/>
              </w:rPr>
            </w:pPr>
            <w:r>
              <w:rPr>
                <w:rFonts w:hint="eastAsia" w:eastAsia="宋体" w:cs="Times New Roman"/>
                <w:bCs/>
                <w:color w:val="auto"/>
                <w:kern w:val="2"/>
                <w:sz w:val="21"/>
                <w:szCs w:val="21"/>
                <w:highlight w:val="none"/>
                <w:lang w:val="en-US" w:eastAsia="zh-CN" w:bidi="ar-SA"/>
              </w:rPr>
              <w:t>壤土</w:t>
            </w:r>
          </w:p>
        </w:tc>
      </w:tr>
      <w:tr w14:paraId="10BF8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56F5F4DD">
            <w:pPr>
              <w:jc w:val="center"/>
              <w:rPr>
                <w:rFonts w:hint="default" w:ascii="Times New Roman" w:hAnsi="Times New Roman" w:eastAsia="宋体" w:cs="Times New Roman"/>
                <w:b/>
                <w:bCs/>
                <w:kern w:val="0"/>
                <w:sz w:val="21"/>
                <w:szCs w:val="21"/>
                <w:lang w:val="en-US" w:eastAsia="zh-CN"/>
              </w:rPr>
            </w:pPr>
          </w:p>
        </w:tc>
        <w:tc>
          <w:tcPr>
            <w:tcW w:w="1215" w:type="dxa"/>
            <w:tcBorders>
              <w:top w:val="single" w:color="auto" w:sz="4" w:space="0"/>
              <w:left w:val="single" w:color="auto" w:sz="4" w:space="0"/>
            </w:tcBorders>
            <w:noWrap w:val="0"/>
            <w:vAlign w:val="center"/>
          </w:tcPr>
          <w:p w14:paraId="35C63D18">
            <w:pPr>
              <w:jc w:val="center"/>
              <w:rPr>
                <w:rFonts w:hint="default" w:ascii="Times New Roman" w:hAnsi="Times New Roman" w:eastAsia="宋体" w:cs="Times New Roman"/>
                <w:b/>
                <w:bCs/>
                <w:color w:val="000000"/>
                <w:sz w:val="21"/>
                <w:szCs w:val="21"/>
                <w:lang w:eastAsia="zh-CN"/>
              </w:rPr>
            </w:pPr>
            <w:r>
              <w:rPr>
                <w:rFonts w:hint="eastAsia" w:eastAsia="宋体"/>
                <w:b/>
                <w:bCs/>
                <w:color w:val="000000"/>
                <w:sz w:val="21"/>
                <w:szCs w:val="21"/>
                <w:lang w:eastAsia="zh-CN"/>
              </w:rPr>
              <w:t>砂砾含量（</w:t>
            </w:r>
            <w:r>
              <w:rPr>
                <w:rFonts w:hint="eastAsia" w:eastAsia="宋体"/>
                <w:b/>
                <w:bCs/>
                <w:color w:val="000000"/>
                <w:sz w:val="21"/>
                <w:szCs w:val="21"/>
                <w:lang w:val="en-US" w:eastAsia="zh-CN"/>
              </w:rPr>
              <w:t>%</w:t>
            </w:r>
            <w:r>
              <w:rPr>
                <w:rFonts w:hint="eastAsia" w:eastAsia="宋体"/>
                <w:b/>
                <w:bCs/>
                <w:color w:val="000000"/>
                <w:sz w:val="21"/>
                <w:szCs w:val="21"/>
                <w:lang w:eastAsia="zh-CN"/>
              </w:rPr>
              <w:t>）</w:t>
            </w:r>
          </w:p>
        </w:tc>
        <w:tc>
          <w:tcPr>
            <w:tcW w:w="2042" w:type="dxa"/>
            <w:tcBorders>
              <w:top w:val="single" w:color="auto" w:sz="4" w:space="0"/>
              <w:left w:val="single" w:color="auto" w:sz="4" w:space="0"/>
            </w:tcBorders>
            <w:noWrap w:val="0"/>
            <w:vAlign w:val="center"/>
          </w:tcPr>
          <w:p w14:paraId="4BF23D6F">
            <w:pPr>
              <w:jc w:val="center"/>
              <w:rPr>
                <w:rFonts w:hint="default" w:ascii="Times New Roman" w:hAnsi="Times New Roman" w:eastAsia="宋体" w:cs="Times New Roman"/>
                <w:sz w:val="21"/>
                <w:szCs w:val="21"/>
                <w:lang w:val="en-US" w:eastAsia="zh-CN"/>
              </w:rPr>
            </w:pPr>
            <w:r>
              <w:rPr>
                <w:rFonts w:hint="eastAsia" w:cs="Times New Roman"/>
                <w:bCs/>
                <w:color w:val="auto"/>
                <w:sz w:val="21"/>
                <w:szCs w:val="21"/>
                <w:lang w:val="en-US" w:eastAsia="zh-CN"/>
              </w:rPr>
              <w:t>38</w:t>
            </w:r>
          </w:p>
        </w:tc>
        <w:tc>
          <w:tcPr>
            <w:tcW w:w="2042" w:type="dxa"/>
            <w:tcBorders>
              <w:top w:val="single" w:color="auto" w:sz="4" w:space="0"/>
              <w:left w:val="single" w:color="auto" w:sz="4" w:space="0"/>
            </w:tcBorders>
            <w:noWrap w:val="0"/>
            <w:vAlign w:val="center"/>
          </w:tcPr>
          <w:p w14:paraId="367C3316">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36</w:t>
            </w:r>
          </w:p>
        </w:tc>
        <w:tc>
          <w:tcPr>
            <w:tcW w:w="2042" w:type="dxa"/>
            <w:tcBorders>
              <w:top w:val="single" w:color="auto" w:sz="4" w:space="0"/>
              <w:left w:val="single" w:color="auto" w:sz="4" w:space="0"/>
            </w:tcBorders>
            <w:noWrap w:val="0"/>
            <w:vAlign w:val="center"/>
          </w:tcPr>
          <w:p w14:paraId="761266C3">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34</w:t>
            </w:r>
          </w:p>
        </w:tc>
      </w:tr>
      <w:tr w14:paraId="460DF4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640320E6">
            <w:pPr>
              <w:jc w:val="center"/>
              <w:rPr>
                <w:rFonts w:hint="default" w:ascii="Times New Roman" w:hAnsi="Times New Roman" w:eastAsia="宋体" w:cs="Times New Roman"/>
                <w:b/>
                <w:bCs/>
                <w:color w:val="000000"/>
                <w:kern w:val="2"/>
                <w:sz w:val="21"/>
                <w:szCs w:val="21"/>
                <w:lang w:val="en-US" w:eastAsia="zh-CN" w:bidi="ar-SA"/>
              </w:rPr>
            </w:pPr>
          </w:p>
        </w:tc>
        <w:tc>
          <w:tcPr>
            <w:tcW w:w="1215" w:type="dxa"/>
            <w:tcBorders>
              <w:top w:val="single" w:color="auto" w:sz="4" w:space="0"/>
              <w:left w:val="single" w:color="auto" w:sz="4" w:space="0"/>
            </w:tcBorders>
            <w:noWrap w:val="0"/>
            <w:vAlign w:val="center"/>
          </w:tcPr>
          <w:p w14:paraId="1D5F1F75">
            <w:pPr>
              <w:jc w:val="center"/>
              <w:rPr>
                <w:rFonts w:hint="default" w:ascii="Times New Roman" w:hAnsi="Times New Roman" w:eastAsia="宋体" w:cs="Times New Roman"/>
                <w:b/>
                <w:bCs/>
                <w:color w:val="000000"/>
                <w:sz w:val="21"/>
                <w:szCs w:val="21"/>
                <w:lang w:val="en-US" w:eastAsia="zh-CN"/>
              </w:rPr>
            </w:pPr>
            <w:r>
              <w:rPr>
                <w:rFonts w:hint="eastAsia" w:eastAsia="宋体"/>
                <w:b/>
                <w:bCs/>
                <w:color w:val="000000"/>
                <w:sz w:val="21"/>
                <w:szCs w:val="21"/>
                <w:lang w:val="en-US" w:eastAsia="zh-CN"/>
              </w:rPr>
              <w:t>其他异物</w:t>
            </w:r>
          </w:p>
        </w:tc>
        <w:tc>
          <w:tcPr>
            <w:tcW w:w="2042" w:type="dxa"/>
            <w:tcBorders>
              <w:top w:val="single" w:color="auto" w:sz="4" w:space="0"/>
              <w:left w:val="single" w:color="auto" w:sz="4" w:space="0"/>
            </w:tcBorders>
            <w:noWrap w:val="0"/>
            <w:vAlign w:val="center"/>
          </w:tcPr>
          <w:p w14:paraId="3EB49CC8">
            <w:pPr>
              <w:jc w:val="center"/>
              <w:rPr>
                <w:rFonts w:hint="default" w:ascii="Times New Roman" w:hAnsi="Times New Roman" w:eastAsia="宋体" w:cs="Times New Roman"/>
                <w:sz w:val="21"/>
                <w:szCs w:val="21"/>
                <w:lang w:val="en-US" w:eastAsia="zh-CN"/>
              </w:rPr>
            </w:pPr>
            <w:r>
              <w:rPr>
                <w:rFonts w:hint="eastAsia" w:cs="Times New Roman"/>
                <w:bCs/>
                <w:color w:val="auto"/>
                <w:kern w:val="2"/>
                <w:sz w:val="21"/>
                <w:szCs w:val="21"/>
                <w:lang w:val="en-US" w:eastAsia="zh-CN" w:bidi="ar-SA"/>
              </w:rPr>
              <w:t>无根系</w:t>
            </w:r>
          </w:p>
        </w:tc>
        <w:tc>
          <w:tcPr>
            <w:tcW w:w="2042" w:type="dxa"/>
            <w:tcBorders>
              <w:top w:val="single" w:color="auto" w:sz="4" w:space="0"/>
              <w:left w:val="single" w:color="auto" w:sz="4" w:space="0"/>
            </w:tcBorders>
            <w:noWrap w:val="0"/>
            <w:vAlign w:val="center"/>
          </w:tcPr>
          <w:p w14:paraId="13839005">
            <w:pPr>
              <w:jc w:val="center"/>
              <w:rPr>
                <w:rFonts w:hint="eastAsia" w:cs="Times New Roman"/>
                <w:bCs/>
                <w:color w:val="auto"/>
                <w:kern w:val="2"/>
                <w:sz w:val="21"/>
                <w:szCs w:val="21"/>
                <w:lang w:val="en-US" w:eastAsia="zh-CN" w:bidi="ar-SA"/>
              </w:rPr>
            </w:pPr>
            <w:r>
              <w:rPr>
                <w:rFonts w:hint="eastAsia" w:cs="Times New Roman"/>
                <w:bCs/>
                <w:color w:val="auto"/>
                <w:kern w:val="2"/>
                <w:sz w:val="21"/>
                <w:szCs w:val="21"/>
                <w:lang w:val="en-US" w:eastAsia="zh-CN" w:bidi="ar-SA"/>
              </w:rPr>
              <w:t>无根系</w:t>
            </w:r>
          </w:p>
        </w:tc>
        <w:tc>
          <w:tcPr>
            <w:tcW w:w="2042" w:type="dxa"/>
            <w:tcBorders>
              <w:top w:val="single" w:color="auto" w:sz="4" w:space="0"/>
              <w:left w:val="single" w:color="auto" w:sz="4" w:space="0"/>
            </w:tcBorders>
            <w:noWrap w:val="0"/>
            <w:vAlign w:val="center"/>
          </w:tcPr>
          <w:p w14:paraId="763B0858">
            <w:pPr>
              <w:jc w:val="center"/>
              <w:rPr>
                <w:rFonts w:hint="eastAsia" w:cs="Times New Roman"/>
                <w:bCs/>
                <w:color w:val="auto"/>
                <w:kern w:val="2"/>
                <w:sz w:val="21"/>
                <w:szCs w:val="21"/>
                <w:lang w:val="en-US" w:eastAsia="zh-CN" w:bidi="ar-SA"/>
              </w:rPr>
            </w:pPr>
            <w:r>
              <w:rPr>
                <w:rFonts w:hint="eastAsia" w:cs="Times New Roman"/>
                <w:bCs/>
                <w:color w:val="auto"/>
                <w:kern w:val="2"/>
                <w:sz w:val="21"/>
                <w:szCs w:val="21"/>
                <w:lang w:val="en-US" w:eastAsia="zh-CN" w:bidi="ar-SA"/>
              </w:rPr>
              <w:t>无根系</w:t>
            </w:r>
          </w:p>
        </w:tc>
      </w:tr>
      <w:tr w14:paraId="5F32B7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1A0FCF89">
            <w:pPr>
              <w:jc w:val="center"/>
              <w:rPr>
                <w:rFonts w:hint="default" w:ascii="Times New Roman" w:hAnsi="Times New Roman" w:eastAsia="宋体" w:cs="Times New Roman"/>
                <w:b/>
                <w:bCs/>
                <w:color w:val="000000"/>
                <w:kern w:val="2"/>
                <w:sz w:val="21"/>
                <w:szCs w:val="21"/>
                <w:lang w:val="en-US" w:eastAsia="zh-CN" w:bidi="ar-SA"/>
              </w:rPr>
            </w:pPr>
          </w:p>
        </w:tc>
        <w:tc>
          <w:tcPr>
            <w:tcW w:w="1215" w:type="dxa"/>
            <w:tcBorders>
              <w:top w:val="single" w:color="auto" w:sz="4" w:space="0"/>
              <w:left w:val="single" w:color="auto" w:sz="4" w:space="0"/>
            </w:tcBorders>
            <w:noWrap w:val="0"/>
            <w:vAlign w:val="center"/>
          </w:tcPr>
          <w:p w14:paraId="2A8A002D">
            <w:pPr>
              <w:jc w:val="center"/>
              <w:rPr>
                <w:rFonts w:hint="default" w:ascii="Times New Roman" w:hAnsi="Times New Roman" w:eastAsia="宋体" w:cs="Times New Roman"/>
                <w:b/>
                <w:bCs/>
                <w:color w:val="000000"/>
                <w:sz w:val="21"/>
                <w:szCs w:val="21"/>
                <w:lang w:val="en-US" w:eastAsia="zh-CN"/>
              </w:rPr>
            </w:pPr>
            <w:r>
              <w:rPr>
                <w:rFonts w:hint="eastAsia" w:eastAsia="宋体"/>
                <w:b/>
                <w:bCs/>
                <w:color w:val="auto"/>
                <w:kern w:val="0"/>
                <w:sz w:val="21"/>
                <w:szCs w:val="21"/>
                <w:lang w:val="en-US" w:eastAsia="zh-CN"/>
              </w:rPr>
              <w:t>氧化还原电位</w:t>
            </w:r>
            <w:r>
              <w:rPr>
                <w:rFonts w:hint="eastAsia" w:ascii="Times New Roman" w:eastAsia="宋体"/>
                <w:b/>
                <w:bCs/>
                <w:color w:val="auto"/>
                <w:kern w:val="0"/>
                <w:sz w:val="21"/>
                <w:szCs w:val="21"/>
                <w:lang w:val="en-US" w:eastAsia="zh-CN"/>
              </w:rPr>
              <w:t>（</w:t>
            </w:r>
            <w:r>
              <w:rPr>
                <w:rFonts w:hint="eastAsia" w:eastAsia="宋体"/>
                <w:b/>
                <w:bCs/>
                <w:color w:val="auto"/>
                <w:kern w:val="0"/>
                <w:sz w:val="21"/>
                <w:szCs w:val="21"/>
                <w:lang w:val="en-US" w:eastAsia="zh-CN"/>
              </w:rPr>
              <w:t>mv</w:t>
            </w:r>
            <w:r>
              <w:rPr>
                <w:rFonts w:hint="eastAsia" w:ascii="Times New Roman" w:eastAsia="宋体"/>
                <w:b/>
                <w:bCs/>
                <w:color w:val="auto"/>
                <w:kern w:val="0"/>
                <w:sz w:val="21"/>
                <w:szCs w:val="21"/>
                <w:lang w:val="en-US" w:eastAsia="zh-CN"/>
              </w:rPr>
              <w:t>）</w:t>
            </w:r>
          </w:p>
        </w:tc>
        <w:tc>
          <w:tcPr>
            <w:tcW w:w="2042" w:type="dxa"/>
            <w:tcBorders>
              <w:top w:val="single" w:color="auto" w:sz="4" w:space="0"/>
              <w:left w:val="single" w:color="auto" w:sz="4" w:space="0"/>
            </w:tcBorders>
            <w:noWrap w:val="0"/>
            <w:vAlign w:val="center"/>
          </w:tcPr>
          <w:p w14:paraId="709DD337">
            <w:pPr>
              <w:jc w:val="center"/>
              <w:rPr>
                <w:rFonts w:hint="default" w:ascii="Times New Roman" w:hAnsi="Times New Roman" w:eastAsia="宋体" w:cs="Times New Roman"/>
                <w:sz w:val="21"/>
                <w:szCs w:val="21"/>
                <w:lang w:val="en-US" w:eastAsia="zh-CN"/>
              </w:rPr>
            </w:pPr>
            <w:r>
              <w:rPr>
                <w:rFonts w:hint="eastAsia" w:cs="Times New Roman"/>
                <w:bCs/>
                <w:color w:val="auto"/>
                <w:sz w:val="21"/>
                <w:szCs w:val="21"/>
                <w:lang w:val="en-US" w:eastAsia="zh-CN"/>
              </w:rPr>
              <w:t>257</w:t>
            </w:r>
          </w:p>
        </w:tc>
        <w:tc>
          <w:tcPr>
            <w:tcW w:w="2042" w:type="dxa"/>
            <w:tcBorders>
              <w:top w:val="single" w:color="auto" w:sz="4" w:space="0"/>
              <w:left w:val="single" w:color="auto" w:sz="4" w:space="0"/>
            </w:tcBorders>
            <w:noWrap w:val="0"/>
            <w:vAlign w:val="center"/>
          </w:tcPr>
          <w:p w14:paraId="076CE7AC">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259</w:t>
            </w:r>
          </w:p>
        </w:tc>
        <w:tc>
          <w:tcPr>
            <w:tcW w:w="2042" w:type="dxa"/>
            <w:tcBorders>
              <w:top w:val="single" w:color="auto" w:sz="4" w:space="0"/>
              <w:left w:val="single" w:color="auto" w:sz="4" w:space="0"/>
            </w:tcBorders>
            <w:noWrap w:val="0"/>
            <w:vAlign w:val="center"/>
          </w:tcPr>
          <w:p w14:paraId="00A8ED91">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59</w:t>
            </w:r>
          </w:p>
        </w:tc>
      </w:tr>
      <w:tr w14:paraId="32381D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restart"/>
            <w:tcBorders>
              <w:left w:val="single" w:color="auto" w:sz="12" w:space="0"/>
            </w:tcBorders>
            <w:noWrap w:val="0"/>
            <w:vAlign w:val="center"/>
          </w:tcPr>
          <w:p w14:paraId="18FBA1C1">
            <w:pPr>
              <w:jc w:val="center"/>
              <w:rPr>
                <w:rFonts w:hint="default" w:ascii="Times New Roman" w:hAnsi="Times New Roman" w:eastAsia="宋体" w:cs="Times New Roman"/>
                <w:b/>
                <w:bCs/>
                <w:color w:val="000000"/>
                <w:kern w:val="2"/>
                <w:sz w:val="21"/>
                <w:szCs w:val="21"/>
                <w:lang w:val="en-US" w:eastAsia="zh-CN" w:bidi="ar-SA"/>
              </w:rPr>
            </w:pPr>
            <w:r>
              <w:rPr>
                <w:rFonts w:hint="eastAsia" w:eastAsia="宋体" w:cs="Times New Roman"/>
                <w:b/>
                <w:bCs/>
                <w:color w:val="000000"/>
                <w:kern w:val="2"/>
                <w:sz w:val="21"/>
                <w:szCs w:val="21"/>
                <w:lang w:val="en-US" w:eastAsia="zh-CN" w:bidi="ar-SA"/>
              </w:rPr>
              <w:t>实验室测定</w:t>
            </w:r>
          </w:p>
        </w:tc>
        <w:tc>
          <w:tcPr>
            <w:tcW w:w="1215" w:type="dxa"/>
            <w:tcBorders>
              <w:top w:val="single" w:color="auto" w:sz="4" w:space="0"/>
              <w:left w:val="single" w:color="auto" w:sz="4" w:space="0"/>
            </w:tcBorders>
            <w:noWrap w:val="0"/>
            <w:vAlign w:val="center"/>
          </w:tcPr>
          <w:p w14:paraId="00560CDB">
            <w:pPr>
              <w:jc w:val="center"/>
              <w:rPr>
                <w:rFonts w:hint="eastAsia" w:eastAsia="宋体"/>
                <w:b/>
                <w:bCs/>
                <w:color w:val="000000"/>
                <w:sz w:val="21"/>
                <w:szCs w:val="21"/>
                <w:lang w:val="en-US" w:eastAsia="zh-CN"/>
              </w:rPr>
            </w:pPr>
            <w:r>
              <w:rPr>
                <w:rFonts w:hint="eastAsia" w:eastAsia="宋体"/>
                <w:b/>
                <w:bCs/>
                <w:color w:val="000000"/>
                <w:sz w:val="21"/>
                <w:szCs w:val="21"/>
                <w:lang w:val="en-US" w:eastAsia="zh-CN"/>
              </w:rPr>
              <w:t>阳离子交换量</w:t>
            </w:r>
          </w:p>
          <w:p w14:paraId="2CA3F993">
            <w:pPr>
              <w:jc w:val="center"/>
              <w:rPr>
                <w:rFonts w:hint="default" w:ascii="Times New Roman" w:hAnsi="Times New Roman" w:eastAsia="宋体" w:cs="Times New Roman"/>
                <w:b/>
                <w:bCs/>
                <w:color w:val="FF0000"/>
                <w:kern w:val="2"/>
                <w:sz w:val="21"/>
                <w:szCs w:val="21"/>
                <w:lang w:val="en-US" w:eastAsia="zh-CN" w:bidi="ar-SA"/>
              </w:rPr>
            </w:pPr>
            <w:r>
              <w:rPr>
                <w:rFonts w:hint="eastAsia" w:eastAsia="宋体"/>
                <w:b/>
                <w:bCs/>
                <w:color w:val="000000"/>
                <w:sz w:val="21"/>
                <w:szCs w:val="21"/>
                <w:lang w:val="en-US" w:eastAsia="zh-CN"/>
              </w:rPr>
              <w:t>（</w:t>
            </w:r>
            <w:r>
              <w:rPr>
                <w:rFonts w:hint="eastAsia" w:ascii="Times New Roman" w:hAnsi="Times New Roman" w:eastAsia="宋体" w:cs="Times New Roman"/>
                <w:b/>
                <w:bCs/>
                <w:color w:val="auto"/>
                <w:kern w:val="2"/>
                <w:sz w:val="21"/>
                <w:szCs w:val="21"/>
                <w:lang w:val="en-US" w:eastAsia="zh-CN" w:bidi="ar"/>
              </w:rPr>
              <w:t>cmol</w:t>
            </w:r>
            <w:r>
              <w:rPr>
                <w:rFonts w:hint="eastAsia" w:cs="Times New Roman"/>
                <w:b/>
                <w:bCs/>
                <w:color w:val="auto"/>
                <w:kern w:val="2"/>
                <w:sz w:val="21"/>
                <w:szCs w:val="21"/>
                <w:vertAlign w:val="superscript"/>
                <w:lang w:val="en-US" w:eastAsia="zh-CN" w:bidi="ar"/>
              </w:rPr>
              <w:t>+</w:t>
            </w:r>
            <w:r>
              <w:rPr>
                <w:rFonts w:hint="eastAsia" w:ascii="Times New Roman" w:hAnsi="Times New Roman" w:eastAsia="宋体" w:cs="Times New Roman"/>
                <w:b/>
                <w:bCs/>
                <w:color w:val="auto"/>
                <w:kern w:val="2"/>
                <w:sz w:val="21"/>
                <w:szCs w:val="21"/>
                <w:lang w:val="en-US" w:eastAsia="zh-CN" w:bidi="ar"/>
              </w:rPr>
              <w:t>/kg</w:t>
            </w:r>
            <w:r>
              <w:rPr>
                <w:rFonts w:hint="eastAsia" w:eastAsia="宋体"/>
                <w:b/>
                <w:bCs/>
                <w:color w:val="000000"/>
                <w:sz w:val="21"/>
                <w:szCs w:val="21"/>
                <w:lang w:val="en-US" w:eastAsia="zh-CN"/>
              </w:rPr>
              <w:t>）</w:t>
            </w:r>
          </w:p>
        </w:tc>
        <w:tc>
          <w:tcPr>
            <w:tcW w:w="2042" w:type="dxa"/>
            <w:tcBorders>
              <w:top w:val="single" w:color="auto" w:sz="4" w:space="0"/>
              <w:left w:val="single" w:color="auto" w:sz="4" w:space="0"/>
            </w:tcBorders>
            <w:noWrap w:val="0"/>
            <w:vAlign w:val="center"/>
          </w:tcPr>
          <w:p w14:paraId="4940EA03">
            <w:pPr>
              <w:jc w:val="center"/>
              <w:rPr>
                <w:rFonts w:hint="default" w:ascii="Times New Roman" w:hAnsi="Times New Roman" w:eastAsia="宋体" w:cs="Times New Roman"/>
                <w:color w:val="auto"/>
                <w:sz w:val="21"/>
                <w:szCs w:val="21"/>
                <w:lang w:val="en-US" w:eastAsia="zh-CN"/>
              </w:rPr>
            </w:pPr>
            <w:r>
              <w:rPr>
                <w:rFonts w:hint="eastAsia" w:cs="Times New Roman"/>
                <w:bCs/>
                <w:color w:val="auto"/>
                <w:sz w:val="21"/>
                <w:szCs w:val="21"/>
                <w:lang w:val="en-US" w:eastAsia="zh-CN"/>
              </w:rPr>
              <w:t>12.3</w:t>
            </w:r>
          </w:p>
        </w:tc>
        <w:tc>
          <w:tcPr>
            <w:tcW w:w="2042" w:type="dxa"/>
            <w:tcBorders>
              <w:top w:val="single" w:color="auto" w:sz="4" w:space="0"/>
              <w:left w:val="single" w:color="auto" w:sz="4" w:space="0"/>
            </w:tcBorders>
            <w:noWrap w:val="0"/>
            <w:vAlign w:val="center"/>
          </w:tcPr>
          <w:p w14:paraId="2ACCAA66">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11.5</w:t>
            </w:r>
          </w:p>
        </w:tc>
        <w:tc>
          <w:tcPr>
            <w:tcW w:w="2042" w:type="dxa"/>
            <w:tcBorders>
              <w:top w:val="single" w:color="auto" w:sz="4" w:space="0"/>
              <w:left w:val="single" w:color="auto" w:sz="4" w:space="0"/>
            </w:tcBorders>
            <w:noWrap w:val="0"/>
            <w:vAlign w:val="center"/>
          </w:tcPr>
          <w:p w14:paraId="286ACB2B">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12.7</w:t>
            </w:r>
          </w:p>
        </w:tc>
      </w:tr>
      <w:tr w14:paraId="67569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7A7D70EB">
            <w:pPr>
              <w:jc w:val="center"/>
              <w:rPr>
                <w:rFonts w:hint="default" w:ascii="Times New Roman" w:hAnsi="Times New Roman" w:eastAsia="宋体" w:cs="Times New Roman"/>
                <w:b/>
                <w:bCs/>
                <w:color w:val="000000"/>
                <w:kern w:val="2"/>
                <w:sz w:val="21"/>
                <w:szCs w:val="21"/>
                <w:lang w:val="en-US" w:eastAsia="zh-CN" w:bidi="ar-SA"/>
              </w:rPr>
            </w:pPr>
          </w:p>
        </w:tc>
        <w:tc>
          <w:tcPr>
            <w:tcW w:w="1215" w:type="dxa"/>
            <w:tcBorders>
              <w:top w:val="single" w:color="auto" w:sz="4" w:space="0"/>
              <w:left w:val="single" w:color="auto" w:sz="4" w:space="0"/>
            </w:tcBorders>
            <w:noWrap w:val="0"/>
            <w:vAlign w:val="center"/>
          </w:tcPr>
          <w:p w14:paraId="47092F79">
            <w:pPr>
              <w:jc w:val="center"/>
              <w:rPr>
                <w:rFonts w:hint="default" w:ascii="Times New Roman" w:hAnsi="Times New Roman" w:eastAsia="宋体" w:cs="Times New Roman"/>
                <w:b/>
                <w:bCs/>
                <w:color w:val="auto"/>
                <w:kern w:val="2"/>
                <w:sz w:val="21"/>
                <w:szCs w:val="21"/>
                <w:lang w:val="en-US" w:eastAsia="zh-CN" w:bidi="ar-SA"/>
              </w:rPr>
            </w:pPr>
            <w:r>
              <w:rPr>
                <w:rFonts w:hint="eastAsia" w:eastAsia="宋体" w:cs="Times New Roman"/>
                <w:b/>
                <w:bCs/>
                <w:color w:val="000000"/>
                <w:sz w:val="21"/>
                <w:szCs w:val="21"/>
                <w:lang w:val="en-US" w:eastAsia="zh-CN"/>
              </w:rPr>
              <w:t>渗滤率</w:t>
            </w:r>
            <w:r>
              <w:rPr>
                <w:rFonts w:hint="eastAsia" w:cs="Times New Roman"/>
                <w:b/>
                <w:bCs/>
                <w:color w:val="000000"/>
                <w:sz w:val="21"/>
                <w:szCs w:val="21"/>
                <w:lang w:val="en-US" w:eastAsia="zh-CN"/>
              </w:rPr>
              <w:t>（</w:t>
            </w:r>
            <w:r>
              <w:rPr>
                <w:rFonts w:hint="eastAsia" w:eastAsia="宋体"/>
                <w:b/>
                <w:bCs/>
                <w:color w:val="000000"/>
                <w:kern w:val="0"/>
                <w:sz w:val="21"/>
                <w:szCs w:val="21"/>
                <w:lang w:val="en-US" w:eastAsia="zh-CN"/>
              </w:rPr>
              <w:t>mm/min</w:t>
            </w:r>
            <w:r>
              <w:rPr>
                <w:rFonts w:hint="eastAsia" w:ascii="Times New Roman" w:eastAsia="宋体"/>
                <w:b/>
                <w:bCs/>
                <w:color w:val="000000"/>
                <w:kern w:val="0"/>
                <w:sz w:val="21"/>
                <w:szCs w:val="21"/>
                <w:lang w:val="en-US" w:eastAsia="zh-CN"/>
              </w:rPr>
              <w:t>）</w:t>
            </w:r>
          </w:p>
        </w:tc>
        <w:tc>
          <w:tcPr>
            <w:tcW w:w="2042" w:type="dxa"/>
            <w:tcBorders>
              <w:top w:val="single" w:color="auto" w:sz="4" w:space="0"/>
              <w:left w:val="single" w:color="auto" w:sz="4" w:space="0"/>
            </w:tcBorders>
            <w:noWrap w:val="0"/>
            <w:vAlign w:val="center"/>
          </w:tcPr>
          <w:p w14:paraId="3176E3C5">
            <w:pPr>
              <w:jc w:val="center"/>
              <w:rPr>
                <w:rFonts w:hint="default" w:ascii="Times New Roman" w:hAnsi="Times New Roman" w:eastAsia="宋体" w:cs="Times New Roman"/>
                <w:sz w:val="21"/>
                <w:szCs w:val="21"/>
                <w:lang w:val="en-US" w:eastAsia="zh-CN"/>
              </w:rPr>
            </w:pPr>
            <w:r>
              <w:rPr>
                <w:rFonts w:hint="eastAsia" w:cs="Times New Roman"/>
                <w:bCs/>
                <w:color w:val="auto"/>
                <w:sz w:val="21"/>
                <w:szCs w:val="21"/>
                <w:lang w:val="en-US" w:eastAsia="zh-CN"/>
              </w:rPr>
              <w:t>1.29</w:t>
            </w:r>
          </w:p>
        </w:tc>
        <w:tc>
          <w:tcPr>
            <w:tcW w:w="2042" w:type="dxa"/>
            <w:tcBorders>
              <w:top w:val="single" w:color="auto" w:sz="4" w:space="0"/>
              <w:left w:val="single" w:color="auto" w:sz="4" w:space="0"/>
            </w:tcBorders>
            <w:noWrap w:val="0"/>
            <w:vAlign w:val="center"/>
          </w:tcPr>
          <w:p w14:paraId="650C3B61">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1.31</w:t>
            </w:r>
          </w:p>
        </w:tc>
        <w:tc>
          <w:tcPr>
            <w:tcW w:w="2042" w:type="dxa"/>
            <w:tcBorders>
              <w:top w:val="single" w:color="auto" w:sz="4" w:space="0"/>
              <w:left w:val="single" w:color="auto" w:sz="4" w:space="0"/>
            </w:tcBorders>
            <w:noWrap w:val="0"/>
            <w:vAlign w:val="center"/>
          </w:tcPr>
          <w:p w14:paraId="56AB2F51">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1.27</w:t>
            </w:r>
          </w:p>
        </w:tc>
      </w:tr>
      <w:tr w14:paraId="588FA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395A4677">
            <w:pPr>
              <w:jc w:val="center"/>
              <w:rPr>
                <w:rFonts w:hint="default" w:ascii="Times New Roman" w:hAnsi="Times New Roman" w:eastAsia="宋体" w:cs="Times New Roman"/>
                <w:b/>
                <w:bCs/>
                <w:color w:val="000000"/>
                <w:kern w:val="2"/>
                <w:sz w:val="21"/>
                <w:szCs w:val="21"/>
                <w:lang w:val="en-US" w:eastAsia="zh-CN" w:bidi="ar-SA"/>
              </w:rPr>
            </w:pPr>
          </w:p>
        </w:tc>
        <w:tc>
          <w:tcPr>
            <w:tcW w:w="1215" w:type="dxa"/>
            <w:tcBorders>
              <w:top w:val="single" w:color="auto" w:sz="4" w:space="0"/>
              <w:left w:val="single" w:color="auto" w:sz="4" w:space="0"/>
              <w:bottom w:val="single" w:color="auto" w:sz="4" w:space="0"/>
            </w:tcBorders>
            <w:noWrap w:val="0"/>
            <w:vAlign w:val="center"/>
          </w:tcPr>
          <w:p w14:paraId="64596D18">
            <w:pPr>
              <w:jc w:val="center"/>
              <w:rPr>
                <w:rFonts w:hint="default" w:ascii="Times New Roman" w:hAnsi="Times New Roman" w:eastAsia="宋体" w:cs="Times New Roman"/>
                <w:b/>
                <w:bCs/>
                <w:color w:val="auto"/>
                <w:kern w:val="2"/>
                <w:sz w:val="21"/>
                <w:szCs w:val="21"/>
                <w:lang w:val="en-US" w:eastAsia="zh-CN" w:bidi="ar-SA"/>
              </w:rPr>
            </w:pPr>
            <w:r>
              <w:rPr>
                <w:rFonts w:hint="eastAsia" w:eastAsia="宋体"/>
                <w:b/>
                <w:bCs/>
                <w:color w:val="auto"/>
                <w:kern w:val="0"/>
                <w:sz w:val="21"/>
                <w:szCs w:val="21"/>
                <w:lang w:val="en-US" w:eastAsia="zh-CN"/>
              </w:rPr>
              <w:t>土壤容重</w:t>
            </w:r>
            <w:r>
              <w:rPr>
                <w:rFonts w:hint="eastAsia" w:ascii="Times New Roman" w:eastAsia="宋体"/>
                <w:b/>
                <w:bCs/>
                <w:color w:val="auto"/>
                <w:kern w:val="0"/>
                <w:sz w:val="21"/>
                <w:szCs w:val="21"/>
                <w:lang w:val="en-US" w:eastAsia="zh-CN"/>
              </w:rPr>
              <w:t>（</w:t>
            </w:r>
            <w:r>
              <w:rPr>
                <w:rFonts w:hint="eastAsia" w:eastAsia="宋体"/>
                <w:b/>
                <w:bCs/>
                <w:color w:val="auto"/>
                <w:kern w:val="0"/>
                <w:sz w:val="21"/>
                <w:szCs w:val="21"/>
                <w:lang w:val="en-US" w:eastAsia="zh-CN"/>
              </w:rPr>
              <w:t>g/cm</w:t>
            </w:r>
            <w:r>
              <w:rPr>
                <w:rFonts w:hint="eastAsia" w:eastAsia="宋体"/>
                <w:b/>
                <w:bCs/>
                <w:color w:val="auto"/>
                <w:kern w:val="0"/>
                <w:sz w:val="21"/>
                <w:szCs w:val="21"/>
                <w:vertAlign w:val="superscript"/>
                <w:lang w:val="en-US" w:eastAsia="zh-CN"/>
              </w:rPr>
              <w:t>3</w:t>
            </w:r>
            <w:r>
              <w:rPr>
                <w:rFonts w:hint="eastAsia" w:ascii="Times New Roman" w:eastAsia="宋体"/>
                <w:b/>
                <w:bCs/>
                <w:color w:val="auto"/>
                <w:kern w:val="0"/>
                <w:sz w:val="21"/>
                <w:szCs w:val="21"/>
                <w:vertAlign w:val="superscript"/>
                <w:lang w:val="en-US" w:eastAsia="zh-CN"/>
              </w:rPr>
              <w:t>）</w:t>
            </w:r>
          </w:p>
        </w:tc>
        <w:tc>
          <w:tcPr>
            <w:tcW w:w="2042" w:type="dxa"/>
            <w:tcBorders>
              <w:top w:val="single" w:color="auto" w:sz="4" w:space="0"/>
              <w:left w:val="single" w:color="auto" w:sz="4" w:space="0"/>
              <w:bottom w:val="single" w:color="auto" w:sz="4" w:space="0"/>
            </w:tcBorders>
            <w:noWrap w:val="0"/>
            <w:vAlign w:val="center"/>
          </w:tcPr>
          <w:p w14:paraId="5A1A4D7C">
            <w:pPr>
              <w:jc w:val="center"/>
              <w:rPr>
                <w:rFonts w:hint="default" w:ascii="Times New Roman" w:hAnsi="Times New Roman" w:eastAsia="宋体" w:cs="Times New Roman"/>
                <w:sz w:val="21"/>
                <w:szCs w:val="21"/>
                <w:lang w:val="en-US" w:eastAsia="zh-CN"/>
              </w:rPr>
            </w:pPr>
            <w:r>
              <w:rPr>
                <w:rFonts w:hint="eastAsia" w:cs="Times New Roman"/>
                <w:bCs/>
                <w:color w:val="auto"/>
                <w:sz w:val="21"/>
                <w:szCs w:val="21"/>
                <w:lang w:val="en-US" w:eastAsia="zh-CN"/>
              </w:rPr>
              <w:t>1.4</w:t>
            </w:r>
          </w:p>
        </w:tc>
        <w:tc>
          <w:tcPr>
            <w:tcW w:w="2042" w:type="dxa"/>
            <w:tcBorders>
              <w:top w:val="single" w:color="auto" w:sz="4" w:space="0"/>
              <w:left w:val="single" w:color="auto" w:sz="4" w:space="0"/>
              <w:bottom w:val="single" w:color="auto" w:sz="4" w:space="0"/>
            </w:tcBorders>
            <w:noWrap w:val="0"/>
            <w:vAlign w:val="center"/>
          </w:tcPr>
          <w:p w14:paraId="7CF6DC90">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1.5</w:t>
            </w:r>
          </w:p>
        </w:tc>
        <w:tc>
          <w:tcPr>
            <w:tcW w:w="2042" w:type="dxa"/>
            <w:tcBorders>
              <w:top w:val="single" w:color="auto" w:sz="4" w:space="0"/>
              <w:left w:val="single" w:color="auto" w:sz="4" w:space="0"/>
              <w:bottom w:val="single" w:color="auto" w:sz="4" w:space="0"/>
            </w:tcBorders>
            <w:noWrap w:val="0"/>
            <w:vAlign w:val="center"/>
          </w:tcPr>
          <w:p w14:paraId="439479AB">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1.3</w:t>
            </w:r>
          </w:p>
        </w:tc>
      </w:tr>
      <w:tr w14:paraId="12498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Merge w:val="continue"/>
            <w:tcBorders>
              <w:left w:val="single" w:color="auto" w:sz="12" w:space="0"/>
            </w:tcBorders>
            <w:noWrap w:val="0"/>
            <w:vAlign w:val="center"/>
          </w:tcPr>
          <w:p w14:paraId="792E97B0">
            <w:pPr>
              <w:jc w:val="center"/>
              <w:rPr>
                <w:rFonts w:hint="default" w:ascii="Times New Roman" w:hAnsi="Times New Roman" w:eastAsia="宋体" w:cs="Times New Roman"/>
                <w:b/>
                <w:bCs/>
                <w:color w:val="000000"/>
                <w:kern w:val="2"/>
                <w:sz w:val="21"/>
                <w:szCs w:val="21"/>
                <w:lang w:val="en-US" w:eastAsia="zh-CN" w:bidi="ar-SA"/>
              </w:rPr>
            </w:pPr>
          </w:p>
        </w:tc>
        <w:tc>
          <w:tcPr>
            <w:tcW w:w="1215" w:type="dxa"/>
            <w:tcBorders>
              <w:top w:val="single" w:color="auto" w:sz="4" w:space="0"/>
              <w:left w:val="single" w:color="auto" w:sz="4" w:space="0"/>
            </w:tcBorders>
            <w:noWrap w:val="0"/>
            <w:vAlign w:val="center"/>
          </w:tcPr>
          <w:p w14:paraId="1FE81431">
            <w:pPr>
              <w:jc w:val="center"/>
              <w:rPr>
                <w:rFonts w:hint="default" w:eastAsia="宋体"/>
                <w:b/>
                <w:bCs/>
                <w:color w:val="auto"/>
                <w:kern w:val="0"/>
                <w:sz w:val="21"/>
                <w:szCs w:val="21"/>
                <w:lang w:val="en-US" w:eastAsia="zh-CN"/>
              </w:rPr>
            </w:pPr>
            <w:r>
              <w:rPr>
                <w:rFonts w:hint="eastAsia" w:ascii="Times New Roman" w:eastAsia="宋体"/>
                <w:b/>
                <w:bCs/>
                <w:color w:val="auto"/>
                <w:kern w:val="0"/>
                <w:sz w:val="21"/>
                <w:szCs w:val="21"/>
                <w:lang w:val="en-US" w:eastAsia="zh-CN"/>
              </w:rPr>
              <w:t>总孔隙度</w:t>
            </w:r>
            <w:r>
              <w:rPr>
                <w:rFonts w:hint="eastAsia" w:eastAsia="宋体"/>
                <w:b/>
                <w:bCs/>
                <w:color w:val="000000"/>
                <w:sz w:val="21"/>
                <w:szCs w:val="21"/>
                <w:lang w:eastAsia="zh-CN"/>
              </w:rPr>
              <w:t>（</w:t>
            </w:r>
            <w:r>
              <w:rPr>
                <w:rFonts w:hint="eastAsia" w:eastAsia="宋体"/>
                <w:b/>
                <w:bCs/>
                <w:color w:val="000000"/>
                <w:sz w:val="21"/>
                <w:szCs w:val="21"/>
                <w:lang w:val="en-US" w:eastAsia="zh-CN"/>
              </w:rPr>
              <w:t>%</w:t>
            </w:r>
            <w:r>
              <w:rPr>
                <w:rFonts w:hint="eastAsia" w:eastAsia="宋体"/>
                <w:b/>
                <w:bCs/>
                <w:color w:val="000000"/>
                <w:sz w:val="21"/>
                <w:szCs w:val="21"/>
                <w:lang w:eastAsia="zh-CN"/>
              </w:rPr>
              <w:t>）</w:t>
            </w:r>
          </w:p>
        </w:tc>
        <w:tc>
          <w:tcPr>
            <w:tcW w:w="2042" w:type="dxa"/>
            <w:tcBorders>
              <w:top w:val="single" w:color="auto" w:sz="4" w:space="0"/>
              <w:left w:val="single" w:color="auto" w:sz="4" w:space="0"/>
            </w:tcBorders>
            <w:noWrap w:val="0"/>
            <w:vAlign w:val="center"/>
          </w:tcPr>
          <w:p w14:paraId="587EFB73">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27</w:t>
            </w:r>
          </w:p>
        </w:tc>
        <w:tc>
          <w:tcPr>
            <w:tcW w:w="2042" w:type="dxa"/>
            <w:tcBorders>
              <w:top w:val="single" w:color="auto" w:sz="4" w:space="0"/>
              <w:left w:val="single" w:color="auto" w:sz="4" w:space="0"/>
            </w:tcBorders>
            <w:noWrap w:val="0"/>
            <w:vAlign w:val="center"/>
          </w:tcPr>
          <w:p w14:paraId="13F231EF">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29</w:t>
            </w:r>
          </w:p>
        </w:tc>
        <w:tc>
          <w:tcPr>
            <w:tcW w:w="2042" w:type="dxa"/>
            <w:tcBorders>
              <w:top w:val="single" w:color="auto" w:sz="4" w:space="0"/>
              <w:left w:val="single" w:color="auto" w:sz="4" w:space="0"/>
            </w:tcBorders>
            <w:noWrap w:val="0"/>
            <w:vAlign w:val="center"/>
          </w:tcPr>
          <w:p w14:paraId="65A503C6">
            <w:pPr>
              <w:jc w:val="center"/>
              <w:rPr>
                <w:rFonts w:hint="default" w:cs="Times New Roman"/>
                <w:bCs/>
                <w:color w:val="auto"/>
                <w:sz w:val="21"/>
                <w:szCs w:val="21"/>
                <w:lang w:val="en-US" w:eastAsia="zh-CN"/>
              </w:rPr>
            </w:pPr>
            <w:r>
              <w:rPr>
                <w:rFonts w:hint="eastAsia" w:cs="Times New Roman"/>
                <w:bCs/>
                <w:color w:val="auto"/>
                <w:sz w:val="21"/>
                <w:szCs w:val="21"/>
                <w:lang w:val="en-US" w:eastAsia="zh-CN"/>
              </w:rPr>
              <w:t>24</w:t>
            </w:r>
          </w:p>
        </w:tc>
      </w:tr>
    </w:tbl>
    <w:p w14:paraId="79BB8145">
      <w:pPr>
        <w:widowControl w:val="0"/>
        <w:spacing w:line="360" w:lineRule="auto"/>
        <w:jc w:val="both"/>
        <w:outlineLvl w:val="3"/>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color w:val="000000"/>
          <w:kern w:val="0"/>
          <w:sz w:val="24"/>
          <w:szCs w:val="24"/>
          <w:highlight w:val="none"/>
          <w:lang w:val="en-US" w:eastAsia="zh-CN" w:bidi="ar-SA"/>
        </w:rPr>
        <w:t>4.</w:t>
      </w:r>
      <w:r>
        <w:rPr>
          <w:rFonts w:hint="eastAsia" w:ascii="Times New Roman" w:hAnsi="Times New Roman" w:eastAsia="宋体" w:cs="Times New Roman"/>
          <w:b/>
          <w:color w:val="000000"/>
          <w:kern w:val="0"/>
          <w:sz w:val="24"/>
          <w:szCs w:val="24"/>
          <w:highlight w:val="none"/>
          <w:lang w:val="en-US" w:eastAsia="zh-CN" w:bidi="ar-SA"/>
        </w:rPr>
        <w:t>2</w:t>
      </w:r>
      <w:r>
        <w:rPr>
          <w:rFonts w:hint="default" w:ascii="Times New Roman" w:hAnsi="Times New Roman" w:eastAsia="宋体" w:cs="Times New Roman"/>
          <w:b/>
          <w:color w:val="000000"/>
          <w:kern w:val="0"/>
          <w:sz w:val="24"/>
          <w:szCs w:val="24"/>
          <w:highlight w:val="none"/>
          <w:lang w:val="en-US" w:eastAsia="zh-CN" w:bidi="ar-SA"/>
        </w:rPr>
        <w:t>.4.</w:t>
      </w:r>
      <w:r>
        <w:rPr>
          <w:rFonts w:hint="eastAsia" w:ascii="Times New Roman" w:hAnsi="Times New Roman" w:eastAsia="宋体" w:cs="Times New Roman"/>
          <w:b/>
          <w:color w:val="000000"/>
          <w:kern w:val="0"/>
          <w:sz w:val="24"/>
          <w:szCs w:val="24"/>
          <w:highlight w:val="none"/>
          <w:lang w:val="en-US" w:eastAsia="zh-CN" w:bidi="ar-SA"/>
        </w:rPr>
        <w:t>5土壤监测结果及评价</w:t>
      </w:r>
    </w:p>
    <w:p w14:paraId="05E675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1）监测结果</w:t>
      </w:r>
    </w:p>
    <w:p w14:paraId="1A7B8F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本</w:t>
      </w:r>
      <w:r>
        <w:rPr>
          <w:rFonts w:hint="eastAsia" w:ascii="Times New Roman" w:hAnsi="Times New Roman" w:eastAsia="宋体" w:cs="Times New Roman"/>
          <w:color w:val="auto"/>
          <w:sz w:val="24"/>
          <w:lang w:val="en-US" w:eastAsia="zh-CN"/>
        </w:rPr>
        <w:t>项目</w:t>
      </w:r>
      <w:r>
        <w:rPr>
          <w:rFonts w:hint="default" w:ascii="Times New Roman" w:hAnsi="Times New Roman" w:eastAsia="宋体" w:cs="Times New Roman"/>
          <w:color w:val="auto"/>
          <w:sz w:val="24"/>
        </w:rPr>
        <w:t>土壤环境质量现状监测</w:t>
      </w:r>
      <w:r>
        <w:rPr>
          <w:rFonts w:hint="eastAsia" w:ascii="Times New Roman" w:hAnsi="Times New Roman" w:eastAsia="宋体" w:cs="Times New Roman"/>
          <w:color w:val="auto"/>
          <w:sz w:val="24"/>
          <w:lang w:val="en-US" w:eastAsia="zh-CN"/>
        </w:rPr>
        <w:t>结果</w:t>
      </w:r>
      <w:r>
        <w:rPr>
          <w:rFonts w:hint="default" w:ascii="Times New Roman" w:hAnsi="Times New Roman" w:eastAsia="宋体" w:cs="Times New Roman"/>
          <w:color w:val="auto"/>
          <w:sz w:val="24"/>
        </w:rPr>
        <w:t>见表4.</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w:t>
      </w:r>
      <w:r>
        <w:rPr>
          <w:rFonts w:hint="eastAsia" w:eastAsia="宋体" w:cs="Times New Roman"/>
          <w:color w:val="auto"/>
          <w:sz w:val="24"/>
          <w:lang w:val="en-US" w:eastAsia="zh-CN"/>
        </w:rPr>
        <w:t>10</w:t>
      </w:r>
      <w:r>
        <w:rPr>
          <w:rFonts w:hint="eastAsia" w:ascii="Times New Roman" w:hAnsi="Times New Roman" w:eastAsia="宋体" w:cs="Times New Roman"/>
          <w:color w:val="auto"/>
          <w:sz w:val="24"/>
          <w:lang w:val="en-US" w:eastAsia="zh-CN"/>
        </w:rPr>
        <w:t>。</w:t>
      </w:r>
    </w:p>
    <w:p w14:paraId="1C38FB91">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4"/>
          <w:szCs w:val="24"/>
          <w:lang w:val="en-US" w:eastAsia="zh-CN"/>
        </w:rPr>
        <w:t>表4.2-</w:t>
      </w:r>
      <w:r>
        <w:rPr>
          <w:rFonts w:hint="eastAsia" w:eastAsia="宋体" w:cs="Times New Roman"/>
          <w:b/>
          <w:bCs/>
          <w:color w:val="auto"/>
          <w:sz w:val="24"/>
          <w:szCs w:val="24"/>
          <w:lang w:val="en-US" w:eastAsia="zh-CN"/>
        </w:rPr>
        <w:t>10</w:t>
      </w:r>
      <w:r>
        <w:rPr>
          <w:rFonts w:hint="eastAsia" w:ascii="Times New Roman" w:hAnsi="Times New Roman" w:eastAsia="宋体" w:cs="Times New Roman"/>
          <w:b/>
          <w:bCs/>
          <w:color w:val="auto"/>
          <w:sz w:val="24"/>
          <w:szCs w:val="24"/>
          <w:lang w:val="en-US" w:eastAsia="zh-CN"/>
        </w:rPr>
        <w:t>土壤环境质量现状监测结果一览表</w:t>
      </w:r>
    </w:p>
    <w:tbl>
      <w:tblPr>
        <w:tblStyle w:val="20"/>
        <w:tblW w:w="498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34"/>
        <w:gridCol w:w="970"/>
        <w:gridCol w:w="1662"/>
        <w:gridCol w:w="1451"/>
        <w:gridCol w:w="1466"/>
        <w:gridCol w:w="825"/>
        <w:gridCol w:w="594"/>
      </w:tblGrid>
      <w:tr w14:paraId="7EDE8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2" w:type="pct"/>
            <w:gridSpan w:val="2"/>
            <w:tcBorders>
              <w:tl2br w:val="nil"/>
              <w:tr2bl w:val="nil"/>
            </w:tcBorders>
            <w:noWrap w:val="0"/>
            <w:vAlign w:val="center"/>
          </w:tcPr>
          <w:p w14:paraId="5BBC760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sz w:val="21"/>
                <w:szCs w:val="21"/>
                <w:lang w:val="en-US" w:eastAsia="zh-CN"/>
              </w:rPr>
            </w:pPr>
            <w:r>
              <w:rPr>
                <w:rFonts w:ascii="Times New Roman" w:hAnsi="Times New Roman" w:eastAsia="宋体" w:cs="Times New Roman"/>
                <w:b/>
                <w:bCs/>
                <w:color w:val="auto"/>
                <w:sz w:val="21"/>
                <w:szCs w:val="21"/>
              </w:rPr>
              <w:t>采样地点</w:t>
            </w:r>
          </w:p>
        </w:tc>
        <w:tc>
          <w:tcPr>
            <w:tcW w:w="977" w:type="pct"/>
            <w:tcBorders>
              <w:tl2br w:val="nil"/>
              <w:tr2bl w:val="nil"/>
            </w:tcBorders>
            <w:noWrap w:val="0"/>
            <w:vAlign w:val="center"/>
          </w:tcPr>
          <w:p w14:paraId="0A9B8C6C">
            <w:pPr>
              <w:jc w:val="center"/>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000000"/>
                <w:szCs w:val="21"/>
                <w:lang w:val="en-US" w:eastAsia="zh-CN"/>
              </w:rPr>
              <w:t>T-1</w:t>
            </w:r>
            <w:r>
              <w:rPr>
                <w:rFonts w:hint="eastAsia" w:ascii="Times New Roman" w:hAnsi="Times New Roman" w:eastAsia="宋体" w:cs="Times New Roman"/>
                <w:b/>
                <w:bCs/>
                <w:color w:val="000000"/>
                <w:szCs w:val="21"/>
                <w:vertAlign w:val="superscript"/>
                <w:lang w:val="en-US" w:eastAsia="zh-CN"/>
              </w:rPr>
              <w:t>#</w:t>
            </w:r>
            <w:r>
              <w:rPr>
                <w:rFonts w:hint="eastAsia" w:ascii="Times New Roman" w:hAnsi="Times New Roman" w:eastAsia="宋体" w:cs="Times New Roman"/>
                <w:b/>
                <w:bCs/>
                <w:color w:val="000000"/>
                <w:szCs w:val="21"/>
                <w:lang w:val="en-US" w:eastAsia="zh-CN"/>
              </w:rPr>
              <w:t>-1</w:t>
            </w:r>
          </w:p>
        </w:tc>
        <w:tc>
          <w:tcPr>
            <w:tcW w:w="853" w:type="pct"/>
            <w:tcBorders>
              <w:tl2br w:val="nil"/>
              <w:tr2bl w:val="nil"/>
            </w:tcBorders>
            <w:noWrap w:val="0"/>
            <w:vAlign w:val="center"/>
          </w:tcPr>
          <w:p w14:paraId="6B6C5748">
            <w:pPr>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000000"/>
                <w:szCs w:val="21"/>
                <w:lang w:val="en-US" w:eastAsia="zh-CN"/>
              </w:rPr>
              <w:t>T-2</w:t>
            </w:r>
            <w:r>
              <w:rPr>
                <w:rFonts w:hint="eastAsia" w:ascii="Times New Roman" w:hAnsi="Times New Roman" w:eastAsia="宋体" w:cs="Times New Roman"/>
                <w:b/>
                <w:bCs/>
                <w:color w:val="000000"/>
                <w:szCs w:val="21"/>
                <w:vertAlign w:val="superscript"/>
                <w:lang w:val="en-US" w:eastAsia="zh-CN"/>
              </w:rPr>
              <w:t>#</w:t>
            </w:r>
            <w:r>
              <w:rPr>
                <w:rFonts w:hint="eastAsia" w:ascii="Times New Roman" w:hAnsi="Times New Roman" w:eastAsia="宋体" w:cs="Times New Roman"/>
                <w:b/>
                <w:bCs/>
                <w:color w:val="000000"/>
                <w:szCs w:val="21"/>
                <w:lang w:val="en-US" w:eastAsia="zh-CN"/>
              </w:rPr>
              <w:t>-1</w:t>
            </w:r>
          </w:p>
        </w:tc>
        <w:tc>
          <w:tcPr>
            <w:tcW w:w="862" w:type="pct"/>
            <w:tcBorders>
              <w:tl2br w:val="nil"/>
              <w:tr2bl w:val="nil"/>
            </w:tcBorders>
            <w:noWrap w:val="0"/>
            <w:vAlign w:val="center"/>
          </w:tcPr>
          <w:p w14:paraId="1AD1DED4">
            <w:pPr>
              <w:jc w:val="center"/>
              <w:rPr>
                <w:rFonts w:ascii="Times New Roman" w:hAnsi="Times New Roman" w:eastAsia="宋体" w:cs="Times New Roman"/>
                <w:b/>
                <w:bCs/>
                <w:color w:val="auto"/>
                <w:sz w:val="21"/>
                <w:szCs w:val="21"/>
              </w:rPr>
            </w:pPr>
            <w:r>
              <w:rPr>
                <w:rFonts w:hint="eastAsia" w:ascii="Times New Roman" w:hAnsi="Times New Roman" w:eastAsia="宋体" w:cs="Times New Roman"/>
                <w:b/>
                <w:bCs/>
                <w:color w:val="000000"/>
                <w:szCs w:val="21"/>
                <w:lang w:val="en-US" w:eastAsia="zh-CN"/>
              </w:rPr>
              <w:t>T-3</w:t>
            </w:r>
            <w:r>
              <w:rPr>
                <w:rFonts w:hint="eastAsia" w:ascii="Times New Roman" w:hAnsi="Times New Roman" w:eastAsia="宋体" w:cs="Times New Roman"/>
                <w:b/>
                <w:bCs/>
                <w:color w:val="000000"/>
                <w:szCs w:val="21"/>
                <w:vertAlign w:val="superscript"/>
                <w:lang w:val="en-US" w:eastAsia="zh-CN"/>
              </w:rPr>
              <w:t>#</w:t>
            </w:r>
            <w:r>
              <w:rPr>
                <w:rFonts w:hint="eastAsia" w:ascii="Times New Roman" w:hAnsi="Times New Roman" w:eastAsia="宋体" w:cs="Times New Roman"/>
                <w:b/>
                <w:bCs/>
                <w:color w:val="000000"/>
                <w:szCs w:val="21"/>
                <w:lang w:val="en-US" w:eastAsia="zh-CN"/>
              </w:rPr>
              <w:t>-1</w:t>
            </w:r>
          </w:p>
        </w:tc>
        <w:tc>
          <w:tcPr>
            <w:tcW w:w="485" w:type="pct"/>
            <w:vMerge w:val="restart"/>
            <w:tcBorders>
              <w:tl2br w:val="nil"/>
              <w:tr2bl w:val="nil"/>
            </w:tcBorders>
            <w:noWrap w:val="0"/>
            <w:vAlign w:val="center"/>
          </w:tcPr>
          <w:p w14:paraId="02C2C4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rPr>
              <w:t>标准限值</w:t>
            </w:r>
          </w:p>
        </w:tc>
        <w:tc>
          <w:tcPr>
            <w:tcW w:w="349" w:type="pct"/>
            <w:vMerge w:val="restart"/>
            <w:tcBorders>
              <w:tl2br w:val="nil"/>
              <w:tr2bl w:val="nil"/>
            </w:tcBorders>
            <w:noWrap w:val="0"/>
            <w:vAlign w:val="center"/>
          </w:tcPr>
          <w:p w14:paraId="4B3A7CF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rPr>
              <w:t>达标判定</w:t>
            </w:r>
          </w:p>
        </w:tc>
      </w:tr>
      <w:tr w14:paraId="55523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2" w:type="pct"/>
            <w:gridSpan w:val="2"/>
            <w:tcBorders>
              <w:tl2br w:val="nil"/>
              <w:tr2bl w:val="nil"/>
            </w:tcBorders>
            <w:noWrap w:val="0"/>
            <w:vAlign w:val="center"/>
          </w:tcPr>
          <w:p w14:paraId="2E0DA030">
            <w:pPr>
              <w:widowControl/>
              <w:jc w:val="center"/>
              <w:textAlignment w:val="center"/>
              <w:rPr>
                <w:rFonts w:ascii="Times New Roman" w:hAnsi="Times New Roman" w:eastAsia="宋体" w:cs="Times New Roman"/>
                <w:b/>
                <w:bCs w:val="0"/>
                <w:color w:val="auto"/>
                <w:sz w:val="21"/>
                <w:szCs w:val="21"/>
              </w:rPr>
            </w:pPr>
            <w:r>
              <w:rPr>
                <w:rFonts w:hint="eastAsia" w:ascii="Times New Roman" w:hAnsi="Times New Roman" w:eastAsia="宋体" w:cs="Times New Roman"/>
                <w:b/>
                <w:bCs w:val="0"/>
                <w:color w:val="auto"/>
                <w:kern w:val="0"/>
                <w:szCs w:val="21"/>
                <w:highlight w:val="none"/>
                <w:lang w:val="en-US" w:eastAsia="zh-CN" w:bidi="ar"/>
              </w:rPr>
              <w:t>深度</w:t>
            </w:r>
            <w:r>
              <w:rPr>
                <w:rFonts w:hint="eastAsia" w:eastAsia="宋体" w:cs="Times New Roman"/>
                <w:b/>
                <w:bCs w:val="0"/>
                <w:color w:val="auto"/>
                <w:kern w:val="0"/>
                <w:szCs w:val="21"/>
                <w:highlight w:val="none"/>
                <w:lang w:val="en-US" w:eastAsia="zh-CN" w:bidi="ar"/>
              </w:rPr>
              <w:t>（</w:t>
            </w:r>
            <w:r>
              <w:rPr>
                <w:rFonts w:hint="eastAsia" w:ascii="Times New Roman" w:hAnsi="Times New Roman" w:eastAsia="宋体" w:cs="Times New Roman"/>
                <w:b/>
                <w:bCs w:val="0"/>
                <w:color w:val="auto"/>
                <w:spacing w:val="-6"/>
                <w:kern w:val="2"/>
                <w:sz w:val="21"/>
                <w:szCs w:val="21"/>
                <w:highlight w:val="none"/>
                <w:lang w:val="en-US" w:eastAsia="zh-CN" w:bidi="ar-SA"/>
              </w:rPr>
              <w:t>cm</w:t>
            </w:r>
            <w:r>
              <w:rPr>
                <w:rFonts w:hint="eastAsia" w:eastAsia="宋体" w:cs="Times New Roman"/>
                <w:b/>
                <w:bCs w:val="0"/>
                <w:color w:val="auto"/>
                <w:kern w:val="0"/>
                <w:szCs w:val="21"/>
                <w:highlight w:val="none"/>
                <w:lang w:val="en-US" w:eastAsia="zh-CN" w:bidi="ar"/>
              </w:rPr>
              <w:t>）</w:t>
            </w:r>
          </w:p>
        </w:tc>
        <w:tc>
          <w:tcPr>
            <w:tcW w:w="977" w:type="pct"/>
            <w:tcBorders>
              <w:tl2br w:val="nil"/>
              <w:tr2bl w:val="nil"/>
            </w:tcBorders>
            <w:noWrap w:val="0"/>
            <w:vAlign w:val="center"/>
          </w:tcPr>
          <w:p w14:paraId="59A02A1F">
            <w:pPr>
              <w:widowControl/>
              <w:jc w:val="center"/>
              <w:textAlignment w:val="center"/>
              <w:rPr>
                <w:rFonts w:hint="default" w:ascii="Times New Roman" w:hAnsi="Times New Roman" w:eastAsia="宋体" w:cs="Times New Roman"/>
                <w:b/>
                <w:bCs/>
                <w:color w:val="000000"/>
                <w:szCs w:val="21"/>
                <w:lang w:val="en-US" w:eastAsia="zh-CN"/>
              </w:rPr>
            </w:pPr>
            <w:r>
              <w:rPr>
                <w:rFonts w:hint="eastAsia" w:cs="Times New Roman"/>
                <w:color w:val="auto"/>
                <w:lang w:val="en-US" w:eastAsia="zh-CN"/>
              </w:rPr>
              <w:t>0~20</w:t>
            </w:r>
          </w:p>
        </w:tc>
        <w:tc>
          <w:tcPr>
            <w:tcW w:w="853" w:type="pct"/>
            <w:tcBorders>
              <w:tl2br w:val="nil"/>
              <w:tr2bl w:val="nil"/>
            </w:tcBorders>
            <w:noWrap w:val="0"/>
            <w:vAlign w:val="center"/>
          </w:tcPr>
          <w:p w14:paraId="44E4B648">
            <w:pPr>
              <w:widowControl/>
              <w:jc w:val="center"/>
              <w:textAlignment w:val="center"/>
              <w:rPr>
                <w:rFonts w:hint="eastAsia" w:ascii="Times New Roman" w:hAnsi="Times New Roman" w:eastAsia="宋体" w:cs="Times New Roman"/>
                <w:b/>
                <w:bCs/>
                <w:color w:val="000000"/>
                <w:szCs w:val="21"/>
                <w:lang w:val="en-US" w:eastAsia="zh-CN"/>
              </w:rPr>
            </w:pPr>
            <w:r>
              <w:rPr>
                <w:rFonts w:hint="eastAsia" w:cs="Times New Roman"/>
                <w:color w:val="auto"/>
                <w:lang w:val="en-US" w:eastAsia="zh-CN"/>
              </w:rPr>
              <w:t>0~20</w:t>
            </w:r>
          </w:p>
        </w:tc>
        <w:tc>
          <w:tcPr>
            <w:tcW w:w="862" w:type="pct"/>
            <w:tcBorders>
              <w:tl2br w:val="nil"/>
              <w:tr2bl w:val="nil"/>
            </w:tcBorders>
            <w:noWrap w:val="0"/>
            <w:vAlign w:val="center"/>
          </w:tcPr>
          <w:p w14:paraId="21231A96">
            <w:pPr>
              <w:widowControl/>
              <w:jc w:val="center"/>
              <w:textAlignment w:val="center"/>
              <w:rPr>
                <w:rFonts w:hint="eastAsia" w:ascii="Times New Roman" w:hAnsi="Times New Roman" w:eastAsia="宋体" w:cs="Times New Roman"/>
                <w:b/>
                <w:bCs/>
                <w:color w:val="000000"/>
                <w:szCs w:val="21"/>
                <w:lang w:val="en-US" w:eastAsia="zh-CN"/>
              </w:rPr>
            </w:pPr>
            <w:r>
              <w:rPr>
                <w:rFonts w:hint="eastAsia" w:cs="Times New Roman"/>
                <w:color w:val="auto"/>
                <w:lang w:val="en-US" w:eastAsia="zh-CN"/>
              </w:rPr>
              <w:t>0~20</w:t>
            </w:r>
          </w:p>
        </w:tc>
        <w:tc>
          <w:tcPr>
            <w:tcW w:w="485" w:type="pct"/>
            <w:vMerge w:val="continue"/>
            <w:tcBorders>
              <w:tl2br w:val="nil"/>
              <w:tr2bl w:val="nil"/>
            </w:tcBorders>
            <w:noWrap w:val="0"/>
            <w:vAlign w:val="center"/>
          </w:tcPr>
          <w:p w14:paraId="1B95468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b/>
                <w:bCs/>
                <w:color w:val="auto"/>
                <w:sz w:val="21"/>
                <w:szCs w:val="21"/>
                <w:highlight w:val="none"/>
                <w:lang w:val="en-US" w:eastAsia="zh-CN"/>
              </w:rPr>
            </w:pPr>
          </w:p>
        </w:tc>
        <w:tc>
          <w:tcPr>
            <w:tcW w:w="349" w:type="pct"/>
            <w:vMerge w:val="continue"/>
            <w:tcBorders>
              <w:tl2br w:val="nil"/>
              <w:tr2bl w:val="nil"/>
            </w:tcBorders>
            <w:noWrap w:val="0"/>
            <w:vAlign w:val="center"/>
          </w:tcPr>
          <w:p w14:paraId="6EA8B15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b/>
                <w:bCs/>
                <w:color w:val="auto"/>
                <w:sz w:val="21"/>
                <w:szCs w:val="21"/>
                <w:highlight w:val="none"/>
                <w:lang w:val="en-US" w:eastAsia="zh-CN"/>
              </w:rPr>
            </w:pPr>
          </w:p>
        </w:tc>
      </w:tr>
      <w:tr w14:paraId="70B2B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2" w:type="pct"/>
            <w:gridSpan w:val="2"/>
            <w:tcBorders>
              <w:tl2br w:val="nil"/>
              <w:tr2bl w:val="nil"/>
            </w:tcBorders>
            <w:noWrap w:val="0"/>
            <w:vAlign w:val="center"/>
          </w:tcPr>
          <w:p w14:paraId="66F8ACD4">
            <w:pPr>
              <w:widowControl/>
              <w:jc w:val="center"/>
              <w:textAlignment w:val="center"/>
              <w:rPr>
                <w:rFonts w:hint="eastAsia" w:ascii="Times New Roman" w:hAnsi="Times New Roman" w:eastAsia="宋体" w:cs="Times New Roman"/>
                <w:b/>
                <w:bCs w:val="0"/>
                <w:color w:val="auto"/>
                <w:kern w:val="0"/>
                <w:szCs w:val="21"/>
                <w:highlight w:val="none"/>
                <w:lang w:val="en-US" w:eastAsia="zh-CN" w:bidi="ar"/>
              </w:rPr>
            </w:pPr>
            <w:r>
              <w:rPr>
                <w:rFonts w:hint="default" w:ascii="Times New Roman" w:hAnsi="Times New Roman" w:eastAsia="宋体" w:cs="Times New Roman"/>
                <w:b/>
                <w:bCs w:val="0"/>
                <w:color w:val="auto"/>
                <w:kern w:val="0"/>
                <w:szCs w:val="21"/>
                <w:highlight w:val="none"/>
                <w:lang w:bidi="ar"/>
              </w:rPr>
              <w:t>样品状态</w:t>
            </w:r>
          </w:p>
        </w:tc>
        <w:tc>
          <w:tcPr>
            <w:tcW w:w="977" w:type="pct"/>
            <w:tcBorders>
              <w:tl2br w:val="nil"/>
              <w:tr2bl w:val="nil"/>
            </w:tcBorders>
            <w:noWrap w:val="0"/>
            <w:vAlign w:val="center"/>
          </w:tcPr>
          <w:p w14:paraId="558B1FF5">
            <w:pPr>
              <w:widowControl/>
              <w:jc w:val="center"/>
              <w:textAlignment w:val="center"/>
              <w:rPr>
                <w:rFonts w:hint="eastAsia" w:eastAsia="宋体" w:cs="Times New Roman"/>
                <w:color w:val="auto"/>
                <w:lang w:val="en-US" w:eastAsia="zh-CN"/>
              </w:rPr>
            </w:pPr>
            <w:r>
              <w:rPr>
                <w:rFonts w:hint="eastAsia" w:eastAsia="宋体" w:cs="Times New Roman"/>
                <w:color w:val="auto"/>
                <w:lang w:val="en-US" w:eastAsia="zh-CN"/>
              </w:rPr>
              <w:t>较干、</w:t>
            </w:r>
            <w:r>
              <w:rPr>
                <w:rFonts w:hint="eastAsia" w:cs="Times New Roman"/>
                <w:color w:val="auto"/>
                <w:lang w:val="en-US" w:eastAsia="zh-CN"/>
              </w:rPr>
              <w:t>灰棕色</w:t>
            </w:r>
            <w:r>
              <w:rPr>
                <w:rFonts w:hint="eastAsia" w:eastAsia="宋体" w:cs="Times New Roman"/>
                <w:color w:val="auto"/>
                <w:lang w:val="en-US" w:eastAsia="zh-CN"/>
              </w:rPr>
              <w:t>、壤土、无根系</w:t>
            </w:r>
          </w:p>
        </w:tc>
        <w:tc>
          <w:tcPr>
            <w:tcW w:w="853" w:type="pct"/>
            <w:tcBorders>
              <w:tl2br w:val="nil"/>
              <w:tr2bl w:val="nil"/>
            </w:tcBorders>
            <w:noWrap w:val="0"/>
            <w:vAlign w:val="center"/>
          </w:tcPr>
          <w:p w14:paraId="1A5C8C21">
            <w:pPr>
              <w:widowControl/>
              <w:jc w:val="center"/>
              <w:textAlignment w:val="center"/>
              <w:rPr>
                <w:rFonts w:hint="eastAsia" w:ascii="Times New Roman" w:hAnsi="Times New Roman" w:eastAsia="宋体" w:cs="Times New Roman"/>
                <w:color w:val="auto"/>
                <w:lang w:val="en-US" w:eastAsia="zh-CN"/>
              </w:rPr>
            </w:pPr>
            <w:r>
              <w:rPr>
                <w:rFonts w:hint="eastAsia" w:eastAsia="宋体" w:cs="Times New Roman"/>
                <w:color w:val="auto"/>
                <w:lang w:val="en-US" w:eastAsia="zh-CN"/>
              </w:rPr>
              <w:t>较干、</w:t>
            </w:r>
            <w:r>
              <w:rPr>
                <w:rFonts w:hint="eastAsia" w:cs="Times New Roman"/>
                <w:color w:val="auto"/>
                <w:lang w:val="en-US" w:eastAsia="zh-CN"/>
              </w:rPr>
              <w:t>灰棕色</w:t>
            </w:r>
            <w:r>
              <w:rPr>
                <w:rFonts w:hint="eastAsia" w:eastAsia="宋体" w:cs="Times New Roman"/>
                <w:color w:val="auto"/>
                <w:lang w:val="en-US" w:eastAsia="zh-CN"/>
              </w:rPr>
              <w:t>、壤土、无根系</w:t>
            </w:r>
          </w:p>
        </w:tc>
        <w:tc>
          <w:tcPr>
            <w:tcW w:w="862" w:type="pct"/>
            <w:tcBorders>
              <w:tl2br w:val="nil"/>
              <w:tr2bl w:val="nil"/>
            </w:tcBorders>
            <w:noWrap w:val="0"/>
            <w:vAlign w:val="center"/>
          </w:tcPr>
          <w:p w14:paraId="6228B19D">
            <w:pPr>
              <w:widowControl/>
              <w:jc w:val="center"/>
              <w:textAlignment w:val="center"/>
              <w:rPr>
                <w:rFonts w:hint="eastAsia" w:ascii="Times New Roman" w:hAnsi="Times New Roman" w:eastAsia="宋体" w:cs="Times New Roman"/>
                <w:color w:val="auto"/>
                <w:lang w:val="en-US" w:eastAsia="zh-CN"/>
              </w:rPr>
            </w:pPr>
            <w:r>
              <w:rPr>
                <w:rFonts w:hint="eastAsia" w:eastAsia="宋体" w:cs="Times New Roman"/>
                <w:color w:val="auto"/>
                <w:lang w:val="en-US" w:eastAsia="zh-CN"/>
              </w:rPr>
              <w:t>较干、</w:t>
            </w:r>
            <w:r>
              <w:rPr>
                <w:rFonts w:hint="eastAsia" w:cs="Times New Roman"/>
                <w:color w:val="auto"/>
                <w:lang w:val="en-US" w:eastAsia="zh-CN"/>
              </w:rPr>
              <w:t>灰棕色</w:t>
            </w:r>
            <w:r>
              <w:rPr>
                <w:rFonts w:hint="eastAsia" w:eastAsia="宋体" w:cs="Times New Roman"/>
                <w:color w:val="auto"/>
                <w:lang w:val="en-US" w:eastAsia="zh-CN"/>
              </w:rPr>
              <w:t>、壤土、无根系</w:t>
            </w:r>
          </w:p>
        </w:tc>
        <w:tc>
          <w:tcPr>
            <w:tcW w:w="485" w:type="pct"/>
            <w:vMerge w:val="continue"/>
            <w:tcBorders>
              <w:tl2br w:val="nil"/>
              <w:tr2bl w:val="nil"/>
            </w:tcBorders>
            <w:noWrap w:val="0"/>
            <w:vAlign w:val="center"/>
          </w:tcPr>
          <w:p w14:paraId="0211E6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b/>
                <w:bCs/>
                <w:color w:val="auto"/>
                <w:sz w:val="21"/>
                <w:szCs w:val="21"/>
                <w:highlight w:val="none"/>
                <w:lang w:val="en-US" w:eastAsia="zh-CN"/>
              </w:rPr>
            </w:pPr>
          </w:p>
        </w:tc>
        <w:tc>
          <w:tcPr>
            <w:tcW w:w="349" w:type="pct"/>
            <w:vMerge w:val="continue"/>
            <w:tcBorders>
              <w:tl2br w:val="nil"/>
              <w:tr2bl w:val="nil"/>
            </w:tcBorders>
            <w:noWrap w:val="0"/>
            <w:vAlign w:val="center"/>
          </w:tcPr>
          <w:p w14:paraId="3E576E2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b/>
                <w:bCs/>
                <w:color w:val="auto"/>
                <w:sz w:val="21"/>
                <w:szCs w:val="21"/>
                <w:highlight w:val="none"/>
                <w:lang w:val="en-US" w:eastAsia="zh-CN"/>
              </w:rPr>
            </w:pPr>
          </w:p>
        </w:tc>
      </w:tr>
      <w:tr w14:paraId="21BAD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2EEDFDC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检测项目</w:t>
            </w:r>
          </w:p>
        </w:tc>
        <w:tc>
          <w:tcPr>
            <w:tcW w:w="570" w:type="pct"/>
            <w:tcBorders>
              <w:tl2br w:val="nil"/>
              <w:tr2bl w:val="nil"/>
            </w:tcBorders>
            <w:noWrap w:val="0"/>
            <w:vAlign w:val="center"/>
          </w:tcPr>
          <w:p w14:paraId="38A5953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单位</w:t>
            </w:r>
          </w:p>
        </w:tc>
        <w:tc>
          <w:tcPr>
            <w:tcW w:w="2692" w:type="pct"/>
            <w:gridSpan w:val="3"/>
            <w:tcBorders>
              <w:tl2br w:val="nil"/>
              <w:tr2bl w:val="nil"/>
            </w:tcBorders>
            <w:noWrap w:val="0"/>
            <w:vAlign w:val="center"/>
          </w:tcPr>
          <w:p w14:paraId="3DC0733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采样结果</w:t>
            </w:r>
          </w:p>
        </w:tc>
        <w:tc>
          <w:tcPr>
            <w:tcW w:w="485" w:type="pct"/>
            <w:vMerge w:val="continue"/>
            <w:tcBorders>
              <w:tl2br w:val="nil"/>
              <w:tr2bl w:val="nil"/>
            </w:tcBorders>
            <w:noWrap w:val="0"/>
            <w:vAlign w:val="center"/>
          </w:tcPr>
          <w:p w14:paraId="462DA31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p>
        </w:tc>
        <w:tc>
          <w:tcPr>
            <w:tcW w:w="349" w:type="pct"/>
            <w:vMerge w:val="continue"/>
            <w:tcBorders>
              <w:tl2br w:val="nil"/>
              <w:tr2bl w:val="nil"/>
            </w:tcBorders>
            <w:noWrap w:val="0"/>
            <w:vAlign w:val="center"/>
          </w:tcPr>
          <w:p w14:paraId="2872FC3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p>
        </w:tc>
      </w:tr>
      <w:tr w14:paraId="668A4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4CCD1B7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砷</w:t>
            </w:r>
          </w:p>
        </w:tc>
        <w:tc>
          <w:tcPr>
            <w:tcW w:w="570" w:type="pct"/>
            <w:tcBorders>
              <w:tl2br w:val="nil"/>
              <w:tr2bl w:val="nil"/>
            </w:tcBorders>
            <w:noWrap w:val="0"/>
            <w:vAlign w:val="center"/>
          </w:tcPr>
          <w:p w14:paraId="61606727">
            <w:pPr>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61E6913D">
            <w:pPr>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29.2</w:t>
            </w:r>
          </w:p>
        </w:tc>
        <w:tc>
          <w:tcPr>
            <w:tcW w:w="853" w:type="pct"/>
            <w:tcBorders>
              <w:tl2br w:val="nil"/>
              <w:tr2bl w:val="nil"/>
            </w:tcBorders>
            <w:noWrap w:val="0"/>
            <w:vAlign w:val="center"/>
          </w:tcPr>
          <w:p w14:paraId="44E60CAC">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22.9</w:t>
            </w:r>
          </w:p>
        </w:tc>
        <w:tc>
          <w:tcPr>
            <w:tcW w:w="862" w:type="pct"/>
            <w:tcBorders>
              <w:tl2br w:val="nil"/>
              <w:tr2bl w:val="nil"/>
            </w:tcBorders>
            <w:noWrap w:val="0"/>
            <w:vAlign w:val="center"/>
          </w:tcPr>
          <w:p w14:paraId="74C8D6BC">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26.4</w:t>
            </w:r>
          </w:p>
        </w:tc>
        <w:tc>
          <w:tcPr>
            <w:tcW w:w="485" w:type="pct"/>
            <w:tcBorders>
              <w:tl2br w:val="nil"/>
              <w:tr2bl w:val="nil"/>
            </w:tcBorders>
            <w:noWrap w:val="0"/>
            <w:vAlign w:val="center"/>
          </w:tcPr>
          <w:p w14:paraId="1721207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349" w:type="pct"/>
            <w:tcBorders>
              <w:tl2br w:val="nil"/>
              <w:tr2bl w:val="nil"/>
            </w:tcBorders>
            <w:noWrap w:val="0"/>
            <w:vAlign w:val="center"/>
          </w:tcPr>
          <w:p w14:paraId="12A35DB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47AFE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704A81BB">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铅</w:t>
            </w:r>
          </w:p>
        </w:tc>
        <w:tc>
          <w:tcPr>
            <w:tcW w:w="570" w:type="pct"/>
            <w:tcBorders>
              <w:tl2br w:val="nil"/>
              <w:tr2bl w:val="nil"/>
            </w:tcBorders>
            <w:noWrap w:val="0"/>
            <w:vAlign w:val="center"/>
          </w:tcPr>
          <w:p w14:paraId="79BC00F2">
            <w:pPr>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3929C963">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40</w:t>
            </w:r>
          </w:p>
        </w:tc>
        <w:tc>
          <w:tcPr>
            <w:tcW w:w="853" w:type="pct"/>
            <w:tcBorders>
              <w:tl2br w:val="nil"/>
              <w:tr2bl w:val="nil"/>
            </w:tcBorders>
            <w:noWrap w:val="0"/>
            <w:vAlign w:val="center"/>
          </w:tcPr>
          <w:p w14:paraId="058DF7DF">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54</w:t>
            </w:r>
          </w:p>
        </w:tc>
        <w:tc>
          <w:tcPr>
            <w:tcW w:w="862" w:type="pct"/>
            <w:tcBorders>
              <w:tl2br w:val="nil"/>
              <w:tr2bl w:val="nil"/>
            </w:tcBorders>
            <w:noWrap w:val="0"/>
            <w:vAlign w:val="center"/>
          </w:tcPr>
          <w:p w14:paraId="5BB5BB0D">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40</w:t>
            </w:r>
          </w:p>
        </w:tc>
        <w:tc>
          <w:tcPr>
            <w:tcW w:w="485" w:type="pct"/>
            <w:tcBorders>
              <w:tl2br w:val="nil"/>
              <w:tr2bl w:val="nil"/>
            </w:tcBorders>
            <w:noWrap w:val="0"/>
            <w:vAlign w:val="center"/>
          </w:tcPr>
          <w:p w14:paraId="0CC97AF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500</w:t>
            </w:r>
          </w:p>
        </w:tc>
        <w:tc>
          <w:tcPr>
            <w:tcW w:w="349" w:type="pct"/>
            <w:tcBorders>
              <w:tl2br w:val="nil"/>
              <w:tr2bl w:val="nil"/>
            </w:tcBorders>
            <w:noWrap w:val="0"/>
            <w:vAlign w:val="center"/>
          </w:tcPr>
          <w:p w14:paraId="1648962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50607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0D6E24B9">
            <w:pPr>
              <w:jc w:val="center"/>
              <w:rPr>
                <w:rFonts w:hint="eastAsia" w:ascii="Times New Roman" w:hAnsi="Times New Roman" w:eastAsia="宋体" w:cs="Times New Roman"/>
                <w:color w:val="auto"/>
                <w:kern w:val="2"/>
                <w:sz w:val="21"/>
                <w:szCs w:val="21"/>
                <w:highlight w:val="yellow"/>
                <w:lang w:val="en-US" w:eastAsia="zh-CN" w:bidi="ar-SA"/>
              </w:rPr>
            </w:pPr>
            <w:r>
              <w:rPr>
                <w:rFonts w:hint="eastAsia" w:ascii="Times New Roman" w:hAnsi="Times New Roman" w:eastAsia="宋体" w:cs="Times New Roman"/>
                <w:bCs/>
                <w:color w:val="auto"/>
                <w:kern w:val="2"/>
                <w:sz w:val="21"/>
                <w:szCs w:val="21"/>
                <w:lang w:val="en-US" w:eastAsia="zh-CN" w:bidi="ar-SA"/>
              </w:rPr>
              <w:t>汞</w:t>
            </w:r>
          </w:p>
        </w:tc>
        <w:tc>
          <w:tcPr>
            <w:tcW w:w="570" w:type="pct"/>
            <w:tcBorders>
              <w:tl2br w:val="nil"/>
              <w:tr2bl w:val="nil"/>
            </w:tcBorders>
            <w:noWrap w:val="0"/>
            <w:vAlign w:val="center"/>
          </w:tcPr>
          <w:p w14:paraId="398E2B5A">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52C1D4A0">
            <w:pPr>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7.24×10</w:t>
            </w:r>
            <w:r>
              <w:rPr>
                <w:rFonts w:hint="default" w:ascii="Times New Roman" w:hAnsi="Times New Roman" w:eastAsia="宋体" w:cs="Times New Roman"/>
                <w:bCs/>
                <w:color w:val="auto"/>
                <w:szCs w:val="21"/>
                <w:vertAlign w:val="superscript"/>
                <w:lang w:val="en-US" w:eastAsia="zh-CN"/>
              </w:rPr>
              <w:t>-4</w:t>
            </w:r>
          </w:p>
        </w:tc>
        <w:tc>
          <w:tcPr>
            <w:tcW w:w="853" w:type="pct"/>
            <w:tcBorders>
              <w:tl2br w:val="nil"/>
              <w:tr2bl w:val="nil"/>
            </w:tcBorders>
            <w:noWrap w:val="0"/>
            <w:vAlign w:val="center"/>
          </w:tcPr>
          <w:p w14:paraId="3504F3E7">
            <w:pPr>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7.24×10</w:t>
            </w:r>
            <w:r>
              <w:rPr>
                <w:rFonts w:hint="default" w:ascii="Times New Roman" w:hAnsi="Times New Roman" w:eastAsia="宋体" w:cs="Times New Roman"/>
                <w:bCs/>
                <w:color w:val="auto"/>
                <w:szCs w:val="21"/>
                <w:vertAlign w:val="superscript"/>
                <w:lang w:val="en-US" w:eastAsia="zh-CN"/>
              </w:rPr>
              <w:t>-4</w:t>
            </w:r>
          </w:p>
        </w:tc>
        <w:tc>
          <w:tcPr>
            <w:tcW w:w="862" w:type="pct"/>
            <w:tcBorders>
              <w:tl2br w:val="nil"/>
              <w:tr2bl w:val="nil"/>
            </w:tcBorders>
            <w:noWrap w:val="0"/>
            <w:vAlign w:val="center"/>
          </w:tcPr>
          <w:p w14:paraId="32AB4E65">
            <w:pPr>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7.24×10</w:t>
            </w:r>
            <w:r>
              <w:rPr>
                <w:rFonts w:hint="default" w:ascii="Times New Roman" w:hAnsi="Times New Roman" w:eastAsia="宋体" w:cs="Times New Roman"/>
                <w:bCs/>
                <w:color w:val="auto"/>
                <w:szCs w:val="21"/>
                <w:vertAlign w:val="superscript"/>
                <w:lang w:val="en-US" w:eastAsia="zh-CN"/>
              </w:rPr>
              <w:t>-4</w:t>
            </w:r>
          </w:p>
        </w:tc>
        <w:tc>
          <w:tcPr>
            <w:tcW w:w="485" w:type="pct"/>
            <w:tcBorders>
              <w:tl2br w:val="nil"/>
              <w:tr2bl w:val="nil"/>
            </w:tcBorders>
            <w:noWrap w:val="0"/>
            <w:vAlign w:val="center"/>
          </w:tcPr>
          <w:p w14:paraId="591E621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1.5</w:t>
            </w:r>
          </w:p>
        </w:tc>
        <w:tc>
          <w:tcPr>
            <w:tcW w:w="349" w:type="pct"/>
            <w:tcBorders>
              <w:tl2br w:val="nil"/>
              <w:tr2bl w:val="nil"/>
            </w:tcBorders>
            <w:noWrap w:val="0"/>
            <w:vAlign w:val="center"/>
          </w:tcPr>
          <w:p w14:paraId="587250F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达标</w:t>
            </w:r>
          </w:p>
        </w:tc>
      </w:tr>
      <w:tr w14:paraId="106AE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150DF8A7">
            <w:pPr>
              <w:jc w:val="center"/>
              <w:rPr>
                <w:rFonts w:hint="eastAsia" w:ascii="Times New Roman" w:hAnsi="Times New Roman" w:eastAsia="宋体" w:cs="Times New Roman"/>
                <w:color w:val="auto"/>
                <w:kern w:val="2"/>
                <w:sz w:val="21"/>
                <w:szCs w:val="21"/>
                <w:highlight w:val="yellow"/>
                <w:lang w:val="en-US" w:eastAsia="zh-CN" w:bidi="ar-SA"/>
              </w:rPr>
            </w:pPr>
            <w:r>
              <w:rPr>
                <w:rFonts w:hint="eastAsia" w:ascii="Times New Roman" w:hAnsi="Times New Roman" w:eastAsia="宋体" w:cs="Times New Roman"/>
                <w:bCs/>
                <w:color w:val="auto"/>
                <w:kern w:val="2"/>
                <w:sz w:val="21"/>
                <w:szCs w:val="21"/>
                <w:lang w:val="en-US" w:eastAsia="zh-CN" w:bidi="ar-SA"/>
              </w:rPr>
              <w:t>镉</w:t>
            </w:r>
          </w:p>
        </w:tc>
        <w:tc>
          <w:tcPr>
            <w:tcW w:w="570" w:type="pct"/>
            <w:tcBorders>
              <w:tl2br w:val="nil"/>
              <w:tr2bl w:val="nil"/>
            </w:tcBorders>
            <w:noWrap w:val="0"/>
            <w:vAlign w:val="center"/>
          </w:tcPr>
          <w:p w14:paraId="0BAE51F9">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1AE829BC">
            <w:pPr>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0.</w:t>
            </w:r>
            <w:r>
              <w:rPr>
                <w:rFonts w:hint="eastAsia" w:cs="Times New Roman"/>
                <w:bCs/>
                <w:color w:val="auto"/>
                <w:szCs w:val="21"/>
                <w:lang w:val="en-US" w:eastAsia="zh-CN"/>
              </w:rPr>
              <w:t>24</w:t>
            </w:r>
          </w:p>
        </w:tc>
        <w:tc>
          <w:tcPr>
            <w:tcW w:w="853" w:type="pct"/>
            <w:tcBorders>
              <w:tl2br w:val="nil"/>
              <w:tr2bl w:val="nil"/>
            </w:tcBorders>
            <w:noWrap w:val="0"/>
            <w:vAlign w:val="center"/>
          </w:tcPr>
          <w:p w14:paraId="044EE0D4">
            <w:pPr>
              <w:jc w:val="center"/>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0.2</w:t>
            </w:r>
            <w:r>
              <w:rPr>
                <w:rFonts w:hint="eastAsia" w:cs="Times New Roman"/>
                <w:bCs/>
                <w:color w:val="auto"/>
                <w:szCs w:val="21"/>
                <w:lang w:val="en-US" w:eastAsia="zh-CN"/>
              </w:rPr>
              <w:t>2</w:t>
            </w:r>
          </w:p>
        </w:tc>
        <w:tc>
          <w:tcPr>
            <w:tcW w:w="862" w:type="pct"/>
            <w:tcBorders>
              <w:tl2br w:val="nil"/>
              <w:tr2bl w:val="nil"/>
            </w:tcBorders>
            <w:noWrap w:val="0"/>
            <w:vAlign w:val="center"/>
          </w:tcPr>
          <w:p w14:paraId="3F09521E">
            <w:pPr>
              <w:jc w:val="center"/>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0.</w:t>
            </w:r>
            <w:r>
              <w:rPr>
                <w:rFonts w:hint="eastAsia" w:cs="Times New Roman"/>
                <w:bCs/>
                <w:color w:val="auto"/>
                <w:szCs w:val="21"/>
                <w:lang w:val="en-US" w:eastAsia="zh-CN"/>
              </w:rPr>
              <w:t>18</w:t>
            </w:r>
          </w:p>
        </w:tc>
        <w:tc>
          <w:tcPr>
            <w:tcW w:w="485" w:type="pct"/>
            <w:tcBorders>
              <w:tl2br w:val="nil"/>
              <w:tr2bl w:val="nil"/>
            </w:tcBorders>
            <w:noWrap w:val="0"/>
            <w:vAlign w:val="center"/>
          </w:tcPr>
          <w:p w14:paraId="057F1BF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300</w:t>
            </w:r>
          </w:p>
        </w:tc>
        <w:tc>
          <w:tcPr>
            <w:tcW w:w="349" w:type="pct"/>
            <w:tcBorders>
              <w:tl2br w:val="nil"/>
              <w:tr2bl w:val="nil"/>
            </w:tcBorders>
            <w:noWrap w:val="0"/>
            <w:vAlign w:val="center"/>
          </w:tcPr>
          <w:p w14:paraId="10B07AA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5B5FB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56329BE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铜</w:t>
            </w:r>
          </w:p>
        </w:tc>
        <w:tc>
          <w:tcPr>
            <w:tcW w:w="570" w:type="pct"/>
            <w:tcBorders>
              <w:tl2br w:val="nil"/>
              <w:tr2bl w:val="nil"/>
            </w:tcBorders>
            <w:noWrap w:val="0"/>
            <w:vAlign w:val="center"/>
          </w:tcPr>
          <w:p w14:paraId="789C61D4">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1AC9946A">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31</w:t>
            </w:r>
          </w:p>
        </w:tc>
        <w:tc>
          <w:tcPr>
            <w:tcW w:w="853" w:type="pct"/>
            <w:tcBorders>
              <w:tl2br w:val="nil"/>
              <w:tr2bl w:val="nil"/>
            </w:tcBorders>
            <w:noWrap w:val="0"/>
            <w:vAlign w:val="center"/>
          </w:tcPr>
          <w:p w14:paraId="03D30324">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47</w:t>
            </w:r>
          </w:p>
        </w:tc>
        <w:tc>
          <w:tcPr>
            <w:tcW w:w="862" w:type="pct"/>
            <w:tcBorders>
              <w:tl2br w:val="nil"/>
              <w:tr2bl w:val="nil"/>
            </w:tcBorders>
            <w:noWrap w:val="0"/>
            <w:vAlign w:val="center"/>
          </w:tcPr>
          <w:p w14:paraId="4AEC5150">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54</w:t>
            </w:r>
          </w:p>
        </w:tc>
        <w:tc>
          <w:tcPr>
            <w:tcW w:w="485" w:type="pct"/>
            <w:tcBorders>
              <w:tl2br w:val="nil"/>
              <w:tr2bl w:val="nil"/>
            </w:tcBorders>
            <w:noWrap w:val="0"/>
            <w:vAlign w:val="center"/>
          </w:tcPr>
          <w:p w14:paraId="4EAF293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400</w:t>
            </w:r>
          </w:p>
        </w:tc>
        <w:tc>
          <w:tcPr>
            <w:tcW w:w="349" w:type="pct"/>
            <w:tcBorders>
              <w:tl2br w:val="nil"/>
              <w:tr2bl w:val="nil"/>
            </w:tcBorders>
            <w:noWrap w:val="0"/>
            <w:vAlign w:val="center"/>
          </w:tcPr>
          <w:p w14:paraId="63D0E98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达标</w:t>
            </w:r>
          </w:p>
        </w:tc>
      </w:tr>
      <w:tr w14:paraId="4E362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035A679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镍</w:t>
            </w:r>
          </w:p>
        </w:tc>
        <w:tc>
          <w:tcPr>
            <w:tcW w:w="570" w:type="pct"/>
            <w:tcBorders>
              <w:tl2br w:val="nil"/>
              <w:tr2bl w:val="nil"/>
            </w:tcBorders>
            <w:noWrap w:val="0"/>
            <w:vAlign w:val="center"/>
          </w:tcPr>
          <w:p w14:paraId="33F910BB">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790EB7BB">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55</w:t>
            </w:r>
          </w:p>
        </w:tc>
        <w:tc>
          <w:tcPr>
            <w:tcW w:w="853" w:type="pct"/>
            <w:tcBorders>
              <w:tl2br w:val="nil"/>
              <w:tr2bl w:val="nil"/>
            </w:tcBorders>
            <w:noWrap w:val="0"/>
            <w:vAlign w:val="center"/>
          </w:tcPr>
          <w:p w14:paraId="19F99DA7">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59</w:t>
            </w:r>
          </w:p>
        </w:tc>
        <w:tc>
          <w:tcPr>
            <w:tcW w:w="862" w:type="pct"/>
            <w:tcBorders>
              <w:tl2br w:val="nil"/>
              <w:tr2bl w:val="nil"/>
            </w:tcBorders>
            <w:noWrap w:val="0"/>
            <w:vAlign w:val="center"/>
          </w:tcPr>
          <w:p w14:paraId="1E21F965">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56</w:t>
            </w:r>
          </w:p>
        </w:tc>
        <w:tc>
          <w:tcPr>
            <w:tcW w:w="485" w:type="pct"/>
            <w:tcBorders>
              <w:tl2br w:val="nil"/>
              <w:tr2bl w:val="nil"/>
            </w:tcBorders>
            <w:noWrap w:val="0"/>
            <w:vAlign w:val="center"/>
          </w:tcPr>
          <w:p w14:paraId="64E93EB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w:t>
            </w:r>
          </w:p>
        </w:tc>
        <w:tc>
          <w:tcPr>
            <w:tcW w:w="349" w:type="pct"/>
            <w:tcBorders>
              <w:tl2br w:val="nil"/>
              <w:tr2bl w:val="nil"/>
            </w:tcBorders>
            <w:noWrap w:val="0"/>
            <w:vAlign w:val="center"/>
          </w:tcPr>
          <w:p w14:paraId="09CC2EE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4ACF8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7F09B789">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Cs/>
                <w:color w:val="auto"/>
                <w:kern w:val="2"/>
                <w:sz w:val="21"/>
                <w:szCs w:val="21"/>
                <w:lang w:val="en-US" w:eastAsia="zh-CN" w:bidi="ar-SA"/>
              </w:rPr>
              <w:t>铬</w:t>
            </w:r>
          </w:p>
        </w:tc>
        <w:tc>
          <w:tcPr>
            <w:tcW w:w="570" w:type="pct"/>
            <w:tcBorders>
              <w:tl2br w:val="nil"/>
              <w:tr2bl w:val="nil"/>
            </w:tcBorders>
            <w:noWrap w:val="0"/>
            <w:vAlign w:val="center"/>
          </w:tcPr>
          <w:p w14:paraId="00DD1851">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57507337">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55</w:t>
            </w:r>
          </w:p>
        </w:tc>
        <w:tc>
          <w:tcPr>
            <w:tcW w:w="853" w:type="pct"/>
            <w:tcBorders>
              <w:tl2br w:val="nil"/>
              <w:tr2bl w:val="nil"/>
            </w:tcBorders>
            <w:noWrap w:val="0"/>
            <w:vAlign w:val="center"/>
          </w:tcPr>
          <w:p w14:paraId="2ABDCF32">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58</w:t>
            </w:r>
          </w:p>
        </w:tc>
        <w:tc>
          <w:tcPr>
            <w:tcW w:w="862" w:type="pct"/>
            <w:tcBorders>
              <w:tl2br w:val="nil"/>
              <w:tr2bl w:val="nil"/>
            </w:tcBorders>
            <w:noWrap w:val="0"/>
            <w:vAlign w:val="center"/>
          </w:tcPr>
          <w:p w14:paraId="0EAEE13F">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73</w:t>
            </w:r>
          </w:p>
        </w:tc>
        <w:tc>
          <w:tcPr>
            <w:tcW w:w="485" w:type="pct"/>
            <w:tcBorders>
              <w:tl2br w:val="nil"/>
              <w:tr2bl w:val="nil"/>
            </w:tcBorders>
            <w:noWrap w:val="0"/>
            <w:vAlign w:val="center"/>
          </w:tcPr>
          <w:p w14:paraId="1182893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300</w:t>
            </w:r>
          </w:p>
        </w:tc>
        <w:tc>
          <w:tcPr>
            <w:tcW w:w="349" w:type="pct"/>
            <w:tcBorders>
              <w:tl2br w:val="nil"/>
              <w:tr2bl w:val="nil"/>
            </w:tcBorders>
            <w:noWrap w:val="0"/>
            <w:vAlign w:val="center"/>
          </w:tcPr>
          <w:p w14:paraId="145A2F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66338F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0C838AE5">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Cs/>
                <w:color w:val="auto"/>
                <w:kern w:val="2"/>
                <w:sz w:val="21"/>
                <w:szCs w:val="21"/>
                <w:lang w:val="en-US" w:eastAsia="zh-CN" w:bidi="ar-SA"/>
              </w:rPr>
              <w:t>锌</w:t>
            </w:r>
          </w:p>
        </w:tc>
        <w:tc>
          <w:tcPr>
            <w:tcW w:w="570" w:type="pct"/>
            <w:tcBorders>
              <w:tl2br w:val="nil"/>
              <w:tr2bl w:val="nil"/>
            </w:tcBorders>
            <w:noWrap w:val="0"/>
            <w:vAlign w:val="center"/>
          </w:tcPr>
          <w:p w14:paraId="694D13AE">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0E77798D">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73</w:t>
            </w:r>
          </w:p>
        </w:tc>
        <w:tc>
          <w:tcPr>
            <w:tcW w:w="853" w:type="pct"/>
            <w:tcBorders>
              <w:tl2br w:val="nil"/>
              <w:tr2bl w:val="nil"/>
            </w:tcBorders>
            <w:noWrap w:val="0"/>
            <w:vAlign w:val="center"/>
          </w:tcPr>
          <w:p w14:paraId="012EAA95">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90</w:t>
            </w:r>
          </w:p>
        </w:tc>
        <w:tc>
          <w:tcPr>
            <w:tcW w:w="862" w:type="pct"/>
            <w:tcBorders>
              <w:tl2br w:val="nil"/>
              <w:tr2bl w:val="nil"/>
            </w:tcBorders>
            <w:noWrap w:val="0"/>
            <w:vAlign w:val="center"/>
          </w:tcPr>
          <w:p w14:paraId="5F881106">
            <w:pPr>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92</w:t>
            </w:r>
          </w:p>
        </w:tc>
        <w:tc>
          <w:tcPr>
            <w:tcW w:w="485" w:type="pct"/>
            <w:tcBorders>
              <w:tl2br w:val="nil"/>
              <w:tr2bl w:val="nil"/>
            </w:tcBorders>
            <w:noWrap w:val="0"/>
            <w:vAlign w:val="center"/>
          </w:tcPr>
          <w:p w14:paraId="33150A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500</w:t>
            </w:r>
          </w:p>
        </w:tc>
        <w:tc>
          <w:tcPr>
            <w:tcW w:w="349" w:type="pct"/>
            <w:tcBorders>
              <w:tl2br w:val="nil"/>
              <w:tr2bl w:val="nil"/>
            </w:tcBorders>
            <w:noWrap w:val="0"/>
            <w:vAlign w:val="center"/>
          </w:tcPr>
          <w:p w14:paraId="6924450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达标</w:t>
            </w:r>
          </w:p>
        </w:tc>
      </w:tr>
      <w:tr w14:paraId="317E2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1F2B61FC">
            <w:pPr>
              <w:jc w:val="center"/>
              <w:rPr>
                <w:rFonts w:ascii="Times New Roman" w:hAnsi="Times New Roman" w:eastAsia="宋体" w:cs="Times New Roman"/>
              </w:rPr>
            </w:pPr>
            <w:r>
              <w:rPr>
                <w:rFonts w:hint="eastAsia" w:ascii="Times New Roman" w:hAnsi="Times New Roman" w:eastAsia="宋体" w:cs="Times New Roman"/>
                <w:bCs/>
                <w:color w:val="auto"/>
                <w:kern w:val="2"/>
                <w:sz w:val="21"/>
                <w:szCs w:val="21"/>
                <w:lang w:val="en-US" w:eastAsia="zh-CN" w:bidi="ar-SA"/>
              </w:rPr>
              <w:t>六六六</w:t>
            </w:r>
          </w:p>
        </w:tc>
        <w:tc>
          <w:tcPr>
            <w:tcW w:w="570" w:type="pct"/>
            <w:tcBorders>
              <w:tl2br w:val="nil"/>
              <w:tr2bl w:val="nil"/>
            </w:tcBorders>
            <w:noWrap w:val="0"/>
            <w:vAlign w:val="center"/>
          </w:tcPr>
          <w:p w14:paraId="3B7515AF">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150DFE8B">
            <w:pPr>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olor w:val="auto"/>
                <w:szCs w:val="21"/>
                <w:highlight w:val="none"/>
                <w:lang w:val="en-US" w:eastAsia="zh-CN"/>
              </w:rPr>
              <w:t>0.49</w:t>
            </w:r>
            <w:r>
              <w:rPr>
                <w:rFonts w:hint="default" w:ascii="Arial" w:hAnsi="Arial" w:eastAsia="宋体" w:cs="Arial"/>
                <w:color w:val="auto"/>
                <w:szCs w:val="21"/>
                <w:highlight w:val="none"/>
                <w:lang w:val="en-US" w:eastAsia="zh-CN"/>
              </w:rPr>
              <w:t>×</w:t>
            </w:r>
            <w:r>
              <w:rPr>
                <w:rFonts w:hint="eastAsia" w:ascii="Times New Roman" w:hAnsi="Times New Roman" w:eastAsia="宋体"/>
                <w:color w:val="auto"/>
                <w:szCs w:val="21"/>
                <w:highlight w:val="none"/>
                <w:lang w:val="en-US" w:eastAsia="zh-CN"/>
              </w:rPr>
              <w:t>10</w:t>
            </w:r>
            <w:r>
              <w:rPr>
                <w:rFonts w:hint="eastAsia" w:ascii="Times New Roman" w:hAnsi="Times New Roman" w:eastAsia="宋体"/>
                <w:color w:val="auto"/>
                <w:szCs w:val="21"/>
                <w:highlight w:val="none"/>
                <w:vertAlign w:val="superscript"/>
                <w:lang w:val="en-US" w:eastAsia="zh-CN"/>
              </w:rPr>
              <w:t>-4</w:t>
            </w:r>
          </w:p>
        </w:tc>
        <w:tc>
          <w:tcPr>
            <w:tcW w:w="853" w:type="pct"/>
            <w:tcBorders>
              <w:tl2br w:val="nil"/>
              <w:tr2bl w:val="nil"/>
            </w:tcBorders>
            <w:noWrap w:val="0"/>
            <w:vAlign w:val="center"/>
          </w:tcPr>
          <w:p w14:paraId="53598528">
            <w:pPr>
              <w:jc w:val="center"/>
              <w:rPr>
                <w:rFonts w:hint="eastAsia"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olor w:val="auto"/>
                <w:szCs w:val="21"/>
                <w:highlight w:val="none"/>
                <w:lang w:val="en-US" w:eastAsia="zh-CN"/>
              </w:rPr>
              <w:t>0.49</w:t>
            </w:r>
            <w:r>
              <w:rPr>
                <w:rFonts w:hint="default" w:ascii="Arial" w:hAnsi="Arial" w:eastAsia="宋体" w:cs="Arial"/>
                <w:color w:val="auto"/>
                <w:szCs w:val="21"/>
                <w:highlight w:val="none"/>
                <w:lang w:val="en-US" w:eastAsia="zh-CN"/>
              </w:rPr>
              <w:t>×</w:t>
            </w:r>
            <w:r>
              <w:rPr>
                <w:rFonts w:hint="eastAsia" w:ascii="Times New Roman" w:hAnsi="Times New Roman" w:eastAsia="宋体"/>
                <w:color w:val="auto"/>
                <w:szCs w:val="21"/>
                <w:highlight w:val="none"/>
                <w:lang w:val="en-US" w:eastAsia="zh-CN"/>
              </w:rPr>
              <w:t>10</w:t>
            </w:r>
            <w:r>
              <w:rPr>
                <w:rFonts w:hint="eastAsia" w:ascii="Times New Roman" w:hAnsi="Times New Roman" w:eastAsia="宋体"/>
                <w:color w:val="auto"/>
                <w:szCs w:val="21"/>
                <w:highlight w:val="none"/>
                <w:vertAlign w:val="superscript"/>
                <w:lang w:val="en-US" w:eastAsia="zh-CN"/>
              </w:rPr>
              <w:t>-4</w:t>
            </w:r>
          </w:p>
        </w:tc>
        <w:tc>
          <w:tcPr>
            <w:tcW w:w="862" w:type="pct"/>
            <w:tcBorders>
              <w:tl2br w:val="nil"/>
              <w:tr2bl w:val="nil"/>
            </w:tcBorders>
            <w:noWrap w:val="0"/>
            <w:vAlign w:val="center"/>
          </w:tcPr>
          <w:p w14:paraId="665E6574">
            <w:pPr>
              <w:jc w:val="center"/>
              <w:rPr>
                <w:rFonts w:hint="eastAsia" w:ascii="Times New Roman" w:hAnsi="Times New Roman" w:eastAsia="宋体" w:cs="Times New Roman"/>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olor w:val="auto"/>
                <w:szCs w:val="21"/>
                <w:highlight w:val="none"/>
                <w:lang w:val="en-US" w:eastAsia="zh-CN"/>
              </w:rPr>
              <w:t>0.49</w:t>
            </w:r>
            <w:r>
              <w:rPr>
                <w:rFonts w:hint="default" w:ascii="Arial" w:hAnsi="Arial" w:eastAsia="宋体" w:cs="Arial"/>
                <w:color w:val="auto"/>
                <w:szCs w:val="21"/>
                <w:highlight w:val="none"/>
                <w:lang w:val="en-US" w:eastAsia="zh-CN"/>
              </w:rPr>
              <w:t>×</w:t>
            </w:r>
            <w:r>
              <w:rPr>
                <w:rFonts w:hint="eastAsia" w:ascii="Times New Roman" w:hAnsi="Times New Roman" w:eastAsia="宋体"/>
                <w:color w:val="auto"/>
                <w:szCs w:val="21"/>
                <w:highlight w:val="none"/>
                <w:lang w:val="en-US" w:eastAsia="zh-CN"/>
              </w:rPr>
              <w:t>10</w:t>
            </w:r>
            <w:r>
              <w:rPr>
                <w:rFonts w:hint="eastAsia" w:ascii="Times New Roman" w:hAnsi="Times New Roman" w:eastAsia="宋体"/>
                <w:color w:val="auto"/>
                <w:szCs w:val="21"/>
                <w:highlight w:val="none"/>
                <w:vertAlign w:val="superscript"/>
                <w:lang w:val="en-US" w:eastAsia="zh-CN"/>
              </w:rPr>
              <w:t>-4</w:t>
            </w:r>
          </w:p>
        </w:tc>
        <w:tc>
          <w:tcPr>
            <w:tcW w:w="485" w:type="pct"/>
            <w:tcBorders>
              <w:tl2br w:val="nil"/>
              <w:tr2bl w:val="nil"/>
            </w:tcBorders>
            <w:noWrap w:val="0"/>
            <w:vAlign w:val="center"/>
          </w:tcPr>
          <w:p w14:paraId="730D873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1.0</w:t>
            </w:r>
          </w:p>
        </w:tc>
        <w:tc>
          <w:tcPr>
            <w:tcW w:w="349" w:type="pct"/>
            <w:tcBorders>
              <w:tl2br w:val="nil"/>
              <w:tr2bl w:val="nil"/>
            </w:tcBorders>
            <w:noWrap w:val="0"/>
            <w:vAlign w:val="center"/>
          </w:tcPr>
          <w:p w14:paraId="0821DEB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06D09C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5D5A609B">
            <w:pPr>
              <w:jc w:val="center"/>
              <w:rPr>
                <w:rFonts w:ascii="Times New Roman" w:hAnsi="Times New Roman" w:eastAsia="宋体" w:cs="Times New Roman"/>
              </w:rPr>
            </w:pPr>
            <w:r>
              <w:rPr>
                <w:rFonts w:hint="eastAsia" w:ascii="Times New Roman" w:hAnsi="Times New Roman" w:eastAsia="宋体" w:cs="Times New Roman"/>
                <w:bCs/>
                <w:color w:val="auto"/>
                <w:kern w:val="2"/>
                <w:sz w:val="21"/>
                <w:szCs w:val="21"/>
                <w:lang w:val="en-US" w:eastAsia="zh-CN" w:bidi="ar-SA"/>
              </w:rPr>
              <w:t>滴滴涕</w:t>
            </w:r>
          </w:p>
        </w:tc>
        <w:tc>
          <w:tcPr>
            <w:tcW w:w="570" w:type="pct"/>
            <w:tcBorders>
              <w:tl2br w:val="nil"/>
              <w:tr2bl w:val="nil"/>
            </w:tcBorders>
            <w:noWrap w:val="0"/>
            <w:vAlign w:val="center"/>
          </w:tcPr>
          <w:p w14:paraId="2B94E80D">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977" w:type="pct"/>
            <w:tcBorders>
              <w:tl2br w:val="nil"/>
              <w:tr2bl w:val="nil"/>
            </w:tcBorders>
            <w:noWrap w:val="0"/>
            <w:vAlign w:val="center"/>
          </w:tcPr>
          <w:p w14:paraId="5CF47703">
            <w:pPr>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olor w:val="auto"/>
                <w:szCs w:val="21"/>
                <w:highlight w:val="none"/>
                <w:lang w:val="en-US" w:eastAsia="zh-CN"/>
              </w:rPr>
              <w:t>0.17</w:t>
            </w:r>
            <w:r>
              <w:rPr>
                <w:rFonts w:hint="default" w:ascii="Arial" w:hAnsi="Arial" w:eastAsia="宋体" w:cs="Arial"/>
                <w:color w:val="auto"/>
                <w:szCs w:val="21"/>
                <w:highlight w:val="none"/>
                <w:lang w:val="en-US" w:eastAsia="zh-CN"/>
              </w:rPr>
              <w:t>×</w:t>
            </w:r>
            <w:r>
              <w:rPr>
                <w:rFonts w:hint="eastAsia" w:ascii="Times New Roman" w:hAnsi="Times New Roman" w:eastAsia="宋体"/>
                <w:color w:val="auto"/>
                <w:szCs w:val="21"/>
                <w:highlight w:val="none"/>
                <w:lang w:val="en-US" w:eastAsia="zh-CN"/>
              </w:rPr>
              <w:t>10</w:t>
            </w:r>
            <w:r>
              <w:rPr>
                <w:rFonts w:hint="eastAsia" w:ascii="Times New Roman" w:hAnsi="Times New Roman" w:eastAsia="宋体"/>
                <w:color w:val="auto"/>
                <w:szCs w:val="21"/>
                <w:highlight w:val="none"/>
                <w:vertAlign w:val="superscript"/>
                <w:lang w:val="en-US" w:eastAsia="zh-CN"/>
              </w:rPr>
              <w:t>-3</w:t>
            </w:r>
          </w:p>
        </w:tc>
        <w:tc>
          <w:tcPr>
            <w:tcW w:w="853" w:type="pct"/>
            <w:tcBorders>
              <w:tl2br w:val="nil"/>
              <w:tr2bl w:val="nil"/>
            </w:tcBorders>
            <w:noWrap w:val="0"/>
            <w:vAlign w:val="center"/>
          </w:tcPr>
          <w:p w14:paraId="12789A04">
            <w:pPr>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olor w:val="auto"/>
                <w:szCs w:val="21"/>
                <w:highlight w:val="none"/>
                <w:lang w:val="en-US" w:eastAsia="zh-CN"/>
              </w:rPr>
              <w:t>0.17</w:t>
            </w:r>
            <w:r>
              <w:rPr>
                <w:rFonts w:hint="default" w:ascii="Arial" w:hAnsi="Arial" w:eastAsia="宋体" w:cs="Arial"/>
                <w:color w:val="auto"/>
                <w:szCs w:val="21"/>
                <w:highlight w:val="none"/>
                <w:lang w:val="en-US" w:eastAsia="zh-CN"/>
              </w:rPr>
              <w:t>×</w:t>
            </w:r>
            <w:r>
              <w:rPr>
                <w:rFonts w:hint="eastAsia" w:ascii="Times New Roman" w:hAnsi="Times New Roman" w:eastAsia="宋体"/>
                <w:color w:val="auto"/>
                <w:szCs w:val="21"/>
                <w:highlight w:val="none"/>
                <w:lang w:val="en-US" w:eastAsia="zh-CN"/>
              </w:rPr>
              <w:t>10</w:t>
            </w:r>
            <w:r>
              <w:rPr>
                <w:rFonts w:hint="eastAsia" w:ascii="Times New Roman" w:hAnsi="Times New Roman" w:eastAsia="宋体"/>
                <w:color w:val="auto"/>
                <w:szCs w:val="21"/>
                <w:highlight w:val="none"/>
                <w:vertAlign w:val="superscript"/>
                <w:lang w:val="en-US" w:eastAsia="zh-CN"/>
              </w:rPr>
              <w:t>-3</w:t>
            </w:r>
          </w:p>
        </w:tc>
        <w:tc>
          <w:tcPr>
            <w:tcW w:w="862" w:type="pct"/>
            <w:tcBorders>
              <w:tl2br w:val="nil"/>
              <w:tr2bl w:val="nil"/>
            </w:tcBorders>
            <w:noWrap w:val="0"/>
            <w:vAlign w:val="center"/>
          </w:tcPr>
          <w:p w14:paraId="3B4E1014">
            <w:pPr>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olor w:val="auto"/>
                <w:szCs w:val="21"/>
                <w:highlight w:val="none"/>
                <w:lang w:val="en-US" w:eastAsia="zh-CN"/>
              </w:rPr>
              <w:t>0.17</w:t>
            </w:r>
            <w:r>
              <w:rPr>
                <w:rFonts w:hint="default" w:ascii="Arial" w:hAnsi="Arial" w:eastAsia="宋体" w:cs="Arial"/>
                <w:color w:val="auto"/>
                <w:szCs w:val="21"/>
                <w:highlight w:val="none"/>
                <w:lang w:val="en-US" w:eastAsia="zh-CN"/>
              </w:rPr>
              <w:t>×</w:t>
            </w:r>
            <w:r>
              <w:rPr>
                <w:rFonts w:hint="eastAsia" w:ascii="Times New Roman" w:hAnsi="Times New Roman" w:eastAsia="宋体"/>
                <w:color w:val="auto"/>
                <w:szCs w:val="21"/>
                <w:highlight w:val="none"/>
                <w:lang w:val="en-US" w:eastAsia="zh-CN"/>
              </w:rPr>
              <w:t>10</w:t>
            </w:r>
            <w:r>
              <w:rPr>
                <w:rFonts w:hint="eastAsia" w:ascii="Times New Roman" w:hAnsi="Times New Roman" w:eastAsia="宋体"/>
                <w:color w:val="auto"/>
                <w:szCs w:val="21"/>
                <w:highlight w:val="none"/>
                <w:vertAlign w:val="superscript"/>
                <w:lang w:val="en-US" w:eastAsia="zh-CN"/>
              </w:rPr>
              <w:t>-3</w:t>
            </w:r>
          </w:p>
        </w:tc>
        <w:tc>
          <w:tcPr>
            <w:tcW w:w="485" w:type="pct"/>
            <w:tcBorders>
              <w:tl2br w:val="nil"/>
              <w:tr2bl w:val="nil"/>
            </w:tcBorders>
            <w:noWrap w:val="0"/>
            <w:vAlign w:val="center"/>
          </w:tcPr>
          <w:p w14:paraId="12FEFA6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1.0</w:t>
            </w:r>
          </w:p>
        </w:tc>
        <w:tc>
          <w:tcPr>
            <w:tcW w:w="349" w:type="pct"/>
            <w:tcBorders>
              <w:tl2br w:val="nil"/>
              <w:tr2bl w:val="nil"/>
            </w:tcBorders>
            <w:noWrap w:val="0"/>
            <w:vAlign w:val="center"/>
          </w:tcPr>
          <w:p w14:paraId="4ED9DA1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4F160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noWrap w:val="0"/>
            <w:vAlign w:val="center"/>
          </w:tcPr>
          <w:p w14:paraId="14DA8AD3">
            <w:pPr>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eastAsia="宋体"/>
                <w:color w:val="000000"/>
                <w:szCs w:val="21"/>
                <w:highlight w:val="none"/>
                <w:lang w:val="en-US" w:eastAsia="zh-CN"/>
              </w:rPr>
              <w:t>寄生</w:t>
            </w:r>
            <w:r>
              <w:rPr>
                <w:rFonts w:hint="eastAsia" w:eastAsia="宋体"/>
                <w:color w:val="000000"/>
                <w:szCs w:val="21"/>
                <w:highlight w:val="none"/>
                <w:lang w:eastAsia="zh-CN"/>
              </w:rPr>
              <w:t>虫卵数</w:t>
            </w:r>
          </w:p>
        </w:tc>
        <w:tc>
          <w:tcPr>
            <w:tcW w:w="570" w:type="pct"/>
            <w:tcBorders>
              <w:tl2br w:val="nil"/>
              <w:tr2bl w:val="nil"/>
            </w:tcBorders>
            <w:noWrap w:val="0"/>
            <w:vAlign w:val="center"/>
          </w:tcPr>
          <w:p w14:paraId="2D947FDC">
            <w:pPr>
              <w:jc w:val="center"/>
              <w:rPr>
                <w:rFonts w:ascii="Times New Roman" w:hAnsi="Times New Roman" w:eastAsia="宋体" w:cs="Times New Roman"/>
                <w:color w:val="auto"/>
                <w:kern w:val="0"/>
                <w:sz w:val="21"/>
                <w:szCs w:val="21"/>
                <w:highlight w:val="none"/>
              </w:rPr>
            </w:pPr>
            <w:r>
              <w:rPr>
                <w:rFonts w:hint="eastAsia" w:eastAsia="宋体"/>
                <w:kern w:val="0"/>
                <w:lang w:eastAsia="zh-CN"/>
              </w:rPr>
              <w:t>个</w:t>
            </w:r>
          </w:p>
        </w:tc>
        <w:tc>
          <w:tcPr>
            <w:tcW w:w="977" w:type="pct"/>
            <w:tcBorders>
              <w:tl2br w:val="nil"/>
              <w:tr2bl w:val="nil"/>
            </w:tcBorders>
            <w:noWrap w:val="0"/>
            <w:vAlign w:val="center"/>
          </w:tcPr>
          <w:p w14:paraId="7613FB0F">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bCs/>
                <w:color w:val="auto"/>
                <w:szCs w:val="21"/>
                <w:lang w:val="en-US" w:eastAsia="zh-CN"/>
              </w:rPr>
              <w:t>4</w:t>
            </w:r>
          </w:p>
        </w:tc>
        <w:tc>
          <w:tcPr>
            <w:tcW w:w="853" w:type="pct"/>
            <w:tcBorders>
              <w:tl2br w:val="nil"/>
              <w:tr2bl w:val="nil"/>
            </w:tcBorders>
            <w:noWrap w:val="0"/>
            <w:vAlign w:val="center"/>
          </w:tcPr>
          <w:p w14:paraId="3AA3B782">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bCs/>
                <w:color w:val="auto"/>
                <w:szCs w:val="21"/>
                <w:lang w:val="en-US" w:eastAsia="zh-CN"/>
              </w:rPr>
              <w:t>3</w:t>
            </w:r>
          </w:p>
        </w:tc>
        <w:tc>
          <w:tcPr>
            <w:tcW w:w="862" w:type="pct"/>
            <w:tcBorders>
              <w:tl2br w:val="nil"/>
              <w:tr2bl w:val="nil"/>
            </w:tcBorders>
            <w:noWrap w:val="0"/>
            <w:vAlign w:val="center"/>
          </w:tcPr>
          <w:p w14:paraId="37125B87">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485" w:type="pct"/>
            <w:tcBorders>
              <w:tl2br w:val="nil"/>
              <w:tr2bl w:val="nil"/>
            </w:tcBorders>
            <w:noWrap w:val="0"/>
            <w:vAlign w:val="center"/>
          </w:tcPr>
          <w:p w14:paraId="571E8F0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10个/kg</w:t>
            </w:r>
          </w:p>
        </w:tc>
        <w:tc>
          <w:tcPr>
            <w:tcW w:w="349" w:type="pct"/>
            <w:tcBorders>
              <w:tl2br w:val="nil"/>
              <w:tr2bl w:val="nil"/>
            </w:tcBorders>
            <w:noWrap w:val="0"/>
            <w:vAlign w:val="center"/>
          </w:tcPr>
          <w:p w14:paraId="7B3A9E0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bl>
    <w:p w14:paraId="4861142C">
      <w:pPr>
        <w:widowControl/>
        <w:snapToGrid w:val="0"/>
        <w:spacing w:after="0" w:line="360" w:lineRule="auto"/>
        <w:ind w:firstLine="480" w:firstLineChars="200"/>
        <w:jc w:val="both"/>
        <w:rPr>
          <w:rFonts w:hint="default" w:ascii="Times New Roman" w:hAnsi="Times New Roman" w:eastAsia="宋体" w:cs="Times New Roman"/>
          <w:color w:val="auto"/>
          <w:kern w:val="0"/>
          <w:sz w:val="24"/>
          <w:szCs w:val="21"/>
          <w:lang w:val="en-US" w:eastAsia="zh-CN" w:bidi="ar-SA"/>
        </w:rPr>
      </w:pPr>
      <w:r>
        <w:rPr>
          <w:rFonts w:hint="eastAsia" w:ascii="Times New Roman" w:hAnsi="Times New Roman" w:eastAsia="宋体" w:cs="Times New Roman"/>
          <w:color w:val="auto"/>
          <w:kern w:val="0"/>
          <w:sz w:val="24"/>
          <w:szCs w:val="21"/>
          <w:lang w:val="en-US" w:eastAsia="zh-CN" w:bidi="ar-SA"/>
        </w:rPr>
        <w:t>2）</w:t>
      </w:r>
      <w:r>
        <w:rPr>
          <w:rFonts w:hint="default" w:ascii="Times New Roman" w:hAnsi="Times New Roman" w:eastAsia="宋体" w:cs="Times New Roman"/>
          <w:color w:val="auto"/>
          <w:kern w:val="0"/>
          <w:sz w:val="24"/>
          <w:szCs w:val="21"/>
          <w:lang w:val="en-US" w:eastAsia="zh-CN" w:bidi="ar-SA"/>
        </w:rPr>
        <w:t>评价方法</w:t>
      </w:r>
    </w:p>
    <w:p w14:paraId="456B05B1">
      <w:pPr>
        <w:widowControl/>
        <w:snapToGrid w:val="0"/>
        <w:spacing w:after="0" w:line="360" w:lineRule="auto"/>
        <w:ind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土壤环境质量现状采用标准指数法评价，计算公式如下：</w:t>
      </w:r>
    </w:p>
    <w:p w14:paraId="0F0377B4">
      <w:pPr>
        <w:widowControl/>
        <w:snapToGrid w:val="0"/>
        <w:spacing w:after="0" w:line="360" w:lineRule="auto"/>
        <w:ind w:left="0" w:leftChars="0" w:firstLine="0" w:firstLineChars="0"/>
        <w:jc w:val="center"/>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P</w:t>
      </w:r>
      <w:r>
        <w:rPr>
          <w:rFonts w:hint="default" w:ascii="Times New Roman" w:hAnsi="Times New Roman" w:eastAsia="宋体" w:cs="Times New Roman"/>
          <w:color w:val="auto"/>
          <w:kern w:val="0"/>
          <w:sz w:val="24"/>
          <w:szCs w:val="21"/>
          <w:vertAlign w:val="subscript"/>
          <w:lang w:val="en-US" w:eastAsia="zh-CN" w:bidi="ar-SA"/>
        </w:rPr>
        <w:t>i</w:t>
      </w:r>
      <w:r>
        <w:rPr>
          <w:rFonts w:hint="default" w:ascii="Times New Roman" w:hAnsi="Times New Roman" w:eastAsia="宋体" w:cs="Times New Roman"/>
          <w:color w:val="auto"/>
          <w:kern w:val="0"/>
          <w:sz w:val="24"/>
          <w:szCs w:val="21"/>
          <w:lang w:val="en-US" w:eastAsia="zh-CN" w:bidi="ar-SA"/>
        </w:rPr>
        <w:t>=C</w:t>
      </w:r>
      <w:r>
        <w:rPr>
          <w:rFonts w:hint="default" w:ascii="Times New Roman" w:hAnsi="Times New Roman" w:eastAsia="宋体" w:cs="Times New Roman"/>
          <w:color w:val="auto"/>
          <w:kern w:val="0"/>
          <w:sz w:val="24"/>
          <w:szCs w:val="21"/>
          <w:vertAlign w:val="subscript"/>
          <w:lang w:val="en-US" w:eastAsia="zh-CN" w:bidi="ar-SA"/>
        </w:rPr>
        <w:t>i</w:t>
      </w:r>
      <w:r>
        <w:rPr>
          <w:rFonts w:hint="default" w:ascii="Times New Roman" w:hAnsi="Times New Roman" w:eastAsia="宋体" w:cs="Times New Roman"/>
          <w:color w:val="auto"/>
          <w:kern w:val="0"/>
          <w:sz w:val="24"/>
          <w:szCs w:val="21"/>
          <w:lang w:val="en-US" w:eastAsia="zh-CN" w:bidi="ar-SA"/>
        </w:rPr>
        <w:t>/S</w:t>
      </w:r>
      <w:r>
        <w:rPr>
          <w:rFonts w:hint="default" w:ascii="Times New Roman" w:hAnsi="Times New Roman" w:eastAsia="宋体" w:cs="Times New Roman"/>
          <w:color w:val="auto"/>
          <w:kern w:val="0"/>
          <w:sz w:val="24"/>
          <w:szCs w:val="21"/>
          <w:vertAlign w:val="subscript"/>
          <w:lang w:val="en-US" w:eastAsia="zh-CN" w:bidi="ar-SA"/>
        </w:rPr>
        <w:t>i</w:t>
      </w:r>
    </w:p>
    <w:p w14:paraId="20E065F1">
      <w:pPr>
        <w:widowControl/>
        <w:snapToGrid w:val="0"/>
        <w:spacing w:after="0" w:line="360" w:lineRule="auto"/>
        <w:ind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式中，P</w:t>
      </w:r>
      <w:r>
        <w:rPr>
          <w:rFonts w:hint="default" w:ascii="Times New Roman" w:hAnsi="Times New Roman" w:eastAsia="宋体" w:cs="Times New Roman"/>
          <w:color w:val="auto"/>
          <w:kern w:val="0"/>
          <w:sz w:val="24"/>
          <w:szCs w:val="21"/>
          <w:vertAlign w:val="subscript"/>
          <w:lang w:val="en-US" w:eastAsia="zh-CN" w:bidi="ar-SA"/>
        </w:rPr>
        <w:t>i</w:t>
      </w:r>
      <w:r>
        <w:rPr>
          <w:rFonts w:hint="default" w:ascii="Times New Roman" w:hAnsi="Times New Roman" w:eastAsia="宋体" w:cs="Times New Roman"/>
          <w:color w:val="auto"/>
          <w:kern w:val="0"/>
          <w:sz w:val="24"/>
          <w:szCs w:val="21"/>
          <w:lang w:val="en-US" w:eastAsia="zh-CN" w:bidi="ar-SA"/>
        </w:rPr>
        <w:t>——土壤中污染物i的污染指数；</w:t>
      </w:r>
    </w:p>
    <w:p w14:paraId="1F5EDEC9">
      <w:pPr>
        <w:widowControl/>
        <w:snapToGrid w:val="0"/>
        <w:spacing w:after="0" w:line="360" w:lineRule="auto"/>
        <w:ind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 xml:space="preserve">      C</w:t>
      </w:r>
      <w:r>
        <w:rPr>
          <w:rFonts w:hint="default" w:ascii="Times New Roman" w:hAnsi="Times New Roman" w:eastAsia="宋体" w:cs="Times New Roman"/>
          <w:color w:val="auto"/>
          <w:kern w:val="0"/>
          <w:sz w:val="24"/>
          <w:szCs w:val="21"/>
          <w:vertAlign w:val="subscript"/>
          <w:lang w:val="en-US" w:eastAsia="zh-CN" w:bidi="ar-SA"/>
        </w:rPr>
        <w:t>i</w:t>
      </w:r>
      <w:r>
        <w:rPr>
          <w:rFonts w:hint="default" w:ascii="Times New Roman" w:hAnsi="Times New Roman" w:eastAsia="宋体" w:cs="Times New Roman"/>
          <w:color w:val="auto"/>
          <w:kern w:val="0"/>
          <w:sz w:val="24"/>
          <w:szCs w:val="21"/>
          <w:lang w:val="en-US" w:eastAsia="zh-CN" w:bidi="ar-SA"/>
        </w:rPr>
        <w:t>——土壤中污染物i的实测含量（mg/kg）；</w:t>
      </w:r>
    </w:p>
    <w:p w14:paraId="69700FFE">
      <w:pPr>
        <w:widowControl/>
        <w:snapToGrid w:val="0"/>
        <w:spacing w:after="0" w:line="360" w:lineRule="auto"/>
        <w:ind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 xml:space="preserve">      S</w:t>
      </w:r>
      <w:r>
        <w:rPr>
          <w:rFonts w:hint="default" w:ascii="Times New Roman" w:hAnsi="Times New Roman" w:eastAsia="宋体" w:cs="Times New Roman"/>
          <w:color w:val="auto"/>
          <w:kern w:val="0"/>
          <w:sz w:val="24"/>
          <w:szCs w:val="21"/>
          <w:vertAlign w:val="subscript"/>
          <w:lang w:val="en-US" w:eastAsia="zh-CN" w:bidi="ar-SA"/>
        </w:rPr>
        <w:t>i</w:t>
      </w:r>
      <w:r>
        <w:rPr>
          <w:rFonts w:hint="default" w:ascii="Times New Roman" w:hAnsi="Times New Roman" w:eastAsia="宋体" w:cs="Times New Roman"/>
          <w:color w:val="auto"/>
          <w:kern w:val="0"/>
          <w:sz w:val="24"/>
          <w:szCs w:val="21"/>
          <w:lang w:val="en-US" w:eastAsia="zh-CN" w:bidi="ar-SA"/>
        </w:rPr>
        <w:t>——土壤污染物的评价标准（mg/kg）。</w:t>
      </w:r>
    </w:p>
    <w:p w14:paraId="64CC6285">
      <w:pPr>
        <w:widowControl/>
        <w:snapToGrid w:val="0"/>
        <w:spacing w:after="0" w:line="360" w:lineRule="auto"/>
        <w:ind w:firstLine="480" w:firstLineChars="200"/>
        <w:jc w:val="both"/>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kern w:val="0"/>
          <w:sz w:val="24"/>
          <w:szCs w:val="21"/>
          <w:lang w:val="en-US" w:eastAsia="zh-CN" w:bidi="ar-SA"/>
        </w:rPr>
        <w:t>3）土壤环境质量评价结果</w:t>
      </w:r>
    </w:p>
    <w:p w14:paraId="49C513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本</w:t>
      </w:r>
      <w:r>
        <w:rPr>
          <w:rFonts w:hint="eastAsia" w:ascii="Times New Roman" w:hAnsi="Times New Roman" w:eastAsia="宋体" w:cs="Times New Roman"/>
          <w:color w:val="auto"/>
          <w:sz w:val="24"/>
          <w:lang w:val="en-US" w:eastAsia="zh-CN"/>
        </w:rPr>
        <w:t>项目</w:t>
      </w:r>
      <w:r>
        <w:rPr>
          <w:rFonts w:hint="default" w:ascii="Times New Roman" w:hAnsi="Times New Roman" w:eastAsia="宋体" w:cs="Times New Roman"/>
          <w:color w:val="auto"/>
          <w:sz w:val="24"/>
        </w:rPr>
        <w:t>土壤环境质量现状</w:t>
      </w:r>
      <w:r>
        <w:rPr>
          <w:rFonts w:hint="eastAsia" w:ascii="Times New Roman" w:hAnsi="Times New Roman" w:eastAsia="宋体" w:cs="Times New Roman"/>
          <w:color w:val="auto"/>
          <w:sz w:val="24"/>
          <w:lang w:val="en-US" w:eastAsia="zh-CN"/>
        </w:rPr>
        <w:t>评价结果</w:t>
      </w:r>
      <w:r>
        <w:rPr>
          <w:rFonts w:hint="default" w:ascii="Times New Roman" w:hAnsi="Times New Roman" w:eastAsia="宋体" w:cs="Times New Roman"/>
          <w:color w:val="auto"/>
          <w:sz w:val="24"/>
        </w:rPr>
        <w:t>见表4.</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1</w:t>
      </w:r>
      <w:r>
        <w:rPr>
          <w:rFonts w:hint="eastAsia" w:eastAsia="宋体" w:cs="Times New Roman"/>
          <w:color w:val="auto"/>
          <w:sz w:val="24"/>
          <w:lang w:val="en-US" w:eastAsia="zh-CN"/>
        </w:rPr>
        <w:t>1</w:t>
      </w:r>
      <w:r>
        <w:rPr>
          <w:rFonts w:hint="eastAsia" w:ascii="Times New Roman" w:hAnsi="Times New Roman" w:eastAsia="宋体" w:cs="Times New Roman"/>
          <w:color w:val="auto"/>
          <w:sz w:val="24"/>
          <w:lang w:val="en-US" w:eastAsia="zh-CN"/>
        </w:rPr>
        <w:t>。</w:t>
      </w:r>
    </w:p>
    <w:p w14:paraId="6CC41A1C">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4"/>
          <w:szCs w:val="24"/>
          <w:lang w:val="en-US" w:eastAsia="zh-CN"/>
        </w:rPr>
        <w:t>表4.2-1</w:t>
      </w:r>
      <w:r>
        <w:rPr>
          <w:rFonts w:hint="eastAsia" w:eastAsia="宋体" w:cs="Times New Roman"/>
          <w:b/>
          <w:bCs/>
          <w:color w:val="auto"/>
          <w:sz w:val="24"/>
          <w:szCs w:val="24"/>
          <w:lang w:val="en-US" w:eastAsia="zh-CN"/>
        </w:rPr>
        <w:t>1</w:t>
      </w:r>
      <w:r>
        <w:rPr>
          <w:rFonts w:hint="eastAsia" w:ascii="Times New Roman" w:hAnsi="Times New Roman" w:eastAsia="宋体" w:cs="Times New Roman"/>
          <w:b/>
          <w:bCs/>
          <w:color w:val="auto"/>
          <w:sz w:val="24"/>
          <w:szCs w:val="24"/>
          <w:lang w:val="en-US" w:eastAsia="zh-CN"/>
        </w:rPr>
        <w:t>土壤环境质量评价结果一览表</w:t>
      </w:r>
    </w:p>
    <w:tbl>
      <w:tblPr>
        <w:tblStyle w:val="20"/>
        <w:tblW w:w="49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39"/>
        <w:gridCol w:w="1054"/>
        <w:gridCol w:w="1314"/>
        <w:gridCol w:w="1314"/>
        <w:gridCol w:w="1314"/>
        <w:gridCol w:w="754"/>
        <w:gridCol w:w="615"/>
      </w:tblGrid>
      <w:tr w14:paraId="33596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77" w:type="pct"/>
            <w:gridSpan w:val="2"/>
            <w:tcBorders>
              <w:tl2br w:val="nil"/>
              <w:tr2bl w:val="nil"/>
            </w:tcBorders>
            <w:noWrap w:val="0"/>
            <w:vAlign w:val="center"/>
          </w:tcPr>
          <w:p w14:paraId="463D596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sz w:val="21"/>
                <w:szCs w:val="21"/>
                <w:lang w:val="en-US" w:eastAsia="zh-CN"/>
              </w:rPr>
            </w:pPr>
            <w:r>
              <w:rPr>
                <w:rFonts w:ascii="Times New Roman" w:hAnsi="Times New Roman" w:eastAsia="宋体" w:cs="Times New Roman"/>
                <w:b/>
                <w:bCs/>
                <w:color w:val="auto"/>
                <w:sz w:val="21"/>
                <w:szCs w:val="21"/>
              </w:rPr>
              <w:t>采样地点</w:t>
            </w:r>
          </w:p>
        </w:tc>
        <w:tc>
          <w:tcPr>
            <w:tcW w:w="772" w:type="pct"/>
            <w:tcBorders>
              <w:tl2br w:val="nil"/>
              <w:tr2bl w:val="nil"/>
            </w:tcBorders>
            <w:noWrap w:val="0"/>
            <w:vAlign w:val="center"/>
          </w:tcPr>
          <w:p w14:paraId="7607F87E">
            <w:pPr>
              <w:jc w:val="center"/>
              <w:rPr>
                <w:rFonts w:hint="eastAsia" w:ascii="Times New Roman" w:hAnsi="Times New Roman" w:eastAsia="宋体" w:cs="Times New Roman"/>
                <w:b/>
                <w:bCs/>
                <w:color w:val="000000"/>
                <w:szCs w:val="21"/>
                <w:lang w:val="en-US" w:eastAsia="zh-CN"/>
              </w:rPr>
            </w:pPr>
            <w:r>
              <w:rPr>
                <w:rFonts w:hint="eastAsia" w:ascii="Times New Roman" w:hAnsi="Times New Roman" w:eastAsia="宋体" w:cs="Times New Roman"/>
                <w:b/>
                <w:bCs/>
                <w:color w:val="000000"/>
                <w:szCs w:val="21"/>
                <w:lang w:val="en-US" w:eastAsia="zh-CN"/>
              </w:rPr>
              <w:t>T-1</w:t>
            </w:r>
            <w:r>
              <w:rPr>
                <w:rFonts w:hint="eastAsia" w:ascii="Times New Roman" w:hAnsi="Times New Roman" w:eastAsia="宋体" w:cs="Times New Roman"/>
                <w:b/>
                <w:bCs/>
                <w:color w:val="000000"/>
                <w:szCs w:val="21"/>
                <w:vertAlign w:val="superscript"/>
                <w:lang w:val="en-US" w:eastAsia="zh-CN"/>
              </w:rPr>
              <w:t>#</w:t>
            </w:r>
            <w:r>
              <w:rPr>
                <w:rFonts w:hint="eastAsia" w:ascii="Times New Roman" w:hAnsi="Times New Roman" w:eastAsia="宋体" w:cs="Times New Roman"/>
                <w:b/>
                <w:bCs/>
                <w:color w:val="000000"/>
                <w:szCs w:val="21"/>
                <w:lang w:val="en-US" w:eastAsia="zh-CN"/>
              </w:rPr>
              <w:t>-1-20</w:t>
            </w:r>
          </w:p>
        </w:tc>
        <w:tc>
          <w:tcPr>
            <w:tcW w:w="772" w:type="pct"/>
            <w:tcBorders>
              <w:tl2br w:val="nil"/>
              <w:tr2bl w:val="nil"/>
            </w:tcBorders>
            <w:noWrap w:val="0"/>
            <w:vAlign w:val="center"/>
          </w:tcPr>
          <w:p w14:paraId="2A9FBFC5">
            <w:pPr>
              <w:jc w:val="center"/>
              <w:rPr>
                <w:rFonts w:hint="eastAsia" w:ascii="Times New Roman" w:hAnsi="Times New Roman" w:eastAsia="宋体" w:cs="Times New Roman"/>
                <w:b/>
                <w:bCs/>
                <w:color w:val="000000"/>
                <w:kern w:val="2"/>
                <w:sz w:val="21"/>
                <w:szCs w:val="21"/>
                <w:lang w:val="en-US" w:eastAsia="zh-CN" w:bidi="ar-SA"/>
              </w:rPr>
            </w:pPr>
            <w:r>
              <w:rPr>
                <w:rFonts w:hint="eastAsia" w:ascii="Times New Roman" w:hAnsi="Times New Roman" w:eastAsia="宋体" w:cs="Times New Roman"/>
                <w:b/>
                <w:bCs/>
                <w:color w:val="000000"/>
                <w:szCs w:val="21"/>
                <w:lang w:val="en-US" w:eastAsia="zh-CN"/>
              </w:rPr>
              <w:t>T-2</w:t>
            </w:r>
            <w:r>
              <w:rPr>
                <w:rFonts w:hint="eastAsia" w:ascii="Times New Roman" w:hAnsi="Times New Roman" w:eastAsia="宋体" w:cs="Times New Roman"/>
                <w:b/>
                <w:bCs/>
                <w:color w:val="000000"/>
                <w:szCs w:val="21"/>
                <w:vertAlign w:val="superscript"/>
                <w:lang w:val="en-US" w:eastAsia="zh-CN"/>
              </w:rPr>
              <w:t>#</w:t>
            </w:r>
            <w:r>
              <w:rPr>
                <w:rFonts w:hint="eastAsia" w:ascii="Times New Roman" w:hAnsi="Times New Roman" w:eastAsia="宋体" w:cs="Times New Roman"/>
                <w:b/>
                <w:bCs/>
                <w:color w:val="000000"/>
                <w:szCs w:val="21"/>
                <w:lang w:val="en-US" w:eastAsia="zh-CN"/>
              </w:rPr>
              <w:t>-1-20</w:t>
            </w:r>
          </w:p>
        </w:tc>
        <w:tc>
          <w:tcPr>
            <w:tcW w:w="772" w:type="pct"/>
            <w:tcBorders>
              <w:tl2br w:val="nil"/>
              <w:tr2bl w:val="nil"/>
            </w:tcBorders>
            <w:noWrap w:val="0"/>
            <w:vAlign w:val="center"/>
          </w:tcPr>
          <w:p w14:paraId="3B40EEED">
            <w:pPr>
              <w:jc w:val="center"/>
              <w:rPr>
                <w:rFonts w:hint="eastAsia" w:ascii="Times New Roman" w:hAnsi="Times New Roman" w:eastAsia="宋体" w:cs="Times New Roman"/>
                <w:b/>
                <w:bCs/>
                <w:color w:val="000000"/>
                <w:szCs w:val="21"/>
                <w:lang w:val="en-US" w:eastAsia="zh-CN"/>
              </w:rPr>
            </w:pPr>
            <w:r>
              <w:rPr>
                <w:rFonts w:hint="eastAsia" w:ascii="Times New Roman" w:hAnsi="Times New Roman" w:eastAsia="宋体" w:cs="Times New Roman"/>
                <w:b/>
                <w:bCs/>
                <w:color w:val="000000"/>
                <w:szCs w:val="21"/>
                <w:lang w:val="en-US" w:eastAsia="zh-CN"/>
              </w:rPr>
              <w:t>T-3</w:t>
            </w:r>
            <w:r>
              <w:rPr>
                <w:rFonts w:hint="eastAsia" w:ascii="Times New Roman" w:hAnsi="Times New Roman" w:eastAsia="宋体" w:cs="Times New Roman"/>
                <w:b/>
                <w:bCs/>
                <w:color w:val="000000"/>
                <w:szCs w:val="21"/>
                <w:vertAlign w:val="superscript"/>
                <w:lang w:val="en-US" w:eastAsia="zh-CN"/>
              </w:rPr>
              <w:t>#</w:t>
            </w:r>
            <w:r>
              <w:rPr>
                <w:rFonts w:hint="eastAsia" w:ascii="Times New Roman" w:hAnsi="Times New Roman" w:eastAsia="宋体" w:cs="Times New Roman"/>
                <w:b/>
                <w:bCs/>
                <w:color w:val="000000"/>
                <w:szCs w:val="21"/>
                <w:lang w:val="en-US" w:eastAsia="zh-CN"/>
              </w:rPr>
              <w:t>-1-20</w:t>
            </w:r>
          </w:p>
        </w:tc>
        <w:tc>
          <w:tcPr>
            <w:tcW w:w="443" w:type="pct"/>
            <w:vMerge w:val="restart"/>
            <w:tcBorders>
              <w:tl2br w:val="nil"/>
              <w:tr2bl w:val="nil"/>
            </w:tcBorders>
            <w:noWrap w:val="0"/>
            <w:vAlign w:val="center"/>
          </w:tcPr>
          <w:p w14:paraId="060C672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rPr>
              <w:t>标准限值</w:t>
            </w:r>
          </w:p>
        </w:tc>
        <w:tc>
          <w:tcPr>
            <w:tcW w:w="361" w:type="pct"/>
            <w:vMerge w:val="restart"/>
            <w:tcBorders>
              <w:tl2br w:val="nil"/>
              <w:tr2bl w:val="nil"/>
            </w:tcBorders>
            <w:noWrap w:val="0"/>
            <w:vAlign w:val="center"/>
          </w:tcPr>
          <w:p w14:paraId="45A23D4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rPr>
              <w:t>达标判定</w:t>
            </w:r>
          </w:p>
        </w:tc>
      </w:tr>
      <w:tr w14:paraId="1B2EB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684C91E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检测项目</w:t>
            </w:r>
          </w:p>
        </w:tc>
        <w:tc>
          <w:tcPr>
            <w:tcW w:w="619" w:type="pct"/>
            <w:tcBorders>
              <w:tl2br w:val="nil"/>
              <w:tr2bl w:val="nil"/>
            </w:tcBorders>
            <w:noWrap w:val="0"/>
            <w:vAlign w:val="center"/>
          </w:tcPr>
          <w:p w14:paraId="08209CB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宋体" w:cs="Times New Roman"/>
                <w:b/>
                <w:bCs/>
                <w:color w:val="auto"/>
                <w:sz w:val="21"/>
                <w:szCs w:val="21"/>
              </w:rPr>
            </w:pPr>
            <w:r>
              <w:rPr>
                <w:rFonts w:ascii="Times New Roman" w:hAnsi="Times New Roman" w:eastAsia="宋体" w:cs="Times New Roman"/>
                <w:b/>
                <w:bCs/>
                <w:color w:val="auto"/>
                <w:sz w:val="21"/>
                <w:szCs w:val="21"/>
              </w:rPr>
              <w:t>单位</w:t>
            </w:r>
          </w:p>
        </w:tc>
        <w:tc>
          <w:tcPr>
            <w:tcW w:w="2317" w:type="pct"/>
            <w:gridSpan w:val="3"/>
            <w:tcBorders>
              <w:tl2br w:val="nil"/>
              <w:tr2bl w:val="nil"/>
            </w:tcBorders>
            <w:noWrap w:val="0"/>
            <w:vAlign w:val="center"/>
          </w:tcPr>
          <w:p w14:paraId="1462B7F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Pi</w:t>
            </w:r>
          </w:p>
        </w:tc>
        <w:tc>
          <w:tcPr>
            <w:tcW w:w="443" w:type="pct"/>
            <w:vMerge w:val="continue"/>
            <w:tcBorders>
              <w:tl2br w:val="nil"/>
              <w:tr2bl w:val="nil"/>
            </w:tcBorders>
            <w:noWrap w:val="0"/>
            <w:vAlign w:val="center"/>
          </w:tcPr>
          <w:p w14:paraId="7FF1A3B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p>
        </w:tc>
        <w:tc>
          <w:tcPr>
            <w:tcW w:w="361" w:type="pct"/>
            <w:vMerge w:val="continue"/>
            <w:tcBorders>
              <w:tl2br w:val="nil"/>
              <w:tr2bl w:val="nil"/>
            </w:tcBorders>
            <w:noWrap w:val="0"/>
            <w:vAlign w:val="center"/>
          </w:tcPr>
          <w:p w14:paraId="25397BA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p>
        </w:tc>
      </w:tr>
      <w:tr w14:paraId="496C5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048376FF">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砷</w:t>
            </w:r>
          </w:p>
        </w:tc>
        <w:tc>
          <w:tcPr>
            <w:tcW w:w="619" w:type="pct"/>
            <w:tcBorders>
              <w:tl2br w:val="nil"/>
              <w:tr2bl w:val="nil"/>
            </w:tcBorders>
            <w:noWrap w:val="0"/>
            <w:vAlign w:val="center"/>
          </w:tcPr>
          <w:p w14:paraId="3EBE033B">
            <w:pPr>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5D84839E">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0.730 </w:t>
            </w:r>
          </w:p>
        </w:tc>
        <w:tc>
          <w:tcPr>
            <w:tcW w:w="1314" w:type="dxa"/>
            <w:tcBorders>
              <w:tl2br w:val="nil"/>
              <w:tr2bl w:val="nil"/>
            </w:tcBorders>
            <w:noWrap w:val="0"/>
            <w:vAlign w:val="center"/>
          </w:tcPr>
          <w:p w14:paraId="1B368B07">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0.573 </w:t>
            </w:r>
          </w:p>
        </w:tc>
        <w:tc>
          <w:tcPr>
            <w:tcW w:w="1314" w:type="dxa"/>
            <w:tcBorders>
              <w:tl2br w:val="nil"/>
              <w:tr2bl w:val="nil"/>
            </w:tcBorders>
            <w:noWrap w:val="0"/>
            <w:vAlign w:val="center"/>
          </w:tcPr>
          <w:p w14:paraId="26AEAD24">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0.660 </w:t>
            </w:r>
          </w:p>
        </w:tc>
        <w:tc>
          <w:tcPr>
            <w:tcW w:w="443" w:type="pct"/>
            <w:tcBorders>
              <w:tl2br w:val="nil"/>
              <w:tr2bl w:val="nil"/>
            </w:tcBorders>
            <w:noWrap w:val="0"/>
            <w:vAlign w:val="center"/>
          </w:tcPr>
          <w:p w14:paraId="58635A5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361" w:type="pct"/>
            <w:tcBorders>
              <w:tl2br w:val="nil"/>
              <w:tr2bl w:val="nil"/>
            </w:tcBorders>
            <w:noWrap w:val="0"/>
            <w:vAlign w:val="center"/>
          </w:tcPr>
          <w:p w14:paraId="0216C83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44D7B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52619BC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铅</w:t>
            </w:r>
          </w:p>
        </w:tc>
        <w:tc>
          <w:tcPr>
            <w:tcW w:w="619" w:type="pct"/>
            <w:tcBorders>
              <w:tl2br w:val="nil"/>
              <w:tr2bl w:val="nil"/>
            </w:tcBorders>
            <w:noWrap w:val="0"/>
            <w:vAlign w:val="center"/>
          </w:tcPr>
          <w:p w14:paraId="646522C2">
            <w:pPr>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31C042CF">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0.080 </w:t>
            </w:r>
          </w:p>
        </w:tc>
        <w:tc>
          <w:tcPr>
            <w:tcW w:w="1314" w:type="dxa"/>
            <w:tcBorders>
              <w:tl2br w:val="nil"/>
              <w:tr2bl w:val="nil"/>
            </w:tcBorders>
            <w:noWrap w:val="0"/>
            <w:vAlign w:val="center"/>
          </w:tcPr>
          <w:p w14:paraId="1ACB527B">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0.108 </w:t>
            </w:r>
          </w:p>
        </w:tc>
        <w:tc>
          <w:tcPr>
            <w:tcW w:w="1314" w:type="dxa"/>
            <w:tcBorders>
              <w:tl2br w:val="nil"/>
              <w:tr2bl w:val="nil"/>
            </w:tcBorders>
            <w:noWrap w:val="0"/>
            <w:vAlign w:val="center"/>
          </w:tcPr>
          <w:p w14:paraId="496CA75E">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0.080 </w:t>
            </w:r>
          </w:p>
        </w:tc>
        <w:tc>
          <w:tcPr>
            <w:tcW w:w="443" w:type="pct"/>
            <w:tcBorders>
              <w:tl2br w:val="nil"/>
              <w:tr2bl w:val="nil"/>
            </w:tcBorders>
            <w:noWrap w:val="0"/>
            <w:vAlign w:val="center"/>
          </w:tcPr>
          <w:p w14:paraId="4FBBFE1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500</w:t>
            </w:r>
          </w:p>
        </w:tc>
        <w:tc>
          <w:tcPr>
            <w:tcW w:w="361" w:type="pct"/>
            <w:tcBorders>
              <w:tl2br w:val="nil"/>
              <w:tr2bl w:val="nil"/>
            </w:tcBorders>
            <w:noWrap w:val="0"/>
            <w:vAlign w:val="center"/>
          </w:tcPr>
          <w:p w14:paraId="216D031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31ED0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0B9CCC37">
            <w:pPr>
              <w:jc w:val="center"/>
              <w:rPr>
                <w:rFonts w:hint="eastAsia" w:ascii="Times New Roman" w:hAnsi="Times New Roman" w:eastAsia="宋体" w:cs="Times New Roman"/>
                <w:color w:val="auto"/>
                <w:kern w:val="2"/>
                <w:sz w:val="21"/>
                <w:szCs w:val="21"/>
                <w:highlight w:val="yellow"/>
                <w:lang w:val="en-US" w:eastAsia="zh-CN" w:bidi="ar-SA"/>
              </w:rPr>
            </w:pPr>
            <w:r>
              <w:rPr>
                <w:rFonts w:hint="eastAsia" w:ascii="Times New Roman" w:hAnsi="Times New Roman" w:eastAsia="宋体" w:cs="Times New Roman"/>
                <w:bCs/>
                <w:color w:val="auto"/>
                <w:kern w:val="2"/>
                <w:sz w:val="21"/>
                <w:szCs w:val="21"/>
                <w:lang w:val="en-US" w:eastAsia="zh-CN" w:bidi="ar-SA"/>
              </w:rPr>
              <w:t>汞</w:t>
            </w:r>
          </w:p>
        </w:tc>
        <w:tc>
          <w:tcPr>
            <w:tcW w:w="619" w:type="pct"/>
            <w:tcBorders>
              <w:tl2br w:val="nil"/>
              <w:tr2bl w:val="nil"/>
            </w:tcBorders>
            <w:noWrap w:val="0"/>
            <w:vAlign w:val="center"/>
          </w:tcPr>
          <w:p w14:paraId="4B5CC1EB">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172D485A">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0.0005 </w:t>
            </w:r>
          </w:p>
        </w:tc>
        <w:tc>
          <w:tcPr>
            <w:tcW w:w="1314" w:type="dxa"/>
            <w:tcBorders>
              <w:tl2br w:val="nil"/>
              <w:tr2bl w:val="nil"/>
            </w:tcBorders>
            <w:noWrap w:val="0"/>
            <w:vAlign w:val="center"/>
          </w:tcPr>
          <w:p w14:paraId="3BD078D3">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0.0005 </w:t>
            </w:r>
          </w:p>
        </w:tc>
        <w:tc>
          <w:tcPr>
            <w:tcW w:w="1314" w:type="dxa"/>
            <w:tcBorders>
              <w:tl2br w:val="nil"/>
              <w:tr2bl w:val="nil"/>
            </w:tcBorders>
            <w:noWrap w:val="0"/>
            <w:vAlign w:val="center"/>
          </w:tcPr>
          <w:p w14:paraId="162D7541">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0.0005 </w:t>
            </w:r>
          </w:p>
        </w:tc>
        <w:tc>
          <w:tcPr>
            <w:tcW w:w="443" w:type="pct"/>
            <w:tcBorders>
              <w:tl2br w:val="nil"/>
              <w:tr2bl w:val="nil"/>
            </w:tcBorders>
            <w:noWrap w:val="0"/>
            <w:vAlign w:val="center"/>
          </w:tcPr>
          <w:p w14:paraId="748257F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1.5</w:t>
            </w:r>
          </w:p>
        </w:tc>
        <w:tc>
          <w:tcPr>
            <w:tcW w:w="361" w:type="pct"/>
            <w:tcBorders>
              <w:tl2br w:val="nil"/>
              <w:tr2bl w:val="nil"/>
            </w:tcBorders>
            <w:noWrap w:val="0"/>
            <w:vAlign w:val="center"/>
          </w:tcPr>
          <w:p w14:paraId="339065C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达标</w:t>
            </w:r>
          </w:p>
        </w:tc>
      </w:tr>
      <w:tr w14:paraId="5BE08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77837048">
            <w:pPr>
              <w:jc w:val="center"/>
              <w:rPr>
                <w:rFonts w:hint="eastAsia" w:ascii="Times New Roman" w:hAnsi="Times New Roman" w:eastAsia="宋体" w:cs="Times New Roman"/>
                <w:color w:val="auto"/>
                <w:kern w:val="2"/>
                <w:sz w:val="21"/>
                <w:szCs w:val="21"/>
                <w:highlight w:val="yellow"/>
                <w:lang w:val="en-US" w:eastAsia="zh-CN" w:bidi="ar-SA"/>
              </w:rPr>
            </w:pPr>
            <w:r>
              <w:rPr>
                <w:rFonts w:hint="eastAsia" w:ascii="Times New Roman" w:hAnsi="Times New Roman" w:eastAsia="宋体" w:cs="Times New Roman"/>
                <w:bCs/>
                <w:color w:val="auto"/>
                <w:kern w:val="2"/>
                <w:sz w:val="21"/>
                <w:szCs w:val="21"/>
                <w:lang w:val="en-US" w:eastAsia="zh-CN" w:bidi="ar-SA"/>
              </w:rPr>
              <w:t>镉</w:t>
            </w:r>
          </w:p>
        </w:tc>
        <w:tc>
          <w:tcPr>
            <w:tcW w:w="619" w:type="pct"/>
            <w:tcBorders>
              <w:tl2br w:val="nil"/>
              <w:tr2bl w:val="nil"/>
            </w:tcBorders>
            <w:noWrap w:val="0"/>
            <w:vAlign w:val="center"/>
          </w:tcPr>
          <w:p w14:paraId="0A135DDE">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324147B0">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0.0008 </w:t>
            </w:r>
          </w:p>
        </w:tc>
        <w:tc>
          <w:tcPr>
            <w:tcW w:w="1314" w:type="dxa"/>
            <w:tcBorders>
              <w:tl2br w:val="nil"/>
              <w:tr2bl w:val="nil"/>
            </w:tcBorders>
            <w:noWrap w:val="0"/>
            <w:vAlign w:val="center"/>
          </w:tcPr>
          <w:p w14:paraId="345D8519">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0.0007 </w:t>
            </w:r>
          </w:p>
        </w:tc>
        <w:tc>
          <w:tcPr>
            <w:tcW w:w="1314" w:type="dxa"/>
            <w:tcBorders>
              <w:tl2br w:val="nil"/>
              <w:tr2bl w:val="nil"/>
            </w:tcBorders>
            <w:noWrap w:val="0"/>
            <w:vAlign w:val="center"/>
          </w:tcPr>
          <w:p w14:paraId="2A077798">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0.0006 </w:t>
            </w:r>
          </w:p>
        </w:tc>
        <w:tc>
          <w:tcPr>
            <w:tcW w:w="443" w:type="pct"/>
            <w:tcBorders>
              <w:tl2br w:val="nil"/>
              <w:tr2bl w:val="nil"/>
            </w:tcBorders>
            <w:noWrap w:val="0"/>
            <w:vAlign w:val="center"/>
          </w:tcPr>
          <w:p w14:paraId="3B0826A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300</w:t>
            </w:r>
          </w:p>
        </w:tc>
        <w:tc>
          <w:tcPr>
            <w:tcW w:w="361" w:type="pct"/>
            <w:tcBorders>
              <w:tl2br w:val="nil"/>
              <w:tr2bl w:val="nil"/>
            </w:tcBorders>
            <w:noWrap w:val="0"/>
            <w:vAlign w:val="center"/>
          </w:tcPr>
          <w:p w14:paraId="157B7FC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456B6E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39BBAF0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铜</w:t>
            </w:r>
          </w:p>
        </w:tc>
        <w:tc>
          <w:tcPr>
            <w:tcW w:w="619" w:type="pct"/>
            <w:tcBorders>
              <w:tl2br w:val="nil"/>
              <w:tr2bl w:val="nil"/>
            </w:tcBorders>
            <w:noWrap w:val="0"/>
            <w:vAlign w:val="center"/>
          </w:tcPr>
          <w:p w14:paraId="093A01DB">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1FBF0E68">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0.078 </w:t>
            </w:r>
          </w:p>
        </w:tc>
        <w:tc>
          <w:tcPr>
            <w:tcW w:w="1314" w:type="dxa"/>
            <w:tcBorders>
              <w:tl2br w:val="nil"/>
              <w:tr2bl w:val="nil"/>
            </w:tcBorders>
            <w:noWrap w:val="0"/>
            <w:vAlign w:val="center"/>
          </w:tcPr>
          <w:p w14:paraId="4D913DAA">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0.118 </w:t>
            </w:r>
          </w:p>
        </w:tc>
        <w:tc>
          <w:tcPr>
            <w:tcW w:w="1314" w:type="dxa"/>
            <w:tcBorders>
              <w:tl2br w:val="nil"/>
              <w:tr2bl w:val="nil"/>
            </w:tcBorders>
            <w:noWrap w:val="0"/>
            <w:vAlign w:val="center"/>
          </w:tcPr>
          <w:p w14:paraId="3DAA42A8">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0.135 </w:t>
            </w:r>
          </w:p>
        </w:tc>
        <w:tc>
          <w:tcPr>
            <w:tcW w:w="443" w:type="pct"/>
            <w:tcBorders>
              <w:tl2br w:val="nil"/>
              <w:tr2bl w:val="nil"/>
            </w:tcBorders>
            <w:noWrap w:val="0"/>
            <w:vAlign w:val="center"/>
          </w:tcPr>
          <w:p w14:paraId="7761BCC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400</w:t>
            </w:r>
          </w:p>
        </w:tc>
        <w:tc>
          <w:tcPr>
            <w:tcW w:w="361" w:type="pct"/>
            <w:tcBorders>
              <w:tl2br w:val="nil"/>
              <w:tr2bl w:val="nil"/>
            </w:tcBorders>
            <w:noWrap w:val="0"/>
            <w:vAlign w:val="center"/>
          </w:tcPr>
          <w:p w14:paraId="3F02AF0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达标</w:t>
            </w:r>
          </w:p>
        </w:tc>
      </w:tr>
      <w:tr w14:paraId="70636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4858AB6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lang w:val="en-US" w:eastAsia="zh-CN" w:bidi="ar-SA"/>
              </w:rPr>
              <w:t>镍</w:t>
            </w:r>
          </w:p>
        </w:tc>
        <w:tc>
          <w:tcPr>
            <w:tcW w:w="619" w:type="pct"/>
            <w:tcBorders>
              <w:tl2br w:val="nil"/>
              <w:tr2bl w:val="nil"/>
            </w:tcBorders>
            <w:noWrap w:val="0"/>
            <w:vAlign w:val="center"/>
          </w:tcPr>
          <w:p w14:paraId="6A2473C2">
            <w:pPr>
              <w:jc w:val="center"/>
              <w:rPr>
                <w:rFonts w:ascii="Times New Roman" w:hAnsi="Times New Roman" w:eastAsia="宋体" w:cs="Times New Roman"/>
                <w:color w:val="auto"/>
                <w:sz w:val="21"/>
                <w:szCs w:val="21"/>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3F8C5686">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0.275 </w:t>
            </w:r>
          </w:p>
        </w:tc>
        <w:tc>
          <w:tcPr>
            <w:tcW w:w="1314" w:type="dxa"/>
            <w:tcBorders>
              <w:tl2br w:val="nil"/>
              <w:tr2bl w:val="nil"/>
            </w:tcBorders>
            <w:noWrap w:val="0"/>
            <w:vAlign w:val="center"/>
          </w:tcPr>
          <w:p w14:paraId="47E863F0">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0.295 </w:t>
            </w:r>
          </w:p>
        </w:tc>
        <w:tc>
          <w:tcPr>
            <w:tcW w:w="1314" w:type="dxa"/>
            <w:tcBorders>
              <w:tl2br w:val="nil"/>
              <w:tr2bl w:val="nil"/>
            </w:tcBorders>
            <w:noWrap w:val="0"/>
            <w:vAlign w:val="center"/>
          </w:tcPr>
          <w:p w14:paraId="2696820A">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0.280 </w:t>
            </w:r>
          </w:p>
        </w:tc>
        <w:tc>
          <w:tcPr>
            <w:tcW w:w="443" w:type="pct"/>
            <w:tcBorders>
              <w:tl2br w:val="nil"/>
              <w:tr2bl w:val="nil"/>
            </w:tcBorders>
            <w:noWrap w:val="0"/>
            <w:vAlign w:val="center"/>
          </w:tcPr>
          <w:p w14:paraId="4BA9E5E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w:t>
            </w:r>
          </w:p>
        </w:tc>
        <w:tc>
          <w:tcPr>
            <w:tcW w:w="361" w:type="pct"/>
            <w:tcBorders>
              <w:tl2br w:val="nil"/>
              <w:tr2bl w:val="nil"/>
            </w:tcBorders>
            <w:noWrap w:val="0"/>
            <w:vAlign w:val="center"/>
          </w:tcPr>
          <w:p w14:paraId="019109C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3D88C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5441442A">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Cs/>
                <w:color w:val="auto"/>
                <w:kern w:val="2"/>
                <w:sz w:val="21"/>
                <w:szCs w:val="21"/>
                <w:lang w:val="en-US" w:eastAsia="zh-CN" w:bidi="ar-SA"/>
              </w:rPr>
              <w:t>铬</w:t>
            </w:r>
          </w:p>
        </w:tc>
        <w:tc>
          <w:tcPr>
            <w:tcW w:w="619" w:type="pct"/>
            <w:tcBorders>
              <w:tl2br w:val="nil"/>
              <w:tr2bl w:val="nil"/>
            </w:tcBorders>
            <w:noWrap w:val="0"/>
            <w:vAlign w:val="center"/>
          </w:tcPr>
          <w:p w14:paraId="5514A462">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7CEE0B7A">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0.183 </w:t>
            </w:r>
          </w:p>
        </w:tc>
        <w:tc>
          <w:tcPr>
            <w:tcW w:w="1314" w:type="dxa"/>
            <w:tcBorders>
              <w:tl2br w:val="nil"/>
              <w:tr2bl w:val="nil"/>
            </w:tcBorders>
            <w:noWrap w:val="0"/>
            <w:vAlign w:val="center"/>
          </w:tcPr>
          <w:p w14:paraId="54533543">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0.193 </w:t>
            </w:r>
          </w:p>
        </w:tc>
        <w:tc>
          <w:tcPr>
            <w:tcW w:w="1314" w:type="dxa"/>
            <w:tcBorders>
              <w:tl2br w:val="nil"/>
              <w:tr2bl w:val="nil"/>
            </w:tcBorders>
            <w:noWrap w:val="0"/>
            <w:vAlign w:val="center"/>
          </w:tcPr>
          <w:p w14:paraId="48876623">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0.243 </w:t>
            </w:r>
          </w:p>
        </w:tc>
        <w:tc>
          <w:tcPr>
            <w:tcW w:w="443" w:type="pct"/>
            <w:tcBorders>
              <w:tl2br w:val="nil"/>
              <w:tr2bl w:val="nil"/>
            </w:tcBorders>
            <w:noWrap w:val="0"/>
            <w:vAlign w:val="center"/>
          </w:tcPr>
          <w:p w14:paraId="54846A9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300</w:t>
            </w:r>
          </w:p>
        </w:tc>
        <w:tc>
          <w:tcPr>
            <w:tcW w:w="361" w:type="pct"/>
            <w:tcBorders>
              <w:tl2br w:val="nil"/>
              <w:tr2bl w:val="nil"/>
            </w:tcBorders>
            <w:noWrap w:val="0"/>
            <w:vAlign w:val="center"/>
          </w:tcPr>
          <w:p w14:paraId="7445761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2E3EC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375E4DCD">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Cs/>
                <w:color w:val="auto"/>
                <w:kern w:val="2"/>
                <w:sz w:val="21"/>
                <w:szCs w:val="21"/>
                <w:lang w:val="en-US" w:eastAsia="zh-CN" w:bidi="ar-SA"/>
              </w:rPr>
              <w:t>锌</w:t>
            </w:r>
          </w:p>
        </w:tc>
        <w:tc>
          <w:tcPr>
            <w:tcW w:w="619" w:type="pct"/>
            <w:tcBorders>
              <w:tl2br w:val="nil"/>
              <w:tr2bl w:val="nil"/>
            </w:tcBorders>
            <w:noWrap w:val="0"/>
            <w:vAlign w:val="center"/>
          </w:tcPr>
          <w:p w14:paraId="0E58420C">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1314" w:type="dxa"/>
            <w:tcBorders>
              <w:tl2br w:val="nil"/>
              <w:tr2bl w:val="nil"/>
            </w:tcBorders>
            <w:noWrap w:val="0"/>
            <w:vAlign w:val="center"/>
          </w:tcPr>
          <w:p w14:paraId="5186CCAE">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0.146 </w:t>
            </w:r>
          </w:p>
        </w:tc>
        <w:tc>
          <w:tcPr>
            <w:tcW w:w="1314" w:type="dxa"/>
            <w:tcBorders>
              <w:tl2br w:val="nil"/>
              <w:tr2bl w:val="nil"/>
            </w:tcBorders>
            <w:noWrap w:val="0"/>
            <w:vAlign w:val="center"/>
          </w:tcPr>
          <w:p w14:paraId="02E1941A">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0.180 </w:t>
            </w:r>
          </w:p>
        </w:tc>
        <w:tc>
          <w:tcPr>
            <w:tcW w:w="1314" w:type="dxa"/>
            <w:tcBorders>
              <w:tl2br w:val="nil"/>
              <w:tr2bl w:val="nil"/>
            </w:tcBorders>
            <w:noWrap w:val="0"/>
            <w:vAlign w:val="center"/>
          </w:tcPr>
          <w:p w14:paraId="552AD0D6">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0.184 </w:t>
            </w:r>
          </w:p>
        </w:tc>
        <w:tc>
          <w:tcPr>
            <w:tcW w:w="443" w:type="pct"/>
            <w:tcBorders>
              <w:tl2br w:val="nil"/>
              <w:tr2bl w:val="nil"/>
            </w:tcBorders>
            <w:noWrap w:val="0"/>
            <w:vAlign w:val="center"/>
          </w:tcPr>
          <w:p w14:paraId="52CA1ED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500</w:t>
            </w:r>
          </w:p>
        </w:tc>
        <w:tc>
          <w:tcPr>
            <w:tcW w:w="361" w:type="pct"/>
            <w:tcBorders>
              <w:tl2br w:val="nil"/>
              <w:tr2bl w:val="nil"/>
            </w:tcBorders>
            <w:noWrap w:val="0"/>
            <w:vAlign w:val="center"/>
          </w:tcPr>
          <w:p w14:paraId="6B3CC17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达标</w:t>
            </w:r>
          </w:p>
        </w:tc>
      </w:tr>
      <w:tr w14:paraId="4302A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2DF70B7B">
            <w:pPr>
              <w:jc w:val="center"/>
              <w:rPr>
                <w:rFonts w:ascii="Times New Roman" w:hAnsi="Times New Roman" w:eastAsia="宋体" w:cs="Times New Roman"/>
              </w:rPr>
            </w:pPr>
            <w:r>
              <w:rPr>
                <w:rFonts w:hint="eastAsia" w:ascii="Times New Roman" w:hAnsi="Times New Roman" w:eastAsia="宋体" w:cs="Times New Roman"/>
                <w:bCs/>
                <w:color w:val="auto"/>
                <w:kern w:val="2"/>
                <w:sz w:val="21"/>
                <w:szCs w:val="21"/>
                <w:lang w:val="en-US" w:eastAsia="zh-CN" w:bidi="ar-SA"/>
              </w:rPr>
              <w:t>六六六</w:t>
            </w:r>
          </w:p>
        </w:tc>
        <w:tc>
          <w:tcPr>
            <w:tcW w:w="619" w:type="pct"/>
            <w:tcBorders>
              <w:tl2br w:val="nil"/>
              <w:tr2bl w:val="nil"/>
            </w:tcBorders>
            <w:noWrap w:val="0"/>
            <w:vAlign w:val="center"/>
          </w:tcPr>
          <w:p w14:paraId="2FFBA238">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772" w:type="pct"/>
            <w:tcBorders>
              <w:tl2br w:val="nil"/>
              <w:tr2bl w:val="nil"/>
            </w:tcBorders>
            <w:noWrap w:val="0"/>
            <w:vAlign w:val="center"/>
          </w:tcPr>
          <w:p w14:paraId="4B557A0E">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s="Times New Roman"/>
                <w:color w:val="000000"/>
                <w:szCs w:val="21"/>
                <w:highlight w:val="none"/>
                <w:lang w:val="en-US" w:eastAsia="zh-CN"/>
              </w:rPr>
              <w:t xml:space="preserve">0.00005 </w:t>
            </w:r>
          </w:p>
        </w:tc>
        <w:tc>
          <w:tcPr>
            <w:tcW w:w="772" w:type="pct"/>
            <w:tcBorders>
              <w:tl2br w:val="nil"/>
              <w:tr2bl w:val="nil"/>
            </w:tcBorders>
            <w:noWrap w:val="0"/>
            <w:vAlign w:val="center"/>
          </w:tcPr>
          <w:p w14:paraId="5174DE2D">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s="Times New Roman"/>
                <w:color w:val="000000"/>
                <w:szCs w:val="21"/>
                <w:highlight w:val="none"/>
                <w:lang w:val="en-US" w:eastAsia="zh-CN"/>
              </w:rPr>
              <w:t xml:space="preserve">0.00005 </w:t>
            </w:r>
          </w:p>
        </w:tc>
        <w:tc>
          <w:tcPr>
            <w:tcW w:w="772" w:type="pct"/>
            <w:tcBorders>
              <w:tl2br w:val="nil"/>
              <w:tr2bl w:val="nil"/>
            </w:tcBorders>
            <w:noWrap w:val="0"/>
            <w:vAlign w:val="center"/>
          </w:tcPr>
          <w:p w14:paraId="1B3B1340">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s="Times New Roman"/>
                <w:color w:val="000000"/>
                <w:szCs w:val="21"/>
                <w:highlight w:val="none"/>
                <w:lang w:val="en-US" w:eastAsia="zh-CN"/>
              </w:rPr>
              <w:t xml:space="preserve">0.00005 </w:t>
            </w:r>
          </w:p>
        </w:tc>
        <w:tc>
          <w:tcPr>
            <w:tcW w:w="443" w:type="pct"/>
            <w:tcBorders>
              <w:tl2br w:val="nil"/>
              <w:tr2bl w:val="nil"/>
            </w:tcBorders>
            <w:noWrap w:val="0"/>
            <w:vAlign w:val="center"/>
          </w:tcPr>
          <w:p w14:paraId="03AC3D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1.0</w:t>
            </w:r>
          </w:p>
        </w:tc>
        <w:tc>
          <w:tcPr>
            <w:tcW w:w="361" w:type="pct"/>
            <w:tcBorders>
              <w:tl2br w:val="nil"/>
              <w:tr2bl w:val="nil"/>
            </w:tcBorders>
            <w:noWrap w:val="0"/>
            <w:vAlign w:val="center"/>
          </w:tcPr>
          <w:p w14:paraId="63D79DF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55CC1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41FB252D">
            <w:pPr>
              <w:jc w:val="center"/>
              <w:rPr>
                <w:rFonts w:ascii="Times New Roman" w:hAnsi="Times New Roman" w:eastAsia="宋体" w:cs="Times New Roman"/>
              </w:rPr>
            </w:pPr>
            <w:r>
              <w:rPr>
                <w:rFonts w:hint="eastAsia" w:ascii="Times New Roman" w:hAnsi="Times New Roman" w:eastAsia="宋体" w:cs="Times New Roman"/>
                <w:bCs/>
                <w:color w:val="auto"/>
                <w:kern w:val="2"/>
                <w:sz w:val="21"/>
                <w:szCs w:val="21"/>
                <w:lang w:val="en-US" w:eastAsia="zh-CN" w:bidi="ar-SA"/>
              </w:rPr>
              <w:t>滴滴涕</w:t>
            </w:r>
          </w:p>
        </w:tc>
        <w:tc>
          <w:tcPr>
            <w:tcW w:w="619" w:type="pct"/>
            <w:tcBorders>
              <w:tl2br w:val="nil"/>
              <w:tr2bl w:val="nil"/>
            </w:tcBorders>
            <w:noWrap w:val="0"/>
            <w:vAlign w:val="center"/>
          </w:tcPr>
          <w:p w14:paraId="0B9D7C41">
            <w:pPr>
              <w:jc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bCs/>
                <w:color w:val="auto"/>
                <w:kern w:val="2"/>
                <w:sz w:val="21"/>
                <w:szCs w:val="21"/>
                <w:lang w:val="en-US" w:eastAsia="zh-CN" w:bidi="ar-SA"/>
              </w:rPr>
              <w:t>mg/kg</w:t>
            </w:r>
          </w:p>
        </w:tc>
        <w:tc>
          <w:tcPr>
            <w:tcW w:w="772" w:type="pct"/>
            <w:tcBorders>
              <w:tl2br w:val="nil"/>
              <w:tr2bl w:val="nil"/>
            </w:tcBorders>
            <w:noWrap w:val="0"/>
            <w:vAlign w:val="center"/>
          </w:tcPr>
          <w:p w14:paraId="3380D07A">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s="Times New Roman"/>
                <w:color w:val="000000"/>
                <w:szCs w:val="21"/>
                <w:highlight w:val="none"/>
                <w:lang w:val="en-US" w:eastAsia="zh-CN"/>
              </w:rPr>
              <w:t xml:space="preserve">0.00017 </w:t>
            </w:r>
          </w:p>
        </w:tc>
        <w:tc>
          <w:tcPr>
            <w:tcW w:w="772" w:type="pct"/>
            <w:tcBorders>
              <w:tl2br w:val="nil"/>
              <w:tr2bl w:val="nil"/>
            </w:tcBorders>
            <w:noWrap w:val="0"/>
            <w:vAlign w:val="center"/>
          </w:tcPr>
          <w:p w14:paraId="23A294BE">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s="Times New Roman"/>
                <w:color w:val="000000"/>
                <w:szCs w:val="21"/>
                <w:highlight w:val="none"/>
                <w:lang w:val="en-US" w:eastAsia="zh-CN"/>
              </w:rPr>
              <w:t xml:space="preserve">0.00017 </w:t>
            </w:r>
          </w:p>
        </w:tc>
        <w:tc>
          <w:tcPr>
            <w:tcW w:w="772" w:type="pct"/>
            <w:tcBorders>
              <w:tl2br w:val="nil"/>
              <w:tr2bl w:val="nil"/>
            </w:tcBorders>
            <w:noWrap w:val="0"/>
            <w:vAlign w:val="center"/>
          </w:tcPr>
          <w:p w14:paraId="08D209D1">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&lt;</w:t>
            </w:r>
            <w:r>
              <w:rPr>
                <w:rFonts w:hint="eastAsia" w:ascii="Times New Roman" w:hAnsi="Times New Roman" w:eastAsia="宋体" w:cs="Times New Roman"/>
                <w:color w:val="000000"/>
                <w:szCs w:val="21"/>
                <w:highlight w:val="none"/>
                <w:lang w:val="en-US" w:eastAsia="zh-CN"/>
              </w:rPr>
              <w:t xml:space="preserve">0.00017 </w:t>
            </w:r>
          </w:p>
        </w:tc>
        <w:tc>
          <w:tcPr>
            <w:tcW w:w="443" w:type="pct"/>
            <w:tcBorders>
              <w:tl2br w:val="nil"/>
              <w:tr2bl w:val="nil"/>
            </w:tcBorders>
            <w:noWrap w:val="0"/>
            <w:vAlign w:val="center"/>
          </w:tcPr>
          <w:p w14:paraId="02BC641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1.0</w:t>
            </w:r>
          </w:p>
        </w:tc>
        <w:tc>
          <w:tcPr>
            <w:tcW w:w="361" w:type="pct"/>
            <w:tcBorders>
              <w:tl2br w:val="nil"/>
              <w:tr2bl w:val="nil"/>
            </w:tcBorders>
            <w:noWrap w:val="0"/>
            <w:vAlign w:val="center"/>
          </w:tcPr>
          <w:p w14:paraId="62EEB58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6162E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7" w:type="pct"/>
            <w:tcBorders>
              <w:tl2br w:val="nil"/>
              <w:tr2bl w:val="nil"/>
            </w:tcBorders>
            <w:noWrap w:val="0"/>
            <w:vAlign w:val="center"/>
          </w:tcPr>
          <w:p w14:paraId="594B27E1">
            <w:pPr>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寄生虫卵个数</w:t>
            </w:r>
          </w:p>
        </w:tc>
        <w:tc>
          <w:tcPr>
            <w:tcW w:w="619" w:type="pct"/>
            <w:tcBorders>
              <w:tl2br w:val="nil"/>
              <w:tr2bl w:val="nil"/>
            </w:tcBorders>
            <w:noWrap w:val="0"/>
            <w:vAlign w:val="center"/>
          </w:tcPr>
          <w:p w14:paraId="315A6241">
            <w:pPr>
              <w:jc w:val="center"/>
              <w:rPr>
                <w:rFonts w:ascii="Times New Roman" w:hAnsi="Times New Roman" w:eastAsia="宋体" w:cs="Times New Roman"/>
                <w:color w:val="auto"/>
                <w:kern w:val="0"/>
                <w:sz w:val="21"/>
                <w:szCs w:val="21"/>
                <w:highlight w:val="none"/>
              </w:rPr>
            </w:pPr>
            <w:r>
              <w:rPr>
                <w:rFonts w:hint="eastAsia" w:eastAsia="宋体"/>
                <w:kern w:val="0"/>
                <w:lang w:eastAsia="zh-CN"/>
              </w:rPr>
              <w:t>个</w:t>
            </w:r>
          </w:p>
        </w:tc>
        <w:tc>
          <w:tcPr>
            <w:tcW w:w="1314" w:type="dxa"/>
            <w:tcBorders>
              <w:tl2br w:val="nil"/>
              <w:tr2bl w:val="nil"/>
            </w:tcBorders>
            <w:noWrap w:val="0"/>
            <w:vAlign w:val="center"/>
          </w:tcPr>
          <w:p w14:paraId="2C8A4BC6">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0.400 </w:t>
            </w:r>
          </w:p>
        </w:tc>
        <w:tc>
          <w:tcPr>
            <w:tcW w:w="1314" w:type="dxa"/>
            <w:tcBorders>
              <w:tl2br w:val="nil"/>
              <w:tr2bl w:val="nil"/>
            </w:tcBorders>
            <w:noWrap w:val="0"/>
            <w:vAlign w:val="center"/>
          </w:tcPr>
          <w:p w14:paraId="715B52FC">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0.300 </w:t>
            </w:r>
          </w:p>
        </w:tc>
        <w:tc>
          <w:tcPr>
            <w:tcW w:w="1314" w:type="dxa"/>
            <w:tcBorders>
              <w:tl2br w:val="nil"/>
              <w:tr2bl w:val="nil"/>
            </w:tcBorders>
            <w:noWrap w:val="0"/>
            <w:vAlign w:val="center"/>
          </w:tcPr>
          <w:p w14:paraId="2608825A">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 xml:space="preserve">0.500 </w:t>
            </w:r>
          </w:p>
        </w:tc>
        <w:tc>
          <w:tcPr>
            <w:tcW w:w="443" w:type="pct"/>
            <w:tcBorders>
              <w:tl2br w:val="nil"/>
              <w:tr2bl w:val="nil"/>
            </w:tcBorders>
            <w:noWrap w:val="0"/>
            <w:vAlign w:val="center"/>
          </w:tcPr>
          <w:p w14:paraId="7B9C96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10个/kg</w:t>
            </w:r>
          </w:p>
        </w:tc>
        <w:tc>
          <w:tcPr>
            <w:tcW w:w="361" w:type="pct"/>
            <w:tcBorders>
              <w:tl2br w:val="nil"/>
              <w:tr2bl w:val="nil"/>
            </w:tcBorders>
            <w:noWrap w:val="0"/>
            <w:vAlign w:val="center"/>
          </w:tcPr>
          <w:p w14:paraId="35D0A97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bl>
    <w:p w14:paraId="7F35FF52">
      <w:pPr>
        <w:keepNext w:val="0"/>
        <w:keepLines w:val="0"/>
        <w:pageBreakBefore w:val="0"/>
        <w:widowControl w:val="0"/>
        <w:wordWrap/>
        <w:topLinePunct w:val="0"/>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1"/>
          <w:lang w:val="en-US" w:eastAsia="zh-CN" w:bidi="ar-SA"/>
        </w:rPr>
      </w:pPr>
      <w:r>
        <w:rPr>
          <w:rFonts w:hint="eastAsia" w:ascii="Times New Roman" w:hAnsi="Times New Roman" w:eastAsia="宋体" w:cs="Times New Roman"/>
          <w:color w:val="auto"/>
          <w:kern w:val="0"/>
          <w:sz w:val="24"/>
          <w:szCs w:val="20"/>
          <w:lang w:val="en-US" w:eastAsia="zh-CN" w:bidi="ar-SA"/>
        </w:rPr>
        <w:t>根据土壤环境质量监测结果分析，</w:t>
      </w:r>
      <w:r>
        <w:rPr>
          <w:rFonts w:hint="eastAsia" w:ascii="宋体" w:hAnsi="Times New Roman" w:eastAsia="宋体" w:cs="Times New Roman"/>
          <w:color w:val="auto"/>
          <w:kern w:val="0"/>
          <w:sz w:val="24"/>
          <w:szCs w:val="20"/>
          <w:lang w:val="en-US" w:eastAsia="zh-CN" w:bidi="ar-SA"/>
        </w:rPr>
        <w:t>场内土壤各项污染物</w:t>
      </w:r>
      <w:r>
        <w:rPr>
          <w:rFonts w:hint="eastAsia" w:ascii="Times New Roman" w:hAnsi="Times New Roman" w:eastAsia="宋体" w:cs="Times New Roman"/>
          <w:color w:val="auto"/>
          <w:kern w:val="0"/>
          <w:sz w:val="24"/>
          <w:szCs w:val="20"/>
          <w:lang w:val="en-US" w:eastAsia="zh-CN" w:bidi="ar-SA"/>
        </w:rPr>
        <w:t>均满足</w:t>
      </w:r>
      <w:r>
        <w:rPr>
          <w:rFonts w:hint="default" w:ascii="Times New Roman" w:hAnsi="Times New Roman" w:eastAsia="宋体" w:cs="Times New Roman"/>
          <w:color w:val="auto"/>
          <w:kern w:val="0"/>
          <w:sz w:val="24"/>
          <w:szCs w:val="20"/>
          <w:lang w:val="en-US" w:eastAsia="zh-CN" w:bidi="ar-SA"/>
        </w:rPr>
        <w:t>《</w:t>
      </w:r>
      <w:r>
        <w:rPr>
          <w:rFonts w:hint="eastAsia" w:ascii="Times New Roman" w:hAnsi="Times New Roman" w:eastAsia="宋体" w:cs="Times New Roman"/>
          <w:color w:val="auto"/>
          <w:kern w:val="0"/>
          <w:sz w:val="24"/>
          <w:szCs w:val="20"/>
          <w:lang w:val="en-US" w:eastAsia="zh-CN" w:bidi="ar-SA"/>
        </w:rPr>
        <w:t>畜禽养殖产地环境评价规范</w:t>
      </w:r>
      <w:r>
        <w:rPr>
          <w:rFonts w:hint="default" w:ascii="Times New Roman" w:hAnsi="Times New Roman" w:eastAsia="宋体" w:cs="Times New Roman"/>
          <w:color w:val="auto"/>
          <w:kern w:val="0"/>
          <w:sz w:val="24"/>
          <w:szCs w:val="20"/>
          <w:lang w:val="en-US" w:eastAsia="zh-CN" w:bidi="ar-SA"/>
        </w:rPr>
        <w:t>》</w:t>
      </w:r>
      <w:r>
        <w:rPr>
          <w:rFonts w:hint="eastAsia" w:ascii="Times New Roman" w:hAnsi="Times New Roman" w:eastAsia="宋体" w:cs="Times New Roman"/>
          <w:color w:val="auto"/>
          <w:kern w:val="0"/>
          <w:sz w:val="24"/>
          <w:szCs w:val="20"/>
          <w:lang w:val="en-US" w:eastAsia="zh-CN" w:bidi="ar-SA"/>
        </w:rPr>
        <w:t>（HJ568-20</w:t>
      </w:r>
      <w:r>
        <w:rPr>
          <w:rFonts w:hint="default" w:ascii="Times New Roman" w:hAnsi="Times New Roman" w:eastAsia="宋体" w:cs="Times New Roman"/>
          <w:color w:val="auto"/>
          <w:kern w:val="0"/>
          <w:sz w:val="24"/>
          <w:szCs w:val="20"/>
          <w:lang w:val="en-US" w:eastAsia="zh-CN" w:bidi="ar-SA"/>
        </w:rPr>
        <w:t>10）中</w:t>
      </w:r>
      <w:r>
        <w:rPr>
          <w:rFonts w:hint="eastAsia" w:ascii="Times New Roman" w:hAnsi="Times New Roman" w:eastAsia="宋体" w:cs="Times New Roman"/>
          <w:color w:val="auto"/>
          <w:kern w:val="0"/>
          <w:sz w:val="24"/>
          <w:szCs w:val="20"/>
          <w:lang w:val="en-US" w:eastAsia="zh-CN" w:bidi="ar-SA"/>
        </w:rPr>
        <w:t>的表4养殖场土壤</w:t>
      </w:r>
      <w:r>
        <w:rPr>
          <w:rFonts w:hint="default" w:ascii="Times New Roman" w:hAnsi="Times New Roman" w:eastAsia="宋体" w:cs="Times New Roman"/>
          <w:color w:val="auto"/>
          <w:kern w:val="0"/>
          <w:sz w:val="24"/>
          <w:szCs w:val="20"/>
          <w:lang w:val="en-US" w:eastAsia="zh-CN" w:bidi="ar-SA"/>
        </w:rPr>
        <w:t>环境质量</w:t>
      </w:r>
      <w:r>
        <w:rPr>
          <w:rFonts w:hint="eastAsia" w:ascii="Times New Roman" w:hAnsi="Times New Roman" w:eastAsia="宋体" w:cs="Times New Roman"/>
          <w:color w:val="auto"/>
          <w:kern w:val="0"/>
          <w:sz w:val="24"/>
          <w:szCs w:val="20"/>
          <w:lang w:val="en-US" w:eastAsia="zh-CN" w:bidi="ar-SA"/>
        </w:rPr>
        <w:t>评价指标</w:t>
      </w:r>
      <w:r>
        <w:rPr>
          <w:rFonts w:hint="default" w:ascii="Times New Roman" w:hAnsi="Times New Roman" w:eastAsia="宋体" w:cs="Times New Roman"/>
          <w:color w:val="auto"/>
          <w:kern w:val="0"/>
          <w:sz w:val="24"/>
          <w:szCs w:val="20"/>
          <w:lang w:val="en-US" w:eastAsia="zh-CN" w:bidi="ar-SA"/>
        </w:rPr>
        <w:t>限值</w:t>
      </w:r>
      <w:r>
        <w:rPr>
          <w:rFonts w:hint="eastAsia" w:ascii="Times New Roman" w:hAnsi="Times New Roman" w:eastAsia="宋体" w:cs="Times New Roman"/>
          <w:color w:val="auto"/>
          <w:kern w:val="0"/>
          <w:sz w:val="24"/>
          <w:szCs w:val="20"/>
          <w:lang w:val="en-US" w:eastAsia="zh-CN" w:bidi="ar-SA"/>
        </w:rPr>
        <w:t>，说明本项目用地土壤污染风险一般情况下可以忽略，项目区土壤环境质量良好。</w:t>
      </w:r>
    </w:p>
    <w:p w14:paraId="122C54E4">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2"/>
        <w:rPr>
          <w:rFonts w:hint="default" w:ascii="Times New Roman" w:hAnsi="Times New Roman" w:eastAsia="宋体" w:cs="Times New Roman"/>
          <w:b/>
          <w:bCs/>
          <w:color w:val="auto"/>
          <w:kern w:val="2"/>
          <w:sz w:val="28"/>
          <w:szCs w:val="28"/>
          <w:lang w:val="en-US" w:eastAsia="zh-CN" w:bidi="ar-SA"/>
        </w:rPr>
      </w:pPr>
      <w:r>
        <w:rPr>
          <w:rFonts w:hint="default" w:ascii="Times New Roman" w:hAnsi="Times New Roman" w:eastAsia="宋体" w:cs="Times New Roman"/>
          <w:b/>
          <w:bCs/>
          <w:color w:val="auto"/>
          <w:kern w:val="2"/>
          <w:sz w:val="28"/>
          <w:szCs w:val="28"/>
          <w:lang w:val="en-US" w:eastAsia="zh-CN" w:bidi="ar-SA"/>
        </w:rPr>
        <w:t>4.2.5生态环境现状评价</w:t>
      </w:r>
    </w:p>
    <w:p w14:paraId="3E763DF6">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4.2.5.1生态功能区划</w:t>
      </w:r>
    </w:p>
    <w:p w14:paraId="4AA46AA4">
      <w:pPr>
        <w:tabs>
          <w:tab w:val="left" w:pos="0"/>
        </w:tabs>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项目</w:t>
      </w:r>
      <w:r>
        <w:rPr>
          <w:rFonts w:ascii="Times New Roman" w:hAnsi="Times New Roman" w:eastAsia="宋体" w:cs="Times New Roman"/>
          <w:kern w:val="0"/>
          <w:sz w:val="24"/>
          <w:szCs w:val="24"/>
        </w:rPr>
        <w:t>位于</w:t>
      </w:r>
      <w:r>
        <w:rPr>
          <w:rFonts w:hint="eastAsia" w:cs="Times New Roman"/>
          <w:sz w:val="24"/>
          <w:szCs w:val="24"/>
          <w:lang w:val="en-US" w:eastAsia="zh-CN"/>
        </w:rPr>
        <w:t>第七师胡杨河市</w:t>
      </w:r>
      <w:r>
        <w:rPr>
          <w:rFonts w:ascii="Times New Roman" w:hAnsi="Times New Roman" w:eastAsia="宋体" w:cs="Times New Roman"/>
          <w:sz w:val="24"/>
          <w:szCs w:val="24"/>
        </w:rPr>
        <w:t>范围内，项目区属于</w:t>
      </w:r>
      <w:r>
        <w:rPr>
          <w:rFonts w:hint="default" w:ascii="Times New Roman" w:hAnsi="Times New Roman" w:eastAsia="宋体" w:cs="Times New Roman"/>
          <w:sz w:val="24"/>
          <w:szCs w:val="24"/>
          <w:lang w:val="en-US" w:eastAsia="zh-CN"/>
        </w:rPr>
        <w:t>Ⅱ兵团准噶尔盆地温带干旱荒漠与绿洲生态区</w:t>
      </w:r>
      <w:r>
        <w:rPr>
          <w:rFonts w:ascii="Times New Roman" w:hAnsi="Times New Roman" w:eastAsia="宋体" w:cs="Times New Roman"/>
          <w:sz w:val="24"/>
          <w:szCs w:val="24"/>
        </w:rPr>
        <w:t>的</w:t>
      </w:r>
      <w:r>
        <w:rPr>
          <w:rFonts w:hint="default" w:ascii="Times New Roman" w:hAnsi="Times New Roman" w:eastAsia="宋体" w:cs="Times New Roman"/>
          <w:sz w:val="24"/>
          <w:szCs w:val="24"/>
          <w:lang w:val="en-US" w:eastAsia="zh-CN"/>
        </w:rPr>
        <w:t>Ⅱ</w:t>
      </w:r>
      <w:r>
        <w:rPr>
          <w:rFonts w:hint="eastAsia" w:ascii="Times New Roman" w:hAnsi="Times New Roman" w:eastAsia="宋体" w:cs="Times New Roman"/>
          <w:sz w:val="24"/>
          <w:szCs w:val="24"/>
          <w:vertAlign w:val="subscript"/>
          <w:lang w:val="en-US" w:eastAsia="zh-CN"/>
        </w:rPr>
        <w:t>3</w:t>
      </w:r>
      <w:r>
        <w:rPr>
          <w:rFonts w:hint="eastAsia" w:ascii="Times New Roman" w:hAnsi="Times New Roman" w:eastAsia="宋体" w:cs="Times New Roman"/>
          <w:sz w:val="24"/>
          <w:szCs w:val="24"/>
          <w:lang w:val="en-US" w:eastAsia="zh-CN"/>
        </w:rPr>
        <w:t>六、七、八、十二师准噶尔盆地南部灌木、半灌木荒漠、绿洲农业生态亚区</w:t>
      </w:r>
      <w:r>
        <w:rPr>
          <w:rFonts w:ascii="Times New Roman" w:hAnsi="Times New Roman" w:eastAsia="宋体" w:cs="Times New Roman"/>
          <w:bCs/>
          <w:sz w:val="24"/>
          <w:szCs w:val="24"/>
        </w:rPr>
        <w:t>中的</w:t>
      </w:r>
      <w:r>
        <w:rPr>
          <w:rFonts w:hint="default" w:ascii="Times New Roman" w:hAnsi="Times New Roman" w:eastAsia="宋体" w:cs="Times New Roman"/>
          <w:bCs/>
          <w:sz w:val="24"/>
          <w:szCs w:val="24"/>
          <w:lang w:val="en-US" w:eastAsia="zh-CN"/>
        </w:rPr>
        <w:t>11六、七、八师奎屯一石河子一五家渠城镇与绿洲生态功能区</w:t>
      </w:r>
      <w:r>
        <w:rPr>
          <w:rFonts w:hint="eastAsia" w:cs="Times New Roman"/>
          <w:bCs/>
          <w:sz w:val="24"/>
          <w:szCs w:val="24"/>
          <w:lang w:eastAsia="zh-CN"/>
        </w:rPr>
        <w:t>，</w:t>
      </w:r>
      <w:r>
        <w:rPr>
          <w:rFonts w:ascii="Times New Roman" w:hAnsi="Times New Roman" w:eastAsia="宋体" w:cs="Times New Roman"/>
          <w:sz w:val="24"/>
          <w:szCs w:val="24"/>
        </w:rPr>
        <w:t>项目生态功能区划详见表4.2-</w:t>
      </w:r>
      <w:r>
        <w:rPr>
          <w:rFonts w:hint="eastAsia" w:ascii="Times New Roman" w:hAnsi="Times New Roman" w:eastAsia="宋体" w:cs="Times New Roman"/>
          <w:sz w:val="24"/>
          <w:szCs w:val="24"/>
        </w:rPr>
        <w:t>1</w:t>
      </w:r>
      <w:r>
        <w:rPr>
          <w:rFonts w:hint="eastAsia" w:eastAsia="宋体" w:cs="Times New Roman"/>
          <w:sz w:val="24"/>
          <w:szCs w:val="24"/>
          <w:lang w:val="en-US" w:eastAsia="zh-CN"/>
        </w:rPr>
        <w:t>2</w:t>
      </w:r>
      <w:r>
        <w:rPr>
          <w:rFonts w:ascii="Times New Roman" w:hAnsi="Times New Roman" w:eastAsia="宋体" w:cs="Times New Roman"/>
          <w:sz w:val="24"/>
          <w:szCs w:val="24"/>
        </w:rPr>
        <w:t>。</w:t>
      </w:r>
    </w:p>
    <w:p w14:paraId="292E7299">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表4.2-1</w:t>
      </w:r>
      <w:r>
        <w:rPr>
          <w:rFonts w:hint="eastAsia" w:eastAsia="宋体" w:cs="Times New Roman"/>
          <w:b/>
          <w:bCs/>
          <w:color w:val="auto"/>
          <w:sz w:val="24"/>
          <w:szCs w:val="24"/>
          <w:highlight w:val="none"/>
          <w:lang w:val="en-US" w:eastAsia="zh-CN"/>
        </w:rPr>
        <w:t>2</w:t>
      </w:r>
      <w:r>
        <w:rPr>
          <w:rFonts w:hint="eastAsia" w:ascii="Times New Roman" w:hAnsi="Times New Roman" w:eastAsia="宋体" w:cs="Times New Roman"/>
          <w:b/>
          <w:bCs/>
          <w:color w:val="auto"/>
          <w:sz w:val="24"/>
          <w:szCs w:val="24"/>
          <w:highlight w:val="none"/>
          <w:lang w:val="en-US" w:eastAsia="zh-CN"/>
        </w:rPr>
        <w:t>生态功能区划简表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7"/>
        <w:gridCol w:w="6547"/>
      </w:tblGrid>
      <w:tr w14:paraId="552BA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62D9F666">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b/>
                <w:bCs w:val="0"/>
                <w:kern w:val="0"/>
                <w:sz w:val="21"/>
                <w:szCs w:val="21"/>
                <w:lang w:val="en-US" w:eastAsia="zh-CN" w:bidi="ar-SA"/>
              </w:rPr>
            </w:pPr>
            <w:r>
              <w:rPr>
                <w:rFonts w:hint="default" w:ascii="Times New Roman" w:hAnsi="Times New Roman" w:eastAsia="宋体" w:cs="Times New Roman"/>
                <w:b/>
                <w:bCs w:val="0"/>
                <w:kern w:val="0"/>
                <w:sz w:val="21"/>
                <w:szCs w:val="21"/>
                <w:lang w:val="en-US" w:eastAsia="zh-CN" w:bidi="ar-SA"/>
              </w:rPr>
              <w:t>项目</w:t>
            </w:r>
          </w:p>
        </w:tc>
        <w:tc>
          <w:tcPr>
            <w:tcW w:w="6547" w:type="dxa"/>
            <w:noWrap w:val="0"/>
            <w:vAlign w:val="center"/>
          </w:tcPr>
          <w:p w14:paraId="02DDD687">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b/>
                <w:bCs w:val="0"/>
                <w:kern w:val="0"/>
                <w:sz w:val="21"/>
                <w:szCs w:val="21"/>
                <w:lang w:val="en-US" w:eastAsia="zh-CN" w:bidi="ar-SA"/>
              </w:rPr>
            </w:pPr>
            <w:r>
              <w:rPr>
                <w:rFonts w:hint="default" w:ascii="Times New Roman" w:hAnsi="Times New Roman" w:eastAsia="宋体" w:cs="Times New Roman"/>
                <w:b/>
                <w:bCs w:val="0"/>
                <w:kern w:val="0"/>
                <w:sz w:val="21"/>
                <w:szCs w:val="21"/>
                <w:lang w:val="en-US" w:eastAsia="zh-CN" w:bidi="ar-SA"/>
              </w:rPr>
              <w:t>区划</w:t>
            </w:r>
          </w:p>
        </w:tc>
      </w:tr>
      <w:tr w14:paraId="4E31A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7CAFAF0D">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生态区</w:t>
            </w:r>
          </w:p>
        </w:tc>
        <w:tc>
          <w:tcPr>
            <w:tcW w:w="6547" w:type="dxa"/>
            <w:noWrap w:val="0"/>
            <w:vAlign w:val="center"/>
          </w:tcPr>
          <w:p w14:paraId="04FD9B32">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Ⅱ兵团准噶尔盆地温带干旱荒漠与绿洲生态区</w:t>
            </w:r>
          </w:p>
        </w:tc>
      </w:tr>
      <w:tr w14:paraId="0800C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5C7D4324">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生态亚区</w:t>
            </w:r>
          </w:p>
        </w:tc>
        <w:tc>
          <w:tcPr>
            <w:tcW w:w="6547" w:type="dxa"/>
            <w:noWrap w:val="0"/>
            <w:vAlign w:val="center"/>
          </w:tcPr>
          <w:p w14:paraId="1F2E9C56">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Ⅱ</w:t>
            </w:r>
            <w:r>
              <w:rPr>
                <w:rFonts w:hint="eastAsia" w:ascii="Times New Roman" w:hAnsi="Times New Roman" w:eastAsia="宋体" w:cs="Times New Roman"/>
                <w:kern w:val="0"/>
                <w:sz w:val="21"/>
                <w:szCs w:val="21"/>
                <w:vertAlign w:val="subscript"/>
                <w:lang w:val="en-US" w:eastAsia="zh-CN" w:bidi="ar-SA"/>
              </w:rPr>
              <w:t>3</w:t>
            </w:r>
            <w:r>
              <w:rPr>
                <w:rFonts w:hint="eastAsia" w:ascii="Times New Roman" w:hAnsi="Times New Roman" w:eastAsia="宋体" w:cs="Times New Roman"/>
                <w:kern w:val="0"/>
                <w:sz w:val="21"/>
                <w:szCs w:val="21"/>
                <w:lang w:val="en-US" w:eastAsia="zh-CN" w:bidi="ar-SA"/>
              </w:rPr>
              <w:t>六、七、八、十二师准噶尔盆地南部灌木、半灌木荒漠、绿洲农业生态亚区</w:t>
            </w:r>
          </w:p>
        </w:tc>
      </w:tr>
      <w:tr w14:paraId="77E13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087C564D">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生态功能区</w:t>
            </w:r>
          </w:p>
        </w:tc>
        <w:tc>
          <w:tcPr>
            <w:tcW w:w="6547" w:type="dxa"/>
            <w:noWrap w:val="0"/>
            <w:vAlign w:val="center"/>
          </w:tcPr>
          <w:p w14:paraId="65151075">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11.六、七、八师奎屯一石河子一五家渠城镇与绿洲生态功能区</w:t>
            </w:r>
          </w:p>
        </w:tc>
      </w:tr>
      <w:tr w14:paraId="13C41B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1ABF2F8C">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主要生态服务功能</w:t>
            </w:r>
          </w:p>
        </w:tc>
        <w:tc>
          <w:tcPr>
            <w:tcW w:w="6547" w:type="dxa"/>
            <w:noWrap w:val="0"/>
            <w:vAlign w:val="center"/>
          </w:tcPr>
          <w:p w14:paraId="479B2254">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工农畜产品生产、人居环境、荒漠化控制</w:t>
            </w:r>
          </w:p>
        </w:tc>
      </w:tr>
      <w:tr w14:paraId="1FA91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15CEE45E">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主要生态环境问题</w:t>
            </w:r>
          </w:p>
        </w:tc>
        <w:tc>
          <w:tcPr>
            <w:tcW w:w="6547" w:type="dxa"/>
            <w:noWrap w:val="0"/>
            <w:vAlign w:val="center"/>
          </w:tcPr>
          <w:p w14:paraId="58C51D18">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地下水超采、荒漠植被退化、河流萎缩断流、</w:t>
            </w:r>
            <w:r>
              <w:rPr>
                <w:rFonts w:hint="eastAsia" w:ascii="Times New Roman" w:hAnsi="Times New Roman" w:eastAsia="宋体" w:cs="Times New Roman"/>
                <w:kern w:val="0"/>
                <w:sz w:val="21"/>
                <w:szCs w:val="21"/>
                <w:lang w:val="en-US" w:eastAsia="zh-CN" w:bidi="ar-SA"/>
              </w:rPr>
              <w:t>土地</w:t>
            </w:r>
            <w:r>
              <w:rPr>
                <w:rFonts w:hint="default" w:ascii="Times New Roman" w:hAnsi="Times New Roman" w:eastAsia="宋体" w:cs="Times New Roman"/>
                <w:kern w:val="0"/>
                <w:sz w:val="21"/>
                <w:szCs w:val="21"/>
                <w:lang w:val="en-US" w:eastAsia="zh-CN" w:bidi="ar-SA"/>
              </w:rPr>
              <w:t>荒漠化与盐渍化、工业污染严重、绿洲外围受到沙漠化威胁</w:t>
            </w:r>
          </w:p>
        </w:tc>
      </w:tr>
      <w:tr w14:paraId="1F60F2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1FFB076C">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主要保护目标</w:t>
            </w:r>
          </w:p>
        </w:tc>
        <w:tc>
          <w:tcPr>
            <w:tcW w:w="6547" w:type="dxa"/>
            <w:noWrap w:val="0"/>
            <w:vAlign w:val="center"/>
          </w:tcPr>
          <w:p w14:paraId="6CEF7177">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保护绿洲农田生态系统及农田土壤环境质量、保护城市环境质量、保护</w:t>
            </w:r>
            <w:r>
              <w:rPr>
                <w:rFonts w:hint="eastAsia" w:ascii="Times New Roman" w:hAnsi="Times New Roman" w:eastAsia="宋体" w:cs="Times New Roman"/>
                <w:kern w:val="0"/>
                <w:sz w:val="21"/>
                <w:szCs w:val="21"/>
                <w:lang w:val="en-US" w:eastAsia="zh-CN" w:bidi="ar-SA"/>
              </w:rPr>
              <w:t>荒漠</w:t>
            </w:r>
            <w:r>
              <w:rPr>
                <w:rFonts w:hint="default" w:ascii="Times New Roman" w:hAnsi="Times New Roman" w:eastAsia="宋体" w:cs="Times New Roman"/>
                <w:kern w:val="0"/>
                <w:sz w:val="21"/>
                <w:szCs w:val="21"/>
                <w:lang w:val="en-US" w:eastAsia="zh-CN" w:bidi="ar-SA"/>
              </w:rPr>
              <w:t>植被</w:t>
            </w:r>
          </w:p>
        </w:tc>
      </w:tr>
      <w:tr w14:paraId="0D68A4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4795898C">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主要保护措施</w:t>
            </w:r>
          </w:p>
        </w:tc>
        <w:tc>
          <w:tcPr>
            <w:tcW w:w="6547" w:type="dxa"/>
            <w:noWrap w:val="0"/>
            <w:vAlign w:val="center"/>
          </w:tcPr>
          <w:p w14:paraId="4C471CB4">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节水灌溉、合理控制地下水开采，各类污染物达标排放、提高城市环境质量，保护绿洲外围荒漠植被、完善防护林体系、加强农田投入品的使用管理</w:t>
            </w:r>
          </w:p>
        </w:tc>
      </w:tr>
      <w:tr w14:paraId="05C958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7" w:type="dxa"/>
            <w:noWrap w:val="0"/>
            <w:vAlign w:val="center"/>
          </w:tcPr>
          <w:p w14:paraId="0A5516D3">
            <w:pPr>
              <w:keepNext w:val="0"/>
              <w:keepLines w:val="0"/>
              <w:pageBreakBefore w:val="0"/>
              <w:widowControl w:val="0"/>
              <w:kinsoku/>
              <w:wordWrap/>
              <w:overflowPunct w:val="0"/>
              <w:topLinePunct w:val="0"/>
              <w:autoSpaceDE/>
              <w:autoSpaceDN/>
              <w:bidi w:val="0"/>
              <w:adjustRightInd/>
              <w:snapToGrid/>
              <w:spacing w:before="0" w:after="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适宜发展方向</w:t>
            </w:r>
          </w:p>
        </w:tc>
        <w:tc>
          <w:tcPr>
            <w:tcW w:w="6547" w:type="dxa"/>
            <w:noWrap w:val="0"/>
            <w:vAlign w:val="center"/>
          </w:tcPr>
          <w:p w14:paraId="4CB1AEF2">
            <w:pPr>
              <w:keepNext w:val="0"/>
              <w:keepLines w:val="0"/>
              <w:pageBreakBefore w:val="0"/>
              <w:widowControl w:val="0"/>
              <w:kinsoku/>
              <w:wordWrap/>
              <w:overflowPunct w:val="0"/>
              <w:topLinePunct w:val="0"/>
              <w:autoSpaceDE/>
              <w:autoSpaceDN/>
              <w:bidi w:val="0"/>
              <w:adjustRightInd/>
              <w:snapToGrid/>
              <w:spacing w:before="0" w:beforeAutospacing="0" w:after="0" w:afterAutospacing="0" w:line="400" w:lineRule="exact"/>
              <w:jc w:val="center"/>
              <w:textAlignment w:val="baseline"/>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发展以棉花为主导的优质、高效、特色农业；加快高标准城镇（市）化建设；发展和做强棉纺业、塑化节水器材产业、化工业等重要工业的建设</w:t>
            </w:r>
          </w:p>
        </w:tc>
      </w:tr>
    </w:tbl>
    <w:p w14:paraId="2736766B">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根据现场调查及资料收集，本项目评价区域1km范围内无生态敏感区。</w:t>
      </w:r>
    </w:p>
    <w:p w14:paraId="50294B03">
      <w:pPr>
        <w:keepNext w:val="0"/>
        <w:keepLines w:val="0"/>
        <w:pageBreakBefore w:val="0"/>
        <w:wordWrap/>
        <w:overflowPunct w:val="0"/>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评价范围内环境的功能具有一定的稳定性及可持续发展性，具有一定的承受干扰的能力及生态完整性。</w:t>
      </w:r>
    </w:p>
    <w:p w14:paraId="64F9AACE">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4.2.5.2土壤类型现状</w:t>
      </w:r>
    </w:p>
    <w:p w14:paraId="5781751A">
      <w:pPr>
        <w:keepNext w:val="0"/>
        <w:keepLines w:val="0"/>
        <w:pageBreakBefore w:val="0"/>
        <w:kinsoku/>
        <w:wordWrap/>
        <w:topLinePunct w:val="0"/>
        <w:autoSpaceDE w:val="0"/>
        <w:autoSpaceDN w:val="0"/>
        <w:bidi w:val="0"/>
        <w:adjustRightInd/>
        <w:snapToGrid/>
        <w:spacing w:beforeAutospacing="0" w:afterAutospacing="0" w:line="360" w:lineRule="auto"/>
        <w:ind w:firstLine="480" w:firstLineChars="200"/>
        <w:jc w:val="left"/>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1"/>
          <w:lang w:val="zh-CN" w:eastAsia="zh-CN" w:bidi="ar-SA"/>
        </w:rPr>
        <w:t>项目厂址土壤类型查阅</w:t>
      </w:r>
      <w:r>
        <w:rPr>
          <w:rFonts w:hint="eastAsia" w:cs="Times New Roman"/>
          <w:color w:val="auto"/>
          <w:kern w:val="0"/>
          <w:sz w:val="24"/>
          <w:szCs w:val="21"/>
          <w:lang w:val="zh-CN" w:eastAsia="zh-CN" w:bidi="ar-SA"/>
        </w:rPr>
        <w:t>“</w:t>
      </w:r>
      <w:r>
        <w:rPr>
          <w:rFonts w:hint="default" w:ascii="Times New Roman" w:hAnsi="Times New Roman" w:eastAsia="宋体" w:cs="Times New Roman"/>
          <w:color w:val="auto"/>
          <w:kern w:val="0"/>
          <w:sz w:val="24"/>
          <w:szCs w:val="21"/>
          <w:lang w:val="zh-CN" w:eastAsia="zh-CN" w:bidi="ar-SA"/>
        </w:rPr>
        <w:t>国家土壤信息服务平台</w:t>
      </w:r>
      <w:r>
        <w:rPr>
          <w:rFonts w:hint="eastAsia" w:cs="Times New Roman"/>
          <w:color w:val="auto"/>
          <w:kern w:val="0"/>
          <w:sz w:val="24"/>
          <w:szCs w:val="21"/>
          <w:lang w:val="zh-CN" w:eastAsia="zh-CN" w:bidi="ar-SA"/>
        </w:rPr>
        <w:t>”</w:t>
      </w:r>
      <w:r>
        <w:rPr>
          <w:rFonts w:hint="default" w:ascii="Times New Roman" w:hAnsi="Times New Roman" w:eastAsia="宋体" w:cs="Times New Roman"/>
          <w:color w:val="auto"/>
          <w:kern w:val="0"/>
          <w:sz w:val="24"/>
          <w:szCs w:val="21"/>
          <w:lang w:val="zh-CN" w:eastAsia="zh-CN" w:bidi="ar-SA"/>
        </w:rPr>
        <w:t>。经查询，根据发生分类，项目厂址土类为</w:t>
      </w:r>
      <w:r>
        <w:rPr>
          <w:rFonts w:hint="eastAsia" w:cs="Times New Roman"/>
          <w:color w:val="auto"/>
          <w:kern w:val="0"/>
          <w:sz w:val="24"/>
          <w:szCs w:val="21"/>
          <w:lang w:val="en-US" w:eastAsia="zh-CN" w:bidi="ar-SA"/>
        </w:rPr>
        <w:t>内陆盐土</w:t>
      </w:r>
      <w:r>
        <w:rPr>
          <w:rFonts w:hint="default" w:ascii="Times New Roman" w:hAnsi="Times New Roman" w:eastAsia="宋体" w:cs="Times New Roman"/>
          <w:color w:val="auto"/>
          <w:kern w:val="0"/>
          <w:sz w:val="24"/>
          <w:szCs w:val="21"/>
          <w:lang w:val="zh-CN" w:eastAsia="zh-CN" w:bidi="ar-SA"/>
        </w:rPr>
        <w:t>，亚类为</w:t>
      </w:r>
      <w:r>
        <w:rPr>
          <w:rFonts w:hint="eastAsia" w:cs="Times New Roman"/>
          <w:color w:val="auto"/>
          <w:kern w:val="0"/>
          <w:sz w:val="24"/>
          <w:szCs w:val="21"/>
          <w:lang w:val="en-US" w:eastAsia="zh-CN" w:bidi="ar-SA"/>
        </w:rPr>
        <w:t>内陆盐土</w:t>
      </w:r>
      <w:r>
        <w:rPr>
          <w:rFonts w:hint="eastAsia" w:ascii="Times New Roman" w:hAnsi="Times New Roman" w:eastAsia="宋体" w:cs="Times New Roman"/>
          <w:color w:val="auto"/>
          <w:sz w:val="24"/>
          <w:lang w:val="en-US" w:eastAsia="zh-CN"/>
        </w:rPr>
        <w:t>。</w:t>
      </w:r>
    </w:p>
    <w:p w14:paraId="3EA70FC9">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4.</w:t>
      </w:r>
      <w:r>
        <w:rPr>
          <w:rFonts w:hint="eastAsia" w:ascii="Times New Roman" w:hAnsi="Times New Roman" w:eastAsia="宋体" w:cs="Times New Roman"/>
          <w:b/>
          <w:color w:val="auto"/>
          <w:kern w:val="2"/>
          <w:sz w:val="24"/>
          <w:szCs w:val="24"/>
          <w:lang w:val="en-US" w:eastAsia="zh-CN" w:bidi="ar-SA"/>
        </w:rPr>
        <w:t>2</w:t>
      </w:r>
      <w:r>
        <w:rPr>
          <w:rFonts w:hint="default" w:ascii="Times New Roman" w:hAnsi="Times New Roman" w:eastAsia="宋体" w:cs="Times New Roman"/>
          <w:b/>
          <w:color w:val="auto"/>
          <w:kern w:val="2"/>
          <w:sz w:val="24"/>
          <w:szCs w:val="24"/>
          <w:lang w:val="en-US" w:eastAsia="zh-CN" w:bidi="ar-SA"/>
        </w:rPr>
        <w:t>.</w:t>
      </w:r>
      <w:r>
        <w:rPr>
          <w:rFonts w:hint="eastAsia" w:ascii="Times New Roman" w:hAnsi="Times New Roman" w:eastAsia="宋体" w:cs="Times New Roman"/>
          <w:b/>
          <w:color w:val="auto"/>
          <w:kern w:val="2"/>
          <w:sz w:val="24"/>
          <w:szCs w:val="24"/>
          <w:lang w:val="en-US" w:eastAsia="zh-CN" w:bidi="ar-SA"/>
        </w:rPr>
        <w:t>5</w:t>
      </w:r>
      <w:r>
        <w:rPr>
          <w:rFonts w:hint="default" w:ascii="Times New Roman" w:hAnsi="Times New Roman" w:eastAsia="宋体" w:cs="Times New Roman"/>
          <w:b/>
          <w:color w:val="auto"/>
          <w:kern w:val="2"/>
          <w:sz w:val="24"/>
          <w:szCs w:val="24"/>
          <w:lang w:val="en-US" w:eastAsia="zh-CN" w:bidi="ar-SA"/>
        </w:rPr>
        <w:t>.</w:t>
      </w:r>
      <w:r>
        <w:rPr>
          <w:rFonts w:hint="eastAsia" w:eastAsia="宋体" w:cs="Times New Roman"/>
          <w:b/>
          <w:color w:val="auto"/>
          <w:kern w:val="2"/>
          <w:sz w:val="24"/>
          <w:szCs w:val="24"/>
          <w:lang w:val="en-US" w:eastAsia="zh-CN" w:bidi="ar-SA"/>
        </w:rPr>
        <w:t>3</w:t>
      </w:r>
      <w:r>
        <w:rPr>
          <w:rFonts w:hint="default" w:ascii="Times New Roman" w:hAnsi="Times New Roman" w:eastAsia="宋体" w:cs="Times New Roman"/>
          <w:b/>
          <w:color w:val="auto"/>
          <w:kern w:val="2"/>
          <w:sz w:val="24"/>
          <w:szCs w:val="24"/>
          <w:lang w:val="en-US" w:eastAsia="zh-CN" w:bidi="ar-SA"/>
        </w:rPr>
        <w:t>项目区主要植被类型</w:t>
      </w:r>
    </w:p>
    <w:p w14:paraId="1E099B3D">
      <w:pPr>
        <w:keepNext w:val="0"/>
        <w:keepLines w:val="0"/>
        <w:pageBreakBefore w:val="0"/>
        <w:kinsoku/>
        <w:wordWrap/>
        <w:topLinePunct w:val="0"/>
        <w:autoSpaceDE w:val="0"/>
        <w:autoSpaceDN w:val="0"/>
        <w:bidi w:val="0"/>
        <w:adjustRightInd/>
        <w:snapToGrid/>
        <w:spacing w:beforeAutospacing="0" w:afterAutospacing="0" w:line="360" w:lineRule="auto"/>
        <w:ind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本项目位于</w:t>
      </w:r>
      <w:r>
        <w:rPr>
          <w:rFonts w:hint="eastAsia" w:cs="Times New Roman"/>
          <w:color w:val="auto"/>
          <w:sz w:val="24"/>
          <w:lang w:val="en-US" w:eastAsia="zh-CN"/>
        </w:rPr>
        <w:t>第七师胡杨河市</w:t>
      </w:r>
      <w:r>
        <w:rPr>
          <w:rFonts w:hint="default" w:ascii="Times New Roman" w:hAnsi="Times New Roman" w:eastAsia="宋体" w:cs="Times New Roman"/>
          <w:color w:val="auto"/>
          <w:sz w:val="24"/>
        </w:rPr>
        <w:t>，属于</w:t>
      </w:r>
      <w:r>
        <w:rPr>
          <w:rFonts w:hint="eastAsia" w:ascii="Times New Roman" w:hAnsi="Times New Roman" w:eastAsia="宋体" w:cs="Times New Roman"/>
          <w:color w:val="auto"/>
          <w:sz w:val="24"/>
          <w:lang w:val="en-US" w:eastAsia="zh-CN"/>
        </w:rPr>
        <w:t>农业区</w:t>
      </w:r>
      <w:r>
        <w:rPr>
          <w:rFonts w:hint="default" w:ascii="Times New Roman" w:hAnsi="Times New Roman" w:eastAsia="宋体" w:cs="Times New Roman"/>
          <w:color w:val="auto"/>
          <w:sz w:val="24"/>
        </w:rPr>
        <w:t>，项目区周边以农田居多</w:t>
      </w:r>
      <w:r>
        <w:rPr>
          <w:rFonts w:hint="eastAsia" w:ascii="Times New Roman" w:hAnsi="Times New Roman" w:eastAsia="宋体" w:cs="Times New Roman"/>
          <w:color w:val="auto"/>
          <w:sz w:val="24"/>
          <w:lang w:eastAsia="zh-CN"/>
        </w:rPr>
        <w:t>。</w:t>
      </w:r>
      <w:r>
        <w:rPr>
          <w:rFonts w:hint="eastAsia" w:cs="Times New Roman"/>
          <w:color w:val="auto"/>
          <w:sz w:val="24"/>
          <w:lang w:val="en-US" w:eastAsia="zh-CN"/>
        </w:rPr>
        <w:t>周边农田</w:t>
      </w:r>
      <w:r>
        <w:rPr>
          <w:rFonts w:hint="default" w:ascii="Times New Roman" w:hAnsi="Times New Roman" w:eastAsia="宋体" w:cs="Times New Roman"/>
          <w:color w:val="auto"/>
          <w:sz w:val="24"/>
          <w:lang w:val="zh-CN" w:eastAsia="zh-CN"/>
        </w:rPr>
        <w:t>种植作物</w:t>
      </w:r>
      <w:r>
        <w:rPr>
          <w:rFonts w:hint="eastAsia" w:cs="Times New Roman"/>
          <w:color w:val="auto"/>
          <w:sz w:val="24"/>
          <w:lang w:val="en-US" w:eastAsia="zh-CN"/>
        </w:rPr>
        <w:t>主要</w:t>
      </w:r>
      <w:r>
        <w:rPr>
          <w:rFonts w:hint="default" w:ascii="Times New Roman" w:hAnsi="Times New Roman" w:eastAsia="宋体" w:cs="Times New Roman"/>
          <w:color w:val="auto"/>
          <w:sz w:val="24"/>
          <w:lang w:val="zh-CN" w:eastAsia="zh-CN"/>
        </w:rPr>
        <w:t>为</w:t>
      </w:r>
      <w:r>
        <w:rPr>
          <w:rFonts w:hint="eastAsia" w:cs="Times New Roman"/>
          <w:color w:val="auto"/>
          <w:sz w:val="24"/>
          <w:lang w:val="en-US" w:eastAsia="zh-CN"/>
        </w:rPr>
        <w:t>棉花</w:t>
      </w:r>
      <w:r>
        <w:rPr>
          <w:rFonts w:hint="default" w:ascii="Times New Roman" w:hAnsi="Times New Roman" w:eastAsia="宋体" w:cs="Times New Roman"/>
          <w:color w:val="auto"/>
          <w:sz w:val="24"/>
          <w:lang w:val="zh-CN" w:eastAsia="zh-CN"/>
        </w:rPr>
        <w:t>，作物均为一年一收</w:t>
      </w:r>
      <w:r>
        <w:rPr>
          <w:rFonts w:hint="eastAsia" w:ascii="Times New Roman" w:hAnsi="Times New Roman" w:eastAsia="宋体" w:cs="Times New Roman"/>
          <w:color w:val="auto"/>
          <w:sz w:val="24"/>
          <w:lang w:val="zh-CN" w:eastAsia="zh-CN"/>
        </w:rPr>
        <w:t>。</w:t>
      </w:r>
      <w:r>
        <w:rPr>
          <w:rFonts w:hint="eastAsia" w:ascii="Times New Roman" w:hAnsi="Times New Roman" w:eastAsia="宋体" w:cs="Times New Roman"/>
          <w:color w:val="auto"/>
          <w:sz w:val="24"/>
          <w:lang w:eastAsia="zh-CN"/>
        </w:rPr>
        <w:t>人工种植林木，主要为杨树、榆树、柳树等</w:t>
      </w:r>
      <w:r>
        <w:rPr>
          <w:rFonts w:hint="default" w:ascii="Times New Roman" w:hAnsi="Times New Roman" w:eastAsia="宋体" w:cs="Times New Roman"/>
          <w:color w:val="auto"/>
          <w:sz w:val="24"/>
        </w:rPr>
        <w:t>。根据现场踏勘，项目区</w:t>
      </w:r>
      <w:r>
        <w:rPr>
          <w:rFonts w:hint="eastAsia" w:cs="Times New Roman"/>
          <w:color w:val="auto"/>
          <w:sz w:val="24"/>
          <w:lang w:val="en-US" w:eastAsia="zh-CN"/>
        </w:rPr>
        <w:t>周边</w:t>
      </w:r>
      <w:r>
        <w:rPr>
          <w:rFonts w:hint="default" w:ascii="Times New Roman" w:hAnsi="Times New Roman" w:eastAsia="宋体" w:cs="Times New Roman"/>
          <w:color w:val="auto"/>
          <w:sz w:val="24"/>
        </w:rPr>
        <w:t>地表自然植被主要为</w:t>
      </w:r>
      <w:r>
        <w:rPr>
          <w:rFonts w:hint="eastAsia" w:ascii="Times New Roman" w:hAnsi="Times New Roman" w:eastAsia="宋体" w:cs="Times New Roman"/>
          <w:color w:val="auto"/>
          <w:sz w:val="24"/>
          <w:lang w:val="en-US" w:eastAsia="zh-CN"/>
        </w:rPr>
        <w:t>芨芨草、猪毛菜</w:t>
      </w:r>
      <w:r>
        <w:rPr>
          <w:rFonts w:hint="default" w:ascii="Times New Roman" w:hAnsi="Times New Roman" w:eastAsia="宋体" w:cs="Times New Roman"/>
          <w:color w:val="auto"/>
          <w:sz w:val="24"/>
        </w:rPr>
        <w:t>等</w:t>
      </w:r>
      <w:r>
        <w:rPr>
          <w:rFonts w:hint="default" w:ascii="Times New Roman" w:hAnsi="Times New Roman" w:eastAsia="宋体" w:cs="Times New Roman"/>
          <w:color w:val="auto"/>
          <w:sz w:val="24"/>
          <w:lang w:val="zh-CN" w:eastAsia="zh-CN"/>
        </w:rPr>
        <w:t>。</w:t>
      </w:r>
      <w:r>
        <w:rPr>
          <w:rFonts w:hint="eastAsia" w:cs="Times New Roman"/>
          <w:color w:val="auto"/>
          <w:sz w:val="24"/>
          <w:lang w:val="en-US" w:eastAsia="zh-CN"/>
        </w:rPr>
        <w:t>由于本项目所在项目区已建成，</w:t>
      </w:r>
      <w:r>
        <w:rPr>
          <w:rFonts w:hint="default" w:ascii="Times New Roman" w:hAnsi="Times New Roman" w:eastAsia="宋体" w:cs="Times New Roman"/>
          <w:color w:val="auto"/>
          <w:sz w:val="24"/>
          <w:lang w:val="en-US" w:eastAsia="zh-CN"/>
        </w:rPr>
        <w:t>根据</w:t>
      </w:r>
      <w:r>
        <w:rPr>
          <w:rFonts w:hint="default" w:ascii="Times New Roman" w:hAnsi="Times New Roman" w:eastAsia="宋体" w:cs="Times New Roman"/>
          <w:color w:val="auto"/>
          <w:sz w:val="24"/>
        </w:rPr>
        <w:t>现场踏勘</w:t>
      </w:r>
      <w:r>
        <w:rPr>
          <w:rFonts w:hint="default" w:ascii="Times New Roman" w:hAnsi="Times New Roman" w:eastAsia="宋体" w:cs="Times New Roman"/>
          <w:color w:val="auto"/>
          <w:sz w:val="24"/>
          <w:lang w:val="en-US" w:eastAsia="zh-CN"/>
        </w:rPr>
        <w:t>，项目区</w:t>
      </w:r>
      <w:r>
        <w:rPr>
          <w:rFonts w:hint="eastAsia" w:cs="Times New Roman"/>
          <w:color w:val="auto"/>
          <w:sz w:val="24"/>
          <w:lang w:val="en-US" w:eastAsia="zh-CN"/>
        </w:rPr>
        <w:t>内</w:t>
      </w:r>
      <w:r>
        <w:rPr>
          <w:rFonts w:hint="default" w:ascii="Times New Roman" w:hAnsi="Times New Roman" w:eastAsia="宋体" w:cs="Times New Roman"/>
          <w:color w:val="auto"/>
          <w:sz w:val="24"/>
          <w:lang w:val="en-US" w:eastAsia="zh-CN"/>
        </w:rPr>
        <w:t>植被覆盖度为</w:t>
      </w:r>
      <w:r>
        <w:rPr>
          <w:rFonts w:hint="eastAsia" w:cs="Times New Roman"/>
          <w:color w:val="auto"/>
          <w:sz w:val="24"/>
          <w:lang w:val="en-US" w:eastAsia="zh-CN"/>
        </w:rPr>
        <w:t>5</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左右</w:t>
      </w:r>
      <w:r>
        <w:rPr>
          <w:rFonts w:hint="default" w:ascii="Times New Roman" w:hAnsi="Times New Roman" w:eastAsia="宋体" w:cs="Times New Roman"/>
          <w:color w:val="auto"/>
          <w:sz w:val="24"/>
          <w:lang w:val="en-US" w:eastAsia="zh-CN"/>
        </w:rPr>
        <w:t>。</w:t>
      </w:r>
    </w:p>
    <w:p w14:paraId="6C23AC19">
      <w:pPr>
        <w:keepNext w:val="0"/>
        <w:keepLines w:val="0"/>
        <w:pageBreakBefore w:val="0"/>
        <w:widowControl w:val="0"/>
        <w:wordWrap/>
        <w:topLinePunct w:val="0"/>
        <w:bidi w:val="0"/>
        <w:spacing w:line="360" w:lineRule="auto"/>
        <w:jc w:val="both"/>
        <w:outlineLvl w:val="3"/>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4.</w:t>
      </w:r>
      <w:r>
        <w:rPr>
          <w:rFonts w:hint="eastAsia" w:ascii="Times New Roman" w:hAnsi="Times New Roman" w:eastAsia="宋体" w:cs="Times New Roman"/>
          <w:b/>
          <w:color w:val="auto"/>
          <w:kern w:val="2"/>
          <w:sz w:val="24"/>
          <w:szCs w:val="24"/>
          <w:lang w:val="en-US" w:eastAsia="zh-CN" w:bidi="ar-SA"/>
        </w:rPr>
        <w:t>2</w:t>
      </w:r>
      <w:r>
        <w:rPr>
          <w:rFonts w:hint="default" w:ascii="Times New Roman" w:hAnsi="Times New Roman" w:eastAsia="宋体" w:cs="Times New Roman"/>
          <w:b/>
          <w:color w:val="auto"/>
          <w:kern w:val="2"/>
          <w:sz w:val="24"/>
          <w:szCs w:val="24"/>
          <w:lang w:val="en-US" w:eastAsia="zh-CN" w:bidi="ar-SA"/>
        </w:rPr>
        <w:t>.</w:t>
      </w:r>
      <w:r>
        <w:rPr>
          <w:rFonts w:hint="eastAsia" w:ascii="Times New Roman" w:hAnsi="Times New Roman" w:eastAsia="宋体" w:cs="Times New Roman"/>
          <w:b/>
          <w:color w:val="auto"/>
          <w:kern w:val="2"/>
          <w:sz w:val="24"/>
          <w:szCs w:val="24"/>
          <w:lang w:val="en-US" w:eastAsia="zh-CN" w:bidi="ar-SA"/>
        </w:rPr>
        <w:t>5</w:t>
      </w:r>
      <w:r>
        <w:rPr>
          <w:rFonts w:hint="default" w:ascii="Times New Roman" w:hAnsi="Times New Roman" w:eastAsia="宋体" w:cs="Times New Roman"/>
          <w:b/>
          <w:color w:val="auto"/>
          <w:kern w:val="2"/>
          <w:sz w:val="24"/>
          <w:szCs w:val="24"/>
          <w:lang w:val="en-US" w:eastAsia="zh-CN" w:bidi="ar-SA"/>
        </w:rPr>
        <w:t>.</w:t>
      </w:r>
      <w:r>
        <w:rPr>
          <w:rFonts w:hint="eastAsia"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野生动物现状调查</w:t>
      </w:r>
    </w:p>
    <w:p w14:paraId="08EDCF14">
      <w:pPr>
        <w:keepNext w:val="0"/>
        <w:keepLines w:val="0"/>
        <w:pageBreakBefore w:val="0"/>
        <w:widowControl w:val="0"/>
        <w:kinsoku/>
        <w:wordWrap/>
        <w:overflowPunct/>
        <w:topLinePunct w:val="0"/>
        <w:autoSpaceDE w:val="0"/>
        <w:autoSpaceDN w:val="0"/>
        <w:bidi w:val="0"/>
        <w:adjustRightInd/>
        <w:snapToGrid/>
        <w:spacing w:beforeAutospacing="0" w:afterAutospacing="0" w:line="360" w:lineRule="auto"/>
        <w:ind w:firstLine="480" w:firstLineChars="200"/>
        <w:jc w:val="left"/>
        <w:textAlignment w:val="auto"/>
        <w:rPr>
          <w:rFonts w:hint="eastAsia" w:eastAsia="宋体" w:cs="Times New Roman"/>
          <w:color w:val="auto"/>
          <w:sz w:val="24"/>
          <w:lang w:eastAsia="zh-CN"/>
        </w:rPr>
      </w:pPr>
      <w:r>
        <w:rPr>
          <w:rFonts w:hint="default" w:ascii="Times New Roman" w:hAnsi="Times New Roman" w:eastAsia="宋体" w:cs="Times New Roman"/>
          <w:color w:val="auto"/>
          <w:sz w:val="24"/>
        </w:rPr>
        <w:t>据《中国动物地理》动物地理区划标准，拟建项目区域动物区系属蒙新区的西部荒漠亚区中的准噶尔盆地小区，属于</w:t>
      </w:r>
      <w:r>
        <w:rPr>
          <w:rFonts w:hint="eastAsia" w:eastAsia="宋体" w:cs="Times New Roman"/>
          <w:color w:val="auto"/>
          <w:sz w:val="24"/>
          <w:lang w:eastAsia="zh-CN"/>
        </w:rPr>
        <w:t>荒漠动物群，在兽类中以啮齿类和有蹄类动物繁盛为特征，群聚性种类数量分布的区域性变化大。</w:t>
      </w:r>
    </w:p>
    <w:p w14:paraId="7AA975E8">
      <w:pPr>
        <w:keepNext w:val="0"/>
        <w:keepLines w:val="0"/>
        <w:pageBreakBefore w:val="0"/>
        <w:widowControl w:val="0"/>
        <w:kinsoku/>
        <w:wordWrap/>
        <w:overflowPunct/>
        <w:topLinePunct w:val="0"/>
        <w:autoSpaceDE w:val="0"/>
        <w:autoSpaceDN w:val="0"/>
        <w:bidi w:val="0"/>
        <w:adjustRightInd/>
        <w:snapToGrid/>
        <w:spacing w:beforeAutospacing="0" w:afterAutospacing="0" w:line="360" w:lineRule="auto"/>
        <w:ind w:firstLine="480" w:firstLineChars="200"/>
        <w:jc w:val="left"/>
        <w:textAlignment w:val="auto"/>
        <w:rPr>
          <w:rFonts w:hint="eastAsia" w:eastAsia="宋体" w:cs="Times New Roman"/>
          <w:color w:val="auto"/>
          <w:sz w:val="24"/>
          <w:lang w:eastAsia="zh-CN"/>
        </w:rPr>
      </w:pPr>
      <w:r>
        <w:rPr>
          <w:rFonts w:hint="eastAsia" w:eastAsia="宋体" w:cs="Times New Roman"/>
          <w:color w:val="auto"/>
          <w:sz w:val="24"/>
          <w:lang w:eastAsia="zh-CN"/>
        </w:rPr>
        <w:t>准噶尔盆地啮齿动物群</w:t>
      </w:r>
      <w:r>
        <w:rPr>
          <w:rFonts w:hint="eastAsia" w:cs="Times New Roman"/>
          <w:color w:val="auto"/>
          <w:sz w:val="24"/>
          <w:lang w:eastAsia="zh-CN"/>
        </w:rPr>
        <w:t>落根</w:t>
      </w:r>
      <w:r>
        <w:rPr>
          <w:rFonts w:hint="eastAsia" w:eastAsia="宋体" w:cs="Times New Roman"/>
          <w:color w:val="auto"/>
          <w:sz w:val="24"/>
          <w:lang w:eastAsia="zh-CN"/>
        </w:rPr>
        <w:t>据调查可划分为：①以灰仓鼠</w:t>
      </w:r>
      <w:r>
        <w:rPr>
          <w:rFonts w:hint="eastAsia" w:eastAsia="宋体" w:cs="Times New Roman"/>
          <w:color w:val="auto"/>
          <w:sz w:val="24"/>
          <w:lang w:val="en-US" w:eastAsia="zh-CN"/>
        </w:rPr>
        <w:t>+</w:t>
      </w:r>
      <w:r>
        <w:rPr>
          <w:rFonts w:hint="eastAsia" w:eastAsia="宋体" w:cs="Times New Roman"/>
          <w:color w:val="auto"/>
          <w:sz w:val="24"/>
          <w:lang w:eastAsia="zh-CN"/>
        </w:rPr>
        <w:t>小家鼠为主的农田鼠类群落；②以红尾沙鼠+灰仓鼠为主的砾石荒漠鼠类群落；③以褐家鼠（Rattus</w:t>
      </w:r>
      <w:r>
        <w:rPr>
          <w:rFonts w:hint="eastAsia" w:eastAsia="宋体" w:cs="Times New Roman"/>
          <w:color w:val="auto"/>
          <w:sz w:val="24"/>
          <w:lang w:val="en-US" w:eastAsia="zh-CN"/>
        </w:rPr>
        <w:t xml:space="preserve"> </w:t>
      </w:r>
      <w:r>
        <w:rPr>
          <w:rFonts w:hint="eastAsia" w:eastAsia="宋体" w:cs="Times New Roman"/>
          <w:color w:val="auto"/>
          <w:sz w:val="24"/>
          <w:lang w:eastAsia="zh-CN"/>
        </w:rPr>
        <w:t>norvegicus）</w:t>
      </w:r>
      <w:r>
        <w:rPr>
          <w:rFonts w:hint="eastAsia" w:eastAsia="宋体" w:cs="Times New Roman"/>
          <w:color w:val="auto"/>
          <w:sz w:val="24"/>
          <w:lang w:val="en-US" w:eastAsia="zh-CN"/>
        </w:rPr>
        <w:t>+</w:t>
      </w:r>
      <w:r>
        <w:rPr>
          <w:rFonts w:hint="eastAsia" w:eastAsia="宋体" w:cs="Times New Roman"/>
          <w:color w:val="auto"/>
          <w:sz w:val="24"/>
          <w:lang w:eastAsia="zh-CN"/>
        </w:rPr>
        <w:t>小家鼠为主的城镇居民点鼠类群落；④以子午沙鼠</w:t>
      </w:r>
      <w:r>
        <w:rPr>
          <w:rFonts w:hint="eastAsia" w:eastAsia="宋体" w:cs="Times New Roman"/>
          <w:color w:val="auto"/>
          <w:sz w:val="24"/>
          <w:lang w:val="en-US" w:eastAsia="zh-CN"/>
        </w:rPr>
        <w:t>+</w:t>
      </w:r>
      <w:r>
        <w:rPr>
          <w:rFonts w:hint="eastAsia" w:eastAsia="宋体" w:cs="Times New Roman"/>
          <w:color w:val="auto"/>
          <w:sz w:val="24"/>
          <w:lang w:eastAsia="zh-CN"/>
        </w:rPr>
        <w:t>三趾跳鼠为主的梭梭荒漠鼠类群落。随着人类经济活动的增长，农田的大量开垦和新兴市镇的涌现使得原来以沙鼠属（Meriones）和跳鼠科（Dipodidae）为主要成分的荒鼠类群落逐渐被喜潮湿的灰仓鼠和小家鼠所替代，有些地区还出现了以褐家鼠为主的分布新格局。有蹄类中最普遍的是鹅喉羚，常3~5或十数只成群，活动于砾质和土质戈壁。野驴于偏僻地区常结成10</w:t>
      </w:r>
      <w:r>
        <w:rPr>
          <w:rFonts w:hint="eastAsia" w:cs="Times New Roman"/>
          <w:color w:val="auto"/>
          <w:sz w:val="24"/>
          <w:lang w:eastAsia="zh-CN"/>
        </w:rPr>
        <w:t>～</w:t>
      </w:r>
      <w:r>
        <w:rPr>
          <w:rFonts w:hint="eastAsia" w:eastAsia="宋体" w:cs="Times New Roman"/>
          <w:color w:val="auto"/>
          <w:sz w:val="24"/>
          <w:lang w:eastAsia="zh-CN"/>
        </w:rPr>
        <w:t>20头的小群，在准尔北部和柴达木西北比较常见。食肉兽中最常见的是狐、沙狐、虎鼬、荒漠猫（Felis bieti）和狼。</w:t>
      </w:r>
    </w:p>
    <w:p w14:paraId="0D10FBF9">
      <w:pPr>
        <w:keepNext w:val="0"/>
        <w:keepLines w:val="0"/>
        <w:pageBreakBefore w:val="0"/>
        <w:widowControl w:val="0"/>
        <w:kinsoku/>
        <w:wordWrap/>
        <w:overflowPunct/>
        <w:topLinePunct w:val="0"/>
        <w:autoSpaceDE w:val="0"/>
        <w:autoSpaceDN w:val="0"/>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荒漠、半荒漠开阔地带，鸟类十分稀少，最常见的是沙䳭、白顶䳭</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O.hispani-ca</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、凤头百灵、角百灵、短趾沙百灵</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Calandrella</w:t>
      </w:r>
      <w:r>
        <w:rPr>
          <w:rFonts w:hint="eastAsia" w:ascii="Times New Roman" w:hAnsi="Times New Roman" w:eastAsia="宋体" w:cs="Times New Roman"/>
          <w:color w:val="auto"/>
          <w:sz w:val="24"/>
          <w:lang w:val="en-US" w:eastAsia="zh-CN"/>
        </w:rPr>
        <w:t xml:space="preserve"> </w:t>
      </w:r>
      <w:r>
        <w:rPr>
          <w:rFonts w:hint="default" w:ascii="Times New Roman" w:hAnsi="Times New Roman" w:eastAsia="宋体" w:cs="Times New Roman"/>
          <w:color w:val="auto"/>
          <w:sz w:val="24"/>
        </w:rPr>
        <w:t>cinerea</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、漠䳭</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0.deserti</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和白尾地鸦等，其中凤头百灵是比较普遍的优势种，但经常在0.5</w:t>
      </w:r>
      <w:r>
        <w:rPr>
          <w:rFonts w:hint="eastAsia" w:cs="Times New Roman"/>
          <w:color w:val="auto"/>
          <w:sz w:val="24"/>
          <w:lang w:eastAsia="zh-CN"/>
        </w:rPr>
        <w:t>～</w:t>
      </w:r>
      <w:r>
        <w:rPr>
          <w:rFonts w:hint="default" w:ascii="Times New Roman" w:hAnsi="Times New Roman" w:eastAsia="宋体" w:cs="Times New Roman"/>
          <w:color w:val="auto"/>
          <w:sz w:val="24"/>
        </w:rPr>
        <w:t>1.0km才能遇见1</w:t>
      </w:r>
      <w:r>
        <w:rPr>
          <w:rFonts w:hint="eastAsia" w:cs="Times New Roman"/>
          <w:color w:val="auto"/>
          <w:sz w:val="24"/>
          <w:lang w:eastAsia="zh-CN"/>
        </w:rPr>
        <w:t>～</w:t>
      </w:r>
      <w:r>
        <w:rPr>
          <w:rFonts w:hint="default" w:ascii="Times New Roman" w:hAnsi="Times New Roman" w:eastAsia="宋体" w:cs="Times New Roman"/>
          <w:color w:val="auto"/>
          <w:sz w:val="24"/>
        </w:rPr>
        <w:t>2只</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有时几十公里不见1只。接近山及河谷地区有毛腿沙鸡、黑腹沙鸡</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Pierocles oricntalis</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、岩鸽、原鸽</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C.livia</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和斑鸠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Streptopelia spp.</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等。还有一些鸟类，它们的分布在本区</w:t>
      </w:r>
      <w:r>
        <w:rPr>
          <w:rFonts w:hint="eastAsia" w:cs="Times New Roman"/>
          <w:color w:val="auto"/>
          <w:sz w:val="24"/>
          <w:lang w:eastAsia="zh-CN"/>
        </w:rPr>
        <w:t>仅限于北亚区</w:t>
      </w:r>
      <w:r>
        <w:rPr>
          <w:rFonts w:hint="default" w:ascii="Times New Roman" w:hAnsi="Times New Roman" w:eastAsia="宋体" w:cs="Times New Roman"/>
          <w:color w:val="auto"/>
          <w:sz w:val="24"/>
        </w:rPr>
        <w:t>，如黑顶麻雀、巨嘴沙雀</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Rhodopechysobsoleta</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、铁嘴沙鸻</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Charadriusleschenaultii</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林</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驾</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Sylvia nana</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等。</w:t>
      </w:r>
    </w:p>
    <w:p w14:paraId="3E0DE13B">
      <w:pPr>
        <w:keepNext w:val="0"/>
        <w:keepLines w:val="0"/>
        <w:pageBreakBefore w:val="0"/>
        <w:widowControl w:val="0"/>
        <w:kinsoku/>
        <w:wordWrap/>
        <w:overflowPunct/>
        <w:topLinePunct w:val="0"/>
        <w:autoSpaceDE w:val="0"/>
        <w:autoSpaceDN w:val="0"/>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蜥蜴的种类和数量都甚为丰富，特别是沙丘地带。在本亚区有沙蜥</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Phrynocephalus</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10多种，鬣蜥</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Agama</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4种，沙虎</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Teratoscincus</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4种，林虎</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Alsophylax</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2种，</w:t>
      </w:r>
      <w:r>
        <w:rPr>
          <w:rFonts w:hint="eastAsia" w:eastAsia="宋体" w:cs="Times New Roman"/>
          <w:color w:val="auto"/>
          <w:sz w:val="24"/>
          <w:lang w:val="en-US" w:eastAsia="zh-CN"/>
        </w:rPr>
        <w:t>麻蜥</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Eremias</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4种。</w:t>
      </w:r>
    </w:p>
    <w:p w14:paraId="5106193B">
      <w:pPr>
        <w:keepNext w:val="0"/>
        <w:keepLines w:val="0"/>
        <w:pageBreakBefore w:val="0"/>
        <w:widowControl w:val="0"/>
        <w:kinsoku/>
        <w:wordWrap/>
        <w:overflowPunct/>
        <w:topLinePunct w:val="0"/>
        <w:autoSpaceDE w:val="0"/>
        <w:autoSpaceDN w:val="0"/>
        <w:bidi w:val="0"/>
        <w:adjustRightInd/>
        <w:snapToGrid/>
        <w:spacing w:beforeAutospacing="0" w:afterAutospacing="0" w:line="360" w:lineRule="auto"/>
        <w:ind w:firstLine="480" w:firstLineChars="200"/>
        <w:jc w:val="left"/>
        <w:textAlignment w:val="auto"/>
        <w:rPr>
          <w:rFonts w:hint="eastAsia" w:ascii="Times New Roman" w:hAnsi="Times New Roman" w:eastAsia="宋体" w:cs="Times New Roman"/>
          <w:color w:val="auto"/>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default" w:ascii="Times New Roman" w:hAnsi="Times New Roman" w:eastAsia="宋体" w:cs="Times New Roman"/>
          <w:color w:val="auto"/>
          <w:sz w:val="24"/>
        </w:rPr>
        <w:t>本项目位于</w:t>
      </w:r>
      <w:r>
        <w:rPr>
          <w:rFonts w:hint="eastAsia" w:cs="Times New Roman"/>
          <w:color w:val="000000"/>
          <w:kern w:val="2"/>
          <w:sz w:val="24"/>
          <w:szCs w:val="24"/>
          <w:lang w:val="en-US" w:eastAsia="zh-CN" w:bidi="ar-SA"/>
        </w:rPr>
        <w:t>第七师胡杨河市125团</w:t>
      </w:r>
      <w:r>
        <w:rPr>
          <w:rFonts w:hint="default" w:ascii="Times New Roman" w:hAnsi="Times New Roman" w:eastAsia="宋体" w:cs="Times New Roman"/>
          <w:color w:val="auto"/>
          <w:sz w:val="24"/>
        </w:rPr>
        <w:t>，评价区</w:t>
      </w:r>
      <w:r>
        <w:rPr>
          <w:rFonts w:ascii="Times New Roman" w:hAnsi="Times New Roman" w:eastAsia="宋体"/>
          <w:sz w:val="24"/>
          <w:szCs w:val="24"/>
        </w:rPr>
        <w:t>没有大型的动物出没</w:t>
      </w:r>
      <w:r>
        <w:rPr>
          <w:rFonts w:hint="eastAsia" w:eastAsia="宋体"/>
          <w:sz w:val="24"/>
          <w:szCs w:val="24"/>
          <w:lang w:eastAsia="zh-CN"/>
        </w:rPr>
        <w:t>，</w:t>
      </w:r>
      <w:r>
        <w:rPr>
          <w:rFonts w:hint="default" w:ascii="Times New Roman" w:hAnsi="Times New Roman" w:eastAsia="宋体" w:cs="Times New Roman"/>
          <w:color w:val="auto"/>
          <w:sz w:val="24"/>
        </w:rPr>
        <w:t>野生动物种类及分布均较少，区域内野生动物哺乳类有鼠类</w:t>
      </w:r>
      <w:r>
        <w:rPr>
          <w:rFonts w:hint="eastAsia" w:eastAsia="宋体" w:cs="Times New Roman"/>
          <w:color w:val="auto"/>
          <w:sz w:val="24"/>
          <w:lang w:eastAsia="zh-CN"/>
        </w:rPr>
        <w:t>（子午沙鼠、大沙鼠、小家鼠）</w:t>
      </w:r>
      <w:r>
        <w:rPr>
          <w:rFonts w:hint="default" w:ascii="Times New Roman" w:hAnsi="Times New Roman" w:eastAsia="宋体" w:cs="Times New Roman"/>
          <w:color w:val="auto"/>
          <w:sz w:val="24"/>
        </w:rPr>
        <w:t>、鸟类</w:t>
      </w:r>
      <w:r>
        <w:rPr>
          <w:rFonts w:hint="eastAsia" w:eastAsia="宋体" w:cs="Times New Roman"/>
          <w:color w:val="auto"/>
          <w:sz w:val="24"/>
          <w:lang w:eastAsia="zh-CN"/>
        </w:rPr>
        <w:t>（</w:t>
      </w:r>
      <w:r>
        <w:rPr>
          <w:rFonts w:hint="default" w:ascii="Times New Roman" w:hAnsi="Times New Roman" w:eastAsia="宋体" w:cs="Times New Roman"/>
          <w:color w:val="auto"/>
          <w:sz w:val="24"/>
        </w:rPr>
        <w:t>麻雀</w:t>
      </w:r>
      <w:r>
        <w:rPr>
          <w:rFonts w:hint="eastAsia" w:eastAsia="宋体" w:cs="Times New Roman"/>
          <w:color w:val="auto"/>
          <w:sz w:val="24"/>
          <w:lang w:eastAsia="zh-CN"/>
        </w:rPr>
        <w:t>）</w:t>
      </w:r>
      <w:r>
        <w:rPr>
          <w:rFonts w:hint="eastAsia" w:eastAsia="宋体" w:cs="Times New Roman"/>
          <w:color w:val="auto"/>
          <w:sz w:val="24"/>
          <w:lang w:val="en-US" w:eastAsia="zh-CN"/>
        </w:rPr>
        <w:t>以及</w:t>
      </w:r>
      <w:r>
        <w:rPr>
          <w:rFonts w:hint="default" w:ascii="Times New Roman" w:hAnsi="Times New Roman" w:eastAsia="宋体" w:cs="Times New Roman"/>
          <w:color w:val="auto"/>
          <w:sz w:val="24"/>
        </w:rPr>
        <w:t>蜥蜴</w:t>
      </w:r>
      <w:r>
        <w:rPr>
          <w:rFonts w:hint="eastAsia" w:ascii="Times New Roman" w:hAnsi="Times New Roman" w:eastAsia="宋体" w:cs="Times New Roman"/>
          <w:color w:val="auto"/>
          <w:sz w:val="24"/>
          <w:lang w:eastAsia="zh-CN"/>
        </w:rPr>
        <w:t>（</w:t>
      </w:r>
      <w:r>
        <w:rPr>
          <w:rFonts w:hint="eastAsia" w:eastAsia="宋体" w:cs="Times New Roman"/>
          <w:color w:val="auto"/>
          <w:sz w:val="24"/>
          <w:lang w:val="en-US" w:eastAsia="zh-CN"/>
        </w:rPr>
        <w:t>麻蜥</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等，动物种类和数量较少。评价区内及附近区域未见国家级自治区级保护动物</w:t>
      </w:r>
      <w:r>
        <w:rPr>
          <w:rFonts w:hint="eastAsia" w:ascii="Times New Roman" w:hAnsi="Times New Roman" w:eastAsia="宋体" w:cs="Times New Roman"/>
          <w:color w:val="auto"/>
          <w:sz w:val="24"/>
          <w:lang w:eastAsia="zh-CN"/>
        </w:rPr>
        <w:t>。</w:t>
      </w:r>
    </w:p>
    <w:p w14:paraId="3D25B478">
      <w:pPr>
        <w:widowControl w:val="0"/>
        <w:bidi w:val="0"/>
        <w:snapToGrid w:val="0"/>
        <w:spacing w:line="560" w:lineRule="exact"/>
        <w:ind w:firstLine="0" w:firstLineChars="0"/>
        <w:jc w:val="both"/>
        <w:outlineLvl w:val="0"/>
        <w:rPr>
          <w:rFonts w:hint="default" w:ascii="Times New Roman" w:hAnsi="Times New Roman" w:eastAsia="宋体" w:cs="Times New Roman"/>
          <w:b/>
          <w:kern w:val="44"/>
          <w:sz w:val="32"/>
          <w:szCs w:val="32"/>
          <w:lang w:val="en-US" w:eastAsia="zh-CN" w:bidi="ar-SA"/>
        </w:rPr>
      </w:pPr>
      <w:bookmarkStart w:id="541" w:name="_Toc326566751"/>
      <w:bookmarkStart w:id="542" w:name="_Toc16069"/>
      <w:bookmarkStart w:id="543" w:name="_Toc17881"/>
      <w:bookmarkStart w:id="544" w:name="_Toc4922"/>
      <w:bookmarkStart w:id="545" w:name="_Toc28825"/>
      <w:r>
        <w:rPr>
          <w:rFonts w:hint="default" w:ascii="Times New Roman" w:hAnsi="Times New Roman" w:eastAsia="宋体" w:cs="Times New Roman"/>
          <w:b/>
          <w:kern w:val="44"/>
          <w:sz w:val="32"/>
          <w:szCs w:val="32"/>
          <w:lang w:val="en-US" w:eastAsia="zh-CN" w:bidi="ar-SA"/>
        </w:rPr>
        <w:t>5、环境影响</w:t>
      </w:r>
      <w:bookmarkEnd w:id="541"/>
      <w:r>
        <w:rPr>
          <w:rFonts w:hint="default" w:ascii="Times New Roman" w:hAnsi="Times New Roman" w:eastAsia="宋体" w:cs="Times New Roman"/>
          <w:b/>
          <w:kern w:val="44"/>
          <w:sz w:val="32"/>
          <w:szCs w:val="32"/>
          <w:lang w:val="en-US" w:eastAsia="zh-CN" w:bidi="ar-SA"/>
        </w:rPr>
        <w:t>预测与评价</w:t>
      </w:r>
      <w:bookmarkEnd w:id="542"/>
      <w:bookmarkEnd w:id="543"/>
      <w:bookmarkEnd w:id="544"/>
      <w:bookmarkEnd w:id="545"/>
    </w:p>
    <w:p w14:paraId="2B81C344">
      <w:pPr>
        <w:keepNext w:val="0"/>
        <w:keepLines w:val="0"/>
        <w:widowControl w:val="0"/>
        <w:bidi w:val="0"/>
        <w:spacing w:before="120" w:after="120" w:line="500" w:lineRule="exact"/>
        <w:jc w:val="both"/>
        <w:outlineLvl w:val="1"/>
        <w:rPr>
          <w:rFonts w:hint="default" w:ascii="Times New Roman" w:hAnsi="Times New Roman" w:eastAsia="宋体" w:cs="Times New Roman"/>
          <w:b/>
          <w:bCs/>
          <w:sz w:val="30"/>
          <w:szCs w:val="30"/>
          <w:lang w:val="en-US" w:eastAsia="zh-CN" w:bidi="ar-SA"/>
        </w:rPr>
      </w:pPr>
      <w:bookmarkStart w:id="546" w:name="_Toc24286"/>
      <w:bookmarkStart w:id="547" w:name="_Toc299961771"/>
      <w:bookmarkStart w:id="548" w:name="_Toc18768"/>
      <w:bookmarkStart w:id="549" w:name="_Toc321043923"/>
      <w:bookmarkStart w:id="550" w:name="_Toc310503805"/>
      <w:bookmarkStart w:id="551" w:name="_Toc289360108"/>
      <w:bookmarkStart w:id="552" w:name="_Toc291499412"/>
      <w:bookmarkStart w:id="553" w:name="_Toc27106"/>
      <w:bookmarkStart w:id="554" w:name="_Toc299381545"/>
      <w:bookmarkStart w:id="555" w:name="_Toc1820"/>
      <w:r>
        <w:rPr>
          <w:rFonts w:hint="default" w:ascii="Times New Roman" w:hAnsi="Times New Roman" w:eastAsia="宋体" w:cs="Times New Roman"/>
          <w:b/>
          <w:bCs/>
          <w:sz w:val="30"/>
          <w:szCs w:val="30"/>
          <w:lang w:val="en-US" w:eastAsia="zh-CN" w:bidi="ar-SA"/>
        </w:rPr>
        <w:t>5.1施工期环境影响分析</w:t>
      </w:r>
      <w:bookmarkEnd w:id="546"/>
      <w:bookmarkEnd w:id="547"/>
      <w:bookmarkEnd w:id="548"/>
      <w:bookmarkEnd w:id="549"/>
      <w:bookmarkEnd w:id="550"/>
      <w:bookmarkEnd w:id="551"/>
      <w:bookmarkEnd w:id="552"/>
      <w:bookmarkEnd w:id="553"/>
      <w:bookmarkEnd w:id="554"/>
      <w:bookmarkEnd w:id="555"/>
    </w:p>
    <w:p w14:paraId="324F18C2">
      <w:pPr>
        <w:adjustRightInd w:val="0"/>
        <w:snapToGrid w:val="0"/>
        <w:spacing w:line="520" w:lineRule="exact"/>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rPr>
        <w:t>本项目施工期主要包括基础工程、主体工程、设备安装、装饰工程等工序，其过程主要污染物为施工期厂界范围内的施工扬尘、施工设备燃油废气、施工噪声、施工废水、施工生活废水、施工填方、取土、施工建筑弃土、建筑废渣及施工占地产生的生态环境</w:t>
      </w:r>
      <w:r>
        <w:rPr>
          <w:rFonts w:hint="default" w:ascii="Times New Roman" w:hAnsi="Times New Roman" w:eastAsia="宋体" w:cs="Times New Roman"/>
          <w:color w:val="000000"/>
          <w:kern w:val="0"/>
          <w:sz w:val="24"/>
          <w:szCs w:val="24"/>
          <w:highlight w:val="none"/>
          <w:lang w:val="zh-CN" w:eastAsia="zh-TW"/>
        </w:rPr>
        <w:t>。</w:t>
      </w:r>
    </w:p>
    <w:p w14:paraId="48AEA3C8">
      <w:pPr>
        <w:keepNext w:val="0"/>
        <w:keepLines w:val="0"/>
        <w:widowControl w:val="0"/>
        <w:bidi w:val="0"/>
        <w:spacing w:before="0" w:after="0" w:line="500" w:lineRule="exact"/>
        <w:jc w:val="both"/>
        <w:outlineLvl w:val="2"/>
        <w:rPr>
          <w:rFonts w:hint="default" w:ascii="Times New Roman" w:hAnsi="Times New Roman" w:eastAsia="宋体" w:cs="Times New Roman"/>
          <w:b/>
          <w:bCs/>
          <w:color w:val="auto"/>
          <w:kern w:val="0"/>
          <w:sz w:val="28"/>
          <w:szCs w:val="28"/>
          <w:lang w:val="en-US" w:eastAsia="zh-CN" w:bidi="ar-SA"/>
        </w:rPr>
      </w:pPr>
      <w:bookmarkStart w:id="556" w:name="_Toc190683433"/>
      <w:r>
        <w:rPr>
          <w:rFonts w:hint="default" w:ascii="Times New Roman" w:hAnsi="Times New Roman" w:eastAsia="宋体" w:cs="Times New Roman"/>
          <w:b/>
          <w:bCs/>
          <w:color w:val="auto"/>
          <w:kern w:val="0"/>
          <w:sz w:val="28"/>
          <w:szCs w:val="28"/>
          <w:lang w:val="en-US" w:eastAsia="zh-CN" w:bidi="ar-SA"/>
        </w:rPr>
        <w:t>5.1.1环境空气环境影响分析</w:t>
      </w:r>
    </w:p>
    <w:bookmarkEnd w:id="556"/>
    <w:p w14:paraId="7DC57115">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TW"/>
        </w:rPr>
      </w:pPr>
      <w:r>
        <w:rPr>
          <w:rFonts w:hint="default" w:ascii="Times New Roman" w:hAnsi="Times New Roman" w:eastAsia="宋体" w:cs="Times New Roman"/>
          <w:color w:val="auto"/>
          <w:kern w:val="0"/>
          <w:sz w:val="24"/>
          <w:szCs w:val="24"/>
          <w:lang w:val="zh-TW" w:eastAsia="zh-TW"/>
        </w:rPr>
        <w:t>（</w:t>
      </w:r>
      <w:r>
        <w:rPr>
          <w:rFonts w:hint="default" w:ascii="Times New Roman" w:hAnsi="Times New Roman" w:eastAsia="宋体" w:cs="Times New Roman"/>
          <w:color w:val="auto"/>
          <w:kern w:val="0"/>
          <w:sz w:val="24"/>
          <w:szCs w:val="24"/>
          <w:lang w:val="zh-TW" w:eastAsia="zh-CN"/>
        </w:rPr>
        <w:t>1</w:t>
      </w:r>
      <w:r>
        <w:rPr>
          <w:rFonts w:hint="default" w:ascii="Times New Roman" w:hAnsi="Times New Roman" w:eastAsia="宋体" w:cs="Times New Roman"/>
          <w:color w:val="auto"/>
          <w:kern w:val="0"/>
          <w:sz w:val="24"/>
          <w:szCs w:val="24"/>
          <w:lang w:val="zh-TW" w:eastAsia="zh-TW"/>
        </w:rPr>
        <w:t>）施工扬尘</w:t>
      </w:r>
    </w:p>
    <w:p w14:paraId="0810F1DC">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施工过程中产生的扬尘是对环境空气产生影响的首要因素。由于粉尘污染源多为间歇性分散源，排尘点低，扬尘排放在施工区及其周边距离范围内形成局部污染</w:t>
      </w:r>
      <w:r>
        <w:rPr>
          <w:rFonts w:hint="eastAsia" w:ascii="Times New Roman" w:hAnsi="Times New Roman" w:eastAsia="宋体" w:cs="Times New Roman"/>
          <w:color w:val="auto"/>
          <w:kern w:val="0"/>
          <w:sz w:val="24"/>
          <w:szCs w:val="24"/>
          <w:lang w:val="zh-TW" w:eastAsia="zh-CN"/>
        </w:rPr>
        <w:t>。</w:t>
      </w:r>
      <w:r>
        <w:rPr>
          <w:rFonts w:hint="eastAsia" w:ascii="Times New Roman" w:hAnsi="Times New Roman" w:eastAsia="宋体" w:cs="Times New Roman"/>
          <w:color w:val="auto"/>
          <w:kern w:val="0"/>
          <w:sz w:val="24"/>
          <w:szCs w:val="24"/>
          <w:lang w:val="en-US" w:eastAsia="zh-CN"/>
        </w:rPr>
        <w:t>本项目</w:t>
      </w:r>
      <w:r>
        <w:rPr>
          <w:rFonts w:hint="eastAsia" w:ascii="Times New Roman" w:hAnsi="Times New Roman" w:eastAsia="宋体" w:cs="Times New Roman"/>
          <w:color w:val="auto"/>
          <w:kern w:val="0"/>
          <w:sz w:val="24"/>
          <w:szCs w:val="24"/>
          <w:lang w:val="zh-TW" w:eastAsia="zh-CN"/>
        </w:rPr>
        <w:t>施工期的扬尘主要是车辆行驶扬尘和堆场扬尘。</w:t>
      </w:r>
    </w:p>
    <w:p w14:paraId="32DE7D94">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①车辆行驶扬尘</w:t>
      </w:r>
    </w:p>
    <w:p w14:paraId="66E28C31">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根据有关文献资料，在施工过程中，车辆行驶产生的扬尘占总扬尘的60%以上。车辆行驶产生的扬尘，在完全干燥的情况下，可按下列经验公</w:t>
      </w:r>
      <w:r>
        <w:rPr>
          <w:rFonts w:hint="eastAsia" w:cs="Times New Roman"/>
          <w:color w:val="auto"/>
          <w:kern w:val="0"/>
          <w:sz w:val="24"/>
          <w:szCs w:val="24"/>
          <w:lang w:val="zh-TW" w:eastAsia="zh-CN"/>
        </w:rPr>
        <w:t>式</w:t>
      </w:r>
      <w:r>
        <w:rPr>
          <w:rFonts w:hint="default" w:ascii="Times New Roman" w:hAnsi="Times New Roman" w:eastAsia="宋体" w:cs="Times New Roman"/>
          <w:color w:val="auto"/>
          <w:kern w:val="0"/>
          <w:sz w:val="24"/>
          <w:szCs w:val="24"/>
          <w:lang w:val="zh-TW" w:eastAsia="zh-CN"/>
        </w:rPr>
        <w:t>进行计算</w:t>
      </w:r>
      <w:r>
        <w:rPr>
          <w:rFonts w:hint="eastAsia" w:ascii="Times New Roman" w:hAnsi="Times New Roman" w:eastAsia="宋体" w:cs="Times New Roman"/>
          <w:color w:val="auto"/>
          <w:kern w:val="0"/>
          <w:sz w:val="24"/>
          <w:szCs w:val="24"/>
          <w:lang w:val="zh-TW" w:eastAsia="zh-CN"/>
        </w:rPr>
        <w:t>。</w:t>
      </w:r>
    </w:p>
    <w:p w14:paraId="65C58B2E">
      <w:pPr>
        <w:spacing w:line="360" w:lineRule="auto"/>
        <w:jc w:val="center"/>
        <w:rPr>
          <w:rFonts w:ascii="Times New Roman" w:hAnsi="Times New Roman" w:eastAsia="宋体" w:cs="Times New Roman"/>
          <w:szCs w:val="22"/>
        </w:rPr>
      </w:pPr>
      <w:r>
        <w:rPr>
          <w:rFonts w:ascii="Times New Roman" w:hAnsi="Times New Roman" w:eastAsia="Times New Roman" w:cs="Times New Roman"/>
          <w:i/>
          <w:iCs/>
          <w:spacing w:val="-8"/>
          <w:sz w:val="23"/>
          <w:szCs w:val="23"/>
        </w:rPr>
        <w:t>Q</w:t>
      </w:r>
      <w:r>
        <w:rPr>
          <w:rFonts w:ascii="微软雅黑" w:hAnsi="微软雅黑" w:eastAsia="微软雅黑" w:cs="微软雅黑"/>
          <w:spacing w:val="-8"/>
          <w:sz w:val="23"/>
          <w:szCs w:val="23"/>
        </w:rPr>
        <w:t>=</w:t>
      </w:r>
      <w:r>
        <w:rPr>
          <w:rFonts w:ascii="Times New Roman" w:hAnsi="Times New Roman" w:eastAsia="Times New Roman" w:cs="Times New Roman"/>
          <w:spacing w:val="-8"/>
          <w:sz w:val="23"/>
          <w:szCs w:val="23"/>
        </w:rPr>
        <w:t>0.123</w:t>
      </w:r>
      <w:r>
        <w:rPr>
          <w:rFonts w:hint="eastAsia" w:ascii="微软雅黑" w:hAnsi="微软雅黑" w:eastAsia="微软雅黑" w:cs="微软雅黑"/>
          <w:spacing w:val="-8"/>
          <w:sz w:val="31"/>
          <w:szCs w:val="31"/>
          <w:lang w:eastAsia="zh-CN"/>
        </w:rPr>
        <w:t>（</w:t>
      </w:r>
      <w:r>
        <w:rPr>
          <w:rFonts w:ascii="Times New Roman" w:hAnsi="Times New Roman" w:eastAsia="Times New Roman" w:cs="Times New Roman"/>
          <w:i/>
          <w:iCs/>
          <w:spacing w:val="-8"/>
          <w:sz w:val="23"/>
          <w:szCs w:val="23"/>
        </w:rPr>
        <w:t>V</w:t>
      </w:r>
      <w:r>
        <w:rPr>
          <w:rFonts w:ascii="Times New Roman" w:hAnsi="Times New Roman" w:eastAsia="Times New Roman" w:cs="Times New Roman"/>
          <w:spacing w:val="-8"/>
          <w:sz w:val="23"/>
          <w:szCs w:val="23"/>
        </w:rPr>
        <w:t>/5</w:t>
      </w:r>
      <w:r>
        <w:rPr>
          <w:rFonts w:hint="eastAsia" w:ascii="微软雅黑" w:hAnsi="微软雅黑" w:eastAsia="微软雅黑" w:cs="微软雅黑"/>
          <w:spacing w:val="-8"/>
          <w:sz w:val="31"/>
          <w:szCs w:val="31"/>
          <w:lang w:eastAsia="zh-CN"/>
        </w:rPr>
        <w:t>）（</w:t>
      </w:r>
      <w:r>
        <w:rPr>
          <w:rFonts w:ascii="Times New Roman" w:hAnsi="Times New Roman" w:eastAsia="Times New Roman" w:cs="Times New Roman"/>
          <w:i/>
          <w:iCs/>
          <w:spacing w:val="-8"/>
          <w:sz w:val="23"/>
          <w:szCs w:val="23"/>
        </w:rPr>
        <w:t>W</w:t>
      </w:r>
      <w:r>
        <w:rPr>
          <w:rFonts w:ascii="Times New Roman" w:hAnsi="Times New Roman" w:eastAsia="Times New Roman" w:cs="Times New Roman"/>
          <w:spacing w:val="-8"/>
          <w:sz w:val="23"/>
          <w:szCs w:val="23"/>
        </w:rPr>
        <w:t>/6.8</w:t>
      </w:r>
      <w:r>
        <w:rPr>
          <w:rFonts w:hint="eastAsia" w:ascii="微软雅黑" w:hAnsi="微软雅黑" w:eastAsia="微软雅黑" w:cs="微软雅黑"/>
          <w:spacing w:val="-8"/>
          <w:sz w:val="31"/>
          <w:szCs w:val="31"/>
          <w:lang w:eastAsia="zh-CN"/>
        </w:rPr>
        <w:t>）</w:t>
      </w:r>
      <w:r>
        <w:rPr>
          <w:rFonts w:ascii="Times New Roman" w:hAnsi="Times New Roman" w:eastAsia="Times New Roman" w:cs="Times New Roman"/>
          <w:spacing w:val="5"/>
          <w:position w:val="11"/>
          <w:sz w:val="13"/>
          <w:szCs w:val="13"/>
        </w:rPr>
        <w:t>0.85</w:t>
      </w:r>
      <w:r>
        <w:rPr>
          <w:rFonts w:hint="eastAsia" w:ascii="微软雅黑" w:hAnsi="微软雅黑" w:eastAsia="微软雅黑" w:cs="微软雅黑"/>
          <w:spacing w:val="-3"/>
          <w:sz w:val="31"/>
          <w:szCs w:val="31"/>
          <w:lang w:eastAsia="zh-CN"/>
        </w:rPr>
        <w:t>（</w:t>
      </w:r>
      <w:r>
        <w:rPr>
          <w:rFonts w:ascii="Times New Roman" w:hAnsi="Times New Roman" w:eastAsia="Times New Roman" w:cs="Times New Roman"/>
          <w:i/>
          <w:iCs/>
          <w:spacing w:val="-3"/>
          <w:sz w:val="23"/>
          <w:szCs w:val="23"/>
        </w:rPr>
        <w:t>P</w:t>
      </w:r>
      <w:r>
        <w:rPr>
          <w:rFonts w:ascii="Times New Roman" w:hAnsi="Times New Roman" w:eastAsia="Times New Roman" w:cs="Times New Roman"/>
          <w:spacing w:val="-3"/>
          <w:sz w:val="23"/>
          <w:szCs w:val="23"/>
        </w:rPr>
        <w:t>/0.5</w:t>
      </w:r>
      <w:r>
        <w:rPr>
          <w:rFonts w:hint="eastAsia" w:ascii="微软雅黑" w:hAnsi="微软雅黑" w:eastAsia="微软雅黑" w:cs="微软雅黑"/>
          <w:spacing w:val="-3"/>
          <w:sz w:val="31"/>
          <w:szCs w:val="31"/>
          <w:lang w:eastAsia="zh-CN"/>
        </w:rPr>
        <w:t>）</w:t>
      </w:r>
      <w:r>
        <w:rPr>
          <w:rFonts w:ascii="Times New Roman" w:hAnsi="Times New Roman" w:eastAsia="Times New Roman" w:cs="Times New Roman"/>
          <w:spacing w:val="-3"/>
          <w:position w:val="11"/>
          <w:sz w:val="13"/>
          <w:szCs w:val="13"/>
        </w:rPr>
        <w:t>0.75</w:t>
      </w:r>
    </w:p>
    <w:p w14:paraId="43CBAB5D">
      <w:pPr>
        <w:keepNext w:val="0"/>
        <w:keepLines w:val="0"/>
        <w:pageBreakBefore w:val="0"/>
        <w:widowControl w:val="0"/>
        <w:kinsoku/>
        <w:wordWrap/>
        <w:overflowPunct/>
        <w:topLinePunct w:val="0"/>
        <w:autoSpaceDE/>
        <w:autoSpaceDN/>
        <w:bidi w:val="0"/>
        <w:adjustRightInd w:val="0"/>
        <w:snapToGrid/>
        <w:spacing w:line="360" w:lineRule="auto"/>
        <w:ind w:left="0" w:firstLine="472" w:firstLineChars="200"/>
        <w:jc w:val="both"/>
        <w:textAlignment w:val="baseline"/>
        <w:rPr>
          <w:rFonts w:hint="default" w:ascii="Times New Roman" w:hAnsi="Times New Roman" w:eastAsia="宋体" w:cs="Times New Roman"/>
          <w:spacing w:val="-2"/>
          <w:position w:val="3"/>
          <w:sz w:val="24"/>
          <w:szCs w:val="24"/>
        </w:rPr>
      </w:pPr>
      <w:r>
        <w:rPr>
          <w:rFonts w:hint="default" w:ascii="Times New Roman" w:hAnsi="Times New Roman" w:eastAsia="宋体" w:cs="Times New Roman"/>
          <w:spacing w:val="-2"/>
          <w:position w:val="3"/>
          <w:sz w:val="24"/>
          <w:szCs w:val="24"/>
        </w:rPr>
        <w:t>式中：Q—汽车行驶的扬尘，kg/km ·辆；</w:t>
      </w:r>
    </w:p>
    <w:p w14:paraId="38451A69">
      <w:pPr>
        <w:keepNext w:val="0"/>
        <w:keepLines w:val="0"/>
        <w:pageBreakBefore w:val="0"/>
        <w:widowControl w:val="0"/>
        <w:kinsoku/>
        <w:wordWrap/>
        <w:overflowPunct/>
        <w:topLinePunct w:val="0"/>
        <w:autoSpaceDE/>
        <w:autoSpaceDN/>
        <w:bidi w:val="0"/>
        <w:adjustRightInd w:val="0"/>
        <w:snapToGrid/>
        <w:spacing w:line="360" w:lineRule="auto"/>
        <w:ind w:left="0" w:firstLine="472" w:firstLineChars="200"/>
        <w:jc w:val="both"/>
        <w:textAlignment w:val="baseline"/>
        <w:rPr>
          <w:rFonts w:hint="default" w:ascii="Times New Roman" w:hAnsi="Times New Roman" w:eastAsia="宋体" w:cs="Times New Roman"/>
          <w:spacing w:val="-2"/>
          <w:position w:val="3"/>
          <w:sz w:val="24"/>
          <w:szCs w:val="24"/>
        </w:rPr>
      </w:pPr>
      <w:r>
        <w:rPr>
          <w:rFonts w:hint="default" w:ascii="Times New Roman" w:hAnsi="Times New Roman" w:eastAsia="宋体" w:cs="Times New Roman"/>
          <w:spacing w:val="-2"/>
          <w:position w:val="3"/>
          <w:sz w:val="24"/>
          <w:szCs w:val="24"/>
        </w:rPr>
        <w:t>V—汽车速度，km/h；</w:t>
      </w:r>
    </w:p>
    <w:p w14:paraId="78221C59">
      <w:pPr>
        <w:keepNext w:val="0"/>
        <w:keepLines w:val="0"/>
        <w:pageBreakBefore w:val="0"/>
        <w:widowControl w:val="0"/>
        <w:kinsoku/>
        <w:wordWrap/>
        <w:overflowPunct/>
        <w:topLinePunct w:val="0"/>
        <w:autoSpaceDE/>
        <w:autoSpaceDN/>
        <w:bidi w:val="0"/>
        <w:adjustRightInd w:val="0"/>
        <w:snapToGrid/>
        <w:spacing w:line="360" w:lineRule="auto"/>
        <w:ind w:left="0" w:firstLine="472" w:firstLineChars="200"/>
        <w:jc w:val="both"/>
        <w:textAlignment w:val="baseline"/>
        <w:rPr>
          <w:rFonts w:hint="default" w:ascii="Times New Roman" w:hAnsi="Times New Roman" w:eastAsia="宋体" w:cs="Times New Roman"/>
          <w:spacing w:val="-2"/>
          <w:position w:val="3"/>
          <w:sz w:val="24"/>
          <w:szCs w:val="24"/>
        </w:rPr>
      </w:pPr>
      <w:r>
        <w:rPr>
          <w:rFonts w:hint="default" w:ascii="Times New Roman" w:hAnsi="Times New Roman" w:eastAsia="宋体" w:cs="Times New Roman"/>
          <w:spacing w:val="-2"/>
          <w:position w:val="3"/>
          <w:sz w:val="24"/>
          <w:szCs w:val="24"/>
        </w:rPr>
        <w:t>W—汽车载重量，吨；</w:t>
      </w:r>
    </w:p>
    <w:p w14:paraId="7885893A">
      <w:pPr>
        <w:keepNext w:val="0"/>
        <w:keepLines w:val="0"/>
        <w:pageBreakBefore w:val="0"/>
        <w:widowControl w:val="0"/>
        <w:kinsoku/>
        <w:wordWrap/>
        <w:overflowPunct/>
        <w:topLinePunct w:val="0"/>
        <w:autoSpaceDE/>
        <w:autoSpaceDN/>
        <w:bidi w:val="0"/>
        <w:adjustRightInd w:val="0"/>
        <w:snapToGrid/>
        <w:spacing w:line="360" w:lineRule="auto"/>
        <w:ind w:left="0" w:firstLine="472"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Times New Roman" w:cs="Times New Roman"/>
          <w:spacing w:val="-2"/>
          <w:position w:val="3"/>
          <w:sz w:val="24"/>
          <w:szCs w:val="24"/>
        </w:rPr>
        <w:t>P</w:t>
      </w:r>
      <w:r>
        <w:rPr>
          <w:rFonts w:hint="default" w:ascii="Times New Roman" w:hAnsi="Times New Roman" w:eastAsia="宋体" w:cs="Times New Roman"/>
          <w:spacing w:val="-2"/>
          <w:position w:val="3"/>
          <w:sz w:val="24"/>
          <w:szCs w:val="24"/>
        </w:rPr>
        <w:t>—道路表面粉尘量，</w:t>
      </w:r>
      <w:r>
        <w:rPr>
          <w:rFonts w:hint="default" w:ascii="Times New Roman" w:hAnsi="Times New Roman" w:eastAsia="Times New Roman" w:cs="Times New Roman"/>
          <w:spacing w:val="-2"/>
          <w:position w:val="3"/>
          <w:sz w:val="24"/>
          <w:szCs w:val="24"/>
        </w:rPr>
        <w:t>kg</w:t>
      </w:r>
      <w:r>
        <w:rPr>
          <w:rFonts w:hint="default" w:ascii="Times New Roman" w:hAnsi="Times New Roman" w:eastAsia="宋体" w:cs="Times New Roman"/>
          <w:spacing w:val="-2"/>
          <w:position w:val="3"/>
          <w:sz w:val="24"/>
          <w:szCs w:val="24"/>
        </w:rPr>
        <w:t>/</w:t>
      </w:r>
      <w:r>
        <w:rPr>
          <w:rFonts w:hint="default" w:ascii="Times New Roman" w:hAnsi="Times New Roman" w:eastAsia="宋体" w:cs="Times New Roman"/>
          <w:spacing w:val="-2"/>
          <w:position w:val="3"/>
          <w:sz w:val="24"/>
          <w:szCs w:val="24"/>
          <w:lang w:val="en-US" w:eastAsia="zh-CN"/>
        </w:rPr>
        <w:t>m</w:t>
      </w:r>
      <w:r>
        <w:rPr>
          <w:rFonts w:hint="default" w:ascii="Times New Roman" w:hAnsi="Times New Roman" w:eastAsia="宋体" w:cs="Times New Roman"/>
          <w:spacing w:val="-2"/>
          <w:position w:val="3"/>
          <w:sz w:val="24"/>
          <w:szCs w:val="24"/>
          <w:vertAlign w:val="superscript"/>
          <w:lang w:val="en-US" w:eastAsia="zh-CN"/>
        </w:rPr>
        <w:t>2</w:t>
      </w:r>
      <w:r>
        <w:rPr>
          <w:rFonts w:hint="default" w:ascii="Times New Roman" w:hAnsi="Times New Roman" w:eastAsia="宋体" w:cs="Times New Roman"/>
          <w:spacing w:val="-2"/>
          <w:position w:val="3"/>
          <w:sz w:val="24"/>
          <w:szCs w:val="24"/>
        </w:rPr>
        <w:t>。</w:t>
      </w:r>
    </w:p>
    <w:p w14:paraId="55243D6B">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表</w:t>
      </w:r>
      <w:r>
        <w:rPr>
          <w:rFonts w:hint="eastAsia" w:ascii="Times New Roman" w:hAnsi="Times New Roman" w:eastAsia="宋体" w:cs="Times New Roman"/>
          <w:color w:val="auto"/>
          <w:kern w:val="0"/>
          <w:sz w:val="24"/>
          <w:szCs w:val="24"/>
          <w:lang w:val="en-US" w:eastAsia="zh-CN"/>
        </w:rPr>
        <w:t>5</w:t>
      </w:r>
      <w:r>
        <w:rPr>
          <w:rFonts w:hint="default" w:ascii="Times New Roman" w:hAnsi="Times New Roman" w:eastAsia="宋体" w:cs="Times New Roman"/>
          <w:color w:val="auto"/>
          <w:kern w:val="0"/>
          <w:sz w:val="24"/>
          <w:szCs w:val="24"/>
          <w:lang w:val="zh-TW" w:eastAsia="zh-CN"/>
        </w:rPr>
        <w:t>.1-1为1辆荷载10吨的卡车，通过一段长度为1km的路面时，不同路面清洁程度，不同行驶速度情况下的扬尘量。</w:t>
      </w:r>
    </w:p>
    <w:p w14:paraId="74EE6CEF">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b/>
          <w:color w:val="auto"/>
          <w:kern w:val="22"/>
          <w:sz w:val="24"/>
          <w:szCs w:val="20"/>
          <w:lang w:val="en-US" w:eastAsia="zh-CN" w:bidi="ar-SA"/>
        </w:rPr>
      </w:pPr>
      <w:r>
        <w:rPr>
          <w:rFonts w:hint="default" w:ascii="Times New Roman" w:hAnsi="Times New Roman" w:eastAsia="宋体" w:cs="Times New Roman"/>
          <w:b/>
          <w:color w:val="auto"/>
          <w:kern w:val="22"/>
          <w:sz w:val="24"/>
          <w:szCs w:val="20"/>
          <w:lang w:val="en-US" w:eastAsia="zh-CN" w:bidi="ar-SA"/>
        </w:rPr>
        <w:t>表</w:t>
      </w:r>
      <w:r>
        <w:rPr>
          <w:rFonts w:hint="eastAsia" w:ascii="Times New Roman" w:hAnsi="Times New Roman" w:eastAsia="宋体" w:cs="Times New Roman"/>
          <w:b/>
          <w:color w:val="auto"/>
          <w:kern w:val="22"/>
          <w:sz w:val="24"/>
          <w:szCs w:val="20"/>
          <w:lang w:val="en-US" w:eastAsia="zh-CN" w:bidi="ar-SA"/>
        </w:rPr>
        <w:t>5</w:t>
      </w:r>
      <w:r>
        <w:rPr>
          <w:rFonts w:hint="default" w:ascii="Times New Roman" w:hAnsi="Times New Roman" w:eastAsia="宋体" w:cs="Times New Roman"/>
          <w:b/>
          <w:color w:val="auto"/>
          <w:kern w:val="22"/>
          <w:sz w:val="24"/>
          <w:szCs w:val="20"/>
          <w:lang w:val="en-US" w:eastAsia="zh-CN" w:bidi="ar-SA"/>
        </w:rPr>
        <w:t>.1-1不同车速和地面清洁程度下的汽车扬尘（kg/辆km）</w:t>
      </w:r>
    </w:p>
    <w:p w14:paraId="51D43489">
      <w:pPr>
        <w:spacing w:line="14" w:lineRule="exact"/>
        <w:rPr>
          <w:rFonts w:ascii="Times New Roman" w:hAnsi="Times New Roman" w:eastAsia="宋体" w:cs="Times New Roman"/>
          <w:szCs w:val="22"/>
        </w:rPr>
      </w:pPr>
    </w:p>
    <w:tbl>
      <w:tblPr>
        <w:tblStyle w:val="32"/>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322"/>
        <w:gridCol w:w="1155"/>
        <w:gridCol w:w="1155"/>
        <w:gridCol w:w="1184"/>
        <w:gridCol w:w="1224"/>
        <w:gridCol w:w="1230"/>
        <w:gridCol w:w="1234"/>
      </w:tblGrid>
      <w:tr w14:paraId="0103BB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1322" w:type="dxa"/>
            <w:tcBorders>
              <w:tl2br w:val="nil"/>
              <w:tr2bl w:val="nil"/>
            </w:tcBorders>
            <w:vAlign w:val="top"/>
          </w:tcPr>
          <w:p w14:paraId="6F265AD3">
            <w:pPr>
              <w:widowControl w:val="0"/>
              <w:overflowPunct w:val="0"/>
              <w:autoSpaceDE w:val="0"/>
              <w:autoSpaceDN w:val="0"/>
              <w:bidi w:val="0"/>
              <w:adjustRightInd w:val="0"/>
              <w:snapToGrid w:val="0"/>
              <w:spacing w:line="320" w:lineRule="atLeast"/>
              <w:ind w:firstLine="0" w:firstLineChars="0"/>
              <w:jc w:val="right"/>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粉尘量</w:t>
            </w:r>
          </w:p>
          <w:p w14:paraId="775B4151">
            <w:pPr>
              <w:widowControl w:val="0"/>
              <w:overflowPunct w:val="0"/>
              <w:autoSpaceDE w:val="0"/>
              <w:autoSpaceDN w:val="0"/>
              <w:bidi w:val="0"/>
              <w:adjustRightInd w:val="0"/>
              <w:snapToGrid w:val="0"/>
              <w:spacing w:line="320" w:lineRule="atLeast"/>
              <w:ind w:firstLine="0" w:firstLineChars="0"/>
              <w:jc w:val="left"/>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车速</w:t>
            </w:r>
          </w:p>
        </w:tc>
        <w:tc>
          <w:tcPr>
            <w:tcW w:w="1155" w:type="dxa"/>
            <w:tcBorders>
              <w:tl2br w:val="nil"/>
              <w:tr2bl w:val="nil"/>
            </w:tcBorders>
            <w:vAlign w:val="top"/>
          </w:tcPr>
          <w:p w14:paraId="0567625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0.1</w:t>
            </w:r>
          </w:p>
          <w:p w14:paraId="0AB78D60">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（kg/m</w:t>
            </w:r>
            <w:r>
              <w:rPr>
                <w:rFonts w:hint="default" w:ascii="Times New Roman" w:hAnsi="Times New Roman" w:eastAsia="宋体" w:cs="Times New Roman"/>
                <w:b/>
                <w:bCs/>
                <w:color w:val="auto"/>
                <w:kern w:val="0"/>
                <w:sz w:val="21"/>
                <w:szCs w:val="24"/>
                <w:vertAlign w:val="superscript"/>
                <w:lang w:val="en-US" w:eastAsia="zh-CN" w:bidi="ar-SA"/>
              </w:rPr>
              <w:t>2</w:t>
            </w:r>
            <w:r>
              <w:rPr>
                <w:rFonts w:hint="default" w:ascii="Times New Roman" w:hAnsi="Times New Roman" w:eastAsia="宋体" w:cs="Times New Roman"/>
                <w:b/>
                <w:bCs/>
                <w:color w:val="auto"/>
                <w:kern w:val="0"/>
                <w:sz w:val="21"/>
                <w:szCs w:val="24"/>
                <w:lang w:val="en-US" w:eastAsia="zh-CN" w:bidi="ar-SA"/>
              </w:rPr>
              <w:t>）</w:t>
            </w:r>
          </w:p>
        </w:tc>
        <w:tc>
          <w:tcPr>
            <w:tcW w:w="1155" w:type="dxa"/>
            <w:tcBorders>
              <w:tl2br w:val="nil"/>
              <w:tr2bl w:val="nil"/>
            </w:tcBorders>
            <w:vAlign w:val="top"/>
          </w:tcPr>
          <w:p w14:paraId="69FE1B51">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0.2</w:t>
            </w:r>
          </w:p>
          <w:p w14:paraId="75C8CFCA">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（kg/m</w:t>
            </w:r>
            <w:r>
              <w:rPr>
                <w:rFonts w:hint="default" w:ascii="Times New Roman" w:hAnsi="Times New Roman" w:eastAsia="宋体" w:cs="Times New Roman"/>
                <w:b/>
                <w:bCs/>
                <w:color w:val="auto"/>
                <w:kern w:val="0"/>
                <w:sz w:val="21"/>
                <w:szCs w:val="24"/>
                <w:vertAlign w:val="superscript"/>
                <w:lang w:val="en-US" w:eastAsia="zh-CN" w:bidi="ar-SA"/>
              </w:rPr>
              <w:t>2</w:t>
            </w:r>
            <w:r>
              <w:rPr>
                <w:rFonts w:hint="default" w:ascii="Times New Roman" w:hAnsi="Times New Roman" w:eastAsia="宋体" w:cs="Times New Roman"/>
                <w:b/>
                <w:bCs/>
                <w:color w:val="auto"/>
                <w:kern w:val="0"/>
                <w:sz w:val="21"/>
                <w:szCs w:val="24"/>
                <w:lang w:val="en-US" w:eastAsia="zh-CN" w:bidi="ar-SA"/>
              </w:rPr>
              <w:t>）</w:t>
            </w:r>
          </w:p>
        </w:tc>
        <w:tc>
          <w:tcPr>
            <w:tcW w:w="1184" w:type="dxa"/>
            <w:tcBorders>
              <w:tl2br w:val="nil"/>
              <w:tr2bl w:val="nil"/>
            </w:tcBorders>
            <w:vAlign w:val="top"/>
          </w:tcPr>
          <w:p w14:paraId="6F6AD4E0">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0.3</w:t>
            </w:r>
          </w:p>
          <w:p w14:paraId="51058C4D">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（kg/m</w:t>
            </w:r>
            <w:r>
              <w:rPr>
                <w:rFonts w:hint="default" w:ascii="Times New Roman" w:hAnsi="Times New Roman" w:eastAsia="宋体" w:cs="Times New Roman"/>
                <w:b/>
                <w:bCs/>
                <w:color w:val="auto"/>
                <w:kern w:val="0"/>
                <w:sz w:val="21"/>
                <w:szCs w:val="24"/>
                <w:vertAlign w:val="superscript"/>
                <w:lang w:val="en-US" w:eastAsia="zh-CN" w:bidi="ar-SA"/>
              </w:rPr>
              <w:t>2</w:t>
            </w:r>
            <w:r>
              <w:rPr>
                <w:rFonts w:hint="default" w:ascii="Times New Roman" w:hAnsi="Times New Roman" w:eastAsia="宋体" w:cs="Times New Roman"/>
                <w:b/>
                <w:bCs/>
                <w:color w:val="auto"/>
                <w:kern w:val="0"/>
                <w:sz w:val="21"/>
                <w:szCs w:val="24"/>
                <w:lang w:val="en-US" w:eastAsia="zh-CN" w:bidi="ar-SA"/>
              </w:rPr>
              <w:t>）</w:t>
            </w:r>
          </w:p>
        </w:tc>
        <w:tc>
          <w:tcPr>
            <w:tcW w:w="1224" w:type="dxa"/>
            <w:tcBorders>
              <w:tl2br w:val="nil"/>
              <w:tr2bl w:val="nil"/>
            </w:tcBorders>
            <w:vAlign w:val="top"/>
          </w:tcPr>
          <w:p w14:paraId="0ED60F7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0.4</w:t>
            </w:r>
          </w:p>
          <w:p w14:paraId="568BCECC">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（kg/m</w:t>
            </w:r>
            <w:r>
              <w:rPr>
                <w:rFonts w:hint="default" w:ascii="Times New Roman" w:hAnsi="Times New Roman" w:eastAsia="宋体" w:cs="Times New Roman"/>
                <w:b/>
                <w:bCs/>
                <w:color w:val="auto"/>
                <w:kern w:val="0"/>
                <w:sz w:val="21"/>
                <w:szCs w:val="24"/>
                <w:vertAlign w:val="superscript"/>
                <w:lang w:val="en-US" w:eastAsia="zh-CN" w:bidi="ar-SA"/>
              </w:rPr>
              <w:t>2</w:t>
            </w:r>
            <w:r>
              <w:rPr>
                <w:rFonts w:hint="default" w:ascii="Times New Roman" w:hAnsi="Times New Roman" w:eastAsia="宋体" w:cs="Times New Roman"/>
                <w:b/>
                <w:bCs/>
                <w:color w:val="auto"/>
                <w:kern w:val="0"/>
                <w:sz w:val="21"/>
                <w:szCs w:val="24"/>
                <w:lang w:val="en-US" w:eastAsia="zh-CN" w:bidi="ar-SA"/>
              </w:rPr>
              <w:t>）</w:t>
            </w:r>
          </w:p>
        </w:tc>
        <w:tc>
          <w:tcPr>
            <w:tcW w:w="1230" w:type="dxa"/>
            <w:tcBorders>
              <w:tl2br w:val="nil"/>
              <w:tr2bl w:val="nil"/>
            </w:tcBorders>
            <w:vAlign w:val="top"/>
          </w:tcPr>
          <w:p w14:paraId="34D80DE9">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0.5</w:t>
            </w:r>
          </w:p>
          <w:p w14:paraId="5B888D74">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（kg/m</w:t>
            </w:r>
            <w:r>
              <w:rPr>
                <w:rFonts w:hint="default" w:ascii="Times New Roman" w:hAnsi="Times New Roman" w:eastAsia="宋体" w:cs="Times New Roman"/>
                <w:b/>
                <w:bCs/>
                <w:color w:val="auto"/>
                <w:kern w:val="0"/>
                <w:sz w:val="21"/>
                <w:szCs w:val="24"/>
                <w:vertAlign w:val="superscript"/>
                <w:lang w:val="en-US" w:eastAsia="zh-CN" w:bidi="ar-SA"/>
              </w:rPr>
              <w:t>2</w:t>
            </w:r>
            <w:r>
              <w:rPr>
                <w:rFonts w:hint="default" w:ascii="Times New Roman" w:hAnsi="Times New Roman" w:eastAsia="宋体" w:cs="Times New Roman"/>
                <w:b/>
                <w:bCs/>
                <w:color w:val="auto"/>
                <w:kern w:val="0"/>
                <w:sz w:val="21"/>
                <w:szCs w:val="24"/>
                <w:lang w:val="en-US" w:eastAsia="zh-CN" w:bidi="ar-SA"/>
              </w:rPr>
              <w:t>）</w:t>
            </w:r>
          </w:p>
        </w:tc>
        <w:tc>
          <w:tcPr>
            <w:tcW w:w="1234" w:type="dxa"/>
            <w:tcBorders>
              <w:tl2br w:val="nil"/>
              <w:tr2bl w:val="nil"/>
            </w:tcBorders>
            <w:vAlign w:val="top"/>
          </w:tcPr>
          <w:p w14:paraId="557B574A">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1.0</w:t>
            </w:r>
          </w:p>
          <w:p w14:paraId="4826697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（kg/m</w:t>
            </w:r>
            <w:r>
              <w:rPr>
                <w:rFonts w:hint="default" w:ascii="Times New Roman" w:hAnsi="Times New Roman" w:eastAsia="宋体" w:cs="Times New Roman"/>
                <w:b/>
                <w:bCs/>
                <w:color w:val="auto"/>
                <w:kern w:val="0"/>
                <w:sz w:val="21"/>
                <w:szCs w:val="24"/>
                <w:vertAlign w:val="superscript"/>
                <w:lang w:val="en-US" w:eastAsia="zh-CN" w:bidi="ar-SA"/>
              </w:rPr>
              <w:t>2</w:t>
            </w:r>
            <w:r>
              <w:rPr>
                <w:rFonts w:hint="default" w:ascii="Times New Roman" w:hAnsi="Times New Roman" w:eastAsia="宋体" w:cs="Times New Roman"/>
                <w:b/>
                <w:bCs/>
                <w:color w:val="auto"/>
                <w:kern w:val="0"/>
                <w:sz w:val="21"/>
                <w:szCs w:val="24"/>
                <w:lang w:val="en-US" w:eastAsia="zh-CN" w:bidi="ar-SA"/>
              </w:rPr>
              <w:t>）</w:t>
            </w:r>
          </w:p>
        </w:tc>
      </w:tr>
      <w:tr w14:paraId="33C18D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1322" w:type="dxa"/>
            <w:tcBorders>
              <w:tl2br w:val="nil"/>
              <w:tr2bl w:val="nil"/>
            </w:tcBorders>
            <w:vAlign w:val="top"/>
          </w:tcPr>
          <w:p w14:paraId="27D4B6CA">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5（km/h）</w:t>
            </w:r>
          </w:p>
        </w:tc>
        <w:tc>
          <w:tcPr>
            <w:tcW w:w="1155" w:type="dxa"/>
            <w:tcBorders>
              <w:tl2br w:val="nil"/>
              <w:tr2bl w:val="nil"/>
            </w:tcBorders>
            <w:vAlign w:val="top"/>
          </w:tcPr>
          <w:p w14:paraId="29635C9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0.0511</w:t>
            </w:r>
          </w:p>
        </w:tc>
        <w:tc>
          <w:tcPr>
            <w:tcW w:w="1155" w:type="dxa"/>
            <w:tcBorders>
              <w:tl2br w:val="nil"/>
              <w:tr2bl w:val="nil"/>
            </w:tcBorders>
            <w:vAlign w:val="top"/>
          </w:tcPr>
          <w:p w14:paraId="45EB28F4">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0.0859</w:t>
            </w:r>
          </w:p>
        </w:tc>
        <w:tc>
          <w:tcPr>
            <w:tcW w:w="1184" w:type="dxa"/>
            <w:tcBorders>
              <w:tl2br w:val="nil"/>
              <w:tr2bl w:val="nil"/>
            </w:tcBorders>
            <w:vAlign w:val="top"/>
          </w:tcPr>
          <w:p w14:paraId="7D8A354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0.1164</w:t>
            </w:r>
          </w:p>
        </w:tc>
        <w:tc>
          <w:tcPr>
            <w:tcW w:w="1224" w:type="dxa"/>
            <w:tcBorders>
              <w:tl2br w:val="nil"/>
              <w:tr2bl w:val="nil"/>
            </w:tcBorders>
            <w:vAlign w:val="top"/>
          </w:tcPr>
          <w:p w14:paraId="2F708393">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0.1444</w:t>
            </w:r>
          </w:p>
        </w:tc>
        <w:tc>
          <w:tcPr>
            <w:tcW w:w="1230" w:type="dxa"/>
            <w:tcBorders>
              <w:tl2br w:val="nil"/>
              <w:tr2bl w:val="nil"/>
            </w:tcBorders>
            <w:vAlign w:val="top"/>
          </w:tcPr>
          <w:p w14:paraId="0610BFA0">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0.1707</w:t>
            </w:r>
          </w:p>
        </w:tc>
        <w:tc>
          <w:tcPr>
            <w:tcW w:w="1234" w:type="dxa"/>
            <w:tcBorders>
              <w:tl2br w:val="nil"/>
              <w:tr2bl w:val="nil"/>
            </w:tcBorders>
            <w:vAlign w:val="top"/>
          </w:tcPr>
          <w:p w14:paraId="5FFBC811">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0.2871</w:t>
            </w:r>
          </w:p>
        </w:tc>
      </w:tr>
      <w:tr w14:paraId="2B15D2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1322" w:type="dxa"/>
            <w:tcBorders>
              <w:tl2br w:val="nil"/>
              <w:tr2bl w:val="nil"/>
            </w:tcBorders>
            <w:vAlign w:val="top"/>
          </w:tcPr>
          <w:p w14:paraId="5FDDC89D">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10（km/h）</w:t>
            </w:r>
          </w:p>
        </w:tc>
        <w:tc>
          <w:tcPr>
            <w:tcW w:w="1155" w:type="dxa"/>
            <w:tcBorders>
              <w:tl2br w:val="nil"/>
              <w:tr2bl w:val="nil"/>
            </w:tcBorders>
            <w:vAlign w:val="top"/>
          </w:tcPr>
          <w:p w14:paraId="7F6BDC3A">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0.1021</w:t>
            </w:r>
          </w:p>
        </w:tc>
        <w:tc>
          <w:tcPr>
            <w:tcW w:w="1155" w:type="dxa"/>
            <w:tcBorders>
              <w:tl2br w:val="nil"/>
              <w:tr2bl w:val="nil"/>
            </w:tcBorders>
            <w:vAlign w:val="top"/>
          </w:tcPr>
          <w:p w14:paraId="16CFE5B0">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0.1717</w:t>
            </w:r>
          </w:p>
        </w:tc>
        <w:tc>
          <w:tcPr>
            <w:tcW w:w="1184" w:type="dxa"/>
            <w:tcBorders>
              <w:tl2br w:val="nil"/>
              <w:tr2bl w:val="nil"/>
            </w:tcBorders>
            <w:vAlign w:val="top"/>
          </w:tcPr>
          <w:p w14:paraId="4C36FD11">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0.2328</w:t>
            </w:r>
          </w:p>
        </w:tc>
        <w:tc>
          <w:tcPr>
            <w:tcW w:w="1224" w:type="dxa"/>
            <w:tcBorders>
              <w:tl2br w:val="nil"/>
              <w:tr2bl w:val="nil"/>
            </w:tcBorders>
            <w:vAlign w:val="top"/>
          </w:tcPr>
          <w:p w14:paraId="5BF00137">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0.2888</w:t>
            </w:r>
          </w:p>
        </w:tc>
        <w:tc>
          <w:tcPr>
            <w:tcW w:w="1230" w:type="dxa"/>
            <w:tcBorders>
              <w:tl2br w:val="nil"/>
              <w:tr2bl w:val="nil"/>
            </w:tcBorders>
            <w:vAlign w:val="top"/>
          </w:tcPr>
          <w:p w14:paraId="0F68908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0.3414</w:t>
            </w:r>
          </w:p>
        </w:tc>
        <w:tc>
          <w:tcPr>
            <w:tcW w:w="1234" w:type="dxa"/>
            <w:tcBorders>
              <w:tl2br w:val="nil"/>
              <w:tr2bl w:val="nil"/>
            </w:tcBorders>
            <w:vAlign w:val="top"/>
          </w:tcPr>
          <w:p w14:paraId="43BD65B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0.5742</w:t>
            </w:r>
          </w:p>
        </w:tc>
      </w:tr>
      <w:tr w14:paraId="10EF6F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22" w:type="dxa"/>
            <w:tcBorders>
              <w:tl2br w:val="nil"/>
              <w:tr2bl w:val="nil"/>
            </w:tcBorders>
            <w:vAlign w:val="top"/>
          </w:tcPr>
          <w:p w14:paraId="22798AA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15（km/h）</w:t>
            </w:r>
          </w:p>
        </w:tc>
        <w:tc>
          <w:tcPr>
            <w:tcW w:w="1155" w:type="dxa"/>
            <w:tcBorders>
              <w:tl2br w:val="nil"/>
              <w:tr2bl w:val="nil"/>
            </w:tcBorders>
            <w:vAlign w:val="top"/>
          </w:tcPr>
          <w:p w14:paraId="419A339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0.1532</w:t>
            </w:r>
          </w:p>
        </w:tc>
        <w:tc>
          <w:tcPr>
            <w:tcW w:w="1155" w:type="dxa"/>
            <w:tcBorders>
              <w:tl2br w:val="nil"/>
              <w:tr2bl w:val="nil"/>
            </w:tcBorders>
            <w:vAlign w:val="top"/>
          </w:tcPr>
          <w:p w14:paraId="6512FCE3">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0.2576</w:t>
            </w:r>
          </w:p>
        </w:tc>
        <w:tc>
          <w:tcPr>
            <w:tcW w:w="1184" w:type="dxa"/>
            <w:tcBorders>
              <w:tl2br w:val="nil"/>
              <w:tr2bl w:val="nil"/>
            </w:tcBorders>
            <w:vAlign w:val="top"/>
          </w:tcPr>
          <w:p w14:paraId="7BF54CC9">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0.3491</w:t>
            </w:r>
          </w:p>
        </w:tc>
        <w:tc>
          <w:tcPr>
            <w:tcW w:w="1224" w:type="dxa"/>
            <w:tcBorders>
              <w:tl2br w:val="nil"/>
              <w:tr2bl w:val="nil"/>
            </w:tcBorders>
            <w:vAlign w:val="top"/>
          </w:tcPr>
          <w:p w14:paraId="1126727B">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0.4332</w:t>
            </w:r>
          </w:p>
        </w:tc>
        <w:tc>
          <w:tcPr>
            <w:tcW w:w="1230" w:type="dxa"/>
            <w:tcBorders>
              <w:tl2br w:val="nil"/>
              <w:tr2bl w:val="nil"/>
            </w:tcBorders>
            <w:vAlign w:val="top"/>
          </w:tcPr>
          <w:p w14:paraId="02AFD5FC">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0.5121</w:t>
            </w:r>
          </w:p>
        </w:tc>
        <w:tc>
          <w:tcPr>
            <w:tcW w:w="1234" w:type="dxa"/>
            <w:tcBorders>
              <w:tl2br w:val="nil"/>
              <w:tr2bl w:val="nil"/>
            </w:tcBorders>
            <w:vAlign w:val="top"/>
          </w:tcPr>
          <w:p w14:paraId="1B28EA24">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0.8613</w:t>
            </w:r>
          </w:p>
        </w:tc>
      </w:tr>
      <w:tr w14:paraId="536693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1322" w:type="dxa"/>
            <w:tcBorders>
              <w:tl2br w:val="nil"/>
              <w:tr2bl w:val="nil"/>
            </w:tcBorders>
            <w:vAlign w:val="top"/>
          </w:tcPr>
          <w:p w14:paraId="77D10891">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25（km/h）</w:t>
            </w:r>
          </w:p>
        </w:tc>
        <w:tc>
          <w:tcPr>
            <w:tcW w:w="1155" w:type="dxa"/>
            <w:tcBorders>
              <w:tl2br w:val="nil"/>
              <w:tr2bl w:val="nil"/>
            </w:tcBorders>
            <w:vAlign w:val="top"/>
          </w:tcPr>
          <w:p w14:paraId="638F3776">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0.2553</w:t>
            </w:r>
          </w:p>
        </w:tc>
        <w:tc>
          <w:tcPr>
            <w:tcW w:w="1155" w:type="dxa"/>
            <w:tcBorders>
              <w:tl2br w:val="nil"/>
              <w:tr2bl w:val="nil"/>
            </w:tcBorders>
            <w:vAlign w:val="top"/>
          </w:tcPr>
          <w:p w14:paraId="688708C4">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0.4293</w:t>
            </w:r>
          </w:p>
        </w:tc>
        <w:tc>
          <w:tcPr>
            <w:tcW w:w="1184" w:type="dxa"/>
            <w:tcBorders>
              <w:tl2br w:val="nil"/>
              <w:tr2bl w:val="nil"/>
            </w:tcBorders>
            <w:vAlign w:val="top"/>
          </w:tcPr>
          <w:p w14:paraId="55D63F5B">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0.5819</w:t>
            </w:r>
          </w:p>
        </w:tc>
        <w:tc>
          <w:tcPr>
            <w:tcW w:w="1224" w:type="dxa"/>
            <w:tcBorders>
              <w:tl2br w:val="nil"/>
              <w:tr2bl w:val="nil"/>
            </w:tcBorders>
            <w:vAlign w:val="top"/>
          </w:tcPr>
          <w:p w14:paraId="169BE95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0.7220</w:t>
            </w:r>
          </w:p>
        </w:tc>
        <w:tc>
          <w:tcPr>
            <w:tcW w:w="1230" w:type="dxa"/>
            <w:tcBorders>
              <w:tl2br w:val="nil"/>
              <w:tr2bl w:val="nil"/>
            </w:tcBorders>
            <w:vAlign w:val="top"/>
          </w:tcPr>
          <w:p w14:paraId="450A874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0.8536</w:t>
            </w:r>
          </w:p>
        </w:tc>
        <w:tc>
          <w:tcPr>
            <w:tcW w:w="1234" w:type="dxa"/>
            <w:tcBorders>
              <w:tl2br w:val="nil"/>
              <w:tr2bl w:val="nil"/>
            </w:tcBorders>
            <w:vAlign w:val="top"/>
          </w:tcPr>
          <w:p w14:paraId="1050DB9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1.4355</w:t>
            </w:r>
          </w:p>
        </w:tc>
      </w:tr>
    </w:tbl>
    <w:p w14:paraId="024693C3">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p>
    <w:p w14:paraId="040F868A">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由此可见，在同样路面清洁程度条件下，车速越快，扬尘量越大；而在同样车速情况下，路面越脏，则扬尘量越大。因此，限制车辆行驶速度及保持路面的清洁是减少汽车扬尘的最有效手段。据有关资料，如施工阶段对汽车行驶路面勤洒水（每天4〜5次），可使空气中粉尘量减少70%左右，起到良好的降尘效果。</w:t>
      </w:r>
    </w:p>
    <w:p w14:paraId="4C6D95ED">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（2）堆场扬尘</w:t>
      </w:r>
    </w:p>
    <w:p w14:paraId="4F4A70E7">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项目施工阶段扬尘的另一个主要来源是露天堆场和裸露场地的风力扬尘。由于施工需要，一些建筑材料需露天堆放，一些施工作业点表层土壤需人工开挖且临时堆放，在气候干燥又有风的情况下，会产生扬尘，其扬尘量可按堆场起尘的经验公式计算</w:t>
      </w:r>
      <w:r>
        <w:rPr>
          <w:rFonts w:hint="eastAsia" w:ascii="Times New Roman" w:hAnsi="Times New Roman" w:eastAsia="宋体" w:cs="Times New Roman"/>
          <w:color w:val="auto"/>
          <w:kern w:val="0"/>
          <w:sz w:val="24"/>
          <w:szCs w:val="24"/>
          <w:lang w:val="zh-TW" w:eastAsia="zh-CN"/>
        </w:rPr>
        <w:t>：</w:t>
      </w:r>
    </w:p>
    <w:p w14:paraId="58FB5CFA">
      <w:pPr>
        <w:keepNext w:val="0"/>
        <w:keepLines w:val="0"/>
        <w:pageBreakBefore w:val="0"/>
        <w:widowControl w:val="0"/>
        <w:kinsoku/>
        <w:wordWrap/>
        <w:overflowPunct/>
        <w:topLinePunct w:val="0"/>
        <w:autoSpaceDE/>
        <w:autoSpaceDN/>
        <w:bidi w:val="0"/>
        <w:adjustRightInd w:val="0"/>
        <w:spacing w:line="360" w:lineRule="auto"/>
        <w:ind w:firstLine="488" w:firstLineChars="200"/>
        <w:jc w:val="center"/>
        <w:textAlignment w:val="baseline"/>
        <w:rPr>
          <w:rFonts w:hint="default" w:ascii="Times New Roman" w:hAnsi="Times New Roman" w:eastAsia="宋体" w:cs="Times New Roman"/>
          <w:color w:val="auto"/>
          <w:kern w:val="0"/>
          <w:sz w:val="24"/>
          <w:szCs w:val="24"/>
          <w:lang w:val="zh-TW" w:eastAsia="zh-CN"/>
        </w:rPr>
      </w:pPr>
      <w:r>
        <w:rPr>
          <w:rFonts w:ascii="Times New Roman" w:hAnsi="Times New Roman" w:eastAsia="Times New Roman" w:cs="Times New Roman"/>
          <w:i/>
          <w:iCs/>
          <w:spacing w:val="-13"/>
          <w:position w:val="-1"/>
          <w:sz w:val="27"/>
          <w:szCs w:val="27"/>
        </w:rPr>
        <w:t>Q</w:t>
      </w:r>
      <w:r>
        <w:rPr>
          <w:rFonts w:ascii="微软雅黑" w:hAnsi="微软雅黑" w:eastAsia="微软雅黑" w:cs="微软雅黑"/>
          <w:spacing w:val="-13"/>
          <w:position w:val="-1"/>
          <w:sz w:val="27"/>
          <w:szCs w:val="27"/>
        </w:rPr>
        <w:t>=</w:t>
      </w:r>
      <w:r>
        <w:rPr>
          <w:rFonts w:ascii="Times New Roman" w:hAnsi="Times New Roman" w:eastAsia="Times New Roman" w:cs="Times New Roman"/>
          <w:spacing w:val="-13"/>
          <w:position w:val="-1"/>
          <w:sz w:val="27"/>
          <w:szCs w:val="27"/>
        </w:rPr>
        <w:t>2.1</w:t>
      </w:r>
      <w:r>
        <w:rPr>
          <w:rFonts w:hint="eastAsia" w:ascii="微软雅黑" w:hAnsi="微软雅黑" w:eastAsia="微软雅黑" w:cs="微软雅黑"/>
          <w:spacing w:val="-13"/>
          <w:sz w:val="36"/>
          <w:szCs w:val="36"/>
          <w:lang w:eastAsia="zh-CN"/>
        </w:rPr>
        <w:t>（</w:t>
      </w:r>
      <w:r>
        <w:rPr>
          <w:rFonts w:ascii="Times New Roman" w:hAnsi="Times New Roman" w:eastAsia="Times New Roman" w:cs="Times New Roman"/>
          <w:i/>
          <w:iCs/>
          <w:spacing w:val="-13"/>
          <w:position w:val="-1"/>
          <w:sz w:val="27"/>
          <w:szCs w:val="27"/>
        </w:rPr>
        <w:t>V</w:t>
      </w:r>
      <w:r>
        <w:rPr>
          <w:rFonts w:ascii="Times New Roman" w:hAnsi="Times New Roman" w:eastAsia="Times New Roman" w:cs="Times New Roman"/>
          <w:spacing w:val="-13"/>
          <w:position w:val="-7"/>
          <w:sz w:val="16"/>
          <w:szCs w:val="16"/>
        </w:rPr>
        <w:t>50</w:t>
      </w:r>
      <w:r>
        <w:rPr>
          <w:rFonts w:ascii="微软雅黑" w:hAnsi="微软雅黑" w:eastAsia="微软雅黑" w:cs="微软雅黑"/>
          <w:spacing w:val="-3"/>
          <w:position w:val="-1"/>
          <w:sz w:val="27"/>
          <w:szCs w:val="27"/>
        </w:rPr>
        <w:t>-</w:t>
      </w:r>
      <w:r>
        <w:rPr>
          <w:rFonts w:ascii="Times New Roman" w:hAnsi="Times New Roman" w:eastAsia="Times New Roman" w:cs="Times New Roman"/>
          <w:i/>
          <w:iCs/>
          <w:spacing w:val="-3"/>
          <w:position w:val="-1"/>
          <w:sz w:val="27"/>
          <w:szCs w:val="27"/>
        </w:rPr>
        <w:t>V</w:t>
      </w:r>
      <w:r>
        <w:rPr>
          <w:rFonts w:ascii="Times New Roman" w:hAnsi="Times New Roman" w:eastAsia="Times New Roman" w:cs="Times New Roman"/>
          <w:spacing w:val="-3"/>
          <w:position w:val="-7"/>
          <w:sz w:val="16"/>
          <w:szCs w:val="16"/>
        </w:rPr>
        <w:t>0</w:t>
      </w:r>
      <w:r>
        <w:rPr>
          <w:rFonts w:hint="eastAsia" w:ascii="微软雅黑" w:hAnsi="微软雅黑" w:eastAsia="微软雅黑" w:cs="微软雅黑"/>
          <w:spacing w:val="-6"/>
          <w:w w:val="78"/>
          <w:sz w:val="36"/>
          <w:szCs w:val="36"/>
          <w:lang w:eastAsia="zh-CN"/>
        </w:rPr>
        <w:t>）</w:t>
      </w:r>
      <w:r>
        <w:rPr>
          <w:rFonts w:ascii="Times New Roman" w:hAnsi="Times New Roman" w:eastAsia="Times New Roman" w:cs="Times New Roman"/>
          <w:spacing w:val="2"/>
          <w:position w:val="13"/>
          <w:sz w:val="16"/>
          <w:szCs w:val="16"/>
        </w:rPr>
        <w:t>3</w:t>
      </w:r>
      <w:r>
        <w:rPr>
          <w:rFonts w:ascii="Times New Roman" w:hAnsi="Times New Roman" w:eastAsia="Times New Roman" w:cs="Times New Roman"/>
          <w:spacing w:val="2"/>
          <w:position w:val="-1"/>
          <w:sz w:val="27"/>
          <w:szCs w:val="27"/>
        </w:rPr>
        <w:t>e</w:t>
      </w:r>
      <w:r>
        <w:rPr>
          <w:rFonts w:ascii="微软雅黑" w:hAnsi="微软雅黑" w:eastAsia="微软雅黑" w:cs="微软雅黑"/>
          <w:spacing w:val="2"/>
          <w:position w:val="11"/>
          <w:sz w:val="16"/>
          <w:szCs w:val="16"/>
        </w:rPr>
        <w:t>-</w:t>
      </w:r>
      <w:r>
        <w:rPr>
          <w:rFonts w:ascii="Times New Roman" w:hAnsi="Times New Roman" w:eastAsia="Times New Roman" w:cs="Times New Roman"/>
          <w:spacing w:val="2"/>
          <w:position w:val="11"/>
          <w:sz w:val="16"/>
          <w:szCs w:val="16"/>
        </w:rPr>
        <w:t>1.023</w:t>
      </w:r>
      <w:r>
        <w:rPr>
          <w:rFonts w:ascii="Times New Roman" w:hAnsi="Times New Roman" w:eastAsia="Times New Roman" w:cs="Times New Roman"/>
          <w:i/>
          <w:iCs/>
          <w:spacing w:val="2"/>
          <w:position w:val="11"/>
          <w:sz w:val="16"/>
          <w:szCs w:val="16"/>
        </w:rPr>
        <w:t>W</w:t>
      </w:r>
    </w:p>
    <w:p w14:paraId="7BD91B6A">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式中：Q—起尘量，kg/吨</w:t>
      </w:r>
      <w:r>
        <w:rPr>
          <w:rFonts w:hint="default"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zh-TW" w:eastAsia="zh-CN"/>
        </w:rPr>
        <w:t>年；</w:t>
      </w:r>
    </w:p>
    <w:p w14:paraId="76090C71">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V</w:t>
      </w:r>
      <w:r>
        <w:rPr>
          <w:rFonts w:hint="default" w:ascii="Times New Roman" w:hAnsi="Times New Roman" w:eastAsia="宋体" w:cs="Times New Roman"/>
          <w:color w:val="auto"/>
          <w:kern w:val="0"/>
          <w:sz w:val="24"/>
          <w:szCs w:val="24"/>
          <w:vertAlign w:val="subscript"/>
          <w:lang w:val="zh-TW" w:eastAsia="zh-CN"/>
        </w:rPr>
        <w:t>50</w:t>
      </w:r>
      <w:r>
        <w:rPr>
          <w:rFonts w:hint="default" w:ascii="Times New Roman" w:hAnsi="Times New Roman" w:eastAsia="宋体" w:cs="Times New Roman"/>
          <w:color w:val="auto"/>
          <w:kern w:val="0"/>
          <w:sz w:val="24"/>
          <w:szCs w:val="24"/>
          <w:lang w:val="zh-TW" w:eastAsia="zh-CN"/>
        </w:rPr>
        <w:t>—距离地面50m处风速，m/s；</w:t>
      </w:r>
    </w:p>
    <w:p w14:paraId="2C711B4A">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V</w:t>
      </w:r>
      <w:r>
        <w:rPr>
          <w:rFonts w:hint="default" w:ascii="Times New Roman" w:hAnsi="Times New Roman" w:eastAsia="宋体" w:cs="Times New Roman"/>
          <w:color w:val="auto"/>
          <w:kern w:val="0"/>
          <w:sz w:val="24"/>
          <w:szCs w:val="24"/>
          <w:vertAlign w:val="subscript"/>
          <w:lang w:val="zh-TW" w:eastAsia="zh-CN"/>
        </w:rPr>
        <w:t>0</w:t>
      </w:r>
      <w:r>
        <w:rPr>
          <w:rFonts w:hint="default" w:ascii="Times New Roman" w:hAnsi="Times New Roman" w:eastAsia="宋体" w:cs="Times New Roman"/>
          <w:color w:val="auto"/>
          <w:kern w:val="0"/>
          <w:sz w:val="24"/>
          <w:szCs w:val="24"/>
          <w:lang w:val="zh-TW" w:eastAsia="zh-CN"/>
        </w:rPr>
        <w:t>—起尘风速，m/s；</w:t>
      </w:r>
    </w:p>
    <w:p w14:paraId="4F3AF0BC">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W—尘粒的含水率，%。</w:t>
      </w:r>
    </w:p>
    <w:p w14:paraId="7253E556">
      <w:pPr>
        <w:keepNext w:val="0"/>
        <w:keepLines w:val="0"/>
        <w:pageBreakBefore w:val="0"/>
        <w:widowControl w:val="0"/>
        <w:kinsoku/>
        <w:wordWrap/>
        <w:overflowPunct/>
        <w:topLinePunct w:val="0"/>
        <w:autoSpaceDE/>
        <w:autoSpaceDN/>
        <w:bidi w:val="0"/>
        <w:adjustRightInd w:val="0"/>
        <w:spacing w:line="360" w:lineRule="auto"/>
        <w:ind w:firstLine="476"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pacing w:val="-1"/>
          <w:sz w:val="24"/>
          <w:szCs w:val="24"/>
        </w:rPr>
        <w:t>起尘风速与粒径和含水率有关，因此减少露天堆放和保证一定的含水率及减少裸露地面是减少风力起尘的有效手段。粉尘在空气中的扩散稀释与风速等气象条件有关，也与粉尘本身的沉降速度有关。不同粒径粉尘沉降速度见表</w:t>
      </w:r>
      <w:r>
        <w:rPr>
          <w:rFonts w:hint="eastAsia" w:ascii="Times New Roman" w:hAnsi="Times New Roman" w:eastAsia="宋体" w:cs="Times New Roman"/>
          <w:spacing w:val="-1"/>
          <w:sz w:val="24"/>
          <w:szCs w:val="24"/>
          <w:lang w:val="en-US" w:eastAsia="zh-CN"/>
        </w:rPr>
        <w:t>5</w:t>
      </w:r>
      <w:r>
        <w:rPr>
          <w:rFonts w:hint="default" w:ascii="Times New Roman" w:hAnsi="Times New Roman" w:eastAsia="宋体" w:cs="Times New Roman"/>
          <w:spacing w:val="-1"/>
          <w:sz w:val="24"/>
          <w:szCs w:val="24"/>
        </w:rPr>
        <w:t>.1-2。</w:t>
      </w:r>
    </w:p>
    <w:p w14:paraId="6FC836FC">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b/>
          <w:color w:val="auto"/>
          <w:kern w:val="22"/>
          <w:sz w:val="24"/>
          <w:szCs w:val="20"/>
          <w:lang w:val="en-US" w:eastAsia="zh-CN" w:bidi="ar-SA"/>
        </w:rPr>
      </w:pPr>
      <w:r>
        <w:rPr>
          <w:rFonts w:hint="default" w:ascii="Times New Roman" w:hAnsi="Times New Roman" w:eastAsia="宋体" w:cs="Times New Roman"/>
          <w:b/>
          <w:color w:val="auto"/>
          <w:kern w:val="22"/>
          <w:sz w:val="24"/>
          <w:szCs w:val="20"/>
          <w:lang w:val="en-US" w:eastAsia="zh-CN" w:bidi="ar-SA"/>
        </w:rPr>
        <w:t>表</w:t>
      </w:r>
      <w:r>
        <w:rPr>
          <w:rFonts w:hint="eastAsia" w:ascii="Times New Roman" w:hAnsi="Times New Roman" w:eastAsia="宋体" w:cs="Times New Roman"/>
          <w:b/>
          <w:color w:val="auto"/>
          <w:kern w:val="22"/>
          <w:sz w:val="24"/>
          <w:szCs w:val="20"/>
          <w:lang w:val="en-US" w:eastAsia="zh-CN" w:bidi="ar-SA"/>
        </w:rPr>
        <w:t>5</w:t>
      </w:r>
      <w:r>
        <w:rPr>
          <w:rFonts w:hint="default" w:ascii="Times New Roman" w:hAnsi="Times New Roman" w:eastAsia="宋体" w:cs="Times New Roman"/>
          <w:b/>
          <w:color w:val="auto"/>
          <w:kern w:val="22"/>
          <w:sz w:val="24"/>
          <w:szCs w:val="20"/>
          <w:lang w:val="en-US" w:eastAsia="zh-CN" w:bidi="ar-SA"/>
        </w:rPr>
        <w:t>.1-2不同粒径尘粒的沉降速度一览表</w:t>
      </w:r>
    </w:p>
    <w:tbl>
      <w:tblPr>
        <w:tblStyle w:val="32"/>
        <w:tblW w:w="85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1"/>
        <w:gridCol w:w="934"/>
        <w:gridCol w:w="929"/>
        <w:gridCol w:w="929"/>
        <w:gridCol w:w="929"/>
        <w:gridCol w:w="929"/>
        <w:gridCol w:w="929"/>
        <w:gridCol w:w="944"/>
      </w:tblGrid>
      <w:tr w14:paraId="2B44E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1981" w:type="dxa"/>
            <w:tcBorders>
              <w:top w:val="single" w:color="000000" w:sz="12" w:space="0"/>
              <w:left w:val="single" w:color="000000" w:sz="12" w:space="0"/>
              <w:bottom w:val="single" w:color="000000" w:sz="4" w:space="0"/>
              <w:right w:val="single" w:color="000000" w:sz="4" w:space="0"/>
            </w:tcBorders>
            <w:vAlign w:val="top"/>
          </w:tcPr>
          <w:p w14:paraId="6B75F36E">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粉尘粒径</w:t>
            </w:r>
            <w:r>
              <w:rPr>
                <w:rFonts w:hint="eastAsia" w:cs="Times New Roman"/>
                <w:b/>
                <w:bCs/>
                <w:color w:val="auto"/>
                <w:kern w:val="0"/>
                <w:sz w:val="21"/>
                <w:szCs w:val="24"/>
                <w:lang w:val="en-US" w:eastAsia="zh-CN" w:bidi="ar-SA"/>
              </w:rPr>
              <w:t>（</w:t>
            </w:r>
            <w:r>
              <w:rPr>
                <w:rFonts w:hint="default" w:ascii="Times New Roman" w:hAnsi="Times New Roman" w:eastAsia="宋体" w:cs="Times New Roman"/>
                <w:b/>
                <w:bCs/>
                <w:color w:val="auto"/>
                <w:kern w:val="0"/>
                <w:sz w:val="21"/>
                <w:szCs w:val="24"/>
                <w:lang w:val="en-US" w:eastAsia="zh-CN" w:bidi="ar-SA"/>
              </w:rPr>
              <w:t>μm）</w:t>
            </w:r>
          </w:p>
        </w:tc>
        <w:tc>
          <w:tcPr>
            <w:tcW w:w="934" w:type="dxa"/>
            <w:tcBorders>
              <w:top w:val="single" w:color="000000" w:sz="12" w:space="0"/>
              <w:left w:val="single" w:color="000000" w:sz="4" w:space="0"/>
              <w:bottom w:val="single" w:color="000000" w:sz="4" w:space="0"/>
              <w:right w:val="single" w:color="000000" w:sz="4" w:space="0"/>
            </w:tcBorders>
            <w:vAlign w:val="top"/>
          </w:tcPr>
          <w:p w14:paraId="7832CFF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10</w:t>
            </w:r>
          </w:p>
        </w:tc>
        <w:tc>
          <w:tcPr>
            <w:tcW w:w="929" w:type="dxa"/>
            <w:tcBorders>
              <w:top w:val="single" w:color="000000" w:sz="12" w:space="0"/>
              <w:left w:val="single" w:color="000000" w:sz="4" w:space="0"/>
              <w:bottom w:val="single" w:color="000000" w:sz="4" w:space="0"/>
              <w:right w:val="single" w:color="000000" w:sz="4" w:space="0"/>
            </w:tcBorders>
            <w:vAlign w:val="top"/>
          </w:tcPr>
          <w:p w14:paraId="06AD003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20</w:t>
            </w:r>
          </w:p>
        </w:tc>
        <w:tc>
          <w:tcPr>
            <w:tcW w:w="929" w:type="dxa"/>
            <w:tcBorders>
              <w:top w:val="single" w:color="000000" w:sz="12" w:space="0"/>
              <w:left w:val="single" w:color="000000" w:sz="4" w:space="0"/>
              <w:bottom w:val="single" w:color="000000" w:sz="4" w:space="0"/>
              <w:right w:val="single" w:color="000000" w:sz="4" w:space="0"/>
            </w:tcBorders>
            <w:vAlign w:val="top"/>
          </w:tcPr>
          <w:p w14:paraId="24E4CD3A">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30</w:t>
            </w:r>
          </w:p>
        </w:tc>
        <w:tc>
          <w:tcPr>
            <w:tcW w:w="929" w:type="dxa"/>
            <w:tcBorders>
              <w:top w:val="single" w:color="000000" w:sz="12" w:space="0"/>
              <w:left w:val="single" w:color="000000" w:sz="4" w:space="0"/>
              <w:bottom w:val="single" w:color="000000" w:sz="4" w:space="0"/>
              <w:right w:val="single" w:color="000000" w:sz="4" w:space="0"/>
            </w:tcBorders>
            <w:vAlign w:val="top"/>
          </w:tcPr>
          <w:p w14:paraId="4B9A313C">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40</w:t>
            </w:r>
          </w:p>
        </w:tc>
        <w:tc>
          <w:tcPr>
            <w:tcW w:w="929" w:type="dxa"/>
            <w:tcBorders>
              <w:top w:val="single" w:color="000000" w:sz="12" w:space="0"/>
              <w:left w:val="single" w:color="000000" w:sz="4" w:space="0"/>
              <w:bottom w:val="single" w:color="000000" w:sz="4" w:space="0"/>
              <w:right w:val="single" w:color="000000" w:sz="4" w:space="0"/>
            </w:tcBorders>
            <w:vAlign w:val="top"/>
          </w:tcPr>
          <w:p w14:paraId="34760570">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50</w:t>
            </w:r>
          </w:p>
        </w:tc>
        <w:tc>
          <w:tcPr>
            <w:tcW w:w="929" w:type="dxa"/>
            <w:tcBorders>
              <w:top w:val="single" w:color="000000" w:sz="12" w:space="0"/>
              <w:left w:val="single" w:color="000000" w:sz="4" w:space="0"/>
              <w:bottom w:val="single" w:color="000000" w:sz="4" w:space="0"/>
              <w:right w:val="single" w:color="000000" w:sz="4" w:space="0"/>
            </w:tcBorders>
            <w:vAlign w:val="top"/>
          </w:tcPr>
          <w:p w14:paraId="323FB7F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60</w:t>
            </w:r>
          </w:p>
        </w:tc>
        <w:tc>
          <w:tcPr>
            <w:tcW w:w="944" w:type="dxa"/>
            <w:tcBorders>
              <w:top w:val="single" w:color="000000" w:sz="12" w:space="0"/>
              <w:left w:val="single" w:color="000000" w:sz="4" w:space="0"/>
              <w:bottom w:val="single" w:color="000000" w:sz="4" w:space="0"/>
              <w:right w:val="single" w:color="000000" w:sz="12" w:space="0"/>
            </w:tcBorders>
            <w:vAlign w:val="top"/>
          </w:tcPr>
          <w:p w14:paraId="7B6F3191">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70</w:t>
            </w:r>
          </w:p>
        </w:tc>
      </w:tr>
      <w:tr w14:paraId="7FF7C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81" w:type="dxa"/>
            <w:tcBorders>
              <w:top w:val="single" w:color="000000" w:sz="4" w:space="0"/>
              <w:left w:val="single" w:color="000000" w:sz="12" w:space="0"/>
              <w:bottom w:val="single" w:color="000000" w:sz="4" w:space="0"/>
              <w:right w:val="single" w:color="000000" w:sz="4" w:space="0"/>
            </w:tcBorders>
            <w:vAlign w:val="top"/>
          </w:tcPr>
          <w:p w14:paraId="6A765E3C">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沉降速度（m/s）</w:t>
            </w:r>
          </w:p>
        </w:tc>
        <w:tc>
          <w:tcPr>
            <w:tcW w:w="934" w:type="dxa"/>
            <w:tcBorders>
              <w:top w:val="single" w:color="000000" w:sz="4" w:space="0"/>
              <w:left w:val="single" w:color="000000" w:sz="4" w:space="0"/>
              <w:bottom w:val="single" w:color="000000" w:sz="4" w:space="0"/>
              <w:right w:val="single" w:color="000000" w:sz="4" w:space="0"/>
            </w:tcBorders>
            <w:vAlign w:val="top"/>
          </w:tcPr>
          <w:p w14:paraId="5C115DA8">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0.003</w:t>
            </w:r>
          </w:p>
        </w:tc>
        <w:tc>
          <w:tcPr>
            <w:tcW w:w="929" w:type="dxa"/>
            <w:tcBorders>
              <w:top w:val="single" w:color="000000" w:sz="4" w:space="0"/>
              <w:left w:val="single" w:color="000000" w:sz="4" w:space="0"/>
              <w:bottom w:val="single" w:color="000000" w:sz="4" w:space="0"/>
              <w:right w:val="single" w:color="000000" w:sz="4" w:space="0"/>
            </w:tcBorders>
            <w:vAlign w:val="top"/>
          </w:tcPr>
          <w:p w14:paraId="66FAFA9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0.012</w:t>
            </w:r>
          </w:p>
        </w:tc>
        <w:tc>
          <w:tcPr>
            <w:tcW w:w="929" w:type="dxa"/>
            <w:tcBorders>
              <w:top w:val="single" w:color="000000" w:sz="4" w:space="0"/>
              <w:left w:val="single" w:color="000000" w:sz="4" w:space="0"/>
              <w:bottom w:val="single" w:color="000000" w:sz="4" w:space="0"/>
              <w:right w:val="single" w:color="000000" w:sz="4" w:space="0"/>
            </w:tcBorders>
            <w:vAlign w:val="top"/>
          </w:tcPr>
          <w:p w14:paraId="5D1390AE">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0.027</w:t>
            </w:r>
          </w:p>
        </w:tc>
        <w:tc>
          <w:tcPr>
            <w:tcW w:w="929" w:type="dxa"/>
            <w:tcBorders>
              <w:top w:val="single" w:color="000000" w:sz="4" w:space="0"/>
              <w:left w:val="single" w:color="000000" w:sz="4" w:space="0"/>
              <w:bottom w:val="single" w:color="000000" w:sz="4" w:space="0"/>
              <w:right w:val="single" w:color="000000" w:sz="4" w:space="0"/>
            </w:tcBorders>
            <w:vAlign w:val="top"/>
          </w:tcPr>
          <w:p w14:paraId="6ED1067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0.048</w:t>
            </w:r>
          </w:p>
        </w:tc>
        <w:tc>
          <w:tcPr>
            <w:tcW w:w="929" w:type="dxa"/>
            <w:tcBorders>
              <w:top w:val="single" w:color="000000" w:sz="4" w:space="0"/>
              <w:left w:val="single" w:color="000000" w:sz="4" w:space="0"/>
              <w:bottom w:val="single" w:color="000000" w:sz="4" w:space="0"/>
              <w:right w:val="single" w:color="000000" w:sz="4" w:space="0"/>
            </w:tcBorders>
            <w:vAlign w:val="top"/>
          </w:tcPr>
          <w:p w14:paraId="3C7ABF91">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0.075</w:t>
            </w:r>
          </w:p>
        </w:tc>
        <w:tc>
          <w:tcPr>
            <w:tcW w:w="929" w:type="dxa"/>
            <w:tcBorders>
              <w:top w:val="single" w:color="000000" w:sz="4" w:space="0"/>
              <w:left w:val="single" w:color="000000" w:sz="4" w:space="0"/>
              <w:bottom w:val="single" w:color="000000" w:sz="4" w:space="0"/>
              <w:right w:val="single" w:color="000000" w:sz="4" w:space="0"/>
            </w:tcBorders>
            <w:vAlign w:val="top"/>
          </w:tcPr>
          <w:p w14:paraId="7DA73FE4">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0.108</w:t>
            </w:r>
          </w:p>
        </w:tc>
        <w:tc>
          <w:tcPr>
            <w:tcW w:w="944" w:type="dxa"/>
            <w:tcBorders>
              <w:top w:val="single" w:color="000000" w:sz="4" w:space="0"/>
              <w:left w:val="single" w:color="000000" w:sz="4" w:space="0"/>
              <w:bottom w:val="single" w:color="000000" w:sz="4" w:space="0"/>
              <w:right w:val="single" w:color="000000" w:sz="12" w:space="0"/>
            </w:tcBorders>
            <w:vAlign w:val="top"/>
          </w:tcPr>
          <w:p w14:paraId="0138D3E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0.147</w:t>
            </w:r>
          </w:p>
        </w:tc>
      </w:tr>
      <w:tr w14:paraId="54013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981" w:type="dxa"/>
            <w:tcBorders>
              <w:top w:val="single" w:color="000000" w:sz="4" w:space="0"/>
              <w:left w:val="single" w:color="000000" w:sz="12" w:space="0"/>
              <w:bottom w:val="single" w:color="000000" w:sz="4" w:space="0"/>
              <w:right w:val="single" w:color="000000" w:sz="4" w:space="0"/>
            </w:tcBorders>
            <w:vAlign w:val="top"/>
          </w:tcPr>
          <w:p w14:paraId="0CF5AC84">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粉尘粒径</w:t>
            </w:r>
            <w:r>
              <w:rPr>
                <w:rFonts w:hint="eastAsia" w:cs="Times New Roman"/>
                <w:b/>
                <w:bCs/>
                <w:color w:val="auto"/>
                <w:kern w:val="0"/>
                <w:sz w:val="21"/>
                <w:szCs w:val="24"/>
                <w:lang w:val="en-US" w:eastAsia="zh-CN" w:bidi="ar-SA"/>
              </w:rPr>
              <w:t>（</w:t>
            </w:r>
            <w:r>
              <w:rPr>
                <w:rFonts w:hint="default" w:ascii="Times New Roman" w:hAnsi="Times New Roman" w:eastAsia="宋体" w:cs="Times New Roman"/>
                <w:b/>
                <w:bCs/>
                <w:color w:val="auto"/>
                <w:kern w:val="0"/>
                <w:sz w:val="21"/>
                <w:szCs w:val="24"/>
                <w:lang w:val="en-US" w:eastAsia="zh-CN" w:bidi="ar-SA"/>
              </w:rPr>
              <w:t>μm）</w:t>
            </w:r>
          </w:p>
        </w:tc>
        <w:tc>
          <w:tcPr>
            <w:tcW w:w="934" w:type="dxa"/>
            <w:tcBorders>
              <w:top w:val="single" w:color="000000" w:sz="4" w:space="0"/>
              <w:left w:val="single" w:color="000000" w:sz="4" w:space="0"/>
              <w:bottom w:val="single" w:color="000000" w:sz="4" w:space="0"/>
              <w:right w:val="single" w:color="000000" w:sz="4" w:space="0"/>
            </w:tcBorders>
            <w:vAlign w:val="top"/>
          </w:tcPr>
          <w:p w14:paraId="671DF8D7">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80</w:t>
            </w:r>
          </w:p>
        </w:tc>
        <w:tc>
          <w:tcPr>
            <w:tcW w:w="929" w:type="dxa"/>
            <w:tcBorders>
              <w:top w:val="single" w:color="000000" w:sz="4" w:space="0"/>
              <w:left w:val="single" w:color="000000" w:sz="4" w:space="0"/>
              <w:bottom w:val="single" w:color="000000" w:sz="4" w:space="0"/>
              <w:right w:val="single" w:color="000000" w:sz="4" w:space="0"/>
            </w:tcBorders>
            <w:vAlign w:val="top"/>
          </w:tcPr>
          <w:p w14:paraId="63EE9176">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90</w:t>
            </w:r>
          </w:p>
        </w:tc>
        <w:tc>
          <w:tcPr>
            <w:tcW w:w="929" w:type="dxa"/>
            <w:tcBorders>
              <w:top w:val="single" w:color="000000" w:sz="4" w:space="0"/>
              <w:left w:val="single" w:color="000000" w:sz="4" w:space="0"/>
              <w:bottom w:val="single" w:color="000000" w:sz="4" w:space="0"/>
              <w:right w:val="single" w:color="000000" w:sz="4" w:space="0"/>
            </w:tcBorders>
            <w:vAlign w:val="top"/>
          </w:tcPr>
          <w:p w14:paraId="6482191E">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100</w:t>
            </w:r>
          </w:p>
        </w:tc>
        <w:tc>
          <w:tcPr>
            <w:tcW w:w="929" w:type="dxa"/>
            <w:tcBorders>
              <w:top w:val="single" w:color="000000" w:sz="4" w:space="0"/>
              <w:left w:val="single" w:color="000000" w:sz="4" w:space="0"/>
              <w:bottom w:val="single" w:color="000000" w:sz="4" w:space="0"/>
              <w:right w:val="single" w:color="000000" w:sz="4" w:space="0"/>
            </w:tcBorders>
            <w:vAlign w:val="top"/>
          </w:tcPr>
          <w:p w14:paraId="388CAEBE">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150</w:t>
            </w:r>
          </w:p>
        </w:tc>
        <w:tc>
          <w:tcPr>
            <w:tcW w:w="929" w:type="dxa"/>
            <w:tcBorders>
              <w:top w:val="single" w:color="000000" w:sz="4" w:space="0"/>
              <w:left w:val="single" w:color="000000" w:sz="4" w:space="0"/>
              <w:bottom w:val="single" w:color="000000" w:sz="4" w:space="0"/>
              <w:right w:val="single" w:color="000000" w:sz="4" w:space="0"/>
            </w:tcBorders>
            <w:vAlign w:val="top"/>
          </w:tcPr>
          <w:p w14:paraId="6638E4A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200</w:t>
            </w:r>
          </w:p>
        </w:tc>
        <w:tc>
          <w:tcPr>
            <w:tcW w:w="929" w:type="dxa"/>
            <w:tcBorders>
              <w:top w:val="single" w:color="000000" w:sz="4" w:space="0"/>
              <w:left w:val="single" w:color="000000" w:sz="4" w:space="0"/>
              <w:bottom w:val="single" w:color="000000" w:sz="4" w:space="0"/>
              <w:right w:val="single" w:color="000000" w:sz="4" w:space="0"/>
            </w:tcBorders>
            <w:vAlign w:val="top"/>
          </w:tcPr>
          <w:p w14:paraId="43DE37EE">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250</w:t>
            </w:r>
          </w:p>
        </w:tc>
        <w:tc>
          <w:tcPr>
            <w:tcW w:w="944" w:type="dxa"/>
            <w:tcBorders>
              <w:top w:val="single" w:color="000000" w:sz="4" w:space="0"/>
              <w:left w:val="single" w:color="000000" w:sz="4" w:space="0"/>
              <w:bottom w:val="single" w:color="000000" w:sz="4" w:space="0"/>
              <w:right w:val="single" w:color="000000" w:sz="12" w:space="0"/>
            </w:tcBorders>
            <w:vAlign w:val="top"/>
          </w:tcPr>
          <w:p w14:paraId="5E56BEE7">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350</w:t>
            </w:r>
          </w:p>
        </w:tc>
      </w:tr>
      <w:tr w14:paraId="2F036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81" w:type="dxa"/>
            <w:tcBorders>
              <w:top w:val="single" w:color="000000" w:sz="4" w:space="0"/>
              <w:left w:val="single" w:color="000000" w:sz="12" w:space="0"/>
              <w:bottom w:val="single" w:color="000000" w:sz="4" w:space="0"/>
              <w:right w:val="single" w:color="000000" w:sz="4" w:space="0"/>
            </w:tcBorders>
            <w:vAlign w:val="top"/>
          </w:tcPr>
          <w:p w14:paraId="5D728B4E">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沉降速度</w:t>
            </w:r>
            <w:r>
              <w:rPr>
                <w:rFonts w:hint="eastAsia" w:cs="Times New Roman"/>
                <w:b/>
                <w:bCs/>
                <w:color w:val="auto"/>
                <w:kern w:val="0"/>
                <w:sz w:val="21"/>
                <w:szCs w:val="24"/>
                <w:lang w:val="en-US" w:eastAsia="zh-CN" w:bidi="ar-SA"/>
              </w:rPr>
              <w:t>（</w:t>
            </w:r>
            <w:r>
              <w:rPr>
                <w:rFonts w:hint="default" w:ascii="Times New Roman" w:hAnsi="Times New Roman" w:eastAsia="宋体" w:cs="Times New Roman"/>
                <w:b/>
                <w:bCs/>
                <w:color w:val="auto"/>
                <w:kern w:val="0"/>
                <w:sz w:val="21"/>
                <w:szCs w:val="24"/>
                <w:lang w:val="en-US" w:eastAsia="zh-CN" w:bidi="ar-SA"/>
              </w:rPr>
              <w:t>m/s</w:t>
            </w:r>
            <w:r>
              <w:rPr>
                <w:rFonts w:hint="eastAsia" w:cs="Times New Roman"/>
                <w:b/>
                <w:bCs/>
                <w:color w:val="auto"/>
                <w:kern w:val="0"/>
                <w:sz w:val="21"/>
                <w:szCs w:val="24"/>
                <w:lang w:val="en-US" w:eastAsia="zh-CN" w:bidi="ar-SA"/>
              </w:rPr>
              <w:t>）</w:t>
            </w:r>
          </w:p>
        </w:tc>
        <w:tc>
          <w:tcPr>
            <w:tcW w:w="934" w:type="dxa"/>
            <w:tcBorders>
              <w:top w:val="single" w:color="000000" w:sz="4" w:space="0"/>
              <w:left w:val="single" w:color="000000" w:sz="4" w:space="0"/>
              <w:bottom w:val="single" w:color="000000" w:sz="4" w:space="0"/>
              <w:right w:val="single" w:color="000000" w:sz="4" w:space="0"/>
            </w:tcBorders>
            <w:vAlign w:val="top"/>
          </w:tcPr>
          <w:p w14:paraId="0B91F57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0.158</w:t>
            </w:r>
          </w:p>
        </w:tc>
        <w:tc>
          <w:tcPr>
            <w:tcW w:w="929" w:type="dxa"/>
            <w:tcBorders>
              <w:top w:val="single" w:color="000000" w:sz="4" w:space="0"/>
              <w:left w:val="single" w:color="000000" w:sz="4" w:space="0"/>
              <w:bottom w:val="single" w:color="000000" w:sz="4" w:space="0"/>
              <w:right w:val="single" w:color="000000" w:sz="4" w:space="0"/>
            </w:tcBorders>
            <w:vAlign w:val="top"/>
          </w:tcPr>
          <w:p w14:paraId="072C68AD">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0.170</w:t>
            </w:r>
          </w:p>
        </w:tc>
        <w:tc>
          <w:tcPr>
            <w:tcW w:w="929" w:type="dxa"/>
            <w:tcBorders>
              <w:top w:val="single" w:color="000000" w:sz="4" w:space="0"/>
              <w:left w:val="single" w:color="000000" w:sz="4" w:space="0"/>
              <w:bottom w:val="single" w:color="000000" w:sz="4" w:space="0"/>
              <w:right w:val="single" w:color="000000" w:sz="4" w:space="0"/>
            </w:tcBorders>
            <w:vAlign w:val="top"/>
          </w:tcPr>
          <w:p w14:paraId="33D3365E">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0.182</w:t>
            </w:r>
          </w:p>
        </w:tc>
        <w:tc>
          <w:tcPr>
            <w:tcW w:w="929" w:type="dxa"/>
            <w:tcBorders>
              <w:top w:val="single" w:color="000000" w:sz="4" w:space="0"/>
              <w:left w:val="single" w:color="000000" w:sz="4" w:space="0"/>
              <w:bottom w:val="single" w:color="000000" w:sz="4" w:space="0"/>
              <w:right w:val="single" w:color="000000" w:sz="4" w:space="0"/>
            </w:tcBorders>
            <w:vAlign w:val="top"/>
          </w:tcPr>
          <w:p w14:paraId="3FC3F466">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0.239</w:t>
            </w:r>
          </w:p>
        </w:tc>
        <w:tc>
          <w:tcPr>
            <w:tcW w:w="929" w:type="dxa"/>
            <w:tcBorders>
              <w:top w:val="single" w:color="000000" w:sz="4" w:space="0"/>
              <w:left w:val="single" w:color="000000" w:sz="4" w:space="0"/>
              <w:bottom w:val="single" w:color="000000" w:sz="4" w:space="0"/>
              <w:right w:val="single" w:color="000000" w:sz="4" w:space="0"/>
            </w:tcBorders>
            <w:vAlign w:val="top"/>
          </w:tcPr>
          <w:p w14:paraId="3706DE06">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0.804</w:t>
            </w:r>
          </w:p>
        </w:tc>
        <w:tc>
          <w:tcPr>
            <w:tcW w:w="929" w:type="dxa"/>
            <w:tcBorders>
              <w:top w:val="single" w:color="000000" w:sz="4" w:space="0"/>
              <w:left w:val="single" w:color="000000" w:sz="4" w:space="0"/>
              <w:bottom w:val="single" w:color="000000" w:sz="4" w:space="0"/>
              <w:right w:val="single" w:color="000000" w:sz="4" w:space="0"/>
            </w:tcBorders>
            <w:vAlign w:val="top"/>
          </w:tcPr>
          <w:p w14:paraId="786446FB">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1.005</w:t>
            </w:r>
          </w:p>
        </w:tc>
        <w:tc>
          <w:tcPr>
            <w:tcW w:w="944" w:type="dxa"/>
            <w:tcBorders>
              <w:top w:val="single" w:color="000000" w:sz="4" w:space="0"/>
              <w:left w:val="single" w:color="000000" w:sz="4" w:space="0"/>
              <w:bottom w:val="single" w:color="000000" w:sz="4" w:space="0"/>
              <w:right w:val="single" w:color="000000" w:sz="12" w:space="0"/>
            </w:tcBorders>
            <w:vAlign w:val="top"/>
          </w:tcPr>
          <w:p w14:paraId="6ADA6E8C">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1.829</w:t>
            </w:r>
          </w:p>
        </w:tc>
      </w:tr>
      <w:tr w14:paraId="0C3AA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81" w:type="dxa"/>
            <w:tcBorders>
              <w:top w:val="single" w:color="000000" w:sz="4" w:space="0"/>
              <w:left w:val="single" w:color="000000" w:sz="12" w:space="0"/>
              <w:bottom w:val="single" w:color="000000" w:sz="4" w:space="0"/>
              <w:right w:val="single" w:color="000000" w:sz="4" w:space="0"/>
            </w:tcBorders>
            <w:vAlign w:val="top"/>
          </w:tcPr>
          <w:p w14:paraId="56A7C726">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粉尘粒径</w:t>
            </w:r>
            <w:r>
              <w:rPr>
                <w:rFonts w:hint="eastAsia" w:cs="Times New Roman"/>
                <w:b/>
                <w:bCs/>
                <w:color w:val="auto"/>
                <w:kern w:val="0"/>
                <w:sz w:val="21"/>
                <w:szCs w:val="24"/>
                <w:lang w:val="en-US" w:eastAsia="zh-CN" w:bidi="ar-SA"/>
              </w:rPr>
              <w:t>（</w:t>
            </w:r>
            <w:r>
              <w:rPr>
                <w:rFonts w:hint="default" w:ascii="Times New Roman" w:hAnsi="Times New Roman" w:eastAsia="宋体" w:cs="Times New Roman"/>
                <w:b/>
                <w:bCs/>
                <w:color w:val="auto"/>
                <w:kern w:val="0"/>
                <w:sz w:val="21"/>
                <w:szCs w:val="24"/>
                <w:lang w:val="en-US" w:eastAsia="zh-CN" w:bidi="ar-SA"/>
              </w:rPr>
              <w:t>μm）</w:t>
            </w:r>
          </w:p>
        </w:tc>
        <w:tc>
          <w:tcPr>
            <w:tcW w:w="934" w:type="dxa"/>
            <w:tcBorders>
              <w:top w:val="single" w:color="000000" w:sz="4" w:space="0"/>
              <w:left w:val="single" w:color="000000" w:sz="4" w:space="0"/>
              <w:bottom w:val="single" w:color="000000" w:sz="4" w:space="0"/>
              <w:right w:val="single" w:color="000000" w:sz="4" w:space="0"/>
            </w:tcBorders>
            <w:vAlign w:val="top"/>
          </w:tcPr>
          <w:p w14:paraId="626AFE96">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450</w:t>
            </w:r>
          </w:p>
        </w:tc>
        <w:tc>
          <w:tcPr>
            <w:tcW w:w="929" w:type="dxa"/>
            <w:tcBorders>
              <w:top w:val="single" w:color="000000" w:sz="4" w:space="0"/>
              <w:left w:val="single" w:color="000000" w:sz="4" w:space="0"/>
              <w:bottom w:val="single" w:color="000000" w:sz="4" w:space="0"/>
              <w:right w:val="single" w:color="000000" w:sz="4" w:space="0"/>
            </w:tcBorders>
            <w:vAlign w:val="top"/>
          </w:tcPr>
          <w:p w14:paraId="00E16A7B">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550</w:t>
            </w:r>
          </w:p>
        </w:tc>
        <w:tc>
          <w:tcPr>
            <w:tcW w:w="929" w:type="dxa"/>
            <w:tcBorders>
              <w:top w:val="single" w:color="000000" w:sz="4" w:space="0"/>
              <w:left w:val="single" w:color="000000" w:sz="4" w:space="0"/>
              <w:bottom w:val="single" w:color="000000" w:sz="4" w:space="0"/>
              <w:right w:val="single" w:color="000000" w:sz="4" w:space="0"/>
            </w:tcBorders>
            <w:vAlign w:val="top"/>
          </w:tcPr>
          <w:p w14:paraId="48184B0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650</w:t>
            </w:r>
          </w:p>
        </w:tc>
        <w:tc>
          <w:tcPr>
            <w:tcW w:w="929" w:type="dxa"/>
            <w:tcBorders>
              <w:top w:val="single" w:color="000000" w:sz="4" w:space="0"/>
              <w:left w:val="single" w:color="000000" w:sz="4" w:space="0"/>
              <w:bottom w:val="single" w:color="000000" w:sz="4" w:space="0"/>
              <w:right w:val="single" w:color="000000" w:sz="4" w:space="0"/>
            </w:tcBorders>
            <w:vAlign w:val="top"/>
          </w:tcPr>
          <w:p w14:paraId="5ADEBDE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750</w:t>
            </w:r>
          </w:p>
        </w:tc>
        <w:tc>
          <w:tcPr>
            <w:tcW w:w="929" w:type="dxa"/>
            <w:tcBorders>
              <w:top w:val="single" w:color="000000" w:sz="4" w:space="0"/>
              <w:left w:val="single" w:color="000000" w:sz="4" w:space="0"/>
              <w:bottom w:val="single" w:color="000000" w:sz="4" w:space="0"/>
              <w:right w:val="single" w:color="000000" w:sz="4" w:space="0"/>
            </w:tcBorders>
            <w:vAlign w:val="top"/>
          </w:tcPr>
          <w:p w14:paraId="6FC6216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850</w:t>
            </w:r>
          </w:p>
        </w:tc>
        <w:tc>
          <w:tcPr>
            <w:tcW w:w="929" w:type="dxa"/>
            <w:tcBorders>
              <w:top w:val="single" w:color="000000" w:sz="4" w:space="0"/>
              <w:left w:val="single" w:color="000000" w:sz="4" w:space="0"/>
              <w:bottom w:val="single" w:color="000000" w:sz="4" w:space="0"/>
              <w:right w:val="single" w:color="000000" w:sz="4" w:space="0"/>
            </w:tcBorders>
            <w:vAlign w:val="top"/>
          </w:tcPr>
          <w:p w14:paraId="501FFCB6">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950</w:t>
            </w:r>
          </w:p>
        </w:tc>
        <w:tc>
          <w:tcPr>
            <w:tcW w:w="944" w:type="dxa"/>
            <w:tcBorders>
              <w:top w:val="single" w:color="000000" w:sz="4" w:space="0"/>
              <w:left w:val="single" w:color="000000" w:sz="4" w:space="0"/>
              <w:bottom w:val="single" w:color="000000" w:sz="4" w:space="0"/>
              <w:right w:val="single" w:color="000000" w:sz="12" w:space="0"/>
            </w:tcBorders>
            <w:vAlign w:val="top"/>
          </w:tcPr>
          <w:p w14:paraId="3298B1C8">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1050</w:t>
            </w:r>
          </w:p>
        </w:tc>
      </w:tr>
      <w:tr w14:paraId="44D7B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1981" w:type="dxa"/>
            <w:tcBorders>
              <w:top w:val="single" w:color="000000" w:sz="4" w:space="0"/>
              <w:left w:val="single" w:color="000000" w:sz="12" w:space="0"/>
              <w:bottom w:val="single" w:color="000000" w:sz="12" w:space="0"/>
              <w:right w:val="single" w:color="000000" w:sz="4" w:space="0"/>
            </w:tcBorders>
            <w:vAlign w:val="top"/>
          </w:tcPr>
          <w:p w14:paraId="3CB8BFD2">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沉降速度（m/s）</w:t>
            </w:r>
          </w:p>
        </w:tc>
        <w:tc>
          <w:tcPr>
            <w:tcW w:w="934" w:type="dxa"/>
            <w:tcBorders>
              <w:top w:val="single" w:color="000000" w:sz="4" w:space="0"/>
              <w:left w:val="single" w:color="000000" w:sz="4" w:space="0"/>
              <w:bottom w:val="single" w:color="000000" w:sz="12" w:space="0"/>
              <w:right w:val="single" w:color="000000" w:sz="4" w:space="0"/>
            </w:tcBorders>
            <w:vAlign w:val="top"/>
          </w:tcPr>
          <w:p w14:paraId="390C70FD">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2.211</w:t>
            </w:r>
          </w:p>
        </w:tc>
        <w:tc>
          <w:tcPr>
            <w:tcW w:w="929" w:type="dxa"/>
            <w:tcBorders>
              <w:top w:val="single" w:color="000000" w:sz="4" w:space="0"/>
              <w:left w:val="single" w:color="000000" w:sz="4" w:space="0"/>
              <w:bottom w:val="single" w:color="000000" w:sz="12" w:space="0"/>
              <w:right w:val="single" w:color="000000" w:sz="4" w:space="0"/>
            </w:tcBorders>
            <w:vAlign w:val="top"/>
          </w:tcPr>
          <w:p w14:paraId="6E97BE9F">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2.614</w:t>
            </w:r>
          </w:p>
        </w:tc>
        <w:tc>
          <w:tcPr>
            <w:tcW w:w="929" w:type="dxa"/>
            <w:tcBorders>
              <w:top w:val="single" w:color="000000" w:sz="4" w:space="0"/>
              <w:left w:val="single" w:color="000000" w:sz="4" w:space="0"/>
              <w:bottom w:val="single" w:color="000000" w:sz="12" w:space="0"/>
              <w:right w:val="single" w:color="000000" w:sz="4" w:space="0"/>
            </w:tcBorders>
            <w:vAlign w:val="top"/>
          </w:tcPr>
          <w:p w14:paraId="47094305">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3.016</w:t>
            </w:r>
          </w:p>
        </w:tc>
        <w:tc>
          <w:tcPr>
            <w:tcW w:w="929" w:type="dxa"/>
            <w:tcBorders>
              <w:top w:val="single" w:color="000000" w:sz="4" w:space="0"/>
              <w:left w:val="single" w:color="000000" w:sz="4" w:space="0"/>
              <w:bottom w:val="single" w:color="000000" w:sz="12" w:space="0"/>
              <w:right w:val="single" w:color="000000" w:sz="4" w:space="0"/>
            </w:tcBorders>
            <w:vAlign w:val="top"/>
          </w:tcPr>
          <w:p w14:paraId="3DE6B779">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3.418</w:t>
            </w:r>
          </w:p>
        </w:tc>
        <w:tc>
          <w:tcPr>
            <w:tcW w:w="929" w:type="dxa"/>
            <w:tcBorders>
              <w:top w:val="single" w:color="000000" w:sz="4" w:space="0"/>
              <w:left w:val="single" w:color="000000" w:sz="4" w:space="0"/>
              <w:bottom w:val="single" w:color="000000" w:sz="12" w:space="0"/>
              <w:right w:val="single" w:color="000000" w:sz="4" w:space="0"/>
            </w:tcBorders>
            <w:vAlign w:val="top"/>
          </w:tcPr>
          <w:p w14:paraId="54E28330">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3.820</w:t>
            </w:r>
          </w:p>
        </w:tc>
        <w:tc>
          <w:tcPr>
            <w:tcW w:w="929" w:type="dxa"/>
            <w:tcBorders>
              <w:top w:val="single" w:color="000000" w:sz="4" w:space="0"/>
              <w:left w:val="single" w:color="000000" w:sz="4" w:space="0"/>
              <w:bottom w:val="single" w:color="000000" w:sz="12" w:space="0"/>
              <w:right w:val="single" w:color="000000" w:sz="4" w:space="0"/>
            </w:tcBorders>
            <w:vAlign w:val="top"/>
          </w:tcPr>
          <w:p w14:paraId="1A95372C">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4.222</w:t>
            </w:r>
          </w:p>
        </w:tc>
        <w:tc>
          <w:tcPr>
            <w:tcW w:w="944" w:type="dxa"/>
            <w:tcBorders>
              <w:top w:val="single" w:color="000000" w:sz="4" w:space="0"/>
              <w:left w:val="single" w:color="000000" w:sz="4" w:space="0"/>
              <w:bottom w:val="single" w:color="000000" w:sz="12" w:space="0"/>
              <w:right w:val="single" w:color="000000" w:sz="12" w:space="0"/>
            </w:tcBorders>
            <w:vAlign w:val="top"/>
          </w:tcPr>
          <w:p w14:paraId="01A8065C">
            <w:pPr>
              <w:widowControl w:val="0"/>
              <w:overflowPunct w:val="0"/>
              <w:autoSpaceDE w:val="0"/>
              <w:autoSpaceDN w:val="0"/>
              <w:bidi w:val="0"/>
              <w:adjustRightInd w:val="0"/>
              <w:snapToGrid w:val="0"/>
              <w:spacing w:line="320" w:lineRule="atLeas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4.624</w:t>
            </w:r>
          </w:p>
        </w:tc>
      </w:tr>
    </w:tbl>
    <w:p w14:paraId="0B8920B3">
      <w:pPr>
        <w:keepNext w:val="0"/>
        <w:keepLines w:val="0"/>
        <w:pageBreakBefore w:val="0"/>
        <w:widowControl w:val="0"/>
        <w:kinsoku/>
        <w:wordWrap/>
        <w:overflowPunct/>
        <w:topLinePunct w:val="0"/>
        <w:autoSpaceDE/>
        <w:autoSpaceDN/>
        <w:bidi w:val="0"/>
        <w:adjustRightInd w:val="0"/>
        <w:spacing w:line="360" w:lineRule="auto"/>
        <w:ind w:firstLine="476" w:firstLineChars="200"/>
        <w:jc w:val="both"/>
        <w:textAlignment w:val="baseline"/>
        <w:rPr>
          <w:rFonts w:hint="default" w:ascii="Times New Roman" w:hAnsi="Times New Roman" w:eastAsia="宋体" w:cs="Times New Roman"/>
          <w:color w:val="000000"/>
          <w:kern w:val="0"/>
          <w:sz w:val="24"/>
          <w:szCs w:val="24"/>
          <w:highlight w:val="none"/>
          <w:lang w:val="zh-TW"/>
        </w:rPr>
      </w:pPr>
      <w:r>
        <w:rPr>
          <w:rFonts w:hint="default" w:ascii="Times New Roman" w:hAnsi="Times New Roman" w:eastAsia="宋体" w:cs="Times New Roman"/>
          <w:spacing w:val="-1"/>
          <w:sz w:val="24"/>
          <w:szCs w:val="24"/>
        </w:rPr>
        <w:t>由上表可知，粉尘的沉降速度随粒径的增大而迅速增大。当粒径为250μm时，沉降速度为1.005m/s，因此可认为当尘粒大于250μm时，主要影响范围在扬尘点下风向近距离范围内，而真正对外环境产生影响的是一些微小粒径的粉尘</w:t>
      </w:r>
      <w:r>
        <w:rPr>
          <w:rFonts w:hint="eastAsia" w:ascii="Times New Roman" w:hAnsi="Times New Roman" w:eastAsia="宋体" w:cs="Times New Roman"/>
          <w:spacing w:val="-1"/>
          <w:sz w:val="24"/>
          <w:szCs w:val="24"/>
          <w:lang w:eastAsia="zh-CN"/>
        </w:rPr>
        <w:t>。</w:t>
      </w:r>
    </w:p>
    <w:p w14:paraId="38F3D7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auto"/>
          <w:kern w:val="0"/>
          <w:sz w:val="24"/>
          <w:szCs w:val="24"/>
          <w:lang w:val="zh-TW" w:eastAsia="zh-CN"/>
        </w:rPr>
        <w:t>（2）</w:t>
      </w:r>
      <w:r>
        <w:rPr>
          <w:rFonts w:hint="eastAsia" w:ascii="Times New Roman" w:hAnsi="Times New Roman" w:eastAsia="宋体" w:cs="Times New Roman"/>
          <w:color w:val="000000"/>
          <w:sz w:val="24"/>
          <w:szCs w:val="24"/>
          <w:highlight w:val="none"/>
          <w:lang w:val="en-US" w:eastAsia="zh-CN"/>
        </w:rPr>
        <w:t>施工机械废气</w:t>
      </w:r>
    </w:p>
    <w:p w14:paraId="4BA974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宋体" w:cs="Times New Roman"/>
          <w:color w:val="000000"/>
          <w:sz w:val="24"/>
          <w:szCs w:val="24"/>
          <w:highlight w:val="none"/>
          <w:lang w:val="zh-TW"/>
        </w:rPr>
      </w:pPr>
      <w:r>
        <w:rPr>
          <w:rFonts w:hint="default" w:ascii="Times New Roman" w:hAnsi="Times New Roman" w:eastAsia="宋体" w:cs="Times New Roman"/>
          <w:color w:val="000000"/>
          <w:sz w:val="24"/>
          <w:szCs w:val="24"/>
          <w:highlight w:val="none"/>
          <w:lang w:val="zh-TW"/>
        </w:rPr>
        <w:t>施工机械废气主要为燃油机械设备运行产生的废气及运输车辆产生的废气，其主要污染物为烃类、一氧化碳及氮氧化物等。这些废气排放特点为无组织低空排放，会造成局部地区环境空气的污染。</w:t>
      </w:r>
    </w:p>
    <w:p w14:paraId="07DC9AAA">
      <w:pPr>
        <w:keepNext w:val="0"/>
        <w:keepLines w:val="0"/>
        <w:pageBreakBefore w:val="0"/>
        <w:widowControl w:val="0"/>
        <w:kinsoku/>
        <w:wordWrap/>
        <w:overflowPunct/>
        <w:topLinePunct w:val="0"/>
        <w:autoSpaceDE/>
        <w:autoSpaceDN/>
        <w:bidi w:val="0"/>
        <w:adjustRightInd w:val="0"/>
        <w:spacing w:line="360" w:lineRule="auto"/>
        <w:ind w:firstLine="476" w:firstLineChars="200"/>
        <w:jc w:val="both"/>
        <w:textAlignment w:val="baseline"/>
        <w:rPr>
          <w:rFonts w:hint="eastAsia" w:ascii="Times New Roman" w:hAnsi="Times New Roman" w:eastAsia="宋体" w:cs="Times New Roman"/>
          <w:spacing w:val="-1"/>
          <w:sz w:val="24"/>
          <w:szCs w:val="24"/>
          <w:lang w:val="zh-TW" w:eastAsia="zh-CN"/>
        </w:rPr>
      </w:pPr>
      <w:r>
        <w:rPr>
          <w:rFonts w:hint="default" w:ascii="Times New Roman" w:hAnsi="Times New Roman" w:eastAsia="宋体" w:cs="Times New Roman"/>
          <w:spacing w:val="-1"/>
          <w:sz w:val="24"/>
          <w:szCs w:val="24"/>
        </w:rPr>
        <w:t>根据《环境保护实用数据手册》，柴油机尾气排口各污染物排放浓度为HC＜1800mg/m</w:t>
      </w:r>
      <w:r>
        <w:rPr>
          <w:rFonts w:hint="eastAsia" w:ascii="Times New Roman" w:hAnsi="Times New Roman" w:eastAsia="宋体" w:cs="Times New Roman"/>
          <w:spacing w:val="-1"/>
          <w:sz w:val="24"/>
          <w:szCs w:val="24"/>
          <w:vertAlign w:val="superscript"/>
          <w:lang w:val="en-US" w:eastAsia="zh-CN"/>
        </w:rPr>
        <w:t>3</w:t>
      </w:r>
      <w:r>
        <w:rPr>
          <w:rFonts w:hint="default" w:ascii="Times New Roman" w:hAnsi="Times New Roman" w:eastAsia="宋体" w:cs="Times New Roman"/>
          <w:spacing w:val="-1"/>
          <w:sz w:val="24"/>
          <w:szCs w:val="24"/>
        </w:rPr>
        <w:t>、SO</w:t>
      </w:r>
      <w:r>
        <w:rPr>
          <w:rFonts w:hint="default" w:ascii="Times New Roman" w:hAnsi="Times New Roman" w:eastAsia="宋体" w:cs="Times New Roman"/>
          <w:spacing w:val="-1"/>
          <w:sz w:val="24"/>
          <w:szCs w:val="24"/>
          <w:vertAlign w:val="subscript"/>
        </w:rPr>
        <w:t>2</w:t>
      </w:r>
      <w:r>
        <w:rPr>
          <w:rFonts w:hint="default" w:ascii="Times New Roman" w:hAnsi="Times New Roman" w:eastAsia="宋体" w:cs="Times New Roman"/>
          <w:spacing w:val="-1"/>
          <w:sz w:val="24"/>
          <w:szCs w:val="24"/>
        </w:rPr>
        <w:t>＜270mg/m</w:t>
      </w:r>
      <w:r>
        <w:rPr>
          <w:rFonts w:hint="eastAsia" w:ascii="Times New Roman" w:hAnsi="Times New Roman" w:eastAsia="宋体" w:cs="Times New Roman"/>
          <w:spacing w:val="-1"/>
          <w:sz w:val="24"/>
          <w:szCs w:val="24"/>
          <w:vertAlign w:val="superscript"/>
          <w:lang w:val="en-US" w:eastAsia="zh-CN"/>
        </w:rPr>
        <w:t>3</w:t>
      </w:r>
      <w:r>
        <w:rPr>
          <w:rFonts w:hint="default" w:ascii="Times New Roman" w:hAnsi="Times New Roman" w:eastAsia="宋体" w:cs="Times New Roman"/>
          <w:spacing w:val="-1"/>
          <w:sz w:val="24"/>
          <w:szCs w:val="24"/>
        </w:rPr>
        <w:t>、NO</w:t>
      </w:r>
      <w:r>
        <w:rPr>
          <w:rFonts w:hint="default" w:ascii="Times New Roman" w:hAnsi="Times New Roman" w:eastAsia="宋体" w:cs="Times New Roman"/>
          <w:spacing w:val="-1"/>
          <w:sz w:val="24"/>
          <w:szCs w:val="24"/>
          <w:vertAlign w:val="subscript"/>
        </w:rPr>
        <w:t>2</w:t>
      </w:r>
      <w:r>
        <w:rPr>
          <w:rFonts w:hint="default" w:ascii="Times New Roman" w:hAnsi="Times New Roman" w:eastAsia="宋体" w:cs="Times New Roman"/>
          <w:spacing w:val="-1"/>
          <w:sz w:val="24"/>
          <w:szCs w:val="24"/>
        </w:rPr>
        <w:t>＜2500mg/m</w:t>
      </w:r>
      <w:r>
        <w:rPr>
          <w:rFonts w:hint="eastAsia" w:ascii="Times New Roman" w:hAnsi="Times New Roman" w:eastAsia="宋体" w:cs="Times New Roman"/>
          <w:spacing w:val="-1"/>
          <w:sz w:val="24"/>
          <w:szCs w:val="24"/>
          <w:vertAlign w:val="superscript"/>
          <w:lang w:val="en-US" w:eastAsia="zh-CN"/>
        </w:rPr>
        <w:t>3</w:t>
      </w:r>
      <w:r>
        <w:rPr>
          <w:rFonts w:hint="default" w:ascii="Times New Roman" w:hAnsi="Times New Roman" w:eastAsia="宋体" w:cs="Times New Roman"/>
          <w:spacing w:val="-1"/>
          <w:sz w:val="24"/>
          <w:szCs w:val="24"/>
        </w:rPr>
        <w:t>、碳烟＜250mg/m</w:t>
      </w:r>
      <w:r>
        <w:rPr>
          <w:rFonts w:hint="eastAsia" w:ascii="Times New Roman" w:hAnsi="Times New Roman" w:eastAsia="宋体" w:cs="Times New Roman"/>
          <w:spacing w:val="-1"/>
          <w:sz w:val="24"/>
          <w:szCs w:val="24"/>
          <w:vertAlign w:val="superscript"/>
          <w:lang w:val="en-US" w:eastAsia="zh-CN"/>
        </w:rPr>
        <w:t>3</w:t>
      </w:r>
      <w:r>
        <w:rPr>
          <w:rFonts w:hint="default" w:ascii="Times New Roman" w:hAnsi="Times New Roman" w:eastAsia="宋体" w:cs="Times New Roman"/>
          <w:spacing w:val="-1"/>
          <w:sz w:val="24"/>
          <w:szCs w:val="24"/>
        </w:rPr>
        <w:t>。</w:t>
      </w:r>
      <w:r>
        <w:rPr>
          <w:rFonts w:hint="default" w:ascii="Times New Roman" w:hAnsi="Times New Roman" w:eastAsia="宋体" w:cs="Times New Roman"/>
          <w:spacing w:val="-1"/>
          <w:sz w:val="24"/>
          <w:szCs w:val="24"/>
          <w:lang w:val="zh-TW"/>
        </w:rPr>
        <w:t>中型车辆平均时速为30km/h，一氧化碳排放量为15.0g/km·辆，碳氢化合物排放量为1.67g/km·辆，二氧化氮为1.33g/km·辆。工程在加强施工机械、车辆运行管理与维护保养的情况下，可减少尾气排放，对周围环境的影响较小</w:t>
      </w:r>
      <w:r>
        <w:rPr>
          <w:rFonts w:hint="eastAsia" w:ascii="Times New Roman" w:hAnsi="Times New Roman" w:eastAsia="宋体" w:cs="Times New Roman"/>
          <w:spacing w:val="-1"/>
          <w:sz w:val="24"/>
          <w:szCs w:val="24"/>
          <w:lang w:val="zh-TW" w:eastAsia="zh-CN"/>
        </w:rPr>
        <w:t>。</w:t>
      </w:r>
    </w:p>
    <w:p w14:paraId="10B22ABF">
      <w:pPr>
        <w:keepNext w:val="0"/>
        <w:keepLines w:val="0"/>
        <w:pageBreakBefore w:val="0"/>
        <w:widowControl w:val="0"/>
        <w:kinsoku/>
        <w:wordWrap/>
        <w:overflowPunct/>
        <w:topLinePunct w:val="0"/>
        <w:autoSpaceDE/>
        <w:autoSpaceDN/>
        <w:bidi w:val="0"/>
        <w:adjustRightInd w:val="0"/>
        <w:spacing w:line="360" w:lineRule="auto"/>
        <w:ind w:firstLine="476" w:firstLineChars="200"/>
        <w:jc w:val="both"/>
        <w:textAlignment w:val="baseline"/>
        <w:rPr>
          <w:rFonts w:hint="eastAsia" w:ascii="Times New Roman" w:hAnsi="Times New Roman" w:eastAsia="宋体" w:cs="Times New Roman"/>
          <w:spacing w:val="-1"/>
          <w:sz w:val="24"/>
          <w:szCs w:val="24"/>
          <w:lang w:val="zh-TW" w:eastAsia="zh-CN"/>
        </w:rPr>
      </w:pPr>
      <w:r>
        <w:rPr>
          <w:rFonts w:hint="default" w:ascii="Times New Roman" w:hAnsi="Times New Roman" w:eastAsia="宋体" w:cs="Times New Roman"/>
          <w:spacing w:val="-1"/>
          <w:sz w:val="24"/>
          <w:szCs w:val="24"/>
          <w:lang w:val="zh-TW"/>
        </w:rPr>
        <w:t>评价要求施工单位加强施工场地管理，保证各生产设备正常运转，减少施工机械待机时间及运输车辆在施工场地内停留时间，能够有效减少废气产生量。由于施工期大气污染物的排放都是暂时的，只要合理规划、科学管理，施工活动不会对区域环境空气质量产生明显影响，而且随着施工活动的结束，施工期环境影响也将消失</w:t>
      </w:r>
      <w:r>
        <w:rPr>
          <w:rFonts w:hint="eastAsia" w:ascii="Times New Roman" w:hAnsi="Times New Roman" w:eastAsia="宋体" w:cs="Times New Roman"/>
          <w:spacing w:val="-1"/>
          <w:sz w:val="24"/>
          <w:szCs w:val="24"/>
          <w:lang w:val="zh-TW" w:eastAsia="zh-CN"/>
        </w:rPr>
        <w:t>。</w:t>
      </w:r>
    </w:p>
    <w:p w14:paraId="38F3210C">
      <w:pPr>
        <w:keepNext w:val="0"/>
        <w:keepLines w:val="0"/>
        <w:widowControl w:val="0"/>
        <w:bidi w:val="0"/>
        <w:spacing w:before="0" w:after="0" w:line="500" w:lineRule="exact"/>
        <w:jc w:val="both"/>
        <w:outlineLvl w:val="2"/>
        <w:rPr>
          <w:rFonts w:hint="default" w:ascii="Times New Roman" w:hAnsi="Times New Roman" w:eastAsia="宋体" w:cs="Times New Roman"/>
          <w:b/>
          <w:bCs/>
          <w:kern w:val="0"/>
          <w:sz w:val="28"/>
          <w:szCs w:val="28"/>
          <w:lang w:val="en-US" w:eastAsia="zh-CN" w:bidi="ar-SA"/>
        </w:rPr>
      </w:pPr>
      <w:r>
        <w:rPr>
          <w:rFonts w:hint="default" w:ascii="Times New Roman" w:hAnsi="Times New Roman" w:eastAsia="宋体" w:cs="Times New Roman"/>
          <w:b/>
          <w:bCs/>
          <w:kern w:val="0"/>
          <w:sz w:val="28"/>
          <w:szCs w:val="28"/>
          <w:lang w:val="en-US" w:eastAsia="zh-CN" w:bidi="ar-SA"/>
        </w:rPr>
        <w:t>5.1.2声环境影响分析</w:t>
      </w:r>
    </w:p>
    <w:p w14:paraId="7FE5FD87">
      <w:pPr>
        <w:adjustRightInd w:val="0"/>
        <w:snapToGrid w:val="0"/>
        <w:spacing w:line="520" w:lineRule="exact"/>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eastAsia="zh-TW"/>
        </w:rPr>
        <w:t>（</w:t>
      </w:r>
      <w:r>
        <w:rPr>
          <w:rFonts w:hint="default" w:ascii="Times New Roman" w:hAnsi="Times New Roman" w:eastAsia="宋体" w:cs="Times New Roman"/>
          <w:color w:val="000000"/>
          <w:kern w:val="0"/>
          <w:sz w:val="24"/>
          <w:szCs w:val="24"/>
          <w:highlight w:val="none"/>
        </w:rPr>
        <w:t>1</w:t>
      </w:r>
      <w:r>
        <w:rPr>
          <w:rFonts w:hint="default" w:ascii="Times New Roman" w:hAnsi="Times New Roman" w:eastAsia="宋体" w:cs="Times New Roman"/>
          <w:color w:val="000000"/>
          <w:kern w:val="0"/>
          <w:sz w:val="24"/>
          <w:szCs w:val="24"/>
          <w:highlight w:val="none"/>
          <w:lang w:val="zh-TW" w:eastAsia="zh-TW"/>
        </w:rPr>
        <w:t>）施工设施情况</w:t>
      </w:r>
    </w:p>
    <w:p w14:paraId="405D79E5">
      <w:pPr>
        <w:adjustRightInd w:val="0"/>
        <w:snapToGrid w:val="0"/>
        <w:spacing w:line="520" w:lineRule="exact"/>
        <w:ind w:firstLine="480" w:firstLineChars="200"/>
        <w:rPr>
          <w:rFonts w:hint="default" w:ascii="Times New Roman" w:hAnsi="Times New Roman" w:eastAsia="宋体" w:cs="Times New Roman"/>
          <w:color w:val="000000"/>
          <w:kern w:val="0"/>
          <w:sz w:val="24"/>
          <w:szCs w:val="24"/>
          <w:highlight w:val="none"/>
          <w:lang w:val="zh-TW"/>
        </w:rPr>
      </w:pPr>
      <w:r>
        <w:rPr>
          <w:rFonts w:hint="default" w:ascii="Times New Roman" w:hAnsi="Times New Roman" w:eastAsia="宋体" w:cs="Times New Roman"/>
          <w:color w:val="000000"/>
          <w:kern w:val="0"/>
          <w:sz w:val="24"/>
          <w:szCs w:val="24"/>
          <w:highlight w:val="none"/>
          <w:lang w:val="zh-TW"/>
        </w:rPr>
        <w:t>施工期间的各种施工机械产生的噪声是影响施工区附近声环境质量的重要因素。从施工过程来看，可以把工程施工期分为场地清理阶段、土石方挖掘阶段、结构施工阶段。土石方挖掘阶段主要噪声源为推土机、挖掘机、装载机和各种运输车辆作业时产生的噪声，主要是移动声源，没有明显的方向性；结构施工阶段，主要产噪设备有振捣器、电锯等，其中还包括一些撞击噪声。各施工阶段中以土石方挖掘阶段的挖掘机及土建施工阶段的振捣器等的噪声对环境影响最大。施工过程中各噪声设备源强调查结果见表5.1-</w:t>
      </w:r>
      <w:r>
        <w:rPr>
          <w:rFonts w:hint="eastAsia" w:eastAsia="宋体" w:cs="Times New Roman"/>
          <w:color w:val="000000"/>
          <w:kern w:val="0"/>
          <w:sz w:val="24"/>
          <w:szCs w:val="24"/>
          <w:highlight w:val="none"/>
          <w:lang w:val="en-US" w:eastAsia="zh-CN"/>
        </w:rPr>
        <w:t>3</w:t>
      </w:r>
      <w:r>
        <w:rPr>
          <w:rFonts w:hint="default" w:ascii="Times New Roman" w:hAnsi="Times New Roman" w:eastAsia="宋体" w:cs="Times New Roman"/>
          <w:color w:val="000000"/>
          <w:kern w:val="0"/>
          <w:sz w:val="24"/>
          <w:szCs w:val="24"/>
          <w:highlight w:val="none"/>
          <w:lang w:val="zh-TW"/>
        </w:rPr>
        <w:t>。</w:t>
      </w:r>
    </w:p>
    <w:p w14:paraId="0D41F4C0">
      <w:pPr>
        <w:widowControl/>
        <w:spacing w:after="80" w:line="520" w:lineRule="exact"/>
        <w:ind w:firstLine="0"/>
        <w:jc w:val="center"/>
        <w:rPr>
          <w:rFonts w:hint="default" w:ascii="Times New Roman" w:hAnsi="Times New Roman" w:eastAsia="宋体" w:cs="Times New Roman"/>
          <w:b/>
          <w:color w:val="000000"/>
          <w:kern w:val="0"/>
          <w:sz w:val="24"/>
          <w:szCs w:val="24"/>
          <w:highlight w:val="none"/>
          <w:lang w:val="en-US" w:eastAsia="zh-CN" w:bidi="en-US"/>
        </w:rPr>
      </w:pPr>
      <w:r>
        <w:rPr>
          <w:rFonts w:hint="default" w:ascii="Times New Roman" w:hAnsi="Times New Roman" w:eastAsia="宋体" w:cs="Times New Roman"/>
          <w:b/>
          <w:color w:val="000000"/>
          <w:kern w:val="0"/>
          <w:sz w:val="24"/>
          <w:szCs w:val="24"/>
          <w:highlight w:val="none"/>
          <w:lang w:val="en-US" w:eastAsia="zh-CN" w:bidi="en-US"/>
        </w:rPr>
        <w:t>表5.1-</w:t>
      </w:r>
      <w:r>
        <w:rPr>
          <w:rFonts w:hint="eastAsia" w:eastAsia="宋体" w:cs="Times New Roman"/>
          <w:b/>
          <w:color w:val="000000"/>
          <w:kern w:val="0"/>
          <w:sz w:val="24"/>
          <w:szCs w:val="24"/>
          <w:highlight w:val="none"/>
          <w:lang w:val="en-US" w:eastAsia="zh-CN" w:bidi="en-US"/>
        </w:rPr>
        <w:t>3</w:t>
      </w:r>
      <w:r>
        <w:rPr>
          <w:rFonts w:hint="default" w:ascii="Times New Roman" w:hAnsi="Times New Roman" w:eastAsia="宋体" w:cs="Times New Roman"/>
          <w:b/>
          <w:color w:val="000000"/>
          <w:kern w:val="0"/>
          <w:sz w:val="24"/>
          <w:szCs w:val="24"/>
          <w:highlight w:val="none"/>
          <w:lang w:val="en-US" w:eastAsia="zh-CN" w:bidi="en-US"/>
        </w:rPr>
        <w:t>工程施工期主要噪声源调查统计表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9"/>
        <w:gridCol w:w="2564"/>
        <w:gridCol w:w="2175"/>
        <w:gridCol w:w="1496"/>
      </w:tblGrid>
      <w:tr w14:paraId="56BAB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9" w:type="dxa"/>
            <w:noWrap w:val="0"/>
            <w:vAlign w:val="center"/>
          </w:tcPr>
          <w:p w14:paraId="1C05BEE9">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时间</w:t>
            </w:r>
          </w:p>
        </w:tc>
        <w:tc>
          <w:tcPr>
            <w:tcW w:w="2564" w:type="dxa"/>
            <w:noWrap w:val="0"/>
            <w:vAlign w:val="center"/>
          </w:tcPr>
          <w:p w14:paraId="1D0C634B">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施工机械</w:t>
            </w:r>
          </w:p>
        </w:tc>
        <w:tc>
          <w:tcPr>
            <w:tcW w:w="2175" w:type="dxa"/>
            <w:noWrap w:val="0"/>
            <w:vAlign w:val="center"/>
          </w:tcPr>
          <w:p w14:paraId="32BB0BB7">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声级（dBA）</w:t>
            </w:r>
          </w:p>
        </w:tc>
        <w:tc>
          <w:tcPr>
            <w:tcW w:w="1496" w:type="dxa"/>
            <w:noWrap w:val="0"/>
            <w:vAlign w:val="center"/>
          </w:tcPr>
          <w:p w14:paraId="125738E5">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声源性质</w:t>
            </w:r>
          </w:p>
        </w:tc>
      </w:tr>
      <w:tr w14:paraId="621D5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9" w:type="dxa"/>
            <w:vMerge w:val="restart"/>
            <w:noWrap w:val="0"/>
            <w:vAlign w:val="center"/>
          </w:tcPr>
          <w:p w14:paraId="18B3292F">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场地清理、土石方挖掘</w:t>
            </w:r>
          </w:p>
        </w:tc>
        <w:tc>
          <w:tcPr>
            <w:tcW w:w="2564" w:type="dxa"/>
            <w:noWrap w:val="0"/>
            <w:vAlign w:val="center"/>
          </w:tcPr>
          <w:p w14:paraId="75470768">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推土机</w:t>
            </w:r>
          </w:p>
        </w:tc>
        <w:tc>
          <w:tcPr>
            <w:tcW w:w="2175" w:type="dxa"/>
            <w:noWrap w:val="0"/>
            <w:vAlign w:val="center"/>
          </w:tcPr>
          <w:p w14:paraId="4CA5A372">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88</w:t>
            </w:r>
            <w:r>
              <w:rPr>
                <w:rFonts w:hint="eastAsia" w:cs="Times New Roman"/>
                <w:color w:val="000000"/>
                <w:kern w:val="0"/>
                <w:sz w:val="21"/>
                <w:szCs w:val="21"/>
                <w:highlight w:val="none"/>
                <w:lang w:val="zh-CN"/>
              </w:rPr>
              <w:t>~</w:t>
            </w:r>
            <w:r>
              <w:rPr>
                <w:rFonts w:hint="default" w:ascii="Times New Roman" w:hAnsi="Times New Roman" w:eastAsia="宋体" w:cs="Times New Roman"/>
                <w:color w:val="000000"/>
                <w:kern w:val="0"/>
                <w:sz w:val="21"/>
                <w:szCs w:val="21"/>
                <w:highlight w:val="none"/>
                <w:lang w:val="zh-CN"/>
              </w:rPr>
              <w:t>95</w:t>
            </w:r>
          </w:p>
        </w:tc>
        <w:tc>
          <w:tcPr>
            <w:tcW w:w="1496" w:type="dxa"/>
            <w:vMerge w:val="restart"/>
            <w:noWrap w:val="0"/>
            <w:vAlign w:val="center"/>
          </w:tcPr>
          <w:p w14:paraId="499AAF0F">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间歇性源</w:t>
            </w:r>
          </w:p>
        </w:tc>
      </w:tr>
      <w:tr w14:paraId="4C99F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9" w:type="dxa"/>
            <w:vMerge w:val="continue"/>
            <w:noWrap w:val="0"/>
            <w:vAlign w:val="center"/>
          </w:tcPr>
          <w:p w14:paraId="472BFDCC">
            <w:pPr>
              <w:spacing w:line="240" w:lineRule="auto"/>
              <w:jc w:val="center"/>
              <w:rPr>
                <w:rFonts w:hint="default" w:ascii="Times New Roman" w:hAnsi="Times New Roman" w:eastAsia="宋体" w:cs="Times New Roman"/>
                <w:color w:val="000000"/>
                <w:kern w:val="0"/>
                <w:sz w:val="21"/>
                <w:szCs w:val="21"/>
                <w:highlight w:val="none"/>
                <w:lang w:val="zh-CN"/>
              </w:rPr>
            </w:pPr>
          </w:p>
        </w:tc>
        <w:tc>
          <w:tcPr>
            <w:tcW w:w="2564" w:type="dxa"/>
            <w:noWrap w:val="0"/>
            <w:vAlign w:val="center"/>
          </w:tcPr>
          <w:p w14:paraId="077B034B">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挖掘机</w:t>
            </w:r>
          </w:p>
        </w:tc>
        <w:tc>
          <w:tcPr>
            <w:tcW w:w="2175" w:type="dxa"/>
            <w:noWrap w:val="0"/>
            <w:vAlign w:val="center"/>
          </w:tcPr>
          <w:p w14:paraId="7C6D6E74">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90</w:t>
            </w:r>
            <w:r>
              <w:rPr>
                <w:rFonts w:hint="eastAsia" w:cs="Times New Roman"/>
                <w:color w:val="000000"/>
                <w:kern w:val="0"/>
                <w:sz w:val="21"/>
                <w:szCs w:val="21"/>
                <w:highlight w:val="none"/>
                <w:lang w:val="zh-CN"/>
              </w:rPr>
              <w:t>~</w:t>
            </w:r>
            <w:r>
              <w:rPr>
                <w:rFonts w:hint="default" w:ascii="Times New Roman" w:hAnsi="Times New Roman" w:eastAsia="宋体" w:cs="Times New Roman"/>
                <w:color w:val="000000"/>
                <w:kern w:val="0"/>
                <w:sz w:val="21"/>
                <w:szCs w:val="21"/>
                <w:highlight w:val="none"/>
                <w:lang w:val="zh-CN"/>
              </w:rPr>
              <w:t>105</w:t>
            </w:r>
          </w:p>
        </w:tc>
        <w:tc>
          <w:tcPr>
            <w:tcW w:w="1496" w:type="dxa"/>
            <w:vMerge w:val="continue"/>
            <w:noWrap w:val="0"/>
            <w:vAlign w:val="center"/>
          </w:tcPr>
          <w:p w14:paraId="38963150">
            <w:pPr>
              <w:adjustRightInd w:val="0"/>
              <w:spacing w:line="240" w:lineRule="auto"/>
              <w:ind w:firstLine="420" w:firstLineChars="200"/>
              <w:jc w:val="center"/>
              <w:rPr>
                <w:rFonts w:hint="default" w:ascii="Times New Roman" w:hAnsi="Times New Roman" w:eastAsia="仿宋" w:cs="Times New Roman"/>
                <w:color w:val="000000"/>
                <w:kern w:val="0"/>
                <w:sz w:val="21"/>
                <w:szCs w:val="21"/>
                <w:highlight w:val="none"/>
              </w:rPr>
            </w:pPr>
          </w:p>
        </w:tc>
      </w:tr>
      <w:tr w14:paraId="578BA9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9" w:type="dxa"/>
            <w:vMerge w:val="continue"/>
            <w:noWrap w:val="0"/>
            <w:vAlign w:val="center"/>
          </w:tcPr>
          <w:p w14:paraId="2B46BA64">
            <w:pPr>
              <w:spacing w:line="240" w:lineRule="auto"/>
              <w:jc w:val="center"/>
              <w:rPr>
                <w:rFonts w:hint="default" w:ascii="Times New Roman" w:hAnsi="Times New Roman" w:eastAsia="宋体" w:cs="Times New Roman"/>
                <w:color w:val="000000"/>
                <w:kern w:val="0"/>
                <w:sz w:val="21"/>
                <w:szCs w:val="21"/>
                <w:highlight w:val="none"/>
                <w:lang w:val="zh-CN"/>
              </w:rPr>
            </w:pPr>
          </w:p>
        </w:tc>
        <w:tc>
          <w:tcPr>
            <w:tcW w:w="2564" w:type="dxa"/>
            <w:noWrap w:val="0"/>
            <w:vAlign w:val="center"/>
          </w:tcPr>
          <w:p w14:paraId="4606C5B8">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装载机</w:t>
            </w:r>
          </w:p>
        </w:tc>
        <w:tc>
          <w:tcPr>
            <w:tcW w:w="2175" w:type="dxa"/>
            <w:noWrap w:val="0"/>
            <w:vAlign w:val="center"/>
          </w:tcPr>
          <w:p w14:paraId="07960D1C">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90</w:t>
            </w:r>
            <w:r>
              <w:rPr>
                <w:rFonts w:hint="eastAsia" w:cs="Times New Roman"/>
                <w:color w:val="000000"/>
                <w:kern w:val="0"/>
                <w:sz w:val="21"/>
                <w:szCs w:val="21"/>
                <w:highlight w:val="none"/>
                <w:lang w:val="zh-CN"/>
              </w:rPr>
              <w:t>~</w:t>
            </w:r>
            <w:r>
              <w:rPr>
                <w:rFonts w:hint="default" w:ascii="Times New Roman" w:hAnsi="Times New Roman" w:eastAsia="宋体" w:cs="Times New Roman"/>
                <w:color w:val="000000"/>
                <w:kern w:val="0"/>
                <w:sz w:val="21"/>
                <w:szCs w:val="21"/>
                <w:highlight w:val="none"/>
                <w:lang w:val="zh-CN"/>
              </w:rPr>
              <w:t>100</w:t>
            </w:r>
          </w:p>
        </w:tc>
        <w:tc>
          <w:tcPr>
            <w:tcW w:w="1496" w:type="dxa"/>
            <w:vMerge w:val="continue"/>
            <w:noWrap w:val="0"/>
            <w:vAlign w:val="center"/>
          </w:tcPr>
          <w:p w14:paraId="42360957">
            <w:pPr>
              <w:adjustRightInd w:val="0"/>
              <w:spacing w:line="240" w:lineRule="auto"/>
              <w:ind w:firstLine="420" w:firstLineChars="200"/>
              <w:jc w:val="center"/>
              <w:rPr>
                <w:rFonts w:hint="default" w:ascii="Times New Roman" w:hAnsi="Times New Roman" w:eastAsia="仿宋" w:cs="Times New Roman"/>
                <w:color w:val="000000"/>
                <w:kern w:val="0"/>
                <w:sz w:val="21"/>
                <w:szCs w:val="21"/>
                <w:highlight w:val="none"/>
              </w:rPr>
            </w:pPr>
          </w:p>
        </w:tc>
      </w:tr>
      <w:tr w14:paraId="4AD93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9" w:type="dxa"/>
            <w:vMerge w:val="continue"/>
            <w:noWrap w:val="0"/>
            <w:vAlign w:val="center"/>
          </w:tcPr>
          <w:p w14:paraId="09974D4F">
            <w:pPr>
              <w:spacing w:line="240" w:lineRule="auto"/>
              <w:jc w:val="center"/>
              <w:rPr>
                <w:rFonts w:hint="default" w:ascii="Times New Roman" w:hAnsi="Times New Roman" w:eastAsia="宋体" w:cs="Times New Roman"/>
                <w:color w:val="000000"/>
                <w:kern w:val="0"/>
                <w:sz w:val="21"/>
                <w:szCs w:val="21"/>
                <w:highlight w:val="none"/>
                <w:lang w:val="zh-CN"/>
              </w:rPr>
            </w:pPr>
          </w:p>
        </w:tc>
        <w:tc>
          <w:tcPr>
            <w:tcW w:w="2564" w:type="dxa"/>
            <w:noWrap w:val="0"/>
            <w:vAlign w:val="center"/>
          </w:tcPr>
          <w:p w14:paraId="5D681601">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各种车辆</w:t>
            </w:r>
          </w:p>
        </w:tc>
        <w:tc>
          <w:tcPr>
            <w:tcW w:w="2175" w:type="dxa"/>
            <w:noWrap w:val="0"/>
            <w:vAlign w:val="center"/>
          </w:tcPr>
          <w:p w14:paraId="05F16EB4">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70</w:t>
            </w:r>
            <w:r>
              <w:rPr>
                <w:rFonts w:hint="eastAsia" w:cs="Times New Roman"/>
                <w:color w:val="000000"/>
                <w:kern w:val="0"/>
                <w:sz w:val="21"/>
                <w:szCs w:val="21"/>
                <w:highlight w:val="none"/>
                <w:lang w:val="zh-CN"/>
              </w:rPr>
              <w:t>~</w:t>
            </w:r>
            <w:r>
              <w:rPr>
                <w:rFonts w:hint="default" w:ascii="Times New Roman" w:hAnsi="Times New Roman" w:eastAsia="宋体" w:cs="Times New Roman"/>
                <w:color w:val="000000"/>
                <w:kern w:val="0"/>
                <w:sz w:val="21"/>
                <w:szCs w:val="21"/>
                <w:highlight w:val="none"/>
                <w:lang w:val="zh-CN"/>
              </w:rPr>
              <w:t>95</w:t>
            </w:r>
          </w:p>
        </w:tc>
        <w:tc>
          <w:tcPr>
            <w:tcW w:w="1496" w:type="dxa"/>
            <w:vMerge w:val="continue"/>
            <w:noWrap w:val="0"/>
            <w:vAlign w:val="center"/>
          </w:tcPr>
          <w:p w14:paraId="736A4F31">
            <w:pPr>
              <w:adjustRightInd w:val="0"/>
              <w:spacing w:line="240" w:lineRule="auto"/>
              <w:ind w:firstLine="420" w:firstLineChars="200"/>
              <w:jc w:val="center"/>
              <w:rPr>
                <w:rFonts w:hint="default" w:ascii="Times New Roman" w:hAnsi="Times New Roman" w:eastAsia="仿宋" w:cs="Times New Roman"/>
                <w:color w:val="000000"/>
                <w:kern w:val="0"/>
                <w:sz w:val="21"/>
                <w:szCs w:val="21"/>
                <w:highlight w:val="none"/>
              </w:rPr>
            </w:pPr>
          </w:p>
        </w:tc>
      </w:tr>
      <w:tr w14:paraId="285764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9" w:type="dxa"/>
            <w:vMerge w:val="restart"/>
            <w:noWrap w:val="0"/>
            <w:vAlign w:val="center"/>
          </w:tcPr>
          <w:p w14:paraId="4F02C5B8">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结构施工阶段</w:t>
            </w:r>
          </w:p>
        </w:tc>
        <w:tc>
          <w:tcPr>
            <w:tcW w:w="2564" w:type="dxa"/>
            <w:noWrap w:val="0"/>
            <w:vAlign w:val="center"/>
          </w:tcPr>
          <w:p w14:paraId="3692C143">
            <w:pPr>
              <w:spacing w:line="240" w:lineRule="auto"/>
              <w:jc w:val="center"/>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电锯</w:t>
            </w:r>
          </w:p>
        </w:tc>
        <w:tc>
          <w:tcPr>
            <w:tcW w:w="2175" w:type="dxa"/>
            <w:noWrap w:val="0"/>
            <w:vAlign w:val="center"/>
          </w:tcPr>
          <w:p w14:paraId="682B64B8">
            <w:pPr>
              <w:spacing w:line="240" w:lineRule="auto"/>
              <w:jc w:val="center"/>
              <w:rPr>
                <w:rFonts w:hint="default" w:ascii="Times New Roman" w:hAnsi="Times New Roman" w:eastAsia="宋体" w:cs="Times New Roman"/>
                <w:color w:val="auto"/>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90</w:t>
            </w:r>
            <w:r>
              <w:rPr>
                <w:rFonts w:hint="eastAsia" w:cs="Times New Roman"/>
                <w:color w:val="000000"/>
                <w:kern w:val="0"/>
                <w:sz w:val="21"/>
                <w:szCs w:val="21"/>
                <w:highlight w:val="none"/>
                <w:lang w:val="zh-CN"/>
              </w:rPr>
              <w:t>~</w:t>
            </w:r>
            <w:r>
              <w:rPr>
                <w:rFonts w:hint="default" w:ascii="Times New Roman" w:hAnsi="Times New Roman" w:eastAsia="宋体" w:cs="Times New Roman"/>
                <w:color w:val="000000"/>
                <w:kern w:val="0"/>
                <w:sz w:val="21"/>
                <w:szCs w:val="21"/>
                <w:highlight w:val="none"/>
                <w:lang w:val="zh-CN"/>
              </w:rPr>
              <w:t>110</w:t>
            </w:r>
          </w:p>
        </w:tc>
        <w:tc>
          <w:tcPr>
            <w:tcW w:w="1496" w:type="dxa"/>
            <w:vMerge w:val="continue"/>
            <w:noWrap w:val="0"/>
            <w:vAlign w:val="center"/>
          </w:tcPr>
          <w:p w14:paraId="7600FC08">
            <w:pPr>
              <w:adjustRightInd w:val="0"/>
              <w:spacing w:line="240" w:lineRule="auto"/>
              <w:ind w:firstLine="420" w:firstLineChars="200"/>
              <w:jc w:val="center"/>
              <w:rPr>
                <w:rFonts w:hint="default" w:ascii="Times New Roman" w:hAnsi="Times New Roman" w:eastAsia="仿宋" w:cs="Times New Roman"/>
                <w:color w:val="000000"/>
                <w:kern w:val="0"/>
                <w:sz w:val="21"/>
                <w:szCs w:val="21"/>
                <w:highlight w:val="none"/>
              </w:rPr>
            </w:pPr>
          </w:p>
        </w:tc>
      </w:tr>
      <w:tr w14:paraId="1F928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9" w:type="dxa"/>
            <w:vMerge w:val="continue"/>
            <w:noWrap w:val="0"/>
            <w:vAlign w:val="center"/>
          </w:tcPr>
          <w:p w14:paraId="52C595E6">
            <w:pPr>
              <w:spacing w:line="240" w:lineRule="auto"/>
              <w:jc w:val="center"/>
              <w:rPr>
                <w:rFonts w:hint="default" w:ascii="Times New Roman" w:hAnsi="Times New Roman" w:eastAsia="宋体" w:cs="Times New Roman"/>
                <w:color w:val="000000"/>
                <w:kern w:val="0"/>
                <w:sz w:val="21"/>
                <w:szCs w:val="21"/>
                <w:highlight w:val="none"/>
                <w:lang w:val="zh-CN"/>
              </w:rPr>
            </w:pPr>
          </w:p>
        </w:tc>
        <w:tc>
          <w:tcPr>
            <w:tcW w:w="2564" w:type="dxa"/>
            <w:noWrap w:val="0"/>
            <w:vAlign w:val="center"/>
          </w:tcPr>
          <w:p w14:paraId="6D5F767A">
            <w:pPr>
              <w:spacing w:line="240" w:lineRule="auto"/>
              <w:jc w:val="center"/>
              <w:rPr>
                <w:rFonts w:hint="eastAsia" w:ascii="Times New Roman" w:hAnsi="Times New Roman" w:eastAsia="宋体" w:cs="Times New Roman"/>
                <w:color w:val="000000"/>
                <w:kern w:val="0"/>
                <w:sz w:val="21"/>
                <w:szCs w:val="21"/>
                <w:highlight w:val="none"/>
                <w:lang w:val="zh-CN" w:eastAsia="zh-CN"/>
              </w:rPr>
            </w:pPr>
            <w:r>
              <w:rPr>
                <w:rFonts w:hint="eastAsia" w:ascii="Times New Roman" w:hAnsi="Times New Roman" w:eastAsia="宋体" w:cs="Times New Roman"/>
                <w:color w:val="000000"/>
                <w:kern w:val="0"/>
                <w:sz w:val="21"/>
                <w:szCs w:val="21"/>
                <w:highlight w:val="none"/>
                <w:lang w:val="en-US" w:eastAsia="zh-CN"/>
              </w:rPr>
              <w:t>振捣器</w:t>
            </w:r>
          </w:p>
        </w:tc>
        <w:tc>
          <w:tcPr>
            <w:tcW w:w="2175" w:type="dxa"/>
            <w:noWrap w:val="0"/>
            <w:vAlign w:val="center"/>
          </w:tcPr>
          <w:p w14:paraId="4A78AD07">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88</w:t>
            </w:r>
            <w:r>
              <w:rPr>
                <w:rFonts w:hint="eastAsia" w:cs="Times New Roman"/>
                <w:color w:val="000000"/>
                <w:kern w:val="0"/>
                <w:sz w:val="21"/>
                <w:szCs w:val="21"/>
                <w:highlight w:val="none"/>
                <w:lang w:val="zh-CN"/>
              </w:rPr>
              <w:t>~</w:t>
            </w:r>
            <w:r>
              <w:rPr>
                <w:rFonts w:hint="default" w:ascii="Times New Roman" w:hAnsi="Times New Roman" w:eastAsia="宋体" w:cs="Times New Roman"/>
                <w:color w:val="000000"/>
                <w:kern w:val="0"/>
                <w:sz w:val="21"/>
                <w:szCs w:val="21"/>
                <w:highlight w:val="none"/>
                <w:lang w:val="zh-CN"/>
              </w:rPr>
              <w:t>95</w:t>
            </w:r>
          </w:p>
        </w:tc>
        <w:tc>
          <w:tcPr>
            <w:tcW w:w="1496" w:type="dxa"/>
            <w:vMerge w:val="continue"/>
            <w:noWrap w:val="0"/>
            <w:vAlign w:val="center"/>
          </w:tcPr>
          <w:p w14:paraId="30C5969D">
            <w:pPr>
              <w:adjustRightInd w:val="0"/>
              <w:spacing w:line="240" w:lineRule="auto"/>
              <w:ind w:firstLine="420" w:firstLineChars="200"/>
              <w:jc w:val="center"/>
              <w:rPr>
                <w:rFonts w:hint="default" w:ascii="Times New Roman" w:hAnsi="Times New Roman" w:eastAsia="仿宋" w:cs="Times New Roman"/>
                <w:color w:val="000000"/>
                <w:kern w:val="0"/>
                <w:sz w:val="21"/>
                <w:szCs w:val="21"/>
                <w:highlight w:val="none"/>
              </w:rPr>
            </w:pPr>
          </w:p>
        </w:tc>
      </w:tr>
    </w:tbl>
    <w:p w14:paraId="73DD95D3">
      <w:pPr>
        <w:spacing w:line="520" w:lineRule="exact"/>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eastAsia="zh-TW"/>
        </w:rPr>
        <w:t>（</w:t>
      </w:r>
      <w:r>
        <w:rPr>
          <w:rFonts w:hint="default" w:ascii="Times New Roman" w:hAnsi="Times New Roman" w:eastAsia="宋体" w:cs="Times New Roman"/>
          <w:color w:val="000000"/>
          <w:kern w:val="0"/>
          <w:sz w:val="24"/>
          <w:szCs w:val="24"/>
          <w:highlight w:val="none"/>
        </w:rPr>
        <w:t>2</w:t>
      </w:r>
      <w:r>
        <w:rPr>
          <w:rFonts w:hint="default" w:ascii="Times New Roman" w:hAnsi="Times New Roman" w:eastAsia="宋体" w:cs="Times New Roman"/>
          <w:color w:val="000000"/>
          <w:kern w:val="0"/>
          <w:sz w:val="24"/>
          <w:szCs w:val="24"/>
          <w:highlight w:val="none"/>
          <w:lang w:val="zh-TW" w:eastAsia="zh-TW"/>
        </w:rPr>
        <w:t>）施工声环境预测结果和分析</w:t>
      </w:r>
    </w:p>
    <w:p w14:paraId="59CB97F7">
      <w:pPr>
        <w:spacing w:line="520" w:lineRule="exact"/>
        <w:ind w:firstLine="480" w:firstLineChars="200"/>
        <w:rPr>
          <w:rFonts w:hint="default" w:ascii="Times New Roman" w:hAnsi="Times New Roman" w:eastAsia="宋体" w:cs="Times New Roman"/>
          <w:color w:val="000000"/>
          <w:kern w:val="0"/>
          <w:sz w:val="24"/>
          <w:szCs w:val="24"/>
          <w:highlight w:val="none"/>
          <w:lang w:val="zh-TW"/>
        </w:rPr>
      </w:pPr>
      <w:r>
        <w:rPr>
          <w:rFonts w:hint="default" w:ascii="Times New Roman" w:hAnsi="Times New Roman" w:eastAsia="宋体" w:cs="Times New Roman"/>
          <w:color w:val="000000"/>
          <w:kern w:val="0"/>
          <w:sz w:val="24"/>
          <w:szCs w:val="24"/>
          <w:highlight w:val="none"/>
          <w:lang w:val="zh-TW" w:eastAsia="zh-TW"/>
        </w:rPr>
        <w:t>预测本项目施工期多台噪声设备在不同距离处的噪声级，见表</w:t>
      </w:r>
      <w:r>
        <w:rPr>
          <w:rFonts w:hint="default" w:ascii="Times New Roman" w:hAnsi="Times New Roman" w:eastAsia="宋体" w:cs="Times New Roman"/>
          <w:color w:val="000000"/>
          <w:kern w:val="0"/>
          <w:sz w:val="24"/>
          <w:szCs w:val="24"/>
          <w:highlight w:val="none"/>
          <w:lang w:val="zh-TW"/>
        </w:rPr>
        <w:t>5.1</w:t>
      </w:r>
      <w:r>
        <w:rPr>
          <w:rFonts w:hint="default" w:ascii="Times New Roman" w:hAnsi="Times New Roman" w:eastAsia="宋体" w:cs="Times New Roman"/>
          <w:color w:val="000000"/>
          <w:kern w:val="0"/>
          <w:sz w:val="24"/>
          <w:szCs w:val="24"/>
          <w:highlight w:val="none"/>
        </w:rPr>
        <w:t>-</w:t>
      </w:r>
      <w:r>
        <w:rPr>
          <w:rFonts w:hint="eastAsia" w:eastAsia="宋体" w:cs="Times New Roman"/>
          <w:color w:val="000000"/>
          <w:kern w:val="0"/>
          <w:sz w:val="24"/>
          <w:szCs w:val="24"/>
          <w:highlight w:val="none"/>
          <w:lang w:val="en-US" w:eastAsia="zh-CN"/>
        </w:rPr>
        <w:t>4</w:t>
      </w:r>
      <w:r>
        <w:rPr>
          <w:rFonts w:hint="default" w:ascii="Times New Roman" w:hAnsi="Times New Roman" w:eastAsia="宋体" w:cs="Times New Roman"/>
          <w:color w:val="000000"/>
          <w:kern w:val="0"/>
          <w:sz w:val="24"/>
          <w:szCs w:val="24"/>
          <w:highlight w:val="none"/>
          <w:lang w:val="zh-TW" w:eastAsia="zh-TW"/>
        </w:rPr>
        <w:t>。</w:t>
      </w:r>
    </w:p>
    <w:p w14:paraId="0FBEB945">
      <w:pPr>
        <w:widowControl/>
        <w:spacing w:after="80" w:line="520" w:lineRule="exact"/>
        <w:ind w:firstLine="0"/>
        <w:jc w:val="center"/>
        <w:rPr>
          <w:rFonts w:hint="default" w:ascii="Times New Roman" w:hAnsi="Times New Roman" w:eastAsia="宋体" w:cs="Times New Roman"/>
          <w:b/>
          <w:color w:val="000000"/>
          <w:kern w:val="0"/>
          <w:sz w:val="24"/>
          <w:szCs w:val="24"/>
          <w:highlight w:val="none"/>
          <w:lang w:val="en-US" w:eastAsia="zh-CN" w:bidi="en-US"/>
        </w:rPr>
      </w:pPr>
      <w:r>
        <w:rPr>
          <w:rFonts w:hint="default" w:ascii="Times New Roman" w:hAnsi="Times New Roman" w:eastAsia="宋体" w:cs="Times New Roman"/>
          <w:b/>
          <w:color w:val="000000"/>
          <w:kern w:val="0"/>
          <w:sz w:val="24"/>
          <w:szCs w:val="24"/>
          <w:highlight w:val="none"/>
          <w:lang w:val="en-US" w:eastAsia="zh-CN" w:bidi="en-US"/>
        </w:rPr>
        <w:t>表5.1-</w:t>
      </w:r>
      <w:r>
        <w:rPr>
          <w:rFonts w:hint="eastAsia" w:eastAsia="宋体" w:cs="Times New Roman"/>
          <w:b/>
          <w:color w:val="000000"/>
          <w:kern w:val="0"/>
          <w:sz w:val="24"/>
          <w:szCs w:val="24"/>
          <w:highlight w:val="none"/>
          <w:lang w:val="en-US" w:eastAsia="zh-CN" w:bidi="en-US"/>
        </w:rPr>
        <w:t>4</w:t>
      </w:r>
      <w:r>
        <w:rPr>
          <w:rFonts w:hint="default" w:ascii="Times New Roman" w:hAnsi="Times New Roman" w:eastAsia="宋体" w:cs="Times New Roman"/>
          <w:b/>
          <w:color w:val="000000"/>
          <w:kern w:val="0"/>
          <w:sz w:val="24"/>
          <w:szCs w:val="24"/>
          <w:highlight w:val="none"/>
          <w:lang w:val="en-US" w:eastAsia="zh-CN" w:bidi="en-US"/>
        </w:rPr>
        <w:t>主要噪声设备不同距离处噪声级预测结果单位：dB</w:t>
      </w:r>
      <w:r>
        <w:rPr>
          <w:rFonts w:hint="eastAsia" w:cs="Times New Roman"/>
          <w:b/>
          <w:color w:val="000000"/>
          <w:kern w:val="0"/>
          <w:sz w:val="24"/>
          <w:szCs w:val="24"/>
          <w:highlight w:val="none"/>
          <w:lang w:val="en-US" w:eastAsia="zh-CN" w:bidi="en-US"/>
        </w:rPr>
        <w:t>（</w:t>
      </w:r>
      <w:r>
        <w:rPr>
          <w:rFonts w:hint="default" w:ascii="Times New Roman" w:hAnsi="Times New Roman" w:eastAsia="宋体" w:cs="Times New Roman"/>
          <w:b/>
          <w:color w:val="000000"/>
          <w:kern w:val="0"/>
          <w:sz w:val="24"/>
          <w:szCs w:val="24"/>
          <w:highlight w:val="none"/>
          <w:lang w:val="en-US" w:eastAsia="zh-CN" w:bidi="en-US"/>
        </w:rPr>
        <w:t>A</w:t>
      </w:r>
      <w:r>
        <w:rPr>
          <w:rFonts w:hint="eastAsia" w:cs="Times New Roman"/>
          <w:b/>
          <w:color w:val="000000"/>
          <w:kern w:val="0"/>
          <w:sz w:val="24"/>
          <w:szCs w:val="24"/>
          <w:highlight w:val="none"/>
          <w:lang w:val="en-US" w:eastAsia="zh-CN" w:bidi="en-US"/>
        </w:rPr>
        <w:t>）</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85"/>
        <w:gridCol w:w="936"/>
        <w:gridCol w:w="700"/>
        <w:gridCol w:w="700"/>
        <w:gridCol w:w="700"/>
        <w:gridCol w:w="748"/>
        <w:gridCol w:w="723"/>
        <w:gridCol w:w="723"/>
        <w:gridCol w:w="723"/>
        <w:gridCol w:w="723"/>
        <w:gridCol w:w="843"/>
      </w:tblGrid>
      <w:tr w14:paraId="3D0E6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985" w:type="dxa"/>
            <w:vMerge w:val="restart"/>
            <w:noWrap w:val="0"/>
            <w:vAlign w:val="center"/>
          </w:tcPr>
          <w:p w14:paraId="3237C02E">
            <w:pPr>
              <w:spacing w:line="240" w:lineRule="auto"/>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声源名称</w:t>
            </w:r>
          </w:p>
        </w:tc>
        <w:tc>
          <w:tcPr>
            <w:tcW w:w="936" w:type="dxa"/>
            <w:vMerge w:val="restart"/>
            <w:noWrap w:val="0"/>
            <w:vAlign w:val="center"/>
          </w:tcPr>
          <w:p w14:paraId="36205077">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噪声源</w:t>
            </w:r>
          </w:p>
          <w:p w14:paraId="786ADC0F">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dB（A）</w:t>
            </w:r>
          </w:p>
        </w:tc>
        <w:tc>
          <w:tcPr>
            <w:tcW w:w="6583" w:type="dxa"/>
            <w:gridSpan w:val="9"/>
            <w:noWrap w:val="0"/>
            <w:vAlign w:val="center"/>
          </w:tcPr>
          <w:p w14:paraId="1EF02939">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影响距离及影响值</w:t>
            </w:r>
          </w:p>
        </w:tc>
      </w:tr>
      <w:tr w14:paraId="3B3BC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985" w:type="dxa"/>
            <w:vMerge w:val="continue"/>
            <w:noWrap w:val="0"/>
            <w:vAlign w:val="center"/>
          </w:tcPr>
          <w:p w14:paraId="145AE2C2">
            <w:pPr>
              <w:spacing w:line="240" w:lineRule="auto"/>
              <w:jc w:val="center"/>
              <w:rPr>
                <w:rFonts w:hint="default" w:ascii="Times New Roman" w:hAnsi="Times New Roman" w:eastAsia="宋体" w:cs="Times New Roman"/>
                <w:b/>
                <w:bCs/>
                <w:color w:val="000000"/>
                <w:kern w:val="0"/>
                <w:sz w:val="21"/>
                <w:szCs w:val="21"/>
                <w:highlight w:val="none"/>
                <w:lang w:val="zh-CN"/>
              </w:rPr>
            </w:pPr>
          </w:p>
        </w:tc>
        <w:tc>
          <w:tcPr>
            <w:tcW w:w="936" w:type="dxa"/>
            <w:vMerge w:val="continue"/>
            <w:noWrap w:val="0"/>
            <w:vAlign w:val="center"/>
          </w:tcPr>
          <w:p w14:paraId="10F5E59F">
            <w:pPr>
              <w:spacing w:line="240" w:lineRule="auto"/>
              <w:jc w:val="center"/>
              <w:rPr>
                <w:rFonts w:hint="default" w:ascii="Times New Roman" w:hAnsi="Times New Roman" w:eastAsia="宋体" w:cs="Times New Roman"/>
                <w:b/>
                <w:bCs/>
                <w:color w:val="000000"/>
                <w:kern w:val="0"/>
                <w:sz w:val="21"/>
                <w:szCs w:val="21"/>
                <w:highlight w:val="none"/>
                <w:lang w:val="zh-CN"/>
              </w:rPr>
            </w:pPr>
          </w:p>
        </w:tc>
        <w:tc>
          <w:tcPr>
            <w:tcW w:w="700" w:type="dxa"/>
            <w:noWrap w:val="0"/>
            <w:vAlign w:val="center"/>
          </w:tcPr>
          <w:p w14:paraId="4EAEFD4E">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20m</w:t>
            </w:r>
          </w:p>
        </w:tc>
        <w:tc>
          <w:tcPr>
            <w:tcW w:w="700" w:type="dxa"/>
            <w:noWrap w:val="0"/>
            <w:vAlign w:val="center"/>
          </w:tcPr>
          <w:p w14:paraId="6DA35BC2">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40m</w:t>
            </w:r>
          </w:p>
        </w:tc>
        <w:tc>
          <w:tcPr>
            <w:tcW w:w="700" w:type="dxa"/>
            <w:noWrap w:val="0"/>
            <w:vAlign w:val="center"/>
          </w:tcPr>
          <w:p w14:paraId="45711D83">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60m</w:t>
            </w:r>
          </w:p>
        </w:tc>
        <w:tc>
          <w:tcPr>
            <w:tcW w:w="748" w:type="dxa"/>
            <w:noWrap w:val="0"/>
            <w:vAlign w:val="center"/>
          </w:tcPr>
          <w:p w14:paraId="1D899AEA">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80m</w:t>
            </w:r>
          </w:p>
        </w:tc>
        <w:tc>
          <w:tcPr>
            <w:tcW w:w="723" w:type="dxa"/>
            <w:noWrap w:val="0"/>
            <w:vAlign w:val="center"/>
          </w:tcPr>
          <w:p w14:paraId="741AF3F0">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100m</w:t>
            </w:r>
          </w:p>
        </w:tc>
        <w:tc>
          <w:tcPr>
            <w:tcW w:w="723" w:type="dxa"/>
            <w:noWrap w:val="0"/>
            <w:vAlign w:val="center"/>
          </w:tcPr>
          <w:p w14:paraId="2B68C643">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120m</w:t>
            </w:r>
          </w:p>
        </w:tc>
        <w:tc>
          <w:tcPr>
            <w:tcW w:w="723" w:type="dxa"/>
            <w:noWrap w:val="0"/>
            <w:vAlign w:val="center"/>
          </w:tcPr>
          <w:p w14:paraId="12A73978">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140m</w:t>
            </w:r>
          </w:p>
        </w:tc>
        <w:tc>
          <w:tcPr>
            <w:tcW w:w="723" w:type="dxa"/>
            <w:noWrap w:val="0"/>
            <w:vAlign w:val="center"/>
          </w:tcPr>
          <w:p w14:paraId="359995B3">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160m</w:t>
            </w:r>
          </w:p>
        </w:tc>
        <w:tc>
          <w:tcPr>
            <w:tcW w:w="843" w:type="dxa"/>
            <w:noWrap w:val="0"/>
            <w:vAlign w:val="center"/>
          </w:tcPr>
          <w:p w14:paraId="57952986">
            <w:pPr>
              <w:spacing w:line="240" w:lineRule="auto"/>
              <w:jc w:val="center"/>
              <w:rPr>
                <w:rFonts w:hint="default" w:ascii="Times New Roman" w:hAnsi="Times New Roman" w:eastAsia="宋体" w:cs="Times New Roman"/>
                <w:b/>
                <w:bCs/>
                <w:color w:val="000000"/>
                <w:kern w:val="0"/>
                <w:sz w:val="21"/>
                <w:szCs w:val="21"/>
                <w:highlight w:val="none"/>
                <w:lang w:val="zh-CN"/>
              </w:rPr>
            </w:pPr>
            <w:r>
              <w:rPr>
                <w:rFonts w:hint="default" w:ascii="Times New Roman" w:hAnsi="Times New Roman" w:eastAsia="宋体" w:cs="Times New Roman"/>
                <w:b/>
                <w:bCs/>
                <w:color w:val="000000"/>
                <w:kern w:val="0"/>
                <w:sz w:val="21"/>
                <w:szCs w:val="21"/>
                <w:highlight w:val="none"/>
                <w:lang w:val="zh-CN"/>
              </w:rPr>
              <w:t>180m</w:t>
            </w:r>
          </w:p>
        </w:tc>
      </w:tr>
      <w:tr w14:paraId="6ABEF7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985" w:type="dxa"/>
            <w:noWrap w:val="0"/>
            <w:vAlign w:val="center"/>
          </w:tcPr>
          <w:p w14:paraId="6316F9E9">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推土机</w:t>
            </w:r>
          </w:p>
        </w:tc>
        <w:tc>
          <w:tcPr>
            <w:tcW w:w="936" w:type="dxa"/>
            <w:noWrap w:val="0"/>
            <w:vAlign w:val="center"/>
          </w:tcPr>
          <w:p w14:paraId="4AA449C2">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90</w:t>
            </w:r>
          </w:p>
        </w:tc>
        <w:tc>
          <w:tcPr>
            <w:tcW w:w="700" w:type="dxa"/>
            <w:noWrap w:val="0"/>
            <w:vAlign w:val="center"/>
          </w:tcPr>
          <w:p w14:paraId="698F1698">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64.05</w:t>
            </w:r>
          </w:p>
        </w:tc>
        <w:tc>
          <w:tcPr>
            <w:tcW w:w="700" w:type="dxa"/>
            <w:noWrap w:val="0"/>
            <w:vAlign w:val="center"/>
          </w:tcPr>
          <w:p w14:paraId="425B0DF5">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58.37</w:t>
            </w:r>
          </w:p>
        </w:tc>
        <w:tc>
          <w:tcPr>
            <w:tcW w:w="700" w:type="dxa"/>
            <w:noWrap w:val="0"/>
            <w:vAlign w:val="center"/>
          </w:tcPr>
          <w:p w14:paraId="23DABF73">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55.63</w:t>
            </w:r>
          </w:p>
        </w:tc>
        <w:tc>
          <w:tcPr>
            <w:tcW w:w="748" w:type="dxa"/>
            <w:noWrap w:val="0"/>
            <w:vAlign w:val="center"/>
          </w:tcPr>
          <w:p w14:paraId="38EFFD0E">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52.7</w:t>
            </w:r>
          </w:p>
        </w:tc>
        <w:tc>
          <w:tcPr>
            <w:tcW w:w="723" w:type="dxa"/>
            <w:noWrap w:val="0"/>
            <w:vAlign w:val="center"/>
          </w:tcPr>
          <w:p w14:paraId="694F9B1F">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49.98</w:t>
            </w:r>
          </w:p>
        </w:tc>
        <w:tc>
          <w:tcPr>
            <w:tcW w:w="723" w:type="dxa"/>
            <w:noWrap w:val="0"/>
            <w:vAlign w:val="center"/>
          </w:tcPr>
          <w:p w14:paraId="72A8E17F">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48.50</w:t>
            </w:r>
          </w:p>
        </w:tc>
        <w:tc>
          <w:tcPr>
            <w:tcW w:w="723" w:type="dxa"/>
            <w:noWrap w:val="0"/>
            <w:vAlign w:val="center"/>
          </w:tcPr>
          <w:p w14:paraId="3C2DA4F8">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47.12</w:t>
            </w:r>
          </w:p>
        </w:tc>
        <w:tc>
          <w:tcPr>
            <w:tcW w:w="723" w:type="dxa"/>
            <w:noWrap w:val="0"/>
            <w:vAlign w:val="center"/>
          </w:tcPr>
          <w:p w14:paraId="5340BD4D">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45.36</w:t>
            </w:r>
          </w:p>
        </w:tc>
        <w:tc>
          <w:tcPr>
            <w:tcW w:w="843" w:type="dxa"/>
            <w:noWrap w:val="0"/>
            <w:vAlign w:val="center"/>
          </w:tcPr>
          <w:p w14:paraId="2C92DCFB">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44.97</w:t>
            </w:r>
          </w:p>
        </w:tc>
      </w:tr>
      <w:tr w14:paraId="3E06F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985" w:type="dxa"/>
            <w:noWrap w:val="0"/>
            <w:vAlign w:val="center"/>
          </w:tcPr>
          <w:p w14:paraId="07ECD9F9">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挖掘机</w:t>
            </w:r>
          </w:p>
        </w:tc>
        <w:tc>
          <w:tcPr>
            <w:tcW w:w="936" w:type="dxa"/>
            <w:noWrap w:val="0"/>
            <w:vAlign w:val="center"/>
          </w:tcPr>
          <w:p w14:paraId="13A54915">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95</w:t>
            </w:r>
          </w:p>
        </w:tc>
        <w:tc>
          <w:tcPr>
            <w:tcW w:w="700" w:type="dxa"/>
            <w:noWrap w:val="0"/>
            <w:vAlign w:val="center"/>
          </w:tcPr>
          <w:p w14:paraId="3D430528">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68.98</w:t>
            </w:r>
          </w:p>
        </w:tc>
        <w:tc>
          <w:tcPr>
            <w:tcW w:w="700" w:type="dxa"/>
            <w:noWrap w:val="0"/>
            <w:vAlign w:val="center"/>
          </w:tcPr>
          <w:p w14:paraId="313A53CA">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62.96</w:t>
            </w:r>
          </w:p>
        </w:tc>
        <w:tc>
          <w:tcPr>
            <w:tcW w:w="700" w:type="dxa"/>
            <w:noWrap w:val="0"/>
            <w:vAlign w:val="center"/>
          </w:tcPr>
          <w:p w14:paraId="4A6D0FC6">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59.44</w:t>
            </w:r>
          </w:p>
        </w:tc>
        <w:tc>
          <w:tcPr>
            <w:tcW w:w="748" w:type="dxa"/>
            <w:noWrap w:val="0"/>
            <w:vAlign w:val="center"/>
          </w:tcPr>
          <w:p w14:paraId="02DAB840">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56.94</w:t>
            </w:r>
          </w:p>
        </w:tc>
        <w:tc>
          <w:tcPr>
            <w:tcW w:w="723" w:type="dxa"/>
            <w:noWrap w:val="0"/>
            <w:vAlign w:val="center"/>
          </w:tcPr>
          <w:p w14:paraId="6668C229">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55.00</w:t>
            </w:r>
          </w:p>
        </w:tc>
        <w:tc>
          <w:tcPr>
            <w:tcW w:w="723" w:type="dxa"/>
            <w:noWrap w:val="0"/>
            <w:vAlign w:val="center"/>
          </w:tcPr>
          <w:p w14:paraId="3762851C">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53.42</w:t>
            </w:r>
          </w:p>
        </w:tc>
        <w:tc>
          <w:tcPr>
            <w:tcW w:w="723" w:type="dxa"/>
            <w:noWrap w:val="0"/>
            <w:vAlign w:val="center"/>
          </w:tcPr>
          <w:p w14:paraId="49382FC3">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52.08</w:t>
            </w:r>
          </w:p>
        </w:tc>
        <w:tc>
          <w:tcPr>
            <w:tcW w:w="723" w:type="dxa"/>
            <w:noWrap w:val="0"/>
            <w:vAlign w:val="center"/>
          </w:tcPr>
          <w:p w14:paraId="6B8D80C5">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50.92</w:t>
            </w:r>
          </w:p>
        </w:tc>
        <w:tc>
          <w:tcPr>
            <w:tcW w:w="843" w:type="dxa"/>
            <w:noWrap w:val="0"/>
            <w:vAlign w:val="center"/>
          </w:tcPr>
          <w:p w14:paraId="11B50CFF">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49.89</w:t>
            </w:r>
          </w:p>
        </w:tc>
      </w:tr>
      <w:tr w14:paraId="30828D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985" w:type="dxa"/>
            <w:noWrap w:val="0"/>
            <w:vAlign w:val="center"/>
          </w:tcPr>
          <w:p w14:paraId="02FE5E2A">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装载机</w:t>
            </w:r>
          </w:p>
        </w:tc>
        <w:tc>
          <w:tcPr>
            <w:tcW w:w="936" w:type="dxa"/>
            <w:noWrap w:val="0"/>
            <w:vAlign w:val="center"/>
          </w:tcPr>
          <w:p w14:paraId="40D4F87B">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95</w:t>
            </w:r>
          </w:p>
        </w:tc>
        <w:tc>
          <w:tcPr>
            <w:tcW w:w="700" w:type="dxa"/>
            <w:noWrap w:val="0"/>
            <w:vAlign w:val="center"/>
          </w:tcPr>
          <w:p w14:paraId="1E62BB77">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68.98</w:t>
            </w:r>
          </w:p>
        </w:tc>
        <w:tc>
          <w:tcPr>
            <w:tcW w:w="700" w:type="dxa"/>
            <w:noWrap w:val="0"/>
            <w:vAlign w:val="center"/>
          </w:tcPr>
          <w:p w14:paraId="38F2E841">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62.96</w:t>
            </w:r>
          </w:p>
        </w:tc>
        <w:tc>
          <w:tcPr>
            <w:tcW w:w="700" w:type="dxa"/>
            <w:noWrap w:val="0"/>
            <w:vAlign w:val="center"/>
          </w:tcPr>
          <w:p w14:paraId="60EEBB9C">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59.44</w:t>
            </w:r>
          </w:p>
        </w:tc>
        <w:tc>
          <w:tcPr>
            <w:tcW w:w="748" w:type="dxa"/>
            <w:noWrap w:val="0"/>
            <w:vAlign w:val="center"/>
          </w:tcPr>
          <w:p w14:paraId="524FBA7B">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56.94</w:t>
            </w:r>
          </w:p>
        </w:tc>
        <w:tc>
          <w:tcPr>
            <w:tcW w:w="723" w:type="dxa"/>
            <w:noWrap w:val="0"/>
            <w:vAlign w:val="center"/>
          </w:tcPr>
          <w:p w14:paraId="5E0AD371">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55.00</w:t>
            </w:r>
          </w:p>
        </w:tc>
        <w:tc>
          <w:tcPr>
            <w:tcW w:w="723" w:type="dxa"/>
            <w:noWrap w:val="0"/>
            <w:vAlign w:val="center"/>
          </w:tcPr>
          <w:p w14:paraId="600D0453">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53.42</w:t>
            </w:r>
          </w:p>
        </w:tc>
        <w:tc>
          <w:tcPr>
            <w:tcW w:w="723" w:type="dxa"/>
            <w:noWrap w:val="0"/>
            <w:vAlign w:val="center"/>
          </w:tcPr>
          <w:p w14:paraId="5D6DC0BD">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52.08</w:t>
            </w:r>
          </w:p>
        </w:tc>
        <w:tc>
          <w:tcPr>
            <w:tcW w:w="723" w:type="dxa"/>
            <w:noWrap w:val="0"/>
            <w:vAlign w:val="center"/>
          </w:tcPr>
          <w:p w14:paraId="41BAD451">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50.92</w:t>
            </w:r>
          </w:p>
        </w:tc>
        <w:tc>
          <w:tcPr>
            <w:tcW w:w="843" w:type="dxa"/>
            <w:noWrap w:val="0"/>
            <w:vAlign w:val="center"/>
          </w:tcPr>
          <w:p w14:paraId="13122175">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49.89</w:t>
            </w:r>
          </w:p>
        </w:tc>
      </w:tr>
      <w:tr w14:paraId="14424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985" w:type="dxa"/>
            <w:noWrap w:val="0"/>
            <w:vAlign w:val="center"/>
          </w:tcPr>
          <w:p w14:paraId="0BA1A848">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电锯</w:t>
            </w:r>
          </w:p>
        </w:tc>
        <w:tc>
          <w:tcPr>
            <w:tcW w:w="936" w:type="dxa"/>
            <w:noWrap w:val="0"/>
            <w:vAlign w:val="center"/>
          </w:tcPr>
          <w:p w14:paraId="196022FB">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95</w:t>
            </w:r>
          </w:p>
        </w:tc>
        <w:tc>
          <w:tcPr>
            <w:tcW w:w="700" w:type="dxa"/>
            <w:noWrap w:val="0"/>
            <w:vAlign w:val="center"/>
          </w:tcPr>
          <w:p w14:paraId="1AA9825B">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68.98</w:t>
            </w:r>
          </w:p>
        </w:tc>
        <w:tc>
          <w:tcPr>
            <w:tcW w:w="700" w:type="dxa"/>
            <w:noWrap w:val="0"/>
            <w:vAlign w:val="center"/>
          </w:tcPr>
          <w:p w14:paraId="66569B5E">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62.96</w:t>
            </w:r>
          </w:p>
        </w:tc>
        <w:tc>
          <w:tcPr>
            <w:tcW w:w="700" w:type="dxa"/>
            <w:noWrap w:val="0"/>
            <w:vAlign w:val="center"/>
          </w:tcPr>
          <w:p w14:paraId="01927F14">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59.44</w:t>
            </w:r>
          </w:p>
        </w:tc>
        <w:tc>
          <w:tcPr>
            <w:tcW w:w="748" w:type="dxa"/>
            <w:noWrap w:val="0"/>
            <w:vAlign w:val="center"/>
          </w:tcPr>
          <w:p w14:paraId="7A933005">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56.94</w:t>
            </w:r>
          </w:p>
        </w:tc>
        <w:tc>
          <w:tcPr>
            <w:tcW w:w="723" w:type="dxa"/>
            <w:noWrap w:val="0"/>
            <w:vAlign w:val="center"/>
          </w:tcPr>
          <w:p w14:paraId="584B004E">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55.00</w:t>
            </w:r>
          </w:p>
        </w:tc>
        <w:tc>
          <w:tcPr>
            <w:tcW w:w="723" w:type="dxa"/>
            <w:noWrap w:val="0"/>
            <w:vAlign w:val="center"/>
          </w:tcPr>
          <w:p w14:paraId="2F71C5D7">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53.42</w:t>
            </w:r>
          </w:p>
        </w:tc>
        <w:tc>
          <w:tcPr>
            <w:tcW w:w="723" w:type="dxa"/>
            <w:noWrap w:val="0"/>
            <w:vAlign w:val="center"/>
          </w:tcPr>
          <w:p w14:paraId="72B2968C">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52.08</w:t>
            </w:r>
          </w:p>
        </w:tc>
        <w:tc>
          <w:tcPr>
            <w:tcW w:w="723" w:type="dxa"/>
            <w:noWrap w:val="0"/>
            <w:vAlign w:val="center"/>
          </w:tcPr>
          <w:p w14:paraId="1CF8FADD">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50.92</w:t>
            </w:r>
          </w:p>
        </w:tc>
        <w:tc>
          <w:tcPr>
            <w:tcW w:w="843" w:type="dxa"/>
            <w:noWrap w:val="0"/>
            <w:vAlign w:val="center"/>
          </w:tcPr>
          <w:p w14:paraId="730D9393">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49.89</w:t>
            </w:r>
          </w:p>
        </w:tc>
      </w:tr>
      <w:tr w14:paraId="4C8E1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985" w:type="dxa"/>
            <w:noWrap w:val="0"/>
            <w:vAlign w:val="center"/>
          </w:tcPr>
          <w:p w14:paraId="602D482E">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重型卡车</w:t>
            </w:r>
          </w:p>
        </w:tc>
        <w:tc>
          <w:tcPr>
            <w:tcW w:w="936" w:type="dxa"/>
            <w:noWrap w:val="0"/>
            <w:vAlign w:val="center"/>
          </w:tcPr>
          <w:p w14:paraId="6E8A641F">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85</w:t>
            </w:r>
          </w:p>
        </w:tc>
        <w:tc>
          <w:tcPr>
            <w:tcW w:w="700" w:type="dxa"/>
            <w:noWrap w:val="0"/>
            <w:vAlign w:val="center"/>
          </w:tcPr>
          <w:p w14:paraId="430DE380">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59.04</w:t>
            </w:r>
          </w:p>
        </w:tc>
        <w:tc>
          <w:tcPr>
            <w:tcW w:w="700" w:type="dxa"/>
            <w:noWrap w:val="0"/>
            <w:vAlign w:val="center"/>
          </w:tcPr>
          <w:p w14:paraId="58330009">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52.69</w:t>
            </w:r>
          </w:p>
        </w:tc>
        <w:tc>
          <w:tcPr>
            <w:tcW w:w="700" w:type="dxa"/>
            <w:noWrap w:val="0"/>
            <w:vAlign w:val="center"/>
          </w:tcPr>
          <w:p w14:paraId="22853CD0">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50.03</w:t>
            </w:r>
          </w:p>
        </w:tc>
        <w:tc>
          <w:tcPr>
            <w:tcW w:w="748" w:type="dxa"/>
            <w:noWrap w:val="0"/>
            <w:vAlign w:val="center"/>
          </w:tcPr>
          <w:p w14:paraId="09D1CDC3">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47.31</w:t>
            </w:r>
          </w:p>
        </w:tc>
        <w:tc>
          <w:tcPr>
            <w:tcW w:w="723" w:type="dxa"/>
            <w:noWrap w:val="0"/>
            <w:vAlign w:val="center"/>
          </w:tcPr>
          <w:p w14:paraId="0DA86FC5">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44.92</w:t>
            </w:r>
          </w:p>
        </w:tc>
        <w:tc>
          <w:tcPr>
            <w:tcW w:w="723" w:type="dxa"/>
            <w:noWrap w:val="0"/>
            <w:vAlign w:val="center"/>
          </w:tcPr>
          <w:p w14:paraId="7C3D48CA">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41.32</w:t>
            </w:r>
          </w:p>
        </w:tc>
        <w:tc>
          <w:tcPr>
            <w:tcW w:w="723" w:type="dxa"/>
            <w:noWrap w:val="0"/>
            <w:vAlign w:val="center"/>
          </w:tcPr>
          <w:p w14:paraId="5BB48027">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38.12</w:t>
            </w:r>
          </w:p>
        </w:tc>
        <w:tc>
          <w:tcPr>
            <w:tcW w:w="723" w:type="dxa"/>
            <w:noWrap w:val="0"/>
            <w:vAlign w:val="center"/>
          </w:tcPr>
          <w:p w14:paraId="165D4C49">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35.81</w:t>
            </w:r>
          </w:p>
        </w:tc>
        <w:tc>
          <w:tcPr>
            <w:tcW w:w="843" w:type="dxa"/>
            <w:noWrap w:val="0"/>
            <w:vAlign w:val="center"/>
          </w:tcPr>
          <w:p w14:paraId="6C3090F3">
            <w:pPr>
              <w:spacing w:line="240" w:lineRule="auto"/>
              <w:jc w:val="center"/>
              <w:rPr>
                <w:rFonts w:hint="default" w:ascii="Times New Roman" w:hAnsi="Times New Roman" w:eastAsia="宋体" w:cs="Times New Roman"/>
                <w:color w:val="000000"/>
                <w:kern w:val="0"/>
                <w:sz w:val="21"/>
                <w:szCs w:val="21"/>
                <w:highlight w:val="none"/>
                <w:lang w:val="zh-CN"/>
              </w:rPr>
            </w:pPr>
            <w:r>
              <w:rPr>
                <w:rFonts w:hint="default" w:ascii="Times New Roman" w:hAnsi="Times New Roman" w:eastAsia="宋体" w:cs="Times New Roman"/>
                <w:color w:val="000000"/>
                <w:kern w:val="0"/>
                <w:sz w:val="21"/>
                <w:szCs w:val="21"/>
                <w:highlight w:val="none"/>
                <w:lang w:val="zh-CN"/>
              </w:rPr>
              <w:t>34.37</w:t>
            </w:r>
          </w:p>
        </w:tc>
      </w:tr>
    </w:tbl>
    <w:p w14:paraId="43D6D562">
      <w:pPr>
        <w:spacing w:line="520" w:lineRule="exact"/>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eastAsia="zh-TW"/>
        </w:rPr>
        <w:t>上述噪声源均为间歇性声源，由表中数据可知，至100～120m处夜间噪声与现状叠加后将超过</w:t>
      </w:r>
      <w:r>
        <w:rPr>
          <w:rFonts w:hint="default" w:ascii="Times New Roman" w:hAnsi="Times New Roman" w:eastAsia="宋体" w:cs="Times New Roman"/>
          <w:color w:val="000000"/>
          <w:kern w:val="2"/>
          <w:sz w:val="24"/>
          <w:szCs w:val="24"/>
          <w:highlight w:val="none"/>
          <w:lang w:val="en-US" w:eastAsia="zh-CN" w:bidi="ar-SA"/>
        </w:rPr>
        <w:t>《</w:t>
      </w:r>
      <w:r>
        <w:rPr>
          <w:rFonts w:hint="eastAsia" w:cs="Times New Roman"/>
          <w:color w:val="000000"/>
          <w:kern w:val="2"/>
          <w:sz w:val="24"/>
          <w:szCs w:val="24"/>
          <w:highlight w:val="none"/>
          <w:lang w:val="en-US" w:eastAsia="zh-CN" w:bidi="ar-SA"/>
        </w:rPr>
        <w:t>建筑施工噪声排放标准</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cs="Times New Roman"/>
          <w:color w:val="000000"/>
          <w:kern w:val="2"/>
          <w:sz w:val="24"/>
          <w:szCs w:val="24"/>
          <w:highlight w:val="none"/>
          <w:lang w:val="en-US" w:eastAsia="zh-CN" w:bidi="ar-SA"/>
        </w:rPr>
        <w:t>（</w:t>
      </w:r>
      <w:r>
        <w:rPr>
          <w:rFonts w:hint="eastAsia" w:cs="Times New Roman"/>
          <w:color w:val="000000"/>
          <w:kern w:val="2"/>
          <w:sz w:val="24"/>
          <w:szCs w:val="24"/>
          <w:highlight w:val="none"/>
          <w:lang w:val="en-US" w:eastAsia="zh-CN" w:bidi="ar-SA"/>
        </w:rPr>
        <w:t>GB 12523-2025</w:t>
      </w:r>
      <w:r>
        <w:rPr>
          <w:rFonts w:hint="eastAsia" w:ascii="Times New Roman" w:hAnsi="Times New Roman" w:cs="Times New Roman"/>
          <w:color w:val="000000"/>
          <w:kern w:val="2"/>
          <w:sz w:val="24"/>
          <w:szCs w:val="24"/>
          <w:highlight w:val="none"/>
          <w:lang w:val="en-US" w:eastAsia="zh-CN" w:bidi="ar-SA"/>
        </w:rPr>
        <w:t>）夜间限值</w:t>
      </w:r>
      <w:r>
        <w:rPr>
          <w:rFonts w:hint="default" w:ascii="Times New Roman" w:hAnsi="Times New Roman" w:eastAsia="宋体" w:cs="Times New Roman"/>
          <w:color w:val="000000"/>
          <w:kern w:val="0"/>
          <w:sz w:val="24"/>
          <w:szCs w:val="24"/>
          <w:highlight w:val="none"/>
          <w:lang w:val="zh-TW" w:eastAsia="zh-TW"/>
        </w:rPr>
        <w:t>；昼间噪声与现状值叠加后，低于建筑施工场界昼间噪声70dB</w:t>
      </w:r>
      <w:r>
        <w:rPr>
          <w:rFonts w:hint="eastAsia" w:cs="Times New Roman"/>
          <w:color w:val="000000"/>
          <w:kern w:val="0"/>
          <w:sz w:val="24"/>
          <w:szCs w:val="24"/>
          <w:highlight w:val="none"/>
          <w:lang w:val="zh-TW" w:eastAsia="zh-CN"/>
        </w:rPr>
        <w:t>（</w:t>
      </w:r>
      <w:r>
        <w:rPr>
          <w:rFonts w:hint="default" w:ascii="Times New Roman" w:hAnsi="Times New Roman" w:eastAsia="宋体" w:cs="Times New Roman"/>
          <w:color w:val="000000"/>
          <w:kern w:val="0"/>
          <w:sz w:val="24"/>
          <w:szCs w:val="24"/>
          <w:highlight w:val="none"/>
          <w:lang w:val="zh-TW" w:eastAsia="zh-TW"/>
        </w:rPr>
        <w:t>A</w:t>
      </w:r>
      <w:r>
        <w:rPr>
          <w:rFonts w:hint="eastAsia" w:cs="Times New Roman"/>
          <w:color w:val="000000"/>
          <w:kern w:val="0"/>
          <w:sz w:val="24"/>
          <w:szCs w:val="24"/>
          <w:highlight w:val="none"/>
          <w:lang w:val="zh-TW" w:eastAsia="zh-CN"/>
        </w:rPr>
        <w:t>）</w:t>
      </w:r>
      <w:r>
        <w:rPr>
          <w:rFonts w:hint="default" w:ascii="Times New Roman" w:hAnsi="Times New Roman" w:eastAsia="宋体" w:cs="Times New Roman"/>
          <w:color w:val="000000"/>
          <w:kern w:val="0"/>
          <w:sz w:val="24"/>
          <w:szCs w:val="24"/>
          <w:highlight w:val="none"/>
          <w:lang w:val="zh-TW" w:eastAsia="zh-TW"/>
        </w:rPr>
        <w:t>的标准限值。可见施工期夜间</w:t>
      </w:r>
      <w:r>
        <w:rPr>
          <w:rFonts w:hint="eastAsia" w:cs="Times New Roman"/>
          <w:color w:val="000000"/>
          <w:kern w:val="0"/>
          <w:sz w:val="24"/>
          <w:szCs w:val="24"/>
          <w:highlight w:val="none"/>
          <w:lang w:val="zh-TW" w:eastAsia="zh-CN"/>
        </w:rPr>
        <w:t>不可避免地要</w:t>
      </w:r>
      <w:r>
        <w:rPr>
          <w:rFonts w:hint="default" w:ascii="Times New Roman" w:hAnsi="Times New Roman" w:eastAsia="宋体" w:cs="Times New Roman"/>
          <w:color w:val="000000"/>
          <w:kern w:val="0"/>
          <w:sz w:val="24"/>
          <w:szCs w:val="24"/>
          <w:highlight w:val="none"/>
          <w:lang w:val="zh-TW" w:eastAsia="zh-TW"/>
        </w:rPr>
        <w:t>对周围环境产生一定噪声污染。由于项目区及</w:t>
      </w:r>
      <w:r>
        <w:rPr>
          <w:rFonts w:hint="eastAsia" w:eastAsia="宋体" w:cs="Times New Roman"/>
          <w:color w:val="000000"/>
          <w:kern w:val="0"/>
          <w:sz w:val="24"/>
          <w:szCs w:val="24"/>
          <w:highlight w:val="none"/>
          <w:lang w:val="en-US" w:eastAsia="zh-CN"/>
        </w:rPr>
        <w:t>厂界200m范围内不存在声环境敏感目标</w:t>
      </w:r>
      <w:r>
        <w:rPr>
          <w:rFonts w:hint="default" w:ascii="Times New Roman" w:hAnsi="Times New Roman" w:eastAsia="宋体" w:cs="Times New Roman"/>
          <w:color w:val="000000"/>
          <w:kern w:val="0"/>
          <w:sz w:val="24"/>
          <w:szCs w:val="24"/>
          <w:highlight w:val="none"/>
          <w:lang w:val="zh-TW" w:eastAsia="zh-TW"/>
        </w:rPr>
        <w:t>，因此施工噪声影响对象主要为现场施工作业人员</w:t>
      </w:r>
      <w:r>
        <w:rPr>
          <w:rFonts w:hint="eastAsia" w:ascii="Times New Roman" w:hAnsi="Times New Roman" w:eastAsia="宋体" w:cs="Times New Roman"/>
          <w:color w:val="000000"/>
          <w:kern w:val="0"/>
          <w:sz w:val="24"/>
          <w:szCs w:val="24"/>
          <w:highlight w:val="none"/>
          <w:lang w:val="en-US" w:eastAsia="zh-CN"/>
        </w:rPr>
        <w:t>以及办公生活区</w:t>
      </w:r>
      <w:r>
        <w:rPr>
          <w:rFonts w:hint="default" w:ascii="Times New Roman" w:hAnsi="Times New Roman" w:eastAsia="宋体" w:cs="Times New Roman"/>
          <w:color w:val="000000"/>
          <w:kern w:val="0"/>
          <w:sz w:val="24"/>
          <w:szCs w:val="24"/>
          <w:highlight w:val="none"/>
          <w:lang w:val="zh-TW" w:eastAsia="zh-TW"/>
        </w:rPr>
        <w:t>。因此施工作业人员的住地应远离施工场地，且夜间</w:t>
      </w:r>
      <w:r>
        <w:rPr>
          <w:rFonts w:hint="eastAsia" w:cs="Times New Roman"/>
          <w:color w:val="000000"/>
          <w:kern w:val="0"/>
          <w:sz w:val="24"/>
          <w:szCs w:val="24"/>
          <w:highlight w:val="none"/>
          <w:lang w:val="en-US" w:eastAsia="zh-CN"/>
        </w:rPr>
        <w:t>停止施工</w:t>
      </w:r>
      <w:r>
        <w:rPr>
          <w:rFonts w:hint="default" w:ascii="Times New Roman" w:hAnsi="Times New Roman" w:eastAsia="宋体" w:cs="Times New Roman"/>
          <w:color w:val="000000"/>
          <w:kern w:val="0"/>
          <w:sz w:val="24"/>
          <w:szCs w:val="24"/>
          <w:highlight w:val="none"/>
          <w:lang w:val="zh-TW" w:eastAsia="zh-TW"/>
        </w:rPr>
        <w:t>，为工人夜间睡眠创造一个安静的环境。由于施工活动是一种短期行为，且带有区段性，随着施工的结束，噪声影响也随之消失。</w:t>
      </w:r>
    </w:p>
    <w:p w14:paraId="11934BC6">
      <w:pPr>
        <w:adjustRightInd w:val="0"/>
        <w:snapToGrid w:val="0"/>
        <w:spacing w:line="520" w:lineRule="exact"/>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eastAsia="zh-TW"/>
        </w:rPr>
        <w:t>（</w:t>
      </w:r>
      <w:r>
        <w:rPr>
          <w:rFonts w:hint="default" w:ascii="Times New Roman" w:hAnsi="Times New Roman" w:eastAsia="宋体" w:cs="Times New Roman"/>
          <w:color w:val="000000"/>
          <w:kern w:val="0"/>
          <w:sz w:val="24"/>
          <w:szCs w:val="24"/>
          <w:highlight w:val="none"/>
        </w:rPr>
        <w:t>3</w:t>
      </w:r>
      <w:r>
        <w:rPr>
          <w:rFonts w:hint="default" w:ascii="Times New Roman" w:hAnsi="Times New Roman" w:eastAsia="宋体" w:cs="Times New Roman"/>
          <w:color w:val="000000"/>
          <w:kern w:val="0"/>
          <w:sz w:val="24"/>
          <w:szCs w:val="24"/>
          <w:highlight w:val="none"/>
          <w:lang w:val="zh-TW" w:eastAsia="zh-TW"/>
        </w:rPr>
        <w:t>）施工期噪声防治措施</w:t>
      </w:r>
    </w:p>
    <w:p w14:paraId="4A831A80">
      <w:pPr>
        <w:spacing w:line="520" w:lineRule="exact"/>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eastAsia="zh-TW"/>
        </w:rPr>
        <w:t>对施工机械噪声进行控制，选用性能好、低噪音的设备进行施工。无法控制</w:t>
      </w:r>
      <w:r>
        <w:rPr>
          <w:rFonts w:hint="eastAsia" w:cs="Times New Roman"/>
          <w:color w:val="000000"/>
          <w:kern w:val="0"/>
          <w:sz w:val="24"/>
          <w:szCs w:val="24"/>
          <w:highlight w:val="none"/>
          <w:lang w:val="zh-TW" w:eastAsia="zh-CN"/>
        </w:rPr>
        <w:t>噪声</w:t>
      </w:r>
      <w:r>
        <w:rPr>
          <w:rFonts w:hint="default" w:ascii="Times New Roman" w:hAnsi="Times New Roman" w:eastAsia="宋体" w:cs="Times New Roman"/>
          <w:color w:val="000000"/>
          <w:kern w:val="0"/>
          <w:sz w:val="24"/>
          <w:szCs w:val="24"/>
          <w:highlight w:val="none"/>
          <w:lang w:val="zh-TW" w:eastAsia="zh-TW"/>
        </w:rPr>
        <w:t>的设备应对施工人员采取有效的保护措施。</w:t>
      </w:r>
    </w:p>
    <w:p w14:paraId="25C4D0F7">
      <w:pPr>
        <w:keepNext w:val="0"/>
        <w:keepLines w:val="0"/>
        <w:widowControl w:val="0"/>
        <w:bidi w:val="0"/>
        <w:spacing w:before="0" w:after="0" w:line="360" w:lineRule="auto"/>
        <w:jc w:val="both"/>
        <w:outlineLvl w:val="2"/>
        <w:rPr>
          <w:rFonts w:hint="default" w:ascii="Times New Roman" w:hAnsi="Times New Roman" w:eastAsia="宋体" w:cs="Times New Roman"/>
          <w:b/>
          <w:bCs/>
          <w:kern w:val="0"/>
          <w:sz w:val="28"/>
          <w:szCs w:val="28"/>
          <w:lang w:val="en-US" w:eastAsia="zh-CN" w:bidi="ar-SA"/>
        </w:rPr>
      </w:pPr>
      <w:r>
        <w:rPr>
          <w:rFonts w:hint="default" w:ascii="Times New Roman" w:hAnsi="Times New Roman" w:eastAsia="宋体" w:cs="Times New Roman"/>
          <w:b/>
          <w:bCs/>
          <w:kern w:val="0"/>
          <w:sz w:val="28"/>
          <w:szCs w:val="28"/>
          <w:lang w:val="en-US" w:eastAsia="zh-CN" w:bidi="ar-SA"/>
        </w:rPr>
        <w:t>5.1.3固体废弃物影响分析</w:t>
      </w:r>
    </w:p>
    <w:p w14:paraId="16D61AF9">
      <w:pPr>
        <w:overflowPunct/>
        <w:autoSpaceDE/>
        <w:autoSpaceDN/>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lang w:val="zh-TW" w:eastAsia="zh-TW"/>
        </w:rPr>
      </w:pPr>
      <w:r>
        <w:rPr>
          <w:rFonts w:hint="default" w:ascii="Times New Roman" w:hAnsi="Times New Roman" w:eastAsia="宋体" w:cs="Times New Roman"/>
          <w:color w:val="auto"/>
          <w:kern w:val="0"/>
          <w:sz w:val="24"/>
          <w:szCs w:val="24"/>
          <w:highlight w:val="none"/>
          <w:lang w:val="zh-TW" w:eastAsia="zh-TW"/>
        </w:rPr>
        <w:t>（</w:t>
      </w:r>
      <w:r>
        <w:rPr>
          <w:rFonts w:hint="default" w:ascii="Times New Roman" w:hAnsi="Times New Roman" w:eastAsia="宋体" w:cs="Times New Roman"/>
          <w:color w:val="auto"/>
          <w:kern w:val="0"/>
          <w:sz w:val="24"/>
          <w:szCs w:val="24"/>
          <w:highlight w:val="none"/>
        </w:rPr>
        <w:t>1</w:t>
      </w:r>
      <w:r>
        <w:rPr>
          <w:rFonts w:hint="default" w:ascii="Times New Roman" w:hAnsi="Times New Roman" w:eastAsia="宋体" w:cs="Times New Roman"/>
          <w:color w:val="auto"/>
          <w:kern w:val="0"/>
          <w:sz w:val="24"/>
          <w:szCs w:val="24"/>
          <w:highlight w:val="none"/>
          <w:lang w:val="zh-TW" w:eastAsia="zh-TW"/>
        </w:rPr>
        <w:t>）</w:t>
      </w:r>
      <w:r>
        <w:rPr>
          <w:rFonts w:hint="default" w:ascii="Times New Roman" w:hAnsi="Times New Roman" w:eastAsia="宋体" w:cs="Times New Roman"/>
          <w:color w:val="auto"/>
          <w:kern w:val="0"/>
          <w:sz w:val="24"/>
          <w:szCs w:val="24"/>
          <w:highlight w:val="none"/>
          <w:lang w:val="zh-TW"/>
        </w:rPr>
        <w:t>建筑垃圾</w:t>
      </w:r>
    </w:p>
    <w:p w14:paraId="49FF2DD1">
      <w:pPr>
        <w:overflowPunct/>
        <w:autoSpaceDE/>
        <w:autoSpaceDN/>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lang w:val="zh-TW" w:eastAsia="zh-TW"/>
        </w:rPr>
      </w:pPr>
      <w:r>
        <w:rPr>
          <w:rFonts w:hint="default" w:ascii="Times New Roman" w:hAnsi="Times New Roman" w:eastAsia="宋体" w:cs="Times New Roman"/>
          <w:color w:val="auto"/>
          <w:kern w:val="0"/>
          <w:sz w:val="24"/>
          <w:szCs w:val="24"/>
          <w:highlight w:val="none"/>
          <w:lang w:val="zh-TW" w:eastAsia="zh-TW"/>
        </w:rPr>
        <w:t>建筑施工废物、生活垃圾是施工期间产生的主要固体废弃物。建筑施工废物包括结构施工</w:t>
      </w:r>
      <w:r>
        <w:rPr>
          <w:rFonts w:hint="eastAsia" w:ascii="Times New Roman" w:hAnsi="Times New Roman" w:eastAsia="宋体" w:cs="Times New Roman"/>
          <w:color w:val="auto"/>
          <w:kern w:val="0"/>
          <w:sz w:val="24"/>
          <w:szCs w:val="24"/>
          <w:highlight w:val="none"/>
          <w:lang w:val="zh-TW" w:eastAsia="zh-CN"/>
        </w:rPr>
        <w:t>中洒落的</w:t>
      </w:r>
      <w:r>
        <w:rPr>
          <w:rFonts w:hint="default" w:ascii="Times New Roman" w:hAnsi="Times New Roman" w:eastAsia="宋体" w:cs="Times New Roman"/>
          <w:color w:val="auto"/>
          <w:kern w:val="0"/>
          <w:sz w:val="24"/>
          <w:szCs w:val="24"/>
          <w:highlight w:val="none"/>
          <w:lang w:val="zh-TW" w:eastAsia="zh-TW"/>
        </w:rPr>
        <w:t>混凝土等。施工中金属废料</w:t>
      </w:r>
      <w:r>
        <w:rPr>
          <w:rFonts w:hint="eastAsia" w:ascii="Times New Roman" w:hAnsi="Times New Roman" w:eastAsia="宋体" w:cs="Times New Roman"/>
          <w:color w:val="auto"/>
          <w:kern w:val="0"/>
          <w:sz w:val="24"/>
          <w:szCs w:val="24"/>
          <w:highlight w:val="none"/>
          <w:lang w:val="zh-TW" w:eastAsia="zh-CN"/>
        </w:rPr>
        <w:t>使用</w:t>
      </w:r>
      <w:r>
        <w:rPr>
          <w:rFonts w:hint="default" w:ascii="Times New Roman" w:hAnsi="Times New Roman" w:eastAsia="宋体" w:cs="Times New Roman"/>
          <w:color w:val="auto"/>
          <w:kern w:val="0"/>
          <w:sz w:val="24"/>
          <w:szCs w:val="24"/>
          <w:highlight w:val="none"/>
          <w:lang w:val="zh-TW" w:eastAsia="zh-TW"/>
        </w:rPr>
        <w:t>后可进行回收。车辆运输</w:t>
      </w:r>
      <w:r>
        <w:rPr>
          <w:rFonts w:hint="eastAsia" w:ascii="Times New Roman" w:hAnsi="Times New Roman" w:eastAsia="宋体" w:cs="Times New Roman"/>
          <w:color w:val="auto"/>
          <w:kern w:val="0"/>
          <w:sz w:val="24"/>
          <w:szCs w:val="24"/>
          <w:highlight w:val="none"/>
          <w:lang w:val="zh-TW" w:eastAsia="zh-CN"/>
        </w:rPr>
        <w:t>固体</w:t>
      </w:r>
      <w:r>
        <w:rPr>
          <w:rFonts w:hint="default" w:ascii="Times New Roman" w:hAnsi="Times New Roman" w:eastAsia="宋体" w:cs="Times New Roman"/>
          <w:color w:val="auto"/>
          <w:kern w:val="0"/>
          <w:sz w:val="24"/>
          <w:szCs w:val="24"/>
          <w:highlight w:val="none"/>
          <w:lang w:val="zh-TW" w:eastAsia="zh-TW"/>
        </w:rPr>
        <w:t>物和废弃物时，必须密封、包扎、覆盖，不得沿途撒漏。运载土方的车辆必须在规定的时间内，按指定路段行驶。</w:t>
      </w:r>
    </w:p>
    <w:p w14:paraId="08374373">
      <w:pPr>
        <w:numPr>
          <w:ilvl w:val="0"/>
          <w:numId w:val="0"/>
        </w:numPr>
        <w:overflowPunct/>
        <w:autoSpaceDE/>
        <w:autoSpaceDN/>
        <w:adjustRightInd w:val="0"/>
        <w:snapToGrid w:val="0"/>
        <w:spacing w:line="360" w:lineRule="auto"/>
        <w:ind w:leftChars="200" w:firstLine="0" w:firstLineChars="0"/>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（2）土石方</w:t>
      </w:r>
    </w:p>
    <w:p w14:paraId="2F942249">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000000"/>
          <w:kern w:val="0"/>
          <w:sz w:val="24"/>
          <w:szCs w:val="22"/>
          <w:lang w:val="en-US" w:eastAsia="zh-CN"/>
        </w:rPr>
        <w:t>建设工程中土石方主要来源于：生产车间基础开挖和回填、场地平整等。本项目土壤不具备腐殖层，故不采取表土剥离措施。工程挖方基本用于回填，少量碎石用于道路平整。项目土石方自挖自填，土方挖填基本平衡，不产生弃方，同时不设置取土场，工程建设所需砂石料由</w:t>
      </w:r>
      <w:r>
        <w:rPr>
          <w:rFonts w:hint="eastAsia" w:cs="宋体"/>
          <w:color w:val="000000"/>
          <w:kern w:val="0"/>
          <w:sz w:val="24"/>
          <w:szCs w:val="22"/>
          <w:lang w:val="en-US" w:eastAsia="zh-CN"/>
        </w:rPr>
        <w:t>第七师胡杨河市</w:t>
      </w:r>
      <w:r>
        <w:rPr>
          <w:rFonts w:hint="eastAsia" w:ascii="Times New Roman" w:hAnsi="Times New Roman" w:eastAsia="宋体" w:cs="宋体"/>
          <w:color w:val="000000"/>
          <w:kern w:val="0"/>
          <w:sz w:val="24"/>
          <w:szCs w:val="22"/>
          <w:lang w:val="en-US" w:eastAsia="zh-CN"/>
        </w:rPr>
        <w:t>周边成品料场提供，不设取料场。</w:t>
      </w:r>
    </w:p>
    <w:p w14:paraId="4E26E684">
      <w:pPr>
        <w:overflowPunct/>
        <w:autoSpaceDE/>
        <w:autoSpaceDN/>
        <w:adjustRightInd w:val="0"/>
        <w:snapToGrid w:val="0"/>
        <w:spacing w:line="360" w:lineRule="auto"/>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eastAsia="zh-TW"/>
        </w:rPr>
        <w:t>（</w:t>
      </w:r>
      <w:r>
        <w:rPr>
          <w:rFonts w:hint="eastAsia" w:ascii="Times New Roman" w:hAnsi="Times New Roman" w:eastAsia="宋体" w:cs="Times New Roman"/>
          <w:color w:val="000000"/>
          <w:kern w:val="0"/>
          <w:sz w:val="24"/>
          <w:szCs w:val="24"/>
          <w:highlight w:val="none"/>
          <w:lang w:val="en-US" w:eastAsia="zh-CN"/>
        </w:rPr>
        <w:t>3</w:t>
      </w:r>
      <w:r>
        <w:rPr>
          <w:rFonts w:hint="default" w:ascii="Times New Roman" w:hAnsi="Times New Roman" w:eastAsia="宋体" w:cs="Times New Roman"/>
          <w:color w:val="000000"/>
          <w:kern w:val="0"/>
          <w:sz w:val="24"/>
          <w:szCs w:val="24"/>
          <w:highlight w:val="none"/>
          <w:lang w:val="zh-TW" w:eastAsia="zh-TW"/>
        </w:rPr>
        <w:t>）</w:t>
      </w:r>
      <w:r>
        <w:rPr>
          <w:rFonts w:hint="default" w:ascii="Times New Roman" w:hAnsi="Times New Roman" w:eastAsia="宋体" w:cs="Times New Roman"/>
          <w:color w:val="000000"/>
          <w:kern w:val="0"/>
          <w:sz w:val="24"/>
          <w:szCs w:val="24"/>
          <w:highlight w:val="none"/>
          <w:lang w:val="zh-TW"/>
        </w:rPr>
        <w:t>生活垃圾</w:t>
      </w:r>
    </w:p>
    <w:p w14:paraId="4095E568">
      <w:pPr>
        <w:overflowPunct/>
        <w:autoSpaceDE/>
        <w:autoSpaceDN/>
        <w:adjustRightInd w:val="0"/>
        <w:snapToGrid w:val="0"/>
        <w:spacing w:line="360" w:lineRule="auto"/>
        <w:ind w:firstLine="480" w:firstLineChars="20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本项目施工人员共</w:t>
      </w:r>
      <w:r>
        <w:rPr>
          <w:rFonts w:hint="eastAsia" w:ascii="Times New Roman" w:hAnsi="Times New Roman" w:eastAsia="宋体" w:cs="Times New Roman"/>
          <w:color w:val="000000"/>
          <w:kern w:val="0"/>
          <w:sz w:val="24"/>
          <w:szCs w:val="24"/>
          <w:highlight w:val="none"/>
          <w:lang w:val="en-US" w:eastAsia="zh-CN"/>
        </w:rPr>
        <w:t>20</w:t>
      </w:r>
      <w:r>
        <w:rPr>
          <w:rFonts w:hint="default" w:ascii="Times New Roman" w:hAnsi="Times New Roman" w:eastAsia="宋体" w:cs="Times New Roman"/>
          <w:color w:val="000000"/>
          <w:kern w:val="0"/>
          <w:sz w:val="24"/>
          <w:szCs w:val="24"/>
          <w:highlight w:val="none"/>
        </w:rPr>
        <w:t>人，工人从当地招募，生活垃圾按0.5kg/d·人计，共</w:t>
      </w:r>
      <w:r>
        <w:rPr>
          <w:rFonts w:hint="eastAsia" w:ascii="Times New Roman" w:hAnsi="Times New Roman" w:eastAsia="宋体" w:cs="Times New Roman"/>
          <w:color w:val="000000"/>
          <w:kern w:val="0"/>
          <w:sz w:val="24"/>
          <w:szCs w:val="24"/>
          <w:highlight w:val="none"/>
          <w:lang w:val="en-US" w:eastAsia="zh-CN"/>
        </w:rPr>
        <w:t>10kg</w:t>
      </w:r>
      <w:r>
        <w:rPr>
          <w:rFonts w:hint="default" w:ascii="Times New Roman" w:hAnsi="Times New Roman" w:eastAsia="宋体" w:cs="Times New Roman"/>
          <w:color w:val="000000"/>
          <w:kern w:val="0"/>
          <w:sz w:val="24"/>
          <w:szCs w:val="24"/>
          <w:highlight w:val="none"/>
        </w:rPr>
        <w:t>/</w:t>
      </w:r>
      <w:r>
        <w:rPr>
          <w:rFonts w:hint="eastAsia" w:ascii="Times New Roman" w:hAnsi="Times New Roman" w:eastAsia="宋体" w:cs="Times New Roman"/>
          <w:color w:val="000000"/>
          <w:kern w:val="0"/>
          <w:sz w:val="24"/>
          <w:szCs w:val="24"/>
          <w:highlight w:val="none"/>
          <w:lang w:val="en-US" w:eastAsia="zh-CN"/>
        </w:rPr>
        <w:t>d</w:t>
      </w:r>
      <w:r>
        <w:rPr>
          <w:rFonts w:hint="default" w:ascii="Times New Roman" w:hAnsi="Times New Roman" w:eastAsia="宋体" w:cs="Times New Roman"/>
          <w:color w:val="000000"/>
          <w:kern w:val="0"/>
          <w:sz w:val="24"/>
          <w:szCs w:val="24"/>
          <w:highlight w:val="none"/>
        </w:rPr>
        <w:t>，集中收集后</w:t>
      </w:r>
      <w:r>
        <w:rPr>
          <w:rFonts w:hint="eastAsia" w:ascii="Times New Roman" w:hAnsi="Times New Roman" w:eastAsia="宋体" w:cs="Times New Roman"/>
          <w:color w:val="000000"/>
          <w:kern w:val="0"/>
          <w:sz w:val="24"/>
          <w:szCs w:val="24"/>
          <w:highlight w:val="none"/>
          <w:lang w:val="en-US" w:eastAsia="zh-CN"/>
        </w:rPr>
        <w:t>由环卫部门定期清运</w:t>
      </w:r>
      <w:r>
        <w:rPr>
          <w:rFonts w:hint="default" w:ascii="Times New Roman" w:hAnsi="Times New Roman" w:eastAsia="宋体" w:cs="Times New Roman"/>
          <w:color w:val="000000"/>
          <w:kern w:val="0"/>
          <w:sz w:val="24"/>
          <w:szCs w:val="24"/>
          <w:highlight w:val="none"/>
          <w:lang w:val="zh-TW"/>
        </w:rPr>
        <w:t>。</w:t>
      </w:r>
    </w:p>
    <w:p w14:paraId="3A6794BB">
      <w:pPr>
        <w:keepNext w:val="0"/>
        <w:keepLines w:val="0"/>
        <w:widowControl w:val="0"/>
        <w:bidi w:val="0"/>
        <w:spacing w:before="0" w:after="0" w:line="360" w:lineRule="auto"/>
        <w:jc w:val="both"/>
        <w:outlineLvl w:val="2"/>
        <w:rPr>
          <w:rFonts w:hint="default" w:ascii="Times New Roman" w:hAnsi="Times New Roman" w:eastAsia="宋体" w:cs="Times New Roman"/>
          <w:b/>
          <w:bCs/>
          <w:kern w:val="0"/>
          <w:sz w:val="28"/>
          <w:szCs w:val="28"/>
          <w:lang w:val="en-US" w:eastAsia="zh-CN" w:bidi="ar-SA"/>
        </w:rPr>
      </w:pPr>
      <w:r>
        <w:rPr>
          <w:rFonts w:hint="default" w:ascii="Times New Roman" w:hAnsi="Times New Roman" w:eastAsia="宋体" w:cs="Times New Roman"/>
          <w:b/>
          <w:bCs/>
          <w:kern w:val="0"/>
          <w:sz w:val="28"/>
          <w:szCs w:val="28"/>
          <w:lang w:val="en-US" w:eastAsia="zh-CN" w:bidi="ar-SA"/>
        </w:rPr>
        <w:t>5.1.4施工污水环境影响</w:t>
      </w:r>
    </w:p>
    <w:p w14:paraId="49A27C0D">
      <w:pPr>
        <w:adjustRightInd w:val="0"/>
        <w:snapToGrid w:val="0"/>
        <w:spacing w:line="360" w:lineRule="auto"/>
        <w:ind w:firstLine="480" w:firstLineChars="200"/>
        <w:rPr>
          <w:rFonts w:hint="default" w:ascii="Times New Roman" w:hAnsi="Times New Roman" w:eastAsia="宋体" w:cs="Times New Roman"/>
          <w:color w:val="000000"/>
          <w:kern w:val="0"/>
          <w:sz w:val="24"/>
          <w:szCs w:val="24"/>
          <w:highlight w:val="none"/>
          <w:lang w:val="zh-TW" w:eastAsia="zh-TW"/>
        </w:rPr>
      </w:pPr>
      <w:r>
        <w:rPr>
          <w:rFonts w:hint="default" w:ascii="Times New Roman" w:hAnsi="Times New Roman" w:eastAsia="宋体" w:cs="Times New Roman"/>
          <w:color w:val="000000"/>
          <w:kern w:val="0"/>
          <w:sz w:val="24"/>
          <w:szCs w:val="24"/>
          <w:highlight w:val="none"/>
          <w:lang w:val="zh-TW" w:eastAsia="zh-TW"/>
        </w:rPr>
        <w:t>建设期对水环境的影响是建设施工人员生产和生活中所产生的废水。如果不规范管理，任其无组织</w:t>
      </w:r>
      <w:r>
        <w:rPr>
          <w:rFonts w:hint="eastAsia" w:cs="Times New Roman"/>
          <w:color w:val="000000"/>
          <w:kern w:val="0"/>
          <w:sz w:val="24"/>
          <w:szCs w:val="24"/>
          <w:highlight w:val="none"/>
          <w:lang w:val="zh-TW" w:eastAsia="zh-CN"/>
        </w:rPr>
        <w:t>地</w:t>
      </w:r>
      <w:r>
        <w:rPr>
          <w:rFonts w:hint="default" w:ascii="Times New Roman" w:hAnsi="Times New Roman" w:eastAsia="宋体" w:cs="Times New Roman"/>
          <w:color w:val="000000"/>
          <w:kern w:val="0"/>
          <w:sz w:val="24"/>
          <w:szCs w:val="24"/>
          <w:highlight w:val="none"/>
          <w:lang w:val="zh-TW" w:eastAsia="zh-TW"/>
        </w:rPr>
        <w:t>排放，将对环境产生污染影响，由于项目施工期短，对环境的影响是暂时的，随着施工任务的结束对环境的影响即会消除。</w:t>
      </w:r>
    </w:p>
    <w:p w14:paraId="3E31D9EF">
      <w:pPr>
        <w:adjustRightInd w:val="0"/>
        <w:snapToGrid w:val="0"/>
        <w:spacing w:line="360" w:lineRule="auto"/>
        <w:ind w:firstLine="480" w:firstLineChars="200"/>
        <w:rPr>
          <w:rFonts w:hint="default" w:ascii="Times New Roman" w:hAnsi="Times New Roman" w:eastAsia="宋体" w:cs="Times New Roman"/>
          <w:color w:val="000000"/>
          <w:kern w:val="0"/>
          <w:sz w:val="24"/>
          <w:szCs w:val="24"/>
          <w:highlight w:val="none"/>
          <w:lang w:val="zh-TW"/>
        </w:rPr>
      </w:pPr>
      <w:r>
        <w:rPr>
          <w:rFonts w:hint="default" w:ascii="Times New Roman" w:hAnsi="Times New Roman" w:eastAsia="宋体" w:cs="Times New Roman"/>
          <w:color w:val="000000"/>
          <w:kern w:val="0"/>
          <w:sz w:val="24"/>
          <w:szCs w:val="24"/>
          <w:highlight w:val="none"/>
          <w:lang w:val="zh-TW" w:eastAsia="zh-TW"/>
        </w:rPr>
        <w:t>本项目施工期间的生产用水主要为施工现场路面洒水</w:t>
      </w:r>
      <w:r>
        <w:rPr>
          <w:rFonts w:hint="eastAsia" w:ascii="Times New Roman" w:hAnsi="Times New Roman" w:eastAsia="宋体" w:cs="Times New Roman"/>
          <w:color w:val="000000"/>
          <w:kern w:val="0"/>
          <w:sz w:val="24"/>
          <w:szCs w:val="24"/>
          <w:highlight w:val="none"/>
          <w:lang w:val="zh-TW" w:eastAsia="zh-CN"/>
        </w:rPr>
        <w:t>、</w:t>
      </w:r>
      <w:r>
        <w:rPr>
          <w:rFonts w:hint="eastAsia" w:ascii="Times New Roman" w:hAnsi="Times New Roman" w:eastAsia="宋体" w:cs="Times New Roman"/>
          <w:color w:val="000000"/>
          <w:kern w:val="0"/>
          <w:sz w:val="24"/>
          <w:szCs w:val="24"/>
          <w:highlight w:val="none"/>
          <w:lang w:val="en-US" w:eastAsia="zh-CN"/>
        </w:rPr>
        <w:t>车辆设备清洗用水</w:t>
      </w:r>
      <w:r>
        <w:rPr>
          <w:rFonts w:hint="default" w:ascii="Times New Roman" w:hAnsi="Times New Roman" w:eastAsia="宋体" w:cs="Times New Roman"/>
          <w:color w:val="000000"/>
          <w:kern w:val="0"/>
          <w:sz w:val="24"/>
          <w:szCs w:val="24"/>
          <w:highlight w:val="none"/>
          <w:lang w:val="zh-TW" w:eastAsia="zh-TW"/>
        </w:rPr>
        <w:t>等，</w:t>
      </w:r>
      <w:r>
        <w:rPr>
          <w:rFonts w:hint="eastAsia" w:ascii="Times New Roman" w:hAnsi="Times New Roman" w:eastAsia="宋体" w:cs="Times New Roman"/>
          <w:color w:val="000000"/>
          <w:kern w:val="0"/>
          <w:sz w:val="24"/>
          <w:szCs w:val="24"/>
          <w:highlight w:val="none"/>
          <w:lang w:val="en-US" w:eastAsia="zh-CN"/>
        </w:rPr>
        <w:t>洒水</w:t>
      </w:r>
      <w:r>
        <w:rPr>
          <w:rFonts w:hint="default" w:ascii="Times New Roman" w:hAnsi="Times New Roman" w:eastAsia="宋体" w:cs="Times New Roman"/>
          <w:color w:val="000000"/>
          <w:kern w:val="0"/>
          <w:sz w:val="24"/>
          <w:szCs w:val="24"/>
          <w:highlight w:val="none"/>
          <w:lang w:val="zh-TW" w:eastAsia="zh-TW"/>
        </w:rPr>
        <w:t>在施工现场因自然蒸发等原因而消耗，</w:t>
      </w:r>
      <w:r>
        <w:rPr>
          <w:rFonts w:hint="eastAsia" w:ascii="Times New Roman" w:hAnsi="Times New Roman" w:eastAsia="宋体" w:cs="Times New Roman"/>
          <w:color w:val="000000"/>
          <w:kern w:val="0"/>
          <w:sz w:val="24"/>
          <w:szCs w:val="24"/>
          <w:highlight w:val="none"/>
          <w:lang w:val="en-US" w:eastAsia="zh-CN"/>
        </w:rPr>
        <w:t>车辆清洗用水设置沉淀池沉淀后循环使用</w:t>
      </w:r>
      <w:r>
        <w:rPr>
          <w:rFonts w:hint="default" w:ascii="Times New Roman" w:hAnsi="Times New Roman" w:eastAsia="宋体" w:cs="Times New Roman"/>
          <w:color w:val="000000"/>
          <w:kern w:val="0"/>
          <w:sz w:val="24"/>
          <w:szCs w:val="24"/>
          <w:highlight w:val="none"/>
          <w:lang w:val="zh-TW" w:eastAsia="zh-TW"/>
        </w:rPr>
        <w:t>。施工人员日常生活产生的少量生活污水，施工人员约</w:t>
      </w:r>
      <w:r>
        <w:rPr>
          <w:rFonts w:hint="eastAsia" w:ascii="Times New Roman" w:hAnsi="Times New Roman" w:eastAsia="宋体" w:cs="Times New Roman"/>
          <w:color w:val="000000"/>
          <w:kern w:val="0"/>
          <w:sz w:val="24"/>
          <w:szCs w:val="24"/>
          <w:highlight w:val="none"/>
          <w:lang w:val="en-US" w:eastAsia="zh-CN"/>
        </w:rPr>
        <w:t>20</w:t>
      </w:r>
      <w:r>
        <w:rPr>
          <w:rFonts w:hint="default" w:ascii="Times New Roman" w:hAnsi="Times New Roman" w:eastAsia="宋体" w:cs="Times New Roman"/>
          <w:color w:val="000000"/>
          <w:kern w:val="0"/>
          <w:sz w:val="24"/>
          <w:szCs w:val="24"/>
          <w:highlight w:val="none"/>
          <w:lang w:val="zh-TW" w:eastAsia="zh-TW"/>
        </w:rPr>
        <w:t>人</w:t>
      </w:r>
      <w:r>
        <w:rPr>
          <w:rFonts w:hint="default" w:ascii="Times New Roman" w:hAnsi="Times New Roman" w:eastAsia="宋体" w:cs="Times New Roman"/>
          <w:color w:val="000000"/>
          <w:kern w:val="0"/>
          <w:sz w:val="24"/>
          <w:szCs w:val="24"/>
          <w:highlight w:val="none"/>
          <w:lang w:val="zh-TW"/>
        </w:rPr>
        <w:t>，</w:t>
      </w:r>
      <w:r>
        <w:rPr>
          <w:rFonts w:hint="default" w:ascii="Times New Roman" w:hAnsi="Times New Roman" w:eastAsia="宋体" w:cs="Times New Roman"/>
          <w:color w:val="000000"/>
          <w:kern w:val="0"/>
          <w:sz w:val="24"/>
          <w:szCs w:val="24"/>
          <w:highlight w:val="none"/>
          <w:lang w:val="zh-TW" w:eastAsia="zh-TW"/>
        </w:rPr>
        <w:t>用水量为</w:t>
      </w:r>
      <w:r>
        <w:rPr>
          <w:rFonts w:hint="default" w:ascii="Times New Roman" w:hAnsi="Times New Roman" w:eastAsia="宋体" w:cs="Times New Roman"/>
          <w:color w:val="000000"/>
          <w:kern w:val="0"/>
          <w:sz w:val="24"/>
          <w:szCs w:val="24"/>
          <w:highlight w:val="none"/>
        </w:rPr>
        <w:t>5</w:t>
      </w:r>
      <w:r>
        <w:rPr>
          <w:rFonts w:hint="default" w:ascii="Times New Roman" w:hAnsi="Times New Roman" w:eastAsia="宋体" w:cs="Times New Roman"/>
          <w:color w:val="000000"/>
          <w:kern w:val="0"/>
          <w:sz w:val="24"/>
          <w:szCs w:val="24"/>
          <w:highlight w:val="none"/>
          <w:lang w:val="zh-TW" w:eastAsia="zh-TW"/>
        </w:rPr>
        <w:t>0L/d·人，排水量按用水量的8</w:t>
      </w:r>
      <w:r>
        <w:rPr>
          <w:rFonts w:hint="default" w:ascii="Times New Roman" w:hAnsi="Times New Roman" w:eastAsia="宋体" w:cs="Times New Roman"/>
          <w:color w:val="000000"/>
          <w:kern w:val="0"/>
          <w:sz w:val="24"/>
          <w:szCs w:val="24"/>
          <w:highlight w:val="none"/>
          <w:lang w:val="zh-TW"/>
        </w:rPr>
        <w:t>0%</w:t>
      </w:r>
      <w:r>
        <w:rPr>
          <w:rFonts w:hint="default" w:ascii="Times New Roman" w:hAnsi="Times New Roman" w:eastAsia="宋体" w:cs="Times New Roman"/>
          <w:color w:val="000000"/>
          <w:kern w:val="0"/>
          <w:sz w:val="24"/>
          <w:szCs w:val="24"/>
          <w:highlight w:val="none"/>
          <w:lang w:val="zh-TW" w:eastAsia="zh-TW"/>
        </w:rPr>
        <w:t>计，为</w:t>
      </w:r>
      <w:r>
        <w:rPr>
          <w:rFonts w:hint="eastAsia" w:ascii="Times New Roman" w:hAnsi="Times New Roman" w:eastAsia="宋体" w:cs="Times New Roman"/>
          <w:color w:val="000000"/>
          <w:kern w:val="0"/>
          <w:sz w:val="24"/>
          <w:szCs w:val="24"/>
          <w:highlight w:val="none"/>
          <w:lang w:val="en-US" w:eastAsia="zh-CN"/>
        </w:rPr>
        <w:t>0.8</w:t>
      </w:r>
      <w:r>
        <w:rPr>
          <w:rFonts w:hint="default" w:ascii="Times New Roman" w:hAnsi="Times New Roman" w:eastAsia="宋体" w:cs="Times New Roman"/>
          <w:color w:val="000000"/>
          <w:kern w:val="0"/>
          <w:sz w:val="24"/>
          <w:szCs w:val="24"/>
          <w:highlight w:val="none"/>
          <w:lang w:val="zh-TW" w:eastAsia="zh-TW"/>
        </w:rPr>
        <w:t>m</w:t>
      </w:r>
      <w:r>
        <w:rPr>
          <w:rFonts w:hint="default" w:ascii="Times New Roman" w:hAnsi="Times New Roman" w:eastAsia="宋体" w:cs="Times New Roman"/>
          <w:color w:val="000000"/>
          <w:kern w:val="0"/>
          <w:sz w:val="24"/>
          <w:szCs w:val="24"/>
          <w:highlight w:val="none"/>
          <w:vertAlign w:val="superscript"/>
          <w:lang w:val="zh-TW" w:eastAsia="zh-TW"/>
        </w:rPr>
        <w:t>3</w:t>
      </w:r>
      <w:r>
        <w:rPr>
          <w:rFonts w:hint="default" w:ascii="Times New Roman" w:hAnsi="Times New Roman" w:eastAsia="宋体" w:cs="Times New Roman"/>
          <w:color w:val="000000"/>
          <w:kern w:val="0"/>
          <w:sz w:val="24"/>
          <w:szCs w:val="24"/>
          <w:highlight w:val="none"/>
          <w:lang w:val="zh-TW" w:eastAsia="zh-TW"/>
        </w:rPr>
        <w:t>/d</w:t>
      </w:r>
      <w:r>
        <w:rPr>
          <w:rFonts w:hint="default" w:ascii="Times New Roman" w:hAnsi="Times New Roman" w:eastAsia="宋体" w:cs="Times New Roman"/>
          <w:color w:val="000000"/>
          <w:kern w:val="0"/>
          <w:sz w:val="24"/>
          <w:szCs w:val="24"/>
          <w:highlight w:val="none"/>
          <w:lang w:val="zh-TW"/>
        </w:rPr>
        <w:t>，</w:t>
      </w:r>
      <w:r>
        <w:rPr>
          <w:rFonts w:hint="default" w:ascii="Times New Roman" w:hAnsi="Times New Roman" w:eastAsia="宋体" w:cs="Times New Roman"/>
          <w:color w:val="000000"/>
          <w:kern w:val="2"/>
          <w:sz w:val="24"/>
          <w:szCs w:val="24"/>
          <w:highlight w:val="none"/>
        </w:rPr>
        <w:t>全部排入</w:t>
      </w:r>
      <w:r>
        <w:rPr>
          <w:rFonts w:hint="eastAsia" w:cs="Times New Roman"/>
          <w:color w:val="000000"/>
          <w:kern w:val="2"/>
          <w:sz w:val="24"/>
          <w:szCs w:val="24"/>
          <w:highlight w:val="none"/>
          <w:lang w:val="en-US" w:eastAsia="zh-CN"/>
        </w:rPr>
        <w:t>30m</w:t>
      </w:r>
      <w:r>
        <w:rPr>
          <w:rFonts w:hint="eastAsia" w:cs="Times New Roman"/>
          <w:color w:val="000000"/>
          <w:kern w:val="2"/>
          <w:sz w:val="24"/>
          <w:szCs w:val="24"/>
          <w:highlight w:val="none"/>
          <w:vertAlign w:val="superscript"/>
          <w:lang w:val="en-US" w:eastAsia="zh-CN"/>
        </w:rPr>
        <w:t>3</w:t>
      </w:r>
      <w:r>
        <w:rPr>
          <w:rFonts w:hint="eastAsia" w:cs="Times New Roman"/>
          <w:color w:val="000000"/>
          <w:kern w:val="2"/>
          <w:sz w:val="24"/>
          <w:szCs w:val="24"/>
          <w:highlight w:val="none"/>
          <w:lang w:val="en-US" w:eastAsia="zh-CN"/>
        </w:rPr>
        <w:t>临时</w:t>
      </w:r>
      <w:r>
        <w:rPr>
          <w:rFonts w:hint="eastAsia" w:eastAsia="宋体" w:cs="Times New Roman"/>
          <w:color w:val="000000"/>
          <w:kern w:val="2"/>
          <w:sz w:val="24"/>
          <w:szCs w:val="24"/>
          <w:highlight w:val="none"/>
          <w:lang w:val="en-US" w:eastAsia="zh-CN"/>
        </w:rPr>
        <w:t>防渗化粪池，</w:t>
      </w:r>
      <w:r>
        <w:rPr>
          <w:rFonts w:hint="eastAsia" w:eastAsia="宋体" w:cs="Times New Roman"/>
          <w:color w:val="000000"/>
          <w:kern w:val="2"/>
          <w:sz w:val="24"/>
          <w:szCs w:val="24"/>
          <w:lang w:val="en-US" w:eastAsia="zh-CN"/>
        </w:rPr>
        <w:t>定期拉运至污水处理厂处理</w:t>
      </w:r>
      <w:r>
        <w:rPr>
          <w:rFonts w:hint="default" w:ascii="Times New Roman" w:hAnsi="Times New Roman" w:eastAsia="宋体" w:cs="Times New Roman"/>
          <w:color w:val="000000"/>
          <w:kern w:val="0"/>
          <w:sz w:val="24"/>
          <w:szCs w:val="24"/>
          <w:highlight w:val="none"/>
          <w:lang w:val="zh-TW"/>
        </w:rPr>
        <w:t>。</w:t>
      </w:r>
    </w:p>
    <w:p w14:paraId="1972EB85">
      <w:pPr>
        <w:keepNext w:val="0"/>
        <w:keepLines w:val="0"/>
        <w:widowControl w:val="0"/>
        <w:bidi w:val="0"/>
        <w:spacing w:before="0" w:after="0" w:line="360" w:lineRule="auto"/>
        <w:jc w:val="both"/>
        <w:outlineLvl w:val="2"/>
        <w:rPr>
          <w:rFonts w:hint="default" w:ascii="Times New Roman" w:hAnsi="Times New Roman" w:eastAsia="宋体" w:cs="Times New Roman"/>
          <w:b/>
          <w:bCs/>
          <w:kern w:val="0"/>
          <w:sz w:val="28"/>
          <w:szCs w:val="28"/>
          <w:lang w:val="en-US" w:eastAsia="zh-CN" w:bidi="ar-SA"/>
        </w:rPr>
      </w:pPr>
      <w:bookmarkStart w:id="557" w:name="_Toc190683440"/>
      <w:r>
        <w:rPr>
          <w:rFonts w:hint="default" w:ascii="Times New Roman" w:hAnsi="Times New Roman" w:eastAsia="宋体" w:cs="Times New Roman"/>
          <w:b/>
          <w:bCs/>
          <w:kern w:val="0"/>
          <w:sz w:val="28"/>
          <w:szCs w:val="28"/>
          <w:lang w:val="en-US" w:eastAsia="zh-CN" w:bidi="ar-SA"/>
        </w:rPr>
        <w:t>5.1.5生态影响</w:t>
      </w:r>
      <w:bookmarkEnd w:id="557"/>
      <w:r>
        <w:rPr>
          <w:rFonts w:hint="default" w:ascii="Times New Roman" w:hAnsi="Times New Roman" w:eastAsia="宋体" w:cs="Times New Roman"/>
          <w:b/>
          <w:bCs/>
          <w:kern w:val="0"/>
          <w:sz w:val="28"/>
          <w:szCs w:val="28"/>
          <w:lang w:val="en-US" w:eastAsia="zh-CN" w:bidi="ar-SA"/>
        </w:rPr>
        <w:t>分析</w:t>
      </w:r>
    </w:p>
    <w:p w14:paraId="58D28A25">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bookmarkStart w:id="558" w:name="_Toc11352"/>
      <w:bookmarkStart w:id="559" w:name="_Toc1373"/>
      <w:bookmarkStart w:id="560" w:name="_Toc2012"/>
      <w:r>
        <w:rPr>
          <w:rFonts w:hint="eastAsia" w:ascii="Times New Roman" w:hAnsi="Times New Roman" w:eastAsia="宋体" w:cs="Times New Roman"/>
          <w:color w:val="auto"/>
          <w:kern w:val="0"/>
          <w:sz w:val="24"/>
          <w:szCs w:val="24"/>
          <w:lang w:val="zh-TW" w:eastAsia="zh-CN"/>
        </w:rPr>
        <w:t>（</w:t>
      </w:r>
      <w:r>
        <w:rPr>
          <w:rFonts w:hint="eastAsia" w:ascii="Times New Roman" w:hAnsi="Times New Roman" w:eastAsia="宋体" w:cs="Times New Roman"/>
          <w:color w:val="auto"/>
          <w:kern w:val="0"/>
          <w:sz w:val="24"/>
          <w:szCs w:val="24"/>
          <w:lang w:val="en-US" w:eastAsia="zh-CN"/>
        </w:rPr>
        <w:t>1</w:t>
      </w:r>
      <w:r>
        <w:rPr>
          <w:rFonts w:hint="eastAsia" w:ascii="Times New Roman" w:hAnsi="Times New Roman" w:eastAsia="宋体" w:cs="Times New Roman"/>
          <w:color w:val="auto"/>
          <w:kern w:val="0"/>
          <w:sz w:val="24"/>
          <w:szCs w:val="24"/>
          <w:lang w:val="zh-TW" w:eastAsia="zh-CN"/>
        </w:rPr>
        <w:t>）</w:t>
      </w:r>
      <w:r>
        <w:rPr>
          <w:rFonts w:hint="default" w:ascii="Times New Roman" w:hAnsi="Times New Roman" w:eastAsia="宋体" w:cs="Times New Roman"/>
          <w:color w:val="auto"/>
          <w:kern w:val="0"/>
          <w:sz w:val="24"/>
          <w:szCs w:val="24"/>
          <w:lang w:val="zh-TW" w:eastAsia="zh-CN"/>
        </w:rPr>
        <w:t>占地影响</w:t>
      </w:r>
    </w:p>
    <w:p w14:paraId="5F001346">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项目占地包括永久性占地和临时性占用，永久性占地改变了原有土地使用功能，原有植被大部分不复存在。施工作业时的临时占地，由于施工人员及施工机械对地表植被的</w:t>
      </w:r>
      <w:r>
        <w:rPr>
          <w:rFonts w:hint="eastAsia" w:cs="Times New Roman"/>
          <w:color w:val="auto"/>
          <w:kern w:val="0"/>
          <w:sz w:val="24"/>
          <w:szCs w:val="24"/>
          <w:lang w:val="zh-TW" w:eastAsia="zh-CN"/>
        </w:rPr>
        <w:t>踩踏</w:t>
      </w:r>
      <w:r>
        <w:rPr>
          <w:rFonts w:hint="default" w:ascii="Times New Roman" w:hAnsi="Times New Roman" w:eastAsia="宋体" w:cs="Times New Roman"/>
          <w:color w:val="auto"/>
          <w:kern w:val="0"/>
          <w:sz w:val="24"/>
          <w:szCs w:val="24"/>
          <w:lang w:val="zh-TW" w:eastAsia="zh-CN"/>
        </w:rPr>
        <w:t>、碾压等外力因素，破坏了原有土壤结构及性能，降低了</w:t>
      </w:r>
      <w:r>
        <w:rPr>
          <w:rFonts w:hint="eastAsia" w:cs="Times New Roman"/>
          <w:color w:val="auto"/>
          <w:kern w:val="0"/>
          <w:sz w:val="24"/>
          <w:szCs w:val="24"/>
          <w:lang w:val="zh-TW" w:eastAsia="zh-CN"/>
        </w:rPr>
        <w:t>土壤肥力</w:t>
      </w:r>
      <w:r>
        <w:rPr>
          <w:rFonts w:hint="default" w:ascii="Times New Roman" w:hAnsi="Times New Roman" w:eastAsia="宋体" w:cs="Times New Roman"/>
          <w:color w:val="auto"/>
          <w:kern w:val="0"/>
          <w:sz w:val="24"/>
          <w:szCs w:val="24"/>
          <w:lang w:val="zh-TW" w:eastAsia="zh-CN"/>
        </w:rPr>
        <w:t>。严重影响了原有的地表形态、土壤结构和理化性质，在项目结束后也难以恢复原有形态及生产力。车辆行驶也同样对地表土壤结构造成破坏，这种破坏具有暂时性，经过一定时期能够恢复。施工期地表土层遭到不同程度的破坏，植被如不及时恢复，易引起土壤沙化。</w:t>
      </w:r>
    </w:p>
    <w:p w14:paraId="036302DE">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本项目施工区域位于</w:t>
      </w:r>
      <w:r>
        <w:rPr>
          <w:rFonts w:hint="eastAsia" w:ascii="Times New Roman" w:hAnsi="Times New Roman" w:eastAsia="宋体" w:cs="Times New Roman"/>
          <w:color w:val="auto"/>
          <w:kern w:val="0"/>
          <w:sz w:val="24"/>
          <w:szCs w:val="24"/>
          <w:lang w:val="en-US" w:eastAsia="zh-CN"/>
        </w:rPr>
        <w:t>规划红线范围内</w:t>
      </w:r>
      <w:r>
        <w:rPr>
          <w:rFonts w:hint="default" w:ascii="Times New Roman" w:hAnsi="Times New Roman" w:eastAsia="宋体" w:cs="Times New Roman"/>
          <w:color w:val="auto"/>
          <w:kern w:val="0"/>
          <w:sz w:val="24"/>
          <w:szCs w:val="24"/>
          <w:lang w:val="zh-TW" w:eastAsia="zh-CN"/>
        </w:rPr>
        <w:t>，施工占地对环境影响较小。</w:t>
      </w:r>
    </w:p>
    <w:p w14:paraId="77E938EC">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eastAsia" w:ascii="Times New Roman" w:hAnsi="Times New Roman" w:eastAsia="宋体" w:cs="Times New Roman"/>
          <w:color w:val="auto"/>
          <w:kern w:val="0"/>
          <w:sz w:val="24"/>
          <w:szCs w:val="24"/>
          <w:lang w:val="zh-TW" w:eastAsia="zh-CN"/>
        </w:rPr>
        <w:t>（</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lang w:val="zh-TW" w:eastAsia="zh-CN"/>
        </w:rPr>
        <w:t>）</w:t>
      </w:r>
      <w:r>
        <w:rPr>
          <w:rFonts w:hint="default" w:ascii="Times New Roman" w:hAnsi="Times New Roman" w:eastAsia="宋体" w:cs="Times New Roman"/>
          <w:color w:val="auto"/>
          <w:kern w:val="0"/>
          <w:sz w:val="24"/>
          <w:szCs w:val="24"/>
          <w:lang w:val="zh-TW" w:eastAsia="zh-CN"/>
        </w:rPr>
        <w:t>对植被的影响分析</w:t>
      </w:r>
    </w:p>
    <w:p w14:paraId="1B07CDEB">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项目</w:t>
      </w:r>
      <w:r>
        <w:rPr>
          <w:rFonts w:hint="eastAsia" w:ascii="Times New Roman" w:hAnsi="Times New Roman" w:eastAsia="宋体" w:cs="Times New Roman"/>
          <w:color w:val="auto"/>
          <w:kern w:val="0"/>
          <w:sz w:val="24"/>
          <w:szCs w:val="24"/>
          <w:lang w:val="en-US" w:eastAsia="zh-CN"/>
        </w:rPr>
        <w:t>施工期建设</w:t>
      </w:r>
      <w:r>
        <w:rPr>
          <w:rFonts w:hint="default" w:ascii="Times New Roman" w:hAnsi="Times New Roman" w:eastAsia="宋体" w:cs="Times New Roman"/>
          <w:color w:val="auto"/>
          <w:kern w:val="0"/>
          <w:sz w:val="24"/>
          <w:szCs w:val="24"/>
          <w:lang w:val="zh-TW" w:eastAsia="zh-CN"/>
        </w:rPr>
        <w:t>将不可避免</w:t>
      </w:r>
      <w:r>
        <w:rPr>
          <w:rFonts w:hint="eastAsia" w:cs="Times New Roman"/>
          <w:color w:val="auto"/>
          <w:kern w:val="0"/>
          <w:sz w:val="24"/>
          <w:szCs w:val="24"/>
          <w:lang w:val="zh-TW" w:eastAsia="zh-CN"/>
        </w:rPr>
        <w:t>地</w:t>
      </w:r>
      <w:r>
        <w:rPr>
          <w:rFonts w:hint="default" w:ascii="Times New Roman" w:hAnsi="Times New Roman" w:eastAsia="宋体" w:cs="Times New Roman"/>
          <w:color w:val="auto"/>
          <w:kern w:val="0"/>
          <w:sz w:val="24"/>
          <w:szCs w:val="24"/>
          <w:lang w:val="zh-TW" w:eastAsia="zh-CN"/>
        </w:rPr>
        <w:t>破坏、扰动原地形地貌和植被；建设占地对区域植被的破坏是永久性的，这部分植被将永远失去生产能力，从而降低该区域植被覆盖率和生物多样性，造成植被生物量的减少。</w:t>
      </w:r>
    </w:p>
    <w:p w14:paraId="25552EB7">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eastAsia" w:ascii="Times New Roman" w:hAnsi="Times New Roman" w:eastAsia="宋体" w:cs="Times New Roman"/>
          <w:color w:val="auto"/>
          <w:kern w:val="0"/>
          <w:sz w:val="24"/>
          <w:szCs w:val="24"/>
          <w:lang w:val="zh-TW" w:eastAsia="zh-CN"/>
        </w:rPr>
        <w:t>（</w:t>
      </w:r>
      <w:r>
        <w:rPr>
          <w:rFonts w:hint="eastAsia" w:ascii="Times New Roman" w:hAnsi="Times New Roman" w:eastAsia="宋体" w:cs="Times New Roman"/>
          <w:color w:val="auto"/>
          <w:kern w:val="0"/>
          <w:sz w:val="24"/>
          <w:szCs w:val="24"/>
          <w:lang w:val="en-US" w:eastAsia="zh-CN"/>
        </w:rPr>
        <w:t>3</w:t>
      </w:r>
      <w:r>
        <w:rPr>
          <w:rFonts w:hint="eastAsia" w:ascii="Times New Roman" w:hAnsi="Times New Roman" w:eastAsia="宋体" w:cs="Times New Roman"/>
          <w:color w:val="auto"/>
          <w:kern w:val="0"/>
          <w:sz w:val="24"/>
          <w:szCs w:val="24"/>
          <w:lang w:val="zh-TW" w:eastAsia="zh-CN"/>
        </w:rPr>
        <w:t>）</w:t>
      </w:r>
      <w:r>
        <w:rPr>
          <w:rFonts w:hint="default" w:ascii="Times New Roman" w:hAnsi="Times New Roman" w:eastAsia="宋体" w:cs="Times New Roman"/>
          <w:color w:val="auto"/>
          <w:kern w:val="0"/>
          <w:sz w:val="24"/>
          <w:szCs w:val="24"/>
          <w:lang w:val="zh-TW" w:eastAsia="zh-CN"/>
        </w:rPr>
        <w:t>对动物的影响分析</w:t>
      </w:r>
    </w:p>
    <w:p w14:paraId="4DB311CC">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施工期对陆生动物的直接影响是施工人员集中活动和工程施工过</w:t>
      </w:r>
      <w:r>
        <w:rPr>
          <w:rFonts w:hint="eastAsia" w:cs="Times New Roman"/>
          <w:color w:val="auto"/>
          <w:kern w:val="0"/>
          <w:sz w:val="24"/>
          <w:szCs w:val="24"/>
          <w:lang w:val="zh-TW" w:eastAsia="zh-CN"/>
        </w:rPr>
        <w:t>程中</w:t>
      </w:r>
      <w:r>
        <w:rPr>
          <w:rFonts w:hint="default" w:ascii="Times New Roman" w:hAnsi="Times New Roman" w:eastAsia="宋体" w:cs="Times New Roman"/>
          <w:color w:val="auto"/>
          <w:kern w:val="0"/>
          <w:sz w:val="24"/>
          <w:szCs w:val="24"/>
          <w:lang w:val="zh-TW" w:eastAsia="zh-CN"/>
        </w:rPr>
        <w:t>对动物的惊扰；间接影响主要是项目建设破坏植被和土壤，造成部分陆生动物栖息地的丧失。施工区的主要动物是小型常见鸟类和鼠类，且数量不多，具有较强的迁移能力，因此，施工期对这些动物的生存影响较小。</w:t>
      </w:r>
    </w:p>
    <w:p w14:paraId="11697620">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zh-TW" w:eastAsia="zh-CN"/>
        </w:rPr>
        <w:t>（</w:t>
      </w:r>
      <w:r>
        <w:rPr>
          <w:rFonts w:hint="eastAsia" w:ascii="Times New Roman" w:hAnsi="Times New Roman" w:eastAsia="宋体" w:cs="Times New Roman"/>
          <w:color w:val="auto"/>
          <w:kern w:val="0"/>
          <w:sz w:val="24"/>
          <w:szCs w:val="24"/>
          <w:lang w:val="en-US" w:eastAsia="zh-CN"/>
        </w:rPr>
        <w:t>4</w:t>
      </w:r>
      <w:r>
        <w:rPr>
          <w:rFonts w:hint="eastAsia" w:ascii="Times New Roman" w:hAnsi="Times New Roman" w:eastAsia="宋体" w:cs="Times New Roman"/>
          <w:color w:val="auto"/>
          <w:kern w:val="0"/>
          <w:sz w:val="24"/>
          <w:szCs w:val="24"/>
          <w:lang w:val="zh-TW" w:eastAsia="zh-CN"/>
        </w:rPr>
        <w:t>）</w:t>
      </w:r>
      <w:r>
        <w:rPr>
          <w:rFonts w:hint="eastAsia" w:ascii="Times New Roman" w:hAnsi="Times New Roman" w:eastAsia="宋体" w:cs="Times New Roman"/>
          <w:color w:val="auto"/>
          <w:kern w:val="0"/>
          <w:sz w:val="24"/>
          <w:szCs w:val="24"/>
          <w:lang w:val="en-US" w:eastAsia="zh-CN"/>
        </w:rPr>
        <w:t>水土流失</w:t>
      </w:r>
    </w:p>
    <w:p w14:paraId="0044CECA">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施工期水土流失的主要原因是降雨、地表开挖和弃土填埋等。项目所在地气候干燥，年均降雨量极少，当土壤暴露在雨、风和</w:t>
      </w:r>
      <w:r>
        <w:rPr>
          <w:rFonts w:hint="eastAsia" w:cs="Times New Roman"/>
          <w:color w:val="auto"/>
          <w:kern w:val="0"/>
          <w:sz w:val="24"/>
          <w:szCs w:val="24"/>
          <w:lang w:val="zh-TW" w:eastAsia="zh-CN"/>
        </w:rPr>
        <w:t>其他</w:t>
      </w:r>
      <w:r>
        <w:rPr>
          <w:rFonts w:hint="default" w:ascii="Times New Roman" w:hAnsi="Times New Roman" w:eastAsia="宋体" w:cs="Times New Roman"/>
          <w:color w:val="auto"/>
          <w:kern w:val="0"/>
          <w:sz w:val="24"/>
          <w:szCs w:val="24"/>
          <w:lang w:val="zh-TW" w:eastAsia="zh-CN"/>
        </w:rPr>
        <w:t>干燥因素之中，会导致水土流失。</w:t>
      </w:r>
    </w:p>
    <w:p w14:paraId="34843C2E">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eastAsia" w:ascii="Times New Roman" w:hAnsi="Times New Roman" w:eastAsia="宋体" w:cs="Times New Roman"/>
          <w:color w:val="auto"/>
          <w:kern w:val="0"/>
          <w:sz w:val="24"/>
          <w:szCs w:val="24"/>
          <w:lang w:val="zh-TW" w:eastAsia="zh-CN"/>
        </w:rPr>
      </w:pPr>
      <w:r>
        <w:rPr>
          <w:rFonts w:hint="default" w:ascii="Times New Roman" w:hAnsi="Times New Roman" w:eastAsia="宋体" w:cs="Times New Roman"/>
          <w:color w:val="auto"/>
          <w:kern w:val="0"/>
          <w:sz w:val="24"/>
          <w:szCs w:val="24"/>
          <w:lang w:val="zh-TW" w:eastAsia="zh-CN"/>
        </w:rPr>
        <w:t>在施工过程中，泥土转运装卸作业过程和堆放时，也可能出现散落和水土流失。施工期主要为生产车间建构筑物的土建工程，土石方量相对较小，产生的弃土、弃渣就地回填平整，道路等易产生扬尘的部位定期洒水降尘，要求对车辆加强管理，施工现场禁止随意碾压。在采取了防范措施后，基本不会产生大面积水土流失</w:t>
      </w:r>
      <w:r>
        <w:rPr>
          <w:rFonts w:hint="eastAsia" w:ascii="Times New Roman" w:hAnsi="Times New Roman" w:eastAsia="宋体" w:cs="Times New Roman"/>
          <w:color w:val="auto"/>
          <w:kern w:val="0"/>
          <w:sz w:val="24"/>
          <w:szCs w:val="24"/>
          <w:lang w:val="zh-TW" w:eastAsia="zh-CN"/>
        </w:rPr>
        <w:t>。</w:t>
      </w:r>
    </w:p>
    <w:p w14:paraId="3ABD30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（5）土地沙化影响分析</w:t>
      </w:r>
    </w:p>
    <w:p w14:paraId="75F09A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zh-TW" w:eastAsia="zh-CN"/>
        </w:rPr>
      </w:pPr>
      <w:r>
        <w:rPr>
          <w:rFonts w:hint="eastAsia" w:ascii="Times New Roman" w:hAnsi="Times New Roman" w:eastAsia="宋体" w:cs="Times New Roman"/>
          <w:color w:val="000000"/>
          <w:kern w:val="0"/>
          <w:sz w:val="24"/>
          <w:szCs w:val="24"/>
          <w:highlight w:val="none"/>
          <w:lang w:val="en-US" w:eastAsia="zh-CN"/>
        </w:rPr>
        <w:t>本项目施工期基础开挖以及进场道路的布设过程中将会破坏项目占地范围内的土壤表层稳定砾幕和地表荒漠植被，项目所在区域具有多风、降水量偏低等气候特征，原有稳定的表层结构被破坏后，在大风天气条件下，项目施工会使占地范围内的土地就地起沙，局部形成沙化土地及风蚀。</w:t>
      </w:r>
    </w:p>
    <w:p w14:paraId="2537A69E">
      <w:pPr>
        <w:keepNext w:val="0"/>
        <w:keepLines w:val="0"/>
        <w:widowControl w:val="0"/>
        <w:bidi w:val="0"/>
        <w:spacing w:before="120" w:after="120" w:line="360" w:lineRule="auto"/>
        <w:jc w:val="both"/>
        <w:outlineLvl w:val="1"/>
        <w:rPr>
          <w:rFonts w:hint="default" w:ascii="Times New Roman" w:hAnsi="Times New Roman" w:eastAsia="宋体" w:cs="Times New Roman"/>
          <w:lang w:val="en-US" w:eastAsia="zh-CN"/>
        </w:rPr>
      </w:pPr>
      <w:bookmarkStart w:id="561" w:name="_Toc8685"/>
      <w:r>
        <w:rPr>
          <w:rFonts w:hint="default" w:ascii="Times New Roman" w:hAnsi="Times New Roman" w:eastAsia="宋体" w:cs="Times New Roman"/>
          <w:b/>
          <w:bCs/>
          <w:sz w:val="30"/>
          <w:szCs w:val="30"/>
          <w:lang w:val="en-US" w:eastAsia="zh-CN" w:bidi="ar-SA"/>
        </w:rPr>
        <w:t>5.2</w:t>
      </w:r>
      <w:r>
        <w:rPr>
          <w:rFonts w:hint="eastAsia" w:ascii="Times New Roman" w:hAnsi="Times New Roman" w:eastAsia="宋体" w:cs="Times New Roman"/>
          <w:b/>
          <w:bCs/>
          <w:sz w:val="30"/>
          <w:szCs w:val="30"/>
          <w:lang w:val="en-US" w:eastAsia="zh-CN" w:bidi="ar-SA"/>
        </w:rPr>
        <w:t>运营期</w:t>
      </w:r>
      <w:r>
        <w:rPr>
          <w:rFonts w:hint="default" w:ascii="Times New Roman" w:hAnsi="Times New Roman" w:eastAsia="宋体" w:cs="Times New Roman"/>
          <w:b/>
          <w:bCs/>
          <w:sz w:val="30"/>
          <w:szCs w:val="30"/>
          <w:lang w:val="en-US" w:eastAsia="zh-CN" w:bidi="ar-SA"/>
        </w:rPr>
        <w:t>环境影响预测及评价</w:t>
      </w:r>
      <w:bookmarkEnd w:id="558"/>
      <w:bookmarkEnd w:id="559"/>
      <w:bookmarkEnd w:id="560"/>
      <w:bookmarkEnd w:id="561"/>
    </w:p>
    <w:p w14:paraId="4C2942CC">
      <w:pPr>
        <w:keepNext w:val="0"/>
        <w:keepLines w:val="0"/>
        <w:pageBreakBefore w:val="0"/>
        <w:widowControl w:val="0"/>
        <w:wordWrap/>
        <w:topLinePunct w:val="0"/>
        <w:bidi w:val="0"/>
        <w:adjustRightInd/>
        <w:snapToGrid/>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562" w:name="_Toc5817"/>
      <w:bookmarkStart w:id="563" w:name="_Toc23981"/>
      <w:r>
        <w:rPr>
          <w:rFonts w:hint="default" w:ascii="Times New Roman" w:hAnsi="Times New Roman" w:eastAsia="宋体" w:cs="Times New Roman"/>
          <w:b/>
          <w:bCs/>
          <w:kern w:val="2"/>
          <w:sz w:val="28"/>
          <w:szCs w:val="28"/>
          <w:lang w:val="en-US" w:eastAsia="zh-CN" w:bidi="ar-SA"/>
        </w:rPr>
        <w:t>5.2.1</w:t>
      </w:r>
      <w:bookmarkEnd w:id="562"/>
      <w:bookmarkEnd w:id="563"/>
      <w:bookmarkStart w:id="564" w:name="_Toc2670"/>
      <w:bookmarkStart w:id="565" w:name="_Toc5895"/>
      <w:bookmarkStart w:id="566" w:name="_Toc31727"/>
      <w:r>
        <w:rPr>
          <w:rFonts w:hint="default" w:ascii="Times New Roman" w:hAnsi="Times New Roman" w:eastAsia="宋体" w:cs="Times New Roman"/>
          <w:b/>
          <w:bCs/>
          <w:kern w:val="2"/>
          <w:sz w:val="28"/>
          <w:szCs w:val="28"/>
          <w:lang w:val="en-US" w:eastAsia="zh-CN" w:bidi="ar-SA"/>
        </w:rPr>
        <w:t>大气环境影响预测与评价</w:t>
      </w:r>
      <w:bookmarkEnd w:id="564"/>
      <w:bookmarkEnd w:id="565"/>
      <w:bookmarkEnd w:id="566"/>
    </w:p>
    <w:p w14:paraId="7BCF01B5">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5.</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1</w:t>
      </w:r>
      <w:r>
        <w:rPr>
          <w:rFonts w:hint="default" w:ascii="Times New Roman" w:hAnsi="Times New Roman" w:eastAsia="宋体" w:cs="Times New Roman"/>
          <w:b/>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1</w:t>
      </w:r>
      <w:r>
        <w:rPr>
          <w:rFonts w:hint="default" w:ascii="Times New Roman" w:hAnsi="Times New Roman" w:eastAsia="宋体" w:cs="Times New Roman"/>
          <w:b/>
          <w:kern w:val="2"/>
          <w:sz w:val="24"/>
          <w:szCs w:val="24"/>
          <w:lang w:val="en-US" w:eastAsia="zh-CN" w:bidi="ar-SA"/>
        </w:rPr>
        <w:t>恶臭气体对环境影响分析</w:t>
      </w:r>
    </w:p>
    <w:p w14:paraId="61DA46FF">
      <w:pPr>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（1）恶臭污染特征及其分级标准</w:t>
      </w:r>
    </w:p>
    <w:p w14:paraId="241A4CDD">
      <w:pPr>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根据项目工程分析，本项目废气污染源主要表现为臭气污染，来自</w:t>
      </w:r>
      <w:r>
        <w:rPr>
          <w:rFonts w:hint="eastAsia" w:eastAsia="宋体" w:cs="Times New Roman"/>
          <w:sz w:val="24"/>
          <w:szCs w:val="24"/>
          <w:lang w:val="en-US" w:eastAsia="zh-CN"/>
        </w:rPr>
        <w:t>栏舍、存储牛粪、牛尿</w:t>
      </w:r>
      <w:r>
        <w:rPr>
          <w:rFonts w:hint="default" w:ascii="Times New Roman" w:hAnsi="Times New Roman" w:eastAsia="宋体" w:cs="Times New Roman"/>
          <w:sz w:val="24"/>
          <w:szCs w:val="24"/>
        </w:rPr>
        <w:t>发出的臭气，主要恶臭污染物为H</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S和NH</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rPr>
        <w:t>。虽然其绝对排放量并不大，但嗅觉阈值非常低，影响范围较大。根据嗅觉对臭味的反应，将恶臭强度分为6级，见表5.</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p>
    <w:p w14:paraId="737CAFEA">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noBreakHyphen/>
      </w:r>
      <w:r>
        <w:rPr>
          <w:rFonts w:hint="eastAsia" w:ascii="Times New Roman" w:hAnsi="Times New Roman" w:eastAsia="宋体" w:cs="Times New Roman"/>
          <w:b/>
          <w:kern w:val="0"/>
          <w:sz w:val="24"/>
          <w:szCs w:val="24"/>
          <w:lang w:val="en-US" w:eastAsia="zh-CN" w:bidi="ar-SA"/>
        </w:rPr>
        <w:t>1</w:t>
      </w:r>
      <w:r>
        <w:rPr>
          <w:rFonts w:hint="default" w:ascii="Times New Roman" w:hAnsi="Times New Roman" w:eastAsia="宋体" w:cs="Times New Roman"/>
          <w:b/>
          <w:kern w:val="0"/>
          <w:sz w:val="24"/>
          <w:szCs w:val="24"/>
          <w:lang w:val="en-US" w:eastAsia="zh-CN" w:bidi="ar-SA"/>
        </w:rPr>
        <w:t>臭气强度分级</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
        <w:gridCol w:w="1272"/>
        <w:gridCol w:w="6322"/>
      </w:tblGrid>
      <w:tr w14:paraId="20D4B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2" w:type="dxa"/>
            <w:noWrap w:val="0"/>
            <w:vAlign w:val="center"/>
          </w:tcPr>
          <w:p w14:paraId="40AB57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级别</w:t>
            </w:r>
          </w:p>
        </w:tc>
        <w:tc>
          <w:tcPr>
            <w:tcW w:w="1274" w:type="dxa"/>
            <w:noWrap w:val="0"/>
            <w:vAlign w:val="center"/>
          </w:tcPr>
          <w:p w14:paraId="252238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强  度</w:t>
            </w:r>
          </w:p>
        </w:tc>
        <w:tc>
          <w:tcPr>
            <w:tcW w:w="6336" w:type="dxa"/>
            <w:noWrap w:val="0"/>
            <w:vAlign w:val="center"/>
          </w:tcPr>
          <w:p w14:paraId="054582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说      明</w:t>
            </w:r>
          </w:p>
        </w:tc>
      </w:tr>
      <w:tr w14:paraId="66043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2" w:type="dxa"/>
            <w:noWrap w:val="0"/>
            <w:vAlign w:val="center"/>
          </w:tcPr>
          <w:p w14:paraId="373D89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w:t>
            </w:r>
          </w:p>
        </w:tc>
        <w:tc>
          <w:tcPr>
            <w:tcW w:w="1274" w:type="dxa"/>
            <w:noWrap w:val="0"/>
            <w:vAlign w:val="center"/>
          </w:tcPr>
          <w:p w14:paraId="03BAC1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无臭气味</w:t>
            </w:r>
          </w:p>
        </w:tc>
        <w:tc>
          <w:tcPr>
            <w:tcW w:w="6336" w:type="dxa"/>
            <w:noWrap w:val="0"/>
            <w:vAlign w:val="center"/>
          </w:tcPr>
          <w:p w14:paraId="3A1466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完全嗅不出或感觉不出</w:t>
            </w:r>
          </w:p>
        </w:tc>
      </w:tr>
      <w:tr w14:paraId="22376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2" w:type="dxa"/>
            <w:noWrap w:val="0"/>
            <w:vAlign w:val="center"/>
          </w:tcPr>
          <w:p w14:paraId="479F76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274" w:type="dxa"/>
            <w:noWrap w:val="0"/>
            <w:vAlign w:val="center"/>
          </w:tcPr>
          <w:p w14:paraId="0E39CB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极弱</w:t>
            </w:r>
          </w:p>
        </w:tc>
        <w:tc>
          <w:tcPr>
            <w:tcW w:w="6336" w:type="dxa"/>
            <w:noWrap w:val="0"/>
            <w:vAlign w:val="center"/>
          </w:tcPr>
          <w:p w14:paraId="3D33D5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一般人感受不到，熟练化验员或经特</w:t>
            </w:r>
            <w:r>
              <w:rPr>
                <w:rFonts w:hint="eastAsia" w:cs="Times New Roman"/>
                <w:sz w:val="21"/>
                <w:szCs w:val="21"/>
                <w:lang w:eastAsia="zh-CN"/>
              </w:rPr>
              <w:t>殊接</w:t>
            </w:r>
            <w:r>
              <w:rPr>
                <w:rFonts w:hint="default" w:ascii="Times New Roman" w:hAnsi="Times New Roman" w:eastAsia="宋体" w:cs="Times New Roman"/>
                <w:sz w:val="21"/>
                <w:szCs w:val="21"/>
              </w:rPr>
              <w:t>受就</w:t>
            </w:r>
            <w:r>
              <w:rPr>
                <w:rFonts w:hint="eastAsia" w:cs="Times New Roman"/>
                <w:sz w:val="21"/>
                <w:szCs w:val="21"/>
                <w:lang w:eastAsia="zh-CN"/>
              </w:rPr>
              <w:t>可查出</w:t>
            </w:r>
          </w:p>
        </w:tc>
      </w:tr>
      <w:tr w14:paraId="17797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2" w:type="dxa"/>
            <w:noWrap w:val="0"/>
            <w:vAlign w:val="center"/>
          </w:tcPr>
          <w:p w14:paraId="06356C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274" w:type="dxa"/>
            <w:noWrap w:val="0"/>
            <w:vAlign w:val="center"/>
          </w:tcPr>
          <w:p w14:paraId="6F9BED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弱</w:t>
            </w:r>
          </w:p>
        </w:tc>
        <w:tc>
          <w:tcPr>
            <w:tcW w:w="6336" w:type="dxa"/>
            <w:noWrap w:val="0"/>
            <w:vAlign w:val="center"/>
          </w:tcPr>
          <w:p w14:paraId="752558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多数人注意后可感觉到</w:t>
            </w:r>
          </w:p>
        </w:tc>
      </w:tr>
      <w:tr w14:paraId="6D2E2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2" w:type="dxa"/>
            <w:noWrap w:val="0"/>
            <w:vAlign w:val="center"/>
          </w:tcPr>
          <w:p w14:paraId="03904F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274" w:type="dxa"/>
            <w:noWrap w:val="0"/>
            <w:vAlign w:val="center"/>
          </w:tcPr>
          <w:p w14:paraId="3672ED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显著</w:t>
            </w:r>
          </w:p>
        </w:tc>
        <w:tc>
          <w:tcPr>
            <w:tcW w:w="6336" w:type="dxa"/>
            <w:noWrap w:val="0"/>
            <w:vAlign w:val="center"/>
          </w:tcPr>
          <w:p w14:paraId="4D5FFC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易于感觉</w:t>
            </w:r>
          </w:p>
        </w:tc>
      </w:tr>
      <w:tr w14:paraId="5E698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2" w:type="dxa"/>
            <w:noWrap w:val="0"/>
            <w:vAlign w:val="center"/>
          </w:tcPr>
          <w:p w14:paraId="18B01C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1274" w:type="dxa"/>
            <w:noWrap w:val="0"/>
            <w:vAlign w:val="center"/>
          </w:tcPr>
          <w:p w14:paraId="4BB8C1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强</w:t>
            </w:r>
          </w:p>
        </w:tc>
        <w:tc>
          <w:tcPr>
            <w:tcW w:w="6336" w:type="dxa"/>
            <w:noWrap w:val="0"/>
            <w:vAlign w:val="center"/>
          </w:tcPr>
          <w:p w14:paraId="162AEA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迅速产生不愉快的感觉</w:t>
            </w:r>
          </w:p>
        </w:tc>
      </w:tr>
      <w:tr w14:paraId="45C05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2" w:type="dxa"/>
            <w:noWrap w:val="0"/>
            <w:vAlign w:val="center"/>
          </w:tcPr>
          <w:p w14:paraId="66B470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1274" w:type="dxa"/>
            <w:noWrap w:val="0"/>
            <w:vAlign w:val="center"/>
          </w:tcPr>
          <w:p w14:paraId="50B253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极强</w:t>
            </w:r>
          </w:p>
        </w:tc>
        <w:tc>
          <w:tcPr>
            <w:tcW w:w="6336" w:type="dxa"/>
            <w:noWrap w:val="0"/>
            <w:vAlign w:val="center"/>
          </w:tcPr>
          <w:p w14:paraId="588A1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强烈异臭和异味</w:t>
            </w:r>
          </w:p>
        </w:tc>
      </w:tr>
    </w:tbl>
    <w:p w14:paraId="7203A2C5">
      <w:pPr>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臭气强度与臭味物质浓度的关系见表5.</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p>
    <w:p w14:paraId="3A557DEF">
      <w:pPr>
        <w:pageBreakBefore w:val="0"/>
        <w:widowControl w:val="0"/>
        <w:wordWrap/>
        <w:topLinePunct w:val="0"/>
        <w:bidi w:val="0"/>
        <w:adjustRightInd/>
        <w:snapToGrid/>
        <w:spacing w:line="360" w:lineRule="auto"/>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2-2</w:t>
      </w:r>
      <w:r>
        <w:rPr>
          <w:rFonts w:hint="default" w:ascii="Times New Roman" w:hAnsi="Times New Roman" w:eastAsia="宋体" w:cs="Times New Roman"/>
          <w:b/>
          <w:kern w:val="0"/>
          <w:sz w:val="24"/>
          <w:szCs w:val="24"/>
          <w:lang w:val="en-US" w:eastAsia="zh-CN" w:bidi="ar-SA"/>
        </w:rPr>
        <w:t>臭气强度与臭味物质浓度的关系</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67"/>
        <w:gridCol w:w="851"/>
        <w:gridCol w:w="1042"/>
        <w:gridCol w:w="1042"/>
        <w:gridCol w:w="1035"/>
        <w:gridCol w:w="1027"/>
        <w:gridCol w:w="1029"/>
        <w:gridCol w:w="1029"/>
      </w:tblGrid>
      <w:tr w14:paraId="517CE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67" w:type="dxa"/>
            <w:noWrap w:val="0"/>
            <w:vAlign w:val="center"/>
          </w:tcPr>
          <w:p w14:paraId="15C595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臭气强度</w:t>
            </w:r>
          </w:p>
        </w:tc>
        <w:tc>
          <w:tcPr>
            <w:tcW w:w="851" w:type="dxa"/>
            <w:noWrap w:val="0"/>
            <w:vAlign w:val="center"/>
          </w:tcPr>
          <w:p w14:paraId="6A4C83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1</w:t>
            </w:r>
          </w:p>
        </w:tc>
        <w:tc>
          <w:tcPr>
            <w:tcW w:w="1042" w:type="dxa"/>
            <w:noWrap w:val="0"/>
            <w:vAlign w:val="center"/>
          </w:tcPr>
          <w:p w14:paraId="7889F3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2</w:t>
            </w:r>
          </w:p>
        </w:tc>
        <w:tc>
          <w:tcPr>
            <w:tcW w:w="1042" w:type="dxa"/>
            <w:noWrap w:val="0"/>
            <w:vAlign w:val="center"/>
          </w:tcPr>
          <w:p w14:paraId="52BFB1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2.5</w:t>
            </w:r>
          </w:p>
        </w:tc>
        <w:tc>
          <w:tcPr>
            <w:tcW w:w="1035" w:type="dxa"/>
            <w:noWrap w:val="0"/>
            <w:vAlign w:val="center"/>
          </w:tcPr>
          <w:p w14:paraId="0474D5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3</w:t>
            </w:r>
          </w:p>
        </w:tc>
        <w:tc>
          <w:tcPr>
            <w:tcW w:w="1027" w:type="dxa"/>
            <w:noWrap w:val="0"/>
            <w:vAlign w:val="center"/>
          </w:tcPr>
          <w:p w14:paraId="737D45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3.5</w:t>
            </w:r>
          </w:p>
        </w:tc>
        <w:tc>
          <w:tcPr>
            <w:tcW w:w="1029" w:type="dxa"/>
            <w:noWrap w:val="0"/>
            <w:vAlign w:val="center"/>
          </w:tcPr>
          <w:p w14:paraId="78B74E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4</w:t>
            </w:r>
          </w:p>
        </w:tc>
        <w:tc>
          <w:tcPr>
            <w:tcW w:w="1029" w:type="dxa"/>
            <w:noWrap w:val="0"/>
            <w:vAlign w:val="center"/>
          </w:tcPr>
          <w:p w14:paraId="02ED4B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5</w:t>
            </w:r>
          </w:p>
        </w:tc>
      </w:tr>
      <w:tr w14:paraId="55735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67" w:type="dxa"/>
            <w:noWrap w:val="0"/>
            <w:vAlign w:val="center"/>
          </w:tcPr>
          <w:p w14:paraId="71F99B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t>
            </w:r>
            <w:r>
              <w:rPr>
                <w:rFonts w:hint="default" w:ascii="Times New Roman" w:hAnsi="Times New Roman" w:eastAsia="宋体" w:cs="Times New Roman"/>
                <w:sz w:val="21"/>
                <w:szCs w:val="21"/>
                <w:vertAlign w:val="subscript"/>
              </w:rPr>
              <w:t>2</w:t>
            </w:r>
            <w:r>
              <w:rPr>
                <w:rFonts w:hint="default" w:ascii="Times New Roman" w:hAnsi="Times New Roman" w:eastAsia="宋体" w:cs="Times New Roman"/>
                <w:sz w:val="21"/>
                <w:szCs w:val="21"/>
              </w:rPr>
              <w:t>S</w:t>
            </w:r>
          </w:p>
        </w:tc>
        <w:tc>
          <w:tcPr>
            <w:tcW w:w="851" w:type="dxa"/>
            <w:noWrap w:val="0"/>
            <w:vAlign w:val="center"/>
          </w:tcPr>
          <w:p w14:paraId="1F8BDC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0.1</w:t>
            </w:r>
          </w:p>
        </w:tc>
        <w:tc>
          <w:tcPr>
            <w:tcW w:w="1042" w:type="dxa"/>
            <w:noWrap w:val="0"/>
            <w:vAlign w:val="center"/>
          </w:tcPr>
          <w:p w14:paraId="0EEF90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0.6</w:t>
            </w:r>
          </w:p>
        </w:tc>
        <w:tc>
          <w:tcPr>
            <w:tcW w:w="1042" w:type="dxa"/>
            <w:noWrap w:val="0"/>
            <w:vAlign w:val="center"/>
          </w:tcPr>
          <w:p w14:paraId="440709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1035" w:type="dxa"/>
            <w:noWrap w:val="0"/>
            <w:vAlign w:val="center"/>
          </w:tcPr>
          <w:p w14:paraId="3D941F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1027" w:type="dxa"/>
            <w:noWrap w:val="0"/>
            <w:vAlign w:val="center"/>
          </w:tcPr>
          <w:p w14:paraId="0DE000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w:t>
            </w:r>
          </w:p>
        </w:tc>
        <w:tc>
          <w:tcPr>
            <w:tcW w:w="1029" w:type="dxa"/>
            <w:noWrap w:val="0"/>
            <w:vAlign w:val="center"/>
          </w:tcPr>
          <w:p w14:paraId="2BC906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1029" w:type="dxa"/>
            <w:noWrap w:val="0"/>
            <w:vAlign w:val="center"/>
          </w:tcPr>
          <w:p w14:paraId="34A282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40.0</w:t>
            </w:r>
          </w:p>
        </w:tc>
      </w:tr>
      <w:tr w14:paraId="7B701E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67" w:type="dxa"/>
            <w:noWrap w:val="0"/>
            <w:vAlign w:val="center"/>
          </w:tcPr>
          <w:p w14:paraId="3D2ED3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NH</w:t>
            </w:r>
            <w:r>
              <w:rPr>
                <w:rFonts w:hint="default" w:ascii="Times New Roman" w:hAnsi="Times New Roman" w:eastAsia="宋体" w:cs="Times New Roman"/>
                <w:sz w:val="21"/>
                <w:szCs w:val="21"/>
                <w:vertAlign w:val="subscript"/>
              </w:rPr>
              <w:t>3</w:t>
            </w:r>
          </w:p>
        </w:tc>
        <w:tc>
          <w:tcPr>
            <w:tcW w:w="851" w:type="dxa"/>
            <w:noWrap w:val="0"/>
            <w:vAlign w:val="center"/>
          </w:tcPr>
          <w:p w14:paraId="4B4AB0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0.0005</w:t>
            </w:r>
          </w:p>
        </w:tc>
        <w:tc>
          <w:tcPr>
            <w:tcW w:w="1042" w:type="dxa"/>
            <w:noWrap w:val="0"/>
            <w:vAlign w:val="center"/>
          </w:tcPr>
          <w:p w14:paraId="37A335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0.006</w:t>
            </w:r>
          </w:p>
        </w:tc>
        <w:tc>
          <w:tcPr>
            <w:tcW w:w="1042" w:type="dxa"/>
            <w:noWrap w:val="0"/>
            <w:vAlign w:val="center"/>
          </w:tcPr>
          <w:p w14:paraId="364BCD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0.02</w:t>
            </w:r>
          </w:p>
        </w:tc>
        <w:tc>
          <w:tcPr>
            <w:tcW w:w="1035" w:type="dxa"/>
            <w:noWrap w:val="0"/>
            <w:vAlign w:val="center"/>
          </w:tcPr>
          <w:p w14:paraId="0E5AC5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0.06</w:t>
            </w:r>
          </w:p>
        </w:tc>
        <w:tc>
          <w:tcPr>
            <w:tcW w:w="1027" w:type="dxa"/>
            <w:noWrap w:val="0"/>
            <w:vAlign w:val="center"/>
          </w:tcPr>
          <w:p w14:paraId="4098BB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0.2</w:t>
            </w:r>
          </w:p>
        </w:tc>
        <w:tc>
          <w:tcPr>
            <w:tcW w:w="1029" w:type="dxa"/>
            <w:noWrap w:val="0"/>
            <w:vAlign w:val="center"/>
          </w:tcPr>
          <w:p w14:paraId="0A1CD0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0.7</w:t>
            </w:r>
          </w:p>
        </w:tc>
        <w:tc>
          <w:tcPr>
            <w:tcW w:w="1029" w:type="dxa"/>
            <w:noWrap w:val="0"/>
            <w:vAlign w:val="center"/>
          </w:tcPr>
          <w:p w14:paraId="520DBB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r>
    </w:tbl>
    <w:p w14:paraId="51A9ADB4">
      <w:pPr>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由表5.</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、表5.</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可知，当NH</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rPr>
        <w:t>和H</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S场界满足《恶臭污染物排放标准》时分别对应的臭气强度为2~2.5和1，对比之下，NH</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rPr>
        <w:t>的影响比H</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S的影响大。同时臭气强度在2</w:t>
      </w:r>
      <w:r>
        <w:rPr>
          <w:rFonts w:hint="eastAsia" w:cs="Times New Roman"/>
          <w:sz w:val="24"/>
          <w:szCs w:val="24"/>
          <w:lang w:eastAsia="zh-CN"/>
        </w:rPr>
        <w:t>～</w:t>
      </w:r>
      <w:r>
        <w:rPr>
          <w:rFonts w:hint="default" w:ascii="Times New Roman" w:hAnsi="Times New Roman" w:eastAsia="宋体" w:cs="Times New Roman"/>
          <w:sz w:val="24"/>
          <w:szCs w:val="24"/>
        </w:rPr>
        <w:t>2.5时，说明多数人注意后可感觉到。</w:t>
      </w:r>
    </w:p>
    <w:p w14:paraId="4B77A0EB">
      <w:pPr>
        <w:pageBreakBefore w:val="0"/>
        <w:wordWrap/>
        <w:topLinePunct w:val="0"/>
        <w:bidi w:val="0"/>
        <w:adjustRightInd/>
        <w:snapToGrid/>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sz w:val="24"/>
          <w:szCs w:val="24"/>
        </w:rPr>
        <w:t>表5.</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列出了感觉到主要恶臭物质的浓度</w:t>
      </w:r>
      <w:r>
        <w:rPr>
          <w:rFonts w:hint="eastAsia" w:eastAsia="宋体" w:cs="Times New Roman"/>
          <w:sz w:val="24"/>
          <w:szCs w:val="24"/>
          <w:lang w:eastAsia="zh-CN"/>
        </w:rPr>
        <w:t>阈值</w:t>
      </w:r>
      <w:r>
        <w:rPr>
          <w:rFonts w:hint="default" w:ascii="Times New Roman" w:hAnsi="Times New Roman" w:eastAsia="宋体" w:cs="Times New Roman"/>
          <w:sz w:val="24"/>
          <w:szCs w:val="24"/>
        </w:rPr>
        <w:t>。</w:t>
      </w:r>
    </w:p>
    <w:p w14:paraId="6AB36DBA">
      <w:pPr>
        <w:pageBreakBefore w:val="0"/>
        <w:widowControl w:val="0"/>
        <w:wordWrap/>
        <w:topLinePunct w:val="0"/>
        <w:bidi w:val="0"/>
        <w:adjustRightInd/>
        <w:snapToGrid/>
        <w:spacing w:line="360" w:lineRule="auto"/>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ascii="Times New Roman" w:hAnsi="Times New Roman" w:eastAsia="宋体" w:cs="Times New Roman"/>
          <w:b/>
          <w:kern w:val="0"/>
          <w:sz w:val="24"/>
          <w:szCs w:val="24"/>
          <w:lang w:val="en-US" w:eastAsia="zh-CN" w:bidi="ar-SA"/>
        </w:rPr>
        <w:t>3</w:t>
      </w:r>
      <w:r>
        <w:rPr>
          <w:rFonts w:hint="default" w:ascii="Times New Roman" w:hAnsi="Times New Roman" w:eastAsia="宋体" w:cs="Times New Roman"/>
          <w:b/>
          <w:kern w:val="0"/>
          <w:sz w:val="24"/>
          <w:szCs w:val="24"/>
          <w:lang w:val="en-US" w:eastAsia="zh-CN" w:bidi="ar-SA"/>
        </w:rPr>
        <w:t>主要恶臭物质的</w:t>
      </w:r>
      <w:r>
        <w:rPr>
          <w:rFonts w:hint="eastAsia" w:eastAsia="宋体" w:cs="Times New Roman"/>
          <w:b/>
          <w:kern w:val="0"/>
          <w:sz w:val="24"/>
          <w:szCs w:val="24"/>
          <w:lang w:val="en-US" w:eastAsia="zh-CN" w:bidi="ar-SA"/>
        </w:rPr>
        <w:t>阈值</w:t>
      </w:r>
      <w:r>
        <w:rPr>
          <w:rFonts w:hint="default" w:ascii="Times New Roman" w:hAnsi="Times New Roman" w:eastAsia="宋体" w:cs="Times New Roman"/>
          <w:b/>
          <w:kern w:val="0"/>
          <w:sz w:val="24"/>
          <w:szCs w:val="24"/>
          <w:lang w:val="en-US" w:eastAsia="zh-CN" w:bidi="ar-SA"/>
        </w:rPr>
        <w:t>浓度</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90"/>
        <w:gridCol w:w="4214"/>
      </w:tblGrid>
      <w:tr w14:paraId="6B1CC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290" w:type="dxa"/>
            <w:noWrap w:val="0"/>
            <w:vAlign w:val="center"/>
          </w:tcPr>
          <w:p w14:paraId="3A958D6E">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物  质</w:t>
            </w:r>
          </w:p>
        </w:tc>
        <w:tc>
          <w:tcPr>
            <w:tcW w:w="4214" w:type="dxa"/>
            <w:noWrap w:val="0"/>
            <w:vAlign w:val="center"/>
          </w:tcPr>
          <w:p w14:paraId="6201B304">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b/>
                <w:bCs/>
                <w:sz w:val="21"/>
                <w:szCs w:val="21"/>
              </w:rPr>
            </w:pPr>
            <w:r>
              <w:rPr>
                <w:rFonts w:hint="eastAsia" w:eastAsia="宋体" w:cs="Times New Roman"/>
                <w:b/>
                <w:bCs/>
                <w:sz w:val="21"/>
                <w:szCs w:val="21"/>
                <w:lang w:eastAsia="zh-CN"/>
              </w:rPr>
              <w:t>阈值</w:t>
            </w:r>
            <w:r>
              <w:rPr>
                <w:rFonts w:hint="default" w:ascii="Times New Roman" w:hAnsi="Times New Roman" w:eastAsia="宋体" w:cs="Times New Roman"/>
                <w:b/>
                <w:bCs/>
                <w:sz w:val="21"/>
                <w:szCs w:val="21"/>
              </w:rPr>
              <w:t>浓度（ppm）</w:t>
            </w:r>
          </w:p>
        </w:tc>
      </w:tr>
      <w:tr w14:paraId="3E513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290" w:type="dxa"/>
            <w:noWrap w:val="0"/>
            <w:vAlign w:val="center"/>
          </w:tcPr>
          <w:p w14:paraId="25B5B001">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氨</w:t>
            </w:r>
          </w:p>
        </w:tc>
        <w:tc>
          <w:tcPr>
            <w:tcW w:w="4214" w:type="dxa"/>
            <w:noWrap w:val="0"/>
            <w:vAlign w:val="center"/>
          </w:tcPr>
          <w:p w14:paraId="702C6FA5">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r>
              <w:rPr>
                <w:rFonts w:hint="eastAsia" w:cs="Times New Roman"/>
                <w:sz w:val="21"/>
                <w:szCs w:val="21"/>
                <w:lang w:eastAsia="zh-CN"/>
              </w:rPr>
              <w:t>~</w:t>
            </w:r>
            <w:r>
              <w:rPr>
                <w:rFonts w:hint="default" w:ascii="Times New Roman" w:hAnsi="Times New Roman" w:eastAsia="宋体" w:cs="Times New Roman"/>
                <w:sz w:val="21"/>
                <w:szCs w:val="21"/>
              </w:rPr>
              <w:t>50</w:t>
            </w:r>
          </w:p>
        </w:tc>
      </w:tr>
      <w:tr w14:paraId="74034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290" w:type="dxa"/>
            <w:noWrap w:val="0"/>
            <w:vAlign w:val="center"/>
          </w:tcPr>
          <w:p w14:paraId="5AECAD31">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硫化氢</w:t>
            </w:r>
          </w:p>
        </w:tc>
        <w:tc>
          <w:tcPr>
            <w:tcW w:w="4214" w:type="dxa"/>
            <w:noWrap w:val="0"/>
            <w:vAlign w:val="center"/>
          </w:tcPr>
          <w:p w14:paraId="727B515A">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0.005</w:t>
            </w:r>
            <w:r>
              <w:rPr>
                <w:rFonts w:hint="eastAsia" w:cs="Times New Roman"/>
                <w:sz w:val="21"/>
                <w:szCs w:val="21"/>
                <w:lang w:eastAsia="zh-CN"/>
              </w:rPr>
              <w:t>~</w:t>
            </w:r>
            <w:r>
              <w:rPr>
                <w:rFonts w:hint="default" w:ascii="Times New Roman" w:hAnsi="Times New Roman" w:eastAsia="宋体" w:cs="Times New Roman"/>
                <w:sz w:val="21"/>
                <w:szCs w:val="21"/>
              </w:rPr>
              <w:t>1</w:t>
            </w:r>
          </w:p>
        </w:tc>
      </w:tr>
    </w:tbl>
    <w:p w14:paraId="005D5A5B">
      <w:pPr>
        <w:pageBreakBefore w:val="0"/>
        <w:wordWrap/>
        <w:topLinePunct w:val="0"/>
        <w:bidi w:val="0"/>
        <w:adjustRightInd/>
        <w:snapToGrid/>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上述恶臭污染物质的臭味特征见表5.</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w:t>
      </w:r>
    </w:p>
    <w:p w14:paraId="7318D657">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ascii="Times New Roman" w:hAnsi="Times New Roman" w:eastAsia="宋体" w:cs="Times New Roman"/>
          <w:b/>
          <w:kern w:val="0"/>
          <w:sz w:val="24"/>
          <w:szCs w:val="24"/>
          <w:lang w:val="en-US" w:eastAsia="zh-CN" w:bidi="ar-SA"/>
        </w:rPr>
        <w:t>4</w:t>
      </w:r>
      <w:r>
        <w:rPr>
          <w:rFonts w:hint="default" w:ascii="Times New Roman" w:hAnsi="Times New Roman" w:eastAsia="宋体" w:cs="Times New Roman"/>
          <w:b/>
          <w:kern w:val="0"/>
          <w:sz w:val="24"/>
          <w:szCs w:val="24"/>
          <w:lang w:val="en-US" w:eastAsia="zh-CN" w:bidi="ar-SA"/>
        </w:rPr>
        <w:t>主要恶臭物质的臭味特征</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99"/>
        <w:gridCol w:w="4223"/>
      </w:tblGrid>
      <w:tr w14:paraId="50488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99" w:type="dxa"/>
            <w:noWrap w:val="0"/>
            <w:vAlign w:val="center"/>
          </w:tcPr>
          <w:p w14:paraId="51AD1F1A">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物   质</w:t>
            </w:r>
          </w:p>
        </w:tc>
        <w:tc>
          <w:tcPr>
            <w:tcW w:w="4223" w:type="dxa"/>
            <w:noWrap w:val="0"/>
            <w:vAlign w:val="center"/>
          </w:tcPr>
          <w:p w14:paraId="2F5354EB">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臭   味</w:t>
            </w:r>
          </w:p>
        </w:tc>
      </w:tr>
      <w:tr w14:paraId="683E0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99" w:type="dxa"/>
            <w:noWrap w:val="0"/>
            <w:vAlign w:val="center"/>
          </w:tcPr>
          <w:p w14:paraId="0484C58C">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氨</w:t>
            </w:r>
          </w:p>
        </w:tc>
        <w:tc>
          <w:tcPr>
            <w:tcW w:w="4223" w:type="dxa"/>
            <w:noWrap w:val="0"/>
            <w:vAlign w:val="center"/>
          </w:tcPr>
          <w:p w14:paraId="6B0264F5">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强刺激臭味</w:t>
            </w:r>
          </w:p>
        </w:tc>
      </w:tr>
      <w:tr w14:paraId="0733B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99" w:type="dxa"/>
            <w:noWrap w:val="0"/>
            <w:vAlign w:val="center"/>
          </w:tcPr>
          <w:p w14:paraId="305C83C2">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硫化氢</w:t>
            </w:r>
          </w:p>
        </w:tc>
        <w:tc>
          <w:tcPr>
            <w:tcW w:w="4223" w:type="dxa"/>
            <w:noWrap w:val="0"/>
            <w:vAlign w:val="center"/>
          </w:tcPr>
          <w:p w14:paraId="2C6316AA">
            <w:pPr>
              <w:keepNext w:val="0"/>
              <w:keepLines w:val="0"/>
              <w:pageBreakBefore w:val="0"/>
              <w:widowControl w:val="0"/>
              <w:kinsoku/>
              <w:wordWrap/>
              <w:overflowPunct/>
              <w:topLinePunct w:val="0"/>
              <w:autoSpaceDE/>
              <w:autoSpaceDN/>
              <w:bidi w:val="0"/>
              <w:adjustRightInd/>
              <w:snapToGrid/>
              <w:spacing w:line="400" w:lineRule="exact"/>
              <w:ind w:left="-105" w:leftChars="-50" w:firstLine="42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臭鸡蛋味</w:t>
            </w:r>
          </w:p>
        </w:tc>
      </w:tr>
    </w:tbl>
    <w:p w14:paraId="39BE045D">
      <w:pPr>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shd w:val="clear" w:color="auto" w:fill="FFFFFF"/>
        </w:rPr>
      </w:pPr>
      <w:r>
        <w:rPr>
          <w:rFonts w:hint="default" w:ascii="Times New Roman" w:hAnsi="Times New Roman" w:eastAsia="宋体" w:cs="Times New Roman"/>
          <w:sz w:val="24"/>
          <w:szCs w:val="24"/>
        </w:rPr>
        <w:t>恶臭物质气味夏季比冬季强，昼间比夜间强，受气态污染物面源的性质决定，距离源点越近，污染物浓度就越高，造成的影响也就越大。通过选择优质的环保饲料配方、加</w:t>
      </w:r>
      <w:r>
        <w:rPr>
          <w:rFonts w:hint="eastAsia" w:ascii="Times New Roman" w:hAnsi="Times New Roman" w:eastAsia="宋体" w:cs="Times New Roman"/>
          <w:sz w:val="24"/>
          <w:szCs w:val="24"/>
          <w:lang w:val="en-US" w:eastAsia="zh-CN"/>
        </w:rPr>
        <w:t>生物除臭剂</w:t>
      </w:r>
      <w:r>
        <w:rPr>
          <w:rFonts w:hint="default" w:ascii="Times New Roman" w:hAnsi="Times New Roman" w:eastAsia="宋体" w:cs="Times New Roman"/>
          <w:sz w:val="24"/>
          <w:szCs w:val="24"/>
        </w:rPr>
        <w:t>抑制</w:t>
      </w:r>
      <w:r>
        <w:rPr>
          <w:rFonts w:hint="eastAsia" w:ascii="Times New Roman" w:hAnsi="Times New Roman" w:eastAsia="宋体" w:cs="Times New Roman"/>
          <w:sz w:val="24"/>
          <w:szCs w:val="24"/>
          <w:lang w:val="en-US" w:eastAsia="zh-CN"/>
        </w:rPr>
        <w:t>牛粪</w:t>
      </w:r>
      <w:r>
        <w:rPr>
          <w:rFonts w:hint="default" w:ascii="Times New Roman" w:hAnsi="Times New Roman" w:eastAsia="宋体" w:cs="Times New Roman"/>
          <w:sz w:val="24"/>
          <w:szCs w:val="24"/>
        </w:rPr>
        <w:t>的氨气挥发、保持</w:t>
      </w:r>
      <w:r>
        <w:rPr>
          <w:rFonts w:hint="eastAsia" w:cs="Times New Roman"/>
          <w:sz w:val="24"/>
          <w:szCs w:val="24"/>
          <w:lang w:val="en-US" w:eastAsia="zh-CN"/>
        </w:rPr>
        <w:t>牛圈</w:t>
      </w:r>
      <w:r>
        <w:rPr>
          <w:rFonts w:hint="default" w:ascii="Times New Roman" w:hAnsi="Times New Roman" w:eastAsia="宋体" w:cs="Times New Roman"/>
          <w:sz w:val="24"/>
          <w:szCs w:val="24"/>
        </w:rPr>
        <w:t>空气流通、种植对空气净化有利的植物等方法，可使NH</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rPr>
        <w:t>、H</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S去除率在</w:t>
      </w:r>
      <w:r>
        <w:rPr>
          <w:rFonts w:hint="eastAsia" w:eastAsia="宋体" w:cs="Times New Roman"/>
          <w:sz w:val="24"/>
          <w:szCs w:val="24"/>
          <w:lang w:val="en-US" w:eastAsia="zh-CN"/>
        </w:rPr>
        <w:t>88</w:t>
      </w:r>
      <w:r>
        <w:rPr>
          <w:rFonts w:hint="default" w:ascii="Times New Roman" w:hAnsi="Times New Roman" w:eastAsia="宋体" w:cs="Times New Roman"/>
          <w:sz w:val="24"/>
          <w:szCs w:val="24"/>
        </w:rPr>
        <w:t>%以上，可使无组织面源气体排放量</w:t>
      </w:r>
      <w:r>
        <w:rPr>
          <w:rFonts w:hint="eastAsia" w:cs="Times New Roman"/>
          <w:sz w:val="24"/>
          <w:szCs w:val="24"/>
          <w:lang w:eastAsia="zh-CN"/>
        </w:rPr>
        <w:t>大大减少</w:t>
      </w:r>
      <w:r>
        <w:rPr>
          <w:rFonts w:hint="default" w:ascii="Times New Roman" w:hAnsi="Times New Roman" w:eastAsia="宋体" w:cs="Times New Roman"/>
          <w:sz w:val="24"/>
          <w:szCs w:val="24"/>
          <w:shd w:val="clear" w:color="auto" w:fill="FFFFFF"/>
        </w:rPr>
        <w:t>。</w:t>
      </w:r>
    </w:p>
    <w:p w14:paraId="0C095512">
      <w:pPr>
        <w:pageBreakBefore w:val="0"/>
        <w:wordWrap/>
        <w:topLinePunct w:val="0"/>
        <w:bidi w:val="0"/>
        <w:adjustRightInd/>
        <w:snapToGrid/>
        <w:spacing w:line="360" w:lineRule="auto"/>
        <w:outlineLvl w:val="3"/>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5.</w:t>
      </w:r>
      <w:r>
        <w:rPr>
          <w:rFonts w:hint="eastAsia" w:ascii="Times New Roman" w:hAnsi="Times New Roman" w:eastAsia="宋体" w:cs="Times New Roman"/>
          <w:b/>
          <w:sz w:val="24"/>
          <w:szCs w:val="24"/>
          <w:lang w:val="en-US" w:eastAsia="zh-CN"/>
        </w:rPr>
        <w:t>2</w:t>
      </w:r>
      <w:r>
        <w:rPr>
          <w:rFonts w:hint="default" w:ascii="Times New Roman" w:hAnsi="Times New Roman" w:eastAsia="宋体" w:cs="Times New Roman"/>
          <w:b/>
          <w:sz w:val="24"/>
          <w:szCs w:val="24"/>
        </w:rPr>
        <w:t>.</w:t>
      </w:r>
      <w:r>
        <w:rPr>
          <w:rFonts w:hint="eastAsia" w:ascii="Times New Roman" w:hAnsi="Times New Roman" w:eastAsia="宋体" w:cs="Times New Roman"/>
          <w:b/>
          <w:sz w:val="24"/>
          <w:szCs w:val="24"/>
          <w:lang w:val="en-US" w:eastAsia="zh-CN"/>
        </w:rPr>
        <w:t>1</w:t>
      </w:r>
      <w:r>
        <w:rPr>
          <w:rFonts w:hint="default" w:ascii="Times New Roman" w:hAnsi="Times New Roman" w:eastAsia="宋体" w:cs="Times New Roman"/>
          <w:b/>
          <w:sz w:val="24"/>
          <w:szCs w:val="24"/>
        </w:rPr>
        <w:t>.</w:t>
      </w:r>
      <w:r>
        <w:rPr>
          <w:rFonts w:hint="eastAsia" w:eastAsia="宋体" w:cs="Times New Roman"/>
          <w:b/>
          <w:sz w:val="24"/>
          <w:szCs w:val="24"/>
          <w:lang w:val="en-US" w:eastAsia="zh-CN"/>
        </w:rPr>
        <w:t>2</w:t>
      </w:r>
      <w:r>
        <w:rPr>
          <w:rFonts w:hint="default" w:ascii="Times New Roman" w:hAnsi="Times New Roman" w:eastAsia="宋体" w:cs="Times New Roman"/>
          <w:b/>
          <w:sz w:val="24"/>
          <w:szCs w:val="24"/>
        </w:rPr>
        <w:t xml:space="preserve">大气环境影响评价 </w:t>
      </w:r>
    </w:p>
    <w:p w14:paraId="53544410">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（1）预测因子</w:t>
      </w:r>
    </w:p>
    <w:p w14:paraId="6CAC5D68">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根据项目污染物排放特征，选取有环境质量标准的评价因子作为预测因子，确定大气影响预测因子如下：</w:t>
      </w:r>
    </w:p>
    <w:p w14:paraId="0C6BFD04">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正常</w:t>
      </w:r>
      <w:r>
        <w:rPr>
          <w:rFonts w:hint="eastAsia" w:ascii="Times New Roman" w:hAnsi="Times New Roman" w:eastAsia="宋体" w:cs="Times New Roman"/>
          <w:color w:val="000000"/>
          <w:kern w:val="2"/>
          <w:sz w:val="24"/>
          <w:szCs w:val="24"/>
          <w:highlight w:val="none"/>
          <w:lang w:val="en-US" w:eastAsia="zh-CN" w:bidi="ar-SA"/>
        </w:rPr>
        <w:t>工况</w:t>
      </w:r>
      <w:r>
        <w:rPr>
          <w:rFonts w:hint="default" w:ascii="Times New Roman" w:hAnsi="Times New Roman" w:eastAsia="宋体" w:cs="Times New Roman"/>
          <w:color w:val="000000"/>
          <w:kern w:val="2"/>
          <w:sz w:val="24"/>
          <w:szCs w:val="24"/>
          <w:highlight w:val="none"/>
          <w:lang w:val="en-US" w:eastAsia="zh-CN" w:bidi="ar-SA"/>
        </w:rPr>
        <w:t>时有组织废气预测因子：</w:t>
      </w:r>
      <w:r>
        <w:rPr>
          <w:rFonts w:hint="eastAsia" w:ascii="Times New Roman" w:hAnsi="Times New Roman" w:eastAsia="宋体" w:cs="Times New Roman"/>
          <w:color w:val="000000"/>
          <w:kern w:val="2"/>
          <w:sz w:val="24"/>
          <w:szCs w:val="24"/>
          <w:highlight w:val="none"/>
          <w:lang w:val="en-US" w:eastAsia="zh-CN" w:bidi="ar-SA"/>
        </w:rPr>
        <w:t>PM</w:t>
      </w:r>
      <w:r>
        <w:rPr>
          <w:rFonts w:hint="eastAsia" w:ascii="Times New Roman" w:hAnsi="Times New Roman" w:eastAsia="宋体" w:cs="Times New Roman"/>
          <w:color w:val="000000"/>
          <w:kern w:val="2"/>
          <w:sz w:val="24"/>
          <w:szCs w:val="24"/>
          <w:highlight w:val="none"/>
          <w:vertAlign w:val="subscript"/>
          <w:lang w:val="en-US" w:eastAsia="zh-CN" w:bidi="ar-SA"/>
        </w:rPr>
        <w:t>10</w:t>
      </w:r>
      <w:r>
        <w:rPr>
          <w:rFonts w:hint="eastAsia" w:ascii="Times New Roman" w:hAnsi="Times New Roman" w:eastAsia="宋体" w:cs="Times New Roman"/>
          <w:color w:val="000000"/>
          <w:kern w:val="2"/>
          <w:sz w:val="24"/>
          <w:szCs w:val="24"/>
          <w:highlight w:val="none"/>
          <w:lang w:val="en-US" w:eastAsia="zh-CN" w:bidi="ar-SA"/>
        </w:rPr>
        <w:t>、PM</w:t>
      </w:r>
      <w:r>
        <w:rPr>
          <w:rFonts w:hint="eastAsia" w:ascii="Times New Roman" w:hAnsi="Times New Roman" w:eastAsia="宋体" w:cs="Times New Roman"/>
          <w:color w:val="000000"/>
          <w:kern w:val="2"/>
          <w:sz w:val="24"/>
          <w:szCs w:val="24"/>
          <w:highlight w:val="none"/>
          <w:vertAlign w:val="subscript"/>
          <w:lang w:val="en-US" w:eastAsia="zh-CN" w:bidi="ar-SA"/>
        </w:rPr>
        <w:t>2.5</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硫化氢、氨</w:t>
      </w:r>
      <w:r>
        <w:rPr>
          <w:rFonts w:hint="default" w:ascii="Times New Roman" w:hAnsi="Times New Roman" w:eastAsia="宋体" w:cs="Times New Roman"/>
          <w:color w:val="000000"/>
          <w:kern w:val="2"/>
          <w:sz w:val="24"/>
          <w:szCs w:val="24"/>
          <w:highlight w:val="none"/>
          <w:lang w:val="en-US" w:eastAsia="zh-CN" w:bidi="ar-SA"/>
        </w:rPr>
        <w:t>。</w:t>
      </w:r>
    </w:p>
    <w:p w14:paraId="1F792E4F">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正常</w:t>
      </w:r>
      <w:r>
        <w:rPr>
          <w:rFonts w:hint="eastAsia" w:ascii="Times New Roman" w:hAnsi="Times New Roman" w:eastAsia="宋体" w:cs="Times New Roman"/>
          <w:color w:val="000000"/>
          <w:kern w:val="2"/>
          <w:sz w:val="24"/>
          <w:szCs w:val="24"/>
          <w:highlight w:val="none"/>
          <w:lang w:val="en-US" w:eastAsia="zh-CN" w:bidi="ar-SA"/>
        </w:rPr>
        <w:t>工况</w:t>
      </w:r>
      <w:r>
        <w:rPr>
          <w:rFonts w:hint="default" w:ascii="Times New Roman" w:hAnsi="Times New Roman" w:eastAsia="宋体" w:cs="Times New Roman"/>
          <w:color w:val="000000"/>
          <w:kern w:val="2"/>
          <w:sz w:val="24"/>
          <w:szCs w:val="24"/>
          <w:highlight w:val="none"/>
          <w:lang w:val="en-US" w:eastAsia="zh-CN" w:bidi="ar-SA"/>
        </w:rPr>
        <w:t>时无组织废气预测因子：</w:t>
      </w:r>
      <w:r>
        <w:rPr>
          <w:rFonts w:hint="eastAsia" w:ascii="Times New Roman" w:hAnsi="Times New Roman" w:eastAsia="宋体" w:cs="Times New Roman"/>
          <w:color w:val="000000"/>
          <w:kern w:val="2"/>
          <w:sz w:val="24"/>
          <w:szCs w:val="24"/>
          <w:highlight w:val="none"/>
          <w:lang w:val="en-US" w:eastAsia="zh-CN" w:bidi="ar-SA"/>
        </w:rPr>
        <w:t>TSP、硫化氢、氨</w:t>
      </w:r>
      <w:r>
        <w:rPr>
          <w:rFonts w:hint="default" w:ascii="Times New Roman" w:hAnsi="Times New Roman" w:eastAsia="宋体" w:cs="Times New Roman"/>
          <w:color w:val="000000"/>
          <w:kern w:val="2"/>
          <w:sz w:val="24"/>
          <w:szCs w:val="24"/>
          <w:highlight w:val="none"/>
          <w:lang w:val="en-US" w:eastAsia="zh-CN" w:bidi="ar-SA"/>
        </w:rPr>
        <w:t>。</w:t>
      </w:r>
    </w:p>
    <w:p w14:paraId="49C62682">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非正常</w:t>
      </w:r>
      <w:r>
        <w:rPr>
          <w:rFonts w:hint="eastAsia" w:ascii="Times New Roman" w:hAnsi="Times New Roman" w:eastAsia="宋体" w:cs="Times New Roman"/>
          <w:color w:val="000000"/>
          <w:kern w:val="2"/>
          <w:sz w:val="24"/>
          <w:szCs w:val="24"/>
          <w:highlight w:val="none"/>
          <w:lang w:val="en-US" w:eastAsia="zh-CN" w:bidi="ar-SA"/>
        </w:rPr>
        <w:t>工况</w:t>
      </w:r>
      <w:r>
        <w:rPr>
          <w:rFonts w:hint="default" w:ascii="Times New Roman" w:hAnsi="Times New Roman" w:eastAsia="宋体" w:cs="Times New Roman"/>
          <w:color w:val="000000"/>
          <w:kern w:val="2"/>
          <w:sz w:val="24"/>
          <w:szCs w:val="24"/>
          <w:highlight w:val="none"/>
          <w:lang w:val="en-US" w:eastAsia="zh-CN" w:bidi="ar-SA"/>
        </w:rPr>
        <w:t>时</w:t>
      </w:r>
      <w:r>
        <w:rPr>
          <w:rFonts w:hint="eastAsia" w:eastAsia="宋体" w:cs="Times New Roman"/>
          <w:color w:val="000000"/>
          <w:kern w:val="2"/>
          <w:sz w:val="24"/>
          <w:szCs w:val="24"/>
          <w:highlight w:val="none"/>
          <w:lang w:val="en-US" w:eastAsia="zh-CN" w:bidi="ar-SA"/>
        </w:rPr>
        <w:t>有组织</w:t>
      </w:r>
      <w:r>
        <w:rPr>
          <w:rFonts w:hint="default" w:ascii="Times New Roman" w:hAnsi="Times New Roman" w:eastAsia="宋体" w:cs="Times New Roman"/>
          <w:color w:val="000000"/>
          <w:kern w:val="2"/>
          <w:sz w:val="24"/>
          <w:szCs w:val="24"/>
          <w:highlight w:val="none"/>
          <w:lang w:val="en-US" w:eastAsia="zh-CN" w:bidi="ar-SA"/>
        </w:rPr>
        <w:t>废气预测因子：</w:t>
      </w:r>
      <w:r>
        <w:rPr>
          <w:rFonts w:hint="eastAsia" w:ascii="Times New Roman" w:hAnsi="Times New Roman" w:eastAsia="宋体" w:cs="Times New Roman"/>
          <w:color w:val="000000"/>
          <w:kern w:val="2"/>
          <w:sz w:val="24"/>
          <w:szCs w:val="24"/>
          <w:highlight w:val="none"/>
          <w:lang w:val="en-US" w:eastAsia="zh-CN" w:bidi="ar-SA"/>
        </w:rPr>
        <w:t>PM</w:t>
      </w:r>
      <w:r>
        <w:rPr>
          <w:rFonts w:hint="eastAsia" w:ascii="Times New Roman" w:hAnsi="Times New Roman" w:eastAsia="宋体" w:cs="Times New Roman"/>
          <w:color w:val="000000"/>
          <w:kern w:val="2"/>
          <w:sz w:val="24"/>
          <w:szCs w:val="24"/>
          <w:highlight w:val="none"/>
          <w:vertAlign w:val="subscript"/>
          <w:lang w:val="en-US" w:eastAsia="zh-CN" w:bidi="ar-SA"/>
        </w:rPr>
        <w:t>10</w:t>
      </w:r>
      <w:r>
        <w:rPr>
          <w:rFonts w:hint="eastAsia" w:ascii="Times New Roman" w:hAnsi="Times New Roman" w:eastAsia="宋体" w:cs="Times New Roman"/>
          <w:color w:val="000000"/>
          <w:kern w:val="2"/>
          <w:sz w:val="24"/>
          <w:szCs w:val="24"/>
          <w:highlight w:val="none"/>
          <w:lang w:val="en-US" w:eastAsia="zh-CN" w:bidi="ar-SA"/>
        </w:rPr>
        <w:t>、PM</w:t>
      </w:r>
      <w:r>
        <w:rPr>
          <w:rFonts w:hint="eastAsia" w:ascii="Times New Roman" w:hAnsi="Times New Roman" w:eastAsia="宋体" w:cs="Times New Roman"/>
          <w:color w:val="000000"/>
          <w:kern w:val="2"/>
          <w:sz w:val="24"/>
          <w:szCs w:val="24"/>
          <w:highlight w:val="none"/>
          <w:vertAlign w:val="subscript"/>
          <w:lang w:val="en-US" w:eastAsia="zh-CN" w:bidi="ar-SA"/>
        </w:rPr>
        <w:t>2.5</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硫化氢、氨</w:t>
      </w:r>
      <w:r>
        <w:rPr>
          <w:rFonts w:hint="default" w:ascii="Times New Roman" w:hAnsi="Times New Roman" w:eastAsia="宋体" w:cs="Times New Roman"/>
          <w:color w:val="000000"/>
          <w:kern w:val="2"/>
          <w:sz w:val="24"/>
          <w:szCs w:val="24"/>
          <w:highlight w:val="none"/>
          <w:lang w:val="en-US" w:eastAsia="zh-CN" w:bidi="ar-SA"/>
        </w:rPr>
        <w:t>。</w:t>
      </w:r>
    </w:p>
    <w:p w14:paraId="479E74D8">
      <w:pPr>
        <w:spacing w:line="360" w:lineRule="auto"/>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w:t>
      </w:r>
      <w:r>
        <w:rPr>
          <w:rFonts w:hint="eastAsia" w:cs="Times New Roman"/>
          <w:bCs/>
          <w:color w:val="auto"/>
          <w:sz w:val="24"/>
          <w:szCs w:val="24"/>
          <w:lang w:val="en-US" w:eastAsia="zh-CN"/>
        </w:rPr>
        <w:t>2</w:t>
      </w:r>
      <w:r>
        <w:rPr>
          <w:rFonts w:hint="default" w:ascii="Times New Roman" w:hAnsi="Times New Roman" w:eastAsia="宋体" w:cs="Times New Roman"/>
          <w:bCs/>
          <w:color w:val="auto"/>
          <w:sz w:val="24"/>
          <w:szCs w:val="24"/>
        </w:rPr>
        <w:t>）评价标准</w:t>
      </w:r>
    </w:p>
    <w:p w14:paraId="060F3AFC">
      <w:pPr>
        <w:widowControl w:val="0"/>
        <w:overflowPunct/>
        <w:autoSpaceDE/>
        <w:autoSpaceDN/>
        <w:adjustRightInd/>
        <w:snapToGrid/>
        <w:spacing w:line="360" w:lineRule="auto"/>
        <w:ind w:firstLine="0" w:firstLineChars="0"/>
        <w:jc w:val="center"/>
        <w:rPr>
          <w:rFonts w:hint="default" w:ascii="Times New Roman" w:hAnsi="Times New Roman" w:eastAsia="宋体" w:cs="Times New Roman"/>
          <w:b/>
          <w:color w:val="000000"/>
          <w:kern w:val="2"/>
          <w:sz w:val="24"/>
          <w:szCs w:val="24"/>
          <w:highlight w:val="none"/>
          <w:lang w:val="en-US" w:eastAsia="zh-CN" w:bidi="ar-SA"/>
        </w:rPr>
      </w:pPr>
      <w:r>
        <w:rPr>
          <w:rFonts w:hint="default" w:ascii="Times New Roman" w:hAnsi="Times New Roman" w:eastAsia="宋体" w:cs="Times New Roman"/>
          <w:b/>
          <w:color w:val="000000"/>
          <w:kern w:val="2"/>
          <w:sz w:val="24"/>
          <w:szCs w:val="24"/>
          <w:highlight w:val="none"/>
          <w:lang w:val="en-US" w:eastAsia="zh-CN" w:bidi="ar-SA"/>
        </w:rPr>
        <w:t>表5.2-</w:t>
      </w:r>
      <w:r>
        <w:rPr>
          <w:rFonts w:hint="eastAsia" w:ascii="Times New Roman" w:hAnsi="Times New Roman" w:eastAsia="宋体" w:cs="Times New Roman"/>
          <w:b/>
          <w:color w:val="000000"/>
          <w:kern w:val="2"/>
          <w:sz w:val="24"/>
          <w:szCs w:val="24"/>
          <w:highlight w:val="none"/>
          <w:lang w:val="en-US" w:eastAsia="zh-CN" w:bidi="ar-SA"/>
        </w:rPr>
        <w:t>5</w:t>
      </w:r>
      <w:r>
        <w:rPr>
          <w:rFonts w:hint="default" w:ascii="Times New Roman" w:hAnsi="Times New Roman" w:eastAsia="宋体" w:cs="Times New Roman"/>
          <w:b/>
          <w:color w:val="000000"/>
          <w:kern w:val="2"/>
          <w:sz w:val="24"/>
          <w:szCs w:val="24"/>
          <w:highlight w:val="none"/>
          <w:lang w:val="en-US" w:eastAsia="zh-CN" w:bidi="ar-SA"/>
        </w:rPr>
        <w:t>大气环境影响预测评价标准</w:t>
      </w:r>
    </w:p>
    <w:tbl>
      <w:tblPr>
        <w:tblStyle w:val="20"/>
        <w:tblW w:w="85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9"/>
        <w:gridCol w:w="4"/>
        <w:gridCol w:w="2074"/>
        <w:gridCol w:w="1898"/>
        <w:gridCol w:w="1282"/>
        <w:gridCol w:w="2508"/>
      </w:tblGrid>
      <w:tr w14:paraId="6ABCF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83" w:type="dxa"/>
            <w:gridSpan w:val="2"/>
            <w:tcBorders>
              <w:tl2br w:val="nil"/>
              <w:tr2bl w:val="nil"/>
            </w:tcBorders>
            <w:noWrap w:val="0"/>
            <w:vAlign w:val="center"/>
          </w:tcPr>
          <w:p w14:paraId="680E21EF">
            <w:pPr>
              <w:overflowPunct/>
              <w:autoSpaceDE/>
              <w:autoSpaceDN/>
              <w:adjustRightInd/>
              <w:snapToGrid/>
              <w:spacing w:line="240" w:lineRule="atLeast"/>
              <w:ind w:firstLine="0" w:firstLineChars="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序号</w:t>
            </w:r>
          </w:p>
        </w:tc>
        <w:tc>
          <w:tcPr>
            <w:tcW w:w="2074" w:type="dxa"/>
            <w:tcBorders>
              <w:tl2br w:val="nil"/>
              <w:tr2bl w:val="nil"/>
            </w:tcBorders>
            <w:noWrap w:val="0"/>
            <w:vAlign w:val="center"/>
          </w:tcPr>
          <w:p w14:paraId="3485A039">
            <w:pPr>
              <w:overflowPunct/>
              <w:autoSpaceDE/>
              <w:autoSpaceDN/>
              <w:adjustRightInd/>
              <w:snapToGrid/>
              <w:spacing w:line="240" w:lineRule="atLeast"/>
              <w:ind w:firstLine="0" w:firstLineChars="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污染物</w:t>
            </w:r>
          </w:p>
        </w:tc>
        <w:tc>
          <w:tcPr>
            <w:tcW w:w="3180" w:type="dxa"/>
            <w:gridSpan w:val="2"/>
            <w:tcBorders>
              <w:tl2br w:val="nil"/>
              <w:tr2bl w:val="nil"/>
            </w:tcBorders>
            <w:noWrap w:val="0"/>
            <w:vAlign w:val="center"/>
          </w:tcPr>
          <w:p w14:paraId="3B16A948">
            <w:pPr>
              <w:overflowPunct/>
              <w:autoSpaceDE/>
              <w:autoSpaceDN/>
              <w:adjustRightInd/>
              <w:snapToGrid/>
              <w:spacing w:line="240" w:lineRule="atLeast"/>
              <w:ind w:firstLine="0" w:firstLineChars="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浓度限值（μg/m</w:t>
            </w:r>
            <w:r>
              <w:rPr>
                <w:rFonts w:hint="default" w:ascii="Times New Roman" w:hAnsi="Times New Roman" w:eastAsia="宋体" w:cs="Times New Roman"/>
                <w:b/>
                <w:bCs/>
                <w:color w:val="000000"/>
                <w:kern w:val="2"/>
                <w:sz w:val="21"/>
                <w:szCs w:val="21"/>
                <w:highlight w:val="none"/>
                <w:vertAlign w:val="superscript"/>
              </w:rPr>
              <w:t>3</w:t>
            </w:r>
            <w:r>
              <w:rPr>
                <w:rFonts w:hint="default" w:ascii="Times New Roman" w:hAnsi="Times New Roman" w:eastAsia="宋体" w:cs="Times New Roman"/>
                <w:b/>
                <w:bCs/>
                <w:color w:val="000000"/>
                <w:kern w:val="2"/>
                <w:sz w:val="21"/>
                <w:szCs w:val="21"/>
                <w:highlight w:val="none"/>
              </w:rPr>
              <w:t>）</w:t>
            </w:r>
          </w:p>
        </w:tc>
        <w:tc>
          <w:tcPr>
            <w:tcW w:w="2508" w:type="dxa"/>
            <w:tcBorders>
              <w:tl2br w:val="nil"/>
              <w:tr2bl w:val="nil"/>
            </w:tcBorders>
            <w:noWrap w:val="0"/>
            <w:vAlign w:val="center"/>
          </w:tcPr>
          <w:p w14:paraId="67E51654">
            <w:pPr>
              <w:overflowPunct/>
              <w:autoSpaceDE/>
              <w:autoSpaceDN/>
              <w:adjustRightInd/>
              <w:snapToGrid/>
              <w:spacing w:line="240" w:lineRule="atLeast"/>
              <w:ind w:firstLine="0" w:firstLineChars="0"/>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标准来源</w:t>
            </w:r>
          </w:p>
        </w:tc>
      </w:tr>
      <w:tr w14:paraId="5F60B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restart"/>
            <w:tcBorders>
              <w:tl2br w:val="nil"/>
              <w:tr2bl w:val="nil"/>
            </w:tcBorders>
            <w:noWrap w:val="0"/>
            <w:vAlign w:val="center"/>
          </w:tcPr>
          <w:p w14:paraId="1A16FEA9">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1</w:t>
            </w:r>
          </w:p>
        </w:tc>
        <w:tc>
          <w:tcPr>
            <w:tcW w:w="2074" w:type="dxa"/>
            <w:vMerge w:val="restart"/>
            <w:tcBorders>
              <w:tl2br w:val="nil"/>
              <w:tr2bl w:val="nil"/>
            </w:tcBorders>
            <w:noWrap w:val="0"/>
            <w:vAlign w:val="center"/>
          </w:tcPr>
          <w:p w14:paraId="46182CE3">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PM</w:t>
            </w:r>
            <w:r>
              <w:rPr>
                <w:rFonts w:hint="default" w:ascii="Times New Roman" w:hAnsi="Times New Roman" w:eastAsia="宋体" w:cs="Times New Roman"/>
                <w:color w:val="000000"/>
                <w:kern w:val="2"/>
                <w:sz w:val="21"/>
                <w:szCs w:val="21"/>
                <w:highlight w:val="none"/>
                <w:vertAlign w:val="subscript"/>
              </w:rPr>
              <w:t>10</w:t>
            </w:r>
          </w:p>
        </w:tc>
        <w:tc>
          <w:tcPr>
            <w:tcW w:w="1898" w:type="dxa"/>
            <w:tcBorders>
              <w:tl2br w:val="nil"/>
              <w:tr2bl w:val="nil"/>
            </w:tcBorders>
            <w:noWrap w:val="0"/>
            <w:vAlign w:val="center"/>
          </w:tcPr>
          <w:p w14:paraId="2BE495AF">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1282" w:type="dxa"/>
            <w:tcBorders>
              <w:tl2br w:val="nil"/>
              <w:tr2bl w:val="nil"/>
            </w:tcBorders>
            <w:noWrap w:val="0"/>
            <w:vAlign w:val="center"/>
          </w:tcPr>
          <w:p w14:paraId="65AFC1DB">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w:t>
            </w:r>
          </w:p>
        </w:tc>
        <w:tc>
          <w:tcPr>
            <w:tcW w:w="2508" w:type="dxa"/>
            <w:vMerge w:val="restart"/>
            <w:tcBorders>
              <w:tl2br w:val="nil"/>
              <w:tr2bl w:val="nil"/>
            </w:tcBorders>
            <w:noWrap w:val="0"/>
            <w:vAlign w:val="center"/>
          </w:tcPr>
          <w:p w14:paraId="7E211694">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lang w:val="en-US" w:eastAsia="zh-CN" w:bidi="ar-SA"/>
              </w:rPr>
              <w:t>《环境空气质量标准》（GB3095-20</w:t>
            </w:r>
            <w:r>
              <w:rPr>
                <w:rFonts w:hint="eastAsia" w:ascii="Times New Roman" w:hAnsi="Times New Roman" w:eastAsia="宋体" w:cs="Times New Roman"/>
                <w:color w:val="000000"/>
                <w:kern w:val="2"/>
                <w:sz w:val="21"/>
                <w:szCs w:val="21"/>
                <w:lang w:val="en-US" w:eastAsia="zh-CN" w:bidi="ar-SA"/>
              </w:rPr>
              <w:t>26</w:t>
            </w:r>
            <w:r>
              <w:rPr>
                <w:rFonts w:hint="default" w:ascii="Times New Roman" w:hAnsi="Times New Roman" w:eastAsia="宋体" w:cs="Times New Roman"/>
                <w:color w:val="000000"/>
                <w:kern w:val="2"/>
                <w:sz w:val="21"/>
                <w:szCs w:val="21"/>
                <w:lang w:val="en-US" w:eastAsia="zh-CN" w:bidi="ar-SA"/>
              </w:rPr>
              <w:t>）表1 环境空气污染物基本项目浓度限值过渡阶段二级浓度限值</w:t>
            </w:r>
          </w:p>
        </w:tc>
      </w:tr>
      <w:tr w14:paraId="3619E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continue"/>
            <w:tcBorders>
              <w:tl2br w:val="nil"/>
              <w:tr2bl w:val="nil"/>
            </w:tcBorders>
            <w:noWrap w:val="0"/>
            <w:vAlign w:val="center"/>
          </w:tcPr>
          <w:p w14:paraId="49041925">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2074" w:type="dxa"/>
            <w:vMerge w:val="continue"/>
            <w:tcBorders>
              <w:tl2br w:val="nil"/>
              <w:tr2bl w:val="nil"/>
            </w:tcBorders>
            <w:noWrap w:val="0"/>
            <w:vAlign w:val="center"/>
          </w:tcPr>
          <w:p w14:paraId="665CE4E6">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1898" w:type="dxa"/>
            <w:tcBorders>
              <w:tl2br w:val="nil"/>
              <w:tr2bl w:val="nil"/>
            </w:tcBorders>
            <w:noWrap w:val="0"/>
            <w:vAlign w:val="center"/>
          </w:tcPr>
          <w:p w14:paraId="31BC0FF7">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rPr>
              <w:t>日平均</w:t>
            </w:r>
          </w:p>
        </w:tc>
        <w:tc>
          <w:tcPr>
            <w:tcW w:w="1282" w:type="dxa"/>
            <w:tcBorders>
              <w:tl2br w:val="nil"/>
              <w:tr2bl w:val="nil"/>
            </w:tcBorders>
            <w:noWrap w:val="0"/>
            <w:vAlign w:val="center"/>
          </w:tcPr>
          <w:p w14:paraId="2AB3691C">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120</w:t>
            </w:r>
          </w:p>
        </w:tc>
        <w:tc>
          <w:tcPr>
            <w:tcW w:w="2508" w:type="dxa"/>
            <w:vMerge w:val="continue"/>
            <w:tcBorders>
              <w:tl2br w:val="nil"/>
              <w:tr2bl w:val="nil"/>
            </w:tcBorders>
            <w:noWrap w:val="0"/>
            <w:vAlign w:val="center"/>
          </w:tcPr>
          <w:p w14:paraId="28343972">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r>
      <w:tr w14:paraId="7C021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continue"/>
            <w:tcBorders>
              <w:tl2br w:val="nil"/>
              <w:tr2bl w:val="nil"/>
            </w:tcBorders>
            <w:noWrap w:val="0"/>
            <w:vAlign w:val="center"/>
          </w:tcPr>
          <w:p w14:paraId="70582108">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2074" w:type="dxa"/>
            <w:vMerge w:val="continue"/>
            <w:tcBorders>
              <w:tl2br w:val="nil"/>
              <w:tr2bl w:val="nil"/>
            </w:tcBorders>
            <w:noWrap w:val="0"/>
            <w:vAlign w:val="center"/>
          </w:tcPr>
          <w:p w14:paraId="4F4F430D">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1898" w:type="dxa"/>
            <w:tcBorders>
              <w:tl2br w:val="nil"/>
              <w:tr2bl w:val="nil"/>
            </w:tcBorders>
            <w:noWrap w:val="0"/>
            <w:vAlign w:val="center"/>
          </w:tcPr>
          <w:p w14:paraId="299840D2">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年平均值</w:t>
            </w:r>
          </w:p>
        </w:tc>
        <w:tc>
          <w:tcPr>
            <w:tcW w:w="1282" w:type="dxa"/>
            <w:tcBorders>
              <w:tl2br w:val="nil"/>
              <w:tr2bl w:val="nil"/>
            </w:tcBorders>
            <w:noWrap w:val="0"/>
            <w:vAlign w:val="center"/>
          </w:tcPr>
          <w:p w14:paraId="2AD10C14">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60</w:t>
            </w:r>
          </w:p>
        </w:tc>
        <w:tc>
          <w:tcPr>
            <w:tcW w:w="2508" w:type="dxa"/>
            <w:vMerge w:val="continue"/>
            <w:tcBorders>
              <w:tl2br w:val="nil"/>
              <w:tr2bl w:val="nil"/>
            </w:tcBorders>
            <w:noWrap w:val="0"/>
            <w:vAlign w:val="center"/>
          </w:tcPr>
          <w:p w14:paraId="35DE89AB">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r>
      <w:tr w14:paraId="5C20A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restart"/>
            <w:tcBorders>
              <w:tl2br w:val="nil"/>
              <w:tr2bl w:val="nil"/>
            </w:tcBorders>
            <w:noWrap w:val="0"/>
            <w:vAlign w:val="center"/>
          </w:tcPr>
          <w:p w14:paraId="26E06E17">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2</w:t>
            </w:r>
          </w:p>
        </w:tc>
        <w:tc>
          <w:tcPr>
            <w:tcW w:w="2074" w:type="dxa"/>
            <w:vMerge w:val="restart"/>
            <w:tcBorders>
              <w:tl2br w:val="nil"/>
              <w:tr2bl w:val="nil"/>
            </w:tcBorders>
            <w:noWrap w:val="0"/>
            <w:vAlign w:val="center"/>
          </w:tcPr>
          <w:p w14:paraId="2FD469A6">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PM</w:t>
            </w:r>
            <w:r>
              <w:rPr>
                <w:rFonts w:hint="default" w:ascii="Times New Roman" w:hAnsi="Times New Roman" w:eastAsia="宋体" w:cs="Times New Roman"/>
                <w:color w:val="000000"/>
                <w:kern w:val="2"/>
                <w:sz w:val="21"/>
                <w:szCs w:val="21"/>
                <w:highlight w:val="none"/>
                <w:vertAlign w:val="subscript"/>
              </w:rPr>
              <w:t>2.5</w:t>
            </w:r>
          </w:p>
        </w:tc>
        <w:tc>
          <w:tcPr>
            <w:tcW w:w="1898" w:type="dxa"/>
            <w:tcBorders>
              <w:tl2br w:val="nil"/>
              <w:tr2bl w:val="nil"/>
            </w:tcBorders>
            <w:noWrap w:val="0"/>
            <w:vAlign w:val="center"/>
          </w:tcPr>
          <w:p w14:paraId="056AE2CB">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1282" w:type="dxa"/>
            <w:tcBorders>
              <w:tl2br w:val="nil"/>
              <w:tr2bl w:val="nil"/>
            </w:tcBorders>
            <w:noWrap w:val="0"/>
            <w:vAlign w:val="center"/>
          </w:tcPr>
          <w:p w14:paraId="3AF176AF">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w:t>
            </w:r>
          </w:p>
        </w:tc>
        <w:tc>
          <w:tcPr>
            <w:tcW w:w="2508" w:type="dxa"/>
            <w:vMerge w:val="continue"/>
            <w:tcBorders>
              <w:tl2br w:val="nil"/>
              <w:tr2bl w:val="nil"/>
            </w:tcBorders>
            <w:noWrap w:val="0"/>
            <w:vAlign w:val="center"/>
          </w:tcPr>
          <w:p w14:paraId="046826A3">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r>
      <w:tr w14:paraId="6AEB4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continue"/>
            <w:tcBorders>
              <w:tl2br w:val="nil"/>
              <w:tr2bl w:val="nil"/>
            </w:tcBorders>
            <w:noWrap w:val="0"/>
            <w:vAlign w:val="center"/>
          </w:tcPr>
          <w:p w14:paraId="08D707F3">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2074" w:type="dxa"/>
            <w:vMerge w:val="continue"/>
            <w:tcBorders>
              <w:tl2br w:val="nil"/>
              <w:tr2bl w:val="nil"/>
            </w:tcBorders>
            <w:noWrap w:val="0"/>
            <w:vAlign w:val="center"/>
          </w:tcPr>
          <w:p w14:paraId="1F7D480C">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1898" w:type="dxa"/>
            <w:tcBorders>
              <w:tl2br w:val="nil"/>
              <w:tr2bl w:val="nil"/>
            </w:tcBorders>
            <w:noWrap w:val="0"/>
            <w:vAlign w:val="center"/>
          </w:tcPr>
          <w:p w14:paraId="7926544D">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rPr>
              <w:t>日平均</w:t>
            </w:r>
          </w:p>
        </w:tc>
        <w:tc>
          <w:tcPr>
            <w:tcW w:w="1282" w:type="dxa"/>
            <w:tcBorders>
              <w:tl2br w:val="nil"/>
              <w:tr2bl w:val="nil"/>
            </w:tcBorders>
            <w:noWrap w:val="0"/>
            <w:vAlign w:val="center"/>
          </w:tcPr>
          <w:p w14:paraId="6730E26F">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60</w:t>
            </w:r>
          </w:p>
        </w:tc>
        <w:tc>
          <w:tcPr>
            <w:tcW w:w="2508" w:type="dxa"/>
            <w:vMerge w:val="continue"/>
            <w:tcBorders>
              <w:tl2br w:val="nil"/>
              <w:tr2bl w:val="nil"/>
            </w:tcBorders>
            <w:noWrap w:val="0"/>
            <w:vAlign w:val="center"/>
          </w:tcPr>
          <w:p w14:paraId="7311DED4">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r>
      <w:tr w14:paraId="7BE0A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continue"/>
            <w:tcBorders>
              <w:tl2br w:val="nil"/>
              <w:tr2bl w:val="nil"/>
            </w:tcBorders>
            <w:noWrap w:val="0"/>
            <w:vAlign w:val="center"/>
          </w:tcPr>
          <w:p w14:paraId="7F6AB256">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2074" w:type="dxa"/>
            <w:vMerge w:val="continue"/>
            <w:tcBorders>
              <w:tl2br w:val="nil"/>
              <w:tr2bl w:val="nil"/>
            </w:tcBorders>
            <w:noWrap w:val="0"/>
            <w:vAlign w:val="center"/>
          </w:tcPr>
          <w:p w14:paraId="6DEAC611">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1898" w:type="dxa"/>
            <w:tcBorders>
              <w:tl2br w:val="nil"/>
              <w:tr2bl w:val="nil"/>
            </w:tcBorders>
            <w:noWrap w:val="0"/>
            <w:vAlign w:val="center"/>
          </w:tcPr>
          <w:p w14:paraId="0F6071FE">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年平均值</w:t>
            </w:r>
          </w:p>
        </w:tc>
        <w:tc>
          <w:tcPr>
            <w:tcW w:w="1282" w:type="dxa"/>
            <w:tcBorders>
              <w:tl2br w:val="nil"/>
              <w:tr2bl w:val="nil"/>
            </w:tcBorders>
            <w:noWrap w:val="0"/>
            <w:vAlign w:val="center"/>
          </w:tcPr>
          <w:p w14:paraId="032484CF">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30</w:t>
            </w:r>
          </w:p>
        </w:tc>
        <w:tc>
          <w:tcPr>
            <w:tcW w:w="2508" w:type="dxa"/>
            <w:vMerge w:val="continue"/>
            <w:tcBorders>
              <w:tl2br w:val="nil"/>
              <w:tr2bl w:val="nil"/>
            </w:tcBorders>
            <w:noWrap w:val="0"/>
            <w:vAlign w:val="center"/>
          </w:tcPr>
          <w:p w14:paraId="5BD81210">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r>
      <w:tr w14:paraId="7541FD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restart"/>
            <w:tcBorders>
              <w:tl2br w:val="nil"/>
              <w:tr2bl w:val="nil"/>
            </w:tcBorders>
            <w:shd w:val="clear" w:color="auto" w:fill="auto"/>
            <w:noWrap w:val="0"/>
            <w:vAlign w:val="center"/>
          </w:tcPr>
          <w:p w14:paraId="34C55DE2">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3</w:t>
            </w:r>
          </w:p>
        </w:tc>
        <w:tc>
          <w:tcPr>
            <w:tcW w:w="2074" w:type="dxa"/>
            <w:vMerge w:val="restart"/>
            <w:tcBorders>
              <w:tl2br w:val="nil"/>
              <w:tr2bl w:val="nil"/>
            </w:tcBorders>
            <w:noWrap w:val="0"/>
            <w:vAlign w:val="center"/>
          </w:tcPr>
          <w:p w14:paraId="247F2D7E">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default" w:ascii="Times New Roman" w:hAnsi="Times New Roman" w:eastAsia="宋体" w:cs="Times New Roman"/>
                <w:color w:val="000000"/>
                <w:kern w:val="2"/>
                <w:sz w:val="21"/>
                <w:szCs w:val="21"/>
                <w:highlight w:val="none"/>
                <w:lang w:val="en-US" w:eastAsia="zh-CN"/>
              </w:rPr>
              <w:t>TSP</w:t>
            </w:r>
          </w:p>
        </w:tc>
        <w:tc>
          <w:tcPr>
            <w:tcW w:w="1898" w:type="dxa"/>
            <w:tcBorders>
              <w:tl2br w:val="nil"/>
              <w:tr2bl w:val="nil"/>
            </w:tcBorders>
            <w:noWrap w:val="0"/>
            <w:vAlign w:val="center"/>
          </w:tcPr>
          <w:p w14:paraId="33BF4F3E">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rPr>
              <w:t>日平均</w:t>
            </w:r>
          </w:p>
        </w:tc>
        <w:tc>
          <w:tcPr>
            <w:tcW w:w="1282" w:type="dxa"/>
            <w:tcBorders>
              <w:tl2br w:val="nil"/>
              <w:tr2bl w:val="nil"/>
            </w:tcBorders>
            <w:noWrap w:val="0"/>
            <w:vAlign w:val="center"/>
          </w:tcPr>
          <w:p w14:paraId="21C336E1">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rPr>
              <w:t>300</w:t>
            </w:r>
          </w:p>
        </w:tc>
        <w:tc>
          <w:tcPr>
            <w:tcW w:w="2508" w:type="dxa"/>
            <w:vMerge w:val="restart"/>
            <w:tcBorders>
              <w:tl2br w:val="nil"/>
              <w:tr2bl w:val="nil"/>
            </w:tcBorders>
            <w:noWrap w:val="0"/>
            <w:vAlign w:val="center"/>
          </w:tcPr>
          <w:p w14:paraId="5EC628C4">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lang w:val="en-US" w:eastAsia="zh-CN" w:bidi="ar-SA"/>
              </w:rPr>
              <w:t>《环境空气质量标准》（GB3095-2026）表2环境空气污染物其他项目浓度限值二级浓度限值</w:t>
            </w:r>
          </w:p>
        </w:tc>
      </w:tr>
      <w:tr w14:paraId="1972A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gridSpan w:val="2"/>
            <w:vMerge w:val="continue"/>
            <w:tcBorders>
              <w:tl2br w:val="nil"/>
              <w:tr2bl w:val="nil"/>
            </w:tcBorders>
            <w:shd w:val="clear" w:color="auto" w:fill="auto"/>
            <w:noWrap w:val="0"/>
            <w:vAlign w:val="center"/>
          </w:tcPr>
          <w:p w14:paraId="5DD1792A">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2074" w:type="dxa"/>
            <w:vMerge w:val="continue"/>
            <w:tcBorders>
              <w:tl2br w:val="nil"/>
              <w:tr2bl w:val="nil"/>
            </w:tcBorders>
            <w:noWrap w:val="0"/>
            <w:vAlign w:val="center"/>
          </w:tcPr>
          <w:p w14:paraId="1B0EE82A">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c>
          <w:tcPr>
            <w:tcW w:w="1898" w:type="dxa"/>
            <w:tcBorders>
              <w:tl2br w:val="nil"/>
              <w:tr2bl w:val="nil"/>
            </w:tcBorders>
            <w:noWrap w:val="0"/>
            <w:vAlign w:val="center"/>
          </w:tcPr>
          <w:p w14:paraId="3F1CC23B">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rPr>
              <w:t>年平均值</w:t>
            </w:r>
          </w:p>
        </w:tc>
        <w:tc>
          <w:tcPr>
            <w:tcW w:w="1282" w:type="dxa"/>
            <w:tcBorders>
              <w:tl2br w:val="nil"/>
              <w:tr2bl w:val="nil"/>
            </w:tcBorders>
            <w:noWrap w:val="0"/>
            <w:vAlign w:val="center"/>
          </w:tcPr>
          <w:p w14:paraId="56DCC64E">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rPr>
              <w:t>200</w:t>
            </w:r>
          </w:p>
        </w:tc>
        <w:tc>
          <w:tcPr>
            <w:tcW w:w="2508" w:type="dxa"/>
            <w:vMerge w:val="continue"/>
            <w:tcBorders>
              <w:tl2br w:val="nil"/>
              <w:tr2bl w:val="nil"/>
            </w:tcBorders>
            <w:noWrap w:val="0"/>
            <w:vAlign w:val="center"/>
          </w:tcPr>
          <w:p w14:paraId="53BC4910">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p>
        </w:tc>
      </w:tr>
      <w:tr w14:paraId="50318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9" w:type="dxa"/>
            <w:shd w:val="clear" w:color="auto" w:fill="auto"/>
            <w:noWrap w:val="0"/>
            <w:vAlign w:val="center"/>
          </w:tcPr>
          <w:p w14:paraId="31D39DE7">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rPr>
              <w:t>4</w:t>
            </w:r>
          </w:p>
        </w:tc>
        <w:tc>
          <w:tcPr>
            <w:tcW w:w="2078" w:type="dxa"/>
            <w:gridSpan w:val="2"/>
            <w:noWrap w:val="0"/>
            <w:vAlign w:val="center"/>
          </w:tcPr>
          <w:p w14:paraId="3E36989E">
            <w:pPr>
              <w:overflowPunct/>
              <w:autoSpaceDE/>
              <w:autoSpaceDN/>
              <w:adjustRightInd/>
              <w:snapToGrid/>
              <w:spacing w:line="240" w:lineRule="atLeast"/>
              <w:ind w:firstLine="0" w:firstLineChars="0"/>
              <w:jc w:val="center"/>
              <w:rPr>
                <w:rFonts w:hint="eastAsia" w:ascii="Times New Roman" w:hAnsi="Times New Roman" w:eastAsia="宋体" w:cs="Times New Roman"/>
                <w:color w:val="000000"/>
                <w:kern w:val="2"/>
                <w:sz w:val="21"/>
                <w:szCs w:val="21"/>
                <w:highlight w:val="none"/>
                <w:lang w:eastAsia="zh-CN"/>
              </w:rPr>
            </w:pPr>
            <w:r>
              <w:rPr>
                <w:rFonts w:hint="eastAsia" w:ascii="Times New Roman" w:hAnsi="Times New Roman" w:eastAsia="宋体" w:cs="Times New Roman"/>
                <w:color w:val="000000"/>
                <w:kern w:val="2"/>
                <w:sz w:val="24"/>
                <w:szCs w:val="24"/>
                <w:highlight w:val="none"/>
                <w:lang w:val="en-US" w:eastAsia="zh-CN" w:bidi="ar-SA"/>
              </w:rPr>
              <w:t>氨</w:t>
            </w:r>
          </w:p>
        </w:tc>
        <w:tc>
          <w:tcPr>
            <w:tcW w:w="1898" w:type="dxa"/>
            <w:noWrap w:val="0"/>
            <w:vAlign w:val="center"/>
          </w:tcPr>
          <w:p w14:paraId="0BE75743">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eastAsia="zh-CN"/>
              </w:rPr>
            </w:pPr>
            <w:r>
              <w:rPr>
                <w:rFonts w:hint="default" w:ascii="Times New Roman" w:hAnsi="Times New Roman" w:eastAsia="宋体" w:cs="Times New Roman"/>
                <w:color w:val="000000"/>
                <w:kern w:val="2"/>
                <w:sz w:val="21"/>
                <w:szCs w:val="21"/>
                <w:highlight w:val="none"/>
              </w:rPr>
              <w:t>1小时平均</w:t>
            </w:r>
          </w:p>
        </w:tc>
        <w:tc>
          <w:tcPr>
            <w:tcW w:w="1282" w:type="dxa"/>
            <w:noWrap w:val="0"/>
            <w:vAlign w:val="center"/>
          </w:tcPr>
          <w:p w14:paraId="531A13F5">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200</w:t>
            </w:r>
          </w:p>
        </w:tc>
        <w:tc>
          <w:tcPr>
            <w:tcW w:w="2508" w:type="dxa"/>
            <w:vMerge w:val="restart"/>
            <w:noWrap w:val="0"/>
            <w:vAlign w:val="center"/>
          </w:tcPr>
          <w:p w14:paraId="182FF490">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lang w:val="en-US" w:eastAsia="zh-CN"/>
              </w:rPr>
              <w:t>《环境影响评价技术导则 大气环境》（HJ2.2-2018）表 D.1  其他污染物空气质量浓度参考限值</w:t>
            </w:r>
          </w:p>
        </w:tc>
      </w:tr>
      <w:tr w14:paraId="530FB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9" w:type="dxa"/>
            <w:shd w:val="clear" w:color="auto" w:fill="auto"/>
            <w:noWrap w:val="0"/>
            <w:vAlign w:val="center"/>
          </w:tcPr>
          <w:p w14:paraId="6DC35200">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5</w:t>
            </w:r>
          </w:p>
        </w:tc>
        <w:tc>
          <w:tcPr>
            <w:tcW w:w="2078" w:type="dxa"/>
            <w:gridSpan w:val="2"/>
            <w:noWrap w:val="0"/>
            <w:vAlign w:val="center"/>
          </w:tcPr>
          <w:p w14:paraId="1BFE3B81">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硫化氢</w:t>
            </w:r>
          </w:p>
        </w:tc>
        <w:tc>
          <w:tcPr>
            <w:tcW w:w="1898" w:type="dxa"/>
            <w:noWrap w:val="0"/>
            <w:vAlign w:val="center"/>
          </w:tcPr>
          <w:p w14:paraId="1CB4C00D">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rPr>
            </w:pPr>
            <w:r>
              <w:rPr>
                <w:rFonts w:hint="default" w:ascii="Times New Roman" w:hAnsi="Times New Roman" w:eastAsia="宋体" w:cs="Times New Roman"/>
                <w:color w:val="000000"/>
                <w:kern w:val="2"/>
                <w:sz w:val="21"/>
                <w:szCs w:val="21"/>
                <w:highlight w:val="none"/>
              </w:rPr>
              <w:t>1小时平均</w:t>
            </w:r>
          </w:p>
        </w:tc>
        <w:tc>
          <w:tcPr>
            <w:tcW w:w="1282" w:type="dxa"/>
            <w:noWrap w:val="0"/>
            <w:vAlign w:val="center"/>
          </w:tcPr>
          <w:p w14:paraId="19797E82">
            <w:pPr>
              <w:overflowPunct/>
              <w:autoSpaceDE/>
              <w:autoSpaceDN/>
              <w:adjustRightInd/>
              <w:snapToGrid/>
              <w:spacing w:line="240" w:lineRule="atLeast"/>
              <w:ind w:firstLine="0" w:firstLineChars="0"/>
              <w:jc w:val="center"/>
              <w:rPr>
                <w:rFonts w:hint="default" w:ascii="Times New Roman" w:hAnsi="Times New Roman" w:eastAsia="宋体" w:cs="Times New Roman"/>
                <w:color w:val="000000"/>
                <w:kern w:val="2"/>
                <w:sz w:val="21"/>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rPr>
              <w:t>10</w:t>
            </w:r>
          </w:p>
        </w:tc>
        <w:tc>
          <w:tcPr>
            <w:tcW w:w="2508" w:type="dxa"/>
            <w:vMerge w:val="continue"/>
            <w:noWrap w:val="0"/>
            <w:vAlign w:val="center"/>
          </w:tcPr>
          <w:p w14:paraId="156A86DA">
            <w:pPr>
              <w:overflowPunct/>
              <w:autoSpaceDE/>
              <w:autoSpaceDN/>
              <w:adjustRightInd/>
              <w:snapToGrid/>
              <w:spacing w:line="240" w:lineRule="atLeast"/>
              <w:ind w:firstLine="0" w:firstLineChars="0"/>
              <w:jc w:val="center"/>
              <w:rPr>
                <w:rFonts w:ascii="Times New Roman" w:hAnsi="Times New Roman" w:eastAsia="宋体" w:cs="Times New Roman"/>
                <w:color w:val="000000"/>
                <w:sz w:val="21"/>
                <w:szCs w:val="22"/>
                <w:lang w:val="en-US" w:eastAsia="zh-CN" w:bidi="ar-SA"/>
              </w:rPr>
            </w:pPr>
          </w:p>
        </w:tc>
      </w:tr>
    </w:tbl>
    <w:p w14:paraId="2C168929">
      <w:pPr>
        <w:spacing w:line="360" w:lineRule="auto"/>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w:t>
      </w:r>
      <w:r>
        <w:rPr>
          <w:rFonts w:hint="eastAsia" w:cs="Times New Roman"/>
          <w:bCs/>
          <w:color w:val="auto"/>
          <w:sz w:val="24"/>
          <w:szCs w:val="24"/>
          <w:lang w:val="en-US" w:eastAsia="zh-CN"/>
        </w:rPr>
        <w:t>3</w:t>
      </w:r>
      <w:r>
        <w:rPr>
          <w:rFonts w:hint="default" w:ascii="Times New Roman" w:hAnsi="Times New Roman" w:eastAsia="宋体" w:cs="Times New Roman"/>
          <w:bCs/>
          <w:color w:val="auto"/>
          <w:sz w:val="24"/>
          <w:szCs w:val="24"/>
        </w:rPr>
        <w:t>）预测内容</w:t>
      </w:r>
    </w:p>
    <w:p w14:paraId="2791420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根据项目污染因子特征和区域环境条件特征确定预测内容为多年平均风速不同稳定度下的各种污染物最大落地浓度及占标率。</w:t>
      </w:r>
    </w:p>
    <w:p w14:paraId="0476BDC4">
      <w:pPr>
        <w:pageBreakBefore w:val="0"/>
        <w:kinsoku/>
        <w:wordWrap/>
        <w:topLinePunct w:val="0"/>
        <w:bidi w:val="0"/>
        <w:adjustRightInd/>
        <w:snapToGrid/>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eastAsia="zh-CN"/>
        </w:rPr>
        <w:t>（</w:t>
      </w:r>
      <w:r>
        <w:rPr>
          <w:rFonts w:hint="eastAsia" w:cs="Times New Roman"/>
          <w:sz w:val="24"/>
          <w:lang w:val="en-US" w:eastAsia="zh-CN"/>
        </w:rPr>
        <w:t>4</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预测源强</w:t>
      </w:r>
    </w:p>
    <w:p w14:paraId="32A779DF">
      <w:pPr>
        <w:pageBreakBefore w:val="0"/>
        <w:kinsoku/>
        <w:wordWrap/>
        <w:topLinePunct w:val="0"/>
        <w:bidi w:val="0"/>
        <w:adjustRightInd/>
        <w:snapToGrid/>
        <w:spacing w:line="360" w:lineRule="auto"/>
        <w:ind w:firstLine="480" w:firstLineChars="200"/>
        <w:rPr>
          <w:rFonts w:hint="eastAsia" w:eastAsia="宋体" w:cs="Times New Roman"/>
          <w:sz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default" w:ascii="Times New Roman" w:hAnsi="Times New Roman" w:eastAsia="宋体" w:cs="Times New Roman"/>
          <w:sz w:val="24"/>
        </w:rPr>
        <w:t>本工程</w:t>
      </w:r>
      <w:r>
        <w:rPr>
          <w:rFonts w:hint="eastAsia" w:eastAsia="宋体" w:cs="Times New Roman"/>
          <w:sz w:val="24"/>
          <w:lang w:val="en-US" w:eastAsia="zh-CN"/>
        </w:rPr>
        <w:t>正常工况下</w:t>
      </w:r>
      <w:r>
        <w:rPr>
          <w:rFonts w:hint="default" w:ascii="Times New Roman" w:hAnsi="Times New Roman" w:eastAsia="宋体" w:cs="Times New Roman"/>
          <w:sz w:val="24"/>
        </w:rPr>
        <w:t>污染源强排放情况详见表5.</w:t>
      </w: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rPr>
        <w:t>-</w:t>
      </w:r>
      <w:r>
        <w:rPr>
          <w:rFonts w:hint="eastAsia" w:cs="Times New Roman"/>
          <w:sz w:val="24"/>
          <w:lang w:val="en-US" w:eastAsia="zh-CN"/>
        </w:rPr>
        <w:t>6</w:t>
      </w:r>
      <w:r>
        <w:rPr>
          <w:rFonts w:hint="eastAsia" w:eastAsia="宋体" w:cs="Times New Roman"/>
          <w:sz w:val="24"/>
          <w:lang w:val="en-US" w:eastAsia="zh-CN"/>
        </w:rPr>
        <w:t>-5.2-</w:t>
      </w:r>
      <w:r>
        <w:rPr>
          <w:rFonts w:hint="eastAsia" w:cs="Times New Roman"/>
          <w:sz w:val="24"/>
          <w:lang w:val="en-US" w:eastAsia="zh-CN"/>
        </w:rPr>
        <w:t>7</w:t>
      </w:r>
      <w:r>
        <w:rPr>
          <w:rFonts w:hint="eastAsia" w:eastAsia="宋体" w:cs="Times New Roman"/>
          <w:sz w:val="24"/>
          <w:lang w:val="en-US" w:eastAsia="zh-CN"/>
        </w:rPr>
        <w:t>。</w:t>
      </w:r>
    </w:p>
    <w:p w14:paraId="41FFB057">
      <w:pPr>
        <w:widowControl w:val="0"/>
        <w:bidi w:val="0"/>
        <w:spacing w:line="400" w:lineRule="exact"/>
        <w:ind w:firstLine="0" w:firstLineChars="0"/>
        <w:jc w:val="center"/>
        <w:rPr>
          <w:rFonts w:ascii="Times New Roman" w:hAnsi="Times New Roman" w:eastAsia="宋体" w:cs="宋体"/>
          <w:b/>
          <w:color w:val="000000"/>
          <w:sz w:val="24"/>
          <w:szCs w:val="24"/>
          <w:lang w:val="en-US" w:eastAsia="zh-CN" w:bidi="ar-SA"/>
        </w:rPr>
      </w:pPr>
      <w:r>
        <w:rPr>
          <w:rFonts w:ascii="Times New Roman" w:hAnsi="Times New Roman" w:eastAsia="宋体" w:cs="宋体"/>
          <w:b/>
          <w:color w:val="000000"/>
          <w:sz w:val="24"/>
          <w:szCs w:val="24"/>
          <w:lang w:val="zh-CN" w:eastAsia="zh-CN" w:bidi="ar-SA"/>
        </w:rPr>
        <w:t>表</w:t>
      </w:r>
      <w:r>
        <w:rPr>
          <w:rFonts w:hint="eastAsia" w:ascii="Times New Roman" w:hAnsi="Times New Roman" w:eastAsia="宋体" w:cs="宋体"/>
          <w:b/>
          <w:color w:val="000000"/>
          <w:sz w:val="24"/>
          <w:szCs w:val="24"/>
          <w:lang w:val="en-US" w:eastAsia="zh-CN" w:bidi="ar-SA"/>
        </w:rPr>
        <w:t>5.2-</w:t>
      </w:r>
      <w:r>
        <w:rPr>
          <w:rFonts w:hint="eastAsia" w:cs="宋体"/>
          <w:b/>
          <w:color w:val="000000"/>
          <w:sz w:val="24"/>
          <w:szCs w:val="24"/>
          <w:lang w:val="en-US" w:eastAsia="zh-CN" w:bidi="ar-SA"/>
        </w:rPr>
        <w:t>6</w:t>
      </w:r>
      <w:r>
        <w:rPr>
          <w:rFonts w:hint="eastAsia" w:ascii="Times New Roman" w:hAnsi="Times New Roman" w:eastAsia="宋体" w:cs="宋体"/>
          <w:b/>
          <w:color w:val="000000"/>
          <w:sz w:val="24"/>
          <w:szCs w:val="24"/>
          <w:lang w:val="en-US" w:eastAsia="zh-CN" w:bidi="ar-SA"/>
        </w:rPr>
        <w:t>点源大气排放口基本情况表</w:t>
      </w:r>
    </w:p>
    <w:tbl>
      <w:tblPr>
        <w:tblStyle w:val="20"/>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66"/>
        <w:gridCol w:w="911"/>
        <w:gridCol w:w="888"/>
        <w:gridCol w:w="636"/>
        <w:gridCol w:w="627"/>
        <w:gridCol w:w="744"/>
        <w:gridCol w:w="857"/>
        <w:gridCol w:w="857"/>
        <w:gridCol w:w="786"/>
        <w:gridCol w:w="786"/>
        <w:gridCol w:w="786"/>
        <w:gridCol w:w="786"/>
        <w:gridCol w:w="676"/>
        <w:gridCol w:w="976"/>
        <w:gridCol w:w="980"/>
        <w:gridCol w:w="1343"/>
        <w:gridCol w:w="1068"/>
      </w:tblGrid>
      <w:tr w14:paraId="234081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4" w:type="pct"/>
            <w:vMerge w:val="restart"/>
            <w:tcBorders>
              <w:tl2br w:val="nil"/>
              <w:tr2bl w:val="nil"/>
            </w:tcBorders>
            <w:vAlign w:val="center"/>
          </w:tcPr>
          <w:p w14:paraId="1A68C2CE">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编号</w:t>
            </w:r>
          </w:p>
        </w:tc>
        <w:tc>
          <w:tcPr>
            <w:tcW w:w="321" w:type="pct"/>
            <w:vMerge w:val="restart"/>
            <w:tcBorders>
              <w:tl2br w:val="nil"/>
              <w:tr2bl w:val="nil"/>
            </w:tcBorders>
            <w:vAlign w:val="center"/>
          </w:tcPr>
          <w:p w14:paraId="7AC5B442">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污染源</w:t>
            </w:r>
          </w:p>
          <w:p w14:paraId="43D114A7">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名称</w:t>
            </w:r>
          </w:p>
        </w:tc>
        <w:tc>
          <w:tcPr>
            <w:tcW w:w="537" w:type="pct"/>
            <w:gridSpan w:val="2"/>
            <w:tcBorders>
              <w:tl2br w:val="nil"/>
              <w:tr2bl w:val="nil"/>
            </w:tcBorders>
            <w:vAlign w:val="center"/>
          </w:tcPr>
          <w:p w14:paraId="08C6C826">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排气筒底部中心坐标</w:t>
            </w:r>
          </w:p>
        </w:tc>
        <w:tc>
          <w:tcPr>
            <w:tcW w:w="221" w:type="pct"/>
            <w:vMerge w:val="restart"/>
            <w:tcBorders>
              <w:tl2br w:val="nil"/>
              <w:tr2bl w:val="nil"/>
            </w:tcBorders>
            <w:vAlign w:val="center"/>
          </w:tcPr>
          <w:p w14:paraId="4BFE7318">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排气筒高度/m</w:t>
            </w:r>
          </w:p>
        </w:tc>
        <w:tc>
          <w:tcPr>
            <w:tcW w:w="262" w:type="pct"/>
            <w:vMerge w:val="restart"/>
            <w:tcBorders>
              <w:tl2br w:val="nil"/>
              <w:tr2bl w:val="nil"/>
            </w:tcBorders>
            <w:vAlign w:val="center"/>
          </w:tcPr>
          <w:p w14:paraId="0E3581F7">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ascii="Times New Roman" w:hAnsi="Times New Roman" w:eastAsia="宋体" w:cs="宋体"/>
                <w:b/>
                <w:bCs/>
                <w:color w:val="auto"/>
                <w:sz w:val="21"/>
                <w:szCs w:val="22"/>
                <w:lang w:val="en-US" w:eastAsia="zh-CN" w:bidi="ar-SA"/>
              </w:rPr>
              <w:t>排气筒出口内径/m</w:t>
            </w:r>
          </w:p>
        </w:tc>
        <w:tc>
          <w:tcPr>
            <w:tcW w:w="302" w:type="pct"/>
            <w:vMerge w:val="restart"/>
            <w:tcBorders>
              <w:tl2br w:val="nil"/>
              <w:tr2bl w:val="nil"/>
            </w:tcBorders>
            <w:vAlign w:val="center"/>
          </w:tcPr>
          <w:p w14:paraId="37149AD5">
            <w:pPr>
              <w:widowControl w:val="0"/>
              <w:bidi w:val="0"/>
              <w:spacing w:line="360" w:lineRule="exact"/>
              <w:ind w:firstLine="0" w:firstLineChars="0"/>
              <w:jc w:val="center"/>
              <w:rPr>
                <w:rFonts w:hint="default" w:ascii="Times New Roman" w:hAnsi="Times New Roman" w:eastAsia="宋体" w:cs="Times New Roman"/>
                <w:b/>
                <w:bCs/>
                <w:color w:val="auto"/>
                <w:sz w:val="21"/>
                <w:szCs w:val="22"/>
                <w:lang w:val="en-US" w:eastAsia="zh-CN" w:bidi="ar-SA"/>
              </w:rPr>
            </w:pPr>
            <w:r>
              <w:rPr>
                <w:rFonts w:hint="eastAsia" w:ascii="Times New Roman" w:hAnsi="Times New Roman" w:eastAsia="宋体" w:cs="Times New Roman"/>
                <w:b/>
                <w:bCs/>
                <w:color w:val="000000"/>
                <w:spacing w:val="0"/>
                <w:kern w:val="2"/>
                <w:sz w:val="21"/>
                <w:szCs w:val="21"/>
                <w:lang w:val="en-US" w:eastAsia="zh-CN" w:bidi="ar-SA"/>
              </w:rPr>
              <w:t>排气筒底部海拔m</w:t>
            </w:r>
          </w:p>
        </w:tc>
        <w:tc>
          <w:tcPr>
            <w:tcW w:w="302" w:type="pct"/>
            <w:vMerge w:val="restart"/>
            <w:tcBorders>
              <w:tl2br w:val="nil"/>
              <w:tr2bl w:val="nil"/>
            </w:tcBorders>
            <w:vAlign w:val="center"/>
          </w:tcPr>
          <w:p w14:paraId="1E1337DD">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cs="Times New Roman"/>
                <w:b/>
                <w:bCs/>
                <w:color w:val="auto"/>
                <w:sz w:val="21"/>
                <w:szCs w:val="22"/>
                <w:lang w:val="en-US" w:eastAsia="zh-CN" w:bidi="ar-SA"/>
              </w:rPr>
              <w:t>烟气</w:t>
            </w:r>
            <w:r>
              <w:rPr>
                <w:rFonts w:hint="default" w:ascii="Times New Roman" w:hAnsi="Times New Roman" w:eastAsia="宋体" w:cs="Times New Roman"/>
                <w:b/>
                <w:bCs/>
                <w:color w:val="auto"/>
                <w:sz w:val="21"/>
                <w:szCs w:val="22"/>
                <w:lang w:val="en-US" w:eastAsia="zh-CN" w:bidi="ar-SA"/>
              </w:rPr>
              <w:t>温度/℃</w:t>
            </w:r>
          </w:p>
        </w:tc>
        <w:tc>
          <w:tcPr>
            <w:tcW w:w="277" w:type="pct"/>
            <w:vMerge w:val="restart"/>
            <w:tcBorders>
              <w:tl2br w:val="nil"/>
              <w:tr2bl w:val="nil"/>
            </w:tcBorders>
            <w:vAlign w:val="center"/>
          </w:tcPr>
          <w:p w14:paraId="372A283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Times New Roman"/>
                <w:b/>
                <w:bCs/>
                <w:color w:val="000000"/>
                <w:kern w:val="2"/>
                <w:sz w:val="21"/>
                <w:szCs w:val="24"/>
                <w:lang w:val="en-US" w:eastAsia="zh-CN"/>
              </w:rPr>
              <w:t>烟气量/（m</w:t>
            </w:r>
            <w:r>
              <w:rPr>
                <w:rFonts w:hint="eastAsia" w:ascii="Times New Roman" w:hAnsi="Times New Roman" w:eastAsia="宋体" w:cs="Times New Roman"/>
                <w:b/>
                <w:bCs/>
                <w:color w:val="000000"/>
                <w:kern w:val="2"/>
                <w:sz w:val="21"/>
                <w:szCs w:val="24"/>
                <w:vertAlign w:val="superscript"/>
                <w:lang w:val="en-US" w:eastAsia="zh-CN"/>
              </w:rPr>
              <w:t>3</w:t>
            </w:r>
            <w:r>
              <w:rPr>
                <w:rFonts w:hint="eastAsia" w:ascii="Times New Roman" w:hAnsi="Times New Roman" w:eastAsia="宋体" w:cs="Times New Roman"/>
                <w:b/>
                <w:bCs/>
                <w:color w:val="000000"/>
                <w:kern w:val="2"/>
                <w:sz w:val="21"/>
                <w:szCs w:val="24"/>
                <w:lang w:val="en-US" w:eastAsia="zh-CN"/>
              </w:rPr>
              <w:t>/h）</w:t>
            </w:r>
          </w:p>
        </w:tc>
        <w:tc>
          <w:tcPr>
            <w:tcW w:w="277" w:type="pct"/>
            <w:vMerge w:val="restart"/>
            <w:tcBorders>
              <w:tl2br w:val="nil"/>
              <w:tr2bl w:val="nil"/>
            </w:tcBorders>
            <w:vAlign w:val="center"/>
          </w:tcPr>
          <w:p w14:paraId="4DC48CF7">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cs="宋体"/>
                <w:b/>
                <w:bCs/>
                <w:color w:val="auto"/>
                <w:sz w:val="21"/>
                <w:szCs w:val="22"/>
                <w:lang w:val="en-US" w:eastAsia="zh-CN" w:bidi="ar-SA"/>
              </w:rPr>
              <w:t>烟气流速（m/s）</w:t>
            </w:r>
          </w:p>
        </w:tc>
        <w:tc>
          <w:tcPr>
            <w:tcW w:w="277" w:type="pct"/>
            <w:vMerge w:val="restart"/>
            <w:tcBorders>
              <w:tl2br w:val="nil"/>
              <w:tr2bl w:val="nil"/>
            </w:tcBorders>
            <w:vAlign w:val="center"/>
          </w:tcPr>
          <w:p w14:paraId="20993190">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年排放小时数/h</w:t>
            </w:r>
          </w:p>
        </w:tc>
        <w:tc>
          <w:tcPr>
            <w:tcW w:w="277" w:type="pct"/>
            <w:vMerge w:val="restart"/>
            <w:tcBorders>
              <w:tl2br w:val="nil"/>
              <w:tr2bl w:val="nil"/>
            </w:tcBorders>
            <w:vAlign w:val="center"/>
          </w:tcPr>
          <w:p w14:paraId="386E5624">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排放口类型</w:t>
            </w:r>
          </w:p>
        </w:tc>
        <w:tc>
          <w:tcPr>
            <w:tcW w:w="238" w:type="pct"/>
            <w:vMerge w:val="restart"/>
            <w:tcBorders>
              <w:tl2br w:val="nil"/>
              <w:tr2bl w:val="nil"/>
            </w:tcBorders>
            <w:vAlign w:val="center"/>
          </w:tcPr>
          <w:p w14:paraId="4376ECFD">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排放</w:t>
            </w:r>
          </w:p>
          <w:p w14:paraId="4D4FBA78">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工况</w:t>
            </w:r>
          </w:p>
        </w:tc>
        <w:tc>
          <w:tcPr>
            <w:tcW w:w="1540" w:type="pct"/>
            <w:gridSpan w:val="4"/>
            <w:tcBorders>
              <w:tl2br w:val="nil"/>
              <w:tr2bl w:val="nil"/>
            </w:tcBorders>
            <w:vAlign w:val="center"/>
          </w:tcPr>
          <w:p w14:paraId="2CDAB151">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污染物排放情况kg/h</w:t>
            </w:r>
          </w:p>
        </w:tc>
      </w:tr>
      <w:tr w14:paraId="1E5215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4" w:type="pct"/>
            <w:vMerge w:val="continue"/>
            <w:tcBorders>
              <w:tl2br w:val="nil"/>
              <w:tr2bl w:val="nil"/>
            </w:tcBorders>
            <w:vAlign w:val="center"/>
          </w:tcPr>
          <w:p w14:paraId="2DC6E293">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21" w:type="pct"/>
            <w:vMerge w:val="continue"/>
            <w:tcBorders>
              <w:tl2br w:val="nil"/>
              <w:tr2bl w:val="nil"/>
            </w:tcBorders>
            <w:vAlign w:val="center"/>
          </w:tcPr>
          <w:p w14:paraId="3E8810F6">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13" w:type="pct"/>
            <w:tcBorders>
              <w:tl2br w:val="nil"/>
              <w:tr2bl w:val="nil"/>
            </w:tcBorders>
            <w:vAlign w:val="center"/>
          </w:tcPr>
          <w:p w14:paraId="1551912B">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X</w:t>
            </w:r>
          </w:p>
        </w:tc>
        <w:tc>
          <w:tcPr>
            <w:tcW w:w="224" w:type="pct"/>
            <w:tcBorders>
              <w:tl2br w:val="nil"/>
              <w:tr2bl w:val="nil"/>
            </w:tcBorders>
            <w:vAlign w:val="center"/>
          </w:tcPr>
          <w:p w14:paraId="398676F8">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Y</w:t>
            </w:r>
          </w:p>
        </w:tc>
        <w:tc>
          <w:tcPr>
            <w:tcW w:w="221" w:type="pct"/>
            <w:vMerge w:val="continue"/>
            <w:tcBorders>
              <w:tl2br w:val="nil"/>
              <w:tr2bl w:val="nil"/>
            </w:tcBorders>
            <w:vAlign w:val="center"/>
          </w:tcPr>
          <w:p w14:paraId="7A76D74B">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62" w:type="pct"/>
            <w:vMerge w:val="continue"/>
            <w:tcBorders>
              <w:tl2br w:val="nil"/>
              <w:tr2bl w:val="nil"/>
            </w:tcBorders>
            <w:vAlign w:val="center"/>
          </w:tcPr>
          <w:p w14:paraId="00FF7A10">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02" w:type="pct"/>
            <w:vMerge w:val="continue"/>
            <w:tcBorders>
              <w:tl2br w:val="nil"/>
              <w:tr2bl w:val="nil"/>
            </w:tcBorders>
            <w:vAlign w:val="center"/>
          </w:tcPr>
          <w:p w14:paraId="35417308">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02" w:type="pct"/>
            <w:vMerge w:val="continue"/>
            <w:tcBorders>
              <w:tl2br w:val="nil"/>
              <w:tr2bl w:val="nil"/>
            </w:tcBorders>
            <w:vAlign w:val="center"/>
          </w:tcPr>
          <w:p w14:paraId="1C60C799">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7A275550">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627074B2">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487152DA">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77" w:type="pct"/>
            <w:vMerge w:val="continue"/>
            <w:tcBorders>
              <w:tl2br w:val="nil"/>
              <w:tr2bl w:val="nil"/>
            </w:tcBorders>
            <w:vAlign w:val="center"/>
          </w:tcPr>
          <w:p w14:paraId="10B67707">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238" w:type="pct"/>
            <w:vMerge w:val="continue"/>
            <w:tcBorders>
              <w:tl2br w:val="nil"/>
              <w:tr2bl w:val="nil"/>
            </w:tcBorders>
            <w:vAlign w:val="center"/>
          </w:tcPr>
          <w:p w14:paraId="5E51DE83">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p>
        </w:tc>
        <w:tc>
          <w:tcPr>
            <w:tcW w:w="344" w:type="pct"/>
            <w:tcBorders>
              <w:tl2br w:val="nil"/>
              <w:tr2bl w:val="nil"/>
            </w:tcBorders>
            <w:vAlign w:val="center"/>
          </w:tcPr>
          <w:p w14:paraId="080307EE">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PM</w:t>
            </w:r>
            <w:r>
              <w:rPr>
                <w:rFonts w:hint="eastAsia" w:ascii="Times New Roman" w:hAnsi="Times New Roman" w:eastAsia="宋体" w:cs="宋体"/>
                <w:b/>
                <w:bCs/>
                <w:color w:val="auto"/>
                <w:sz w:val="21"/>
                <w:szCs w:val="22"/>
                <w:vertAlign w:val="subscript"/>
                <w:lang w:val="en-US" w:eastAsia="zh-CN" w:bidi="ar-SA"/>
              </w:rPr>
              <w:t>10</w:t>
            </w:r>
          </w:p>
        </w:tc>
        <w:tc>
          <w:tcPr>
            <w:tcW w:w="345" w:type="pct"/>
            <w:tcBorders>
              <w:tl2br w:val="nil"/>
              <w:tr2bl w:val="nil"/>
            </w:tcBorders>
            <w:vAlign w:val="center"/>
          </w:tcPr>
          <w:p w14:paraId="0C470C13">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PM</w:t>
            </w:r>
            <w:r>
              <w:rPr>
                <w:rFonts w:hint="eastAsia" w:ascii="Times New Roman" w:hAnsi="Times New Roman" w:eastAsia="宋体" w:cs="宋体"/>
                <w:b/>
                <w:bCs/>
                <w:color w:val="auto"/>
                <w:sz w:val="21"/>
                <w:szCs w:val="22"/>
                <w:vertAlign w:val="subscript"/>
                <w:lang w:val="en-US" w:eastAsia="zh-CN" w:bidi="ar-SA"/>
              </w:rPr>
              <w:t>2.5</w:t>
            </w:r>
          </w:p>
        </w:tc>
        <w:tc>
          <w:tcPr>
            <w:tcW w:w="473" w:type="pct"/>
            <w:tcBorders>
              <w:tl2br w:val="nil"/>
              <w:tr2bl w:val="nil"/>
            </w:tcBorders>
            <w:vAlign w:val="center"/>
          </w:tcPr>
          <w:p w14:paraId="62067D94">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氨</w:t>
            </w:r>
          </w:p>
        </w:tc>
        <w:tc>
          <w:tcPr>
            <w:tcW w:w="376" w:type="pct"/>
            <w:tcBorders>
              <w:tl2br w:val="nil"/>
              <w:tr2bl w:val="nil"/>
            </w:tcBorders>
            <w:vAlign w:val="center"/>
          </w:tcPr>
          <w:p w14:paraId="10676376">
            <w:pPr>
              <w:widowControl w:val="0"/>
              <w:bidi w:val="0"/>
              <w:spacing w:line="360" w:lineRule="exact"/>
              <w:ind w:firstLine="0" w:firstLineChars="0"/>
              <w:jc w:val="center"/>
              <w:rPr>
                <w:rFonts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硫化氢</w:t>
            </w:r>
          </w:p>
        </w:tc>
      </w:tr>
      <w:tr w14:paraId="28AB94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164" w:type="pct"/>
            <w:tcBorders>
              <w:tl2br w:val="nil"/>
              <w:tr2bl w:val="nil"/>
            </w:tcBorders>
            <w:vAlign w:val="center"/>
          </w:tcPr>
          <w:p w14:paraId="68E7479A">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ascii="Times New Roman" w:hAnsi="Times New Roman" w:eastAsia="宋体" w:cs="宋体"/>
                <w:color w:val="auto"/>
                <w:sz w:val="21"/>
                <w:szCs w:val="22"/>
                <w:lang w:val="en-US" w:eastAsia="zh-CN" w:bidi="ar-SA"/>
              </w:rPr>
            </w:pPr>
            <w:r>
              <w:rPr>
                <w:rFonts w:hint="eastAsia" w:ascii="Times New Roman" w:hAnsi="Times New Roman" w:cs="Times New Roman"/>
                <w:color w:val="auto"/>
                <w:kern w:val="2"/>
                <w:sz w:val="21"/>
                <w:szCs w:val="21"/>
                <w:highlight w:val="none"/>
                <w:lang w:val="en-US" w:eastAsia="zh-CN"/>
              </w:rPr>
              <w:t>DA001</w:t>
            </w:r>
          </w:p>
        </w:tc>
        <w:tc>
          <w:tcPr>
            <w:tcW w:w="321" w:type="pct"/>
            <w:tcBorders>
              <w:tl2br w:val="nil"/>
              <w:tr2bl w:val="nil"/>
            </w:tcBorders>
            <w:vAlign w:val="center"/>
          </w:tcPr>
          <w:p w14:paraId="17C9ECC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宋体"/>
                <w:color w:val="auto"/>
                <w:sz w:val="21"/>
                <w:szCs w:val="22"/>
                <w:lang w:val="en-US" w:eastAsia="zh-CN" w:bidi="ar-SA"/>
              </w:rPr>
            </w:pPr>
            <w:r>
              <w:rPr>
                <w:rFonts w:hint="eastAsia" w:cs="Times New Roman"/>
                <w:color w:val="auto"/>
                <w:kern w:val="0"/>
                <w:sz w:val="21"/>
                <w:szCs w:val="21"/>
                <w:highlight w:val="none"/>
                <w:lang w:val="en-US" w:eastAsia="zh-CN"/>
              </w:rPr>
              <w:t>堆肥间</w:t>
            </w:r>
            <w:r>
              <w:rPr>
                <w:rFonts w:hint="eastAsia" w:ascii="Times New Roman" w:hAnsi="Times New Roman" w:cs="Times New Roman"/>
                <w:color w:val="auto"/>
                <w:kern w:val="0"/>
                <w:sz w:val="21"/>
                <w:szCs w:val="21"/>
                <w:highlight w:val="none"/>
                <w:lang w:val="en-US" w:eastAsia="zh-CN"/>
              </w:rPr>
              <w:t>排放口</w:t>
            </w:r>
          </w:p>
        </w:tc>
        <w:tc>
          <w:tcPr>
            <w:tcW w:w="313" w:type="pct"/>
            <w:tcBorders>
              <w:tl2br w:val="nil"/>
              <w:tr2bl w:val="nil"/>
            </w:tcBorders>
            <w:vAlign w:val="center"/>
          </w:tcPr>
          <w:p w14:paraId="7A3D365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-120</w:t>
            </w:r>
          </w:p>
        </w:tc>
        <w:tc>
          <w:tcPr>
            <w:tcW w:w="224" w:type="pct"/>
            <w:tcBorders>
              <w:tl2br w:val="nil"/>
              <w:tr2bl w:val="nil"/>
            </w:tcBorders>
            <w:vAlign w:val="center"/>
          </w:tcPr>
          <w:p w14:paraId="2C5C81B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-318</w:t>
            </w:r>
          </w:p>
        </w:tc>
        <w:tc>
          <w:tcPr>
            <w:tcW w:w="221" w:type="pct"/>
            <w:tcBorders>
              <w:tl2br w:val="nil"/>
              <w:tr2bl w:val="nil"/>
            </w:tcBorders>
            <w:vAlign w:val="center"/>
          </w:tcPr>
          <w:p w14:paraId="60007E0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ascii="Times New Roman" w:hAnsi="Times New Roman" w:eastAsia="宋体" w:cs="宋体"/>
                <w:color w:val="auto"/>
                <w:sz w:val="21"/>
                <w:szCs w:val="22"/>
                <w:lang w:val="en-US" w:eastAsia="zh-CN" w:bidi="ar-SA"/>
              </w:rPr>
            </w:pPr>
            <w:r>
              <w:rPr>
                <w:rFonts w:hint="eastAsia" w:ascii="Times New Roman" w:hAnsi="Times New Roman" w:eastAsia="宋体" w:cs="Times New Roman"/>
                <w:bCs w:val="0"/>
                <w:color w:val="000000"/>
                <w:spacing w:val="0"/>
                <w:kern w:val="2"/>
                <w:sz w:val="21"/>
                <w:szCs w:val="21"/>
                <w:lang w:val="en-US" w:eastAsia="zh-CN"/>
              </w:rPr>
              <w:t>15</w:t>
            </w:r>
          </w:p>
        </w:tc>
        <w:tc>
          <w:tcPr>
            <w:tcW w:w="262" w:type="pct"/>
            <w:tcBorders>
              <w:tl2br w:val="nil"/>
              <w:tr2bl w:val="nil"/>
            </w:tcBorders>
            <w:vAlign w:val="center"/>
          </w:tcPr>
          <w:p w14:paraId="69EECD8F">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Times New Roman"/>
                <w:bCs w:val="0"/>
                <w:color w:val="000000"/>
                <w:spacing w:val="0"/>
                <w:kern w:val="2"/>
                <w:sz w:val="21"/>
                <w:szCs w:val="21"/>
                <w:lang w:val="en-US" w:eastAsia="zh-CN"/>
              </w:rPr>
              <w:t>0.</w:t>
            </w:r>
            <w:r>
              <w:rPr>
                <w:rFonts w:hint="eastAsia" w:cs="Times New Roman"/>
                <w:bCs w:val="0"/>
                <w:color w:val="000000"/>
                <w:spacing w:val="0"/>
                <w:kern w:val="2"/>
                <w:sz w:val="21"/>
                <w:szCs w:val="21"/>
                <w:lang w:val="en-US" w:eastAsia="zh-CN"/>
              </w:rPr>
              <w:t>3</w:t>
            </w:r>
          </w:p>
        </w:tc>
        <w:tc>
          <w:tcPr>
            <w:tcW w:w="302" w:type="pct"/>
            <w:tcBorders>
              <w:tl2br w:val="nil"/>
              <w:tr2bl w:val="nil"/>
            </w:tcBorders>
            <w:vAlign w:val="center"/>
          </w:tcPr>
          <w:p w14:paraId="773C31D4">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cs="Times New Roman"/>
                <w:bCs w:val="0"/>
                <w:color w:val="000000"/>
                <w:spacing w:val="0"/>
                <w:kern w:val="2"/>
                <w:sz w:val="21"/>
                <w:szCs w:val="21"/>
                <w:lang w:val="en-US" w:eastAsia="zh-CN" w:bidi="ar-SA"/>
              </w:rPr>
              <w:t>313</w:t>
            </w:r>
          </w:p>
        </w:tc>
        <w:tc>
          <w:tcPr>
            <w:tcW w:w="302" w:type="pct"/>
            <w:tcBorders>
              <w:tl2br w:val="nil"/>
              <w:tr2bl w:val="nil"/>
            </w:tcBorders>
            <w:vAlign w:val="center"/>
          </w:tcPr>
          <w:p w14:paraId="7058B714">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20</w:t>
            </w:r>
          </w:p>
        </w:tc>
        <w:tc>
          <w:tcPr>
            <w:tcW w:w="277" w:type="pct"/>
            <w:tcBorders>
              <w:tl2br w:val="nil"/>
              <w:tr2bl w:val="nil"/>
            </w:tcBorders>
            <w:vAlign w:val="center"/>
          </w:tcPr>
          <w:p w14:paraId="08A9DD8E">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宋体"/>
                <w:color w:val="auto"/>
                <w:sz w:val="21"/>
                <w:szCs w:val="22"/>
                <w:lang w:val="en-US" w:eastAsia="zh-CN" w:bidi="ar-SA"/>
              </w:rPr>
            </w:pPr>
            <w:r>
              <w:rPr>
                <w:rFonts w:hint="eastAsia" w:ascii="Times New Roman" w:hAnsi="Times New Roman" w:eastAsia="宋体" w:cs="Times New Roman"/>
                <w:color w:val="000000"/>
                <w:kern w:val="2"/>
                <w:sz w:val="21"/>
                <w:szCs w:val="24"/>
                <w:highlight w:val="none"/>
                <w:lang w:val="en-US" w:eastAsia="zh-CN"/>
              </w:rPr>
              <w:t>5000</w:t>
            </w:r>
          </w:p>
        </w:tc>
        <w:tc>
          <w:tcPr>
            <w:tcW w:w="277" w:type="pct"/>
            <w:tcBorders>
              <w:tl2br w:val="nil"/>
              <w:tr2bl w:val="nil"/>
            </w:tcBorders>
            <w:vAlign w:val="center"/>
          </w:tcPr>
          <w:p w14:paraId="28F3EE55">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19.6</w:t>
            </w:r>
          </w:p>
        </w:tc>
        <w:tc>
          <w:tcPr>
            <w:tcW w:w="277" w:type="pct"/>
            <w:tcBorders>
              <w:tl2br w:val="nil"/>
              <w:tr2bl w:val="nil"/>
            </w:tcBorders>
            <w:vAlign w:val="center"/>
          </w:tcPr>
          <w:p w14:paraId="04878A55">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4728</w:t>
            </w:r>
          </w:p>
        </w:tc>
        <w:tc>
          <w:tcPr>
            <w:tcW w:w="277" w:type="pct"/>
            <w:tcBorders>
              <w:tl2br w:val="nil"/>
              <w:tr2bl w:val="nil"/>
            </w:tcBorders>
            <w:vAlign w:val="center"/>
          </w:tcPr>
          <w:p w14:paraId="2440F294">
            <w:pPr>
              <w:widowControl w:val="0"/>
              <w:bidi w:val="0"/>
              <w:spacing w:line="360" w:lineRule="exact"/>
              <w:ind w:firstLine="0" w:firstLineChars="0"/>
              <w:jc w:val="center"/>
              <w:rPr>
                <w:rFonts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一般排放口</w:t>
            </w:r>
          </w:p>
        </w:tc>
        <w:tc>
          <w:tcPr>
            <w:tcW w:w="238" w:type="pct"/>
            <w:tcBorders>
              <w:tl2br w:val="nil"/>
              <w:tr2bl w:val="nil"/>
            </w:tcBorders>
            <w:vAlign w:val="center"/>
          </w:tcPr>
          <w:p w14:paraId="61D877AB">
            <w:pPr>
              <w:widowControl w:val="0"/>
              <w:bidi w:val="0"/>
              <w:spacing w:line="360" w:lineRule="exact"/>
              <w:ind w:firstLine="0" w:firstLineChars="0"/>
              <w:jc w:val="center"/>
              <w:rPr>
                <w:rFonts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正常工况</w:t>
            </w:r>
          </w:p>
        </w:tc>
        <w:tc>
          <w:tcPr>
            <w:tcW w:w="344" w:type="pct"/>
            <w:tcBorders>
              <w:tl2br w:val="nil"/>
              <w:tr2bl w:val="nil"/>
            </w:tcBorders>
            <w:shd w:val="clear" w:color="auto" w:fill="auto"/>
            <w:vAlign w:val="center"/>
          </w:tcPr>
          <w:p w14:paraId="34A7E5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0.0042</w:t>
            </w:r>
          </w:p>
        </w:tc>
        <w:tc>
          <w:tcPr>
            <w:tcW w:w="345" w:type="pct"/>
            <w:tcBorders>
              <w:tl2br w:val="nil"/>
              <w:tr2bl w:val="nil"/>
            </w:tcBorders>
            <w:vAlign w:val="center"/>
          </w:tcPr>
          <w:p w14:paraId="27285475">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0.00</w:t>
            </w:r>
            <w:r>
              <w:rPr>
                <w:rFonts w:hint="eastAsia" w:cs="宋体"/>
                <w:color w:val="auto"/>
                <w:sz w:val="21"/>
                <w:szCs w:val="22"/>
                <w:lang w:val="en-US" w:eastAsia="zh-CN" w:bidi="ar-SA"/>
              </w:rPr>
              <w:t>21</w:t>
            </w:r>
          </w:p>
        </w:tc>
        <w:tc>
          <w:tcPr>
            <w:tcW w:w="473" w:type="pct"/>
            <w:tcBorders>
              <w:tl2br w:val="nil"/>
              <w:tr2bl w:val="nil"/>
            </w:tcBorders>
            <w:shd w:val="clear" w:color="auto" w:fill="auto"/>
            <w:vAlign w:val="center"/>
          </w:tcPr>
          <w:p w14:paraId="21C4E9A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0.0063</w:t>
            </w:r>
          </w:p>
        </w:tc>
        <w:tc>
          <w:tcPr>
            <w:tcW w:w="376" w:type="pct"/>
            <w:tcBorders>
              <w:tl2br w:val="nil"/>
              <w:tr2bl w:val="nil"/>
            </w:tcBorders>
            <w:vAlign w:val="center"/>
          </w:tcPr>
          <w:p w14:paraId="58D06762">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宋体"/>
                <w:color w:val="auto"/>
                <w:sz w:val="21"/>
                <w:szCs w:val="22"/>
                <w:lang w:val="en-US" w:eastAsia="zh-CN" w:bidi="ar-SA"/>
              </w:rPr>
              <w:t>0.000</w:t>
            </w:r>
            <w:r>
              <w:rPr>
                <w:rFonts w:hint="eastAsia" w:cs="宋体"/>
                <w:color w:val="auto"/>
                <w:sz w:val="21"/>
                <w:szCs w:val="22"/>
                <w:lang w:val="en-US" w:eastAsia="zh-CN" w:bidi="ar-SA"/>
              </w:rPr>
              <w:t>4</w:t>
            </w:r>
          </w:p>
        </w:tc>
      </w:tr>
      <w:tr w14:paraId="11B25D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164" w:type="pct"/>
            <w:tcBorders>
              <w:tl2br w:val="nil"/>
              <w:tr2bl w:val="nil"/>
            </w:tcBorders>
            <w:vAlign w:val="center"/>
          </w:tcPr>
          <w:p w14:paraId="58AC2C26">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DA002</w:t>
            </w:r>
          </w:p>
        </w:tc>
        <w:tc>
          <w:tcPr>
            <w:tcW w:w="321" w:type="pct"/>
            <w:tcBorders>
              <w:tl2br w:val="nil"/>
              <w:tr2bl w:val="nil"/>
            </w:tcBorders>
            <w:vAlign w:val="center"/>
          </w:tcPr>
          <w:p w14:paraId="4CC926A0">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饲料加工排放口</w:t>
            </w:r>
          </w:p>
        </w:tc>
        <w:tc>
          <w:tcPr>
            <w:tcW w:w="313" w:type="pct"/>
            <w:tcBorders>
              <w:tl2br w:val="nil"/>
              <w:tr2bl w:val="nil"/>
            </w:tcBorders>
            <w:vAlign w:val="center"/>
          </w:tcPr>
          <w:p w14:paraId="42D6DCF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-35</w:t>
            </w:r>
          </w:p>
        </w:tc>
        <w:tc>
          <w:tcPr>
            <w:tcW w:w="224" w:type="pct"/>
            <w:tcBorders>
              <w:tl2br w:val="nil"/>
              <w:tr2bl w:val="nil"/>
            </w:tcBorders>
            <w:vAlign w:val="center"/>
          </w:tcPr>
          <w:p w14:paraId="668B109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0</w:t>
            </w:r>
          </w:p>
        </w:tc>
        <w:tc>
          <w:tcPr>
            <w:tcW w:w="221" w:type="pct"/>
            <w:tcBorders>
              <w:tl2br w:val="nil"/>
              <w:tr2bl w:val="nil"/>
            </w:tcBorders>
            <w:vAlign w:val="center"/>
          </w:tcPr>
          <w:p w14:paraId="3755F3F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15</w:t>
            </w:r>
          </w:p>
        </w:tc>
        <w:tc>
          <w:tcPr>
            <w:tcW w:w="262" w:type="pct"/>
            <w:tcBorders>
              <w:tl2br w:val="nil"/>
              <w:tr2bl w:val="nil"/>
            </w:tcBorders>
            <w:vAlign w:val="center"/>
          </w:tcPr>
          <w:p w14:paraId="16ACDD04">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eastAsia"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0.</w:t>
            </w:r>
            <w:r>
              <w:rPr>
                <w:rFonts w:hint="eastAsia" w:cs="Times New Roman"/>
                <w:bCs w:val="0"/>
                <w:color w:val="000000"/>
                <w:spacing w:val="0"/>
                <w:kern w:val="2"/>
                <w:sz w:val="21"/>
                <w:szCs w:val="21"/>
                <w:lang w:val="en-US" w:eastAsia="zh-CN"/>
              </w:rPr>
              <w:t>3</w:t>
            </w:r>
          </w:p>
        </w:tc>
        <w:tc>
          <w:tcPr>
            <w:tcW w:w="302" w:type="pct"/>
            <w:tcBorders>
              <w:tl2br w:val="nil"/>
              <w:tr2bl w:val="nil"/>
            </w:tcBorders>
            <w:vAlign w:val="center"/>
          </w:tcPr>
          <w:p w14:paraId="0B2D1395">
            <w:pPr>
              <w:widowControl w:val="0"/>
              <w:bidi w:val="0"/>
              <w:spacing w:line="360" w:lineRule="exact"/>
              <w:ind w:firstLine="0" w:firstLineChars="0"/>
              <w:jc w:val="center"/>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313</w:t>
            </w:r>
          </w:p>
        </w:tc>
        <w:tc>
          <w:tcPr>
            <w:tcW w:w="302" w:type="pct"/>
            <w:tcBorders>
              <w:tl2br w:val="nil"/>
              <w:tr2bl w:val="nil"/>
            </w:tcBorders>
            <w:vAlign w:val="center"/>
          </w:tcPr>
          <w:p w14:paraId="1CAB5B17">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20</w:t>
            </w:r>
          </w:p>
        </w:tc>
        <w:tc>
          <w:tcPr>
            <w:tcW w:w="277" w:type="pct"/>
            <w:tcBorders>
              <w:tl2br w:val="nil"/>
              <w:tr2bl w:val="nil"/>
            </w:tcBorders>
            <w:vAlign w:val="center"/>
          </w:tcPr>
          <w:p w14:paraId="74166AB2">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eastAsia" w:ascii="Times New Roman" w:hAnsi="Times New Roman" w:eastAsia="宋体" w:cs="Times New Roman"/>
                <w:color w:val="000000"/>
                <w:kern w:val="2"/>
                <w:sz w:val="21"/>
                <w:szCs w:val="24"/>
                <w:highlight w:val="none"/>
                <w:lang w:val="en-US" w:eastAsia="zh-CN"/>
              </w:rPr>
            </w:pPr>
            <w:r>
              <w:rPr>
                <w:rFonts w:hint="eastAsia" w:ascii="Times New Roman" w:hAnsi="Times New Roman" w:eastAsia="宋体" w:cs="Times New Roman"/>
                <w:color w:val="000000"/>
                <w:kern w:val="2"/>
                <w:sz w:val="21"/>
                <w:szCs w:val="24"/>
                <w:highlight w:val="none"/>
                <w:lang w:val="en-US" w:eastAsia="zh-CN"/>
              </w:rPr>
              <w:t>5000</w:t>
            </w:r>
          </w:p>
        </w:tc>
        <w:tc>
          <w:tcPr>
            <w:tcW w:w="277" w:type="pct"/>
            <w:tcBorders>
              <w:tl2br w:val="nil"/>
              <w:tr2bl w:val="nil"/>
            </w:tcBorders>
            <w:vAlign w:val="center"/>
          </w:tcPr>
          <w:p w14:paraId="78BC32EF">
            <w:pPr>
              <w:widowControl w:val="0"/>
              <w:bidi w:val="0"/>
              <w:spacing w:line="360" w:lineRule="exact"/>
              <w:ind w:firstLine="0" w:firstLineChars="0"/>
              <w:jc w:val="center"/>
              <w:rPr>
                <w:rFonts w:hint="eastAsia" w:cs="宋体"/>
                <w:color w:val="auto"/>
                <w:sz w:val="21"/>
                <w:szCs w:val="22"/>
                <w:lang w:val="en-US" w:eastAsia="zh-CN" w:bidi="ar-SA"/>
              </w:rPr>
            </w:pPr>
            <w:r>
              <w:rPr>
                <w:rFonts w:hint="eastAsia" w:cs="宋体"/>
                <w:color w:val="auto"/>
                <w:sz w:val="21"/>
                <w:szCs w:val="22"/>
                <w:lang w:val="en-US" w:eastAsia="zh-CN" w:bidi="ar-SA"/>
              </w:rPr>
              <w:t>19.6</w:t>
            </w:r>
          </w:p>
        </w:tc>
        <w:tc>
          <w:tcPr>
            <w:tcW w:w="277" w:type="pct"/>
            <w:tcBorders>
              <w:tl2br w:val="nil"/>
              <w:tr2bl w:val="nil"/>
            </w:tcBorders>
            <w:vAlign w:val="center"/>
          </w:tcPr>
          <w:p w14:paraId="372D3D3A">
            <w:pPr>
              <w:widowControl w:val="0"/>
              <w:bidi w:val="0"/>
              <w:spacing w:line="360" w:lineRule="exact"/>
              <w:ind w:firstLine="0" w:firstLineChars="0"/>
              <w:jc w:val="center"/>
              <w:rPr>
                <w:rFonts w:hint="eastAsia" w:cs="宋体"/>
                <w:color w:val="auto"/>
                <w:sz w:val="21"/>
                <w:szCs w:val="22"/>
                <w:lang w:val="en-US" w:eastAsia="zh-CN" w:bidi="ar-SA"/>
              </w:rPr>
            </w:pPr>
            <w:r>
              <w:rPr>
                <w:rFonts w:hint="eastAsia" w:cs="宋体"/>
                <w:color w:val="auto"/>
                <w:sz w:val="21"/>
                <w:szCs w:val="22"/>
                <w:lang w:val="en-US" w:eastAsia="zh-CN" w:bidi="ar-SA"/>
              </w:rPr>
              <w:t>5840</w:t>
            </w:r>
          </w:p>
        </w:tc>
        <w:tc>
          <w:tcPr>
            <w:tcW w:w="277" w:type="pct"/>
            <w:tcBorders>
              <w:tl2br w:val="nil"/>
              <w:tr2bl w:val="nil"/>
            </w:tcBorders>
            <w:vAlign w:val="center"/>
          </w:tcPr>
          <w:p w14:paraId="2A67E46D">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一般排放口</w:t>
            </w:r>
          </w:p>
        </w:tc>
        <w:tc>
          <w:tcPr>
            <w:tcW w:w="238" w:type="pct"/>
            <w:tcBorders>
              <w:tl2br w:val="nil"/>
              <w:tr2bl w:val="nil"/>
            </w:tcBorders>
            <w:vAlign w:val="center"/>
          </w:tcPr>
          <w:p w14:paraId="039DC19F">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正常工况</w:t>
            </w:r>
          </w:p>
        </w:tc>
        <w:tc>
          <w:tcPr>
            <w:tcW w:w="344" w:type="pct"/>
            <w:tcBorders>
              <w:tl2br w:val="nil"/>
              <w:tr2bl w:val="nil"/>
            </w:tcBorders>
            <w:shd w:val="clear" w:color="auto" w:fill="auto"/>
            <w:vAlign w:val="center"/>
          </w:tcPr>
          <w:p w14:paraId="336443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0.0017</w:t>
            </w:r>
          </w:p>
        </w:tc>
        <w:tc>
          <w:tcPr>
            <w:tcW w:w="345" w:type="pct"/>
            <w:tcBorders>
              <w:tl2br w:val="nil"/>
              <w:tr2bl w:val="nil"/>
            </w:tcBorders>
            <w:vAlign w:val="center"/>
          </w:tcPr>
          <w:p w14:paraId="1FCA874B">
            <w:pPr>
              <w:widowControl w:val="0"/>
              <w:bidi w:val="0"/>
              <w:spacing w:line="360" w:lineRule="exact"/>
              <w:ind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0.000</w:t>
            </w:r>
            <w:r>
              <w:rPr>
                <w:rFonts w:hint="eastAsia" w:cs="宋体"/>
                <w:color w:val="auto"/>
                <w:sz w:val="21"/>
                <w:szCs w:val="22"/>
                <w:lang w:val="en-US" w:eastAsia="zh-CN" w:bidi="ar-SA"/>
              </w:rPr>
              <w:t>9</w:t>
            </w:r>
            <w:r>
              <w:rPr>
                <w:rFonts w:hint="eastAsia" w:ascii="Times New Roman" w:hAnsi="Times New Roman" w:eastAsia="宋体" w:cs="宋体"/>
                <w:color w:val="auto"/>
                <w:sz w:val="21"/>
                <w:szCs w:val="22"/>
                <w:lang w:val="en-US" w:eastAsia="zh-CN" w:bidi="ar-SA"/>
              </w:rPr>
              <w:t xml:space="preserve"> </w:t>
            </w:r>
          </w:p>
        </w:tc>
        <w:tc>
          <w:tcPr>
            <w:tcW w:w="473" w:type="pct"/>
            <w:tcBorders>
              <w:tl2br w:val="nil"/>
              <w:tr2bl w:val="nil"/>
            </w:tcBorders>
            <w:shd w:val="clear" w:color="auto" w:fill="auto"/>
            <w:vAlign w:val="center"/>
          </w:tcPr>
          <w:p w14:paraId="466B31FD">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p>
        </w:tc>
        <w:tc>
          <w:tcPr>
            <w:tcW w:w="376" w:type="pct"/>
            <w:tcBorders>
              <w:tl2br w:val="nil"/>
              <w:tr2bl w:val="nil"/>
            </w:tcBorders>
            <w:vAlign w:val="center"/>
          </w:tcPr>
          <w:p w14:paraId="6FDEB179">
            <w:pPr>
              <w:widowControl w:val="0"/>
              <w:bidi w:val="0"/>
              <w:spacing w:line="360" w:lineRule="exact"/>
              <w:ind w:firstLine="0" w:firstLineChars="0"/>
              <w:jc w:val="center"/>
              <w:rPr>
                <w:rFonts w:hint="default" w:ascii="Times New Roman" w:hAnsi="Times New Roman" w:eastAsia="宋体" w:cs="宋体"/>
                <w:color w:val="auto"/>
                <w:sz w:val="21"/>
                <w:szCs w:val="22"/>
                <w:lang w:val="en-US" w:eastAsia="zh-CN" w:bidi="ar-SA"/>
              </w:rPr>
            </w:pPr>
          </w:p>
        </w:tc>
      </w:tr>
    </w:tbl>
    <w:p w14:paraId="33910EAE">
      <w:pPr>
        <w:widowControl w:val="0"/>
        <w:spacing w:line="400" w:lineRule="exact"/>
        <w:ind w:firstLine="0" w:firstLineChars="0"/>
        <w:jc w:val="center"/>
        <w:rPr>
          <w:rFonts w:ascii="Times New Roman" w:hAnsi="Times New Roman" w:eastAsia="宋体" w:cs="宋体"/>
          <w:b/>
          <w:color w:val="000000"/>
          <w:sz w:val="24"/>
          <w:szCs w:val="24"/>
          <w:lang w:val="en-US" w:eastAsia="zh-CN" w:bidi="ar-SA"/>
        </w:rPr>
      </w:pPr>
      <w:r>
        <w:rPr>
          <w:rFonts w:hint="eastAsia" w:ascii="Times New Roman" w:hAnsi="Times New Roman" w:eastAsia="宋体" w:cs="宋体"/>
          <w:b/>
          <w:color w:val="000000"/>
          <w:sz w:val="24"/>
          <w:szCs w:val="24"/>
          <w:lang w:val="en-US" w:eastAsia="zh-CN" w:bidi="ar-SA"/>
        </w:rPr>
        <w:t>表5.2-</w:t>
      </w:r>
      <w:r>
        <w:rPr>
          <w:rFonts w:hint="eastAsia" w:cs="宋体"/>
          <w:b/>
          <w:color w:val="000000"/>
          <w:sz w:val="24"/>
          <w:szCs w:val="24"/>
          <w:lang w:val="en-US" w:eastAsia="zh-CN" w:bidi="ar-SA"/>
        </w:rPr>
        <w:t>7</w:t>
      </w:r>
      <w:r>
        <w:rPr>
          <w:rFonts w:hint="eastAsia" w:ascii="Times New Roman" w:hAnsi="Times New Roman" w:eastAsia="宋体" w:cs="宋体"/>
          <w:b/>
          <w:color w:val="000000"/>
          <w:sz w:val="24"/>
          <w:szCs w:val="24"/>
          <w:lang w:val="en-US" w:eastAsia="zh-CN" w:bidi="ar-SA"/>
        </w:rPr>
        <w:t>面源污染物排放基本情况表</w:t>
      </w:r>
    </w:p>
    <w:tbl>
      <w:tblPr>
        <w:tblStyle w:val="21"/>
        <w:tblW w:w="1417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68"/>
        <w:gridCol w:w="1511"/>
        <w:gridCol w:w="948"/>
        <w:gridCol w:w="816"/>
        <w:gridCol w:w="1153"/>
        <w:gridCol w:w="763"/>
        <w:gridCol w:w="993"/>
        <w:gridCol w:w="1064"/>
        <w:gridCol w:w="1135"/>
        <w:gridCol w:w="993"/>
        <w:gridCol w:w="922"/>
        <w:gridCol w:w="1029"/>
        <w:gridCol w:w="1277"/>
        <w:gridCol w:w="1101"/>
      </w:tblGrid>
      <w:tr w14:paraId="3A77A7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vMerge w:val="restart"/>
            <w:tcBorders>
              <w:tl2br w:val="nil"/>
              <w:tr2bl w:val="nil"/>
            </w:tcBorders>
            <w:vAlign w:val="center"/>
          </w:tcPr>
          <w:p w14:paraId="3D2E823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编号</w:t>
            </w:r>
          </w:p>
        </w:tc>
        <w:tc>
          <w:tcPr>
            <w:tcW w:w="1511" w:type="dxa"/>
            <w:vMerge w:val="restart"/>
            <w:tcBorders>
              <w:tl2br w:val="nil"/>
              <w:tr2bl w:val="nil"/>
            </w:tcBorders>
            <w:vAlign w:val="center"/>
          </w:tcPr>
          <w:p w14:paraId="19A9CA0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名称</w:t>
            </w:r>
          </w:p>
        </w:tc>
        <w:tc>
          <w:tcPr>
            <w:tcW w:w="1764" w:type="dxa"/>
            <w:gridSpan w:val="2"/>
            <w:tcBorders>
              <w:tl2br w:val="nil"/>
              <w:tr2bl w:val="nil"/>
            </w:tcBorders>
            <w:vAlign w:val="center"/>
          </w:tcPr>
          <w:p w14:paraId="41CA33D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面源起点坐标/m</w:t>
            </w:r>
          </w:p>
        </w:tc>
        <w:tc>
          <w:tcPr>
            <w:tcW w:w="1153" w:type="dxa"/>
            <w:vMerge w:val="restart"/>
            <w:tcBorders>
              <w:tl2br w:val="nil"/>
              <w:tr2bl w:val="nil"/>
            </w:tcBorders>
            <w:vAlign w:val="center"/>
          </w:tcPr>
          <w:p w14:paraId="161F135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w:t>
            </w:r>
            <w:r>
              <w:rPr>
                <w:rFonts w:hint="eastAsia" w:cs="Times New Roman"/>
                <w:b/>
                <w:bCs/>
                <w:color w:val="000000"/>
                <w:kern w:val="2"/>
                <w:sz w:val="21"/>
                <w:szCs w:val="24"/>
                <w:lang w:val="en-US" w:eastAsia="zh-CN" w:bidi="ar-SA"/>
              </w:rPr>
              <w:t>海拔</w:t>
            </w:r>
            <w:r>
              <w:rPr>
                <w:rFonts w:hint="eastAsia" w:ascii="Times New Roman" w:hAnsi="Times New Roman" w:eastAsia="宋体" w:cs="Times New Roman"/>
                <w:b/>
                <w:bCs/>
                <w:color w:val="000000"/>
                <w:kern w:val="2"/>
                <w:sz w:val="21"/>
                <w:szCs w:val="24"/>
                <w:lang w:val="en-US" w:eastAsia="zh-CN" w:bidi="ar-SA"/>
              </w:rPr>
              <w:t>/m</w:t>
            </w:r>
          </w:p>
        </w:tc>
        <w:tc>
          <w:tcPr>
            <w:tcW w:w="763" w:type="dxa"/>
            <w:vMerge w:val="restart"/>
            <w:tcBorders>
              <w:tl2br w:val="nil"/>
              <w:tr2bl w:val="nil"/>
            </w:tcBorders>
            <w:vAlign w:val="center"/>
          </w:tcPr>
          <w:p w14:paraId="271DBE1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面源宽度/m</w:t>
            </w:r>
          </w:p>
        </w:tc>
        <w:tc>
          <w:tcPr>
            <w:tcW w:w="993" w:type="dxa"/>
            <w:vMerge w:val="restart"/>
            <w:tcBorders>
              <w:tl2br w:val="nil"/>
              <w:tr2bl w:val="nil"/>
            </w:tcBorders>
            <w:vAlign w:val="center"/>
          </w:tcPr>
          <w:p w14:paraId="6C8625C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面源长度/m</w:t>
            </w:r>
          </w:p>
        </w:tc>
        <w:tc>
          <w:tcPr>
            <w:tcW w:w="1064" w:type="dxa"/>
            <w:vMerge w:val="restart"/>
            <w:tcBorders>
              <w:tl2br w:val="nil"/>
              <w:tr2bl w:val="nil"/>
            </w:tcBorders>
            <w:vAlign w:val="center"/>
          </w:tcPr>
          <w:p w14:paraId="6837F14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default" w:ascii="Times New Roman" w:hAnsi="Times New Roman" w:eastAsia="宋体" w:cs="Times New Roman"/>
                <w:b/>
                <w:bCs/>
                <w:color w:val="000000"/>
                <w:kern w:val="2"/>
                <w:sz w:val="21"/>
                <w:szCs w:val="24"/>
                <w:lang w:val="en-US" w:eastAsia="zh-CN" w:bidi="ar-SA"/>
              </w:rPr>
              <w:t>与正北向夹角/（°）</w:t>
            </w:r>
          </w:p>
        </w:tc>
        <w:tc>
          <w:tcPr>
            <w:tcW w:w="1135" w:type="dxa"/>
            <w:vMerge w:val="restart"/>
            <w:tcBorders>
              <w:tl2br w:val="nil"/>
              <w:tr2bl w:val="nil"/>
            </w:tcBorders>
            <w:vAlign w:val="center"/>
          </w:tcPr>
          <w:p w14:paraId="1EA3E1E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面源有效排放高度/m</w:t>
            </w:r>
          </w:p>
        </w:tc>
        <w:tc>
          <w:tcPr>
            <w:tcW w:w="993" w:type="dxa"/>
            <w:vMerge w:val="restart"/>
            <w:tcBorders>
              <w:tl2br w:val="nil"/>
              <w:tr2bl w:val="nil"/>
            </w:tcBorders>
            <w:vAlign w:val="center"/>
          </w:tcPr>
          <w:p w14:paraId="5FCAFC6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年排放小时数/h</w:t>
            </w:r>
          </w:p>
        </w:tc>
        <w:tc>
          <w:tcPr>
            <w:tcW w:w="922" w:type="dxa"/>
            <w:vMerge w:val="restart"/>
            <w:tcBorders>
              <w:tl2br w:val="nil"/>
              <w:tr2bl w:val="nil"/>
            </w:tcBorders>
            <w:vAlign w:val="center"/>
          </w:tcPr>
          <w:p w14:paraId="68FAE29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排放工况</w:t>
            </w:r>
          </w:p>
        </w:tc>
        <w:tc>
          <w:tcPr>
            <w:tcW w:w="3407" w:type="dxa"/>
            <w:gridSpan w:val="3"/>
            <w:tcBorders>
              <w:tl2br w:val="nil"/>
              <w:tr2bl w:val="nil"/>
            </w:tcBorders>
            <w:vAlign w:val="center"/>
          </w:tcPr>
          <w:p w14:paraId="008E518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污染排放</w:t>
            </w:r>
            <w:r>
              <w:rPr>
                <w:rFonts w:hint="eastAsia" w:ascii="Times New Roman" w:hAnsi="Times New Roman" w:cs="Times New Roman"/>
                <w:b/>
                <w:bCs/>
                <w:color w:val="000000"/>
                <w:kern w:val="2"/>
                <w:sz w:val="21"/>
                <w:szCs w:val="24"/>
                <w:lang w:val="en-US" w:eastAsia="zh-CN" w:bidi="ar-SA"/>
              </w:rPr>
              <w:t>速率</w:t>
            </w:r>
            <w:r>
              <w:rPr>
                <w:rFonts w:hint="eastAsia" w:ascii="Times New Roman" w:hAnsi="Times New Roman" w:eastAsia="宋体" w:cs="Times New Roman"/>
                <w:b/>
                <w:bCs/>
                <w:color w:val="000000"/>
                <w:kern w:val="2"/>
                <w:sz w:val="21"/>
                <w:szCs w:val="24"/>
                <w:lang w:val="en-US" w:eastAsia="zh-CN" w:bidi="ar-SA"/>
              </w:rPr>
              <w:t>（kg/h）</w:t>
            </w:r>
          </w:p>
        </w:tc>
      </w:tr>
      <w:tr w14:paraId="1FE8BA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vMerge w:val="continue"/>
            <w:tcBorders>
              <w:tl2br w:val="nil"/>
              <w:tr2bl w:val="nil"/>
            </w:tcBorders>
            <w:vAlign w:val="center"/>
          </w:tcPr>
          <w:p w14:paraId="2CE3242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511" w:type="dxa"/>
            <w:vMerge w:val="continue"/>
            <w:tcBorders>
              <w:tl2br w:val="nil"/>
              <w:tr2bl w:val="nil"/>
            </w:tcBorders>
            <w:vAlign w:val="center"/>
          </w:tcPr>
          <w:p w14:paraId="2F85E1F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48" w:type="dxa"/>
            <w:tcBorders>
              <w:tl2br w:val="nil"/>
              <w:tr2bl w:val="nil"/>
            </w:tcBorders>
            <w:vAlign w:val="center"/>
          </w:tcPr>
          <w:p w14:paraId="3B54E80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X</w:t>
            </w:r>
          </w:p>
        </w:tc>
        <w:tc>
          <w:tcPr>
            <w:tcW w:w="816" w:type="dxa"/>
            <w:tcBorders>
              <w:tl2br w:val="nil"/>
              <w:tr2bl w:val="nil"/>
            </w:tcBorders>
            <w:vAlign w:val="center"/>
          </w:tcPr>
          <w:p w14:paraId="707BB14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b/>
                <w:bCs/>
                <w:color w:val="000000"/>
                <w:kern w:val="2"/>
                <w:sz w:val="21"/>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Y</w:t>
            </w:r>
          </w:p>
        </w:tc>
        <w:tc>
          <w:tcPr>
            <w:tcW w:w="1153" w:type="dxa"/>
            <w:vMerge w:val="continue"/>
            <w:tcBorders>
              <w:tl2br w:val="nil"/>
              <w:tr2bl w:val="nil"/>
            </w:tcBorders>
            <w:vAlign w:val="center"/>
          </w:tcPr>
          <w:p w14:paraId="5A39DAB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763" w:type="dxa"/>
            <w:vMerge w:val="continue"/>
            <w:tcBorders>
              <w:tl2br w:val="nil"/>
              <w:tr2bl w:val="nil"/>
            </w:tcBorders>
            <w:vAlign w:val="center"/>
          </w:tcPr>
          <w:p w14:paraId="0A02408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93" w:type="dxa"/>
            <w:vMerge w:val="continue"/>
            <w:tcBorders>
              <w:tl2br w:val="nil"/>
              <w:tr2bl w:val="nil"/>
            </w:tcBorders>
            <w:vAlign w:val="center"/>
          </w:tcPr>
          <w:p w14:paraId="59D2074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064" w:type="dxa"/>
            <w:vMerge w:val="continue"/>
            <w:tcBorders>
              <w:tl2br w:val="nil"/>
              <w:tr2bl w:val="nil"/>
            </w:tcBorders>
            <w:vAlign w:val="center"/>
          </w:tcPr>
          <w:p w14:paraId="04218C9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135" w:type="dxa"/>
            <w:vMerge w:val="continue"/>
            <w:tcBorders>
              <w:tl2br w:val="nil"/>
              <w:tr2bl w:val="nil"/>
            </w:tcBorders>
            <w:vAlign w:val="center"/>
          </w:tcPr>
          <w:p w14:paraId="06B46C7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93" w:type="dxa"/>
            <w:vMerge w:val="continue"/>
            <w:tcBorders>
              <w:tl2br w:val="nil"/>
              <w:tr2bl w:val="nil"/>
            </w:tcBorders>
            <w:vAlign w:val="center"/>
          </w:tcPr>
          <w:p w14:paraId="58F426F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922" w:type="dxa"/>
            <w:vMerge w:val="continue"/>
            <w:tcBorders>
              <w:tl2br w:val="nil"/>
              <w:tr2bl w:val="nil"/>
            </w:tcBorders>
            <w:vAlign w:val="center"/>
          </w:tcPr>
          <w:p w14:paraId="23B2694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029" w:type="dxa"/>
            <w:tcBorders>
              <w:tl2br w:val="nil"/>
              <w:tr2bl w:val="nil"/>
            </w:tcBorders>
            <w:vAlign w:val="center"/>
          </w:tcPr>
          <w:p w14:paraId="5862E632">
            <w:pPr>
              <w:widowControl w:val="0"/>
              <w:bidi w:val="0"/>
              <w:spacing w:line="360" w:lineRule="exact"/>
              <w:ind w:firstLine="0" w:firstLineChars="0"/>
              <w:jc w:val="center"/>
              <w:rPr>
                <w:rFonts w:hint="default"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TSP</w:t>
            </w:r>
          </w:p>
        </w:tc>
        <w:tc>
          <w:tcPr>
            <w:tcW w:w="1277" w:type="dxa"/>
            <w:tcBorders>
              <w:tl2br w:val="nil"/>
              <w:tr2bl w:val="nil"/>
            </w:tcBorders>
            <w:vAlign w:val="center"/>
          </w:tcPr>
          <w:p w14:paraId="09E11C7B">
            <w:pPr>
              <w:widowControl w:val="0"/>
              <w:bidi w:val="0"/>
              <w:spacing w:line="360" w:lineRule="exact"/>
              <w:ind w:firstLine="0" w:firstLineChars="0"/>
              <w:jc w:val="center"/>
              <w:rPr>
                <w:rFonts w:hint="eastAsia"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氨</w:t>
            </w:r>
          </w:p>
        </w:tc>
        <w:tc>
          <w:tcPr>
            <w:tcW w:w="1101" w:type="dxa"/>
            <w:tcBorders>
              <w:tl2br w:val="nil"/>
              <w:tr2bl w:val="nil"/>
            </w:tcBorders>
            <w:vAlign w:val="center"/>
          </w:tcPr>
          <w:p w14:paraId="20BDE1EE">
            <w:pPr>
              <w:widowControl w:val="0"/>
              <w:bidi w:val="0"/>
              <w:spacing w:line="360" w:lineRule="exact"/>
              <w:ind w:firstLine="0" w:firstLineChars="0"/>
              <w:jc w:val="center"/>
              <w:rPr>
                <w:rFonts w:hint="eastAsia" w:ascii="Times New Roman" w:hAnsi="Times New Roman" w:eastAsia="宋体" w:cs="宋体"/>
                <w:b/>
                <w:bCs/>
                <w:color w:val="auto"/>
                <w:sz w:val="21"/>
                <w:szCs w:val="22"/>
                <w:lang w:val="en-US" w:eastAsia="zh-CN" w:bidi="ar-SA"/>
              </w:rPr>
            </w:pPr>
            <w:r>
              <w:rPr>
                <w:rFonts w:hint="eastAsia" w:ascii="Times New Roman" w:hAnsi="Times New Roman" w:eastAsia="宋体" w:cs="宋体"/>
                <w:b/>
                <w:bCs/>
                <w:color w:val="auto"/>
                <w:sz w:val="21"/>
                <w:szCs w:val="22"/>
                <w:lang w:val="en-US" w:eastAsia="zh-CN" w:bidi="ar-SA"/>
              </w:rPr>
              <w:t>硫化氢</w:t>
            </w:r>
          </w:p>
        </w:tc>
      </w:tr>
      <w:tr w14:paraId="2B9DBF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vAlign w:val="center"/>
          </w:tcPr>
          <w:p w14:paraId="151A130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1511" w:type="dxa"/>
            <w:tcBorders>
              <w:tl2br w:val="nil"/>
              <w:tr2bl w:val="nil"/>
            </w:tcBorders>
            <w:vAlign w:val="center"/>
          </w:tcPr>
          <w:p w14:paraId="536C50F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00"/>
                <w:kern w:val="2"/>
                <w:sz w:val="21"/>
                <w:szCs w:val="24"/>
                <w:lang w:val="en-US" w:eastAsia="zh-CN" w:bidi="ar-SA"/>
              </w:rPr>
            </w:pPr>
            <w:r>
              <w:rPr>
                <w:rFonts w:hint="eastAsia" w:cs="Times New Roman"/>
                <w:color w:val="auto"/>
                <w:kern w:val="0"/>
                <w:sz w:val="21"/>
                <w:szCs w:val="21"/>
                <w:highlight w:val="none"/>
                <w:lang w:val="en-US" w:eastAsia="zh-CN"/>
              </w:rPr>
              <w:t>堆肥间</w:t>
            </w:r>
          </w:p>
        </w:tc>
        <w:tc>
          <w:tcPr>
            <w:tcW w:w="948" w:type="dxa"/>
            <w:tcBorders>
              <w:tl2br w:val="nil"/>
              <w:tr2bl w:val="nil"/>
            </w:tcBorders>
            <w:vAlign w:val="center"/>
          </w:tcPr>
          <w:p w14:paraId="473D503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4"/>
                <w:lang w:val="en-US" w:eastAsia="zh-CN" w:bidi="ar-SA"/>
              </w:rPr>
            </w:pPr>
            <w:r>
              <w:rPr>
                <w:rFonts w:hint="eastAsia" w:cs="Times New Roman"/>
                <w:bCs w:val="0"/>
                <w:color w:val="000000"/>
                <w:spacing w:val="0"/>
                <w:kern w:val="2"/>
                <w:sz w:val="21"/>
                <w:szCs w:val="21"/>
                <w:highlight w:val="none"/>
                <w:lang w:val="en-US" w:eastAsia="zh-CN"/>
              </w:rPr>
              <w:t>-116</w:t>
            </w:r>
          </w:p>
        </w:tc>
        <w:tc>
          <w:tcPr>
            <w:tcW w:w="816" w:type="dxa"/>
            <w:tcBorders>
              <w:tl2br w:val="nil"/>
              <w:tr2bl w:val="nil"/>
            </w:tcBorders>
            <w:vAlign w:val="center"/>
          </w:tcPr>
          <w:p w14:paraId="7E199BE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4"/>
                <w:lang w:val="en-US" w:eastAsia="zh-CN" w:bidi="ar-SA"/>
              </w:rPr>
            </w:pPr>
            <w:r>
              <w:rPr>
                <w:rFonts w:hint="eastAsia" w:cs="Times New Roman"/>
                <w:bCs w:val="0"/>
                <w:color w:val="000000"/>
                <w:spacing w:val="0"/>
                <w:kern w:val="2"/>
                <w:sz w:val="21"/>
                <w:szCs w:val="21"/>
                <w:highlight w:val="none"/>
                <w:lang w:val="en-US" w:eastAsia="zh-CN"/>
              </w:rPr>
              <w:t>-315</w:t>
            </w:r>
          </w:p>
        </w:tc>
        <w:tc>
          <w:tcPr>
            <w:tcW w:w="1153" w:type="dxa"/>
            <w:tcBorders>
              <w:tl2br w:val="nil"/>
              <w:tr2bl w:val="nil"/>
            </w:tcBorders>
            <w:vAlign w:val="center"/>
          </w:tcPr>
          <w:p w14:paraId="6BCDA7D4">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463B864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20</w:t>
            </w:r>
          </w:p>
        </w:tc>
        <w:tc>
          <w:tcPr>
            <w:tcW w:w="993" w:type="dxa"/>
            <w:tcBorders>
              <w:tl2br w:val="nil"/>
              <w:tr2bl w:val="nil"/>
            </w:tcBorders>
            <w:vAlign w:val="center"/>
          </w:tcPr>
          <w:p w14:paraId="38417A4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40</w:t>
            </w:r>
          </w:p>
        </w:tc>
        <w:tc>
          <w:tcPr>
            <w:tcW w:w="1064" w:type="dxa"/>
            <w:tcBorders>
              <w:tl2br w:val="nil"/>
              <w:tr2bl w:val="nil"/>
            </w:tcBorders>
            <w:vAlign w:val="center"/>
          </w:tcPr>
          <w:p w14:paraId="255DF81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104.61</w:t>
            </w:r>
          </w:p>
        </w:tc>
        <w:tc>
          <w:tcPr>
            <w:tcW w:w="1135" w:type="dxa"/>
            <w:tcBorders>
              <w:tl2br w:val="nil"/>
              <w:tr2bl w:val="nil"/>
            </w:tcBorders>
            <w:vAlign w:val="center"/>
          </w:tcPr>
          <w:p w14:paraId="5937A335">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8</w:t>
            </w:r>
          </w:p>
        </w:tc>
        <w:tc>
          <w:tcPr>
            <w:tcW w:w="993" w:type="dxa"/>
            <w:tcBorders>
              <w:tl2br w:val="nil"/>
              <w:tr2bl w:val="nil"/>
            </w:tcBorders>
            <w:vAlign w:val="center"/>
          </w:tcPr>
          <w:p w14:paraId="2FA1AAB3">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4728</w:t>
            </w:r>
          </w:p>
        </w:tc>
        <w:tc>
          <w:tcPr>
            <w:tcW w:w="922" w:type="dxa"/>
            <w:tcBorders>
              <w:tl2br w:val="nil"/>
              <w:tr2bl w:val="nil"/>
            </w:tcBorders>
            <w:vAlign w:val="center"/>
          </w:tcPr>
          <w:p w14:paraId="67C2666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6783AC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kern w:val="0"/>
                <w:sz w:val="21"/>
                <w:szCs w:val="21"/>
                <w:u w:val="none"/>
                <w:lang w:val="en-US" w:eastAsia="zh-CN" w:bidi="ar"/>
              </w:rPr>
              <w:t>0.0063</w:t>
            </w:r>
          </w:p>
        </w:tc>
        <w:tc>
          <w:tcPr>
            <w:tcW w:w="1277" w:type="dxa"/>
            <w:tcBorders>
              <w:tl2br w:val="nil"/>
              <w:tr2bl w:val="nil"/>
            </w:tcBorders>
            <w:vAlign w:val="center"/>
          </w:tcPr>
          <w:p w14:paraId="2761AE8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w:t>
            </w:r>
            <w:r>
              <w:rPr>
                <w:rFonts w:hint="eastAsia" w:cs="Times New Roman"/>
                <w:color w:val="auto"/>
                <w:kern w:val="0"/>
                <w:sz w:val="21"/>
                <w:szCs w:val="21"/>
                <w:highlight w:val="none"/>
                <w:lang w:val="en-US" w:eastAsia="zh-CN"/>
              </w:rPr>
              <w:t>063</w:t>
            </w:r>
          </w:p>
        </w:tc>
        <w:tc>
          <w:tcPr>
            <w:tcW w:w="1101" w:type="dxa"/>
            <w:tcBorders>
              <w:tl2br w:val="nil"/>
              <w:tr2bl w:val="nil"/>
            </w:tcBorders>
            <w:vAlign w:val="center"/>
          </w:tcPr>
          <w:p w14:paraId="1D86DC8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0.0004</w:t>
            </w:r>
          </w:p>
        </w:tc>
      </w:tr>
      <w:tr w14:paraId="324FFB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shd w:val="clear" w:color="auto" w:fill="auto"/>
            <w:vAlign w:val="center"/>
          </w:tcPr>
          <w:p w14:paraId="3F57DF0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2</w:t>
            </w:r>
          </w:p>
        </w:tc>
        <w:tc>
          <w:tcPr>
            <w:tcW w:w="1511" w:type="dxa"/>
            <w:tcBorders>
              <w:tl2br w:val="nil"/>
              <w:tr2bl w:val="nil"/>
            </w:tcBorders>
            <w:vAlign w:val="center"/>
          </w:tcPr>
          <w:p w14:paraId="15FDBC8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堆肥区</w:t>
            </w:r>
          </w:p>
        </w:tc>
        <w:tc>
          <w:tcPr>
            <w:tcW w:w="948" w:type="dxa"/>
            <w:tcBorders>
              <w:tl2br w:val="nil"/>
              <w:tr2bl w:val="nil"/>
            </w:tcBorders>
            <w:vAlign w:val="center"/>
          </w:tcPr>
          <w:p w14:paraId="47A8658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-116</w:t>
            </w:r>
          </w:p>
        </w:tc>
        <w:tc>
          <w:tcPr>
            <w:tcW w:w="816" w:type="dxa"/>
            <w:tcBorders>
              <w:tl2br w:val="nil"/>
              <w:tr2bl w:val="nil"/>
            </w:tcBorders>
            <w:vAlign w:val="center"/>
          </w:tcPr>
          <w:p w14:paraId="49257CC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cs="Times New Roman"/>
                <w:bCs w:val="0"/>
                <w:color w:val="000000"/>
                <w:spacing w:val="0"/>
                <w:kern w:val="2"/>
                <w:sz w:val="21"/>
                <w:szCs w:val="21"/>
                <w:highlight w:val="none"/>
                <w:lang w:val="en-US" w:eastAsia="zh-CN"/>
              </w:rPr>
            </w:pPr>
            <w:r>
              <w:rPr>
                <w:rFonts w:hint="eastAsia" w:cs="Times New Roman"/>
                <w:bCs w:val="0"/>
                <w:color w:val="000000"/>
                <w:spacing w:val="0"/>
                <w:kern w:val="2"/>
                <w:sz w:val="21"/>
                <w:szCs w:val="21"/>
                <w:highlight w:val="none"/>
                <w:lang w:val="en-US" w:eastAsia="zh-CN"/>
              </w:rPr>
              <w:t>-335</w:t>
            </w:r>
          </w:p>
        </w:tc>
        <w:tc>
          <w:tcPr>
            <w:tcW w:w="1153" w:type="dxa"/>
            <w:tcBorders>
              <w:tl2br w:val="nil"/>
              <w:tr2bl w:val="nil"/>
            </w:tcBorders>
            <w:vAlign w:val="center"/>
          </w:tcPr>
          <w:p w14:paraId="73948B02">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2FA0824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40</w:t>
            </w:r>
          </w:p>
        </w:tc>
        <w:tc>
          <w:tcPr>
            <w:tcW w:w="993" w:type="dxa"/>
            <w:tcBorders>
              <w:tl2br w:val="nil"/>
              <w:tr2bl w:val="nil"/>
            </w:tcBorders>
            <w:vAlign w:val="center"/>
          </w:tcPr>
          <w:p w14:paraId="6978BA8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80</w:t>
            </w:r>
          </w:p>
        </w:tc>
        <w:tc>
          <w:tcPr>
            <w:tcW w:w="1064" w:type="dxa"/>
            <w:tcBorders>
              <w:tl2br w:val="nil"/>
              <w:tr2bl w:val="nil"/>
            </w:tcBorders>
            <w:vAlign w:val="center"/>
          </w:tcPr>
          <w:p w14:paraId="3A45C60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98.81</w:t>
            </w:r>
          </w:p>
        </w:tc>
        <w:tc>
          <w:tcPr>
            <w:tcW w:w="1135" w:type="dxa"/>
            <w:tcBorders>
              <w:tl2br w:val="nil"/>
              <w:tr2bl w:val="nil"/>
            </w:tcBorders>
            <w:vAlign w:val="center"/>
          </w:tcPr>
          <w:p w14:paraId="686E71D7">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2</w:t>
            </w:r>
          </w:p>
        </w:tc>
        <w:tc>
          <w:tcPr>
            <w:tcW w:w="993" w:type="dxa"/>
            <w:tcBorders>
              <w:tl2br w:val="nil"/>
              <w:tr2bl w:val="nil"/>
            </w:tcBorders>
            <w:vAlign w:val="center"/>
          </w:tcPr>
          <w:p w14:paraId="188C5894">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ascii="Times New Roman" w:hAnsi="Times New Roman" w:eastAsia="宋体" w:cs="Times New Roman"/>
                <w:bCs w:val="0"/>
                <w:color w:val="000000"/>
                <w:spacing w:val="0"/>
                <w:kern w:val="2"/>
                <w:sz w:val="21"/>
                <w:szCs w:val="21"/>
                <w:lang w:val="en-US" w:eastAsia="zh-CN"/>
              </w:rPr>
            </w:pPr>
            <w:r>
              <w:rPr>
                <w:rFonts w:hint="eastAsia" w:cs="Times New Roman"/>
                <w:bCs w:val="0"/>
                <w:color w:val="000000"/>
                <w:spacing w:val="0"/>
                <w:kern w:val="2"/>
                <w:sz w:val="21"/>
                <w:szCs w:val="21"/>
                <w:lang w:val="en-US" w:eastAsia="zh-CN"/>
              </w:rPr>
              <w:t>4728</w:t>
            </w:r>
          </w:p>
        </w:tc>
        <w:tc>
          <w:tcPr>
            <w:tcW w:w="922" w:type="dxa"/>
            <w:tcBorders>
              <w:tl2br w:val="nil"/>
              <w:tr2bl w:val="nil"/>
            </w:tcBorders>
            <w:vAlign w:val="center"/>
          </w:tcPr>
          <w:p w14:paraId="1FABC3B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69EAB355">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0.0021</w:t>
            </w:r>
          </w:p>
        </w:tc>
        <w:tc>
          <w:tcPr>
            <w:tcW w:w="1277" w:type="dxa"/>
            <w:tcBorders>
              <w:tl2br w:val="nil"/>
              <w:tr2bl w:val="nil"/>
            </w:tcBorders>
            <w:vAlign w:val="center"/>
          </w:tcPr>
          <w:p w14:paraId="1DEBD2B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101" w:type="dxa"/>
            <w:tcBorders>
              <w:tl2br w:val="nil"/>
              <w:tr2bl w:val="nil"/>
            </w:tcBorders>
            <w:vAlign w:val="center"/>
          </w:tcPr>
          <w:p w14:paraId="22B1FDC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cs="Times New Roman"/>
                <w:sz w:val="21"/>
                <w:szCs w:val="21"/>
                <w:highlight w:val="none"/>
                <w:lang w:val="en-US" w:eastAsia="zh-CN"/>
              </w:rPr>
            </w:pPr>
          </w:p>
        </w:tc>
      </w:tr>
      <w:tr w14:paraId="7B4B3E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shd w:val="clear" w:color="auto" w:fill="auto"/>
            <w:vAlign w:val="center"/>
          </w:tcPr>
          <w:p w14:paraId="0319C9D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3</w:t>
            </w:r>
          </w:p>
        </w:tc>
        <w:tc>
          <w:tcPr>
            <w:tcW w:w="1511" w:type="dxa"/>
            <w:tcBorders>
              <w:tl2br w:val="nil"/>
              <w:tr2bl w:val="nil"/>
            </w:tcBorders>
            <w:vAlign w:val="center"/>
          </w:tcPr>
          <w:p w14:paraId="77D4905C">
            <w:pPr>
              <w:keepNext w:val="0"/>
              <w:keepLines w:val="0"/>
              <w:pageBreakBefore w:val="0"/>
              <w:widowControl/>
              <w:tabs>
                <w:tab w:val="left" w:pos="420"/>
              </w:tabs>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kern w:val="2"/>
                <w:sz w:val="21"/>
                <w:szCs w:val="24"/>
                <w:highlight w:val="none"/>
                <w:lang w:val="en-US" w:eastAsia="zh-CN" w:bidi="ar-SA"/>
              </w:rPr>
            </w:pPr>
            <w:r>
              <w:rPr>
                <w:rFonts w:hint="eastAsia" w:ascii="Times New Roman" w:hAnsi="Times New Roman" w:cs="Times New Roman"/>
                <w:color w:val="000000"/>
                <w:kern w:val="2"/>
                <w:sz w:val="21"/>
                <w:szCs w:val="24"/>
                <w:highlight w:val="none"/>
                <w:lang w:val="en-US" w:eastAsia="zh-CN" w:bidi="ar-SA"/>
              </w:rPr>
              <w:t>养殖区</w:t>
            </w:r>
          </w:p>
        </w:tc>
        <w:tc>
          <w:tcPr>
            <w:tcW w:w="948" w:type="dxa"/>
            <w:tcBorders>
              <w:tl2br w:val="nil"/>
              <w:tr2bl w:val="nil"/>
            </w:tcBorders>
            <w:vAlign w:val="center"/>
          </w:tcPr>
          <w:p w14:paraId="57003FC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51</w:t>
            </w:r>
          </w:p>
        </w:tc>
        <w:tc>
          <w:tcPr>
            <w:tcW w:w="816" w:type="dxa"/>
            <w:tcBorders>
              <w:tl2br w:val="nil"/>
              <w:tr2bl w:val="nil"/>
            </w:tcBorders>
            <w:vAlign w:val="center"/>
          </w:tcPr>
          <w:p w14:paraId="14E3469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-395</w:t>
            </w:r>
          </w:p>
        </w:tc>
        <w:tc>
          <w:tcPr>
            <w:tcW w:w="1153" w:type="dxa"/>
            <w:tcBorders>
              <w:tl2br w:val="nil"/>
              <w:tr2bl w:val="nil"/>
            </w:tcBorders>
            <w:vAlign w:val="center"/>
          </w:tcPr>
          <w:p w14:paraId="41D88931">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cs="Times New Roman"/>
                <w:bCs w:val="0"/>
                <w:color w:val="000000"/>
                <w:spacing w:val="0"/>
                <w:kern w:val="2"/>
                <w:sz w:val="21"/>
                <w:szCs w:val="21"/>
                <w:highlight w:val="none"/>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4003A06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122</w:t>
            </w:r>
          </w:p>
        </w:tc>
        <w:tc>
          <w:tcPr>
            <w:tcW w:w="993" w:type="dxa"/>
            <w:tcBorders>
              <w:tl2br w:val="nil"/>
              <w:tr2bl w:val="nil"/>
            </w:tcBorders>
            <w:vAlign w:val="center"/>
          </w:tcPr>
          <w:p w14:paraId="706EC2E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highlight w:val="none"/>
                <w:lang w:val="en-US" w:eastAsia="zh-CN" w:bidi="ar-SA"/>
              </w:rPr>
            </w:pPr>
            <w:r>
              <w:rPr>
                <w:rFonts w:hint="eastAsia" w:cs="Times New Roman"/>
                <w:bCs w:val="0"/>
                <w:color w:val="000000"/>
                <w:spacing w:val="0"/>
                <w:kern w:val="2"/>
                <w:sz w:val="21"/>
                <w:szCs w:val="21"/>
                <w:highlight w:val="none"/>
                <w:lang w:val="en-US" w:eastAsia="zh-CN" w:bidi="ar-SA"/>
              </w:rPr>
              <w:t>815</w:t>
            </w:r>
          </w:p>
        </w:tc>
        <w:tc>
          <w:tcPr>
            <w:tcW w:w="1064" w:type="dxa"/>
            <w:tcBorders>
              <w:tl2br w:val="nil"/>
              <w:tr2bl w:val="nil"/>
            </w:tcBorders>
            <w:vAlign w:val="center"/>
          </w:tcPr>
          <w:p w14:paraId="02201FA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lang w:val="en-US" w:eastAsia="zh-CN" w:bidi="ar-SA"/>
              </w:rPr>
              <w:t>83.02</w:t>
            </w:r>
          </w:p>
        </w:tc>
        <w:tc>
          <w:tcPr>
            <w:tcW w:w="1135" w:type="dxa"/>
            <w:tcBorders>
              <w:tl2br w:val="nil"/>
              <w:tr2bl w:val="nil"/>
            </w:tcBorders>
            <w:vAlign w:val="center"/>
          </w:tcPr>
          <w:p w14:paraId="0A275DAD">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ascii="Times New Roman" w:hAnsi="Times New Roman" w:eastAsia="宋体" w:cs="Times New Roman"/>
                <w:bCs w:val="0"/>
                <w:color w:val="000000"/>
                <w:spacing w:val="0"/>
                <w:kern w:val="2"/>
                <w:sz w:val="21"/>
                <w:szCs w:val="21"/>
                <w:highlight w:val="none"/>
                <w:lang w:val="en-US" w:eastAsia="zh-CN" w:bidi="ar-SA"/>
              </w:rPr>
            </w:pPr>
            <w:r>
              <w:rPr>
                <w:rFonts w:hint="eastAsia" w:cs="Times New Roman"/>
                <w:bCs w:val="0"/>
                <w:color w:val="000000"/>
                <w:spacing w:val="0"/>
                <w:kern w:val="2"/>
                <w:sz w:val="21"/>
                <w:szCs w:val="21"/>
                <w:highlight w:val="none"/>
                <w:lang w:val="en-US" w:eastAsia="zh-CN" w:bidi="ar-SA"/>
              </w:rPr>
              <w:t>8</w:t>
            </w:r>
          </w:p>
        </w:tc>
        <w:tc>
          <w:tcPr>
            <w:tcW w:w="993" w:type="dxa"/>
            <w:tcBorders>
              <w:tl2br w:val="nil"/>
              <w:tr2bl w:val="nil"/>
            </w:tcBorders>
            <w:vAlign w:val="center"/>
          </w:tcPr>
          <w:p w14:paraId="2663DA0E">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ascii="Times New Roman" w:hAnsi="Times New Roman" w:cs="Times New Roman"/>
                <w:bCs w:val="0"/>
                <w:color w:val="000000"/>
                <w:spacing w:val="0"/>
                <w:kern w:val="2"/>
                <w:sz w:val="21"/>
                <w:szCs w:val="21"/>
                <w:highlight w:val="none"/>
                <w:lang w:val="en-US" w:eastAsia="zh-CN"/>
              </w:rPr>
            </w:pPr>
            <w:r>
              <w:rPr>
                <w:rFonts w:hint="eastAsia" w:cs="宋体"/>
                <w:color w:val="auto"/>
                <w:sz w:val="21"/>
                <w:szCs w:val="22"/>
                <w:highlight w:val="none"/>
                <w:lang w:val="en-US" w:eastAsia="zh-CN" w:bidi="ar-SA"/>
              </w:rPr>
              <w:t>8760（饲料搅拌5840）</w:t>
            </w:r>
          </w:p>
        </w:tc>
        <w:tc>
          <w:tcPr>
            <w:tcW w:w="922" w:type="dxa"/>
            <w:tcBorders>
              <w:tl2br w:val="nil"/>
              <w:tr2bl w:val="nil"/>
            </w:tcBorders>
            <w:vAlign w:val="center"/>
          </w:tcPr>
          <w:p w14:paraId="3BE0F5B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连续</w:t>
            </w:r>
          </w:p>
        </w:tc>
        <w:tc>
          <w:tcPr>
            <w:tcW w:w="1029" w:type="dxa"/>
            <w:tcBorders>
              <w:tl2br w:val="nil"/>
              <w:tr2bl w:val="nil"/>
            </w:tcBorders>
            <w:shd w:val="clear" w:color="auto" w:fill="auto"/>
            <w:vAlign w:val="center"/>
          </w:tcPr>
          <w:p w14:paraId="232692A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2"/>
                <w:sz w:val="21"/>
                <w:szCs w:val="21"/>
                <w:u w:val="none"/>
                <w:lang w:val="en-US" w:eastAsia="zh-CN" w:bidi="ar-SA"/>
              </w:rPr>
              <w:t>0.161</w:t>
            </w:r>
            <w:r>
              <w:rPr>
                <w:rFonts w:hint="eastAsia" w:cs="Times New Roman"/>
                <w:i w:val="0"/>
                <w:iCs w:val="0"/>
                <w:color w:val="000000"/>
                <w:kern w:val="2"/>
                <w:sz w:val="21"/>
                <w:szCs w:val="21"/>
                <w:u w:val="none"/>
                <w:lang w:val="en-US" w:eastAsia="zh-CN" w:bidi="ar-SA"/>
              </w:rPr>
              <w:t>0</w:t>
            </w:r>
          </w:p>
        </w:tc>
        <w:tc>
          <w:tcPr>
            <w:tcW w:w="1277" w:type="dxa"/>
            <w:tcBorders>
              <w:tl2br w:val="nil"/>
              <w:tr2bl w:val="nil"/>
            </w:tcBorders>
            <w:shd w:val="clear" w:color="auto" w:fill="auto"/>
            <w:vAlign w:val="center"/>
          </w:tcPr>
          <w:p w14:paraId="04443CE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0674</w:t>
            </w:r>
          </w:p>
        </w:tc>
        <w:tc>
          <w:tcPr>
            <w:tcW w:w="1101" w:type="dxa"/>
            <w:tcBorders>
              <w:tl2br w:val="nil"/>
              <w:tr2bl w:val="nil"/>
            </w:tcBorders>
            <w:vAlign w:val="center"/>
          </w:tcPr>
          <w:p w14:paraId="65CD311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ascii="Times New Roman" w:hAnsi="Times New Roman" w:eastAsia="宋体" w:cs="Times New Roman"/>
                <w:kern w:val="2"/>
                <w:sz w:val="21"/>
                <w:szCs w:val="20"/>
                <w:highlight w:val="none"/>
                <w:lang w:val="en-US" w:eastAsia="zh-CN" w:bidi="ar-SA"/>
              </w:rPr>
              <w:t>0.00</w:t>
            </w:r>
            <w:r>
              <w:rPr>
                <w:rFonts w:hint="eastAsia" w:cs="Times New Roman"/>
                <w:kern w:val="2"/>
                <w:sz w:val="21"/>
                <w:szCs w:val="20"/>
                <w:highlight w:val="none"/>
                <w:lang w:val="en-US" w:eastAsia="zh-CN" w:bidi="ar-SA"/>
              </w:rPr>
              <w:t>11</w:t>
            </w:r>
          </w:p>
        </w:tc>
      </w:tr>
      <w:tr w14:paraId="3CA3F0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8" w:type="dxa"/>
            <w:tcBorders>
              <w:tl2br w:val="nil"/>
              <w:tr2bl w:val="nil"/>
            </w:tcBorders>
            <w:shd w:val="clear" w:color="auto" w:fill="auto"/>
            <w:vAlign w:val="center"/>
          </w:tcPr>
          <w:p w14:paraId="09A74EB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4</w:t>
            </w:r>
          </w:p>
        </w:tc>
        <w:tc>
          <w:tcPr>
            <w:tcW w:w="1511" w:type="dxa"/>
            <w:tcBorders>
              <w:tl2br w:val="nil"/>
              <w:tr2bl w:val="nil"/>
            </w:tcBorders>
            <w:vAlign w:val="center"/>
          </w:tcPr>
          <w:p w14:paraId="29EA588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000000"/>
                <w:kern w:val="2"/>
                <w:sz w:val="21"/>
                <w:szCs w:val="24"/>
                <w:lang w:val="en-US" w:eastAsia="zh-CN" w:bidi="ar-SA"/>
              </w:rPr>
            </w:pPr>
            <w:r>
              <w:rPr>
                <w:rFonts w:hint="eastAsia" w:cs="Times New Roman"/>
                <w:color w:val="000000"/>
                <w:kern w:val="2"/>
                <w:sz w:val="21"/>
                <w:szCs w:val="24"/>
                <w:lang w:val="en-US" w:eastAsia="zh-CN" w:bidi="ar-SA"/>
              </w:rPr>
              <w:t>饲料加工区</w:t>
            </w:r>
          </w:p>
        </w:tc>
        <w:tc>
          <w:tcPr>
            <w:tcW w:w="948" w:type="dxa"/>
            <w:tcBorders>
              <w:tl2br w:val="nil"/>
              <w:tr2bl w:val="nil"/>
            </w:tcBorders>
            <w:vAlign w:val="center"/>
          </w:tcPr>
          <w:p w14:paraId="76DAD81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-35</w:t>
            </w:r>
          </w:p>
        </w:tc>
        <w:tc>
          <w:tcPr>
            <w:tcW w:w="816" w:type="dxa"/>
            <w:tcBorders>
              <w:tl2br w:val="nil"/>
              <w:tr2bl w:val="nil"/>
            </w:tcBorders>
            <w:vAlign w:val="center"/>
          </w:tcPr>
          <w:p w14:paraId="2F4C31A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5</w:t>
            </w:r>
          </w:p>
        </w:tc>
        <w:tc>
          <w:tcPr>
            <w:tcW w:w="1153" w:type="dxa"/>
            <w:tcBorders>
              <w:tl2br w:val="nil"/>
              <w:tr2bl w:val="nil"/>
            </w:tcBorders>
            <w:vAlign w:val="center"/>
          </w:tcPr>
          <w:p w14:paraId="2E93FB80">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314</w:t>
            </w:r>
          </w:p>
        </w:tc>
        <w:tc>
          <w:tcPr>
            <w:tcW w:w="763" w:type="dxa"/>
            <w:tcBorders>
              <w:tl2br w:val="nil"/>
              <w:tr2bl w:val="nil"/>
            </w:tcBorders>
            <w:vAlign w:val="center"/>
          </w:tcPr>
          <w:p w14:paraId="5FE4FCE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7</w:t>
            </w:r>
          </w:p>
        </w:tc>
        <w:tc>
          <w:tcPr>
            <w:tcW w:w="993" w:type="dxa"/>
            <w:tcBorders>
              <w:tl2br w:val="nil"/>
              <w:tr2bl w:val="nil"/>
            </w:tcBorders>
            <w:vAlign w:val="center"/>
          </w:tcPr>
          <w:p w14:paraId="4523866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50</w:t>
            </w:r>
          </w:p>
        </w:tc>
        <w:tc>
          <w:tcPr>
            <w:tcW w:w="1064" w:type="dxa"/>
            <w:tcBorders>
              <w:tl2br w:val="nil"/>
              <w:tr2bl w:val="nil"/>
            </w:tcBorders>
            <w:vAlign w:val="center"/>
          </w:tcPr>
          <w:p w14:paraId="5143D0F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109.84</w:t>
            </w:r>
          </w:p>
        </w:tc>
        <w:tc>
          <w:tcPr>
            <w:tcW w:w="1135" w:type="dxa"/>
            <w:tcBorders>
              <w:tl2br w:val="nil"/>
              <w:tr2bl w:val="nil"/>
            </w:tcBorders>
            <w:vAlign w:val="center"/>
          </w:tcPr>
          <w:p w14:paraId="4AE8A6CC">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5</w:t>
            </w:r>
          </w:p>
        </w:tc>
        <w:tc>
          <w:tcPr>
            <w:tcW w:w="993" w:type="dxa"/>
            <w:tcBorders>
              <w:tl2br w:val="nil"/>
              <w:tr2bl w:val="nil"/>
            </w:tcBorders>
            <w:vAlign w:val="center"/>
          </w:tcPr>
          <w:p w14:paraId="02F86A20">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cs="Times New Roman"/>
                <w:bCs w:val="0"/>
                <w:color w:val="000000"/>
                <w:spacing w:val="0"/>
                <w:kern w:val="2"/>
                <w:sz w:val="21"/>
                <w:szCs w:val="21"/>
                <w:lang w:val="en-US" w:eastAsia="zh-CN"/>
              </w:rPr>
            </w:pPr>
            <w:r>
              <w:rPr>
                <w:rFonts w:hint="eastAsia" w:cs="宋体"/>
                <w:color w:val="auto"/>
                <w:sz w:val="21"/>
                <w:szCs w:val="22"/>
                <w:lang w:val="en-US" w:eastAsia="zh-CN" w:bidi="ar-SA"/>
              </w:rPr>
              <w:t>5840</w:t>
            </w:r>
          </w:p>
        </w:tc>
        <w:tc>
          <w:tcPr>
            <w:tcW w:w="922" w:type="dxa"/>
            <w:tcBorders>
              <w:tl2br w:val="nil"/>
              <w:tr2bl w:val="nil"/>
            </w:tcBorders>
            <w:vAlign w:val="center"/>
          </w:tcPr>
          <w:p w14:paraId="1F68E08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4645A6D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0.0205</w:t>
            </w:r>
          </w:p>
        </w:tc>
        <w:tc>
          <w:tcPr>
            <w:tcW w:w="1277" w:type="dxa"/>
            <w:tcBorders>
              <w:tl2br w:val="nil"/>
              <w:tr2bl w:val="nil"/>
            </w:tcBorders>
            <w:vAlign w:val="center"/>
          </w:tcPr>
          <w:p w14:paraId="228F4B4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p>
        </w:tc>
        <w:tc>
          <w:tcPr>
            <w:tcW w:w="1101" w:type="dxa"/>
            <w:tcBorders>
              <w:tl2br w:val="nil"/>
              <w:tr2bl w:val="nil"/>
            </w:tcBorders>
            <w:vAlign w:val="center"/>
          </w:tcPr>
          <w:p w14:paraId="2F7EB12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p>
        </w:tc>
      </w:tr>
      <w:tr w14:paraId="030FC5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54" w:hRule="atLeast"/>
          <w:jc w:val="center"/>
        </w:trPr>
        <w:tc>
          <w:tcPr>
            <w:tcW w:w="468" w:type="dxa"/>
            <w:tcBorders>
              <w:tl2br w:val="nil"/>
              <w:tr2bl w:val="nil"/>
            </w:tcBorders>
            <w:vAlign w:val="center"/>
          </w:tcPr>
          <w:p w14:paraId="60AEF08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000000"/>
                <w:kern w:val="2"/>
                <w:sz w:val="21"/>
                <w:szCs w:val="24"/>
                <w:lang w:val="en-US" w:eastAsia="zh-CN" w:bidi="ar-SA"/>
              </w:rPr>
            </w:pPr>
            <w:r>
              <w:rPr>
                <w:rFonts w:hint="eastAsia" w:cs="Times New Roman"/>
                <w:color w:val="000000"/>
                <w:kern w:val="2"/>
                <w:sz w:val="21"/>
                <w:szCs w:val="24"/>
                <w:lang w:val="en-US" w:eastAsia="zh-CN" w:bidi="ar-SA"/>
              </w:rPr>
              <w:t>5</w:t>
            </w:r>
          </w:p>
        </w:tc>
        <w:tc>
          <w:tcPr>
            <w:tcW w:w="1511" w:type="dxa"/>
            <w:tcBorders>
              <w:tl2br w:val="nil"/>
              <w:tr2bl w:val="nil"/>
            </w:tcBorders>
            <w:vAlign w:val="center"/>
          </w:tcPr>
          <w:p w14:paraId="4E5546A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color w:val="000000"/>
                <w:kern w:val="2"/>
                <w:sz w:val="21"/>
                <w:szCs w:val="24"/>
                <w:lang w:val="en-US" w:eastAsia="zh-CN" w:bidi="ar-SA"/>
              </w:rPr>
            </w:pPr>
            <w:r>
              <w:rPr>
                <w:rFonts w:hint="eastAsia" w:ascii="Times New Roman" w:hAnsi="Times New Roman" w:cs="Times New Roman"/>
                <w:color w:val="auto"/>
                <w:kern w:val="0"/>
                <w:sz w:val="21"/>
                <w:szCs w:val="21"/>
                <w:lang w:val="en-US" w:eastAsia="zh-CN"/>
              </w:rPr>
              <w:t>还田区</w:t>
            </w:r>
          </w:p>
        </w:tc>
        <w:tc>
          <w:tcPr>
            <w:tcW w:w="948" w:type="dxa"/>
            <w:tcBorders>
              <w:tl2br w:val="nil"/>
              <w:tr2bl w:val="nil"/>
            </w:tcBorders>
            <w:vAlign w:val="center"/>
          </w:tcPr>
          <w:p w14:paraId="6D7E20D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-1950</w:t>
            </w:r>
          </w:p>
        </w:tc>
        <w:tc>
          <w:tcPr>
            <w:tcW w:w="816" w:type="dxa"/>
            <w:tcBorders>
              <w:tl2br w:val="nil"/>
              <w:tr2bl w:val="nil"/>
            </w:tcBorders>
            <w:vAlign w:val="center"/>
          </w:tcPr>
          <w:p w14:paraId="61DBF57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4930</w:t>
            </w:r>
          </w:p>
        </w:tc>
        <w:tc>
          <w:tcPr>
            <w:tcW w:w="1153" w:type="dxa"/>
            <w:tcBorders>
              <w:tl2br w:val="nil"/>
              <w:tr2bl w:val="nil"/>
            </w:tcBorders>
            <w:vAlign w:val="center"/>
          </w:tcPr>
          <w:p w14:paraId="1A3FD9AF">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309</w:t>
            </w:r>
          </w:p>
        </w:tc>
        <w:tc>
          <w:tcPr>
            <w:tcW w:w="763" w:type="dxa"/>
            <w:tcBorders>
              <w:tl2br w:val="nil"/>
              <w:tr2bl w:val="nil"/>
            </w:tcBorders>
            <w:vAlign w:val="center"/>
          </w:tcPr>
          <w:p w14:paraId="0734F2E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1620</w:t>
            </w:r>
          </w:p>
        </w:tc>
        <w:tc>
          <w:tcPr>
            <w:tcW w:w="993" w:type="dxa"/>
            <w:tcBorders>
              <w:tl2br w:val="nil"/>
              <w:tr2bl w:val="nil"/>
            </w:tcBorders>
            <w:vAlign w:val="center"/>
          </w:tcPr>
          <w:p w14:paraId="59B6992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bCs w:val="0"/>
                <w:color w:val="000000"/>
                <w:spacing w:val="0"/>
                <w:kern w:val="2"/>
                <w:sz w:val="21"/>
                <w:szCs w:val="21"/>
                <w:lang w:val="en-US" w:eastAsia="zh-CN" w:bidi="ar-SA"/>
              </w:rPr>
              <w:t>2160</w:t>
            </w:r>
          </w:p>
        </w:tc>
        <w:tc>
          <w:tcPr>
            <w:tcW w:w="1064" w:type="dxa"/>
            <w:tcBorders>
              <w:tl2br w:val="nil"/>
              <w:tr2bl w:val="nil"/>
            </w:tcBorders>
            <w:vAlign w:val="center"/>
          </w:tcPr>
          <w:p w14:paraId="6E67E1E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kern w:val="2"/>
                <w:sz w:val="21"/>
                <w:szCs w:val="24"/>
                <w:lang w:val="en-US" w:eastAsia="zh-CN" w:bidi="ar-SA"/>
              </w:rPr>
            </w:pPr>
            <w:r>
              <w:rPr>
                <w:rFonts w:hint="eastAsia" w:cs="Times New Roman"/>
                <w:color w:val="auto"/>
                <w:kern w:val="2"/>
                <w:sz w:val="21"/>
                <w:szCs w:val="24"/>
                <w:lang w:val="en-US" w:eastAsia="zh-CN" w:bidi="ar-SA"/>
              </w:rPr>
              <w:t>89.99</w:t>
            </w:r>
          </w:p>
        </w:tc>
        <w:tc>
          <w:tcPr>
            <w:tcW w:w="1135" w:type="dxa"/>
            <w:tcBorders>
              <w:tl2br w:val="nil"/>
              <w:tr2bl w:val="nil"/>
            </w:tcBorders>
            <w:vAlign w:val="center"/>
          </w:tcPr>
          <w:p w14:paraId="56C12AE3">
            <w:pPr>
              <w:keepNext w:val="0"/>
              <w:keepLines w:val="0"/>
              <w:pageBreakBefore w:val="0"/>
              <w:widowControl w:val="0"/>
              <w:kinsoku/>
              <w:wordWrap/>
              <w:overflowPunct w:val="0"/>
              <w:topLinePunct w:val="0"/>
              <w:autoSpaceDE w:val="0"/>
              <w:autoSpaceDN w:val="0"/>
              <w:bidi w:val="0"/>
              <w:adjustRightInd w:val="0"/>
              <w:snapToGrid w:val="0"/>
              <w:spacing w:line="320" w:lineRule="exact"/>
              <w:ind w:left="0" w:leftChars="0" w:firstLine="0" w:firstLineChars="0"/>
              <w:jc w:val="center"/>
              <w:textAlignment w:val="baseline"/>
              <w:rPr>
                <w:rFonts w:hint="default" w:cs="Times New Roman"/>
                <w:bCs w:val="0"/>
                <w:color w:val="000000"/>
                <w:spacing w:val="0"/>
                <w:kern w:val="2"/>
                <w:sz w:val="21"/>
                <w:szCs w:val="21"/>
                <w:lang w:val="en-US" w:eastAsia="zh-CN" w:bidi="ar-SA"/>
              </w:rPr>
            </w:pPr>
            <w:r>
              <w:rPr>
                <w:rFonts w:hint="eastAsia" w:cs="Times New Roman"/>
                <w:bCs w:val="0"/>
                <w:color w:val="000000"/>
                <w:spacing w:val="0"/>
                <w:kern w:val="2"/>
                <w:sz w:val="21"/>
                <w:szCs w:val="21"/>
                <w:lang w:val="en-US" w:eastAsia="zh-CN" w:bidi="ar-SA"/>
              </w:rPr>
              <w:t>1</w:t>
            </w:r>
          </w:p>
        </w:tc>
        <w:tc>
          <w:tcPr>
            <w:tcW w:w="993" w:type="dxa"/>
            <w:tcBorders>
              <w:tl2br w:val="nil"/>
              <w:tr2bl w:val="nil"/>
            </w:tcBorders>
            <w:vAlign w:val="center"/>
          </w:tcPr>
          <w:p w14:paraId="4D2C3FBF">
            <w:pPr>
              <w:keepNext w:val="0"/>
              <w:keepLines w:val="0"/>
              <w:pageBreakBefore w:val="0"/>
              <w:widowControl w:val="0"/>
              <w:kinsoku/>
              <w:wordWrap/>
              <w:overflowPunct w:val="0"/>
              <w:topLinePunct w:val="0"/>
              <w:autoSpaceDE w:val="0"/>
              <w:autoSpaceDN w:val="0"/>
              <w:bidi w:val="0"/>
              <w:adjustRightInd w:val="0"/>
              <w:snapToGrid w:val="0"/>
              <w:spacing w:line="320" w:lineRule="exact"/>
              <w:jc w:val="center"/>
              <w:textAlignment w:val="baseline"/>
              <w:rPr>
                <w:rFonts w:hint="default" w:cs="Times New Roman"/>
                <w:bCs w:val="0"/>
                <w:color w:val="000000"/>
                <w:spacing w:val="0"/>
                <w:kern w:val="2"/>
                <w:sz w:val="21"/>
                <w:szCs w:val="21"/>
                <w:lang w:val="en-US" w:eastAsia="zh-CN"/>
              </w:rPr>
            </w:pPr>
            <w:r>
              <w:rPr>
                <w:rFonts w:hint="eastAsia" w:cs="Times New Roman"/>
                <w:bCs w:val="0"/>
                <w:color w:val="000000"/>
                <w:spacing w:val="0"/>
                <w:kern w:val="2"/>
                <w:sz w:val="21"/>
                <w:szCs w:val="21"/>
                <w:lang w:val="en-US" w:eastAsia="zh-CN"/>
              </w:rPr>
              <w:t>4728</w:t>
            </w:r>
          </w:p>
        </w:tc>
        <w:tc>
          <w:tcPr>
            <w:tcW w:w="922" w:type="dxa"/>
            <w:tcBorders>
              <w:tl2br w:val="nil"/>
              <w:tr2bl w:val="nil"/>
            </w:tcBorders>
            <w:vAlign w:val="center"/>
          </w:tcPr>
          <w:p w14:paraId="1BAF91D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连续</w:t>
            </w:r>
          </w:p>
        </w:tc>
        <w:tc>
          <w:tcPr>
            <w:tcW w:w="1029" w:type="dxa"/>
            <w:tcBorders>
              <w:tl2br w:val="nil"/>
              <w:tr2bl w:val="nil"/>
            </w:tcBorders>
            <w:shd w:val="clear" w:color="auto" w:fill="auto"/>
            <w:vAlign w:val="center"/>
          </w:tcPr>
          <w:p w14:paraId="64BEB01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p>
        </w:tc>
        <w:tc>
          <w:tcPr>
            <w:tcW w:w="1277" w:type="dxa"/>
            <w:tcBorders>
              <w:tl2br w:val="nil"/>
              <w:tr2bl w:val="nil"/>
            </w:tcBorders>
            <w:vAlign w:val="center"/>
          </w:tcPr>
          <w:p w14:paraId="0BEEBB4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0.2200</w:t>
            </w:r>
          </w:p>
        </w:tc>
        <w:tc>
          <w:tcPr>
            <w:tcW w:w="1101" w:type="dxa"/>
            <w:tcBorders>
              <w:tl2br w:val="nil"/>
              <w:tr2bl w:val="nil"/>
            </w:tcBorders>
            <w:vAlign w:val="center"/>
          </w:tcPr>
          <w:p w14:paraId="0ABE1AA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0.0021</w:t>
            </w:r>
          </w:p>
        </w:tc>
      </w:tr>
    </w:tbl>
    <w:p w14:paraId="34B09ECB">
      <w:pPr>
        <w:pageBreakBefore w:val="0"/>
        <w:kinsoku/>
        <w:wordWrap/>
        <w:topLinePunct w:val="0"/>
        <w:bidi w:val="0"/>
        <w:adjustRightInd/>
        <w:snapToGrid/>
        <w:spacing w:line="360" w:lineRule="auto"/>
        <w:ind w:firstLine="480" w:firstLineChars="200"/>
        <w:rPr>
          <w:rFonts w:hint="eastAsia" w:ascii="Times New Roman" w:hAnsi="Times New Roman" w:eastAsia="宋体" w:cs="Times New Roman"/>
          <w:sz w:val="24"/>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6B27D172">
      <w:pPr>
        <w:widowControl w:val="0"/>
        <w:overflowPunct w:val="0"/>
        <w:autoSpaceDE w:val="0"/>
        <w:autoSpaceDN w:val="0"/>
        <w:adjustRightInd w:val="0"/>
        <w:snapToGrid w:val="0"/>
        <w:spacing w:before="0" w:after="0" w:line="520" w:lineRule="exact"/>
        <w:ind w:left="0" w:right="0"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在所有工艺设备及环保设备工作正常的情况下，本项目排放的各废气污染物量较低，</w:t>
      </w:r>
      <w:r>
        <w:rPr>
          <w:rFonts w:hint="eastAsia" w:ascii="Times New Roman" w:hAnsi="Times New Roman" w:eastAsia="宋体" w:cs="Times New Roman"/>
          <w:color w:val="000000"/>
          <w:kern w:val="2"/>
          <w:sz w:val="24"/>
          <w:szCs w:val="24"/>
          <w:highlight w:val="none"/>
          <w:lang w:val="en-US" w:eastAsia="zh-CN" w:bidi="ar-SA"/>
        </w:rPr>
        <w:t>在</w:t>
      </w:r>
      <w:r>
        <w:rPr>
          <w:rFonts w:hint="default" w:ascii="Times New Roman" w:hAnsi="Times New Roman" w:eastAsia="宋体" w:cs="Times New Roman"/>
          <w:color w:val="000000"/>
          <w:kern w:val="2"/>
          <w:sz w:val="24"/>
          <w:szCs w:val="24"/>
          <w:highlight w:val="none"/>
          <w:lang w:val="en-US" w:eastAsia="zh-CN" w:bidi="ar-SA"/>
        </w:rPr>
        <w:t>开、停、检修和治理措施故障均会造成污染物排放瞬时增大甚至超标情况，因此环评中需要对此类非正常工况排放进行分析和预测。本项目非正常工况主要考虑装置失效时的情况。非正常工况下，</w:t>
      </w:r>
      <w:r>
        <w:rPr>
          <w:rFonts w:hint="eastAsia" w:ascii="Times New Roman" w:hAnsi="Times New Roman" w:eastAsia="宋体" w:cs="Times New Roman"/>
          <w:color w:val="000000"/>
          <w:kern w:val="2"/>
          <w:sz w:val="24"/>
          <w:szCs w:val="24"/>
          <w:highlight w:val="none"/>
          <w:lang w:val="en-US" w:eastAsia="zh-CN" w:bidi="ar-SA"/>
        </w:rPr>
        <w:t>按照处理效率的30%</w:t>
      </w:r>
      <w:r>
        <w:rPr>
          <w:rFonts w:hint="eastAsia" w:cs="Times New Roman"/>
          <w:color w:val="000000"/>
          <w:kern w:val="2"/>
          <w:sz w:val="24"/>
          <w:szCs w:val="24"/>
          <w:highlight w:val="none"/>
          <w:lang w:val="en-US" w:eastAsia="zh-CN" w:bidi="ar-SA"/>
        </w:rPr>
        <w:t>计算</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项目排气筒排放的废气源强见表</w:t>
      </w:r>
      <w:r>
        <w:rPr>
          <w:rFonts w:hint="eastAsia" w:eastAsia="宋体" w:cs="Times New Roman"/>
          <w:color w:val="000000"/>
          <w:kern w:val="2"/>
          <w:sz w:val="24"/>
          <w:szCs w:val="24"/>
          <w:highlight w:val="none"/>
          <w:lang w:val="en-US" w:eastAsia="zh-CN" w:bidi="ar-SA"/>
        </w:rPr>
        <w:t>5.2-8</w:t>
      </w:r>
      <w:r>
        <w:rPr>
          <w:rFonts w:hint="eastAsia" w:ascii="Times New Roman" w:hAnsi="Times New Roman" w:eastAsia="宋体" w:cs="Times New Roman"/>
          <w:color w:val="000000"/>
          <w:kern w:val="2"/>
          <w:sz w:val="24"/>
          <w:szCs w:val="24"/>
          <w:highlight w:val="none"/>
          <w:lang w:val="en-US" w:eastAsia="zh-CN" w:bidi="ar-SA"/>
        </w:rPr>
        <w:t>。</w:t>
      </w:r>
    </w:p>
    <w:p w14:paraId="01B64C4A">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0" w:firstLineChars="0"/>
        <w:jc w:val="center"/>
        <w:textAlignment w:val="auto"/>
        <w:rPr>
          <w:rFonts w:hint="default" w:ascii="Times New Roman" w:hAnsi="Times New Roman" w:eastAsia="宋体" w:cs="Times New Roman"/>
          <w:b/>
          <w:color w:val="000000"/>
          <w:kern w:val="2"/>
          <w:sz w:val="24"/>
          <w:szCs w:val="24"/>
          <w:highlight w:val="none"/>
          <w:lang w:val="en-US" w:eastAsia="zh-CN" w:bidi="ar-SA"/>
        </w:rPr>
      </w:pPr>
      <w:r>
        <w:rPr>
          <w:rFonts w:hint="default" w:ascii="Times New Roman" w:hAnsi="Times New Roman" w:eastAsia="宋体" w:cs="Times New Roman"/>
          <w:b/>
          <w:color w:val="000000"/>
          <w:kern w:val="2"/>
          <w:sz w:val="24"/>
          <w:szCs w:val="24"/>
          <w:highlight w:val="none"/>
          <w:lang w:val="en-US" w:eastAsia="zh-CN" w:bidi="ar-SA"/>
        </w:rPr>
        <w:t>表</w:t>
      </w:r>
      <w:r>
        <w:rPr>
          <w:rFonts w:hint="eastAsia" w:eastAsia="宋体" w:cs="Times New Roman"/>
          <w:b/>
          <w:color w:val="000000"/>
          <w:kern w:val="2"/>
          <w:sz w:val="24"/>
          <w:szCs w:val="24"/>
          <w:highlight w:val="none"/>
          <w:lang w:val="en-US" w:eastAsia="zh-CN" w:bidi="ar-SA"/>
        </w:rPr>
        <w:t>5.2-8</w:t>
      </w:r>
      <w:r>
        <w:rPr>
          <w:rFonts w:hint="default" w:ascii="Times New Roman" w:hAnsi="Times New Roman" w:eastAsia="宋体" w:cs="Times New Roman"/>
          <w:b/>
          <w:color w:val="000000"/>
          <w:kern w:val="2"/>
          <w:sz w:val="24"/>
          <w:szCs w:val="24"/>
          <w:highlight w:val="none"/>
          <w:lang w:val="en-US" w:eastAsia="zh-CN" w:bidi="ar-SA"/>
        </w:rPr>
        <w:t>本项目</w:t>
      </w:r>
      <w:r>
        <w:rPr>
          <w:rFonts w:hint="eastAsia" w:ascii="Times New Roman" w:hAnsi="Times New Roman" w:eastAsia="宋体" w:cs="Times New Roman"/>
          <w:b/>
          <w:color w:val="000000"/>
          <w:kern w:val="2"/>
          <w:sz w:val="24"/>
          <w:szCs w:val="24"/>
          <w:highlight w:val="none"/>
          <w:lang w:val="en-US" w:eastAsia="zh-CN" w:bidi="ar-SA"/>
        </w:rPr>
        <w:t>有组织</w:t>
      </w:r>
      <w:r>
        <w:rPr>
          <w:rFonts w:hint="default" w:ascii="Times New Roman" w:hAnsi="Times New Roman" w:eastAsia="宋体" w:cs="Times New Roman"/>
          <w:b/>
          <w:color w:val="000000"/>
          <w:kern w:val="2"/>
          <w:sz w:val="24"/>
          <w:szCs w:val="24"/>
          <w:highlight w:val="none"/>
          <w:lang w:val="en-US" w:eastAsia="zh-CN" w:bidi="ar-SA"/>
        </w:rPr>
        <w:t>大气污染物</w:t>
      </w:r>
      <w:r>
        <w:rPr>
          <w:rFonts w:hint="eastAsia" w:ascii="Times New Roman" w:hAnsi="Times New Roman" w:eastAsia="宋体" w:cs="Times New Roman"/>
          <w:b/>
          <w:color w:val="000000"/>
          <w:kern w:val="2"/>
          <w:sz w:val="24"/>
          <w:szCs w:val="24"/>
          <w:highlight w:val="none"/>
          <w:lang w:val="en-US" w:eastAsia="zh-CN" w:bidi="ar-SA"/>
        </w:rPr>
        <w:t>非正常工况</w:t>
      </w:r>
      <w:r>
        <w:rPr>
          <w:rFonts w:hint="default" w:ascii="Times New Roman" w:hAnsi="Times New Roman" w:eastAsia="宋体" w:cs="Times New Roman"/>
          <w:b/>
          <w:color w:val="000000"/>
          <w:kern w:val="2"/>
          <w:sz w:val="24"/>
          <w:szCs w:val="24"/>
          <w:highlight w:val="none"/>
          <w:lang w:val="en-US" w:eastAsia="zh-CN" w:bidi="ar-SA"/>
        </w:rPr>
        <w:t>年排放核算表</w:t>
      </w:r>
    </w:p>
    <w:tbl>
      <w:tblPr>
        <w:tblStyle w:val="20"/>
        <w:tblW w:w="532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401"/>
        <w:gridCol w:w="674"/>
        <w:gridCol w:w="871"/>
        <w:gridCol w:w="883"/>
        <w:gridCol w:w="788"/>
        <w:gridCol w:w="668"/>
        <w:gridCol w:w="1407"/>
        <w:gridCol w:w="1407"/>
      </w:tblGrid>
      <w:tr w14:paraId="41896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2" w:type="pct"/>
            <w:tcBorders>
              <w:tl2br w:val="nil"/>
              <w:tr2bl w:val="nil"/>
            </w:tcBorders>
            <w:noWrap w:val="0"/>
            <w:tcMar>
              <w:left w:w="0" w:type="dxa"/>
              <w:right w:w="0" w:type="dxa"/>
            </w:tcMar>
            <w:vAlign w:val="center"/>
          </w:tcPr>
          <w:p w14:paraId="6C019AFD">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lang w:val="en-US"/>
              </w:rPr>
            </w:pPr>
            <w:r>
              <w:rPr>
                <w:rFonts w:hint="default" w:ascii="Times New Roman" w:hAnsi="Times New Roman" w:eastAsia="宋体" w:cs="Times New Roman"/>
                <w:b/>
                <w:bCs/>
                <w:color w:val="000000"/>
                <w:kern w:val="2"/>
                <w:sz w:val="21"/>
                <w:szCs w:val="21"/>
                <w:lang w:val="en-US" w:eastAsia="zh-CN"/>
              </w:rPr>
              <w:t>污染源</w:t>
            </w:r>
          </w:p>
        </w:tc>
        <w:tc>
          <w:tcPr>
            <w:tcW w:w="788" w:type="pct"/>
            <w:tcBorders>
              <w:tl2br w:val="nil"/>
              <w:tr2bl w:val="nil"/>
            </w:tcBorders>
            <w:noWrap w:val="0"/>
            <w:tcMar>
              <w:left w:w="0" w:type="dxa"/>
              <w:right w:w="0" w:type="dxa"/>
            </w:tcMar>
            <w:vAlign w:val="center"/>
          </w:tcPr>
          <w:p w14:paraId="6C045933">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lang w:val="en-US" w:eastAsia="zh-CN"/>
              </w:rPr>
            </w:pPr>
            <w:r>
              <w:rPr>
                <w:rFonts w:hint="default" w:ascii="Times New Roman" w:hAnsi="Times New Roman" w:eastAsia="宋体" w:cs="Times New Roman"/>
                <w:b/>
                <w:bCs/>
                <w:color w:val="000000"/>
                <w:kern w:val="2"/>
                <w:sz w:val="21"/>
                <w:szCs w:val="21"/>
                <w:lang w:val="en-US" w:eastAsia="zh-CN"/>
              </w:rPr>
              <w:t>非正常排放原因</w:t>
            </w:r>
          </w:p>
        </w:tc>
        <w:tc>
          <w:tcPr>
            <w:tcW w:w="379" w:type="pct"/>
            <w:tcBorders>
              <w:tl2br w:val="nil"/>
              <w:tr2bl w:val="nil"/>
            </w:tcBorders>
            <w:noWrap w:val="0"/>
            <w:tcMar>
              <w:left w:w="0" w:type="dxa"/>
              <w:right w:w="0" w:type="dxa"/>
            </w:tcMar>
            <w:vAlign w:val="center"/>
          </w:tcPr>
          <w:p w14:paraId="5A694A0A">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rPr>
            </w:pPr>
            <w:r>
              <w:rPr>
                <w:rFonts w:hint="default" w:ascii="Times New Roman" w:hAnsi="Times New Roman" w:eastAsia="宋体" w:cs="Times New Roman"/>
                <w:b/>
                <w:bCs/>
                <w:color w:val="000000"/>
                <w:kern w:val="2"/>
                <w:sz w:val="21"/>
                <w:szCs w:val="21"/>
              </w:rPr>
              <w:t>污染物</w:t>
            </w:r>
          </w:p>
        </w:tc>
        <w:tc>
          <w:tcPr>
            <w:tcW w:w="490" w:type="pct"/>
            <w:tcBorders>
              <w:tl2br w:val="nil"/>
              <w:tr2bl w:val="nil"/>
            </w:tcBorders>
            <w:noWrap w:val="0"/>
            <w:tcMar>
              <w:left w:w="0" w:type="dxa"/>
              <w:right w:w="0" w:type="dxa"/>
            </w:tcMar>
            <w:vAlign w:val="center"/>
          </w:tcPr>
          <w:p w14:paraId="43750B5B">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lang w:val="en-US" w:eastAsia="zh-CN"/>
              </w:rPr>
            </w:pPr>
            <w:r>
              <w:rPr>
                <w:rFonts w:hint="default" w:ascii="Times New Roman" w:hAnsi="Times New Roman" w:eastAsia="宋体" w:cs="Times New Roman"/>
                <w:b/>
                <w:bCs/>
                <w:color w:val="000000"/>
                <w:kern w:val="2"/>
                <w:sz w:val="21"/>
                <w:szCs w:val="21"/>
                <w:lang w:val="en-US" w:eastAsia="zh-CN"/>
              </w:rPr>
              <w:t>非正常排放浓度（</w:t>
            </w:r>
            <w:r>
              <w:rPr>
                <w:rFonts w:hint="eastAsia" w:ascii="Times New Roman" w:hAnsi="Times New Roman" w:eastAsia="宋体" w:cs="Times New Roman"/>
                <w:b/>
                <w:bCs/>
                <w:color w:val="000000"/>
                <w:kern w:val="2"/>
                <w:sz w:val="21"/>
                <w:szCs w:val="21"/>
                <w:lang w:val="en-US" w:eastAsia="zh-CN"/>
              </w:rPr>
              <w:t>m</w:t>
            </w:r>
            <w:r>
              <w:rPr>
                <w:rFonts w:hint="default" w:ascii="Times New Roman" w:hAnsi="Times New Roman" w:eastAsia="宋体" w:cs="Times New Roman"/>
                <w:b/>
                <w:bCs/>
                <w:color w:val="000000"/>
                <w:kern w:val="2"/>
                <w:sz w:val="21"/>
                <w:szCs w:val="24"/>
              </w:rPr>
              <w:t>g/m</w:t>
            </w:r>
            <w:r>
              <w:rPr>
                <w:rFonts w:hint="default" w:ascii="Times New Roman" w:hAnsi="Times New Roman" w:eastAsia="宋体" w:cs="Times New Roman"/>
                <w:b/>
                <w:bCs/>
                <w:color w:val="000000"/>
                <w:kern w:val="2"/>
                <w:sz w:val="21"/>
                <w:szCs w:val="24"/>
                <w:vertAlign w:val="superscript"/>
              </w:rPr>
              <w:t>3</w:t>
            </w:r>
            <w:r>
              <w:rPr>
                <w:rFonts w:hint="default" w:ascii="Times New Roman" w:hAnsi="Times New Roman" w:eastAsia="宋体" w:cs="Times New Roman"/>
                <w:b/>
                <w:bCs/>
                <w:color w:val="000000"/>
                <w:kern w:val="2"/>
                <w:sz w:val="21"/>
                <w:szCs w:val="21"/>
                <w:lang w:val="en-US" w:eastAsia="zh-CN"/>
              </w:rPr>
              <w:t>）</w:t>
            </w:r>
          </w:p>
        </w:tc>
        <w:tc>
          <w:tcPr>
            <w:tcW w:w="496" w:type="pct"/>
            <w:tcBorders>
              <w:tl2br w:val="nil"/>
              <w:tr2bl w:val="nil"/>
            </w:tcBorders>
            <w:noWrap w:val="0"/>
            <w:vAlign w:val="center"/>
          </w:tcPr>
          <w:p w14:paraId="6BB5E48F">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rPr>
              <w:t>非正常排放</w:t>
            </w:r>
            <w:r>
              <w:rPr>
                <w:rFonts w:hint="eastAsia" w:ascii="Times New Roman" w:hAnsi="Times New Roman" w:eastAsia="宋体" w:cs="Times New Roman"/>
                <w:b/>
                <w:bCs/>
                <w:color w:val="000000"/>
                <w:kern w:val="2"/>
                <w:sz w:val="21"/>
                <w:szCs w:val="21"/>
                <w:lang w:val="en-US" w:eastAsia="zh-CN"/>
              </w:rPr>
              <w:t>速率</w:t>
            </w:r>
            <w:r>
              <w:rPr>
                <w:rFonts w:hint="default" w:ascii="Times New Roman" w:hAnsi="Times New Roman" w:eastAsia="宋体" w:cs="Times New Roman"/>
                <w:b/>
                <w:bCs/>
                <w:color w:val="000000"/>
                <w:kern w:val="2"/>
                <w:sz w:val="21"/>
                <w:szCs w:val="21"/>
                <w:lang w:val="en-US" w:eastAsia="zh-CN"/>
              </w:rPr>
              <w:t>/</w:t>
            </w:r>
            <w:r>
              <w:rPr>
                <w:rFonts w:hint="eastAsia" w:cs="Times New Roman"/>
                <w:b/>
                <w:bCs/>
                <w:color w:val="000000"/>
                <w:kern w:val="2"/>
                <w:sz w:val="21"/>
                <w:szCs w:val="21"/>
                <w:lang w:eastAsia="zh-CN"/>
              </w:rPr>
              <w:t>（</w:t>
            </w:r>
            <w:r>
              <w:rPr>
                <w:rFonts w:hint="eastAsia" w:ascii="Times New Roman" w:hAnsi="Times New Roman" w:eastAsia="宋体" w:cs="Times New Roman"/>
                <w:b/>
                <w:bCs/>
                <w:color w:val="000000"/>
                <w:kern w:val="2"/>
                <w:sz w:val="21"/>
                <w:szCs w:val="21"/>
                <w:lang w:val="en-US" w:eastAsia="zh-CN"/>
              </w:rPr>
              <w:t>kg/h</w:t>
            </w:r>
            <w:r>
              <w:rPr>
                <w:rFonts w:hint="eastAsia" w:cs="Times New Roman"/>
                <w:b/>
                <w:bCs/>
                <w:color w:val="000000"/>
                <w:kern w:val="2"/>
                <w:sz w:val="21"/>
                <w:szCs w:val="21"/>
                <w:lang w:eastAsia="zh-CN"/>
              </w:rPr>
              <w:t>）</w:t>
            </w:r>
          </w:p>
        </w:tc>
        <w:tc>
          <w:tcPr>
            <w:tcW w:w="443" w:type="pct"/>
            <w:tcBorders>
              <w:tl2br w:val="nil"/>
              <w:tr2bl w:val="nil"/>
            </w:tcBorders>
            <w:noWrap w:val="0"/>
            <w:tcMar>
              <w:left w:w="0" w:type="dxa"/>
              <w:right w:w="0" w:type="dxa"/>
            </w:tcMar>
            <w:vAlign w:val="center"/>
          </w:tcPr>
          <w:p w14:paraId="37144204">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rPr>
              <w:t>单次持续时间/h</w:t>
            </w:r>
          </w:p>
        </w:tc>
        <w:tc>
          <w:tcPr>
            <w:tcW w:w="376" w:type="pct"/>
            <w:tcBorders>
              <w:tl2br w:val="nil"/>
              <w:tr2bl w:val="nil"/>
            </w:tcBorders>
            <w:noWrap w:val="0"/>
            <w:tcMar>
              <w:left w:w="0" w:type="dxa"/>
              <w:right w:w="0" w:type="dxa"/>
            </w:tcMar>
            <w:vAlign w:val="center"/>
          </w:tcPr>
          <w:p w14:paraId="2D0479A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rPr>
              <w:t>年发生频次/次</w:t>
            </w:r>
          </w:p>
        </w:tc>
        <w:tc>
          <w:tcPr>
            <w:tcW w:w="791" w:type="pct"/>
            <w:tcBorders>
              <w:tl2br w:val="nil"/>
              <w:tr2bl w:val="nil"/>
            </w:tcBorders>
            <w:noWrap w:val="0"/>
            <w:tcMar>
              <w:left w:w="0" w:type="dxa"/>
              <w:right w:w="0" w:type="dxa"/>
            </w:tcMar>
            <w:vAlign w:val="center"/>
          </w:tcPr>
          <w:p w14:paraId="204CD4C8">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b/>
                <w:bCs/>
                <w:color w:val="000000"/>
                <w:kern w:val="2"/>
                <w:sz w:val="21"/>
                <w:szCs w:val="21"/>
                <w:lang w:val="en-US" w:eastAsia="zh-CN"/>
              </w:rPr>
            </w:pPr>
            <w:r>
              <w:rPr>
                <w:rFonts w:hint="default" w:ascii="Times New Roman" w:hAnsi="Times New Roman" w:eastAsia="宋体" w:cs="Times New Roman"/>
                <w:b/>
                <w:bCs/>
                <w:color w:val="000000"/>
                <w:kern w:val="2"/>
                <w:sz w:val="21"/>
                <w:szCs w:val="21"/>
                <w:lang w:val="en-US" w:eastAsia="zh-CN"/>
              </w:rPr>
              <w:t>非正常排放</w:t>
            </w:r>
            <w:r>
              <w:rPr>
                <w:rFonts w:hint="eastAsia" w:ascii="Times New Roman" w:hAnsi="Times New Roman" w:eastAsia="宋体" w:cs="Times New Roman"/>
                <w:b/>
                <w:bCs/>
                <w:color w:val="000000"/>
                <w:kern w:val="2"/>
                <w:sz w:val="21"/>
                <w:szCs w:val="21"/>
                <w:lang w:val="en-US" w:eastAsia="zh-CN"/>
              </w:rPr>
              <w:t>量</w:t>
            </w:r>
            <w:r>
              <w:rPr>
                <w:rFonts w:hint="default" w:ascii="Times New Roman" w:hAnsi="Times New Roman" w:eastAsia="宋体" w:cs="Times New Roman"/>
                <w:b/>
                <w:bCs/>
                <w:color w:val="000000"/>
                <w:kern w:val="2"/>
                <w:sz w:val="21"/>
                <w:szCs w:val="21"/>
                <w:lang w:val="en-US" w:eastAsia="zh-CN"/>
              </w:rPr>
              <w:t>/</w:t>
            </w:r>
            <w:r>
              <w:rPr>
                <w:rFonts w:hint="eastAsia" w:cs="Times New Roman"/>
                <w:b/>
                <w:bCs/>
                <w:color w:val="000000"/>
                <w:kern w:val="2"/>
                <w:sz w:val="21"/>
                <w:szCs w:val="21"/>
                <w:lang w:eastAsia="zh-CN"/>
              </w:rPr>
              <w:t>（</w:t>
            </w:r>
            <w:r>
              <w:rPr>
                <w:rFonts w:hint="eastAsia" w:ascii="Times New Roman" w:hAnsi="Times New Roman" w:eastAsia="宋体" w:cs="Times New Roman"/>
                <w:b/>
                <w:bCs/>
                <w:color w:val="000000"/>
                <w:kern w:val="2"/>
                <w:sz w:val="21"/>
                <w:szCs w:val="21"/>
                <w:lang w:val="en-US" w:eastAsia="zh-CN"/>
              </w:rPr>
              <w:t>kg/a</w:t>
            </w:r>
            <w:r>
              <w:rPr>
                <w:rFonts w:hint="eastAsia" w:cs="Times New Roman"/>
                <w:b/>
                <w:bCs/>
                <w:color w:val="000000"/>
                <w:kern w:val="2"/>
                <w:sz w:val="21"/>
                <w:szCs w:val="21"/>
                <w:lang w:eastAsia="zh-CN"/>
              </w:rPr>
              <w:t>）</w:t>
            </w:r>
          </w:p>
        </w:tc>
        <w:tc>
          <w:tcPr>
            <w:tcW w:w="791" w:type="pct"/>
            <w:tcBorders>
              <w:tl2br w:val="nil"/>
              <w:tr2bl w:val="nil"/>
            </w:tcBorders>
            <w:noWrap w:val="0"/>
            <w:tcMar>
              <w:left w:w="0" w:type="dxa"/>
              <w:right w:w="0" w:type="dxa"/>
            </w:tcMar>
            <w:vAlign w:val="center"/>
          </w:tcPr>
          <w:p w14:paraId="04A8EF54">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lang w:val="en-US" w:eastAsia="zh-CN"/>
              </w:rPr>
            </w:pPr>
            <w:r>
              <w:rPr>
                <w:rFonts w:hint="default" w:ascii="Times New Roman" w:hAnsi="Times New Roman" w:eastAsia="宋体" w:cs="Times New Roman"/>
                <w:b/>
                <w:bCs/>
                <w:color w:val="000000"/>
                <w:kern w:val="2"/>
                <w:sz w:val="21"/>
                <w:szCs w:val="21"/>
                <w:lang w:val="en-US" w:eastAsia="zh-CN"/>
              </w:rPr>
              <w:t>应对措施</w:t>
            </w:r>
          </w:p>
        </w:tc>
      </w:tr>
      <w:tr w14:paraId="203249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42" w:type="pct"/>
            <w:vMerge w:val="restart"/>
            <w:tcBorders>
              <w:tl2br w:val="nil"/>
              <w:tr2bl w:val="nil"/>
            </w:tcBorders>
            <w:noWrap w:val="0"/>
            <w:tcMar>
              <w:left w:w="0" w:type="dxa"/>
              <w:right w:w="0" w:type="dxa"/>
            </w:tcMar>
            <w:vAlign w:val="center"/>
          </w:tcPr>
          <w:p w14:paraId="3BA123A5">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DA001</w:t>
            </w:r>
          </w:p>
          <w:p w14:paraId="208B60D9">
            <w:pPr>
              <w:widowControl w:val="0"/>
              <w:autoSpaceDE w:val="0"/>
              <w:autoSpaceDN w:val="0"/>
              <w:spacing w:line="240" w:lineRule="auto"/>
              <w:ind w:left="0" w:leftChars="0" w:firstLine="0" w:firstLineChars="0"/>
              <w:jc w:val="center"/>
              <w:rPr>
                <w:rFonts w:hint="default" w:ascii="Times New Roman" w:hAnsi="Times New Roman" w:eastAsia="宋体" w:cs="Times New Roman"/>
                <w:bCs w:val="0"/>
                <w:color w:val="000000"/>
                <w:spacing w:val="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r>
              <w:rPr>
                <w:rFonts w:hint="eastAsia" w:cs="Times New Roman"/>
                <w:color w:val="000000"/>
                <w:kern w:val="2"/>
                <w:sz w:val="21"/>
                <w:szCs w:val="21"/>
                <w:lang w:val="en-US" w:eastAsia="zh-CN" w:bidi="ar-SA"/>
              </w:rPr>
              <w:t>堆肥间</w:t>
            </w:r>
            <w:r>
              <w:rPr>
                <w:rFonts w:hint="eastAsia" w:ascii="Times New Roman" w:hAnsi="Times New Roman" w:eastAsia="宋体" w:cs="Times New Roman"/>
                <w:color w:val="000000"/>
                <w:kern w:val="2"/>
                <w:sz w:val="21"/>
                <w:szCs w:val="21"/>
                <w:lang w:val="en-US" w:eastAsia="zh-CN" w:bidi="ar-SA"/>
              </w:rPr>
              <w:t>排放口）</w:t>
            </w:r>
          </w:p>
        </w:tc>
        <w:tc>
          <w:tcPr>
            <w:tcW w:w="788" w:type="pct"/>
            <w:vMerge w:val="restart"/>
            <w:tcBorders>
              <w:tl2br w:val="nil"/>
              <w:tr2bl w:val="nil"/>
            </w:tcBorders>
            <w:noWrap w:val="0"/>
            <w:tcMar>
              <w:left w:w="0" w:type="dxa"/>
              <w:right w:w="0" w:type="dxa"/>
            </w:tcMar>
            <w:vAlign w:val="center"/>
          </w:tcPr>
          <w:p w14:paraId="71BFD30E">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000000"/>
                <w:kern w:val="2"/>
                <w:sz w:val="21"/>
                <w:szCs w:val="24"/>
              </w:rPr>
              <w:t>运转异常等非正常工况</w:t>
            </w:r>
            <w:r>
              <w:rPr>
                <w:rFonts w:hint="eastAsia" w:cs="Times New Roman"/>
                <w:color w:val="000000"/>
                <w:kern w:val="2"/>
                <w:sz w:val="21"/>
                <w:szCs w:val="24"/>
                <w:lang w:eastAsia="zh-CN"/>
              </w:rPr>
              <w:t>下</w:t>
            </w:r>
            <w:r>
              <w:rPr>
                <w:rFonts w:hint="default" w:ascii="Times New Roman" w:hAnsi="Times New Roman" w:eastAsia="宋体" w:cs="Times New Roman"/>
                <w:color w:val="000000"/>
                <w:kern w:val="2"/>
                <w:sz w:val="21"/>
                <w:szCs w:val="24"/>
              </w:rPr>
              <w:t>废气处理系统</w:t>
            </w:r>
            <w:r>
              <w:rPr>
                <w:rFonts w:hint="default" w:ascii="Times New Roman" w:hAnsi="Times New Roman" w:eastAsia="宋体" w:cs="Times New Roman"/>
                <w:color w:val="000000"/>
                <w:kern w:val="2"/>
                <w:sz w:val="21"/>
                <w:szCs w:val="24"/>
                <w:lang w:val="en-US" w:eastAsia="zh-CN"/>
              </w:rPr>
              <w:t>达不到应有效率</w:t>
            </w:r>
          </w:p>
        </w:tc>
        <w:tc>
          <w:tcPr>
            <w:tcW w:w="379" w:type="pct"/>
            <w:tcBorders>
              <w:tl2br w:val="nil"/>
              <w:tr2bl w:val="nil"/>
            </w:tcBorders>
            <w:noWrap w:val="0"/>
            <w:tcMar>
              <w:left w:w="0" w:type="dxa"/>
              <w:right w:w="0" w:type="dxa"/>
            </w:tcMar>
            <w:vAlign w:val="center"/>
          </w:tcPr>
          <w:p w14:paraId="01C6842C">
            <w:pPr>
              <w:widowControl w:val="0"/>
              <w:bidi w:val="0"/>
              <w:spacing w:line="360" w:lineRule="exact"/>
              <w:ind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eastAsia" w:cs="宋体"/>
                <w:color w:val="000000"/>
                <w:sz w:val="21"/>
                <w:szCs w:val="22"/>
                <w:lang w:val="en-US" w:eastAsia="zh-CN" w:bidi="ar-SA"/>
              </w:rPr>
              <w:t>PM</w:t>
            </w:r>
            <w:r>
              <w:rPr>
                <w:rFonts w:hint="eastAsia" w:cs="宋体"/>
                <w:color w:val="000000"/>
                <w:sz w:val="21"/>
                <w:szCs w:val="22"/>
                <w:vertAlign w:val="subscript"/>
                <w:lang w:val="en-US" w:eastAsia="zh-CN" w:bidi="ar-SA"/>
              </w:rPr>
              <w:t>10</w:t>
            </w:r>
          </w:p>
        </w:tc>
        <w:tc>
          <w:tcPr>
            <w:tcW w:w="871" w:type="dxa"/>
            <w:tcBorders>
              <w:tl2br w:val="nil"/>
              <w:tr2bl w:val="nil"/>
            </w:tcBorders>
            <w:noWrap w:val="0"/>
            <w:tcMar>
              <w:left w:w="0" w:type="dxa"/>
              <w:right w:w="0" w:type="dxa"/>
            </w:tcMar>
            <w:vAlign w:val="center"/>
          </w:tcPr>
          <w:p w14:paraId="1CEBBA1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36.1 </w:t>
            </w:r>
          </w:p>
        </w:tc>
        <w:tc>
          <w:tcPr>
            <w:tcW w:w="883" w:type="dxa"/>
            <w:tcBorders>
              <w:tl2br w:val="nil"/>
              <w:tr2bl w:val="nil"/>
            </w:tcBorders>
            <w:noWrap w:val="0"/>
            <w:tcMar>
              <w:left w:w="0" w:type="dxa"/>
              <w:right w:w="0" w:type="dxa"/>
            </w:tcMar>
            <w:vAlign w:val="center"/>
          </w:tcPr>
          <w:p w14:paraId="6745101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0.1807 </w:t>
            </w:r>
          </w:p>
        </w:tc>
        <w:tc>
          <w:tcPr>
            <w:tcW w:w="443" w:type="pct"/>
            <w:vMerge w:val="restart"/>
            <w:tcBorders>
              <w:tl2br w:val="nil"/>
              <w:tr2bl w:val="nil"/>
            </w:tcBorders>
            <w:noWrap w:val="0"/>
            <w:tcMar>
              <w:left w:w="0" w:type="dxa"/>
              <w:right w:w="0" w:type="dxa"/>
            </w:tcMar>
            <w:vAlign w:val="center"/>
          </w:tcPr>
          <w:p w14:paraId="01D0D94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default" w:ascii="Times New Roman" w:hAnsi="Times New Roman" w:eastAsia="宋体" w:cs="Times New Roman"/>
                <w:color w:val="000000"/>
                <w:kern w:val="2"/>
                <w:sz w:val="21"/>
                <w:szCs w:val="24"/>
                <w:lang w:val="en-US" w:eastAsia="zh-CN" w:bidi="ar-SA"/>
              </w:rPr>
              <w:t>1</w:t>
            </w:r>
          </w:p>
        </w:tc>
        <w:tc>
          <w:tcPr>
            <w:tcW w:w="376" w:type="pct"/>
            <w:vMerge w:val="restart"/>
            <w:tcBorders>
              <w:tl2br w:val="nil"/>
              <w:tr2bl w:val="nil"/>
            </w:tcBorders>
            <w:noWrap w:val="0"/>
            <w:tcMar>
              <w:left w:w="0" w:type="dxa"/>
              <w:right w:w="0" w:type="dxa"/>
            </w:tcMar>
            <w:vAlign w:val="center"/>
          </w:tcPr>
          <w:p w14:paraId="64FEA35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2</w:t>
            </w:r>
          </w:p>
        </w:tc>
        <w:tc>
          <w:tcPr>
            <w:tcW w:w="1407" w:type="dxa"/>
            <w:tcBorders>
              <w:tl2br w:val="nil"/>
              <w:tr2bl w:val="nil"/>
            </w:tcBorders>
            <w:noWrap w:val="0"/>
            <w:tcMar>
              <w:left w:w="0" w:type="dxa"/>
              <w:right w:w="0" w:type="dxa"/>
            </w:tcMar>
            <w:vAlign w:val="center"/>
          </w:tcPr>
          <w:p w14:paraId="5C6228B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0.3614</w:t>
            </w:r>
          </w:p>
        </w:tc>
        <w:tc>
          <w:tcPr>
            <w:tcW w:w="791" w:type="pct"/>
            <w:vMerge w:val="restart"/>
            <w:tcBorders>
              <w:tl2br w:val="nil"/>
              <w:tr2bl w:val="nil"/>
            </w:tcBorders>
            <w:noWrap w:val="0"/>
            <w:tcMar>
              <w:left w:w="0" w:type="dxa"/>
              <w:right w:w="0" w:type="dxa"/>
            </w:tcMar>
            <w:vAlign w:val="center"/>
          </w:tcPr>
          <w:p w14:paraId="0AD05B35">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000000"/>
                <w:kern w:val="2"/>
                <w:sz w:val="21"/>
                <w:szCs w:val="21"/>
                <w:lang w:val="en-US" w:eastAsia="zh-CN"/>
              </w:rPr>
              <w:t>加强设备维护和管理，发现非正常工况及时</w:t>
            </w:r>
            <w:r>
              <w:rPr>
                <w:rFonts w:hint="eastAsia" w:ascii="Times New Roman" w:hAnsi="Times New Roman" w:eastAsia="宋体" w:cs="Times New Roman"/>
                <w:color w:val="000000"/>
                <w:kern w:val="2"/>
                <w:sz w:val="21"/>
                <w:szCs w:val="21"/>
                <w:highlight w:val="none"/>
                <w:lang w:val="en-US" w:eastAsia="zh-CN"/>
              </w:rPr>
              <w:t>停产</w:t>
            </w:r>
            <w:r>
              <w:rPr>
                <w:rFonts w:hint="eastAsia" w:ascii="Times New Roman" w:hAnsi="Times New Roman" w:eastAsia="宋体" w:cs="Times New Roman"/>
                <w:color w:val="000000"/>
                <w:kern w:val="2"/>
                <w:sz w:val="21"/>
                <w:szCs w:val="21"/>
                <w:lang w:val="en-US" w:eastAsia="zh-CN"/>
              </w:rPr>
              <w:t>，并</w:t>
            </w:r>
            <w:r>
              <w:rPr>
                <w:rFonts w:hint="default" w:ascii="Times New Roman" w:hAnsi="Times New Roman" w:eastAsia="宋体" w:cs="Times New Roman"/>
                <w:color w:val="000000"/>
                <w:kern w:val="2"/>
                <w:sz w:val="21"/>
                <w:szCs w:val="21"/>
                <w:lang w:val="en-US" w:eastAsia="zh-CN"/>
              </w:rPr>
              <w:t>进行检修和维护</w:t>
            </w:r>
          </w:p>
        </w:tc>
      </w:tr>
      <w:tr w14:paraId="2B5AA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42" w:type="pct"/>
            <w:vMerge w:val="continue"/>
            <w:tcBorders>
              <w:tl2br w:val="nil"/>
              <w:tr2bl w:val="nil"/>
            </w:tcBorders>
            <w:noWrap w:val="0"/>
            <w:tcMar>
              <w:left w:w="0" w:type="dxa"/>
              <w:right w:w="0" w:type="dxa"/>
            </w:tcMar>
            <w:vAlign w:val="center"/>
          </w:tcPr>
          <w:p w14:paraId="21731BE4">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000000"/>
                <w:kern w:val="2"/>
                <w:sz w:val="21"/>
                <w:szCs w:val="21"/>
                <w:lang w:val="en-US" w:eastAsia="zh-CN" w:bidi="ar-SA"/>
              </w:rPr>
            </w:pPr>
          </w:p>
        </w:tc>
        <w:tc>
          <w:tcPr>
            <w:tcW w:w="788" w:type="pct"/>
            <w:vMerge w:val="continue"/>
            <w:tcBorders>
              <w:tl2br w:val="nil"/>
              <w:tr2bl w:val="nil"/>
            </w:tcBorders>
            <w:noWrap w:val="0"/>
            <w:tcMar>
              <w:left w:w="0" w:type="dxa"/>
              <w:right w:w="0" w:type="dxa"/>
            </w:tcMar>
            <w:vAlign w:val="center"/>
          </w:tcPr>
          <w:p w14:paraId="23D0DE7D">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4"/>
              </w:rPr>
            </w:pPr>
          </w:p>
        </w:tc>
        <w:tc>
          <w:tcPr>
            <w:tcW w:w="379" w:type="pct"/>
            <w:tcBorders>
              <w:tl2br w:val="nil"/>
              <w:tr2bl w:val="nil"/>
            </w:tcBorders>
            <w:noWrap w:val="0"/>
            <w:tcMar>
              <w:left w:w="0" w:type="dxa"/>
              <w:right w:w="0" w:type="dxa"/>
            </w:tcMar>
            <w:vAlign w:val="center"/>
          </w:tcPr>
          <w:p w14:paraId="1D5E4D1B">
            <w:pPr>
              <w:widowControl w:val="0"/>
              <w:bidi w:val="0"/>
              <w:spacing w:line="360" w:lineRule="exact"/>
              <w:ind w:firstLine="0" w:firstLineChars="0"/>
              <w:jc w:val="center"/>
              <w:rPr>
                <w:rFonts w:hint="default" w:cs="宋体"/>
                <w:color w:val="000000"/>
                <w:sz w:val="21"/>
                <w:szCs w:val="22"/>
                <w:lang w:val="en-US" w:eastAsia="zh-CN" w:bidi="ar-SA"/>
              </w:rPr>
            </w:pPr>
            <w:r>
              <w:rPr>
                <w:rFonts w:hint="eastAsia" w:cs="宋体"/>
                <w:color w:val="000000"/>
                <w:sz w:val="21"/>
                <w:szCs w:val="22"/>
                <w:lang w:val="en-US" w:eastAsia="zh-CN" w:bidi="ar-SA"/>
              </w:rPr>
              <w:t>PM</w:t>
            </w:r>
            <w:r>
              <w:rPr>
                <w:rFonts w:hint="eastAsia" w:cs="宋体"/>
                <w:color w:val="000000"/>
                <w:sz w:val="21"/>
                <w:szCs w:val="22"/>
                <w:highlight w:val="none"/>
                <w:vertAlign w:val="subscript"/>
                <w:lang w:val="en-US" w:eastAsia="zh-CN" w:bidi="ar-SA"/>
              </w:rPr>
              <w:t>2.5</w:t>
            </w:r>
          </w:p>
        </w:tc>
        <w:tc>
          <w:tcPr>
            <w:tcW w:w="871" w:type="dxa"/>
            <w:tcBorders>
              <w:tl2br w:val="nil"/>
              <w:tr2bl w:val="nil"/>
            </w:tcBorders>
            <w:noWrap w:val="0"/>
            <w:tcMar>
              <w:left w:w="0" w:type="dxa"/>
              <w:right w:w="0" w:type="dxa"/>
            </w:tcMar>
            <w:vAlign w:val="center"/>
          </w:tcPr>
          <w:p w14:paraId="0F0D205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18.1 </w:t>
            </w:r>
          </w:p>
        </w:tc>
        <w:tc>
          <w:tcPr>
            <w:tcW w:w="883" w:type="dxa"/>
            <w:tcBorders>
              <w:tl2br w:val="nil"/>
              <w:tr2bl w:val="nil"/>
            </w:tcBorders>
            <w:noWrap w:val="0"/>
            <w:tcMar>
              <w:left w:w="0" w:type="dxa"/>
              <w:right w:w="0" w:type="dxa"/>
            </w:tcMar>
            <w:vAlign w:val="center"/>
          </w:tcPr>
          <w:p w14:paraId="6C1461B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0.0903 </w:t>
            </w:r>
          </w:p>
        </w:tc>
        <w:tc>
          <w:tcPr>
            <w:tcW w:w="443" w:type="pct"/>
            <w:vMerge w:val="continue"/>
            <w:tcBorders>
              <w:tl2br w:val="nil"/>
              <w:tr2bl w:val="nil"/>
            </w:tcBorders>
            <w:noWrap w:val="0"/>
            <w:tcMar>
              <w:left w:w="0" w:type="dxa"/>
              <w:right w:w="0" w:type="dxa"/>
            </w:tcMar>
            <w:vAlign w:val="center"/>
          </w:tcPr>
          <w:p w14:paraId="67F8A0D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p>
        </w:tc>
        <w:tc>
          <w:tcPr>
            <w:tcW w:w="376" w:type="pct"/>
            <w:vMerge w:val="continue"/>
            <w:tcBorders>
              <w:tl2br w:val="nil"/>
              <w:tr2bl w:val="nil"/>
            </w:tcBorders>
            <w:noWrap w:val="0"/>
            <w:tcMar>
              <w:left w:w="0" w:type="dxa"/>
              <w:right w:w="0" w:type="dxa"/>
            </w:tcMar>
            <w:vAlign w:val="center"/>
          </w:tcPr>
          <w:p w14:paraId="3C8D62B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407" w:type="dxa"/>
            <w:tcBorders>
              <w:tl2br w:val="nil"/>
              <w:tr2bl w:val="nil"/>
            </w:tcBorders>
            <w:noWrap w:val="0"/>
            <w:tcMar>
              <w:left w:w="0" w:type="dxa"/>
              <w:right w:w="0" w:type="dxa"/>
            </w:tcMar>
            <w:vAlign w:val="center"/>
          </w:tcPr>
          <w:p w14:paraId="3BD52DB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0.1806</w:t>
            </w:r>
          </w:p>
        </w:tc>
        <w:tc>
          <w:tcPr>
            <w:tcW w:w="791" w:type="pct"/>
            <w:vMerge w:val="continue"/>
            <w:tcBorders>
              <w:tl2br w:val="nil"/>
              <w:tr2bl w:val="nil"/>
            </w:tcBorders>
            <w:noWrap w:val="0"/>
            <w:tcMar>
              <w:left w:w="0" w:type="dxa"/>
              <w:right w:w="0" w:type="dxa"/>
            </w:tcMar>
            <w:vAlign w:val="center"/>
          </w:tcPr>
          <w:p w14:paraId="7396A11C">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p>
        </w:tc>
      </w:tr>
      <w:tr w14:paraId="361BD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42" w:type="pct"/>
            <w:vMerge w:val="continue"/>
            <w:tcBorders>
              <w:tl2br w:val="nil"/>
              <w:tr2bl w:val="nil"/>
            </w:tcBorders>
            <w:noWrap w:val="0"/>
            <w:tcMar>
              <w:left w:w="0" w:type="dxa"/>
              <w:right w:w="0" w:type="dxa"/>
            </w:tcMar>
            <w:vAlign w:val="center"/>
          </w:tcPr>
          <w:p w14:paraId="5F85683B">
            <w:pPr>
              <w:overflowPunct/>
              <w:autoSpaceDE/>
              <w:autoSpaceDN/>
              <w:adjustRightInd/>
              <w:snapToGrid/>
              <w:spacing w:before="0" w:after="0" w:line="240" w:lineRule="auto"/>
              <w:ind w:left="0" w:leftChars="0" w:right="0" w:rightChars="0" w:firstLine="0" w:firstLineChars="0"/>
              <w:jc w:val="center"/>
            </w:pPr>
          </w:p>
        </w:tc>
        <w:tc>
          <w:tcPr>
            <w:tcW w:w="788" w:type="pct"/>
            <w:vMerge w:val="continue"/>
            <w:tcBorders>
              <w:tl2br w:val="nil"/>
              <w:tr2bl w:val="nil"/>
            </w:tcBorders>
            <w:noWrap w:val="0"/>
            <w:tcMar>
              <w:left w:w="0" w:type="dxa"/>
              <w:right w:w="0" w:type="dxa"/>
            </w:tcMar>
            <w:vAlign w:val="center"/>
          </w:tcPr>
          <w:p w14:paraId="1DDA1BAF">
            <w:pPr>
              <w:overflowPunct/>
              <w:autoSpaceDE/>
              <w:autoSpaceDN/>
              <w:adjustRightInd/>
              <w:snapToGrid/>
              <w:spacing w:before="0" w:after="0" w:line="240" w:lineRule="auto"/>
              <w:ind w:left="0" w:leftChars="0" w:right="0" w:rightChars="0" w:firstLine="0" w:firstLineChars="0"/>
              <w:jc w:val="center"/>
            </w:pPr>
          </w:p>
        </w:tc>
        <w:tc>
          <w:tcPr>
            <w:tcW w:w="379" w:type="pct"/>
            <w:tcBorders>
              <w:tl2br w:val="nil"/>
              <w:tr2bl w:val="nil"/>
            </w:tcBorders>
            <w:noWrap w:val="0"/>
            <w:tcMar>
              <w:left w:w="0" w:type="dxa"/>
              <w:right w:w="0" w:type="dxa"/>
            </w:tcMar>
            <w:vAlign w:val="center"/>
          </w:tcPr>
          <w:p w14:paraId="069B980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eastAsia="宋体" w:cs="Times New Roman"/>
                <w:color w:val="000000"/>
                <w:kern w:val="2"/>
                <w:sz w:val="21"/>
                <w:szCs w:val="24"/>
                <w:lang w:val="en-US" w:eastAsia="zh-CN"/>
              </w:rPr>
            </w:pPr>
            <w:r>
              <w:rPr>
                <w:rFonts w:hint="eastAsia" w:ascii="Times New Roman" w:hAnsi="Times New Roman" w:cs="Times New Roman"/>
                <w:color w:val="000000"/>
                <w:kern w:val="2"/>
                <w:sz w:val="21"/>
                <w:szCs w:val="24"/>
                <w:lang w:val="en-US" w:eastAsia="zh-CN" w:bidi="ar-SA"/>
              </w:rPr>
              <w:t>氨</w:t>
            </w:r>
          </w:p>
        </w:tc>
        <w:tc>
          <w:tcPr>
            <w:tcW w:w="871" w:type="dxa"/>
            <w:tcBorders>
              <w:tl2br w:val="nil"/>
              <w:tr2bl w:val="nil"/>
            </w:tcBorders>
            <w:noWrap w:val="0"/>
            <w:tcMar>
              <w:left w:w="0" w:type="dxa"/>
              <w:right w:w="0" w:type="dxa"/>
            </w:tcMar>
            <w:vAlign w:val="center"/>
          </w:tcPr>
          <w:p w14:paraId="544DEE1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7.2 </w:t>
            </w:r>
          </w:p>
        </w:tc>
        <w:tc>
          <w:tcPr>
            <w:tcW w:w="883" w:type="dxa"/>
            <w:tcBorders>
              <w:tl2br w:val="nil"/>
              <w:tr2bl w:val="nil"/>
            </w:tcBorders>
            <w:noWrap w:val="0"/>
            <w:tcMar>
              <w:left w:w="0" w:type="dxa"/>
              <w:right w:w="0" w:type="dxa"/>
            </w:tcMar>
            <w:vAlign w:val="center"/>
          </w:tcPr>
          <w:p w14:paraId="6EDBEA5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0.0358 </w:t>
            </w:r>
          </w:p>
        </w:tc>
        <w:tc>
          <w:tcPr>
            <w:tcW w:w="443" w:type="pct"/>
            <w:vMerge w:val="continue"/>
            <w:tcBorders>
              <w:tl2br w:val="nil"/>
              <w:tr2bl w:val="nil"/>
            </w:tcBorders>
            <w:noWrap w:val="0"/>
            <w:tcMar>
              <w:left w:w="0" w:type="dxa"/>
              <w:right w:w="0" w:type="dxa"/>
            </w:tcMar>
            <w:vAlign w:val="center"/>
          </w:tcPr>
          <w:p w14:paraId="23F9D01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376" w:type="pct"/>
            <w:vMerge w:val="continue"/>
            <w:tcBorders>
              <w:tl2br w:val="nil"/>
              <w:tr2bl w:val="nil"/>
            </w:tcBorders>
            <w:noWrap w:val="0"/>
            <w:tcMar>
              <w:left w:w="0" w:type="dxa"/>
              <w:right w:w="0" w:type="dxa"/>
            </w:tcMar>
            <w:vAlign w:val="center"/>
          </w:tcPr>
          <w:p w14:paraId="4AA5236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407" w:type="dxa"/>
            <w:tcBorders>
              <w:tl2br w:val="nil"/>
              <w:tr2bl w:val="nil"/>
            </w:tcBorders>
            <w:noWrap w:val="0"/>
            <w:tcMar>
              <w:left w:w="0" w:type="dxa"/>
              <w:right w:w="0" w:type="dxa"/>
            </w:tcMar>
            <w:vAlign w:val="center"/>
          </w:tcPr>
          <w:p w14:paraId="1996C1C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0.0716</w:t>
            </w:r>
          </w:p>
        </w:tc>
        <w:tc>
          <w:tcPr>
            <w:tcW w:w="791" w:type="pct"/>
            <w:vMerge w:val="continue"/>
            <w:tcBorders>
              <w:tl2br w:val="nil"/>
              <w:tr2bl w:val="nil"/>
            </w:tcBorders>
            <w:noWrap w:val="0"/>
            <w:tcMar>
              <w:left w:w="0" w:type="dxa"/>
              <w:right w:w="0" w:type="dxa"/>
            </w:tcMar>
            <w:vAlign w:val="center"/>
          </w:tcPr>
          <w:p w14:paraId="246DA89A">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r>
      <w:tr w14:paraId="6D688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42" w:type="pct"/>
            <w:vMerge w:val="continue"/>
            <w:tcBorders>
              <w:tl2br w:val="nil"/>
              <w:tr2bl w:val="nil"/>
            </w:tcBorders>
            <w:noWrap w:val="0"/>
            <w:tcMar>
              <w:left w:w="0" w:type="dxa"/>
              <w:right w:w="0" w:type="dxa"/>
            </w:tcMar>
            <w:vAlign w:val="center"/>
          </w:tcPr>
          <w:p w14:paraId="79AEED06">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c>
          <w:tcPr>
            <w:tcW w:w="788" w:type="pct"/>
            <w:vMerge w:val="continue"/>
            <w:tcBorders>
              <w:tl2br w:val="nil"/>
              <w:tr2bl w:val="nil"/>
            </w:tcBorders>
            <w:noWrap w:val="0"/>
            <w:tcMar>
              <w:left w:w="0" w:type="dxa"/>
              <w:right w:w="0" w:type="dxa"/>
            </w:tcMar>
            <w:vAlign w:val="center"/>
          </w:tcPr>
          <w:p w14:paraId="63BFF704">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c>
          <w:tcPr>
            <w:tcW w:w="379" w:type="pct"/>
            <w:tcBorders>
              <w:tl2br w:val="nil"/>
              <w:tr2bl w:val="nil"/>
            </w:tcBorders>
            <w:noWrap w:val="0"/>
            <w:tcMar>
              <w:left w:w="0" w:type="dxa"/>
              <w:right w:w="0" w:type="dxa"/>
            </w:tcMar>
            <w:vAlign w:val="center"/>
          </w:tcPr>
          <w:p w14:paraId="6020362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eastAsia="宋体" w:cs="Times New Roman"/>
                <w:color w:val="000000"/>
                <w:kern w:val="2"/>
                <w:sz w:val="21"/>
                <w:szCs w:val="24"/>
                <w:lang w:val="en-US" w:eastAsia="zh-CN"/>
              </w:rPr>
            </w:pPr>
            <w:r>
              <w:rPr>
                <w:rFonts w:hint="eastAsia" w:ascii="Times New Roman" w:hAnsi="Times New Roman" w:cs="Times New Roman"/>
                <w:color w:val="000000"/>
                <w:kern w:val="2"/>
                <w:sz w:val="21"/>
                <w:szCs w:val="24"/>
                <w:lang w:val="en-US" w:eastAsia="zh-CN" w:bidi="ar-SA"/>
              </w:rPr>
              <w:t>硫化氢</w:t>
            </w:r>
          </w:p>
        </w:tc>
        <w:tc>
          <w:tcPr>
            <w:tcW w:w="871" w:type="dxa"/>
            <w:tcBorders>
              <w:tl2br w:val="nil"/>
              <w:tr2bl w:val="nil"/>
            </w:tcBorders>
            <w:noWrap w:val="0"/>
            <w:tcMar>
              <w:left w:w="0" w:type="dxa"/>
              <w:right w:w="0" w:type="dxa"/>
            </w:tcMar>
            <w:vAlign w:val="center"/>
          </w:tcPr>
          <w:p w14:paraId="2E41434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0.6 </w:t>
            </w:r>
          </w:p>
        </w:tc>
        <w:tc>
          <w:tcPr>
            <w:tcW w:w="883" w:type="dxa"/>
            <w:tcBorders>
              <w:tl2br w:val="nil"/>
              <w:tr2bl w:val="nil"/>
            </w:tcBorders>
            <w:noWrap w:val="0"/>
            <w:tcMar>
              <w:left w:w="0" w:type="dxa"/>
              <w:right w:w="0" w:type="dxa"/>
            </w:tcMar>
            <w:vAlign w:val="center"/>
          </w:tcPr>
          <w:p w14:paraId="1EF383C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0.0028 </w:t>
            </w:r>
          </w:p>
        </w:tc>
        <w:tc>
          <w:tcPr>
            <w:tcW w:w="443" w:type="pct"/>
            <w:vMerge w:val="continue"/>
            <w:tcBorders>
              <w:tl2br w:val="nil"/>
              <w:tr2bl w:val="nil"/>
            </w:tcBorders>
            <w:noWrap w:val="0"/>
            <w:tcMar>
              <w:left w:w="0" w:type="dxa"/>
              <w:right w:w="0" w:type="dxa"/>
            </w:tcMar>
            <w:vAlign w:val="center"/>
          </w:tcPr>
          <w:p w14:paraId="0E44488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376" w:type="pct"/>
            <w:vMerge w:val="continue"/>
            <w:tcBorders>
              <w:tl2br w:val="nil"/>
              <w:tr2bl w:val="nil"/>
            </w:tcBorders>
            <w:noWrap w:val="0"/>
            <w:tcMar>
              <w:left w:w="0" w:type="dxa"/>
              <w:right w:w="0" w:type="dxa"/>
            </w:tcMar>
            <w:vAlign w:val="center"/>
          </w:tcPr>
          <w:p w14:paraId="0C33367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407" w:type="dxa"/>
            <w:tcBorders>
              <w:tl2br w:val="nil"/>
              <w:tr2bl w:val="nil"/>
            </w:tcBorders>
            <w:noWrap w:val="0"/>
            <w:tcMar>
              <w:left w:w="0" w:type="dxa"/>
              <w:right w:w="0" w:type="dxa"/>
            </w:tcMar>
            <w:vAlign w:val="center"/>
          </w:tcPr>
          <w:p w14:paraId="135FC4C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0.0056</w:t>
            </w:r>
          </w:p>
        </w:tc>
        <w:tc>
          <w:tcPr>
            <w:tcW w:w="791" w:type="pct"/>
            <w:vMerge w:val="continue"/>
            <w:tcBorders>
              <w:tl2br w:val="nil"/>
              <w:tr2bl w:val="nil"/>
            </w:tcBorders>
            <w:noWrap w:val="0"/>
            <w:tcMar>
              <w:left w:w="0" w:type="dxa"/>
              <w:right w:w="0" w:type="dxa"/>
            </w:tcMar>
            <w:vAlign w:val="center"/>
          </w:tcPr>
          <w:p w14:paraId="5CD6AC11">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r>
      <w:tr w14:paraId="03E48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42" w:type="pct"/>
            <w:vMerge w:val="restart"/>
            <w:tcBorders>
              <w:tl2br w:val="nil"/>
              <w:tr2bl w:val="nil"/>
            </w:tcBorders>
            <w:noWrap w:val="0"/>
            <w:tcMar>
              <w:left w:w="0" w:type="dxa"/>
              <w:right w:w="0" w:type="dxa"/>
            </w:tcMar>
            <w:vAlign w:val="center"/>
          </w:tcPr>
          <w:p w14:paraId="1E3FC7A9">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DA002</w:t>
            </w:r>
          </w:p>
          <w:p w14:paraId="06A23AA8">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1"/>
                <w:lang w:val="en-US" w:eastAsia="zh-CN" w:bidi="ar-SA"/>
              </w:rPr>
              <w:t>（</w:t>
            </w:r>
            <w:r>
              <w:rPr>
                <w:rFonts w:hint="eastAsia" w:cs="Times New Roman"/>
                <w:color w:val="000000"/>
                <w:kern w:val="2"/>
                <w:sz w:val="21"/>
                <w:szCs w:val="21"/>
                <w:lang w:val="en-US" w:eastAsia="zh-CN" w:bidi="ar-SA"/>
              </w:rPr>
              <w:t>饲料加工</w:t>
            </w:r>
            <w:r>
              <w:rPr>
                <w:rFonts w:hint="eastAsia" w:ascii="Times New Roman" w:hAnsi="Times New Roman" w:eastAsia="宋体" w:cs="Times New Roman"/>
                <w:color w:val="000000"/>
                <w:kern w:val="2"/>
                <w:sz w:val="21"/>
                <w:szCs w:val="21"/>
                <w:lang w:val="en-US" w:eastAsia="zh-CN" w:bidi="ar-SA"/>
              </w:rPr>
              <w:t>排放口）</w:t>
            </w:r>
          </w:p>
        </w:tc>
        <w:tc>
          <w:tcPr>
            <w:tcW w:w="788" w:type="pct"/>
            <w:vMerge w:val="continue"/>
            <w:tcBorders>
              <w:tl2br w:val="nil"/>
              <w:tr2bl w:val="nil"/>
            </w:tcBorders>
            <w:noWrap w:val="0"/>
            <w:tcMar>
              <w:left w:w="0" w:type="dxa"/>
              <w:right w:w="0" w:type="dxa"/>
            </w:tcMar>
            <w:vAlign w:val="center"/>
          </w:tcPr>
          <w:p w14:paraId="2ECEEB3E">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c>
          <w:tcPr>
            <w:tcW w:w="379" w:type="pct"/>
            <w:tcBorders>
              <w:tl2br w:val="nil"/>
              <w:tr2bl w:val="nil"/>
            </w:tcBorders>
            <w:noWrap w:val="0"/>
            <w:tcMar>
              <w:left w:w="0" w:type="dxa"/>
              <w:right w:w="0" w:type="dxa"/>
            </w:tcMar>
            <w:vAlign w:val="center"/>
          </w:tcPr>
          <w:p w14:paraId="6E84CA96">
            <w:pPr>
              <w:widowControl w:val="0"/>
              <w:bidi w:val="0"/>
              <w:spacing w:line="360" w:lineRule="exact"/>
              <w:ind w:firstLine="0" w:firstLineChars="0"/>
              <w:jc w:val="center"/>
              <w:rPr>
                <w:rFonts w:hint="eastAsia" w:ascii="Times New Roman" w:hAnsi="Times New Roman" w:cs="Times New Roman"/>
                <w:color w:val="000000"/>
                <w:kern w:val="2"/>
                <w:sz w:val="21"/>
                <w:szCs w:val="24"/>
                <w:lang w:val="en-US" w:eastAsia="zh-CN" w:bidi="ar-SA"/>
              </w:rPr>
            </w:pPr>
            <w:r>
              <w:rPr>
                <w:rFonts w:hint="eastAsia" w:cs="宋体"/>
                <w:color w:val="000000"/>
                <w:sz w:val="21"/>
                <w:szCs w:val="22"/>
                <w:lang w:val="en-US" w:eastAsia="zh-CN" w:bidi="ar-SA"/>
              </w:rPr>
              <w:t>PM</w:t>
            </w:r>
            <w:r>
              <w:rPr>
                <w:rFonts w:hint="eastAsia" w:cs="宋体"/>
                <w:color w:val="000000"/>
                <w:sz w:val="21"/>
                <w:szCs w:val="22"/>
                <w:vertAlign w:val="subscript"/>
                <w:lang w:val="en-US" w:eastAsia="zh-CN" w:bidi="ar-SA"/>
              </w:rPr>
              <w:t>10</w:t>
            </w:r>
          </w:p>
        </w:tc>
        <w:tc>
          <w:tcPr>
            <w:tcW w:w="871" w:type="dxa"/>
            <w:tcBorders>
              <w:tl2br w:val="nil"/>
              <w:tr2bl w:val="nil"/>
            </w:tcBorders>
            <w:noWrap w:val="0"/>
            <w:tcMar>
              <w:left w:w="0" w:type="dxa"/>
              <w:right w:w="0" w:type="dxa"/>
            </w:tcMar>
            <w:vAlign w:val="center"/>
          </w:tcPr>
          <w:p w14:paraId="032A647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11.4 </w:t>
            </w:r>
          </w:p>
        </w:tc>
        <w:tc>
          <w:tcPr>
            <w:tcW w:w="883" w:type="dxa"/>
            <w:tcBorders>
              <w:tl2br w:val="nil"/>
              <w:tr2bl w:val="nil"/>
            </w:tcBorders>
            <w:noWrap w:val="0"/>
            <w:tcMar>
              <w:left w:w="0" w:type="dxa"/>
              <w:right w:w="0" w:type="dxa"/>
            </w:tcMar>
            <w:vAlign w:val="center"/>
          </w:tcPr>
          <w:p w14:paraId="3FD0DAA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0.0568 </w:t>
            </w:r>
          </w:p>
        </w:tc>
        <w:tc>
          <w:tcPr>
            <w:tcW w:w="443" w:type="pct"/>
            <w:vMerge w:val="restart"/>
            <w:tcBorders>
              <w:tl2br w:val="nil"/>
              <w:tr2bl w:val="nil"/>
            </w:tcBorders>
            <w:noWrap w:val="0"/>
            <w:tcMar>
              <w:left w:w="0" w:type="dxa"/>
              <w:right w:w="0" w:type="dxa"/>
            </w:tcMar>
            <w:vAlign w:val="center"/>
          </w:tcPr>
          <w:p w14:paraId="2465385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default" w:ascii="Times New Roman" w:hAnsi="Times New Roman" w:eastAsia="宋体" w:cs="Times New Roman"/>
                <w:color w:val="000000"/>
                <w:kern w:val="2"/>
                <w:sz w:val="21"/>
                <w:szCs w:val="24"/>
                <w:lang w:val="en-US" w:eastAsia="zh-CN" w:bidi="ar-SA"/>
              </w:rPr>
              <w:t>1</w:t>
            </w:r>
          </w:p>
        </w:tc>
        <w:tc>
          <w:tcPr>
            <w:tcW w:w="376" w:type="pct"/>
            <w:vMerge w:val="restart"/>
            <w:tcBorders>
              <w:tl2br w:val="nil"/>
              <w:tr2bl w:val="nil"/>
            </w:tcBorders>
            <w:noWrap w:val="0"/>
            <w:tcMar>
              <w:left w:w="0" w:type="dxa"/>
              <w:right w:w="0" w:type="dxa"/>
            </w:tcMar>
            <w:vAlign w:val="center"/>
          </w:tcPr>
          <w:p w14:paraId="06D1BAF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2</w:t>
            </w:r>
          </w:p>
        </w:tc>
        <w:tc>
          <w:tcPr>
            <w:tcW w:w="1407" w:type="dxa"/>
            <w:tcBorders>
              <w:tl2br w:val="nil"/>
              <w:tr2bl w:val="nil"/>
            </w:tcBorders>
            <w:noWrap w:val="0"/>
            <w:tcMar>
              <w:left w:w="0" w:type="dxa"/>
              <w:right w:w="0" w:type="dxa"/>
            </w:tcMar>
            <w:vAlign w:val="center"/>
          </w:tcPr>
          <w:p w14:paraId="45A5466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0.1136</w:t>
            </w:r>
          </w:p>
        </w:tc>
        <w:tc>
          <w:tcPr>
            <w:tcW w:w="791" w:type="pct"/>
            <w:vMerge w:val="continue"/>
            <w:tcBorders>
              <w:tl2br w:val="nil"/>
              <w:tr2bl w:val="nil"/>
            </w:tcBorders>
            <w:noWrap w:val="0"/>
            <w:tcMar>
              <w:left w:w="0" w:type="dxa"/>
              <w:right w:w="0" w:type="dxa"/>
            </w:tcMar>
            <w:vAlign w:val="center"/>
          </w:tcPr>
          <w:p w14:paraId="68B4AD96">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r>
      <w:tr w14:paraId="40849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42" w:type="pct"/>
            <w:vMerge w:val="continue"/>
            <w:tcBorders>
              <w:tl2br w:val="nil"/>
              <w:tr2bl w:val="nil"/>
            </w:tcBorders>
            <w:noWrap w:val="0"/>
            <w:tcMar>
              <w:left w:w="0" w:type="dxa"/>
              <w:right w:w="0" w:type="dxa"/>
            </w:tcMar>
            <w:vAlign w:val="center"/>
          </w:tcPr>
          <w:p w14:paraId="6DEB50E5">
            <w:pPr>
              <w:overflowPunct/>
              <w:autoSpaceDE/>
              <w:autoSpaceDN/>
              <w:adjustRightInd/>
              <w:snapToGrid/>
              <w:spacing w:before="0" w:after="0" w:line="240" w:lineRule="auto"/>
              <w:ind w:left="0" w:leftChars="0" w:right="0" w:rightChars="0" w:firstLine="0" w:firstLineChars="0"/>
              <w:jc w:val="center"/>
              <w:rPr>
                <w:rFonts w:hint="eastAsia" w:ascii="Times New Roman" w:hAnsi="Times New Roman" w:eastAsia="宋体" w:cs="Times New Roman"/>
                <w:color w:val="000000"/>
                <w:kern w:val="2"/>
                <w:sz w:val="21"/>
                <w:szCs w:val="21"/>
                <w:lang w:val="en-US" w:eastAsia="zh-CN" w:bidi="ar-SA"/>
              </w:rPr>
            </w:pPr>
          </w:p>
        </w:tc>
        <w:tc>
          <w:tcPr>
            <w:tcW w:w="788" w:type="pct"/>
            <w:vMerge w:val="continue"/>
            <w:tcBorders>
              <w:tl2br w:val="nil"/>
              <w:tr2bl w:val="nil"/>
            </w:tcBorders>
            <w:noWrap w:val="0"/>
            <w:tcMar>
              <w:left w:w="0" w:type="dxa"/>
              <w:right w:w="0" w:type="dxa"/>
            </w:tcMar>
            <w:vAlign w:val="center"/>
          </w:tcPr>
          <w:p w14:paraId="1F61914A">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c>
          <w:tcPr>
            <w:tcW w:w="379" w:type="pct"/>
            <w:tcBorders>
              <w:tl2br w:val="nil"/>
              <w:tr2bl w:val="nil"/>
            </w:tcBorders>
            <w:noWrap w:val="0"/>
            <w:tcMar>
              <w:left w:w="0" w:type="dxa"/>
              <w:right w:w="0" w:type="dxa"/>
            </w:tcMar>
            <w:vAlign w:val="center"/>
          </w:tcPr>
          <w:p w14:paraId="4681867F">
            <w:pPr>
              <w:widowControl w:val="0"/>
              <w:bidi w:val="0"/>
              <w:spacing w:line="360" w:lineRule="exact"/>
              <w:ind w:firstLine="0" w:firstLineChars="0"/>
              <w:jc w:val="center"/>
              <w:rPr>
                <w:rFonts w:hint="eastAsia" w:ascii="Times New Roman" w:hAnsi="Times New Roman" w:cs="Times New Roman"/>
                <w:color w:val="000000"/>
                <w:kern w:val="2"/>
                <w:sz w:val="21"/>
                <w:szCs w:val="24"/>
                <w:lang w:val="en-US" w:eastAsia="zh-CN" w:bidi="ar-SA"/>
              </w:rPr>
            </w:pPr>
            <w:r>
              <w:rPr>
                <w:rFonts w:hint="eastAsia" w:cs="宋体"/>
                <w:color w:val="000000"/>
                <w:sz w:val="21"/>
                <w:szCs w:val="22"/>
                <w:lang w:val="en-US" w:eastAsia="zh-CN" w:bidi="ar-SA"/>
              </w:rPr>
              <w:t>PM</w:t>
            </w:r>
            <w:r>
              <w:rPr>
                <w:rFonts w:hint="eastAsia" w:cs="宋体"/>
                <w:color w:val="000000"/>
                <w:sz w:val="21"/>
                <w:szCs w:val="22"/>
                <w:highlight w:val="none"/>
                <w:vertAlign w:val="subscript"/>
                <w:lang w:val="en-US" w:eastAsia="zh-CN" w:bidi="ar-SA"/>
              </w:rPr>
              <w:t>2.5</w:t>
            </w:r>
          </w:p>
        </w:tc>
        <w:tc>
          <w:tcPr>
            <w:tcW w:w="871" w:type="dxa"/>
            <w:tcBorders>
              <w:tl2br w:val="nil"/>
              <w:tr2bl w:val="nil"/>
            </w:tcBorders>
            <w:noWrap w:val="0"/>
            <w:tcMar>
              <w:left w:w="0" w:type="dxa"/>
              <w:right w:w="0" w:type="dxa"/>
            </w:tcMar>
            <w:vAlign w:val="center"/>
          </w:tcPr>
          <w:p w14:paraId="1A5989D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5.7 </w:t>
            </w:r>
          </w:p>
        </w:tc>
        <w:tc>
          <w:tcPr>
            <w:tcW w:w="883" w:type="dxa"/>
            <w:tcBorders>
              <w:tl2br w:val="nil"/>
              <w:tr2bl w:val="nil"/>
            </w:tcBorders>
            <w:noWrap w:val="0"/>
            <w:tcMar>
              <w:left w:w="0" w:type="dxa"/>
              <w:right w:w="0" w:type="dxa"/>
            </w:tcMar>
            <w:vAlign w:val="center"/>
          </w:tcPr>
          <w:p w14:paraId="1B38CE6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 xml:space="preserve">0.0284 </w:t>
            </w:r>
          </w:p>
        </w:tc>
        <w:tc>
          <w:tcPr>
            <w:tcW w:w="443" w:type="pct"/>
            <w:vMerge w:val="continue"/>
            <w:tcBorders>
              <w:tl2br w:val="nil"/>
              <w:tr2bl w:val="nil"/>
            </w:tcBorders>
            <w:noWrap w:val="0"/>
            <w:tcMar>
              <w:left w:w="0" w:type="dxa"/>
              <w:right w:w="0" w:type="dxa"/>
            </w:tcMar>
            <w:vAlign w:val="center"/>
          </w:tcPr>
          <w:p w14:paraId="4BB08C7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376" w:type="pct"/>
            <w:vMerge w:val="continue"/>
            <w:tcBorders>
              <w:tl2br w:val="nil"/>
              <w:tr2bl w:val="nil"/>
            </w:tcBorders>
            <w:noWrap w:val="0"/>
            <w:tcMar>
              <w:left w:w="0" w:type="dxa"/>
              <w:right w:w="0" w:type="dxa"/>
            </w:tcMar>
            <w:vAlign w:val="center"/>
          </w:tcPr>
          <w:p w14:paraId="448740A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p>
        </w:tc>
        <w:tc>
          <w:tcPr>
            <w:tcW w:w="1407" w:type="dxa"/>
            <w:tcBorders>
              <w:tl2br w:val="nil"/>
              <w:tr2bl w:val="nil"/>
            </w:tcBorders>
            <w:noWrap w:val="0"/>
            <w:tcMar>
              <w:left w:w="0" w:type="dxa"/>
              <w:right w:w="0" w:type="dxa"/>
            </w:tcMar>
            <w:vAlign w:val="center"/>
          </w:tcPr>
          <w:p w14:paraId="0F985ED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0.0568</w:t>
            </w:r>
          </w:p>
        </w:tc>
        <w:tc>
          <w:tcPr>
            <w:tcW w:w="791" w:type="pct"/>
            <w:vMerge w:val="continue"/>
            <w:tcBorders>
              <w:tl2br w:val="nil"/>
              <w:tr2bl w:val="nil"/>
            </w:tcBorders>
            <w:noWrap w:val="0"/>
            <w:tcMar>
              <w:left w:w="0" w:type="dxa"/>
              <w:right w:w="0" w:type="dxa"/>
            </w:tcMar>
            <w:vAlign w:val="center"/>
          </w:tcPr>
          <w:p w14:paraId="3F8E6303">
            <w:pPr>
              <w:overflowPunct/>
              <w:autoSpaceDE/>
              <w:autoSpaceDN/>
              <w:adjustRightInd/>
              <w:snapToGrid/>
              <w:spacing w:before="0" w:after="0" w:line="240" w:lineRule="auto"/>
              <w:ind w:left="0" w:leftChars="0" w:right="0" w:rightChars="0" w:firstLine="0" w:firstLineChars="0"/>
              <w:jc w:val="center"/>
              <w:rPr>
                <w:rFonts w:hint="eastAsia" w:eastAsia="宋体" w:cs="Times New Roman"/>
                <w:color w:val="000000"/>
                <w:kern w:val="2"/>
                <w:sz w:val="21"/>
                <w:szCs w:val="24"/>
                <w:lang w:val="en-US" w:eastAsia="zh-CN"/>
              </w:rPr>
            </w:pPr>
          </w:p>
        </w:tc>
      </w:tr>
    </w:tbl>
    <w:p w14:paraId="4D5CBBBE">
      <w:pPr>
        <w:pageBreakBefore w:val="0"/>
        <w:kinsoku/>
        <w:wordWrap/>
        <w:topLinePunct w:val="0"/>
        <w:bidi w:val="0"/>
        <w:adjustRightInd/>
        <w:snapToGrid/>
        <w:spacing w:line="360" w:lineRule="auto"/>
        <w:ind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4</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预测</w:t>
      </w:r>
      <w:r>
        <w:rPr>
          <w:rFonts w:hint="eastAsia" w:ascii="Times New Roman" w:hAnsi="Times New Roman" w:eastAsia="宋体" w:cs="Times New Roman"/>
          <w:sz w:val="24"/>
          <w:lang w:eastAsia="zh-CN"/>
        </w:rPr>
        <w:t>模式的选择</w:t>
      </w:r>
    </w:p>
    <w:p w14:paraId="762BF339">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本次环评根据《环境影响评价技术导则</w:t>
      </w:r>
      <w:r>
        <w:rPr>
          <w:rFonts w:hint="eastAsia" w:cs="Times New Roman"/>
          <w:sz w:val="24"/>
          <w:szCs w:val="24"/>
          <w:lang w:val="en-US" w:eastAsia="zh-CN"/>
        </w:rPr>
        <w:t xml:space="preserve"> </w:t>
      </w:r>
      <w:r>
        <w:rPr>
          <w:rFonts w:ascii="Times New Roman" w:hAnsi="Times New Roman" w:eastAsia="宋体" w:cs="Times New Roman"/>
          <w:sz w:val="24"/>
          <w:szCs w:val="24"/>
        </w:rPr>
        <w:t>大气环境》</w:t>
      </w:r>
      <w:r>
        <w:rPr>
          <w:rFonts w:hint="eastAsia" w:ascii="Times New Roman" w:hAnsi="Times New Roman" w:eastAsia="宋体" w:cs="Times New Roman"/>
          <w:sz w:val="24"/>
          <w:szCs w:val="24"/>
        </w:rPr>
        <w:t>（</w:t>
      </w:r>
      <w:r>
        <w:rPr>
          <w:rFonts w:ascii="Times New Roman" w:hAnsi="Times New Roman" w:eastAsia="宋体" w:cs="Times New Roman"/>
          <w:sz w:val="24"/>
          <w:szCs w:val="24"/>
        </w:rPr>
        <w:t>HJ2.2-2018</w:t>
      </w:r>
      <w:r>
        <w:rPr>
          <w:rFonts w:hint="eastAsia" w:ascii="Times New Roman" w:hAnsi="Times New Roman" w:eastAsia="宋体" w:cs="Times New Roman"/>
          <w:sz w:val="24"/>
          <w:szCs w:val="24"/>
        </w:rPr>
        <w:t>）</w:t>
      </w:r>
      <w:r>
        <w:rPr>
          <w:rFonts w:ascii="Times New Roman" w:hAnsi="Times New Roman" w:eastAsia="宋体" w:cs="Times New Roman"/>
          <w:sz w:val="24"/>
          <w:szCs w:val="24"/>
        </w:rPr>
        <w:t>提供的AERSCREEN模式进行污染源</w:t>
      </w:r>
      <w:r>
        <w:rPr>
          <w:rFonts w:hint="eastAsia" w:cs="Times New Roman"/>
          <w:sz w:val="24"/>
          <w:szCs w:val="24"/>
          <w:lang w:val="en-US" w:eastAsia="zh-CN"/>
        </w:rPr>
        <w:t>估算</w:t>
      </w:r>
      <w:r>
        <w:rPr>
          <w:rFonts w:ascii="Times New Roman" w:hAnsi="Times New Roman" w:eastAsia="宋体" w:cs="Times New Roman"/>
          <w:sz w:val="24"/>
          <w:szCs w:val="24"/>
        </w:rPr>
        <w:t>。</w:t>
      </w:r>
    </w:p>
    <w:p w14:paraId="79858E4B">
      <w:pPr>
        <w:bidi w:val="0"/>
        <w:spacing w:line="360" w:lineRule="auto"/>
        <w:ind w:firstLine="480" w:firstLineChars="20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（5）估算模型</w:t>
      </w:r>
    </w:p>
    <w:p w14:paraId="3AE5AE5D">
      <w:pPr>
        <w:bidi w:val="0"/>
        <w:spacing w:line="360" w:lineRule="auto"/>
        <w:ind w:firstLine="480" w:firstLineChars="200"/>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根据《环境影响评价技术导则  大气环境》（HJ2.2-2018）要求，可采用估算模型估算各污染源的小时最大落地浓度。本次预测采用导则推荐的估算模式AERSCREEN。</w:t>
      </w:r>
      <w:r>
        <w:rPr>
          <w:rFonts w:hint="default" w:ascii="Times New Roman" w:hAnsi="Times New Roman" w:eastAsia="宋体" w:cs="Times New Roman"/>
          <w:sz w:val="24"/>
          <w:szCs w:val="24"/>
          <w:lang w:val="en-US"/>
        </w:rPr>
        <w:t>估算模型参数见表</w:t>
      </w:r>
      <w:r>
        <w:rPr>
          <w:rFonts w:hint="eastAsia" w:ascii="Times New Roman" w:hAnsi="Times New Roman" w:eastAsia="宋体" w:cs="Times New Roman"/>
          <w:sz w:val="24"/>
          <w:szCs w:val="24"/>
          <w:lang w:val="en-US" w:eastAsia="zh-CN"/>
        </w:rPr>
        <w:t>5.2-</w:t>
      </w:r>
      <w:r>
        <w:rPr>
          <w:rFonts w:hint="eastAsia" w:cs="Times New Roman"/>
          <w:sz w:val="24"/>
          <w:szCs w:val="24"/>
          <w:lang w:val="en-US" w:eastAsia="zh-CN"/>
        </w:rPr>
        <w:t>9</w:t>
      </w:r>
      <w:r>
        <w:rPr>
          <w:rFonts w:hint="default" w:ascii="Times New Roman" w:hAnsi="Times New Roman" w:eastAsia="宋体" w:cs="Times New Roman"/>
          <w:sz w:val="24"/>
          <w:szCs w:val="24"/>
          <w:lang w:val="en-US"/>
        </w:rPr>
        <w:t>。</w:t>
      </w:r>
    </w:p>
    <w:p w14:paraId="415CE922">
      <w:pPr>
        <w:bidi w:val="0"/>
        <w:spacing w:line="360" w:lineRule="auto"/>
        <w:jc w:val="center"/>
        <w:rPr>
          <w:rFonts w:hint="default" w:ascii="Times New Roman" w:hAnsi="Times New Roman" w:eastAsia="宋体" w:cs="Times New Roman"/>
          <w:b/>
          <w:bCs/>
          <w:sz w:val="24"/>
          <w:szCs w:val="24"/>
          <w:lang w:val="en-US"/>
        </w:rPr>
      </w:pPr>
      <w:r>
        <w:rPr>
          <w:rFonts w:hint="default" w:ascii="Times New Roman" w:hAnsi="Times New Roman" w:eastAsia="宋体" w:cs="Times New Roman"/>
          <w:b/>
          <w:bCs/>
          <w:sz w:val="24"/>
          <w:szCs w:val="24"/>
          <w:lang w:val="en-US"/>
        </w:rPr>
        <w:t>表</w:t>
      </w:r>
      <w:r>
        <w:rPr>
          <w:rFonts w:hint="eastAsia" w:ascii="Times New Roman" w:hAnsi="Times New Roman" w:eastAsia="宋体" w:cs="Times New Roman"/>
          <w:b/>
          <w:bCs/>
          <w:sz w:val="24"/>
          <w:szCs w:val="24"/>
          <w:lang w:val="en-US" w:eastAsia="zh-CN"/>
        </w:rPr>
        <w:t>5.2-</w:t>
      </w:r>
      <w:r>
        <w:rPr>
          <w:rFonts w:hint="eastAsia" w:cs="Times New Roman"/>
          <w:b/>
          <w:bCs/>
          <w:sz w:val="24"/>
          <w:szCs w:val="24"/>
          <w:lang w:val="en-US" w:eastAsia="zh-CN"/>
        </w:rPr>
        <w:t>9</w:t>
      </w:r>
      <w:r>
        <w:rPr>
          <w:rFonts w:hint="default" w:ascii="Times New Roman" w:hAnsi="Times New Roman" w:eastAsia="宋体" w:cs="Times New Roman"/>
          <w:b/>
          <w:bCs/>
          <w:sz w:val="24"/>
          <w:szCs w:val="24"/>
          <w:lang w:val="en-US"/>
        </w:rPr>
        <w:t>估算模型参数表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396"/>
        <w:gridCol w:w="4299"/>
        <w:gridCol w:w="2809"/>
      </w:tblGrid>
      <w:tr w14:paraId="42E66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3169CB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参数</w:t>
            </w:r>
          </w:p>
        </w:tc>
        <w:tc>
          <w:tcPr>
            <w:tcW w:w="1651" w:type="pct"/>
            <w:tcBorders>
              <w:tl2br w:val="nil"/>
              <w:tr2bl w:val="nil"/>
            </w:tcBorders>
            <w:noWrap w:val="0"/>
            <w:vAlign w:val="center"/>
          </w:tcPr>
          <w:p w14:paraId="215A2A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取值</w:t>
            </w:r>
          </w:p>
        </w:tc>
      </w:tr>
      <w:tr w14:paraId="20CE7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restart"/>
            <w:tcBorders>
              <w:tl2br w:val="nil"/>
              <w:tr2bl w:val="nil"/>
            </w:tcBorders>
            <w:noWrap w:val="0"/>
            <w:vAlign w:val="center"/>
          </w:tcPr>
          <w:p w14:paraId="631F9CE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城市/农村选项</w:t>
            </w:r>
          </w:p>
        </w:tc>
        <w:tc>
          <w:tcPr>
            <w:tcW w:w="2527" w:type="pct"/>
            <w:tcBorders>
              <w:tl2br w:val="nil"/>
              <w:tr2bl w:val="nil"/>
            </w:tcBorders>
            <w:noWrap w:val="0"/>
            <w:vAlign w:val="center"/>
          </w:tcPr>
          <w:p w14:paraId="16F2B80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城市/农村</w:t>
            </w:r>
          </w:p>
        </w:tc>
        <w:tc>
          <w:tcPr>
            <w:tcW w:w="1651" w:type="pct"/>
            <w:tcBorders>
              <w:tl2br w:val="nil"/>
              <w:tr2bl w:val="nil"/>
            </w:tcBorders>
            <w:noWrap w:val="0"/>
            <w:vAlign w:val="center"/>
          </w:tcPr>
          <w:p w14:paraId="0A74FE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农村</w:t>
            </w:r>
          </w:p>
        </w:tc>
      </w:tr>
      <w:tr w14:paraId="4389B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1244D7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0AFE92F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人口数（城市选项时）</w:t>
            </w:r>
          </w:p>
        </w:tc>
        <w:tc>
          <w:tcPr>
            <w:tcW w:w="1651" w:type="pct"/>
            <w:tcBorders>
              <w:tl2br w:val="nil"/>
              <w:tr2bl w:val="nil"/>
            </w:tcBorders>
            <w:noWrap w:val="0"/>
            <w:vAlign w:val="center"/>
          </w:tcPr>
          <w:p w14:paraId="1159F0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41C74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74CD04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最高环境温度/℃</w:t>
            </w:r>
          </w:p>
        </w:tc>
        <w:tc>
          <w:tcPr>
            <w:tcW w:w="2809" w:type="dxa"/>
            <w:tcBorders>
              <w:tl2br w:val="nil"/>
              <w:tr2bl w:val="nil"/>
            </w:tcBorders>
            <w:noWrap w:val="0"/>
            <w:vAlign w:val="center"/>
          </w:tcPr>
          <w:p w14:paraId="0DFC566F">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Cs/>
                <w:color w:val="000000"/>
                <w:kern w:val="2"/>
                <w:sz w:val="21"/>
                <w:szCs w:val="21"/>
                <w:lang w:val="en-US" w:eastAsia="zh-CN"/>
              </w:rPr>
            </w:pPr>
            <w:r>
              <w:rPr>
                <w:rFonts w:hint="eastAsia" w:cs="Times New Roman"/>
                <w:bCs/>
                <w:color w:val="000000"/>
                <w:kern w:val="2"/>
                <w:sz w:val="21"/>
                <w:szCs w:val="21"/>
                <w:lang w:val="en-US" w:eastAsia="zh-CN"/>
              </w:rPr>
              <w:t>40.7</w:t>
            </w:r>
          </w:p>
        </w:tc>
      </w:tr>
      <w:tr w14:paraId="54454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316777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最低环境温度/℃</w:t>
            </w:r>
          </w:p>
        </w:tc>
        <w:tc>
          <w:tcPr>
            <w:tcW w:w="2809" w:type="dxa"/>
            <w:tcBorders>
              <w:tl2br w:val="nil"/>
              <w:tr2bl w:val="nil"/>
            </w:tcBorders>
            <w:noWrap w:val="0"/>
            <w:vAlign w:val="center"/>
          </w:tcPr>
          <w:p w14:paraId="11C00819">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bCs/>
                <w:color w:val="000000"/>
                <w:kern w:val="2"/>
                <w:sz w:val="21"/>
                <w:szCs w:val="21"/>
                <w:lang w:val="en-US" w:eastAsia="zh-CN"/>
              </w:rPr>
            </w:pPr>
            <w:r>
              <w:rPr>
                <w:rFonts w:hint="default" w:ascii="Times New Roman" w:hAnsi="Times New Roman" w:eastAsia="宋体" w:cs="Times New Roman"/>
                <w:bCs/>
                <w:color w:val="000000"/>
                <w:kern w:val="2"/>
                <w:sz w:val="21"/>
                <w:szCs w:val="21"/>
              </w:rPr>
              <w:t>-</w:t>
            </w:r>
            <w:r>
              <w:rPr>
                <w:rFonts w:hint="eastAsia" w:cs="Times New Roman"/>
                <w:bCs/>
                <w:color w:val="000000"/>
                <w:kern w:val="2"/>
                <w:sz w:val="21"/>
                <w:szCs w:val="21"/>
                <w:lang w:val="en-US" w:eastAsia="zh-CN"/>
              </w:rPr>
              <w:t>27.3</w:t>
            </w:r>
          </w:p>
        </w:tc>
      </w:tr>
      <w:tr w14:paraId="6111C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22D87F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土地利用类型</w:t>
            </w:r>
          </w:p>
        </w:tc>
        <w:tc>
          <w:tcPr>
            <w:tcW w:w="2809" w:type="dxa"/>
            <w:tcBorders>
              <w:tl2br w:val="nil"/>
              <w:tr2bl w:val="nil"/>
            </w:tcBorders>
            <w:noWrap w:val="0"/>
            <w:vAlign w:val="top"/>
          </w:tcPr>
          <w:p w14:paraId="121C8B40">
            <w:pPr>
              <w:widowControl w:val="0"/>
              <w:overflowPunct w:val="0"/>
              <w:autoSpaceDE w:val="0"/>
              <w:autoSpaceDN w:val="0"/>
              <w:adjustRightInd w:val="0"/>
              <w:snapToGrid w:val="0"/>
              <w:spacing w:before="0" w:after="0" w:line="320" w:lineRule="exact"/>
              <w:ind w:right="0" w:rightChars="0"/>
              <w:jc w:val="center"/>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SA"/>
              </w:rPr>
              <w:t>设施农用地</w:t>
            </w:r>
          </w:p>
        </w:tc>
      </w:tr>
      <w:tr w14:paraId="27F67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348" w:type="pct"/>
            <w:gridSpan w:val="2"/>
            <w:tcBorders>
              <w:tl2br w:val="nil"/>
              <w:tr2bl w:val="nil"/>
            </w:tcBorders>
            <w:noWrap w:val="0"/>
            <w:vAlign w:val="center"/>
          </w:tcPr>
          <w:p w14:paraId="40E87A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区域湿度条件</w:t>
            </w:r>
          </w:p>
        </w:tc>
        <w:tc>
          <w:tcPr>
            <w:tcW w:w="2809" w:type="dxa"/>
            <w:tcBorders>
              <w:tl2br w:val="nil"/>
              <w:tr2bl w:val="nil"/>
            </w:tcBorders>
            <w:noWrap w:val="0"/>
            <w:vAlign w:val="top"/>
          </w:tcPr>
          <w:p w14:paraId="468E7354">
            <w:pPr>
              <w:widowControl w:val="0"/>
              <w:overflowPunct w:val="0"/>
              <w:autoSpaceDE w:val="0"/>
              <w:autoSpaceDN w:val="0"/>
              <w:adjustRightInd w:val="0"/>
              <w:snapToGrid w:val="0"/>
              <w:spacing w:before="0" w:after="0" w:line="320" w:lineRule="exact"/>
              <w:ind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SA"/>
              </w:rPr>
              <w:t>干燥气候</w:t>
            </w:r>
          </w:p>
        </w:tc>
      </w:tr>
      <w:tr w14:paraId="51A7D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restart"/>
            <w:tcBorders>
              <w:tl2br w:val="nil"/>
              <w:tr2bl w:val="nil"/>
            </w:tcBorders>
            <w:noWrap w:val="0"/>
            <w:vAlign w:val="center"/>
          </w:tcPr>
          <w:p w14:paraId="2354FC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是否考虑地形</w:t>
            </w:r>
          </w:p>
        </w:tc>
        <w:tc>
          <w:tcPr>
            <w:tcW w:w="2527" w:type="pct"/>
            <w:tcBorders>
              <w:tl2br w:val="nil"/>
              <w:tr2bl w:val="nil"/>
            </w:tcBorders>
            <w:noWrap w:val="0"/>
            <w:vAlign w:val="center"/>
          </w:tcPr>
          <w:p w14:paraId="5FA63E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考虑地形</w:t>
            </w:r>
          </w:p>
        </w:tc>
        <w:tc>
          <w:tcPr>
            <w:tcW w:w="2809" w:type="dxa"/>
            <w:tcBorders>
              <w:tl2br w:val="nil"/>
              <w:tr2bl w:val="nil"/>
            </w:tcBorders>
            <w:noWrap w:val="0"/>
            <w:vAlign w:val="center"/>
          </w:tcPr>
          <w:p w14:paraId="030B98CC">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是</w:t>
            </w:r>
          </w:p>
        </w:tc>
      </w:tr>
      <w:tr w14:paraId="27E63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0FEFC9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32E255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地形数据分辨率/m</w:t>
            </w:r>
          </w:p>
        </w:tc>
        <w:tc>
          <w:tcPr>
            <w:tcW w:w="2809" w:type="dxa"/>
            <w:tcBorders>
              <w:tl2br w:val="nil"/>
              <w:tr2bl w:val="nil"/>
            </w:tcBorders>
            <w:noWrap w:val="0"/>
            <w:vAlign w:val="center"/>
          </w:tcPr>
          <w:p w14:paraId="607BE689">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bCs/>
                <w:color w:val="000000"/>
                <w:kern w:val="2"/>
                <w:sz w:val="21"/>
                <w:szCs w:val="21"/>
                <w:lang w:val="en-US" w:eastAsia="zh-CN"/>
              </w:rPr>
              <w:t>90</w:t>
            </w:r>
          </w:p>
        </w:tc>
      </w:tr>
      <w:tr w14:paraId="17048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restart"/>
            <w:tcBorders>
              <w:tl2br w:val="nil"/>
              <w:tr2bl w:val="nil"/>
            </w:tcBorders>
            <w:noWrap w:val="0"/>
            <w:vAlign w:val="center"/>
          </w:tcPr>
          <w:p w14:paraId="534606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是否考虑海岸线熏烟</w:t>
            </w:r>
          </w:p>
        </w:tc>
        <w:tc>
          <w:tcPr>
            <w:tcW w:w="2527" w:type="pct"/>
            <w:tcBorders>
              <w:tl2br w:val="nil"/>
              <w:tr2bl w:val="nil"/>
            </w:tcBorders>
            <w:noWrap w:val="0"/>
            <w:vAlign w:val="center"/>
          </w:tcPr>
          <w:p w14:paraId="65D66B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考虑海岸线熏烟</w:t>
            </w:r>
          </w:p>
        </w:tc>
        <w:tc>
          <w:tcPr>
            <w:tcW w:w="2809" w:type="dxa"/>
            <w:tcBorders>
              <w:tl2br w:val="nil"/>
              <w:tr2bl w:val="nil"/>
            </w:tcBorders>
            <w:noWrap w:val="0"/>
            <w:vAlign w:val="center"/>
          </w:tcPr>
          <w:p w14:paraId="2373B015">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否</w:t>
            </w:r>
          </w:p>
        </w:tc>
      </w:tr>
      <w:tr w14:paraId="06000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70EA0F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5852A9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岸线距离/km</w:t>
            </w:r>
          </w:p>
        </w:tc>
        <w:tc>
          <w:tcPr>
            <w:tcW w:w="2809" w:type="dxa"/>
            <w:tcBorders>
              <w:tl2br w:val="nil"/>
              <w:tr2bl w:val="nil"/>
            </w:tcBorders>
            <w:noWrap w:val="0"/>
            <w:vAlign w:val="center"/>
          </w:tcPr>
          <w:p w14:paraId="4381D749">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否</w:t>
            </w:r>
          </w:p>
        </w:tc>
      </w:tr>
      <w:tr w14:paraId="11B965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21" w:type="pct"/>
            <w:vMerge w:val="continue"/>
            <w:tcBorders>
              <w:tl2br w:val="nil"/>
              <w:tr2bl w:val="nil"/>
            </w:tcBorders>
            <w:noWrap w:val="0"/>
            <w:vAlign w:val="center"/>
          </w:tcPr>
          <w:p w14:paraId="6B8BFF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2527" w:type="pct"/>
            <w:tcBorders>
              <w:tl2br w:val="nil"/>
              <w:tr2bl w:val="nil"/>
            </w:tcBorders>
            <w:noWrap w:val="0"/>
            <w:vAlign w:val="center"/>
          </w:tcPr>
          <w:p w14:paraId="258C83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岸线方向/°</w:t>
            </w:r>
          </w:p>
        </w:tc>
        <w:tc>
          <w:tcPr>
            <w:tcW w:w="2809" w:type="dxa"/>
            <w:tcBorders>
              <w:tl2br w:val="nil"/>
              <w:tr2bl w:val="nil"/>
            </w:tcBorders>
            <w:noWrap w:val="0"/>
            <w:vAlign w:val="center"/>
          </w:tcPr>
          <w:p w14:paraId="5F185D24">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bCs/>
                <w:color w:val="000000"/>
                <w:kern w:val="2"/>
                <w:sz w:val="21"/>
                <w:szCs w:val="21"/>
              </w:rPr>
              <w:t>否</w:t>
            </w:r>
          </w:p>
        </w:tc>
      </w:tr>
    </w:tbl>
    <w:p w14:paraId="70473274">
      <w:pPr>
        <w:bidi w:val="0"/>
        <w:spacing w:line="360" w:lineRule="auto"/>
        <w:ind w:firstLine="480" w:firstLineChars="200"/>
        <w:rPr>
          <w:rFonts w:ascii="Times New Roman" w:hAnsi="Times New Roman" w:eastAsia="宋体" w:cs="Times New Roman"/>
        </w:rPr>
      </w:pPr>
      <w:r>
        <w:rPr>
          <w:rFonts w:hint="default" w:ascii="Times New Roman" w:hAnsi="Times New Roman" w:eastAsia="宋体" w:cs="Times New Roman"/>
          <w:sz w:val="24"/>
          <w:szCs w:val="24"/>
          <w:lang w:val="en-US"/>
        </w:rPr>
        <w:t>采用估算模型AERSCREEN计算为距离污染源</w:t>
      </w:r>
      <w:r>
        <w:rPr>
          <w:rFonts w:hint="default"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lang w:val="en-US"/>
        </w:rPr>
        <w:t>m到2500m。</w:t>
      </w:r>
    </w:p>
    <w:p w14:paraId="03DDDD7E">
      <w:pPr>
        <w:pageBreakBefore w:val="0"/>
        <w:kinsoku/>
        <w:wordWrap/>
        <w:topLinePunct w:val="0"/>
        <w:bidi w:val="0"/>
        <w:adjustRightInd/>
        <w:snapToGrid/>
        <w:spacing w:line="360" w:lineRule="auto"/>
        <w:ind w:firstLine="480" w:firstLineChars="200"/>
        <w:rPr>
          <w:rFonts w:hint="default" w:ascii="Times New Roman" w:hAnsi="Times New Roman" w:eastAsia="宋体" w:cs="Times New Roman"/>
          <w:sz w:val="24"/>
        </w:rPr>
      </w:pPr>
      <w:r>
        <w:rPr>
          <w:rFonts w:hint="eastAsia" w:eastAsia="宋体" w:cs="Times New Roman"/>
          <w:sz w:val="24"/>
          <w:lang w:val="en-US" w:eastAsia="zh-CN"/>
        </w:rPr>
        <w:t>（6）</w:t>
      </w:r>
      <w:r>
        <w:rPr>
          <w:rFonts w:hint="eastAsia" w:cs="Times New Roman"/>
          <w:sz w:val="24"/>
          <w:lang w:val="en-US" w:eastAsia="zh-CN"/>
        </w:rPr>
        <w:t>估算</w:t>
      </w:r>
      <w:r>
        <w:rPr>
          <w:rFonts w:hint="default" w:ascii="Times New Roman" w:hAnsi="Times New Roman" w:eastAsia="宋体" w:cs="Times New Roman"/>
          <w:sz w:val="24"/>
        </w:rPr>
        <w:t>结果</w:t>
      </w:r>
    </w:p>
    <w:p w14:paraId="36682507">
      <w:pPr>
        <w:pageBreakBefore w:val="0"/>
        <w:widowControl/>
        <w:wordWrap/>
        <w:topLinePunct w:val="0"/>
        <w:bidi w:val="0"/>
        <w:adjustRightInd/>
        <w:snapToGrid/>
        <w:spacing w:line="360" w:lineRule="auto"/>
        <w:ind w:firstLine="480" w:firstLineChars="200"/>
        <w:contextualSpacing/>
        <w:jc w:val="left"/>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本项目工程全部建成投产后，正常工况下</w:t>
      </w:r>
      <w:r>
        <w:rPr>
          <w:rFonts w:hint="eastAsia" w:cs="Times New Roman"/>
          <w:kern w:val="0"/>
          <w:sz w:val="24"/>
          <w:szCs w:val="24"/>
          <w:lang w:val="en-US" w:eastAsia="zh-CN" w:bidi="ar-SA"/>
        </w:rPr>
        <w:t>有组织</w:t>
      </w:r>
      <w:r>
        <w:rPr>
          <w:rFonts w:hint="default" w:ascii="Times New Roman" w:hAnsi="Times New Roman" w:eastAsia="宋体" w:cs="Times New Roman"/>
          <w:kern w:val="0"/>
          <w:sz w:val="24"/>
          <w:szCs w:val="24"/>
          <w:lang w:val="en-US" w:eastAsia="zh-CN" w:bidi="ar-SA"/>
        </w:rPr>
        <w:t>废气污染物落地浓度估算见表</w:t>
      </w:r>
      <w:r>
        <w:rPr>
          <w:rFonts w:hint="eastAsia" w:cs="Times New Roman"/>
          <w:kern w:val="0"/>
          <w:sz w:val="24"/>
          <w:szCs w:val="24"/>
          <w:lang w:val="en-US" w:eastAsia="zh-CN" w:bidi="ar-SA"/>
        </w:rPr>
        <w:t>5.2-10、5.2-11</w:t>
      </w:r>
      <w:r>
        <w:rPr>
          <w:rFonts w:hint="default" w:ascii="Times New Roman" w:hAnsi="Times New Roman" w:eastAsia="宋体" w:cs="Times New Roman"/>
          <w:kern w:val="0"/>
          <w:sz w:val="24"/>
          <w:szCs w:val="24"/>
          <w:lang w:val="en-US" w:eastAsia="zh-CN" w:bidi="ar-SA"/>
        </w:rPr>
        <w:t>，正常工况下无组织排放废气污染物落地浓度估算见表</w:t>
      </w:r>
      <w:r>
        <w:rPr>
          <w:rFonts w:hint="eastAsia" w:cs="Times New Roman"/>
          <w:kern w:val="0"/>
          <w:sz w:val="24"/>
          <w:szCs w:val="24"/>
          <w:lang w:val="en-US" w:eastAsia="zh-CN" w:bidi="ar-SA"/>
        </w:rPr>
        <w:t>5.2-12、5.2-13</w:t>
      </w:r>
      <w:r>
        <w:rPr>
          <w:rFonts w:hint="default" w:ascii="Times New Roman" w:hAnsi="Times New Roman" w:eastAsia="宋体" w:cs="Times New Roman"/>
          <w:kern w:val="0"/>
          <w:sz w:val="24"/>
          <w:szCs w:val="24"/>
          <w:lang w:val="en-US" w:eastAsia="zh-CN" w:bidi="ar-SA"/>
        </w:rPr>
        <w:t>，非正常工况下废气污染物落地浓度估算见表</w:t>
      </w:r>
      <w:r>
        <w:rPr>
          <w:rFonts w:hint="eastAsia" w:cs="Times New Roman"/>
          <w:kern w:val="0"/>
          <w:sz w:val="24"/>
          <w:szCs w:val="24"/>
          <w:lang w:val="en-US" w:eastAsia="zh-CN" w:bidi="ar-SA"/>
        </w:rPr>
        <w:t>5.2-14、5.2-15</w:t>
      </w:r>
      <w:r>
        <w:rPr>
          <w:rFonts w:hint="default" w:ascii="Times New Roman" w:hAnsi="Times New Roman" w:eastAsia="宋体" w:cs="Times New Roman"/>
          <w:kern w:val="0"/>
          <w:sz w:val="24"/>
          <w:szCs w:val="24"/>
          <w:lang w:val="en-US" w:eastAsia="zh-CN" w:bidi="ar-SA"/>
        </w:rPr>
        <w:t>。</w:t>
      </w:r>
    </w:p>
    <w:p w14:paraId="377499B5">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bookmarkStart w:id="567" w:name="_Ref2501"/>
      <w:r>
        <w:rPr>
          <w:rFonts w:hint="default" w:ascii="Times New Roman" w:hAnsi="Times New Roman" w:eastAsia="宋体" w:cs="Times New Roman"/>
          <w:b/>
          <w:kern w:val="0"/>
          <w:sz w:val="24"/>
          <w:szCs w:val="24"/>
          <w:lang w:val="en-US" w:eastAsia="zh-CN" w:bidi="ar-SA"/>
        </w:rPr>
        <w:t>表</w:t>
      </w:r>
      <w:bookmarkEnd w:id="567"/>
      <w:r>
        <w:rPr>
          <w:rFonts w:hint="default" w:ascii="Times New Roman" w:hAnsi="Times New Roman" w:eastAsia="宋体" w:cs="Times New Roman"/>
          <w:b/>
          <w:kern w:val="0"/>
          <w:sz w:val="24"/>
          <w:szCs w:val="24"/>
          <w:lang w:val="en-US" w:eastAsia="zh-CN" w:bidi="ar-SA"/>
        </w:rPr>
        <w:t>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10正常工况下有组织废气污染物</w:t>
      </w:r>
      <w:r>
        <w:rPr>
          <w:rFonts w:hint="default" w:ascii="Times New Roman" w:hAnsi="Times New Roman" w:eastAsia="宋体" w:cs="Times New Roman"/>
          <w:b/>
          <w:kern w:val="0"/>
          <w:sz w:val="24"/>
          <w:szCs w:val="24"/>
          <w:lang w:val="en-US" w:eastAsia="zh-CN" w:bidi="ar-SA"/>
        </w:rPr>
        <w:t>最大占标率及最大落地浓度表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07"/>
        <w:gridCol w:w="899"/>
        <w:gridCol w:w="900"/>
        <w:gridCol w:w="899"/>
        <w:gridCol w:w="900"/>
        <w:gridCol w:w="899"/>
        <w:gridCol w:w="900"/>
        <w:gridCol w:w="900"/>
        <w:gridCol w:w="900"/>
      </w:tblGrid>
      <w:tr w14:paraId="17CB8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vMerge w:val="restart"/>
            <w:noWrap w:val="0"/>
            <w:vAlign w:val="center"/>
          </w:tcPr>
          <w:p w14:paraId="3B1A7DA3">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下风向距离/m</w:t>
            </w:r>
          </w:p>
        </w:tc>
        <w:tc>
          <w:tcPr>
            <w:tcW w:w="7197" w:type="dxa"/>
            <w:gridSpan w:val="8"/>
            <w:noWrap w:val="0"/>
            <w:vAlign w:val="center"/>
          </w:tcPr>
          <w:p w14:paraId="6E511CB0">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val="0"/>
                <w:kern w:val="0"/>
                <w:sz w:val="21"/>
                <w:szCs w:val="21"/>
                <w:lang w:val="en-US" w:eastAsia="zh-CN" w:bidi="en-US"/>
              </w:rPr>
            </w:pPr>
            <w:r>
              <w:rPr>
                <w:rFonts w:hint="default" w:cs="Times New Roman"/>
                <w:b/>
                <w:bCs w:val="0"/>
                <w:kern w:val="0"/>
                <w:sz w:val="21"/>
                <w:szCs w:val="21"/>
                <w:lang w:val="en-US" w:eastAsia="zh-CN" w:bidi="en-US"/>
              </w:rPr>
              <w:t>DA001（</w:t>
            </w:r>
            <w:r>
              <w:rPr>
                <w:rFonts w:hint="eastAsia" w:cs="Times New Roman"/>
                <w:b/>
                <w:bCs w:val="0"/>
                <w:kern w:val="0"/>
                <w:sz w:val="21"/>
                <w:szCs w:val="21"/>
                <w:lang w:val="en-US" w:eastAsia="zh-CN" w:bidi="en-US"/>
              </w:rPr>
              <w:t>堆肥间</w:t>
            </w:r>
            <w:r>
              <w:rPr>
                <w:rFonts w:hint="default" w:cs="Times New Roman"/>
                <w:b/>
                <w:bCs w:val="0"/>
                <w:kern w:val="0"/>
                <w:sz w:val="21"/>
                <w:szCs w:val="21"/>
                <w:lang w:val="en-US" w:eastAsia="zh-CN" w:bidi="en-US"/>
              </w:rPr>
              <w:t>排放口）</w:t>
            </w:r>
          </w:p>
        </w:tc>
      </w:tr>
      <w:tr w14:paraId="154B8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vMerge w:val="continue"/>
            <w:noWrap w:val="0"/>
            <w:vAlign w:val="center"/>
          </w:tcPr>
          <w:p w14:paraId="545334B2">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1799" w:type="dxa"/>
            <w:gridSpan w:val="2"/>
            <w:noWrap w:val="0"/>
            <w:vAlign w:val="center"/>
          </w:tcPr>
          <w:p w14:paraId="47DDCC75">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10</w:t>
            </w:r>
          </w:p>
        </w:tc>
        <w:tc>
          <w:tcPr>
            <w:tcW w:w="1799" w:type="dxa"/>
            <w:gridSpan w:val="2"/>
            <w:noWrap w:val="0"/>
            <w:vAlign w:val="center"/>
          </w:tcPr>
          <w:p w14:paraId="031046EB">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2.5</w:t>
            </w:r>
          </w:p>
        </w:tc>
        <w:tc>
          <w:tcPr>
            <w:tcW w:w="1799" w:type="dxa"/>
            <w:gridSpan w:val="2"/>
            <w:noWrap w:val="0"/>
            <w:vAlign w:val="center"/>
          </w:tcPr>
          <w:p w14:paraId="2B7E40EE">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eastAsia"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NH</w:t>
            </w:r>
            <w:r>
              <w:rPr>
                <w:rFonts w:hint="default" w:ascii="Times New Roman" w:hAnsi="Times New Roman" w:eastAsia="宋体" w:cs="Times New Roman"/>
                <w:b/>
                <w:bCs w:val="0"/>
                <w:kern w:val="0"/>
                <w:sz w:val="21"/>
                <w:szCs w:val="21"/>
                <w:vertAlign w:val="subscript"/>
                <w:lang w:val="en-US" w:eastAsia="en-US" w:bidi="en-US"/>
              </w:rPr>
              <w:t>3</w:t>
            </w:r>
          </w:p>
        </w:tc>
        <w:tc>
          <w:tcPr>
            <w:tcW w:w="1800" w:type="dxa"/>
            <w:gridSpan w:val="2"/>
            <w:noWrap w:val="0"/>
            <w:vAlign w:val="center"/>
          </w:tcPr>
          <w:p w14:paraId="0BED3596">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eastAsia"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H</w:t>
            </w:r>
            <w:r>
              <w:rPr>
                <w:rFonts w:hint="default" w:ascii="Times New Roman" w:hAnsi="Times New Roman" w:eastAsia="宋体" w:cs="Times New Roman"/>
                <w:b/>
                <w:bCs w:val="0"/>
                <w:kern w:val="0"/>
                <w:sz w:val="21"/>
                <w:szCs w:val="21"/>
                <w:vertAlign w:val="subscript"/>
                <w:lang w:val="en-US" w:eastAsia="zh-CN" w:bidi="en-US"/>
              </w:rPr>
              <w:t>2</w:t>
            </w:r>
            <w:r>
              <w:rPr>
                <w:rFonts w:hint="default" w:ascii="Times New Roman" w:hAnsi="Times New Roman" w:eastAsia="宋体" w:cs="Times New Roman"/>
                <w:b/>
                <w:bCs w:val="0"/>
                <w:kern w:val="0"/>
                <w:sz w:val="21"/>
                <w:szCs w:val="21"/>
                <w:lang w:val="en-US" w:eastAsia="zh-CN" w:bidi="en-US"/>
              </w:rPr>
              <w:t>S</w:t>
            </w:r>
          </w:p>
        </w:tc>
      </w:tr>
      <w:tr w14:paraId="60E7D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vMerge w:val="continue"/>
            <w:noWrap w:val="0"/>
            <w:vAlign w:val="center"/>
          </w:tcPr>
          <w:p w14:paraId="5A2D72D7">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899" w:type="dxa"/>
            <w:noWrap w:val="0"/>
            <w:vAlign w:val="center"/>
          </w:tcPr>
          <w:p w14:paraId="1EA501FF">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900" w:type="dxa"/>
            <w:noWrap w:val="0"/>
            <w:vAlign w:val="center"/>
          </w:tcPr>
          <w:p w14:paraId="69FB2C7B">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占标率（%）</w:t>
            </w:r>
          </w:p>
        </w:tc>
        <w:tc>
          <w:tcPr>
            <w:tcW w:w="899" w:type="dxa"/>
            <w:noWrap w:val="0"/>
            <w:vAlign w:val="center"/>
          </w:tcPr>
          <w:p w14:paraId="10E5A757">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900" w:type="dxa"/>
            <w:noWrap w:val="0"/>
            <w:vAlign w:val="center"/>
          </w:tcPr>
          <w:p w14:paraId="620609B0">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899" w:type="dxa"/>
            <w:noWrap w:val="0"/>
            <w:vAlign w:val="center"/>
          </w:tcPr>
          <w:p w14:paraId="4969093B">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900" w:type="dxa"/>
            <w:noWrap w:val="0"/>
            <w:vAlign w:val="center"/>
          </w:tcPr>
          <w:p w14:paraId="3E5806E9">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900" w:type="dxa"/>
            <w:noWrap w:val="0"/>
            <w:vAlign w:val="center"/>
          </w:tcPr>
          <w:p w14:paraId="0709C696">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900" w:type="dxa"/>
            <w:noWrap w:val="0"/>
            <w:vAlign w:val="center"/>
          </w:tcPr>
          <w:p w14:paraId="548144F2">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r>
      <w:tr w14:paraId="747F9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633CFC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899" w:type="dxa"/>
            <w:noWrap w:val="0"/>
            <w:vAlign w:val="center"/>
          </w:tcPr>
          <w:p w14:paraId="1D499E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0.000018</w:t>
            </w:r>
          </w:p>
        </w:tc>
        <w:tc>
          <w:tcPr>
            <w:tcW w:w="900" w:type="dxa"/>
            <w:noWrap w:val="0"/>
            <w:vAlign w:val="center"/>
          </w:tcPr>
          <w:p w14:paraId="12CF196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899" w:type="dxa"/>
            <w:noWrap w:val="0"/>
            <w:vAlign w:val="center"/>
          </w:tcPr>
          <w:p w14:paraId="01344E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0.000009</w:t>
            </w:r>
          </w:p>
        </w:tc>
        <w:tc>
          <w:tcPr>
            <w:tcW w:w="900" w:type="dxa"/>
            <w:noWrap w:val="0"/>
            <w:vAlign w:val="center"/>
          </w:tcPr>
          <w:p w14:paraId="7311FA2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899" w:type="dxa"/>
            <w:noWrap w:val="0"/>
            <w:vAlign w:val="center"/>
          </w:tcPr>
          <w:p w14:paraId="7132A9C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0.000027</w:t>
            </w:r>
          </w:p>
        </w:tc>
        <w:tc>
          <w:tcPr>
            <w:tcW w:w="900" w:type="dxa"/>
            <w:noWrap w:val="0"/>
            <w:vAlign w:val="center"/>
          </w:tcPr>
          <w:p w14:paraId="6F14A2C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900" w:type="dxa"/>
            <w:noWrap w:val="0"/>
            <w:vAlign w:val="center"/>
          </w:tcPr>
          <w:p w14:paraId="0DF5818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0.000002</w:t>
            </w:r>
          </w:p>
        </w:tc>
        <w:tc>
          <w:tcPr>
            <w:tcW w:w="900" w:type="dxa"/>
            <w:noWrap w:val="0"/>
            <w:vAlign w:val="center"/>
          </w:tcPr>
          <w:p w14:paraId="69438C9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r>
      <w:tr w14:paraId="11BC8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229569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899" w:type="dxa"/>
            <w:noWrap w:val="0"/>
            <w:vAlign w:val="center"/>
          </w:tcPr>
          <w:p w14:paraId="3F58DD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0.000209</w:t>
            </w:r>
          </w:p>
        </w:tc>
        <w:tc>
          <w:tcPr>
            <w:tcW w:w="900" w:type="dxa"/>
            <w:noWrap w:val="0"/>
            <w:vAlign w:val="center"/>
          </w:tcPr>
          <w:p w14:paraId="20DCE74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0.06</w:t>
            </w:r>
          </w:p>
        </w:tc>
        <w:tc>
          <w:tcPr>
            <w:tcW w:w="899" w:type="dxa"/>
            <w:noWrap w:val="0"/>
            <w:vAlign w:val="center"/>
          </w:tcPr>
          <w:p w14:paraId="4757C0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0.000105</w:t>
            </w:r>
          </w:p>
        </w:tc>
        <w:tc>
          <w:tcPr>
            <w:tcW w:w="900" w:type="dxa"/>
            <w:noWrap w:val="0"/>
            <w:vAlign w:val="center"/>
          </w:tcPr>
          <w:p w14:paraId="25E5A22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0.06</w:t>
            </w:r>
          </w:p>
        </w:tc>
        <w:tc>
          <w:tcPr>
            <w:tcW w:w="899" w:type="dxa"/>
            <w:noWrap w:val="0"/>
            <w:vAlign w:val="center"/>
          </w:tcPr>
          <w:p w14:paraId="146E05D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0.000314</w:t>
            </w:r>
          </w:p>
        </w:tc>
        <w:tc>
          <w:tcPr>
            <w:tcW w:w="900" w:type="dxa"/>
            <w:noWrap w:val="0"/>
            <w:vAlign w:val="center"/>
          </w:tcPr>
          <w:p w14:paraId="480B66F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0.16</w:t>
            </w:r>
          </w:p>
        </w:tc>
        <w:tc>
          <w:tcPr>
            <w:tcW w:w="900" w:type="dxa"/>
            <w:noWrap w:val="0"/>
            <w:vAlign w:val="center"/>
          </w:tcPr>
          <w:p w14:paraId="4FEDF5F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w:t>
            </w:r>
          </w:p>
        </w:tc>
        <w:tc>
          <w:tcPr>
            <w:tcW w:w="900" w:type="dxa"/>
            <w:noWrap w:val="0"/>
            <w:vAlign w:val="center"/>
          </w:tcPr>
          <w:p w14:paraId="7B5C096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w:t>
            </w:r>
          </w:p>
        </w:tc>
      </w:tr>
      <w:tr w14:paraId="726A7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7ECE61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899" w:type="dxa"/>
            <w:noWrap w:val="0"/>
            <w:vAlign w:val="center"/>
          </w:tcPr>
          <w:p w14:paraId="12D370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0.000157</w:t>
            </w:r>
          </w:p>
        </w:tc>
        <w:tc>
          <w:tcPr>
            <w:tcW w:w="900" w:type="dxa"/>
            <w:noWrap w:val="0"/>
            <w:vAlign w:val="center"/>
          </w:tcPr>
          <w:p w14:paraId="5CBA2DC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899" w:type="dxa"/>
            <w:noWrap w:val="0"/>
            <w:vAlign w:val="center"/>
          </w:tcPr>
          <w:p w14:paraId="16EE9D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0.000078</w:t>
            </w:r>
          </w:p>
        </w:tc>
        <w:tc>
          <w:tcPr>
            <w:tcW w:w="900" w:type="dxa"/>
            <w:noWrap w:val="0"/>
            <w:vAlign w:val="center"/>
          </w:tcPr>
          <w:p w14:paraId="3C958B1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899" w:type="dxa"/>
            <w:noWrap w:val="0"/>
            <w:vAlign w:val="center"/>
          </w:tcPr>
          <w:p w14:paraId="5002664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0.000235</w:t>
            </w:r>
          </w:p>
        </w:tc>
        <w:tc>
          <w:tcPr>
            <w:tcW w:w="900" w:type="dxa"/>
            <w:noWrap w:val="0"/>
            <w:vAlign w:val="center"/>
          </w:tcPr>
          <w:p w14:paraId="430B0D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900" w:type="dxa"/>
            <w:noWrap w:val="0"/>
            <w:vAlign w:val="center"/>
          </w:tcPr>
          <w:p w14:paraId="3EA33EC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0.000015</w:t>
            </w:r>
          </w:p>
        </w:tc>
        <w:tc>
          <w:tcPr>
            <w:tcW w:w="900" w:type="dxa"/>
            <w:noWrap w:val="0"/>
            <w:vAlign w:val="center"/>
          </w:tcPr>
          <w:p w14:paraId="2ECA331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0.15</w:t>
            </w:r>
          </w:p>
        </w:tc>
      </w:tr>
      <w:tr w14:paraId="049B6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183EB0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899" w:type="dxa"/>
            <w:noWrap w:val="0"/>
            <w:vAlign w:val="center"/>
          </w:tcPr>
          <w:p w14:paraId="09868C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0.000157</w:t>
            </w:r>
          </w:p>
        </w:tc>
        <w:tc>
          <w:tcPr>
            <w:tcW w:w="900" w:type="dxa"/>
            <w:noWrap w:val="0"/>
            <w:vAlign w:val="center"/>
          </w:tcPr>
          <w:p w14:paraId="1DDA5E8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899" w:type="dxa"/>
            <w:noWrap w:val="0"/>
            <w:vAlign w:val="center"/>
          </w:tcPr>
          <w:p w14:paraId="20B164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0.000078</w:t>
            </w:r>
          </w:p>
        </w:tc>
        <w:tc>
          <w:tcPr>
            <w:tcW w:w="900" w:type="dxa"/>
            <w:noWrap w:val="0"/>
            <w:vAlign w:val="center"/>
          </w:tcPr>
          <w:p w14:paraId="5B21F9D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899" w:type="dxa"/>
            <w:noWrap w:val="0"/>
            <w:vAlign w:val="center"/>
          </w:tcPr>
          <w:p w14:paraId="2BE5D89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0.000235</w:t>
            </w:r>
          </w:p>
        </w:tc>
        <w:tc>
          <w:tcPr>
            <w:tcW w:w="900" w:type="dxa"/>
            <w:noWrap w:val="0"/>
            <w:vAlign w:val="center"/>
          </w:tcPr>
          <w:p w14:paraId="2A35AF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900" w:type="dxa"/>
            <w:noWrap w:val="0"/>
            <w:vAlign w:val="center"/>
          </w:tcPr>
          <w:p w14:paraId="2A92B76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0.000015</w:t>
            </w:r>
          </w:p>
        </w:tc>
        <w:tc>
          <w:tcPr>
            <w:tcW w:w="900" w:type="dxa"/>
            <w:noWrap w:val="0"/>
            <w:vAlign w:val="center"/>
          </w:tcPr>
          <w:p w14:paraId="7E36233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0.15</w:t>
            </w:r>
          </w:p>
        </w:tc>
      </w:tr>
      <w:tr w14:paraId="363C1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68630A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899" w:type="dxa"/>
            <w:noWrap w:val="0"/>
            <w:vAlign w:val="center"/>
          </w:tcPr>
          <w:p w14:paraId="2CAE68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0.00032</w:t>
            </w:r>
          </w:p>
        </w:tc>
        <w:tc>
          <w:tcPr>
            <w:tcW w:w="900" w:type="dxa"/>
            <w:noWrap w:val="0"/>
            <w:vAlign w:val="center"/>
          </w:tcPr>
          <w:p w14:paraId="7C49CDE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0.09</w:t>
            </w:r>
          </w:p>
        </w:tc>
        <w:tc>
          <w:tcPr>
            <w:tcW w:w="899" w:type="dxa"/>
            <w:noWrap w:val="0"/>
            <w:vAlign w:val="center"/>
          </w:tcPr>
          <w:p w14:paraId="110144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0.00016</w:t>
            </w:r>
          </w:p>
        </w:tc>
        <w:tc>
          <w:tcPr>
            <w:tcW w:w="900" w:type="dxa"/>
            <w:noWrap w:val="0"/>
            <w:vAlign w:val="center"/>
          </w:tcPr>
          <w:p w14:paraId="34E38DA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0.09</w:t>
            </w:r>
          </w:p>
        </w:tc>
        <w:tc>
          <w:tcPr>
            <w:tcW w:w="899" w:type="dxa"/>
            <w:noWrap w:val="0"/>
            <w:vAlign w:val="center"/>
          </w:tcPr>
          <w:p w14:paraId="5B5ABB2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0.000481</w:t>
            </w:r>
          </w:p>
        </w:tc>
        <w:tc>
          <w:tcPr>
            <w:tcW w:w="900" w:type="dxa"/>
            <w:noWrap w:val="0"/>
            <w:vAlign w:val="center"/>
          </w:tcPr>
          <w:p w14:paraId="5ED2047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0.24</w:t>
            </w:r>
          </w:p>
        </w:tc>
        <w:tc>
          <w:tcPr>
            <w:tcW w:w="900" w:type="dxa"/>
            <w:noWrap w:val="0"/>
            <w:vAlign w:val="center"/>
          </w:tcPr>
          <w:p w14:paraId="0FE25DA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0.000031</w:t>
            </w:r>
          </w:p>
        </w:tc>
        <w:tc>
          <w:tcPr>
            <w:tcW w:w="900" w:type="dxa"/>
            <w:noWrap w:val="0"/>
            <w:vAlign w:val="center"/>
          </w:tcPr>
          <w:p w14:paraId="3EFA820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0.31</w:t>
            </w:r>
          </w:p>
        </w:tc>
      </w:tr>
      <w:tr w14:paraId="519F0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037246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168</w:t>
            </w:r>
          </w:p>
        </w:tc>
        <w:tc>
          <w:tcPr>
            <w:tcW w:w="899" w:type="dxa"/>
            <w:noWrap w:val="0"/>
            <w:vAlign w:val="center"/>
          </w:tcPr>
          <w:p w14:paraId="294F4D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0.000438</w:t>
            </w:r>
          </w:p>
        </w:tc>
        <w:tc>
          <w:tcPr>
            <w:tcW w:w="900" w:type="dxa"/>
            <w:noWrap w:val="0"/>
            <w:vAlign w:val="center"/>
          </w:tcPr>
          <w:p w14:paraId="6E3C50F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899" w:type="dxa"/>
            <w:noWrap w:val="0"/>
            <w:vAlign w:val="center"/>
          </w:tcPr>
          <w:p w14:paraId="29CCAB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0.000219</w:t>
            </w:r>
          </w:p>
        </w:tc>
        <w:tc>
          <w:tcPr>
            <w:tcW w:w="900" w:type="dxa"/>
            <w:noWrap w:val="0"/>
            <w:vAlign w:val="center"/>
          </w:tcPr>
          <w:p w14:paraId="6A28F7D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899" w:type="dxa"/>
            <w:noWrap w:val="0"/>
            <w:vAlign w:val="center"/>
          </w:tcPr>
          <w:p w14:paraId="5A43E4C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0.000657</w:t>
            </w:r>
          </w:p>
        </w:tc>
        <w:tc>
          <w:tcPr>
            <w:tcW w:w="900" w:type="dxa"/>
            <w:noWrap w:val="0"/>
            <w:vAlign w:val="center"/>
          </w:tcPr>
          <w:p w14:paraId="48B5854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0.33</w:t>
            </w:r>
          </w:p>
        </w:tc>
        <w:tc>
          <w:tcPr>
            <w:tcW w:w="900" w:type="dxa"/>
            <w:noWrap w:val="0"/>
            <w:vAlign w:val="center"/>
          </w:tcPr>
          <w:p w14:paraId="31C561A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0.000042</w:t>
            </w:r>
          </w:p>
        </w:tc>
        <w:tc>
          <w:tcPr>
            <w:tcW w:w="900" w:type="dxa"/>
            <w:noWrap w:val="0"/>
            <w:vAlign w:val="center"/>
          </w:tcPr>
          <w:p w14:paraId="2D69EEE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0.42</w:t>
            </w:r>
          </w:p>
        </w:tc>
      </w:tr>
      <w:tr w14:paraId="0A32D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72746B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899" w:type="dxa"/>
            <w:noWrap w:val="0"/>
            <w:vAlign w:val="center"/>
          </w:tcPr>
          <w:p w14:paraId="6B0E76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0.00042</w:t>
            </w:r>
          </w:p>
        </w:tc>
        <w:tc>
          <w:tcPr>
            <w:tcW w:w="900" w:type="dxa"/>
            <w:noWrap w:val="0"/>
            <w:vAlign w:val="center"/>
          </w:tcPr>
          <w:p w14:paraId="62D1759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899" w:type="dxa"/>
            <w:noWrap w:val="0"/>
            <w:vAlign w:val="center"/>
          </w:tcPr>
          <w:p w14:paraId="6EEE72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0.00021</w:t>
            </w:r>
          </w:p>
        </w:tc>
        <w:tc>
          <w:tcPr>
            <w:tcW w:w="900" w:type="dxa"/>
            <w:noWrap w:val="0"/>
            <w:vAlign w:val="center"/>
          </w:tcPr>
          <w:p w14:paraId="23E8C88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899" w:type="dxa"/>
            <w:noWrap w:val="0"/>
            <w:vAlign w:val="center"/>
          </w:tcPr>
          <w:p w14:paraId="67130D0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0.000629</w:t>
            </w:r>
          </w:p>
        </w:tc>
        <w:tc>
          <w:tcPr>
            <w:tcW w:w="900" w:type="dxa"/>
            <w:noWrap w:val="0"/>
            <w:vAlign w:val="center"/>
          </w:tcPr>
          <w:p w14:paraId="2440B20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0.31</w:t>
            </w:r>
          </w:p>
        </w:tc>
        <w:tc>
          <w:tcPr>
            <w:tcW w:w="900" w:type="dxa"/>
            <w:noWrap w:val="0"/>
            <w:vAlign w:val="center"/>
          </w:tcPr>
          <w:p w14:paraId="2D936ED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w:t>
            </w:r>
          </w:p>
        </w:tc>
        <w:tc>
          <w:tcPr>
            <w:tcW w:w="900" w:type="dxa"/>
            <w:noWrap w:val="0"/>
            <w:vAlign w:val="center"/>
          </w:tcPr>
          <w:p w14:paraId="0DC066A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w:t>
            </w:r>
          </w:p>
        </w:tc>
      </w:tr>
      <w:tr w14:paraId="563C5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0DDA4A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899" w:type="dxa"/>
            <w:noWrap w:val="0"/>
            <w:vAlign w:val="center"/>
          </w:tcPr>
          <w:p w14:paraId="1625E1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0.000326</w:t>
            </w:r>
          </w:p>
        </w:tc>
        <w:tc>
          <w:tcPr>
            <w:tcW w:w="900" w:type="dxa"/>
            <w:noWrap w:val="0"/>
            <w:vAlign w:val="center"/>
          </w:tcPr>
          <w:p w14:paraId="3091C50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0.09</w:t>
            </w:r>
          </w:p>
        </w:tc>
        <w:tc>
          <w:tcPr>
            <w:tcW w:w="899" w:type="dxa"/>
            <w:noWrap w:val="0"/>
            <w:vAlign w:val="center"/>
          </w:tcPr>
          <w:p w14:paraId="732B8C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0.000163</w:t>
            </w:r>
          </w:p>
        </w:tc>
        <w:tc>
          <w:tcPr>
            <w:tcW w:w="900" w:type="dxa"/>
            <w:noWrap w:val="0"/>
            <w:vAlign w:val="center"/>
          </w:tcPr>
          <w:p w14:paraId="35B10FD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0.09</w:t>
            </w:r>
          </w:p>
        </w:tc>
        <w:tc>
          <w:tcPr>
            <w:tcW w:w="899" w:type="dxa"/>
            <w:noWrap w:val="0"/>
            <w:vAlign w:val="center"/>
          </w:tcPr>
          <w:p w14:paraId="424980B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0.000489</w:t>
            </w:r>
          </w:p>
        </w:tc>
        <w:tc>
          <w:tcPr>
            <w:tcW w:w="900" w:type="dxa"/>
            <w:noWrap w:val="0"/>
            <w:vAlign w:val="center"/>
          </w:tcPr>
          <w:p w14:paraId="301D786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0.24</w:t>
            </w:r>
          </w:p>
        </w:tc>
        <w:tc>
          <w:tcPr>
            <w:tcW w:w="900" w:type="dxa"/>
            <w:noWrap w:val="0"/>
            <w:vAlign w:val="center"/>
          </w:tcPr>
          <w:p w14:paraId="61E45DF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0.000031</w:t>
            </w:r>
          </w:p>
        </w:tc>
        <w:tc>
          <w:tcPr>
            <w:tcW w:w="900" w:type="dxa"/>
            <w:noWrap w:val="0"/>
            <w:vAlign w:val="center"/>
          </w:tcPr>
          <w:p w14:paraId="1B56F34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0.31</w:t>
            </w:r>
          </w:p>
        </w:tc>
      </w:tr>
      <w:tr w14:paraId="6B585F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577665C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899" w:type="dxa"/>
            <w:noWrap w:val="0"/>
            <w:vAlign w:val="center"/>
          </w:tcPr>
          <w:p w14:paraId="6063AFE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0.000194</w:t>
            </w:r>
          </w:p>
        </w:tc>
        <w:tc>
          <w:tcPr>
            <w:tcW w:w="900" w:type="dxa"/>
            <w:noWrap w:val="0"/>
            <w:vAlign w:val="center"/>
          </w:tcPr>
          <w:p w14:paraId="05DAD26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c>
          <w:tcPr>
            <w:tcW w:w="899" w:type="dxa"/>
            <w:noWrap w:val="0"/>
            <w:vAlign w:val="center"/>
          </w:tcPr>
          <w:p w14:paraId="2A56BF4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0.000097</w:t>
            </w:r>
          </w:p>
        </w:tc>
        <w:tc>
          <w:tcPr>
            <w:tcW w:w="900" w:type="dxa"/>
            <w:noWrap w:val="0"/>
            <w:vAlign w:val="center"/>
          </w:tcPr>
          <w:p w14:paraId="750D2AF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c>
          <w:tcPr>
            <w:tcW w:w="899" w:type="dxa"/>
            <w:noWrap w:val="0"/>
            <w:vAlign w:val="center"/>
          </w:tcPr>
          <w:p w14:paraId="591424C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0.000291</w:t>
            </w:r>
          </w:p>
        </w:tc>
        <w:tc>
          <w:tcPr>
            <w:tcW w:w="900" w:type="dxa"/>
            <w:noWrap w:val="0"/>
            <w:vAlign w:val="center"/>
          </w:tcPr>
          <w:p w14:paraId="3BE9BDD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0.15</w:t>
            </w:r>
          </w:p>
        </w:tc>
        <w:tc>
          <w:tcPr>
            <w:tcW w:w="900" w:type="dxa"/>
            <w:noWrap w:val="0"/>
            <w:vAlign w:val="center"/>
          </w:tcPr>
          <w:p w14:paraId="528F0F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0.000018</w:t>
            </w:r>
          </w:p>
        </w:tc>
        <w:tc>
          <w:tcPr>
            <w:tcW w:w="900" w:type="dxa"/>
            <w:noWrap w:val="0"/>
            <w:vAlign w:val="center"/>
          </w:tcPr>
          <w:p w14:paraId="1526E9F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0.18</w:t>
            </w:r>
          </w:p>
        </w:tc>
      </w:tr>
      <w:tr w14:paraId="08AAC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3D49610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899" w:type="dxa"/>
            <w:noWrap w:val="0"/>
            <w:vAlign w:val="center"/>
          </w:tcPr>
          <w:p w14:paraId="30DEACE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0.000131</w:t>
            </w:r>
          </w:p>
        </w:tc>
        <w:tc>
          <w:tcPr>
            <w:tcW w:w="900" w:type="dxa"/>
            <w:noWrap w:val="0"/>
            <w:vAlign w:val="center"/>
          </w:tcPr>
          <w:p w14:paraId="4A2BA84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899" w:type="dxa"/>
            <w:noWrap w:val="0"/>
            <w:vAlign w:val="center"/>
          </w:tcPr>
          <w:p w14:paraId="0F9B19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0.000066</w:t>
            </w:r>
          </w:p>
        </w:tc>
        <w:tc>
          <w:tcPr>
            <w:tcW w:w="900" w:type="dxa"/>
            <w:noWrap w:val="0"/>
            <w:vAlign w:val="center"/>
          </w:tcPr>
          <w:p w14:paraId="1DA574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899" w:type="dxa"/>
            <w:noWrap w:val="0"/>
            <w:vAlign w:val="center"/>
          </w:tcPr>
          <w:p w14:paraId="1BDA5A8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0.000197</w:t>
            </w:r>
          </w:p>
        </w:tc>
        <w:tc>
          <w:tcPr>
            <w:tcW w:w="900" w:type="dxa"/>
            <w:noWrap w:val="0"/>
            <w:vAlign w:val="center"/>
          </w:tcPr>
          <w:p w14:paraId="06C53BC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w:t>
            </w:r>
          </w:p>
        </w:tc>
        <w:tc>
          <w:tcPr>
            <w:tcW w:w="900" w:type="dxa"/>
            <w:noWrap w:val="0"/>
            <w:vAlign w:val="center"/>
          </w:tcPr>
          <w:p w14:paraId="5C639E1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0.000013</w:t>
            </w:r>
          </w:p>
        </w:tc>
        <w:tc>
          <w:tcPr>
            <w:tcW w:w="900" w:type="dxa"/>
            <w:noWrap w:val="0"/>
            <w:vAlign w:val="center"/>
          </w:tcPr>
          <w:p w14:paraId="3D93BAC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0.13</w:t>
            </w:r>
          </w:p>
        </w:tc>
      </w:tr>
      <w:tr w14:paraId="6F4BDB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2F05675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899" w:type="dxa"/>
            <w:noWrap w:val="0"/>
            <w:vAlign w:val="center"/>
          </w:tcPr>
          <w:p w14:paraId="0B41997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0.000118</w:t>
            </w:r>
          </w:p>
        </w:tc>
        <w:tc>
          <w:tcPr>
            <w:tcW w:w="900" w:type="dxa"/>
            <w:noWrap w:val="0"/>
            <w:vAlign w:val="center"/>
          </w:tcPr>
          <w:p w14:paraId="080ED25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w:t>
            </w:r>
          </w:p>
        </w:tc>
        <w:tc>
          <w:tcPr>
            <w:tcW w:w="899" w:type="dxa"/>
            <w:noWrap w:val="0"/>
            <w:vAlign w:val="center"/>
          </w:tcPr>
          <w:p w14:paraId="5B01C1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0.000059</w:t>
            </w:r>
          </w:p>
        </w:tc>
        <w:tc>
          <w:tcPr>
            <w:tcW w:w="900" w:type="dxa"/>
            <w:noWrap w:val="0"/>
            <w:vAlign w:val="center"/>
          </w:tcPr>
          <w:p w14:paraId="6690F17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w:t>
            </w:r>
          </w:p>
        </w:tc>
        <w:tc>
          <w:tcPr>
            <w:tcW w:w="899" w:type="dxa"/>
            <w:noWrap w:val="0"/>
            <w:vAlign w:val="center"/>
          </w:tcPr>
          <w:p w14:paraId="55ACC49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0.000177</w:t>
            </w:r>
          </w:p>
        </w:tc>
        <w:tc>
          <w:tcPr>
            <w:tcW w:w="900" w:type="dxa"/>
            <w:noWrap w:val="0"/>
            <w:vAlign w:val="center"/>
          </w:tcPr>
          <w:p w14:paraId="30EF360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0.09</w:t>
            </w:r>
          </w:p>
        </w:tc>
        <w:tc>
          <w:tcPr>
            <w:tcW w:w="900" w:type="dxa"/>
            <w:noWrap w:val="0"/>
            <w:vAlign w:val="center"/>
          </w:tcPr>
          <w:p w14:paraId="56C7F72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0.000011</w:t>
            </w:r>
          </w:p>
        </w:tc>
        <w:tc>
          <w:tcPr>
            <w:tcW w:w="900" w:type="dxa"/>
            <w:noWrap w:val="0"/>
            <w:vAlign w:val="center"/>
          </w:tcPr>
          <w:p w14:paraId="4A697B2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0.11</w:t>
            </w:r>
          </w:p>
        </w:tc>
      </w:tr>
      <w:tr w14:paraId="4B5C6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73848D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899" w:type="dxa"/>
            <w:noWrap w:val="0"/>
            <w:vAlign w:val="center"/>
          </w:tcPr>
          <w:p w14:paraId="69474F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0.000098</w:t>
            </w:r>
          </w:p>
        </w:tc>
        <w:tc>
          <w:tcPr>
            <w:tcW w:w="900" w:type="dxa"/>
            <w:noWrap w:val="0"/>
            <w:vAlign w:val="center"/>
          </w:tcPr>
          <w:p w14:paraId="3D517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w:t>
            </w:r>
          </w:p>
        </w:tc>
        <w:tc>
          <w:tcPr>
            <w:tcW w:w="899" w:type="dxa"/>
            <w:noWrap w:val="0"/>
            <w:vAlign w:val="center"/>
          </w:tcPr>
          <w:p w14:paraId="263D0E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0.000049</w:t>
            </w:r>
          </w:p>
        </w:tc>
        <w:tc>
          <w:tcPr>
            <w:tcW w:w="900" w:type="dxa"/>
            <w:noWrap w:val="0"/>
            <w:vAlign w:val="center"/>
          </w:tcPr>
          <w:p w14:paraId="420E149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w:t>
            </w:r>
          </w:p>
        </w:tc>
        <w:tc>
          <w:tcPr>
            <w:tcW w:w="899" w:type="dxa"/>
            <w:noWrap w:val="0"/>
            <w:vAlign w:val="center"/>
          </w:tcPr>
          <w:p w14:paraId="1E3B33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0.000147</w:t>
            </w:r>
          </w:p>
        </w:tc>
        <w:tc>
          <w:tcPr>
            <w:tcW w:w="900" w:type="dxa"/>
            <w:noWrap w:val="0"/>
            <w:vAlign w:val="center"/>
          </w:tcPr>
          <w:p w14:paraId="2FD59CD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0.07</w:t>
            </w:r>
          </w:p>
        </w:tc>
        <w:tc>
          <w:tcPr>
            <w:tcW w:w="900" w:type="dxa"/>
            <w:noWrap w:val="0"/>
            <w:vAlign w:val="center"/>
          </w:tcPr>
          <w:p w14:paraId="5D04404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0.000009</w:t>
            </w:r>
          </w:p>
        </w:tc>
        <w:tc>
          <w:tcPr>
            <w:tcW w:w="900" w:type="dxa"/>
            <w:noWrap w:val="0"/>
            <w:vAlign w:val="center"/>
          </w:tcPr>
          <w:p w14:paraId="2D3C60E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0.09</w:t>
            </w:r>
          </w:p>
        </w:tc>
      </w:tr>
      <w:tr w14:paraId="26EF9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36822A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899" w:type="dxa"/>
            <w:noWrap w:val="0"/>
            <w:vAlign w:val="center"/>
          </w:tcPr>
          <w:p w14:paraId="622D41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0.000083</w:t>
            </w:r>
          </w:p>
        </w:tc>
        <w:tc>
          <w:tcPr>
            <w:tcW w:w="900" w:type="dxa"/>
            <w:noWrap w:val="0"/>
            <w:vAlign w:val="center"/>
          </w:tcPr>
          <w:p w14:paraId="4E51C08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c>
          <w:tcPr>
            <w:tcW w:w="899" w:type="dxa"/>
            <w:noWrap w:val="0"/>
            <w:vAlign w:val="center"/>
          </w:tcPr>
          <w:p w14:paraId="333982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0.000041</w:t>
            </w:r>
          </w:p>
        </w:tc>
        <w:tc>
          <w:tcPr>
            <w:tcW w:w="900" w:type="dxa"/>
            <w:noWrap w:val="0"/>
            <w:vAlign w:val="center"/>
          </w:tcPr>
          <w:p w14:paraId="30D2681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c>
          <w:tcPr>
            <w:tcW w:w="899" w:type="dxa"/>
            <w:noWrap w:val="0"/>
            <w:vAlign w:val="center"/>
          </w:tcPr>
          <w:p w14:paraId="06D7AC0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0.000124</w:t>
            </w:r>
          </w:p>
        </w:tc>
        <w:tc>
          <w:tcPr>
            <w:tcW w:w="900" w:type="dxa"/>
            <w:noWrap w:val="0"/>
            <w:vAlign w:val="center"/>
          </w:tcPr>
          <w:p w14:paraId="7D74CA3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0.06</w:t>
            </w:r>
          </w:p>
        </w:tc>
        <w:tc>
          <w:tcPr>
            <w:tcW w:w="900" w:type="dxa"/>
            <w:noWrap w:val="0"/>
            <w:vAlign w:val="center"/>
          </w:tcPr>
          <w:p w14:paraId="5B4CB7C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0.000008</w:t>
            </w:r>
          </w:p>
        </w:tc>
        <w:tc>
          <w:tcPr>
            <w:tcW w:w="900" w:type="dxa"/>
            <w:noWrap w:val="0"/>
            <w:vAlign w:val="center"/>
          </w:tcPr>
          <w:p w14:paraId="5F584FF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0.08</w:t>
            </w:r>
          </w:p>
        </w:tc>
      </w:tr>
      <w:tr w14:paraId="59D69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19072E47">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下风向最大质量浓度及占标率/%</w:t>
            </w:r>
          </w:p>
        </w:tc>
        <w:tc>
          <w:tcPr>
            <w:tcW w:w="899" w:type="dxa"/>
            <w:noWrap w:val="0"/>
            <w:vAlign w:val="center"/>
          </w:tcPr>
          <w:p w14:paraId="236E3DE4">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0.000438</w:t>
            </w:r>
          </w:p>
        </w:tc>
        <w:tc>
          <w:tcPr>
            <w:tcW w:w="900" w:type="dxa"/>
            <w:noWrap w:val="0"/>
            <w:vAlign w:val="center"/>
          </w:tcPr>
          <w:p w14:paraId="5595775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899" w:type="dxa"/>
            <w:noWrap w:val="0"/>
            <w:vAlign w:val="center"/>
          </w:tcPr>
          <w:p w14:paraId="1379FE61">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0.000219</w:t>
            </w:r>
          </w:p>
        </w:tc>
        <w:tc>
          <w:tcPr>
            <w:tcW w:w="900" w:type="dxa"/>
            <w:noWrap w:val="0"/>
            <w:vAlign w:val="center"/>
          </w:tcPr>
          <w:p w14:paraId="7A32E6E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0.12</w:t>
            </w:r>
          </w:p>
        </w:tc>
        <w:tc>
          <w:tcPr>
            <w:tcW w:w="899" w:type="dxa"/>
            <w:noWrap w:val="0"/>
            <w:vAlign w:val="center"/>
          </w:tcPr>
          <w:p w14:paraId="0CB9E06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0.000657</w:t>
            </w:r>
          </w:p>
        </w:tc>
        <w:tc>
          <w:tcPr>
            <w:tcW w:w="900" w:type="dxa"/>
            <w:noWrap w:val="0"/>
            <w:vAlign w:val="center"/>
          </w:tcPr>
          <w:p w14:paraId="7F0EB69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0.33</w:t>
            </w:r>
          </w:p>
        </w:tc>
        <w:tc>
          <w:tcPr>
            <w:tcW w:w="900" w:type="dxa"/>
            <w:noWrap w:val="0"/>
            <w:vAlign w:val="center"/>
          </w:tcPr>
          <w:p w14:paraId="68F6805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0.000042</w:t>
            </w:r>
          </w:p>
        </w:tc>
        <w:tc>
          <w:tcPr>
            <w:tcW w:w="900" w:type="dxa"/>
            <w:noWrap w:val="0"/>
            <w:vAlign w:val="center"/>
          </w:tcPr>
          <w:p w14:paraId="0ADC1CF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0.42</w:t>
            </w:r>
          </w:p>
        </w:tc>
      </w:tr>
      <w:tr w14:paraId="2F3A9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1A990269">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1799" w:type="dxa"/>
            <w:gridSpan w:val="2"/>
            <w:noWrap w:val="0"/>
            <w:vAlign w:val="center"/>
          </w:tcPr>
          <w:p w14:paraId="45E716D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1799" w:type="dxa"/>
            <w:gridSpan w:val="2"/>
            <w:noWrap w:val="0"/>
            <w:vAlign w:val="center"/>
          </w:tcPr>
          <w:p w14:paraId="082026C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c>
          <w:tcPr>
            <w:tcW w:w="1799" w:type="dxa"/>
            <w:gridSpan w:val="2"/>
            <w:noWrap w:val="0"/>
            <w:vAlign w:val="center"/>
          </w:tcPr>
          <w:p w14:paraId="021EE07A">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c>
          <w:tcPr>
            <w:tcW w:w="1800" w:type="dxa"/>
            <w:gridSpan w:val="2"/>
            <w:noWrap w:val="0"/>
            <w:vAlign w:val="center"/>
          </w:tcPr>
          <w:p w14:paraId="23EE8BDF">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r>
    </w:tbl>
    <w:p w14:paraId="0D51CE9A">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11正常工况下有组织废气污染物</w:t>
      </w:r>
      <w:r>
        <w:rPr>
          <w:rFonts w:hint="default" w:ascii="Times New Roman" w:hAnsi="Times New Roman" w:eastAsia="宋体" w:cs="Times New Roman"/>
          <w:b/>
          <w:kern w:val="0"/>
          <w:sz w:val="24"/>
          <w:szCs w:val="24"/>
          <w:lang w:val="en-US" w:eastAsia="zh-CN" w:bidi="ar-SA"/>
        </w:rPr>
        <w:t>最大占标率及最大落地浓度表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66"/>
        <w:gridCol w:w="1559"/>
        <w:gridCol w:w="1560"/>
        <w:gridCol w:w="1559"/>
        <w:gridCol w:w="1560"/>
      </w:tblGrid>
      <w:tr w14:paraId="0D401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vMerge w:val="restart"/>
            <w:noWrap w:val="0"/>
            <w:vAlign w:val="center"/>
          </w:tcPr>
          <w:p w14:paraId="24CF39C5">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下风向距离/m</w:t>
            </w:r>
          </w:p>
        </w:tc>
        <w:tc>
          <w:tcPr>
            <w:tcW w:w="6238" w:type="dxa"/>
            <w:gridSpan w:val="4"/>
            <w:noWrap w:val="0"/>
            <w:vAlign w:val="center"/>
          </w:tcPr>
          <w:p w14:paraId="09869FFA">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val="0"/>
                <w:kern w:val="0"/>
                <w:sz w:val="21"/>
                <w:szCs w:val="21"/>
                <w:lang w:val="en-US" w:eastAsia="zh-CN" w:bidi="en-US"/>
              </w:rPr>
            </w:pPr>
            <w:r>
              <w:rPr>
                <w:rFonts w:hint="default" w:cs="Times New Roman"/>
                <w:b/>
                <w:bCs w:val="0"/>
                <w:kern w:val="0"/>
                <w:sz w:val="21"/>
                <w:szCs w:val="21"/>
                <w:lang w:val="en-US" w:eastAsia="zh-CN" w:bidi="en-US"/>
              </w:rPr>
              <w:t>DA00</w:t>
            </w:r>
            <w:r>
              <w:rPr>
                <w:rFonts w:hint="eastAsia" w:cs="Times New Roman"/>
                <w:b/>
                <w:bCs w:val="0"/>
                <w:kern w:val="0"/>
                <w:sz w:val="21"/>
                <w:szCs w:val="21"/>
                <w:lang w:val="en-US" w:eastAsia="zh-CN" w:bidi="en-US"/>
              </w:rPr>
              <w:t>2</w:t>
            </w:r>
            <w:r>
              <w:rPr>
                <w:rFonts w:hint="default" w:cs="Times New Roman"/>
                <w:b/>
                <w:bCs w:val="0"/>
                <w:kern w:val="0"/>
                <w:sz w:val="21"/>
                <w:szCs w:val="21"/>
                <w:lang w:val="en-US" w:eastAsia="zh-CN" w:bidi="en-US"/>
              </w:rPr>
              <w:t>（</w:t>
            </w:r>
            <w:r>
              <w:rPr>
                <w:rFonts w:hint="eastAsia" w:cs="Times New Roman"/>
                <w:b/>
                <w:bCs w:val="0"/>
                <w:kern w:val="0"/>
                <w:sz w:val="21"/>
                <w:szCs w:val="21"/>
                <w:lang w:val="en-US" w:eastAsia="zh-CN" w:bidi="en-US"/>
              </w:rPr>
              <w:t>饲料加工</w:t>
            </w:r>
            <w:r>
              <w:rPr>
                <w:rFonts w:hint="default" w:cs="Times New Roman"/>
                <w:b/>
                <w:bCs w:val="0"/>
                <w:kern w:val="0"/>
                <w:sz w:val="21"/>
                <w:szCs w:val="21"/>
                <w:lang w:val="en-US" w:eastAsia="zh-CN" w:bidi="en-US"/>
              </w:rPr>
              <w:t>排放口）</w:t>
            </w:r>
          </w:p>
        </w:tc>
      </w:tr>
      <w:tr w14:paraId="563D5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vMerge w:val="continue"/>
            <w:noWrap w:val="0"/>
            <w:vAlign w:val="center"/>
          </w:tcPr>
          <w:p w14:paraId="75F761D4">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3119" w:type="dxa"/>
            <w:gridSpan w:val="2"/>
            <w:noWrap w:val="0"/>
            <w:vAlign w:val="center"/>
          </w:tcPr>
          <w:p w14:paraId="6BEC928F">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10</w:t>
            </w:r>
          </w:p>
        </w:tc>
        <w:tc>
          <w:tcPr>
            <w:tcW w:w="3119" w:type="dxa"/>
            <w:gridSpan w:val="2"/>
            <w:noWrap w:val="0"/>
            <w:vAlign w:val="center"/>
          </w:tcPr>
          <w:p w14:paraId="41CC46F8">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2.5</w:t>
            </w:r>
          </w:p>
        </w:tc>
      </w:tr>
      <w:tr w14:paraId="27FA7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vMerge w:val="continue"/>
            <w:noWrap w:val="0"/>
            <w:vAlign w:val="center"/>
          </w:tcPr>
          <w:p w14:paraId="368CDEC4">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1559" w:type="dxa"/>
            <w:noWrap w:val="0"/>
            <w:vAlign w:val="center"/>
          </w:tcPr>
          <w:p w14:paraId="1447B490">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1560" w:type="dxa"/>
            <w:noWrap w:val="0"/>
            <w:vAlign w:val="center"/>
          </w:tcPr>
          <w:p w14:paraId="346EE1E9">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占标率（%）</w:t>
            </w:r>
          </w:p>
        </w:tc>
        <w:tc>
          <w:tcPr>
            <w:tcW w:w="1559" w:type="dxa"/>
            <w:noWrap w:val="0"/>
            <w:vAlign w:val="center"/>
          </w:tcPr>
          <w:p w14:paraId="46D10020">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1560" w:type="dxa"/>
            <w:noWrap w:val="0"/>
            <w:vAlign w:val="center"/>
          </w:tcPr>
          <w:p w14:paraId="011031DF">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r>
      <w:tr w14:paraId="655EA3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2FB8D2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1559" w:type="dxa"/>
            <w:noWrap w:val="0"/>
            <w:vAlign w:val="center"/>
          </w:tcPr>
          <w:p w14:paraId="3C0CE8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0.000007</w:t>
            </w:r>
          </w:p>
        </w:tc>
        <w:tc>
          <w:tcPr>
            <w:tcW w:w="1560" w:type="dxa"/>
            <w:noWrap w:val="0"/>
            <w:vAlign w:val="center"/>
          </w:tcPr>
          <w:p w14:paraId="374F732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c>
          <w:tcPr>
            <w:tcW w:w="1559" w:type="dxa"/>
            <w:noWrap w:val="0"/>
            <w:vAlign w:val="center"/>
          </w:tcPr>
          <w:p w14:paraId="352AA7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0.000004</w:t>
            </w:r>
          </w:p>
        </w:tc>
        <w:tc>
          <w:tcPr>
            <w:tcW w:w="1560" w:type="dxa"/>
            <w:noWrap w:val="0"/>
            <w:vAlign w:val="center"/>
          </w:tcPr>
          <w:p w14:paraId="1F66D87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r>
      <w:tr w14:paraId="0334E6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6F5827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1559" w:type="dxa"/>
            <w:noWrap w:val="0"/>
            <w:vAlign w:val="center"/>
          </w:tcPr>
          <w:p w14:paraId="06E059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0.000085</w:t>
            </w:r>
          </w:p>
        </w:tc>
        <w:tc>
          <w:tcPr>
            <w:tcW w:w="1560" w:type="dxa"/>
            <w:noWrap w:val="0"/>
            <w:vAlign w:val="center"/>
          </w:tcPr>
          <w:p w14:paraId="744BE62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c>
          <w:tcPr>
            <w:tcW w:w="1559" w:type="dxa"/>
            <w:noWrap w:val="0"/>
            <w:vAlign w:val="center"/>
          </w:tcPr>
          <w:p w14:paraId="469D42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0.000045</w:t>
            </w:r>
          </w:p>
        </w:tc>
        <w:tc>
          <w:tcPr>
            <w:tcW w:w="1560" w:type="dxa"/>
            <w:noWrap w:val="0"/>
            <w:vAlign w:val="center"/>
          </w:tcPr>
          <w:p w14:paraId="58A12BD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r>
      <w:tr w14:paraId="682E2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41D6C7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1559" w:type="dxa"/>
            <w:noWrap w:val="0"/>
            <w:vAlign w:val="center"/>
          </w:tcPr>
          <w:p w14:paraId="63A2BA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0.000064</w:t>
            </w:r>
          </w:p>
        </w:tc>
        <w:tc>
          <w:tcPr>
            <w:tcW w:w="1560" w:type="dxa"/>
            <w:noWrap w:val="0"/>
            <w:vAlign w:val="center"/>
          </w:tcPr>
          <w:p w14:paraId="47995A9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c>
          <w:tcPr>
            <w:tcW w:w="1559" w:type="dxa"/>
            <w:noWrap w:val="0"/>
            <w:vAlign w:val="center"/>
          </w:tcPr>
          <w:p w14:paraId="346C88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0.000034</w:t>
            </w:r>
          </w:p>
        </w:tc>
        <w:tc>
          <w:tcPr>
            <w:tcW w:w="1560" w:type="dxa"/>
            <w:noWrap w:val="0"/>
            <w:vAlign w:val="center"/>
          </w:tcPr>
          <w:p w14:paraId="3687003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r>
      <w:tr w14:paraId="7BADA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049007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1559" w:type="dxa"/>
            <w:noWrap w:val="0"/>
            <w:vAlign w:val="center"/>
          </w:tcPr>
          <w:p w14:paraId="2C643E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0.000063</w:t>
            </w:r>
          </w:p>
        </w:tc>
        <w:tc>
          <w:tcPr>
            <w:tcW w:w="1560" w:type="dxa"/>
            <w:noWrap w:val="0"/>
            <w:vAlign w:val="center"/>
          </w:tcPr>
          <w:p w14:paraId="54A6088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c>
          <w:tcPr>
            <w:tcW w:w="1559" w:type="dxa"/>
            <w:noWrap w:val="0"/>
            <w:vAlign w:val="center"/>
          </w:tcPr>
          <w:p w14:paraId="6B4AD6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0.000034</w:t>
            </w:r>
          </w:p>
        </w:tc>
        <w:tc>
          <w:tcPr>
            <w:tcW w:w="1560" w:type="dxa"/>
            <w:noWrap w:val="0"/>
            <w:vAlign w:val="center"/>
          </w:tcPr>
          <w:p w14:paraId="0F15E09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r>
      <w:tr w14:paraId="7F0BB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64F780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1559" w:type="dxa"/>
            <w:noWrap w:val="0"/>
            <w:vAlign w:val="center"/>
          </w:tcPr>
          <w:p w14:paraId="2EB88B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0.00013</w:t>
            </w:r>
          </w:p>
        </w:tc>
        <w:tc>
          <w:tcPr>
            <w:tcW w:w="1560" w:type="dxa"/>
            <w:noWrap w:val="0"/>
            <w:vAlign w:val="center"/>
          </w:tcPr>
          <w:p w14:paraId="2E8B1F5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1559" w:type="dxa"/>
            <w:noWrap w:val="0"/>
            <w:vAlign w:val="center"/>
          </w:tcPr>
          <w:p w14:paraId="348977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0.000069</w:t>
            </w:r>
          </w:p>
        </w:tc>
        <w:tc>
          <w:tcPr>
            <w:tcW w:w="1560" w:type="dxa"/>
            <w:noWrap w:val="0"/>
            <w:vAlign w:val="center"/>
          </w:tcPr>
          <w:p w14:paraId="0198EE1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r>
      <w:tr w14:paraId="3592F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717A07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168</w:t>
            </w:r>
          </w:p>
        </w:tc>
        <w:tc>
          <w:tcPr>
            <w:tcW w:w="1559" w:type="dxa"/>
            <w:noWrap w:val="0"/>
            <w:vAlign w:val="center"/>
          </w:tcPr>
          <w:p w14:paraId="0291C4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0.000177</w:t>
            </w:r>
          </w:p>
        </w:tc>
        <w:tc>
          <w:tcPr>
            <w:tcW w:w="1560" w:type="dxa"/>
            <w:noWrap w:val="0"/>
            <w:vAlign w:val="center"/>
          </w:tcPr>
          <w:p w14:paraId="0FB7816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c>
          <w:tcPr>
            <w:tcW w:w="1559" w:type="dxa"/>
            <w:noWrap w:val="0"/>
            <w:vAlign w:val="center"/>
          </w:tcPr>
          <w:p w14:paraId="0C20B6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0.000094</w:t>
            </w:r>
          </w:p>
        </w:tc>
        <w:tc>
          <w:tcPr>
            <w:tcW w:w="1560" w:type="dxa"/>
            <w:noWrap w:val="0"/>
            <w:vAlign w:val="center"/>
          </w:tcPr>
          <w:p w14:paraId="463D83F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r>
      <w:tr w14:paraId="262A1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00CE42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1559" w:type="dxa"/>
            <w:noWrap w:val="0"/>
            <w:vAlign w:val="center"/>
          </w:tcPr>
          <w:p w14:paraId="56B31A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0.00017</w:t>
            </w:r>
          </w:p>
        </w:tc>
        <w:tc>
          <w:tcPr>
            <w:tcW w:w="1560" w:type="dxa"/>
            <w:noWrap w:val="0"/>
            <w:vAlign w:val="center"/>
          </w:tcPr>
          <w:p w14:paraId="144CCD4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c>
          <w:tcPr>
            <w:tcW w:w="1559" w:type="dxa"/>
            <w:noWrap w:val="0"/>
            <w:vAlign w:val="center"/>
          </w:tcPr>
          <w:p w14:paraId="23423A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0.00009</w:t>
            </w:r>
          </w:p>
        </w:tc>
        <w:tc>
          <w:tcPr>
            <w:tcW w:w="1560" w:type="dxa"/>
            <w:noWrap w:val="0"/>
            <w:vAlign w:val="center"/>
          </w:tcPr>
          <w:p w14:paraId="36579AD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r>
      <w:tr w14:paraId="51C17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6BDB9F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1559" w:type="dxa"/>
            <w:noWrap w:val="0"/>
            <w:vAlign w:val="center"/>
          </w:tcPr>
          <w:p w14:paraId="645972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0.000132</w:t>
            </w:r>
          </w:p>
        </w:tc>
        <w:tc>
          <w:tcPr>
            <w:tcW w:w="1560" w:type="dxa"/>
            <w:noWrap w:val="0"/>
            <w:vAlign w:val="center"/>
          </w:tcPr>
          <w:p w14:paraId="561D137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c>
          <w:tcPr>
            <w:tcW w:w="1559" w:type="dxa"/>
            <w:noWrap w:val="0"/>
            <w:vAlign w:val="center"/>
          </w:tcPr>
          <w:p w14:paraId="07CC48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0.00007</w:t>
            </w:r>
          </w:p>
        </w:tc>
        <w:tc>
          <w:tcPr>
            <w:tcW w:w="1560" w:type="dxa"/>
            <w:noWrap w:val="0"/>
            <w:vAlign w:val="center"/>
          </w:tcPr>
          <w:p w14:paraId="4A7273B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w:t>
            </w:r>
          </w:p>
        </w:tc>
      </w:tr>
      <w:tr w14:paraId="372F4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7D6150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1559" w:type="dxa"/>
            <w:noWrap w:val="0"/>
            <w:vAlign w:val="center"/>
          </w:tcPr>
          <w:p w14:paraId="0C4A79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0.000078</w:t>
            </w:r>
          </w:p>
        </w:tc>
        <w:tc>
          <w:tcPr>
            <w:tcW w:w="1560" w:type="dxa"/>
            <w:noWrap w:val="0"/>
            <w:vAlign w:val="center"/>
          </w:tcPr>
          <w:p w14:paraId="5F51F98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c>
          <w:tcPr>
            <w:tcW w:w="1559" w:type="dxa"/>
            <w:noWrap w:val="0"/>
            <w:vAlign w:val="center"/>
          </w:tcPr>
          <w:p w14:paraId="2348D09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0.000042</w:t>
            </w:r>
          </w:p>
        </w:tc>
        <w:tc>
          <w:tcPr>
            <w:tcW w:w="1560" w:type="dxa"/>
            <w:noWrap w:val="0"/>
            <w:vAlign w:val="center"/>
          </w:tcPr>
          <w:p w14:paraId="1F02EAE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r>
      <w:tr w14:paraId="4C2DA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3A7D2F0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1559" w:type="dxa"/>
            <w:noWrap w:val="0"/>
            <w:vAlign w:val="center"/>
          </w:tcPr>
          <w:p w14:paraId="078871E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0.000053</w:t>
            </w:r>
          </w:p>
        </w:tc>
        <w:tc>
          <w:tcPr>
            <w:tcW w:w="1560" w:type="dxa"/>
            <w:noWrap w:val="0"/>
            <w:vAlign w:val="center"/>
          </w:tcPr>
          <w:p w14:paraId="5936856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1559" w:type="dxa"/>
            <w:noWrap w:val="0"/>
            <w:vAlign w:val="center"/>
          </w:tcPr>
          <w:p w14:paraId="168A9DE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0.000028</w:t>
            </w:r>
          </w:p>
        </w:tc>
        <w:tc>
          <w:tcPr>
            <w:tcW w:w="1560" w:type="dxa"/>
            <w:noWrap w:val="0"/>
            <w:vAlign w:val="center"/>
          </w:tcPr>
          <w:p w14:paraId="39603F6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r>
      <w:tr w14:paraId="57D3C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7CD5338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1559" w:type="dxa"/>
            <w:noWrap w:val="0"/>
            <w:vAlign w:val="center"/>
          </w:tcPr>
          <w:p w14:paraId="27804FD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0.000048</w:t>
            </w:r>
          </w:p>
        </w:tc>
        <w:tc>
          <w:tcPr>
            <w:tcW w:w="1560" w:type="dxa"/>
            <w:noWrap w:val="0"/>
            <w:vAlign w:val="center"/>
          </w:tcPr>
          <w:p w14:paraId="4460ABD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1559" w:type="dxa"/>
            <w:noWrap w:val="0"/>
            <w:vAlign w:val="center"/>
          </w:tcPr>
          <w:p w14:paraId="7EDB68F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0.000025</w:t>
            </w:r>
          </w:p>
        </w:tc>
        <w:tc>
          <w:tcPr>
            <w:tcW w:w="1560" w:type="dxa"/>
            <w:noWrap w:val="0"/>
            <w:vAlign w:val="center"/>
          </w:tcPr>
          <w:p w14:paraId="6D592E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r>
      <w:tr w14:paraId="1CBC3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0D7007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1559" w:type="dxa"/>
            <w:noWrap w:val="0"/>
            <w:vAlign w:val="center"/>
          </w:tcPr>
          <w:p w14:paraId="4E81A3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w:t>
            </w:r>
          </w:p>
        </w:tc>
        <w:tc>
          <w:tcPr>
            <w:tcW w:w="1560" w:type="dxa"/>
            <w:noWrap w:val="0"/>
            <w:vAlign w:val="center"/>
          </w:tcPr>
          <w:p w14:paraId="2E5FF15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1559" w:type="dxa"/>
            <w:noWrap w:val="0"/>
            <w:vAlign w:val="center"/>
          </w:tcPr>
          <w:p w14:paraId="52AB64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0.000021</w:t>
            </w:r>
          </w:p>
        </w:tc>
        <w:tc>
          <w:tcPr>
            <w:tcW w:w="1560" w:type="dxa"/>
            <w:noWrap w:val="0"/>
            <w:vAlign w:val="center"/>
          </w:tcPr>
          <w:p w14:paraId="2415331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r>
      <w:tr w14:paraId="2594DA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15EFC2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1559" w:type="dxa"/>
            <w:noWrap w:val="0"/>
            <w:vAlign w:val="center"/>
          </w:tcPr>
          <w:p w14:paraId="2FC888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0.000034</w:t>
            </w:r>
          </w:p>
        </w:tc>
        <w:tc>
          <w:tcPr>
            <w:tcW w:w="1560" w:type="dxa"/>
            <w:noWrap w:val="0"/>
            <w:vAlign w:val="center"/>
          </w:tcPr>
          <w:p w14:paraId="435A095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1559" w:type="dxa"/>
            <w:noWrap w:val="0"/>
            <w:vAlign w:val="center"/>
          </w:tcPr>
          <w:p w14:paraId="446F19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0.000018</w:t>
            </w:r>
          </w:p>
        </w:tc>
        <w:tc>
          <w:tcPr>
            <w:tcW w:w="1560" w:type="dxa"/>
            <w:noWrap w:val="0"/>
            <w:vAlign w:val="center"/>
          </w:tcPr>
          <w:p w14:paraId="6B9FAE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r>
      <w:tr w14:paraId="7837F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573A5F8E">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下风向最大质量浓度及占标率/%</w:t>
            </w:r>
          </w:p>
        </w:tc>
        <w:tc>
          <w:tcPr>
            <w:tcW w:w="1559" w:type="dxa"/>
            <w:noWrap w:val="0"/>
            <w:vAlign w:val="center"/>
          </w:tcPr>
          <w:p w14:paraId="123270D3">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0.000177</w:t>
            </w:r>
          </w:p>
        </w:tc>
        <w:tc>
          <w:tcPr>
            <w:tcW w:w="1560" w:type="dxa"/>
            <w:noWrap w:val="0"/>
            <w:vAlign w:val="center"/>
          </w:tcPr>
          <w:p w14:paraId="43CF15C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c>
          <w:tcPr>
            <w:tcW w:w="1559" w:type="dxa"/>
            <w:noWrap w:val="0"/>
            <w:vAlign w:val="center"/>
          </w:tcPr>
          <w:p w14:paraId="46CD0D37">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0.000094</w:t>
            </w:r>
          </w:p>
        </w:tc>
        <w:tc>
          <w:tcPr>
            <w:tcW w:w="1560" w:type="dxa"/>
            <w:noWrap w:val="0"/>
            <w:vAlign w:val="center"/>
          </w:tcPr>
          <w:p w14:paraId="3141BDD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r>
      <w:tr w14:paraId="6D0E9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2F323F6F">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3119" w:type="dxa"/>
            <w:gridSpan w:val="2"/>
            <w:noWrap w:val="0"/>
            <w:vAlign w:val="center"/>
          </w:tcPr>
          <w:p w14:paraId="73C0C8E4">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3119" w:type="dxa"/>
            <w:gridSpan w:val="2"/>
            <w:noWrap w:val="0"/>
            <w:vAlign w:val="center"/>
          </w:tcPr>
          <w:p w14:paraId="1756FF65">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r>
    </w:tbl>
    <w:p w14:paraId="0C7C568B">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12正常工况下无组织废气污染物</w:t>
      </w:r>
      <w:r>
        <w:rPr>
          <w:rFonts w:hint="default" w:ascii="Times New Roman" w:hAnsi="Times New Roman" w:eastAsia="宋体" w:cs="Times New Roman"/>
          <w:b/>
          <w:kern w:val="0"/>
          <w:sz w:val="24"/>
          <w:szCs w:val="24"/>
          <w:lang w:val="en-US" w:eastAsia="zh-CN" w:bidi="ar-SA"/>
        </w:rPr>
        <w:t>最大占标率及最大落地浓度表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19"/>
        <w:gridCol w:w="565"/>
        <w:gridCol w:w="567"/>
        <w:gridCol w:w="567"/>
        <w:gridCol w:w="567"/>
        <w:gridCol w:w="567"/>
        <w:gridCol w:w="567"/>
        <w:gridCol w:w="1112"/>
        <w:gridCol w:w="560"/>
        <w:gridCol w:w="563"/>
        <w:gridCol w:w="562"/>
        <w:gridCol w:w="563"/>
        <w:gridCol w:w="562"/>
        <w:gridCol w:w="563"/>
      </w:tblGrid>
      <w:tr w14:paraId="357F35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vMerge w:val="restart"/>
            <w:noWrap w:val="0"/>
            <w:vAlign w:val="center"/>
          </w:tcPr>
          <w:p w14:paraId="79D3CEED">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下风向距离/m</w:t>
            </w:r>
          </w:p>
        </w:tc>
        <w:tc>
          <w:tcPr>
            <w:tcW w:w="3400" w:type="dxa"/>
            <w:gridSpan w:val="6"/>
            <w:noWrap w:val="0"/>
            <w:vAlign w:val="center"/>
          </w:tcPr>
          <w:p w14:paraId="729E394C">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r>
              <w:rPr>
                <w:rFonts w:hint="eastAsia" w:cs="Times New Roman"/>
                <w:b/>
                <w:bCs w:val="0"/>
                <w:kern w:val="0"/>
                <w:sz w:val="21"/>
                <w:szCs w:val="21"/>
                <w:lang w:val="en-US" w:eastAsia="zh-CN" w:bidi="en-US"/>
              </w:rPr>
              <w:t>堆肥间</w:t>
            </w:r>
          </w:p>
        </w:tc>
        <w:tc>
          <w:tcPr>
            <w:tcW w:w="1112" w:type="dxa"/>
            <w:vMerge w:val="restart"/>
            <w:noWrap w:val="0"/>
            <w:vAlign w:val="center"/>
          </w:tcPr>
          <w:p w14:paraId="1878B669">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eastAsia"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下风向距离/m</w:t>
            </w:r>
          </w:p>
        </w:tc>
        <w:tc>
          <w:tcPr>
            <w:tcW w:w="3373" w:type="dxa"/>
            <w:gridSpan w:val="6"/>
            <w:noWrap w:val="0"/>
            <w:vAlign w:val="center"/>
          </w:tcPr>
          <w:p w14:paraId="7581B24D">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eastAsia" w:cs="Times New Roman"/>
                <w:b/>
                <w:bCs w:val="0"/>
                <w:kern w:val="0"/>
                <w:sz w:val="21"/>
                <w:szCs w:val="21"/>
                <w:lang w:val="en-US" w:eastAsia="zh-CN" w:bidi="en-US"/>
              </w:rPr>
            </w:pPr>
            <w:r>
              <w:rPr>
                <w:rFonts w:hint="eastAsia" w:cs="Times New Roman"/>
                <w:b/>
                <w:bCs w:val="0"/>
                <w:kern w:val="0"/>
                <w:sz w:val="21"/>
                <w:szCs w:val="21"/>
                <w:lang w:val="en-US" w:eastAsia="zh-CN" w:bidi="en-US"/>
              </w:rPr>
              <w:t>养殖区</w:t>
            </w:r>
          </w:p>
        </w:tc>
      </w:tr>
      <w:tr w14:paraId="096F3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vMerge w:val="continue"/>
            <w:noWrap w:val="0"/>
            <w:vAlign w:val="center"/>
          </w:tcPr>
          <w:p w14:paraId="572EBB6A">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1132" w:type="dxa"/>
            <w:gridSpan w:val="2"/>
            <w:noWrap w:val="0"/>
            <w:vAlign w:val="center"/>
          </w:tcPr>
          <w:p w14:paraId="213BA584">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eastAsia" w:cs="Times New Roman"/>
                <w:b/>
                <w:bCs w:val="0"/>
                <w:kern w:val="0"/>
                <w:sz w:val="21"/>
                <w:szCs w:val="21"/>
                <w:lang w:val="en-US" w:eastAsia="zh-CN" w:bidi="en-US"/>
              </w:rPr>
              <w:t>TSP</w:t>
            </w:r>
          </w:p>
        </w:tc>
        <w:tc>
          <w:tcPr>
            <w:tcW w:w="1134" w:type="dxa"/>
            <w:gridSpan w:val="2"/>
            <w:noWrap w:val="0"/>
            <w:vAlign w:val="center"/>
          </w:tcPr>
          <w:p w14:paraId="5D1C813F">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NH</w:t>
            </w:r>
            <w:r>
              <w:rPr>
                <w:rFonts w:hint="default" w:ascii="Times New Roman" w:hAnsi="Times New Roman" w:eastAsia="宋体" w:cs="Times New Roman"/>
                <w:b/>
                <w:bCs w:val="0"/>
                <w:kern w:val="0"/>
                <w:sz w:val="21"/>
                <w:szCs w:val="21"/>
                <w:vertAlign w:val="subscript"/>
                <w:lang w:val="en-US" w:eastAsia="en-US" w:bidi="en-US"/>
              </w:rPr>
              <w:t>3</w:t>
            </w:r>
          </w:p>
        </w:tc>
        <w:tc>
          <w:tcPr>
            <w:tcW w:w="1134" w:type="dxa"/>
            <w:gridSpan w:val="2"/>
            <w:noWrap w:val="0"/>
            <w:vAlign w:val="center"/>
          </w:tcPr>
          <w:p w14:paraId="47AD6D2D">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H</w:t>
            </w:r>
            <w:r>
              <w:rPr>
                <w:rFonts w:hint="default" w:ascii="Times New Roman" w:hAnsi="Times New Roman" w:eastAsia="宋体" w:cs="Times New Roman"/>
                <w:b/>
                <w:bCs w:val="0"/>
                <w:kern w:val="0"/>
                <w:sz w:val="21"/>
                <w:szCs w:val="21"/>
                <w:vertAlign w:val="subscript"/>
                <w:lang w:val="en-US" w:eastAsia="zh-CN" w:bidi="en-US"/>
              </w:rPr>
              <w:t>2</w:t>
            </w:r>
            <w:r>
              <w:rPr>
                <w:rFonts w:hint="default" w:ascii="Times New Roman" w:hAnsi="Times New Roman" w:eastAsia="宋体" w:cs="Times New Roman"/>
                <w:b/>
                <w:bCs w:val="0"/>
                <w:kern w:val="0"/>
                <w:sz w:val="21"/>
                <w:szCs w:val="21"/>
                <w:lang w:val="en-US" w:eastAsia="zh-CN" w:bidi="en-US"/>
              </w:rPr>
              <w:t>S</w:t>
            </w:r>
          </w:p>
        </w:tc>
        <w:tc>
          <w:tcPr>
            <w:tcW w:w="1112" w:type="dxa"/>
            <w:vMerge w:val="continue"/>
            <w:noWrap w:val="0"/>
            <w:vAlign w:val="center"/>
          </w:tcPr>
          <w:p w14:paraId="6B4862E6">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zh-CN" w:bidi="en-US"/>
              </w:rPr>
            </w:pPr>
          </w:p>
        </w:tc>
        <w:tc>
          <w:tcPr>
            <w:tcW w:w="1123" w:type="dxa"/>
            <w:gridSpan w:val="2"/>
            <w:noWrap w:val="0"/>
            <w:vAlign w:val="center"/>
          </w:tcPr>
          <w:p w14:paraId="4374C173">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zh-CN" w:bidi="en-US"/>
              </w:rPr>
            </w:pPr>
            <w:r>
              <w:rPr>
                <w:rFonts w:hint="eastAsia" w:cs="Times New Roman"/>
                <w:b/>
                <w:bCs w:val="0"/>
                <w:kern w:val="0"/>
                <w:sz w:val="21"/>
                <w:szCs w:val="21"/>
                <w:lang w:val="en-US" w:eastAsia="zh-CN" w:bidi="en-US"/>
              </w:rPr>
              <w:t>TSP</w:t>
            </w:r>
          </w:p>
        </w:tc>
        <w:tc>
          <w:tcPr>
            <w:tcW w:w="1125" w:type="dxa"/>
            <w:gridSpan w:val="2"/>
            <w:noWrap w:val="0"/>
            <w:vAlign w:val="center"/>
          </w:tcPr>
          <w:p w14:paraId="2C88ECC2">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NH</w:t>
            </w:r>
            <w:r>
              <w:rPr>
                <w:rFonts w:hint="default" w:ascii="Times New Roman" w:hAnsi="Times New Roman" w:eastAsia="宋体" w:cs="Times New Roman"/>
                <w:b/>
                <w:bCs w:val="0"/>
                <w:kern w:val="0"/>
                <w:sz w:val="21"/>
                <w:szCs w:val="21"/>
                <w:vertAlign w:val="subscript"/>
                <w:lang w:val="en-US" w:eastAsia="en-US" w:bidi="en-US"/>
              </w:rPr>
              <w:t>3</w:t>
            </w:r>
          </w:p>
        </w:tc>
        <w:tc>
          <w:tcPr>
            <w:tcW w:w="1125" w:type="dxa"/>
            <w:gridSpan w:val="2"/>
            <w:noWrap w:val="0"/>
            <w:vAlign w:val="center"/>
          </w:tcPr>
          <w:p w14:paraId="33774410">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H</w:t>
            </w:r>
            <w:r>
              <w:rPr>
                <w:rFonts w:hint="default" w:ascii="Times New Roman" w:hAnsi="Times New Roman" w:eastAsia="宋体" w:cs="Times New Roman"/>
                <w:b/>
                <w:bCs w:val="0"/>
                <w:kern w:val="0"/>
                <w:sz w:val="21"/>
                <w:szCs w:val="21"/>
                <w:vertAlign w:val="subscript"/>
                <w:lang w:val="en-US" w:eastAsia="zh-CN" w:bidi="en-US"/>
              </w:rPr>
              <w:t>2</w:t>
            </w:r>
            <w:r>
              <w:rPr>
                <w:rFonts w:hint="default" w:ascii="Times New Roman" w:hAnsi="Times New Roman" w:eastAsia="宋体" w:cs="Times New Roman"/>
                <w:b/>
                <w:bCs w:val="0"/>
                <w:kern w:val="0"/>
                <w:sz w:val="21"/>
                <w:szCs w:val="21"/>
                <w:lang w:val="en-US" w:eastAsia="zh-CN" w:bidi="en-US"/>
              </w:rPr>
              <w:t>S</w:t>
            </w:r>
          </w:p>
        </w:tc>
      </w:tr>
      <w:tr w14:paraId="2D91E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vMerge w:val="continue"/>
            <w:noWrap w:val="0"/>
            <w:vAlign w:val="center"/>
          </w:tcPr>
          <w:p w14:paraId="5D8B1D4E">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565" w:type="dxa"/>
            <w:noWrap w:val="0"/>
            <w:vAlign w:val="center"/>
          </w:tcPr>
          <w:p w14:paraId="74F86D19">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567" w:type="dxa"/>
            <w:noWrap w:val="0"/>
            <w:vAlign w:val="center"/>
          </w:tcPr>
          <w:p w14:paraId="46D46768">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567" w:type="dxa"/>
            <w:noWrap w:val="0"/>
            <w:vAlign w:val="center"/>
          </w:tcPr>
          <w:p w14:paraId="0715C600">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567" w:type="dxa"/>
            <w:noWrap w:val="0"/>
            <w:vAlign w:val="center"/>
          </w:tcPr>
          <w:p w14:paraId="3DB43039">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567" w:type="dxa"/>
            <w:noWrap w:val="0"/>
            <w:vAlign w:val="center"/>
          </w:tcPr>
          <w:p w14:paraId="3589625F">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567" w:type="dxa"/>
            <w:noWrap w:val="0"/>
            <w:vAlign w:val="center"/>
          </w:tcPr>
          <w:p w14:paraId="55F44F5B">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1112" w:type="dxa"/>
            <w:vMerge w:val="continue"/>
            <w:noWrap w:val="0"/>
            <w:vAlign w:val="center"/>
          </w:tcPr>
          <w:p w14:paraId="628612B5">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p>
        </w:tc>
        <w:tc>
          <w:tcPr>
            <w:tcW w:w="560" w:type="dxa"/>
            <w:noWrap w:val="0"/>
            <w:vAlign w:val="center"/>
          </w:tcPr>
          <w:p w14:paraId="36AAD161">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563" w:type="dxa"/>
            <w:noWrap w:val="0"/>
            <w:vAlign w:val="center"/>
          </w:tcPr>
          <w:p w14:paraId="6C605B63">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562" w:type="dxa"/>
            <w:noWrap w:val="0"/>
            <w:vAlign w:val="center"/>
          </w:tcPr>
          <w:p w14:paraId="730919DD">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563" w:type="dxa"/>
            <w:noWrap w:val="0"/>
            <w:vAlign w:val="center"/>
          </w:tcPr>
          <w:p w14:paraId="5DF5F6FC">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562" w:type="dxa"/>
            <w:noWrap w:val="0"/>
            <w:vAlign w:val="center"/>
          </w:tcPr>
          <w:p w14:paraId="2D67AA68">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563" w:type="dxa"/>
            <w:noWrap w:val="0"/>
            <w:vAlign w:val="center"/>
          </w:tcPr>
          <w:p w14:paraId="30ADE9CC">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r>
      <w:tr w14:paraId="5222A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23AA5C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565" w:type="dxa"/>
            <w:noWrap w:val="0"/>
            <w:vAlign w:val="center"/>
          </w:tcPr>
          <w:p w14:paraId="777CED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0.006595</w:t>
            </w:r>
          </w:p>
        </w:tc>
        <w:tc>
          <w:tcPr>
            <w:tcW w:w="567" w:type="dxa"/>
            <w:noWrap w:val="0"/>
            <w:vAlign w:val="center"/>
          </w:tcPr>
          <w:p w14:paraId="3FB76B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0.73</w:t>
            </w:r>
          </w:p>
        </w:tc>
        <w:tc>
          <w:tcPr>
            <w:tcW w:w="567" w:type="dxa"/>
            <w:noWrap w:val="0"/>
            <w:vAlign w:val="center"/>
          </w:tcPr>
          <w:p w14:paraId="1FDB0F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0.006595</w:t>
            </w:r>
          </w:p>
        </w:tc>
        <w:tc>
          <w:tcPr>
            <w:tcW w:w="567" w:type="dxa"/>
            <w:noWrap w:val="0"/>
            <w:vAlign w:val="center"/>
          </w:tcPr>
          <w:p w14:paraId="315784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3.3</w:t>
            </w:r>
          </w:p>
        </w:tc>
        <w:tc>
          <w:tcPr>
            <w:tcW w:w="567" w:type="dxa"/>
            <w:noWrap w:val="0"/>
            <w:vAlign w:val="center"/>
          </w:tcPr>
          <w:p w14:paraId="2A8B98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0.000419</w:t>
            </w:r>
          </w:p>
        </w:tc>
        <w:tc>
          <w:tcPr>
            <w:tcW w:w="567" w:type="dxa"/>
            <w:noWrap w:val="0"/>
            <w:vAlign w:val="center"/>
          </w:tcPr>
          <w:p w14:paraId="42FA20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4.19</w:t>
            </w:r>
          </w:p>
        </w:tc>
        <w:tc>
          <w:tcPr>
            <w:tcW w:w="1112" w:type="dxa"/>
            <w:noWrap w:val="0"/>
            <w:vAlign w:val="center"/>
          </w:tcPr>
          <w:p w14:paraId="3A99B69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560" w:type="dxa"/>
            <w:noWrap w:val="0"/>
            <w:vAlign w:val="center"/>
          </w:tcPr>
          <w:p w14:paraId="3C3595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0.026218</w:t>
            </w:r>
          </w:p>
        </w:tc>
        <w:tc>
          <w:tcPr>
            <w:tcW w:w="563" w:type="dxa"/>
            <w:noWrap w:val="0"/>
            <w:vAlign w:val="center"/>
          </w:tcPr>
          <w:p w14:paraId="236B69F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2.91</w:t>
            </w:r>
          </w:p>
        </w:tc>
        <w:tc>
          <w:tcPr>
            <w:tcW w:w="562" w:type="dxa"/>
            <w:noWrap w:val="0"/>
            <w:vAlign w:val="center"/>
          </w:tcPr>
          <w:p w14:paraId="1F69FB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0.010976</w:t>
            </w:r>
          </w:p>
        </w:tc>
        <w:tc>
          <w:tcPr>
            <w:tcW w:w="563" w:type="dxa"/>
            <w:noWrap w:val="0"/>
            <w:vAlign w:val="center"/>
          </w:tcPr>
          <w:p w14:paraId="18CF7B6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5.49</w:t>
            </w:r>
          </w:p>
        </w:tc>
        <w:tc>
          <w:tcPr>
            <w:tcW w:w="562" w:type="dxa"/>
            <w:noWrap w:val="0"/>
            <w:vAlign w:val="center"/>
          </w:tcPr>
          <w:p w14:paraId="4CB60DC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0.000179</w:t>
            </w:r>
          </w:p>
        </w:tc>
        <w:tc>
          <w:tcPr>
            <w:tcW w:w="563" w:type="dxa"/>
            <w:noWrap w:val="0"/>
            <w:vAlign w:val="center"/>
          </w:tcPr>
          <w:p w14:paraId="32F96E9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1.79</w:t>
            </w:r>
          </w:p>
        </w:tc>
      </w:tr>
      <w:tr w14:paraId="0DA45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4F7121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24</w:t>
            </w:r>
          </w:p>
        </w:tc>
        <w:tc>
          <w:tcPr>
            <w:tcW w:w="565" w:type="dxa"/>
            <w:noWrap w:val="0"/>
            <w:vAlign w:val="center"/>
          </w:tcPr>
          <w:p w14:paraId="6C970B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0.008654</w:t>
            </w:r>
          </w:p>
        </w:tc>
        <w:tc>
          <w:tcPr>
            <w:tcW w:w="567" w:type="dxa"/>
            <w:noWrap w:val="0"/>
            <w:vAlign w:val="center"/>
          </w:tcPr>
          <w:p w14:paraId="5C29EF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0.96</w:t>
            </w:r>
          </w:p>
        </w:tc>
        <w:tc>
          <w:tcPr>
            <w:tcW w:w="567" w:type="dxa"/>
            <w:noWrap w:val="0"/>
            <w:vAlign w:val="center"/>
          </w:tcPr>
          <w:p w14:paraId="46B3DF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0.008654</w:t>
            </w:r>
          </w:p>
        </w:tc>
        <w:tc>
          <w:tcPr>
            <w:tcW w:w="567" w:type="dxa"/>
            <w:noWrap w:val="0"/>
            <w:vAlign w:val="center"/>
          </w:tcPr>
          <w:p w14:paraId="579E7F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4.33</w:t>
            </w:r>
          </w:p>
        </w:tc>
        <w:tc>
          <w:tcPr>
            <w:tcW w:w="567" w:type="dxa"/>
            <w:noWrap w:val="0"/>
            <w:vAlign w:val="center"/>
          </w:tcPr>
          <w:p w14:paraId="4346C3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0.000549</w:t>
            </w:r>
          </w:p>
        </w:tc>
        <w:tc>
          <w:tcPr>
            <w:tcW w:w="567" w:type="dxa"/>
            <w:noWrap w:val="0"/>
            <w:vAlign w:val="center"/>
          </w:tcPr>
          <w:p w14:paraId="3D2E5A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5.49</w:t>
            </w:r>
          </w:p>
        </w:tc>
        <w:tc>
          <w:tcPr>
            <w:tcW w:w="1112" w:type="dxa"/>
            <w:noWrap w:val="0"/>
            <w:vAlign w:val="center"/>
          </w:tcPr>
          <w:p w14:paraId="7635BDE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560" w:type="dxa"/>
            <w:noWrap w:val="0"/>
            <w:vAlign w:val="center"/>
          </w:tcPr>
          <w:p w14:paraId="110F6E3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0.027112</w:t>
            </w:r>
          </w:p>
        </w:tc>
        <w:tc>
          <w:tcPr>
            <w:tcW w:w="563" w:type="dxa"/>
            <w:noWrap w:val="0"/>
            <w:vAlign w:val="center"/>
          </w:tcPr>
          <w:p w14:paraId="072D624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3.01</w:t>
            </w:r>
          </w:p>
        </w:tc>
        <w:tc>
          <w:tcPr>
            <w:tcW w:w="562" w:type="dxa"/>
            <w:noWrap w:val="0"/>
            <w:vAlign w:val="center"/>
          </w:tcPr>
          <w:p w14:paraId="3C63C76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0.01135</w:t>
            </w:r>
          </w:p>
        </w:tc>
        <w:tc>
          <w:tcPr>
            <w:tcW w:w="563" w:type="dxa"/>
            <w:noWrap w:val="0"/>
            <w:vAlign w:val="center"/>
          </w:tcPr>
          <w:p w14:paraId="2B476E4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5.67</w:t>
            </w:r>
          </w:p>
        </w:tc>
        <w:tc>
          <w:tcPr>
            <w:tcW w:w="562" w:type="dxa"/>
            <w:noWrap w:val="0"/>
            <w:vAlign w:val="center"/>
          </w:tcPr>
          <w:p w14:paraId="0994075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0.000185</w:t>
            </w:r>
          </w:p>
        </w:tc>
        <w:tc>
          <w:tcPr>
            <w:tcW w:w="563" w:type="dxa"/>
            <w:noWrap w:val="0"/>
            <w:vAlign w:val="center"/>
          </w:tcPr>
          <w:p w14:paraId="1D0AA13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1.85</w:t>
            </w:r>
          </w:p>
        </w:tc>
      </w:tr>
      <w:tr w14:paraId="0AA3D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3D2A9B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565" w:type="dxa"/>
            <w:noWrap w:val="0"/>
            <w:vAlign w:val="center"/>
          </w:tcPr>
          <w:p w14:paraId="44DA21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0.008631</w:t>
            </w:r>
          </w:p>
        </w:tc>
        <w:tc>
          <w:tcPr>
            <w:tcW w:w="567" w:type="dxa"/>
            <w:noWrap w:val="0"/>
            <w:vAlign w:val="center"/>
          </w:tcPr>
          <w:p w14:paraId="5AAD21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0.96</w:t>
            </w:r>
          </w:p>
        </w:tc>
        <w:tc>
          <w:tcPr>
            <w:tcW w:w="567" w:type="dxa"/>
            <w:noWrap w:val="0"/>
            <w:vAlign w:val="center"/>
          </w:tcPr>
          <w:p w14:paraId="281373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0.008631</w:t>
            </w:r>
          </w:p>
        </w:tc>
        <w:tc>
          <w:tcPr>
            <w:tcW w:w="567" w:type="dxa"/>
            <w:noWrap w:val="0"/>
            <w:vAlign w:val="center"/>
          </w:tcPr>
          <w:p w14:paraId="67206E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4.32</w:t>
            </w:r>
          </w:p>
        </w:tc>
        <w:tc>
          <w:tcPr>
            <w:tcW w:w="567" w:type="dxa"/>
            <w:noWrap w:val="0"/>
            <w:vAlign w:val="center"/>
          </w:tcPr>
          <w:p w14:paraId="2F623A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0.000548</w:t>
            </w:r>
          </w:p>
        </w:tc>
        <w:tc>
          <w:tcPr>
            <w:tcW w:w="567" w:type="dxa"/>
            <w:noWrap w:val="0"/>
            <w:vAlign w:val="center"/>
          </w:tcPr>
          <w:p w14:paraId="660227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5.48</w:t>
            </w:r>
          </w:p>
        </w:tc>
        <w:tc>
          <w:tcPr>
            <w:tcW w:w="1112" w:type="dxa"/>
            <w:noWrap w:val="0"/>
            <w:vAlign w:val="center"/>
          </w:tcPr>
          <w:p w14:paraId="41525A7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560" w:type="dxa"/>
            <w:noWrap w:val="0"/>
            <w:vAlign w:val="center"/>
          </w:tcPr>
          <w:p w14:paraId="2AD5583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0.028579</w:t>
            </w:r>
          </w:p>
        </w:tc>
        <w:tc>
          <w:tcPr>
            <w:tcW w:w="563" w:type="dxa"/>
            <w:noWrap w:val="0"/>
            <w:vAlign w:val="center"/>
          </w:tcPr>
          <w:p w14:paraId="11AEB6B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3.18</w:t>
            </w:r>
          </w:p>
        </w:tc>
        <w:tc>
          <w:tcPr>
            <w:tcW w:w="562" w:type="dxa"/>
            <w:noWrap w:val="0"/>
            <w:vAlign w:val="center"/>
          </w:tcPr>
          <w:p w14:paraId="0964C77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0.011964</w:t>
            </w:r>
          </w:p>
        </w:tc>
        <w:tc>
          <w:tcPr>
            <w:tcW w:w="563" w:type="dxa"/>
            <w:noWrap w:val="0"/>
            <w:vAlign w:val="center"/>
          </w:tcPr>
          <w:p w14:paraId="1394C91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5.98</w:t>
            </w:r>
          </w:p>
        </w:tc>
        <w:tc>
          <w:tcPr>
            <w:tcW w:w="562" w:type="dxa"/>
            <w:noWrap w:val="0"/>
            <w:vAlign w:val="center"/>
          </w:tcPr>
          <w:p w14:paraId="72B429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0.000195</w:t>
            </w:r>
          </w:p>
        </w:tc>
        <w:tc>
          <w:tcPr>
            <w:tcW w:w="563" w:type="dxa"/>
            <w:noWrap w:val="0"/>
            <w:vAlign w:val="center"/>
          </w:tcPr>
          <w:p w14:paraId="54CEBB0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1.95</w:t>
            </w:r>
          </w:p>
        </w:tc>
      </w:tr>
      <w:tr w14:paraId="47F845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4F5FBF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565" w:type="dxa"/>
            <w:noWrap w:val="0"/>
            <w:vAlign w:val="center"/>
          </w:tcPr>
          <w:p w14:paraId="71B884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0.005465</w:t>
            </w:r>
          </w:p>
        </w:tc>
        <w:tc>
          <w:tcPr>
            <w:tcW w:w="567" w:type="dxa"/>
            <w:noWrap w:val="0"/>
            <w:vAlign w:val="center"/>
          </w:tcPr>
          <w:p w14:paraId="1624A8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0.61</w:t>
            </w:r>
          </w:p>
        </w:tc>
        <w:tc>
          <w:tcPr>
            <w:tcW w:w="567" w:type="dxa"/>
            <w:noWrap w:val="0"/>
            <w:vAlign w:val="center"/>
          </w:tcPr>
          <w:p w14:paraId="60ABBD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0.005465</w:t>
            </w:r>
          </w:p>
        </w:tc>
        <w:tc>
          <w:tcPr>
            <w:tcW w:w="567" w:type="dxa"/>
            <w:noWrap w:val="0"/>
            <w:vAlign w:val="center"/>
          </w:tcPr>
          <w:p w14:paraId="639422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2.73</w:t>
            </w:r>
          </w:p>
        </w:tc>
        <w:tc>
          <w:tcPr>
            <w:tcW w:w="567" w:type="dxa"/>
            <w:noWrap w:val="0"/>
            <w:vAlign w:val="center"/>
          </w:tcPr>
          <w:p w14:paraId="2382EF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0.000347</w:t>
            </w:r>
          </w:p>
        </w:tc>
        <w:tc>
          <w:tcPr>
            <w:tcW w:w="567" w:type="dxa"/>
            <w:noWrap w:val="0"/>
            <w:vAlign w:val="center"/>
          </w:tcPr>
          <w:p w14:paraId="1EFE19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3.47</w:t>
            </w:r>
          </w:p>
        </w:tc>
        <w:tc>
          <w:tcPr>
            <w:tcW w:w="1112" w:type="dxa"/>
            <w:noWrap w:val="0"/>
            <w:vAlign w:val="center"/>
          </w:tcPr>
          <w:p w14:paraId="6E74AB2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560" w:type="dxa"/>
            <w:noWrap w:val="0"/>
            <w:vAlign w:val="center"/>
          </w:tcPr>
          <w:p w14:paraId="7654FBA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0.029995</w:t>
            </w:r>
          </w:p>
        </w:tc>
        <w:tc>
          <w:tcPr>
            <w:tcW w:w="563" w:type="dxa"/>
            <w:noWrap w:val="0"/>
            <w:vAlign w:val="center"/>
          </w:tcPr>
          <w:p w14:paraId="2D2FA59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3.33</w:t>
            </w:r>
          </w:p>
        </w:tc>
        <w:tc>
          <w:tcPr>
            <w:tcW w:w="562" w:type="dxa"/>
            <w:noWrap w:val="0"/>
            <w:vAlign w:val="center"/>
          </w:tcPr>
          <w:p w14:paraId="1349318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0.012557</w:t>
            </w:r>
          </w:p>
        </w:tc>
        <w:tc>
          <w:tcPr>
            <w:tcW w:w="563" w:type="dxa"/>
            <w:noWrap w:val="0"/>
            <w:vAlign w:val="center"/>
          </w:tcPr>
          <w:p w14:paraId="14E3A72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6.28</w:t>
            </w:r>
          </w:p>
        </w:tc>
        <w:tc>
          <w:tcPr>
            <w:tcW w:w="562" w:type="dxa"/>
            <w:noWrap w:val="0"/>
            <w:vAlign w:val="center"/>
          </w:tcPr>
          <w:p w14:paraId="7EE222C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0.000205</w:t>
            </w:r>
          </w:p>
        </w:tc>
        <w:tc>
          <w:tcPr>
            <w:tcW w:w="563" w:type="dxa"/>
            <w:noWrap w:val="0"/>
            <w:vAlign w:val="center"/>
          </w:tcPr>
          <w:p w14:paraId="0F3F742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2.05</w:t>
            </w:r>
          </w:p>
        </w:tc>
      </w:tr>
      <w:tr w14:paraId="087326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06DF35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565" w:type="dxa"/>
            <w:noWrap w:val="0"/>
            <w:vAlign w:val="center"/>
          </w:tcPr>
          <w:p w14:paraId="634485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0.004151</w:t>
            </w:r>
          </w:p>
        </w:tc>
        <w:tc>
          <w:tcPr>
            <w:tcW w:w="567" w:type="dxa"/>
            <w:noWrap w:val="0"/>
            <w:vAlign w:val="center"/>
          </w:tcPr>
          <w:p w14:paraId="02325F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0.46</w:t>
            </w:r>
          </w:p>
        </w:tc>
        <w:tc>
          <w:tcPr>
            <w:tcW w:w="567" w:type="dxa"/>
            <w:noWrap w:val="0"/>
            <w:vAlign w:val="center"/>
          </w:tcPr>
          <w:p w14:paraId="52FBF7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0.004151</w:t>
            </w:r>
          </w:p>
        </w:tc>
        <w:tc>
          <w:tcPr>
            <w:tcW w:w="567" w:type="dxa"/>
            <w:noWrap w:val="0"/>
            <w:vAlign w:val="center"/>
          </w:tcPr>
          <w:p w14:paraId="6E2710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2.08</w:t>
            </w:r>
          </w:p>
        </w:tc>
        <w:tc>
          <w:tcPr>
            <w:tcW w:w="567" w:type="dxa"/>
            <w:noWrap w:val="0"/>
            <w:vAlign w:val="center"/>
          </w:tcPr>
          <w:p w14:paraId="736946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0.000264</w:t>
            </w:r>
          </w:p>
        </w:tc>
        <w:tc>
          <w:tcPr>
            <w:tcW w:w="567" w:type="dxa"/>
            <w:noWrap w:val="0"/>
            <w:vAlign w:val="center"/>
          </w:tcPr>
          <w:p w14:paraId="2ABA88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2.64</w:t>
            </w:r>
          </w:p>
        </w:tc>
        <w:tc>
          <w:tcPr>
            <w:tcW w:w="1112" w:type="dxa"/>
            <w:noWrap w:val="0"/>
            <w:vAlign w:val="center"/>
          </w:tcPr>
          <w:p w14:paraId="0B39ADD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560" w:type="dxa"/>
            <w:noWrap w:val="0"/>
            <w:vAlign w:val="center"/>
          </w:tcPr>
          <w:p w14:paraId="741BA8E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0.031375</w:t>
            </w:r>
          </w:p>
        </w:tc>
        <w:tc>
          <w:tcPr>
            <w:tcW w:w="563" w:type="dxa"/>
            <w:noWrap w:val="0"/>
            <w:vAlign w:val="center"/>
          </w:tcPr>
          <w:p w14:paraId="47DEF98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3.49</w:t>
            </w:r>
          </w:p>
        </w:tc>
        <w:tc>
          <w:tcPr>
            <w:tcW w:w="562" w:type="dxa"/>
            <w:noWrap w:val="0"/>
            <w:vAlign w:val="center"/>
          </w:tcPr>
          <w:p w14:paraId="4DF637F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0.013135</w:t>
            </w:r>
          </w:p>
        </w:tc>
        <w:tc>
          <w:tcPr>
            <w:tcW w:w="563" w:type="dxa"/>
            <w:noWrap w:val="0"/>
            <w:vAlign w:val="center"/>
          </w:tcPr>
          <w:p w14:paraId="7C42B5D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6.57</w:t>
            </w:r>
          </w:p>
        </w:tc>
        <w:tc>
          <w:tcPr>
            <w:tcW w:w="562" w:type="dxa"/>
            <w:noWrap w:val="0"/>
            <w:vAlign w:val="center"/>
          </w:tcPr>
          <w:p w14:paraId="4401077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0.000214</w:t>
            </w:r>
          </w:p>
        </w:tc>
        <w:tc>
          <w:tcPr>
            <w:tcW w:w="563" w:type="dxa"/>
            <w:noWrap w:val="0"/>
            <w:vAlign w:val="center"/>
          </w:tcPr>
          <w:p w14:paraId="491D1B6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2.14</w:t>
            </w:r>
          </w:p>
        </w:tc>
      </w:tr>
      <w:tr w14:paraId="573DC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45E766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565" w:type="dxa"/>
            <w:noWrap w:val="0"/>
            <w:vAlign w:val="center"/>
          </w:tcPr>
          <w:p w14:paraId="35D23D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0.003848</w:t>
            </w:r>
          </w:p>
        </w:tc>
        <w:tc>
          <w:tcPr>
            <w:tcW w:w="567" w:type="dxa"/>
            <w:noWrap w:val="0"/>
            <w:vAlign w:val="center"/>
          </w:tcPr>
          <w:p w14:paraId="702F71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0.43</w:t>
            </w:r>
          </w:p>
        </w:tc>
        <w:tc>
          <w:tcPr>
            <w:tcW w:w="567" w:type="dxa"/>
            <w:noWrap w:val="0"/>
            <w:vAlign w:val="center"/>
          </w:tcPr>
          <w:p w14:paraId="086426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0.003848</w:t>
            </w:r>
          </w:p>
        </w:tc>
        <w:tc>
          <w:tcPr>
            <w:tcW w:w="567" w:type="dxa"/>
            <w:noWrap w:val="0"/>
            <w:vAlign w:val="center"/>
          </w:tcPr>
          <w:p w14:paraId="530427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1.92</w:t>
            </w:r>
          </w:p>
        </w:tc>
        <w:tc>
          <w:tcPr>
            <w:tcW w:w="567" w:type="dxa"/>
            <w:noWrap w:val="0"/>
            <w:vAlign w:val="center"/>
          </w:tcPr>
          <w:p w14:paraId="5849B5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0.000244</w:t>
            </w:r>
          </w:p>
        </w:tc>
        <w:tc>
          <w:tcPr>
            <w:tcW w:w="567" w:type="dxa"/>
            <w:noWrap w:val="0"/>
            <w:vAlign w:val="center"/>
          </w:tcPr>
          <w:p w14:paraId="6F50D5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2.44</w:t>
            </w:r>
          </w:p>
        </w:tc>
        <w:tc>
          <w:tcPr>
            <w:tcW w:w="1112" w:type="dxa"/>
            <w:noWrap w:val="0"/>
            <w:vAlign w:val="center"/>
          </w:tcPr>
          <w:p w14:paraId="5BDA342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560" w:type="dxa"/>
            <w:noWrap w:val="0"/>
            <w:vAlign w:val="center"/>
          </w:tcPr>
          <w:p w14:paraId="0C2C303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0.036513</w:t>
            </w:r>
          </w:p>
        </w:tc>
        <w:tc>
          <w:tcPr>
            <w:tcW w:w="563" w:type="dxa"/>
            <w:noWrap w:val="0"/>
            <w:vAlign w:val="center"/>
          </w:tcPr>
          <w:p w14:paraId="2793F0C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4.06</w:t>
            </w:r>
          </w:p>
        </w:tc>
        <w:tc>
          <w:tcPr>
            <w:tcW w:w="562" w:type="dxa"/>
            <w:noWrap w:val="0"/>
            <w:vAlign w:val="center"/>
          </w:tcPr>
          <w:p w14:paraId="303204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0.015286</w:t>
            </w:r>
          </w:p>
        </w:tc>
        <w:tc>
          <w:tcPr>
            <w:tcW w:w="563" w:type="dxa"/>
            <w:noWrap w:val="0"/>
            <w:vAlign w:val="center"/>
          </w:tcPr>
          <w:p w14:paraId="0F744F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7.64</w:t>
            </w:r>
          </w:p>
        </w:tc>
        <w:tc>
          <w:tcPr>
            <w:tcW w:w="562" w:type="dxa"/>
            <w:noWrap w:val="0"/>
            <w:vAlign w:val="center"/>
          </w:tcPr>
          <w:p w14:paraId="5DE6DC6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0.000249</w:t>
            </w:r>
          </w:p>
        </w:tc>
        <w:tc>
          <w:tcPr>
            <w:tcW w:w="563" w:type="dxa"/>
            <w:noWrap w:val="0"/>
            <w:vAlign w:val="center"/>
          </w:tcPr>
          <w:p w14:paraId="226FF93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2.49</w:t>
            </w:r>
          </w:p>
        </w:tc>
      </w:tr>
      <w:tr w14:paraId="7E8AB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76A467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565" w:type="dxa"/>
            <w:noWrap w:val="0"/>
            <w:vAlign w:val="center"/>
          </w:tcPr>
          <w:p w14:paraId="1B5C77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0.003129</w:t>
            </w:r>
          </w:p>
        </w:tc>
        <w:tc>
          <w:tcPr>
            <w:tcW w:w="567" w:type="dxa"/>
            <w:noWrap w:val="0"/>
            <w:vAlign w:val="center"/>
          </w:tcPr>
          <w:p w14:paraId="2BEF17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0.35</w:t>
            </w:r>
          </w:p>
        </w:tc>
        <w:tc>
          <w:tcPr>
            <w:tcW w:w="567" w:type="dxa"/>
            <w:noWrap w:val="0"/>
            <w:vAlign w:val="center"/>
          </w:tcPr>
          <w:p w14:paraId="74A274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0.003129</w:t>
            </w:r>
          </w:p>
        </w:tc>
        <w:tc>
          <w:tcPr>
            <w:tcW w:w="567" w:type="dxa"/>
            <w:noWrap w:val="0"/>
            <w:vAlign w:val="center"/>
          </w:tcPr>
          <w:p w14:paraId="3AAE59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1.56</w:t>
            </w:r>
          </w:p>
        </w:tc>
        <w:tc>
          <w:tcPr>
            <w:tcW w:w="567" w:type="dxa"/>
            <w:noWrap w:val="0"/>
            <w:vAlign w:val="center"/>
          </w:tcPr>
          <w:p w14:paraId="6F8D38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0.000199</w:t>
            </w:r>
          </w:p>
        </w:tc>
        <w:tc>
          <w:tcPr>
            <w:tcW w:w="567" w:type="dxa"/>
            <w:noWrap w:val="0"/>
            <w:vAlign w:val="center"/>
          </w:tcPr>
          <w:p w14:paraId="303F87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1.99</w:t>
            </w:r>
          </w:p>
        </w:tc>
        <w:tc>
          <w:tcPr>
            <w:tcW w:w="1112" w:type="dxa"/>
            <w:noWrap w:val="0"/>
            <w:vAlign w:val="center"/>
          </w:tcPr>
          <w:p w14:paraId="25819E2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560" w:type="dxa"/>
            <w:noWrap w:val="0"/>
            <w:vAlign w:val="center"/>
          </w:tcPr>
          <w:p w14:paraId="14E1FA3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0.041117</w:t>
            </w:r>
          </w:p>
        </w:tc>
        <w:tc>
          <w:tcPr>
            <w:tcW w:w="563" w:type="dxa"/>
            <w:noWrap w:val="0"/>
            <w:vAlign w:val="center"/>
          </w:tcPr>
          <w:p w14:paraId="40E87CE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4.57</w:t>
            </w:r>
          </w:p>
        </w:tc>
        <w:tc>
          <w:tcPr>
            <w:tcW w:w="562" w:type="dxa"/>
            <w:noWrap w:val="0"/>
            <w:vAlign w:val="center"/>
          </w:tcPr>
          <w:p w14:paraId="3082F9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0.017213</w:t>
            </w:r>
          </w:p>
        </w:tc>
        <w:tc>
          <w:tcPr>
            <w:tcW w:w="563" w:type="dxa"/>
            <w:noWrap w:val="0"/>
            <w:vAlign w:val="center"/>
          </w:tcPr>
          <w:p w14:paraId="67177CF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8.61</w:t>
            </w:r>
          </w:p>
        </w:tc>
        <w:tc>
          <w:tcPr>
            <w:tcW w:w="562" w:type="dxa"/>
            <w:noWrap w:val="0"/>
            <w:vAlign w:val="center"/>
          </w:tcPr>
          <w:p w14:paraId="0F4DE62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0.000281</w:t>
            </w:r>
          </w:p>
        </w:tc>
        <w:tc>
          <w:tcPr>
            <w:tcW w:w="563" w:type="dxa"/>
            <w:noWrap w:val="0"/>
            <w:vAlign w:val="center"/>
          </w:tcPr>
          <w:p w14:paraId="6F12957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2.81</w:t>
            </w:r>
          </w:p>
        </w:tc>
      </w:tr>
      <w:tr w14:paraId="7FCA5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10CDEA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565" w:type="dxa"/>
            <w:noWrap w:val="0"/>
            <w:vAlign w:val="center"/>
          </w:tcPr>
          <w:p w14:paraId="3BDA0A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0.002629</w:t>
            </w:r>
          </w:p>
        </w:tc>
        <w:tc>
          <w:tcPr>
            <w:tcW w:w="567" w:type="dxa"/>
            <w:noWrap w:val="0"/>
            <w:vAlign w:val="center"/>
          </w:tcPr>
          <w:p w14:paraId="55677F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0.29</w:t>
            </w:r>
          </w:p>
        </w:tc>
        <w:tc>
          <w:tcPr>
            <w:tcW w:w="567" w:type="dxa"/>
            <w:noWrap w:val="0"/>
            <w:vAlign w:val="center"/>
          </w:tcPr>
          <w:p w14:paraId="0E1B3A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0.002629</w:t>
            </w:r>
          </w:p>
        </w:tc>
        <w:tc>
          <w:tcPr>
            <w:tcW w:w="567" w:type="dxa"/>
            <w:noWrap w:val="0"/>
            <w:vAlign w:val="center"/>
          </w:tcPr>
          <w:p w14:paraId="591DC1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1.31</w:t>
            </w:r>
          </w:p>
        </w:tc>
        <w:tc>
          <w:tcPr>
            <w:tcW w:w="567" w:type="dxa"/>
            <w:noWrap w:val="0"/>
            <w:vAlign w:val="center"/>
          </w:tcPr>
          <w:p w14:paraId="6CC62E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0.000167</w:t>
            </w:r>
          </w:p>
        </w:tc>
        <w:tc>
          <w:tcPr>
            <w:tcW w:w="567" w:type="dxa"/>
            <w:noWrap w:val="0"/>
            <w:vAlign w:val="center"/>
          </w:tcPr>
          <w:p w14:paraId="1B14B9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1.67</w:t>
            </w:r>
          </w:p>
        </w:tc>
        <w:tc>
          <w:tcPr>
            <w:tcW w:w="1112" w:type="dxa"/>
            <w:noWrap w:val="0"/>
            <w:vAlign w:val="center"/>
          </w:tcPr>
          <w:p w14:paraId="17047CE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427</w:t>
            </w:r>
          </w:p>
        </w:tc>
        <w:tc>
          <w:tcPr>
            <w:tcW w:w="560" w:type="dxa"/>
            <w:noWrap w:val="0"/>
            <w:vAlign w:val="center"/>
          </w:tcPr>
          <w:p w14:paraId="3954FDC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0.045646</w:t>
            </w:r>
          </w:p>
        </w:tc>
        <w:tc>
          <w:tcPr>
            <w:tcW w:w="563" w:type="dxa"/>
            <w:noWrap w:val="0"/>
            <w:vAlign w:val="center"/>
          </w:tcPr>
          <w:p w14:paraId="13BB7A4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5.07</w:t>
            </w:r>
          </w:p>
        </w:tc>
        <w:tc>
          <w:tcPr>
            <w:tcW w:w="562" w:type="dxa"/>
            <w:noWrap w:val="0"/>
            <w:vAlign w:val="center"/>
          </w:tcPr>
          <w:p w14:paraId="732763E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0.019109</w:t>
            </w:r>
          </w:p>
        </w:tc>
        <w:tc>
          <w:tcPr>
            <w:tcW w:w="563" w:type="dxa"/>
            <w:noWrap w:val="0"/>
            <w:vAlign w:val="center"/>
          </w:tcPr>
          <w:p w14:paraId="681F4EE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9.55</w:t>
            </w:r>
          </w:p>
        </w:tc>
        <w:tc>
          <w:tcPr>
            <w:tcW w:w="562" w:type="dxa"/>
            <w:noWrap w:val="0"/>
            <w:vAlign w:val="center"/>
          </w:tcPr>
          <w:p w14:paraId="4F581F1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0.000312</w:t>
            </w:r>
          </w:p>
        </w:tc>
        <w:tc>
          <w:tcPr>
            <w:tcW w:w="563" w:type="dxa"/>
            <w:noWrap w:val="0"/>
            <w:vAlign w:val="center"/>
          </w:tcPr>
          <w:p w14:paraId="49DF29C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3.12</w:t>
            </w:r>
          </w:p>
        </w:tc>
      </w:tr>
      <w:tr w14:paraId="5D83D6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7FCE7EC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565" w:type="dxa"/>
            <w:noWrap w:val="0"/>
            <w:vAlign w:val="center"/>
          </w:tcPr>
          <w:p w14:paraId="76B433D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0.001927</w:t>
            </w:r>
          </w:p>
        </w:tc>
        <w:tc>
          <w:tcPr>
            <w:tcW w:w="567" w:type="dxa"/>
            <w:noWrap w:val="0"/>
            <w:vAlign w:val="center"/>
          </w:tcPr>
          <w:p w14:paraId="3EDCDD3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0.21</w:t>
            </w:r>
          </w:p>
        </w:tc>
        <w:tc>
          <w:tcPr>
            <w:tcW w:w="567" w:type="dxa"/>
            <w:noWrap w:val="0"/>
            <w:vAlign w:val="center"/>
          </w:tcPr>
          <w:p w14:paraId="1C14AFB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0.001927</w:t>
            </w:r>
          </w:p>
        </w:tc>
        <w:tc>
          <w:tcPr>
            <w:tcW w:w="567" w:type="dxa"/>
            <w:noWrap w:val="0"/>
            <w:vAlign w:val="center"/>
          </w:tcPr>
          <w:p w14:paraId="22B7107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0.96</w:t>
            </w:r>
          </w:p>
        </w:tc>
        <w:tc>
          <w:tcPr>
            <w:tcW w:w="567" w:type="dxa"/>
            <w:noWrap w:val="0"/>
            <w:vAlign w:val="center"/>
          </w:tcPr>
          <w:p w14:paraId="4FC16BA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0.000122</w:t>
            </w:r>
          </w:p>
        </w:tc>
        <w:tc>
          <w:tcPr>
            <w:tcW w:w="567" w:type="dxa"/>
            <w:noWrap w:val="0"/>
            <w:vAlign w:val="center"/>
          </w:tcPr>
          <w:p w14:paraId="546D541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1.22</w:t>
            </w:r>
          </w:p>
        </w:tc>
        <w:tc>
          <w:tcPr>
            <w:tcW w:w="1112" w:type="dxa"/>
            <w:noWrap w:val="0"/>
            <w:vAlign w:val="center"/>
          </w:tcPr>
          <w:p w14:paraId="4509471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560" w:type="dxa"/>
            <w:noWrap w:val="0"/>
            <w:vAlign w:val="center"/>
          </w:tcPr>
          <w:p w14:paraId="7F4A264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0.044662</w:t>
            </w:r>
          </w:p>
        </w:tc>
        <w:tc>
          <w:tcPr>
            <w:tcW w:w="563" w:type="dxa"/>
            <w:noWrap w:val="0"/>
            <w:vAlign w:val="center"/>
          </w:tcPr>
          <w:p w14:paraId="397A6B7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4.96</w:t>
            </w:r>
          </w:p>
        </w:tc>
        <w:tc>
          <w:tcPr>
            <w:tcW w:w="562" w:type="dxa"/>
            <w:noWrap w:val="0"/>
            <w:vAlign w:val="center"/>
          </w:tcPr>
          <w:p w14:paraId="70BFCAB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0.018697</w:t>
            </w:r>
          </w:p>
        </w:tc>
        <w:tc>
          <w:tcPr>
            <w:tcW w:w="563" w:type="dxa"/>
            <w:noWrap w:val="0"/>
            <w:vAlign w:val="center"/>
          </w:tcPr>
          <w:p w14:paraId="061BCF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9.35</w:t>
            </w:r>
          </w:p>
        </w:tc>
        <w:tc>
          <w:tcPr>
            <w:tcW w:w="562" w:type="dxa"/>
            <w:noWrap w:val="0"/>
            <w:vAlign w:val="center"/>
          </w:tcPr>
          <w:p w14:paraId="08CAF6C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0.000305</w:t>
            </w:r>
          </w:p>
        </w:tc>
        <w:tc>
          <w:tcPr>
            <w:tcW w:w="563" w:type="dxa"/>
            <w:noWrap w:val="0"/>
            <w:vAlign w:val="center"/>
          </w:tcPr>
          <w:p w14:paraId="3A6CE45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3.05</w:t>
            </w:r>
          </w:p>
        </w:tc>
      </w:tr>
      <w:tr w14:paraId="24DED3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28C894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565" w:type="dxa"/>
            <w:noWrap w:val="0"/>
            <w:vAlign w:val="center"/>
          </w:tcPr>
          <w:p w14:paraId="54CF50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0.00119</w:t>
            </w:r>
          </w:p>
        </w:tc>
        <w:tc>
          <w:tcPr>
            <w:tcW w:w="567" w:type="dxa"/>
            <w:noWrap w:val="0"/>
            <w:vAlign w:val="center"/>
          </w:tcPr>
          <w:p w14:paraId="4907F0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0.13</w:t>
            </w:r>
          </w:p>
        </w:tc>
        <w:tc>
          <w:tcPr>
            <w:tcW w:w="567" w:type="dxa"/>
            <w:noWrap w:val="0"/>
            <w:vAlign w:val="center"/>
          </w:tcPr>
          <w:p w14:paraId="6D3993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0.00119</w:t>
            </w:r>
          </w:p>
        </w:tc>
        <w:tc>
          <w:tcPr>
            <w:tcW w:w="567" w:type="dxa"/>
            <w:noWrap w:val="0"/>
            <w:vAlign w:val="center"/>
          </w:tcPr>
          <w:p w14:paraId="06E4FD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w:t>
            </w:r>
          </w:p>
        </w:tc>
        <w:tc>
          <w:tcPr>
            <w:tcW w:w="567" w:type="dxa"/>
            <w:noWrap w:val="0"/>
            <w:vAlign w:val="center"/>
          </w:tcPr>
          <w:p w14:paraId="393020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0.000076</w:t>
            </w:r>
          </w:p>
        </w:tc>
        <w:tc>
          <w:tcPr>
            <w:tcW w:w="567" w:type="dxa"/>
            <w:noWrap w:val="0"/>
            <w:vAlign w:val="center"/>
          </w:tcPr>
          <w:p w14:paraId="35BF3E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0.76</w:t>
            </w:r>
          </w:p>
        </w:tc>
        <w:tc>
          <w:tcPr>
            <w:tcW w:w="1112" w:type="dxa"/>
            <w:noWrap w:val="0"/>
            <w:vAlign w:val="center"/>
          </w:tcPr>
          <w:p w14:paraId="545DA0D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560" w:type="dxa"/>
            <w:noWrap w:val="0"/>
            <w:vAlign w:val="center"/>
          </w:tcPr>
          <w:p w14:paraId="0C7C1EC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0.029756</w:t>
            </w:r>
          </w:p>
        </w:tc>
        <w:tc>
          <w:tcPr>
            <w:tcW w:w="563" w:type="dxa"/>
            <w:noWrap w:val="0"/>
            <w:vAlign w:val="center"/>
          </w:tcPr>
          <w:p w14:paraId="0D6A087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3.31</w:t>
            </w:r>
          </w:p>
        </w:tc>
        <w:tc>
          <w:tcPr>
            <w:tcW w:w="562" w:type="dxa"/>
            <w:noWrap w:val="0"/>
            <w:vAlign w:val="center"/>
          </w:tcPr>
          <w:p w14:paraId="6D934B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0.012457</w:t>
            </w:r>
          </w:p>
        </w:tc>
        <w:tc>
          <w:tcPr>
            <w:tcW w:w="563" w:type="dxa"/>
            <w:noWrap w:val="0"/>
            <w:vAlign w:val="center"/>
          </w:tcPr>
          <w:p w14:paraId="22239D8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6.23</w:t>
            </w:r>
          </w:p>
        </w:tc>
        <w:tc>
          <w:tcPr>
            <w:tcW w:w="562" w:type="dxa"/>
            <w:noWrap w:val="0"/>
            <w:vAlign w:val="center"/>
          </w:tcPr>
          <w:p w14:paraId="183EB8B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0.000203</w:t>
            </w:r>
          </w:p>
        </w:tc>
        <w:tc>
          <w:tcPr>
            <w:tcW w:w="563" w:type="dxa"/>
            <w:noWrap w:val="0"/>
            <w:vAlign w:val="center"/>
          </w:tcPr>
          <w:p w14:paraId="6B25D9F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2.03</w:t>
            </w:r>
          </w:p>
        </w:tc>
      </w:tr>
      <w:tr w14:paraId="1E842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349DA0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565" w:type="dxa"/>
            <w:noWrap w:val="0"/>
            <w:vAlign w:val="center"/>
          </w:tcPr>
          <w:p w14:paraId="110B48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0.000893</w:t>
            </w:r>
          </w:p>
        </w:tc>
        <w:tc>
          <w:tcPr>
            <w:tcW w:w="567" w:type="dxa"/>
            <w:noWrap w:val="0"/>
            <w:vAlign w:val="center"/>
          </w:tcPr>
          <w:p w14:paraId="1315EE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w:t>
            </w:r>
          </w:p>
        </w:tc>
        <w:tc>
          <w:tcPr>
            <w:tcW w:w="567" w:type="dxa"/>
            <w:noWrap w:val="0"/>
            <w:vAlign w:val="center"/>
          </w:tcPr>
          <w:p w14:paraId="6D7BA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0.000893</w:t>
            </w:r>
          </w:p>
        </w:tc>
        <w:tc>
          <w:tcPr>
            <w:tcW w:w="567" w:type="dxa"/>
            <w:noWrap w:val="0"/>
            <w:vAlign w:val="center"/>
          </w:tcPr>
          <w:p w14:paraId="1BE8B0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0.45</w:t>
            </w:r>
          </w:p>
        </w:tc>
        <w:tc>
          <w:tcPr>
            <w:tcW w:w="567" w:type="dxa"/>
            <w:noWrap w:val="0"/>
            <w:vAlign w:val="center"/>
          </w:tcPr>
          <w:p w14:paraId="128FCF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0.000057</w:t>
            </w:r>
          </w:p>
        </w:tc>
        <w:tc>
          <w:tcPr>
            <w:tcW w:w="567" w:type="dxa"/>
            <w:noWrap w:val="0"/>
            <w:vAlign w:val="center"/>
          </w:tcPr>
          <w:p w14:paraId="742DC8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0.57</w:t>
            </w:r>
          </w:p>
        </w:tc>
        <w:tc>
          <w:tcPr>
            <w:tcW w:w="1112" w:type="dxa"/>
            <w:noWrap w:val="0"/>
            <w:vAlign w:val="center"/>
          </w:tcPr>
          <w:p w14:paraId="3AA4094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560" w:type="dxa"/>
            <w:noWrap w:val="0"/>
            <w:vAlign w:val="center"/>
          </w:tcPr>
          <w:p w14:paraId="511FF2D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0.022528</w:t>
            </w:r>
          </w:p>
        </w:tc>
        <w:tc>
          <w:tcPr>
            <w:tcW w:w="563" w:type="dxa"/>
            <w:noWrap w:val="0"/>
            <w:vAlign w:val="center"/>
          </w:tcPr>
          <w:p w14:paraId="7196ED1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562" w:type="dxa"/>
            <w:noWrap w:val="0"/>
            <w:vAlign w:val="center"/>
          </w:tcPr>
          <w:p w14:paraId="3F8AA90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0.009431</w:t>
            </w:r>
          </w:p>
        </w:tc>
        <w:tc>
          <w:tcPr>
            <w:tcW w:w="563" w:type="dxa"/>
            <w:noWrap w:val="0"/>
            <w:vAlign w:val="center"/>
          </w:tcPr>
          <w:p w14:paraId="69F25A7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4.72</w:t>
            </w:r>
          </w:p>
        </w:tc>
        <w:tc>
          <w:tcPr>
            <w:tcW w:w="562" w:type="dxa"/>
            <w:noWrap w:val="0"/>
            <w:vAlign w:val="center"/>
          </w:tcPr>
          <w:p w14:paraId="5A2C4B8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0.000154</w:t>
            </w:r>
          </w:p>
        </w:tc>
        <w:tc>
          <w:tcPr>
            <w:tcW w:w="563" w:type="dxa"/>
            <w:noWrap w:val="0"/>
            <w:vAlign w:val="center"/>
          </w:tcPr>
          <w:p w14:paraId="0B27153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1.54</w:t>
            </w:r>
          </w:p>
        </w:tc>
      </w:tr>
      <w:tr w14:paraId="5E5AA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660DCF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565" w:type="dxa"/>
            <w:noWrap w:val="0"/>
            <w:vAlign w:val="center"/>
          </w:tcPr>
          <w:p w14:paraId="7A44B0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0.000708</w:t>
            </w:r>
          </w:p>
        </w:tc>
        <w:tc>
          <w:tcPr>
            <w:tcW w:w="567" w:type="dxa"/>
            <w:noWrap w:val="0"/>
            <w:vAlign w:val="center"/>
          </w:tcPr>
          <w:p w14:paraId="430AC3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0.08</w:t>
            </w:r>
          </w:p>
        </w:tc>
        <w:tc>
          <w:tcPr>
            <w:tcW w:w="567" w:type="dxa"/>
            <w:noWrap w:val="0"/>
            <w:vAlign w:val="center"/>
          </w:tcPr>
          <w:p w14:paraId="212082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0.000708</w:t>
            </w:r>
          </w:p>
        </w:tc>
        <w:tc>
          <w:tcPr>
            <w:tcW w:w="567" w:type="dxa"/>
            <w:noWrap w:val="0"/>
            <w:vAlign w:val="center"/>
          </w:tcPr>
          <w:p w14:paraId="5B02D8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0.35</w:t>
            </w:r>
          </w:p>
        </w:tc>
        <w:tc>
          <w:tcPr>
            <w:tcW w:w="567" w:type="dxa"/>
            <w:noWrap w:val="0"/>
            <w:vAlign w:val="center"/>
          </w:tcPr>
          <w:p w14:paraId="02C4E5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0.000045</w:t>
            </w:r>
          </w:p>
        </w:tc>
        <w:tc>
          <w:tcPr>
            <w:tcW w:w="567" w:type="dxa"/>
            <w:noWrap w:val="0"/>
            <w:vAlign w:val="center"/>
          </w:tcPr>
          <w:p w14:paraId="233378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0.45</w:t>
            </w:r>
          </w:p>
        </w:tc>
        <w:tc>
          <w:tcPr>
            <w:tcW w:w="1112" w:type="dxa"/>
            <w:noWrap w:val="0"/>
            <w:vAlign w:val="center"/>
          </w:tcPr>
          <w:p w14:paraId="5CB7BBC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560" w:type="dxa"/>
            <w:noWrap w:val="0"/>
            <w:vAlign w:val="center"/>
          </w:tcPr>
          <w:p w14:paraId="20138B0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0.017956</w:t>
            </w:r>
          </w:p>
        </w:tc>
        <w:tc>
          <w:tcPr>
            <w:tcW w:w="563" w:type="dxa"/>
            <w:noWrap w:val="0"/>
            <w:vAlign w:val="center"/>
          </w:tcPr>
          <w:p w14:paraId="12ABAAD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w:t>
            </w:r>
          </w:p>
        </w:tc>
        <w:tc>
          <w:tcPr>
            <w:tcW w:w="562" w:type="dxa"/>
            <w:noWrap w:val="0"/>
            <w:vAlign w:val="center"/>
          </w:tcPr>
          <w:p w14:paraId="73DD4EA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0.007517</w:t>
            </w:r>
          </w:p>
        </w:tc>
        <w:tc>
          <w:tcPr>
            <w:tcW w:w="563" w:type="dxa"/>
            <w:noWrap w:val="0"/>
            <w:vAlign w:val="center"/>
          </w:tcPr>
          <w:p w14:paraId="72FE36E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3.76</w:t>
            </w:r>
          </w:p>
        </w:tc>
        <w:tc>
          <w:tcPr>
            <w:tcW w:w="562" w:type="dxa"/>
            <w:noWrap w:val="0"/>
            <w:vAlign w:val="center"/>
          </w:tcPr>
          <w:p w14:paraId="0D66572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0.000123</w:t>
            </w:r>
          </w:p>
        </w:tc>
        <w:tc>
          <w:tcPr>
            <w:tcW w:w="563" w:type="dxa"/>
            <w:noWrap w:val="0"/>
            <w:vAlign w:val="center"/>
          </w:tcPr>
          <w:p w14:paraId="45BB45A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1.23</w:t>
            </w:r>
          </w:p>
        </w:tc>
      </w:tr>
      <w:tr w14:paraId="6FD10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4BF9B3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565" w:type="dxa"/>
            <w:noWrap w:val="0"/>
            <w:vAlign w:val="center"/>
          </w:tcPr>
          <w:p w14:paraId="199C15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0.00058</w:t>
            </w:r>
          </w:p>
        </w:tc>
        <w:tc>
          <w:tcPr>
            <w:tcW w:w="567" w:type="dxa"/>
            <w:noWrap w:val="0"/>
            <w:vAlign w:val="center"/>
          </w:tcPr>
          <w:p w14:paraId="3F785D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0.06</w:t>
            </w:r>
          </w:p>
        </w:tc>
        <w:tc>
          <w:tcPr>
            <w:tcW w:w="567" w:type="dxa"/>
            <w:noWrap w:val="0"/>
            <w:vAlign w:val="center"/>
          </w:tcPr>
          <w:p w14:paraId="1FDDE5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0.00058</w:t>
            </w:r>
          </w:p>
        </w:tc>
        <w:tc>
          <w:tcPr>
            <w:tcW w:w="567" w:type="dxa"/>
            <w:noWrap w:val="0"/>
            <w:vAlign w:val="center"/>
          </w:tcPr>
          <w:p w14:paraId="42C646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0.29</w:t>
            </w:r>
          </w:p>
        </w:tc>
        <w:tc>
          <w:tcPr>
            <w:tcW w:w="567" w:type="dxa"/>
            <w:noWrap w:val="0"/>
            <w:vAlign w:val="center"/>
          </w:tcPr>
          <w:p w14:paraId="26E23F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0.000037</w:t>
            </w:r>
          </w:p>
        </w:tc>
        <w:tc>
          <w:tcPr>
            <w:tcW w:w="567" w:type="dxa"/>
            <w:noWrap w:val="0"/>
            <w:vAlign w:val="center"/>
          </w:tcPr>
          <w:p w14:paraId="3042B3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0.37</w:t>
            </w:r>
          </w:p>
        </w:tc>
        <w:tc>
          <w:tcPr>
            <w:tcW w:w="1112" w:type="dxa"/>
            <w:noWrap w:val="0"/>
            <w:vAlign w:val="center"/>
          </w:tcPr>
          <w:p w14:paraId="312A572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560" w:type="dxa"/>
            <w:noWrap w:val="0"/>
            <w:vAlign w:val="center"/>
          </w:tcPr>
          <w:p w14:paraId="3D9A4CE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0.014738</w:t>
            </w:r>
          </w:p>
        </w:tc>
        <w:tc>
          <w:tcPr>
            <w:tcW w:w="563" w:type="dxa"/>
            <w:noWrap w:val="0"/>
            <w:vAlign w:val="center"/>
          </w:tcPr>
          <w:p w14:paraId="1088448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1.64</w:t>
            </w:r>
          </w:p>
        </w:tc>
        <w:tc>
          <w:tcPr>
            <w:tcW w:w="562" w:type="dxa"/>
            <w:noWrap w:val="0"/>
            <w:vAlign w:val="center"/>
          </w:tcPr>
          <w:p w14:paraId="4538DDF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0.00617</w:t>
            </w:r>
          </w:p>
        </w:tc>
        <w:tc>
          <w:tcPr>
            <w:tcW w:w="563" w:type="dxa"/>
            <w:noWrap w:val="0"/>
            <w:vAlign w:val="center"/>
          </w:tcPr>
          <w:p w14:paraId="61BFD7C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3.08</w:t>
            </w:r>
          </w:p>
        </w:tc>
        <w:tc>
          <w:tcPr>
            <w:tcW w:w="562" w:type="dxa"/>
            <w:noWrap w:val="0"/>
            <w:vAlign w:val="center"/>
          </w:tcPr>
          <w:p w14:paraId="590DC5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0.000101</w:t>
            </w:r>
          </w:p>
        </w:tc>
        <w:tc>
          <w:tcPr>
            <w:tcW w:w="563" w:type="dxa"/>
            <w:noWrap w:val="0"/>
            <w:vAlign w:val="center"/>
          </w:tcPr>
          <w:p w14:paraId="4D05A32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1.01</w:t>
            </w:r>
          </w:p>
        </w:tc>
      </w:tr>
      <w:tr w14:paraId="2F565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1CCF627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下风向最大质量浓度及占标率/%</w:t>
            </w:r>
          </w:p>
        </w:tc>
        <w:tc>
          <w:tcPr>
            <w:tcW w:w="565" w:type="dxa"/>
            <w:noWrap w:val="0"/>
            <w:vAlign w:val="center"/>
          </w:tcPr>
          <w:p w14:paraId="5C17EE46">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0.008654</w:t>
            </w:r>
          </w:p>
        </w:tc>
        <w:tc>
          <w:tcPr>
            <w:tcW w:w="567" w:type="dxa"/>
            <w:noWrap w:val="0"/>
            <w:vAlign w:val="center"/>
          </w:tcPr>
          <w:p w14:paraId="0CA695E9">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0.96</w:t>
            </w:r>
          </w:p>
        </w:tc>
        <w:tc>
          <w:tcPr>
            <w:tcW w:w="567" w:type="dxa"/>
            <w:noWrap w:val="0"/>
            <w:vAlign w:val="center"/>
          </w:tcPr>
          <w:p w14:paraId="79D689F8">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0.008654</w:t>
            </w:r>
          </w:p>
        </w:tc>
        <w:tc>
          <w:tcPr>
            <w:tcW w:w="567" w:type="dxa"/>
            <w:noWrap w:val="0"/>
            <w:vAlign w:val="center"/>
          </w:tcPr>
          <w:p w14:paraId="1DAE1F9B">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4.33</w:t>
            </w:r>
          </w:p>
        </w:tc>
        <w:tc>
          <w:tcPr>
            <w:tcW w:w="567" w:type="dxa"/>
            <w:noWrap w:val="0"/>
            <w:vAlign w:val="center"/>
          </w:tcPr>
          <w:p w14:paraId="750577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0.000549</w:t>
            </w:r>
          </w:p>
        </w:tc>
        <w:tc>
          <w:tcPr>
            <w:tcW w:w="567" w:type="dxa"/>
            <w:noWrap w:val="0"/>
            <w:vAlign w:val="center"/>
          </w:tcPr>
          <w:p w14:paraId="4D72EC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5.49</w:t>
            </w:r>
          </w:p>
        </w:tc>
        <w:tc>
          <w:tcPr>
            <w:tcW w:w="1112" w:type="dxa"/>
            <w:noWrap w:val="0"/>
            <w:vAlign w:val="center"/>
          </w:tcPr>
          <w:p w14:paraId="2843208D">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kern w:val="0"/>
                <w:sz w:val="21"/>
                <w:szCs w:val="21"/>
                <w:lang w:bidi="ar"/>
              </w:rPr>
              <w:t>下风向最大质量浓度及占标率/%</w:t>
            </w:r>
          </w:p>
        </w:tc>
        <w:tc>
          <w:tcPr>
            <w:tcW w:w="560" w:type="dxa"/>
            <w:noWrap w:val="0"/>
            <w:vAlign w:val="center"/>
          </w:tcPr>
          <w:p w14:paraId="0DD5DB1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0.045646</w:t>
            </w:r>
          </w:p>
        </w:tc>
        <w:tc>
          <w:tcPr>
            <w:tcW w:w="563" w:type="dxa"/>
            <w:noWrap w:val="0"/>
            <w:vAlign w:val="center"/>
          </w:tcPr>
          <w:p w14:paraId="6C7360E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5.07</w:t>
            </w:r>
          </w:p>
        </w:tc>
        <w:tc>
          <w:tcPr>
            <w:tcW w:w="562" w:type="dxa"/>
            <w:noWrap w:val="0"/>
            <w:vAlign w:val="center"/>
          </w:tcPr>
          <w:p w14:paraId="15F7F5E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0.019109</w:t>
            </w:r>
          </w:p>
        </w:tc>
        <w:tc>
          <w:tcPr>
            <w:tcW w:w="563" w:type="dxa"/>
            <w:noWrap w:val="0"/>
            <w:vAlign w:val="center"/>
          </w:tcPr>
          <w:p w14:paraId="261C9E6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9.55</w:t>
            </w:r>
          </w:p>
        </w:tc>
        <w:tc>
          <w:tcPr>
            <w:tcW w:w="562" w:type="dxa"/>
            <w:noWrap w:val="0"/>
            <w:vAlign w:val="center"/>
          </w:tcPr>
          <w:p w14:paraId="1117522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0.000312</w:t>
            </w:r>
          </w:p>
        </w:tc>
        <w:tc>
          <w:tcPr>
            <w:tcW w:w="563" w:type="dxa"/>
            <w:noWrap w:val="0"/>
            <w:vAlign w:val="center"/>
          </w:tcPr>
          <w:p w14:paraId="14196B5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3.12</w:t>
            </w:r>
          </w:p>
        </w:tc>
      </w:tr>
      <w:tr w14:paraId="55C96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9" w:type="dxa"/>
            <w:noWrap w:val="0"/>
            <w:vAlign w:val="center"/>
          </w:tcPr>
          <w:p w14:paraId="5F4B4F8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1132" w:type="dxa"/>
            <w:gridSpan w:val="2"/>
            <w:noWrap w:val="0"/>
            <w:vAlign w:val="center"/>
          </w:tcPr>
          <w:p w14:paraId="17CA0EC9">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1134" w:type="dxa"/>
            <w:gridSpan w:val="2"/>
            <w:noWrap w:val="0"/>
            <w:vAlign w:val="center"/>
          </w:tcPr>
          <w:p w14:paraId="0B78924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1134" w:type="dxa"/>
            <w:gridSpan w:val="2"/>
            <w:noWrap w:val="0"/>
            <w:vAlign w:val="center"/>
          </w:tcPr>
          <w:p w14:paraId="3CA42DDC">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c>
          <w:tcPr>
            <w:tcW w:w="1112" w:type="dxa"/>
            <w:noWrap w:val="0"/>
            <w:vAlign w:val="center"/>
          </w:tcPr>
          <w:p w14:paraId="6337B598">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cs="Times New Roman"/>
                <w:kern w:val="0"/>
                <w:sz w:val="21"/>
                <w:szCs w:val="21"/>
                <w:lang w:val="en-US" w:eastAsia="zh-CN"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1123" w:type="dxa"/>
            <w:gridSpan w:val="2"/>
            <w:noWrap w:val="0"/>
            <w:vAlign w:val="center"/>
          </w:tcPr>
          <w:p w14:paraId="2AB8F5CC">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1125" w:type="dxa"/>
            <w:gridSpan w:val="2"/>
            <w:noWrap w:val="0"/>
            <w:vAlign w:val="center"/>
          </w:tcPr>
          <w:p w14:paraId="5C470809">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1125" w:type="dxa"/>
            <w:gridSpan w:val="2"/>
            <w:noWrap w:val="0"/>
            <w:vAlign w:val="center"/>
          </w:tcPr>
          <w:p w14:paraId="7E1A01F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cs="Times New Roman"/>
                <w:kern w:val="0"/>
                <w:sz w:val="21"/>
                <w:szCs w:val="21"/>
                <w:lang w:val="en-US" w:eastAsia="zh-CN" w:bidi="ar"/>
              </w:rPr>
            </w:pPr>
            <w:r>
              <w:rPr>
                <w:rFonts w:hint="eastAsia" w:cs="Times New Roman"/>
                <w:kern w:val="0"/>
                <w:sz w:val="21"/>
                <w:szCs w:val="21"/>
                <w:lang w:val="en-US" w:eastAsia="zh-CN" w:bidi="ar"/>
              </w:rPr>
              <w:t>0</w:t>
            </w:r>
          </w:p>
        </w:tc>
      </w:tr>
    </w:tbl>
    <w:p w14:paraId="448BF51A">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13正常工况下无组织废气污染物</w:t>
      </w:r>
      <w:r>
        <w:rPr>
          <w:rFonts w:hint="default" w:ascii="Times New Roman" w:hAnsi="Times New Roman" w:eastAsia="宋体" w:cs="Times New Roman"/>
          <w:b/>
          <w:kern w:val="0"/>
          <w:sz w:val="24"/>
          <w:szCs w:val="24"/>
          <w:lang w:val="en-US" w:eastAsia="zh-CN" w:bidi="ar-SA"/>
        </w:rPr>
        <w:t>最大占标率及最大落地浓度表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13"/>
        <w:gridCol w:w="651"/>
        <w:gridCol w:w="652"/>
        <w:gridCol w:w="652"/>
        <w:gridCol w:w="652"/>
        <w:gridCol w:w="848"/>
        <w:gridCol w:w="870"/>
        <w:gridCol w:w="870"/>
        <w:gridCol w:w="865"/>
        <w:gridCol w:w="865"/>
        <w:gridCol w:w="866"/>
      </w:tblGrid>
      <w:tr w14:paraId="235F1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vMerge w:val="restart"/>
            <w:noWrap w:val="0"/>
            <w:vAlign w:val="center"/>
          </w:tcPr>
          <w:p w14:paraId="6A7F5C1C">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下风向距离/m</w:t>
            </w:r>
          </w:p>
        </w:tc>
        <w:tc>
          <w:tcPr>
            <w:tcW w:w="2607" w:type="dxa"/>
            <w:gridSpan w:val="4"/>
            <w:noWrap w:val="0"/>
            <w:vAlign w:val="center"/>
          </w:tcPr>
          <w:p w14:paraId="47AE67DE">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r>
              <w:rPr>
                <w:rFonts w:hint="eastAsia" w:cs="Times New Roman"/>
                <w:b/>
                <w:bCs w:val="0"/>
                <w:kern w:val="0"/>
                <w:sz w:val="21"/>
                <w:szCs w:val="21"/>
                <w:lang w:val="en-US" w:eastAsia="zh-CN" w:bidi="en-US"/>
              </w:rPr>
              <w:t>还田区</w:t>
            </w:r>
          </w:p>
        </w:tc>
        <w:tc>
          <w:tcPr>
            <w:tcW w:w="848" w:type="dxa"/>
            <w:vMerge w:val="restart"/>
            <w:noWrap w:val="0"/>
            <w:vAlign w:val="center"/>
          </w:tcPr>
          <w:p w14:paraId="1039868A">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下风向距离/m</w:t>
            </w:r>
          </w:p>
        </w:tc>
        <w:tc>
          <w:tcPr>
            <w:tcW w:w="1740" w:type="dxa"/>
            <w:gridSpan w:val="2"/>
            <w:noWrap w:val="0"/>
            <w:vAlign w:val="center"/>
          </w:tcPr>
          <w:p w14:paraId="497E87E9">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val="0"/>
                <w:kern w:val="0"/>
                <w:sz w:val="21"/>
                <w:szCs w:val="21"/>
                <w:lang w:val="en-US" w:eastAsia="zh-CN" w:bidi="en-US"/>
              </w:rPr>
            </w:pPr>
            <w:r>
              <w:rPr>
                <w:rFonts w:hint="eastAsia" w:cs="Times New Roman"/>
                <w:b/>
                <w:bCs/>
                <w:color w:val="000000"/>
                <w:kern w:val="2"/>
                <w:sz w:val="21"/>
                <w:szCs w:val="24"/>
                <w:lang w:val="en-US" w:eastAsia="zh-CN" w:bidi="ar-SA"/>
              </w:rPr>
              <w:t>饲料加工区</w:t>
            </w:r>
          </w:p>
        </w:tc>
        <w:tc>
          <w:tcPr>
            <w:tcW w:w="865" w:type="dxa"/>
            <w:vMerge w:val="restart"/>
            <w:noWrap w:val="0"/>
            <w:vAlign w:val="center"/>
          </w:tcPr>
          <w:p w14:paraId="3F010106">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eastAsia" w:cs="Times New Roman"/>
                <w:b/>
                <w:bCs/>
                <w:color w:val="000000"/>
                <w:kern w:val="2"/>
                <w:sz w:val="21"/>
                <w:szCs w:val="24"/>
                <w:lang w:val="en-US" w:eastAsia="zh-CN" w:bidi="ar-SA"/>
              </w:rPr>
            </w:pPr>
            <w:r>
              <w:rPr>
                <w:rFonts w:hint="default" w:ascii="Times New Roman" w:hAnsi="Times New Roman" w:eastAsia="宋体" w:cs="Times New Roman"/>
                <w:b/>
                <w:bCs w:val="0"/>
                <w:kern w:val="0"/>
                <w:sz w:val="21"/>
                <w:szCs w:val="21"/>
                <w:lang w:val="en-US" w:eastAsia="en-US" w:bidi="en-US"/>
              </w:rPr>
              <w:t>下风向距离/m</w:t>
            </w:r>
          </w:p>
        </w:tc>
        <w:tc>
          <w:tcPr>
            <w:tcW w:w="1731" w:type="dxa"/>
            <w:gridSpan w:val="2"/>
            <w:noWrap w:val="0"/>
            <w:vAlign w:val="center"/>
          </w:tcPr>
          <w:p w14:paraId="4EBF02DB">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color w:val="000000"/>
                <w:kern w:val="2"/>
                <w:sz w:val="21"/>
                <w:szCs w:val="24"/>
                <w:lang w:val="en-US" w:eastAsia="zh-CN" w:bidi="ar-SA"/>
              </w:rPr>
            </w:pPr>
            <w:r>
              <w:rPr>
                <w:rFonts w:hint="eastAsia" w:cs="Times New Roman"/>
                <w:b/>
                <w:bCs/>
                <w:color w:val="000000"/>
                <w:kern w:val="2"/>
                <w:sz w:val="21"/>
                <w:szCs w:val="24"/>
                <w:lang w:val="en-US" w:eastAsia="zh-CN" w:bidi="ar-SA"/>
              </w:rPr>
              <w:t>堆肥区</w:t>
            </w:r>
          </w:p>
        </w:tc>
      </w:tr>
      <w:tr w14:paraId="07A73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vMerge w:val="continue"/>
            <w:noWrap w:val="0"/>
            <w:vAlign w:val="center"/>
          </w:tcPr>
          <w:p w14:paraId="1E7A941B">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1303" w:type="dxa"/>
            <w:gridSpan w:val="2"/>
            <w:noWrap w:val="0"/>
            <w:vAlign w:val="center"/>
          </w:tcPr>
          <w:p w14:paraId="1D67EB4F">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NH</w:t>
            </w:r>
            <w:r>
              <w:rPr>
                <w:rFonts w:hint="default" w:ascii="Times New Roman" w:hAnsi="Times New Roman" w:eastAsia="宋体" w:cs="Times New Roman"/>
                <w:b/>
                <w:bCs w:val="0"/>
                <w:kern w:val="0"/>
                <w:sz w:val="21"/>
                <w:szCs w:val="21"/>
                <w:vertAlign w:val="subscript"/>
                <w:lang w:val="en-US" w:eastAsia="en-US" w:bidi="en-US"/>
              </w:rPr>
              <w:t>3</w:t>
            </w:r>
          </w:p>
        </w:tc>
        <w:tc>
          <w:tcPr>
            <w:tcW w:w="1304" w:type="dxa"/>
            <w:gridSpan w:val="2"/>
            <w:noWrap w:val="0"/>
            <w:vAlign w:val="center"/>
          </w:tcPr>
          <w:p w14:paraId="3DB60F52">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H</w:t>
            </w:r>
            <w:r>
              <w:rPr>
                <w:rFonts w:hint="default" w:ascii="Times New Roman" w:hAnsi="Times New Roman" w:eastAsia="宋体" w:cs="Times New Roman"/>
                <w:b/>
                <w:bCs w:val="0"/>
                <w:kern w:val="0"/>
                <w:sz w:val="21"/>
                <w:szCs w:val="21"/>
                <w:vertAlign w:val="subscript"/>
                <w:lang w:val="en-US" w:eastAsia="zh-CN" w:bidi="en-US"/>
              </w:rPr>
              <w:t>2</w:t>
            </w:r>
            <w:r>
              <w:rPr>
                <w:rFonts w:hint="default" w:ascii="Times New Roman" w:hAnsi="Times New Roman" w:eastAsia="宋体" w:cs="Times New Roman"/>
                <w:b/>
                <w:bCs w:val="0"/>
                <w:kern w:val="0"/>
                <w:sz w:val="21"/>
                <w:szCs w:val="21"/>
                <w:lang w:val="en-US" w:eastAsia="zh-CN" w:bidi="en-US"/>
              </w:rPr>
              <w:t>S</w:t>
            </w:r>
          </w:p>
        </w:tc>
        <w:tc>
          <w:tcPr>
            <w:tcW w:w="848" w:type="dxa"/>
            <w:vMerge w:val="continue"/>
            <w:noWrap w:val="0"/>
            <w:vAlign w:val="center"/>
          </w:tcPr>
          <w:p w14:paraId="2B69F628">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p>
        </w:tc>
        <w:tc>
          <w:tcPr>
            <w:tcW w:w="1740" w:type="dxa"/>
            <w:gridSpan w:val="2"/>
            <w:noWrap w:val="0"/>
            <w:vAlign w:val="center"/>
          </w:tcPr>
          <w:p w14:paraId="1D1F5543">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eastAsia" w:cs="Times New Roman"/>
                <w:b/>
                <w:bCs w:val="0"/>
                <w:kern w:val="0"/>
                <w:sz w:val="21"/>
                <w:szCs w:val="21"/>
                <w:lang w:val="en-US" w:eastAsia="zh-CN" w:bidi="en-US"/>
              </w:rPr>
              <w:t>TSP</w:t>
            </w:r>
          </w:p>
        </w:tc>
        <w:tc>
          <w:tcPr>
            <w:tcW w:w="865" w:type="dxa"/>
            <w:vMerge w:val="continue"/>
            <w:noWrap w:val="0"/>
            <w:vAlign w:val="center"/>
          </w:tcPr>
          <w:p w14:paraId="1F63F5AB">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p>
        </w:tc>
        <w:tc>
          <w:tcPr>
            <w:tcW w:w="1731" w:type="dxa"/>
            <w:gridSpan w:val="2"/>
            <w:noWrap w:val="0"/>
            <w:vAlign w:val="center"/>
          </w:tcPr>
          <w:p w14:paraId="71490F66">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r>
              <w:rPr>
                <w:rFonts w:hint="eastAsia" w:cs="Times New Roman"/>
                <w:b/>
                <w:bCs w:val="0"/>
                <w:kern w:val="0"/>
                <w:sz w:val="21"/>
                <w:szCs w:val="21"/>
                <w:lang w:val="en-US" w:eastAsia="zh-CN" w:bidi="en-US"/>
              </w:rPr>
              <w:t>TSP</w:t>
            </w:r>
          </w:p>
        </w:tc>
      </w:tr>
      <w:tr w14:paraId="3378E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vMerge w:val="continue"/>
            <w:noWrap w:val="0"/>
            <w:vAlign w:val="center"/>
          </w:tcPr>
          <w:p w14:paraId="5E85085B">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651" w:type="dxa"/>
            <w:noWrap w:val="0"/>
            <w:vAlign w:val="center"/>
          </w:tcPr>
          <w:p w14:paraId="7E3C0BB6">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652" w:type="dxa"/>
            <w:noWrap w:val="0"/>
            <w:vAlign w:val="center"/>
          </w:tcPr>
          <w:p w14:paraId="30C6894D">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652" w:type="dxa"/>
            <w:noWrap w:val="0"/>
            <w:vAlign w:val="center"/>
          </w:tcPr>
          <w:p w14:paraId="15FBA2DC">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652" w:type="dxa"/>
            <w:noWrap w:val="0"/>
            <w:vAlign w:val="center"/>
          </w:tcPr>
          <w:p w14:paraId="6D4D1429">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848" w:type="dxa"/>
            <w:vMerge w:val="continue"/>
            <w:noWrap w:val="0"/>
            <w:vAlign w:val="center"/>
          </w:tcPr>
          <w:p w14:paraId="11532E51">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p>
        </w:tc>
        <w:tc>
          <w:tcPr>
            <w:tcW w:w="870" w:type="dxa"/>
            <w:noWrap w:val="0"/>
            <w:vAlign w:val="center"/>
          </w:tcPr>
          <w:p w14:paraId="5269B905">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870" w:type="dxa"/>
            <w:noWrap w:val="0"/>
            <w:vAlign w:val="center"/>
          </w:tcPr>
          <w:p w14:paraId="10EEA09D">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865" w:type="dxa"/>
            <w:vMerge w:val="continue"/>
            <w:noWrap w:val="0"/>
            <w:vAlign w:val="center"/>
          </w:tcPr>
          <w:p w14:paraId="25982936">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p>
        </w:tc>
        <w:tc>
          <w:tcPr>
            <w:tcW w:w="865" w:type="dxa"/>
            <w:noWrap w:val="0"/>
            <w:vAlign w:val="center"/>
          </w:tcPr>
          <w:p w14:paraId="24A51062">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866" w:type="dxa"/>
            <w:noWrap w:val="0"/>
            <w:vAlign w:val="center"/>
          </w:tcPr>
          <w:p w14:paraId="4BCACBAF">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r>
      <w:tr w14:paraId="13731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6B24A0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651" w:type="dxa"/>
            <w:noWrap w:val="0"/>
            <w:vAlign w:val="center"/>
          </w:tcPr>
          <w:p w14:paraId="7E4A57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0.010417</w:t>
            </w:r>
          </w:p>
        </w:tc>
        <w:tc>
          <w:tcPr>
            <w:tcW w:w="652" w:type="dxa"/>
            <w:noWrap w:val="0"/>
            <w:vAlign w:val="center"/>
          </w:tcPr>
          <w:p w14:paraId="3E810D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5.21</w:t>
            </w:r>
          </w:p>
        </w:tc>
        <w:tc>
          <w:tcPr>
            <w:tcW w:w="652" w:type="dxa"/>
            <w:noWrap w:val="0"/>
            <w:vAlign w:val="center"/>
          </w:tcPr>
          <w:p w14:paraId="3469550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0.000099</w:t>
            </w:r>
          </w:p>
        </w:tc>
        <w:tc>
          <w:tcPr>
            <w:tcW w:w="652" w:type="dxa"/>
            <w:noWrap w:val="0"/>
            <w:vAlign w:val="center"/>
          </w:tcPr>
          <w:p w14:paraId="04C6731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0.99</w:t>
            </w:r>
          </w:p>
        </w:tc>
        <w:tc>
          <w:tcPr>
            <w:tcW w:w="848" w:type="dxa"/>
            <w:noWrap w:val="0"/>
            <w:vAlign w:val="center"/>
          </w:tcPr>
          <w:p w14:paraId="0FAB71F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870" w:type="dxa"/>
            <w:noWrap w:val="0"/>
            <w:vAlign w:val="center"/>
          </w:tcPr>
          <w:p w14:paraId="196076E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0.02747</w:t>
            </w:r>
          </w:p>
        </w:tc>
        <w:tc>
          <w:tcPr>
            <w:tcW w:w="870" w:type="dxa"/>
            <w:noWrap w:val="0"/>
            <w:vAlign w:val="center"/>
          </w:tcPr>
          <w:p w14:paraId="73B5E28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3.05</w:t>
            </w:r>
          </w:p>
        </w:tc>
        <w:tc>
          <w:tcPr>
            <w:tcW w:w="865" w:type="dxa"/>
            <w:noWrap w:val="0"/>
            <w:vAlign w:val="center"/>
          </w:tcPr>
          <w:p w14:paraId="79927CC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865" w:type="dxa"/>
            <w:noWrap w:val="0"/>
            <w:vAlign w:val="center"/>
          </w:tcPr>
          <w:p w14:paraId="760C9D5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0.006351</w:t>
            </w:r>
          </w:p>
        </w:tc>
        <w:tc>
          <w:tcPr>
            <w:tcW w:w="866" w:type="dxa"/>
            <w:noWrap w:val="0"/>
            <w:vAlign w:val="center"/>
          </w:tcPr>
          <w:p w14:paraId="363EAF2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0.71</w:t>
            </w:r>
          </w:p>
        </w:tc>
      </w:tr>
      <w:tr w14:paraId="4AA2C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28B716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651" w:type="dxa"/>
            <w:noWrap w:val="0"/>
            <w:vAlign w:val="center"/>
          </w:tcPr>
          <w:p w14:paraId="1BF912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0.010559</w:t>
            </w:r>
          </w:p>
        </w:tc>
        <w:tc>
          <w:tcPr>
            <w:tcW w:w="652" w:type="dxa"/>
            <w:noWrap w:val="0"/>
            <w:vAlign w:val="center"/>
          </w:tcPr>
          <w:p w14:paraId="5F399A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5.28</w:t>
            </w:r>
          </w:p>
        </w:tc>
        <w:tc>
          <w:tcPr>
            <w:tcW w:w="652" w:type="dxa"/>
            <w:noWrap w:val="0"/>
            <w:vAlign w:val="center"/>
          </w:tcPr>
          <w:p w14:paraId="4F494F5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0.000101</w:t>
            </w:r>
          </w:p>
        </w:tc>
        <w:tc>
          <w:tcPr>
            <w:tcW w:w="652" w:type="dxa"/>
            <w:noWrap w:val="0"/>
            <w:vAlign w:val="center"/>
          </w:tcPr>
          <w:p w14:paraId="31D4087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1.01</w:t>
            </w:r>
          </w:p>
        </w:tc>
        <w:tc>
          <w:tcPr>
            <w:tcW w:w="848" w:type="dxa"/>
            <w:noWrap w:val="0"/>
            <w:vAlign w:val="center"/>
          </w:tcPr>
          <w:p w14:paraId="3262E3E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870" w:type="dxa"/>
            <w:noWrap w:val="0"/>
            <w:vAlign w:val="center"/>
          </w:tcPr>
          <w:p w14:paraId="5362EC5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0.033962</w:t>
            </w:r>
          </w:p>
        </w:tc>
        <w:tc>
          <w:tcPr>
            <w:tcW w:w="870" w:type="dxa"/>
            <w:noWrap w:val="0"/>
            <w:vAlign w:val="center"/>
          </w:tcPr>
          <w:p w14:paraId="0A11808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3.77</w:t>
            </w:r>
          </w:p>
        </w:tc>
        <w:tc>
          <w:tcPr>
            <w:tcW w:w="865" w:type="dxa"/>
            <w:noWrap w:val="0"/>
            <w:vAlign w:val="center"/>
          </w:tcPr>
          <w:p w14:paraId="55DF06F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865" w:type="dxa"/>
            <w:noWrap w:val="0"/>
            <w:vAlign w:val="center"/>
          </w:tcPr>
          <w:p w14:paraId="7DAE35E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0.008384</w:t>
            </w:r>
          </w:p>
        </w:tc>
        <w:tc>
          <w:tcPr>
            <w:tcW w:w="866" w:type="dxa"/>
            <w:noWrap w:val="0"/>
            <w:vAlign w:val="center"/>
          </w:tcPr>
          <w:p w14:paraId="3893C7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0.93</w:t>
            </w:r>
          </w:p>
        </w:tc>
      </w:tr>
      <w:tr w14:paraId="4EA7E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65BF36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651" w:type="dxa"/>
            <w:noWrap w:val="0"/>
            <w:vAlign w:val="center"/>
          </w:tcPr>
          <w:p w14:paraId="3D524C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0.010733</w:t>
            </w:r>
          </w:p>
        </w:tc>
        <w:tc>
          <w:tcPr>
            <w:tcW w:w="652" w:type="dxa"/>
            <w:noWrap w:val="0"/>
            <w:vAlign w:val="center"/>
          </w:tcPr>
          <w:p w14:paraId="520E16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5.37</w:t>
            </w:r>
          </w:p>
        </w:tc>
        <w:tc>
          <w:tcPr>
            <w:tcW w:w="652" w:type="dxa"/>
            <w:noWrap w:val="0"/>
            <w:vAlign w:val="center"/>
          </w:tcPr>
          <w:p w14:paraId="10D4798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0.000102</w:t>
            </w:r>
          </w:p>
        </w:tc>
        <w:tc>
          <w:tcPr>
            <w:tcW w:w="652" w:type="dxa"/>
            <w:noWrap w:val="0"/>
            <w:vAlign w:val="center"/>
          </w:tcPr>
          <w:p w14:paraId="67E6188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1.02</w:t>
            </w:r>
          </w:p>
        </w:tc>
        <w:tc>
          <w:tcPr>
            <w:tcW w:w="848" w:type="dxa"/>
            <w:noWrap w:val="0"/>
            <w:vAlign w:val="center"/>
          </w:tcPr>
          <w:p w14:paraId="6F16BD7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26</w:t>
            </w:r>
          </w:p>
        </w:tc>
        <w:tc>
          <w:tcPr>
            <w:tcW w:w="870" w:type="dxa"/>
            <w:noWrap w:val="0"/>
            <w:vAlign w:val="center"/>
          </w:tcPr>
          <w:p w14:paraId="3E492E8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0.034306</w:t>
            </w:r>
          </w:p>
        </w:tc>
        <w:tc>
          <w:tcPr>
            <w:tcW w:w="870" w:type="dxa"/>
            <w:noWrap w:val="0"/>
            <w:vAlign w:val="center"/>
          </w:tcPr>
          <w:p w14:paraId="210D2D2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3.81</w:t>
            </w:r>
          </w:p>
        </w:tc>
        <w:tc>
          <w:tcPr>
            <w:tcW w:w="865" w:type="dxa"/>
            <w:noWrap w:val="0"/>
            <w:vAlign w:val="center"/>
          </w:tcPr>
          <w:p w14:paraId="4EFF1DF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865" w:type="dxa"/>
            <w:noWrap w:val="0"/>
            <w:vAlign w:val="center"/>
          </w:tcPr>
          <w:p w14:paraId="68D98E8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0.010728</w:t>
            </w:r>
          </w:p>
        </w:tc>
        <w:tc>
          <w:tcPr>
            <w:tcW w:w="866" w:type="dxa"/>
            <w:noWrap w:val="0"/>
            <w:vAlign w:val="center"/>
          </w:tcPr>
          <w:p w14:paraId="48CFC18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1.19</w:t>
            </w:r>
          </w:p>
        </w:tc>
      </w:tr>
      <w:tr w14:paraId="6F10A2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260902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651" w:type="dxa"/>
            <w:noWrap w:val="0"/>
            <w:vAlign w:val="center"/>
          </w:tcPr>
          <w:p w14:paraId="2E219B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0.011991</w:t>
            </w:r>
          </w:p>
        </w:tc>
        <w:tc>
          <w:tcPr>
            <w:tcW w:w="652" w:type="dxa"/>
            <w:noWrap w:val="0"/>
            <w:vAlign w:val="center"/>
          </w:tcPr>
          <w:p w14:paraId="002F9D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w:t>
            </w:r>
          </w:p>
        </w:tc>
        <w:tc>
          <w:tcPr>
            <w:tcW w:w="652" w:type="dxa"/>
            <w:noWrap w:val="0"/>
            <w:vAlign w:val="center"/>
          </w:tcPr>
          <w:p w14:paraId="2162B20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0.000114</w:t>
            </w:r>
          </w:p>
        </w:tc>
        <w:tc>
          <w:tcPr>
            <w:tcW w:w="652" w:type="dxa"/>
            <w:noWrap w:val="0"/>
            <w:vAlign w:val="center"/>
          </w:tcPr>
          <w:p w14:paraId="26171C7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1.14</w:t>
            </w:r>
          </w:p>
        </w:tc>
        <w:tc>
          <w:tcPr>
            <w:tcW w:w="848" w:type="dxa"/>
            <w:noWrap w:val="0"/>
            <w:vAlign w:val="center"/>
          </w:tcPr>
          <w:p w14:paraId="72E26B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870" w:type="dxa"/>
            <w:noWrap w:val="0"/>
            <w:vAlign w:val="center"/>
          </w:tcPr>
          <w:p w14:paraId="6CC1AEC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0.019552</w:t>
            </w:r>
          </w:p>
        </w:tc>
        <w:tc>
          <w:tcPr>
            <w:tcW w:w="870" w:type="dxa"/>
            <w:noWrap w:val="0"/>
            <w:vAlign w:val="center"/>
          </w:tcPr>
          <w:p w14:paraId="1B1145E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2.17</w:t>
            </w:r>
          </w:p>
        </w:tc>
        <w:tc>
          <w:tcPr>
            <w:tcW w:w="865" w:type="dxa"/>
            <w:noWrap w:val="0"/>
            <w:vAlign w:val="center"/>
          </w:tcPr>
          <w:p w14:paraId="798C6B9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58</w:t>
            </w:r>
          </w:p>
        </w:tc>
        <w:tc>
          <w:tcPr>
            <w:tcW w:w="865" w:type="dxa"/>
            <w:noWrap w:val="0"/>
            <w:vAlign w:val="center"/>
          </w:tcPr>
          <w:p w14:paraId="1A28A90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0.01086</w:t>
            </w:r>
          </w:p>
        </w:tc>
        <w:tc>
          <w:tcPr>
            <w:tcW w:w="866" w:type="dxa"/>
            <w:noWrap w:val="0"/>
            <w:vAlign w:val="center"/>
          </w:tcPr>
          <w:p w14:paraId="1FDCE2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1.21</w:t>
            </w:r>
          </w:p>
        </w:tc>
      </w:tr>
      <w:tr w14:paraId="688D8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5544E5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651" w:type="dxa"/>
            <w:noWrap w:val="0"/>
            <w:vAlign w:val="center"/>
          </w:tcPr>
          <w:p w14:paraId="0708CE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0.013314</w:t>
            </w:r>
          </w:p>
        </w:tc>
        <w:tc>
          <w:tcPr>
            <w:tcW w:w="652" w:type="dxa"/>
            <w:noWrap w:val="0"/>
            <w:vAlign w:val="center"/>
          </w:tcPr>
          <w:p w14:paraId="36FBC2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6.66</w:t>
            </w:r>
          </w:p>
        </w:tc>
        <w:tc>
          <w:tcPr>
            <w:tcW w:w="652" w:type="dxa"/>
            <w:noWrap w:val="0"/>
            <w:vAlign w:val="center"/>
          </w:tcPr>
          <w:p w14:paraId="53D2913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0.000127</w:t>
            </w:r>
          </w:p>
        </w:tc>
        <w:tc>
          <w:tcPr>
            <w:tcW w:w="652" w:type="dxa"/>
            <w:noWrap w:val="0"/>
            <w:vAlign w:val="center"/>
          </w:tcPr>
          <w:p w14:paraId="3D51A17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1.27</w:t>
            </w:r>
          </w:p>
        </w:tc>
        <w:tc>
          <w:tcPr>
            <w:tcW w:w="848" w:type="dxa"/>
            <w:noWrap w:val="0"/>
            <w:vAlign w:val="center"/>
          </w:tcPr>
          <w:p w14:paraId="14CD0EB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870" w:type="dxa"/>
            <w:noWrap w:val="0"/>
            <w:vAlign w:val="center"/>
          </w:tcPr>
          <w:p w14:paraId="2747BD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0.014067</w:t>
            </w:r>
          </w:p>
        </w:tc>
        <w:tc>
          <w:tcPr>
            <w:tcW w:w="870" w:type="dxa"/>
            <w:noWrap w:val="0"/>
            <w:vAlign w:val="center"/>
          </w:tcPr>
          <w:p w14:paraId="691EFD6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1.56</w:t>
            </w:r>
          </w:p>
        </w:tc>
        <w:tc>
          <w:tcPr>
            <w:tcW w:w="865" w:type="dxa"/>
            <w:noWrap w:val="0"/>
            <w:vAlign w:val="center"/>
          </w:tcPr>
          <w:p w14:paraId="5D93690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865" w:type="dxa"/>
            <w:noWrap w:val="0"/>
            <w:vAlign w:val="center"/>
          </w:tcPr>
          <w:p w14:paraId="76BBC6C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0.01048</w:t>
            </w:r>
          </w:p>
        </w:tc>
        <w:tc>
          <w:tcPr>
            <w:tcW w:w="866" w:type="dxa"/>
            <w:noWrap w:val="0"/>
            <w:vAlign w:val="center"/>
          </w:tcPr>
          <w:p w14:paraId="6BA390F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1.16</w:t>
            </w:r>
          </w:p>
        </w:tc>
      </w:tr>
      <w:tr w14:paraId="74A266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41EF68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1315</w:t>
            </w:r>
          </w:p>
        </w:tc>
        <w:tc>
          <w:tcPr>
            <w:tcW w:w="651" w:type="dxa"/>
            <w:noWrap w:val="0"/>
            <w:vAlign w:val="center"/>
          </w:tcPr>
          <w:p w14:paraId="0838F0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0.014098</w:t>
            </w:r>
          </w:p>
        </w:tc>
        <w:tc>
          <w:tcPr>
            <w:tcW w:w="652" w:type="dxa"/>
            <w:noWrap w:val="0"/>
            <w:vAlign w:val="center"/>
          </w:tcPr>
          <w:p w14:paraId="2AB315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7.05</w:t>
            </w:r>
          </w:p>
        </w:tc>
        <w:tc>
          <w:tcPr>
            <w:tcW w:w="652" w:type="dxa"/>
            <w:noWrap w:val="0"/>
            <w:vAlign w:val="center"/>
          </w:tcPr>
          <w:p w14:paraId="386B749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0.000135</w:t>
            </w:r>
          </w:p>
        </w:tc>
        <w:tc>
          <w:tcPr>
            <w:tcW w:w="652" w:type="dxa"/>
            <w:noWrap w:val="0"/>
            <w:vAlign w:val="center"/>
          </w:tcPr>
          <w:p w14:paraId="0DDBC6C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1.35</w:t>
            </w:r>
          </w:p>
        </w:tc>
        <w:tc>
          <w:tcPr>
            <w:tcW w:w="848" w:type="dxa"/>
            <w:noWrap w:val="0"/>
            <w:vAlign w:val="center"/>
          </w:tcPr>
          <w:p w14:paraId="6C65780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870" w:type="dxa"/>
            <w:noWrap w:val="0"/>
            <w:vAlign w:val="center"/>
          </w:tcPr>
          <w:p w14:paraId="35895E6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0.012839</w:t>
            </w:r>
          </w:p>
        </w:tc>
        <w:tc>
          <w:tcPr>
            <w:tcW w:w="870" w:type="dxa"/>
            <w:noWrap w:val="0"/>
            <w:vAlign w:val="center"/>
          </w:tcPr>
          <w:p w14:paraId="5185D28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1.43</w:t>
            </w:r>
          </w:p>
        </w:tc>
        <w:tc>
          <w:tcPr>
            <w:tcW w:w="865" w:type="dxa"/>
            <w:noWrap w:val="0"/>
            <w:vAlign w:val="center"/>
          </w:tcPr>
          <w:p w14:paraId="330B97A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865" w:type="dxa"/>
            <w:noWrap w:val="0"/>
            <w:vAlign w:val="center"/>
          </w:tcPr>
          <w:p w14:paraId="5116C03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0.009282</w:t>
            </w:r>
          </w:p>
        </w:tc>
        <w:tc>
          <w:tcPr>
            <w:tcW w:w="866" w:type="dxa"/>
            <w:noWrap w:val="0"/>
            <w:vAlign w:val="center"/>
          </w:tcPr>
          <w:p w14:paraId="0278E29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1.03</w:t>
            </w:r>
          </w:p>
        </w:tc>
      </w:tr>
      <w:tr w14:paraId="5AF9A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3B3130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651" w:type="dxa"/>
            <w:noWrap w:val="0"/>
            <w:vAlign w:val="center"/>
          </w:tcPr>
          <w:p w14:paraId="0823F7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0.010809</w:t>
            </w:r>
          </w:p>
        </w:tc>
        <w:tc>
          <w:tcPr>
            <w:tcW w:w="652" w:type="dxa"/>
            <w:noWrap w:val="0"/>
            <w:vAlign w:val="center"/>
          </w:tcPr>
          <w:p w14:paraId="542224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w:t>
            </w:r>
          </w:p>
        </w:tc>
        <w:tc>
          <w:tcPr>
            <w:tcW w:w="652" w:type="dxa"/>
            <w:noWrap w:val="0"/>
            <w:vAlign w:val="center"/>
          </w:tcPr>
          <w:p w14:paraId="6B98CE3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0.000103</w:t>
            </w:r>
          </w:p>
        </w:tc>
        <w:tc>
          <w:tcPr>
            <w:tcW w:w="652" w:type="dxa"/>
            <w:noWrap w:val="0"/>
            <w:vAlign w:val="center"/>
          </w:tcPr>
          <w:p w14:paraId="705A857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1.03</w:t>
            </w:r>
          </w:p>
        </w:tc>
        <w:tc>
          <w:tcPr>
            <w:tcW w:w="848" w:type="dxa"/>
            <w:noWrap w:val="0"/>
            <w:vAlign w:val="center"/>
          </w:tcPr>
          <w:p w14:paraId="3E40254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870" w:type="dxa"/>
            <w:noWrap w:val="0"/>
            <w:vAlign w:val="center"/>
          </w:tcPr>
          <w:p w14:paraId="3236CF9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0.010272</w:t>
            </w:r>
          </w:p>
        </w:tc>
        <w:tc>
          <w:tcPr>
            <w:tcW w:w="870" w:type="dxa"/>
            <w:noWrap w:val="0"/>
            <w:vAlign w:val="center"/>
          </w:tcPr>
          <w:p w14:paraId="3B6CA08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1.14</w:t>
            </w:r>
          </w:p>
        </w:tc>
        <w:tc>
          <w:tcPr>
            <w:tcW w:w="865" w:type="dxa"/>
            <w:noWrap w:val="0"/>
            <w:vAlign w:val="center"/>
          </w:tcPr>
          <w:p w14:paraId="040FF49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865" w:type="dxa"/>
            <w:noWrap w:val="0"/>
            <w:vAlign w:val="center"/>
          </w:tcPr>
          <w:p w14:paraId="0B43C55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0.005187</w:t>
            </w:r>
          </w:p>
        </w:tc>
        <w:tc>
          <w:tcPr>
            <w:tcW w:w="866" w:type="dxa"/>
            <w:noWrap w:val="0"/>
            <w:vAlign w:val="center"/>
          </w:tcPr>
          <w:p w14:paraId="66ED122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0.58</w:t>
            </w:r>
          </w:p>
        </w:tc>
      </w:tr>
      <w:tr w14:paraId="1B39F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697FF1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651" w:type="dxa"/>
            <w:noWrap w:val="0"/>
            <w:vAlign w:val="center"/>
          </w:tcPr>
          <w:p w14:paraId="56576E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0.007793</w:t>
            </w:r>
          </w:p>
        </w:tc>
        <w:tc>
          <w:tcPr>
            <w:tcW w:w="652" w:type="dxa"/>
            <w:noWrap w:val="0"/>
            <w:vAlign w:val="center"/>
          </w:tcPr>
          <w:p w14:paraId="404256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3.9</w:t>
            </w:r>
          </w:p>
        </w:tc>
        <w:tc>
          <w:tcPr>
            <w:tcW w:w="652" w:type="dxa"/>
            <w:noWrap w:val="0"/>
            <w:vAlign w:val="center"/>
          </w:tcPr>
          <w:p w14:paraId="525C571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0.000074</w:t>
            </w:r>
          </w:p>
        </w:tc>
        <w:tc>
          <w:tcPr>
            <w:tcW w:w="652" w:type="dxa"/>
            <w:noWrap w:val="0"/>
            <w:vAlign w:val="center"/>
          </w:tcPr>
          <w:p w14:paraId="333CE10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0.74</w:t>
            </w:r>
          </w:p>
        </w:tc>
        <w:tc>
          <w:tcPr>
            <w:tcW w:w="848" w:type="dxa"/>
            <w:noWrap w:val="0"/>
            <w:vAlign w:val="center"/>
          </w:tcPr>
          <w:p w14:paraId="73F72B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870" w:type="dxa"/>
            <w:noWrap w:val="0"/>
            <w:vAlign w:val="center"/>
          </w:tcPr>
          <w:p w14:paraId="59E29ED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0.008599</w:t>
            </w:r>
          </w:p>
        </w:tc>
        <w:tc>
          <w:tcPr>
            <w:tcW w:w="870" w:type="dxa"/>
            <w:noWrap w:val="0"/>
            <w:vAlign w:val="center"/>
          </w:tcPr>
          <w:p w14:paraId="6E23080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0.96</w:t>
            </w:r>
          </w:p>
        </w:tc>
        <w:tc>
          <w:tcPr>
            <w:tcW w:w="865" w:type="dxa"/>
            <w:noWrap w:val="0"/>
            <w:vAlign w:val="center"/>
          </w:tcPr>
          <w:p w14:paraId="3A6A26D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865" w:type="dxa"/>
            <w:noWrap w:val="0"/>
            <w:vAlign w:val="center"/>
          </w:tcPr>
          <w:p w14:paraId="03FD3A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0.003314</w:t>
            </w:r>
          </w:p>
        </w:tc>
        <w:tc>
          <w:tcPr>
            <w:tcW w:w="866" w:type="dxa"/>
            <w:noWrap w:val="0"/>
            <w:vAlign w:val="center"/>
          </w:tcPr>
          <w:p w14:paraId="417C5B5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0.37</w:t>
            </w:r>
          </w:p>
        </w:tc>
      </w:tr>
      <w:tr w14:paraId="7C689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60BA1BE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651" w:type="dxa"/>
            <w:noWrap w:val="0"/>
            <w:vAlign w:val="center"/>
          </w:tcPr>
          <w:p w14:paraId="2D27FB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0.006392</w:t>
            </w:r>
          </w:p>
        </w:tc>
        <w:tc>
          <w:tcPr>
            <w:tcW w:w="652" w:type="dxa"/>
            <w:noWrap w:val="0"/>
            <w:vAlign w:val="center"/>
          </w:tcPr>
          <w:p w14:paraId="3664015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3.2</w:t>
            </w:r>
          </w:p>
        </w:tc>
        <w:tc>
          <w:tcPr>
            <w:tcW w:w="652" w:type="dxa"/>
            <w:noWrap w:val="0"/>
            <w:vAlign w:val="center"/>
          </w:tcPr>
          <w:p w14:paraId="14BBCCC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0.000061</w:t>
            </w:r>
          </w:p>
        </w:tc>
        <w:tc>
          <w:tcPr>
            <w:tcW w:w="652" w:type="dxa"/>
            <w:noWrap w:val="0"/>
            <w:vAlign w:val="center"/>
          </w:tcPr>
          <w:p w14:paraId="7B5908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0.61</w:t>
            </w:r>
          </w:p>
        </w:tc>
        <w:tc>
          <w:tcPr>
            <w:tcW w:w="848" w:type="dxa"/>
            <w:noWrap w:val="0"/>
            <w:vAlign w:val="center"/>
          </w:tcPr>
          <w:p w14:paraId="2CE9279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870" w:type="dxa"/>
            <w:noWrap w:val="0"/>
            <w:vAlign w:val="center"/>
          </w:tcPr>
          <w:p w14:paraId="35BB3B2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0.006294</w:t>
            </w:r>
          </w:p>
        </w:tc>
        <w:tc>
          <w:tcPr>
            <w:tcW w:w="870" w:type="dxa"/>
            <w:noWrap w:val="0"/>
            <w:vAlign w:val="center"/>
          </w:tcPr>
          <w:p w14:paraId="38D9C1B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w:t>
            </w:r>
          </w:p>
        </w:tc>
        <w:tc>
          <w:tcPr>
            <w:tcW w:w="865" w:type="dxa"/>
            <w:noWrap w:val="0"/>
            <w:vAlign w:val="center"/>
          </w:tcPr>
          <w:p w14:paraId="4704B10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865" w:type="dxa"/>
            <w:noWrap w:val="0"/>
            <w:vAlign w:val="center"/>
          </w:tcPr>
          <w:p w14:paraId="1B66AFD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0.001784</w:t>
            </w:r>
          </w:p>
        </w:tc>
        <w:tc>
          <w:tcPr>
            <w:tcW w:w="866" w:type="dxa"/>
            <w:noWrap w:val="0"/>
            <w:vAlign w:val="center"/>
          </w:tcPr>
          <w:p w14:paraId="5333365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w:t>
            </w:r>
          </w:p>
        </w:tc>
      </w:tr>
      <w:tr w14:paraId="2DC02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684E09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3000</w:t>
            </w:r>
          </w:p>
        </w:tc>
        <w:tc>
          <w:tcPr>
            <w:tcW w:w="651" w:type="dxa"/>
            <w:noWrap w:val="0"/>
            <w:vAlign w:val="center"/>
          </w:tcPr>
          <w:p w14:paraId="328988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0.005494</w:t>
            </w:r>
          </w:p>
        </w:tc>
        <w:tc>
          <w:tcPr>
            <w:tcW w:w="652" w:type="dxa"/>
            <w:noWrap w:val="0"/>
            <w:vAlign w:val="center"/>
          </w:tcPr>
          <w:p w14:paraId="0C3341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2.75</w:t>
            </w:r>
          </w:p>
        </w:tc>
        <w:tc>
          <w:tcPr>
            <w:tcW w:w="652" w:type="dxa"/>
            <w:noWrap w:val="0"/>
            <w:vAlign w:val="center"/>
          </w:tcPr>
          <w:p w14:paraId="35BB8E4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0.000052</w:t>
            </w:r>
          </w:p>
        </w:tc>
        <w:tc>
          <w:tcPr>
            <w:tcW w:w="652" w:type="dxa"/>
            <w:noWrap w:val="0"/>
            <w:vAlign w:val="center"/>
          </w:tcPr>
          <w:p w14:paraId="3483128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0.52</w:t>
            </w:r>
          </w:p>
        </w:tc>
        <w:tc>
          <w:tcPr>
            <w:tcW w:w="848" w:type="dxa"/>
            <w:noWrap w:val="0"/>
            <w:vAlign w:val="center"/>
          </w:tcPr>
          <w:p w14:paraId="4BEE858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870" w:type="dxa"/>
            <w:noWrap w:val="0"/>
            <w:vAlign w:val="center"/>
          </w:tcPr>
          <w:p w14:paraId="6324C8B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0.003872</w:t>
            </w:r>
          </w:p>
        </w:tc>
        <w:tc>
          <w:tcPr>
            <w:tcW w:w="870" w:type="dxa"/>
            <w:noWrap w:val="0"/>
            <w:vAlign w:val="center"/>
          </w:tcPr>
          <w:p w14:paraId="7B4F22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0.43</w:t>
            </w:r>
          </w:p>
        </w:tc>
        <w:tc>
          <w:tcPr>
            <w:tcW w:w="865" w:type="dxa"/>
            <w:noWrap w:val="0"/>
            <w:vAlign w:val="center"/>
          </w:tcPr>
          <w:p w14:paraId="7C65D5F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865" w:type="dxa"/>
            <w:noWrap w:val="0"/>
            <w:vAlign w:val="center"/>
          </w:tcPr>
          <w:p w14:paraId="532A6A2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0.00073</w:t>
            </w:r>
          </w:p>
        </w:tc>
        <w:tc>
          <w:tcPr>
            <w:tcW w:w="866" w:type="dxa"/>
            <w:noWrap w:val="0"/>
            <w:vAlign w:val="center"/>
          </w:tcPr>
          <w:p w14:paraId="2B43251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0.08</w:t>
            </w:r>
          </w:p>
        </w:tc>
      </w:tr>
      <w:tr w14:paraId="01B77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1DBB76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4000</w:t>
            </w:r>
          </w:p>
        </w:tc>
        <w:tc>
          <w:tcPr>
            <w:tcW w:w="651" w:type="dxa"/>
            <w:noWrap w:val="0"/>
            <w:vAlign w:val="center"/>
          </w:tcPr>
          <w:p w14:paraId="506447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0.004363</w:t>
            </w:r>
          </w:p>
        </w:tc>
        <w:tc>
          <w:tcPr>
            <w:tcW w:w="652" w:type="dxa"/>
            <w:noWrap w:val="0"/>
            <w:vAlign w:val="center"/>
          </w:tcPr>
          <w:p w14:paraId="5756D4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2.18</w:t>
            </w:r>
          </w:p>
        </w:tc>
        <w:tc>
          <w:tcPr>
            <w:tcW w:w="652" w:type="dxa"/>
            <w:noWrap w:val="0"/>
            <w:vAlign w:val="center"/>
          </w:tcPr>
          <w:p w14:paraId="57085C7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0.000042</w:t>
            </w:r>
          </w:p>
        </w:tc>
        <w:tc>
          <w:tcPr>
            <w:tcW w:w="652" w:type="dxa"/>
            <w:noWrap w:val="0"/>
            <w:vAlign w:val="center"/>
          </w:tcPr>
          <w:p w14:paraId="53095FF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0.42</w:t>
            </w:r>
          </w:p>
        </w:tc>
        <w:tc>
          <w:tcPr>
            <w:tcW w:w="848" w:type="dxa"/>
            <w:noWrap w:val="0"/>
            <w:vAlign w:val="center"/>
          </w:tcPr>
          <w:p w14:paraId="0FF6C76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870" w:type="dxa"/>
            <w:noWrap w:val="0"/>
            <w:vAlign w:val="center"/>
          </w:tcPr>
          <w:p w14:paraId="50DB504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0.002905</w:t>
            </w:r>
          </w:p>
        </w:tc>
        <w:tc>
          <w:tcPr>
            <w:tcW w:w="870" w:type="dxa"/>
            <w:noWrap w:val="0"/>
            <w:vAlign w:val="center"/>
          </w:tcPr>
          <w:p w14:paraId="4DAD43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0.32</w:t>
            </w:r>
          </w:p>
        </w:tc>
        <w:tc>
          <w:tcPr>
            <w:tcW w:w="865" w:type="dxa"/>
            <w:noWrap w:val="0"/>
            <w:vAlign w:val="center"/>
          </w:tcPr>
          <w:p w14:paraId="4C98313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865" w:type="dxa"/>
            <w:noWrap w:val="0"/>
            <w:vAlign w:val="center"/>
          </w:tcPr>
          <w:p w14:paraId="38A5CB4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0.00043</w:t>
            </w:r>
          </w:p>
        </w:tc>
        <w:tc>
          <w:tcPr>
            <w:tcW w:w="866" w:type="dxa"/>
            <w:noWrap w:val="0"/>
            <w:vAlign w:val="center"/>
          </w:tcPr>
          <w:p w14:paraId="1118947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0.05</w:t>
            </w:r>
          </w:p>
        </w:tc>
      </w:tr>
      <w:tr w14:paraId="5EE32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2736DA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5000</w:t>
            </w:r>
          </w:p>
        </w:tc>
        <w:tc>
          <w:tcPr>
            <w:tcW w:w="651" w:type="dxa"/>
            <w:noWrap w:val="0"/>
            <w:vAlign w:val="center"/>
          </w:tcPr>
          <w:p w14:paraId="19E529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0.003656</w:t>
            </w:r>
          </w:p>
        </w:tc>
        <w:tc>
          <w:tcPr>
            <w:tcW w:w="652" w:type="dxa"/>
            <w:noWrap w:val="0"/>
            <w:vAlign w:val="center"/>
          </w:tcPr>
          <w:p w14:paraId="1F564A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1.83</w:t>
            </w:r>
          </w:p>
        </w:tc>
        <w:tc>
          <w:tcPr>
            <w:tcW w:w="652" w:type="dxa"/>
            <w:noWrap w:val="0"/>
            <w:vAlign w:val="center"/>
          </w:tcPr>
          <w:p w14:paraId="1F68B05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0.000035</w:t>
            </w:r>
          </w:p>
        </w:tc>
        <w:tc>
          <w:tcPr>
            <w:tcW w:w="652" w:type="dxa"/>
            <w:noWrap w:val="0"/>
            <w:vAlign w:val="center"/>
          </w:tcPr>
          <w:p w14:paraId="6461A77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0.35</w:t>
            </w:r>
          </w:p>
        </w:tc>
        <w:tc>
          <w:tcPr>
            <w:tcW w:w="848" w:type="dxa"/>
            <w:noWrap w:val="0"/>
            <w:vAlign w:val="center"/>
          </w:tcPr>
          <w:p w14:paraId="08F2CE7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870" w:type="dxa"/>
            <w:noWrap w:val="0"/>
            <w:vAlign w:val="center"/>
          </w:tcPr>
          <w:p w14:paraId="6F620AC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0.002304</w:t>
            </w:r>
          </w:p>
        </w:tc>
        <w:tc>
          <w:tcPr>
            <w:tcW w:w="870" w:type="dxa"/>
            <w:noWrap w:val="0"/>
            <w:vAlign w:val="center"/>
          </w:tcPr>
          <w:p w14:paraId="73ADE4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0.26</w:t>
            </w:r>
          </w:p>
        </w:tc>
        <w:tc>
          <w:tcPr>
            <w:tcW w:w="865" w:type="dxa"/>
            <w:noWrap w:val="0"/>
            <w:vAlign w:val="center"/>
          </w:tcPr>
          <w:p w14:paraId="5EA255E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865" w:type="dxa"/>
            <w:noWrap w:val="0"/>
            <w:vAlign w:val="center"/>
          </w:tcPr>
          <w:p w14:paraId="258B01F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0.000292</w:t>
            </w:r>
          </w:p>
        </w:tc>
        <w:tc>
          <w:tcPr>
            <w:tcW w:w="866" w:type="dxa"/>
            <w:noWrap w:val="0"/>
            <w:vAlign w:val="center"/>
          </w:tcPr>
          <w:p w14:paraId="0C928C3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w:t>
            </w:r>
          </w:p>
        </w:tc>
      </w:tr>
      <w:tr w14:paraId="6DB8E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7FD408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8000</w:t>
            </w:r>
          </w:p>
        </w:tc>
        <w:tc>
          <w:tcPr>
            <w:tcW w:w="651" w:type="dxa"/>
            <w:noWrap w:val="0"/>
            <w:vAlign w:val="center"/>
          </w:tcPr>
          <w:p w14:paraId="56245A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0.002515</w:t>
            </w:r>
          </w:p>
        </w:tc>
        <w:tc>
          <w:tcPr>
            <w:tcW w:w="652" w:type="dxa"/>
            <w:noWrap w:val="0"/>
            <w:vAlign w:val="center"/>
          </w:tcPr>
          <w:p w14:paraId="136FC9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1.26</w:t>
            </w:r>
          </w:p>
        </w:tc>
        <w:tc>
          <w:tcPr>
            <w:tcW w:w="652" w:type="dxa"/>
            <w:noWrap w:val="0"/>
            <w:vAlign w:val="center"/>
          </w:tcPr>
          <w:p w14:paraId="197B56D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0.000024</w:t>
            </w:r>
          </w:p>
        </w:tc>
        <w:tc>
          <w:tcPr>
            <w:tcW w:w="652" w:type="dxa"/>
            <w:noWrap w:val="0"/>
            <w:vAlign w:val="center"/>
          </w:tcPr>
          <w:p w14:paraId="519DDA2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0.24</w:t>
            </w:r>
          </w:p>
        </w:tc>
        <w:tc>
          <w:tcPr>
            <w:tcW w:w="848" w:type="dxa"/>
            <w:noWrap w:val="0"/>
            <w:vAlign w:val="center"/>
          </w:tcPr>
          <w:p w14:paraId="7515AED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870" w:type="dxa"/>
            <w:noWrap w:val="0"/>
            <w:vAlign w:val="center"/>
          </w:tcPr>
          <w:p w14:paraId="73BA327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0.001887</w:t>
            </w:r>
          </w:p>
        </w:tc>
        <w:tc>
          <w:tcPr>
            <w:tcW w:w="870" w:type="dxa"/>
            <w:noWrap w:val="0"/>
            <w:vAlign w:val="center"/>
          </w:tcPr>
          <w:p w14:paraId="69EAC06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0.21</w:t>
            </w:r>
          </w:p>
        </w:tc>
        <w:tc>
          <w:tcPr>
            <w:tcW w:w="865" w:type="dxa"/>
            <w:noWrap w:val="0"/>
            <w:vAlign w:val="center"/>
          </w:tcPr>
          <w:p w14:paraId="5E9B1F2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865" w:type="dxa"/>
            <w:noWrap w:val="0"/>
            <w:vAlign w:val="center"/>
          </w:tcPr>
          <w:p w14:paraId="691C97E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0.000217</w:t>
            </w:r>
          </w:p>
        </w:tc>
        <w:tc>
          <w:tcPr>
            <w:tcW w:w="866" w:type="dxa"/>
            <w:noWrap w:val="0"/>
            <w:vAlign w:val="center"/>
          </w:tcPr>
          <w:p w14:paraId="135978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0.02</w:t>
            </w:r>
          </w:p>
        </w:tc>
      </w:tr>
      <w:tr w14:paraId="2B539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66F61755">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下风向最大质量浓度及占标率/%</w:t>
            </w:r>
          </w:p>
        </w:tc>
        <w:tc>
          <w:tcPr>
            <w:tcW w:w="651" w:type="dxa"/>
            <w:noWrap w:val="0"/>
            <w:vAlign w:val="center"/>
          </w:tcPr>
          <w:p w14:paraId="314E24FF">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0.014098</w:t>
            </w:r>
          </w:p>
        </w:tc>
        <w:tc>
          <w:tcPr>
            <w:tcW w:w="652" w:type="dxa"/>
            <w:noWrap w:val="0"/>
            <w:vAlign w:val="center"/>
          </w:tcPr>
          <w:p w14:paraId="0A15141A">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7.05</w:t>
            </w:r>
          </w:p>
        </w:tc>
        <w:tc>
          <w:tcPr>
            <w:tcW w:w="652" w:type="dxa"/>
            <w:noWrap w:val="0"/>
            <w:vAlign w:val="center"/>
          </w:tcPr>
          <w:p w14:paraId="15B7B72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0.000135</w:t>
            </w:r>
          </w:p>
        </w:tc>
        <w:tc>
          <w:tcPr>
            <w:tcW w:w="652" w:type="dxa"/>
            <w:noWrap w:val="0"/>
            <w:vAlign w:val="center"/>
          </w:tcPr>
          <w:p w14:paraId="21B1929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1.35</w:t>
            </w:r>
          </w:p>
        </w:tc>
        <w:tc>
          <w:tcPr>
            <w:tcW w:w="848" w:type="dxa"/>
            <w:noWrap w:val="0"/>
            <w:vAlign w:val="center"/>
          </w:tcPr>
          <w:p w14:paraId="2366E06F">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kern w:val="0"/>
                <w:sz w:val="21"/>
                <w:szCs w:val="21"/>
                <w:lang w:bidi="ar"/>
              </w:rPr>
              <w:t>下风向最大质量浓度及占标率/%</w:t>
            </w:r>
          </w:p>
        </w:tc>
        <w:tc>
          <w:tcPr>
            <w:tcW w:w="870" w:type="dxa"/>
            <w:noWrap w:val="0"/>
            <w:vAlign w:val="center"/>
          </w:tcPr>
          <w:p w14:paraId="130A3C3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0.031456</w:t>
            </w:r>
          </w:p>
        </w:tc>
        <w:tc>
          <w:tcPr>
            <w:tcW w:w="870" w:type="dxa"/>
            <w:noWrap w:val="0"/>
            <w:vAlign w:val="center"/>
          </w:tcPr>
          <w:p w14:paraId="7BCD111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3.5</w:t>
            </w:r>
          </w:p>
        </w:tc>
        <w:tc>
          <w:tcPr>
            <w:tcW w:w="865" w:type="dxa"/>
            <w:noWrap w:val="0"/>
            <w:vAlign w:val="center"/>
          </w:tcPr>
          <w:p w14:paraId="26B9F992">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kern w:val="0"/>
                <w:sz w:val="21"/>
                <w:szCs w:val="21"/>
                <w:lang w:bidi="ar"/>
              </w:rPr>
              <w:t>下风向最大质量浓度及占标率/%</w:t>
            </w:r>
          </w:p>
        </w:tc>
        <w:tc>
          <w:tcPr>
            <w:tcW w:w="865" w:type="dxa"/>
            <w:noWrap w:val="0"/>
            <w:vAlign w:val="center"/>
          </w:tcPr>
          <w:p w14:paraId="17FBA0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0.01086</w:t>
            </w:r>
          </w:p>
        </w:tc>
        <w:tc>
          <w:tcPr>
            <w:tcW w:w="866" w:type="dxa"/>
            <w:noWrap w:val="0"/>
            <w:vAlign w:val="center"/>
          </w:tcPr>
          <w:p w14:paraId="2762565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1.21</w:t>
            </w:r>
          </w:p>
        </w:tc>
      </w:tr>
      <w:tr w14:paraId="4170C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13" w:type="dxa"/>
            <w:noWrap w:val="0"/>
            <w:vAlign w:val="center"/>
          </w:tcPr>
          <w:p w14:paraId="3E2225B2">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1303" w:type="dxa"/>
            <w:gridSpan w:val="2"/>
            <w:noWrap w:val="0"/>
            <w:vAlign w:val="center"/>
          </w:tcPr>
          <w:p w14:paraId="79EDD994">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1304" w:type="dxa"/>
            <w:gridSpan w:val="2"/>
            <w:noWrap w:val="0"/>
            <w:vAlign w:val="center"/>
          </w:tcPr>
          <w:p w14:paraId="1186975C">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c>
          <w:tcPr>
            <w:tcW w:w="848" w:type="dxa"/>
            <w:noWrap w:val="0"/>
            <w:vAlign w:val="center"/>
          </w:tcPr>
          <w:p w14:paraId="4C986FF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1740" w:type="dxa"/>
            <w:gridSpan w:val="2"/>
            <w:noWrap w:val="0"/>
            <w:vAlign w:val="center"/>
          </w:tcPr>
          <w:p w14:paraId="24D7948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c>
          <w:tcPr>
            <w:tcW w:w="865" w:type="dxa"/>
            <w:noWrap w:val="0"/>
            <w:vAlign w:val="center"/>
          </w:tcPr>
          <w:p w14:paraId="638A8BC6">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eastAsia" w:cs="Times New Roman"/>
                <w:kern w:val="0"/>
                <w:sz w:val="21"/>
                <w:szCs w:val="21"/>
                <w:lang w:val="en-US" w:eastAsia="zh-CN"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1731" w:type="dxa"/>
            <w:gridSpan w:val="2"/>
            <w:noWrap w:val="0"/>
            <w:vAlign w:val="center"/>
          </w:tcPr>
          <w:p w14:paraId="72FD6FB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cs="Times New Roman"/>
                <w:kern w:val="0"/>
                <w:sz w:val="21"/>
                <w:szCs w:val="21"/>
                <w:lang w:val="en-US" w:eastAsia="zh-CN" w:bidi="ar"/>
              </w:rPr>
            </w:pPr>
            <w:r>
              <w:rPr>
                <w:rFonts w:hint="eastAsia" w:cs="Times New Roman"/>
                <w:kern w:val="0"/>
                <w:sz w:val="21"/>
                <w:szCs w:val="21"/>
                <w:lang w:val="en-US" w:eastAsia="zh-CN" w:bidi="ar"/>
              </w:rPr>
              <w:t>0</w:t>
            </w:r>
          </w:p>
        </w:tc>
      </w:tr>
    </w:tbl>
    <w:p w14:paraId="109AD9D7">
      <w:pPr>
        <w:pageBreakBefore w:val="0"/>
        <w:kinsoku/>
        <w:wordWrap/>
        <w:topLinePunct w:val="0"/>
        <w:bidi w:val="0"/>
        <w:adjustRightInd/>
        <w:snapToGrid/>
        <w:spacing w:line="360" w:lineRule="auto"/>
        <w:ind w:firstLine="480" w:firstLineChars="200"/>
        <w:rPr>
          <w:rFonts w:hint="default" w:ascii="Times New Roman" w:hAnsi="Times New Roman" w:eastAsia="宋体" w:cs="Times New Roman"/>
          <w:color w:val="auto"/>
          <w:sz w:val="24"/>
        </w:rPr>
      </w:pPr>
      <w:r>
        <w:rPr>
          <w:rFonts w:hint="eastAsia" w:cs="Times New Roman"/>
          <w:color w:val="auto"/>
          <w:sz w:val="24"/>
          <w:lang w:val="en-US" w:eastAsia="zh-CN"/>
        </w:rPr>
        <w:t>厂界无组织TSP、</w:t>
      </w:r>
      <w:r>
        <w:rPr>
          <w:rFonts w:hint="default" w:ascii="Times New Roman" w:hAnsi="Times New Roman" w:eastAsia="宋体" w:cs="Times New Roman"/>
          <w:color w:val="auto"/>
          <w:sz w:val="24"/>
        </w:rPr>
        <w:t>NH</w:t>
      </w:r>
      <w:r>
        <w:rPr>
          <w:rFonts w:hint="default" w:ascii="Times New Roman" w:hAnsi="Times New Roman" w:eastAsia="宋体" w:cs="Times New Roman"/>
          <w:color w:val="auto"/>
          <w:sz w:val="24"/>
          <w:vertAlign w:val="subscript"/>
        </w:rPr>
        <w:t>3</w:t>
      </w:r>
      <w:r>
        <w:rPr>
          <w:rFonts w:hint="default" w:ascii="Times New Roman" w:hAnsi="Times New Roman" w:eastAsia="宋体" w:cs="Times New Roman"/>
          <w:color w:val="auto"/>
          <w:sz w:val="24"/>
        </w:rPr>
        <w:t>最大落地浓度出现在距面源</w:t>
      </w:r>
      <w:r>
        <w:rPr>
          <w:rFonts w:hint="default" w:ascii="Times New Roman" w:hAnsi="Times New Roman" w:eastAsia="宋体" w:cs="Times New Roman"/>
          <w:color w:val="auto"/>
          <w:sz w:val="24"/>
          <w:lang w:val="en-US" w:eastAsia="zh-CN"/>
        </w:rPr>
        <w:t>养殖区</w:t>
      </w:r>
      <w:r>
        <w:rPr>
          <w:rFonts w:hint="default" w:ascii="Times New Roman" w:hAnsi="Times New Roman" w:eastAsia="宋体" w:cs="Times New Roman"/>
          <w:color w:val="auto"/>
          <w:sz w:val="24"/>
        </w:rPr>
        <w:t>为中</w:t>
      </w:r>
      <w:r>
        <w:rPr>
          <w:rFonts w:hint="eastAsia" w:eastAsia="宋体" w:cs="Times New Roman"/>
          <w:color w:val="auto"/>
          <w:sz w:val="24"/>
          <w:lang w:eastAsia="zh-CN"/>
        </w:rPr>
        <w:t>心</w:t>
      </w:r>
      <w:r>
        <w:rPr>
          <w:rFonts w:hint="eastAsia" w:cs="Times New Roman"/>
          <w:color w:val="auto"/>
          <w:sz w:val="24"/>
          <w:lang w:val="en-US" w:eastAsia="zh-CN"/>
        </w:rPr>
        <w:t>427</w:t>
      </w:r>
      <w:r>
        <w:rPr>
          <w:rFonts w:hint="eastAsia" w:eastAsia="宋体" w:cs="Times New Roman"/>
          <w:color w:val="auto"/>
          <w:sz w:val="24"/>
          <w:lang w:val="en-US" w:eastAsia="zh-CN"/>
        </w:rPr>
        <w:t>m</w:t>
      </w:r>
      <w:r>
        <w:rPr>
          <w:rFonts w:hint="default" w:ascii="Times New Roman" w:hAnsi="Times New Roman" w:eastAsia="宋体" w:cs="Times New Roman"/>
          <w:color w:val="auto"/>
          <w:sz w:val="24"/>
        </w:rPr>
        <w:t>处，</w:t>
      </w:r>
      <w:r>
        <w:rPr>
          <w:rFonts w:hint="eastAsia" w:cs="Times New Roman"/>
          <w:color w:val="auto"/>
          <w:sz w:val="24"/>
          <w:lang w:val="en-US" w:eastAsia="zh-CN"/>
        </w:rPr>
        <w:t>TSP</w:t>
      </w:r>
      <w:r>
        <w:rPr>
          <w:rFonts w:hint="default" w:ascii="Times New Roman" w:hAnsi="Times New Roman" w:eastAsia="宋体" w:cs="Times New Roman"/>
          <w:color w:val="auto"/>
          <w:sz w:val="24"/>
        </w:rPr>
        <w:t>最大落地浓度</w:t>
      </w:r>
      <w:r>
        <w:rPr>
          <w:rFonts w:hint="eastAsia" w:eastAsia="宋体" w:cs="Times New Roman"/>
          <w:color w:val="auto"/>
          <w:sz w:val="24"/>
          <w:lang w:eastAsia="zh-CN"/>
        </w:rPr>
        <w:t>和占标率</w:t>
      </w:r>
      <w:r>
        <w:rPr>
          <w:rFonts w:hint="default" w:ascii="Times New Roman" w:hAnsi="Times New Roman" w:eastAsia="宋体" w:cs="Times New Roman"/>
          <w:color w:val="auto"/>
          <w:sz w:val="24"/>
        </w:rPr>
        <w:t>分别为</w:t>
      </w:r>
      <w:r>
        <w:rPr>
          <w:rFonts w:hint="default" w:ascii="Times New Roman" w:hAnsi="Times New Roman" w:eastAsia="宋体" w:cs="Times New Roman"/>
          <w:color w:val="auto"/>
          <w:sz w:val="24"/>
          <w:lang w:val="en-US" w:eastAsia="zh-CN"/>
        </w:rPr>
        <w:t>0.045646</w:t>
      </w:r>
      <w:r>
        <w:rPr>
          <w:rFonts w:hint="default" w:ascii="Times New Roman" w:hAnsi="Times New Roman" w:eastAsia="宋体" w:cs="Times New Roman"/>
          <w:color w:val="auto"/>
          <w:sz w:val="24"/>
        </w:rPr>
        <w:t>mg/m</w:t>
      </w:r>
      <w:r>
        <w:rPr>
          <w:rFonts w:hint="default" w:ascii="Times New Roman" w:hAnsi="Times New Roman" w:eastAsia="宋体" w:cs="Times New Roman"/>
          <w:color w:val="auto"/>
          <w:sz w:val="24"/>
          <w:vertAlign w:val="superscript"/>
        </w:rPr>
        <w:t>3</w:t>
      </w:r>
      <w:r>
        <w:rPr>
          <w:rFonts w:hint="eastAsia" w:eastAsia="宋体" w:cs="Times New Roman"/>
          <w:color w:val="auto"/>
          <w:sz w:val="24"/>
          <w:vertAlign w:val="baseline"/>
          <w:lang w:eastAsia="zh-CN"/>
        </w:rPr>
        <w:t>（</w:t>
      </w:r>
      <w:r>
        <w:rPr>
          <w:rFonts w:hint="eastAsia" w:eastAsia="宋体" w:cs="Times New Roman"/>
          <w:color w:val="auto"/>
          <w:sz w:val="24"/>
          <w:vertAlign w:val="baseline"/>
          <w:lang w:val="en-US" w:eastAsia="zh-CN"/>
        </w:rPr>
        <w:t>5.07%</w:t>
      </w:r>
      <w:r>
        <w:rPr>
          <w:rFonts w:hint="eastAsia" w:eastAsia="宋体" w:cs="Times New Roman"/>
          <w:color w:val="auto"/>
          <w:sz w:val="24"/>
          <w:vertAlign w:val="baseline"/>
          <w:lang w:eastAsia="zh-CN"/>
        </w:rPr>
        <w:t>）</w:t>
      </w:r>
      <w:r>
        <w:rPr>
          <w:rFonts w:hint="eastAsia" w:cs="Times New Roman"/>
          <w:color w:val="auto"/>
          <w:sz w:val="24"/>
          <w:vertAlign w:val="baseline"/>
          <w:lang w:eastAsia="zh-CN"/>
        </w:rPr>
        <w:t>，</w:t>
      </w:r>
      <w:r>
        <w:rPr>
          <w:rFonts w:hint="default" w:ascii="Times New Roman" w:hAnsi="Times New Roman" w:eastAsia="宋体" w:cs="Times New Roman"/>
          <w:color w:val="auto"/>
          <w:sz w:val="24"/>
        </w:rPr>
        <w:t>NH</w:t>
      </w:r>
      <w:r>
        <w:rPr>
          <w:rFonts w:hint="default" w:ascii="Times New Roman" w:hAnsi="Times New Roman" w:eastAsia="宋体" w:cs="Times New Roman"/>
          <w:color w:val="auto"/>
          <w:sz w:val="24"/>
          <w:vertAlign w:val="subscript"/>
        </w:rPr>
        <w:t>3</w:t>
      </w:r>
      <w:r>
        <w:rPr>
          <w:rFonts w:hint="default" w:ascii="Times New Roman" w:hAnsi="Times New Roman" w:eastAsia="宋体" w:cs="Times New Roman"/>
          <w:color w:val="auto"/>
          <w:sz w:val="24"/>
        </w:rPr>
        <w:t>最大落地浓度</w:t>
      </w:r>
      <w:r>
        <w:rPr>
          <w:rFonts w:hint="eastAsia" w:eastAsia="宋体" w:cs="Times New Roman"/>
          <w:color w:val="auto"/>
          <w:sz w:val="24"/>
          <w:lang w:eastAsia="zh-CN"/>
        </w:rPr>
        <w:t>和占标率</w:t>
      </w:r>
      <w:r>
        <w:rPr>
          <w:rFonts w:hint="default" w:ascii="Times New Roman" w:hAnsi="Times New Roman" w:eastAsia="宋体" w:cs="Times New Roman"/>
          <w:color w:val="auto"/>
          <w:sz w:val="24"/>
        </w:rPr>
        <w:t>分别为</w:t>
      </w:r>
      <w:r>
        <w:rPr>
          <w:rFonts w:hint="default" w:ascii="Times New Roman" w:hAnsi="Times New Roman" w:eastAsia="宋体" w:cs="Times New Roman"/>
          <w:color w:val="auto"/>
          <w:sz w:val="24"/>
          <w:lang w:val="en-US" w:eastAsia="zh-CN"/>
        </w:rPr>
        <w:t>0.019109</w:t>
      </w:r>
      <w:r>
        <w:rPr>
          <w:rFonts w:hint="default" w:ascii="Times New Roman" w:hAnsi="Times New Roman" w:eastAsia="宋体" w:cs="Times New Roman"/>
          <w:color w:val="auto"/>
          <w:sz w:val="24"/>
        </w:rPr>
        <w:t>mg/m</w:t>
      </w:r>
      <w:r>
        <w:rPr>
          <w:rFonts w:hint="default" w:ascii="Times New Roman" w:hAnsi="Times New Roman" w:eastAsia="宋体" w:cs="Times New Roman"/>
          <w:color w:val="auto"/>
          <w:sz w:val="24"/>
          <w:vertAlign w:val="superscript"/>
        </w:rPr>
        <w:t>3</w:t>
      </w:r>
      <w:r>
        <w:rPr>
          <w:rFonts w:hint="eastAsia" w:eastAsia="宋体" w:cs="Times New Roman"/>
          <w:color w:val="auto"/>
          <w:sz w:val="24"/>
          <w:vertAlign w:val="baseline"/>
          <w:lang w:eastAsia="zh-CN"/>
        </w:rPr>
        <w:t>（</w:t>
      </w:r>
      <w:r>
        <w:rPr>
          <w:rFonts w:hint="eastAsia" w:cs="Times New Roman"/>
          <w:color w:val="auto"/>
          <w:sz w:val="24"/>
          <w:vertAlign w:val="baseline"/>
          <w:lang w:val="en-US" w:eastAsia="zh-CN"/>
        </w:rPr>
        <w:t>9.55</w:t>
      </w:r>
      <w:r>
        <w:rPr>
          <w:rFonts w:hint="eastAsia" w:eastAsia="宋体" w:cs="Times New Roman"/>
          <w:color w:val="auto"/>
          <w:sz w:val="24"/>
          <w:vertAlign w:val="baseline"/>
          <w:lang w:val="en-US" w:eastAsia="zh-CN"/>
        </w:rPr>
        <w:t>%</w:t>
      </w:r>
      <w:r>
        <w:rPr>
          <w:rFonts w:hint="eastAsia" w:eastAsia="宋体" w:cs="Times New Roman"/>
          <w:color w:val="auto"/>
          <w:sz w:val="24"/>
          <w:vertAlign w:val="baseline"/>
          <w:lang w:eastAsia="zh-CN"/>
        </w:rPr>
        <w:t>）、</w:t>
      </w:r>
      <w:r>
        <w:rPr>
          <w:rFonts w:hint="default" w:ascii="Times New Roman" w:hAnsi="Times New Roman" w:eastAsia="宋体" w:cs="Times New Roman"/>
          <w:color w:val="auto"/>
          <w:sz w:val="24"/>
        </w:rPr>
        <w:t>H</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S最大落地浓度出现在距面源</w:t>
      </w:r>
      <w:r>
        <w:rPr>
          <w:rFonts w:hint="default" w:ascii="Times New Roman" w:hAnsi="Times New Roman" w:eastAsia="宋体" w:cs="Times New Roman"/>
          <w:color w:val="auto"/>
          <w:sz w:val="24"/>
          <w:lang w:val="en-US" w:eastAsia="zh-CN"/>
        </w:rPr>
        <w:t>堆肥间</w:t>
      </w:r>
      <w:r>
        <w:rPr>
          <w:rFonts w:hint="default" w:ascii="Times New Roman" w:hAnsi="Times New Roman" w:eastAsia="宋体" w:cs="Times New Roman"/>
          <w:color w:val="auto"/>
          <w:sz w:val="24"/>
        </w:rPr>
        <w:t>为中</w:t>
      </w:r>
      <w:r>
        <w:rPr>
          <w:rFonts w:hint="eastAsia" w:eastAsia="宋体" w:cs="Times New Roman"/>
          <w:color w:val="auto"/>
          <w:sz w:val="24"/>
          <w:lang w:eastAsia="zh-CN"/>
        </w:rPr>
        <w:t>心</w:t>
      </w:r>
      <w:r>
        <w:rPr>
          <w:rFonts w:hint="eastAsia" w:cs="Times New Roman"/>
          <w:color w:val="auto"/>
          <w:sz w:val="24"/>
          <w:lang w:val="en-US" w:eastAsia="zh-CN"/>
        </w:rPr>
        <w:t>24</w:t>
      </w:r>
      <w:r>
        <w:rPr>
          <w:rFonts w:hint="eastAsia" w:eastAsia="宋体" w:cs="Times New Roman"/>
          <w:color w:val="auto"/>
          <w:sz w:val="24"/>
          <w:lang w:val="en-US" w:eastAsia="zh-CN"/>
        </w:rPr>
        <w:t>m</w:t>
      </w:r>
      <w:r>
        <w:rPr>
          <w:rFonts w:hint="default" w:ascii="Times New Roman" w:hAnsi="Times New Roman" w:eastAsia="宋体" w:cs="Times New Roman"/>
          <w:color w:val="auto"/>
          <w:sz w:val="24"/>
        </w:rPr>
        <w:t>处，H</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S最大落地浓度分别为</w:t>
      </w:r>
      <w:r>
        <w:rPr>
          <w:rFonts w:hint="default" w:ascii="Times New Roman" w:hAnsi="Times New Roman" w:eastAsia="宋体" w:cs="Times New Roman"/>
          <w:color w:val="auto"/>
          <w:sz w:val="24"/>
          <w:lang w:val="en-US" w:eastAsia="zh-CN"/>
        </w:rPr>
        <w:t>0.000549</w:t>
      </w:r>
      <w:r>
        <w:rPr>
          <w:rFonts w:hint="default" w:ascii="Times New Roman" w:hAnsi="Times New Roman" w:eastAsia="宋体" w:cs="Times New Roman"/>
          <w:color w:val="auto"/>
          <w:sz w:val="24"/>
        </w:rPr>
        <w:t>mg/m</w:t>
      </w:r>
      <w:r>
        <w:rPr>
          <w:rFonts w:hint="default" w:ascii="Times New Roman" w:hAnsi="Times New Roman" w:eastAsia="宋体" w:cs="Times New Roman"/>
          <w:color w:val="auto"/>
          <w:sz w:val="24"/>
          <w:vertAlign w:val="superscript"/>
        </w:rPr>
        <w:t>3</w:t>
      </w:r>
      <w:r>
        <w:rPr>
          <w:rFonts w:hint="eastAsia" w:eastAsia="宋体" w:cs="Times New Roman"/>
          <w:color w:val="auto"/>
          <w:sz w:val="24"/>
          <w:vertAlign w:val="baseline"/>
          <w:lang w:eastAsia="zh-CN"/>
        </w:rPr>
        <w:t>（</w:t>
      </w:r>
      <w:r>
        <w:rPr>
          <w:rFonts w:hint="eastAsia" w:cs="Times New Roman"/>
          <w:color w:val="auto"/>
          <w:sz w:val="24"/>
          <w:vertAlign w:val="baseline"/>
          <w:lang w:val="en-US" w:eastAsia="zh-CN"/>
        </w:rPr>
        <w:t>5.49</w:t>
      </w:r>
      <w:r>
        <w:rPr>
          <w:rFonts w:hint="eastAsia" w:eastAsia="宋体" w:cs="Times New Roman"/>
          <w:color w:val="auto"/>
          <w:sz w:val="24"/>
          <w:vertAlign w:val="baseline"/>
          <w:lang w:val="en-US" w:eastAsia="zh-CN"/>
        </w:rPr>
        <w:t>%</w:t>
      </w:r>
      <w:r>
        <w:rPr>
          <w:rFonts w:hint="eastAsia" w:eastAsia="宋体" w:cs="Times New Roman"/>
          <w:color w:val="auto"/>
          <w:sz w:val="24"/>
          <w:vertAlign w:val="baseline"/>
          <w:lang w:eastAsia="zh-CN"/>
        </w:rPr>
        <w:t>）</w:t>
      </w:r>
      <w:r>
        <w:rPr>
          <w:rFonts w:hint="eastAsia" w:cs="Times New Roman"/>
          <w:color w:val="auto"/>
          <w:sz w:val="24"/>
          <w:vertAlign w:val="baseline"/>
          <w:lang w:eastAsia="zh-CN"/>
        </w:rPr>
        <w:t>；</w:t>
      </w:r>
      <w:r>
        <w:rPr>
          <w:rFonts w:hint="default" w:ascii="Times New Roman" w:hAnsi="Times New Roman" w:eastAsia="宋体" w:cs="Times New Roman"/>
          <w:color w:val="auto"/>
          <w:sz w:val="24"/>
        </w:rPr>
        <w:t>均小于周界外浓度最高点允许排放浓度，均未超过10%。经</w:t>
      </w:r>
      <w:r>
        <w:rPr>
          <w:rFonts w:hint="eastAsia" w:cs="Times New Roman"/>
          <w:color w:val="auto"/>
          <w:sz w:val="24"/>
          <w:lang w:val="en-US" w:eastAsia="zh-CN"/>
        </w:rPr>
        <w:t>估算，</w:t>
      </w:r>
      <w:r>
        <w:rPr>
          <w:rFonts w:hint="default" w:ascii="Times New Roman" w:hAnsi="Times New Roman" w:eastAsia="宋体" w:cs="Times New Roman"/>
          <w:color w:val="auto"/>
          <w:sz w:val="24"/>
        </w:rPr>
        <w:t>本项目厂界及下风向</w:t>
      </w:r>
      <w:r>
        <w:rPr>
          <w:rFonts w:hint="eastAsia" w:cs="Times New Roman"/>
          <w:color w:val="auto"/>
          <w:sz w:val="24"/>
          <w:lang w:val="en-US" w:eastAsia="zh-CN"/>
        </w:rPr>
        <w:t>TSP符合</w:t>
      </w:r>
      <w:r>
        <w:rPr>
          <w:rFonts w:hint="default" w:ascii="Times New Roman" w:hAnsi="Times New Roman" w:eastAsia="宋体" w:cs="Times New Roman"/>
          <w:sz w:val="24"/>
          <w:szCs w:val="24"/>
        </w:rPr>
        <w:t>《大气污染物综合排放标准》（GB16297</w:t>
      </w:r>
      <w:r>
        <w:rPr>
          <w:rFonts w:hint="eastAsia" w:cs="Times New Roman"/>
          <w:sz w:val="24"/>
          <w:szCs w:val="24"/>
          <w:lang w:val="en-US" w:eastAsia="zh-CN"/>
        </w:rPr>
        <w:t>-</w:t>
      </w:r>
      <w:r>
        <w:rPr>
          <w:rFonts w:hint="default" w:ascii="Times New Roman" w:hAnsi="Times New Roman" w:eastAsia="宋体" w:cs="Times New Roman"/>
          <w:sz w:val="24"/>
          <w:szCs w:val="24"/>
        </w:rPr>
        <w:t>1996）表2 新污染源大气污染物排放限值</w:t>
      </w:r>
      <w:r>
        <w:rPr>
          <w:rFonts w:hint="eastAsia" w:ascii="Times New Roman" w:hAnsi="Times New Roman" w:eastAsia="宋体" w:cs="宋体"/>
          <w:color w:val="000000"/>
          <w:sz w:val="24"/>
          <w:szCs w:val="24"/>
          <w:vertAlign w:val="baseline"/>
          <w:lang w:val="en-US" w:eastAsia="zh-CN"/>
        </w:rPr>
        <w:t>（1mg/m</w:t>
      </w:r>
      <w:r>
        <w:rPr>
          <w:rFonts w:hint="eastAsia" w:ascii="Times New Roman" w:hAnsi="Times New Roman" w:eastAsia="宋体" w:cs="宋体"/>
          <w:color w:val="000000"/>
          <w:sz w:val="24"/>
          <w:szCs w:val="24"/>
          <w:vertAlign w:val="superscript"/>
          <w:lang w:val="en-US" w:eastAsia="zh-CN"/>
        </w:rPr>
        <w:t>3</w:t>
      </w:r>
      <w:r>
        <w:rPr>
          <w:rFonts w:hint="eastAsia" w:ascii="Times New Roman" w:hAnsi="Times New Roman" w:eastAsia="宋体" w:cs="宋体"/>
          <w:color w:val="000000"/>
          <w:sz w:val="24"/>
          <w:szCs w:val="24"/>
          <w:vertAlign w:val="baseline"/>
          <w:lang w:val="en-US" w:eastAsia="zh-CN"/>
        </w:rPr>
        <w:t>）</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color w:val="auto"/>
          <w:sz w:val="24"/>
        </w:rPr>
        <w:t>恶臭因子H</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S、NH</w:t>
      </w:r>
      <w:r>
        <w:rPr>
          <w:rFonts w:hint="default" w:ascii="Times New Roman" w:hAnsi="Times New Roman" w:eastAsia="宋体" w:cs="Times New Roman"/>
          <w:color w:val="auto"/>
          <w:sz w:val="24"/>
          <w:vertAlign w:val="subscript"/>
        </w:rPr>
        <w:t>3</w:t>
      </w:r>
      <w:r>
        <w:rPr>
          <w:rFonts w:hint="default" w:ascii="Times New Roman" w:hAnsi="Times New Roman" w:eastAsia="宋体" w:cs="Times New Roman"/>
          <w:color w:val="auto"/>
          <w:sz w:val="24"/>
        </w:rPr>
        <w:t>均符合《恶臭污染物排放标准》（GB14554-93）表1中新扩改建的二级标准要求</w:t>
      </w:r>
      <w:r>
        <w:rPr>
          <w:rFonts w:hint="eastAsia" w:ascii="Times New Roman" w:hAnsi="Times New Roman" w:eastAsia="宋体" w:cs="宋体"/>
          <w:color w:val="000000"/>
          <w:sz w:val="24"/>
          <w:szCs w:val="24"/>
          <w:vertAlign w:val="baseline"/>
          <w:lang w:val="en-US" w:eastAsia="zh-CN"/>
        </w:rPr>
        <w:t>（</w:t>
      </w:r>
      <w:r>
        <w:rPr>
          <w:rFonts w:hint="default" w:ascii="Times New Roman" w:hAnsi="Times New Roman" w:eastAsia="宋体" w:cs="Times New Roman"/>
          <w:color w:val="auto"/>
          <w:sz w:val="24"/>
        </w:rPr>
        <w:t>NH</w:t>
      </w:r>
      <w:r>
        <w:rPr>
          <w:rFonts w:hint="default" w:ascii="Times New Roman" w:hAnsi="Times New Roman" w:eastAsia="宋体" w:cs="Times New Roman"/>
          <w:color w:val="auto"/>
          <w:sz w:val="24"/>
          <w:vertAlign w:val="subscript"/>
        </w:rPr>
        <w:t>3</w:t>
      </w:r>
      <w:r>
        <w:rPr>
          <w:rFonts w:hint="eastAsia" w:ascii="Times New Roman" w:hAnsi="Times New Roman" w:eastAsia="宋体" w:cs="宋体"/>
          <w:color w:val="000000"/>
          <w:sz w:val="24"/>
          <w:szCs w:val="24"/>
          <w:vertAlign w:val="baseline"/>
          <w:lang w:val="en-US" w:eastAsia="zh-CN"/>
        </w:rPr>
        <w:t>1.5mg/m</w:t>
      </w:r>
      <w:r>
        <w:rPr>
          <w:rFonts w:hint="eastAsia" w:ascii="Times New Roman" w:hAnsi="Times New Roman" w:eastAsia="宋体" w:cs="宋体"/>
          <w:color w:val="000000"/>
          <w:sz w:val="24"/>
          <w:szCs w:val="24"/>
          <w:vertAlign w:val="superscript"/>
          <w:lang w:val="en-US" w:eastAsia="zh-CN"/>
        </w:rPr>
        <w:t>3</w:t>
      </w:r>
      <w:r>
        <w:rPr>
          <w:rFonts w:hint="eastAsia" w:ascii="Times New Roman" w:hAnsi="Times New Roman" w:eastAsia="宋体" w:cs="宋体"/>
          <w:color w:val="000000"/>
          <w:sz w:val="24"/>
          <w:szCs w:val="24"/>
          <w:vertAlign w:val="baseline"/>
          <w:lang w:val="en-US" w:eastAsia="zh-CN"/>
        </w:rPr>
        <w:t>；</w:t>
      </w:r>
      <w:r>
        <w:rPr>
          <w:rFonts w:hint="default" w:ascii="Times New Roman" w:hAnsi="Times New Roman" w:eastAsia="宋体" w:cs="Times New Roman"/>
          <w:color w:val="auto"/>
          <w:sz w:val="24"/>
        </w:rPr>
        <w:t>H</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S</w:t>
      </w:r>
      <w:r>
        <w:rPr>
          <w:rFonts w:hint="eastAsia" w:ascii="Times New Roman" w:hAnsi="Times New Roman" w:eastAsia="宋体" w:cs="宋体"/>
          <w:color w:val="000000"/>
          <w:sz w:val="24"/>
          <w:szCs w:val="24"/>
          <w:vertAlign w:val="baseline"/>
          <w:lang w:val="en-US" w:eastAsia="zh-CN"/>
        </w:rPr>
        <w:t>0.06mg/m</w:t>
      </w:r>
      <w:r>
        <w:rPr>
          <w:rFonts w:hint="eastAsia" w:ascii="Times New Roman" w:hAnsi="Times New Roman" w:eastAsia="宋体" w:cs="宋体"/>
          <w:color w:val="000000"/>
          <w:sz w:val="24"/>
          <w:szCs w:val="24"/>
          <w:vertAlign w:val="superscript"/>
          <w:lang w:val="en-US" w:eastAsia="zh-CN"/>
        </w:rPr>
        <w:t>3</w:t>
      </w:r>
      <w:r>
        <w:rPr>
          <w:rFonts w:hint="eastAsia" w:ascii="Times New Roman" w:hAnsi="Times New Roman" w:eastAsia="宋体" w:cs="宋体"/>
          <w:color w:val="000000"/>
          <w:sz w:val="24"/>
          <w:szCs w:val="24"/>
          <w:vertAlign w:val="baseline"/>
          <w:lang w:val="en-US" w:eastAsia="zh-CN"/>
        </w:rPr>
        <w:t>）</w:t>
      </w:r>
      <w:r>
        <w:rPr>
          <w:rFonts w:hint="default" w:ascii="Times New Roman" w:hAnsi="Times New Roman" w:eastAsia="宋体" w:cs="Times New Roman"/>
          <w:color w:val="auto"/>
          <w:sz w:val="24"/>
        </w:rPr>
        <w:t>，无超标现象。</w:t>
      </w:r>
    </w:p>
    <w:p w14:paraId="3F6D7E96">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 xml:space="preserve"> </w:t>
      </w: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14非正常工况下有组织废气污染物</w:t>
      </w:r>
      <w:r>
        <w:rPr>
          <w:rFonts w:hint="default" w:ascii="Times New Roman" w:hAnsi="Times New Roman" w:eastAsia="宋体" w:cs="Times New Roman"/>
          <w:b/>
          <w:kern w:val="0"/>
          <w:sz w:val="24"/>
          <w:szCs w:val="24"/>
          <w:lang w:val="en-US" w:eastAsia="zh-CN" w:bidi="ar-SA"/>
        </w:rPr>
        <w:t>最大占标率及最大落地浓度表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07"/>
        <w:gridCol w:w="899"/>
        <w:gridCol w:w="899"/>
        <w:gridCol w:w="1"/>
        <w:gridCol w:w="898"/>
        <w:gridCol w:w="899"/>
        <w:gridCol w:w="899"/>
        <w:gridCol w:w="899"/>
        <w:gridCol w:w="3"/>
        <w:gridCol w:w="896"/>
        <w:gridCol w:w="904"/>
      </w:tblGrid>
      <w:tr w14:paraId="3BE6B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vMerge w:val="restart"/>
            <w:noWrap w:val="0"/>
            <w:vAlign w:val="center"/>
          </w:tcPr>
          <w:p w14:paraId="4206F1C6">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下风向距离/m</w:t>
            </w:r>
          </w:p>
        </w:tc>
        <w:tc>
          <w:tcPr>
            <w:tcW w:w="7197" w:type="dxa"/>
            <w:gridSpan w:val="10"/>
            <w:noWrap w:val="0"/>
            <w:vAlign w:val="center"/>
          </w:tcPr>
          <w:p w14:paraId="6185C451">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cs="Times New Roman"/>
                <w:b/>
                <w:bCs w:val="0"/>
                <w:kern w:val="0"/>
                <w:sz w:val="21"/>
                <w:szCs w:val="21"/>
                <w:lang w:val="en-US" w:eastAsia="zh-CN" w:bidi="en-US"/>
              </w:rPr>
            </w:pPr>
            <w:r>
              <w:rPr>
                <w:rFonts w:hint="default" w:cs="Times New Roman"/>
                <w:b/>
                <w:bCs w:val="0"/>
                <w:kern w:val="0"/>
                <w:sz w:val="21"/>
                <w:szCs w:val="21"/>
                <w:lang w:val="en-US" w:eastAsia="zh-CN" w:bidi="en-US"/>
              </w:rPr>
              <w:t>DA001（</w:t>
            </w:r>
            <w:r>
              <w:rPr>
                <w:rFonts w:hint="eastAsia" w:cs="Times New Roman"/>
                <w:b/>
                <w:bCs w:val="0"/>
                <w:kern w:val="0"/>
                <w:sz w:val="21"/>
                <w:szCs w:val="21"/>
                <w:lang w:val="en-US" w:eastAsia="zh-CN" w:bidi="en-US"/>
              </w:rPr>
              <w:t>堆肥间</w:t>
            </w:r>
            <w:r>
              <w:rPr>
                <w:rFonts w:hint="default" w:cs="Times New Roman"/>
                <w:b/>
                <w:bCs w:val="0"/>
                <w:kern w:val="0"/>
                <w:sz w:val="21"/>
                <w:szCs w:val="21"/>
                <w:lang w:val="en-US" w:eastAsia="zh-CN" w:bidi="en-US"/>
              </w:rPr>
              <w:t>排放口）</w:t>
            </w:r>
          </w:p>
        </w:tc>
      </w:tr>
      <w:tr w14:paraId="0F59E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vMerge w:val="continue"/>
            <w:noWrap w:val="0"/>
            <w:vAlign w:val="center"/>
          </w:tcPr>
          <w:p w14:paraId="38CE3725">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p>
        </w:tc>
        <w:tc>
          <w:tcPr>
            <w:tcW w:w="1799" w:type="dxa"/>
            <w:gridSpan w:val="3"/>
            <w:noWrap w:val="0"/>
            <w:vAlign w:val="center"/>
          </w:tcPr>
          <w:p w14:paraId="5AE2D7FC">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10</w:t>
            </w:r>
          </w:p>
        </w:tc>
        <w:tc>
          <w:tcPr>
            <w:tcW w:w="1797" w:type="dxa"/>
            <w:gridSpan w:val="2"/>
            <w:noWrap w:val="0"/>
            <w:vAlign w:val="center"/>
          </w:tcPr>
          <w:p w14:paraId="5A48C492">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2.5</w:t>
            </w:r>
          </w:p>
        </w:tc>
        <w:tc>
          <w:tcPr>
            <w:tcW w:w="1801" w:type="dxa"/>
            <w:gridSpan w:val="3"/>
            <w:noWrap w:val="0"/>
            <w:vAlign w:val="center"/>
          </w:tcPr>
          <w:p w14:paraId="155791B5">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eastAsia"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NH</w:t>
            </w:r>
            <w:r>
              <w:rPr>
                <w:rFonts w:hint="default" w:ascii="Times New Roman" w:hAnsi="Times New Roman" w:eastAsia="宋体" w:cs="Times New Roman"/>
                <w:b/>
                <w:bCs w:val="0"/>
                <w:kern w:val="0"/>
                <w:sz w:val="21"/>
                <w:szCs w:val="21"/>
                <w:vertAlign w:val="subscript"/>
                <w:lang w:val="en-US" w:eastAsia="en-US" w:bidi="en-US"/>
              </w:rPr>
              <w:t>3</w:t>
            </w:r>
          </w:p>
        </w:tc>
        <w:tc>
          <w:tcPr>
            <w:tcW w:w="1800" w:type="dxa"/>
            <w:gridSpan w:val="2"/>
            <w:noWrap w:val="0"/>
            <w:vAlign w:val="center"/>
          </w:tcPr>
          <w:p w14:paraId="3CCA01B5">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eastAsia"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H</w:t>
            </w:r>
            <w:r>
              <w:rPr>
                <w:rFonts w:hint="default" w:ascii="Times New Roman" w:hAnsi="Times New Roman" w:eastAsia="宋体" w:cs="Times New Roman"/>
                <w:b/>
                <w:bCs w:val="0"/>
                <w:kern w:val="0"/>
                <w:sz w:val="21"/>
                <w:szCs w:val="21"/>
                <w:vertAlign w:val="subscript"/>
                <w:lang w:val="en-US" w:eastAsia="zh-CN" w:bidi="en-US"/>
              </w:rPr>
              <w:t>2</w:t>
            </w:r>
            <w:r>
              <w:rPr>
                <w:rFonts w:hint="default" w:ascii="Times New Roman" w:hAnsi="Times New Roman" w:eastAsia="宋体" w:cs="Times New Roman"/>
                <w:b/>
                <w:bCs w:val="0"/>
                <w:kern w:val="0"/>
                <w:sz w:val="21"/>
                <w:szCs w:val="21"/>
                <w:lang w:val="en-US" w:eastAsia="zh-CN" w:bidi="en-US"/>
              </w:rPr>
              <w:t>S</w:t>
            </w:r>
          </w:p>
        </w:tc>
      </w:tr>
      <w:tr w14:paraId="42EE88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vMerge w:val="continue"/>
            <w:noWrap w:val="0"/>
            <w:vAlign w:val="center"/>
          </w:tcPr>
          <w:p w14:paraId="3B232983">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p>
        </w:tc>
        <w:tc>
          <w:tcPr>
            <w:tcW w:w="899" w:type="dxa"/>
            <w:noWrap w:val="0"/>
            <w:vAlign w:val="center"/>
          </w:tcPr>
          <w:p w14:paraId="679AFDD1">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899" w:type="dxa"/>
            <w:noWrap w:val="0"/>
            <w:vAlign w:val="center"/>
          </w:tcPr>
          <w:p w14:paraId="7368A4A5">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899" w:type="dxa"/>
            <w:gridSpan w:val="2"/>
            <w:noWrap w:val="0"/>
            <w:vAlign w:val="center"/>
          </w:tcPr>
          <w:p w14:paraId="136CF554">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899" w:type="dxa"/>
            <w:noWrap w:val="0"/>
            <w:vAlign w:val="center"/>
          </w:tcPr>
          <w:p w14:paraId="228D6F19">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899" w:type="dxa"/>
            <w:noWrap w:val="0"/>
            <w:vAlign w:val="center"/>
          </w:tcPr>
          <w:p w14:paraId="290EE42D">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899" w:type="dxa"/>
            <w:noWrap w:val="0"/>
            <w:vAlign w:val="center"/>
          </w:tcPr>
          <w:p w14:paraId="7715F53B">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c>
          <w:tcPr>
            <w:tcW w:w="899" w:type="dxa"/>
            <w:gridSpan w:val="2"/>
            <w:noWrap w:val="0"/>
            <w:vAlign w:val="center"/>
          </w:tcPr>
          <w:p w14:paraId="75014415">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904" w:type="dxa"/>
            <w:noWrap w:val="0"/>
            <w:vAlign w:val="center"/>
          </w:tcPr>
          <w:p w14:paraId="57611752">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r>
      <w:tr w14:paraId="7B92D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172784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899" w:type="dxa"/>
            <w:noWrap w:val="0"/>
            <w:vAlign w:val="center"/>
          </w:tcPr>
          <w:p w14:paraId="07C164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0.000817</w:t>
            </w:r>
          </w:p>
        </w:tc>
        <w:tc>
          <w:tcPr>
            <w:tcW w:w="899" w:type="dxa"/>
            <w:noWrap w:val="0"/>
            <w:vAlign w:val="center"/>
          </w:tcPr>
          <w:p w14:paraId="0CF2F4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0.23</w:t>
            </w:r>
          </w:p>
        </w:tc>
        <w:tc>
          <w:tcPr>
            <w:tcW w:w="899" w:type="dxa"/>
            <w:gridSpan w:val="2"/>
            <w:noWrap w:val="0"/>
            <w:vAlign w:val="center"/>
          </w:tcPr>
          <w:p w14:paraId="5397A49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0.000408</w:t>
            </w:r>
          </w:p>
        </w:tc>
        <w:tc>
          <w:tcPr>
            <w:tcW w:w="899" w:type="dxa"/>
            <w:noWrap w:val="0"/>
            <w:vAlign w:val="center"/>
          </w:tcPr>
          <w:p w14:paraId="3388C6B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0.23</w:t>
            </w:r>
          </w:p>
        </w:tc>
        <w:tc>
          <w:tcPr>
            <w:tcW w:w="899" w:type="dxa"/>
            <w:noWrap w:val="0"/>
            <w:vAlign w:val="center"/>
          </w:tcPr>
          <w:p w14:paraId="3BFD08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0.000162</w:t>
            </w:r>
          </w:p>
        </w:tc>
        <w:tc>
          <w:tcPr>
            <w:tcW w:w="899" w:type="dxa"/>
            <w:noWrap w:val="0"/>
            <w:vAlign w:val="center"/>
          </w:tcPr>
          <w:p w14:paraId="419D78C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0.08</w:t>
            </w:r>
          </w:p>
        </w:tc>
        <w:tc>
          <w:tcPr>
            <w:tcW w:w="899" w:type="dxa"/>
            <w:gridSpan w:val="2"/>
            <w:noWrap w:val="0"/>
            <w:vAlign w:val="center"/>
          </w:tcPr>
          <w:p w14:paraId="2A6A980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0.000013</w:t>
            </w:r>
          </w:p>
        </w:tc>
        <w:tc>
          <w:tcPr>
            <w:tcW w:w="904" w:type="dxa"/>
            <w:noWrap w:val="0"/>
            <w:vAlign w:val="center"/>
          </w:tcPr>
          <w:p w14:paraId="57EB7B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0.13</w:t>
            </w:r>
          </w:p>
        </w:tc>
      </w:tr>
      <w:tr w14:paraId="23BB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170CF9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899" w:type="dxa"/>
            <w:noWrap w:val="0"/>
            <w:vAlign w:val="center"/>
          </w:tcPr>
          <w:p w14:paraId="3D03F4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0.009045</w:t>
            </w:r>
          </w:p>
        </w:tc>
        <w:tc>
          <w:tcPr>
            <w:tcW w:w="899" w:type="dxa"/>
            <w:noWrap w:val="0"/>
            <w:vAlign w:val="center"/>
          </w:tcPr>
          <w:p w14:paraId="0A530F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2.51</w:t>
            </w:r>
          </w:p>
        </w:tc>
        <w:tc>
          <w:tcPr>
            <w:tcW w:w="899" w:type="dxa"/>
            <w:gridSpan w:val="2"/>
            <w:noWrap w:val="0"/>
            <w:vAlign w:val="center"/>
          </w:tcPr>
          <w:p w14:paraId="0B42D44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0.00452</w:t>
            </w:r>
          </w:p>
        </w:tc>
        <w:tc>
          <w:tcPr>
            <w:tcW w:w="899" w:type="dxa"/>
            <w:noWrap w:val="0"/>
            <w:vAlign w:val="center"/>
          </w:tcPr>
          <w:p w14:paraId="6A848B1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2.51</w:t>
            </w:r>
          </w:p>
        </w:tc>
        <w:tc>
          <w:tcPr>
            <w:tcW w:w="899" w:type="dxa"/>
            <w:noWrap w:val="0"/>
            <w:vAlign w:val="center"/>
          </w:tcPr>
          <w:p w14:paraId="4A0D0E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0.001792</w:t>
            </w:r>
          </w:p>
        </w:tc>
        <w:tc>
          <w:tcPr>
            <w:tcW w:w="899" w:type="dxa"/>
            <w:noWrap w:val="0"/>
            <w:vAlign w:val="center"/>
          </w:tcPr>
          <w:p w14:paraId="0B8EB72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w:t>
            </w:r>
          </w:p>
        </w:tc>
        <w:tc>
          <w:tcPr>
            <w:tcW w:w="899" w:type="dxa"/>
            <w:gridSpan w:val="2"/>
            <w:noWrap w:val="0"/>
            <w:vAlign w:val="center"/>
          </w:tcPr>
          <w:p w14:paraId="3B5451F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0.00014</w:t>
            </w:r>
          </w:p>
        </w:tc>
        <w:tc>
          <w:tcPr>
            <w:tcW w:w="904" w:type="dxa"/>
            <w:noWrap w:val="0"/>
            <w:vAlign w:val="center"/>
          </w:tcPr>
          <w:p w14:paraId="6EE1049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w:t>
            </w:r>
          </w:p>
        </w:tc>
      </w:tr>
      <w:tr w14:paraId="2C2AF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2515B9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899" w:type="dxa"/>
            <w:noWrap w:val="0"/>
            <w:vAlign w:val="center"/>
          </w:tcPr>
          <w:p w14:paraId="13106B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0.006746</w:t>
            </w:r>
          </w:p>
        </w:tc>
        <w:tc>
          <w:tcPr>
            <w:tcW w:w="899" w:type="dxa"/>
            <w:noWrap w:val="0"/>
            <w:vAlign w:val="center"/>
          </w:tcPr>
          <w:p w14:paraId="4B8941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1.87</w:t>
            </w:r>
          </w:p>
        </w:tc>
        <w:tc>
          <w:tcPr>
            <w:tcW w:w="899" w:type="dxa"/>
            <w:gridSpan w:val="2"/>
            <w:noWrap w:val="0"/>
            <w:vAlign w:val="center"/>
          </w:tcPr>
          <w:p w14:paraId="5995C2C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0.003371</w:t>
            </w:r>
          </w:p>
        </w:tc>
        <w:tc>
          <w:tcPr>
            <w:tcW w:w="899" w:type="dxa"/>
            <w:noWrap w:val="0"/>
            <w:vAlign w:val="center"/>
          </w:tcPr>
          <w:p w14:paraId="08F1D3A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1.87</w:t>
            </w:r>
          </w:p>
        </w:tc>
        <w:tc>
          <w:tcPr>
            <w:tcW w:w="899" w:type="dxa"/>
            <w:noWrap w:val="0"/>
            <w:vAlign w:val="center"/>
          </w:tcPr>
          <w:p w14:paraId="37F79AA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0.001337</w:t>
            </w:r>
          </w:p>
        </w:tc>
        <w:tc>
          <w:tcPr>
            <w:tcW w:w="899" w:type="dxa"/>
            <w:noWrap w:val="0"/>
            <w:vAlign w:val="center"/>
          </w:tcPr>
          <w:p w14:paraId="02BC53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0.67</w:t>
            </w:r>
          </w:p>
        </w:tc>
        <w:tc>
          <w:tcPr>
            <w:tcW w:w="899" w:type="dxa"/>
            <w:gridSpan w:val="2"/>
            <w:noWrap w:val="0"/>
            <w:vAlign w:val="center"/>
          </w:tcPr>
          <w:p w14:paraId="4569DEB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0.000105</w:t>
            </w:r>
          </w:p>
        </w:tc>
        <w:tc>
          <w:tcPr>
            <w:tcW w:w="904" w:type="dxa"/>
            <w:noWrap w:val="0"/>
            <w:vAlign w:val="center"/>
          </w:tcPr>
          <w:p w14:paraId="7DAF7F6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1.05</w:t>
            </w:r>
          </w:p>
        </w:tc>
      </w:tr>
      <w:tr w14:paraId="2F790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33A611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899" w:type="dxa"/>
            <w:noWrap w:val="0"/>
            <w:vAlign w:val="center"/>
          </w:tcPr>
          <w:p w14:paraId="46D902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0.006733</w:t>
            </w:r>
          </w:p>
        </w:tc>
        <w:tc>
          <w:tcPr>
            <w:tcW w:w="899" w:type="dxa"/>
            <w:noWrap w:val="0"/>
            <w:vAlign w:val="center"/>
          </w:tcPr>
          <w:p w14:paraId="5E13EE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1.87</w:t>
            </w:r>
          </w:p>
        </w:tc>
        <w:tc>
          <w:tcPr>
            <w:tcW w:w="899" w:type="dxa"/>
            <w:gridSpan w:val="2"/>
            <w:noWrap w:val="0"/>
            <w:vAlign w:val="center"/>
          </w:tcPr>
          <w:p w14:paraId="3110B0B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0.003364</w:t>
            </w:r>
          </w:p>
        </w:tc>
        <w:tc>
          <w:tcPr>
            <w:tcW w:w="899" w:type="dxa"/>
            <w:noWrap w:val="0"/>
            <w:vAlign w:val="center"/>
          </w:tcPr>
          <w:p w14:paraId="6F2144B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1.87</w:t>
            </w:r>
          </w:p>
        </w:tc>
        <w:tc>
          <w:tcPr>
            <w:tcW w:w="899" w:type="dxa"/>
            <w:noWrap w:val="0"/>
            <w:vAlign w:val="center"/>
          </w:tcPr>
          <w:p w14:paraId="1DE7F4A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0.001334</w:t>
            </w:r>
          </w:p>
        </w:tc>
        <w:tc>
          <w:tcPr>
            <w:tcW w:w="899" w:type="dxa"/>
            <w:noWrap w:val="0"/>
            <w:vAlign w:val="center"/>
          </w:tcPr>
          <w:p w14:paraId="779AE1C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0.67</w:t>
            </w:r>
          </w:p>
        </w:tc>
        <w:tc>
          <w:tcPr>
            <w:tcW w:w="899" w:type="dxa"/>
            <w:gridSpan w:val="2"/>
            <w:noWrap w:val="0"/>
            <w:vAlign w:val="center"/>
          </w:tcPr>
          <w:p w14:paraId="6394A4B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0.000104</w:t>
            </w:r>
          </w:p>
        </w:tc>
        <w:tc>
          <w:tcPr>
            <w:tcW w:w="904" w:type="dxa"/>
            <w:noWrap w:val="0"/>
            <w:vAlign w:val="center"/>
          </w:tcPr>
          <w:p w14:paraId="718E041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1.04</w:t>
            </w:r>
          </w:p>
        </w:tc>
      </w:tr>
      <w:tr w14:paraId="28B23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188FB5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899" w:type="dxa"/>
            <w:noWrap w:val="0"/>
            <w:vAlign w:val="center"/>
          </w:tcPr>
          <w:p w14:paraId="547808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0.013736</w:t>
            </w:r>
          </w:p>
        </w:tc>
        <w:tc>
          <w:tcPr>
            <w:tcW w:w="899" w:type="dxa"/>
            <w:noWrap w:val="0"/>
            <w:vAlign w:val="center"/>
          </w:tcPr>
          <w:p w14:paraId="0387A2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3.82</w:t>
            </w:r>
          </w:p>
        </w:tc>
        <w:tc>
          <w:tcPr>
            <w:tcW w:w="899" w:type="dxa"/>
            <w:gridSpan w:val="2"/>
            <w:noWrap w:val="0"/>
            <w:vAlign w:val="center"/>
          </w:tcPr>
          <w:p w14:paraId="38D246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0.006864</w:t>
            </w:r>
          </w:p>
        </w:tc>
        <w:tc>
          <w:tcPr>
            <w:tcW w:w="899" w:type="dxa"/>
            <w:noWrap w:val="0"/>
            <w:vAlign w:val="center"/>
          </w:tcPr>
          <w:p w14:paraId="5A57E88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3.81</w:t>
            </w:r>
          </w:p>
        </w:tc>
        <w:tc>
          <w:tcPr>
            <w:tcW w:w="899" w:type="dxa"/>
            <w:noWrap w:val="0"/>
            <w:vAlign w:val="center"/>
          </w:tcPr>
          <w:p w14:paraId="673E06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0.002721</w:t>
            </w:r>
          </w:p>
        </w:tc>
        <w:tc>
          <w:tcPr>
            <w:tcW w:w="899" w:type="dxa"/>
            <w:noWrap w:val="0"/>
            <w:vAlign w:val="center"/>
          </w:tcPr>
          <w:p w14:paraId="42C876C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1.36</w:t>
            </w:r>
          </w:p>
        </w:tc>
        <w:tc>
          <w:tcPr>
            <w:tcW w:w="899" w:type="dxa"/>
            <w:gridSpan w:val="2"/>
            <w:noWrap w:val="0"/>
            <w:vAlign w:val="center"/>
          </w:tcPr>
          <w:p w14:paraId="70543D4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0.000213</w:t>
            </w:r>
          </w:p>
        </w:tc>
        <w:tc>
          <w:tcPr>
            <w:tcW w:w="904" w:type="dxa"/>
            <w:noWrap w:val="0"/>
            <w:vAlign w:val="center"/>
          </w:tcPr>
          <w:p w14:paraId="166A0E4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2.13</w:t>
            </w:r>
          </w:p>
        </w:tc>
      </w:tr>
      <w:tr w14:paraId="6B42D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0A81FE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168</w:t>
            </w:r>
          </w:p>
        </w:tc>
        <w:tc>
          <w:tcPr>
            <w:tcW w:w="899" w:type="dxa"/>
            <w:noWrap w:val="0"/>
            <w:vAlign w:val="center"/>
          </w:tcPr>
          <w:p w14:paraId="271048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0.018862</w:t>
            </w:r>
          </w:p>
        </w:tc>
        <w:tc>
          <w:tcPr>
            <w:tcW w:w="899" w:type="dxa"/>
            <w:noWrap w:val="0"/>
            <w:vAlign w:val="center"/>
          </w:tcPr>
          <w:p w14:paraId="04FC8A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5.24</w:t>
            </w:r>
          </w:p>
        </w:tc>
        <w:tc>
          <w:tcPr>
            <w:tcW w:w="899" w:type="dxa"/>
            <w:gridSpan w:val="2"/>
            <w:noWrap w:val="0"/>
            <w:vAlign w:val="center"/>
          </w:tcPr>
          <w:p w14:paraId="7AB14F6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0.009426</w:t>
            </w:r>
          </w:p>
        </w:tc>
        <w:tc>
          <w:tcPr>
            <w:tcW w:w="899" w:type="dxa"/>
            <w:noWrap w:val="0"/>
            <w:vAlign w:val="center"/>
          </w:tcPr>
          <w:p w14:paraId="48C30C7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5.24</w:t>
            </w:r>
          </w:p>
        </w:tc>
        <w:tc>
          <w:tcPr>
            <w:tcW w:w="899" w:type="dxa"/>
            <w:noWrap w:val="0"/>
            <w:vAlign w:val="center"/>
          </w:tcPr>
          <w:p w14:paraId="3070687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0.003737</w:t>
            </w:r>
          </w:p>
        </w:tc>
        <w:tc>
          <w:tcPr>
            <w:tcW w:w="899" w:type="dxa"/>
            <w:noWrap w:val="0"/>
            <w:vAlign w:val="center"/>
          </w:tcPr>
          <w:p w14:paraId="7621A59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1.87</w:t>
            </w:r>
          </w:p>
        </w:tc>
        <w:tc>
          <w:tcPr>
            <w:tcW w:w="899" w:type="dxa"/>
            <w:gridSpan w:val="2"/>
            <w:noWrap w:val="0"/>
            <w:vAlign w:val="center"/>
          </w:tcPr>
          <w:p w14:paraId="3C13146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0.000292</w:t>
            </w:r>
          </w:p>
        </w:tc>
        <w:tc>
          <w:tcPr>
            <w:tcW w:w="904" w:type="dxa"/>
            <w:noWrap w:val="0"/>
            <w:vAlign w:val="center"/>
          </w:tcPr>
          <w:p w14:paraId="08D41FC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2.92</w:t>
            </w:r>
          </w:p>
        </w:tc>
      </w:tr>
      <w:tr w14:paraId="44E11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464FB2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899" w:type="dxa"/>
            <w:noWrap w:val="0"/>
            <w:vAlign w:val="center"/>
          </w:tcPr>
          <w:p w14:paraId="408171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0.018243</w:t>
            </w:r>
          </w:p>
        </w:tc>
        <w:tc>
          <w:tcPr>
            <w:tcW w:w="899" w:type="dxa"/>
            <w:noWrap w:val="0"/>
            <w:vAlign w:val="center"/>
          </w:tcPr>
          <w:p w14:paraId="64C7D6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5.07</w:t>
            </w:r>
          </w:p>
        </w:tc>
        <w:tc>
          <w:tcPr>
            <w:tcW w:w="899" w:type="dxa"/>
            <w:gridSpan w:val="2"/>
            <w:noWrap w:val="0"/>
            <w:vAlign w:val="center"/>
          </w:tcPr>
          <w:p w14:paraId="3FD9F88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0.009116</w:t>
            </w:r>
          </w:p>
        </w:tc>
        <w:tc>
          <w:tcPr>
            <w:tcW w:w="899" w:type="dxa"/>
            <w:noWrap w:val="0"/>
            <w:vAlign w:val="center"/>
          </w:tcPr>
          <w:p w14:paraId="74A2A6C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5.06</w:t>
            </w:r>
          </w:p>
        </w:tc>
        <w:tc>
          <w:tcPr>
            <w:tcW w:w="899" w:type="dxa"/>
            <w:noWrap w:val="0"/>
            <w:vAlign w:val="center"/>
          </w:tcPr>
          <w:p w14:paraId="559C21B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0.003614</w:t>
            </w:r>
          </w:p>
        </w:tc>
        <w:tc>
          <w:tcPr>
            <w:tcW w:w="899" w:type="dxa"/>
            <w:noWrap w:val="0"/>
            <w:vAlign w:val="center"/>
          </w:tcPr>
          <w:p w14:paraId="2A86235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1.81</w:t>
            </w:r>
          </w:p>
        </w:tc>
        <w:tc>
          <w:tcPr>
            <w:tcW w:w="899" w:type="dxa"/>
            <w:gridSpan w:val="2"/>
            <w:noWrap w:val="0"/>
            <w:vAlign w:val="center"/>
          </w:tcPr>
          <w:p w14:paraId="4D7FD98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0.000283</w:t>
            </w:r>
          </w:p>
        </w:tc>
        <w:tc>
          <w:tcPr>
            <w:tcW w:w="904" w:type="dxa"/>
            <w:noWrap w:val="0"/>
            <w:vAlign w:val="center"/>
          </w:tcPr>
          <w:p w14:paraId="379156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2.83</w:t>
            </w:r>
          </w:p>
        </w:tc>
      </w:tr>
      <w:tr w14:paraId="46B9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1D9348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899" w:type="dxa"/>
            <w:noWrap w:val="0"/>
            <w:vAlign w:val="center"/>
          </w:tcPr>
          <w:p w14:paraId="3E1CD5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0.01405</w:t>
            </w:r>
          </w:p>
        </w:tc>
        <w:tc>
          <w:tcPr>
            <w:tcW w:w="899" w:type="dxa"/>
            <w:noWrap w:val="0"/>
            <w:vAlign w:val="center"/>
          </w:tcPr>
          <w:p w14:paraId="661423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3.9</w:t>
            </w:r>
          </w:p>
        </w:tc>
        <w:tc>
          <w:tcPr>
            <w:tcW w:w="899" w:type="dxa"/>
            <w:gridSpan w:val="2"/>
            <w:noWrap w:val="0"/>
            <w:vAlign w:val="center"/>
          </w:tcPr>
          <w:p w14:paraId="3151E04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0.007021</w:t>
            </w:r>
          </w:p>
        </w:tc>
        <w:tc>
          <w:tcPr>
            <w:tcW w:w="899" w:type="dxa"/>
            <w:noWrap w:val="0"/>
            <w:vAlign w:val="center"/>
          </w:tcPr>
          <w:p w14:paraId="677F2DB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3.9</w:t>
            </w:r>
          </w:p>
        </w:tc>
        <w:tc>
          <w:tcPr>
            <w:tcW w:w="899" w:type="dxa"/>
            <w:noWrap w:val="0"/>
            <w:vAlign w:val="center"/>
          </w:tcPr>
          <w:p w14:paraId="78653A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0.002784</w:t>
            </w:r>
          </w:p>
        </w:tc>
        <w:tc>
          <w:tcPr>
            <w:tcW w:w="899" w:type="dxa"/>
            <w:noWrap w:val="0"/>
            <w:vAlign w:val="center"/>
          </w:tcPr>
          <w:p w14:paraId="3AE527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1.39</w:t>
            </w:r>
          </w:p>
        </w:tc>
        <w:tc>
          <w:tcPr>
            <w:tcW w:w="899" w:type="dxa"/>
            <w:gridSpan w:val="2"/>
            <w:noWrap w:val="0"/>
            <w:vAlign w:val="center"/>
          </w:tcPr>
          <w:p w14:paraId="5AD8165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0.000218</w:t>
            </w:r>
          </w:p>
        </w:tc>
        <w:tc>
          <w:tcPr>
            <w:tcW w:w="904" w:type="dxa"/>
            <w:noWrap w:val="0"/>
            <w:vAlign w:val="center"/>
          </w:tcPr>
          <w:p w14:paraId="7A45E4E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2.18</w:t>
            </w:r>
          </w:p>
        </w:tc>
      </w:tr>
      <w:tr w14:paraId="5A931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7AF57E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899" w:type="dxa"/>
            <w:noWrap w:val="0"/>
            <w:vAlign w:val="center"/>
          </w:tcPr>
          <w:p w14:paraId="27398C2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0.008466</w:t>
            </w:r>
          </w:p>
        </w:tc>
        <w:tc>
          <w:tcPr>
            <w:tcW w:w="899" w:type="dxa"/>
            <w:noWrap w:val="0"/>
            <w:vAlign w:val="center"/>
          </w:tcPr>
          <w:p w14:paraId="38ABE2B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2.35</w:t>
            </w:r>
          </w:p>
        </w:tc>
        <w:tc>
          <w:tcPr>
            <w:tcW w:w="899" w:type="dxa"/>
            <w:gridSpan w:val="2"/>
            <w:noWrap w:val="0"/>
            <w:vAlign w:val="center"/>
          </w:tcPr>
          <w:p w14:paraId="18E5FE7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0.004231</w:t>
            </w:r>
          </w:p>
        </w:tc>
        <w:tc>
          <w:tcPr>
            <w:tcW w:w="899" w:type="dxa"/>
            <w:noWrap w:val="0"/>
            <w:vAlign w:val="center"/>
          </w:tcPr>
          <w:p w14:paraId="1E009C8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2.35</w:t>
            </w:r>
          </w:p>
        </w:tc>
        <w:tc>
          <w:tcPr>
            <w:tcW w:w="899" w:type="dxa"/>
            <w:noWrap w:val="0"/>
            <w:vAlign w:val="center"/>
          </w:tcPr>
          <w:p w14:paraId="2173439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0.001677</w:t>
            </w:r>
          </w:p>
        </w:tc>
        <w:tc>
          <w:tcPr>
            <w:tcW w:w="899" w:type="dxa"/>
            <w:noWrap w:val="0"/>
            <w:vAlign w:val="center"/>
          </w:tcPr>
          <w:p w14:paraId="30E4B32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0.84</w:t>
            </w:r>
          </w:p>
        </w:tc>
        <w:tc>
          <w:tcPr>
            <w:tcW w:w="899" w:type="dxa"/>
            <w:gridSpan w:val="2"/>
            <w:noWrap w:val="0"/>
            <w:vAlign w:val="center"/>
          </w:tcPr>
          <w:p w14:paraId="00F8D7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0.000131</w:t>
            </w:r>
          </w:p>
        </w:tc>
        <w:tc>
          <w:tcPr>
            <w:tcW w:w="904" w:type="dxa"/>
            <w:noWrap w:val="0"/>
            <w:vAlign w:val="center"/>
          </w:tcPr>
          <w:p w14:paraId="190947B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1.31</w:t>
            </w:r>
          </w:p>
        </w:tc>
      </w:tr>
      <w:tr w14:paraId="03486F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0223C9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899" w:type="dxa"/>
            <w:noWrap w:val="0"/>
            <w:vAlign w:val="center"/>
          </w:tcPr>
          <w:p w14:paraId="1BA96EF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0.005646</w:t>
            </w:r>
          </w:p>
        </w:tc>
        <w:tc>
          <w:tcPr>
            <w:tcW w:w="899" w:type="dxa"/>
            <w:noWrap w:val="0"/>
            <w:vAlign w:val="center"/>
          </w:tcPr>
          <w:p w14:paraId="34A03B0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1.57</w:t>
            </w:r>
          </w:p>
        </w:tc>
        <w:tc>
          <w:tcPr>
            <w:tcW w:w="899" w:type="dxa"/>
            <w:gridSpan w:val="2"/>
            <w:noWrap w:val="0"/>
            <w:vAlign w:val="center"/>
          </w:tcPr>
          <w:p w14:paraId="0F54E45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0.002821</w:t>
            </w:r>
          </w:p>
        </w:tc>
        <w:tc>
          <w:tcPr>
            <w:tcW w:w="899" w:type="dxa"/>
            <w:noWrap w:val="0"/>
            <w:vAlign w:val="center"/>
          </w:tcPr>
          <w:p w14:paraId="181C0B8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1.57</w:t>
            </w:r>
          </w:p>
        </w:tc>
        <w:tc>
          <w:tcPr>
            <w:tcW w:w="899" w:type="dxa"/>
            <w:noWrap w:val="0"/>
            <w:vAlign w:val="center"/>
          </w:tcPr>
          <w:p w14:paraId="0019A2D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0.001119</w:t>
            </w:r>
          </w:p>
        </w:tc>
        <w:tc>
          <w:tcPr>
            <w:tcW w:w="899" w:type="dxa"/>
            <w:noWrap w:val="0"/>
            <w:vAlign w:val="center"/>
          </w:tcPr>
          <w:p w14:paraId="640602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0.56</w:t>
            </w:r>
          </w:p>
        </w:tc>
        <w:tc>
          <w:tcPr>
            <w:tcW w:w="899" w:type="dxa"/>
            <w:gridSpan w:val="2"/>
            <w:noWrap w:val="0"/>
            <w:vAlign w:val="center"/>
          </w:tcPr>
          <w:p w14:paraId="2A37FBD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0.000087</w:t>
            </w:r>
          </w:p>
        </w:tc>
        <w:tc>
          <w:tcPr>
            <w:tcW w:w="904" w:type="dxa"/>
            <w:noWrap w:val="0"/>
            <w:vAlign w:val="center"/>
          </w:tcPr>
          <w:p w14:paraId="2A79B47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0.87</w:t>
            </w:r>
          </w:p>
        </w:tc>
      </w:tr>
      <w:tr w14:paraId="32E99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27FDA3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899" w:type="dxa"/>
            <w:noWrap w:val="0"/>
            <w:vAlign w:val="center"/>
          </w:tcPr>
          <w:p w14:paraId="02C00F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0.005065</w:t>
            </w:r>
          </w:p>
        </w:tc>
        <w:tc>
          <w:tcPr>
            <w:tcW w:w="899" w:type="dxa"/>
            <w:noWrap w:val="0"/>
            <w:vAlign w:val="center"/>
          </w:tcPr>
          <w:p w14:paraId="5ADBCF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1.41</w:t>
            </w:r>
          </w:p>
        </w:tc>
        <w:tc>
          <w:tcPr>
            <w:tcW w:w="899" w:type="dxa"/>
            <w:gridSpan w:val="2"/>
            <w:noWrap w:val="0"/>
            <w:vAlign w:val="center"/>
          </w:tcPr>
          <w:p w14:paraId="2477D82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0.002531</w:t>
            </w:r>
          </w:p>
        </w:tc>
        <w:tc>
          <w:tcPr>
            <w:tcW w:w="899" w:type="dxa"/>
            <w:noWrap w:val="0"/>
            <w:vAlign w:val="center"/>
          </w:tcPr>
          <w:p w14:paraId="1627069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1.41</w:t>
            </w:r>
          </w:p>
        </w:tc>
        <w:tc>
          <w:tcPr>
            <w:tcW w:w="899" w:type="dxa"/>
            <w:noWrap w:val="0"/>
            <w:vAlign w:val="center"/>
          </w:tcPr>
          <w:p w14:paraId="3DC1CC8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0.001004</w:t>
            </w:r>
          </w:p>
        </w:tc>
        <w:tc>
          <w:tcPr>
            <w:tcW w:w="899" w:type="dxa"/>
            <w:noWrap w:val="0"/>
            <w:vAlign w:val="center"/>
          </w:tcPr>
          <w:p w14:paraId="2440BAC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w:t>
            </w:r>
          </w:p>
        </w:tc>
        <w:tc>
          <w:tcPr>
            <w:tcW w:w="899" w:type="dxa"/>
            <w:gridSpan w:val="2"/>
            <w:noWrap w:val="0"/>
            <w:vAlign w:val="center"/>
          </w:tcPr>
          <w:p w14:paraId="4A2B655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0.000078</w:t>
            </w:r>
          </w:p>
        </w:tc>
        <w:tc>
          <w:tcPr>
            <w:tcW w:w="904" w:type="dxa"/>
            <w:noWrap w:val="0"/>
            <w:vAlign w:val="center"/>
          </w:tcPr>
          <w:p w14:paraId="717FDAB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0.78</w:t>
            </w:r>
          </w:p>
        </w:tc>
      </w:tr>
      <w:tr w14:paraId="274D4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4A5BC9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899" w:type="dxa"/>
            <w:noWrap w:val="0"/>
            <w:vAlign w:val="center"/>
          </w:tcPr>
          <w:p w14:paraId="2A4B65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0.004206</w:t>
            </w:r>
          </w:p>
        </w:tc>
        <w:tc>
          <w:tcPr>
            <w:tcW w:w="899" w:type="dxa"/>
            <w:noWrap w:val="0"/>
            <w:vAlign w:val="center"/>
          </w:tcPr>
          <w:p w14:paraId="6264E9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1.17</w:t>
            </w:r>
          </w:p>
        </w:tc>
        <w:tc>
          <w:tcPr>
            <w:tcW w:w="899" w:type="dxa"/>
            <w:gridSpan w:val="2"/>
            <w:noWrap w:val="0"/>
            <w:vAlign w:val="center"/>
          </w:tcPr>
          <w:p w14:paraId="165D890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0.002102</w:t>
            </w:r>
          </w:p>
        </w:tc>
        <w:tc>
          <w:tcPr>
            <w:tcW w:w="899" w:type="dxa"/>
            <w:noWrap w:val="0"/>
            <w:vAlign w:val="center"/>
          </w:tcPr>
          <w:p w14:paraId="3D03ED4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1.17</w:t>
            </w:r>
          </w:p>
        </w:tc>
        <w:tc>
          <w:tcPr>
            <w:tcW w:w="899" w:type="dxa"/>
            <w:noWrap w:val="0"/>
            <w:vAlign w:val="center"/>
          </w:tcPr>
          <w:p w14:paraId="3725EE0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0.000833</w:t>
            </w:r>
          </w:p>
        </w:tc>
        <w:tc>
          <w:tcPr>
            <w:tcW w:w="899" w:type="dxa"/>
            <w:noWrap w:val="0"/>
            <w:vAlign w:val="center"/>
          </w:tcPr>
          <w:p w14:paraId="385880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0.42</w:t>
            </w:r>
          </w:p>
        </w:tc>
        <w:tc>
          <w:tcPr>
            <w:tcW w:w="899" w:type="dxa"/>
            <w:gridSpan w:val="2"/>
            <w:noWrap w:val="0"/>
            <w:vAlign w:val="center"/>
          </w:tcPr>
          <w:p w14:paraId="0E57FDF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0.000065</w:t>
            </w:r>
          </w:p>
        </w:tc>
        <w:tc>
          <w:tcPr>
            <w:tcW w:w="904" w:type="dxa"/>
            <w:noWrap w:val="0"/>
            <w:vAlign w:val="center"/>
          </w:tcPr>
          <w:p w14:paraId="063CC8E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0.65</w:t>
            </w:r>
          </w:p>
        </w:tc>
      </w:tr>
      <w:tr w14:paraId="123AF7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5EF2F5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899" w:type="dxa"/>
            <w:noWrap w:val="0"/>
            <w:vAlign w:val="center"/>
          </w:tcPr>
          <w:p w14:paraId="5E0BDC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0.003566</w:t>
            </w:r>
          </w:p>
        </w:tc>
        <w:tc>
          <w:tcPr>
            <w:tcW w:w="899" w:type="dxa"/>
            <w:noWrap w:val="0"/>
            <w:vAlign w:val="center"/>
          </w:tcPr>
          <w:p w14:paraId="04172D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0.99</w:t>
            </w:r>
          </w:p>
        </w:tc>
        <w:tc>
          <w:tcPr>
            <w:tcW w:w="899" w:type="dxa"/>
            <w:gridSpan w:val="2"/>
            <w:noWrap w:val="0"/>
            <w:vAlign w:val="center"/>
          </w:tcPr>
          <w:p w14:paraId="1825188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0.001782</w:t>
            </w:r>
          </w:p>
        </w:tc>
        <w:tc>
          <w:tcPr>
            <w:tcW w:w="899" w:type="dxa"/>
            <w:noWrap w:val="0"/>
            <w:vAlign w:val="center"/>
          </w:tcPr>
          <w:p w14:paraId="5C1EFB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0.99</w:t>
            </w:r>
          </w:p>
        </w:tc>
        <w:tc>
          <w:tcPr>
            <w:tcW w:w="899" w:type="dxa"/>
            <w:noWrap w:val="0"/>
            <w:vAlign w:val="center"/>
          </w:tcPr>
          <w:p w14:paraId="2D7E602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0.000706</w:t>
            </w:r>
          </w:p>
        </w:tc>
        <w:tc>
          <w:tcPr>
            <w:tcW w:w="899" w:type="dxa"/>
            <w:noWrap w:val="0"/>
            <w:vAlign w:val="center"/>
          </w:tcPr>
          <w:p w14:paraId="0D6BFE8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0.35</w:t>
            </w:r>
          </w:p>
        </w:tc>
        <w:tc>
          <w:tcPr>
            <w:tcW w:w="899" w:type="dxa"/>
            <w:gridSpan w:val="2"/>
            <w:noWrap w:val="0"/>
            <w:vAlign w:val="center"/>
          </w:tcPr>
          <w:p w14:paraId="426FD1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0.000055</w:t>
            </w:r>
          </w:p>
        </w:tc>
        <w:tc>
          <w:tcPr>
            <w:tcW w:w="904" w:type="dxa"/>
            <w:noWrap w:val="0"/>
            <w:vAlign w:val="center"/>
          </w:tcPr>
          <w:p w14:paraId="19BA089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0.55</w:t>
            </w:r>
          </w:p>
        </w:tc>
      </w:tr>
      <w:tr w14:paraId="03D64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659FDC1D">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下风向最大质量浓度及占标率/%</w:t>
            </w:r>
          </w:p>
        </w:tc>
        <w:tc>
          <w:tcPr>
            <w:tcW w:w="899" w:type="dxa"/>
            <w:noWrap w:val="0"/>
            <w:vAlign w:val="center"/>
          </w:tcPr>
          <w:p w14:paraId="356AA2AE">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0.018862</w:t>
            </w:r>
          </w:p>
        </w:tc>
        <w:tc>
          <w:tcPr>
            <w:tcW w:w="899" w:type="dxa"/>
            <w:noWrap w:val="0"/>
            <w:vAlign w:val="center"/>
          </w:tcPr>
          <w:p w14:paraId="74340353">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eastAsia" w:ascii="Times New Roman" w:hAnsi="Times New Roman" w:eastAsia="宋体" w:cs="Times New Roman"/>
                <w:i w:val="0"/>
                <w:iCs w:val="0"/>
                <w:color w:val="000000"/>
                <w:kern w:val="0"/>
                <w:sz w:val="21"/>
                <w:szCs w:val="21"/>
                <w:u w:val="none"/>
                <w:lang w:val="en-US" w:eastAsia="zh-CN" w:bidi="ar"/>
              </w:rPr>
              <w:t>5.24</w:t>
            </w:r>
          </w:p>
        </w:tc>
        <w:tc>
          <w:tcPr>
            <w:tcW w:w="899" w:type="dxa"/>
            <w:gridSpan w:val="2"/>
            <w:noWrap w:val="0"/>
            <w:vAlign w:val="center"/>
          </w:tcPr>
          <w:p w14:paraId="578A0B9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0.009426</w:t>
            </w:r>
          </w:p>
        </w:tc>
        <w:tc>
          <w:tcPr>
            <w:tcW w:w="899" w:type="dxa"/>
            <w:noWrap w:val="0"/>
            <w:vAlign w:val="center"/>
          </w:tcPr>
          <w:p w14:paraId="4A61022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5.24</w:t>
            </w:r>
          </w:p>
        </w:tc>
        <w:tc>
          <w:tcPr>
            <w:tcW w:w="899" w:type="dxa"/>
            <w:noWrap w:val="0"/>
            <w:vAlign w:val="center"/>
          </w:tcPr>
          <w:p w14:paraId="43BFC8B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0.003737</w:t>
            </w:r>
          </w:p>
        </w:tc>
        <w:tc>
          <w:tcPr>
            <w:tcW w:w="899" w:type="dxa"/>
            <w:noWrap w:val="0"/>
            <w:vAlign w:val="center"/>
          </w:tcPr>
          <w:p w14:paraId="56F7BFA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1.87</w:t>
            </w:r>
          </w:p>
        </w:tc>
        <w:tc>
          <w:tcPr>
            <w:tcW w:w="899" w:type="dxa"/>
            <w:gridSpan w:val="2"/>
            <w:noWrap w:val="0"/>
            <w:vAlign w:val="center"/>
          </w:tcPr>
          <w:p w14:paraId="7563E46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0.000292</w:t>
            </w:r>
          </w:p>
        </w:tc>
        <w:tc>
          <w:tcPr>
            <w:tcW w:w="904" w:type="dxa"/>
            <w:noWrap w:val="0"/>
            <w:vAlign w:val="center"/>
          </w:tcPr>
          <w:p w14:paraId="0CB31AD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2.92</w:t>
            </w:r>
          </w:p>
        </w:tc>
      </w:tr>
      <w:tr w14:paraId="78158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7" w:type="dxa"/>
            <w:noWrap w:val="0"/>
            <w:vAlign w:val="center"/>
          </w:tcPr>
          <w:p w14:paraId="0CFC494C">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7197" w:type="dxa"/>
            <w:gridSpan w:val="10"/>
            <w:noWrap w:val="0"/>
            <w:vAlign w:val="center"/>
          </w:tcPr>
          <w:p w14:paraId="7BA3C5D3">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r>
    </w:tbl>
    <w:p w14:paraId="6FC0C5FB">
      <w:pPr>
        <w:pageBreakBefore w:val="0"/>
        <w:widowControl w:val="0"/>
        <w:wordWrap/>
        <w:topLinePunct w:val="0"/>
        <w:bidi w:val="0"/>
        <w:adjustRightInd/>
        <w:snapToGrid/>
        <w:spacing w:line="400" w:lineRule="exact"/>
        <w:ind w:firstLine="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cs="Times New Roman"/>
          <w:b/>
          <w:kern w:val="0"/>
          <w:sz w:val="24"/>
          <w:szCs w:val="24"/>
          <w:lang w:val="en-US" w:eastAsia="zh-CN" w:bidi="ar-SA"/>
        </w:rPr>
        <w:t>15非正常工况下有组织废气污染物</w:t>
      </w:r>
      <w:r>
        <w:rPr>
          <w:rFonts w:hint="default" w:ascii="Times New Roman" w:hAnsi="Times New Roman" w:eastAsia="宋体" w:cs="Times New Roman"/>
          <w:b/>
          <w:kern w:val="0"/>
          <w:sz w:val="24"/>
          <w:szCs w:val="24"/>
          <w:lang w:val="en-US" w:eastAsia="zh-CN" w:bidi="ar-SA"/>
        </w:rPr>
        <w:t>最大占标率及最大落地浓度表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66"/>
        <w:gridCol w:w="1559"/>
        <w:gridCol w:w="1560"/>
        <w:gridCol w:w="1559"/>
        <w:gridCol w:w="1560"/>
      </w:tblGrid>
      <w:tr w14:paraId="74F1B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vMerge w:val="restart"/>
            <w:noWrap w:val="0"/>
            <w:vAlign w:val="center"/>
          </w:tcPr>
          <w:p w14:paraId="7A3A3D52">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下风向距离/m</w:t>
            </w:r>
          </w:p>
        </w:tc>
        <w:tc>
          <w:tcPr>
            <w:tcW w:w="6238" w:type="dxa"/>
            <w:gridSpan w:val="4"/>
            <w:noWrap w:val="0"/>
            <w:vAlign w:val="center"/>
          </w:tcPr>
          <w:p w14:paraId="191F9A5A">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val="0"/>
                <w:kern w:val="0"/>
                <w:sz w:val="21"/>
                <w:szCs w:val="21"/>
                <w:lang w:val="en-US" w:eastAsia="zh-CN" w:bidi="en-US"/>
              </w:rPr>
            </w:pPr>
            <w:r>
              <w:rPr>
                <w:rFonts w:hint="default" w:cs="Times New Roman"/>
                <w:b/>
                <w:bCs w:val="0"/>
                <w:kern w:val="0"/>
                <w:sz w:val="21"/>
                <w:szCs w:val="21"/>
                <w:lang w:val="en-US" w:eastAsia="zh-CN" w:bidi="en-US"/>
              </w:rPr>
              <w:t>DA001（</w:t>
            </w:r>
            <w:r>
              <w:rPr>
                <w:rFonts w:hint="eastAsia" w:cs="Times New Roman"/>
                <w:b/>
                <w:bCs w:val="0"/>
                <w:kern w:val="0"/>
                <w:sz w:val="21"/>
                <w:szCs w:val="21"/>
                <w:lang w:val="en-US" w:eastAsia="zh-CN" w:bidi="en-US"/>
              </w:rPr>
              <w:t>堆肥间</w:t>
            </w:r>
            <w:r>
              <w:rPr>
                <w:rFonts w:hint="default" w:cs="Times New Roman"/>
                <w:b/>
                <w:bCs w:val="0"/>
                <w:kern w:val="0"/>
                <w:sz w:val="21"/>
                <w:szCs w:val="21"/>
                <w:lang w:val="en-US" w:eastAsia="zh-CN" w:bidi="en-US"/>
              </w:rPr>
              <w:t>排放口）</w:t>
            </w:r>
          </w:p>
        </w:tc>
      </w:tr>
      <w:tr w14:paraId="4ECE6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vMerge w:val="continue"/>
            <w:noWrap w:val="0"/>
            <w:vAlign w:val="center"/>
          </w:tcPr>
          <w:p w14:paraId="39EB5550">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3119" w:type="dxa"/>
            <w:gridSpan w:val="2"/>
            <w:noWrap w:val="0"/>
            <w:vAlign w:val="center"/>
          </w:tcPr>
          <w:p w14:paraId="0669F6B0">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eastAsia"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10</w:t>
            </w:r>
          </w:p>
        </w:tc>
        <w:tc>
          <w:tcPr>
            <w:tcW w:w="3119" w:type="dxa"/>
            <w:gridSpan w:val="2"/>
            <w:noWrap w:val="0"/>
            <w:vAlign w:val="center"/>
          </w:tcPr>
          <w:p w14:paraId="75B7CEAF">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cs="Times New Roman"/>
                <w:b/>
                <w:bCs w:val="0"/>
                <w:kern w:val="0"/>
                <w:sz w:val="21"/>
                <w:szCs w:val="21"/>
                <w:lang w:val="en-US" w:eastAsia="zh-CN" w:bidi="en-US"/>
              </w:rPr>
            </w:pPr>
            <w:r>
              <w:rPr>
                <w:rFonts w:hint="eastAsia" w:cs="Times New Roman"/>
                <w:b/>
                <w:bCs w:val="0"/>
                <w:kern w:val="0"/>
                <w:sz w:val="21"/>
                <w:szCs w:val="21"/>
                <w:lang w:val="en-US" w:eastAsia="zh-CN" w:bidi="en-US"/>
              </w:rPr>
              <w:t>PM</w:t>
            </w:r>
            <w:r>
              <w:rPr>
                <w:rFonts w:hint="eastAsia" w:cs="Times New Roman"/>
                <w:b/>
                <w:bCs w:val="0"/>
                <w:kern w:val="0"/>
                <w:sz w:val="21"/>
                <w:szCs w:val="21"/>
                <w:vertAlign w:val="subscript"/>
                <w:lang w:val="en-US" w:eastAsia="zh-CN" w:bidi="en-US"/>
              </w:rPr>
              <w:t>2.5</w:t>
            </w:r>
          </w:p>
        </w:tc>
      </w:tr>
      <w:tr w14:paraId="26ED7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vMerge w:val="continue"/>
            <w:noWrap w:val="0"/>
            <w:vAlign w:val="center"/>
          </w:tcPr>
          <w:p w14:paraId="41F3648C">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en-US" w:bidi="en-US"/>
              </w:rPr>
            </w:pPr>
          </w:p>
        </w:tc>
        <w:tc>
          <w:tcPr>
            <w:tcW w:w="1559" w:type="dxa"/>
            <w:noWrap w:val="0"/>
            <w:vAlign w:val="center"/>
          </w:tcPr>
          <w:p w14:paraId="1219A2A8">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1560" w:type="dxa"/>
            <w:noWrap w:val="0"/>
            <w:vAlign w:val="center"/>
          </w:tcPr>
          <w:p w14:paraId="681EFAD4">
            <w:pPr>
              <w:keepNext w:val="0"/>
              <w:keepLines w:val="0"/>
              <w:pageBreakBefore w:val="0"/>
              <w:widowControl w:val="0"/>
              <w:kinsoku/>
              <w:wordWrap/>
              <w:overflowPunct/>
              <w:topLinePunct w:val="0"/>
              <w:autoSpaceDE/>
              <w:autoSpaceDN/>
              <w:bidi w:val="0"/>
              <w:adjustRightInd/>
              <w:snapToGrid/>
              <w:spacing w:line="380" w:lineRule="exact"/>
              <w:ind w:firstLine="0"/>
              <w:jc w:val="center"/>
              <w:rPr>
                <w:rFonts w:hint="default" w:ascii="Times New Roman" w:hAnsi="Times New Roman" w:eastAsia="宋体" w:cs="Times New Roman"/>
                <w:b/>
                <w:bCs w:val="0"/>
                <w:kern w:val="0"/>
                <w:sz w:val="21"/>
                <w:szCs w:val="21"/>
                <w:lang w:val="en-US" w:eastAsia="zh-CN" w:bidi="en-US"/>
              </w:rPr>
            </w:pPr>
            <w:r>
              <w:rPr>
                <w:rFonts w:hint="default" w:ascii="Times New Roman" w:hAnsi="Times New Roman" w:eastAsia="宋体" w:cs="Times New Roman"/>
                <w:b/>
                <w:bCs w:val="0"/>
                <w:kern w:val="0"/>
                <w:sz w:val="21"/>
                <w:szCs w:val="21"/>
                <w:lang w:val="en-US" w:eastAsia="en-US" w:bidi="en-US"/>
              </w:rPr>
              <w:t>占标率（%）</w:t>
            </w:r>
          </w:p>
        </w:tc>
        <w:tc>
          <w:tcPr>
            <w:tcW w:w="1559" w:type="dxa"/>
            <w:noWrap w:val="0"/>
            <w:vAlign w:val="center"/>
          </w:tcPr>
          <w:p w14:paraId="6D28D8FF">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zh-CN" w:bidi="en-US"/>
              </w:rPr>
              <w:t>预测质量浓度（mg/m</w:t>
            </w:r>
            <w:r>
              <w:rPr>
                <w:rFonts w:hint="default" w:ascii="Times New Roman" w:hAnsi="Times New Roman" w:eastAsia="宋体" w:cs="Times New Roman"/>
                <w:b/>
                <w:bCs w:val="0"/>
                <w:kern w:val="0"/>
                <w:sz w:val="21"/>
                <w:szCs w:val="21"/>
                <w:vertAlign w:val="superscript"/>
                <w:lang w:val="en-US" w:eastAsia="zh-CN" w:bidi="en-US"/>
              </w:rPr>
              <w:t>3</w:t>
            </w:r>
            <w:r>
              <w:rPr>
                <w:rFonts w:hint="default" w:ascii="Times New Roman" w:hAnsi="Times New Roman" w:eastAsia="宋体" w:cs="Times New Roman"/>
                <w:b/>
                <w:bCs w:val="0"/>
                <w:kern w:val="0"/>
                <w:sz w:val="21"/>
                <w:szCs w:val="21"/>
                <w:lang w:val="en-US" w:eastAsia="zh-CN" w:bidi="en-US"/>
              </w:rPr>
              <w:t>）</w:t>
            </w:r>
          </w:p>
        </w:tc>
        <w:tc>
          <w:tcPr>
            <w:tcW w:w="1560" w:type="dxa"/>
            <w:noWrap w:val="0"/>
            <w:vAlign w:val="center"/>
          </w:tcPr>
          <w:p w14:paraId="2AA15C11">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rPr>
                <w:rFonts w:hint="default" w:ascii="Times New Roman" w:hAnsi="Times New Roman" w:eastAsia="宋体" w:cs="Times New Roman"/>
                <w:b/>
                <w:bCs w:val="0"/>
                <w:kern w:val="0"/>
                <w:sz w:val="21"/>
                <w:szCs w:val="21"/>
                <w:lang w:val="en-US" w:eastAsia="en-US" w:bidi="en-US"/>
              </w:rPr>
            </w:pPr>
            <w:r>
              <w:rPr>
                <w:rFonts w:hint="default" w:ascii="Times New Roman" w:hAnsi="Times New Roman" w:eastAsia="宋体" w:cs="Times New Roman"/>
                <w:b/>
                <w:bCs w:val="0"/>
                <w:kern w:val="0"/>
                <w:sz w:val="21"/>
                <w:szCs w:val="21"/>
                <w:lang w:val="en-US" w:eastAsia="en-US" w:bidi="en-US"/>
              </w:rPr>
              <w:t>占标率（%）</w:t>
            </w:r>
          </w:p>
        </w:tc>
      </w:tr>
      <w:tr w14:paraId="3BDDD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0AFDCD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p>
        </w:tc>
        <w:tc>
          <w:tcPr>
            <w:tcW w:w="1559" w:type="dxa"/>
            <w:noWrap w:val="0"/>
            <w:vAlign w:val="center"/>
          </w:tcPr>
          <w:p w14:paraId="41ECD0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0.000257</w:t>
            </w:r>
          </w:p>
        </w:tc>
        <w:tc>
          <w:tcPr>
            <w:tcW w:w="1560" w:type="dxa"/>
            <w:noWrap w:val="0"/>
            <w:vAlign w:val="center"/>
          </w:tcPr>
          <w:p w14:paraId="6749792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0.07</w:t>
            </w:r>
          </w:p>
        </w:tc>
        <w:tc>
          <w:tcPr>
            <w:tcW w:w="1559" w:type="dxa"/>
            <w:noWrap w:val="0"/>
            <w:vAlign w:val="center"/>
          </w:tcPr>
          <w:p w14:paraId="7F6692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0.000128</w:t>
            </w:r>
          </w:p>
        </w:tc>
        <w:tc>
          <w:tcPr>
            <w:tcW w:w="1560" w:type="dxa"/>
            <w:noWrap w:val="0"/>
            <w:vAlign w:val="center"/>
          </w:tcPr>
          <w:p w14:paraId="2CA3D2F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0.07</w:t>
            </w:r>
          </w:p>
        </w:tc>
      </w:tr>
      <w:tr w14:paraId="2BECD5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7F5FE5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1559" w:type="dxa"/>
            <w:noWrap w:val="0"/>
            <w:vAlign w:val="center"/>
          </w:tcPr>
          <w:p w14:paraId="487ED9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0.002844</w:t>
            </w:r>
          </w:p>
        </w:tc>
        <w:tc>
          <w:tcPr>
            <w:tcW w:w="1560" w:type="dxa"/>
            <w:noWrap w:val="0"/>
            <w:vAlign w:val="center"/>
          </w:tcPr>
          <w:p w14:paraId="7604E7B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0.79</w:t>
            </w:r>
          </w:p>
        </w:tc>
        <w:tc>
          <w:tcPr>
            <w:tcW w:w="1559" w:type="dxa"/>
            <w:noWrap w:val="0"/>
            <w:vAlign w:val="center"/>
          </w:tcPr>
          <w:p w14:paraId="355320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0.001422</w:t>
            </w:r>
          </w:p>
        </w:tc>
        <w:tc>
          <w:tcPr>
            <w:tcW w:w="1560" w:type="dxa"/>
            <w:noWrap w:val="0"/>
            <w:vAlign w:val="center"/>
          </w:tcPr>
          <w:p w14:paraId="1BE51DC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0.79</w:t>
            </w:r>
          </w:p>
        </w:tc>
      </w:tr>
      <w:tr w14:paraId="4108E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7D5897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1559" w:type="dxa"/>
            <w:noWrap w:val="0"/>
            <w:vAlign w:val="center"/>
          </w:tcPr>
          <w:p w14:paraId="4CE7B4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0.002121</w:t>
            </w:r>
          </w:p>
        </w:tc>
        <w:tc>
          <w:tcPr>
            <w:tcW w:w="1560" w:type="dxa"/>
            <w:noWrap w:val="0"/>
            <w:vAlign w:val="center"/>
          </w:tcPr>
          <w:p w14:paraId="0D9A6A7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0.59</w:t>
            </w:r>
          </w:p>
        </w:tc>
        <w:tc>
          <w:tcPr>
            <w:tcW w:w="1559" w:type="dxa"/>
            <w:noWrap w:val="0"/>
            <w:vAlign w:val="center"/>
          </w:tcPr>
          <w:p w14:paraId="2197DF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0.001061</w:t>
            </w:r>
          </w:p>
        </w:tc>
        <w:tc>
          <w:tcPr>
            <w:tcW w:w="1560" w:type="dxa"/>
            <w:noWrap w:val="0"/>
            <w:vAlign w:val="center"/>
          </w:tcPr>
          <w:p w14:paraId="3774202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0.59</w:t>
            </w:r>
          </w:p>
        </w:tc>
      </w:tr>
      <w:tr w14:paraId="0321C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64066E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1559" w:type="dxa"/>
            <w:noWrap w:val="0"/>
            <w:vAlign w:val="center"/>
          </w:tcPr>
          <w:p w14:paraId="6B3E5F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0.002117</w:t>
            </w:r>
          </w:p>
        </w:tc>
        <w:tc>
          <w:tcPr>
            <w:tcW w:w="1560" w:type="dxa"/>
            <w:noWrap w:val="0"/>
            <w:vAlign w:val="center"/>
          </w:tcPr>
          <w:p w14:paraId="60B59A5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0.59</w:t>
            </w:r>
          </w:p>
        </w:tc>
        <w:tc>
          <w:tcPr>
            <w:tcW w:w="1559" w:type="dxa"/>
            <w:noWrap w:val="0"/>
            <w:vAlign w:val="center"/>
          </w:tcPr>
          <w:p w14:paraId="6B9729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0.001058</w:t>
            </w:r>
          </w:p>
        </w:tc>
        <w:tc>
          <w:tcPr>
            <w:tcW w:w="1560" w:type="dxa"/>
            <w:noWrap w:val="0"/>
            <w:vAlign w:val="center"/>
          </w:tcPr>
          <w:p w14:paraId="7D2AE8D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0.59</w:t>
            </w:r>
          </w:p>
        </w:tc>
      </w:tr>
      <w:tr w14:paraId="06D54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4EE90F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w:t>
            </w:r>
          </w:p>
        </w:tc>
        <w:tc>
          <w:tcPr>
            <w:tcW w:w="1559" w:type="dxa"/>
            <w:noWrap w:val="0"/>
            <w:vAlign w:val="center"/>
          </w:tcPr>
          <w:p w14:paraId="1B8A1D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0.004319</w:t>
            </w:r>
          </w:p>
        </w:tc>
        <w:tc>
          <w:tcPr>
            <w:tcW w:w="1560" w:type="dxa"/>
            <w:noWrap w:val="0"/>
            <w:vAlign w:val="center"/>
          </w:tcPr>
          <w:p w14:paraId="44FB0CB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w:t>
            </w:r>
          </w:p>
        </w:tc>
        <w:tc>
          <w:tcPr>
            <w:tcW w:w="1559" w:type="dxa"/>
            <w:noWrap w:val="0"/>
            <w:vAlign w:val="center"/>
          </w:tcPr>
          <w:p w14:paraId="7C4A5E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0.002159</w:t>
            </w:r>
          </w:p>
        </w:tc>
        <w:tc>
          <w:tcPr>
            <w:tcW w:w="1560" w:type="dxa"/>
            <w:noWrap w:val="0"/>
            <w:vAlign w:val="center"/>
          </w:tcPr>
          <w:p w14:paraId="5F67043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w:t>
            </w:r>
          </w:p>
        </w:tc>
      </w:tr>
      <w:tr w14:paraId="3A448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34DCB7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168</w:t>
            </w:r>
          </w:p>
        </w:tc>
        <w:tc>
          <w:tcPr>
            <w:tcW w:w="1559" w:type="dxa"/>
            <w:noWrap w:val="0"/>
            <w:vAlign w:val="center"/>
          </w:tcPr>
          <w:p w14:paraId="2644BC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0.00593</w:t>
            </w:r>
          </w:p>
        </w:tc>
        <w:tc>
          <w:tcPr>
            <w:tcW w:w="1560" w:type="dxa"/>
            <w:noWrap w:val="0"/>
            <w:vAlign w:val="center"/>
          </w:tcPr>
          <w:p w14:paraId="4197648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1.65</w:t>
            </w:r>
          </w:p>
        </w:tc>
        <w:tc>
          <w:tcPr>
            <w:tcW w:w="1559" w:type="dxa"/>
            <w:noWrap w:val="0"/>
            <w:vAlign w:val="center"/>
          </w:tcPr>
          <w:p w14:paraId="53F0DD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0.002965</w:t>
            </w:r>
          </w:p>
        </w:tc>
        <w:tc>
          <w:tcPr>
            <w:tcW w:w="1560" w:type="dxa"/>
            <w:noWrap w:val="0"/>
            <w:vAlign w:val="center"/>
          </w:tcPr>
          <w:p w14:paraId="3F23CED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1.65</w:t>
            </w:r>
          </w:p>
        </w:tc>
      </w:tr>
      <w:tr w14:paraId="21B08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54D0A8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w:t>
            </w:r>
          </w:p>
        </w:tc>
        <w:tc>
          <w:tcPr>
            <w:tcW w:w="1559" w:type="dxa"/>
            <w:noWrap w:val="0"/>
            <w:vAlign w:val="center"/>
          </w:tcPr>
          <w:p w14:paraId="39825F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0.005736</w:t>
            </w:r>
          </w:p>
        </w:tc>
        <w:tc>
          <w:tcPr>
            <w:tcW w:w="1560" w:type="dxa"/>
            <w:noWrap w:val="0"/>
            <w:vAlign w:val="center"/>
          </w:tcPr>
          <w:p w14:paraId="6D513AD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1.59</w:t>
            </w:r>
          </w:p>
        </w:tc>
        <w:tc>
          <w:tcPr>
            <w:tcW w:w="1559" w:type="dxa"/>
            <w:noWrap w:val="0"/>
            <w:vAlign w:val="center"/>
          </w:tcPr>
          <w:p w14:paraId="0C86B2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0.002868</w:t>
            </w:r>
          </w:p>
        </w:tc>
        <w:tc>
          <w:tcPr>
            <w:tcW w:w="1560" w:type="dxa"/>
            <w:noWrap w:val="0"/>
            <w:vAlign w:val="center"/>
          </w:tcPr>
          <w:p w14:paraId="1E29A69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1.59</w:t>
            </w:r>
          </w:p>
        </w:tc>
      </w:tr>
      <w:tr w14:paraId="5B9D2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73DED2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300</w:t>
            </w:r>
          </w:p>
        </w:tc>
        <w:tc>
          <w:tcPr>
            <w:tcW w:w="1559" w:type="dxa"/>
            <w:noWrap w:val="0"/>
            <w:vAlign w:val="center"/>
          </w:tcPr>
          <w:p w14:paraId="59310C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0.004417</w:t>
            </w:r>
          </w:p>
        </w:tc>
        <w:tc>
          <w:tcPr>
            <w:tcW w:w="1560" w:type="dxa"/>
            <w:noWrap w:val="0"/>
            <w:vAlign w:val="center"/>
          </w:tcPr>
          <w:p w14:paraId="24E4641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1.23</w:t>
            </w:r>
          </w:p>
        </w:tc>
        <w:tc>
          <w:tcPr>
            <w:tcW w:w="1559" w:type="dxa"/>
            <w:noWrap w:val="0"/>
            <w:vAlign w:val="center"/>
          </w:tcPr>
          <w:p w14:paraId="31273B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0.002209</w:t>
            </w:r>
          </w:p>
        </w:tc>
        <w:tc>
          <w:tcPr>
            <w:tcW w:w="1560" w:type="dxa"/>
            <w:noWrap w:val="0"/>
            <w:vAlign w:val="center"/>
          </w:tcPr>
          <w:p w14:paraId="72359D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1.23</w:t>
            </w:r>
          </w:p>
        </w:tc>
      </w:tr>
      <w:tr w14:paraId="190CB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5C05FA2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500</w:t>
            </w:r>
          </w:p>
        </w:tc>
        <w:tc>
          <w:tcPr>
            <w:tcW w:w="1559" w:type="dxa"/>
            <w:noWrap w:val="0"/>
            <w:vAlign w:val="center"/>
          </w:tcPr>
          <w:p w14:paraId="4373151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0.002662</w:t>
            </w:r>
          </w:p>
        </w:tc>
        <w:tc>
          <w:tcPr>
            <w:tcW w:w="1560" w:type="dxa"/>
            <w:noWrap w:val="0"/>
            <w:vAlign w:val="center"/>
          </w:tcPr>
          <w:p w14:paraId="4CF8BA2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0.74</w:t>
            </w:r>
          </w:p>
        </w:tc>
        <w:tc>
          <w:tcPr>
            <w:tcW w:w="1559" w:type="dxa"/>
            <w:noWrap w:val="0"/>
            <w:vAlign w:val="center"/>
          </w:tcPr>
          <w:p w14:paraId="0D707B1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0.001331</w:t>
            </w:r>
          </w:p>
        </w:tc>
        <w:tc>
          <w:tcPr>
            <w:tcW w:w="1560" w:type="dxa"/>
            <w:noWrap w:val="0"/>
            <w:vAlign w:val="center"/>
          </w:tcPr>
          <w:p w14:paraId="5DB1B0D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0.74</w:t>
            </w:r>
          </w:p>
        </w:tc>
      </w:tr>
      <w:tr w14:paraId="5AF77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5C95334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1000</w:t>
            </w:r>
          </w:p>
        </w:tc>
        <w:tc>
          <w:tcPr>
            <w:tcW w:w="1559" w:type="dxa"/>
            <w:noWrap w:val="0"/>
            <w:vAlign w:val="center"/>
          </w:tcPr>
          <w:p w14:paraId="7E8EA80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0.001775</w:t>
            </w:r>
          </w:p>
        </w:tc>
        <w:tc>
          <w:tcPr>
            <w:tcW w:w="1560" w:type="dxa"/>
            <w:noWrap w:val="0"/>
            <w:vAlign w:val="center"/>
          </w:tcPr>
          <w:p w14:paraId="30D4546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0.49</w:t>
            </w:r>
          </w:p>
        </w:tc>
        <w:tc>
          <w:tcPr>
            <w:tcW w:w="1559" w:type="dxa"/>
            <w:noWrap w:val="0"/>
            <w:vAlign w:val="center"/>
          </w:tcPr>
          <w:p w14:paraId="3B71C3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0.000888</w:t>
            </w:r>
          </w:p>
        </w:tc>
        <w:tc>
          <w:tcPr>
            <w:tcW w:w="1560" w:type="dxa"/>
            <w:noWrap w:val="0"/>
            <w:vAlign w:val="center"/>
          </w:tcPr>
          <w:p w14:paraId="788A99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0.49</w:t>
            </w:r>
          </w:p>
        </w:tc>
      </w:tr>
      <w:tr w14:paraId="139B6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5B372CA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1500</w:t>
            </w:r>
          </w:p>
        </w:tc>
        <w:tc>
          <w:tcPr>
            <w:tcW w:w="1559" w:type="dxa"/>
            <w:noWrap w:val="0"/>
            <w:vAlign w:val="center"/>
          </w:tcPr>
          <w:p w14:paraId="64DBEC4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0.001593</w:t>
            </w:r>
          </w:p>
        </w:tc>
        <w:tc>
          <w:tcPr>
            <w:tcW w:w="1560" w:type="dxa"/>
            <w:noWrap w:val="0"/>
            <w:vAlign w:val="center"/>
          </w:tcPr>
          <w:p w14:paraId="3020199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0.44</w:t>
            </w:r>
          </w:p>
        </w:tc>
        <w:tc>
          <w:tcPr>
            <w:tcW w:w="1559" w:type="dxa"/>
            <w:noWrap w:val="0"/>
            <w:vAlign w:val="center"/>
          </w:tcPr>
          <w:p w14:paraId="1E832F4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0.000796</w:t>
            </w:r>
          </w:p>
        </w:tc>
        <w:tc>
          <w:tcPr>
            <w:tcW w:w="1560" w:type="dxa"/>
            <w:noWrap w:val="0"/>
            <w:vAlign w:val="center"/>
          </w:tcPr>
          <w:p w14:paraId="4D9E33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0.44</w:t>
            </w:r>
          </w:p>
        </w:tc>
      </w:tr>
      <w:tr w14:paraId="20358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5F7842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2000</w:t>
            </w:r>
          </w:p>
        </w:tc>
        <w:tc>
          <w:tcPr>
            <w:tcW w:w="1559" w:type="dxa"/>
            <w:noWrap w:val="0"/>
            <w:vAlign w:val="center"/>
          </w:tcPr>
          <w:p w14:paraId="09D7C5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0.001322</w:t>
            </w:r>
          </w:p>
        </w:tc>
        <w:tc>
          <w:tcPr>
            <w:tcW w:w="1560" w:type="dxa"/>
            <w:noWrap w:val="0"/>
            <w:vAlign w:val="center"/>
          </w:tcPr>
          <w:p w14:paraId="1C75B9C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0.37</w:t>
            </w:r>
          </w:p>
        </w:tc>
        <w:tc>
          <w:tcPr>
            <w:tcW w:w="1559" w:type="dxa"/>
            <w:noWrap w:val="0"/>
            <w:vAlign w:val="center"/>
          </w:tcPr>
          <w:p w14:paraId="0FE730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0.000661</w:t>
            </w:r>
          </w:p>
        </w:tc>
        <w:tc>
          <w:tcPr>
            <w:tcW w:w="1560" w:type="dxa"/>
            <w:noWrap w:val="0"/>
            <w:vAlign w:val="center"/>
          </w:tcPr>
          <w:p w14:paraId="5E99969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0.37</w:t>
            </w:r>
          </w:p>
        </w:tc>
      </w:tr>
      <w:tr w14:paraId="4D403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1ADE98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2500</w:t>
            </w:r>
          </w:p>
        </w:tc>
        <w:tc>
          <w:tcPr>
            <w:tcW w:w="1559" w:type="dxa"/>
            <w:noWrap w:val="0"/>
            <w:vAlign w:val="center"/>
          </w:tcPr>
          <w:p w14:paraId="25DD37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0.001121</w:t>
            </w:r>
          </w:p>
        </w:tc>
        <w:tc>
          <w:tcPr>
            <w:tcW w:w="1560" w:type="dxa"/>
            <w:noWrap w:val="0"/>
            <w:vAlign w:val="center"/>
          </w:tcPr>
          <w:p w14:paraId="527D640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0.31</w:t>
            </w:r>
          </w:p>
        </w:tc>
        <w:tc>
          <w:tcPr>
            <w:tcW w:w="1559" w:type="dxa"/>
            <w:noWrap w:val="0"/>
            <w:vAlign w:val="center"/>
          </w:tcPr>
          <w:p w14:paraId="299056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0.000561</w:t>
            </w:r>
          </w:p>
        </w:tc>
        <w:tc>
          <w:tcPr>
            <w:tcW w:w="1560" w:type="dxa"/>
            <w:noWrap w:val="0"/>
            <w:vAlign w:val="center"/>
          </w:tcPr>
          <w:p w14:paraId="7F093F9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0.31</w:t>
            </w:r>
          </w:p>
        </w:tc>
      </w:tr>
      <w:tr w14:paraId="5AEB4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561C7A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下风向最大质量浓度及占标率/%</w:t>
            </w:r>
          </w:p>
        </w:tc>
        <w:tc>
          <w:tcPr>
            <w:tcW w:w="1559" w:type="dxa"/>
            <w:noWrap w:val="0"/>
            <w:vAlign w:val="center"/>
          </w:tcPr>
          <w:p w14:paraId="3D987F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0.00593</w:t>
            </w:r>
          </w:p>
        </w:tc>
        <w:tc>
          <w:tcPr>
            <w:tcW w:w="1560" w:type="dxa"/>
            <w:noWrap w:val="0"/>
            <w:vAlign w:val="center"/>
          </w:tcPr>
          <w:p w14:paraId="341DDBE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1.65</w:t>
            </w:r>
          </w:p>
        </w:tc>
        <w:tc>
          <w:tcPr>
            <w:tcW w:w="1559" w:type="dxa"/>
            <w:noWrap w:val="0"/>
            <w:vAlign w:val="center"/>
          </w:tcPr>
          <w:p w14:paraId="2E8581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0.002965</w:t>
            </w:r>
          </w:p>
        </w:tc>
        <w:tc>
          <w:tcPr>
            <w:tcW w:w="1560" w:type="dxa"/>
            <w:noWrap w:val="0"/>
            <w:vAlign w:val="center"/>
          </w:tcPr>
          <w:p w14:paraId="181B9AE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1.65</w:t>
            </w:r>
          </w:p>
        </w:tc>
      </w:tr>
      <w:tr w14:paraId="7283C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66" w:type="dxa"/>
            <w:noWrap w:val="0"/>
            <w:vAlign w:val="center"/>
          </w:tcPr>
          <w:p w14:paraId="26514145">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D</w:t>
            </w:r>
            <w:r>
              <w:rPr>
                <w:rFonts w:hint="default" w:ascii="Times New Roman" w:hAnsi="Times New Roman" w:eastAsia="宋体" w:cs="Times New Roman"/>
                <w:kern w:val="0"/>
                <w:sz w:val="21"/>
                <w:szCs w:val="21"/>
                <w:vertAlign w:val="subscript"/>
                <w:lang w:bidi="ar"/>
              </w:rPr>
              <w:t>10%</w:t>
            </w:r>
            <w:r>
              <w:rPr>
                <w:rFonts w:hint="default" w:ascii="Times New Roman" w:hAnsi="Times New Roman" w:eastAsia="宋体" w:cs="Times New Roman"/>
                <w:kern w:val="0"/>
                <w:sz w:val="21"/>
                <w:szCs w:val="21"/>
                <w:lang w:bidi="ar"/>
              </w:rPr>
              <w:t>最远距离/m</w:t>
            </w:r>
          </w:p>
        </w:tc>
        <w:tc>
          <w:tcPr>
            <w:tcW w:w="3119" w:type="dxa"/>
            <w:gridSpan w:val="2"/>
            <w:noWrap w:val="0"/>
            <w:vAlign w:val="center"/>
          </w:tcPr>
          <w:p w14:paraId="7A33D4E7">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0</w:t>
            </w:r>
          </w:p>
        </w:tc>
        <w:tc>
          <w:tcPr>
            <w:tcW w:w="3119" w:type="dxa"/>
            <w:gridSpan w:val="2"/>
            <w:noWrap w:val="0"/>
            <w:vAlign w:val="center"/>
          </w:tcPr>
          <w:p w14:paraId="4070E76C">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0</w:t>
            </w:r>
          </w:p>
        </w:tc>
      </w:tr>
    </w:tbl>
    <w:p w14:paraId="240767A2">
      <w:pPr>
        <w:pageBreakBefore w:val="0"/>
        <w:kinsoku/>
        <w:wordWrap/>
        <w:topLinePunct w:val="0"/>
        <w:bidi w:val="0"/>
        <w:adjustRightInd/>
        <w:snapToGrid/>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w:t>
      </w:r>
      <w:r>
        <w:rPr>
          <w:rFonts w:hint="eastAsia" w:cs="Times New Roman"/>
          <w:color w:val="auto"/>
          <w:sz w:val="24"/>
          <w:lang w:val="en-US" w:eastAsia="zh-CN"/>
        </w:rPr>
        <w:t>估算</w:t>
      </w:r>
      <w:r>
        <w:rPr>
          <w:rFonts w:hint="default" w:ascii="Times New Roman" w:hAnsi="Times New Roman" w:eastAsia="宋体" w:cs="Times New Roman"/>
          <w:color w:val="auto"/>
          <w:sz w:val="24"/>
        </w:rPr>
        <w:t>结果，项目正常工况下</w:t>
      </w:r>
      <w:r>
        <w:rPr>
          <w:rFonts w:hint="eastAsia" w:cs="Times New Roman"/>
          <w:color w:val="auto"/>
          <w:sz w:val="24"/>
          <w:lang w:val="en-US" w:eastAsia="zh-CN"/>
        </w:rPr>
        <w:t>有组织</w:t>
      </w:r>
      <w:r>
        <w:rPr>
          <w:rFonts w:hint="default" w:ascii="Times New Roman" w:hAnsi="Times New Roman" w:eastAsia="宋体" w:cs="Times New Roman"/>
          <w:color w:val="auto"/>
          <w:sz w:val="24"/>
        </w:rPr>
        <w:t>排放的废气对区域大气环境贡献值很小，对厂址附近大气环境空气敏感点影响较小。非正常工况下排放的废气对区域大气环境贡献值明显增加，因此要加强管理和设备，</w:t>
      </w:r>
      <w:r>
        <w:rPr>
          <w:rFonts w:hint="eastAsia" w:cs="Times New Roman"/>
          <w:color w:val="auto"/>
          <w:sz w:val="24"/>
          <w:lang w:eastAsia="zh-CN"/>
        </w:rPr>
        <w:t>减</w:t>
      </w:r>
      <w:r>
        <w:rPr>
          <w:rFonts w:hint="default" w:ascii="Times New Roman" w:hAnsi="Times New Roman" w:eastAsia="宋体" w:cs="Times New Roman"/>
          <w:color w:val="auto"/>
          <w:sz w:val="24"/>
        </w:rPr>
        <w:t>少非正常工况的产生。</w:t>
      </w:r>
    </w:p>
    <w:p w14:paraId="2FD457E6">
      <w:pPr>
        <w:pageBreakBefore w:val="0"/>
        <w:widowControl w:val="0"/>
        <w:wordWrap/>
        <w:topLinePunct w:val="0"/>
        <w:bidi w:val="0"/>
        <w:adjustRightInd/>
        <w:snapToGrid/>
        <w:spacing w:line="500" w:lineRule="exact"/>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（7）污染物排放量核算</w:t>
      </w:r>
    </w:p>
    <w:p w14:paraId="41E149BE">
      <w:pPr>
        <w:widowControl w:val="0"/>
        <w:overflowPunct w:val="0"/>
        <w:autoSpaceDE w:val="0"/>
        <w:autoSpaceDN w:val="0"/>
        <w:adjustRightInd w:val="0"/>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kern w:val="2"/>
          <w:sz w:val="24"/>
          <w:szCs w:val="24"/>
          <w:lang w:val="en-US" w:eastAsia="zh-CN" w:bidi="ar-SA"/>
        </w:rPr>
        <w:t>根据《环境影响评价技术导则</w:t>
      </w:r>
      <w:r>
        <w:rPr>
          <w:rFonts w:hint="eastAsia"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大气环境》（HJ2.2-2018）的要求，二级评级对污染源的排放量进行核算，</w:t>
      </w:r>
      <w:r>
        <w:rPr>
          <w:rFonts w:ascii="Times New Roman" w:hAnsi="Times New Roman" w:eastAsia="宋体" w:cs="Times New Roman"/>
          <w:color w:val="000000"/>
          <w:kern w:val="2"/>
          <w:sz w:val="24"/>
          <w:szCs w:val="24"/>
          <w:highlight w:val="none"/>
          <w:lang w:val="en-US" w:eastAsia="zh-CN" w:bidi="ar-SA"/>
        </w:rPr>
        <w:t>项目有组织排放核算见表</w:t>
      </w:r>
      <w:r>
        <w:rPr>
          <w:rFonts w:hint="eastAsia" w:eastAsia="宋体" w:cs="Times New Roman"/>
          <w:color w:val="000000"/>
          <w:kern w:val="2"/>
          <w:sz w:val="24"/>
          <w:szCs w:val="24"/>
          <w:highlight w:val="none"/>
          <w:lang w:val="en-US" w:eastAsia="zh-CN" w:bidi="ar-SA"/>
        </w:rPr>
        <w:t>5.2-</w:t>
      </w:r>
      <w:r>
        <w:rPr>
          <w:rFonts w:hint="eastAsia" w:cs="Times New Roman"/>
          <w:color w:val="000000"/>
          <w:kern w:val="2"/>
          <w:sz w:val="24"/>
          <w:szCs w:val="24"/>
          <w:highlight w:val="none"/>
          <w:lang w:val="en-US" w:eastAsia="zh-CN" w:bidi="ar-SA"/>
        </w:rPr>
        <w:t>16</w:t>
      </w:r>
      <w:r>
        <w:rPr>
          <w:rFonts w:ascii="Times New Roman" w:hAnsi="Times New Roman" w:eastAsia="宋体" w:cs="Times New Roman"/>
          <w:color w:val="000000"/>
          <w:kern w:val="2"/>
          <w:sz w:val="24"/>
          <w:szCs w:val="24"/>
          <w:highlight w:val="none"/>
          <w:lang w:val="en-US" w:eastAsia="zh-CN" w:bidi="ar-SA"/>
        </w:rPr>
        <w:t>。</w:t>
      </w:r>
    </w:p>
    <w:p w14:paraId="6CBA5423">
      <w:pPr>
        <w:widowControl w:val="0"/>
        <w:overflowPunct w:val="0"/>
        <w:autoSpaceDE w:val="0"/>
        <w:autoSpaceDN w:val="0"/>
        <w:adjustRightInd w:val="0"/>
        <w:snapToGrid w:val="0"/>
        <w:spacing w:before="0" w:after="0" w:line="500" w:lineRule="exact"/>
        <w:ind w:left="0" w:right="0" w:firstLine="482" w:firstLineChars="200"/>
        <w:jc w:val="center"/>
        <w:rPr>
          <w:rFonts w:ascii="Times New Roman" w:hAnsi="Times New Roman" w:eastAsia="宋体" w:cs="Times New Roman"/>
          <w:b/>
          <w:color w:val="000000"/>
          <w:kern w:val="2"/>
          <w:sz w:val="24"/>
          <w:szCs w:val="24"/>
          <w:highlight w:val="none"/>
          <w:lang w:val="en-US" w:eastAsia="zh-CN" w:bidi="ar-SA"/>
        </w:rPr>
      </w:pPr>
      <w:r>
        <w:rPr>
          <w:rFonts w:ascii="Times New Roman" w:hAnsi="Times New Roman" w:eastAsia="宋体" w:cs="Times New Roman"/>
          <w:b/>
          <w:color w:val="000000"/>
          <w:kern w:val="2"/>
          <w:sz w:val="24"/>
          <w:szCs w:val="24"/>
          <w:highlight w:val="none"/>
          <w:lang w:val="en-US" w:eastAsia="zh-CN" w:bidi="ar-SA"/>
        </w:rPr>
        <w:t>表</w:t>
      </w:r>
      <w:r>
        <w:rPr>
          <w:rFonts w:hint="eastAsia" w:eastAsia="宋体" w:cs="Times New Roman"/>
          <w:b/>
          <w:color w:val="000000"/>
          <w:kern w:val="2"/>
          <w:sz w:val="24"/>
          <w:szCs w:val="24"/>
          <w:highlight w:val="none"/>
          <w:lang w:val="en-US" w:eastAsia="zh-CN" w:bidi="ar-SA"/>
        </w:rPr>
        <w:t>5.2-</w:t>
      </w:r>
      <w:r>
        <w:rPr>
          <w:rFonts w:hint="eastAsia" w:cs="Times New Roman"/>
          <w:b/>
          <w:color w:val="000000"/>
          <w:kern w:val="2"/>
          <w:sz w:val="24"/>
          <w:szCs w:val="24"/>
          <w:highlight w:val="none"/>
          <w:lang w:val="en-US" w:eastAsia="zh-CN" w:bidi="ar-SA"/>
        </w:rPr>
        <w:t>16</w:t>
      </w:r>
      <w:r>
        <w:rPr>
          <w:rFonts w:ascii="Times New Roman" w:hAnsi="Times New Roman" w:eastAsia="宋体" w:cs="Times New Roman"/>
          <w:b/>
          <w:color w:val="000000"/>
          <w:kern w:val="2"/>
          <w:sz w:val="24"/>
          <w:szCs w:val="24"/>
          <w:highlight w:val="none"/>
          <w:lang w:val="en-US" w:eastAsia="zh-CN" w:bidi="ar-SA"/>
        </w:rPr>
        <w:t>本项目</w:t>
      </w:r>
      <w:r>
        <w:rPr>
          <w:rFonts w:hint="eastAsia" w:ascii="Times New Roman" w:hAnsi="Times New Roman" w:eastAsia="宋体" w:cs="Times New Roman"/>
          <w:b/>
          <w:color w:val="000000"/>
          <w:kern w:val="2"/>
          <w:sz w:val="24"/>
          <w:szCs w:val="24"/>
          <w:highlight w:val="none"/>
          <w:lang w:val="en-US" w:eastAsia="zh-CN" w:bidi="ar-SA"/>
        </w:rPr>
        <w:t>有组织</w:t>
      </w:r>
      <w:r>
        <w:rPr>
          <w:rFonts w:ascii="Times New Roman" w:hAnsi="Times New Roman" w:eastAsia="宋体" w:cs="Times New Roman"/>
          <w:b/>
          <w:color w:val="000000"/>
          <w:kern w:val="2"/>
          <w:sz w:val="24"/>
          <w:szCs w:val="24"/>
          <w:highlight w:val="none"/>
          <w:lang w:val="en-US" w:eastAsia="zh-CN" w:bidi="ar-SA"/>
        </w:rPr>
        <w:t>废气排放核算表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40"/>
        <w:gridCol w:w="1561"/>
        <w:gridCol w:w="1464"/>
        <w:gridCol w:w="1843"/>
        <w:gridCol w:w="1571"/>
        <w:gridCol w:w="1625"/>
      </w:tblGrid>
      <w:tr w14:paraId="347B48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noWrap w:val="0"/>
            <w:vAlign w:val="center"/>
          </w:tcPr>
          <w:p w14:paraId="6576737F">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序号</w:t>
            </w:r>
          </w:p>
        </w:tc>
        <w:tc>
          <w:tcPr>
            <w:tcW w:w="1561" w:type="dxa"/>
            <w:noWrap w:val="0"/>
            <w:vAlign w:val="center"/>
          </w:tcPr>
          <w:p w14:paraId="0D718C7F">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排放口编号</w:t>
            </w:r>
          </w:p>
        </w:tc>
        <w:tc>
          <w:tcPr>
            <w:tcW w:w="1464" w:type="dxa"/>
            <w:noWrap w:val="0"/>
            <w:vAlign w:val="center"/>
          </w:tcPr>
          <w:p w14:paraId="7119505C">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污染物</w:t>
            </w:r>
          </w:p>
        </w:tc>
        <w:tc>
          <w:tcPr>
            <w:tcW w:w="1843" w:type="dxa"/>
            <w:noWrap w:val="0"/>
            <w:vAlign w:val="center"/>
          </w:tcPr>
          <w:p w14:paraId="6B104A15">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核算排放浓度/(mg/Nm</w:t>
            </w:r>
            <w:r>
              <w:rPr>
                <w:rFonts w:hint="eastAsia" w:ascii="Times New Roman" w:hAnsi="Times New Roman" w:eastAsia="宋体" w:cs="Times New Roman"/>
                <w:color w:val="000000"/>
                <w:kern w:val="2"/>
                <w:sz w:val="21"/>
                <w:szCs w:val="24"/>
                <w:vertAlign w:val="superscript"/>
                <w:lang w:val="en-US" w:eastAsia="zh-CN"/>
              </w:rPr>
              <w:t>3</w:t>
            </w:r>
            <w:r>
              <w:rPr>
                <w:rFonts w:hint="eastAsia" w:ascii="Times New Roman" w:hAnsi="Times New Roman" w:eastAsia="宋体" w:cs="Times New Roman"/>
                <w:color w:val="000000"/>
                <w:kern w:val="2"/>
                <w:sz w:val="21"/>
                <w:szCs w:val="24"/>
                <w:lang w:val="en-US" w:eastAsia="zh-CN"/>
              </w:rPr>
              <w:t>)</w:t>
            </w:r>
          </w:p>
        </w:tc>
        <w:tc>
          <w:tcPr>
            <w:tcW w:w="1571" w:type="dxa"/>
            <w:noWrap w:val="0"/>
            <w:vAlign w:val="center"/>
          </w:tcPr>
          <w:p w14:paraId="38D4E7C5">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核算排放速率/(kg/h)</w:t>
            </w:r>
          </w:p>
        </w:tc>
        <w:tc>
          <w:tcPr>
            <w:tcW w:w="1625" w:type="dxa"/>
            <w:noWrap w:val="0"/>
            <w:vAlign w:val="center"/>
          </w:tcPr>
          <w:p w14:paraId="2DC36D0F">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核算年排放量/(t/a)</w:t>
            </w:r>
          </w:p>
        </w:tc>
      </w:tr>
      <w:tr w14:paraId="491A26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504" w:type="dxa"/>
            <w:gridSpan w:val="6"/>
            <w:noWrap w:val="0"/>
            <w:vAlign w:val="center"/>
          </w:tcPr>
          <w:p w14:paraId="3DD877FE">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主要排放口</w:t>
            </w:r>
          </w:p>
        </w:tc>
      </w:tr>
      <w:tr w14:paraId="1A0760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noWrap w:val="0"/>
            <w:vAlign w:val="center"/>
          </w:tcPr>
          <w:p w14:paraId="22A438BA">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c>
          <w:tcPr>
            <w:tcW w:w="1561" w:type="dxa"/>
            <w:noWrap w:val="0"/>
            <w:vAlign w:val="center"/>
          </w:tcPr>
          <w:p w14:paraId="6B1D47FB">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c>
          <w:tcPr>
            <w:tcW w:w="1464" w:type="dxa"/>
            <w:noWrap w:val="0"/>
            <w:vAlign w:val="center"/>
          </w:tcPr>
          <w:p w14:paraId="0732134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c>
          <w:tcPr>
            <w:tcW w:w="1843" w:type="dxa"/>
            <w:noWrap w:val="0"/>
            <w:vAlign w:val="center"/>
          </w:tcPr>
          <w:p w14:paraId="4D407CD8">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c>
          <w:tcPr>
            <w:tcW w:w="1571" w:type="dxa"/>
            <w:noWrap w:val="0"/>
            <w:vAlign w:val="center"/>
          </w:tcPr>
          <w:p w14:paraId="4A1DD3B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c>
          <w:tcPr>
            <w:tcW w:w="1625" w:type="dxa"/>
            <w:noWrap w:val="0"/>
            <w:vAlign w:val="center"/>
          </w:tcPr>
          <w:p w14:paraId="5729021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r>
      <w:tr w14:paraId="6FB258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noWrap w:val="0"/>
            <w:vAlign w:val="center"/>
          </w:tcPr>
          <w:p w14:paraId="43B54017">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主要排放口合计</w:t>
            </w:r>
          </w:p>
        </w:tc>
        <w:tc>
          <w:tcPr>
            <w:tcW w:w="4878" w:type="dxa"/>
            <w:gridSpan w:val="3"/>
            <w:noWrap w:val="0"/>
            <w:vAlign w:val="center"/>
          </w:tcPr>
          <w:p w14:paraId="0B39A742">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c>
          <w:tcPr>
            <w:tcW w:w="1625" w:type="dxa"/>
            <w:noWrap w:val="0"/>
            <w:vAlign w:val="center"/>
          </w:tcPr>
          <w:p w14:paraId="5D346A42">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w:t>
            </w:r>
          </w:p>
        </w:tc>
      </w:tr>
      <w:tr w14:paraId="5E8288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504" w:type="dxa"/>
            <w:gridSpan w:val="6"/>
            <w:noWrap w:val="0"/>
            <w:vAlign w:val="center"/>
          </w:tcPr>
          <w:p w14:paraId="60970FC9">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一般排放口</w:t>
            </w:r>
          </w:p>
        </w:tc>
      </w:tr>
      <w:tr w14:paraId="01B033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vMerge w:val="restart"/>
            <w:noWrap w:val="0"/>
            <w:vAlign w:val="center"/>
          </w:tcPr>
          <w:p w14:paraId="70BD9B32">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1</w:t>
            </w:r>
          </w:p>
        </w:tc>
        <w:tc>
          <w:tcPr>
            <w:tcW w:w="1561" w:type="dxa"/>
            <w:vMerge w:val="restart"/>
            <w:noWrap w:val="0"/>
            <w:vAlign w:val="center"/>
          </w:tcPr>
          <w:p w14:paraId="24E20586">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DA001</w:t>
            </w:r>
          </w:p>
          <w:p w14:paraId="701B19ED">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w:t>
            </w:r>
            <w:r>
              <w:rPr>
                <w:rFonts w:hint="eastAsia" w:cs="Times New Roman"/>
                <w:color w:val="000000"/>
                <w:kern w:val="2"/>
                <w:sz w:val="21"/>
                <w:szCs w:val="21"/>
                <w:lang w:val="en-US" w:eastAsia="zh-CN" w:bidi="ar-SA"/>
              </w:rPr>
              <w:t>堆肥间</w:t>
            </w:r>
            <w:r>
              <w:rPr>
                <w:rFonts w:hint="eastAsia" w:ascii="Times New Roman" w:hAnsi="Times New Roman" w:eastAsia="宋体" w:cs="Times New Roman"/>
                <w:color w:val="000000"/>
                <w:kern w:val="2"/>
                <w:sz w:val="21"/>
                <w:szCs w:val="21"/>
                <w:lang w:val="en-US" w:eastAsia="zh-CN" w:bidi="ar-SA"/>
              </w:rPr>
              <w:t>排放口）</w:t>
            </w:r>
          </w:p>
        </w:tc>
        <w:tc>
          <w:tcPr>
            <w:tcW w:w="1464" w:type="dxa"/>
            <w:noWrap w:val="0"/>
            <w:vAlign w:val="center"/>
          </w:tcPr>
          <w:p w14:paraId="28960273">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颗粒物</w:t>
            </w:r>
            <w:r>
              <w:rPr>
                <w:rFonts w:hint="eastAsia" w:eastAsia="宋体" w:cs="Times New Roman"/>
                <w:color w:val="000000"/>
                <w:kern w:val="2"/>
                <w:sz w:val="21"/>
                <w:szCs w:val="24"/>
                <w:lang w:val="en-US" w:eastAsia="zh-CN"/>
              </w:rPr>
              <w:t>（PM</w:t>
            </w:r>
            <w:r>
              <w:rPr>
                <w:rFonts w:hint="eastAsia" w:eastAsia="宋体" w:cs="Times New Roman"/>
                <w:color w:val="000000"/>
                <w:kern w:val="2"/>
                <w:sz w:val="21"/>
                <w:szCs w:val="24"/>
                <w:vertAlign w:val="subscript"/>
                <w:lang w:val="en-US" w:eastAsia="zh-CN"/>
              </w:rPr>
              <w:t>10</w:t>
            </w:r>
            <w:r>
              <w:rPr>
                <w:rFonts w:hint="eastAsia" w:eastAsia="宋体" w:cs="Times New Roman"/>
                <w:color w:val="000000"/>
                <w:kern w:val="2"/>
                <w:sz w:val="21"/>
                <w:szCs w:val="24"/>
                <w:lang w:val="en-US" w:eastAsia="zh-CN"/>
              </w:rPr>
              <w:t>）</w:t>
            </w:r>
          </w:p>
        </w:tc>
        <w:tc>
          <w:tcPr>
            <w:tcW w:w="1843" w:type="dxa"/>
            <w:noWrap w:val="0"/>
            <w:vAlign w:val="center"/>
          </w:tcPr>
          <w:p w14:paraId="585834A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0.8</w:t>
            </w:r>
          </w:p>
        </w:tc>
        <w:tc>
          <w:tcPr>
            <w:tcW w:w="1571" w:type="dxa"/>
            <w:noWrap w:val="0"/>
            <w:vAlign w:val="center"/>
          </w:tcPr>
          <w:p w14:paraId="10EE56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0.0042</w:t>
            </w:r>
          </w:p>
        </w:tc>
        <w:tc>
          <w:tcPr>
            <w:tcW w:w="1625" w:type="dxa"/>
            <w:noWrap w:val="0"/>
            <w:vAlign w:val="center"/>
          </w:tcPr>
          <w:p w14:paraId="0D20998B">
            <w:pPr>
              <w:keepNext w:val="0"/>
              <w:keepLines w:val="0"/>
              <w:widowControl/>
              <w:suppressLineNumbers w:val="0"/>
              <w:jc w:val="center"/>
              <w:textAlignment w:val="center"/>
              <w:rPr>
                <w:rFonts w:hint="default" w:ascii="Times New Roman" w:hAnsi="Times New Roman"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0.02</w:t>
            </w:r>
          </w:p>
        </w:tc>
      </w:tr>
      <w:tr w14:paraId="7BD545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vMerge w:val="continue"/>
            <w:noWrap w:val="0"/>
            <w:vAlign w:val="center"/>
          </w:tcPr>
          <w:p w14:paraId="78837A83">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eastAsia" w:ascii="Times New Roman" w:hAnsi="Times New Roman" w:eastAsia="宋体" w:cs="Times New Roman"/>
                <w:color w:val="000000"/>
                <w:kern w:val="2"/>
                <w:sz w:val="21"/>
                <w:szCs w:val="24"/>
                <w:lang w:val="en-US" w:eastAsia="zh-CN"/>
              </w:rPr>
            </w:pPr>
          </w:p>
        </w:tc>
        <w:tc>
          <w:tcPr>
            <w:tcW w:w="1561" w:type="dxa"/>
            <w:vMerge w:val="continue"/>
            <w:noWrap w:val="0"/>
            <w:vAlign w:val="center"/>
          </w:tcPr>
          <w:p w14:paraId="428A9DF7">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000000"/>
                <w:kern w:val="2"/>
                <w:sz w:val="21"/>
                <w:szCs w:val="21"/>
                <w:lang w:val="en-US" w:eastAsia="zh-CN" w:bidi="ar-SA"/>
              </w:rPr>
            </w:pPr>
          </w:p>
        </w:tc>
        <w:tc>
          <w:tcPr>
            <w:tcW w:w="1464" w:type="dxa"/>
            <w:noWrap w:val="0"/>
            <w:vAlign w:val="center"/>
          </w:tcPr>
          <w:p w14:paraId="5857D2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2"/>
                <w:sz w:val="21"/>
                <w:szCs w:val="24"/>
                <w:lang w:val="en-US" w:eastAsia="zh-CN"/>
              </w:rPr>
            </w:pPr>
            <w:r>
              <w:rPr>
                <w:rFonts w:hint="eastAsia" w:cs="Times New Roman"/>
                <w:sz w:val="21"/>
                <w:szCs w:val="21"/>
                <w:lang w:val="en-US" w:eastAsia="zh-CN"/>
              </w:rPr>
              <w:t>氨</w:t>
            </w:r>
          </w:p>
        </w:tc>
        <w:tc>
          <w:tcPr>
            <w:tcW w:w="1843" w:type="dxa"/>
            <w:noWrap w:val="0"/>
            <w:vAlign w:val="center"/>
          </w:tcPr>
          <w:p w14:paraId="640B5C8B">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571" w:type="dxa"/>
            <w:noWrap w:val="0"/>
            <w:vAlign w:val="center"/>
          </w:tcPr>
          <w:p w14:paraId="1D732437">
            <w:pPr>
              <w:keepNext w:val="0"/>
              <w:keepLines w:val="0"/>
              <w:widowControl/>
              <w:suppressLineNumbers w:val="0"/>
              <w:jc w:val="center"/>
              <w:textAlignment w:val="center"/>
              <w:rPr>
                <w:rFonts w:hint="eastAsia" w:ascii="Times New Roman" w:hAnsi="Times New Roman" w:eastAsia="宋体" w:cs="Times New Roman"/>
                <w:color w:val="auto"/>
                <w:kern w:val="2"/>
                <w:sz w:val="21"/>
                <w:szCs w:val="22"/>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0.0063</w:t>
            </w:r>
          </w:p>
        </w:tc>
        <w:tc>
          <w:tcPr>
            <w:tcW w:w="1625" w:type="dxa"/>
            <w:noWrap w:val="0"/>
            <w:vAlign w:val="center"/>
          </w:tcPr>
          <w:p w14:paraId="2E294E64">
            <w:pPr>
              <w:keepNext w:val="0"/>
              <w:keepLines w:val="0"/>
              <w:widowControl/>
              <w:suppressLineNumbers w:val="0"/>
              <w:jc w:val="center"/>
              <w:textAlignment w:val="center"/>
              <w:rPr>
                <w:rFonts w:hint="eastAsia"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0.03</w:t>
            </w:r>
          </w:p>
        </w:tc>
      </w:tr>
      <w:tr w14:paraId="164418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vMerge w:val="continue"/>
            <w:noWrap w:val="0"/>
            <w:vAlign w:val="center"/>
          </w:tcPr>
          <w:p w14:paraId="12AEDF87">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eastAsia" w:ascii="Times New Roman" w:hAnsi="Times New Roman" w:eastAsia="宋体" w:cs="Times New Roman"/>
                <w:color w:val="000000"/>
                <w:kern w:val="2"/>
                <w:sz w:val="21"/>
                <w:szCs w:val="24"/>
                <w:lang w:val="en-US" w:eastAsia="zh-CN"/>
              </w:rPr>
            </w:pPr>
          </w:p>
        </w:tc>
        <w:tc>
          <w:tcPr>
            <w:tcW w:w="1561" w:type="dxa"/>
            <w:vMerge w:val="continue"/>
            <w:noWrap w:val="0"/>
            <w:vAlign w:val="center"/>
          </w:tcPr>
          <w:p w14:paraId="40B47FAB">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000000"/>
                <w:kern w:val="2"/>
                <w:sz w:val="21"/>
                <w:szCs w:val="21"/>
                <w:lang w:val="en-US" w:eastAsia="zh-CN" w:bidi="ar-SA"/>
              </w:rPr>
            </w:pPr>
          </w:p>
        </w:tc>
        <w:tc>
          <w:tcPr>
            <w:tcW w:w="1464" w:type="dxa"/>
            <w:noWrap w:val="0"/>
            <w:vAlign w:val="center"/>
          </w:tcPr>
          <w:p w14:paraId="399EDC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2"/>
                <w:sz w:val="21"/>
                <w:szCs w:val="24"/>
                <w:lang w:val="en-US" w:eastAsia="zh-CN"/>
              </w:rPr>
            </w:pPr>
            <w:r>
              <w:rPr>
                <w:rFonts w:hint="eastAsia" w:cs="Times New Roman"/>
                <w:sz w:val="21"/>
                <w:szCs w:val="21"/>
                <w:lang w:val="en-US" w:eastAsia="zh-CN"/>
              </w:rPr>
              <w:t>硫化氢</w:t>
            </w:r>
          </w:p>
        </w:tc>
        <w:tc>
          <w:tcPr>
            <w:tcW w:w="1843" w:type="dxa"/>
            <w:noWrap w:val="0"/>
            <w:vAlign w:val="center"/>
          </w:tcPr>
          <w:p w14:paraId="2FCB5E07">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w:t>
            </w:r>
          </w:p>
        </w:tc>
        <w:tc>
          <w:tcPr>
            <w:tcW w:w="1571" w:type="dxa"/>
            <w:noWrap w:val="0"/>
            <w:vAlign w:val="center"/>
          </w:tcPr>
          <w:p w14:paraId="691097BC">
            <w:pPr>
              <w:keepNext w:val="0"/>
              <w:keepLines w:val="0"/>
              <w:widowControl/>
              <w:suppressLineNumbers w:val="0"/>
              <w:jc w:val="center"/>
              <w:textAlignment w:val="center"/>
              <w:rPr>
                <w:rFonts w:hint="eastAsia" w:ascii="Times New Roman" w:hAnsi="Times New Roman" w:eastAsia="宋体" w:cs="Times New Roman"/>
                <w:color w:val="auto"/>
                <w:kern w:val="2"/>
                <w:sz w:val="21"/>
                <w:szCs w:val="22"/>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0.0004</w:t>
            </w:r>
          </w:p>
        </w:tc>
        <w:tc>
          <w:tcPr>
            <w:tcW w:w="1625" w:type="dxa"/>
            <w:noWrap w:val="0"/>
            <w:vAlign w:val="center"/>
          </w:tcPr>
          <w:p w14:paraId="2139B83B">
            <w:pPr>
              <w:keepNext w:val="0"/>
              <w:keepLines w:val="0"/>
              <w:widowControl/>
              <w:suppressLineNumbers w:val="0"/>
              <w:jc w:val="center"/>
              <w:textAlignment w:val="center"/>
              <w:rPr>
                <w:rFonts w:hint="eastAsia"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7522B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noWrap w:val="0"/>
            <w:vAlign w:val="center"/>
          </w:tcPr>
          <w:p w14:paraId="7BCB3FD6">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cs="Times New Roman"/>
                <w:color w:val="000000"/>
                <w:kern w:val="2"/>
                <w:sz w:val="21"/>
                <w:szCs w:val="24"/>
                <w:lang w:val="en-US" w:eastAsia="zh-CN"/>
              </w:rPr>
              <w:t>2</w:t>
            </w:r>
          </w:p>
        </w:tc>
        <w:tc>
          <w:tcPr>
            <w:tcW w:w="1561" w:type="dxa"/>
            <w:noWrap w:val="0"/>
            <w:vAlign w:val="center"/>
          </w:tcPr>
          <w:p w14:paraId="1821B1D4">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DA002（饲料加工排放口）</w:t>
            </w:r>
          </w:p>
        </w:tc>
        <w:tc>
          <w:tcPr>
            <w:tcW w:w="1464" w:type="dxa"/>
            <w:noWrap w:val="0"/>
            <w:vAlign w:val="center"/>
          </w:tcPr>
          <w:p w14:paraId="379BB1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sz w:val="21"/>
                <w:szCs w:val="21"/>
                <w:lang w:val="en-US" w:eastAsia="zh-CN"/>
              </w:rPr>
            </w:pPr>
            <w:r>
              <w:rPr>
                <w:rFonts w:hint="eastAsia" w:ascii="Times New Roman" w:hAnsi="Times New Roman" w:eastAsia="宋体" w:cs="Times New Roman"/>
                <w:color w:val="000000"/>
                <w:kern w:val="2"/>
                <w:sz w:val="21"/>
                <w:szCs w:val="24"/>
                <w:lang w:val="en-US" w:eastAsia="zh-CN"/>
              </w:rPr>
              <w:t>颗粒物</w:t>
            </w:r>
            <w:r>
              <w:rPr>
                <w:rFonts w:hint="eastAsia" w:eastAsia="宋体" w:cs="Times New Roman"/>
                <w:color w:val="000000"/>
                <w:kern w:val="2"/>
                <w:sz w:val="21"/>
                <w:szCs w:val="24"/>
                <w:lang w:val="en-US" w:eastAsia="zh-CN"/>
              </w:rPr>
              <w:t>（PM</w:t>
            </w:r>
            <w:r>
              <w:rPr>
                <w:rFonts w:hint="eastAsia" w:eastAsia="宋体" w:cs="Times New Roman"/>
                <w:color w:val="000000"/>
                <w:kern w:val="2"/>
                <w:sz w:val="21"/>
                <w:szCs w:val="24"/>
                <w:vertAlign w:val="subscript"/>
                <w:lang w:val="en-US" w:eastAsia="zh-CN"/>
              </w:rPr>
              <w:t>10</w:t>
            </w:r>
            <w:r>
              <w:rPr>
                <w:rFonts w:hint="eastAsia" w:eastAsia="宋体" w:cs="Times New Roman"/>
                <w:color w:val="000000"/>
                <w:kern w:val="2"/>
                <w:sz w:val="21"/>
                <w:szCs w:val="24"/>
                <w:lang w:val="en-US" w:eastAsia="zh-CN"/>
              </w:rPr>
              <w:t>）</w:t>
            </w:r>
          </w:p>
        </w:tc>
        <w:tc>
          <w:tcPr>
            <w:tcW w:w="1843" w:type="dxa"/>
            <w:noWrap w:val="0"/>
            <w:vAlign w:val="center"/>
          </w:tcPr>
          <w:p w14:paraId="69BAC7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w:t>
            </w:r>
          </w:p>
        </w:tc>
        <w:tc>
          <w:tcPr>
            <w:tcW w:w="1571" w:type="dxa"/>
            <w:noWrap w:val="0"/>
            <w:vAlign w:val="center"/>
          </w:tcPr>
          <w:p w14:paraId="17EA1E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0.0017</w:t>
            </w:r>
          </w:p>
        </w:tc>
        <w:tc>
          <w:tcPr>
            <w:tcW w:w="1625" w:type="dxa"/>
            <w:noWrap w:val="0"/>
            <w:vAlign w:val="center"/>
          </w:tcPr>
          <w:p w14:paraId="7D17CC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524E5B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restart"/>
            <w:noWrap w:val="0"/>
            <w:vAlign w:val="center"/>
          </w:tcPr>
          <w:p w14:paraId="10B02C40">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一般排放口合计</w:t>
            </w:r>
          </w:p>
        </w:tc>
        <w:tc>
          <w:tcPr>
            <w:tcW w:w="4878" w:type="dxa"/>
            <w:gridSpan w:val="3"/>
            <w:noWrap w:val="0"/>
            <w:vAlign w:val="center"/>
          </w:tcPr>
          <w:p w14:paraId="659FBE9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颗粒物</w:t>
            </w:r>
          </w:p>
        </w:tc>
        <w:tc>
          <w:tcPr>
            <w:tcW w:w="1625" w:type="dxa"/>
            <w:noWrap w:val="0"/>
            <w:vAlign w:val="center"/>
          </w:tcPr>
          <w:p w14:paraId="4B512EC1">
            <w:pPr>
              <w:keepNext w:val="0"/>
              <w:keepLines w:val="0"/>
              <w:widowControl/>
              <w:suppressLineNumbers w:val="0"/>
              <w:jc w:val="center"/>
              <w:textAlignment w:val="center"/>
              <w:rPr>
                <w:rFonts w:hint="default" w:ascii="Times New Roman" w:hAnsi="Times New Roman"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r>
      <w:tr w14:paraId="2B92D2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65149290">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p>
        </w:tc>
        <w:tc>
          <w:tcPr>
            <w:tcW w:w="4878" w:type="dxa"/>
            <w:gridSpan w:val="3"/>
            <w:noWrap w:val="0"/>
            <w:vAlign w:val="center"/>
          </w:tcPr>
          <w:p w14:paraId="13A62D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2"/>
                <w:sz w:val="21"/>
                <w:szCs w:val="24"/>
                <w:lang w:val="en-US" w:eastAsia="zh-CN"/>
              </w:rPr>
            </w:pPr>
            <w:r>
              <w:rPr>
                <w:rFonts w:hint="eastAsia" w:cs="Times New Roman"/>
                <w:sz w:val="21"/>
                <w:szCs w:val="21"/>
                <w:lang w:val="en-US" w:eastAsia="zh-CN"/>
              </w:rPr>
              <w:t>氨</w:t>
            </w:r>
          </w:p>
        </w:tc>
        <w:tc>
          <w:tcPr>
            <w:tcW w:w="1625" w:type="dxa"/>
            <w:noWrap w:val="0"/>
            <w:vAlign w:val="center"/>
          </w:tcPr>
          <w:p w14:paraId="60860C88">
            <w:pPr>
              <w:keepNext w:val="0"/>
              <w:keepLines w:val="0"/>
              <w:widowControl/>
              <w:suppressLineNumbers w:val="0"/>
              <w:jc w:val="center"/>
              <w:textAlignment w:val="center"/>
              <w:rPr>
                <w:rFonts w:hint="eastAsia"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r>
      <w:tr w14:paraId="31F885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7CAEAD31">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p>
        </w:tc>
        <w:tc>
          <w:tcPr>
            <w:tcW w:w="4878" w:type="dxa"/>
            <w:gridSpan w:val="3"/>
            <w:noWrap w:val="0"/>
            <w:vAlign w:val="center"/>
          </w:tcPr>
          <w:p w14:paraId="288D63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2"/>
                <w:sz w:val="21"/>
                <w:szCs w:val="24"/>
                <w:lang w:val="en-US" w:eastAsia="zh-CN"/>
              </w:rPr>
            </w:pPr>
            <w:r>
              <w:rPr>
                <w:rFonts w:hint="eastAsia" w:cs="Times New Roman"/>
                <w:sz w:val="21"/>
                <w:szCs w:val="21"/>
                <w:lang w:val="en-US" w:eastAsia="zh-CN"/>
              </w:rPr>
              <w:t>硫化氢</w:t>
            </w:r>
          </w:p>
        </w:tc>
        <w:tc>
          <w:tcPr>
            <w:tcW w:w="1625" w:type="dxa"/>
            <w:noWrap w:val="0"/>
            <w:vAlign w:val="center"/>
          </w:tcPr>
          <w:p w14:paraId="19B65036">
            <w:pPr>
              <w:keepNext w:val="0"/>
              <w:keepLines w:val="0"/>
              <w:widowControl/>
              <w:suppressLineNumbers w:val="0"/>
              <w:jc w:val="center"/>
              <w:textAlignment w:val="center"/>
              <w:rPr>
                <w:rFonts w:hint="eastAsia"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2</w:t>
            </w:r>
          </w:p>
        </w:tc>
      </w:tr>
      <w:tr w14:paraId="6D2DA8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504" w:type="dxa"/>
            <w:gridSpan w:val="6"/>
            <w:noWrap w:val="0"/>
            <w:vAlign w:val="center"/>
          </w:tcPr>
          <w:p w14:paraId="31987E7A">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default" w:ascii="Times New Roman" w:hAnsi="Times New Roman" w:eastAsia="宋体" w:cs="Times New Roman"/>
                <w:color w:val="000000"/>
                <w:kern w:val="2"/>
                <w:sz w:val="21"/>
                <w:szCs w:val="24"/>
                <w:lang w:val="en-US" w:eastAsia="zh-CN"/>
              </w:rPr>
              <w:t>有组织排放总计</w:t>
            </w:r>
          </w:p>
        </w:tc>
      </w:tr>
      <w:tr w14:paraId="1D1535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restart"/>
            <w:noWrap w:val="0"/>
            <w:vAlign w:val="center"/>
          </w:tcPr>
          <w:p w14:paraId="5D843599">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有组织排放总计</w:t>
            </w:r>
          </w:p>
        </w:tc>
        <w:tc>
          <w:tcPr>
            <w:tcW w:w="4878" w:type="dxa"/>
            <w:gridSpan w:val="3"/>
            <w:noWrap w:val="0"/>
            <w:vAlign w:val="center"/>
          </w:tcPr>
          <w:p w14:paraId="17FE817A">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00"/>
                <w:kern w:val="2"/>
                <w:sz w:val="21"/>
                <w:szCs w:val="24"/>
                <w:lang w:val="en-US" w:eastAsia="zh-CN"/>
              </w:rPr>
            </w:pPr>
            <w:r>
              <w:rPr>
                <w:rFonts w:hint="eastAsia" w:ascii="Times New Roman" w:hAnsi="Times New Roman" w:eastAsia="宋体" w:cs="Times New Roman"/>
                <w:color w:val="000000"/>
                <w:kern w:val="2"/>
                <w:sz w:val="21"/>
                <w:szCs w:val="24"/>
                <w:lang w:val="en-US" w:eastAsia="zh-CN"/>
              </w:rPr>
              <w:t>颗粒物</w:t>
            </w:r>
          </w:p>
        </w:tc>
        <w:tc>
          <w:tcPr>
            <w:tcW w:w="1625" w:type="dxa"/>
            <w:noWrap w:val="0"/>
            <w:vAlign w:val="center"/>
          </w:tcPr>
          <w:p w14:paraId="3244283B">
            <w:pPr>
              <w:keepNext w:val="0"/>
              <w:keepLines w:val="0"/>
              <w:widowControl/>
              <w:suppressLineNumbers w:val="0"/>
              <w:jc w:val="center"/>
              <w:textAlignment w:val="center"/>
              <w:rPr>
                <w:rFonts w:hint="default" w:ascii="Times New Roman" w:hAnsi="Times New Roman"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r>
      <w:tr w14:paraId="092BAB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17DD0B5E">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p>
        </w:tc>
        <w:tc>
          <w:tcPr>
            <w:tcW w:w="4878" w:type="dxa"/>
            <w:gridSpan w:val="3"/>
            <w:noWrap w:val="0"/>
            <w:vAlign w:val="center"/>
          </w:tcPr>
          <w:p w14:paraId="4A6413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2"/>
                <w:sz w:val="21"/>
                <w:szCs w:val="24"/>
                <w:lang w:val="en-US" w:eastAsia="zh-CN"/>
              </w:rPr>
            </w:pPr>
            <w:r>
              <w:rPr>
                <w:rFonts w:hint="eastAsia" w:cs="Times New Roman"/>
                <w:sz w:val="21"/>
                <w:szCs w:val="21"/>
                <w:lang w:val="en-US" w:eastAsia="zh-CN"/>
              </w:rPr>
              <w:t>氨</w:t>
            </w:r>
          </w:p>
        </w:tc>
        <w:tc>
          <w:tcPr>
            <w:tcW w:w="1625" w:type="dxa"/>
            <w:noWrap w:val="0"/>
            <w:vAlign w:val="center"/>
          </w:tcPr>
          <w:p w14:paraId="0729D548">
            <w:pPr>
              <w:keepNext w:val="0"/>
              <w:keepLines w:val="0"/>
              <w:widowControl/>
              <w:suppressLineNumbers w:val="0"/>
              <w:jc w:val="center"/>
              <w:textAlignment w:val="center"/>
              <w:rPr>
                <w:rFonts w:hint="eastAsia"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r>
      <w:tr w14:paraId="5E3345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0F30E029">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eastAsia" w:ascii="Times New Roman" w:hAnsi="Times New Roman" w:eastAsia="宋体" w:cs="Times New Roman"/>
                <w:color w:val="000000"/>
                <w:kern w:val="2"/>
                <w:sz w:val="21"/>
                <w:szCs w:val="24"/>
                <w:lang w:val="en-US" w:eastAsia="zh-CN"/>
              </w:rPr>
            </w:pPr>
          </w:p>
        </w:tc>
        <w:tc>
          <w:tcPr>
            <w:tcW w:w="4878" w:type="dxa"/>
            <w:gridSpan w:val="3"/>
            <w:noWrap w:val="0"/>
            <w:vAlign w:val="center"/>
          </w:tcPr>
          <w:p w14:paraId="43D07D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2"/>
                <w:sz w:val="21"/>
                <w:szCs w:val="24"/>
                <w:lang w:val="en-US" w:eastAsia="zh-CN"/>
              </w:rPr>
            </w:pPr>
            <w:r>
              <w:rPr>
                <w:rFonts w:hint="eastAsia" w:cs="Times New Roman"/>
                <w:sz w:val="21"/>
                <w:szCs w:val="21"/>
                <w:lang w:val="en-US" w:eastAsia="zh-CN"/>
              </w:rPr>
              <w:t>硫化氢</w:t>
            </w:r>
          </w:p>
        </w:tc>
        <w:tc>
          <w:tcPr>
            <w:tcW w:w="1625" w:type="dxa"/>
            <w:noWrap w:val="0"/>
            <w:vAlign w:val="center"/>
          </w:tcPr>
          <w:p w14:paraId="75AB257E">
            <w:pPr>
              <w:keepNext w:val="0"/>
              <w:keepLines w:val="0"/>
              <w:widowControl/>
              <w:suppressLineNumbers w:val="0"/>
              <w:jc w:val="center"/>
              <w:textAlignment w:val="center"/>
              <w:rPr>
                <w:rFonts w:hint="eastAsia" w:eastAsia="宋体" w:cs="Times New Roman"/>
                <w:color w:val="000000"/>
                <w:kern w:val="2"/>
                <w:sz w:val="21"/>
                <w:szCs w:val="24"/>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2</w:t>
            </w:r>
          </w:p>
        </w:tc>
      </w:tr>
    </w:tbl>
    <w:p w14:paraId="5495252B">
      <w:pPr>
        <w:widowControl w:val="0"/>
        <w:overflowPunct w:val="0"/>
        <w:autoSpaceDE w:val="0"/>
        <w:autoSpaceDN w:val="0"/>
        <w:adjustRightInd w:val="0"/>
        <w:snapToGrid w:val="0"/>
        <w:spacing w:before="0" w:after="0" w:line="500" w:lineRule="exact"/>
        <w:ind w:left="0" w:right="0" w:firstLine="482" w:firstLineChars="200"/>
        <w:jc w:val="center"/>
        <w:rPr>
          <w:rFonts w:hint="default" w:ascii="Times New Roman" w:hAnsi="Times New Roman" w:eastAsia="宋体" w:cs="Times New Roman"/>
          <w:b/>
          <w:color w:val="000000"/>
          <w:kern w:val="2"/>
          <w:sz w:val="24"/>
          <w:szCs w:val="24"/>
          <w:highlight w:val="none"/>
          <w:lang w:val="en-US" w:eastAsia="zh-CN" w:bidi="ar-SA"/>
        </w:rPr>
      </w:pPr>
      <w:r>
        <w:rPr>
          <w:rFonts w:hint="default" w:ascii="Times New Roman" w:hAnsi="Times New Roman" w:eastAsia="宋体" w:cs="Times New Roman"/>
          <w:b/>
          <w:color w:val="000000"/>
          <w:kern w:val="2"/>
          <w:sz w:val="24"/>
          <w:szCs w:val="24"/>
          <w:highlight w:val="none"/>
          <w:lang w:val="en-US" w:eastAsia="zh-CN" w:bidi="ar-SA"/>
        </w:rPr>
        <w:t>表</w:t>
      </w:r>
      <w:r>
        <w:rPr>
          <w:rFonts w:hint="default" w:ascii="Times New Roman" w:hAnsi="Times New Roman" w:eastAsia="宋体" w:cs="Times New Roman"/>
          <w:b/>
          <w:kern w:val="0"/>
          <w:sz w:val="24"/>
          <w:szCs w:val="24"/>
          <w:lang w:val="en-US" w:eastAsia="zh-CN" w:bidi="ar-SA"/>
        </w:rPr>
        <w:t>5.</w:t>
      </w:r>
      <w:r>
        <w:rPr>
          <w:rFonts w:hint="eastAsia" w:ascii="Times New Roman" w:hAnsi="Times New Roman" w:eastAsia="宋体" w:cs="Times New Roman"/>
          <w:b/>
          <w:kern w:val="0"/>
          <w:sz w:val="24"/>
          <w:szCs w:val="24"/>
          <w:lang w:val="en-US" w:eastAsia="zh-CN" w:bidi="ar-SA"/>
        </w:rPr>
        <w:t>2-</w:t>
      </w:r>
      <w:r>
        <w:rPr>
          <w:rFonts w:hint="eastAsia" w:cs="Times New Roman"/>
          <w:b/>
          <w:kern w:val="0"/>
          <w:sz w:val="24"/>
          <w:szCs w:val="24"/>
          <w:lang w:val="en-US" w:eastAsia="zh-CN" w:bidi="ar-SA"/>
        </w:rPr>
        <w:t>17</w:t>
      </w:r>
      <w:r>
        <w:rPr>
          <w:rFonts w:hint="default" w:ascii="Times New Roman" w:hAnsi="Times New Roman" w:eastAsia="宋体" w:cs="Times New Roman"/>
          <w:b/>
          <w:color w:val="000000"/>
          <w:kern w:val="2"/>
          <w:sz w:val="24"/>
          <w:szCs w:val="24"/>
          <w:highlight w:val="none"/>
          <w:lang w:val="en-US" w:eastAsia="zh-CN" w:bidi="ar-SA"/>
        </w:rPr>
        <w:t>本项目</w:t>
      </w:r>
      <w:r>
        <w:rPr>
          <w:rFonts w:hint="eastAsia" w:ascii="Times New Roman" w:hAnsi="Times New Roman" w:eastAsia="宋体" w:cs="Times New Roman"/>
          <w:b/>
          <w:color w:val="000000"/>
          <w:kern w:val="2"/>
          <w:sz w:val="24"/>
          <w:szCs w:val="24"/>
          <w:highlight w:val="none"/>
          <w:lang w:val="en-US" w:eastAsia="zh-CN" w:bidi="ar-SA"/>
        </w:rPr>
        <w:t>有组织</w:t>
      </w:r>
      <w:r>
        <w:rPr>
          <w:rFonts w:hint="default" w:ascii="Times New Roman" w:hAnsi="Times New Roman" w:eastAsia="宋体" w:cs="Times New Roman"/>
          <w:b/>
          <w:color w:val="000000"/>
          <w:kern w:val="2"/>
          <w:sz w:val="24"/>
          <w:szCs w:val="24"/>
          <w:highlight w:val="none"/>
          <w:lang w:val="en-US" w:eastAsia="zh-CN" w:bidi="ar-SA"/>
        </w:rPr>
        <w:t>大气污染物年排放核算表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344"/>
        <w:gridCol w:w="3246"/>
        <w:gridCol w:w="2914"/>
      </w:tblGrid>
      <w:tr w14:paraId="6715D3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1C3E00A2">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序号</w:t>
            </w:r>
          </w:p>
        </w:tc>
        <w:tc>
          <w:tcPr>
            <w:tcW w:w="3246" w:type="dxa"/>
            <w:tcBorders>
              <w:tl2br w:val="nil"/>
              <w:tr2bl w:val="nil"/>
            </w:tcBorders>
            <w:noWrap w:val="0"/>
            <w:vAlign w:val="center"/>
          </w:tcPr>
          <w:p w14:paraId="79E5B257">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污染物</w:t>
            </w:r>
          </w:p>
        </w:tc>
        <w:tc>
          <w:tcPr>
            <w:tcW w:w="2914" w:type="dxa"/>
            <w:tcBorders>
              <w:tl2br w:val="nil"/>
              <w:tr2bl w:val="nil"/>
            </w:tcBorders>
            <w:noWrap w:val="0"/>
            <w:vAlign w:val="center"/>
          </w:tcPr>
          <w:p w14:paraId="66AFBDF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年排放量/(t/a)</w:t>
            </w:r>
          </w:p>
        </w:tc>
      </w:tr>
      <w:tr w14:paraId="48AE49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558CF78E">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000000"/>
                <w:kern w:val="2"/>
                <w:sz w:val="21"/>
                <w:szCs w:val="21"/>
                <w:lang w:val="en-US" w:eastAsia="zh-CN"/>
              </w:rPr>
              <w:t>1</w:t>
            </w:r>
          </w:p>
        </w:tc>
        <w:tc>
          <w:tcPr>
            <w:tcW w:w="3246" w:type="dxa"/>
            <w:tcBorders>
              <w:tl2br w:val="nil"/>
              <w:tr2bl w:val="nil"/>
            </w:tcBorders>
            <w:noWrap w:val="0"/>
            <w:vAlign w:val="center"/>
          </w:tcPr>
          <w:p w14:paraId="3560698A">
            <w:pPr>
              <w:widowControl w:val="0"/>
              <w:overflowPunct w:val="0"/>
              <w:autoSpaceDE w:val="0"/>
              <w:autoSpaceDN w:val="0"/>
              <w:bidi w:val="0"/>
              <w:adjustRightInd w:val="0"/>
              <w:snapToGrid w:val="0"/>
              <w:spacing w:line="300" w:lineRule="atLeast"/>
              <w:jc w:val="center"/>
              <w:textAlignment w:val="baseline"/>
              <w:rPr>
                <w:rFonts w:hint="default" w:ascii="宋体" w:hAnsi="宋体" w:eastAsia="宋体" w:cs="Times New Roman"/>
                <w:bCs/>
                <w:color w:val="000000"/>
                <w:kern w:val="2"/>
                <w:sz w:val="21"/>
                <w:szCs w:val="21"/>
                <w:highlight w:val="none"/>
                <w:lang w:val="en-US" w:eastAsia="zh-CN" w:bidi="ar-SA"/>
              </w:rPr>
            </w:pPr>
            <w:r>
              <w:rPr>
                <w:rFonts w:hint="eastAsia" w:ascii="Times New Roman" w:hAnsi="Times New Roman" w:eastAsia="宋体" w:cs="Times New Roman"/>
                <w:color w:val="000000"/>
                <w:kern w:val="0"/>
                <w:sz w:val="21"/>
                <w:szCs w:val="22"/>
                <w:lang w:val="en-US" w:eastAsia="zh-CN" w:bidi="ar-SA"/>
              </w:rPr>
              <w:t>颗粒物</w:t>
            </w:r>
          </w:p>
        </w:tc>
        <w:tc>
          <w:tcPr>
            <w:tcW w:w="2914" w:type="dxa"/>
            <w:tcBorders>
              <w:tl2br w:val="nil"/>
              <w:tr2bl w:val="nil"/>
            </w:tcBorders>
            <w:noWrap w:val="0"/>
            <w:vAlign w:val="center"/>
          </w:tcPr>
          <w:p w14:paraId="3B2577AC">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r>
      <w:tr w14:paraId="2F0412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3BEFBDDA">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2</w:t>
            </w:r>
          </w:p>
        </w:tc>
        <w:tc>
          <w:tcPr>
            <w:tcW w:w="3246" w:type="dxa"/>
            <w:tcBorders>
              <w:tl2br w:val="nil"/>
              <w:tr2bl w:val="nil"/>
            </w:tcBorders>
            <w:noWrap w:val="0"/>
            <w:vAlign w:val="center"/>
          </w:tcPr>
          <w:p w14:paraId="52BCDB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2"/>
                <w:sz w:val="21"/>
                <w:szCs w:val="24"/>
                <w:lang w:val="en-US" w:eastAsia="zh-CN" w:bidi="ar-SA"/>
              </w:rPr>
            </w:pPr>
            <w:r>
              <w:rPr>
                <w:rFonts w:hint="eastAsia" w:cs="Times New Roman"/>
                <w:sz w:val="21"/>
                <w:szCs w:val="21"/>
                <w:lang w:val="en-US" w:eastAsia="zh-CN"/>
              </w:rPr>
              <w:t>氨</w:t>
            </w:r>
          </w:p>
        </w:tc>
        <w:tc>
          <w:tcPr>
            <w:tcW w:w="2914" w:type="dxa"/>
            <w:tcBorders>
              <w:tl2br w:val="nil"/>
              <w:tr2bl w:val="nil"/>
            </w:tcBorders>
            <w:noWrap w:val="0"/>
            <w:vAlign w:val="center"/>
          </w:tcPr>
          <w:p w14:paraId="5C5749F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p>
        </w:tc>
      </w:tr>
      <w:tr w14:paraId="1E27B3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6C072547">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3</w:t>
            </w:r>
          </w:p>
        </w:tc>
        <w:tc>
          <w:tcPr>
            <w:tcW w:w="3246" w:type="dxa"/>
            <w:tcBorders>
              <w:tl2br w:val="nil"/>
              <w:tr2bl w:val="nil"/>
            </w:tcBorders>
            <w:noWrap w:val="0"/>
            <w:vAlign w:val="center"/>
          </w:tcPr>
          <w:p w14:paraId="533F23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0"/>
                <w:sz w:val="21"/>
                <w:szCs w:val="22"/>
                <w:lang w:val="en-US" w:eastAsia="zh-CN" w:bidi="ar-SA"/>
              </w:rPr>
            </w:pPr>
            <w:r>
              <w:rPr>
                <w:rFonts w:hint="eastAsia" w:cs="Times New Roman"/>
                <w:sz w:val="21"/>
                <w:szCs w:val="21"/>
                <w:lang w:val="en-US" w:eastAsia="zh-CN"/>
              </w:rPr>
              <w:t>硫化氢</w:t>
            </w:r>
          </w:p>
        </w:tc>
        <w:tc>
          <w:tcPr>
            <w:tcW w:w="2914" w:type="dxa"/>
            <w:tcBorders>
              <w:tl2br w:val="nil"/>
              <w:tr2bl w:val="nil"/>
            </w:tcBorders>
            <w:noWrap w:val="0"/>
            <w:vAlign w:val="center"/>
          </w:tcPr>
          <w:p w14:paraId="2D2B6BB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2</w:t>
            </w:r>
          </w:p>
        </w:tc>
      </w:tr>
    </w:tbl>
    <w:p w14:paraId="14F870CD">
      <w:pPr>
        <w:pageBreakBefore w:val="0"/>
        <w:widowControl w:val="0"/>
        <w:wordWrap/>
        <w:topLinePunct w:val="0"/>
        <w:bidi w:val="0"/>
        <w:adjustRightInd/>
        <w:snapToGrid/>
        <w:spacing w:line="500" w:lineRule="exact"/>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无组织排放核算见表5.</w:t>
      </w: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18</w:t>
      </w:r>
      <w:r>
        <w:rPr>
          <w:rFonts w:hint="default" w:ascii="Times New Roman" w:hAnsi="Times New Roman" w:eastAsia="宋体" w:cs="Times New Roman"/>
          <w:kern w:val="2"/>
          <w:sz w:val="24"/>
          <w:szCs w:val="24"/>
          <w:lang w:val="en-US" w:eastAsia="zh-CN" w:bidi="ar-SA"/>
        </w:rPr>
        <w:t>。</w:t>
      </w:r>
    </w:p>
    <w:p w14:paraId="76E91991">
      <w:pPr>
        <w:pageBreakBefore w:val="0"/>
        <w:widowControl w:val="0"/>
        <w:wordWrap/>
        <w:topLinePunct w:val="0"/>
        <w:bidi w:val="0"/>
        <w:adjustRightInd/>
        <w:snapToGrid/>
        <w:spacing w:line="520" w:lineRule="exact"/>
        <w:ind w:firstLine="420"/>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表5.</w:t>
      </w:r>
      <w:r>
        <w:rPr>
          <w:rFonts w:hint="eastAsia" w:ascii="Times New Roman" w:hAnsi="Times New Roman" w:eastAsia="宋体" w:cs="Times New Roman"/>
          <w:b/>
          <w:kern w:val="0"/>
          <w:sz w:val="24"/>
          <w:szCs w:val="24"/>
          <w:lang w:val="en-US" w:eastAsia="zh-CN" w:bidi="ar-SA"/>
        </w:rPr>
        <w:t>2-</w:t>
      </w:r>
      <w:r>
        <w:rPr>
          <w:rFonts w:hint="eastAsia" w:cs="Times New Roman"/>
          <w:b/>
          <w:kern w:val="0"/>
          <w:sz w:val="24"/>
          <w:szCs w:val="24"/>
          <w:lang w:val="en-US" w:eastAsia="zh-CN" w:bidi="ar-SA"/>
        </w:rPr>
        <w:t>18</w:t>
      </w:r>
      <w:r>
        <w:rPr>
          <w:rFonts w:hint="default" w:ascii="Times New Roman" w:hAnsi="Times New Roman" w:eastAsia="宋体" w:cs="Times New Roman"/>
          <w:b/>
          <w:kern w:val="0"/>
          <w:sz w:val="24"/>
          <w:szCs w:val="24"/>
          <w:lang w:val="en-US" w:eastAsia="zh-CN" w:bidi="ar-SA"/>
        </w:rPr>
        <w:t>本项目无组织废气排放核算表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446"/>
        <w:gridCol w:w="1530"/>
        <w:gridCol w:w="967"/>
        <w:gridCol w:w="1483"/>
        <w:gridCol w:w="2030"/>
        <w:gridCol w:w="1116"/>
        <w:gridCol w:w="932"/>
      </w:tblGrid>
      <w:tr w14:paraId="714E9BB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restart"/>
            <w:noWrap w:val="0"/>
            <w:vAlign w:val="center"/>
          </w:tcPr>
          <w:p w14:paraId="3FA33E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1530" w:type="dxa"/>
            <w:vMerge w:val="restart"/>
            <w:noWrap w:val="0"/>
            <w:vAlign w:val="center"/>
          </w:tcPr>
          <w:p w14:paraId="3AA82D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排放口编号</w:t>
            </w:r>
          </w:p>
        </w:tc>
        <w:tc>
          <w:tcPr>
            <w:tcW w:w="967" w:type="dxa"/>
            <w:vMerge w:val="restart"/>
            <w:noWrap w:val="0"/>
            <w:vAlign w:val="center"/>
          </w:tcPr>
          <w:p w14:paraId="4B20BD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污染物</w:t>
            </w:r>
          </w:p>
        </w:tc>
        <w:tc>
          <w:tcPr>
            <w:tcW w:w="1483" w:type="dxa"/>
            <w:vMerge w:val="restart"/>
            <w:noWrap w:val="0"/>
            <w:vAlign w:val="center"/>
          </w:tcPr>
          <w:p w14:paraId="606D3B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主要污染防治措施</w:t>
            </w:r>
          </w:p>
        </w:tc>
        <w:tc>
          <w:tcPr>
            <w:tcW w:w="3146" w:type="dxa"/>
            <w:gridSpan w:val="2"/>
            <w:noWrap w:val="0"/>
            <w:vAlign w:val="center"/>
          </w:tcPr>
          <w:p w14:paraId="37AD0D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国家或地方污染物排放标准</w:t>
            </w:r>
          </w:p>
        </w:tc>
        <w:tc>
          <w:tcPr>
            <w:tcW w:w="932" w:type="dxa"/>
            <w:vMerge w:val="restart"/>
            <w:noWrap w:val="0"/>
            <w:vAlign w:val="center"/>
          </w:tcPr>
          <w:p w14:paraId="475FCC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rPr>
              <w:t>年排放量/</w:t>
            </w:r>
            <w:r>
              <w:rPr>
                <w:rFonts w:hint="default" w:ascii="Times New Roman" w:hAnsi="Times New Roman" w:eastAsia="宋体" w:cs="Times New Roman"/>
                <w:b/>
                <w:bCs/>
                <w:sz w:val="21"/>
                <w:szCs w:val="21"/>
                <w:lang w:eastAsia="zh-CN"/>
              </w:rPr>
              <w:t>（</w:t>
            </w:r>
            <w:r>
              <w:rPr>
                <w:rFonts w:hint="default" w:ascii="Times New Roman" w:hAnsi="Times New Roman" w:eastAsia="宋体" w:cs="Times New Roman"/>
                <w:b/>
                <w:bCs/>
                <w:sz w:val="21"/>
                <w:szCs w:val="21"/>
              </w:rPr>
              <w:t>t/a</w:t>
            </w:r>
            <w:r>
              <w:rPr>
                <w:rFonts w:hint="default" w:ascii="Times New Roman" w:hAnsi="Times New Roman" w:eastAsia="宋体" w:cs="Times New Roman"/>
                <w:b/>
                <w:bCs/>
                <w:sz w:val="21"/>
                <w:szCs w:val="21"/>
                <w:lang w:eastAsia="zh-CN"/>
              </w:rPr>
              <w:t>）</w:t>
            </w:r>
          </w:p>
        </w:tc>
      </w:tr>
      <w:tr w14:paraId="4C3A31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continue"/>
            <w:noWrap w:val="0"/>
            <w:vAlign w:val="center"/>
          </w:tcPr>
          <w:p w14:paraId="4374A3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p>
        </w:tc>
        <w:tc>
          <w:tcPr>
            <w:tcW w:w="1530" w:type="dxa"/>
            <w:vMerge w:val="continue"/>
            <w:noWrap w:val="0"/>
            <w:vAlign w:val="center"/>
          </w:tcPr>
          <w:p w14:paraId="7FF9EE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p>
        </w:tc>
        <w:tc>
          <w:tcPr>
            <w:tcW w:w="967" w:type="dxa"/>
            <w:vMerge w:val="continue"/>
            <w:noWrap w:val="0"/>
            <w:vAlign w:val="center"/>
          </w:tcPr>
          <w:p w14:paraId="51EDD0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p>
        </w:tc>
        <w:tc>
          <w:tcPr>
            <w:tcW w:w="1483" w:type="dxa"/>
            <w:vMerge w:val="continue"/>
            <w:noWrap w:val="0"/>
            <w:vAlign w:val="center"/>
          </w:tcPr>
          <w:p w14:paraId="1A0AC0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p>
        </w:tc>
        <w:tc>
          <w:tcPr>
            <w:tcW w:w="2030" w:type="dxa"/>
            <w:noWrap w:val="0"/>
            <w:vAlign w:val="center"/>
          </w:tcPr>
          <w:p w14:paraId="221A6B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标准名称</w:t>
            </w:r>
          </w:p>
        </w:tc>
        <w:tc>
          <w:tcPr>
            <w:tcW w:w="1116" w:type="dxa"/>
            <w:noWrap w:val="0"/>
            <w:vAlign w:val="center"/>
          </w:tcPr>
          <w:p w14:paraId="29C973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rPr>
              <w:t>浓度限值/</w:t>
            </w:r>
            <w:r>
              <w:rPr>
                <w:rFonts w:hint="default" w:ascii="Times New Roman" w:hAnsi="Times New Roman" w:eastAsia="宋体" w:cs="Times New Roman"/>
                <w:b/>
                <w:bCs/>
                <w:sz w:val="21"/>
                <w:szCs w:val="21"/>
                <w:lang w:eastAsia="zh-CN"/>
              </w:rPr>
              <w:t>（</w:t>
            </w:r>
            <w:r>
              <w:rPr>
                <w:rFonts w:hint="default" w:ascii="Times New Roman" w:hAnsi="Times New Roman" w:eastAsia="宋体" w:cs="Times New Roman"/>
                <w:b/>
                <w:bCs/>
                <w:sz w:val="21"/>
                <w:szCs w:val="21"/>
              </w:rPr>
              <w:t>mg/m</w:t>
            </w:r>
            <w:r>
              <w:rPr>
                <w:rFonts w:hint="default" w:ascii="Times New Roman" w:hAnsi="Times New Roman" w:eastAsia="宋体" w:cs="Times New Roman"/>
                <w:b/>
                <w:bCs/>
                <w:sz w:val="21"/>
                <w:szCs w:val="21"/>
                <w:vertAlign w:val="superscript"/>
              </w:rPr>
              <w:t>3</w:t>
            </w:r>
            <w:r>
              <w:rPr>
                <w:rFonts w:hint="default" w:ascii="Times New Roman" w:hAnsi="Times New Roman" w:eastAsia="宋体" w:cs="Times New Roman"/>
                <w:b/>
                <w:bCs/>
                <w:sz w:val="21"/>
                <w:szCs w:val="21"/>
                <w:lang w:eastAsia="zh-CN"/>
              </w:rPr>
              <w:t>）</w:t>
            </w:r>
          </w:p>
        </w:tc>
        <w:tc>
          <w:tcPr>
            <w:tcW w:w="932" w:type="dxa"/>
            <w:vMerge w:val="continue"/>
            <w:noWrap w:val="0"/>
            <w:vAlign w:val="center"/>
          </w:tcPr>
          <w:p w14:paraId="10F0E8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r>
      <w:tr w14:paraId="3DB82C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restart"/>
            <w:noWrap w:val="0"/>
            <w:vAlign w:val="center"/>
          </w:tcPr>
          <w:p w14:paraId="6BFBDA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530" w:type="dxa"/>
            <w:vMerge w:val="restart"/>
            <w:noWrap w:val="0"/>
            <w:vAlign w:val="center"/>
          </w:tcPr>
          <w:p w14:paraId="4E705F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厂界</w:t>
            </w:r>
          </w:p>
        </w:tc>
        <w:tc>
          <w:tcPr>
            <w:tcW w:w="967" w:type="dxa"/>
            <w:noWrap w:val="0"/>
            <w:vAlign w:val="center"/>
          </w:tcPr>
          <w:p w14:paraId="4ED1B9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氨</w:t>
            </w:r>
          </w:p>
        </w:tc>
        <w:tc>
          <w:tcPr>
            <w:tcW w:w="1483" w:type="dxa"/>
            <w:vMerge w:val="restart"/>
            <w:noWrap w:val="0"/>
            <w:vAlign w:val="center"/>
          </w:tcPr>
          <w:p w14:paraId="694BB1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cs="Times New Roman"/>
                <w:bCs/>
                <w:sz w:val="21"/>
                <w:szCs w:val="21"/>
                <w:lang w:val="en-US" w:eastAsia="zh-CN"/>
              </w:rPr>
              <w:t>养</w:t>
            </w:r>
            <w:r>
              <w:rPr>
                <w:rFonts w:hint="eastAsia" w:ascii="Times New Roman" w:hAnsi="Times New Roman" w:eastAsia="宋体" w:cs="Times New Roman"/>
                <w:sz w:val="21"/>
                <w:szCs w:val="21"/>
                <w:lang w:val="en-US" w:eastAsia="zh-CN"/>
              </w:rPr>
              <w:t>殖区：</w:t>
            </w:r>
            <w:r>
              <w:rPr>
                <w:rFonts w:hint="default" w:ascii="Times New Roman" w:hAnsi="Times New Roman" w:eastAsia="宋体" w:cs="Times New Roman"/>
                <w:sz w:val="21"/>
                <w:szCs w:val="21"/>
              </w:rPr>
              <w:t>控制</w:t>
            </w:r>
            <w:r>
              <w:rPr>
                <w:rFonts w:hint="eastAsia" w:ascii="Times New Roman" w:hAnsi="Times New Roman" w:eastAsia="宋体" w:cs="Times New Roman"/>
                <w:sz w:val="21"/>
                <w:szCs w:val="21"/>
                <w:lang w:val="en-US" w:eastAsia="zh-CN"/>
              </w:rPr>
              <w:t>饲养</w:t>
            </w:r>
            <w:r>
              <w:rPr>
                <w:rFonts w:hint="default" w:ascii="Times New Roman" w:hAnsi="Times New Roman" w:eastAsia="宋体" w:cs="Times New Roman"/>
                <w:sz w:val="21"/>
                <w:szCs w:val="21"/>
              </w:rPr>
              <w:t>密度</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及时清理粪污</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eastAsia="zh-CN"/>
              </w:rPr>
              <w:t>场区</w:t>
            </w:r>
            <w:r>
              <w:rPr>
                <w:rFonts w:hint="default" w:ascii="Times New Roman" w:hAnsi="Times New Roman" w:eastAsia="宋体" w:cs="Times New Roman"/>
                <w:sz w:val="21"/>
                <w:szCs w:val="21"/>
              </w:rPr>
              <w:t>绿化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喷洒生物除臭剂</w:t>
            </w:r>
            <w:r>
              <w:rPr>
                <w:rFonts w:hint="eastAsia" w:ascii="Times New Roman" w:hAnsi="Times New Roman" w:eastAsia="宋体" w:cs="Times New Roman"/>
                <w:sz w:val="21"/>
                <w:szCs w:val="21"/>
                <w:lang w:eastAsia="zh-CN"/>
              </w:rPr>
              <w:t>；</w:t>
            </w:r>
            <w:r>
              <w:rPr>
                <w:rFonts w:hint="eastAsia" w:cs="Times New Roman"/>
                <w:sz w:val="21"/>
                <w:szCs w:val="21"/>
                <w:lang w:val="en-US" w:eastAsia="zh-CN"/>
              </w:rPr>
              <w:t>堆肥间</w:t>
            </w:r>
            <w:r>
              <w:rPr>
                <w:rFonts w:hint="eastAsia" w:ascii="Times New Roman" w:hAnsi="Times New Roman" w:eastAsia="宋体" w:cs="Times New Roman"/>
                <w:sz w:val="21"/>
                <w:szCs w:val="21"/>
                <w:lang w:val="en-US" w:eastAsia="zh-CN"/>
              </w:rPr>
              <w:t>：封闭式作业</w:t>
            </w:r>
            <w:r>
              <w:rPr>
                <w:rFonts w:hint="eastAsia" w:cs="Times New Roman"/>
                <w:sz w:val="21"/>
                <w:szCs w:val="21"/>
                <w:lang w:eastAsia="zh-CN"/>
              </w:rPr>
              <w:t>；</w:t>
            </w:r>
          </w:p>
          <w:p w14:paraId="74B0E5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lang w:val="en-US" w:eastAsia="zh-CN"/>
              </w:rPr>
            </w:pPr>
            <w:r>
              <w:rPr>
                <w:rFonts w:hint="eastAsia" w:cs="Times New Roman"/>
                <w:sz w:val="21"/>
                <w:szCs w:val="21"/>
                <w:lang w:val="en-US" w:eastAsia="zh-CN"/>
              </w:rPr>
              <w:t>堆肥间</w:t>
            </w:r>
            <w:r>
              <w:rPr>
                <w:rFonts w:hint="eastAsia" w:ascii="Times New Roman" w:hAnsi="Times New Roman" w:eastAsia="宋体" w:cs="Times New Roman"/>
                <w:color w:val="auto"/>
                <w:kern w:val="0"/>
                <w:sz w:val="21"/>
                <w:szCs w:val="21"/>
                <w:highlight w:val="none"/>
                <w:lang w:val="en-US" w:eastAsia="zh-CN"/>
              </w:rPr>
              <w:t>生物除臭</w:t>
            </w:r>
          </w:p>
        </w:tc>
        <w:tc>
          <w:tcPr>
            <w:tcW w:w="2030" w:type="dxa"/>
            <w:vMerge w:val="restart"/>
            <w:noWrap w:val="0"/>
            <w:vAlign w:val="center"/>
          </w:tcPr>
          <w:p w14:paraId="182E8A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《恶臭污染物排放标准》</w:t>
            </w:r>
            <w:r>
              <w:rPr>
                <w:rFonts w:hint="eastAsia" w:cs="Times New Roman"/>
                <w:sz w:val="21"/>
                <w:szCs w:val="21"/>
                <w:lang w:eastAsia="zh-CN"/>
              </w:rPr>
              <w:t>（</w:t>
            </w:r>
            <w:r>
              <w:rPr>
                <w:rFonts w:hint="default" w:ascii="Times New Roman" w:hAnsi="Times New Roman" w:eastAsia="宋体" w:cs="Times New Roman"/>
                <w:sz w:val="21"/>
                <w:szCs w:val="21"/>
              </w:rPr>
              <w:t>GB14554-93</w:t>
            </w:r>
            <w:r>
              <w:rPr>
                <w:rFonts w:hint="eastAsia" w:cs="Times New Roman"/>
                <w:sz w:val="21"/>
                <w:szCs w:val="21"/>
                <w:lang w:eastAsia="zh-CN"/>
              </w:rPr>
              <w:t>）</w:t>
            </w:r>
          </w:p>
        </w:tc>
        <w:tc>
          <w:tcPr>
            <w:tcW w:w="1116" w:type="dxa"/>
            <w:noWrap w:val="0"/>
            <w:vAlign w:val="center"/>
          </w:tcPr>
          <w:p w14:paraId="5A106E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932" w:type="dxa"/>
            <w:noWrap w:val="0"/>
            <w:vAlign w:val="center"/>
          </w:tcPr>
          <w:p w14:paraId="59C4FC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cs="Times New Roman"/>
                <w:sz w:val="21"/>
                <w:szCs w:val="21"/>
                <w:lang w:val="en-US" w:eastAsia="zh-CN"/>
              </w:rPr>
              <w:t>62</w:t>
            </w:r>
          </w:p>
        </w:tc>
      </w:tr>
      <w:tr w14:paraId="16E3929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continue"/>
            <w:noWrap w:val="0"/>
            <w:vAlign w:val="center"/>
          </w:tcPr>
          <w:p w14:paraId="0421BB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1530" w:type="dxa"/>
            <w:vMerge w:val="continue"/>
            <w:noWrap w:val="0"/>
            <w:vAlign w:val="center"/>
          </w:tcPr>
          <w:p w14:paraId="48BBC6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967" w:type="dxa"/>
            <w:noWrap w:val="0"/>
            <w:vAlign w:val="center"/>
          </w:tcPr>
          <w:p w14:paraId="7A4D74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硫化氢</w:t>
            </w:r>
          </w:p>
        </w:tc>
        <w:tc>
          <w:tcPr>
            <w:tcW w:w="1483" w:type="dxa"/>
            <w:vMerge w:val="continue"/>
            <w:noWrap w:val="0"/>
            <w:vAlign w:val="center"/>
          </w:tcPr>
          <w:p w14:paraId="06C203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2030" w:type="dxa"/>
            <w:vMerge w:val="continue"/>
            <w:noWrap w:val="0"/>
            <w:vAlign w:val="center"/>
          </w:tcPr>
          <w:p w14:paraId="645F9A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1116" w:type="dxa"/>
            <w:noWrap w:val="0"/>
            <w:vAlign w:val="center"/>
          </w:tcPr>
          <w:p w14:paraId="2F81A8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0.06</w:t>
            </w:r>
          </w:p>
        </w:tc>
        <w:tc>
          <w:tcPr>
            <w:tcW w:w="932" w:type="dxa"/>
            <w:noWrap w:val="0"/>
            <w:vAlign w:val="center"/>
          </w:tcPr>
          <w:p w14:paraId="447CB8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w:t>
            </w:r>
            <w:r>
              <w:rPr>
                <w:rFonts w:hint="eastAsia" w:cs="Times New Roman"/>
                <w:sz w:val="21"/>
                <w:szCs w:val="21"/>
                <w:lang w:val="en-US" w:eastAsia="zh-CN"/>
              </w:rPr>
              <w:t>2</w:t>
            </w:r>
          </w:p>
        </w:tc>
      </w:tr>
      <w:tr w14:paraId="2BE274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continue"/>
            <w:noWrap w:val="0"/>
            <w:vAlign w:val="center"/>
          </w:tcPr>
          <w:p w14:paraId="7BB28F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1530" w:type="dxa"/>
            <w:vMerge w:val="continue"/>
            <w:noWrap w:val="0"/>
            <w:vAlign w:val="center"/>
          </w:tcPr>
          <w:p w14:paraId="56B90A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967" w:type="dxa"/>
            <w:noWrap w:val="0"/>
            <w:vAlign w:val="center"/>
          </w:tcPr>
          <w:p w14:paraId="7C714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颗粒物（TSP）</w:t>
            </w:r>
          </w:p>
        </w:tc>
        <w:tc>
          <w:tcPr>
            <w:tcW w:w="1483" w:type="dxa"/>
            <w:noWrap w:val="0"/>
            <w:vAlign w:val="center"/>
          </w:tcPr>
          <w:p w14:paraId="59F5DA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bCs/>
                <w:sz w:val="21"/>
                <w:szCs w:val="21"/>
                <w:lang w:val="en-US" w:eastAsia="zh-CN"/>
              </w:rPr>
              <w:t>养</w:t>
            </w:r>
            <w:r>
              <w:rPr>
                <w:rFonts w:hint="eastAsia" w:ascii="Times New Roman" w:hAnsi="Times New Roman" w:eastAsia="宋体" w:cs="Times New Roman"/>
                <w:sz w:val="21"/>
                <w:szCs w:val="21"/>
                <w:lang w:val="en-US" w:eastAsia="zh-CN"/>
              </w:rPr>
              <w:t>殖区：</w:t>
            </w:r>
            <w:r>
              <w:rPr>
                <w:rFonts w:hint="default" w:ascii="Times New Roman" w:hAnsi="Times New Roman" w:eastAsia="宋体" w:cs="Times New Roman"/>
                <w:sz w:val="21"/>
                <w:szCs w:val="21"/>
                <w:lang w:val="en-US" w:eastAsia="zh-CN"/>
              </w:rPr>
              <w:t>封闭式作业</w:t>
            </w:r>
            <w:r>
              <w:rPr>
                <w:rFonts w:hint="eastAsia" w:ascii="Times New Roman" w:hAnsi="Times New Roman" w:eastAsia="宋体" w:cs="Times New Roman"/>
                <w:sz w:val="21"/>
                <w:szCs w:val="21"/>
                <w:lang w:val="en-US" w:eastAsia="zh-CN"/>
              </w:rPr>
              <w:t>；</w:t>
            </w:r>
            <w:r>
              <w:rPr>
                <w:rFonts w:hint="eastAsia" w:cs="Times New Roman"/>
                <w:sz w:val="21"/>
                <w:szCs w:val="21"/>
                <w:lang w:val="en-US" w:eastAsia="zh-CN"/>
              </w:rPr>
              <w:t>堆肥间</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封闭式作业+润湿搅拌工艺</w:t>
            </w:r>
          </w:p>
        </w:tc>
        <w:tc>
          <w:tcPr>
            <w:tcW w:w="2030" w:type="dxa"/>
            <w:noWrap w:val="0"/>
            <w:vAlign w:val="center"/>
          </w:tcPr>
          <w:p w14:paraId="2C2753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eastAsia="zh-CN"/>
              </w:rPr>
              <w:t>《</w:t>
            </w:r>
            <w:r>
              <w:rPr>
                <w:rFonts w:hint="eastAsia" w:cs="Times New Roman"/>
                <w:sz w:val="21"/>
                <w:szCs w:val="21"/>
                <w:lang w:val="en-US" w:eastAsia="zh-CN"/>
              </w:rPr>
              <w:t>大气污染物综合排放标准</w:t>
            </w:r>
            <w:r>
              <w:rPr>
                <w:rFonts w:hint="eastAsia" w:cs="Times New Roman"/>
                <w:sz w:val="21"/>
                <w:szCs w:val="21"/>
                <w:lang w:eastAsia="zh-CN"/>
              </w:rPr>
              <w:t>》（</w:t>
            </w:r>
            <w:r>
              <w:rPr>
                <w:rFonts w:hint="eastAsia" w:cs="Times New Roman"/>
                <w:sz w:val="21"/>
                <w:szCs w:val="21"/>
                <w:lang w:val="en-US" w:eastAsia="zh-CN"/>
              </w:rPr>
              <w:t>GB16297-1996</w:t>
            </w:r>
            <w:r>
              <w:rPr>
                <w:rFonts w:hint="eastAsia" w:cs="Times New Roman"/>
                <w:sz w:val="21"/>
                <w:szCs w:val="21"/>
                <w:lang w:eastAsia="zh-CN"/>
              </w:rPr>
              <w:t>）</w:t>
            </w:r>
          </w:p>
        </w:tc>
        <w:tc>
          <w:tcPr>
            <w:tcW w:w="1116" w:type="dxa"/>
            <w:noWrap w:val="0"/>
            <w:vAlign w:val="center"/>
          </w:tcPr>
          <w:p w14:paraId="488E76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932" w:type="dxa"/>
            <w:noWrap w:val="0"/>
            <w:vAlign w:val="center"/>
          </w:tcPr>
          <w:p w14:paraId="1FA03E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1.10</w:t>
            </w:r>
          </w:p>
        </w:tc>
      </w:tr>
      <w:tr w14:paraId="547A40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restart"/>
            <w:noWrap w:val="0"/>
            <w:vAlign w:val="center"/>
          </w:tcPr>
          <w:p w14:paraId="098D60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2</w:t>
            </w:r>
          </w:p>
        </w:tc>
        <w:tc>
          <w:tcPr>
            <w:tcW w:w="1530" w:type="dxa"/>
            <w:vMerge w:val="restart"/>
            <w:noWrap w:val="0"/>
            <w:vAlign w:val="center"/>
          </w:tcPr>
          <w:p w14:paraId="38F096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还田区</w:t>
            </w:r>
          </w:p>
        </w:tc>
        <w:tc>
          <w:tcPr>
            <w:tcW w:w="967" w:type="dxa"/>
            <w:noWrap w:val="0"/>
            <w:vAlign w:val="center"/>
          </w:tcPr>
          <w:p w14:paraId="2B42FD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sz w:val="21"/>
                <w:szCs w:val="21"/>
                <w:lang w:val="en-US" w:eastAsia="zh-CN"/>
              </w:rPr>
            </w:pPr>
            <w:r>
              <w:rPr>
                <w:rFonts w:hint="eastAsia" w:cs="Times New Roman"/>
                <w:sz w:val="21"/>
                <w:szCs w:val="21"/>
                <w:lang w:val="en-US" w:eastAsia="zh-CN"/>
              </w:rPr>
              <w:t>氨</w:t>
            </w:r>
          </w:p>
        </w:tc>
        <w:tc>
          <w:tcPr>
            <w:tcW w:w="1483" w:type="dxa"/>
            <w:vMerge w:val="restart"/>
            <w:noWrap w:val="0"/>
            <w:vAlign w:val="center"/>
          </w:tcPr>
          <w:p w14:paraId="6A36BB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sz w:val="21"/>
                <w:szCs w:val="21"/>
                <w:lang w:val="en-US" w:eastAsia="zh-CN"/>
              </w:rPr>
            </w:pPr>
            <w:r>
              <w:rPr>
                <w:rFonts w:hint="eastAsia" w:cs="Times New Roman"/>
                <w:bCs/>
                <w:sz w:val="21"/>
                <w:szCs w:val="21"/>
                <w:lang w:val="en-US" w:eastAsia="zh-CN"/>
              </w:rPr>
              <w:t>适量轮作施肥</w:t>
            </w:r>
          </w:p>
        </w:tc>
        <w:tc>
          <w:tcPr>
            <w:tcW w:w="2030" w:type="dxa"/>
            <w:vMerge w:val="restart"/>
            <w:noWrap w:val="0"/>
            <w:vAlign w:val="center"/>
          </w:tcPr>
          <w:p w14:paraId="51174D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sz w:val="21"/>
                <w:szCs w:val="21"/>
                <w:lang w:eastAsia="zh-CN"/>
              </w:rPr>
            </w:pPr>
            <w:r>
              <w:rPr>
                <w:rFonts w:hint="default" w:ascii="Times New Roman" w:hAnsi="Times New Roman" w:eastAsia="宋体" w:cs="Times New Roman"/>
                <w:sz w:val="21"/>
                <w:szCs w:val="21"/>
              </w:rPr>
              <w:t>《恶臭污染物排放标准》</w:t>
            </w:r>
            <w:r>
              <w:rPr>
                <w:rFonts w:hint="eastAsia" w:cs="Times New Roman"/>
                <w:sz w:val="21"/>
                <w:szCs w:val="21"/>
                <w:lang w:eastAsia="zh-CN"/>
              </w:rPr>
              <w:t>（</w:t>
            </w:r>
            <w:r>
              <w:rPr>
                <w:rFonts w:hint="default" w:ascii="Times New Roman" w:hAnsi="Times New Roman" w:eastAsia="宋体" w:cs="Times New Roman"/>
                <w:sz w:val="21"/>
                <w:szCs w:val="21"/>
              </w:rPr>
              <w:t>GB14554-93</w:t>
            </w:r>
            <w:r>
              <w:rPr>
                <w:rFonts w:hint="eastAsia" w:cs="Times New Roman"/>
                <w:sz w:val="21"/>
                <w:szCs w:val="21"/>
                <w:lang w:eastAsia="zh-CN"/>
              </w:rPr>
              <w:t>）</w:t>
            </w:r>
          </w:p>
        </w:tc>
        <w:tc>
          <w:tcPr>
            <w:tcW w:w="1116" w:type="dxa"/>
            <w:noWrap w:val="0"/>
            <w:vAlign w:val="center"/>
          </w:tcPr>
          <w:p w14:paraId="53DB60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sz w:val="21"/>
                <w:szCs w:val="21"/>
                <w:lang w:val="en-US" w:eastAsia="zh-CN"/>
              </w:rPr>
            </w:pPr>
            <w:r>
              <w:rPr>
                <w:rFonts w:hint="default" w:ascii="Times New Roman" w:hAnsi="Times New Roman" w:eastAsia="宋体" w:cs="Times New Roman"/>
                <w:sz w:val="21"/>
                <w:szCs w:val="21"/>
              </w:rPr>
              <w:t>1.5</w:t>
            </w:r>
          </w:p>
        </w:tc>
        <w:tc>
          <w:tcPr>
            <w:tcW w:w="932" w:type="dxa"/>
            <w:noWrap w:val="0"/>
            <w:vAlign w:val="center"/>
          </w:tcPr>
          <w:p w14:paraId="23BFDF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1.04</w:t>
            </w:r>
          </w:p>
        </w:tc>
      </w:tr>
      <w:tr w14:paraId="697FFFD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continue"/>
            <w:noWrap w:val="0"/>
            <w:vAlign w:val="center"/>
          </w:tcPr>
          <w:p w14:paraId="20B115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sz w:val="21"/>
                <w:szCs w:val="21"/>
                <w:lang w:val="en-US" w:eastAsia="zh-CN"/>
              </w:rPr>
            </w:pPr>
          </w:p>
        </w:tc>
        <w:tc>
          <w:tcPr>
            <w:tcW w:w="1530" w:type="dxa"/>
            <w:vMerge w:val="continue"/>
            <w:noWrap w:val="0"/>
            <w:vAlign w:val="center"/>
          </w:tcPr>
          <w:p w14:paraId="6F46CD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sz w:val="21"/>
                <w:szCs w:val="21"/>
                <w:lang w:val="en-US" w:eastAsia="zh-CN"/>
              </w:rPr>
            </w:pPr>
          </w:p>
        </w:tc>
        <w:tc>
          <w:tcPr>
            <w:tcW w:w="967" w:type="dxa"/>
            <w:noWrap w:val="0"/>
            <w:vAlign w:val="center"/>
          </w:tcPr>
          <w:p w14:paraId="636E90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sz w:val="21"/>
                <w:szCs w:val="21"/>
                <w:lang w:val="en-US" w:eastAsia="zh-CN"/>
              </w:rPr>
            </w:pPr>
            <w:r>
              <w:rPr>
                <w:rFonts w:hint="eastAsia" w:cs="Times New Roman"/>
                <w:sz w:val="21"/>
                <w:szCs w:val="21"/>
                <w:lang w:val="en-US" w:eastAsia="zh-CN"/>
              </w:rPr>
              <w:t>硫化氢</w:t>
            </w:r>
          </w:p>
        </w:tc>
        <w:tc>
          <w:tcPr>
            <w:tcW w:w="1483" w:type="dxa"/>
            <w:vMerge w:val="continue"/>
            <w:noWrap w:val="0"/>
            <w:vAlign w:val="center"/>
          </w:tcPr>
          <w:p w14:paraId="7B1A5A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Cs/>
                <w:sz w:val="21"/>
                <w:szCs w:val="21"/>
                <w:lang w:val="en-US" w:eastAsia="zh-CN"/>
              </w:rPr>
            </w:pPr>
          </w:p>
        </w:tc>
        <w:tc>
          <w:tcPr>
            <w:tcW w:w="2030" w:type="dxa"/>
            <w:vMerge w:val="continue"/>
            <w:noWrap w:val="0"/>
            <w:vAlign w:val="center"/>
          </w:tcPr>
          <w:p w14:paraId="7328F4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1116" w:type="dxa"/>
            <w:noWrap w:val="0"/>
            <w:vAlign w:val="center"/>
          </w:tcPr>
          <w:p w14:paraId="515124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0.06</w:t>
            </w:r>
          </w:p>
        </w:tc>
        <w:tc>
          <w:tcPr>
            <w:tcW w:w="932" w:type="dxa"/>
            <w:noWrap w:val="0"/>
            <w:vAlign w:val="center"/>
          </w:tcPr>
          <w:p w14:paraId="05CE0B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w:t>
            </w:r>
          </w:p>
        </w:tc>
      </w:tr>
      <w:tr w14:paraId="1E8C954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4" w:type="dxa"/>
            <w:gridSpan w:val="7"/>
            <w:noWrap w:val="0"/>
            <w:vAlign w:val="center"/>
          </w:tcPr>
          <w:p w14:paraId="7C6F21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无组织排放总计</w:t>
            </w:r>
          </w:p>
        </w:tc>
      </w:tr>
      <w:tr w14:paraId="2AE0C7E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976" w:type="dxa"/>
            <w:gridSpan w:val="2"/>
            <w:vMerge w:val="restart"/>
            <w:noWrap w:val="0"/>
            <w:vAlign w:val="center"/>
          </w:tcPr>
          <w:p w14:paraId="4E7DC0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无组织排放总计</w:t>
            </w:r>
          </w:p>
        </w:tc>
        <w:tc>
          <w:tcPr>
            <w:tcW w:w="5596" w:type="dxa"/>
            <w:gridSpan w:val="4"/>
            <w:noWrap w:val="0"/>
            <w:vAlign w:val="center"/>
          </w:tcPr>
          <w:p w14:paraId="0E0FDD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氨</w:t>
            </w:r>
          </w:p>
        </w:tc>
        <w:tc>
          <w:tcPr>
            <w:tcW w:w="932" w:type="dxa"/>
            <w:noWrap w:val="0"/>
            <w:vAlign w:val="center"/>
          </w:tcPr>
          <w:p w14:paraId="116B6D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1.66</w:t>
            </w:r>
          </w:p>
        </w:tc>
      </w:tr>
      <w:tr w14:paraId="715795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976" w:type="dxa"/>
            <w:gridSpan w:val="2"/>
            <w:vMerge w:val="continue"/>
            <w:noWrap w:val="0"/>
            <w:vAlign w:val="center"/>
          </w:tcPr>
          <w:p w14:paraId="068805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5596" w:type="dxa"/>
            <w:gridSpan w:val="4"/>
            <w:noWrap w:val="0"/>
            <w:vAlign w:val="center"/>
          </w:tcPr>
          <w:p w14:paraId="40EAEB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硫化氢</w:t>
            </w:r>
          </w:p>
        </w:tc>
        <w:tc>
          <w:tcPr>
            <w:tcW w:w="932" w:type="dxa"/>
            <w:noWrap w:val="0"/>
            <w:vAlign w:val="center"/>
          </w:tcPr>
          <w:p w14:paraId="731870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rPr>
            </w:pPr>
            <w:r>
              <w:rPr>
                <w:rFonts w:hint="eastAsia" w:cs="Times New Roman"/>
                <w:sz w:val="21"/>
                <w:szCs w:val="21"/>
                <w:lang w:val="en-US" w:eastAsia="zh-CN"/>
              </w:rPr>
              <w:t>0.022</w:t>
            </w:r>
          </w:p>
        </w:tc>
      </w:tr>
      <w:tr w14:paraId="065D28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976" w:type="dxa"/>
            <w:gridSpan w:val="2"/>
            <w:vMerge w:val="continue"/>
            <w:noWrap w:val="0"/>
            <w:vAlign w:val="center"/>
          </w:tcPr>
          <w:p w14:paraId="23C6A1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5596" w:type="dxa"/>
            <w:gridSpan w:val="4"/>
            <w:noWrap w:val="0"/>
            <w:vAlign w:val="center"/>
          </w:tcPr>
          <w:p w14:paraId="1AD819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颗粒物（TSP）</w:t>
            </w:r>
          </w:p>
        </w:tc>
        <w:tc>
          <w:tcPr>
            <w:tcW w:w="932" w:type="dxa"/>
            <w:noWrap w:val="0"/>
            <w:vAlign w:val="center"/>
          </w:tcPr>
          <w:p w14:paraId="4FBD54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Times New Roman"/>
                <w:bCs/>
                <w:sz w:val="21"/>
                <w:szCs w:val="21"/>
                <w:lang w:val="en-US" w:eastAsia="zh-CN"/>
              </w:rPr>
            </w:pPr>
            <w:r>
              <w:rPr>
                <w:rFonts w:hint="eastAsia" w:cs="Times New Roman"/>
                <w:sz w:val="21"/>
                <w:szCs w:val="21"/>
                <w:lang w:val="en-US" w:eastAsia="zh-CN"/>
              </w:rPr>
              <w:t>1.10</w:t>
            </w:r>
          </w:p>
        </w:tc>
      </w:tr>
    </w:tbl>
    <w:p w14:paraId="7FCFFC3E">
      <w:pPr>
        <w:widowControl w:val="0"/>
        <w:overflowPunct w:val="0"/>
        <w:autoSpaceDE w:val="0"/>
        <w:autoSpaceDN w:val="0"/>
        <w:adjustRightInd w:val="0"/>
        <w:snapToGrid w:val="0"/>
        <w:spacing w:before="0" w:after="0" w:line="360" w:lineRule="auto"/>
        <w:ind w:left="0" w:right="0" w:firstLine="482" w:firstLineChars="200"/>
        <w:jc w:val="center"/>
        <w:rPr>
          <w:rFonts w:hint="default" w:ascii="Times New Roman" w:hAnsi="Times New Roman" w:eastAsia="宋体" w:cs="Times New Roman"/>
          <w:b/>
          <w:color w:val="000000"/>
          <w:kern w:val="2"/>
          <w:sz w:val="24"/>
          <w:szCs w:val="24"/>
          <w:highlight w:val="none"/>
          <w:lang w:val="en-US" w:eastAsia="zh-CN" w:bidi="ar-SA"/>
        </w:rPr>
      </w:pPr>
      <w:r>
        <w:rPr>
          <w:rFonts w:hint="default" w:ascii="Times New Roman" w:hAnsi="Times New Roman" w:eastAsia="宋体" w:cs="Times New Roman"/>
          <w:b/>
          <w:color w:val="000000"/>
          <w:kern w:val="2"/>
          <w:sz w:val="24"/>
          <w:szCs w:val="24"/>
          <w:highlight w:val="none"/>
          <w:lang w:val="en-US" w:eastAsia="zh-CN" w:bidi="ar-SA"/>
        </w:rPr>
        <w:t>表</w:t>
      </w:r>
      <w:r>
        <w:rPr>
          <w:rFonts w:hint="default" w:ascii="Times New Roman" w:hAnsi="Times New Roman" w:eastAsia="宋体" w:cs="Times New Roman"/>
          <w:b/>
          <w:kern w:val="0"/>
          <w:sz w:val="24"/>
          <w:szCs w:val="24"/>
          <w:lang w:val="en-US" w:eastAsia="zh-CN" w:bidi="ar-SA"/>
        </w:rPr>
        <w:t>5.</w:t>
      </w:r>
      <w:r>
        <w:rPr>
          <w:rFonts w:hint="eastAsia" w:ascii="Times New Roman" w:hAnsi="Times New Roman" w:eastAsia="宋体" w:cs="Times New Roman"/>
          <w:b/>
          <w:kern w:val="0"/>
          <w:sz w:val="24"/>
          <w:szCs w:val="24"/>
          <w:lang w:val="en-US" w:eastAsia="zh-CN" w:bidi="ar-SA"/>
        </w:rPr>
        <w:t>2-</w:t>
      </w:r>
      <w:r>
        <w:rPr>
          <w:rFonts w:hint="eastAsia" w:cs="Times New Roman"/>
          <w:b/>
          <w:kern w:val="0"/>
          <w:sz w:val="24"/>
          <w:szCs w:val="24"/>
          <w:lang w:val="en-US" w:eastAsia="zh-CN" w:bidi="ar-SA"/>
        </w:rPr>
        <w:t>19</w:t>
      </w:r>
      <w:r>
        <w:rPr>
          <w:rFonts w:hint="default" w:ascii="Times New Roman" w:hAnsi="Times New Roman" w:eastAsia="宋体" w:cs="Times New Roman"/>
          <w:b/>
          <w:color w:val="000000"/>
          <w:kern w:val="2"/>
          <w:sz w:val="24"/>
          <w:szCs w:val="24"/>
          <w:highlight w:val="none"/>
          <w:lang w:val="en-US" w:eastAsia="zh-CN" w:bidi="ar-SA"/>
        </w:rPr>
        <w:t>本项目</w:t>
      </w:r>
      <w:r>
        <w:rPr>
          <w:rFonts w:hint="eastAsia" w:ascii="Times New Roman" w:hAnsi="Times New Roman" w:eastAsia="宋体" w:cs="Times New Roman"/>
          <w:b/>
          <w:color w:val="000000"/>
          <w:kern w:val="2"/>
          <w:sz w:val="24"/>
          <w:szCs w:val="24"/>
          <w:highlight w:val="none"/>
          <w:lang w:val="en-US" w:eastAsia="zh-CN" w:bidi="ar-SA"/>
        </w:rPr>
        <w:t>无组织</w:t>
      </w:r>
      <w:r>
        <w:rPr>
          <w:rFonts w:hint="default" w:ascii="Times New Roman" w:hAnsi="Times New Roman" w:eastAsia="宋体" w:cs="Times New Roman"/>
          <w:b/>
          <w:color w:val="000000"/>
          <w:kern w:val="2"/>
          <w:sz w:val="24"/>
          <w:szCs w:val="24"/>
          <w:highlight w:val="none"/>
          <w:lang w:val="en-US" w:eastAsia="zh-CN" w:bidi="ar-SA"/>
        </w:rPr>
        <w:t>大气污染物年排放核算表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344"/>
        <w:gridCol w:w="3246"/>
        <w:gridCol w:w="2914"/>
      </w:tblGrid>
      <w:tr w14:paraId="6B1847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7D9C7ED1">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序号</w:t>
            </w:r>
          </w:p>
        </w:tc>
        <w:tc>
          <w:tcPr>
            <w:tcW w:w="3246" w:type="dxa"/>
            <w:tcBorders>
              <w:tl2br w:val="nil"/>
              <w:tr2bl w:val="nil"/>
            </w:tcBorders>
            <w:noWrap w:val="0"/>
            <w:vAlign w:val="center"/>
          </w:tcPr>
          <w:p w14:paraId="77A7C92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污染物</w:t>
            </w:r>
          </w:p>
        </w:tc>
        <w:tc>
          <w:tcPr>
            <w:tcW w:w="2914" w:type="dxa"/>
            <w:tcBorders>
              <w:tl2br w:val="nil"/>
              <w:tr2bl w:val="nil"/>
            </w:tcBorders>
            <w:noWrap w:val="0"/>
            <w:vAlign w:val="center"/>
          </w:tcPr>
          <w:p w14:paraId="03840A3A">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rPr>
              <w:t>年排放量/(t/a)</w:t>
            </w:r>
          </w:p>
        </w:tc>
      </w:tr>
      <w:tr w14:paraId="7E38C3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7EBFE8B5">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000000"/>
                <w:kern w:val="2"/>
                <w:sz w:val="21"/>
                <w:szCs w:val="21"/>
                <w:lang w:val="en-US" w:eastAsia="zh-CN"/>
              </w:rPr>
              <w:t>1</w:t>
            </w:r>
          </w:p>
        </w:tc>
        <w:tc>
          <w:tcPr>
            <w:tcW w:w="3246" w:type="dxa"/>
            <w:tcBorders>
              <w:tl2br w:val="nil"/>
              <w:tr2bl w:val="nil"/>
            </w:tcBorders>
            <w:noWrap w:val="0"/>
            <w:vAlign w:val="center"/>
          </w:tcPr>
          <w:p w14:paraId="6872B0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000000"/>
                <w:kern w:val="2"/>
                <w:sz w:val="21"/>
                <w:szCs w:val="21"/>
                <w:highlight w:val="none"/>
                <w:lang w:val="en-US" w:eastAsia="zh-CN" w:bidi="ar-SA"/>
              </w:rPr>
            </w:pPr>
            <w:r>
              <w:rPr>
                <w:rFonts w:hint="eastAsia" w:cs="Times New Roman"/>
                <w:sz w:val="21"/>
                <w:szCs w:val="21"/>
                <w:lang w:val="en-US" w:eastAsia="zh-CN"/>
              </w:rPr>
              <w:t>氨</w:t>
            </w:r>
          </w:p>
        </w:tc>
        <w:tc>
          <w:tcPr>
            <w:tcW w:w="2914" w:type="dxa"/>
            <w:tcBorders>
              <w:tl2br w:val="nil"/>
              <w:tr2bl w:val="nil"/>
            </w:tcBorders>
            <w:noWrap w:val="0"/>
            <w:vAlign w:val="center"/>
          </w:tcPr>
          <w:p w14:paraId="285BBD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sz w:val="21"/>
                <w:szCs w:val="21"/>
                <w:lang w:val="en-US" w:eastAsia="zh-CN"/>
              </w:rPr>
              <w:t>1.66</w:t>
            </w:r>
          </w:p>
        </w:tc>
      </w:tr>
      <w:tr w14:paraId="782AE3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6F0F3A15">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2</w:t>
            </w:r>
          </w:p>
        </w:tc>
        <w:tc>
          <w:tcPr>
            <w:tcW w:w="3246" w:type="dxa"/>
            <w:tcBorders>
              <w:tl2br w:val="nil"/>
              <w:tr2bl w:val="nil"/>
            </w:tcBorders>
            <w:noWrap w:val="0"/>
            <w:vAlign w:val="center"/>
          </w:tcPr>
          <w:p w14:paraId="103990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硫化氢</w:t>
            </w:r>
          </w:p>
        </w:tc>
        <w:tc>
          <w:tcPr>
            <w:tcW w:w="2914" w:type="dxa"/>
            <w:tcBorders>
              <w:tl2br w:val="nil"/>
              <w:tr2bl w:val="nil"/>
            </w:tcBorders>
            <w:noWrap w:val="0"/>
            <w:vAlign w:val="center"/>
          </w:tcPr>
          <w:p w14:paraId="75C4F5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kern w:val="2"/>
                <w:sz w:val="21"/>
                <w:szCs w:val="21"/>
                <w:lang w:val="en-US" w:eastAsia="zh-CN"/>
              </w:rPr>
            </w:pPr>
            <w:r>
              <w:rPr>
                <w:rFonts w:hint="eastAsia" w:cs="Times New Roman"/>
                <w:sz w:val="21"/>
                <w:szCs w:val="21"/>
                <w:lang w:val="en-US" w:eastAsia="zh-CN"/>
              </w:rPr>
              <w:t>0.022</w:t>
            </w:r>
          </w:p>
        </w:tc>
      </w:tr>
      <w:tr w14:paraId="71A5B1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tl2br w:val="nil"/>
              <w:tr2bl w:val="nil"/>
            </w:tcBorders>
            <w:noWrap w:val="0"/>
            <w:vAlign w:val="center"/>
          </w:tcPr>
          <w:p w14:paraId="5C044DB1">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3</w:t>
            </w:r>
          </w:p>
        </w:tc>
        <w:tc>
          <w:tcPr>
            <w:tcW w:w="3246" w:type="dxa"/>
            <w:tcBorders>
              <w:tl2br w:val="nil"/>
              <w:tr2bl w:val="nil"/>
            </w:tcBorders>
            <w:noWrap w:val="0"/>
            <w:vAlign w:val="center"/>
          </w:tcPr>
          <w:p w14:paraId="74DE1B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sz w:val="21"/>
                <w:lang w:val="en-US" w:eastAsia="zh-CN" w:bidi="ar-SA"/>
              </w:rPr>
            </w:pPr>
            <w:r>
              <w:rPr>
                <w:rFonts w:hint="eastAsia" w:ascii="Times New Roman" w:hAnsi="Times New Roman" w:eastAsia="宋体" w:cs="Times New Roman"/>
                <w:sz w:val="21"/>
                <w:szCs w:val="21"/>
                <w:lang w:val="en-US" w:eastAsia="zh-CN"/>
              </w:rPr>
              <w:t>颗粒物（TSP）</w:t>
            </w:r>
          </w:p>
        </w:tc>
        <w:tc>
          <w:tcPr>
            <w:tcW w:w="2914" w:type="dxa"/>
            <w:tcBorders>
              <w:tl2br w:val="nil"/>
              <w:tr2bl w:val="nil"/>
            </w:tcBorders>
            <w:noWrap w:val="0"/>
            <w:vAlign w:val="center"/>
          </w:tcPr>
          <w:p w14:paraId="4196D2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1"/>
                <w:szCs w:val="21"/>
                <w:lang w:val="en-US" w:eastAsia="zh-CN"/>
              </w:rPr>
            </w:pPr>
            <w:r>
              <w:rPr>
                <w:rFonts w:hint="eastAsia" w:cs="Times New Roman"/>
                <w:sz w:val="21"/>
                <w:szCs w:val="21"/>
                <w:lang w:val="en-US" w:eastAsia="zh-CN"/>
              </w:rPr>
              <w:t>1.10</w:t>
            </w:r>
          </w:p>
        </w:tc>
      </w:tr>
    </w:tbl>
    <w:p w14:paraId="792CCB0B">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5.</w:t>
      </w:r>
      <w:r>
        <w:rPr>
          <w:rFonts w:hint="eastAsia"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1</w:t>
      </w:r>
      <w:r>
        <w:rPr>
          <w:rFonts w:hint="eastAsia"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防护距离</w:t>
      </w:r>
    </w:p>
    <w:p w14:paraId="343FBF39">
      <w:pPr>
        <w:bidi w:val="0"/>
        <w:spacing w:line="360" w:lineRule="auto"/>
        <w:ind w:firstLine="480" w:firstLineChars="200"/>
        <w:rPr>
          <w:rFonts w:hint="default" w:eastAsia="宋体"/>
          <w:sz w:val="24"/>
          <w:szCs w:val="24"/>
        </w:rPr>
      </w:pPr>
      <w:r>
        <w:rPr>
          <w:rFonts w:hint="eastAsia" w:eastAsia="宋体"/>
          <w:sz w:val="24"/>
          <w:szCs w:val="24"/>
          <w:lang w:eastAsia="zh-CN"/>
        </w:rPr>
        <w:t>（</w:t>
      </w:r>
      <w:r>
        <w:rPr>
          <w:rFonts w:hint="eastAsia" w:eastAsia="宋体"/>
          <w:sz w:val="24"/>
          <w:szCs w:val="24"/>
          <w:lang w:val="en-US" w:eastAsia="zh-CN"/>
        </w:rPr>
        <w:t>1</w:t>
      </w:r>
      <w:r>
        <w:rPr>
          <w:rFonts w:hint="eastAsia" w:eastAsia="宋体"/>
          <w:sz w:val="24"/>
          <w:szCs w:val="24"/>
          <w:lang w:eastAsia="zh-CN"/>
        </w:rPr>
        <w:t>）</w:t>
      </w:r>
      <w:r>
        <w:rPr>
          <w:rFonts w:hint="default" w:eastAsia="宋体"/>
          <w:sz w:val="24"/>
          <w:szCs w:val="24"/>
        </w:rPr>
        <w:t>大气防护距离</w:t>
      </w:r>
    </w:p>
    <w:p w14:paraId="6BF431E6">
      <w:pPr>
        <w:bidi w:val="0"/>
        <w:spacing w:line="360" w:lineRule="auto"/>
        <w:ind w:firstLine="480" w:firstLineChars="200"/>
        <w:rPr>
          <w:rFonts w:hint="eastAsia" w:eastAsia="宋体"/>
          <w:sz w:val="24"/>
          <w:szCs w:val="24"/>
          <w:lang w:eastAsia="zh-CN"/>
        </w:rPr>
      </w:pPr>
      <w:r>
        <w:rPr>
          <w:rFonts w:hint="eastAsia" w:eastAsia="宋体"/>
          <w:sz w:val="24"/>
          <w:szCs w:val="24"/>
          <w:lang w:eastAsia="zh-CN"/>
        </w:rPr>
        <w:t>根据《环境影响评价技术导则 大气环境》（HJ2.2-2018），二级评价项目不进行进一步预测与评价，只对污染物排放量进行核算。因此本项目不</w:t>
      </w:r>
      <w:r>
        <w:rPr>
          <w:rFonts w:hint="eastAsia" w:eastAsia="宋体"/>
          <w:sz w:val="24"/>
          <w:szCs w:val="24"/>
          <w:lang w:val="en-US" w:eastAsia="zh-CN"/>
        </w:rPr>
        <w:t>考虑</w:t>
      </w:r>
      <w:r>
        <w:rPr>
          <w:rFonts w:hint="eastAsia" w:eastAsia="宋体"/>
          <w:sz w:val="24"/>
          <w:szCs w:val="24"/>
          <w:lang w:eastAsia="zh-CN"/>
        </w:rPr>
        <w:t>大气环境防护距离。</w:t>
      </w:r>
    </w:p>
    <w:p w14:paraId="3D398016">
      <w:pPr>
        <w:bidi w:val="0"/>
        <w:spacing w:line="360" w:lineRule="auto"/>
        <w:ind w:firstLine="480" w:firstLineChars="200"/>
        <w:rPr>
          <w:rFonts w:hint="default" w:eastAsia="宋体"/>
          <w:sz w:val="24"/>
          <w:szCs w:val="24"/>
        </w:rPr>
      </w:pPr>
      <w:r>
        <w:rPr>
          <w:rFonts w:hint="eastAsia" w:eastAsia="宋体"/>
          <w:sz w:val="24"/>
          <w:szCs w:val="24"/>
          <w:lang w:eastAsia="zh-CN"/>
        </w:rPr>
        <w:t>（</w:t>
      </w:r>
      <w:r>
        <w:rPr>
          <w:rFonts w:hint="eastAsia" w:eastAsia="宋体"/>
          <w:sz w:val="24"/>
          <w:szCs w:val="24"/>
          <w:lang w:val="en-US" w:eastAsia="zh-CN"/>
        </w:rPr>
        <w:t>2</w:t>
      </w:r>
      <w:r>
        <w:rPr>
          <w:rFonts w:hint="eastAsia" w:eastAsia="宋体"/>
          <w:sz w:val="24"/>
          <w:szCs w:val="24"/>
          <w:lang w:eastAsia="zh-CN"/>
        </w:rPr>
        <w:t>）</w:t>
      </w:r>
      <w:r>
        <w:rPr>
          <w:rFonts w:hint="default" w:eastAsia="宋体"/>
          <w:sz w:val="24"/>
          <w:szCs w:val="24"/>
        </w:rPr>
        <w:t>卫生防护距离</w:t>
      </w:r>
    </w:p>
    <w:p w14:paraId="2A2656E8">
      <w:pPr>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由于本项目存在NH</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rPr>
        <w:t>和H</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S等无组织</w:t>
      </w:r>
      <w:r>
        <w:rPr>
          <w:rFonts w:hint="eastAsia" w:cs="Times New Roman"/>
          <w:sz w:val="24"/>
          <w:szCs w:val="24"/>
          <w:lang w:val="en-US" w:eastAsia="zh-CN"/>
        </w:rPr>
        <w:t>特征大气有害物质</w:t>
      </w:r>
      <w:r>
        <w:rPr>
          <w:rFonts w:hint="default" w:ascii="Times New Roman" w:hAnsi="Times New Roman" w:eastAsia="宋体" w:cs="Times New Roman"/>
          <w:sz w:val="24"/>
          <w:szCs w:val="24"/>
        </w:rPr>
        <w:t>，卫生防护距离按</w:t>
      </w:r>
      <w:r>
        <w:rPr>
          <w:rFonts w:hint="default" w:ascii="Times New Roman" w:hAnsi="Times New Roman" w:eastAsia="宋体" w:cs="Times New Roman"/>
          <w:snapToGrid w:val="0"/>
          <w:sz w:val="24"/>
          <w:szCs w:val="24"/>
        </w:rPr>
        <w:t>《大气有害物质无组织排放卫生防护距离推导技术导则》</w:t>
      </w:r>
      <w:r>
        <w:rPr>
          <w:rFonts w:hint="eastAsia" w:cs="Times New Roman"/>
          <w:snapToGrid w:val="0"/>
          <w:sz w:val="24"/>
          <w:szCs w:val="24"/>
          <w:lang w:eastAsia="zh-CN"/>
        </w:rPr>
        <w:t>（GB/T39499</w:t>
      </w:r>
      <w:r>
        <w:rPr>
          <w:rFonts w:hint="eastAsia" w:cs="Times New Roman"/>
          <w:snapToGrid w:val="0"/>
          <w:sz w:val="24"/>
          <w:szCs w:val="24"/>
          <w:lang w:val="en-US" w:eastAsia="zh-CN"/>
        </w:rPr>
        <w:t>-</w:t>
      </w:r>
      <w:r>
        <w:rPr>
          <w:rFonts w:hint="eastAsia" w:cs="Times New Roman"/>
          <w:snapToGrid w:val="0"/>
          <w:sz w:val="24"/>
          <w:szCs w:val="24"/>
          <w:lang w:eastAsia="zh-CN"/>
        </w:rPr>
        <w:t>2020）</w:t>
      </w:r>
      <w:r>
        <w:rPr>
          <w:rFonts w:hint="default" w:ascii="Times New Roman" w:hAnsi="Times New Roman" w:eastAsia="宋体" w:cs="Times New Roman"/>
          <w:sz w:val="24"/>
          <w:szCs w:val="24"/>
        </w:rPr>
        <w:t>中有关方法计算，即：</w:t>
      </w:r>
    </w:p>
    <w:p w14:paraId="08CCA11B">
      <w:pPr>
        <w:pageBreakBefore w:val="0"/>
        <w:widowControl/>
        <w:wordWrap/>
        <w:topLinePunct w:val="0"/>
        <w:bidi w:val="0"/>
        <w:adjustRightInd/>
        <w:snapToGrid/>
        <w:spacing w:line="360" w:lineRule="auto"/>
        <w:ind w:firstLine="2400" w:firstLineChars="10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inline distT="0" distB="0" distL="114300" distR="114300">
            <wp:extent cx="2000885" cy="409575"/>
            <wp:effectExtent l="0" t="0" r="18415" b="9525"/>
            <wp:docPr id="415" name="图片 2" descr="WZ]SU6LJW3X%U{{W$D2I3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2" descr="WZ]SU6LJW3X%U{{W$D2I3_A"/>
                    <pic:cNvPicPr>
                      <a:picLocks noChangeAspect="1"/>
                    </pic:cNvPicPr>
                  </pic:nvPicPr>
                  <pic:blipFill>
                    <a:blip r:embed="rId44"/>
                    <a:stretch>
                      <a:fillRect/>
                    </a:stretch>
                  </pic:blipFill>
                  <pic:spPr>
                    <a:xfrm>
                      <a:off x="0" y="0"/>
                      <a:ext cx="2000885" cy="409575"/>
                    </a:xfrm>
                    <a:prstGeom prst="rect">
                      <a:avLst/>
                    </a:prstGeom>
                    <a:noFill/>
                    <a:ln>
                      <a:noFill/>
                    </a:ln>
                  </pic:spPr>
                </pic:pic>
              </a:graphicData>
            </a:graphic>
          </wp:inline>
        </w:drawing>
      </w:r>
    </w:p>
    <w:p w14:paraId="277B4B7F">
      <w:pPr>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式中：</w:t>
      </w:r>
    </w:p>
    <w:p w14:paraId="665D7213">
      <w:pPr>
        <w:pageBreakBefore w:val="0"/>
        <w:wordWrap/>
        <w:topLinePunct w:val="0"/>
        <w:bidi w:val="0"/>
        <w:adjustRightInd/>
        <w:snapToGrid/>
        <w:spacing w:line="360" w:lineRule="auto"/>
        <w:ind w:firstLine="960" w:firstLineChars="4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C</w:t>
      </w:r>
      <w:r>
        <w:rPr>
          <w:rFonts w:hint="default" w:ascii="Times New Roman" w:hAnsi="Times New Roman" w:eastAsia="宋体" w:cs="Times New Roman"/>
          <w:sz w:val="24"/>
          <w:szCs w:val="24"/>
          <w:vertAlign w:val="subscript"/>
        </w:rPr>
        <w:t>m</w:t>
      </w:r>
      <w:r>
        <w:rPr>
          <w:rFonts w:hint="default" w:ascii="Times New Roman" w:hAnsi="Times New Roman" w:eastAsia="宋体" w:cs="Times New Roman"/>
          <w:sz w:val="24"/>
          <w:szCs w:val="24"/>
        </w:rPr>
        <w:t>—标准浓度限值，mg/m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 xml:space="preserve">； </w:t>
      </w:r>
    </w:p>
    <w:p w14:paraId="752D4E2B">
      <w:pPr>
        <w:pageBreakBefore w:val="0"/>
        <w:wordWrap/>
        <w:topLinePunct w:val="0"/>
        <w:bidi w:val="0"/>
        <w:adjustRightInd/>
        <w:snapToGrid/>
        <w:spacing w:line="360" w:lineRule="auto"/>
        <w:ind w:firstLine="960" w:firstLineChars="4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L—卫生防护距离，m；</w:t>
      </w:r>
    </w:p>
    <w:p w14:paraId="37D17F88">
      <w:pPr>
        <w:pageBreakBefore w:val="0"/>
        <w:wordWrap/>
        <w:topLinePunct w:val="0"/>
        <w:bidi w:val="0"/>
        <w:adjustRightInd/>
        <w:snapToGrid/>
        <w:spacing w:line="360" w:lineRule="auto"/>
        <w:ind w:firstLine="960" w:firstLineChars="4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R—无组织排放源所在生产单元的等效半径，m； </w:t>
      </w:r>
    </w:p>
    <w:p w14:paraId="475D47E9">
      <w:pPr>
        <w:pageBreakBefore w:val="0"/>
        <w:wordWrap/>
        <w:topLinePunct w:val="0"/>
        <w:bidi w:val="0"/>
        <w:adjustRightInd/>
        <w:snapToGrid/>
        <w:spacing w:line="360" w:lineRule="auto"/>
        <w:ind w:firstLine="960" w:firstLineChars="4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A，B，C，D—计算系数；</w:t>
      </w:r>
    </w:p>
    <w:p w14:paraId="5E224FB7">
      <w:pPr>
        <w:pageBreakBefore w:val="0"/>
        <w:wordWrap/>
        <w:topLinePunct w:val="0"/>
        <w:bidi w:val="0"/>
        <w:adjustRightInd/>
        <w:snapToGrid/>
        <w:spacing w:line="360" w:lineRule="auto"/>
        <w:ind w:firstLine="960" w:firstLineChars="4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Q</w:t>
      </w:r>
      <w:r>
        <w:rPr>
          <w:rFonts w:hint="default" w:ascii="Times New Roman" w:hAnsi="Times New Roman" w:eastAsia="宋体" w:cs="Times New Roman"/>
          <w:sz w:val="24"/>
          <w:szCs w:val="24"/>
          <w:vertAlign w:val="subscript"/>
        </w:rPr>
        <w:t>c</w:t>
      </w:r>
      <w:r>
        <w:rPr>
          <w:rFonts w:hint="default" w:ascii="Times New Roman" w:hAnsi="Times New Roman" w:eastAsia="宋体" w:cs="Times New Roman"/>
          <w:sz w:val="24"/>
          <w:szCs w:val="24"/>
        </w:rPr>
        <w:t xml:space="preserve">—有害气体无组织排放量可以达到的控制水平，kg/h。 </w:t>
      </w:r>
    </w:p>
    <w:p w14:paraId="2DFA6F55">
      <w:pPr>
        <w:pageBreakBefore w:val="0"/>
        <w:wordWrap/>
        <w:topLinePunct w:val="0"/>
        <w:bidi w:val="0"/>
        <w:adjustRightInd/>
        <w:snapToGrid/>
        <w:spacing w:line="360" w:lineRule="auto"/>
        <w:ind w:firstLine="480" w:firstLineChars="200"/>
        <w:rPr>
          <w:rFonts w:hint="default" w:ascii="Times New Roman" w:hAnsi="Times New Roman" w:eastAsia="宋体" w:cs="Times New Roman"/>
          <w:snapToGrid w:val="0"/>
          <w:sz w:val="24"/>
          <w:szCs w:val="24"/>
          <w:u w:val="single"/>
        </w:rPr>
      </w:pPr>
      <w:r>
        <w:rPr>
          <w:rFonts w:hint="default" w:ascii="Times New Roman" w:hAnsi="Times New Roman" w:eastAsia="宋体" w:cs="Times New Roman"/>
          <w:sz w:val="24"/>
          <w:szCs w:val="24"/>
        </w:rPr>
        <w:t>根据该卫生防护距离计算公式可得，本</w:t>
      </w:r>
      <w:r>
        <w:rPr>
          <w:rFonts w:hint="eastAsia" w:cs="Times New Roman"/>
          <w:sz w:val="24"/>
          <w:szCs w:val="24"/>
          <w:lang w:val="en-US" w:eastAsia="zh-CN"/>
        </w:rPr>
        <w:t>项目厂界</w:t>
      </w:r>
      <w:r>
        <w:rPr>
          <w:rFonts w:hint="default" w:ascii="Times New Roman" w:hAnsi="Times New Roman" w:eastAsia="宋体" w:cs="Times New Roman"/>
          <w:sz w:val="24"/>
          <w:szCs w:val="24"/>
        </w:rPr>
        <w:t>NH</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rPr>
        <w:t>卫生防护距离计算结果</w:t>
      </w:r>
      <w:r>
        <w:rPr>
          <w:rFonts w:hint="eastAsia" w:cs="Times New Roman"/>
          <w:sz w:val="24"/>
          <w:szCs w:val="24"/>
          <w:lang w:val="en-US" w:eastAsia="zh-CN"/>
        </w:rPr>
        <w:t>均</w:t>
      </w:r>
      <w:r>
        <w:rPr>
          <w:rFonts w:hint="default" w:ascii="Times New Roman" w:hAnsi="Times New Roman" w:eastAsia="宋体" w:cs="Times New Roman"/>
          <w:sz w:val="24"/>
          <w:szCs w:val="24"/>
        </w:rPr>
        <w:t>为</w:t>
      </w:r>
      <w:r>
        <w:rPr>
          <w:rFonts w:hint="eastAsia" w:cs="Times New Roman"/>
          <w:sz w:val="24"/>
          <w:szCs w:val="24"/>
          <w:lang w:val="en-US" w:eastAsia="zh-CN"/>
        </w:rPr>
        <w:t>1</w:t>
      </w:r>
      <w:r>
        <w:rPr>
          <w:rFonts w:hint="default" w:ascii="Times New Roman" w:hAnsi="Times New Roman" w:eastAsia="宋体" w:cs="Times New Roman"/>
          <w:sz w:val="24"/>
          <w:szCs w:val="24"/>
        </w:rPr>
        <w:t>m</w:t>
      </w:r>
      <w:r>
        <w:rPr>
          <w:rFonts w:hint="eastAsia" w:cs="Times New Roman"/>
          <w:sz w:val="24"/>
          <w:szCs w:val="24"/>
          <w:lang w:eastAsia="zh-CN"/>
        </w:rPr>
        <w:t>，</w:t>
      </w:r>
      <w:r>
        <w:rPr>
          <w:rFonts w:hint="eastAsia" w:cs="Times New Roman"/>
          <w:sz w:val="24"/>
          <w:szCs w:val="24"/>
          <w:lang w:val="en-US" w:eastAsia="zh-CN"/>
        </w:rPr>
        <w:t>厂界</w:t>
      </w:r>
      <w:r>
        <w:rPr>
          <w:rFonts w:hint="default" w:ascii="Times New Roman" w:hAnsi="Times New Roman" w:eastAsia="宋体" w:cs="Times New Roman"/>
          <w:sz w:val="24"/>
          <w:szCs w:val="24"/>
        </w:rPr>
        <w:t>H</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S卫生防护距离计算结果</w:t>
      </w:r>
      <w:r>
        <w:rPr>
          <w:rFonts w:hint="eastAsia" w:cs="Times New Roman"/>
          <w:sz w:val="24"/>
          <w:szCs w:val="24"/>
          <w:lang w:val="en-US" w:eastAsia="zh-CN"/>
        </w:rPr>
        <w:t>均</w:t>
      </w:r>
      <w:r>
        <w:rPr>
          <w:rFonts w:hint="default" w:ascii="Times New Roman" w:hAnsi="Times New Roman" w:eastAsia="宋体" w:cs="Times New Roman"/>
          <w:sz w:val="24"/>
          <w:szCs w:val="24"/>
        </w:rPr>
        <w:t>为</w:t>
      </w:r>
      <w:r>
        <w:rPr>
          <w:rFonts w:hint="eastAsia" w:cs="Times New Roman"/>
          <w:sz w:val="24"/>
          <w:szCs w:val="24"/>
          <w:lang w:val="en-US" w:eastAsia="zh-CN"/>
        </w:rPr>
        <w:t>0</w:t>
      </w:r>
      <w:r>
        <w:rPr>
          <w:rFonts w:hint="default" w:ascii="Times New Roman" w:hAnsi="Times New Roman" w:eastAsia="宋体" w:cs="Times New Roman"/>
          <w:sz w:val="24"/>
          <w:szCs w:val="24"/>
        </w:rPr>
        <w:t>m</w:t>
      </w:r>
      <w:r>
        <w:rPr>
          <w:rFonts w:hint="eastAsia" w:cs="Times New Roman"/>
          <w:sz w:val="24"/>
          <w:szCs w:val="24"/>
          <w:lang w:eastAsia="zh-CN"/>
        </w:rPr>
        <w:t>。</w:t>
      </w:r>
      <w:r>
        <w:rPr>
          <w:rFonts w:hint="eastAsia" w:cs="Times New Roman"/>
          <w:sz w:val="24"/>
          <w:szCs w:val="24"/>
          <w:lang w:val="en-US" w:eastAsia="zh-CN"/>
        </w:rPr>
        <w:t>根据</w:t>
      </w:r>
      <w:r>
        <w:rPr>
          <w:rFonts w:hint="default" w:ascii="Times New Roman" w:hAnsi="Times New Roman" w:eastAsia="宋体" w:cs="Times New Roman"/>
          <w:snapToGrid w:val="0"/>
          <w:sz w:val="24"/>
          <w:szCs w:val="24"/>
        </w:rPr>
        <w:t>《大气有害物质无组织排放卫生防护距离推导技术导则》</w:t>
      </w:r>
      <w:r>
        <w:rPr>
          <w:rFonts w:hint="eastAsia" w:cs="Times New Roman"/>
          <w:snapToGrid w:val="0"/>
          <w:sz w:val="24"/>
          <w:szCs w:val="24"/>
          <w:lang w:eastAsia="zh-CN"/>
        </w:rPr>
        <w:t>（GB/T39499</w:t>
      </w:r>
      <w:r>
        <w:rPr>
          <w:rFonts w:hint="eastAsia" w:cs="Times New Roman"/>
          <w:snapToGrid w:val="0"/>
          <w:sz w:val="24"/>
          <w:szCs w:val="24"/>
          <w:lang w:val="en-US" w:eastAsia="zh-CN"/>
        </w:rPr>
        <w:t>-</w:t>
      </w:r>
      <w:r>
        <w:rPr>
          <w:rFonts w:hint="eastAsia" w:cs="Times New Roman"/>
          <w:snapToGrid w:val="0"/>
          <w:sz w:val="24"/>
          <w:szCs w:val="24"/>
          <w:lang w:eastAsia="zh-CN"/>
        </w:rPr>
        <w:t>2020）</w:t>
      </w:r>
      <w:r>
        <w:rPr>
          <w:rFonts w:hint="default" w:ascii="Times New Roman" w:hAnsi="Times New Roman" w:eastAsia="宋体" w:cs="Times New Roman"/>
          <w:snapToGrid w:val="0"/>
          <w:sz w:val="24"/>
          <w:szCs w:val="24"/>
        </w:rPr>
        <w:t>要求：</w:t>
      </w:r>
      <w:r>
        <w:rPr>
          <w:rFonts w:hint="eastAsia" w:cs="Times New Roman"/>
          <w:snapToGrid w:val="0"/>
          <w:sz w:val="24"/>
          <w:szCs w:val="24"/>
          <w:lang w:eastAsia="zh-CN"/>
        </w:rPr>
        <w:t>“</w:t>
      </w:r>
      <w:r>
        <w:rPr>
          <w:rFonts w:hint="default" w:ascii="Times New Roman" w:hAnsi="Times New Roman" w:eastAsia="宋体" w:cs="Times New Roman"/>
          <w:snapToGrid w:val="0"/>
          <w:sz w:val="24"/>
          <w:szCs w:val="24"/>
        </w:rPr>
        <w:t>卫生防护距离初值</w:t>
      </w:r>
      <w:r>
        <w:rPr>
          <w:rFonts w:hint="eastAsia" w:cs="Times New Roman"/>
          <w:snapToGrid w:val="0"/>
          <w:sz w:val="24"/>
          <w:szCs w:val="24"/>
          <w:lang w:eastAsia="zh-CN"/>
        </w:rPr>
        <w:t>小于</w:t>
      </w:r>
      <w:r>
        <w:rPr>
          <w:rFonts w:hint="default" w:ascii="Times New Roman" w:hAnsi="Times New Roman" w:eastAsia="宋体" w:cs="Times New Roman"/>
          <w:snapToGrid w:val="0"/>
          <w:sz w:val="24"/>
          <w:szCs w:val="24"/>
        </w:rPr>
        <w:t>50m时，级差为50m。</w:t>
      </w:r>
      <w:r>
        <w:rPr>
          <w:rFonts w:hint="eastAsia" w:cs="Times New Roman"/>
          <w:snapToGrid w:val="0"/>
          <w:sz w:val="24"/>
          <w:szCs w:val="24"/>
          <w:lang w:eastAsia="zh-CN"/>
        </w:rPr>
        <w:t>”“当企业某生产单元的</w:t>
      </w:r>
      <w:r>
        <w:rPr>
          <w:rFonts w:hint="eastAsia" w:cs="Times New Roman"/>
          <w:snapToGrid w:val="0"/>
          <w:sz w:val="24"/>
          <w:szCs w:val="24"/>
          <w:lang w:val="en-US" w:eastAsia="zh-CN"/>
        </w:rPr>
        <w:t>无</w:t>
      </w:r>
      <w:r>
        <w:rPr>
          <w:rFonts w:hint="eastAsia" w:cs="Times New Roman"/>
          <w:snapToGrid w:val="0"/>
          <w:sz w:val="24"/>
          <w:szCs w:val="24"/>
          <w:lang w:eastAsia="zh-CN"/>
        </w:rPr>
        <w:t>组织排放存在多种特征大气有害物质时，如果分别推导出的卫生防护距离初值在同一级别时，则该企业的卫生防护距离终值应提高一级；卫生防护距离初值不在同一级别的，以卫生防护距离终值较大者为准。”</w:t>
      </w:r>
      <w:r>
        <w:rPr>
          <w:rFonts w:hint="default" w:ascii="Times New Roman" w:hAnsi="Times New Roman" w:eastAsia="宋体" w:cs="Times New Roman"/>
          <w:snapToGrid w:val="0"/>
          <w:sz w:val="24"/>
          <w:szCs w:val="24"/>
        </w:rPr>
        <w:t>，因此，本项目卫生防护距离终值取100m</w:t>
      </w:r>
      <w:r>
        <w:rPr>
          <w:rFonts w:hint="default" w:ascii="Times New Roman" w:hAnsi="Times New Roman" w:eastAsia="宋体" w:cs="Times New Roman"/>
          <w:sz w:val="24"/>
          <w:szCs w:val="24"/>
        </w:rPr>
        <w:t>。</w:t>
      </w:r>
    </w:p>
    <w:p w14:paraId="43417087">
      <w:pPr>
        <w:pageBreakBefore w:val="0"/>
        <w:wordWrap/>
        <w:topLinePunct w:val="0"/>
        <w:bidi w:val="0"/>
        <w:adjustRightInd/>
        <w:snapToGrid/>
        <w:spacing w:line="360" w:lineRule="auto"/>
        <w:ind w:firstLine="480" w:firstLineChars="200"/>
        <w:rPr>
          <w:rFonts w:hint="default" w:ascii="Times New Roman" w:hAnsi="Times New Roman" w:eastAsia="宋体" w:cs="Times New Roman"/>
          <w:snapToGrid w:val="0"/>
          <w:sz w:val="24"/>
          <w:szCs w:val="24"/>
          <w:u w:val="single"/>
        </w:rPr>
      </w:pPr>
      <w:r>
        <w:rPr>
          <w:rFonts w:hint="default" w:ascii="Times New Roman" w:hAnsi="Times New Roman" w:eastAsia="宋体" w:cs="Times New Roman"/>
          <w:sz w:val="24"/>
          <w:szCs w:val="24"/>
        </w:rPr>
        <w:t>同时结合</w:t>
      </w:r>
      <w:r>
        <w:rPr>
          <w:rFonts w:hint="default" w:ascii="Times New Roman" w:hAnsi="Times New Roman" w:eastAsia="宋体" w:cs="Times New Roman"/>
          <w:snapToGrid w:val="0"/>
          <w:sz w:val="24"/>
          <w:szCs w:val="24"/>
        </w:rPr>
        <w:t>《畜禽养殖业污染防治技术规范》要求：</w:t>
      </w:r>
      <w:r>
        <w:rPr>
          <w:rFonts w:hint="eastAsia" w:cs="Times New Roman"/>
          <w:snapToGrid w:val="0"/>
          <w:sz w:val="24"/>
          <w:szCs w:val="24"/>
          <w:lang w:eastAsia="zh-CN"/>
        </w:rPr>
        <w:t>“</w:t>
      </w:r>
      <w:r>
        <w:rPr>
          <w:rFonts w:hint="default" w:ascii="Times New Roman" w:hAnsi="Times New Roman" w:eastAsia="宋体" w:cs="Times New Roman"/>
          <w:snapToGrid w:val="0"/>
          <w:sz w:val="24"/>
          <w:szCs w:val="24"/>
        </w:rPr>
        <w:t>新建、改建、扩建的畜禽养殖场选址应避开以上规定的禁建区域，在禁建区域附近建设的，应设在以上规定的禁建区域常年主导风向的下风向或侧风向处，场界与禁建区域边界的最小距离不得小于500m</w:t>
      </w:r>
      <w:r>
        <w:rPr>
          <w:rFonts w:hint="eastAsia" w:cs="Times New Roman"/>
          <w:snapToGrid w:val="0"/>
          <w:sz w:val="24"/>
          <w:szCs w:val="24"/>
          <w:lang w:eastAsia="zh-CN"/>
        </w:rPr>
        <w:t>”</w:t>
      </w:r>
      <w:r>
        <w:rPr>
          <w:rFonts w:hint="default" w:ascii="Times New Roman" w:hAnsi="Times New Roman" w:eastAsia="宋体" w:cs="Times New Roman"/>
          <w:snapToGrid w:val="0"/>
          <w:sz w:val="24"/>
          <w:szCs w:val="24"/>
        </w:rPr>
        <w:t>，因此，本项目卫生防护距离拟取最大值即500m。</w:t>
      </w:r>
      <w:r>
        <w:rPr>
          <w:rFonts w:hint="default" w:ascii="Times New Roman" w:hAnsi="Times New Roman" w:eastAsia="宋体" w:cs="Times New Roman"/>
          <w:sz w:val="24"/>
          <w:szCs w:val="24"/>
        </w:rPr>
        <w:t>本项目厂界四周500</w:t>
      </w:r>
      <w:r>
        <w:rPr>
          <w:rFonts w:hint="default" w:ascii="Times New Roman" w:hAnsi="Times New Roman" w:eastAsia="宋体" w:cs="Times New Roman"/>
          <w:snapToGrid w:val="0"/>
          <w:sz w:val="24"/>
          <w:szCs w:val="24"/>
        </w:rPr>
        <w:t xml:space="preserve"> m</w:t>
      </w:r>
      <w:r>
        <w:rPr>
          <w:rFonts w:hint="default" w:ascii="Times New Roman" w:hAnsi="Times New Roman" w:eastAsia="宋体" w:cs="Times New Roman"/>
          <w:sz w:val="24"/>
          <w:szCs w:val="24"/>
        </w:rPr>
        <w:t>卫生防护距离范围内不得设置居住区等敏感点。</w:t>
      </w:r>
    </w:p>
    <w:p w14:paraId="42A179B0">
      <w:pPr>
        <w:pageBreakBefore w:val="0"/>
        <w:wordWrap/>
        <w:topLinePunct w:val="0"/>
        <w:bidi w:val="0"/>
        <w:adjustRightInd/>
        <w:snapToGrid/>
        <w:spacing w:line="360" w:lineRule="auto"/>
        <w:ind w:firstLine="480" w:firstLineChars="200"/>
        <w:rPr>
          <w:rFonts w:hint="default" w:ascii="Times New Roman" w:hAnsi="Times New Roman" w:eastAsia="宋体" w:cs="Times New Roman"/>
          <w:snapToGrid w:val="0"/>
          <w:sz w:val="24"/>
          <w:szCs w:val="24"/>
        </w:rPr>
      </w:pPr>
      <w:r>
        <w:rPr>
          <w:rFonts w:hint="default" w:ascii="Times New Roman" w:hAnsi="Times New Roman" w:eastAsia="宋体" w:cs="Times New Roman"/>
          <w:sz w:val="24"/>
          <w:szCs w:val="24"/>
        </w:rPr>
        <w:t>经项目现场调查，本项目</w:t>
      </w:r>
      <w:r>
        <w:rPr>
          <w:rFonts w:hint="eastAsia" w:cs="Times New Roman"/>
          <w:sz w:val="24"/>
          <w:szCs w:val="24"/>
          <w:lang w:val="en-US" w:eastAsia="zh-CN"/>
        </w:rPr>
        <w:t>厂界</w:t>
      </w:r>
      <w:r>
        <w:rPr>
          <w:rFonts w:hint="default" w:ascii="Times New Roman" w:hAnsi="Times New Roman" w:eastAsia="宋体" w:cs="Times New Roman"/>
          <w:sz w:val="24"/>
          <w:szCs w:val="24"/>
        </w:rPr>
        <w:t>周围500m范围内无《畜禽养殖业污染防治技术规范》禁止区域，项目场址符合卫生防护距离要求，确定</w:t>
      </w:r>
      <w:r>
        <w:rPr>
          <w:rFonts w:hint="default" w:ascii="Times New Roman" w:hAnsi="Times New Roman" w:eastAsia="宋体" w:cs="Times New Roman"/>
          <w:snapToGrid w:val="0"/>
          <w:sz w:val="24"/>
          <w:szCs w:val="24"/>
        </w:rPr>
        <w:t>本项目的恶臭卫生防护距离为500m</w:t>
      </w:r>
      <w:r>
        <w:rPr>
          <w:rFonts w:hint="default" w:ascii="Times New Roman" w:hAnsi="Times New Roman" w:eastAsia="宋体" w:cs="Times New Roman"/>
          <w:sz w:val="24"/>
          <w:szCs w:val="24"/>
        </w:rPr>
        <w:t>。</w:t>
      </w:r>
      <w:r>
        <w:rPr>
          <w:rFonts w:hint="default" w:ascii="Times New Roman" w:hAnsi="Times New Roman" w:eastAsia="宋体" w:cs="Times New Roman"/>
          <w:snapToGrid w:val="0"/>
          <w:sz w:val="24"/>
          <w:szCs w:val="24"/>
        </w:rPr>
        <w:t xml:space="preserve"> </w:t>
      </w:r>
    </w:p>
    <w:p w14:paraId="49026A57">
      <w:pPr>
        <w:keepNext w:val="0"/>
        <w:keepLines w:val="0"/>
        <w:widowControl w:val="0"/>
        <w:bidi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5.2</w:t>
      </w:r>
      <w:r>
        <w:rPr>
          <w:rFonts w:hint="eastAsia" w:ascii="Times New Roman" w:hAnsi="Times New Roman" w:eastAsia="宋体" w:cs="Times New Roman"/>
          <w:b/>
          <w:bCs/>
          <w:kern w:val="2"/>
          <w:sz w:val="28"/>
          <w:szCs w:val="28"/>
          <w:lang w:val="en-US" w:eastAsia="zh-CN" w:bidi="ar-SA"/>
        </w:rPr>
        <w:t>.</w:t>
      </w:r>
      <w:r>
        <w:rPr>
          <w:rFonts w:hint="eastAsia"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水环境影响预测与评价</w:t>
      </w:r>
    </w:p>
    <w:p w14:paraId="3556A1C5">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3"/>
        <w:rPr>
          <w:rFonts w:hint="default" w:ascii="Times New Roman" w:hAnsi="Times New Roman" w:eastAsia="宋体" w:cs="Times New Roman"/>
          <w:b/>
          <w:bCs/>
          <w:color w:val="auto"/>
          <w:kern w:val="2"/>
          <w:sz w:val="24"/>
          <w:szCs w:val="24"/>
          <w:lang w:val="en-US" w:eastAsia="zh-CN" w:bidi="ar-SA"/>
        </w:rPr>
      </w:pPr>
      <w:bookmarkStart w:id="568" w:name="_Toc20406"/>
      <w:bookmarkStart w:id="569" w:name="_Toc2444"/>
      <w:r>
        <w:rPr>
          <w:rFonts w:hint="eastAsia" w:cs="Times New Roman"/>
          <w:b/>
          <w:bCs/>
          <w:color w:val="auto"/>
          <w:kern w:val="2"/>
          <w:sz w:val="24"/>
          <w:szCs w:val="24"/>
          <w:lang w:val="en-US" w:eastAsia="zh-CN" w:bidi="ar-SA"/>
        </w:rPr>
        <w:t>5.2.2.1</w:t>
      </w:r>
      <w:r>
        <w:rPr>
          <w:rFonts w:hint="default" w:ascii="Times New Roman" w:hAnsi="Times New Roman" w:eastAsia="宋体" w:cs="Times New Roman"/>
          <w:b/>
          <w:bCs/>
          <w:color w:val="auto"/>
          <w:kern w:val="2"/>
          <w:sz w:val="24"/>
          <w:szCs w:val="24"/>
          <w:lang w:val="en-US" w:eastAsia="zh-CN" w:bidi="ar-SA"/>
        </w:rPr>
        <w:t>地表水环境影响</w:t>
      </w:r>
      <w:bookmarkEnd w:id="568"/>
      <w:bookmarkEnd w:id="569"/>
      <w:r>
        <w:rPr>
          <w:rFonts w:hint="eastAsia" w:ascii="Times New Roman" w:hAnsi="Times New Roman" w:eastAsia="宋体" w:cs="Times New Roman"/>
          <w:b/>
          <w:bCs/>
          <w:color w:val="auto"/>
          <w:kern w:val="2"/>
          <w:sz w:val="24"/>
          <w:szCs w:val="24"/>
          <w:lang w:val="en-US" w:eastAsia="zh-CN" w:bidi="ar-SA"/>
        </w:rPr>
        <w:t>分析</w:t>
      </w:r>
    </w:p>
    <w:p w14:paraId="77393DB1">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根据《环境影响评价技术导则地表水环境》（HJ2.3-2018），水污染影响型三级B评价，主要评价内容包括：水污染控制和水环境影响减缓措施有效性评价；依托污水处理设施的环境可行性评价。</w:t>
      </w:r>
      <w:r>
        <w:rPr>
          <w:rFonts w:hint="eastAsia" w:cs="Times New Roman"/>
          <w:color w:val="000000"/>
          <w:kern w:val="2"/>
          <w:sz w:val="24"/>
          <w:szCs w:val="24"/>
          <w:highlight w:val="none"/>
          <w:lang w:val="en-US" w:eastAsia="zh-CN" w:bidi="ar-SA"/>
        </w:rPr>
        <w:t>由于本项目运营期无</w:t>
      </w:r>
      <w:r>
        <w:rPr>
          <w:rFonts w:hint="default" w:ascii="Times New Roman" w:hAnsi="Times New Roman" w:eastAsia="宋体" w:cs="Times New Roman"/>
          <w:color w:val="000000"/>
          <w:kern w:val="2"/>
          <w:sz w:val="24"/>
          <w:szCs w:val="24"/>
          <w:highlight w:val="none"/>
          <w:lang w:val="en-US" w:eastAsia="zh-CN" w:bidi="ar-SA"/>
        </w:rPr>
        <w:t>依托污水处理设施</w:t>
      </w:r>
      <w:r>
        <w:rPr>
          <w:rFonts w:hint="eastAsia" w:ascii="Times New Roman" w:hAnsi="Times New Roman" w:eastAsia="宋体" w:cs="Times New Roman"/>
          <w:color w:val="000000"/>
          <w:kern w:val="2"/>
          <w:sz w:val="24"/>
          <w:szCs w:val="24"/>
          <w:highlight w:val="none"/>
          <w:lang w:val="en-US" w:eastAsia="zh-CN" w:bidi="ar-SA"/>
        </w:rPr>
        <w:t>，因此仅分析</w:t>
      </w:r>
      <w:r>
        <w:rPr>
          <w:rFonts w:hint="default" w:ascii="Times New Roman" w:hAnsi="Times New Roman" w:eastAsia="宋体" w:cs="Times New Roman"/>
          <w:color w:val="000000"/>
          <w:kern w:val="2"/>
          <w:sz w:val="24"/>
          <w:szCs w:val="24"/>
          <w:highlight w:val="none"/>
          <w:lang w:val="en-US" w:eastAsia="zh-CN" w:bidi="ar-SA"/>
        </w:rPr>
        <w:t>污水处理措施有效性</w:t>
      </w:r>
      <w:r>
        <w:rPr>
          <w:rFonts w:hint="eastAsia" w:ascii="Times New Roman" w:hAnsi="Times New Roman" w:eastAsia="宋体" w:cs="Times New Roman"/>
          <w:color w:val="000000"/>
          <w:kern w:val="2"/>
          <w:sz w:val="24"/>
          <w:szCs w:val="24"/>
          <w:highlight w:val="none"/>
          <w:lang w:val="en-US" w:eastAsia="zh-CN" w:bidi="ar-SA"/>
        </w:rPr>
        <w:t>。</w:t>
      </w:r>
    </w:p>
    <w:p w14:paraId="2A69AD62">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auto"/>
          <w:sz w:val="24"/>
          <w:szCs w:val="22"/>
          <w:lang w:val="en-US" w:eastAsia="zh-CN"/>
        </w:rPr>
        <w:t>项目区内污水</w:t>
      </w:r>
      <w:r>
        <w:rPr>
          <w:rFonts w:hint="default" w:ascii="Times New Roman" w:hAnsi="Times New Roman" w:eastAsia="宋体" w:cs="Times New Roman"/>
          <w:color w:val="000000"/>
          <w:kern w:val="2"/>
          <w:sz w:val="24"/>
          <w:szCs w:val="24"/>
          <w:highlight w:val="none"/>
          <w:lang w:val="en-US" w:eastAsia="zh-CN" w:bidi="ar-SA"/>
        </w:rPr>
        <w:t>处理措施有效性</w:t>
      </w:r>
    </w:p>
    <w:p w14:paraId="2E1B6C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2"/>
          <w:lang w:eastAsia="zh-CN"/>
        </w:rPr>
        <w:t>生活污水经</w:t>
      </w:r>
      <w:r>
        <w:rPr>
          <w:rFonts w:hint="eastAsia" w:cs="Times New Roman"/>
          <w:color w:val="auto"/>
          <w:sz w:val="24"/>
          <w:szCs w:val="22"/>
          <w:lang w:val="en-US" w:eastAsia="zh-CN"/>
        </w:rPr>
        <w:t>办公室及宿舍配套的20</w:t>
      </w:r>
      <w:r>
        <w:rPr>
          <w:rFonts w:hint="eastAsia" w:ascii="Times New Roman" w:hAnsi="Times New Roman" w:eastAsia="宋体" w:cs="Times New Roman"/>
          <w:color w:val="auto"/>
          <w:sz w:val="24"/>
          <w:szCs w:val="22"/>
          <w:lang w:val="en-US" w:eastAsia="zh-CN"/>
        </w:rPr>
        <w:t>m</w:t>
      </w:r>
      <w:r>
        <w:rPr>
          <w:rFonts w:hint="eastAsia" w:ascii="Times New Roman" w:hAnsi="Times New Roman" w:eastAsia="宋体" w:cs="Times New Roman"/>
          <w:color w:val="auto"/>
          <w:sz w:val="24"/>
          <w:szCs w:val="22"/>
          <w:vertAlign w:val="superscript"/>
          <w:lang w:val="en-US" w:eastAsia="zh-CN"/>
        </w:rPr>
        <w:t>3</w:t>
      </w:r>
      <w:r>
        <w:rPr>
          <w:rFonts w:hint="eastAsia" w:cs="Times New Roman"/>
          <w:color w:val="000000"/>
          <w:kern w:val="2"/>
          <w:sz w:val="24"/>
          <w:szCs w:val="24"/>
          <w:highlight w:val="none"/>
          <w:lang w:val="en-US" w:eastAsia="zh-CN" w:bidi="ar-SA"/>
        </w:rPr>
        <w:t>防渗化粪池</w:t>
      </w:r>
      <w:r>
        <w:rPr>
          <w:rFonts w:hint="eastAsia" w:ascii="Times New Roman" w:hAnsi="Times New Roman" w:eastAsia="宋体" w:cs="Times New Roman"/>
          <w:color w:val="auto"/>
          <w:sz w:val="24"/>
          <w:szCs w:val="22"/>
          <w:lang w:eastAsia="zh-CN"/>
        </w:rPr>
        <w:t>收集后，</w:t>
      </w:r>
      <w:r>
        <w:rPr>
          <w:rFonts w:hint="eastAsia" w:cs="Times New Roman"/>
          <w:color w:val="auto"/>
          <w:sz w:val="24"/>
          <w:szCs w:val="22"/>
          <w:lang w:val="en-US" w:eastAsia="zh-CN"/>
        </w:rPr>
        <w:t>由吸污车一同拉运至第七师125团团场城镇生活污水处理厂处置</w:t>
      </w:r>
      <w:r>
        <w:rPr>
          <w:rFonts w:hint="eastAsia" w:ascii="Times New Roman" w:hAnsi="Times New Roman" w:eastAsia="宋体" w:cs="Times New Roman"/>
          <w:color w:val="auto"/>
          <w:sz w:val="24"/>
          <w:szCs w:val="24"/>
          <w:highlight w:val="none"/>
          <w:lang w:val="en-US" w:eastAsia="zh-CN" w:bidi="ar-SA"/>
        </w:rPr>
        <w:t>。</w:t>
      </w:r>
    </w:p>
    <w:p w14:paraId="2F1B29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w:t>
      </w:r>
      <w:r>
        <w:rPr>
          <w:rFonts w:hint="eastAsia" w:ascii="Times New Roman" w:hAnsi="Times New Roman" w:eastAsia="宋体" w:cs="Times New Roman"/>
          <w:color w:val="auto"/>
          <w:kern w:val="2"/>
          <w:sz w:val="24"/>
          <w:szCs w:val="24"/>
          <w:lang w:val="en-US" w:eastAsia="zh-CN" w:bidi="ar-SA"/>
        </w:rPr>
        <w:t>生产</w:t>
      </w:r>
      <w:r>
        <w:rPr>
          <w:rFonts w:hint="default" w:ascii="Times New Roman" w:hAnsi="Times New Roman" w:eastAsia="宋体" w:cs="Times New Roman"/>
          <w:color w:val="auto"/>
          <w:kern w:val="2"/>
          <w:sz w:val="24"/>
          <w:szCs w:val="24"/>
          <w:lang w:val="en-US" w:eastAsia="zh-CN" w:bidi="ar-SA"/>
        </w:rPr>
        <w:t>废水主要是</w:t>
      </w:r>
      <w:r>
        <w:rPr>
          <w:rFonts w:hint="eastAsia" w:ascii="Times New Roman" w:hAnsi="Times New Roman" w:eastAsia="宋体" w:cs="Times New Roman"/>
          <w:color w:val="auto"/>
          <w:kern w:val="2"/>
          <w:sz w:val="24"/>
          <w:szCs w:val="24"/>
          <w:lang w:val="en-US" w:eastAsia="zh-CN" w:bidi="ar-SA"/>
        </w:rPr>
        <w:t>牛尿</w:t>
      </w:r>
      <w:r>
        <w:rPr>
          <w:rFonts w:hint="default" w:ascii="Times New Roman" w:hAnsi="Times New Roman" w:eastAsia="宋体" w:cs="Times New Roman"/>
          <w:color w:val="auto"/>
          <w:kern w:val="2"/>
          <w:sz w:val="24"/>
          <w:szCs w:val="24"/>
          <w:lang w:val="en-US" w:eastAsia="zh-CN" w:bidi="ar-SA"/>
        </w:rPr>
        <w:t>。废水主要污染物为</w:t>
      </w:r>
      <w:r>
        <w:rPr>
          <w:rFonts w:hint="eastAsia" w:ascii="Times New Roman" w:hAnsi="Times New Roman" w:eastAsia="宋体" w:cs="Times New Roman"/>
          <w:color w:val="auto"/>
          <w:kern w:val="2"/>
          <w:sz w:val="24"/>
          <w:szCs w:val="24"/>
          <w:lang w:val="en-US" w:eastAsia="zh-CN" w:bidi="ar-SA"/>
        </w:rPr>
        <w:t>TP、TN</w:t>
      </w:r>
      <w:r>
        <w:rPr>
          <w:rFonts w:hint="default" w:ascii="Times New Roman" w:hAnsi="Times New Roman" w:eastAsia="宋体" w:cs="Times New Roman"/>
          <w:color w:val="auto"/>
          <w:kern w:val="2"/>
          <w:sz w:val="24"/>
          <w:szCs w:val="24"/>
          <w:lang w:val="en-US" w:eastAsia="zh-CN" w:bidi="ar-SA"/>
        </w:rPr>
        <w:t>、COD和NH</w:t>
      </w:r>
      <w:r>
        <w:rPr>
          <w:rFonts w:hint="default" w:ascii="Times New Roman" w:hAnsi="Times New Roman" w:eastAsia="宋体" w:cs="Times New Roman"/>
          <w:color w:val="auto"/>
          <w:kern w:val="2"/>
          <w:sz w:val="24"/>
          <w:szCs w:val="24"/>
          <w:vertAlign w:val="subscript"/>
          <w:lang w:val="en-US" w:eastAsia="zh-CN" w:bidi="ar-SA"/>
        </w:rPr>
        <w:t>3</w:t>
      </w:r>
      <w:r>
        <w:rPr>
          <w:rFonts w:hint="default" w:ascii="Times New Roman" w:hAnsi="Times New Roman" w:eastAsia="宋体" w:cs="Times New Roman"/>
          <w:color w:val="auto"/>
          <w:kern w:val="2"/>
          <w:sz w:val="24"/>
          <w:szCs w:val="24"/>
          <w:lang w:val="en-US" w:eastAsia="zh-CN" w:bidi="ar-SA"/>
        </w:rPr>
        <w:t>-N，属于高浓度有机废水，不含有毒有害、重金属物质。</w:t>
      </w:r>
      <w:r>
        <w:rPr>
          <w:rFonts w:hint="eastAsia" w:ascii="Times New Roman" w:hAnsi="Times New Roman" w:eastAsia="宋体" w:cs="Times New Roman"/>
          <w:color w:val="auto"/>
          <w:kern w:val="2"/>
          <w:sz w:val="24"/>
          <w:szCs w:val="24"/>
          <w:lang w:val="en-US" w:eastAsia="zh-CN" w:bidi="ar-SA"/>
        </w:rPr>
        <w:t>根据工程分析，</w:t>
      </w:r>
      <w:r>
        <w:rPr>
          <w:rFonts w:hint="default" w:ascii="Times New Roman" w:hAnsi="Times New Roman" w:eastAsia="宋体" w:cs="Times New Roman"/>
          <w:color w:val="auto"/>
          <w:kern w:val="2"/>
          <w:sz w:val="24"/>
          <w:szCs w:val="24"/>
          <w:lang w:val="en-US" w:eastAsia="zh-CN" w:bidi="ar-SA"/>
        </w:rPr>
        <w:t>项目</w:t>
      </w:r>
      <w:r>
        <w:rPr>
          <w:rFonts w:hint="eastAsia" w:ascii="Times New Roman" w:hAnsi="Times New Roman" w:eastAsia="宋体" w:cs="Times New Roman"/>
          <w:color w:val="auto"/>
          <w:kern w:val="2"/>
          <w:sz w:val="24"/>
          <w:szCs w:val="24"/>
          <w:lang w:val="en-US" w:eastAsia="zh-CN" w:bidi="ar-SA"/>
        </w:rPr>
        <w:t>生产</w:t>
      </w:r>
      <w:r>
        <w:rPr>
          <w:rFonts w:hint="default" w:ascii="Times New Roman" w:hAnsi="Times New Roman" w:eastAsia="宋体" w:cs="Times New Roman"/>
          <w:color w:val="auto"/>
          <w:kern w:val="2"/>
          <w:sz w:val="24"/>
          <w:szCs w:val="24"/>
          <w:lang w:val="en-US" w:eastAsia="zh-CN" w:bidi="ar-SA"/>
        </w:rPr>
        <w:t>废水</w:t>
      </w:r>
      <w:r>
        <w:rPr>
          <w:rFonts w:hint="eastAsia" w:cs="Times New Roman"/>
          <w:color w:val="auto"/>
          <w:kern w:val="2"/>
          <w:sz w:val="24"/>
          <w:szCs w:val="24"/>
          <w:lang w:val="en-US" w:eastAsia="zh-CN" w:bidi="ar-SA"/>
        </w:rPr>
        <w:t>经发酵床发酵垫料吸收用于牛粪的</w:t>
      </w:r>
      <w:r>
        <w:rPr>
          <w:rFonts w:hint="default" w:ascii="Times New Roman" w:hAnsi="Times New Roman" w:eastAsia="宋体" w:cs="Times New Roman"/>
          <w:color w:val="auto"/>
          <w:kern w:val="2"/>
          <w:sz w:val="24"/>
          <w:szCs w:val="24"/>
          <w:lang w:val="en-US" w:eastAsia="zh-CN" w:bidi="ar-SA"/>
        </w:rPr>
        <w:t>无害化处理，全部实现综合利用，不外排。</w:t>
      </w:r>
    </w:p>
    <w:p w14:paraId="059473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项目区消毒以喷雾的形式，不会在厂区形成径流，随之蒸发。项目仅进行</w:t>
      </w:r>
      <w:r>
        <w:rPr>
          <w:rFonts w:hint="eastAsia" w:cs="Times New Roman"/>
          <w:color w:val="auto"/>
          <w:kern w:val="2"/>
          <w:sz w:val="24"/>
          <w:szCs w:val="24"/>
          <w:lang w:val="en-US" w:eastAsia="zh-CN" w:bidi="ar-SA"/>
        </w:rPr>
        <w:t>简单</w:t>
      </w:r>
      <w:r>
        <w:rPr>
          <w:rFonts w:hint="default" w:ascii="Times New Roman" w:hAnsi="Times New Roman" w:eastAsia="宋体" w:cs="Times New Roman"/>
          <w:color w:val="auto"/>
          <w:kern w:val="2"/>
          <w:sz w:val="24"/>
          <w:szCs w:val="24"/>
          <w:lang w:val="en-US" w:eastAsia="zh-CN" w:bidi="ar-SA"/>
        </w:rPr>
        <w:t>药物及防疫工作，无医疗废水排放。项目区所产生的废水均得到有效处理，无外排废水。</w:t>
      </w:r>
    </w:p>
    <w:p w14:paraId="79D2B5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kern w:val="2"/>
          <w:sz w:val="24"/>
          <w:szCs w:val="24"/>
          <w:lang w:val="en-US" w:eastAsia="zh-CN" w:bidi="ar-SA"/>
        </w:rPr>
        <w:t>本项目管道、</w:t>
      </w:r>
      <w:r>
        <w:rPr>
          <w:rFonts w:hint="eastAsia" w:cs="Times New Roman"/>
          <w:color w:val="auto"/>
          <w:kern w:val="2"/>
          <w:sz w:val="24"/>
          <w:szCs w:val="24"/>
          <w:lang w:val="en-US" w:eastAsia="zh-CN" w:bidi="ar-SA"/>
        </w:rPr>
        <w:t>收集池</w:t>
      </w:r>
      <w:r>
        <w:rPr>
          <w:rFonts w:hint="eastAsia" w:ascii="Times New Roman" w:hAnsi="Times New Roman" w:eastAsia="宋体" w:cs="Times New Roman"/>
          <w:color w:val="auto"/>
          <w:kern w:val="2"/>
          <w:sz w:val="24"/>
          <w:szCs w:val="24"/>
          <w:lang w:val="en-US" w:eastAsia="zh-CN" w:bidi="ar-SA"/>
        </w:rPr>
        <w:t>等设施</w:t>
      </w:r>
      <w:r>
        <w:rPr>
          <w:rFonts w:hint="default" w:ascii="Times New Roman" w:hAnsi="Times New Roman" w:eastAsia="宋体" w:cs="Times New Roman"/>
          <w:color w:val="auto"/>
          <w:kern w:val="2"/>
          <w:sz w:val="24"/>
          <w:szCs w:val="24"/>
          <w:lang w:val="en-US" w:eastAsia="zh-CN" w:bidi="ar-SA"/>
        </w:rPr>
        <w:t>均进行防渗措施</w:t>
      </w:r>
      <w:r>
        <w:rPr>
          <w:rFonts w:hint="eastAsia" w:ascii="Times New Roman" w:hAnsi="Times New Roman" w:eastAsia="宋体" w:cs="Times New Roman"/>
          <w:color w:val="auto"/>
          <w:kern w:val="2"/>
          <w:sz w:val="24"/>
          <w:szCs w:val="24"/>
          <w:lang w:val="en-US" w:eastAsia="zh-CN" w:bidi="ar-SA"/>
        </w:rPr>
        <w:t>，本</w:t>
      </w:r>
      <w:r>
        <w:rPr>
          <w:rFonts w:hint="default" w:ascii="Times New Roman" w:hAnsi="Times New Roman" w:eastAsia="宋体" w:cs="Times New Roman"/>
          <w:color w:val="auto"/>
          <w:kern w:val="2"/>
          <w:sz w:val="24"/>
          <w:szCs w:val="24"/>
          <w:lang w:val="en-US" w:eastAsia="zh-CN" w:bidi="ar-SA"/>
        </w:rPr>
        <w:t>项目无废水外排</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不会对地表水体产生</w:t>
      </w:r>
      <w:r>
        <w:rPr>
          <w:rFonts w:hint="eastAsia" w:ascii="Times New Roman" w:hAnsi="Times New Roman" w:eastAsia="宋体" w:cs="Times New Roman"/>
          <w:color w:val="auto"/>
          <w:kern w:val="2"/>
          <w:sz w:val="24"/>
          <w:szCs w:val="24"/>
          <w:lang w:val="en-US" w:eastAsia="zh-CN" w:bidi="ar-SA"/>
        </w:rPr>
        <w:t>不利</w:t>
      </w:r>
      <w:r>
        <w:rPr>
          <w:rFonts w:hint="default" w:ascii="Times New Roman" w:hAnsi="Times New Roman" w:eastAsia="宋体" w:cs="Times New Roman"/>
          <w:color w:val="auto"/>
          <w:kern w:val="2"/>
          <w:sz w:val="24"/>
          <w:szCs w:val="24"/>
          <w:lang w:val="en-US" w:eastAsia="zh-CN" w:bidi="ar-SA"/>
        </w:rPr>
        <w:t>影响</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auto"/>
          <w:sz w:val="24"/>
          <w:szCs w:val="22"/>
          <w:lang w:val="en-US" w:eastAsia="zh-CN"/>
        </w:rPr>
        <w:t xml:space="preserve">  </w:t>
      </w:r>
    </w:p>
    <w:p w14:paraId="27D1FD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①废水排放基本情况见表5.2-</w:t>
      </w:r>
      <w:r>
        <w:rPr>
          <w:rFonts w:hint="eastAsia" w:cs="Times New Roman"/>
          <w:color w:val="auto"/>
          <w:kern w:val="2"/>
          <w:sz w:val="24"/>
          <w:szCs w:val="24"/>
          <w:lang w:val="en-US" w:eastAsia="zh-CN" w:bidi="ar-SA"/>
        </w:rPr>
        <w:t>20</w:t>
      </w:r>
      <w:r>
        <w:rPr>
          <w:rFonts w:hint="eastAsia" w:ascii="Times New Roman" w:hAnsi="Times New Roman" w:eastAsia="宋体" w:cs="Times New Roman"/>
          <w:color w:val="auto"/>
          <w:kern w:val="2"/>
          <w:sz w:val="24"/>
          <w:szCs w:val="24"/>
          <w:lang w:val="en-US" w:eastAsia="zh-CN" w:bidi="ar-SA"/>
        </w:rPr>
        <w:t>。</w:t>
      </w:r>
    </w:p>
    <w:p w14:paraId="743D91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②废水排放口基本情况见表5.2-</w:t>
      </w:r>
      <w:r>
        <w:rPr>
          <w:rFonts w:hint="eastAsia" w:cs="Times New Roman"/>
          <w:color w:val="auto"/>
          <w:kern w:val="2"/>
          <w:sz w:val="24"/>
          <w:szCs w:val="24"/>
          <w:lang w:val="en-US" w:eastAsia="zh-CN" w:bidi="ar-SA"/>
        </w:rPr>
        <w:t>21</w:t>
      </w:r>
      <w:r>
        <w:rPr>
          <w:rFonts w:hint="eastAsia" w:ascii="Times New Roman" w:hAnsi="Times New Roman" w:eastAsia="宋体" w:cs="Times New Roman"/>
          <w:color w:val="auto"/>
          <w:kern w:val="2"/>
          <w:sz w:val="24"/>
          <w:szCs w:val="24"/>
          <w:lang w:val="en-US" w:eastAsia="zh-CN" w:bidi="ar-SA"/>
        </w:rPr>
        <w:t>。</w:t>
      </w:r>
    </w:p>
    <w:p w14:paraId="395585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③废水污染物排放信息见表</w:t>
      </w:r>
      <w:r>
        <w:rPr>
          <w:rFonts w:hint="eastAsia" w:cs="Times New Roman"/>
          <w:color w:val="auto"/>
          <w:kern w:val="2"/>
          <w:sz w:val="24"/>
          <w:szCs w:val="24"/>
          <w:lang w:val="en-US" w:eastAsia="zh-CN" w:bidi="ar-SA"/>
        </w:rPr>
        <w:t>5.2</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22</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5.2</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23</w:t>
      </w:r>
      <w:r>
        <w:rPr>
          <w:rFonts w:hint="eastAsia" w:ascii="Times New Roman" w:hAnsi="Times New Roman" w:eastAsia="宋体" w:cs="Times New Roman"/>
          <w:color w:val="auto"/>
          <w:kern w:val="2"/>
          <w:sz w:val="24"/>
          <w:szCs w:val="24"/>
          <w:lang w:val="en-US" w:eastAsia="zh-CN" w:bidi="ar-SA"/>
        </w:rPr>
        <w:t>。</w:t>
      </w:r>
    </w:p>
    <w:p w14:paraId="2C3FE3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4F1542B">
      <w:pPr>
        <w:widowControl w:val="0"/>
        <w:overflowPunct/>
        <w:autoSpaceDE/>
        <w:autoSpaceDN/>
        <w:adjustRightInd/>
        <w:snapToGrid/>
        <w:spacing w:line="400" w:lineRule="exact"/>
        <w:ind w:firstLine="0" w:firstLineChars="0"/>
        <w:jc w:val="center"/>
        <w:rPr>
          <w:rFonts w:hint="eastAsia" w:ascii="Times New Roman" w:hAnsi="Times New Roman" w:eastAsia="宋体" w:cs="宋体"/>
          <w:b/>
          <w:color w:val="000000"/>
          <w:kern w:val="0"/>
          <w:sz w:val="24"/>
          <w:szCs w:val="24"/>
          <w:lang w:val="en-US" w:eastAsia="zh-CN" w:bidi="ar-SA"/>
        </w:rPr>
      </w:pPr>
      <w:r>
        <w:rPr>
          <w:rFonts w:hint="eastAsia" w:ascii="Times New Roman" w:hAnsi="Times New Roman" w:eastAsia="宋体" w:cs="宋体"/>
          <w:b/>
          <w:color w:val="000000"/>
          <w:kern w:val="0"/>
          <w:sz w:val="24"/>
          <w:szCs w:val="24"/>
          <w:lang w:val="en-US" w:eastAsia="zh-CN" w:bidi="ar-SA"/>
        </w:rPr>
        <w:t>表</w:t>
      </w:r>
      <w:r>
        <w:rPr>
          <w:rFonts w:hint="eastAsia" w:cs="宋体"/>
          <w:b/>
          <w:color w:val="000000"/>
          <w:kern w:val="0"/>
          <w:sz w:val="24"/>
          <w:szCs w:val="24"/>
          <w:lang w:val="en-US" w:eastAsia="zh-CN" w:bidi="ar-SA"/>
        </w:rPr>
        <w:t>5.2-20</w:t>
      </w:r>
      <w:r>
        <w:rPr>
          <w:rFonts w:hint="eastAsia" w:ascii="Times New Roman" w:hAnsi="Times New Roman" w:eastAsia="宋体" w:cs="宋体"/>
          <w:b/>
          <w:color w:val="000000"/>
          <w:kern w:val="0"/>
          <w:sz w:val="24"/>
          <w:szCs w:val="24"/>
          <w:lang w:val="en-US" w:eastAsia="zh-CN" w:bidi="ar-SA"/>
        </w:rPr>
        <w:t>废水类别、污染物及污染治理设施信息表</w:t>
      </w:r>
    </w:p>
    <w:tbl>
      <w:tblPr>
        <w:tblStyle w:val="21"/>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16"/>
        <w:gridCol w:w="916"/>
        <w:gridCol w:w="1118"/>
        <w:gridCol w:w="1080"/>
        <w:gridCol w:w="1290"/>
        <w:gridCol w:w="1125"/>
        <w:gridCol w:w="1410"/>
        <w:gridCol w:w="1161"/>
        <w:gridCol w:w="885"/>
        <w:gridCol w:w="1530"/>
        <w:gridCol w:w="3132"/>
      </w:tblGrid>
      <w:tr w14:paraId="011FB8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5" w:hRule="atLeast"/>
        </w:trPr>
        <w:tc>
          <w:tcPr>
            <w:tcW w:w="182" w:type="pct"/>
            <w:vMerge w:val="restart"/>
            <w:tcBorders>
              <w:tl2br w:val="nil"/>
              <w:tr2bl w:val="nil"/>
            </w:tcBorders>
            <w:vAlign w:val="center"/>
          </w:tcPr>
          <w:p w14:paraId="6C24EE53">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序号</w:t>
            </w:r>
          </w:p>
        </w:tc>
        <w:tc>
          <w:tcPr>
            <w:tcW w:w="323" w:type="pct"/>
            <w:vMerge w:val="restart"/>
            <w:tcBorders>
              <w:tl2br w:val="nil"/>
              <w:tr2bl w:val="nil"/>
            </w:tcBorders>
            <w:vAlign w:val="center"/>
          </w:tcPr>
          <w:p w14:paraId="71D612F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废水类别</w:t>
            </w:r>
          </w:p>
        </w:tc>
        <w:tc>
          <w:tcPr>
            <w:tcW w:w="394" w:type="pct"/>
            <w:vMerge w:val="restart"/>
            <w:tcBorders>
              <w:tl2br w:val="nil"/>
              <w:tr2bl w:val="nil"/>
            </w:tcBorders>
            <w:vAlign w:val="center"/>
          </w:tcPr>
          <w:p w14:paraId="3A34691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污染物种类</w:t>
            </w:r>
          </w:p>
        </w:tc>
        <w:tc>
          <w:tcPr>
            <w:tcW w:w="381" w:type="pct"/>
            <w:vMerge w:val="restart"/>
            <w:tcBorders>
              <w:tl2br w:val="nil"/>
              <w:tr2bl w:val="nil"/>
            </w:tcBorders>
            <w:vAlign w:val="center"/>
          </w:tcPr>
          <w:p w14:paraId="40604D6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排水去向</w:t>
            </w:r>
          </w:p>
        </w:tc>
        <w:tc>
          <w:tcPr>
            <w:tcW w:w="455" w:type="pct"/>
            <w:vMerge w:val="restart"/>
            <w:tcBorders>
              <w:tl2br w:val="nil"/>
              <w:tr2bl w:val="nil"/>
            </w:tcBorders>
            <w:vAlign w:val="center"/>
          </w:tcPr>
          <w:p w14:paraId="446C253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排放规律</w:t>
            </w:r>
          </w:p>
        </w:tc>
        <w:tc>
          <w:tcPr>
            <w:tcW w:w="1304" w:type="pct"/>
            <w:gridSpan w:val="3"/>
            <w:tcBorders>
              <w:tl2br w:val="nil"/>
              <w:tr2bl w:val="nil"/>
            </w:tcBorders>
            <w:vAlign w:val="center"/>
          </w:tcPr>
          <w:p w14:paraId="710E947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污染治理设施</w:t>
            </w:r>
          </w:p>
        </w:tc>
        <w:tc>
          <w:tcPr>
            <w:tcW w:w="312" w:type="pct"/>
            <w:vMerge w:val="restart"/>
            <w:tcBorders>
              <w:tl2br w:val="nil"/>
              <w:tr2bl w:val="nil"/>
            </w:tcBorders>
            <w:vAlign w:val="center"/>
          </w:tcPr>
          <w:p w14:paraId="04571BA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排放口编号</w:t>
            </w:r>
          </w:p>
        </w:tc>
        <w:tc>
          <w:tcPr>
            <w:tcW w:w="540" w:type="pct"/>
            <w:vMerge w:val="restart"/>
            <w:tcBorders>
              <w:tl2br w:val="nil"/>
              <w:tr2bl w:val="nil"/>
            </w:tcBorders>
            <w:vAlign w:val="center"/>
          </w:tcPr>
          <w:p w14:paraId="1E1F286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排放口设置是否符合要求</w:t>
            </w:r>
          </w:p>
        </w:tc>
        <w:tc>
          <w:tcPr>
            <w:tcW w:w="1105" w:type="pct"/>
            <w:vMerge w:val="restart"/>
            <w:tcBorders>
              <w:tl2br w:val="nil"/>
              <w:tr2bl w:val="nil"/>
            </w:tcBorders>
            <w:vAlign w:val="center"/>
          </w:tcPr>
          <w:p w14:paraId="4DF4F39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排放口类型</w:t>
            </w:r>
          </w:p>
        </w:tc>
      </w:tr>
      <w:tr w14:paraId="3279B0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5" w:hRule="atLeast"/>
        </w:trPr>
        <w:tc>
          <w:tcPr>
            <w:tcW w:w="182" w:type="pct"/>
            <w:vMerge w:val="continue"/>
            <w:tcBorders>
              <w:tl2br w:val="nil"/>
              <w:tr2bl w:val="nil"/>
            </w:tcBorders>
            <w:vAlign w:val="center"/>
          </w:tcPr>
          <w:p w14:paraId="764A511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23" w:type="pct"/>
            <w:vMerge w:val="continue"/>
            <w:tcBorders>
              <w:tl2br w:val="nil"/>
              <w:tr2bl w:val="nil"/>
            </w:tcBorders>
            <w:vAlign w:val="center"/>
          </w:tcPr>
          <w:p w14:paraId="38E2AEF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94" w:type="pct"/>
            <w:vMerge w:val="continue"/>
            <w:tcBorders>
              <w:tl2br w:val="nil"/>
              <w:tr2bl w:val="nil"/>
            </w:tcBorders>
            <w:vAlign w:val="center"/>
          </w:tcPr>
          <w:p w14:paraId="561D14F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81" w:type="pct"/>
            <w:vMerge w:val="continue"/>
            <w:tcBorders>
              <w:tl2br w:val="nil"/>
              <w:tr2bl w:val="nil"/>
            </w:tcBorders>
            <w:vAlign w:val="center"/>
          </w:tcPr>
          <w:p w14:paraId="248782C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455" w:type="pct"/>
            <w:vMerge w:val="continue"/>
            <w:tcBorders>
              <w:tl2br w:val="nil"/>
              <w:tr2bl w:val="nil"/>
            </w:tcBorders>
            <w:vAlign w:val="center"/>
          </w:tcPr>
          <w:p w14:paraId="767FDD0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97" w:type="pct"/>
            <w:tcBorders>
              <w:tl2br w:val="nil"/>
              <w:tr2bl w:val="nil"/>
            </w:tcBorders>
            <w:vAlign w:val="center"/>
          </w:tcPr>
          <w:p w14:paraId="3D8FEF4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污染治理设施编号</w:t>
            </w:r>
          </w:p>
        </w:tc>
        <w:tc>
          <w:tcPr>
            <w:tcW w:w="497" w:type="pct"/>
            <w:tcBorders>
              <w:tl2br w:val="nil"/>
              <w:tr2bl w:val="nil"/>
            </w:tcBorders>
            <w:vAlign w:val="center"/>
          </w:tcPr>
          <w:p w14:paraId="7B50A06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污染治理设施名称</w:t>
            </w:r>
          </w:p>
        </w:tc>
        <w:tc>
          <w:tcPr>
            <w:tcW w:w="409" w:type="pct"/>
            <w:tcBorders>
              <w:tl2br w:val="nil"/>
              <w:tr2bl w:val="nil"/>
            </w:tcBorders>
            <w:vAlign w:val="center"/>
          </w:tcPr>
          <w:p w14:paraId="038A727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污染治理设施工艺</w:t>
            </w:r>
          </w:p>
        </w:tc>
        <w:tc>
          <w:tcPr>
            <w:tcW w:w="312" w:type="pct"/>
            <w:vMerge w:val="continue"/>
            <w:tcBorders>
              <w:tl2br w:val="nil"/>
              <w:tr2bl w:val="nil"/>
            </w:tcBorders>
            <w:vAlign w:val="center"/>
          </w:tcPr>
          <w:p w14:paraId="2C17D4F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540" w:type="pct"/>
            <w:vMerge w:val="continue"/>
            <w:tcBorders>
              <w:tl2br w:val="nil"/>
              <w:tr2bl w:val="nil"/>
            </w:tcBorders>
            <w:vAlign w:val="center"/>
          </w:tcPr>
          <w:p w14:paraId="3FAE847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1105" w:type="pct"/>
            <w:vMerge w:val="continue"/>
            <w:tcBorders>
              <w:tl2br w:val="nil"/>
              <w:tr2bl w:val="nil"/>
            </w:tcBorders>
            <w:vAlign w:val="center"/>
          </w:tcPr>
          <w:p w14:paraId="2C37931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r>
      <w:tr w14:paraId="24CF64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182" w:type="pct"/>
            <w:tcBorders>
              <w:tl2br w:val="nil"/>
              <w:tr2bl w:val="nil"/>
            </w:tcBorders>
            <w:vAlign w:val="center"/>
          </w:tcPr>
          <w:p w14:paraId="6580595E">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1</w:t>
            </w:r>
          </w:p>
        </w:tc>
        <w:tc>
          <w:tcPr>
            <w:tcW w:w="323" w:type="pct"/>
            <w:tcBorders>
              <w:tl2br w:val="nil"/>
              <w:tr2bl w:val="nil"/>
            </w:tcBorders>
            <w:vAlign w:val="center"/>
          </w:tcPr>
          <w:p w14:paraId="441B2C6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生活污水</w:t>
            </w:r>
          </w:p>
        </w:tc>
        <w:tc>
          <w:tcPr>
            <w:tcW w:w="394" w:type="pct"/>
            <w:tcBorders>
              <w:tl2br w:val="nil"/>
              <w:tr2bl w:val="nil"/>
            </w:tcBorders>
            <w:vAlign w:val="center"/>
          </w:tcPr>
          <w:p w14:paraId="3DFC0112">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default" w:ascii="Times New Roman" w:hAnsi="Times New Roman" w:eastAsia="宋体" w:cs="宋体"/>
                <w:color w:val="auto"/>
                <w:kern w:val="0"/>
                <w:lang w:val="en-US" w:eastAsia="zh-CN"/>
              </w:rPr>
            </w:pPr>
            <w:r>
              <w:rPr>
                <w:rFonts w:hint="eastAsia" w:ascii="Times New Roman" w:hAnsi="Times New Roman" w:eastAsia="宋体" w:cs="Times New Roman"/>
                <w:color w:val="auto"/>
                <w:kern w:val="0"/>
                <w:sz w:val="21"/>
                <w:szCs w:val="21"/>
                <w:highlight w:val="none"/>
                <w:lang w:val="en-US" w:eastAsia="zh-CN"/>
              </w:rPr>
              <w:t>pH、</w:t>
            </w:r>
            <w:r>
              <w:rPr>
                <w:rFonts w:hint="default" w:ascii="Times New Roman" w:hAnsi="Times New Roman" w:eastAsia="宋体" w:cs="Times New Roman"/>
                <w:i w:val="0"/>
                <w:iCs w:val="0"/>
                <w:color w:val="auto"/>
                <w:kern w:val="0"/>
                <w:sz w:val="21"/>
                <w:szCs w:val="21"/>
                <w:highlight w:val="none"/>
                <w:u w:val="none"/>
                <w:lang w:val="en-US" w:eastAsia="zh-CN" w:bidi="ar"/>
              </w:rPr>
              <w:t>COD</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i w:val="0"/>
                <w:iCs w:val="0"/>
                <w:color w:val="auto"/>
                <w:kern w:val="0"/>
                <w:sz w:val="21"/>
                <w:szCs w:val="21"/>
                <w:highlight w:val="none"/>
                <w:u w:val="none"/>
                <w:lang w:val="en-US" w:eastAsia="zh-CN" w:bidi="ar"/>
              </w:rPr>
              <w:t>SS</w:t>
            </w:r>
            <w:r>
              <w:rPr>
                <w:rFonts w:hint="eastAsia" w:ascii="Times New Roman" w:hAnsi="Times New Roman" w:eastAsia="宋体" w:cs="Times New Roman"/>
                <w:color w:val="auto"/>
                <w:kern w:val="0"/>
                <w:sz w:val="21"/>
                <w:szCs w:val="21"/>
                <w:highlight w:val="none"/>
                <w:lang w:eastAsia="zh-CN"/>
              </w:rPr>
              <w:t>、</w:t>
            </w:r>
            <w:r>
              <w:rPr>
                <w:rFonts w:hint="eastAsia" w:ascii="Times New Roman" w:hAnsi="Times New Roman" w:eastAsia="宋体" w:cs="Times New Roman"/>
                <w:b w:val="0"/>
                <w:bCs w:val="0"/>
                <w:color w:val="auto"/>
                <w:kern w:val="0"/>
                <w:sz w:val="21"/>
                <w:szCs w:val="21"/>
                <w:lang w:val="en-US" w:eastAsia="zh-CN"/>
              </w:rPr>
              <w:t>氨氮</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i w:val="0"/>
                <w:iCs w:val="0"/>
                <w:color w:val="auto"/>
                <w:kern w:val="0"/>
                <w:sz w:val="21"/>
                <w:szCs w:val="21"/>
                <w:highlight w:val="none"/>
                <w:u w:val="none"/>
                <w:lang w:val="en-US" w:eastAsia="zh-CN" w:bidi="ar"/>
              </w:rPr>
              <w:t>BOD</w:t>
            </w:r>
          </w:p>
        </w:tc>
        <w:tc>
          <w:tcPr>
            <w:tcW w:w="381" w:type="pct"/>
            <w:tcBorders>
              <w:tl2br w:val="nil"/>
              <w:tr2bl w:val="nil"/>
            </w:tcBorders>
            <w:vAlign w:val="center"/>
          </w:tcPr>
          <w:p w14:paraId="22920AF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城市污水处理厂</w:t>
            </w:r>
          </w:p>
        </w:tc>
        <w:tc>
          <w:tcPr>
            <w:tcW w:w="455" w:type="pct"/>
            <w:tcBorders>
              <w:tl2br w:val="nil"/>
              <w:tr2bl w:val="nil"/>
            </w:tcBorders>
            <w:vAlign w:val="center"/>
          </w:tcPr>
          <w:p w14:paraId="55004E1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间断排放，排放期间流量不稳定，但有规律，且不属于非周期性规律</w:t>
            </w:r>
          </w:p>
        </w:tc>
        <w:tc>
          <w:tcPr>
            <w:tcW w:w="397" w:type="pct"/>
            <w:tcBorders>
              <w:tl2br w:val="nil"/>
              <w:tr2bl w:val="nil"/>
            </w:tcBorders>
            <w:vAlign w:val="center"/>
          </w:tcPr>
          <w:p w14:paraId="2199D4C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w:t>
            </w:r>
          </w:p>
        </w:tc>
        <w:tc>
          <w:tcPr>
            <w:tcW w:w="497" w:type="pct"/>
            <w:tcBorders>
              <w:tl2br w:val="nil"/>
              <w:tr2bl w:val="nil"/>
            </w:tcBorders>
            <w:vAlign w:val="center"/>
          </w:tcPr>
          <w:p w14:paraId="634541F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w:t>
            </w:r>
          </w:p>
        </w:tc>
        <w:tc>
          <w:tcPr>
            <w:tcW w:w="409" w:type="pct"/>
            <w:tcBorders>
              <w:tl2br w:val="nil"/>
              <w:tr2bl w:val="nil"/>
            </w:tcBorders>
            <w:vAlign w:val="center"/>
          </w:tcPr>
          <w:p w14:paraId="1513849A">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w:t>
            </w:r>
          </w:p>
        </w:tc>
        <w:tc>
          <w:tcPr>
            <w:tcW w:w="312" w:type="pct"/>
            <w:tcBorders>
              <w:tl2br w:val="nil"/>
              <w:tr2bl w:val="nil"/>
            </w:tcBorders>
            <w:vAlign w:val="center"/>
          </w:tcPr>
          <w:p w14:paraId="3B10F36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DW001</w:t>
            </w:r>
          </w:p>
        </w:tc>
        <w:tc>
          <w:tcPr>
            <w:tcW w:w="540" w:type="pct"/>
            <w:tcBorders>
              <w:tl2br w:val="nil"/>
              <w:tr2bl w:val="nil"/>
            </w:tcBorders>
            <w:vAlign w:val="center"/>
          </w:tcPr>
          <w:p w14:paraId="67770C5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☑是</w:t>
            </w:r>
          </w:p>
          <w:p w14:paraId="79628C4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□否</w:t>
            </w:r>
          </w:p>
          <w:p w14:paraId="552522C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1105" w:type="pct"/>
            <w:tcBorders>
              <w:tl2br w:val="nil"/>
              <w:tr2bl w:val="nil"/>
            </w:tcBorders>
            <w:vAlign w:val="center"/>
          </w:tcPr>
          <w:p w14:paraId="2B072B4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☑企业总排    □雨水排放</w:t>
            </w:r>
          </w:p>
          <w:p w14:paraId="3904A43A">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□清净下水排放 □温排水排放</w:t>
            </w:r>
          </w:p>
          <w:p w14:paraId="1C404AE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□车间或车间处理设施排放</w:t>
            </w:r>
          </w:p>
        </w:tc>
      </w:tr>
    </w:tbl>
    <w:p w14:paraId="3FD0135A">
      <w:pPr>
        <w:widowControl w:val="0"/>
        <w:overflowPunct/>
        <w:autoSpaceDE/>
        <w:autoSpaceDN/>
        <w:adjustRightInd/>
        <w:snapToGrid/>
        <w:spacing w:line="400" w:lineRule="exact"/>
        <w:ind w:firstLine="0" w:firstLineChars="0"/>
        <w:jc w:val="center"/>
        <w:rPr>
          <w:rFonts w:ascii="Times New Roman" w:hAnsi="Times New Roman" w:eastAsia="宋体" w:cs="宋体"/>
          <w:b/>
          <w:color w:val="000000"/>
          <w:kern w:val="0"/>
          <w:sz w:val="24"/>
          <w:szCs w:val="24"/>
          <w:lang w:val="en-US" w:eastAsia="zh-CN" w:bidi="ar-SA"/>
        </w:rPr>
      </w:pPr>
      <w:r>
        <w:rPr>
          <w:rFonts w:hint="eastAsia" w:ascii="Times New Roman" w:hAnsi="Times New Roman" w:eastAsia="宋体" w:cs="宋体"/>
          <w:b/>
          <w:color w:val="000000"/>
          <w:kern w:val="0"/>
          <w:sz w:val="24"/>
          <w:szCs w:val="24"/>
          <w:lang w:val="en-US" w:eastAsia="zh-CN" w:bidi="ar-SA"/>
        </w:rPr>
        <w:t>表</w:t>
      </w:r>
      <w:r>
        <w:rPr>
          <w:rFonts w:hint="eastAsia" w:cs="宋体"/>
          <w:b/>
          <w:color w:val="000000"/>
          <w:kern w:val="0"/>
          <w:sz w:val="24"/>
          <w:szCs w:val="24"/>
          <w:lang w:val="en-US" w:eastAsia="zh-CN" w:bidi="ar-SA"/>
        </w:rPr>
        <w:t>5.2-21</w:t>
      </w:r>
      <w:r>
        <w:rPr>
          <w:rFonts w:hint="eastAsia" w:ascii="Times New Roman" w:hAnsi="Times New Roman" w:eastAsia="宋体" w:cs="宋体"/>
          <w:b/>
          <w:color w:val="000000"/>
          <w:kern w:val="0"/>
          <w:sz w:val="24"/>
          <w:szCs w:val="24"/>
          <w:lang w:val="en-US" w:eastAsia="zh-CN" w:bidi="ar-SA"/>
        </w:rPr>
        <w:t>废水间接排放口基本情况表</w:t>
      </w:r>
    </w:p>
    <w:tbl>
      <w:tblPr>
        <w:tblStyle w:val="21"/>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70"/>
        <w:gridCol w:w="833"/>
        <w:gridCol w:w="1044"/>
        <w:gridCol w:w="712"/>
        <w:gridCol w:w="712"/>
        <w:gridCol w:w="712"/>
        <w:gridCol w:w="723"/>
        <w:gridCol w:w="993"/>
        <w:gridCol w:w="1044"/>
        <w:gridCol w:w="871"/>
        <w:gridCol w:w="3029"/>
        <w:gridCol w:w="3030"/>
      </w:tblGrid>
      <w:tr w14:paraId="688BDC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7" w:hRule="atLeast"/>
          <w:jc w:val="center"/>
        </w:trPr>
        <w:tc>
          <w:tcPr>
            <w:tcW w:w="165" w:type="pct"/>
            <w:vMerge w:val="restart"/>
            <w:tcBorders>
              <w:tl2br w:val="nil"/>
              <w:tr2bl w:val="nil"/>
            </w:tcBorders>
            <w:vAlign w:val="center"/>
          </w:tcPr>
          <w:p w14:paraId="0D32191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序号</w:t>
            </w:r>
          </w:p>
        </w:tc>
        <w:tc>
          <w:tcPr>
            <w:tcW w:w="293" w:type="pct"/>
            <w:vMerge w:val="restart"/>
            <w:tcBorders>
              <w:tl2br w:val="nil"/>
              <w:tr2bl w:val="nil"/>
            </w:tcBorders>
            <w:vAlign w:val="center"/>
          </w:tcPr>
          <w:p w14:paraId="4C1ED53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排放口编号</w:t>
            </w:r>
          </w:p>
        </w:tc>
        <w:tc>
          <w:tcPr>
            <w:tcW w:w="368" w:type="pct"/>
            <w:vMerge w:val="restart"/>
            <w:tcBorders>
              <w:tl2br w:val="nil"/>
              <w:tr2bl w:val="nil"/>
            </w:tcBorders>
            <w:vAlign w:val="center"/>
          </w:tcPr>
          <w:p w14:paraId="1F3ED8B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废水排放量（万t/a）</w:t>
            </w:r>
          </w:p>
        </w:tc>
        <w:tc>
          <w:tcPr>
            <w:tcW w:w="502" w:type="pct"/>
            <w:gridSpan w:val="2"/>
            <w:tcBorders>
              <w:tl2br w:val="nil"/>
              <w:tr2bl w:val="nil"/>
            </w:tcBorders>
            <w:vAlign w:val="center"/>
          </w:tcPr>
          <w:p w14:paraId="3F186263">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排放口地理坐标</w:t>
            </w:r>
          </w:p>
        </w:tc>
        <w:tc>
          <w:tcPr>
            <w:tcW w:w="251" w:type="pct"/>
            <w:vMerge w:val="restart"/>
            <w:tcBorders>
              <w:tl2br w:val="nil"/>
              <w:tr2bl w:val="nil"/>
            </w:tcBorders>
            <w:vAlign w:val="center"/>
          </w:tcPr>
          <w:p w14:paraId="6E8AB1BE">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排水去向</w:t>
            </w:r>
          </w:p>
        </w:tc>
        <w:tc>
          <w:tcPr>
            <w:tcW w:w="255" w:type="pct"/>
            <w:vMerge w:val="restart"/>
            <w:tcBorders>
              <w:tl2br w:val="nil"/>
              <w:tr2bl w:val="nil"/>
            </w:tcBorders>
            <w:vAlign w:val="center"/>
          </w:tcPr>
          <w:p w14:paraId="26DE5060">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排放规律</w:t>
            </w:r>
          </w:p>
        </w:tc>
        <w:tc>
          <w:tcPr>
            <w:tcW w:w="350" w:type="pct"/>
            <w:vMerge w:val="restart"/>
            <w:tcBorders>
              <w:tl2br w:val="nil"/>
              <w:tr2bl w:val="nil"/>
            </w:tcBorders>
            <w:vAlign w:val="center"/>
          </w:tcPr>
          <w:p w14:paraId="64B5150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间歇排放时间段</w:t>
            </w:r>
          </w:p>
        </w:tc>
        <w:tc>
          <w:tcPr>
            <w:tcW w:w="2813" w:type="pct"/>
            <w:gridSpan w:val="4"/>
            <w:tcBorders>
              <w:tl2br w:val="nil"/>
              <w:tr2bl w:val="nil"/>
            </w:tcBorders>
            <w:vAlign w:val="center"/>
          </w:tcPr>
          <w:p w14:paraId="6EAB587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default" w:ascii="Arial" w:hAnsi="Arial" w:eastAsia="宋体" w:cs="Arial"/>
                <w:i w:val="0"/>
                <w:iCs w:val="0"/>
                <w:caps w:val="0"/>
                <w:color w:val="333333"/>
                <w:spacing w:val="0"/>
                <w:kern w:val="0"/>
                <w:sz w:val="21"/>
                <w:szCs w:val="21"/>
                <w:shd w:val="clear" w:fill="F5F3F4"/>
                <w:lang w:val="en-US" w:eastAsia="zh-CN" w:bidi="ar-SA"/>
              </w:rPr>
              <w:t>受纳污水处理厂信息</w:t>
            </w:r>
          </w:p>
        </w:tc>
      </w:tr>
      <w:tr w14:paraId="2E02C3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165" w:type="pct"/>
            <w:vMerge w:val="continue"/>
            <w:tcBorders>
              <w:tl2br w:val="nil"/>
              <w:tr2bl w:val="nil"/>
            </w:tcBorders>
            <w:vAlign w:val="center"/>
          </w:tcPr>
          <w:p w14:paraId="03EC14A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93" w:type="pct"/>
            <w:vMerge w:val="continue"/>
            <w:tcBorders>
              <w:tl2br w:val="nil"/>
              <w:tr2bl w:val="nil"/>
            </w:tcBorders>
            <w:vAlign w:val="center"/>
          </w:tcPr>
          <w:p w14:paraId="0F0804D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5C7BEC63">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tcBorders>
              <w:tl2br w:val="nil"/>
              <w:tr2bl w:val="nil"/>
            </w:tcBorders>
            <w:vAlign w:val="center"/>
          </w:tcPr>
          <w:p w14:paraId="21D881F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highlight w:val="none"/>
                <w:lang w:val="en-US" w:eastAsia="zh-CN" w:bidi="ar-SA"/>
              </w:rPr>
            </w:pPr>
            <w:r>
              <w:rPr>
                <w:rFonts w:hint="eastAsia" w:ascii="Times New Roman" w:hAnsi="Times New Roman" w:eastAsia="宋体" w:cs="Times New Roman"/>
                <w:color w:val="auto"/>
                <w:kern w:val="0"/>
                <w:sz w:val="21"/>
                <w:highlight w:val="none"/>
                <w:lang w:val="en-US" w:eastAsia="zh-CN" w:bidi="ar-SA"/>
              </w:rPr>
              <w:t>经度</w:t>
            </w:r>
          </w:p>
        </w:tc>
        <w:tc>
          <w:tcPr>
            <w:tcW w:w="251" w:type="pct"/>
            <w:tcBorders>
              <w:tl2br w:val="nil"/>
              <w:tr2bl w:val="nil"/>
            </w:tcBorders>
            <w:vAlign w:val="center"/>
          </w:tcPr>
          <w:p w14:paraId="7ECE10B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highlight w:val="none"/>
                <w:lang w:val="en-US" w:eastAsia="zh-CN" w:bidi="ar-SA"/>
              </w:rPr>
            </w:pPr>
            <w:r>
              <w:rPr>
                <w:rFonts w:hint="eastAsia" w:ascii="Times New Roman" w:hAnsi="Times New Roman" w:eastAsia="宋体" w:cs="Times New Roman"/>
                <w:color w:val="auto"/>
                <w:kern w:val="0"/>
                <w:sz w:val="21"/>
                <w:highlight w:val="none"/>
                <w:lang w:val="en-US" w:eastAsia="zh-CN" w:bidi="ar-SA"/>
              </w:rPr>
              <w:t>纬度</w:t>
            </w:r>
          </w:p>
        </w:tc>
        <w:tc>
          <w:tcPr>
            <w:tcW w:w="251" w:type="pct"/>
            <w:vMerge w:val="continue"/>
            <w:tcBorders>
              <w:tl2br w:val="nil"/>
              <w:tr2bl w:val="nil"/>
            </w:tcBorders>
            <w:vAlign w:val="center"/>
          </w:tcPr>
          <w:p w14:paraId="2690CFA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5" w:type="pct"/>
            <w:vMerge w:val="continue"/>
            <w:tcBorders>
              <w:tl2br w:val="nil"/>
              <w:tr2bl w:val="nil"/>
            </w:tcBorders>
            <w:vAlign w:val="center"/>
          </w:tcPr>
          <w:p w14:paraId="0640D95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50" w:type="pct"/>
            <w:vMerge w:val="continue"/>
            <w:tcBorders>
              <w:tl2br w:val="nil"/>
              <w:tr2bl w:val="nil"/>
            </w:tcBorders>
            <w:vAlign w:val="center"/>
          </w:tcPr>
          <w:p w14:paraId="56C136E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tcBorders>
              <w:tl2br w:val="nil"/>
              <w:tr2bl w:val="nil"/>
            </w:tcBorders>
            <w:vAlign w:val="center"/>
          </w:tcPr>
          <w:p w14:paraId="7CA43C4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名称</w:t>
            </w:r>
          </w:p>
        </w:tc>
        <w:tc>
          <w:tcPr>
            <w:tcW w:w="307" w:type="pct"/>
            <w:tcBorders>
              <w:tl2br w:val="nil"/>
              <w:tr2bl w:val="nil"/>
            </w:tcBorders>
            <w:vAlign w:val="center"/>
          </w:tcPr>
          <w:p w14:paraId="7E404B3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污染物</w:t>
            </w:r>
          </w:p>
        </w:tc>
        <w:tc>
          <w:tcPr>
            <w:tcW w:w="1068" w:type="pct"/>
            <w:tcBorders>
              <w:tl2br w:val="nil"/>
              <w:tr2bl w:val="nil"/>
            </w:tcBorders>
            <w:vAlign w:val="center"/>
          </w:tcPr>
          <w:p w14:paraId="11B1CBB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default" w:ascii="Times New Roman" w:hAnsi="Times New Roman" w:eastAsia="宋体" w:cs="Times New Roman"/>
                <w:color w:val="auto"/>
                <w:kern w:val="0"/>
                <w:sz w:val="21"/>
                <w:lang w:val="en-US" w:eastAsia="zh-CN" w:bidi="ar-SA"/>
              </w:rPr>
              <w:t>排水协议规定的浓度限值</w:t>
            </w:r>
            <w:r>
              <w:rPr>
                <w:rFonts w:hint="eastAsia" w:ascii="Times New Roman" w:hAnsi="Times New Roman" w:eastAsia="宋体" w:cs="Times New Roman"/>
                <w:color w:val="auto"/>
                <w:kern w:val="0"/>
                <w:sz w:val="21"/>
                <w:lang w:val="en-US" w:eastAsia="zh-CN" w:bidi="ar-SA"/>
              </w:rPr>
              <w:t>（</w:t>
            </w:r>
            <w:r>
              <w:rPr>
                <w:rFonts w:hint="default" w:ascii="Times New Roman" w:hAnsi="Times New Roman" w:eastAsia="宋体" w:cs="Times New Roman"/>
                <w:color w:val="auto"/>
                <w:kern w:val="0"/>
                <w:sz w:val="21"/>
                <w:lang w:val="en-US" w:eastAsia="zh-CN" w:bidi="ar-SA"/>
              </w:rPr>
              <w:t>mg/L</w:t>
            </w:r>
            <w:r>
              <w:rPr>
                <w:rFonts w:hint="eastAsia" w:ascii="Times New Roman" w:hAnsi="Times New Roman" w:eastAsia="宋体" w:cs="Times New Roman"/>
                <w:color w:val="auto"/>
                <w:kern w:val="0"/>
                <w:sz w:val="21"/>
                <w:lang w:val="en-US" w:eastAsia="zh-CN" w:bidi="ar-SA"/>
              </w:rPr>
              <w:t>）</w:t>
            </w:r>
            <w:r>
              <w:rPr>
                <w:rFonts w:hint="default" w:ascii="Times New Roman" w:hAnsi="Times New Roman" w:eastAsia="宋体" w:cs="Times New Roman"/>
                <w:color w:val="auto"/>
                <w:kern w:val="0"/>
                <w:sz w:val="21"/>
                <w:lang w:val="en-US" w:eastAsia="zh-CN" w:bidi="ar-SA"/>
              </w:rPr>
              <w:t>（如有）</w:t>
            </w:r>
          </w:p>
        </w:tc>
        <w:tc>
          <w:tcPr>
            <w:tcW w:w="1068" w:type="pct"/>
            <w:tcBorders>
              <w:tl2br w:val="nil"/>
              <w:tr2bl w:val="nil"/>
            </w:tcBorders>
            <w:vAlign w:val="center"/>
          </w:tcPr>
          <w:p w14:paraId="3FE10DF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国家或地方污染物排放标准浓度限值（mg/L）</w:t>
            </w:r>
          </w:p>
        </w:tc>
      </w:tr>
      <w:tr w14:paraId="720ED0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65" w:type="pct"/>
            <w:vMerge w:val="restart"/>
            <w:tcBorders>
              <w:tl2br w:val="nil"/>
              <w:tr2bl w:val="nil"/>
            </w:tcBorders>
            <w:vAlign w:val="center"/>
          </w:tcPr>
          <w:p w14:paraId="1835F18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1</w:t>
            </w:r>
          </w:p>
        </w:tc>
        <w:tc>
          <w:tcPr>
            <w:tcW w:w="293" w:type="pct"/>
            <w:vMerge w:val="restart"/>
            <w:tcBorders>
              <w:tl2br w:val="nil"/>
              <w:tr2bl w:val="nil"/>
            </w:tcBorders>
            <w:vAlign w:val="center"/>
          </w:tcPr>
          <w:p w14:paraId="6BABAF2A">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DW001生活污水排放口</w:t>
            </w:r>
          </w:p>
        </w:tc>
        <w:tc>
          <w:tcPr>
            <w:tcW w:w="368" w:type="pct"/>
            <w:vMerge w:val="restart"/>
            <w:tcBorders>
              <w:tl2br w:val="nil"/>
              <w:tr2bl w:val="nil"/>
            </w:tcBorders>
            <w:vAlign w:val="center"/>
          </w:tcPr>
          <w:p w14:paraId="040E1B5A">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0.</w:t>
            </w:r>
            <w:r>
              <w:rPr>
                <w:rFonts w:hint="eastAsia" w:cs="Times New Roman"/>
                <w:color w:val="auto"/>
                <w:kern w:val="0"/>
                <w:sz w:val="21"/>
                <w:lang w:val="en-US" w:eastAsia="zh-CN" w:bidi="ar-SA"/>
              </w:rPr>
              <w:t>0</w:t>
            </w:r>
            <w:r>
              <w:rPr>
                <w:rFonts w:hint="eastAsia" w:cs="Times New Roman"/>
                <w:color w:val="auto"/>
                <w:kern w:val="0"/>
                <w:sz w:val="21"/>
                <w:szCs w:val="21"/>
                <w:highlight w:val="none"/>
                <w:lang w:val="en-US" w:eastAsia="zh-CN"/>
              </w:rPr>
              <w:t>28032</w:t>
            </w:r>
          </w:p>
        </w:tc>
        <w:tc>
          <w:tcPr>
            <w:tcW w:w="251" w:type="pct"/>
            <w:vMerge w:val="restart"/>
            <w:tcBorders>
              <w:tl2br w:val="nil"/>
              <w:tr2bl w:val="nil"/>
            </w:tcBorders>
            <w:vAlign w:val="center"/>
          </w:tcPr>
          <w:p w14:paraId="7535C723">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default" w:ascii="Times New Roman" w:hAnsi="Times New Roman" w:eastAsia="宋体" w:cs="Times New Roman"/>
                <w:color w:val="auto"/>
                <w:kern w:val="0"/>
                <w:sz w:val="21"/>
                <w:lang w:val="en-US" w:eastAsia="zh-CN" w:bidi="ar-SA"/>
              </w:rPr>
              <w:t>84°29′42.967″</w:t>
            </w:r>
          </w:p>
        </w:tc>
        <w:tc>
          <w:tcPr>
            <w:tcW w:w="251" w:type="pct"/>
            <w:vMerge w:val="restart"/>
            <w:tcBorders>
              <w:tl2br w:val="nil"/>
              <w:tr2bl w:val="nil"/>
            </w:tcBorders>
            <w:vAlign w:val="center"/>
          </w:tcPr>
          <w:p w14:paraId="1A91AFC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default" w:ascii="Times New Roman" w:hAnsi="Times New Roman" w:eastAsia="宋体" w:cs="Times New Roman"/>
                <w:color w:val="auto"/>
                <w:kern w:val="0"/>
                <w:sz w:val="21"/>
                <w:lang w:val="en-US" w:eastAsia="zh-CN" w:bidi="ar-SA"/>
              </w:rPr>
              <w:t>44°44′45.751″</w:t>
            </w:r>
          </w:p>
        </w:tc>
        <w:tc>
          <w:tcPr>
            <w:tcW w:w="251" w:type="pct"/>
            <w:vMerge w:val="restart"/>
            <w:tcBorders>
              <w:tl2br w:val="nil"/>
              <w:tr2bl w:val="nil"/>
            </w:tcBorders>
            <w:vAlign w:val="center"/>
          </w:tcPr>
          <w:p w14:paraId="551152B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城市污水处理厂</w:t>
            </w:r>
          </w:p>
        </w:tc>
        <w:tc>
          <w:tcPr>
            <w:tcW w:w="255" w:type="pct"/>
            <w:vMerge w:val="restart"/>
            <w:tcBorders>
              <w:tl2br w:val="nil"/>
              <w:tr2bl w:val="nil"/>
            </w:tcBorders>
            <w:vAlign w:val="center"/>
          </w:tcPr>
          <w:p w14:paraId="6415EA0E">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非连续排放</w:t>
            </w:r>
          </w:p>
        </w:tc>
        <w:tc>
          <w:tcPr>
            <w:tcW w:w="350" w:type="pct"/>
            <w:vMerge w:val="restart"/>
            <w:tcBorders>
              <w:tl2br w:val="nil"/>
              <w:tr2bl w:val="nil"/>
            </w:tcBorders>
            <w:vAlign w:val="center"/>
          </w:tcPr>
          <w:p w14:paraId="6673CD8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0-24</w:t>
            </w:r>
          </w:p>
        </w:tc>
        <w:tc>
          <w:tcPr>
            <w:tcW w:w="368" w:type="pct"/>
            <w:vMerge w:val="restart"/>
            <w:tcBorders>
              <w:tl2br w:val="nil"/>
              <w:tr2bl w:val="nil"/>
            </w:tcBorders>
            <w:vAlign w:val="center"/>
          </w:tcPr>
          <w:p w14:paraId="3CF380E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第七师125团团场城镇生活污水处理厂</w:t>
            </w:r>
          </w:p>
        </w:tc>
        <w:tc>
          <w:tcPr>
            <w:tcW w:w="307" w:type="pct"/>
            <w:tcBorders>
              <w:tl2br w:val="nil"/>
              <w:tr2bl w:val="nil"/>
            </w:tcBorders>
            <w:vAlign w:val="center"/>
          </w:tcPr>
          <w:p w14:paraId="4EFAEC58">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eastAsia" w:ascii="Times New Roman" w:hAnsi="Times New Roman" w:eastAsia="宋体" w:cs="宋体"/>
                <w:color w:val="auto"/>
                <w:kern w:val="0"/>
              </w:rPr>
            </w:pPr>
            <w:r>
              <w:rPr>
                <w:rFonts w:hint="eastAsia" w:ascii="Times New Roman" w:hAnsi="Times New Roman" w:eastAsia="宋体" w:cs="Times New Roman"/>
                <w:color w:val="auto"/>
                <w:kern w:val="0"/>
                <w:sz w:val="21"/>
                <w:szCs w:val="21"/>
                <w:highlight w:val="none"/>
                <w:lang w:val="en-US" w:eastAsia="zh-CN"/>
              </w:rPr>
              <w:t>pH</w:t>
            </w:r>
          </w:p>
        </w:tc>
        <w:tc>
          <w:tcPr>
            <w:tcW w:w="1068" w:type="pct"/>
            <w:tcBorders>
              <w:tl2br w:val="nil"/>
              <w:tr2bl w:val="nil"/>
            </w:tcBorders>
            <w:vAlign w:val="center"/>
          </w:tcPr>
          <w:p w14:paraId="4B88303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w:t>
            </w:r>
          </w:p>
        </w:tc>
        <w:tc>
          <w:tcPr>
            <w:tcW w:w="1068" w:type="pct"/>
            <w:tcBorders>
              <w:tl2br w:val="nil"/>
              <w:tr2bl w:val="nil"/>
            </w:tcBorders>
            <w:vAlign w:val="center"/>
          </w:tcPr>
          <w:p w14:paraId="34BB92C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6-9（无量纲）</w:t>
            </w:r>
          </w:p>
        </w:tc>
      </w:tr>
      <w:tr w14:paraId="4D18CF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165" w:type="pct"/>
            <w:vMerge w:val="continue"/>
            <w:tcBorders>
              <w:tl2br w:val="nil"/>
              <w:tr2bl w:val="nil"/>
            </w:tcBorders>
            <w:vAlign w:val="center"/>
          </w:tcPr>
          <w:p w14:paraId="6014F75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93" w:type="pct"/>
            <w:vMerge w:val="continue"/>
            <w:tcBorders>
              <w:tl2br w:val="nil"/>
              <w:tr2bl w:val="nil"/>
            </w:tcBorders>
            <w:vAlign w:val="center"/>
          </w:tcPr>
          <w:p w14:paraId="41F5D57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4A63610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4A061FD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78D73490">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4BF9C05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5" w:type="pct"/>
            <w:vMerge w:val="continue"/>
            <w:tcBorders>
              <w:tl2br w:val="nil"/>
              <w:tr2bl w:val="nil"/>
            </w:tcBorders>
            <w:vAlign w:val="center"/>
          </w:tcPr>
          <w:p w14:paraId="62F6E3E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50" w:type="pct"/>
            <w:vMerge w:val="continue"/>
            <w:tcBorders>
              <w:tl2br w:val="nil"/>
              <w:tr2bl w:val="nil"/>
            </w:tcBorders>
            <w:vAlign w:val="center"/>
          </w:tcPr>
          <w:p w14:paraId="75465DF4">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59B76B8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07" w:type="pct"/>
            <w:tcBorders>
              <w:tl2br w:val="nil"/>
              <w:tr2bl w:val="nil"/>
            </w:tcBorders>
            <w:vAlign w:val="center"/>
          </w:tcPr>
          <w:p w14:paraId="1AE6C6E3">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eastAsia" w:ascii="Times New Roman" w:hAnsi="Times New Roman" w:eastAsia="宋体" w:cs="宋体"/>
                <w:color w:val="auto"/>
                <w:kern w:val="0"/>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COD</w:t>
            </w:r>
          </w:p>
        </w:tc>
        <w:tc>
          <w:tcPr>
            <w:tcW w:w="1068" w:type="pct"/>
            <w:tcBorders>
              <w:tl2br w:val="nil"/>
              <w:tr2bl w:val="nil"/>
            </w:tcBorders>
            <w:vAlign w:val="center"/>
          </w:tcPr>
          <w:p w14:paraId="71F943CB">
            <w:pPr>
              <w:keepNext w:val="0"/>
              <w:keepLines w:val="0"/>
              <w:suppressLineNumbers w:val="0"/>
              <w:overflowPunct/>
              <w:autoSpaceDE/>
              <w:autoSpaceDN/>
              <w:bidi w:val="0"/>
              <w:adjustRightInd/>
              <w:snapToGrid/>
              <w:spacing w:before="0" w:beforeAutospacing="0" w:after="0" w:afterAutospacing="0" w:line="320" w:lineRule="exact"/>
              <w:ind w:left="0" w:right="0" w:firstLine="0" w:firstLineChars="0"/>
              <w:jc w:val="center"/>
              <w:rPr>
                <w:rFonts w:hint="default" w:ascii="Times New Roman" w:hAnsi="Times New Roman" w:eastAsia="宋体" w:cs="宋体"/>
                <w:color w:val="auto"/>
                <w:kern w:val="0"/>
                <w:lang w:val="en-US" w:eastAsia="zh-CN"/>
              </w:rPr>
            </w:pPr>
            <w:r>
              <w:rPr>
                <w:rFonts w:hint="eastAsia" w:ascii="Times New Roman" w:hAnsi="Times New Roman" w:eastAsia="宋体" w:cs="宋体"/>
                <w:color w:val="auto"/>
                <w:kern w:val="0"/>
                <w:lang w:val="en-US" w:eastAsia="zh-CN"/>
              </w:rPr>
              <w:t>/</w:t>
            </w:r>
          </w:p>
        </w:tc>
        <w:tc>
          <w:tcPr>
            <w:tcW w:w="1068" w:type="pct"/>
            <w:tcBorders>
              <w:tl2br w:val="nil"/>
              <w:tr2bl w:val="nil"/>
            </w:tcBorders>
            <w:vAlign w:val="center"/>
          </w:tcPr>
          <w:p w14:paraId="476A2A1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50</w:t>
            </w:r>
          </w:p>
        </w:tc>
      </w:tr>
      <w:tr w14:paraId="702441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165" w:type="pct"/>
            <w:vMerge w:val="continue"/>
            <w:tcBorders>
              <w:tl2br w:val="nil"/>
              <w:tr2bl w:val="nil"/>
            </w:tcBorders>
            <w:vAlign w:val="center"/>
          </w:tcPr>
          <w:p w14:paraId="3FFD2BA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93" w:type="pct"/>
            <w:vMerge w:val="continue"/>
            <w:tcBorders>
              <w:tl2br w:val="nil"/>
              <w:tr2bl w:val="nil"/>
            </w:tcBorders>
            <w:vAlign w:val="center"/>
          </w:tcPr>
          <w:p w14:paraId="2716F74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5E3B0FF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3F0C966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09F38CB0">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171A858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5" w:type="pct"/>
            <w:vMerge w:val="continue"/>
            <w:tcBorders>
              <w:tl2br w:val="nil"/>
              <w:tr2bl w:val="nil"/>
            </w:tcBorders>
            <w:vAlign w:val="center"/>
          </w:tcPr>
          <w:p w14:paraId="674D1BE0">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50" w:type="pct"/>
            <w:vMerge w:val="continue"/>
            <w:tcBorders>
              <w:tl2br w:val="nil"/>
              <w:tr2bl w:val="nil"/>
            </w:tcBorders>
            <w:vAlign w:val="center"/>
          </w:tcPr>
          <w:p w14:paraId="7C937EF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6870B13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07" w:type="pct"/>
            <w:tcBorders>
              <w:tl2br w:val="nil"/>
              <w:tr2bl w:val="nil"/>
            </w:tcBorders>
            <w:vAlign w:val="center"/>
          </w:tcPr>
          <w:p w14:paraId="44970B51">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eastAsia" w:ascii="Times New Roman" w:hAnsi="Times New Roman" w:eastAsia="宋体" w:cs="宋体"/>
                <w:color w:val="auto"/>
                <w:kern w:val="0"/>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SS</w:t>
            </w:r>
          </w:p>
        </w:tc>
        <w:tc>
          <w:tcPr>
            <w:tcW w:w="1068" w:type="pct"/>
            <w:tcBorders>
              <w:tl2br w:val="nil"/>
              <w:tr2bl w:val="nil"/>
            </w:tcBorders>
            <w:vAlign w:val="center"/>
          </w:tcPr>
          <w:p w14:paraId="740E8349">
            <w:pPr>
              <w:keepNext w:val="0"/>
              <w:keepLines w:val="0"/>
              <w:suppressLineNumbers w:val="0"/>
              <w:overflowPunct/>
              <w:autoSpaceDE/>
              <w:autoSpaceDN/>
              <w:bidi w:val="0"/>
              <w:adjustRightInd/>
              <w:snapToGrid/>
              <w:spacing w:before="0" w:beforeAutospacing="0" w:after="0" w:afterAutospacing="0" w:line="320" w:lineRule="exact"/>
              <w:ind w:left="0" w:right="0" w:firstLine="0" w:firstLineChars="0"/>
              <w:jc w:val="center"/>
              <w:rPr>
                <w:rFonts w:hint="eastAsia" w:ascii="Times New Roman" w:hAnsi="Times New Roman" w:eastAsia="宋体" w:cs="宋体"/>
                <w:color w:val="auto"/>
                <w:kern w:val="0"/>
                <w:lang w:val="en-US" w:eastAsia="zh-CN"/>
              </w:rPr>
            </w:pPr>
            <w:r>
              <w:rPr>
                <w:rFonts w:hint="eastAsia" w:ascii="Times New Roman" w:hAnsi="Times New Roman" w:eastAsia="宋体" w:cs="宋体"/>
                <w:color w:val="auto"/>
                <w:kern w:val="0"/>
                <w:lang w:val="en-US" w:eastAsia="zh-CN"/>
              </w:rPr>
              <w:t>/</w:t>
            </w:r>
          </w:p>
        </w:tc>
        <w:tc>
          <w:tcPr>
            <w:tcW w:w="1068" w:type="pct"/>
            <w:tcBorders>
              <w:tl2br w:val="nil"/>
              <w:tr2bl w:val="nil"/>
            </w:tcBorders>
            <w:vAlign w:val="center"/>
          </w:tcPr>
          <w:p w14:paraId="6A09F3D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10</w:t>
            </w:r>
          </w:p>
        </w:tc>
      </w:tr>
      <w:tr w14:paraId="4AC51A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165" w:type="pct"/>
            <w:vMerge w:val="continue"/>
            <w:tcBorders>
              <w:tl2br w:val="nil"/>
              <w:tr2bl w:val="nil"/>
            </w:tcBorders>
            <w:vAlign w:val="center"/>
          </w:tcPr>
          <w:p w14:paraId="69D2529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93" w:type="pct"/>
            <w:vMerge w:val="continue"/>
            <w:tcBorders>
              <w:tl2br w:val="nil"/>
              <w:tr2bl w:val="nil"/>
            </w:tcBorders>
            <w:vAlign w:val="center"/>
          </w:tcPr>
          <w:p w14:paraId="5BD9B98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2ADAD04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4FEB7DF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28D36F5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4302964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5" w:type="pct"/>
            <w:vMerge w:val="continue"/>
            <w:tcBorders>
              <w:tl2br w:val="nil"/>
              <w:tr2bl w:val="nil"/>
            </w:tcBorders>
            <w:vAlign w:val="center"/>
          </w:tcPr>
          <w:p w14:paraId="44099B7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50" w:type="pct"/>
            <w:vMerge w:val="continue"/>
            <w:tcBorders>
              <w:tl2br w:val="nil"/>
              <w:tr2bl w:val="nil"/>
            </w:tcBorders>
            <w:vAlign w:val="center"/>
          </w:tcPr>
          <w:p w14:paraId="4ECDDC7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00E172D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07" w:type="pct"/>
            <w:tcBorders>
              <w:tl2br w:val="nil"/>
              <w:tr2bl w:val="nil"/>
            </w:tcBorders>
            <w:vAlign w:val="center"/>
          </w:tcPr>
          <w:p w14:paraId="6F287A8A">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氨氮</w:t>
            </w:r>
          </w:p>
        </w:tc>
        <w:tc>
          <w:tcPr>
            <w:tcW w:w="1068" w:type="pct"/>
            <w:tcBorders>
              <w:tl2br w:val="nil"/>
              <w:tr2bl w:val="nil"/>
            </w:tcBorders>
            <w:vAlign w:val="center"/>
          </w:tcPr>
          <w:p w14:paraId="07B0FC43">
            <w:pPr>
              <w:keepNext w:val="0"/>
              <w:keepLines w:val="0"/>
              <w:suppressLineNumbers w:val="0"/>
              <w:overflowPunct/>
              <w:autoSpaceDE/>
              <w:autoSpaceDN/>
              <w:bidi w:val="0"/>
              <w:adjustRightInd/>
              <w:snapToGrid/>
              <w:spacing w:before="0" w:beforeAutospacing="0" w:after="0" w:afterAutospacing="0" w:line="320" w:lineRule="exact"/>
              <w:ind w:left="0" w:right="0" w:firstLine="0" w:firstLineChars="0"/>
              <w:jc w:val="center"/>
              <w:rPr>
                <w:rFonts w:hint="eastAsia" w:ascii="Times New Roman" w:hAnsi="Times New Roman" w:eastAsia="宋体" w:cs="宋体"/>
                <w:color w:val="auto"/>
                <w:kern w:val="0"/>
                <w:lang w:val="en-US" w:eastAsia="zh-CN"/>
              </w:rPr>
            </w:pPr>
            <w:r>
              <w:rPr>
                <w:rFonts w:hint="eastAsia" w:ascii="Times New Roman" w:hAnsi="Times New Roman" w:eastAsia="宋体" w:cs="宋体"/>
                <w:color w:val="auto"/>
                <w:kern w:val="0"/>
                <w:lang w:val="en-US" w:eastAsia="zh-CN"/>
              </w:rPr>
              <w:t>/</w:t>
            </w:r>
          </w:p>
        </w:tc>
        <w:tc>
          <w:tcPr>
            <w:tcW w:w="1068" w:type="pct"/>
            <w:tcBorders>
              <w:tl2br w:val="nil"/>
              <w:tr2bl w:val="nil"/>
            </w:tcBorders>
            <w:vAlign w:val="center"/>
          </w:tcPr>
          <w:p w14:paraId="16794E2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5</w:t>
            </w:r>
          </w:p>
        </w:tc>
      </w:tr>
      <w:tr w14:paraId="1487FE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165" w:type="pct"/>
            <w:vMerge w:val="continue"/>
            <w:tcBorders>
              <w:tl2br w:val="nil"/>
              <w:tr2bl w:val="nil"/>
            </w:tcBorders>
            <w:vAlign w:val="center"/>
          </w:tcPr>
          <w:p w14:paraId="7E700C49">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93" w:type="pct"/>
            <w:vMerge w:val="continue"/>
            <w:tcBorders>
              <w:tl2br w:val="nil"/>
              <w:tr2bl w:val="nil"/>
            </w:tcBorders>
            <w:vAlign w:val="center"/>
          </w:tcPr>
          <w:p w14:paraId="7663F88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44C4C1C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59C7E5F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007A589D">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1" w:type="pct"/>
            <w:vMerge w:val="continue"/>
            <w:tcBorders>
              <w:tl2br w:val="nil"/>
              <w:tr2bl w:val="nil"/>
            </w:tcBorders>
            <w:vAlign w:val="center"/>
          </w:tcPr>
          <w:p w14:paraId="25EE62B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5" w:type="pct"/>
            <w:vMerge w:val="continue"/>
            <w:tcBorders>
              <w:tl2br w:val="nil"/>
              <w:tr2bl w:val="nil"/>
            </w:tcBorders>
            <w:vAlign w:val="center"/>
          </w:tcPr>
          <w:p w14:paraId="601389B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50" w:type="pct"/>
            <w:vMerge w:val="continue"/>
            <w:tcBorders>
              <w:tl2br w:val="nil"/>
              <w:tr2bl w:val="nil"/>
            </w:tcBorders>
            <w:vAlign w:val="center"/>
          </w:tcPr>
          <w:p w14:paraId="4138798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68" w:type="pct"/>
            <w:vMerge w:val="continue"/>
            <w:tcBorders>
              <w:tl2br w:val="nil"/>
              <w:tr2bl w:val="nil"/>
            </w:tcBorders>
            <w:vAlign w:val="center"/>
          </w:tcPr>
          <w:p w14:paraId="4A1C2EC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307" w:type="pct"/>
            <w:tcBorders>
              <w:tl2br w:val="nil"/>
              <w:tr2bl w:val="nil"/>
            </w:tcBorders>
            <w:vAlign w:val="center"/>
          </w:tcPr>
          <w:p w14:paraId="7F7FA364">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eastAsia" w:ascii="Times New Roman" w:hAnsi="Times New Roman" w:eastAsia="宋体" w:cs="宋体"/>
                <w:color w:val="auto"/>
                <w:kern w:val="0"/>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BOD</w:t>
            </w:r>
          </w:p>
        </w:tc>
        <w:tc>
          <w:tcPr>
            <w:tcW w:w="1068" w:type="pct"/>
            <w:tcBorders>
              <w:tl2br w:val="nil"/>
              <w:tr2bl w:val="nil"/>
            </w:tcBorders>
            <w:vAlign w:val="center"/>
          </w:tcPr>
          <w:p w14:paraId="0D2180C8">
            <w:pPr>
              <w:keepNext w:val="0"/>
              <w:keepLines w:val="0"/>
              <w:suppressLineNumbers w:val="0"/>
              <w:overflowPunct/>
              <w:autoSpaceDE/>
              <w:autoSpaceDN/>
              <w:bidi w:val="0"/>
              <w:adjustRightInd/>
              <w:snapToGrid/>
              <w:spacing w:before="0" w:beforeAutospacing="0" w:after="0" w:afterAutospacing="0" w:line="320" w:lineRule="exact"/>
              <w:ind w:left="0" w:right="0" w:firstLine="0" w:firstLineChars="0"/>
              <w:jc w:val="center"/>
              <w:rPr>
                <w:rFonts w:hint="eastAsia" w:ascii="Times New Roman" w:hAnsi="Times New Roman" w:eastAsia="宋体" w:cs="宋体"/>
                <w:color w:val="auto"/>
                <w:kern w:val="0"/>
                <w:lang w:val="en-US" w:eastAsia="zh-CN"/>
              </w:rPr>
            </w:pPr>
            <w:r>
              <w:rPr>
                <w:rFonts w:hint="eastAsia" w:ascii="Times New Roman" w:hAnsi="Times New Roman" w:eastAsia="宋体" w:cs="宋体"/>
                <w:color w:val="auto"/>
                <w:kern w:val="0"/>
                <w:lang w:val="en-US" w:eastAsia="zh-CN"/>
              </w:rPr>
              <w:t>/</w:t>
            </w:r>
          </w:p>
        </w:tc>
        <w:tc>
          <w:tcPr>
            <w:tcW w:w="1068" w:type="pct"/>
            <w:tcBorders>
              <w:tl2br w:val="nil"/>
              <w:tr2bl w:val="nil"/>
            </w:tcBorders>
            <w:vAlign w:val="center"/>
          </w:tcPr>
          <w:p w14:paraId="04BE270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10</w:t>
            </w:r>
          </w:p>
        </w:tc>
      </w:tr>
    </w:tbl>
    <w:p w14:paraId="7AAF68F7">
      <w:pPr>
        <w:widowControl w:val="0"/>
        <w:overflowPunct/>
        <w:autoSpaceDE/>
        <w:autoSpaceDN/>
        <w:adjustRightInd/>
        <w:snapToGrid/>
        <w:spacing w:line="400" w:lineRule="exact"/>
        <w:ind w:firstLine="0" w:firstLineChars="0"/>
        <w:jc w:val="center"/>
        <w:rPr>
          <w:rFonts w:ascii="Times New Roman" w:hAnsi="Times New Roman" w:eastAsia="宋体" w:cs="宋体"/>
          <w:b/>
          <w:color w:val="000000"/>
          <w:kern w:val="0"/>
          <w:sz w:val="24"/>
          <w:szCs w:val="24"/>
          <w:lang w:val="en-US" w:eastAsia="zh-CN" w:bidi="ar-SA"/>
        </w:rPr>
      </w:pPr>
      <w:r>
        <w:rPr>
          <w:rFonts w:hint="eastAsia" w:ascii="Times New Roman" w:hAnsi="Times New Roman" w:eastAsia="宋体" w:cs="宋体"/>
          <w:b/>
          <w:color w:val="000000"/>
          <w:kern w:val="0"/>
          <w:sz w:val="24"/>
          <w:szCs w:val="24"/>
          <w:lang w:val="en-US" w:eastAsia="zh-CN" w:bidi="ar-SA"/>
        </w:rPr>
        <w:t>表</w:t>
      </w:r>
      <w:r>
        <w:rPr>
          <w:rFonts w:hint="eastAsia" w:cs="宋体"/>
          <w:b/>
          <w:color w:val="000000"/>
          <w:kern w:val="0"/>
          <w:sz w:val="24"/>
          <w:szCs w:val="24"/>
          <w:lang w:val="en-US" w:eastAsia="zh-CN" w:bidi="ar-SA"/>
        </w:rPr>
        <w:t>5.2-22</w:t>
      </w:r>
      <w:r>
        <w:rPr>
          <w:rFonts w:hint="eastAsia" w:ascii="Times New Roman" w:hAnsi="Times New Roman" w:eastAsia="宋体" w:cs="宋体"/>
          <w:b/>
          <w:color w:val="000000"/>
          <w:kern w:val="0"/>
          <w:sz w:val="24"/>
          <w:szCs w:val="24"/>
          <w:lang w:val="en-US" w:eastAsia="zh-CN" w:bidi="ar-SA"/>
        </w:rPr>
        <w:t>废水污染物排放执行标准表</w:t>
      </w:r>
    </w:p>
    <w:tbl>
      <w:tblPr>
        <w:tblStyle w:val="21"/>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615"/>
        <w:gridCol w:w="1802"/>
        <w:gridCol w:w="7338"/>
        <w:gridCol w:w="3408"/>
      </w:tblGrid>
      <w:tr w14:paraId="202945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570" w:type="pct"/>
            <w:vMerge w:val="restart"/>
            <w:tcBorders>
              <w:tl2br w:val="nil"/>
              <w:tr2bl w:val="nil"/>
            </w:tcBorders>
            <w:vAlign w:val="center"/>
          </w:tcPr>
          <w:p w14:paraId="06EF20D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排放口编号</w:t>
            </w:r>
          </w:p>
        </w:tc>
        <w:tc>
          <w:tcPr>
            <w:tcW w:w="636" w:type="pct"/>
            <w:vMerge w:val="restart"/>
            <w:tcBorders>
              <w:tl2br w:val="nil"/>
              <w:tr2bl w:val="nil"/>
            </w:tcBorders>
            <w:vAlign w:val="center"/>
          </w:tcPr>
          <w:p w14:paraId="6C4F3BA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污染物种类</w:t>
            </w:r>
          </w:p>
        </w:tc>
        <w:tc>
          <w:tcPr>
            <w:tcW w:w="3793" w:type="pct"/>
            <w:gridSpan w:val="2"/>
            <w:tcBorders>
              <w:tl2br w:val="nil"/>
              <w:tr2bl w:val="nil"/>
            </w:tcBorders>
            <w:vAlign w:val="center"/>
          </w:tcPr>
          <w:p w14:paraId="21FB2EB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国家或地方污染物排放标准及其他按规定商定的排放协议排放浓度限值</w:t>
            </w:r>
          </w:p>
        </w:tc>
      </w:tr>
      <w:tr w14:paraId="7F910E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570" w:type="pct"/>
            <w:vMerge w:val="continue"/>
            <w:tcBorders>
              <w:tl2br w:val="nil"/>
              <w:tr2bl w:val="nil"/>
            </w:tcBorders>
            <w:vAlign w:val="center"/>
          </w:tcPr>
          <w:p w14:paraId="2C5723B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636" w:type="pct"/>
            <w:vMerge w:val="continue"/>
            <w:tcBorders>
              <w:tl2br w:val="nil"/>
              <w:tr2bl w:val="nil"/>
            </w:tcBorders>
            <w:vAlign w:val="center"/>
          </w:tcPr>
          <w:p w14:paraId="1184180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2590" w:type="pct"/>
            <w:tcBorders>
              <w:tl2br w:val="nil"/>
              <w:tr2bl w:val="nil"/>
            </w:tcBorders>
            <w:vAlign w:val="center"/>
          </w:tcPr>
          <w:p w14:paraId="7F56FD53">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名称</w:t>
            </w:r>
          </w:p>
        </w:tc>
        <w:tc>
          <w:tcPr>
            <w:tcW w:w="1203" w:type="pct"/>
            <w:tcBorders>
              <w:tl2br w:val="nil"/>
              <w:tr2bl w:val="nil"/>
            </w:tcBorders>
            <w:vAlign w:val="center"/>
          </w:tcPr>
          <w:p w14:paraId="7E260ED0">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浓度限值（mg/L）</w:t>
            </w:r>
          </w:p>
        </w:tc>
      </w:tr>
      <w:tr w14:paraId="6CF336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70" w:type="pct"/>
            <w:vMerge w:val="restart"/>
            <w:tcBorders>
              <w:tl2br w:val="nil"/>
              <w:tr2bl w:val="nil"/>
            </w:tcBorders>
            <w:vAlign w:val="center"/>
          </w:tcPr>
          <w:p w14:paraId="2FA2FF1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DW001</w:t>
            </w:r>
          </w:p>
        </w:tc>
        <w:tc>
          <w:tcPr>
            <w:tcW w:w="636" w:type="pct"/>
            <w:tcBorders>
              <w:tl2br w:val="nil"/>
              <w:tr2bl w:val="nil"/>
            </w:tcBorders>
            <w:vAlign w:val="center"/>
          </w:tcPr>
          <w:p w14:paraId="409D48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rPr>
            </w:pPr>
            <w:r>
              <w:rPr>
                <w:rFonts w:hint="default" w:ascii="Times New Roman" w:hAnsi="Times New Roman" w:eastAsia="宋体" w:cs="Times New Roman"/>
                <w:b w:val="0"/>
                <w:bCs w:val="0"/>
                <w:color w:val="auto"/>
                <w:kern w:val="0"/>
                <w:sz w:val="21"/>
                <w:szCs w:val="21"/>
                <w:lang w:val="en-US" w:eastAsia="zh-CN"/>
              </w:rPr>
              <w:t>pH</w:t>
            </w:r>
          </w:p>
        </w:tc>
        <w:tc>
          <w:tcPr>
            <w:tcW w:w="2590" w:type="pct"/>
            <w:vMerge w:val="restart"/>
            <w:tcBorders>
              <w:tl2br w:val="nil"/>
              <w:tr2bl w:val="nil"/>
            </w:tcBorders>
            <w:vAlign w:val="center"/>
          </w:tcPr>
          <w:p w14:paraId="16B0E8E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default" w:ascii="Times New Roman" w:hAnsi="Times New Roman" w:eastAsia="宋体" w:cs="Times New Roman"/>
                <w:color w:val="auto"/>
                <w:kern w:val="0"/>
                <w:sz w:val="21"/>
                <w:lang w:val="en-US" w:eastAsia="zh-CN" w:bidi="ar-SA"/>
              </w:rPr>
              <w:t>《污水综合排放标准》（GB8978-1996）表4 第二类污染物最高允许排放浓度三级标准</w:t>
            </w:r>
          </w:p>
        </w:tc>
        <w:tc>
          <w:tcPr>
            <w:tcW w:w="1203" w:type="pct"/>
            <w:tcBorders>
              <w:tl2br w:val="nil"/>
              <w:tr2bl w:val="nil"/>
            </w:tcBorders>
            <w:vAlign w:val="center"/>
          </w:tcPr>
          <w:p w14:paraId="6E30A5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rPr>
            </w:pPr>
            <w:r>
              <w:rPr>
                <w:rFonts w:hint="default" w:ascii="Times New Roman" w:hAnsi="Times New Roman" w:eastAsia="宋体" w:cs="Times New Roman"/>
                <w:b w:val="0"/>
                <w:bCs w:val="0"/>
                <w:color w:val="auto"/>
                <w:kern w:val="0"/>
                <w:sz w:val="21"/>
                <w:szCs w:val="21"/>
                <w:lang w:val="en-US" w:eastAsia="zh-CN"/>
              </w:rPr>
              <w:t>6~9</w:t>
            </w:r>
          </w:p>
        </w:tc>
      </w:tr>
      <w:tr w14:paraId="45E7AA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0" w:type="pct"/>
            <w:vMerge w:val="continue"/>
            <w:tcBorders>
              <w:tl2br w:val="nil"/>
              <w:tr2bl w:val="nil"/>
            </w:tcBorders>
            <w:vAlign w:val="center"/>
          </w:tcPr>
          <w:p w14:paraId="56720BF1">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636" w:type="pct"/>
            <w:tcBorders>
              <w:tl2br w:val="nil"/>
              <w:tr2bl w:val="nil"/>
            </w:tcBorders>
            <w:vAlign w:val="center"/>
          </w:tcPr>
          <w:p w14:paraId="549D83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宋体" w:cs="宋体"/>
                <w:color w:val="auto"/>
                <w:kern w:val="0"/>
                <w:lang w:val="en-US" w:eastAsia="zh-CN"/>
              </w:rPr>
            </w:pPr>
            <w:r>
              <w:rPr>
                <w:rFonts w:hint="default" w:ascii="Times New Roman" w:hAnsi="Times New Roman" w:eastAsia="宋体" w:cs="Times New Roman"/>
                <w:b w:val="0"/>
                <w:bCs w:val="0"/>
                <w:color w:val="auto"/>
                <w:kern w:val="0"/>
                <w:sz w:val="21"/>
                <w:szCs w:val="21"/>
                <w:lang w:val="en-US" w:eastAsia="zh-CN"/>
              </w:rPr>
              <w:t>COD</w:t>
            </w:r>
          </w:p>
        </w:tc>
        <w:tc>
          <w:tcPr>
            <w:tcW w:w="2590" w:type="pct"/>
            <w:vMerge w:val="continue"/>
            <w:tcBorders>
              <w:tl2br w:val="nil"/>
              <w:tr2bl w:val="nil"/>
            </w:tcBorders>
            <w:vAlign w:val="center"/>
          </w:tcPr>
          <w:p w14:paraId="5F10775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03" w:type="pct"/>
            <w:tcBorders>
              <w:tl2br w:val="nil"/>
              <w:tr2bl w:val="nil"/>
            </w:tcBorders>
            <w:vAlign w:val="center"/>
          </w:tcPr>
          <w:p w14:paraId="79FB52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500</w:t>
            </w:r>
          </w:p>
        </w:tc>
      </w:tr>
      <w:tr w14:paraId="5CE339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0" w:type="pct"/>
            <w:vMerge w:val="continue"/>
            <w:tcBorders>
              <w:tl2br w:val="nil"/>
              <w:tr2bl w:val="nil"/>
            </w:tcBorders>
            <w:vAlign w:val="center"/>
          </w:tcPr>
          <w:p w14:paraId="2783D53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636" w:type="pct"/>
            <w:tcBorders>
              <w:tl2br w:val="nil"/>
              <w:tr2bl w:val="nil"/>
            </w:tcBorders>
            <w:vAlign w:val="center"/>
          </w:tcPr>
          <w:p w14:paraId="5F1EF0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default" w:ascii="Times New Roman" w:hAnsi="Times New Roman" w:eastAsia="宋体" w:cs="Times New Roman"/>
                <w:b w:val="0"/>
                <w:bCs w:val="0"/>
                <w:color w:val="auto"/>
                <w:kern w:val="0"/>
                <w:sz w:val="21"/>
                <w:szCs w:val="21"/>
                <w:lang w:val="en-US" w:eastAsia="zh-CN"/>
              </w:rPr>
              <w:t>SS</w:t>
            </w:r>
          </w:p>
        </w:tc>
        <w:tc>
          <w:tcPr>
            <w:tcW w:w="2590" w:type="pct"/>
            <w:vMerge w:val="continue"/>
            <w:tcBorders>
              <w:tl2br w:val="nil"/>
              <w:tr2bl w:val="nil"/>
            </w:tcBorders>
            <w:vAlign w:val="center"/>
          </w:tcPr>
          <w:p w14:paraId="68D0211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03" w:type="pct"/>
            <w:tcBorders>
              <w:tl2br w:val="nil"/>
              <w:tr2bl w:val="nil"/>
            </w:tcBorders>
            <w:vAlign w:val="center"/>
          </w:tcPr>
          <w:p w14:paraId="435A13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400</w:t>
            </w:r>
          </w:p>
        </w:tc>
      </w:tr>
      <w:tr w14:paraId="06AFCE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0" w:type="pct"/>
            <w:vMerge w:val="continue"/>
            <w:tcBorders>
              <w:tl2br w:val="nil"/>
              <w:tr2bl w:val="nil"/>
            </w:tcBorders>
            <w:vAlign w:val="center"/>
          </w:tcPr>
          <w:p w14:paraId="27B5A1DE">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636" w:type="pct"/>
            <w:tcBorders>
              <w:tl2br w:val="nil"/>
              <w:tr2bl w:val="nil"/>
            </w:tcBorders>
            <w:vAlign w:val="center"/>
          </w:tcPr>
          <w:p w14:paraId="2D87D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BOD</w:t>
            </w:r>
          </w:p>
        </w:tc>
        <w:tc>
          <w:tcPr>
            <w:tcW w:w="2590" w:type="pct"/>
            <w:vMerge w:val="continue"/>
            <w:tcBorders>
              <w:tl2br w:val="nil"/>
              <w:tr2bl w:val="nil"/>
            </w:tcBorders>
            <w:vAlign w:val="center"/>
          </w:tcPr>
          <w:p w14:paraId="150BF59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03" w:type="pct"/>
            <w:tcBorders>
              <w:tl2br w:val="nil"/>
              <w:tr2bl w:val="nil"/>
            </w:tcBorders>
            <w:vAlign w:val="center"/>
          </w:tcPr>
          <w:p w14:paraId="7211E3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300</w:t>
            </w:r>
          </w:p>
        </w:tc>
      </w:tr>
      <w:tr w14:paraId="60E243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0" w:type="pct"/>
            <w:vMerge w:val="continue"/>
            <w:tcBorders>
              <w:tl2br w:val="nil"/>
              <w:tr2bl w:val="nil"/>
            </w:tcBorders>
            <w:vAlign w:val="center"/>
          </w:tcPr>
          <w:p w14:paraId="7A539DE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636" w:type="pct"/>
            <w:tcBorders>
              <w:tl2br w:val="nil"/>
              <w:tr2bl w:val="nil"/>
            </w:tcBorders>
            <w:vAlign w:val="center"/>
          </w:tcPr>
          <w:p w14:paraId="2E65E4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氨氮</w:t>
            </w:r>
          </w:p>
        </w:tc>
        <w:tc>
          <w:tcPr>
            <w:tcW w:w="2590" w:type="pct"/>
            <w:vMerge w:val="continue"/>
            <w:tcBorders>
              <w:tl2br w:val="nil"/>
              <w:tr2bl w:val="nil"/>
            </w:tcBorders>
            <w:vAlign w:val="center"/>
          </w:tcPr>
          <w:p w14:paraId="28918A7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03" w:type="pct"/>
            <w:tcBorders>
              <w:tl2br w:val="nil"/>
              <w:tr2bl w:val="nil"/>
            </w:tcBorders>
            <w:vAlign w:val="center"/>
          </w:tcPr>
          <w:p w14:paraId="7F0C7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w:t>
            </w:r>
          </w:p>
        </w:tc>
      </w:tr>
    </w:tbl>
    <w:p w14:paraId="5043F9D9">
      <w:pPr>
        <w:widowControl w:val="0"/>
        <w:overflowPunct/>
        <w:autoSpaceDE/>
        <w:autoSpaceDN/>
        <w:adjustRightInd/>
        <w:snapToGrid/>
        <w:spacing w:line="400" w:lineRule="exact"/>
        <w:ind w:firstLine="0" w:firstLineChars="0"/>
        <w:jc w:val="center"/>
        <w:rPr>
          <w:rFonts w:ascii="Times New Roman" w:hAnsi="Times New Roman" w:eastAsia="宋体" w:cs="宋体"/>
          <w:b/>
          <w:color w:val="000000"/>
          <w:kern w:val="0"/>
          <w:sz w:val="24"/>
          <w:szCs w:val="24"/>
          <w:lang w:val="en-US" w:eastAsia="zh-CN" w:bidi="ar-SA"/>
        </w:rPr>
      </w:pPr>
      <w:r>
        <w:rPr>
          <w:rFonts w:hint="eastAsia" w:ascii="Times New Roman" w:hAnsi="Times New Roman" w:eastAsia="宋体" w:cs="宋体"/>
          <w:b/>
          <w:color w:val="000000"/>
          <w:kern w:val="0"/>
          <w:sz w:val="24"/>
          <w:szCs w:val="24"/>
          <w:lang w:val="en-US" w:eastAsia="zh-CN" w:bidi="ar-SA"/>
        </w:rPr>
        <w:t>表</w:t>
      </w:r>
      <w:r>
        <w:rPr>
          <w:rFonts w:hint="eastAsia" w:cs="宋体"/>
          <w:b/>
          <w:color w:val="000000"/>
          <w:kern w:val="0"/>
          <w:sz w:val="24"/>
          <w:szCs w:val="24"/>
          <w:lang w:val="en-US" w:eastAsia="zh-CN" w:bidi="ar-SA"/>
        </w:rPr>
        <w:t>5.2-23</w:t>
      </w:r>
      <w:r>
        <w:rPr>
          <w:rFonts w:hint="eastAsia" w:ascii="Times New Roman" w:hAnsi="Times New Roman" w:eastAsia="宋体" w:cs="宋体"/>
          <w:b/>
          <w:color w:val="000000"/>
          <w:kern w:val="0"/>
          <w:sz w:val="24"/>
          <w:szCs w:val="24"/>
          <w:lang w:val="en-US" w:eastAsia="zh-CN" w:bidi="ar-SA"/>
        </w:rPr>
        <w:t>废水污染物排放信息表</w:t>
      </w:r>
    </w:p>
    <w:tbl>
      <w:tblPr>
        <w:tblStyle w:val="21"/>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534"/>
        <w:gridCol w:w="3539"/>
        <w:gridCol w:w="3539"/>
        <w:gridCol w:w="3551"/>
      </w:tblGrid>
      <w:tr w14:paraId="1C4A14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1247" w:type="pct"/>
            <w:tcBorders>
              <w:tl2br w:val="nil"/>
              <w:tr2bl w:val="nil"/>
            </w:tcBorders>
            <w:vAlign w:val="center"/>
          </w:tcPr>
          <w:p w14:paraId="6C428FE8">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排放口编号</w:t>
            </w:r>
          </w:p>
        </w:tc>
        <w:tc>
          <w:tcPr>
            <w:tcW w:w="1249" w:type="pct"/>
            <w:tcBorders>
              <w:tl2br w:val="nil"/>
              <w:tr2bl w:val="nil"/>
            </w:tcBorders>
            <w:vAlign w:val="center"/>
          </w:tcPr>
          <w:p w14:paraId="248E5546">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污染物种类</w:t>
            </w:r>
          </w:p>
        </w:tc>
        <w:tc>
          <w:tcPr>
            <w:tcW w:w="1249" w:type="pct"/>
            <w:tcBorders>
              <w:tl2br w:val="nil"/>
              <w:tr2bl w:val="nil"/>
            </w:tcBorders>
            <w:vAlign w:val="center"/>
          </w:tcPr>
          <w:p w14:paraId="26DFF74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排放浓度（mg/L）</w:t>
            </w:r>
          </w:p>
        </w:tc>
        <w:tc>
          <w:tcPr>
            <w:tcW w:w="1253" w:type="pct"/>
            <w:tcBorders>
              <w:tl2br w:val="nil"/>
              <w:tr2bl w:val="nil"/>
            </w:tcBorders>
            <w:vAlign w:val="center"/>
          </w:tcPr>
          <w:p w14:paraId="49A2A8CF">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年排放量（t/a）</w:t>
            </w:r>
          </w:p>
        </w:tc>
      </w:tr>
      <w:tr w14:paraId="51D1AA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247" w:type="pct"/>
            <w:vMerge w:val="restart"/>
            <w:tcBorders>
              <w:tl2br w:val="nil"/>
              <w:tr2bl w:val="nil"/>
            </w:tcBorders>
            <w:vAlign w:val="center"/>
          </w:tcPr>
          <w:p w14:paraId="0E0C26E5">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DW001</w:t>
            </w:r>
          </w:p>
        </w:tc>
        <w:tc>
          <w:tcPr>
            <w:tcW w:w="1249" w:type="pct"/>
            <w:tcBorders>
              <w:tl2br w:val="nil"/>
              <w:tr2bl w:val="nil"/>
            </w:tcBorders>
            <w:vAlign w:val="center"/>
          </w:tcPr>
          <w:p w14:paraId="4E0AE6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rPr>
            </w:pPr>
            <w:r>
              <w:rPr>
                <w:rFonts w:hint="default" w:ascii="Times New Roman" w:hAnsi="Times New Roman" w:eastAsia="宋体" w:cs="Times New Roman"/>
                <w:b w:val="0"/>
                <w:bCs w:val="0"/>
                <w:color w:val="auto"/>
                <w:kern w:val="0"/>
                <w:sz w:val="21"/>
                <w:szCs w:val="21"/>
                <w:lang w:val="en-US" w:eastAsia="zh-CN"/>
              </w:rPr>
              <w:t>pH</w:t>
            </w:r>
          </w:p>
        </w:tc>
        <w:tc>
          <w:tcPr>
            <w:tcW w:w="1249" w:type="pct"/>
            <w:tcBorders>
              <w:tl2br w:val="nil"/>
              <w:tr2bl w:val="nil"/>
            </w:tcBorders>
            <w:vAlign w:val="center"/>
          </w:tcPr>
          <w:p w14:paraId="16A32EE7">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default" w:ascii="Times New Roman" w:hAnsi="Times New Roman" w:eastAsia="宋体" w:cs="宋体"/>
                <w:color w:val="auto"/>
                <w:kern w:val="0"/>
                <w:lang w:val="en-US"/>
              </w:rPr>
            </w:pPr>
            <w:r>
              <w:rPr>
                <w:rFonts w:hint="eastAsia" w:ascii="Times New Roman" w:hAnsi="Times New Roman" w:eastAsia="宋体" w:cs="Times New Roman"/>
                <w:color w:val="auto"/>
                <w:kern w:val="0"/>
                <w:sz w:val="21"/>
                <w:szCs w:val="21"/>
                <w:highlight w:val="none"/>
                <w:lang w:val="en-US" w:eastAsia="zh-CN"/>
              </w:rPr>
              <w:t>6-9（无量纲）</w:t>
            </w:r>
          </w:p>
        </w:tc>
        <w:tc>
          <w:tcPr>
            <w:tcW w:w="1253" w:type="pct"/>
            <w:tcBorders>
              <w:tl2br w:val="nil"/>
              <w:tr2bl w:val="nil"/>
            </w:tcBorders>
            <w:vAlign w:val="center"/>
          </w:tcPr>
          <w:p w14:paraId="5B66831D">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default" w:ascii="Times New Roman" w:hAnsi="Times New Roman" w:eastAsia="宋体" w:cs="宋体"/>
                <w:color w:val="auto"/>
                <w:kern w:val="0"/>
                <w:lang w:val="en-US"/>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r>
      <w:tr w14:paraId="64750C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1247" w:type="pct"/>
            <w:vMerge w:val="continue"/>
            <w:tcBorders>
              <w:tl2br w:val="nil"/>
              <w:tr2bl w:val="nil"/>
            </w:tcBorders>
            <w:vAlign w:val="center"/>
          </w:tcPr>
          <w:p w14:paraId="1FA3C27E">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4FF70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default" w:ascii="Times New Roman" w:hAnsi="Times New Roman" w:eastAsia="宋体" w:cs="Times New Roman"/>
                <w:b w:val="0"/>
                <w:bCs w:val="0"/>
                <w:color w:val="auto"/>
                <w:kern w:val="0"/>
                <w:sz w:val="21"/>
                <w:szCs w:val="21"/>
                <w:lang w:val="en-US" w:eastAsia="zh-CN"/>
              </w:rPr>
              <w:t>COD</w:t>
            </w:r>
          </w:p>
        </w:tc>
        <w:tc>
          <w:tcPr>
            <w:tcW w:w="3539" w:type="dxa"/>
            <w:tcBorders>
              <w:tl2br w:val="nil"/>
              <w:tr2bl w:val="nil"/>
            </w:tcBorders>
            <w:vAlign w:val="center"/>
          </w:tcPr>
          <w:p w14:paraId="4A118985">
            <w:pPr>
              <w:keepNext w:val="0"/>
              <w:keepLines w:val="0"/>
              <w:widowControl/>
              <w:suppressLineNumbers w:val="0"/>
              <w:jc w:val="center"/>
              <w:textAlignment w:val="center"/>
              <w:rPr>
                <w:rFonts w:hint="default"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460</w:t>
            </w:r>
          </w:p>
        </w:tc>
        <w:tc>
          <w:tcPr>
            <w:tcW w:w="3551" w:type="dxa"/>
            <w:tcBorders>
              <w:tl2br w:val="nil"/>
              <w:tr2bl w:val="nil"/>
            </w:tcBorders>
            <w:shd w:val="clear" w:color="auto" w:fill="auto"/>
            <w:vAlign w:val="center"/>
          </w:tcPr>
          <w:p w14:paraId="724A7089">
            <w:pPr>
              <w:keepNext w:val="0"/>
              <w:keepLines w:val="0"/>
              <w:widowControl/>
              <w:suppressLineNumbers w:val="0"/>
              <w:jc w:val="center"/>
              <w:textAlignment w:val="center"/>
              <w:rPr>
                <w:rFonts w:hint="default" w:ascii="Times New Roman" w:hAnsi="Times New Roman" w:eastAsia="宋体" w:cs="宋体"/>
                <w:color w:val="auto"/>
                <w:kern w:val="0"/>
                <w:sz w:val="24"/>
                <w:szCs w:val="22"/>
                <w:lang w:val="en-US" w:eastAsia="zh-CN" w:bidi="ar-SA"/>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r>
      <w:tr w14:paraId="0F9048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1247" w:type="pct"/>
            <w:vMerge w:val="continue"/>
            <w:tcBorders>
              <w:tl2br w:val="nil"/>
              <w:tr2bl w:val="nil"/>
            </w:tcBorders>
            <w:vAlign w:val="center"/>
          </w:tcPr>
          <w:p w14:paraId="4B82F5F0">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537895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default" w:ascii="Times New Roman" w:hAnsi="Times New Roman" w:eastAsia="宋体" w:cs="Times New Roman"/>
                <w:b w:val="0"/>
                <w:bCs w:val="0"/>
                <w:color w:val="auto"/>
                <w:kern w:val="0"/>
                <w:sz w:val="21"/>
                <w:szCs w:val="21"/>
                <w:lang w:val="en-US" w:eastAsia="zh-CN"/>
              </w:rPr>
              <w:t>SS</w:t>
            </w:r>
          </w:p>
        </w:tc>
        <w:tc>
          <w:tcPr>
            <w:tcW w:w="3539" w:type="dxa"/>
            <w:tcBorders>
              <w:tl2br w:val="nil"/>
              <w:tr2bl w:val="nil"/>
            </w:tcBorders>
            <w:vAlign w:val="center"/>
          </w:tcPr>
          <w:p w14:paraId="033F957F">
            <w:pPr>
              <w:keepNext w:val="0"/>
              <w:keepLines w:val="0"/>
              <w:widowControl/>
              <w:suppressLineNumbers w:val="0"/>
              <w:jc w:val="center"/>
              <w:textAlignment w:val="center"/>
              <w:rPr>
                <w:rFonts w:hint="default"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339</w:t>
            </w:r>
          </w:p>
        </w:tc>
        <w:tc>
          <w:tcPr>
            <w:tcW w:w="3551" w:type="dxa"/>
            <w:tcBorders>
              <w:tl2br w:val="nil"/>
              <w:tr2bl w:val="nil"/>
            </w:tcBorders>
            <w:shd w:val="clear" w:color="auto" w:fill="auto"/>
            <w:vAlign w:val="center"/>
          </w:tcPr>
          <w:p w14:paraId="30310B05">
            <w:pPr>
              <w:keepNext w:val="0"/>
              <w:keepLines w:val="0"/>
              <w:widowControl/>
              <w:suppressLineNumbers w:val="0"/>
              <w:jc w:val="center"/>
              <w:textAlignment w:val="center"/>
              <w:rPr>
                <w:rFonts w:hint="default" w:ascii="Times New Roman" w:hAnsi="Times New Roman" w:eastAsia="宋体" w:cs="宋体"/>
                <w:color w:val="auto"/>
                <w:kern w:val="0"/>
                <w:sz w:val="24"/>
                <w:szCs w:val="22"/>
                <w:lang w:val="en-US" w:eastAsia="zh-CN" w:bidi="ar-SA"/>
              </w:rPr>
            </w:pPr>
            <w:r>
              <w:rPr>
                <w:rFonts w:hint="eastAsia" w:cs="Times New Roman"/>
                <w:i w:val="0"/>
                <w:iCs w:val="0"/>
                <w:color w:val="auto"/>
                <w:kern w:val="0"/>
                <w:sz w:val="21"/>
                <w:szCs w:val="21"/>
                <w:highlight w:val="none"/>
                <w:u w:val="none"/>
                <w:lang w:val="en-US" w:eastAsia="zh-CN" w:bidi="ar"/>
              </w:rPr>
              <w:t>0.10</w:t>
            </w:r>
          </w:p>
        </w:tc>
      </w:tr>
      <w:tr w14:paraId="15527B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1247" w:type="pct"/>
            <w:vMerge w:val="continue"/>
            <w:tcBorders>
              <w:tl2br w:val="nil"/>
              <w:tr2bl w:val="nil"/>
            </w:tcBorders>
            <w:vAlign w:val="center"/>
          </w:tcPr>
          <w:p w14:paraId="789D339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24201F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BOD</w:t>
            </w:r>
          </w:p>
        </w:tc>
        <w:tc>
          <w:tcPr>
            <w:tcW w:w="3539" w:type="dxa"/>
            <w:tcBorders>
              <w:tl2br w:val="nil"/>
              <w:tr2bl w:val="nil"/>
            </w:tcBorders>
            <w:vAlign w:val="center"/>
          </w:tcPr>
          <w:p w14:paraId="62A6D153">
            <w:pPr>
              <w:keepNext w:val="0"/>
              <w:keepLines w:val="0"/>
              <w:widowControl/>
              <w:suppressLineNumbers w:val="0"/>
              <w:jc w:val="center"/>
              <w:textAlignment w:val="center"/>
              <w:rPr>
                <w:rFonts w:hint="default"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339</w:t>
            </w:r>
          </w:p>
        </w:tc>
        <w:tc>
          <w:tcPr>
            <w:tcW w:w="3551" w:type="dxa"/>
            <w:tcBorders>
              <w:tl2br w:val="nil"/>
              <w:tr2bl w:val="nil"/>
            </w:tcBorders>
            <w:shd w:val="clear" w:color="auto" w:fill="auto"/>
            <w:vAlign w:val="center"/>
          </w:tcPr>
          <w:p w14:paraId="22650679">
            <w:pPr>
              <w:keepNext w:val="0"/>
              <w:keepLines w:val="0"/>
              <w:widowControl/>
              <w:suppressLineNumbers w:val="0"/>
              <w:jc w:val="center"/>
              <w:textAlignment w:val="center"/>
              <w:rPr>
                <w:rFonts w:hint="default" w:ascii="Times New Roman" w:hAnsi="Times New Roman" w:eastAsia="宋体" w:cs="宋体"/>
                <w:color w:val="auto"/>
                <w:kern w:val="0"/>
                <w:sz w:val="24"/>
                <w:szCs w:val="22"/>
                <w:lang w:val="en-US" w:eastAsia="zh-CN" w:bidi="ar-SA"/>
              </w:rPr>
            </w:pPr>
            <w:r>
              <w:rPr>
                <w:rFonts w:hint="eastAsia" w:cs="Times New Roman"/>
                <w:i w:val="0"/>
                <w:iCs w:val="0"/>
                <w:color w:val="auto"/>
                <w:kern w:val="0"/>
                <w:sz w:val="21"/>
                <w:szCs w:val="21"/>
                <w:highlight w:val="none"/>
                <w:u w:val="none"/>
                <w:lang w:val="en-US" w:eastAsia="zh-CN" w:bidi="ar"/>
              </w:rPr>
              <w:t>0.10</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r>
      <w:tr w14:paraId="65BC89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1247" w:type="pct"/>
            <w:vMerge w:val="continue"/>
            <w:tcBorders>
              <w:tl2br w:val="nil"/>
              <w:tr2bl w:val="nil"/>
            </w:tcBorders>
            <w:vAlign w:val="center"/>
          </w:tcPr>
          <w:p w14:paraId="27E0C4F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6C5BD2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氨氮</w:t>
            </w:r>
          </w:p>
        </w:tc>
        <w:tc>
          <w:tcPr>
            <w:tcW w:w="3539" w:type="dxa"/>
            <w:tcBorders>
              <w:tl2br w:val="nil"/>
              <w:tr2bl w:val="nil"/>
            </w:tcBorders>
            <w:vAlign w:val="center"/>
          </w:tcPr>
          <w:p w14:paraId="07450C04">
            <w:pPr>
              <w:keepNext w:val="0"/>
              <w:keepLines w:val="0"/>
              <w:widowControl/>
              <w:suppressLineNumbers w:val="0"/>
              <w:jc w:val="center"/>
              <w:textAlignment w:val="center"/>
              <w:rPr>
                <w:rFonts w:hint="default"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52.2</w:t>
            </w:r>
          </w:p>
        </w:tc>
        <w:tc>
          <w:tcPr>
            <w:tcW w:w="3551" w:type="dxa"/>
            <w:tcBorders>
              <w:tl2br w:val="nil"/>
              <w:tr2bl w:val="nil"/>
            </w:tcBorders>
            <w:shd w:val="clear" w:color="auto" w:fill="auto"/>
            <w:vAlign w:val="center"/>
          </w:tcPr>
          <w:p w14:paraId="384E5426">
            <w:pPr>
              <w:keepNext w:val="0"/>
              <w:keepLines w:val="0"/>
              <w:widowControl/>
              <w:suppressLineNumbers w:val="0"/>
              <w:jc w:val="center"/>
              <w:textAlignment w:val="center"/>
              <w:rPr>
                <w:rFonts w:hint="default" w:ascii="Times New Roman" w:hAnsi="Times New Roman" w:eastAsia="宋体" w:cs="宋体"/>
                <w:color w:val="auto"/>
                <w:kern w:val="0"/>
                <w:sz w:val="24"/>
                <w:szCs w:val="22"/>
                <w:lang w:val="en-US" w:eastAsia="zh-CN" w:bidi="ar-SA"/>
              </w:rPr>
            </w:pPr>
            <w:r>
              <w:rPr>
                <w:rFonts w:hint="eastAsia" w:cs="Times New Roman"/>
                <w:i w:val="0"/>
                <w:iCs w:val="0"/>
                <w:color w:val="auto"/>
                <w:kern w:val="0"/>
                <w:sz w:val="21"/>
                <w:szCs w:val="21"/>
                <w:highlight w:val="none"/>
                <w:u w:val="none"/>
                <w:lang w:val="en-US" w:eastAsia="zh-CN" w:bidi="ar"/>
              </w:rPr>
              <w:t>0.01</w:t>
            </w:r>
          </w:p>
        </w:tc>
      </w:tr>
      <w:tr w14:paraId="154371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3" w:hRule="atLeast"/>
        </w:trPr>
        <w:tc>
          <w:tcPr>
            <w:tcW w:w="1247" w:type="pct"/>
            <w:vMerge w:val="restart"/>
            <w:tcBorders>
              <w:tl2br w:val="nil"/>
              <w:tr2bl w:val="nil"/>
            </w:tcBorders>
            <w:vAlign w:val="center"/>
          </w:tcPr>
          <w:p w14:paraId="4303C72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default" w:ascii="Times New Roman" w:hAnsi="Times New Roman" w:eastAsia="宋体" w:cs="Times New Roman"/>
                <w:color w:val="auto"/>
                <w:kern w:val="0"/>
                <w:sz w:val="21"/>
                <w:lang w:val="en-US" w:eastAsia="zh-CN" w:bidi="ar-SA"/>
              </w:rPr>
            </w:pPr>
            <w:r>
              <w:rPr>
                <w:rFonts w:hint="eastAsia" w:ascii="Times New Roman" w:hAnsi="Times New Roman" w:eastAsia="宋体" w:cs="Times New Roman"/>
                <w:color w:val="auto"/>
                <w:kern w:val="0"/>
                <w:sz w:val="21"/>
                <w:lang w:val="en-US" w:eastAsia="zh-CN" w:bidi="ar-SA"/>
              </w:rPr>
              <w:t>全厂排放口合计</w:t>
            </w:r>
          </w:p>
        </w:tc>
        <w:tc>
          <w:tcPr>
            <w:tcW w:w="1249" w:type="pct"/>
            <w:tcBorders>
              <w:tl2br w:val="nil"/>
              <w:tr2bl w:val="nil"/>
            </w:tcBorders>
            <w:vAlign w:val="center"/>
          </w:tcPr>
          <w:p w14:paraId="004357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rPr>
            </w:pPr>
            <w:r>
              <w:rPr>
                <w:rFonts w:hint="default" w:ascii="Times New Roman" w:hAnsi="Times New Roman" w:eastAsia="宋体" w:cs="Times New Roman"/>
                <w:b w:val="0"/>
                <w:bCs w:val="0"/>
                <w:color w:val="auto"/>
                <w:kern w:val="0"/>
                <w:sz w:val="21"/>
                <w:szCs w:val="21"/>
                <w:lang w:val="en-US" w:eastAsia="zh-CN"/>
              </w:rPr>
              <w:t>pH</w:t>
            </w:r>
          </w:p>
        </w:tc>
        <w:tc>
          <w:tcPr>
            <w:tcW w:w="1249" w:type="pct"/>
            <w:tcBorders>
              <w:tl2br w:val="nil"/>
              <w:tr2bl w:val="nil"/>
            </w:tcBorders>
            <w:vAlign w:val="center"/>
          </w:tcPr>
          <w:p w14:paraId="17FD0737">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default" w:ascii="Times New Roman" w:hAnsi="Times New Roman" w:eastAsia="宋体" w:cs="宋体"/>
                <w:color w:val="auto"/>
                <w:kern w:val="0"/>
                <w:lang w:val="en-US"/>
              </w:rPr>
            </w:pPr>
            <w:r>
              <w:rPr>
                <w:rFonts w:hint="eastAsia" w:ascii="Times New Roman" w:hAnsi="Times New Roman" w:eastAsia="宋体" w:cs="Times New Roman"/>
                <w:color w:val="auto"/>
                <w:kern w:val="0"/>
                <w:sz w:val="21"/>
                <w:szCs w:val="21"/>
                <w:highlight w:val="none"/>
                <w:lang w:val="en-US" w:eastAsia="zh-CN"/>
              </w:rPr>
              <w:t>6-9（无量纲）</w:t>
            </w:r>
          </w:p>
        </w:tc>
        <w:tc>
          <w:tcPr>
            <w:tcW w:w="1253" w:type="pct"/>
            <w:tcBorders>
              <w:tl2br w:val="nil"/>
              <w:tr2bl w:val="nil"/>
            </w:tcBorders>
            <w:vAlign w:val="center"/>
          </w:tcPr>
          <w:p w14:paraId="2C9C510D">
            <w:pPr>
              <w:keepNext w:val="0"/>
              <w:keepLines w:val="0"/>
              <w:widowControl/>
              <w:suppressLineNumbers w:val="0"/>
              <w:overflowPunct/>
              <w:autoSpaceDE/>
              <w:autoSpaceDN/>
              <w:adjustRightInd/>
              <w:snapToGrid/>
              <w:spacing w:before="0" w:beforeAutospacing="0" w:after="0" w:afterAutospacing="0" w:line="320" w:lineRule="exact"/>
              <w:ind w:left="0" w:right="0" w:firstLine="0" w:firstLineChars="0"/>
              <w:jc w:val="center"/>
              <w:textAlignment w:val="center"/>
              <w:rPr>
                <w:rFonts w:hint="eastAsia" w:ascii="Times New Roman" w:hAnsi="Times New Roman" w:eastAsia="宋体" w:cs="宋体"/>
                <w:color w:val="auto"/>
                <w:kern w:val="0"/>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r>
      <w:tr w14:paraId="727108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247" w:type="pct"/>
            <w:vMerge w:val="continue"/>
            <w:tcBorders>
              <w:tl2br w:val="nil"/>
              <w:tr2bl w:val="nil"/>
            </w:tcBorders>
            <w:vAlign w:val="center"/>
          </w:tcPr>
          <w:p w14:paraId="5750E2B7">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25390C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default" w:ascii="Times New Roman" w:hAnsi="Times New Roman" w:eastAsia="宋体" w:cs="Times New Roman"/>
                <w:b w:val="0"/>
                <w:bCs w:val="0"/>
                <w:color w:val="auto"/>
                <w:kern w:val="0"/>
                <w:sz w:val="21"/>
                <w:szCs w:val="21"/>
                <w:lang w:val="en-US" w:eastAsia="zh-CN"/>
              </w:rPr>
              <w:t>COD</w:t>
            </w:r>
          </w:p>
        </w:tc>
        <w:tc>
          <w:tcPr>
            <w:tcW w:w="3539" w:type="dxa"/>
            <w:tcBorders>
              <w:tl2br w:val="nil"/>
              <w:tr2bl w:val="nil"/>
            </w:tcBorders>
            <w:vAlign w:val="center"/>
          </w:tcPr>
          <w:p w14:paraId="5E203DFF">
            <w:pPr>
              <w:keepNext w:val="0"/>
              <w:keepLines w:val="0"/>
              <w:widowControl/>
              <w:suppressLineNumbers w:val="0"/>
              <w:jc w:val="center"/>
              <w:textAlignment w:val="center"/>
              <w:rPr>
                <w:rFonts w:hint="eastAsia"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460</w:t>
            </w:r>
          </w:p>
        </w:tc>
        <w:tc>
          <w:tcPr>
            <w:tcW w:w="3551" w:type="dxa"/>
            <w:tcBorders>
              <w:tl2br w:val="nil"/>
              <w:tr2bl w:val="nil"/>
            </w:tcBorders>
            <w:vAlign w:val="center"/>
          </w:tcPr>
          <w:p w14:paraId="6CEDC7A4">
            <w:pPr>
              <w:keepNext w:val="0"/>
              <w:keepLines w:val="0"/>
              <w:widowControl/>
              <w:suppressLineNumbers w:val="0"/>
              <w:jc w:val="center"/>
              <w:textAlignment w:val="center"/>
              <w:rPr>
                <w:rFonts w:hint="eastAsia"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0.13</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r>
      <w:tr w14:paraId="2E626F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247" w:type="pct"/>
            <w:vMerge w:val="continue"/>
            <w:tcBorders>
              <w:tl2br w:val="nil"/>
              <w:tr2bl w:val="nil"/>
            </w:tcBorders>
            <w:vAlign w:val="center"/>
          </w:tcPr>
          <w:p w14:paraId="3F2C94DC">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2CF8B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default" w:ascii="Times New Roman" w:hAnsi="Times New Roman" w:eastAsia="宋体" w:cs="Times New Roman"/>
                <w:b w:val="0"/>
                <w:bCs w:val="0"/>
                <w:color w:val="auto"/>
                <w:kern w:val="0"/>
                <w:sz w:val="21"/>
                <w:szCs w:val="21"/>
                <w:lang w:val="en-US" w:eastAsia="zh-CN"/>
              </w:rPr>
              <w:t>SS</w:t>
            </w:r>
          </w:p>
        </w:tc>
        <w:tc>
          <w:tcPr>
            <w:tcW w:w="3539" w:type="dxa"/>
            <w:tcBorders>
              <w:tl2br w:val="nil"/>
              <w:tr2bl w:val="nil"/>
            </w:tcBorders>
            <w:vAlign w:val="center"/>
          </w:tcPr>
          <w:p w14:paraId="43863940">
            <w:pPr>
              <w:keepNext w:val="0"/>
              <w:keepLines w:val="0"/>
              <w:widowControl/>
              <w:suppressLineNumbers w:val="0"/>
              <w:jc w:val="center"/>
              <w:textAlignment w:val="center"/>
              <w:rPr>
                <w:rFonts w:hint="eastAsia"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339</w:t>
            </w:r>
          </w:p>
        </w:tc>
        <w:tc>
          <w:tcPr>
            <w:tcW w:w="3551" w:type="dxa"/>
            <w:tcBorders>
              <w:tl2br w:val="nil"/>
              <w:tr2bl w:val="nil"/>
            </w:tcBorders>
            <w:vAlign w:val="center"/>
          </w:tcPr>
          <w:p w14:paraId="738CCEFE">
            <w:pPr>
              <w:keepNext w:val="0"/>
              <w:keepLines w:val="0"/>
              <w:widowControl/>
              <w:suppressLineNumbers w:val="0"/>
              <w:jc w:val="center"/>
              <w:textAlignment w:val="center"/>
              <w:rPr>
                <w:rFonts w:hint="eastAsia"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0.10</w:t>
            </w:r>
          </w:p>
        </w:tc>
      </w:tr>
      <w:tr w14:paraId="165CAE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247" w:type="pct"/>
            <w:vMerge w:val="continue"/>
            <w:tcBorders>
              <w:tl2br w:val="nil"/>
              <w:tr2bl w:val="nil"/>
            </w:tcBorders>
            <w:vAlign w:val="center"/>
          </w:tcPr>
          <w:p w14:paraId="1A88C9B2">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36527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BOD</w:t>
            </w:r>
          </w:p>
        </w:tc>
        <w:tc>
          <w:tcPr>
            <w:tcW w:w="3539" w:type="dxa"/>
            <w:tcBorders>
              <w:tl2br w:val="nil"/>
              <w:tr2bl w:val="nil"/>
            </w:tcBorders>
            <w:vAlign w:val="center"/>
          </w:tcPr>
          <w:p w14:paraId="0F4DDB74">
            <w:pPr>
              <w:keepNext w:val="0"/>
              <w:keepLines w:val="0"/>
              <w:widowControl/>
              <w:suppressLineNumbers w:val="0"/>
              <w:jc w:val="center"/>
              <w:textAlignment w:val="center"/>
              <w:rPr>
                <w:rFonts w:hint="default"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339</w:t>
            </w:r>
          </w:p>
        </w:tc>
        <w:tc>
          <w:tcPr>
            <w:tcW w:w="3551" w:type="dxa"/>
            <w:tcBorders>
              <w:tl2br w:val="nil"/>
              <w:tr2bl w:val="nil"/>
            </w:tcBorders>
            <w:vAlign w:val="center"/>
          </w:tcPr>
          <w:p w14:paraId="3F99104D">
            <w:pPr>
              <w:keepNext w:val="0"/>
              <w:keepLines w:val="0"/>
              <w:widowControl/>
              <w:suppressLineNumbers w:val="0"/>
              <w:jc w:val="center"/>
              <w:textAlignment w:val="center"/>
              <w:rPr>
                <w:rFonts w:hint="eastAsia"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0.10</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r>
      <w:tr w14:paraId="184985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247" w:type="pct"/>
            <w:vMerge w:val="continue"/>
            <w:tcBorders>
              <w:tl2br w:val="nil"/>
              <w:tr2bl w:val="nil"/>
            </w:tcBorders>
            <w:vAlign w:val="center"/>
          </w:tcPr>
          <w:p w14:paraId="2833345B">
            <w:pPr>
              <w:keepNext w:val="0"/>
              <w:keepLines w:val="0"/>
              <w:widowControl w:val="0"/>
              <w:suppressLineNumbers w:val="0"/>
              <w:overflowPunct w:val="0"/>
              <w:autoSpaceDE w:val="0"/>
              <w:autoSpaceDN w:val="0"/>
              <w:bidi w:val="0"/>
              <w:adjustRightInd w:val="0"/>
              <w:snapToGrid w:val="0"/>
              <w:spacing w:before="0" w:beforeAutospacing="0" w:after="0" w:afterAutospacing="0" w:line="300" w:lineRule="atLeast"/>
              <w:ind w:left="0" w:right="0" w:firstLine="0" w:firstLineChars="0"/>
              <w:jc w:val="center"/>
              <w:textAlignment w:val="baseline"/>
              <w:rPr>
                <w:rFonts w:hint="eastAsia" w:ascii="Times New Roman" w:hAnsi="Times New Roman" w:eastAsia="宋体" w:cs="Times New Roman"/>
                <w:color w:val="auto"/>
                <w:kern w:val="0"/>
                <w:sz w:val="21"/>
                <w:lang w:val="en-US" w:eastAsia="zh-CN" w:bidi="ar-SA"/>
              </w:rPr>
            </w:pPr>
          </w:p>
        </w:tc>
        <w:tc>
          <w:tcPr>
            <w:tcW w:w="1249" w:type="pct"/>
            <w:tcBorders>
              <w:tl2br w:val="nil"/>
              <w:tr2bl w:val="nil"/>
            </w:tcBorders>
            <w:vAlign w:val="center"/>
          </w:tcPr>
          <w:p w14:paraId="49C91C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Times New Roman" w:hAnsi="Times New Roman" w:eastAsia="宋体" w:cs="宋体"/>
                <w:color w:val="auto"/>
                <w:kern w:val="0"/>
                <w:lang w:val="en-US" w:eastAsia="zh-CN"/>
              </w:rPr>
            </w:pPr>
            <w:r>
              <w:rPr>
                <w:rFonts w:hint="eastAsia" w:ascii="Times New Roman" w:hAnsi="Times New Roman" w:eastAsia="宋体" w:cs="Times New Roman"/>
                <w:b w:val="0"/>
                <w:bCs w:val="0"/>
                <w:color w:val="auto"/>
                <w:kern w:val="0"/>
                <w:sz w:val="21"/>
                <w:szCs w:val="21"/>
                <w:lang w:val="en-US" w:eastAsia="zh-CN"/>
              </w:rPr>
              <w:t>氨氮</w:t>
            </w:r>
          </w:p>
        </w:tc>
        <w:tc>
          <w:tcPr>
            <w:tcW w:w="3539" w:type="dxa"/>
            <w:tcBorders>
              <w:tl2br w:val="nil"/>
              <w:tr2bl w:val="nil"/>
            </w:tcBorders>
            <w:vAlign w:val="center"/>
          </w:tcPr>
          <w:p w14:paraId="3F06F853">
            <w:pPr>
              <w:keepNext w:val="0"/>
              <w:keepLines w:val="0"/>
              <w:widowControl/>
              <w:suppressLineNumbers w:val="0"/>
              <w:jc w:val="center"/>
              <w:textAlignment w:val="center"/>
              <w:rPr>
                <w:rFonts w:hint="eastAsia"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52.2</w:t>
            </w:r>
          </w:p>
        </w:tc>
        <w:tc>
          <w:tcPr>
            <w:tcW w:w="3551" w:type="dxa"/>
            <w:tcBorders>
              <w:tl2br w:val="nil"/>
              <w:tr2bl w:val="nil"/>
            </w:tcBorders>
            <w:vAlign w:val="center"/>
          </w:tcPr>
          <w:p w14:paraId="014D1815">
            <w:pPr>
              <w:keepNext w:val="0"/>
              <w:keepLines w:val="0"/>
              <w:widowControl/>
              <w:suppressLineNumbers w:val="0"/>
              <w:jc w:val="center"/>
              <w:textAlignment w:val="center"/>
              <w:rPr>
                <w:rFonts w:hint="eastAsia" w:ascii="Times New Roman" w:hAnsi="Times New Roman" w:eastAsia="宋体" w:cs="宋体"/>
                <w:color w:val="auto"/>
                <w:kern w:val="0"/>
                <w:lang w:val="en-US" w:eastAsia="zh-CN"/>
              </w:rPr>
            </w:pPr>
            <w:r>
              <w:rPr>
                <w:rFonts w:hint="eastAsia" w:cs="Times New Roman"/>
                <w:i w:val="0"/>
                <w:iCs w:val="0"/>
                <w:color w:val="auto"/>
                <w:kern w:val="0"/>
                <w:sz w:val="21"/>
                <w:szCs w:val="21"/>
                <w:highlight w:val="none"/>
                <w:u w:val="none"/>
                <w:lang w:val="en-US" w:eastAsia="zh-CN" w:bidi="ar"/>
              </w:rPr>
              <w:t>0.01</w:t>
            </w:r>
          </w:p>
        </w:tc>
      </w:tr>
    </w:tbl>
    <w:p w14:paraId="21D0F1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2"/>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imes New Roman" w:hAnsi="Times New Roman" w:eastAsia="宋体" w:cs="Times New Roman"/>
          <w:color w:val="auto"/>
          <w:sz w:val="24"/>
          <w:szCs w:val="22"/>
          <w:lang w:val="en-US" w:eastAsia="zh-CN"/>
        </w:rPr>
        <w:t xml:space="preserve">  </w:t>
      </w:r>
    </w:p>
    <w:p w14:paraId="3A46D5AE">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（2）进入第七师125团团场城镇生活污水处理厂</w:t>
      </w:r>
      <w:r>
        <w:rPr>
          <w:rFonts w:hint="default" w:ascii="Times New Roman" w:hAnsi="Times New Roman" w:eastAsia="宋体" w:cs="Times New Roman"/>
          <w:color w:val="000000"/>
          <w:kern w:val="2"/>
          <w:sz w:val="24"/>
          <w:szCs w:val="24"/>
          <w:highlight w:val="none"/>
          <w:lang w:val="en-US" w:eastAsia="zh-CN" w:bidi="ar-SA"/>
        </w:rPr>
        <w:t>可行性和可靠性分析</w:t>
      </w:r>
    </w:p>
    <w:p w14:paraId="21C0B478">
      <w:pPr>
        <w:widowControl w:val="0"/>
        <w:numPr>
          <w:ilvl w:val="0"/>
          <w:numId w:val="0"/>
        </w:numPr>
        <w:overflowPunct w:val="0"/>
        <w:autoSpaceDE w:val="0"/>
        <w:autoSpaceDN w:val="0"/>
        <w:adjustRightInd w:val="0"/>
        <w:snapToGrid w:val="0"/>
        <w:spacing w:line="360" w:lineRule="auto"/>
        <w:ind w:left="0" w:leftChars="0" w:firstLine="480" w:firstLineChars="200"/>
        <w:jc w:val="both"/>
        <w:rPr>
          <w:rFonts w:hint="default" w:ascii="Times New Roman" w:hAnsi="Times New Roman" w:eastAsia="宋体" w:cs="Times New Roman"/>
          <w:color w:val="auto"/>
          <w:kern w:val="2"/>
          <w:sz w:val="24"/>
          <w:szCs w:val="20"/>
          <w:highlight w:val="none"/>
          <w:lang w:val="en-US" w:eastAsia="zh-CN"/>
        </w:rPr>
      </w:pPr>
      <w:r>
        <w:rPr>
          <w:rFonts w:hint="eastAsia" w:ascii="Times New Roman" w:hAnsi="Times New Roman" w:eastAsia="宋体" w:cs="Times New Roman"/>
          <w:color w:val="auto"/>
          <w:kern w:val="2"/>
          <w:sz w:val="24"/>
          <w:szCs w:val="20"/>
          <w:highlight w:val="none"/>
          <w:lang w:val="en-US" w:eastAsia="zh-CN"/>
        </w:rPr>
        <w:t>第七师125团团场城镇生活污水处理厂位于第七师125团前高公路以东</w:t>
      </w:r>
      <w:r>
        <w:rPr>
          <w:rFonts w:hint="eastAsia" w:cs="Times New Roman"/>
          <w:color w:val="auto"/>
          <w:kern w:val="2"/>
          <w:sz w:val="24"/>
          <w:szCs w:val="20"/>
          <w:highlight w:val="none"/>
          <w:lang w:val="en-US" w:eastAsia="zh-CN"/>
        </w:rPr>
        <w:t>，建环线以西</w:t>
      </w:r>
      <w:r>
        <w:rPr>
          <w:rFonts w:hint="eastAsia" w:ascii="Times New Roman" w:hAnsi="Times New Roman" w:eastAsia="宋体" w:cs="Times New Roman"/>
          <w:color w:val="auto"/>
          <w:kern w:val="2"/>
          <w:sz w:val="24"/>
          <w:szCs w:val="20"/>
          <w:highlight w:val="none"/>
          <w:lang w:val="en-US" w:eastAsia="zh-CN"/>
        </w:rPr>
        <w:t>，</w:t>
      </w:r>
      <w:r>
        <w:rPr>
          <w:rFonts w:hint="default" w:ascii="Times New Roman" w:hAnsi="Times New Roman" w:eastAsia="宋体" w:cs="Times New Roman"/>
          <w:color w:val="auto"/>
          <w:kern w:val="2"/>
          <w:sz w:val="24"/>
          <w:szCs w:val="20"/>
          <w:highlight w:val="none"/>
          <w:lang w:val="en-US" w:eastAsia="zh-CN"/>
        </w:rPr>
        <w:t>中心坐标E84°30′58.205″</w:t>
      </w:r>
      <w:r>
        <w:rPr>
          <w:rFonts w:hint="eastAsia" w:cs="Times New Roman"/>
          <w:color w:val="auto"/>
          <w:kern w:val="2"/>
          <w:sz w:val="24"/>
          <w:szCs w:val="20"/>
          <w:highlight w:val="none"/>
          <w:lang w:val="en-US" w:eastAsia="zh-CN"/>
        </w:rPr>
        <w:t>，N</w:t>
      </w:r>
      <w:r>
        <w:rPr>
          <w:rFonts w:hint="default" w:ascii="Times New Roman" w:hAnsi="Times New Roman" w:eastAsia="宋体" w:cs="Times New Roman"/>
          <w:color w:val="auto"/>
          <w:kern w:val="2"/>
          <w:sz w:val="24"/>
          <w:szCs w:val="20"/>
          <w:highlight w:val="none"/>
          <w:lang w:val="en-US" w:eastAsia="zh-CN"/>
        </w:rPr>
        <w:t>44°48′12.161″</w:t>
      </w:r>
      <w:r>
        <w:rPr>
          <w:rFonts w:hint="eastAsia" w:ascii="Times New Roman" w:hAnsi="Times New Roman" w:eastAsia="宋体" w:cs="Times New Roman"/>
          <w:color w:val="auto"/>
          <w:kern w:val="2"/>
          <w:sz w:val="24"/>
          <w:szCs w:val="20"/>
          <w:highlight w:val="none"/>
          <w:lang w:val="en-US" w:eastAsia="zh-CN"/>
        </w:rPr>
        <w:t>，</w:t>
      </w:r>
      <w:r>
        <w:rPr>
          <w:rFonts w:hint="eastAsia" w:cs="Times New Roman"/>
          <w:color w:val="auto"/>
          <w:kern w:val="2"/>
          <w:sz w:val="24"/>
          <w:szCs w:val="20"/>
          <w:highlight w:val="none"/>
          <w:lang w:val="en-US" w:eastAsia="zh-CN"/>
        </w:rPr>
        <w:t>为</w:t>
      </w:r>
      <w:r>
        <w:rPr>
          <w:rFonts w:hint="eastAsia" w:ascii="Times New Roman" w:hAnsi="Times New Roman" w:eastAsia="宋体" w:cs="Times New Roman"/>
          <w:color w:val="auto"/>
          <w:kern w:val="2"/>
          <w:sz w:val="24"/>
          <w:szCs w:val="20"/>
          <w:highlight w:val="none"/>
          <w:lang w:val="en-US" w:eastAsia="zh-CN"/>
        </w:rPr>
        <w:t>第七师125团</w:t>
      </w:r>
      <w:r>
        <w:rPr>
          <w:rFonts w:hint="eastAsia" w:cs="Times New Roman"/>
          <w:color w:val="auto"/>
          <w:kern w:val="2"/>
          <w:sz w:val="24"/>
          <w:szCs w:val="20"/>
          <w:highlight w:val="none"/>
          <w:lang w:val="en-US" w:eastAsia="zh-CN"/>
        </w:rPr>
        <w:t>主要城镇基础设施，《第七师团场城镇生活污水处理及配套设施项目（125团）环境影响报告表》于2021年12月15日在第七师胡杨河市生态环境局取得批复，2025</w:t>
      </w:r>
      <w:r>
        <w:rPr>
          <w:rFonts w:hint="eastAsia" w:ascii="Times New Roman" w:hAnsi="Times New Roman" w:eastAsia="宋体" w:cs="Times New Roman"/>
          <w:color w:val="auto"/>
          <w:kern w:val="2"/>
          <w:sz w:val="24"/>
          <w:szCs w:val="20"/>
          <w:highlight w:val="none"/>
          <w:lang w:val="en-US" w:eastAsia="zh-CN"/>
        </w:rPr>
        <w:t>年</w:t>
      </w:r>
      <w:r>
        <w:rPr>
          <w:rFonts w:hint="eastAsia" w:cs="Times New Roman"/>
          <w:color w:val="auto"/>
          <w:kern w:val="2"/>
          <w:sz w:val="24"/>
          <w:szCs w:val="20"/>
          <w:highlight w:val="none"/>
          <w:lang w:val="en-US" w:eastAsia="zh-CN"/>
        </w:rPr>
        <w:t>5月</w:t>
      </w:r>
      <w:r>
        <w:rPr>
          <w:rFonts w:hint="eastAsia" w:ascii="Times New Roman" w:hAnsi="Times New Roman" w:eastAsia="宋体" w:cs="Times New Roman"/>
          <w:color w:val="auto"/>
          <w:kern w:val="2"/>
          <w:sz w:val="24"/>
          <w:szCs w:val="20"/>
          <w:highlight w:val="none"/>
          <w:lang w:val="en-US" w:eastAsia="zh-CN"/>
        </w:rPr>
        <w:t>建成并投产使用，</w:t>
      </w:r>
      <w:r>
        <w:rPr>
          <w:rFonts w:hint="eastAsia" w:cs="Times New Roman"/>
          <w:color w:val="auto"/>
          <w:kern w:val="2"/>
          <w:sz w:val="24"/>
          <w:szCs w:val="20"/>
          <w:highlight w:val="none"/>
          <w:lang w:val="en-US" w:eastAsia="zh-CN"/>
        </w:rPr>
        <w:t>设计</w:t>
      </w:r>
      <w:r>
        <w:rPr>
          <w:rFonts w:hint="eastAsia" w:ascii="Times New Roman" w:hAnsi="Times New Roman" w:eastAsia="宋体" w:cs="Times New Roman"/>
          <w:color w:val="auto"/>
          <w:kern w:val="2"/>
          <w:sz w:val="24"/>
          <w:szCs w:val="20"/>
          <w:highlight w:val="none"/>
          <w:lang w:val="en-US" w:eastAsia="zh-CN"/>
        </w:rPr>
        <w:t>处理能力</w:t>
      </w:r>
      <w:r>
        <w:rPr>
          <w:rFonts w:hint="eastAsia" w:cs="Times New Roman"/>
          <w:color w:val="auto"/>
          <w:kern w:val="2"/>
          <w:sz w:val="24"/>
          <w:szCs w:val="20"/>
          <w:highlight w:val="none"/>
          <w:lang w:val="en-US" w:eastAsia="zh-CN"/>
        </w:rPr>
        <w:t>2500</w:t>
      </w:r>
      <w:r>
        <w:rPr>
          <w:rFonts w:hint="eastAsia" w:ascii="Times New Roman" w:hAnsi="Times New Roman" w:eastAsia="宋体" w:cs="Times New Roman"/>
          <w:color w:val="auto"/>
          <w:kern w:val="2"/>
          <w:sz w:val="24"/>
          <w:szCs w:val="20"/>
          <w:highlight w:val="none"/>
          <w:lang w:val="en-US" w:eastAsia="zh-CN"/>
        </w:rPr>
        <w:t>m</w:t>
      </w:r>
      <w:r>
        <w:rPr>
          <w:rFonts w:hint="eastAsia" w:ascii="Times New Roman" w:hAnsi="Times New Roman" w:eastAsia="宋体" w:cs="Times New Roman"/>
          <w:color w:val="auto"/>
          <w:kern w:val="2"/>
          <w:sz w:val="24"/>
          <w:szCs w:val="20"/>
          <w:highlight w:val="none"/>
          <w:vertAlign w:val="superscript"/>
          <w:lang w:val="en-US" w:eastAsia="zh-CN"/>
        </w:rPr>
        <w:t>3</w:t>
      </w:r>
      <w:r>
        <w:rPr>
          <w:rFonts w:hint="eastAsia" w:ascii="Times New Roman" w:hAnsi="Times New Roman" w:eastAsia="宋体" w:cs="Times New Roman"/>
          <w:color w:val="auto"/>
          <w:kern w:val="2"/>
          <w:sz w:val="24"/>
          <w:szCs w:val="20"/>
          <w:highlight w:val="none"/>
          <w:lang w:val="en-US" w:eastAsia="zh-CN"/>
        </w:rPr>
        <w:t>/d</w:t>
      </w:r>
      <w:r>
        <w:rPr>
          <w:rFonts w:hint="eastAsia" w:cs="Times New Roman"/>
          <w:color w:val="auto"/>
          <w:kern w:val="2"/>
          <w:sz w:val="24"/>
          <w:szCs w:val="20"/>
          <w:highlight w:val="none"/>
          <w:lang w:val="en-US" w:eastAsia="zh-CN"/>
        </w:rPr>
        <w:t>，主要接纳125团城镇生活污水</w:t>
      </w:r>
      <w:r>
        <w:rPr>
          <w:rFonts w:hint="eastAsia" w:ascii="Times New Roman" w:hAnsi="Times New Roman" w:eastAsia="宋体" w:cs="Times New Roman"/>
          <w:color w:val="auto"/>
          <w:kern w:val="2"/>
          <w:sz w:val="24"/>
          <w:szCs w:val="20"/>
          <w:highlight w:val="none"/>
          <w:lang w:val="en-US" w:eastAsia="zh-CN"/>
        </w:rPr>
        <w:t>；污水处理</w:t>
      </w:r>
      <w:r>
        <w:rPr>
          <w:rFonts w:hint="eastAsia" w:cs="Times New Roman"/>
          <w:color w:val="auto"/>
          <w:kern w:val="2"/>
          <w:sz w:val="24"/>
          <w:szCs w:val="20"/>
          <w:highlight w:val="none"/>
          <w:lang w:val="en-US" w:eastAsia="zh-CN"/>
        </w:rPr>
        <w:t>采用“格栅－调节-EBIS（改良AO）－离子气浮－消毒”</w:t>
      </w:r>
      <w:r>
        <w:rPr>
          <w:rFonts w:hint="eastAsia" w:ascii="Times New Roman" w:hAnsi="Times New Roman" w:eastAsia="宋体" w:cs="Times New Roman"/>
          <w:color w:val="auto"/>
          <w:kern w:val="2"/>
          <w:sz w:val="24"/>
          <w:szCs w:val="20"/>
          <w:highlight w:val="none"/>
          <w:lang w:val="en-US" w:eastAsia="zh-CN"/>
        </w:rPr>
        <w:t>处理工艺；处理后的出水水质达到《城镇污水处理厂污染物排放标准》（GB18918-2002）中一级A标准要求，同时满足《城市污水再生利用 农田灌溉用水水质》（GB20922-2007）要求后，尾水冬储夏灌，灌溉期用于周边棉田灌溉，非灌溉期储存在调蓄池。</w:t>
      </w:r>
      <w:r>
        <w:rPr>
          <w:rFonts w:hint="eastAsia" w:cs="Times New Roman"/>
          <w:color w:val="auto"/>
          <w:kern w:val="2"/>
          <w:sz w:val="24"/>
          <w:szCs w:val="20"/>
          <w:highlight w:val="none"/>
          <w:lang w:val="en-US" w:eastAsia="zh-CN"/>
        </w:rPr>
        <w:t>2024年1月3日申领</w:t>
      </w:r>
      <w:r>
        <w:rPr>
          <w:rFonts w:hint="eastAsia" w:ascii="Times New Roman" w:hAnsi="Times New Roman" w:eastAsia="宋体" w:cs="Times New Roman"/>
          <w:color w:val="auto"/>
          <w:kern w:val="2"/>
          <w:sz w:val="24"/>
          <w:szCs w:val="20"/>
          <w:highlight w:val="none"/>
          <w:lang w:val="en-US" w:eastAsia="zh-CN"/>
        </w:rPr>
        <w:t>项目排污许可证（91659010MACE55JC1H004Q）。</w:t>
      </w:r>
    </w:p>
    <w:p w14:paraId="20CE70ED">
      <w:pPr>
        <w:widowControl w:val="0"/>
        <w:numPr>
          <w:ilvl w:val="0"/>
          <w:numId w:val="0"/>
        </w:numPr>
        <w:overflowPunct w:val="0"/>
        <w:autoSpaceDE w:val="0"/>
        <w:autoSpaceDN w:val="0"/>
        <w:adjustRightInd w:val="0"/>
        <w:snapToGrid w:val="0"/>
        <w:spacing w:line="360" w:lineRule="auto"/>
        <w:ind w:left="0" w:leftChars="0"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第七师125团团场城镇生活污水处理厂位于本项目东</w:t>
      </w:r>
      <w:r>
        <w:rPr>
          <w:rFonts w:hint="eastAsia" w:cs="Times New Roman"/>
          <w:color w:val="000000"/>
          <w:kern w:val="2"/>
          <w:sz w:val="24"/>
          <w:szCs w:val="24"/>
          <w:highlight w:val="none"/>
          <w:lang w:val="en-US" w:eastAsia="zh-CN" w:bidi="ar-SA"/>
        </w:rPr>
        <w:t>北</w:t>
      </w:r>
      <w:r>
        <w:rPr>
          <w:rFonts w:hint="eastAsia" w:ascii="Times New Roman" w:hAnsi="Times New Roman" w:eastAsia="宋体" w:cs="Times New Roman"/>
          <w:color w:val="000000"/>
          <w:kern w:val="2"/>
          <w:sz w:val="24"/>
          <w:szCs w:val="24"/>
          <w:highlight w:val="none"/>
          <w:lang w:val="en-US" w:eastAsia="zh-CN" w:bidi="ar-SA"/>
        </w:rPr>
        <w:t>侧约</w:t>
      </w:r>
      <w:r>
        <w:rPr>
          <w:rFonts w:hint="eastAsia" w:cs="Times New Roman"/>
          <w:color w:val="000000"/>
          <w:kern w:val="2"/>
          <w:sz w:val="24"/>
          <w:szCs w:val="24"/>
          <w:highlight w:val="none"/>
          <w:lang w:val="en-US" w:eastAsia="zh-CN" w:bidi="ar-SA"/>
        </w:rPr>
        <w:t>6</w:t>
      </w:r>
      <w:r>
        <w:rPr>
          <w:rFonts w:hint="eastAsia" w:ascii="Times New Roman" w:hAnsi="Times New Roman" w:eastAsia="宋体" w:cs="Times New Roman"/>
          <w:color w:val="000000"/>
          <w:kern w:val="2"/>
          <w:sz w:val="24"/>
          <w:szCs w:val="24"/>
          <w:highlight w:val="none"/>
          <w:lang w:val="en-US" w:eastAsia="zh-CN" w:bidi="ar-SA"/>
        </w:rPr>
        <w:t>km，</w:t>
      </w:r>
      <w:r>
        <w:rPr>
          <w:rFonts w:hint="eastAsia" w:ascii="Times New Roman" w:hAnsi="Times New Roman" w:eastAsia="宋体" w:cs="Times New Roman"/>
          <w:color w:val="auto"/>
          <w:kern w:val="2"/>
          <w:sz w:val="24"/>
          <w:szCs w:val="20"/>
          <w:highlight w:val="none"/>
          <w:lang w:val="en-US" w:eastAsia="zh-CN"/>
        </w:rPr>
        <w:t>根据实地调查，污水处理厂目前仍有充足容量，因此本项目生活污水</w:t>
      </w:r>
      <w:r>
        <w:rPr>
          <w:rFonts w:hint="eastAsia" w:cs="Times New Roman"/>
          <w:color w:val="auto"/>
          <w:kern w:val="2"/>
          <w:sz w:val="24"/>
          <w:szCs w:val="20"/>
          <w:highlight w:val="none"/>
          <w:lang w:val="en-US" w:eastAsia="zh-CN"/>
        </w:rPr>
        <w:t>拉运至第七师125团团场城镇生活污水处理厂</w:t>
      </w:r>
      <w:r>
        <w:rPr>
          <w:rFonts w:hint="eastAsia" w:ascii="Times New Roman" w:hAnsi="Times New Roman" w:eastAsia="宋体" w:cs="Times New Roman"/>
          <w:color w:val="auto"/>
          <w:kern w:val="2"/>
          <w:sz w:val="24"/>
          <w:szCs w:val="20"/>
          <w:highlight w:val="none"/>
          <w:lang w:val="en-US" w:eastAsia="zh-CN"/>
        </w:rPr>
        <w:t>依托可行</w:t>
      </w:r>
      <w:r>
        <w:rPr>
          <w:rFonts w:hint="eastAsia" w:ascii="Times New Roman" w:hAnsi="Times New Roman" w:eastAsia="宋体" w:cs="Times New Roman"/>
          <w:color w:val="000000"/>
          <w:kern w:val="2"/>
          <w:sz w:val="24"/>
          <w:szCs w:val="24"/>
          <w:highlight w:val="none"/>
          <w:lang w:val="en-US" w:eastAsia="zh-CN" w:bidi="ar-SA"/>
        </w:rPr>
        <w:t>。</w:t>
      </w:r>
    </w:p>
    <w:p w14:paraId="2F5036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000000"/>
          <w:kern w:val="2"/>
          <w:sz w:val="24"/>
          <w:szCs w:val="24"/>
          <w:highlight w:val="none"/>
          <w:lang w:val="en-US" w:eastAsia="zh-CN" w:bidi="ar-SA"/>
        </w:rPr>
        <w:t>本项目与当地地表水体环境发生直接水力联系，因此本项目对地表水环境无直接影响。</w:t>
      </w:r>
    </w:p>
    <w:p w14:paraId="27C4C53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bCs w:val="0"/>
          <w:color w:val="auto"/>
          <w:kern w:val="2"/>
          <w:sz w:val="24"/>
          <w:szCs w:val="24"/>
          <w:lang w:val="en-US" w:eastAsia="zh-CN" w:bidi="ar-SA"/>
        </w:rPr>
      </w:pPr>
      <w:bookmarkStart w:id="570" w:name="_Toc2362"/>
      <w:bookmarkStart w:id="571" w:name="_Toc8190"/>
      <w:r>
        <w:rPr>
          <w:rFonts w:hint="default" w:ascii="Times New Roman" w:hAnsi="Times New Roman" w:eastAsia="宋体" w:cs="Times New Roman"/>
          <w:b/>
          <w:bCs w:val="0"/>
          <w:color w:val="auto"/>
          <w:kern w:val="2"/>
          <w:sz w:val="24"/>
          <w:szCs w:val="24"/>
          <w:lang w:val="en-US" w:eastAsia="zh-CN" w:bidi="ar-SA"/>
        </w:rPr>
        <w:t>5.2.</w:t>
      </w:r>
      <w:r>
        <w:rPr>
          <w:rFonts w:hint="eastAsia" w:eastAsia="宋体" w:cs="Times New Roman"/>
          <w:b/>
          <w:bCs w:val="0"/>
          <w:color w:val="auto"/>
          <w:kern w:val="2"/>
          <w:sz w:val="24"/>
          <w:szCs w:val="24"/>
          <w:lang w:val="en-US" w:eastAsia="zh-CN" w:bidi="ar-SA"/>
        </w:rPr>
        <w:t>2</w:t>
      </w:r>
      <w:r>
        <w:rPr>
          <w:rFonts w:hint="eastAsia" w:ascii="Times New Roman" w:hAnsi="Times New Roman" w:eastAsia="宋体" w:cs="Times New Roman"/>
          <w:b/>
          <w:bCs w:val="0"/>
          <w:color w:val="auto"/>
          <w:kern w:val="2"/>
          <w:sz w:val="24"/>
          <w:szCs w:val="24"/>
          <w:lang w:val="en-US" w:eastAsia="zh-CN" w:bidi="ar-SA"/>
        </w:rPr>
        <w:t>.</w:t>
      </w:r>
      <w:r>
        <w:rPr>
          <w:rFonts w:hint="eastAsia" w:cs="Times New Roman"/>
          <w:b/>
          <w:bCs w:val="0"/>
          <w:color w:val="auto"/>
          <w:kern w:val="2"/>
          <w:sz w:val="24"/>
          <w:szCs w:val="24"/>
          <w:lang w:val="en-US" w:eastAsia="zh-CN" w:bidi="ar-SA"/>
        </w:rPr>
        <w:t>2</w:t>
      </w:r>
      <w:r>
        <w:rPr>
          <w:rFonts w:hint="default" w:ascii="Times New Roman" w:hAnsi="Times New Roman" w:eastAsia="宋体" w:cs="Times New Roman"/>
          <w:b/>
          <w:bCs w:val="0"/>
          <w:color w:val="auto"/>
          <w:kern w:val="2"/>
          <w:sz w:val="24"/>
          <w:szCs w:val="24"/>
          <w:lang w:val="en-US" w:eastAsia="zh-CN" w:bidi="ar-SA"/>
        </w:rPr>
        <w:t>地下水环境影响分析</w:t>
      </w:r>
      <w:bookmarkEnd w:id="570"/>
      <w:bookmarkEnd w:id="571"/>
    </w:p>
    <w:p w14:paraId="7C102479">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区域水文地质条件</w:t>
      </w:r>
    </w:p>
    <w:p w14:paraId="3099EB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0"/>
          <w:highlight w:val="none"/>
          <w:lang w:val="en-US" w:eastAsia="zh-CN"/>
        </w:rPr>
        <w:t>①</w:t>
      </w:r>
      <w:r>
        <w:rPr>
          <w:rFonts w:hint="eastAsia" w:ascii="Times New Roman" w:hAnsi="Times New Roman" w:eastAsia="宋体" w:cs="Times New Roman"/>
          <w:color w:val="auto"/>
          <w:kern w:val="2"/>
          <w:sz w:val="24"/>
          <w:szCs w:val="24"/>
          <w:lang w:val="en-US" w:eastAsia="zh-CN" w:bidi="ar-SA"/>
        </w:rPr>
        <w:t>区域</w:t>
      </w:r>
      <w:r>
        <w:rPr>
          <w:rFonts w:hint="eastAsia" w:cs="Times New Roman"/>
          <w:color w:val="auto"/>
          <w:kern w:val="2"/>
          <w:sz w:val="24"/>
          <w:szCs w:val="24"/>
          <w:lang w:val="en-US" w:eastAsia="zh-CN" w:bidi="ar-SA"/>
        </w:rPr>
        <w:t>地质概况</w:t>
      </w:r>
    </w:p>
    <w:p w14:paraId="5C4984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第七师所属区域为奎屯河流域，其自古生代以来的漫长历史时期经受了多次构造运动，形成了天山E-W向、北山</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多</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字型和NW向构造体系。在三大构造体系的控制下，发育形成了今日的地貌景观。中生代时期，盆地南、西、北三 面断续上升为山地，其间相对下降为盆地，同时在天山山前形成明显的坳陷带， 并接受来自山地的巨厚的陆相堆积。第三纪时期，在</w:t>
      </w:r>
      <w:r>
        <w:rPr>
          <w:rFonts w:hint="eastAsia" w:cs="Times New Roman"/>
          <w:color w:val="auto"/>
          <w:kern w:val="2"/>
          <w:sz w:val="24"/>
          <w:szCs w:val="24"/>
          <w:lang w:val="en-US" w:eastAsia="zh-CN" w:bidi="ar-SA"/>
        </w:rPr>
        <w:t>喜马拉雅</w:t>
      </w:r>
      <w:r>
        <w:rPr>
          <w:rFonts w:hint="eastAsia" w:ascii="Times New Roman" w:hAnsi="Times New Roman" w:eastAsia="宋体" w:cs="Times New Roman"/>
          <w:color w:val="auto"/>
          <w:kern w:val="2"/>
          <w:sz w:val="24"/>
          <w:szCs w:val="24"/>
          <w:lang w:val="en-US" w:eastAsia="zh-CN" w:bidi="ar-SA"/>
        </w:rPr>
        <w:t>运动的影响下，山 地与盆地间断块式的升降运动增强，使中生代地层产生断裂和褶皱，山前坳陷也 随着北迁西移，到新近纪时形成了以乌苏</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奎屯为中心的沉积区，再次接受新的 堆积；此期，在四棵树河以东主要表现为坳褶，在四棵树河以西主要表现为断块 陷落。</w:t>
      </w:r>
    </w:p>
    <w:p w14:paraId="08B34A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第四纪以来，新构造运动仍很强烈，地壳的变动以垂直升降运动为主，其跳 跃性和幅度的不均一性甚为明显。在山前带，上升运动使河流下蚀作用增强，形 成深谷，下切深度达</w:t>
      </w:r>
      <w:r>
        <w:rPr>
          <w:rFonts w:ascii="Times New Roman PS MT" w:hAnsi="Times New Roman PS MT" w:eastAsia="Times New Roman PS MT" w:cs="Times New Roman PS MT"/>
          <w:b w:val="0"/>
          <w:bCs w:val="0"/>
          <w:color w:val="000000"/>
          <w:sz w:val="24"/>
          <w:szCs w:val="24"/>
        </w:rPr>
        <w:t>15</w:t>
      </w:r>
      <w:r>
        <w:rPr>
          <w:rFonts w:hint="eastAsia" w:ascii="Times New Roman PS MT" w:hAnsi="Times New Roman PS MT" w:eastAsia="宋体" w:cs="Times New Roman PS MT"/>
          <w:b w:val="0"/>
          <w:bCs w:val="0"/>
          <w:color w:val="000000"/>
          <w:sz w:val="24"/>
          <w:szCs w:val="24"/>
          <w:lang w:eastAsia="zh-CN"/>
        </w:rPr>
        <w:t>～</w:t>
      </w:r>
      <w:r>
        <w:rPr>
          <w:rFonts w:ascii="Times New Roman PS MT" w:hAnsi="Times New Roman PS MT" w:eastAsia="Times New Roman PS MT" w:cs="Times New Roman PS MT"/>
          <w:b w:val="0"/>
          <w:bCs w:val="0"/>
          <w:color w:val="000000"/>
          <w:sz w:val="24"/>
          <w:szCs w:val="24"/>
        </w:rPr>
        <w:t>20m</w:t>
      </w:r>
      <w:r>
        <w:rPr>
          <w:rFonts w:hint="eastAsia" w:ascii="宋体" w:hAnsi="宋体" w:eastAsia="宋体" w:cs="宋体"/>
          <w:b w:val="0"/>
          <w:bCs w:val="0"/>
          <w:color w:val="000000"/>
          <w:sz w:val="24"/>
          <w:szCs w:val="24"/>
        </w:rPr>
        <w:t>，河谷两侧形成时代不同、高度不同的阶地，至冲洪积细土平原区（</w:t>
      </w:r>
      <w:r>
        <w:rPr>
          <w:rFonts w:hint="default" w:ascii="Times New Roman PS MT" w:hAnsi="Times New Roman PS MT" w:eastAsia="Times New Roman PS MT" w:cs="Times New Roman PS MT"/>
          <w:b w:val="0"/>
          <w:bCs w:val="0"/>
          <w:color w:val="000000"/>
          <w:sz w:val="24"/>
          <w:szCs w:val="24"/>
        </w:rPr>
        <w:t xml:space="preserve">312 </w:t>
      </w:r>
      <w:r>
        <w:rPr>
          <w:rFonts w:hint="eastAsia" w:ascii="宋体" w:hAnsi="宋体" w:eastAsia="宋体" w:cs="宋体"/>
          <w:b w:val="0"/>
          <w:bCs w:val="0"/>
          <w:color w:val="000000"/>
          <w:sz w:val="24"/>
          <w:szCs w:val="24"/>
        </w:rPr>
        <w:t xml:space="preserve">国道以北）阶地基本消失。由此可以看出：从前山带到冲洪积平原中上部，新构造上升运动普遍存在，其上升幅度距山区越远幅度越小，平原区相对下降。 </w:t>
      </w:r>
    </w:p>
    <w:p w14:paraId="1EE5CF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②</w:t>
      </w:r>
      <w:r>
        <w:rPr>
          <w:rFonts w:hint="eastAsia" w:ascii="宋体" w:hAnsi="宋体" w:eastAsia="宋体" w:cs="宋体"/>
          <w:b w:val="0"/>
          <w:bCs w:val="0"/>
          <w:color w:val="000000"/>
          <w:sz w:val="24"/>
          <w:szCs w:val="24"/>
        </w:rPr>
        <w:t xml:space="preserve">地层岩性 </w:t>
      </w:r>
    </w:p>
    <w:p w14:paraId="2A72FD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奎屯河流域南、北山地的主体由古生界构成，前山带中生界和新生界发育， 平原区广泛被第四系覆盖。区内出露的地层全部为第四纪沉积物，从老到新分述 如下： </w:t>
      </w:r>
    </w:p>
    <w:p w14:paraId="304B19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Times New Roman PS MT" w:hAnsi="Times New Roman PS MT" w:eastAsia="宋体" w:cs="Times New Roman PS MT"/>
          <w:b w:val="0"/>
          <w:bCs w:val="0"/>
          <w:color w:val="000000"/>
          <w:sz w:val="24"/>
          <w:szCs w:val="24"/>
          <w:lang w:val="en-US" w:eastAsia="zh-CN"/>
        </w:rPr>
        <w:t>A</w:t>
      </w:r>
      <w:r>
        <w:rPr>
          <w:rFonts w:hint="eastAsia" w:ascii="宋体" w:hAnsi="宋体" w:eastAsia="宋体" w:cs="宋体"/>
          <w:b w:val="0"/>
          <w:bCs w:val="0"/>
          <w:color w:val="000000"/>
          <w:sz w:val="24"/>
          <w:szCs w:val="24"/>
        </w:rPr>
        <w:t>）古生界石炭系（</w:t>
      </w:r>
      <w:r>
        <w:rPr>
          <w:rFonts w:hint="default" w:ascii="Times New Roman PS MT" w:hAnsi="Times New Roman PS MT" w:eastAsia="Times New Roman PS MT" w:cs="Times New Roman PS MT"/>
          <w:b w:val="0"/>
          <w:bCs w:val="0"/>
          <w:color w:val="000000"/>
          <w:sz w:val="24"/>
          <w:szCs w:val="24"/>
        </w:rPr>
        <w:t>C2-3</w:t>
      </w:r>
      <w:r>
        <w:rPr>
          <w:rFonts w:hint="eastAsia" w:ascii="宋体" w:hAnsi="宋体" w:eastAsia="宋体" w:cs="宋体"/>
          <w:b w:val="0"/>
          <w:bCs w:val="0"/>
          <w:color w:val="000000"/>
          <w:sz w:val="24"/>
          <w:szCs w:val="24"/>
        </w:rPr>
        <w:t>）：中上统巴音沟组和沙大王组，广泛分布于奎屯河上游山区，中统</w:t>
      </w:r>
      <w:r>
        <w:rPr>
          <w:rFonts w:ascii="Times New Roman PS MT" w:hAnsi="Times New Roman PS MT" w:eastAsia="Times New Roman PS MT" w:cs="Times New Roman PS MT"/>
          <w:b w:val="0"/>
          <w:bCs w:val="0"/>
          <w:color w:val="000000"/>
          <w:sz w:val="24"/>
          <w:szCs w:val="24"/>
        </w:rPr>
        <w:t>C2</w:t>
      </w:r>
      <w:r>
        <w:rPr>
          <w:rFonts w:hint="eastAsia" w:ascii="宋体" w:hAnsi="宋体" w:eastAsia="宋体" w:cs="宋体"/>
          <w:b w:val="0"/>
          <w:bCs w:val="0"/>
          <w:color w:val="000000"/>
          <w:sz w:val="24"/>
          <w:szCs w:val="24"/>
        </w:rPr>
        <w:t>居多，灰色、灰黑色、灰褐色、灰绿色细砂岩、砾岩和凝灰质岩类，属浅海相沉积层，夹有少量熔岩夹层和透镜体。岩体受断裂破坏严重，碎块状，产状多变，但走向多近东西向。基性、超基性岩脉多分布，产化石，二者不整合，总厚度</w:t>
      </w:r>
      <w:r>
        <w:rPr>
          <w:rFonts w:hint="default" w:ascii="Times New Roman PS MT" w:hAnsi="Times New Roman PS MT" w:eastAsia="Times New Roman PS MT" w:cs="Times New Roman PS MT"/>
          <w:b w:val="0"/>
          <w:bCs w:val="0"/>
          <w:color w:val="000000"/>
          <w:sz w:val="24"/>
          <w:szCs w:val="24"/>
        </w:rPr>
        <w:t>2948m</w:t>
      </w:r>
      <w:r>
        <w:rPr>
          <w:rFonts w:hint="eastAsia" w:ascii="宋体" w:hAnsi="宋体" w:eastAsia="宋体" w:cs="宋体"/>
          <w:b w:val="0"/>
          <w:bCs w:val="0"/>
          <w:color w:val="000000"/>
          <w:sz w:val="24"/>
          <w:szCs w:val="24"/>
        </w:rPr>
        <w:t xml:space="preserve">。与上下地层均不整合。 </w:t>
      </w:r>
    </w:p>
    <w:p w14:paraId="5DA219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PS MT" w:hAnsi="Times New Roman PS MT" w:eastAsia="宋体" w:cs="Times New Roman PS MT"/>
          <w:b w:val="0"/>
          <w:bCs w:val="0"/>
          <w:color w:val="000000"/>
          <w:sz w:val="24"/>
          <w:szCs w:val="24"/>
          <w:lang w:val="en-US" w:eastAsia="zh-CN"/>
        </w:rPr>
      </w:pPr>
      <w:r>
        <w:rPr>
          <w:rFonts w:hint="eastAsia" w:ascii="Times New Roman PS MT" w:hAnsi="Times New Roman PS MT" w:eastAsia="宋体" w:cs="Times New Roman PS MT"/>
          <w:b w:val="0"/>
          <w:bCs w:val="0"/>
          <w:color w:val="000000"/>
          <w:sz w:val="24"/>
          <w:szCs w:val="24"/>
          <w:lang w:val="en-US" w:eastAsia="zh-CN"/>
        </w:rPr>
        <w:t xml:space="preserve">B）中生界 </w:t>
      </w:r>
    </w:p>
    <w:p w14:paraId="5E8530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PS MT" w:hAnsi="Times New Roman PS MT" w:eastAsia="宋体" w:cs="Times New Roman PS MT"/>
          <w:b w:val="0"/>
          <w:bCs w:val="0"/>
          <w:color w:val="000000"/>
          <w:sz w:val="24"/>
          <w:szCs w:val="24"/>
          <w:lang w:val="en-US" w:eastAsia="zh-CN"/>
        </w:rPr>
      </w:pPr>
      <w:r>
        <w:rPr>
          <w:rFonts w:hint="default" w:ascii="Times New Roman PS MT" w:hAnsi="Times New Roman PS MT" w:eastAsia="宋体" w:cs="Times New Roman PS MT"/>
          <w:b w:val="0"/>
          <w:bCs w:val="0"/>
          <w:color w:val="000000"/>
          <w:sz w:val="24"/>
          <w:szCs w:val="24"/>
          <w:lang w:val="en-US" w:eastAsia="zh-CN"/>
        </w:rPr>
        <w:t>1</w:t>
      </w:r>
      <w:r>
        <w:rPr>
          <w:rFonts w:hint="eastAsia" w:ascii="Times New Roman PS MT" w:hAnsi="Times New Roman PS MT" w:eastAsia="宋体" w:cs="Times New Roman PS MT"/>
          <w:b w:val="0"/>
          <w:bCs w:val="0"/>
          <w:color w:val="000000"/>
          <w:sz w:val="24"/>
          <w:szCs w:val="24"/>
          <w:lang w:val="en-US" w:eastAsia="zh-CN"/>
        </w:rPr>
        <w:t>）三叠系（</w:t>
      </w:r>
      <w:r>
        <w:rPr>
          <w:rFonts w:hint="default" w:ascii="Times New Roman PS MT" w:hAnsi="Times New Roman PS MT" w:eastAsia="宋体" w:cs="Times New Roman PS MT"/>
          <w:b w:val="0"/>
          <w:bCs w:val="0"/>
          <w:color w:val="000000"/>
          <w:sz w:val="24"/>
          <w:szCs w:val="24"/>
          <w:lang w:val="en-US" w:eastAsia="zh-CN"/>
        </w:rPr>
        <w:t>T</w:t>
      </w:r>
      <w:r>
        <w:rPr>
          <w:rFonts w:hint="eastAsia" w:ascii="Times New Roman PS MT" w:hAnsi="Times New Roman PS MT" w:eastAsia="宋体" w:cs="Times New Roman PS MT"/>
          <w:b w:val="0"/>
          <w:bCs w:val="0"/>
          <w:color w:val="000000"/>
          <w:sz w:val="24"/>
          <w:szCs w:val="24"/>
          <w:lang w:val="en-US" w:eastAsia="zh-CN"/>
        </w:rPr>
        <w:t>）</w:t>
      </w:r>
    </w:p>
    <w:p w14:paraId="59E506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PS MT" w:hAnsi="Times New Roman PS MT" w:eastAsia="宋体" w:cs="Times New Roman PS MT"/>
          <w:b w:val="0"/>
          <w:bCs w:val="0"/>
          <w:color w:val="000000"/>
          <w:sz w:val="24"/>
          <w:szCs w:val="24"/>
          <w:lang w:val="en-US" w:eastAsia="zh-CN"/>
        </w:rPr>
      </w:pPr>
      <w:r>
        <w:rPr>
          <w:rFonts w:hint="eastAsia" w:ascii="Times New Roman PS MT" w:hAnsi="Times New Roman PS MT" w:eastAsia="宋体" w:cs="Times New Roman PS MT"/>
          <w:b w:val="0"/>
          <w:bCs w:val="0"/>
          <w:color w:val="000000"/>
          <w:sz w:val="24"/>
          <w:szCs w:val="24"/>
          <w:lang w:val="en-US" w:eastAsia="zh-CN"/>
        </w:rPr>
        <w:t>中、下统（</w:t>
      </w:r>
      <w:r>
        <w:rPr>
          <w:rFonts w:hint="default" w:ascii="Times New Roman PS MT" w:hAnsi="Times New Roman PS MT" w:eastAsia="宋体" w:cs="Times New Roman PS MT"/>
          <w:b w:val="0"/>
          <w:bCs w:val="0"/>
          <w:color w:val="000000"/>
          <w:sz w:val="24"/>
          <w:szCs w:val="24"/>
          <w:lang w:val="en-US" w:eastAsia="zh-CN"/>
        </w:rPr>
        <w:t>T1-2</w:t>
      </w:r>
      <w:r>
        <w:rPr>
          <w:rFonts w:hint="eastAsia" w:ascii="Times New Roman PS MT" w:hAnsi="Times New Roman PS MT" w:eastAsia="宋体" w:cs="Times New Roman PS MT"/>
          <w:b w:val="0"/>
          <w:bCs w:val="0"/>
          <w:color w:val="000000"/>
          <w:sz w:val="24"/>
          <w:szCs w:val="24"/>
          <w:lang w:val="en-US" w:eastAsia="zh-CN"/>
        </w:rPr>
        <w:t>）仓房沟群和上统（</w:t>
      </w:r>
      <w:r>
        <w:rPr>
          <w:rFonts w:hint="default" w:ascii="Times New Roman PS MT" w:hAnsi="Times New Roman PS MT" w:eastAsia="宋体" w:cs="Times New Roman PS MT"/>
          <w:b w:val="0"/>
          <w:bCs w:val="0"/>
          <w:color w:val="000000"/>
          <w:sz w:val="24"/>
          <w:szCs w:val="24"/>
          <w:lang w:val="en-US" w:eastAsia="zh-CN"/>
        </w:rPr>
        <w:t>T3</w:t>
      </w:r>
      <w:r>
        <w:rPr>
          <w:rFonts w:hint="eastAsia" w:ascii="Times New Roman PS MT" w:hAnsi="Times New Roman PS MT" w:eastAsia="宋体" w:cs="Times New Roman PS MT"/>
          <w:b w:val="0"/>
          <w:bCs w:val="0"/>
          <w:color w:val="000000"/>
          <w:sz w:val="24"/>
          <w:szCs w:val="24"/>
          <w:lang w:val="en-US" w:eastAsia="zh-CN"/>
        </w:rPr>
        <w:t>）小泉沟群，在奎屯河以西山前断裂下盘带状出露，与石炭系断层接触。以陆相湖盆堆积为主，红褐、紫褐、灰黄色等，碎块状夹致密而软的泥岩，砂岩互层夹砾岩，夹透镜煤层。层理清晰，颜色杂乱，总厚度</w:t>
      </w:r>
      <w:r>
        <w:rPr>
          <w:rFonts w:hint="default" w:ascii="Times New Roman PS MT" w:hAnsi="Times New Roman PS MT" w:eastAsia="宋体" w:cs="Times New Roman PS MT"/>
          <w:b w:val="0"/>
          <w:bCs w:val="0"/>
          <w:color w:val="000000"/>
          <w:sz w:val="24"/>
          <w:szCs w:val="24"/>
          <w:lang w:val="en-US" w:eastAsia="zh-CN"/>
        </w:rPr>
        <w:t>148</w:t>
      </w:r>
      <w:r>
        <w:rPr>
          <w:rFonts w:hint="eastAsia" w:ascii="Times New Roman PS MT" w:hAnsi="Times New Roman PS MT" w:cs="Times New Roman PS MT"/>
          <w:b w:val="0"/>
          <w:bCs w:val="0"/>
          <w:color w:val="000000"/>
          <w:sz w:val="24"/>
          <w:szCs w:val="24"/>
          <w:lang w:val="en-US" w:eastAsia="zh-CN"/>
        </w:rPr>
        <w:t>～</w:t>
      </w:r>
      <w:r>
        <w:rPr>
          <w:rFonts w:hint="default" w:ascii="Times New Roman PS MT" w:hAnsi="Times New Roman PS MT" w:eastAsia="宋体" w:cs="Times New Roman PS MT"/>
          <w:b w:val="0"/>
          <w:bCs w:val="0"/>
          <w:color w:val="000000"/>
          <w:sz w:val="24"/>
          <w:szCs w:val="24"/>
          <w:lang w:val="en-US" w:eastAsia="zh-CN"/>
        </w:rPr>
        <w:t>510m</w:t>
      </w:r>
      <w:r>
        <w:rPr>
          <w:rFonts w:hint="eastAsia" w:ascii="Times New Roman PS MT" w:hAnsi="Times New Roman PS MT" w:eastAsia="宋体" w:cs="Times New Roman PS MT"/>
          <w:b w:val="0"/>
          <w:bCs w:val="0"/>
          <w:color w:val="000000"/>
          <w:sz w:val="24"/>
          <w:szCs w:val="24"/>
          <w:lang w:val="en-US" w:eastAsia="zh-CN"/>
        </w:rPr>
        <w:t>。产状北倾</w:t>
      </w:r>
      <w:r>
        <w:rPr>
          <w:rFonts w:hint="default" w:ascii="Times New Roman PS MT" w:hAnsi="Times New Roman PS MT" w:eastAsia="宋体" w:cs="Times New Roman PS MT"/>
          <w:b w:val="0"/>
          <w:bCs w:val="0"/>
          <w:color w:val="000000"/>
          <w:sz w:val="24"/>
          <w:szCs w:val="24"/>
          <w:lang w:val="en-US" w:eastAsia="zh-CN"/>
        </w:rPr>
        <w:t>43</w:t>
      </w:r>
      <w:r>
        <w:rPr>
          <w:rFonts w:hint="eastAsia" w:ascii="Times New Roman PS MT" w:hAnsi="Times New Roman PS MT" w:eastAsia="宋体" w:cs="Times New Roman PS MT"/>
          <w:b w:val="0"/>
          <w:bCs w:val="0"/>
          <w:color w:val="000000"/>
          <w:sz w:val="24"/>
          <w:szCs w:val="24"/>
          <w:lang w:val="en-US" w:eastAsia="zh-CN"/>
        </w:rPr>
        <w:t xml:space="preserve">°。 </w:t>
      </w:r>
    </w:p>
    <w:p w14:paraId="08FA802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PS MT" w:hAnsi="Times New Roman PS MT" w:eastAsia="宋体" w:cs="Times New Roman PS MT"/>
          <w:b w:val="0"/>
          <w:bCs w:val="0"/>
          <w:color w:val="000000"/>
          <w:sz w:val="24"/>
          <w:szCs w:val="24"/>
          <w:lang w:val="en-US" w:eastAsia="zh-CN"/>
        </w:rPr>
      </w:pPr>
      <w:r>
        <w:rPr>
          <w:rFonts w:hint="eastAsia" w:ascii="Times New Roman PS MT" w:hAnsi="Times New Roman PS MT" w:eastAsia="宋体" w:cs="Times New Roman PS MT"/>
          <w:b w:val="0"/>
          <w:bCs w:val="0"/>
          <w:color w:val="000000"/>
          <w:sz w:val="24"/>
          <w:szCs w:val="24"/>
          <w:lang w:val="en-US" w:eastAsia="zh-CN"/>
        </w:rPr>
        <w:t>侏罗系（</w:t>
      </w:r>
      <w:r>
        <w:rPr>
          <w:rFonts w:hint="default" w:ascii="Times New Roman PS MT" w:hAnsi="Times New Roman PS MT" w:eastAsia="宋体" w:cs="Times New Roman PS MT"/>
          <w:b w:val="0"/>
          <w:bCs w:val="0"/>
          <w:color w:val="000000"/>
          <w:sz w:val="24"/>
          <w:szCs w:val="24"/>
          <w:lang w:val="en-US" w:eastAsia="zh-CN"/>
        </w:rPr>
        <w:t>J</w:t>
      </w:r>
      <w:r>
        <w:rPr>
          <w:rFonts w:hint="eastAsia" w:ascii="Times New Roman PS MT" w:hAnsi="Times New Roman PS MT" w:eastAsia="宋体" w:cs="Times New Roman PS MT"/>
          <w:b w:val="0"/>
          <w:bCs w:val="0"/>
          <w:color w:val="000000"/>
          <w:sz w:val="24"/>
          <w:szCs w:val="24"/>
          <w:lang w:val="en-US" w:eastAsia="zh-CN"/>
        </w:rPr>
        <w:t xml:space="preserve">） </w:t>
      </w:r>
    </w:p>
    <w:p w14:paraId="04723E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Times New Roman PS MT" w:hAnsi="Times New Roman PS MT" w:eastAsia="宋体" w:cs="Times New Roman PS MT"/>
          <w:b w:val="0"/>
          <w:bCs w:val="0"/>
          <w:color w:val="000000"/>
          <w:sz w:val="24"/>
          <w:szCs w:val="24"/>
          <w:lang w:val="en-US" w:eastAsia="zh-CN"/>
        </w:rPr>
        <w:t>大面积分布于</w:t>
      </w:r>
      <w:r>
        <w:rPr>
          <w:rFonts w:hint="eastAsia" w:ascii="Times New Roman PS MT" w:hAnsi="Times New Roman PS MT" w:cs="Times New Roman PS MT"/>
          <w:b w:val="0"/>
          <w:bCs w:val="0"/>
          <w:color w:val="000000"/>
          <w:sz w:val="24"/>
          <w:szCs w:val="24"/>
          <w:lang w:val="en-US" w:eastAsia="zh-CN"/>
        </w:rPr>
        <w:t>四棵</w:t>
      </w:r>
      <w:r>
        <w:rPr>
          <w:rFonts w:hint="eastAsia" w:ascii="Times New Roman PS MT" w:hAnsi="Times New Roman PS MT" w:eastAsia="宋体" w:cs="Times New Roman PS MT"/>
          <w:b w:val="0"/>
          <w:bCs w:val="0"/>
          <w:color w:val="000000"/>
          <w:sz w:val="24"/>
          <w:szCs w:val="24"/>
          <w:lang w:val="en-US" w:eastAsia="zh-CN"/>
        </w:rPr>
        <w:t>树煤矿和巴音沟煤矿周围，灰、灰绿、暗红色砂</w:t>
      </w:r>
      <w:r>
        <w:rPr>
          <w:rFonts w:hint="eastAsia" w:ascii="宋体" w:hAnsi="宋体" w:eastAsia="宋体" w:cs="宋体"/>
          <w:b w:val="0"/>
          <w:bCs w:val="0"/>
          <w:color w:val="000000"/>
          <w:sz w:val="24"/>
          <w:szCs w:val="24"/>
        </w:rPr>
        <w:t>岩、砂页岩、砾岩、泥岩、夹多层煤，倾向北</w:t>
      </w:r>
      <w:r>
        <w:rPr>
          <w:rFonts w:hint="default" w:ascii="Times New Roman PS MT" w:hAnsi="Times New Roman PS MT" w:eastAsia="Times New Roman PS MT" w:cs="Times New Roman PS MT"/>
          <w:b w:val="0"/>
          <w:bCs w:val="0"/>
          <w:color w:val="000000"/>
          <w:sz w:val="24"/>
          <w:szCs w:val="24"/>
        </w:rPr>
        <w:t>20~52</w:t>
      </w:r>
      <w:r>
        <w:rPr>
          <w:rFonts w:hint="eastAsia" w:ascii="宋体" w:hAnsi="宋体" w:eastAsia="宋体" w:cs="宋体"/>
          <w:b w:val="0"/>
          <w:bCs w:val="0"/>
          <w:color w:val="000000"/>
          <w:sz w:val="24"/>
          <w:szCs w:val="24"/>
        </w:rPr>
        <w:t xml:space="preserve">°。 </w:t>
      </w:r>
    </w:p>
    <w:p w14:paraId="5F4028B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PS MT" w:hAnsi="Times New Roman PS MT" w:eastAsia="宋体" w:cs="Times New Roman PS MT"/>
          <w:b w:val="0"/>
          <w:bCs w:val="0"/>
          <w:color w:val="000000"/>
          <w:sz w:val="24"/>
          <w:szCs w:val="24"/>
          <w:lang w:val="en-US" w:eastAsia="zh-CN"/>
        </w:rPr>
      </w:pPr>
      <w:r>
        <w:rPr>
          <w:rFonts w:hint="eastAsia" w:ascii="Times New Roman PS MT" w:hAnsi="Times New Roman PS MT" w:eastAsia="宋体" w:cs="Times New Roman PS MT"/>
          <w:b w:val="0"/>
          <w:bCs w:val="0"/>
          <w:color w:val="000000"/>
          <w:sz w:val="24"/>
          <w:szCs w:val="24"/>
          <w:lang w:val="en-US" w:eastAsia="zh-CN"/>
        </w:rPr>
        <w:t>白垩系（</w:t>
      </w:r>
      <w:r>
        <w:rPr>
          <w:rFonts w:hint="default" w:ascii="Times New Roman PS MT" w:hAnsi="Times New Roman PS MT" w:eastAsia="宋体" w:cs="Times New Roman PS MT"/>
          <w:b w:val="0"/>
          <w:bCs w:val="0"/>
          <w:color w:val="000000"/>
          <w:sz w:val="24"/>
          <w:szCs w:val="24"/>
          <w:lang w:val="en-US" w:eastAsia="zh-CN"/>
        </w:rPr>
        <w:t>K</w:t>
      </w:r>
      <w:r>
        <w:rPr>
          <w:rFonts w:hint="eastAsia" w:ascii="Times New Roman PS MT" w:hAnsi="Times New Roman PS MT" w:eastAsia="宋体" w:cs="Times New Roman PS MT"/>
          <w:b w:val="0"/>
          <w:bCs w:val="0"/>
          <w:color w:val="000000"/>
          <w:sz w:val="24"/>
          <w:szCs w:val="24"/>
          <w:lang w:val="en-US" w:eastAsia="zh-CN"/>
        </w:rPr>
        <w:t xml:space="preserve">） </w:t>
      </w:r>
    </w:p>
    <w:p w14:paraId="16187E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仅有下统吐谷鲁群（</w:t>
      </w:r>
      <w:r>
        <w:rPr>
          <w:rFonts w:hint="default" w:ascii="Times New Roman PS MT" w:hAnsi="Times New Roman PS MT" w:eastAsia="Times New Roman PS MT" w:cs="Times New Roman PS MT"/>
          <w:b w:val="0"/>
          <w:bCs w:val="0"/>
          <w:color w:val="000000"/>
          <w:sz w:val="24"/>
          <w:szCs w:val="24"/>
        </w:rPr>
        <w:t>K</w:t>
      </w:r>
      <w:r>
        <w:rPr>
          <w:rFonts w:hint="default" w:ascii="Times New Roman PS MT" w:hAnsi="Times New Roman PS MT" w:eastAsia="Times New Roman PS MT" w:cs="Times New Roman PS MT"/>
          <w:b w:val="0"/>
          <w:bCs w:val="0"/>
          <w:color w:val="000000"/>
          <w:sz w:val="15"/>
          <w:szCs w:val="15"/>
        </w:rPr>
        <w:t>1 t</w:t>
      </w:r>
      <w:r>
        <w:rPr>
          <w:rFonts w:hint="eastAsia" w:ascii="宋体" w:hAnsi="宋体" w:eastAsia="宋体" w:cs="宋体"/>
          <w:b w:val="0"/>
          <w:bCs w:val="0"/>
          <w:color w:val="000000"/>
          <w:sz w:val="24"/>
          <w:szCs w:val="24"/>
        </w:rPr>
        <w:t>）出露于托斯台到</w:t>
      </w:r>
      <w:r>
        <w:rPr>
          <w:rFonts w:hint="eastAsia" w:ascii="宋体" w:hAnsi="宋体" w:cs="宋体"/>
          <w:b w:val="0"/>
          <w:bCs w:val="0"/>
          <w:color w:val="000000"/>
          <w:sz w:val="24"/>
          <w:szCs w:val="24"/>
          <w:lang w:eastAsia="zh-CN"/>
        </w:rPr>
        <w:t>四棵</w:t>
      </w:r>
      <w:r>
        <w:rPr>
          <w:rFonts w:hint="eastAsia" w:ascii="宋体" w:hAnsi="宋体" w:eastAsia="宋体" w:cs="宋体"/>
          <w:b w:val="0"/>
          <w:bCs w:val="0"/>
          <w:color w:val="000000"/>
          <w:sz w:val="24"/>
          <w:szCs w:val="24"/>
        </w:rPr>
        <w:t>树河之间，呈条带状延伸， 与下伏侏罗系不整合。灰、棕、紫红、灰绿色页岩、砾石、泥岩、砂岩互层。在托斯台向斜的两翼和背斜的轴部可见。厚度</w:t>
      </w:r>
      <w:r>
        <w:rPr>
          <w:rFonts w:hint="default" w:ascii="Times New Roman PS MT" w:hAnsi="Times New Roman PS MT" w:eastAsia="Times New Roman PS MT" w:cs="Times New Roman PS MT"/>
          <w:b w:val="0"/>
          <w:bCs w:val="0"/>
          <w:color w:val="000000"/>
          <w:sz w:val="24"/>
          <w:szCs w:val="24"/>
        </w:rPr>
        <w:t>50</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720m</w:t>
      </w:r>
      <w:r>
        <w:rPr>
          <w:rFonts w:hint="eastAsia" w:ascii="宋体" w:hAnsi="宋体" w:eastAsia="宋体" w:cs="宋体"/>
          <w:b w:val="0"/>
          <w:bCs w:val="0"/>
          <w:color w:val="000000"/>
          <w:sz w:val="24"/>
          <w:szCs w:val="24"/>
        </w:rPr>
        <w:t xml:space="preserve">。 </w:t>
      </w:r>
    </w:p>
    <w:p w14:paraId="13B16BA3">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 xml:space="preserve">新生界 </w:t>
      </w:r>
    </w:p>
    <w:p w14:paraId="572B1B99">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 xml:space="preserve">古近系 </w:t>
      </w:r>
    </w:p>
    <w:p w14:paraId="2DC44E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古</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始新统（</w:t>
      </w:r>
      <w:r>
        <w:rPr>
          <w:rFonts w:hint="default" w:ascii="Times New Roman" w:hAnsi="Times New Roman" w:eastAsia="Times New Roman PS MT" w:cs="Times New Roman"/>
          <w:b w:val="0"/>
          <w:bCs w:val="0"/>
          <w:color w:val="000000"/>
          <w:sz w:val="24"/>
          <w:szCs w:val="24"/>
        </w:rPr>
        <w:t>E</w:t>
      </w:r>
      <w:r>
        <w:rPr>
          <w:rFonts w:hint="default" w:ascii="Times New Roman" w:hAnsi="Times New Roman" w:eastAsia="Times New Roman PS MT" w:cs="Times New Roman"/>
          <w:b w:val="0"/>
          <w:bCs w:val="0"/>
          <w:color w:val="000000"/>
          <w:sz w:val="15"/>
          <w:szCs w:val="15"/>
        </w:rPr>
        <w:t>1+2</w:t>
      </w:r>
      <w:r>
        <w:rPr>
          <w:rFonts w:hint="default" w:ascii="Times New Roman" w:hAnsi="Times New Roman" w:eastAsia="宋体" w:cs="Times New Roman"/>
          <w:b w:val="0"/>
          <w:bCs w:val="0"/>
          <w:color w:val="000000"/>
          <w:sz w:val="24"/>
          <w:szCs w:val="24"/>
        </w:rPr>
        <w:t>）：带状、环状出露于托斯台至</w:t>
      </w:r>
      <w:r>
        <w:rPr>
          <w:rFonts w:hint="eastAsia" w:cs="Times New Roman"/>
          <w:b w:val="0"/>
          <w:bCs w:val="0"/>
          <w:color w:val="000000"/>
          <w:sz w:val="24"/>
          <w:szCs w:val="24"/>
          <w:lang w:eastAsia="zh-CN"/>
        </w:rPr>
        <w:t>四棵</w:t>
      </w:r>
      <w:r>
        <w:rPr>
          <w:rFonts w:hint="default" w:ascii="Times New Roman" w:hAnsi="Times New Roman" w:eastAsia="宋体" w:cs="Times New Roman"/>
          <w:b w:val="0"/>
          <w:bCs w:val="0"/>
          <w:color w:val="000000"/>
          <w:sz w:val="24"/>
          <w:szCs w:val="24"/>
        </w:rPr>
        <w:t>树煤矿，以红色为主的砂岩、砂砾岩、夹石膏透镜体。不整合于下伏白垩系下统。厚度</w:t>
      </w:r>
      <w:r>
        <w:rPr>
          <w:rFonts w:hint="default" w:ascii="Times New Roman" w:hAnsi="Times New Roman" w:eastAsia="Times New Roman PS MT" w:cs="Times New Roman"/>
          <w:b w:val="0"/>
          <w:bCs w:val="0"/>
          <w:color w:val="000000"/>
          <w:sz w:val="24"/>
          <w:szCs w:val="24"/>
        </w:rPr>
        <w:t>16</w:t>
      </w:r>
      <w:r>
        <w:rPr>
          <w:rFonts w:hint="eastAsia"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450m</w:t>
      </w:r>
      <w:r>
        <w:rPr>
          <w:rFonts w:hint="default" w:ascii="Times New Roman" w:hAnsi="Times New Roman" w:eastAsia="宋体" w:cs="Times New Roman"/>
          <w:b w:val="0"/>
          <w:bCs w:val="0"/>
          <w:color w:val="000000"/>
          <w:sz w:val="24"/>
          <w:szCs w:val="24"/>
        </w:rPr>
        <w:t xml:space="preserve">。 </w:t>
      </w:r>
    </w:p>
    <w:p w14:paraId="5D9020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渐新统玛纳斯组（</w:t>
      </w:r>
      <w:r>
        <w:rPr>
          <w:rFonts w:hint="default" w:ascii="Times New Roman" w:hAnsi="Times New Roman" w:eastAsia="Times New Roman PS MT" w:cs="Times New Roman"/>
          <w:b w:val="0"/>
          <w:bCs w:val="0"/>
          <w:color w:val="000000"/>
          <w:sz w:val="24"/>
          <w:szCs w:val="24"/>
        </w:rPr>
        <w:t>E</w:t>
      </w:r>
      <w:r>
        <w:rPr>
          <w:rFonts w:hint="default" w:ascii="Times New Roman" w:hAnsi="Times New Roman" w:eastAsia="Times New Roman PS MT" w:cs="Times New Roman"/>
          <w:b w:val="0"/>
          <w:bCs w:val="0"/>
          <w:color w:val="000000"/>
          <w:sz w:val="15"/>
          <w:szCs w:val="15"/>
        </w:rPr>
        <w:t>3m</w:t>
      </w:r>
      <w:r>
        <w:rPr>
          <w:rFonts w:hint="default" w:ascii="Times New Roman" w:hAnsi="Times New Roman" w:eastAsia="宋体" w:cs="Times New Roman"/>
          <w:b w:val="0"/>
          <w:bCs w:val="0"/>
          <w:color w:val="000000"/>
          <w:sz w:val="24"/>
          <w:szCs w:val="24"/>
        </w:rPr>
        <w:t>）：仅分布于</w:t>
      </w:r>
      <w:r>
        <w:rPr>
          <w:rFonts w:hint="eastAsia" w:cs="Times New Roman"/>
          <w:b w:val="0"/>
          <w:bCs w:val="0"/>
          <w:color w:val="000000"/>
          <w:sz w:val="24"/>
          <w:szCs w:val="24"/>
          <w:lang w:eastAsia="zh-CN"/>
        </w:rPr>
        <w:t>四棵</w:t>
      </w:r>
      <w:r>
        <w:rPr>
          <w:rFonts w:hint="default" w:ascii="Times New Roman" w:hAnsi="Times New Roman" w:eastAsia="宋体" w:cs="Times New Roman"/>
          <w:b w:val="0"/>
          <w:bCs w:val="0"/>
          <w:color w:val="000000"/>
          <w:sz w:val="24"/>
          <w:szCs w:val="24"/>
        </w:rPr>
        <w:t xml:space="preserve">树煤矿和巴音沟煤矿。近东西向延伸，主要岩性灰绿色、深灰色、黄绿色页岩、砂岩、泥质石灰岩、介壳灰岩，总厚度 </w:t>
      </w:r>
      <w:r>
        <w:rPr>
          <w:rFonts w:hint="default" w:ascii="Times New Roman" w:hAnsi="Times New Roman" w:eastAsia="Times New Roman PS MT" w:cs="Times New Roman"/>
          <w:b w:val="0"/>
          <w:bCs w:val="0"/>
          <w:color w:val="000000"/>
          <w:sz w:val="24"/>
          <w:szCs w:val="24"/>
        </w:rPr>
        <w:t>180</w:t>
      </w:r>
      <w:r>
        <w:rPr>
          <w:rFonts w:hint="eastAsia"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855m</w:t>
      </w:r>
      <w:r>
        <w:rPr>
          <w:rFonts w:hint="default" w:ascii="Times New Roman" w:hAnsi="Times New Roman" w:eastAsia="宋体" w:cs="Times New Roman"/>
          <w:b w:val="0"/>
          <w:bCs w:val="0"/>
          <w:color w:val="000000"/>
          <w:sz w:val="24"/>
          <w:szCs w:val="24"/>
        </w:rPr>
        <w:t xml:space="preserve">。 </w:t>
      </w:r>
    </w:p>
    <w:p w14:paraId="6101668E">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 xml:space="preserve">新近系 </w:t>
      </w:r>
    </w:p>
    <w:p w14:paraId="04A3C0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中新统前山组（</w:t>
      </w:r>
      <w:r>
        <w:rPr>
          <w:rFonts w:hint="default" w:ascii="Times New Roman" w:hAnsi="Times New Roman" w:eastAsia="Times New Roman PS MT" w:cs="Times New Roman"/>
          <w:b w:val="0"/>
          <w:bCs w:val="0"/>
          <w:color w:val="000000"/>
          <w:sz w:val="24"/>
          <w:szCs w:val="24"/>
        </w:rPr>
        <w:t>N</w:t>
      </w:r>
      <w:r>
        <w:rPr>
          <w:rFonts w:hint="default" w:ascii="Times New Roman" w:hAnsi="Times New Roman" w:eastAsia="Times New Roman PS MT" w:cs="Times New Roman"/>
          <w:b w:val="0"/>
          <w:bCs w:val="0"/>
          <w:color w:val="000000"/>
          <w:sz w:val="15"/>
          <w:szCs w:val="15"/>
        </w:rPr>
        <w:t>1 q</w:t>
      </w:r>
      <w:r>
        <w:rPr>
          <w:rFonts w:hint="default" w:ascii="Times New Roman" w:hAnsi="Times New Roman" w:eastAsia="宋体" w:cs="Times New Roman"/>
          <w:b w:val="0"/>
          <w:bCs w:val="0"/>
          <w:color w:val="000000"/>
          <w:sz w:val="24"/>
          <w:szCs w:val="24"/>
        </w:rPr>
        <w:t>）：出露于托斯台和独山子背斜核部（北侧），为棕色、红褐色、砂质页岩、砂岩、泥质岩组成，成岩度低，破碎，质软，总厚度</w:t>
      </w:r>
      <w:r>
        <w:rPr>
          <w:rFonts w:hint="default" w:ascii="Times New Roman" w:hAnsi="Times New Roman" w:eastAsia="Times New Roman PS MT" w:cs="Times New Roman"/>
          <w:b w:val="0"/>
          <w:bCs w:val="0"/>
          <w:color w:val="000000"/>
          <w:sz w:val="24"/>
          <w:szCs w:val="24"/>
        </w:rPr>
        <w:t>475</w:t>
      </w:r>
      <w:r>
        <w:rPr>
          <w:rFonts w:hint="eastAsia"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1315m</w:t>
      </w:r>
      <w:r>
        <w:rPr>
          <w:rFonts w:hint="default" w:ascii="Times New Roman" w:hAnsi="Times New Roman" w:eastAsia="宋体" w:cs="Times New Roman"/>
          <w:b w:val="0"/>
          <w:bCs w:val="0"/>
          <w:color w:val="000000"/>
          <w:sz w:val="24"/>
          <w:szCs w:val="24"/>
        </w:rPr>
        <w:t xml:space="preserve">。 </w:t>
      </w:r>
    </w:p>
    <w:p w14:paraId="7E6668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上新统独山子组（</w:t>
      </w:r>
      <w:r>
        <w:rPr>
          <w:rFonts w:hint="default" w:ascii="Times New Roman" w:hAnsi="Times New Roman" w:eastAsia="Times New Roman PS MT" w:cs="Times New Roman"/>
          <w:b w:val="0"/>
          <w:bCs w:val="0"/>
          <w:color w:val="000000"/>
          <w:sz w:val="24"/>
          <w:szCs w:val="24"/>
        </w:rPr>
        <w:t>N</w:t>
      </w:r>
      <w:r>
        <w:rPr>
          <w:rFonts w:hint="default" w:ascii="Times New Roman" w:hAnsi="Times New Roman" w:eastAsia="Times New Roman PS MT" w:cs="Times New Roman"/>
          <w:b w:val="0"/>
          <w:bCs w:val="0"/>
          <w:color w:val="000000"/>
          <w:sz w:val="15"/>
          <w:szCs w:val="15"/>
        </w:rPr>
        <w:t>2 d</w:t>
      </w:r>
      <w:r>
        <w:rPr>
          <w:rFonts w:hint="default" w:ascii="Times New Roman" w:hAnsi="Times New Roman" w:eastAsia="宋体" w:cs="Times New Roman"/>
          <w:b w:val="0"/>
          <w:bCs w:val="0"/>
          <w:color w:val="000000"/>
          <w:sz w:val="24"/>
          <w:szCs w:val="24"/>
        </w:rPr>
        <w:t>）：出露于托斯台北部独山子中部和乌兰布拉克的广大地区。下部为棕褐色、红棕色砂质页岩、泥岩、砂岩。上部为灰色砾岩，厚度1985</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3660m。 </w:t>
      </w:r>
    </w:p>
    <w:p w14:paraId="3FD0B721">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 xml:space="preserve">第四系 </w:t>
      </w:r>
    </w:p>
    <w:p w14:paraId="01DAD2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eastAsia" w:cs="Times New Roman"/>
          <w:b w:val="0"/>
          <w:bCs w:val="0"/>
          <w:color w:val="000000"/>
          <w:sz w:val="24"/>
          <w:szCs w:val="24"/>
          <w:lang w:val="en-US" w:eastAsia="zh-CN"/>
        </w:rPr>
        <w:t>A.</w:t>
      </w:r>
      <w:r>
        <w:rPr>
          <w:rFonts w:hint="default" w:ascii="Times New Roman" w:hAnsi="Times New Roman" w:eastAsia="宋体" w:cs="Times New Roman"/>
          <w:b w:val="0"/>
          <w:bCs w:val="0"/>
          <w:color w:val="000000"/>
          <w:sz w:val="24"/>
          <w:szCs w:val="24"/>
        </w:rPr>
        <w:t>下更新统西域组（Q</w:t>
      </w:r>
      <w:r>
        <w:rPr>
          <w:rFonts w:hint="default" w:ascii="Times New Roman" w:hAnsi="Times New Roman" w:eastAsia="宋体" w:cs="Times New Roman"/>
          <w:b w:val="0"/>
          <w:bCs w:val="0"/>
          <w:color w:val="000000"/>
          <w:sz w:val="24"/>
          <w:szCs w:val="24"/>
          <w:vertAlign w:val="subscript"/>
        </w:rPr>
        <w:t>1</w:t>
      </w:r>
      <w:r>
        <w:rPr>
          <w:rFonts w:hint="default" w:ascii="Times New Roman" w:hAnsi="Times New Roman" w:eastAsia="宋体" w:cs="Times New Roman"/>
          <w:b w:val="0"/>
          <w:bCs w:val="0"/>
          <w:color w:val="000000"/>
          <w:sz w:val="24"/>
          <w:szCs w:val="24"/>
          <w:vertAlign w:val="superscript"/>
        </w:rPr>
        <w:t>X</w:t>
      </w:r>
      <w:r>
        <w:rPr>
          <w:rFonts w:hint="default" w:ascii="Times New Roman" w:hAnsi="Times New Roman" w:eastAsia="宋体" w:cs="Times New Roman"/>
          <w:b w:val="0"/>
          <w:bCs w:val="0"/>
          <w:color w:val="000000"/>
          <w:sz w:val="24"/>
          <w:szCs w:val="24"/>
        </w:rPr>
        <w:t>）及中更新统乌苏群（Q</w:t>
      </w:r>
      <w:r>
        <w:rPr>
          <w:rFonts w:hint="default" w:ascii="Times New Roman" w:hAnsi="Times New Roman" w:eastAsia="宋体" w:cs="Times New Roman"/>
          <w:b w:val="0"/>
          <w:bCs w:val="0"/>
          <w:color w:val="000000"/>
          <w:sz w:val="24"/>
          <w:szCs w:val="24"/>
          <w:vertAlign w:val="subscript"/>
        </w:rPr>
        <w:t>2</w:t>
      </w:r>
      <w:r>
        <w:rPr>
          <w:rFonts w:hint="default" w:ascii="Times New Roman" w:hAnsi="Times New Roman" w:eastAsia="宋体" w:cs="Times New Roman"/>
          <w:b w:val="0"/>
          <w:bCs w:val="0"/>
          <w:color w:val="000000"/>
          <w:sz w:val="24"/>
          <w:szCs w:val="24"/>
          <w:vertAlign w:val="superscript"/>
        </w:rPr>
        <w:t>W</w:t>
      </w:r>
      <w:r>
        <w:rPr>
          <w:rFonts w:hint="default" w:ascii="Times New Roman" w:hAnsi="Times New Roman" w:eastAsia="宋体" w:cs="Times New Roman"/>
          <w:b w:val="0"/>
          <w:bCs w:val="0"/>
          <w:color w:val="000000"/>
          <w:sz w:val="24"/>
          <w:szCs w:val="24"/>
        </w:rPr>
        <w:t xml:space="preserve">） </w:t>
      </w:r>
    </w:p>
    <w:p w14:paraId="50E590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下更新统西域组（Q</w:t>
      </w:r>
      <w:r>
        <w:rPr>
          <w:rFonts w:hint="default" w:ascii="Times New Roman" w:hAnsi="Times New Roman" w:eastAsia="宋体" w:cs="Times New Roman"/>
          <w:b w:val="0"/>
          <w:bCs w:val="0"/>
          <w:color w:val="000000"/>
          <w:sz w:val="24"/>
          <w:szCs w:val="24"/>
          <w:vertAlign w:val="subscript"/>
        </w:rPr>
        <w:t>1</w:t>
      </w:r>
      <w:r>
        <w:rPr>
          <w:rFonts w:hint="default" w:ascii="Times New Roman" w:hAnsi="Times New Roman" w:eastAsia="宋体" w:cs="Times New Roman"/>
          <w:b w:val="0"/>
          <w:bCs w:val="0"/>
          <w:color w:val="000000"/>
          <w:sz w:val="24"/>
          <w:szCs w:val="24"/>
          <w:vertAlign w:val="superscript"/>
        </w:rPr>
        <w:t>X</w:t>
      </w:r>
      <w:r>
        <w:rPr>
          <w:rFonts w:hint="default" w:ascii="Times New Roman" w:hAnsi="Times New Roman" w:eastAsia="宋体" w:cs="Times New Roman"/>
          <w:b w:val="0"/>
          <w:bCs w:val="0"/>
          <w:color w:val="000000"/>
          <w:sz w:val="24"/>
          <w:szCs w:val="24"/>
        </w:rPr>
        <w:t>）主要分布于中低山区与哈拉安德</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安集海背斜山间盆地和山前冲洪积倾斜平原的底部，走向近东西，倾角小于30°，与下伏独山子组为连续沉积，总厚度近900m。中更新统乌苏群（Q</w:t>
      </w:r>
      <w:r>
        <w:rPr>
          <w:rFonts w:hint="default" w:ascii="Times New Roman" w:hAnsi="Times New Roman" w:eastAsia="宋体" w:cs="Times New Roman"/>
          <w:b w:val="0"/>
          <w:bCs w:val="0"/>
          <w:color w:val="000000"/>
          <w:sz w:val="24"/>
          <w:szCs w:val="24"/>
          <w:vertAlign w:val="subscript"/>
        </w:rPr>
        <w:t>2</w:t>
      </w:r>
      <w:r>
        <w:rPr>
          <w:rFonts w:hint="default" w:ascii="Times New Roman" w:hAnsi="Times New Roman" w:eastAsia="宋体" w:cs="Times New Roman"/>
          <w:b w:val="0"/>
          <w:bCs w:val="0"/>
          <w:color w:val="000000"/>
          <w:sz w:val="24"/>
          <w:szCs w:val="24"/>
          <w:vertAlign w:val="superscript"/>
        </w:rPr>
        <w:t>W</w:t>
      </w:r>
      <w:r>
        <w:rPr>
          <w:rFonts w:hint="default" w:ascii="Times New Roman" w:hAnsi="Times New Roman" w:eastAsia="宋体" w:cs="Times New Roman"/>
          <w:b w:val="0"/>
          <w:bCs w:val="0"/>
          <w:color w:val="000000"/>
          <w:sz w:val="24"/>
          <w:szCs w:val="24"/>
        </w:rPr>
        <w:t>）为一套冰水沉积物， 分布于山间盆地核部，主要为灰色砂砾石，含漂砾，粒径3</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8cm，最大达60cm，向北部方向颗粒变细，与下伏西域组、独山子组呈侵蚀不整合接触。据区域地质及物探资料，窝瓦特山间盆地中部乌苏群厚度近500m；山前平原之顶端乌苏群厚度可达700m左右，向北厚度变薄。 </w:t>
      </w:r>
    </w:p>
    <w:p w14:paraId="4564A5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eastAsia" w:cs="Times New Roman"/>
          <w:b w:val="0"/>
          <w:bCs w:val="0"/>
          <w:color w:val="000000"/>
          <w:sz w:val="24"/>
          <w:szCs w:val="24"/>
          <w:lang w:val="en-US" w:eastAsia="zh-CN"/>
        </w:rPr>
        <w:t>B.</w:t>
      </w:r>
      <w:r>
        <w:rPr>
          <w:rFonts w:hint="default" w:ascii="Times New Roman" w:hAnsi="Times New Roman" w:eastAsia="宋体" w:cs="Times New Roman"/>
          <w:b w:val="0"/>
          <w:bCs w:val="0"/>
          <w:color w:val="000000"/>
          <w:sz w:val="24"/>
          <w:szCs w:val="24"/>
        </w:rPr>
        <w:t>上更新统冲洪积（Q</w:t>
      </w:r>
      <w:r>
        <w:rPr>
          <w:rFonts w:hint="default" w:ascii="Times New Roman" w:hAnsi="Times New Roman" w:eastAsia="宋体" w:cs="Times New Roman"/>
          <w:b w:val="0"/>
          <w:bCs w:val="0"/>
          <w:color w:val="000000"/>
          <w:sz w:val="24"/>
          <w:szCs w:val="24"/>
          <w:vertAlign w:val="subscript"/>
        </w:rPr>
        <w:t>3</w:t>
      </w:r>
      <w:r>
        <w:rPr>
          <w:rFonts w:hint="default" w:ascii="Times New Roman" w:hAnsi="Times New Roman" w:eastAsia="宋体" w:cs="Times New Roman"/>
          <w:b w:val="0"/>
          <w:bCs w:val="0"/>
          <w:color w:val="000000"/>
          <w:sz w:val="24"/>
          <w:szCs w:val="24"/>
          <w:vertAlign w:val="superscript"/>
        </w:rPr>
        <w:t>al+pl</w:t>
      </w:r>
      <w:r>
        <w:rPr>
          <w:rFonts w:hint="default" w:ascii="Times New Roman" w:hAnsi="Times New Roman" w:eastAsia="宋体" w:cs="Times New Roman"/>
          <w:b w:val="0"/>
          <w:bCs w:val="0"/>
          <w:color w:val="000000"/>
          <w:sz w:val="24"/>
          <w:szCs w:val="24"/>
        </w:rPr>
        <w:t>）及下部湖积物（Q</w:t>
      </w:r>
      <w:r>
        <w:rPr>
          <w:rFonts w:hint="default" w:ascii="Times New Roman" w:hAnsi="Times New Roman" w:eastAsia="宋体" w:cs="Times New Roman"/>
          <w:b w:val="0"/>
          <w:bCs w:val="0"/>
          <w:color w:val="000000"/>
          <w:sz w:val="24"/>
          <w:szCs w:val="24"/>
          <w:vertAlign w:val="subscript"/>
        </w:rPr>
        <w:t>3</w:t>
      </w:r>
      <w:r>
        <w:rPr>
          <w:rFonts w:hint="default" w:ascii="Times New Roman" w:hAnsi="Times New Roman" w:eastAsia="宋体" w:cs="Times New Roman"/>
          <w:b w:val="0"/>
          <w:bCs w:val="0"/>
          <w:color w:val="000000"/>
          <w:sz w:val="24"/>
          <w:szCs w:val="24"/>
          <w:vertAlign w:val="superscript"/>
        </w:rPr>
        <w:t>al+l</w:t>
      </w:r>
      <w:r>
        <w:rPr>
          <w:rFonts w:hint="default" w:ascii="Times New Roman" w:hAnsi="Times New Roman" w:eastAsia="宋体" w:cs="Times New Roman"/>
          <w:b w:val="0"/>
          <w:bCs w:val="0"/>
          <w:color w:val="000000"/>
          <w:sz w:val="24"/>
          <w:szCs w:val="24"/>
        </w:rPr>
        <w:t xml:space="preserve">） </w:t>
      </w:r>
    </w:p>
    <w:p w14:paraId="712C1D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上更新统冲洪积（Q</w:t>
      </w:r>
      <w:r>
        <w:rPr>
          <w:rFonts w:hint="default" w:ascii="Times New Roman" w:hAnsi="Times New Roman" w:eastAsia="宋体" w:cs="Times New Roman"/>
          <w:b w:val="0"/>
          <w:bCs w:val="0"/>
          <w:color w:val="000000"/>
          <w:sz w:val="24"/>
          <w:szCs w:val="24"/>
          <w:vertAlign w:val="subscript"/>
        </w:rPr>
        <w:t>3</w:t>
      </w:r>
      <w:r>
        <w:rPr>
          <w:rFonts w:hint="default" w:ascii="Times New Roman" w:hAnsi="Times New Roman" w:eastAsia="宋体" w:cs="Times New Roman"/>
          <w:b w:val="0"/>
          <w:bCs w:val="0"/>
          <w:color w:val="000000"/>
          <w:sz w:val="24"/>
          <w:szCs w:val="24"/>
          <w:vertAlign w:val="superscript"/>
        </w:rPr>
        <w:t>al+pl</w:t>
      </w:r>
      <w:r>
        <w:rPr>
          <w:rFonts w:hint="default" w:ascii="Times New Roman" w:hAnsi="Times New Roman" w:eastAsia="宋体" w:cs="Times New Roman"/>
          <w:b w:val="0"/>
          <w:bCs w:val="0"/>
          <w:color w:val="000000"/>
          <w:sz w:val="24"/>
          <w:szCs w:val="24"/>
        </w:rPr>
        <w:t>）分布于奎屯市东西苇湖</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开干旗以北的大片地区，在东西苇湖及开干旗一带分布于（Q</w:t>
      </w:r>
      <w:r>
        <w:rPr>
          <w:rFonts w:hint="default" w:ascii="Times New Roman" w:hAnsi="Times New Roman" w:eastAsia="宋体" w:cs="Times New Roman"/>
          <w:b w:val="0"/>
          <w:bCs w:val="0"/>
          <w:color w:val="000000"/>
          <w:sz w:val="24"/>
          <w:szCs w:val="24"/>
          <w:vertAlign w:val="subscript"/>
        </w:rPr>
        <w:t>3</w:t>
      </w:r>
      <w:r>
        <w:rPr>
          <w:rFonts w:hint="default" w:ascii="Times New Roman" w:hAnsi="Times New Roman" w:eastAsia="宋体" w:cs="Times New Roman"/>
          <w:b w:val="0"/>
          <w:bCs w:val="0"/>
          <w:color w:val="000000"/>
          <w:sz w:val="24"/>
          <w:szCs w:val="24"/>
          <w:vertAlign w:val="superscript"/>
        </w:rPr>
        <w:t>al+h</w:t>
      </w:r>
      <w:r>
        <w:rPr>
          <w:rFonts w:hint="default" w:ascii="Times New Roman" w:hAnsi="Times New Roman" w:eastAsia="宋体" w:cs="Times New Roman"/>
          <w:b w:val="0"/>
          <w:bCs w:val="0"/>
          <w:color w:val="000000"/>
          <w:sz w:val="24"/>
          <w:szCs w:val="24"/>
        </w:rPr>
        <w:t>）以下。本层厚度一般30</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50m，表层3</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5m处岩性均为淡黄、灰黄色粉土、粉细砂及薄层粉质粘土，结构松散，颗粒均匀，下部为粉土夹薄层砂砾石组成。砾石成分以灰岩、变质岩为主，粒径一般3</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5cm，最大10cm。砂砾石磨圆度较好，厚度一般在3</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5m。根据钻孔资料，50m以上有四层砂砾石，总厚度25</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30m。 </w:t>
      </w:r>
    </w:p>
    <w:p w14:paraId="3EB865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在其下部为（Q</w:t>
      </w:r>
      <w:r>
        <w:rPr>
          <w:rFonts w:hint="default" w:ascii="Times New Roman" w:hAnsi="Times New Roman" w:eastAsia="宋体" w:cs="Times New Roman"/>
          <w:b w:val="0"/>
          <w:bCs w:val="0"/>
          <w:color w:val="000000"/>
          <w:sz w:val="24"/>
          <w:szCs w:val="24"/>
          <w:vertAlign w:val="subscript"/>
        </w:rPr>
        <w:t>3</w:t>
      </w:r>
      <w:r>
        <w:rPr>
          <w:rFonts w:hint="default" w:ascii="Times New Roman" w:hAnsi="Times New Roman" w:eastAsia="宋体" w:cs="Times New Roman"/>
          <w:b w:val="0"/>
          <w:bCs w:val="0"/>
          <w:color w:val="000000"/>
          <w:sz w:val="24"/>
          <w:szCs w:val="24"/>
          <w:vertAlign w:val="superscript"/>
        </w:rPr>
        <w:t>al+l</w:t>
      </w:r>
      <w:r>
        <w:rPr>
          <w:rFonts w:hint="default" w:ascii="Times New Roman" w:hAnsi="Times New Roman" w:eastAsia="宋体" w:cs="Times New Roman"/>
          <w:b w:val="0"/>
          <w:bCs w:val="0"/>
          <w:color w:val="000000"/>
          <w:sz w:val="24"/>
          <w:szCs w:val="24"/>
        </w:rPr>
        <w:t>）的湖积地层，为中更新世末冰川后退后，洪积物汇流成湖泊及三角洲的产物。在东苇湖北跃进村可见100m厚的粉质粘土层，为青灰、灰黑及灰褐色，由于湖积的过渡沉积，又含有10余层砂砾石层，砂砾石厚度一般0.3</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0.5m（其北部可达3</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5m），以砂层居多。本层揭露总厚度可达100</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130m。 </w:t>
      </w:r>
    </w:p>
    <w:p w14:paraId="676B9D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eastAsia" w:cs="Times New Roman"/>
          <w:b w:val="0"/>
          <w:bCs w:val="0"/>
          <w:color w:val="000000"/>
          <w:sz w:val="24"/>
          <w:szCs w:val="24"/>
          <w:lang w:val="en-US" w:eastAsia="zh-CN"/>
        </w:rPr>
        <w:t>C.</w:t>
      </w:r>
      <w:r>
        <w:rPr>
          <w:rFonts w:hint="default" w:ascii="Times New Roman" w:hAnsi="Times New Roman" w:eastAsia="宋体" w:cs="Times New Roman"/>
          <w:b w:val="0"/>
          <w:bCs w:val="0"/>
          <w:color w:val="000000"/>
          <w:sz w:val="24"/>
          <w:szCs w:val="24"/>
        </w:rPr>
        <w:t>上更新统和全新统冲洪积堆积（Q</w:t>
      </w:r>
      <w:r>
        <w:rPr>
          <w:rFonts w:hint="default" w:ascii="Times New Roman" w:hAnsi="Times New Roman" w:eastAsia="宋体" w:cs="Times New Roman"/>
          <w:b w:val="0"/>
          <w:bCs w:val="0"/>
          <w:color w:val="000000"/>
          <w:sz w:val="24"/>
          <w:szCs w:val="24"/>
          <w:vertAlign w:val="subscript"/>
        </w:rPr>
        <w:t>3+4</w:t>
      </w:r>
      <w:r>
        <w:rPr>
          <w:rFonts w:hint="default" w:ascii="Times New Roman" w:hAnsi="Times New Roman" w:eastAsia="宋体" w:cs="Times New Roman"/>
          <w:b w:val="0"/>
          <w:bCs w:val="0"/>
          <w:color w:val="000000"/>
          <w:sz w:val="24"/>
          <w:szCs w:val="24"/>
          <w:vertAlign w:val="superscript"/>
        </w:rPr>
        <w:t>al+pl</w:t>
      </w:r>
      <w:r>
        <w:rPr>
          <w:rFonts w:hint="default" w:ascii="Times New Roman" w:hAnsi="Times New Roman" w:eastAsia="宋体" w:cs="Times New Roman"/>
          <w:b w:val="0"/>
          <w:bCs w:val="0"/>
          <w:color w:val="000000"/>
          <w:sz w:val="24"/>
          <w:szCs w:val="24"/>
        </w:rPr>
        <w:t xml:space="preserve">） </w:t>
      </w:r>
    </w:p>
    <w:p w14:paraId="1A8875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default" w:ascii="Times New Roman" w:hAnsi="Times New Roman" w:eastAsia="宋体" w:cs="Times New Roman"/>
          <w:b w:val="0"/>
          <w:bCs w:val="0"/>
          <w:color w:val="000000"/>
          <w:sz w:val="24"/>
          <w:szCs w:val="24"/>
        </w:rPr>
        <w:t>上更新统和全新统砂砾石层，分布广泛，几乎覆盖了整个山前倾斜平原，并 延伸于北部冲积沼泽平原下部。西部为奎屯河冲洪积扇，东部为巴音沟河冲洪积 扇，因分布地段不同，岩性及厚度变化也不一致。在312国道及以南地带，地表 全部为磨圆度较好的粗大卵砾石，表层无细粒的砂土、亚砂土覆盖。312国道附 近一般砾石直径1</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2cm的约占25%、2</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5cm的约占50%，最大可见40</w:t>
      </w:r>
      <w:r>
        <w:rPr>
          <w:rFonts w:hint="eastAsia"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50cm。卵砾石主要由青灰色至灰褐色的硬砂岩、板岩、灰岩、片岩、花岗片麻岩及一些杂色火成岩组成，其间夹少量的碎石及砂土，粒径由南至北逐渐变小，而含砾量</w:t>
      </w:r>
      <w:r>
        <w:rPr>
          <w:rFonts w:hint="eastAsia" w:ascii="宋体" w:hAnsi="宋体" w:eastAsia="宋体" w:cs="宋体"/>
          <w:b w:val="0"/>
          <w:bCs w:val="0"/>
          <w:color w:val="000000"/>
          <w:sz w:val="24"/>
          <w:szCs w:val="24"/>
        </w:rPr>
        <w:t>逐渐增加。向北至火车站一带，据钻孔揭露，除表层有</w:t>
      </w:r>
      <w:r>
        <w:rPr>
          <w:rFonts w:ascii="Times New Roman PS MT" w:hAnsi="Times New Roman PS MT" w:eastAsia="Times New Roman PS MT" w:cs="Times New Roman PS MT"/>
          <w:b w:val="0"/>
          <w:bCs w:val="0"/>
          <w:color w:val="000000"/>
          <w:sz w:val="24"/>
          <w:szCs w:val="24"/>
        </w:rPr>
        <w:t>lm</w:t>
      </w:r>
      <w:r>
        <w:rPr>
          <w:rFonts w:hint="eastAsia" w:ascii="宋体" w:hAnsi="宋体" w:eastAsia="宋体" w:cs="宋体"/>
          <w:b w:val="0"/>
          <w:bCs w:val="0"/>
          <w:color w:val="000000"/>
          <w:sz w:val="24"/>
          <w:szCs w:val="24"/>
        </w:rPr>
        <w:t>厚的土层外，</w:t>
      </w:r>
      <w:r>
        <w:rPr>
          <w:rFonts w:hint="default" w:ascii="Times New Roman PS MT" w:hAnsi="Times New Roman PS MT" w:eastAsia="Times New Roman PS MT" w:cs="Times New Roman PS MT"/>
          <w:b w:val="0"/>
          <w:bCs w:val="0"/>
          <w:color w:val="000000"/>
          <w:sz w:val="24"/>
          <w:szCs w:val="24"/>
        </w:rPr>
        <w:t>100</w:t>
      </w:r>
      <w:r>
        <w:rPr>
          <w:rFonts w:hint="eastAsia" w:ascii="宋体" w:hAnsi="宋体" w:eastAsia="宋体" w:cs="宋体"/>
          <w:b w:val="0"/>
          <w:bCs w:val="0"/>
          <w:color w:val="000000"/>
          <w:sz w:val="24"/>
          <w:szCs w:val="24"/>
        </w:rPr>
        <w:t>余米未揭穿砂砾石层，而且砾石粒径一般较大，</w:t>
      </w:r>
      <w:r>
        <w:rPr>
          <w:rFonts w:hint="default" w:ascii="Times New Roman PS MT" w:hAnsi="Times New Roman PS MT" w:eastAsia="Times New Roman PS MT" w:cs="Times New Roman PS MT"/>
          <w:b w:val="0"/>
          <w:bCs w:val="0"/>
          <w:color w:val="000000"/>
          <w:sz w:val="24"/>
          <w:szCs w:val="24"/>
        </w:rPr>
        <w:t>10</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20cm</w:t>
      </w:r>
      <w:r>
        <w:rPr>
          <w:rFonts w:hint="eastAsia" w:ascii="宋体" w:hAnsi="宋体" w:eastAsia="宋体" w:cs="宋体"/>
          <w:b w:val="0"/>
          <w:bCs w:val="0"/>
          <w:color w:val="000000"/>
          <w:sz w:val="24"/>
          <w:szCs w:val="24"/>
        </w:rPr>
        <w:t>占约</w:t>
      </w:r>
      <w:r>
        <w:rPr>
          <w:rFonts w:hint="default" w:ascii="Times New Roman PS MT" w:hAnsi="Times New Roman PS MT" w:eastAsia="Times New Roman PS MT" w:cs="Times New Roman PS MT"/>
          <w:b w:val="0"/>
          <w:bCs w:val="0"/>
          <w:color w:val="000000"/>
          <w:sz w:val="24"/>
          <w:szCs w:val="24"/>
        </w:rPr>
        <w:t>50%</w:t>
      </w:r>
      <w:r>
        <w:rPr>
          <w:rFonts w:hint="eastAsia" w:ascii="宋体" w:hAnsi="宋体" w:eastAsia="宋体" w:cs="宋体"/>
          <w:b w:val="0"/>
          <w:bCs w:val="0"/>
          <w:color w:val="000000"/>
          <w:sz w:val="24"/>
          <w:szCs w:val="24"/>
        </w:rPr>
        <w:t>左右。向北至奎 屯市内，表层有</w:t>
      </w:r>
      <w:r>
        <w:rPr>
          <w:rFonts w:hint="default" w:ascii="Times New Roman PS MT" w:hAnsi="Times New Roman PS MT" w:eastAsia="Times New Roman PS MT" w:cs="Times New Roman PS MT"/>
          <w:b w:val="0"/>
          <w:bCs w:val="0"/>
          <w:color w:val="000000"/>
          <w:sz w:val="24"/>
          <w:szCs w:val="24"/>
        </w:rPr>
        <w:t>8</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10m</w:t>
      </w:r>
      <w:r>
        <w:rPr>
          <w:rFonts w:hint="eastAsia" w:ascii="宋体" w:hAnsi="宋体" w:eastAsia="宋体" w:cs="宋体"/>
          <w:b w:val="0"/>
          <w:bCs w:val="0"/>
          <w:color w:val="000000"/>
          <w:sz w:val="24"/>
          <w:szCs w:val="24"/>
        </w:rPr>
        <w:t>的厚粉土覆盖，其下部为砂砾石层，厚度为</w:t>
      </w:r>
      <w:r>
        <w:rPr>
          <w:rFonts w:hint="default" w:ascii="Times New Roman PS MT" w:hAnsi="Times New Roman PS MT" w:eastAsia="Times New Roman PS MT" w:cs="Times New Roman PS MT"/>
          <w:b w:val="0"/>
          <w:bCs w:val="0"/>
          <w:color w:val="000000"/>
          <w:sz w:val="24"/>
          <w:szCs w:val="24"/>
        </w:rPr>
        <w:t>70m</w:t>
      </w:r>
      <w:r>
        <w:rPr>
          <w:rFonts w:hint="eastAsia" w:ascii="宋体" w:hAnsi="宋体" w:eastAsia="宋体" w:cs="宋体"/>
          <w:b w:val="0"/>
          <w:bCs w:val="0"/>
          <w:color w:val="000000"/>
          <w:sz w:val="24"/>
          <w:szCs w:val="24"/>
        </w:rPr>
        <w:t>。粒径显著变小，一般</w:t>
      </w:r>
      <w:r>
        <w:rPr>
          <w:rFonts w:hint="default" w:ascii="Times New Roman PS MT" w:hAnsi="Times New Roman PS MT" w:eastAsia="Times New Roman PS MT" w:cs="Times New Roman PS MT"/>
          <w:b w:val="0"/>
          <w:bCs w:val="0"/>
          <w:color w:val="000000"/>
          <w:sz w:val="24"/>
          <w:szCs w:val="24"/>
        </w:rPr>
        <w:t>2</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4cm</w:t>
      </w:r>
      <w:r>
        <w:rPr>
          <w:rFonts w:hint="eastAsia" w:ascii="宋体" w:hAnsi="宋体" w:eastAsia="宋体" w:cs="宋体"/>
          <w:b w:val="0"/>
          <w:bCs w:val="0"/>
          <w:color w:val="000000"/>
          <w:sz w:val="24"/>
          <w:szCs w:val="24"/>
        </w:rPr>
        <w:t>为多，约占</w:t>
      </w:r>
      <w:r>
        <w:rPr>
          <w:rFonts w:hint="default" w:ascii="Times New Roman PS MT" w:hAnsi="Times New Roman PS MT" w:eastAsia="Times New Roman PS MT" w:cs="Times New Roman PS MT"/>
          <w:b w:val="0"/>
          <w:bCs w:val="0"/>
          <w:color w:val="000000"/>
          <w:sz w:val="24"/>
          <w:szCs w:val="24"/>
        </w:rPr>
        <w:t>40%</w:t>
      </w:r>
      <w:r>
        <w:rPr>
          <w:rFonts w:hint="eastAsia" w:ascii="宋体" w:hAnsi="宋体" w:eastAsia="宋体" w:cs="宋体"/>
          <w:b w:val="0"/>
          <w:bCs w:val="0"/>
          <w:color w:val="000000"/>
          <w:sz w:val="24"/>
          <w:szCs w:val="24"/>
        </w:rPr>
        <w:t>以上，</w:t>
      </w:r>
      <w:r>
        <w:rPr>
          <w:rFonts w:hint="default" w:ascii="Times New Roman PS MT" w:hAnsi="Times New Roman PS MT" w:eastAsia="Times New Roman PS MT" w:cs="Times New Roman PS MT"/>
          <w:b w:val="0"/>
          <w:bCs w:val="0"/>
          <w:color w:val="000000"/>
          <w:sz w:val="24"/>
          <w:szCs w:val="24"/>
        </w:rPr>
        <w:t>4</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6cm</w:t>
      </w:r>
      <w:r>
        <w:rPr>
          <w:rFonts w:hint="eastAsia" w:ascii="宋体" w:hAnsi="宋体" w:eastAsia="宋体" w:cs="宋体"/>
          <w:b w:val="0"/>
          <w:bCs w:val="0"/>
          <w:color w:val="000000"/>
          <w:sz w:val="24"/>
          <w:szCs w:val="24"/>
        </w:rPr>
        <w:t>约占</w:t>
      </w:r>
      <w:r>
        <w:rPr>
          <w:rFonts w:hint="eastAsia" w:ascii="宋体" w:hAnsi="宋体" w:cs="宋体"/>
          <w:b w:val="0"/>
          <w:bCs w:val="0"/>
          <w:color w:val="000000"/>
          <w:sz w:val="24"/>
          <w:szCs w:val="24"/>
          <w:lang w:eastAsia="zh-CN"/>
        </w:rPr>
        <w:t>30%～40%</w:t>
      </w:r>
      <w:r>
        <w:rPr>
          <w:rFonts w:hint="eastAsia" w:ascii="宋体" w:hAnsi="宋体" w:eastAsia="宋体" w:cs="宋体"/>
          <w:b w:val="0"/>
          <w:bCs w:val="0"/>
          <w:color w:val="000000"/>
          <w:sz w:val="24"/>
          <w:szCs w:val="24"/>
        </w:rPr>
        <w:t>，最大粒径不 超过</w:t>
      </w:r>
      <w:r>
        <w:rPr>
          <w:rFonts w:hint="default" w:ascii="Times New Roman PS MT" w:hAnsi="Times New Roman PS MT" w:eastAsia="Times New Roman PS MT" w:cs="Times New Roman PS MT"/>
          <w:b w:val="0"/>
          <w:bCs w:val="0"/>
          <w:color w:val="000000"/>
          <w:sz w:val="24"/>
          <w:szCs w:val="24"/>
        </w:rPr>
        <w:t>10cm</w:t>
      </w:r>
      <w:r>
        <w:rPr>
          <w:rFonts w:hint="eastAsia" w:ascii="宋体" w:hAnsi="宋体" w:eastAsia="宋体" w:cs="宋体"/>
          <w:b w:val="0"/>
          <w:bCs w:val="0"/>
          <w:color w:val="000000"/>
          <w:sz w:val="24"/>
          <w:szCs w:val="24"/>
        </w:rPr>
        <w:t>，在</w:t>
      </w:r>
      <w:r>
        <w:rPr>
          <w:rFonts w:hint="default" w:ascii="Times New Roman PS MT" w:hAnsi="Times New Roman PS MT" w:eastAsia="Times New Roman PS MT" w:cs="Times New Roman PS MT"/>
          <w:b w:val="0"/>
          <w:bCs w:val="0"/>
          <w:color w:val="000000"/>
          <w:sz w:val="24"/>
          <w:szCs w:val="24"/>
        </w:rPr>
        <w:t>30m</w:t>
      </w:r>
      <w:r>
        <w:rPr>
          <w:rFonts w:hint="eastAsia" w:ascii="宋体" w:hAnsi="宋体" w:eastAsia="宋体" w:cs="宋体"/>
          <w:b w:val="0"/>
          <w:bCs w:val="0"/>
          <w:color w:val="000000"/>
          <w:sz w:val="24"/>
          <w:szCs w:val="24"/>
        </w:rPr>
        <w:t>以内含有大量的中粗砂夹层，磨圆度不好，大部呈棱角状和 半浑圆状，在</w:t>
      </w:r>
      <w:r>
        <w:rPr>
          <w:rFonts w:hint="default" w:ascii="Times New Roman PS MT" w:hAnsi="Times New Roman PS MT" w:eastAsia="Times New Roman PS MT" w:cs="Times New Roman PS MT"/>
          <w:b w:val="0"/>
          <w:bCs w:val="0"/>
          <w:color w:val="000000"/>
          <w:sz w:val="24"/>
          <w:szCs w:val="24"/>
        </w:rPr>
        <w:t>130m</w:t>
      </w:r>
      <w:r>
        <w:rPr>
          <w:rFonts w:hint="eastAsia" w:ascii="宋体" w:hAnsi="宋体" w:eastAsia="宋体" w:cs="宋体"/>
          <w:b w:val="0"/>
          <w:bCs w:val="0"/>
          <w:color w:val="000000"/>
          <w:sz w:val="24"/>
          <w:szCs w:val="24"/>
        </w:rPr>
        <w:t>以下发现有淤泥，灰色并有臭味。</w:t>
      </w:r>
    </w:p>
    <w:p w14:paraId="77E7CE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奎屯东苇湖东</w:t>
      </w:r>
      <w:r>
        <w:rPr>
          <w:rFonts w:hint="default" w:ascii="Times New Roman" w:hAnsi="Times New Roman" w:eastAsia="Times New Roman PS MT" w:cs="Times New Roman"/>
          <w:b w:val="0"/>
          <w:bCs w:val="0"/>
          <w:color w:val="000000"/>
          <w:sz w:val="24"/>
          <w:szCs w:val="24"/>
        </w:rPr>
        <w:t>2km</w:t>
      </w:r>
      <w:r>
        <w:rPr>
          <w:rFonts w:hint="default" w:ascii="Times New Roman" w:hAnsi="Times New Roman" w:eastAsia="宋体" w:cs="Times New Roman"/>
          <w:b w:val="0"/>
          <w:bCs w:val="0"/>
          <w:color w:val="000000"/>
          <w:sz w:val="24"/>
          <w:szCs w:val="24"/>
        </w:rPr>
        <w:t>为二扇交接地带，水流在扇形边缘减弱，堆积物质颗粒 较细，形成厚达</w:t>
      </w:r>
      <w:r>
        <w:rPr>
          <w:rFonts w:hint="default" w:ascii="Times New Roman" w:hAnsi="Times New Roman" w:eastAsia="Times New Roman PS MT" w:cs="Times New Roman"/>
          <w:b w:val="0"/>
          <w:bCs w:val="0"/>
          <w:color w:val="000000"/>
          <w:sz w:val="24"/>
          <w:szCs w:val="24"/>
        </w:rPr>
        <w:t>40</w:t>
      </w:r>
      <w:r>
        <w:rPr>
          <w:rFonts w:hint="default" w:ascii="Times New Roman" w:hAnsi="Times New Roman" w:eastAsia="宋体" w:cs="Times New Roman"/>
          <w:b w:val="0"/>
          <w:bCs w:val="0"/>
          <w:color w:val="000000"/>
          <w:sz w:val="24"/>
          <w:szCs w:val="24"/>
        </w:rPr>
        <w:t>余米</w:t>
      </w:r>
      <w:r>
        <w:rPr>
          <w:rFonts w:hint="default" w:ascii="Times New Roman" w:hAnsi="Times New Roman" w:cs="Times New Roman"/>
          <w:b w:val="0"/>
          <w:bCs w:val="0"/>
          <w:color w:val="000000"/>
          <w:sz w:val="24"/>
          <w:szCs w:val="24"/>
          <w:lang w:eastAsia="zh-CN"/>
        </w:rPr>
        <w:t>的黏性</w:t>
      </w:r>
      <w:r>
        <w:rPr>
          <w:rFonts w:hint="default" w:ascii="Times New Roman" w:hAnsi="Times New Roman" w:eastAsia="宋体" w:cs="Times New Roman"/>
          <w:b w:val="0"/>
          <w:bCs w:val="0"/>
          <w:color w:val="000000"/>
          <w:sz w:val="24"/>
          <w:szCs w:val="24"/>
        </w:rPr>
        <w:t xml:space="preserve">土层及砂层透镜体；往东接近巴音沟河冲洪积扇 表层粘性土层由厚变薄至 </w:t>
      </w:r>
      <w:r>
        <w:rPr>
          <w:rFonts w:hint="default" w:ascii="Times New Roman" w:hAnsi="Times New Roman" w:eastAsia="Times New Roman PS MT" w:cs="Times New Roman"/>
          <w:b w:val="0"/>
          <w:bCs w:val="0"/>
          <w:color w:val="000000"/>
          <w:sz w:val="24"/>
          <w:szCs w:val="24"/>
        </w:rPr>
        <w:t xml:space="preserve">10 </w:t>
      </w:r>
      <w:r>
        <w:rPr>
          <w:rFonts w:hint="default" w:ascii="Times New Roman" w:hAnsi="Times New Roman" w:eastAsia="宋体" w:cs="Times New Roman"/>
          <w:b w:val="0"/>
          <w:bCs w:val="0"/>
          <w:color w:val="000000"/>
          <w:sz w:val="24"/>
          <w:szCs w:val="24"/>
        </w:rPr>
        <w:t>余米，表层组成物质一般为淡黄色、褐红色粉质粘土及粘土层，夹有厚度几厘米到几十厘米砂层或砂层透镜体，岩性结构致密，颗粒细而均匀，潮湿可塑，干后坚硬，内含石膏颗粒及盐的</w:t>
      </w:r>
      <w:r>
        <w:rPr>
          <w:rFonts w:hint="default" w:ascii="Times New Roman" w:hAnsi="Times New Roman" w:cs="Times New Roman"/>
          <w:b w:val="0"/>
          <w:bCs w:val="0"/>
          <w:color w:val="000000"/>
          <w:sz w:val="24"/>
          <w:szCs w:val="24"/>
          <w:lang w:eastAsia="zh-CN"/>
        </w:rPr>
        <w:t>斑点</w:t>
      </w:r>
      <w:r>
        <w:rPr>
          <w:rFonts w:hint="default" w:ascii="Times New Roman" w:hAnsi="Times New Roman" w:eastAsia="宋体" w:cs="Times New Roman"/>
          <w:b w:val="0"/>
          <w:bCs w:val="0"/>
          <w:color w:val="000000"/>
          <w:sz w:val="24"/>
          <w:szCs w:val="24"/>
        </w:rPr>
        <w:t>。其下部卵砾石层厚度显著变薄，一般在</w:t>
      </w:r>
      <w:r>
        <w:rPr>
          <w:rFonts w:hint="default" w:ascii="Times New Roman" w:hAnsi="Times New Roman" w:eastAsia="Times New Roman PS MT" w:cs="Times New Roman"/>
          <w:b w:val="0"/>
          <w:bCs w:val="0"/>
          <w:color w:val="000000"/>
          <w:sz w:val="24"/>
          <w:szCs w:val="24"/>
        </w:rPr>
        <w:t>35</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 xml:space="preserve">40m </w:t>
      </w:r>
      <w:r>
        <w:rPr>
          <w:rFonts w:hint="default" w:ascii="Times New Roman" w:hAnsi="Times New Roman" w:eastAsia="宋体" w:cs="Times New Roman"/>
          <w:b w:val="0"/>
          <w:bCs w:val="0"/>
          <w:color w:val="000000"/>
          <w:sz w:val="24"/>
          <w:szCs w:val="24"/>
        </w:rPr>
        <w:t>左右，其间夹有数层薄层粘性土，砾石</w:t>
      </w:r>
      <w:r>
        <w:rPr>
          <w:rFonts w:hint="default" w:ascii="Times New Roman" w:hAnsi="Times New Roman" w:cs="Times New Roman"/>
          <w:b w:val="0"/>
          <w:bCs w:val="0"/>
          <w:color w:val="000000"/>
          <w:sz w:val="24"/>
          <w:szCs w:val="24"/>
          <w:lang w:eastAsia="zh-CN"/>
        </w:rPr>
        <w:t>直径</w:t>
      </w:r>
      <w:r>
        <w:rPr>
          <w:rFonts w:hint="default" w:ascii="Times New Roman" w:hAnsi="Times New Roman" w:eastAsia="宋体" w:cs="Times New Roman"/>
          <w:b w:val="0"/>
          <w:bCs w:val="0"/>
          <w:color w:val="000000"/>
          <w:sz w:val="24"/>
          <w:szCs w:val="24"/>
        </w:rPr>
        <w:t>一般</w:t>
      </w:r>
      <w:r>
        <w:rPr>
          <w:rFonts w:hint="default" w:ascii="Times New Roman" w:hAnsi="Times New Roman" w:eastAsia="Times New Roman PS MT" w:cs="Times New Roman"/>
          <w:b w:val="0"/>
          <w:bCs w:val="0"/>
          <w:color w:val="000000"/>
          <w:sz w:val="24"/>
          <w:szCs w:val="24"/>
        </w:rPr>
        <w:t>6</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10cm</w:t>
      </w:r>
      <w:r>
        <w:rPr>
          <w:rFonts w:hint="default" w:ascii="Times New Roman" w:hAnsi="Times New Roman" w:eastAsia="宋体" w:cs="Times New Roman"/>
          <w:b w:val="0"/>
          <w:bCs w:val="0"/>
          <w:color w:val="000000"/>
          <w:sz w:val="24"/>
          <w:szCs w:val="24"/>
        </w:rPr>
        <w:t>，约占总数的</w:t>
      </w:r>
      <w:r>
        <w:rPr>
          <w:rFonts w:hint="default" w:ascii="Times New Roman" w:hAnsi="Times New Roman" w:eastAsia="Times New Roman PS MT" w:cs="Times New Roman"/>
          <w:b w:val="0"/>
          <w:bCs w:val="0"/>
          <w:color w:val="000000"/>
          <w:sz w:val="24"/>
          <w:szCs w:val="24"/>
        </w:rPr>
        <w:t>50%</w:t>
      </w:r>
      <w:r>
        <w:rPr>
          <w:rFonts w:hint="default" w:ascii="Times New Roman" w:hAnsi="Times New Roman" w:eastAsia="宋体" w:cs="Times New Roman"/>
          <w:b w:val="0"/>
          <w:bCs w:val="0"/>
          <w:color w:val="000000"/>
          <w:sz w:val="24"/>
          <w:szCs w:val="24"/>
        </w:rPr>
        <w:t>，</w:t>
      </w:r>
      <w:r>
        <w:rPr>
          <w:rFonts w:hint="default" w:ascii="Times New Roman" w:hAnsi="Times New Roman" w:eastAsia="Times New Roman PS MT" w:cs="Times New Roman"/>
          <w:b w:val="0"/>
          <w:bCs w:val="0"/>
          <w:color w:val="000000"/>
          <w:sz w:val="24"/>
          <w:szCs w:val="24"/>
        </w:rPr>
        <w:t>2</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 xml:space="preserve">4cm </w:t>
      </w:r>
      <w:r>
        <w:rPr>
          <w:rFonts w:hint="default" w:ascii="Times New Roman" w:hAnsi="Times New Roman" w:eastAsia="宋体" w:cs="Times New Roman"/>
          <w:b w:val="0"/>
          <w:bCs w:val="0"/>
          <w:color w:val="000000"/>
          <w:sz w:val="24"/>
          <w:szCs w:val="24"/>
        </w:rPr>
        <w:t>约占</w:t>
      </w:r>
      <w:r>
        <w:rPr>
          <w:rFonts w:hint="default" w:ascii="Times New Roman" w:hAnsi="Times New Roman" w:cs="Times New Roman"/>
          <w:b w:val="0"/>
          <w:bCs w:val="0"/>
          <w:color w:val="000000"/>
          <w:sz w:val="24"/>
          <w:szCs w:val="24"/>
          <w:lang w:eastAsia="zh-CN"/>
        </w:rPr>
        <w:t>30%～35%</w:t>
      </w:r>
      <w:r>
        <w:rPr>
          <w:rFonts w:hint="default" w:ascii="Times New Roman" w:hAnsi="Times New Roman" w:eastAsia="宋体" w:cs="Times New Roman"/>
          <w:b w:val="0"/>
          <w:bCs w:val="0"/>
          <w:color w:val="000000"/>
          <w:sz w:val="24"/>
          <w:szCs w:val="24"/>
        </w:rPr>
        <w:t>，大于</w:t>
      </w:r>
      <w:r>
        <w:rPr>
          <w:rFonts w:hint="default" w:ascii="Times New Roman" w:hAnsi="Times New Roman" w:eastAsia="Times New Roman PS MT" w:cs="Times New Roman"/>
          <w:b w:val="0"/>
          <w:bCs w:val="0"/>
          <w:color w:val="000000"/>
          <w:sz w:val="24"/>
          <w:szCs w:val="24"/>
        </w:rPr>
        <w:t>10cm</w:t>
      </w:r>
      <w:r>
        <w:rPr>
          <w:rFonts w:hint="default" w:ascii="Times New Roman" w:hAnsi="Times New Roman" w:eastAsia="宋体" w:cs="Times New Roman"/>
          <w:b w:val="0"/>
          <w:bCs w:val="0"/>
          <w:color w:val="000000"/>
          <w:sz w:val="24"/>
          <w:szCs w:val="24"/>
        </w:rPr>
        <w:t>的约占</w:t>
      </w:r>
      <w:r>
        <w:rPr>
          <w:rFonts w:hint="default" w:ascii="Times New Roman" w:hAnsi="Times New Roman" w:eastAsia="Times New Roman PS MT" w:cs="Times New Roman"/>
          <w:b w:val="0"/>
          <w:bCs w:val="0"/>
          <w:color w:val="000000"/>
          <w:sz w:val="24"/>
          <w:szCs w:val="24"/>
        </w:rPr>
        <w:t>10%</w:t>
      </w:r>
      <w:r>
        <w:rPr>
          <w:rFonts w:hint="default" w:ascii="Times New Roman" w:hAnsi="Times New Roman" w:eastAsia="宋体" w:cs="Times New Roman"/>
          <w:b w:val="0"/>
          <w:bCs w:val="0"/>
          <w:color w:val="000000"/>
          <w:sz w:val="24"/>
          <w:szCs w:val="24"/>
        </w:rPr>
        <w:t>左右，卵砾石最大</w:t>
      </w:r>
      <w:r>
        <w:rPr>
          <w:rFonts w:hint="default" w:ascii="Times New Roman" w:hAnsi="Times New Roman" w:cs="Times New Roman"/>
          <w:b w:val="0"/>
          <w:bCs w:val="0"/>
          <w:color w:val="000000"/>
          <w:sz w:val="24"/>
          <w:szCs w:val="24"/>
          <w:lang w:eastAsia="zh-CN"/>
        </w:rPr>
        <w:t>粒径</w:t>
      </w:r>
      <w:r>
        <w:rPr>
          <w:rFonts w:hint="default" w:ascii="Times New Roman" w:hAnsi="Times New Roman" w:eastAsia="宋体" w:cs="Times New Roman"/>
          <w:b w:val="0"/>
          <w:bCs w:val="0"/>
          <w:color w:val="000000"/>
          <w:sz w:val="24"/>
          <w:szCs w:val="24"/>
        </w:rPr>
        <w:t>约</w:t>
      </w:r>
      <w:r>
        <w:rPr>
          <w:rFonts w:hint="default" w:ascii="Times New Roman" w:hAnsi="Times New Roman" w:eastAsia="Times New Roman PS MT" w:cs="Times New Roman"/>
          <w:b w:val="0"/>
          <w:bCs w:val="0"/>
          <w:color w:val="000000"/>
          <w:sz w:val="24"/>
          <w:szCs w:val="24"/>
        </w:rPr>
        <w:t>15cm</w:t>
      </w:r>
      <w:r>
        <w:rPr>
          <w:rFonts w:hint="default" w:ascii="Times New Roman" w:hAnsi="Times New Roman" w:eastAsia="宋体" w:cs="Times New Roman"/>
          <w:b w:val="0"/>
          <w:bCs w:val="0"/>
          <w:color w:val="000000"/>
          <w:sz w:val="24"/>
          <w:szCs w:val="24"/>
        </w:rPr>
        <w:t xml:space="preserve">。 </w:t>
      </w:r>
    </w:p>
    <w:p w14:paraId="141D7B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default" w:ascii="Times New Roman" w:hAnsi="Times New Roman" w:cs="Times New Roman"/>
          <w:b w:val="0"/>
          <w:bCs w:val="0"/>
          <w:color w:val="000000"/>
          <w:sz w:val="24"/>
          <w:szCs w:val="24"/>
          <w:lang w:val="en-US" w:eastAsia="zh-CN"/>
        </w:rPr>
        <w:t>D.</w:t>
      </w:r>
      <w:r>
        <w:rPr>
          <w:rFonts w:hint="default" w:ascii="Times New Roman" w:hAnsi="Times New Roman" w:eastAsia="宋体" w:cs="Times New Roman"/>
          <w:b w:val="0"/>
          <w:bCs w:val="0"/>
          <w:color w:val="000000"/>
          <w:sz w:val="24"/>
          <w:szCs w:val="24"/>
        </w:rPr>
        <w:t>全新统冲积沼泽沉积</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Q</w:t>
      </w:r>
      <w:r>
        <w:rPr>
          <w:rFonts w:hint="default" w:ascii="Times New Roman PS MT" w:hAnsi="Times New Roman PS MT" w:eastAsia="Times New Roman PS MT" w:cs="Times New Roman PS MT"/>
          <w:b w:val="0"/>
          <w:bCs w:val="0"/>
          <w:color w:val="000000"/>
          <w:sz w:val="15"/>
          <w:szCs w:val="15"/>
        </w:rPr>
        <w:t>4</w:t>
      </w:r>
      <w:r>
        <w:rPr>
          <w:rFonts w:hint="default" w:ascii="Times New Roman" w:hAnsi="Times New Roman" w:eastAsia="宋体" w:cs="Times New Roman"/>
          <w:b w:val="0"/>
          <w:bCs w:val="0"/>
          <w:color w:val="000000"/>
          <w:sz w:val="24"/>
          <w:szCs w:val="24"/>
          <w:vertAlign w:val="superscript"/>
        </w:rPr>
        <w:t>al+h</w:t>
      </w:r>
      <w:r>
        <w:rPr>
          <w:rFonts w:hint="eastAsia" w:ascii="宋体" w:hAnsi="宋体" w:eastAsia="宋体" w:cs="宋体"/>
          <w:b w:val="0"/>
          <w:bCs w:val="0"/>
          <w:color w:val="000000"/>
          <w:sz w:val="24"/>
          <w:szCs w:val="24"/>
        </w:rPr>
        <w:t xml:space="preserve">） </w:t>
      </w:r>
    </w:p>
    <w:p w14:paraId="207B69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分布于奎屯以北东西苇湖周围、东部开干旗牧场及北部三角庄子等地。奎屯至开干旗一带呈东西条带分布，一般沉积厚度</w:t>
      </w:r>
      <w:r>
        <w:rPr>
          <w:rFonts w:hint="default" w:ascii="Times New Roman PS MT" w:hAnsi="Times New Roman PS MT" w:eastAsia="Times New Roman PS MT" w:cs="Times New Roman PS MT"/>
          <w:b w:val="0"/>
          <w:bCs w:val="0"/>
          <w:color w:val="000000"/>
          <w:sz w:val="24"/>
          <w:szCs w:val="24"/>
        </w:rPr>
        <w:t>30</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50cm</w:t>
      </w:r>
      <w:r>
        <w:rPr>
          <w:rFonts w:hint="eastAsia" w:ascii="宋体" w:hAnsi="宋体" w:eastAsia="宋体" w:cs="宋体"/>
          <w:b w:val="0"/>
          <w:bCs w:val="0"/>
          <w:color w:val="000000"/>
          <w:sz w:val="24"/>
          <w:szCs w:val="24"/>
        </w:rPr>
        <w:t>，最厚不超过</w:t>
      </w:r>
      <w:r>
        <w:rPr>
          <w:rFonts w:hint="default" w:ascii="Times New Roman PS MT" w:hAnsi="Times New Roman PS MT" w:eastAsia="Times New Roman PS MT" w:cs="Times New Roman PS MT"/>
          <w:b w:val="0"/>
          <w:bCs w:val="0"/>
          <w:color w:val="000000"/>
          <w:sz w:val="24"/>
          <w:szCs w:val="24"/>
        </w:rPr>
        <w:t>2m</w:t>
      </w:r>
      <w:r>
        <w:rPr>
          <w:rFonts w:hint="eastAsia" w:ascii="宋体" w:hAnsi="宋体" w:eastAsia="宋体" w:cs="宋体"/>
          <w:b w:val="0"/>
          <w:bCs w:val="0"/>
          <w:color w:val="000000"/>
          <w:sz w:val="24"/>
          <w:szCs w:val="24"/>
        </w:rPr>
        <w:t>。在东苇湖以北的</w:t>
      </w:r>
      <w:r>
        <w:rPr>
          <w:rFonts w:hint="default" w:ascii="Times New Roman PS MT" w:hAnsi="Times New Roman PS MT" w:eastAsia="Times New Roman PS MT" w:cs="Times New Roman PS MT"/>
          <w:b w:val="0"/>
          <w:bCs w:val="0"/>
          <w:color w:val="000000"/>
          <w:sz w:val="24"/>
          <w:szCs w:val="24"/>
        </w:rPr>
        <w:t>61</w:t>
      </w:r>
      <w:r>
        <w:rPr>
          <w:rFonts w:hint="eastAsia" w:ascii="宋体" w:hAnsi="宋体" w:eastAsia="宋体" w:cs="宋体"/>
          <w:b w:val="0"/>
          <w:bCs w:val="0"/>
          <w:color w:val="000000"/>
          <w:sz w:val="24"/>
          <w:szCs w:val="24"/>
        </w:rPr>
        <w:t>号浅孔中，发现</w:t>
      </w:r>
      <w:r>
        <w:rPr>
          <w:rFonts w:hint="default" w:ascii="Times New Roman PS MT" w:hAnsi="Times New Roman PS MT" w:eastAsia="Times New Roman PS MT" w:cs="Times New Roman PS MT"/>
          <w:b w:val="0"/>
          <w:bCs w:val="0"/>
          <w:color w:val="000000"/>
          <w:sz w:val="24"/>
          <w:szCs w:val="24"/>
        </w:rPr>
        <w:t>0.9m</w:t>
      </w:r>
      <w:r>
        <w:rPr>
          <w:rFonts w:hint="eastAsia" w:ascii="宋体" w:hAnsi="宋体" w:eastAsia="宋体" w:cs="宋体"/>
          <w:b w:val="0"/>
          <w:bCs w:val="0"/>
          <w:color w:val="000000"/>
          <w:sz w:val="24"/>
          <w:szCs w:val="24"/>
        </w:rPr>
        <w:t>以下有厚达</w:t>
      </w:r>
      <w:r>
        <w:rPr>
          <w:rFonts w:hint="default" w:ascii="Times New Roman PS MT" w:hAnsi="Times New Roman PS MT" w:eastAsia="Times New Roman PS MT" w:cs="Times New Roman PS MT"/>
          <w:b w:val="0"/>
          <w:bCs w:val="0"/>
          <w:color w:val="000000"/>
          <w:sz w:val="24"/>
          <w:szCs w:val="24"/>
        </w:rPr>
        <w:t>5cm</w:t>
      </w:r>
      <w:r>
        <w:rPr>
          <w:rFonts w:hint="eastAsia" w:ascii="宋体" w:hAnsi="宋体" w:eastAsia="宋体" w:cs="宋体"/>
          <w:b w:val="0"/>
          <w:bCs w:val="0"/>
          <w:color w:val="000000"/>
          <w:sz w:val="24"/>
          <w:szCs w:val="24"/>
        </w:rPr>
        <w:t>泥炭层，主要沉积物为灰</w:t>
      </w:r>
      <w:r>
        <w:rPr>
          <w:rFonts w:hint="default" w:ascii="Times New Roman" w:hAnsi="Times New Roman" w:eastAsia="宋体" w:cs="Times New Roman"/>
          <w:b w:val="0"/>
          <w:bCs w:val="0"/>
          <w:color w:val="000000"/>
          <w:sz w:val="24"/>
          <w:szCs w:val="24"/>
        </w:rPr>
        <w:t>色、灰黑色粉质粘土、粉土，含大量</w:t>
      </w:r>
      <w:r>
        <w:rPr>
          <w:rFonts w:hint="default" w:ascii="Times New Roman" w:hAnsi="Times New Roman" w:cs="Times New Roman"/>
          <w:b w:val="0"/>
          <w:bCs w:val="0"/>
          <w:color w:val="000000"/>
          <w:sz w:val="24"/>
          <w:szCs w:val="24"/>
          <w:lang w:eastAsia="zh-CN"/>
        </w:rPr>
        <w:t>腐殖质</w:t>
      </w:r>
      <w:r>
        <w:rPr>
          <w:rFonts w:hint="default" w:ascii="Times New Roman" w:hAnsi="Times New Roman" w:eastAsia="宋体" w:cs="Times New Roman"/>
          <w:b w:val="0"/>
          <w:bCs w:val="0"/>
          <w:color w:val="000000"/>
          <w:sz w:val="24"/>
          <w:szCs w:val="24"/>
        </w:rPr>
        <w:t>和腐泥。在开干旗钻孔中，</w:t>
      </w:r>
      <w:r>
        <w:rPr>
          <w:rFonts w:hint="default" w:ascii="Times New Roman" w:hAnsi="Times New Roman" w:eastAsia="Times New Roman PS MT" w:cs="Times New Roman"/>
          <w:b w:val="0"/>
          <w:bCs w:val="0"/>
          <w:color w:val="000000"/>
          <w:sz w:val="24"/>
          <w:szCs w:val="24"/>
        </w:rPr>
        <w:t>50cm</w:t>
      </w:r>
      <w:r>
        <w:rPr>
          <w:rFonts w:hint="default" w:ascii="Times New Roman" w:hAnsi="Times New Roman" w:eastAsia="宋体" w:cs="Times New Roman"/>
          <w:b w:val="0"/>
          <w:bCs w:val="0"/>
          <w:color w:val="000000"/>
          <w:sz w:val="24"/>
          <w:szCs w:val="24"/>
        </w:rPr>
        <w:t>附近也发现有尚未腐烂的植物根系，</w:t>
      </w:r>
      <w:r>
        <w:rPr>
          <w:rFonts w:hint="default" w:ascii="Times New Roman" w:hAnsi="Times New Roman" w:eastAsia="Times New Roman PS MT" w:cs="Times New Roman"/>
          <w:b w:val="0"/>
          <w:bCs w:val="0"/>
          <w:color w:val="000000"/>
          <w:sz w:val="24"/>
          <w:szCs w:val="24"/>
        </w:rPr>
        <w:t>50cm</w:t>
      </w:r>
      <w:r>
        <w:rPr>
          <w:rFonts w:hint="default" w:ascii="Times New Roman" w:hAnsi="Times New Roman" w:eastAsia="宋体" w:cs="Times New Roman"/>
          <w:b w:val="0"/>
          <w:bCs w:val="0"/>
          <w:color w:val="000000"/>
          <w:sz w:val="24"/>
          <w:szCs w:val="24"/>
        </w:rPr>
        <w:t>以下，变为灰绿色至紫红色粘土层，局部有氧化铁锈斑，结构致密，颗粒细而均匀，有滑腻感。三角庄子</w:t>
      </w:r>
      <w:r>
        <w:rPr>
          <w:rFonts w:hint="default" w:ascii="Times New Roman" w:hAnsi="Times New Roman" w:eastAsia="Times New Roman PS MT" w:cs="Times New Roman"/>
          <w:b w:val="0"/>
          <w:bCs w:val="0"/>
          <w:color w:val="000000"/>
          <w:sz w:val="24"/>
          <w:szCs w:val="24"/>
        </w:rPr>
        <w:t>137</w:t>
      </w:r>
      <w:r>
        <w:rPr>
          <w:rFonts w:hint="default" w:ascii="Times New Roman" w:hAnsi="Times New Roman" w:eastAsia="宋体" w:cs="Times New Roman"/>
          <w:b w:val="0"/>
          <w:bCs w:val="0"/>
          <w:color w:val="000000"/>
          <w:sz w:val="24"/>
          <w:szCs w:val="24"/>
        </w:rPr>
        <w:t>号浅孔中， 在</w:t>
      </w:r>
      <w:r>
        <w:rPr>
          <w:rFonts w:hint="default" w:ascii="Times New Roman" w:hAnsi="Times New Roman" w:eastAsia="Times New Roman PS MT" w:cs="Times New Roman"/>
          <w:b w:val="0"/>
          <w:bCs w:val="0"/>
          <w:color w:val="000000"/>
          <w:sz w:val="24"/>
          <w:szCs w:val="24"/>
        </w:rPr>
        <w:t>30cm</w:t>
      </w:r>
      <w:r>
        <w:rPr>
          <w:rFonts w:hint="default" w:ascii="Times New Roman" w:hAnsi="Times New Roman" w:eastAsia="宋体" w:cs="Times New Roman"/>
          <w:b w:val="0"/>
          <w:bCs w:val="0"/>
          <w:color w:val="000000"/>
          <w:sz w:val="24"/>
          <w:szCs w:val="24"/>
        </w:rPr>
        <w:t>以上为黑色</w:t>
      </w:r>
      <w:r>
        <w:rPr>
          <w:rFonts w:hint="default" w:ascii="Times New Roman" w:hAnsi="Times New Roman" w:cs="Times New Roman"/>
          <w:b w:val="0"/>
          <w:bCs w:val="0"/>
          <w:color w:val="000000"/>
          <w:sz w:val="24"/>
          <w:szCs w:val="24"/>
          <w:lang w:eastAsia="zh-CN"/>
        </w:rPr>
        <w:t>腐殖质层</w:t>
      </w:r>
      <w:r>
        <w:rPr>
          <w:rFonts w:hint="default" w:ascii="Times New Roman" w:hAnsi="Times New Roman" w:eastAsia="宋体" w:cs="Times New Roman"/>
          <w:b w:val="0"/>
          <w:bCs w:val="0"/>
          <w:color w:val="000000"/>
          <w:sz w:val="24"/>
          <w:szCs w:val="24"/>
        </w:rPr>
        <w:t>，</w:t>
      </w:r>
      <w:r>
        <w:rPr>
          <w:rFonts w:hint="default" w:ascii="Times New Roman" w:hAnsi="Times New Roman" w:eastAsia="Times New Roman PS MT" w:cs="Times New Roman"/>
          <w:b w:val="0"/>
          <w:bCs w:val="0"/>
          <w:color w:val="000000"/>
          <w:sz w:val="24"/>
          <w:szCs w:val="24"/>
        </w:rPr>
        <w:t>30</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70cm</w:t>
      </w:r>
      <w:r>
        <w:rPr>
          <w:rFonts w:hint="default" w:ascii="Times New Roman" w:hAnsi="Times New Roman" w:eastAsia="宋体" w:cs="Times New Roman"/>
          <w:b w:val="0"/>
          <w:bCs w:val="0"/>
          <w:color w:val="000000"/>
          <w:sz w:val="24"/>
          <w:szCs w:val="24"/>
        </w:rPr>
        <w:t>为青灰色质地均匀的淤泥层，并夹白色盐的结晶，与其下部地层有明显界线。所有沼泽表面，土壤都受到不同程度的盐渍化作用，从而形成盐土和不同程度的盐渍土。土层中含所含的盐分，主要为芒硝（硫酸钠）、石盐（氯化钠）及石膏等。土层中</w:t>
      </w:r>
      <w:r>
        <w:rPr>
          <w:rFonts w:hint="default" w:ascii="Times New Roman" w:hAnsi="Times New Roman" w:eastAsia="Times New Roman PS MT" w:cs="Times New Roman"/>
          <w:b w:val="0"/>
          <w:bCs w:val="0"/>
          <w:color w:val="000000"/>
          <w:sz w:val="24"/>
          <w:szCs w:val="24"/>
        </w:rPr>
        <w:t>lm</w:t>
      </w:r>
      <w:r>
        <w:rPr>
          <w:rFonts w:hint="default" w:ascii="Times New Roman" w:hAnsi="Times New Roman" w:eastAsia="宋体" w:cs="Times New Roman"/>
          <w:b w:val="0"/>
          <w:bCs w:val="0"/>
          <w:color w:val="000000"/>
          <w:sz w:val="24"/>
          <w:szCs w:val="24"/>
        </w:rPr>
        <w:t>以上平均易溶盐含量大都超过</w:t>
      </w:r>
      <w:r>
        <w:rPr>
          <w:rFonts w:hint="default" w:ascii="Times New Roman" w:hAnsi="Times New Roman" w:eastAsia="Times New Roman PS MT" w:cs="Times New Roman"/>
          <w:b w:val="0"/>
          <w:bCs w:val="0"/>
          <w:color w:val="000000"/>
          <w:sz w:val="24"/>
          <w:szCs w:val="24"/>
        </w:rPr>
        <w:t>3%</w:t>
      </w:r>
      <w:r>
        <w:rPr>
          <w:rFonts w:hint="default" w:ascii="Times New Roman" w:hAnsi="Times New Roman" w:eastAsia="宋体" w:cs="Times New Roman"/>
          <w:b w:val="0"/>
          <w:bCs w:val="0"/>
          <w:color w:val="000000"/>
          <w:sz w:val="24"/>
          <w:szCs w:val="24"/>
        </w:rPr>
        <w:t>，</w:t>
      </w:r>
      <w:r>
        <w:rPr>
          <w:rFonts w:hint="default" w:ascii="Times New Roman" w:hAnsi="Times New Roman" w:eastAsia="Times New Roman PS MT" w:cs="Times New Roman"/>
          <w:b w:val="0"/>
          <w:bCs w:val="0"/>
          <w:color w:val="000000"/>
          <w:sz w:val="24"/>
          <w:szCs w:val="24"/>
        </w:rPr>
        <w:t>1</w:t>
      </w:r>
      <w:r>
        <w:rPr>
          <w:rFonts w:hint="default" w:ascii="Times New Roman" w:hAnsi="Times New Roman" w:eastAsia="宋体" w:cs="Times New Roman"/>
          <w:b w:val="0"/>
          <w:bCs w:val="0"/>
          <w:color w:val="000000"/>
          <w:sz w:val="24"/>
          <w:szCs w:val="24"/>
        </w:rPr>
        <w:t>米以下一般为</w:t>
      </w:r>
      <w:r>
        <w:rPr>
          <w:rFonts w:hint="default" w:ascii="Times New Roman" w:hAnsi="Times New Roman" w:cs="Times New Roman"/>
          <w:b w:val="0"/>
          <w:bCs w:val="0"/>
          <w:color w:val="000000"/>
          <w:sz w:val="24"/>
          <w:szCs w:val="24"/>
          <w:lang w:eastAsia="zh-CN"/>
        </w:rPr>
        <w:t>1%～2%</w:t>
      </w:r>
      <w:r>
        <w:rPr>
          <w:rFonts w:hint="default" w:ascii="Times New Roman" w:hAnsi="Times New Roman" w:eastAsia="宋体" w:cs="Times New Roman"/>
          <w:b w:val="0"/>
          <w:bCs w:val="0"/>
          <w:color w:val="000000"/>
          <w:sz w:val="24"/>
          <w:szCs w:val="24"/>
        </w:rPr>
        <w:t xml:space="preserve">，局部土层已碱化。 </w:t>
      </w:r>
    </w:p>
    <w:p w14:paraId="28AE2D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cs="Times New Roman"/>
          <w:b w:val="0"/>
          <w:bCs w:val="0"/>
          <w:color w:val="000000"/>
          <w:sz w:val="24"/>
          <w:szCs w:val="24"/>
          <w:lang w:val="en-US" w:eastAsia="zh-CN"/>
        </w:rPr>
        <w:t>E.</w:t>
      </w:r>
      <w:r>
        <w:rPr>
          <w:rFonts w:hint="default" w:ascii="Times New Roman" w:hAnsi="Times New Roman" w:eastAsia="宋体" w:cs="Times New Roman"/>
          <w:b w:val="0"/>
          <w:bCs w:val="0"/>
          <w:color w:val="000000"/>
          <w:sz w:val="24"/>
          <w:szCs w:val="24"/>
        </w:rPr>
        <w:t>全新统冲洪积物（</w:t>
      </w:r>
      <w:r>
        <w:rPr>
          <w:rFonts w:hint="default" w:ascii="Times New Roman" w:hAnsi="Times New Roman" w:eastAsia="Times New Roman PS MT" w:cs="Times New Roman"/>
          <w:b w:val="0"/>
          <w:bCs w:val="0"/>
          <w:color w:val="000000"/>
          <w:sz w:val="24"/>
          <w:szCs w:val="24"/>
        </w:rPr>
        <w:t>Q</w:t>
      </w:r>
      <w:r>
        <w:rPr>
          <w:rFonts w:hint="default" w:ascii="Times New Roman" w:hAnsi="Times New Roman" w:eastAsia="Times New Roman PS MT" w:cs="Times New Roman"/>
          <w:b w:val="0"/>
          <w:bCs w:val="0"/>
          <w:color w:val="000000"/>
          <w:sz w:val="15"/>
          <w:szCs w:val="15"/>
        </w:rPr>
        <w:t>4</w:t>
      </w:r>
      <w:r>
        <w:rPr>
          <w:rFonts w:hint="default" w:ascii="Times New Roman" w:hAnsi="Times New Roman" w:eastAsia="宋体" w:cs="Times New Roman"/>
          <w:b w:val="0"/>
          <w:bCs w:val="0"/>
          <w:color w:val="000000"/>
          <w:sz w:val="24"/>
          <w:szCs w:val="24"/>
          <w:vertAlign w:val="superscript"/>
        </w:rPr>
        <w:t>al+pl</w:t>
      </w:r>
      <w:r>
        <w:rPr>
          <w:rFonts w:hint="default" w:ascii="Times New Roman" w:hAnsi="Times New Roman" w:eastAsia="宋体" w:cs="Times New Roman"/>
          <w:b w:val="0"/>
          <w:bCs w:val="0"/>
          <w:color w:val="000000"/>
          <w:sz w:val="24"/>
          <w:szCs w:val="24"/>
        </w:rPr>
        <w:t xml:space="preserve">） </w:t>
      </w:r>
    </w:p>
    <w:p w14:paraId="70A387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广泛分布在冲洪积细土平原区。</w:t>
      </w:r>
      <w:r>
        <w:rPr>
          <w:rFonts w:hint="default" w:ascii="Times New Roman" w:hAnsi="Times New Roman" w:eastAsia="Times New Roman PS MT" w:cs="Times New Roman"/>
          <w:b w:val="0"/>
          <w:bCs w:val="0"/>
          <w:color w:val="000000"/>
          <w:sz w:val="24"/>
          <w:szCs w:val="24"/>
        </w:rPr>
        <w:t>130</w:t>
      </w:r>
      <w:r>
        <w:rPr>
          <w:rFonts w:hint="default" w:ascii="Times New Roman" w:hAnsi="Times New Roman" w:eastAsia="宋体" w:cs="Times New Roman"/>
          <w:b w:val="0"/>
          <w:bCs w:val="0"/>
          <w:color w:val="000000"/>
          <w:sz w:val="24"/>
          <w:szCs w:val="24"/>
        </w:rPr>
        <w:t>团、</w:t>
      </w:r>
      <w:r>
        <w:rPr>
          <w:rFonts w:hint="default" w:ascii="Times New Roman" w:hAnsi="Times New Roman" w:eastAsia="Times New Roman PS MT" w:cs="Times New Roman"/>
          <w:b w:val="0"/>
          <w:bCs w:val="0"/>
          <w:color w:val="000000"/>
          <w:sz w:val="24"/>
          <w:szCs w:val="24"/>
        </w:rPr>
        <w:t>129</w:t>
      </w:r>
      <w:r>
        <w:rPr>
          <w:rFonts w:hint="default" w:ascii="Times New Roman" w:hAnsi="Times New Roman" w:eastAsia="宋体" w:cs="Times New Roman"/>
          <w:b w:val="0"/>
          <w:bCs w:val="0"/>
          <w:color w:val="000000"/>
          <w:sz w:val="24"/>
          <w:szCs w:val="24"/>
        </w:rPr>
        <w:t>团</w:t>
      </w:r>
      <w:r>
        <w:rPr>
          <w:rFonts w:hint="default" w:ascii="Times New Roman" w:hAnsi="Times New Roman" w:cs="Times New Roman"/>
          <w:b w:val="0"/>
          <w:bCs w:val="0"/>
          <w:color w:val="000000"/>
          <w:sz w:val="24"/>
          <w:szCs w:val="24"/>
          <w:lang w:eastAsia="zh-CN"/>
        </w:rPr>
        <w:t>以此地层为主</w:t>
      </w:r>
      <w:r>
        <w:rPr>
          <w:rFonts w:hint="default" w:ascii="Times New Roman" w:hAnsi="Times New Roman" w:eastAsia="宋体" w:cs="Times New Roman"/>
          <w:b w:val="0"/>
          <w:bCs w:val="0"/>
          <w:color w:val="000000"/>
          <w:sz w:val="24"/>
          <w:szCs w:val="24"/>
        </w:rPr>
        <w:t>。主要地层为粘土、粉质粘土、粉土、砂土互层分布。地层分布特点决定了平原区潜水、承压水分布特征。最大沉积厚度超过</w:t>
      </w:r>
      <w:r>
        <w:rPr>
          <w:rFonts w:hint="default" w:ascii="Times New Roman" w:hAnsi="Times New Roman" w:eastAsia="Times New Roman PS MT" w:cs="Times New Roman"/>
          <w:b w:val="0"/>
          <w:bCs w:val="0"/>
          <w:color w:val="000000"/>
          <w:sz w:val="24"/>
          <w:szCs w:val="24"/>
        </w:rPr>
        <w:t>500m</w:t>
      </w:r>
      <w:r>
        <w:rPr>
          <w:rFonts w:hint="default" w:ascii="Times New Roman" w:hAnsi="Times New Roman" w:eastAsia="宋体" w:cs="Times New Roman"/>
          <w:b w:val="0"/>
          <w:bCs w:val="0"/>
          <w:color w:val="000000"/>
          <w:sz w:val="24"/>
          <w:szCs w:val="24"/>
        </w:rPr>
        <w:t xml:space="preserve">。 </w:t>
      </w:r>
    </w:p>
    <w:p w14:paraId="22E0D4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cs="Times New Roman"/>
          <w:b w:val="0"/>
          <w:bCs w:val="0"/>
          <w:color w:val="000000"/>
          <w:sz w:val="24"/>
          <w:szCs w:val="24"/>
          <w:lang w:val="en-US" w:eastAsia="zh-CN"/>
        </w:rPr>
        <w:t>F.</w:t>
      </w:r>
      <w:r>
        <w:rPr>
          <w:rFonts w:hint="default" w:ascii="Times New Roman" w:hAnsi="Times New Roman" w:eastAsia="宋体" w:cs="Times New Roman"/>
          <w:b w:val="0"/>
          <w:bCs w:val="0"/>
          <w:color w:val="000000"/>
          <w:sz w:val="24"/>
          <w:szCs w:val="24"/>
        </w:rPr>
        <w:t>全新统风积物（</w:t>
      </w:r>
      <w:r>
        <w:rPr>
          <w:rFonts w:hint="default" w:ascii="Times New Roman" w:hAnsi="Times New Roman" w:eastAsia="Times New Roman PS MT" w:cs="Times New Roman"/>
          <w:b w:val="0"/>
          <w:bCs w:val="0"/>
          <w:color w:val="000000"/>
          <w:sz w:val="24"/>
          <w:szCs w:val="24"/>
        </w:rPr>
        <w:t>Q</w:t>
      </w:r>
      <w:r>
        <w:rPr>
          <w:rFonts w:hint="default" w:ascii="Times New Roman" w:hAnsi="Times New Roman" w:eastAsia="Times New Roman PS MT" w:cs="Times New Roman"/>
          <w:b w:val="0"/>
          <w:bCs w:val="0"/>
          <w:color w:val="000000"/>
          <w:sz w:val="15"/>
          <w:szCs w:val="15"/>
        </w:rPr>
        <w:t>4</w:t>
      </w:r>
      <w:r>
        <w:rPr>
          <w:rFonts w:hint="default" w:ascii="Times New Roman" w:hAnsi="Times New Roman" w:eastAsia="宋体" w:cs="Times New Roman"/>
          <w:b w:val="0"/>
          <w:bCs w:val="0"/>
          <w:color w:val="000000"/>
          <w:sz w:val="24"/>
          <w:szCs w:val="24"/>
          <w:vertAlign w:val="superscript"/>
        </w:rPr>
        <w:t>al+pl</w:t>
      </w:r>
      <w:r>
        <w:rPr>
          <w:rFonts w:hint="default" w:ascii="Times New Roman" w:hAnsi="Times New Roman" w:eastAsia="宋体" w:cs="Times New Roman"/>
          <w:b w:val="0"/>
          <w:bCs w:val="0"/>
          <w:color w:val="000000"/>
          <w:sz w:val="24"/>
          <w:szCs w:val="24"/>
        </w:rPr>
        <w:t xml:space="preserve">） </w:t>
      </w:r>
    </w:p>
    <w:p w14:paraId="020811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主要分布在</w:t>
      </w:r>
      <w:r>
        <w:rPr>
          <w:rFonts w:hint="default" w:ascii="Times New Roman" w:hAnsi="Times New Roman" w:eastAsia="Times New Roman PS MT" w:cs="Times New Roman"/>
          <w:b w:val="0"/>
          <w:bCs w:val="0"/>
          <w:color w:val="000000"/>
          <w:sz w:val="24"/>
          <w:szCs w:val="24"/>
        </w:rPr>
        <w:t>129</w:t>
      </w:r>
      <w:r>
        <w:rPr>
          <w:rFonts w:hint="default" w:ascii="Times New Roman" w:hAnsi="Times New Roman" w:eastAsia="宋体" w:cs="Times New Roman"/>
          <w:b w:val="0"/>
          <w:bCs w:val="0"/>
          <w:color w:val="000000"/>
          <w:sz w:val="24"/>
          <w:szCs w:val="24"/>
        </w:rPr>
        <w:t>团东部，隶属古尔班通古特沙漠，地貌上表现为低矮沙丘。 岩性为风积粉细砂。</w:t>
      </w:r>
    </w:p>
    <w:p w14:paraId="2F2A09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③</w:t>
      </w:r>
      <w:r>
        <w:rPr>
          <w:rFonts w:hint="eastAsia" w:ascii="宋体" w:hAnsi="宋体" w:eastAsia="宋体" w:cs="宋体"/>
          <w:b w:val="0"/>
          <w:bCs w:val="0"/>
          <w:color w:val="000000"/>
          <w:sz w:val="24"/>
          <w:szCs w:val="24"/>
        </w:rPr>
        <w:t xml:space="preserve">地质构造 </w:t>
      </w:r>
    </w:p>
    <w:p w14:paraId="064570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区域在大地构造上位于哈萨克斯坦</w:t>
      </w:r>
      <w:r>
        <w:rPr>
          <w:rFonts w:hint="eastAsia" w:ascii="宋体" w:hAnsi="宋体" w:cs="宋体"/>
          <w:b w:val="0"/>
          <w:bCs w:val="0"/>
          <w:color w:val="000000"/>
          <w:sz w:val="24"/>
          <w:szCs w:val="24"/>
          <w:lang w:eastAsia="zh-CN"/>
        </w:rPr>
        <w:t>～</w:t>
      </w:r>
      <w:r>
        <w:rPr>
          <w:rFonts w:hint="eastAsia" w:ascii="宋体" w:hAnsi="宋体" w:eastAsia="宋体" w:cs="宋体"/>
          <w:b w:val="0"/>
          <w:bCs w:val="0"/>
          <w:color w:val="000000"/>
          <w:sz w:val="24"/>
          <w:szCs w:val="24"/>
        </w:rPr>
        <w:t>准噶尔板块南部边缘，区域新构造运动强烈，区域内发育多条活动断裂。近本区构造主要有：独山子</w:t>
      </w:r>
      <w:r>
        <w:rPr>
          <w:rFonts w:hint="eastAsia" w:ascii="宋体" w:hAnsi="宋体" w:cs="宋体"/>
          <w:b w:val="0"/>
          <w:bCs w:val="0"/>
          <w:color w:val="000000"/>
          <w:sz w:val="24"/>
          <w:szCs w:val="24"/>
          <w:lang w:eastAsia="zh-CN"/>
        </w:rPr>
        <w:t>～</w:t>
      </w:r>
      <w:r>
        <w:rPr>
          <w:rFonts w:hint="eastAsia" w:ascii="宋体" w:hAnsi="宋体" w:eastAsia="宋体" w:cs="宋体"/>
          <w:b w:val="0"/>
          <w:bCs w:val="0"/>
          <w:color w:val="000000"/>
          <w:sz w:val="24"/>
          <w:szCs w:val="24"/>
        </w:rPr>
        <w:t>安集海断裂（</w:t>
      </w:r>
      <w:r>
        <w:rPr>
          <w:rFonts w:hint="default" w:ascii="Times New Roman PS MT" w:hAnsi="Times New Roman PS MT" w:eastAsia="Times New Roman PS MT" w:cs="Times New Roman PS MT"/>
          <w:b w:val="0"/>
          <w:bCs w:val="0"/>
          <w:color w:val="000000"/>
          <w:sz w:val="24"/>
          <w:szCs w:val="24"/>
        </w:rPr>
        <w:t>F4</w:t>
      </w:r>
      <w:r>
        <w:rPr>
          <w:rFonts w:hint="eastAsia" w:ascii="宋体" w:hAnsi="宋体" w:eastAsia="宋体" w:cs="宋体"/>
          <w:b w:val="0"/>
          <w:bCs w:val="0"/>
          <w:color w:val="000000"/>
          <w:sz w:val="24"/>
          <w:szCs w:val="24"/>
        </w:rPr>
        <w:t>）、霍尔果斯断裂（</w:t>
      </w:r>
      <w:r>
        <w:rPr>
          <w:rFonts w:hint="default" w:ascii="Times New Roman PS MT" w:hAnsi="Times New Roman PS MT" w:eastAsia="Times New Roman PS MT" w:cs="Times New Roman PS MT"/>
          <w:b w:val="0"/>
          <w:bCs w:val="0"/>
          <w:color w:val="000000"/>
          <w:sz w:val="24"/>
          <w:szCs w:val="24"/>
        </w:rPr>
        <w:t>F6</w:t>
      </w:r>
      <w:r>
        <w:rPr>
          <w:rFonts w:hint="eastAsia" w:ascii="宋体" w:hAnsi="宋体" w:eastAsia="宋体" w:cs="宋体"/>
          <w:b w:val="0"/>
          <w:bCs w:val="0"/>
          <w:color w:val="000000"/>
          <w:sz w:val="24"/>
          <w:szCs w:val="24"/>
        </w:rPr>
        <w:t>）、清水河子断裂（</w:t>
      </w:r>
      <w:r>
        <w:rPr>
          <w:rFonts w:hint="default" w:ascii="Times New Roman PS MT" w:hAnsi="Times New Roman PS MT" w:eastAsia="Times New Roman PS MT" w:cs="Times New Roman PS MT"/>
          <w:b w:val="0"/>
          <w:bCs w:val="0"/>
          <w:color w:val="000000"/>
          <w:sz w:val="24"/>
          <w:szCs w:val="24"/>
        </w:rPr>
        <w:t>F10</w:t>
      </w:r>
      <w:r>
        <w:rPr>
          <w:rFonts w:hint="eastAsia" w:ascii="宋体" w:hAnsi="宋体" w:eastAsia="宋体" w:cs="宋体"/>
          <w:b w:val="0"/>
          <w:bCs w:val="0"/>
          <w:color w:val="000000"/>
          <w:sz w:val="24"/>
          <w:szCs w:val="24"/>
        </w:rPr>
        <w:t>），属北天山推覆构造前部滑脱楔上第二排与第三排新生代断裂</w:t>
      </w:r>
      <w:r>
        <w:rPr>
          <w:rFonts w:hint="eastAsia" w:ascii="宋体" w:hAnsi="宋体" w:cs="宋体"/>
          <w:b w:val="0"/>
          <w:bCs w:val="0"/>
          <w:color w:val="000000"/>
          <w:sz w:val="24"/>
          <w:szCs w:val="24"/>
          <w:lang w:eastAsia="zh-CN"/>
        </w:rPr>
        <w:t>－</w:t>
      </w:r>
      <w:r>
        <w:rPr>
          <w:rFonts w:hint="eastAsia" w:ascii="宋体" w:hAnsi="宋体" w:eastAsia="宋体" w:cs="宋体"/>
          <w:b w:val="0"/>
          <w:bCs w:val="0"/>
          <w:color w:val="000000"/>
          <w:sz w:val="24"/>
          <w:szCs w:val="24"/>
        </w:rPr>
        <w:t>褶皱带，全新世以来有过多次显著活动。</w:t>
      </w:r>
    </w:p>
    <w:p w14:paraId="254329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独山子</w:t>
      </w:r>
      <w:r>
        <w:rPr>
          <w:rFonts w:hint="eastAsia" w:ascii="宋体" w:hAnsi="宋体" w:cs="宋体"/>
          <w:b w:val="0"/>
          <w:bCs w:val="0"/>
          <w:color w:val="000000"/>
          <w:sz w:val="24"/>
          <w:szCs w:val="24"/>
          <w:lang w:eastAsia="zh-CN"/>
        </w:rPr>
        <w:t>～</w:t>
      </w:r>
      <w:r>
        <w:rPr>
          <w:rFonts w:hint="eastAsia" w:ascii="宋体" w:hAnsi="宋体" w:eastAsia="宋体" w:cs="宋体"/>
          <w:b w:val="0"/>
          <w:bCs w:val="0"/>
          <w:color w:val="000000"/>
          <w:sz w:val="24"/>
          <w:szCs w:val="24"/>
        </w:rPr>
        <w:t>安集海断裂（</w:t>
      </w:r>
      <w:r>
        <w:rPr>
          <w:rFonts w:hint="default" w:ascii="Times New Roman PS MT" w:hAnsi="Times New Roman PS MT" w:eastAsia="Times New Roman PS MT" w:cs="Times New Roman PS MT"/>
          <w:b w:val="0"/>
          <w:bCs w:val="0"/>
          <w:color w:val="000000"/>
          <w:sz w:val="24"/>
          <w:szCs w:val="24"/>
        </w:rPr>
        <w:t>F4</w:t>
      </w:r>
      <w:r>
        <w:rPr>
          <w:rFonts w:hint="eastAsia" w:ascii="宋体" w:hAnsi="宋体" w:eastAsia="宋体" w:cs="宋体"/>
          <w:b w:val="0"/>
          <w:bCs w:val="0"/>
          <w:color w:val="000000"/>
          <w:sz w:val="24"/>
          <w:szCs w:val="24"/>
        </w:rPr>
        <w:t>）：该断裂位于独山子</w:t>
      </w:r>
      <w:r>
        <w:rPr>
          <w:rFonts w:hint="eastAsia" w:ascii="宋体" w:hAnsi="宋体" w:cs="宋体"/>
          <w:b w:val="0"/>
          <w:bCs w:val="0"/>
          <w:color w:val="000000"/>
          <w:sz w:val="24"/>
          <w:szCs w:val="24"/>
          <w:lang w:eastAsia="zh-CN"/>
        </w:rPr>
        <w:t>～</w:t>
      </w:r>
      <w:r>
        <w:rPr>
          <w:rFonts w:hint="eastAsia" w:ascii="宋体" w:hAnsi="宋体" w:eastAsia="宋体" w:cs="宋体"/>
          <w:b w:val="0"/>
          <w:bCs w:val="0"/>
          <w:color w:val="000000"/>
          <w:sz w:val="24"/>
          <w:szCs w:val="24"/>
        </w:rPr>
        <w:t>安集海背斜山前地带，走向近东西向，长</w:t>
      </w:r>
      <w:r>
        <w:rPr>
          <w:rFonts w:hint="default" w:ascii="Times New Roman PS MT" w:hAnsi="Times New Roman PS MT" w:eastAsia="Times New Roman PS MT" w:cs="Times New Roman PS MT"/>
          <w:b w:val="0"/>
          <w:bCs w:val="0"/>
          <w:color w:val="000000"/>
          <w:sz w:val="24"/>
          <w:szCs w:val="24"/>
        </w:rPr>
        <w:t>55km</w:t>
      </w:r>
      <w:r>
        <w:rPr>
          <w:rFonts w:hint="eastAsia" w:ascii="宋体" w:hAnsi="宋体" w:eastAsia="宋体" w:cs="宋体"/>
          <w:b w:val="0"/>
          <w:bCs w:val="0"/>
          <w:color w:val="000000"/>
          <w:sz w:val="24"/>
          <w:szCs w:val="24"/>
        </w:rPr>
        <w:t>，由断层面南倾</w:t>
      </w:r>
      <w:r>
        <w:rPr>
          <w:rFonts w:hint="default" w:ascii="Times New Roman PS MT" w:hAnsi="Times New Roman PS MT" w:eastAsia="Times New Roman PS MT" w:cs="Times New Roman PS MT"/>
          <w:b w:val="0"/>
          <w:bCs w:val="0"/>
          <w:color w:val="000000"/>
          <w:sz w:val="24"/>
          <w:szCs w:val="24"/>
        </w:rPr>
        <w:t>40°~60°</w:t>
      </w:r>
      <w:r>
        <w:rPr>
          <w:rFonts w:hint="eastAsia" w:ascii="宋体" w:hAnsi="宋体" w:eastAsia="宋体" w:cs="宋体"/>
          <w:b w:val="0"/>
          <w:bCs w:val="0"/>
          <w:color w:val="000000"/>
          <w:sz w:val="24"/>
          <w:szCs w:val="24"/>
        </w:rPr>
        <w:t>的主逆断裂及北倾反冲逆断裂组成，断裂在平面上由西向东分为三段：独山子段、哈拉安德段、安集海段。</w:t>
      </w:r>
    </w:p>
    <w:p w14:paraId="2AC0AD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霍尔果斯断裂（</w:t>
      </w:r>
      <w:r>
        <w:rPr>
          <w:rFonts w:hint="default" w:ascii="Times New Roman PS MT" w:hAnsi="Times New Roman PS MT" w:eastAsia="Times New Roman PS MT" w:cs="Times New Roman PS MT"/>
          <w:b w:val="0"/>
          <w:bCs w:val="0"/>
          <w:color w:val="000000"/>
          <w:sz w:val="24"/>
          <w:szCs w:val="24"/>
        </w:rPr>
        <w:t>F6</w:t>
      </w:r>
      <w:r>
        <w:rPr>
          <w:rFonts w:hint="eastAsia" w:ascii="宋体" w:hAnsi="宋体" w:eastAsia="宋体" w:cs="宋体"/>
          <w:b w:val="0"/>
          <w:bCs w:val="0"/>
          <w:color w:val="000000"/>
          <w:sz w:val="24"/>
          <w:szCs w:val="24"/>
        </w:rPr>
        <w:t>）：断裂分布于霍尔果斯背斜核部和北翼，总体走向近</w:t>
      </w:r>
      <w:r>
        <w:rPr>
          <w:rFonts w:hint="default" w:ascii="Times New Roman PS MT" w:hAnsi="Times New Roman PS MT" w:eastAsia="Times New Roman PS MT" w:cs="Times New Roman PS MT"/>
          <w:b w:val="0"/>
          <w:bCs w:val="0"/>
          <w:color w:val="000000"/>
          <w:sz w:val="24"/>
          <w:szCs w:val="24"/>
        </w:rPr>
        <w:t>EW</w:t>
      </w:r>
      <w:r>
        <w:rPr>
          <w:rFonts w:hint="eastAsia" w:ascii="宋体" w:hAnsi="宋体" w:eastAsia="宋体" w:cs="宋体"/>
          <w:b w:val="0"/>
          <w:bCs w:val="0"/>
          <w:color w:val="000000"/>
          <w:sz w:val="24"/>
          <w:szCs w:val="24"/>
        </w:rPr>
        <w:t>向，长</w:t>
      </w:r>
      <w:r>
        <w:rPr>
          <w:rFonts w:hint="default" w:ascii="Times New Roman PS MT" w:hAnsi="Times New Roman PS MT" w:eastAsia="Times New Roman PS MT" w:cs="Times New Roman PS MT"/>
          <w:b w:val="0"/>
          <w:bCs w:val="0"/>
          <w:color w:val="000000"/>
          <w:sz w:val="24"/>
          <w:szCs w:val="24"/>
        </w:rPr>
        <w:t>70km</w:t>
      </w:r>
      <w:r>
        <w:rPr>
          <w:rFonts w:hint="eastAsia" w:ascii="宋体" w:hAnsi="宋体" w:eastAsia="宋体" w:cs="宋体"/>
          <w:b w:val="0"/>
          <w:bCs w:val="0"/>
          <w:color w:val="000000"/>
          <w:sz w:val="24"/>
          <w:szCs w:val="24"/>
        </w:rPr>
        <w:t>，为断面南倾的逆断裂，断裂与中段的玛纳斯断裂呈左阶排列。该断裂由三条近平行断裂组成。距离工区最近的为</w:t>
      </w:r>
      <w:r>
        <w:rPr>
          <w:rFonts w:hint="default" w:ascii="Times New Roman PS MT" w:hAnsi="Times New Roman PS MT" w:eastAsia="Times New Roman PS MT" w:cs="Times New Roman PS MT"/>
          <w:b w:val="0"/>
          <w:bCs w:val="0"/>
          <w:color w:val="000000"/>
          <w:sz w:val="24"/>
          <w:szCs w:val="24"/>
        </w:rPr>
        <w:t>F2</w:t>
      </w:r>
      <w:r>
        <w:rPr>
          <w:rFonts w:hint="eastAsia" w:ascii="宋体" w:hAnsi="宋体" w:eastAsia="宋体" w:cs="宋体"/>
          <w:b w:val="0"/>
          <w:bCs w:val="0"/>
          <w:color w:val="000000"/>
          <w:sz w:val="24"/>
          <w:szCs w:val="24"/>
        </w:rPr>
        <w:t>断裂。</w:t>
      </w:r>
      <w:r>
        <w:rPr>
          <w:rFonts w:hint="default" w:ascii="Times New Roman PS MT" w:hAnsi="Times New Roman PS MT" w:eastAsia="Times New Roman PS MT" w:cs="Times New Roman PS MT"/>
          <w:b w:val="0"/>
          <w:bCs w:val="0"/>
          <w:color w:val="000000"/>
          <w:sz w:val="24"/>
          <w:szCs w:val="24"/>
        </w:rPr>
        <w:t>F2</w:t>
      </w:r>
      <w:r>
        <w:rPr>
          <w:rFonts w:hint="eastAsia" w:ascii="宋体" w:hAnsi="宋体" w:eastAsia="宋体" w:cs="宋体"/>
          <w:b w:val="0"/>
          <w:bCs w:val="0"/>
          <w:color w:val="000000"/>
          <w:sz w:val="24"/>
          <w:szCs w:val="24"/>
        </w:rPr>
        <w:t>断裂位于霍尔果斯背斜北翼，全长</w:t>
      </w:r>
      <w:r>
        <w:rPr>
          <w:rFonts w:hint="default" w:ascii="Times New Roman PS MT" w:hAnsi="Times New Roman PS MT" w:eastAsia="Times New Roman PS MT" w:cs="Times New Roman PS MT"/>
          <w:b w:val="0"/>
          <w:bCs w:val="0"/>
          <w:color w:val="000000"/>
          <w:sz w:val="24"/>
          <w:szCs w:val="24"/>
        </w:rPr>
        <w:t>19km</w:t>
      </w:r>
      <w:r>
        <w:rPr>
          <w:rFonts w:hint="eastAsia" w:ascii="宋体" w:hAnsi="宋体" w:eastAsia="宋体" w:cs="宋体"/>
          <w:b w:val="0"/>
          <w:bCs w:val="0"/>
          <w:color w:val="000000"/>
          <w:sz w:val="24"/>
          <w:szCs w:val="24"/>
        </w:rPr>
        <w:t>，断裂主体倾向南，局部为逆走滑，在大部分地段引起北侧地层倒转，倾向</w:t>
      </w:r>
      <w:r>
        <w:rPr>
          <w:rFonts w:hint="default" w:ascii="Times New Roman PS MT" w:hAnsi="Times New Roman PS MT" w:eastAsia="Times New Roman PS MT" w:cs="Times New Roman PS MT"/>
          <w:b w:val="0"/>
          <w:bCs w:val="0"/>
          <w:color w:val="000000"/>
          <w:sz w:val="24"/>
          <w:szCs w:val="24"/>
        </w:rPr>
        <w:t>165°~195°</w:t>
      </w:r>
      <w:r>
        <w:rPr>
          <w:rFonts w:hint="eastAsia" w:ascii="宋体" w:hAnsi="宋体" w:eastAsia="宋体" w:cs="宋体"/>
          <w:b w:val="0"/>
          <w:bCs w:val="0"/>
          <w:color w:val="000000"/>
          <w:sz w:val="24"/>
          <w:szCs w:val="24"/>
        </w:rPr>
        <w:t>，倾角</w:t>
      </w:r>
      <w:r>
        <w:rPr>
          <w:rFonts w:hint="default" w:ascii="Times New Roman PS MT" w:hAnsi="Times New Roman PS MT" w:eastAsia="Times New Roman PS MT" w:cs="Times New Roman PS MT"/>
          <w:b w:val="0"/>
          <w:bCs w:val="0"/>
          <w:color w:val="000000"/>
          <w:sz w:val="24"/>
          <w:szCs w:val="24"/>
        </w:rPr>
        <w:t>60°</w:t>
      </w:r>
      <w:r>
        <w:rPr>
          <w:rFonts w:hint="eastAsia" w:ascii="宋体" w:hAnsi="宋体" w:eastAsia="宋体" w:cs="宋体"/>
          <w:b w:val="0"/>
          <w:bCs w:val="0"/>
          <w:color w:val="000000"/>
          <w:sz w:val="24"/>
          <w:szCs w:val="24"/>
        </w:rPr>
        <w:t>左右，破碎带宽</w:t>
      </w:r>
      <w:r>
        <w:rPr>
          <w:rFonts w:hint="default" w:ascii="Times New Roman PS MT" w:hAnsi="Times New Roman PS MT" w:eastAsia="Times New Roman PS MT" w:cs="Times New Roman PS MT"/>
          <w:b w:val="0"/>
          <w:bCs w:val="0"/>
          <w:color w:val="000000"/>
          <w:sz w:val="24"/>
          <w:szCs w:val="24"/>
        </w:rPr>
        <w:t>10</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30m</w:t>
      </w:r>
      <w:r>
        <w:rPr>
          <w:rFonts w:hint="eastAsia" w:ascii="宋体" w:hAnsi="宋体" w:eastAsia="宋体" w:cs="宋体"/>
          <w:b w:val="0"/>
          <w:bCs w:val="0"/>
          <w:color w:val="000000"/>
          <w:sz w:val="24"/>
          <w:szCs w:val="24"/>
        </w:rPr>
        <w:t>。在金沟河口一带，断裂错断了</w:t>
      </w:r>
      <w:r>
        <w:rPr>
          <w:rFonts w:hint="default" w:ascii="Times New Roman PS MT" w:hAnsi="Times New Roman PS MT" w:eastAsia="Times New Roman PS MT" w:cs="Times New Roman PS MT"/>
          <w:b w:val="0"/>
          <w:bCs w:val="0"/>
          <w:color w:val="000000"/>
          <w:sz w:val="24"/>
          <w:szCs w:val="24"/>
        </w:rPr>
        <w:t>I~Ⅲ</w:t>
      </w:r>
      <w:r>
        <w:rPr>
          <w:rFonts w:hint="eastAsia" w:ascii="宋体" w:hAnsi="宋体" w:eastAsia="宋体" w:cs="宋体"/>
          <w:b w:val="0"/>
          <w:bCs w:val="0"/>
          <w:color w:val="000000"/>
          <w:sz w:val="24"/>
          <w:szCs w:val="24"/>
        </w:rPr>
        <w:t xml:space="preserve">级阶地，形成断层陡坎，阶地越高陡坎越高，说明断裂有过多次活动，全新世以来仍有活动。 </w:t>
      </w:r>
    </w:p>
    <w:p w14:paraId="7FC334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宋体" w:hAnsi="宋体" w:eastAsia="宋体" w:cs="宋体"/>
          <w:b w:val="0"/>
          <w:bCs w:val="0"/>
          <w:color w:val="000000"/>
          <w:sz w:val="24"/>
          <w:szCs w:val="24"/>
        </w:rPr>
        <w:t>清水河子断裂（</w:t>
      </w:r>
      <w:r>
        <w:rPr>
          <w:rFonts w:hint="default" w:ascii="Times New Roman PS MT" w:hAnsi="Times New Roman PS MT" w:eastAsia="Times New Roman PS MT" w:cs="Times New Roman PS MT"/>
          <w:b w:val="0"/>
          <w:bCs w:val="0"/>
          <w:color w:val="000000"/>
          <w:sz w:val="24"/>
          <w:szCs w:val="24"/>
        </w:rPr>
        <w:t>F10</w:t>
      </w:r>
      <w:r>
        <w:rPr>
          <w:rFonts w:hint="eastAsia" w:ascii="宋体" w:hAnsi="宋体" w:eastAsia="宋体" w:cs="宋体"/>
          <w:b w:val="0"/>
          <w:bCs w:val="0"/>
          <w:color w:val="000000"/>
          <w:sz w:val="24"/>
          <w:szCs w:val="24"/>
        </w:rPr>
        <w:t>）：该断裂西起四棵树沙里克台南，经清水河、塔西河至头屯河中上游，总长</w:t>
      </w:r>
      <w:r>
        <w:rPr>
          <w:rFonts w:hint="default" w:ascii="Times New Roman PS MT" w:hAnsi="Times New Roman PS MT" w:eastAsia="Times New Roman PS MT" w:cs="Times New Roman PS MT"/>
          <w:b w:val="0"/>
          <w:bCs w:val="0"/>
          <w:color w:val="000000"/>
          <w:sz w:val="24"/>
          <w:szCs w:val="24"/>
        </w:rPr>
        <w:t>280km</w:t>
      </w:r>
      <w:r>
        <w:rPr>
          <w:rFonts w:hint="eastAsia" w:ascii="宋体" w:hAnsi="宋体" w:eastAsia="宋体" w:cs="宋体"/>
          <w:b w:val="0"/>
          <w:bCs w:val="0"/>
          <w:color w:val="000000"/>
          <w:sz w:val="24"/>
          <w:szCs w:val="24"/>
        </w:rPr>
        <w:t>，是乌鲁木齐山前坳陷与天山古生代造山带的分界断裂，控制断裂两侧地质构造和沉积构造。该断裂总体走向</w:t>
      </w:r>
      <w:r>
        <w:rPr>
          <w:rFonts w:hint="default" w:ascii="Times New Roman PS MT" w:hAnsi="Times New Roman PS MT" w:eastAsia="Times New Roman PS MT" w:cs="Times New Roman PS MT"/>
          <w:b w:val="0"/>
          <w:bCs w:val="0"/>
          <w:color w:val="000000"/>
          <w:sz w:val="24"/>
          <w:szCs w:val="24"/>
        </w:rPr>
        <w:t>280°</w:t>
      </w:r>
      <w:r>
        <w:rPr>
          <w:rFonts w:hint="eastAsia" w:ascii="宋体" w:hAnsi="宋体" w:eastAsia="宋体" w:cs="宋体"/>
          <w:b w:val="0"/>
          <w:bCs w:val="0"/>
          <w:color w:val="000000"/>
          <w:sz w:val="24"/>
          <w:szCs w:val="24"/>
        </w:rPr>
        <w:t>，断面南倾，倾角</w:t>
      </w:r>
      <w:r>
        <w:rPr>
          <w:rFonts w:hint="default" w:ascii="Times New Roman PS MT" w:hAnsi="Times New Roman PS MT" w:eastAsia="Times New Roman PS MT" w:cs="Times New Roman PS MT"/>
          <w:b w:val="0"/>
          <w:bCs w:val="0"/>
          <w:color w:val="000000"/>
          <w:sz w:val="24"/>
          <w:szCs w:val="24"/>
        </w:rPr>
        <w:t>45°~75°</w:t>
      </w:r>
      <w:r>
        <w:rPr>
          <w:rFonts w:hint="eastAsia" w:ascii="宋体" w:hAnsi="宋体" w:eastAsia="宋体" w:cs="宋体"/>
          <w:b w:val="0"/>
          <w:bCs w:val="0"/>
          <w:color w:val="000000"/>
          <w:sz w:val="24"/>
          <w:szCs w:val="24"/>
        </w:rPr>
        <w:t>，破碎带宽度</w:t>
      </w:r>
      <w:r>
        <w:rPr>
          <w:rFonts w:hint="default" w:ascii="Times New Roman PS MT" w:hAnsi="Times New Roman PS MT" w:eastAsia="Times New Roman PS MT" w:cs="Times New Roman PS MT"/>
          <w:b w:val="0"/>
          <w:bCs w:val="0"/>
          <w:color w:val="000000"/>
          <w:sz w:val="24"/>
          <w:szCs w:val="24"/>
        </w:rPr>
        <w:t>20</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100m</w:t>
      </w:r>
      <w:r>
        <w:rPr>
          <w:rFonts w:hint="eastAsia" w:ascii="宋体" w:hAnsi="宋体" w:eastAsia="宋体" w:cs="宋体"/>
          <w:b w:val="0"/>
          <w:bCs w:val="0"/>
          <w:color w:val="000000"/>
          <w:sz w:val="24"/>
          <w:szCs w:val="24"/>
        </w:rPr>
        <w:t>，多为古生界逆冲于中生界之上，具长期多次活动的特点。据国家地震局的有关文件，区域地震动峰值加速度为</w:t>
      </w:r>
      <w:r>
        <w:rPr>
          <w:rFonts w:hint="default" w:ascii="Times New Roman PS MT" w:hAnsi="Times New Roman PS MT" w:eastAsia="Times New Roman PS MT" w:cs="Times New Roman PS MT"/>
          <w:b w:val="0"/>
          <w:bCs w:val="0"/>
          <w:color w:val="000000"/>
          <w:sz w:val="24"/>
          <w:szCs w:val="24"/>
        </w:rPr>
        <w:t>0.10g</w:t>
      </w:r>
      <w:r>
        <w:rPr>
          <w:rFonts w:hint="eastAsia" w:ascii="宋体" w:hAnsi="宋体" w:eastAsia="宋体" w:cs="宋体"/>
          <w:b w:val="0"/>
          <w:bCs w:val="0"/>
          <w:color w:val="000000"/>
          <w:sz w:val="24"/>
          <w:szCs w:val="24"/>
        </w:rPr>
        <w:t>，反应谱特征周期值</w:t>
      </w:r>
      <w:r>
        <w:rPr>
          <w:rFonts w:hint="default" w:ascii="Times New Roman PS MT" w:hAnsi="Times New Roman PS MT" w:eastAsia="Times New Roman PS MT" w:cs="Times New Roman PS MT"/>
          <w:b w:val="0"/>
          <w:bCs w:val="0"/>
          <w:color w:val="000000"/>
          <w:sz w:val="24"/>
          <w:szCs w:val="24"/>
        </w:rPr>
        <w:t>0.65s</w:t>
      </w:r>
      <w:r>
        <w:rPr>
          <w:rFonts w:hint="eastAsia" w:ascii="宋体" w:hAnsi="宋体" w:eastAsia="宋体" w:cs="宋体"/>
          <w:b w:val="0"/>
          <w:bCs w:val="0"/>
          <w:color w:val="000000"/>
          <w:sz w:val="24"/>
          <w:szCs w:val="24"/>
        </w:rPr>
        <w:t>，对应地震烈度为</w:t>
      </w:r>
      <w:r>
        <w:rPr>
          <w:rFonts w:hint="default" w:ascii="Times New Roman PS MT" w:hAnsi="Times New Roman PS MT" w:eastAsia="Times New Roman PS MT" w:cs="Times New Roman PS MT"/>
          <w:b w:val="0"/>
          <w:bCs w:val="0"/>
          <w:color w:val="000000"/>
          <w:sz w:val="24"/>
          <w:szCs w:val="24"/>
        </w:rPr>
        <w:t>VII</w:t>
      </w:r>
      <w:r>
        <w:rPr>
          <w:rFonts w:hint="eastAsia" w:ascii="宋体" w:hAnsi="宋体" w:eastAsia="宋体" w:cs="宋体"/>
          <w:b w:val="0"/>
          <w:bCs w:val="0"/>
          <w:color w:val="000000"/>
          <w:sz w:val="24"/>
          <w:szCs w:val="24"/>
        </w:rPr>
        <w:t>度。</w:t>
      </w:r>
    </w:p>
    <w:p w14:paraId="662328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④</w:t>
      </w:r>
      <w:r>
        <w:rPr>
          <w:rFonts w:hint="eastAsia" w:ascii="Times New Roman" w:hAnsi="Times New Roman" w:eastAsia="宋体" w:cs="Times New Roman"/>
          <w:color w:val="auto"/>
          <w:kern w:val="2"/>
          <w:sz w:val="24"/>
          <w:szCs w:val="24"/>
          <w:lang w:val="en-US" w:eastAsia="zh-CN" w:bidi="ar-SA"/>
        </w:rPr>
        <w:t>区域水文地质条件</w:t>
      </w:r>
    </w:p>
    <w:p w14:paraId="7CCD8A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项目所在区域地处天山北麓准噶尔盆地西南边缘、奎屯河冲积平原的中下部，区域上属奎屯河水文地质单元，区域地质地貌具一般山前冲洪积倾斜砾质平原及第四纪积细土平原共有特征，即由山前冲洪积扇区（山前冲洪积倾斜砾质平原区）、扇缘溢出带区、冲积平原区和下游排泄区组成。</w:t>
      </w:r>
      <w:r>
        <w:rPr>
          <w:rFonts w:hint="eastAsia" w:ascii="宋体" w:hAnsi="宋体" w:cs="宋体"/>
          <w:b w:val="0"/>
          <w:bCs w:val="0"/>
          <w:color w:val="000000"/>
          <w:sz w:val="24"/>
          <w:szCs w:val="24"/>
          <w:lang w:eastAsia="zh-CN"/>
        </w:rPr>
        <w:t>具有</w:t>
      </w:r>
      <w:r>
        <w:rPr>
          <w:rFonts w:hint="eastAsia" w:ascii="宋体" w:hAnsi="宋体" w:eastAsia="宋体" w:cs="宋体"/>
          <w:b w:val="0"/>
          <w:bCs w:val="0"/>
          <w:color w:val="000000"/>
          <w:sz w:val="24"/>
          <w:szCs w:val="24"/>
        </w:rPr>
        <w:t>相对独立性，为一个较完整的水文地质单元。</w:t>
      </w:r>
    </w:p>
    <w:p w14:paraId="59983A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评价区地下水的赋存以平原区第四系孔隙水广泛分布为特点，受第四纪松散堆积层的控制。据</w:t>
      </w:r>
      <w:r>
        <w:rPr>
          <w:rFonts w:ascii="Times New Roman PS MT" w:hAnsi="Times New Roman PS MT" w:eastAsia="Times New Roman PS MT" w:cs="Times New Roman PS MT"/>
          <w:b w:val="0"/>
          <w:bCs w:val="0"/>
          <w:color w:val="000000"/>
          <w:sz w:val="24"/>
          <w:szCs w:val="24"/>
        </w:rPr>
        <w:t>1/20</w:t>
      </w:r>
      <w:r>
        <w:rPr>
          <w:rFonts w:hint="eastAsia" w:ascii="宋体" w:hAnsi="宋体" w:eastAsia="宋体" w:cs="宋体"/>
          <w:b w:val="0"/>
          <w:bCs w:val="0"/>
          <w:color w:val="000000"/>
          <w:sz w:val="24"/>
          <w:szCs w:val="24"/>
        </w:rPr>
        <w:t>万《区域水文地质普查报告》，第四纪松散堆积层厚度大于</w:t>
      </w:r>
      <w:r>
        <w:rPr>
          <w:rFonts w:hint="default" w:ascii="Times New Roman PS MT" w:hAnsi="Times New Roman PS MT" w:eastAsia="Times New Roman PS MT" w:cs="Times New Roman PS MT"/>
          <w:b w:val="0"/>
          <w:bCs w:val="0"/>
          <w:color w:val="000000"/>
          <w:sz w:val="24"/>
          <w:szCs w:val="24"/>
        </w:rPr>
        <w:t>300m</w:t>
      </w:r>
      <w:r>
        <w:rPr>
          <w:rFonts w:hint="eastAsia" w:ascii="宋体" w:hAnsi="宋体" w:eastAsia="宋体" w:cs="宋体"/>
          <w:b w:val="0"/>
          <w:bCs w:val="0"/>
          <w:color w:val="000000"/>
          <w:sz w:val="24"/>
          <w:szCs w:val="24"/>
        </w:rPr>
        <w:t>，其岩性主要为亚粘土、粘土与中细砂。评价区第四纪松散堆积层岩性以亚粘土、粘土为主，并夹砂砾石、粉土、粉质粘土。而上游区地下水的侧向流入及区内水库水、渠系水、农灌水的大量垂直入渗，使区内第四纪松散堆积层中赋存了丰富的孔隙水。评价区位于奎屯河冲积平原中下游的地下水径流区，地下水的径流方向由南向北，至黄沟一库处向北东向、北西向及正北方向呈散射状径流。第四纪地层具互层结构，中浅部主要以潜水含水层和微承压水含水层两种含水层类型并存，中深部可见多组承压含水层组。各类含水层组成颗粒由南向北逐渐变细，其水动力条件、含水层富水性随之</w:t>
      </w:r>
      <w:r>
        <w:rPr>
          <w:rFonts w:hint="eastAsia" w:ascii="宋体" w:hAnsi="宋体" w:cs="宋体"/>
          <w:b w:val="0"/>
          <w:bCs w:val="0"/>
          <w:color w:val="000000"/>
          <w:sz w:val="24"/>
          <w:szCs w:val="24"/>
          <w:lang w:eastAsia="zh-CN"/>
        </w:rPr>
        <w:t>减弱</w:t>
      </w:r>
      <w:r>
        <w:rPr>
          <w:rFonts w:hint="eastAsia" w:ascii="宋体" w:hAnsi="宋体" w:eastAsia="宋体" w:cs="宋体"/>
          <w:b w:val="0"/>
          <w:bCs w:val="0"/>
          <w:color w:val="000000"/>
          <w:sz w:val="24"/>
          <w:szCs w:val="24"/>
        </w:rPr>
        <w:t>。</w:t>
      </w:r>
      <w:r>
        <w:rPr>
          <w:rFonts w:hint="eastAsia" w:ascii="宋体" w:hAnsi="宋体" w:eastAsia="宋体" w:cs="宋体"/>
          <w:b w:val="0"/>
          <w:bCs w:val="0"/>
          <w:color w:val="000000"/>
          <w:sz w:val="24"/>
          <w:szCs w:val="24"/>
          <w:highlight w:val="none"/>
        </w:rPr>
        <w:t>潜水位</w:t>
      </w:r>
      <w:r>
        <w:rPr>
          <w:rFonts w:hint="eastAsia" w:ascii="宋体" w:hAnsi="宋体" w:eastAsia="宋体" w:cs="宋体"/>
          <w:b w:val="0"/>
          <w:bCs w:val="0"/>
          <w:color w:val="000000"/>
          <w:sz w:val="24"/>
          <w:szCs w:val="24"/>
        </w:rPr>
        <w:t xml:space="preserve">随着微地形的起伏及水文网分布的不同有一定的差异。 </w:t>
      </w:r>
    </w:p>
    <w:p w14:paraId="67DF66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eastAsia" w:cs="Times New Roman"/>
          <w:b w:val="0"/>
          <w:bCs w:val="0"/>
          <w:color w:val="000000"/>
          <w:sz w:val="24"/>
          <w:szCs w:val="24"/>
          <w:lang w:val="en-US" w:eastAsia="zh-CN"/>
        </w:rPr>
        <w:t>⑤</w:t>
      </w:r>
      <w:r>
        <w:rPr>
          <w:rFonts w:hint="default" w:ascii="Times New Roman" w:hAnsi="Times New Roman" w:eastAsia="宋体" w:cs="Times New Roman"/>
          <w:b w:val="0"/>
          <w:bCs w:val="0"/>
          <w:color w:val="000000"/>
          <w:sz w:val="24"/>
          <w:szCs w:val="24"/>
        </w:rPr>
        <w:t xml:space="preserve">地下水类型及富水性 </w:t>
      </w:r>
    </w:p>
    <w:p w14:paraId="150559E6">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 xml:space="preserve">沙丘地下水特征 </w:t>
      </w:r>
    </w:p>
    <w:p w14:paraId="3B1C1D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东部及北部古尔班通古特沙漠西缘的半固定沙垄和链状沙丘地带，均有沙丘潜水分布。沙丘高度一般</w:t>
      </w:r>
      <w:r>
        <w:rPr>
          <w:rFonts w:hint="default" w:ascii="Times New Roman PS MT" w:hAnsi="Times New Roman PS MT" w:eastAsia="Times New Roman PS MT" w:cs="Times New Roman PS MT"/>
          <w:b w:val="0"/>
          <w:bCs w:val="0"/>
          <w:color w:val="000000"/>
          <w:sz w:val="24"/>
          <w:szCs w:val="24"/>
        </w:rPr>
        <w:t>5</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10m</w:t>
      </w:r>
      <w:r>
        <w:rPr>
          <w:rFonts w:hint="eastAsia" w:ascii="宋体" w:hAnsi="宋体" w:eastAsia="宋体" w:cs="宋体"/>
          <w:b w:val="0"/>
          <w:bCs w:val="0"/>
          <w:color w:val="000000"/>
          <w:sz w:val="24"/>
          <w:szCs w:val="24"/>
        </w:rPr>
        <w:t>，由细砂组成。地下水赋存于沙丘间的低洼沙地，埋藏深度数米，矿化度一般大于</w:t>
      </w:r>
      <w:r>
        <w:rPr>
          <w:rFonts w:hint="default" w:ascii="Times New Roman PS MT" w:hAnsi="Times New Roman PS MT" w:eastAsia="Times New Roman PS MT" w:cs="Times New Roman PS MT"/>
          <w:b w:val="0"/>
          <w:bCs w:val="0"/>
          <w:color w:val="000000"/>
          <w:sz w:val="24"/>
          <w:szCs w:val="24"/>
        </w:rPr>
        <w:t>5g/L</w:t>
      </w:r>
      <w:r>
        <w:rPr>
          <w:rFonts w:hint="eastAsia" w:ascii="宋体" w:hAnsi="宋体" w:eastAsia="宋体" w:cs="宋体"/>
          <w:b w:val="0"/>
          <w:bCs w:val="0"/>
          <w:color w:val="000000"/>
          <w:sz w:val="24"/>
          <w:szCs w:val="24"/>
        </w:rPr>
        <w:t xml:space="preserve">。沙丘地下水的形成主要与区域地下水排泄、大气降水补给、长期蒸发浓缩等有关。 </w:t>
      </w:r>
    </w:p>
    <w:p w14:paraId="708CBE18">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000000"/>
          <w:sz w:val="24"/>
          <w:szCs w:val="24"/>
        </w:rPr>
      </w:pPr>
      <w:r>
        <w:rPr>
          <w:rFonts w:hint="eastAsia" w:ascii="Times New Roman" w:hAnsi="Times New Roman" w:eastAsia="宋体" w:cs="Times New Roman"/>
          <w:b w:val="0"/>
          <w:bCs w:val="0"/>
          <w:color w:val="000000"/>
          <w:sz w:val="24"/>
          <w:szCs w:val="24"/>
        </w:rPr>
        <w:t xml:space="preserve">平原地下水特征 </w:t>
      </w:r>
    </w:p>
    <w:p w14:paraId="6823EF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区域地处天山北麓准噶尔盆地西南边缘、奎屯河冲洪积平原的中下部，区域上属奎屯河水文地质单元，为一个较完整的水文地质单元。地层以中粗砂、细砂层和粉砂层为主，层间夹有粉土、粉质粘土和粘土，厚度大于</w:t>
      </w:r>
      <w:r>
        <w:rPr>
          <w:rFonts w:hint="default" w:ascii="Times New Roman PS MT" w:hAnsi="Times New Roman PS MT" w:eastAsia="Times New Roman PS MT" w:cs="Times New Roman PS MT"/>
          <w:b w:val="0"/>
          <w:bCs w:val="0"/>
          <w:color w:val="000000"/>
          <w:sz w:val="24"/>
          <w:szCs w:val="24"/>
        </w:rPr>
        <w:t>300m</w:t>
      </w:r>
      <w:r>
        <w:rPr>
          <w:rFonts w:hint="eastAsia" w:ascii="宋体" w:hAnsi="宋体" w:eastAsia="宋体" w:cs="宋体"/>
          <w:b w:val="0"/>
          <w:bCs w:val="0"/>
          <w:color w:val="000000"/>
          <w:sz w:val="24"/>
          <w:szCs w:val="24"/>
        </w:rPr>
        <w:t>，为本区地下水的赋存和运移提供了较好的空间。地下水属松散岩类孔隙水，径流方向大体为南向北，主要以潜水含水层和承压含水层两种含水层类型并存。总的来看，地下水自南向北赋存条件由好变差，含水层岩性颗粒大小、厚度均表现出由大到小的趋势。 根据本区含水层的埋藏条件、成因类型、水质情况等各项因素，在</w:t>
      </w:r>
      <w:r>
        <w:rPr>
          <w:rFonts w:hint="default" w:ascii="Times New Roman PS MT" w:hAnsi="Times New Roman PS MT" w:eastAsia="Times New Roman PS MT" w:cs="Times New Roman PS MT"/>
          <w:b w:val="0"/>
          <w:bCs w:val="0"/>
          <w:color w:val="000000"/>
          <w:sz w:val="24"/>
          <w:szCs w:val="24"/>
        </w:rPr>
        <w:t>300m</w:t>
      </w:r>
      <w:r>
        <w:rPr>
          <w:rFonts w:hint="eastAsia" w:ascii="宋体" w:hAnsi="宋体" w:eastAsia="宋体" w:cs="宋体"/>
          <w:b w:val="0"/>
          <w:bCs w:val="0"/>
          <w:color w:val="000000"/>
          <w:sz w:val="24"/>
          <w:szCs w:val="24"/>
        </w:rPr>
        <w:t>深度内概化为潜水含水层和承压水含水层。</w:t>
      </w:r>
    </w:p>
    <w:p w14:paraId="416DC4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rPr>
        <w:t xml:space="preserve"> </w:t>
      </w:r>
      <w:r>
        <w:rPr>
          <w:rFonts w:hint="default" w:ascii="Times New Roman PS MT" w:hAnsi="Times New Roman PS MT" w:eastAsia="Times New Roman PS MT" w:cs="Times New Roman PS MT"/>
          <w:b w:val="0"/>
          <w:bCs w:val="0"/>
          <w:color w:val="000000"/>
          <w:sz w:val="24"/>
          <w:szCs w:val="24"/>
        </w:rPr>
        <w:t>1</w:t>
      </w:r>
      <w:r>
        <w:rPr>
          <w:rFonts w:hint="eastAsia" w:ascii="宋体" w:hAnsi="宋体" w:eastAsia="宋体" w:cs="宋体"/>
          <w:b w:val="0"/>
          <w:bCs w:val="0"/>
          <w:color w:val="000000"/>
          <w:sz w:val="24"/>
          <w:szCs w:val="24"/>
        </w:rPr>
        <w:t>）潜水含水层</w:t>
      </w:r>
    </w:p>
    <w:p w14:paraId="4C8F0A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区域地层地表以粉土及细砂为主，层厚20～30m，为弱透水层，潜水含水层主要分布在</w:t>
      </w:r>
      <w:r>
        <w:rPr>
          <w:rFonts w:hint="eastAsia" w:cs="Times New Roman"/>
          <w:color w:val="000000"/>
          <w:sz w:val="24"/>
          <w:szCs w:val="24"/>
          <w:highlight w:val="none"/>
          <w:lang w:val="en-US" w:eastAsia="zh-CN"/>
        </w:rPr>
        <w:t>12—23</w:t>
      </w:r>
      <w:r>
        <w:rPr>
          <w:rFonts w:hint="eastAsia" w:cs="Times New Roman"/>
          <w:color w:val="auto"/>
          <w:kern w:val="2"/>
          <w:sz w:val="24"/>
          <w:szCs w:val="24"/>
          <w:lang w:val="en-US" w:eastAsia="zh-CN" w:bidi="ar-SA"/>
        </w:rPr>
        <w:t>m，含水砂层3~6层，岩性以粉细砂为主，总厚度约10～18m，中间夹厚度不等的粉土或粉质粘土弱透水层，潜水含水层底板埋深50～70m，在此深度之上无稳定隔水层。根据区内水文孔换算为200mm管径，推测5m降深出水量，区内浅层含水层在西部一带单孔出水量100~1000m</w:t>
      </w:r>
      <w:r>
        <w:rPr>
          <w:rFonts w:hint="eastAsia" w:cs="Times New Roman"/>
          <w:color w:val="auto"/>
          <w:kern w:val="2"/>
          <w:sz w:val="24"/>
          <w:szCs w:val="24"/>
          <w:vertAlign w:val="superscript"/>
          <w:lang w:val="en-US" w:eastAsia="zh-CN" w:bidi="ar-SA"/>
        </w:rPr>
        <w:t>3</w:t>
      </w:r>
      <w:r>
        <w:rPr>
          <w:rFonts w:hint="eastAsia" w:cs="Times New Roman"/>
          <w:color w:val="auto"/>
          <w:kern w:val="2"/>
          <w:sz w:val="24"/>
          <w:szCs w:val="24"/>
          <w:lang w:val="en-US" w:eastAsia="zh-CN" w:bidi="ar-SA"/>
        </w:rPr>
        <w:t>/d，中南部出水量较少，小于100m</w:t>
      </w:r>
      <w:r>
        <w:rPr>
          <w:rFonts w:hint="eastAsia" w:cs="Times New Roman"/>
          <w:color w:val="auto"/>
          <w:kern w:val="2"/>
          <w:sz w:val="24"/>
          <w:szCs w:val="24"/>
          <w:vertAlign w:val="superscript"/>
          <w:lang w:val="en-US" w:eastAsia="zh-CN" w:bidi="ar-SA"/>
        </w:rPr>
        <w:t>3</w:t>
      </w:r>
      <w:r>
        <w:rPr>
          <w:rFonts w:hint="eastAsia" w:cs="Times New Roman"/>
          <w:color w:val="auto"/>
          <w:kern w:val="2"/>
          <w:sz w:val="24"/>
          <w:szCs w:val="24"/>
          <w:lang w:val="en-US" w:eastAsia="zh-CN" w:bidi="ar-SA"/>
        </w:rPr>
        <w:t>/d。矿化度除在西部一二九团、三角庄一带小于3g/L外，其他广大地区大于3g/L。水化学类型大部分为SO</w:t>
      </w:r>
      <w:r>
        <w:rPr>
          <w:rFonts w:hint="eastAsia" w:cs="Times New Roman"/>
          <w:color w:val="auto"/>
          <w:kern w:val="2"/>
          <w:sz w:val="24"/>
          <w:szCs w:val="24"/>
          <w:vertAlign w:val="subscript"/>
          <w:lang w:val="en-US" w:eastAsia="zh-CN" w:bidi="ar-SA"/>
        </w:rPr>
        <w:t>4</w:t>
      </w:r>
      <w:r>
        <w:rPr>
          <w:rFonts w:hint="eastAsia" w:cs="Times New Roman"/>
          <w:color w:val="auto"/>
          <w:kern w:val="2"/>
          <w:sz w:val="24"/>
          <w:szCs w:val="24"/>
          <w:lang w:val="en-US" w:eastAsia="zh-CN" w:bidi="ar-SA"/>
        </w:rPr>
        <w:t>·Cl-Na·Ca（或 Ca·Na）型水，西部零星分布Cl·HCO</w:t>
      </w:r>
      <w:r>
        <w:rPr>
          <w:rFonts w:hint="eastAsia" w:cs="Times New Roman"/>
          <w:color w:val="auto"/>
          <w:kern w:val="2"/>
          <w:sz w:val="24"/>
          <w:szCs w:val="24"/>
          <w:vertAlign w:val="subscript"/>
          <w:lang w:val="en-US" w:eastAsia="zh-CN" w:bidi="ar-SA"/>
        </w:rPr>
        <w:t>3</w:t>
      </w:r>
      <w:r>
        <w:rPr>
          <w:rFonts w:hint="eastAsia" w:cs="Times New Roman"/>
          <w:color w:val="auto"/>
          <w:kern w:val="2"/>
          <w:sz w:val="24"/>
          <w:szCs w:val="24"/>
          <w:lang w:val="en-US" w:eastAsia="zh-CN" w:bidi="ar-SA"/>
        </w:rPr>
        <w:t>·SO</w:t>
      </w:r>
      <w:r>
        <w:rPr>
          <w:rFonts w:hint="eastAsia" w:cs="Times New Roman"/>
          <w:color w:val="auto"/>
          <w:kern w:val="2"/>
          <w:sz w:val="24"/>
          <w:szCs w:val="24"/>
          <w:vertAlign w:val="subscript"/>
          <w:lang w:val="en-US" w:eastAsia="zh-CN" w:bidi="ar-SA"/>
        </w:rPr>
        <w:t>4</w:t>
      </w:r>
      <w:r>
        <w:rPr>
          <w:rFonts w:hint="eastAsia" w:cs="Times New Roman"/>
          <w:color w:val="auto"/>
          <w:kern w:val="2"/>
          <w:sz w:val="24"/>
          <w:szCs w:val="24"/>
          <w:lang w:val="en-US" w:eastAsia="zh-CN" w:bidi="ar-SA"/>
        </w:rPr>
        <w:t>-Na或SO</w:t>
      </w:r>
      <w:r>
        <w:rPr>
          <w:rFonts w:hint="eastAsia" w:cs="Times New Roman"/>
          <w:color w:val="auto"/>
          <w:kern w:val="2"/>
          <w:sz w:val="24"/>
          <w:szCs w:val="24"/>
          <w:vertAlign w:val="subscript"/>
          <w:lang w:val="en-US" w:eastAsia="zh-CN" w:bidi="ar-SA"/>
        </w:rPr>
        <w:t>4</w:t>
      </w:r>
      <w:r>
        <w:rPr>
          <w:rFonts w:hint="eastAsia" w:cs="Times New Roman"/>
          <w:color w:val="auto"/>
          <w:kern w:val="2"/>
          <w:sz w:val="24"/>
          <w:szCs w:val="24"/>
          <w:lang w:val="en-US" w:eastAsia="zh-CN" w:bidi="ar-SA"/>
        </w:rPr>
        <w:t xml:space="preserve">·Cl-Na型水。 </w:t>
      </w:r>
    </w:p>
    <w:p w14:paraId="3A554CB2">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承压含水层 </w:t>
      </w:r>
    </w:p>
    <w:p w14:paraId="1F95AB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300m深度内可见承压含水层组三组。第一组承压含水层的隔水顶板埋深为60～77m，含水层厚度为53～70m，岩性以粉细砂为主，底板埋深为120～139m。 第一组承压含水层的隔水底板亦为第二组承压含水层的隔水顶板，含水层厚度4～22m，含水层岩性为粉细砂，隔水底板埋深为183～193m，厚度为11～6m，岩性为粉质粘土。第二组承压含水层底板以下至300m之间为第三组承压含水层，含水层岩性为细砂及中细砂。根据区水文孔换算为200mm管径，推测5m降深出水量，区内承压含水层单孔出水量为100~1000m</w:t>
      </w:r>
      <w:r>
        <w:rPr>
          <w:rFonts w:hint="eastAsia" w:cs="Times New Roman"/>
          <w:color w:val="auto"/>
          <w:kern w:val="2"/>
          <w:sz w:val="24"/>
          <w:szCs w:val="24"/>
          <w:vertAlign w:val="superscript"/>
          <w:lang w:val="en-US" w:eastAsia="zh-CN" w:bidi="ar-SA"/>
        </w:rPr>
        <w:t>3</w:t>
      </w:r>
      <w:r>
        <w:rPr>
          <w:rFonts w:hint="eastAsia" w:cs="Times New Roman"/>
          <w:color w:val="auto"/>
          <w:kern w:val="2"/>
          <w:sz w:val="24"/>
          <w:szCs w:val="24"/>
          <w:lang w:val="en-US" w:eastAsia="zh-CN" w:bidi="ar-SA"/>
        </w:rPr>
        <w:t>/d，单位涌水量为0.348～0.968L/m-s。矿化度基本小于1.0g/L，但大部分氟离子含量超标，水化学类型为HCO</w:t>
      </w:r>
      <w:r>
        <w:rPr>
          <w:rFonts w:hint="eastAsia" w:cs="Times New Roman"/>
          <w:color w:val="auto"/>
          <w:kern w:val="2"/>
          <w:sz w:val="24"/>
          <w:szCs w:val="24"/>
          <w:vertAlign w:val="subscript"/>
          <w:lang w:val="en-US" w:eastAsia="zh-CN" w:bidi="ar-SA"/>
        </w:rPr>
        <w:t>3</w:t>
      </w:r>
      <w:r>
        <w:rPr>
          <w:rFonts w:hint="eastAsia" w:cs="Times New Roman"/>
          <w:color w:val="auto"/>
          <w:kern w:val="2"/>
          <w:sz w:val="24"/>
          <w:szCs w:val="24"/>
          <w:lang w:val="en-US" w:eastAsia="zh-CN" w:bidi="ar-SA"/>
        </w:rPr>
        <w:t>·SO</w:t>
      </w:r>
      <w:r>
        <w:rPr>
          <w:rFonts w:hint="eastAsia" w:cs="Times New Roman"/>
          <w:color w:val="auto"/>
          <w:kern w:val="2"/>
          <w:sz w:val="24"/>
          <w:szCs w:val="24"/>
          <w:vertAlign w:val="subscript"/>
          <w:lang w:val="en-US" w:eastAsia="zh-CN" w:bidi="ar-SA"/>
        </w:rPr>
        <w:t>4</w:t>
      </w:r>
      <w:r>
        <w:rPr>
          <w:rFonts w:hint="eastAsia" w:cs="Times New Roman"/>
          <w:color w:val="auto"/>
          <w:kern w:val="2"/>
          <w:sz w:val="24"/>
          <w:szCs w:val="24"/>
          <w:lang w:val="en-US" w:eastAsia="zh-CN" w:bidi="ar-SA"/>
        </w:rPr>
        <w:t>-Na或HCO</w:t>
      </w:r>
      <w:r>
        <w:rPr>
          <w:rFonts w:hint="eastAsia" w:cs="Times New Roman"/>
          <w:color w:val="auto"/>
          <w:kern w:val="2"/>
          <w:sz w:val="24"/>
          <w:szCs w:val="24"/>
          <w:vertAlign w:val="subscript"/>
          <w:lang w:val="en-US" w:eastAsia="zh-CN" w:bidi="ar-SA"/>
        </w:rPr>
        <w:t>3</w:t>
      </w:r>
      <w:r>
        <w:rPr>
          <w:rFonts w:hint="eastAsia" w:cs="Times New Roman"/>
          <w:color w:val="auto"/>
          <w:kern w:val="2"/>
          <w:sz w:val="24"/>
          <w:szCs w:val="24"/>
          <w:lang w:val="en-US" w:eastAsia="zh-CN" w:bidi="ar-SA"/>
        </w:rPr>
        <w:t xml:space="preserve">-Na型水。据前人抽水试验结果，渗透系数为5.16～5.98m/d。 </w:t>
      </w:r>
    </w:p>
    <w:p w14:paraId="150D26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⑥地下水补、迳、排特征 </w:t>
      </w:r>
    </w:p>
    <w:p w14:paraId="178A27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1）地下水的补给 </w:t>
      </w:r>
    </w:p>
    <w:p w14:paraId="1B89F7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区域地下水的补给主要是侧向径流补给、地表水的垂向入渗补给和大气降水渗入补给，其中地表水的垂向入渗补给包括渠道水、田间灌溉水和水库水三种渗入补给。 </w:t>
      </w:r>
    </w:p>
    <w:p w14:paraId="0DEF56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A.地下水侧向流入补给</w:t>
      </w:r>
    </w:p>
    <w:p w14:paraId="13C24A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cs="Times New Roman"/>
          <w:color w:val="auto"/>
          <w:kern w:val="2"/>
          <w:sz w:val="24"/>
          <w:szCs w:val="24"/>
          <w:lang w:val="en-US" w:eastAsia="zh-CN" w:bidi="ar-SA"/>
        </w:rPr>
        <w:t>区域南界为地下水流入断面，断面以南为地貌上属冲洪积倾斜平原区的扇缘溢出带区。该地貌单元地层颗粒相对较粗，地层结构较为单一，渗透性较好。地</w:t>
      </w:r>
      <w:r>
        <w:rPr>
          <w:rFonts w:hint="eastAsia" w:ascii="宋体" w:hAnsi="宋体" w:eastAsia="宋体" w:cs="宋体"/>
          <w:b w:val="0"/>
          <w:bCs w:val="0"/>
          <w:color w:val="000000"/>
          <w:sz w:val="24"/>
          <w:szCs w:val="24"/>
        </w:rPr>
        <w:t xml:space="preserve">下水在接受了大量补给后，受较大的水力坡度和较粗的含水层岩性的影响以径流形式侧向补给下游区。 </w:t>
      </w:r>
    </w:p>
    <w:p w14:paraId="14DD43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B.渠道水渗入补给 </w:t>
      </w:r>
    </w:p>
    <w:p w14:paraId="4B66A0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区域</w:t>
      </w:r>
      <w:r>
        <w:rPr>
          <w:rFonts w:hint="eastAsia" w:ascii="宋体" w:hAnsi="宋体" w:cs="宋体"/>
          <w:b w:val="0"/>
          <w:bCs w:val="0"/>
          <w:color w:val="000000"/>
          <w:sz w:val="24"/>
          <w:szCs w:val="24"/>
          <w:lang w:val="en-US" w:eastAsia="zh-CN"/>
        </w:rPr>
        <w:t>有</w:t>
      </w:r>
      <w:r>
        <w:rPr>
          <w:rFonts w:hint="eastAsia" w:ascii="宋体" w:hAnsi="宋体" w:eastAsia="宋体" w:cs="宋体"/>
          <w:b w:val="0"/>
          <w:bCs w:val="0"/>
          <w:color w:val="000000"/>
          <w:sz w:val="24"/>
          <w:szCs w:val="24"/>
        </w:rPr>
        <w:t xml:space="preserve">三条输至下游水库及团场的大型过境引水干渠，由此形成测区各级渠道纵横交错的水系网，过境干渠及区内使用渠道总长度为数千公里。渠道防渗完好率仅占一半，干、支渠输水线路长，各渠床及渠堤土质多为粉土，各级渠系年引水量大，使渠道渗漏成为区内潜水及中浅微承压水主要的补给源。 </w:t>
      </w:r>
    </w:p>
    <w:p w14:paraId="04A098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C.田间灌溉水渗入补给 </w:t>
      </w:r>
    </w:p>
    <w:p w14:paraId="1B20F9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区内耕作层多为粉土与粉细砂、粉质粘土交互沉积组成，渗透性较好。本区现状综合净灌定额相对较高，由此与耕作层及包气带良好的渗透性相结合，使田间灌溉水渗入条件较好，渗入量较为可观，成为地下水的主要补给源之一。 </w:t>
      </w:r>
    </w:p>
    <w:p w14:paraId="1110A9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D.水库水入渗补给 </w:t>
      </w:r>
    </w:p>
    <w:p w14:paraId="351E40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第七师</w:t>
      </w:r>
      <w:r>
        <w:rPr>
          <w:rFonts w:hint="eastAsia" w:ascii="宋体" w:hAnsi="宋体" w:eastAsia="宋体" w:cs="宋体"/>
          <w:b w:val="0"/>
          <w:bCs w:val="0"/>
          <w:color w:val="000000"/>
          <w:sz w:val="24"/>
          <w:szCs w:val="24"/>
        </w:rPr>
        <w:t>分布两座水库，总有效库容为</w:t>
      </w:r>
      <w:r>
        <w:rPr>
          <w:rFonts w:hint="default" w:ascii="Times New Roman PS MT" w:hAnsi="Times New Roman PS MT" w:eastAsia="Times New Roman PS MT" w:cs="Times New Roman PS MT"/>
          <w:b w:val="0"/>
          <w:bCs w:val="0"/>
          <w:color w:val="000000"/>
          <w:sz w:val="24"/>
          <w:szCs w:val="24"/>
        </w:rPr>
        <w:t>5700</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10</w:t>
      </w:r>
      <w:r>
        <w:rPr>
          <w:rFonts w:hint="eastAsia" w:ascii="Times New Roman PS MT" w:hAnsi="Times New Roman PS MT" w:eastAsia="宋体" w:cs="Times New Roman PS MT"/>
          <w:b w:val="0"/>
          <w:bCs w:val="0"/>
          <w:color w:val="000000"/>
          <w:sz w:val="24"/>
          <w:szCs w:val="24"/>
          <w:lang w:val="en-US" w:eastAsia="zh-CN"/>
        </w:rPr>
        <w:t>m</w:t>
      </w:r>
      <w:r>
        <w:rPr>
          <w:rFonts w:hint="eastAsia" w:ascii="Times New Roman PS MT" w:hAnsi="Times New Roman PS MT" w:eastAsia="宋体" w:cs="Times New Roman PS MT"/>
          <w:b w:val="0"/>
          <w:bCs w:val="0"/>
          <w:color w:val="000000"/>
          <w:sz w:val="24"/>
          <w:szCs w:val="24"/>
          <w:vertAlign w:val="superscript"/>
          <w:lang w:val="en-US" w:eastAsia="zh-CN"/>
        </w:rPr>
        <w:t>3</w:t>
      </w:r>
      <w:r>
        <w:rPr>
          <w:rFonts w:hint="eastAsia" w:ascii="宋体" w:hAnsi="宋体" w:eastAsia="宋体" w:cs="宋体"/>
          <w:b w:val="0"/>
          <w:bCs w:val="0"/>
          <w:color w:val="000000"/>
          <w:sz w:val="24"/>
          <w:szCs w:val="24"/>
        </w:rPr>
        <w:t>。根据前人实测，水库坝后形成的宽度</w:t>
      </w:r>
      <w:r>
        <w:rPr>
          <w:rFonts w:hint="default" w:ascii="Times New Roman PS MT" w:hAnsi="Times New Roman PS MT" w:eastAsia="Times New Roman PS MT" w:cs="Times New Roman PS MT"/>
          <w:b w:val="0"/>
          <w:bCs w:val="0"/>
          <w:color w:val="000000"/>
          <w:sz w:val="24"/>
          <w:szCs w:val="24"/>
        </w:rPr>
        <w:t>200</w:t>
      </w:r>
      <w:r>
        <w:rPr>
          <w:rFonts w:hint="eastAsia" w:ascii="Times New Roman PS MT" w:hAnsi="Times New Roman PS MT" w:eastAsia="宋体" w:cs="Times New Roman PS MT"/>
          <w:b w:val="0"/>
          <w:bCs w:val="0"/>
          <w:color w:val="000000"/>
          <w:sz w:val="24"/>
          <w:szCs w:val="24"/>
          <w:lang w:eastAsia="zh-CN"/>
        </w:rPr>
        <w:t>～</w:t>
      </w:r>
      <w:r>
        <w:rPr>
          <w:rFonts w:hint="default" w:ascii="Times New Roman PS MT" w:hAnsi="Times New Roman PS MT" w:eastAsia="Times New Roman PS MT" w:cs="Times New Roman PS MT"/>
          <w:b w:val="0"/>
          <w:bCs w:val="0"/>
          <w:color w:val="000000"/>
          <w:sz w:val="24"/>
          <w:szCs w:val="24"/>
        </w:rPr>
        <w:t>500m</w:t>
      </w:r>
      <w:r>
        <w:rPr>
          <w:rFonts w:hint="eastAsia" w:ascii="宋体" w:hAnsi="宋体" w:eastAsia="宋体" w:cs="宋体"/>
          <w:b w:val="0"/>
          <w:bCs w:val="0"/>
          <w:color w:val="000000"/>
          <w:sz w:val="24"/>
          <w:szCs w:val="24"/>
        </w:rPr>
        <w:t xml:space="preserve">等的沼泽化带，表明库区及坝体存在着渗漏，对地下水起着重要补给作用。 </w:t>
      </w:r>
    </w:p>
    <w:p w14:paraId="536435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2）大气降水渗入补给 </w:t>
      </w:r>
    </w:p>
    <w:p w14:paraId="0929F7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区内地处内陆腹地，气候干旱，降水稀少，多年平均降水量仅为</w:t>
      </w:r>
      <w:r>
        <w:rPr>
          <w:rFonts w:hint="default" w:ascii="Times New Roman PS MT" w:hAnsi="Times New Roman PS MT" w:eastAsia="Times New Roman PS MT" w:cs="Times New Roman PS MT"/>
          <w:b w:val="0"/>
          <w:bCs w:val="0"/>
          <w:color w:val="000000"/>
          <w:sz w:val="24"/>
          <w:szCs w:val="24"/>
        </w:rPr>
        <w:t>204.5mm</w:t>
      </w:r>
      <w:r>
        <w:rPr>
          <w:rFonts w:hint="eastAsia" w:ascii="宋体" w:hAnsi="宋体" w:eastAsia="宋体" w:cs="宋体"/>
          <w:b w:val="0"/>
          <w:bCs w:val="0"/>
          <w:color w:val="000000"/>
          <w:sz w:val="24"/>
          <w:szCs w:val="24"/>
        </w:rPr>
        <w:t>，有效降雨量为</w:t>
      </w:r>
      <w:r>
        <w:rPr>
          <w:rFonts w:hint="default" w:ascii="Times New Roman PS MT" w:hAnsi="Times New Roman PS MT" w:eastAsia="Times New Roman PS MT" w:cs="Times New Roman PS MT"/>
          <w:b w:val="0"/>
          <w:bCs w:val="0"/>
          <w:color w:val="000000"/>
          <w:sz w:val="24"/>
          <w:szCs w:val="24"/>
        </w:rPr>
        <w:t>135.3mm</w:t>
      </w:r>
      <w:r>
        <w:rPr>
          <w:rFonts w:hint="eastAsia" w:ascii="宋体" w:hAnsi="宋体" w:eastAsia="宋体" w:cs="宋体"/>
          <w:b w:val="0"/>
          <w:bCs w:val="0"/>
          <w:color w:val="000000"/>
          <w:sz w:val="24"/>
          <w:szCs w:val="24"/>
        </w:rPr>
        <w:t xml:space="preserve">，虽对地下水有一定渗入补给，但补给量较少。 </w:t>
      </w:r>
    </w:p>
    <w:p w14:paraId="33256F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 xml:space="preserve">3）地下水径流 </w:t>
      </w:r>
    </w:p>
    <w:p w14:paraId="72AC39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地下水的径流条件主要受地形条件和含水层介质所控制。测区地形开阔，地势东南高、西北低，地形坡降</w:t>
      </w:r>
      <w:r>
        <w:rPr>
          <w:rFonts w:hint="default" w:ascii="Times New Roman PS MT" w:hAnsi="Times New Roman PS MT" w:eastAsia="Times New Roman PS MT" w:cs="Times New Roman PS MT"/>
          <w:b w:val="0"/>
          <w:bCs w:val="0"/>
          <w:color w:val="000000"/>
          <w:sz w:val="24"/>
          <w:szCs w:val="24"/>
        </w:rPr>
        <w:t>1‰~2‰</w:t>
      </w:r>
      <w:r>
        <w:rPr>
          <w:rFonts w:hint="eastAsia" w:ascii="宋体" w:hAnsi="宋体" w:eastAsia="宋体" w:cs="宋体"/>
          <w:b w:val="0"/>
          <w:bCs w:val="0"/>
          <w:color w:val="000000"/>
          <w:sz w:val="24"/>
          <w:szCs w:val="24"/>
        </w:rPr>
        <w:t>。含水介质以细砂和粉细砂为主，由南向北逐渐变细，但其总体在平面上径流条件相差不大。区内潜水和承压水主流方向基本一致，均为由南向北，稍偏西，总体来说区内地下水流场较为简单。潜水由本区南部边界流入测区，南部水力坡度约为</w:t>
      </w:r>
      <w:r>
        <w:rPr>
          <w:rFonts w:hint="default" w:ascii="Times New Roman PS MT" w:hAnsi="Times New Roman PS MT" w:eastAsia="Times New Roman PS MT" w:cs="Times New Roman PS MT"/>
          <w:b w:val="0"/>
          <w:bCs w:val="0"/>
          <w:color w:val="000000"/>
          <w:sz w:val="24"/>
          <w:szCs w:val="24"/>
        </w:rPr>
        <w:t>1‰</w:t>
      </w:r>
      <w:r>
        <w:rPr>
          <w:rFonts w:hint="eastAsia" w:ascii="宋体" w:hAnsi="宋体" w:eastAsia="宋体" w:cs="宋体"/>
          <w:b w:val="0"/>
          <w:bCs w:val="0"/>
          <w:color w:val="000000"/>
          <w:sz w:val="24"/>
          <w:szCs w:val="24"/>
        </w:rPr>
        <w:t>，中东部由于受渠水、田灌水入渗及人工开采影响，地下水径流相对加强，水力坡度增大到</w:t>
      </w:r>
      <w:r>
        <w:rPr>
          <w:rFonts w:hint="default" w:ascii="Times New Roman PS MT" w:hAnsi="Times New Roman PS MT" w:eastAsia="Times New Roman PS MT" w:cs="Times New Roman PS MT"/>
          <w:b w:val="0"/>
          <w:bCs w:val="0"/>
          <w:color w:val="000000"/>
          <w:sz w:val="24"/>
          <w:szCs w:val="24"/>
        </w:rPr>
        <w:t>2‰</w:t>
      </w:r>
      <w:r>
        <w:rPr>
          <w:rFonts w:hint="eastAsia" w:ascii="宋体" w:hAnsi="宋体" w:eastAsia="宋体" w:cs="宋体"/>
          <w:b w:val="0"/>
          <w:bCs w:val="0"/>
          <w:color w:val="000000"/>
          <w:sz w:val="24"/>
          <w:szCs w:val="24"/>
        </w:rPr>
        <w:t>左右，至北部径流放缓，降为</w:t>
      </w:r>
      <w:r>
        <w:rPr>
          <w:rFonts w:hint="default" w:ascii="Times New Roman PS MT" w:hAnsi="Times New Roman PS MT" w:eastAsia="Times New Roman PS MT" w:cs="Times New Roman PS MT"/>
          <w:b w:val="0"/>
          <w:bCs w:val="0"/>
          <w:color w:val="000000"/>
          <w:sz w:val="24"/>
          <w:szCs w:val="24"/>
        </w:rPr>
        <w:t>1‰</w:t>
      </w:r>
      <w:r>
        <w:rPr>
          <w:rFonts w:hint="eastAsia" w:ascii="宋体" w:hAnsi="宋体" w:eastAsia="宋体" w:cs="宋体"/>
          <w:b w:val="0"/>
          <w:bCs w:val="0"/>
          <w:color w:val="000000"/>
          <w:sz w:val="24"/>
          <w:szCs w:val="24"/>
        </w:rPr>
        <w:t>左右。承压水径流因受开采强度影响，较潜水径流较快，但较为稳定，水力坡度平均为</w:t>
      </w:r>
      <w:r>
        <w:rPr>
          <w:rFonts w:hint="default" w:ascii="Times New Roman PS MT" w:hAnsi="Times New Roman PS MT" w:eastAsia="Times New Roman PS MT" w:cs="Times New Roman PS MT"/>
          <w:b w:val="0"/>
          <w:bCs w:val="0"/>
          <w:color w:val="000000"/>
          <w:sz w:val="24"/>
          <w:szCs w:val="24"/>
        </w:rPr>
        <w:t>1.6‰</w:t>
      </w:r>
      <w:r>
        <w:rPr>
          <w:rFonts w:hint="eastAsia" w:ascii="宋体" w:hAnsi="宋体" w:eastAsia="宋体" w:cs="宋体"/>
          <w:b w:val="0"/>
          <w:bCs w:val="0"/>
          <w:color w:val="000000"/>
          <w:sz w:val="24"/>
          <w:szCs w:val="24"/>
        </w:rPr>
        <w:t xml:space="preserve">。 </w:t>
      </w:r>
    </w:p>
    <w:p w14:paraId="364D70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4）地下水的排泄</w:t>
      </w:r>
    </w:p>
    <w:p w14:paraId="30098F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区内潜水的排泄方式有蒸发蒸腾、河沟排泄、排渠排泄、地下水侧向排泄及人工开采等，承压水则主要为地下水侧向排泄及人工开采。</w:t>
      </w:r>
    </w:p>
    <w:p w14:paraId="424DCB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本区水面多年蒸发量由奎屯气象站和车牌子气象站实测平均</w:t>
      </w:r>
      <w:r>
        <w:rPr>
          <w:rFonts w:ascii="Times New Roman PS MT" w:hAnsi="Times New Roman PS MT" w:eastAsia="Times New Roman PS MT" w:cs="Times New Roman PS MT"/>
          <w:b w:val="0"/>
          <w:bCs w:val="0"/>
          <w:color w:val="000000"/>
          <w:sz w:val="24"/>
          <w:szCs w:val="24"/>
        </w:rPr>
        <w:t>1758.7</w:t>
      </w:r>
      <w:r>
        <w:rPr>
          <w:rFonts w:hint="eastAsia" w:ascii="宋体" w:hAnsi="宋体" w:eastAsia="宋体" w:cs="宋体"/>
          <w:b w:val="0"/>
          <w:bCs w:val="0"/>
          <w:color w:val="000000"/>
          <w:sz w:val="24"/>
          <w:szCs w:val="24"/>
        </w:rPr>
        <w:t>（</w:t>
      </w:r>
      <w:r>
        <w:rPr>
          <w:rFonts w:hint="default" w:ascii="Times New Roman PS MT" w:hAnsi="Times New Roman PS MT" w:eastAsia="Times New Roman PS MT" w:cs="Times New Roman PS MT"/>
          <w:b w:val="0"/>
          <w:bCs w:val="0"/>
          <w:color w:val="000000"/>
          <w:sz w:val="24"/>
          <w:szCs w:val="24"/>
        </w:rPr>
        <w:t>E20</w:t>
      </w:r>
      <w:r>
        <w:rPr>
          <w:rFonts w:hint="eastAsia" w:ascii="宋体" w:hAnsi="宋体" w:eastAsia="宋体" w:cs="宋体"/>
          <w:b w:val="0"/>
          <w:bCs w:val="0"/>
          <w:color w:val="000000"/>
          <w:sz w:val="24"/>
          <w:szCs w:val="24"/>
        </w:rPr>
        <w:t>）。蒸发、蒸腾是本区地下水主要的排泄方式之一。近</w:t>
      </w:r>
      <w:r>
        <w:rPr>
          <w:rFonts w:hint="eastAsia" w:ascii="宋体" w:hAnsi="宋体" w:cs="宋体"/>
          <w:b w:val="0"/>
          <w:bCs w:val="0"/>
          <w:color w:val="000000"/>
          <w:sz w:val="24"/>
          <w:szCs w:val="24"/>
          <w:lang w:eastAsia="zh-CN"/>
        </w:rPr>
        <w:t>年来</w:t>
      </w:r>
      <w:r>
        <w:rPr>
          <w:rFonts w:hint="eastAsia" w:ascii="宋体" w:hAnsi="宋体" w:eastAsia="宋体" w:cs="宋体"/>
          <w:b w:val="0"/>
          <w:bCs w:val="0"/>
          <w:color w:val="000000"/>
          <w:sz w:val="24"/>
          <w:szCs w:val="24"/>
        </w:rPr>
        <w:t xml:space="preserve">由于农田用水增加，人工开采影响比较明显，开采集中区已形成降落漏斗。此外，下游断面还存在地下侧向径流排泄。 </w:t>
      </w:r>
    </w:p>
    <w:p w14:paraId="5D09C7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⑦</w:t>
      </w:r>
      <w:r>
        <w:rPr>
          <w:rFonts w:hint="eastAsia" w:ascii="宋体" w:hAnsi="宋体" w:eastAsia="宋体" w:cs="宋体"/>
          <w:b w:val="0"/>
          <w:bCs w:val="0"/>
          <w:color w:val="000000"/>
          <w:sz w:val="24"/>
          <w:szCs w:val="24"/>
        </w:rPr>
        <w:t xml:space="preserve">地下水动态变化特征 </w:t>
      </w:r>
    </w:p>
    <w:p w14:paraId="4CE95B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b w:val="0"/>
          <w:bCs w:val="0"/>
          <w:color w:val="000000"/>
          <w:sz w:val="24"/>
          <w:szCs w:val="24"/>
          <w:lang w:val="en-US" w:eastAsia="zh-CN"/>
        </w:rPr>
        <w:t>1）</w:t>
      </w:r>
      <w:r>
        <w:rPr>
          <w:rFonts w:hint="default" w:ascii="Times New Roman" w:hAnsi="Times New Roman" w:eastAsia="宋体" w:cs="Times New Roman"/>
          <w:b w:val="0"/>
          <w:bCs w:val="0"/>
          <w:color w:val="000000"/>
          <w:sz w:val="24"/>
          <w:szCs w:val="24"/>
        </w:rPr>
        <w:t xml:space="preserve">年内变化特征 </w:t>
      </w:r>
    </w:p>
    <w:p w14:paraId="228B2F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b w:val="0"/>
          <w:bCs w:val="0"/>
          <w:color w:val="000000"/>
          <w:sz w:val="24"/>
          <w:szCs w:val="24"/>
          <w:lang w:val="en-US" w:eastAsia="zh-CN"/>
        </w:rPr>
        <w:t>A.</w:t>
      </w:r>
      <w:r>
        <w:rPr>
          <w:rFonts w:hint="default" w:ascii="Times New Roman" w:hAnsi="Times New Roman" w:eastAsia="宋体" w:cs="Times New Roman"/>
          <w:b w:val="0"/>
          <w:bCs w:val="0"/>
          <w:color w:val="000000"/>
          <w:sz w:val="24"/>
          <w:szCs w:val="24"/>
        </w:rPr>
        <w:t xml:space="preserve">潜水动态变化特征 </w:t>
      </w:r>
    </w:p>
    <w:p w14:paraId="3B5845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自然与人为因素是影响地下水动态的两大因素，就本区气象、水文及人类活动有关因素的资料分析，本区潜水主要受奎屯河的渗漏补给及渠系渗漏补给等因素影响，水文及人工影响是制约本区地下水动态的主要因素。根据前人研究成果来看，区域西部灌区附近，潜水位主要受灌渠来水影响，高水位期一般出现在</w:t>
      </w:r>
      <w:r>
        <w:rPr>
          <w:rFonts w:hint="default" w:ascii="Times New Roman" w:hAnsi="Times New Roman" w:eastAsia="Times New Roman PS MT" w:cs="Times New Roman"/>
          <w:b w:val="0"/>
          <w:bCs w:val="0"/>
          <w:color w:val="000000"/>
          <w:sz w:val="24"/>
          <w:szCs w:val="24"/>
        </w:rPr>
        <w:t>1~3</w:t>
      </w:r>
      <w:r>
        <w:rPr>
          <w:rFonts w:hint="default" w:ascii="Times New Roman" w:hAnsi="Times New Roman" w:eastAsia="宋体" w:cs="Times New Roman"/>
          <w:b w:val="0"/>
          <w:bCs w:val="0"/>
          <w:color w:val="000000"/>
          <w:sz w:val="24"/>
          <w:szCs w:val="24"/>
        </w:rPr>
        <w:t>月，低水位期出现在</w:t>
      </w:r>
      <w:r>
        <w:rPr>
          <w:rFonts w:hint="default" w:ascii="Times New Roman" w:hAnsi="Times New Roman" w:eastAsia="Times New Roman PS MT" w:cs="Times New Roman"/>
          <w:b w:val="0"/>
          <w:bCs w:val="0"/>
          <w:color w:val="000000"/>
          <w:sz w:val="24"/>
          <w:szCs w:val="24"/>
        </w:rPr>
        <w:t>7</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9</w:t>
      </w:r>
      <w:r>
        <w:rPr>
          <w:rFonts w:hint="default" w:ascii="Times New Roman" w:hAnsi="Times New Roman" w:eastAsia="宋体" w:cs="Times New Roman"/>
          <w:b w:val="0"/>
          <w:bCs w:val="0"/>
          <w:color w:val="000000"/>
          <w:sz w:val="24"/>
          <w:szCs w:val="24"/>
        </w:rPr>
        <w:t>月，年内水位变幅</w:t>
      </w:r>
      <w:r>
        <w:rPr>
          <w:rFonts w:hint="default" w:ascii="Times New Roman" w:hAnsi="Times New Roman" w:eastAsia="Times New Roman PS MT" w:cs="Times New Roman"/>
          <w:b w:val="0"/>
          <w:bCs w:val="0"/>
          <w:color w:val="000000"/>
          <w:sz w:val="24"/>
          <w:szCs w:val="24"/>
        </w:rPr>
        <w:t>2m</w:t>
      </w:r>
      <w:r>
        <w:rPr>
          <w:rFonts w:hint="default" w:ascii="Times New Roman" w:hAnsi="Times New Roman" w:eastAsia="宋体" w:cs="Times New Roman"/>
          <w:b w:val="0"/>
          <w:bCs w:val="0"/>
          <w:color w:val="000000"/>
          <w:sz w:val="24"/>
          <w:szCs w:val="24"/>
        </w:rPr>
        <w:t>左右。在东部灌区外围，潜水位比较稳定，变幅小于</w:t>
      </w:r>
      <w:r>
        <w:rPr>
          <w:rFonts w:hint="default" w:ascii="Times New Roman" w:hAnsi="Times New Roman" w:eastAsia="Times New Roman PS MT" w:cs="Times New Roman"/>
          <w:b w:val="0"/>
          <w:bCs w:val="0"/>
          <w:color w:val="000000"/>
          <w:sz w:val="24"/>
          <w:szCs w:val="24"/>
        </w:rPr>
        <w:t>0.5m</w:t>
      </w:r>
      <w:r>
        <w:rPr>
          <w:rFonts w:hint="default" w:ascii="Times New Roman" w:hAnsi="Times New Roman" w:eastAsia="宋体" w:cs="Times New Roman"/>
          <w:b w:val="0"/>
          <w:bCs w:val="0"/>
          <w:color w:val="000000"/>
          <w:sz w:val="24"/>
          <w:szCs w:val="24"/>
        </w:rPr>
        <w:t xml:space="preserve">。 </w:t>
      </w:r>
    </w:p>
    <w:p w14:paraId="355332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b w:val="0"/>
          <w:bCs w:val="0"/>
          <w:color w:val="000000"/>
          <w:sz w:val="24"/>
          <w:szCs w:val="24"/>
          <w:lang w:val="en-US" w:eastAsia="zh-CN"/>
        </w:rPr>
        <w:t>B.</w:t>
      </w:r>
      <w:r>
        <w:rPr>
          <w:rFonts w:hint="default" w:ascii="Times New Roman" w:hAnsi="Times New Roman" w:eastAsia="宋体" w:cs="Times New Roman"/>
          <w:b w:val="0"/>
          <w:bCs w:val="0"/>
          <w:color w:val="000000"/>
          <w:sz w:val="24"/>
          <w:szCs w:val="24"/>
        </w:rPr>
        <w:t xml:space="preserve">承压水动态变化特征 </w:t>
      </w:r>
    </w:p>
    <w:p w14:paraId="5CC5DE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承压水的动态变化与当地气象因素关系较小，多年的缓慢变化与补给区的静水压力、气候及开采强度有关，其动态类型为径流</w:t>
      </w:r>
      <w:r>
        <w:rPr>
          <w:rFonts w:hint="default" w:ascii="Times New Roman" w:hAnsi="Times New Roman"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开采型。工区承压水处于缓慢下降的过程，下降速率为</w:t>
      </w:r>
      <w:r>
        <w:rPr>
          <w:rFonts w:hint="default" w:ascii="Times New Roman" w:hAnsi="Times New Roman" w:eastAsia="Times New Roman PS MT" w:cs="Times New Roman"/>
          <w:b w:val="0"/>
          <w:bCs w:val="0"/>
          <w:color w:val="000000"/>
          <w:sz w:val="24"/>
          <w:szCs w:val="24"/>
        </w:rPr>
        <w:t>0.3</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0.5m/a</w:t>
      </w:r>
      <w:r>
        <w:rPr>
          <w:rFonts w:hint="default" w:ascii="Times New Roman" w:hAnsi="Times New Roman" w:eastAsia="宋体" w:cs="Times New Roman"/>
          <w:b w:val="0"/>
          <w:bCs w:val="0"/>
          <w:color w:val="000000"/>
          <w:sz w:val="24"/>
          <w:szCs w:val="24"/>
        </w:rPr>
        <w:t xml:space="preserve">。 </w:t>
      </w:r>
    </w:p>
    <w:p w14:paraId="73EB8E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b w:val="0"/>
          <w:bCs w:val="0"/>
          <w:color w:val="000000"/>
          <w:sz w:val="24"/>
          <w:szCs w:val="24"/>
          <w:lang w:val="en-US" w:eastAsia="zh-CN"/>
        </w:rPr>
        <w:t>2）</w:t>
      </w:r>
      <w:r>
        <w:rPr>
          <w:rFonts w:hint="default" w:ascii="Times New Roman" w:hAnsi="Times New Roman" w:eastAsia="宋体" w:cs="Times New Roman"/>
          <w:b w:val="0"/>
          <w:bCs w:val="0"/>
          <w:color w:val="000000"/>
          <w:sz w:val="24"/>
          <w:szCs w:val="24"/>
        </w:rPr>
        <w:t xml:space="preserve">多年变化特征 </w:t>
      </w:r>
    </w:p>
    <w:p w14:paraId="4CC18B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2"/>
          <w:sz w:val="24"/>
          <w:szCs w:val="24"/>
          <w:lang w:val="en-US" w:eastAsia="zh-CN" w:bidi="ar-SA"/>
        </w:rPr>
      </w:pPr>
      <w:r>
        <w:rPr>
          <w:rFonts w:hint="eastAsia" w:ascii="宋体" w:hAnsi="宋体" w:eastAsia="宋体" w:cs="宋体"/>
          <w:b w:val="0"/>
          <w:bCs w:val="0"/>
          <w:color w:val="000000"/>
          <w:sz w:val="24"/>
          <w:szCs w:val="24"/>
        </w:rPr>
        <w:t>区域潜水位埋深演变可划</w:t>
      </w:r>
      <w:r>
        <w:rPr>
          <w:rFonts w:hint="eastAsia" w:ascii="宋体" w:hAnsi="宋体" w:cs="宋体"/>
          <w:b w:val="0"/>
          <w:bCs w:val="0"/>
          <w:color w:val="000000"/>
          <w:sz w:val="24"/>
          <w:szCs w:val="24"/>
          <w:lang w:eastAsia="zh-CN"/>
        </w:rPr>
        <w:t>分为</w:t>
      </w:r>
      <w:r>
        <w:rPr>
          <w:rFonts w:hint="eastAsia" w:ascii="宋体" w:hAnsi="宋体" w:eastAsia="宋体" w:cs="宋体"/>
          <w:b w:val="0"/>
          <w:bCs w:val="0"/>
          <w:color w:val="000000"/>
          <w:sz w:val="24"/>
          <w:szCs w:val="24"/>
        </w:rPr>
        <w:t>三个阶段，即第一期：</w:t>
      </w:r>
      <w:r>
        <w:rPr>
          <w:rFonts w:hint="default" w:ascii="Times New Roman" w:hAnsi="Times New Roman" w:cs="Times New Roman"/>
          <w:b w:val="0"/>
          <w:bCs w:val="0"/>
          <w:color w:val="000000"/>
          <w:sz w:val="24"/>
          <w:szCs w:val="24"/>
          <w:lang w:eastAsia="zh-CN"/>
        </w:rPr>
        <w:t>20世纪</w:t>
      </w:r>
      <w:r>
        <w:rPr>
          <w:rFonts w:hint="default" w:ascii="Times New Roman" w:hAnsi="Times New Roman" w:eastAsia="Times New Roman PS MT" w:cs="Times New Roman"/>
          <w:b w:val="0"/>
          <w:bCs w:val="0"/>
          <w:color w:val="000000"/>
          <w:sz w:val="24"/>
          <w:szCs w:val="24"/>
        </w:rPr>
        <w:t>50</w:t>
      </w:r>
      <w:r>
        <w:rPr>
          <w:rFonts w:hint="default" w:ascii="Times New Roman" w:hAnsi="Times New Roman" w:eastAsia="宋体" w:cs="Times New Roman"/>
          <w:b w:val="0"/>
          <w:bCs w:val="0"/>
          <w:color w:val="000000"/>
          <w:sz w:val="24"/>
          <w:szCs w:val="24"/>
        </w:rPr>
        <w:t>年代中期以前，地下水循环系统近于天然状态，为天然状态时期；第二期，</w:t>
      </w:r>
      <w:r>
        <w:rPr>
          <w:rFonts w:hint="default" w:ascii="Times New Roman" w:hAnsi="Times New Roman" w:eastAsia="Times New Roman PS MT" w:cs="Times New Roman"/>
          <w:b w:val="0"/>
          <w:bCs w:val="0"/>
          <w:color w:val="000000"/>
          <w:sz w:val="24"/>
          <w:szCs w:val="24"/>
        </w:rPr>
        <w:t>50</w:t>
      </w:r>
      <w:r>
        <w:rPr>
          <w:rFonts w:hint="default" w:ascii="Times New Roman" w:hAnsi="Times New Roman" w:eastAsia="宋体" w:cs="Times New Roman"/>
          <w:b w:val="0"/>
          <w:bCs w:val="0"/>
          <w:color w:val="000000"/>
          <w:sz w:val="24"/>
          <w:szCs w:val="24"/>
        </w:rPr>
        <w:t>年代中期至</w:t>
      </w:r>
      <w:r>
        <w:rPr>
          <w:rFonts w:hint="default" w:ascii="Times New Roman" w:hAnsi="Times New Roman" w:eastAsia="Times New Roman PS MT" w:cs="Times New Roman"/>
          <w:b w:val="0"/>
          <w:bCs w:val="0"/>
          <w:color w:val="000000"/>
          <w:sz w:val="24"/>
          <w:szCs w:val="24"/>
        </w:rPr>
        <w:t>80</w:t>
      </w:r>
      <w:r>
        <w:rPr>
          <w:rFonts w:hint="default" w:ascii="Times New Roman" w:hAnsi="Times New Roman" w:eastAsia="宋体" w:cs="Times New Roman"/>
          <w:b w:val="0"/>
          <w:bCs w:val="0"/>
          <w:color w:val="000000"/>
          <w:sz w:val="24"/>
          <w:szCs w:val="24"/>
        </w:rPr>
        <w:t>年代，开展了农田水利建设，兴建了大量灌渠，潜水位埋深由最初的</w:t>
      </w:r>
      <w:r>
        <w:rPr>
          <w:rFonts w:hint="default" w:ascii="Times New Roman" w:hAnsi="Times New Roman" w:eastAsia="Times New Roman PS MT" w:cs="Times New Roman"/>
          <w:b w:val="0"/>
          <w:bCs w:val="0"/>
          <w:color w:val="000000"/>
          <w:sz w:val="24"/>
          <w:szCs w:val="24"/>
        </w:rPr>
        <w:t>3</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4m</w:t>
      </w:r>
      <w:r>
        <w:rPr>
          <w:rFonts w:hint="default" w:ascii="Times New Roman" w:hAnsi="Times New Roman" w:eastAsia="宋体" w:cs="Times New Roman"/>
          <w:b w:val="0"/>
          <w:bCs w:val="0"/>
          <w:color w:val="000000"/>
          <w:sz w:val="24"/>
          <w:szCs w:val="24"/>
        </w:rPr>
        <w:t>，上升到</w:t>
      </w:r>
      <w:r>
        <w:rPr>
          <w:rFonts w:hint="default" w:ascii="Times New Roman" w:hAnsi="Times New Roman" w:eastAsia="Times New Roman PS MT" w:cs="Times New Roman"/>
          <w:b w:val="0"/>
          <w:bCs w:val="0"/>
          <w:color w:val="000000"/>
          <w:sz w:val="24"/>
          <w:szCs w:val="24"/>
        </w:rPr>
        <w:t>1</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3m</w:t>
      </w:r>
      <w:r>
        <w:rPr>
          <w:rFonts w:hint="default" w:ascii="Times New Roman" w:hAnsi="Times New Roman" w:eastAsia="宋体" w:cs="Times New Roman"/>
          <w:b w:val="0"/>
          <w:bCs w:val="0"/>
          <w:color w:val="000000"/>
          <w:sz w:val="24"/>
          <w:szCs w:val="24"/>
        </w:rPr>
        <w:t>而保持稳定；第三期，进入</w:t>
      </w:r>
      <w:r>
        <w:rPr>
          <w:rFonts w:hint="default" w:ascii="Times New Roman" w:hAnsi="Times New Roman" w:eastAsia="Times New Roman PS MT" w:cs="Times New Roman"/>
          <w:b w:val="0"/>
          <w:bCs w:val="0"/>
          <w:color w:val="000000"/>
          <w:sz w:val="24"/>
          <w:szCs w:val="24"/>
        </w:rPr>
        <w:t>80</w:t>
      </w:r>
      <w:r>
        <w:rPr>
          <w:rFonts w:hint="default" w:ascii="Times New Roman" w:hAnsi="Times New Roman" w:eastAsia="宋体" w:cs="Times New Roman"/>
          <w:b w:val="0"/>
          <w:bCs w:val="0"/>
          <w:color w:val="000000"/>
          <w:sz w:val="24"/>
          <w:szCs w:val="24"/>
        </w:rPr>
        <w:t>年代中期，随着灌渠年久失修，缺少外来客水的灌溉入渗补给，加之井灌的实施，潜水处于缓慢下降的阶段，现状水位埋深一般</w:t>
      </w:r>
      <w:r>
        <w:rPr>
          <w:rFonts w:hint="default" w:ascii="Times New Roman" w:hAnsi="Times New Roman" w:eastAsia="Times New Roman PS MT" w:cs="Times New Roman"/>
          <w:b w:val="0"/>
          <w:bCs w:val="0"/>
          <w:color w:val="000000"/>
          <w:sz w:val="24"/>
          <w:szCs w:val="24"/>
        </w:rPr>
        <w:t>5</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6m</w:t>
      </w:r>
      <w:r>
        <w:rPr>
          <w:rFonts w:hint="default" w:ascii="Times New Roman" w:hAnsi="Times New Roman" w:eastAsia="宋体" w:cs="Times New Roman"/>
          <w:b w:val="0"/>
          <w:bCs w:val="0"/>
          <w:color w:val="000000"/>
          <w:sz w:val="24"/>
          <w:szCs w:val="24"/>
        </w:rPr>
        <w:t>，个别大于</w:t>
      </w:r>
      <w:r>
        <w:rPr>
          <w:rFonts w:hint="default" w:ascii="Times New Roman" w:hAnsi="Times New Roman" w:eastAsia="Times New Roman PS MT" w:cs="Times New Roman"/>
          <w:b w:val="0"/>
          <w:bCs w:val="0"/>
          <w:color w:val="000000"/>
          <w:sz w:val="24"/>
          <w:szCs w:val="24"/>
        </w:rPr>
        <w:t>7m</w:t>
      </w:r>
      <w:r>
        <w:rPr>
          <w:rFonts w:hint="default" w:ascii="Times New Roman" w:hAnsi="Times New Roman" w:eastAsia="宋体" w:cs="Times New Roman"/>
          <w:b w:val="0"/>
          <w:bCs w:val="0"/>
          <w:color w:val="000000"/>
          <w:sz w:val="24"/>
          <w:szCs w:val="24"/>
        </w:rPr>
        <w:t>。本区承压水开发利用始于</w:t>
      </w:r>
      <w:r>
        <w:rPr>
          <w:rFonts w:hint="default" w:ascii="Times New Roman" w:hAnsi="Times New Roman" w:cs="Times New Roman"/>
          <w:b w:val="0"/>
          <w:bCs w:val="0"/>
          <w:color w:val="000000"/>
          <w:sz w:val="24"/>
          <w:szCs w:val="24"/>
          <w:lang w:eastAsia="zh-CN"/>
        </w:rPr>
        <w:t>60年代</w:t>
      </w:r>
      <w:r>
        <w:rPr>
          <w:rFonts w:hint="default" w:ascii="Times New Roman" w:hAnsi="Times New Roman" w:eastAsia="宋体" w:cs="Times New Roman"/>
          <w:b w:val="0"/>
          <w:bCs w:val="0"/>
          <w:color w:val="000000"/>
          <w:sz w:val="24"/>
          <w:szCs w:val="24"/>
        </w:rPr>
        <w:t>，主要用于团部及连队生活用水，开采量很小，基本处于天然状态，水位埋深</w:t>
      </w:r>
      <w:r>
        <w:rPr>
          <w:rFonts w:hint="default" w:ascii="Times New Roman" w:hAnsi="Times New Roman" w:eastAsia="Times New Roman PS MT" w:cs="Times New Roman"/>
          <w:b w:val="0"/>
          <w:bCs w:val="0"/>
          <w:color w:val="000000"/>
          <w:sz w:val="24"/>
          <w:szCs w:val="24"/>
        </w:rPr>
        <w:t>+3m</w:t>
      </w:r>
      <w:r>
        <w:rPr>
          <w:rFonts w:hint="default" w:ascii="Times New Roman" w:hAnsi="Times New Roman" w:eastAsia="宋体" w:cs="Times New Roman"/>
          <w:b w:val="0"/>
          <w:bCs w:val="0"/>
          <w:color w:val="000000"/>
          <w:sz w:val="24"/>
          <w:szCs w:val="24"/>
        </w:rPr>
        <w:t>左右；进入</w:t>
      </w:r>
      <w:r>
        <w:rPr>
          <w:rFonts w:hint="default" w:ascii="Times New Roman" w:hAnsi="Times New Roman" w:eastAsia="Times New Roman PS MT" w:cs="Times New Roman"/>
          <w:b w:val="0"/>
          <w:bCs w:val="0"/>
          <w:color w:val="000000"/>
          <w:sz w:val="24"/>
          <w:szCs w:val="24"/>
        </w:rPr>
        <w:t>21</w:t>
      </w:r>
      <w:r>
        <w:rPr>
          <w:rFonts w:hint="default" w:ascii="Times New Roman" w:hAnsi="Times New Roman" w:eastAsia="宋体" w:cs="Times New Roman"/>
          <w:b w:val="0"/>
          <w:bCs w:val="0"/>
          <w:color w:val="000000"/>
          <w:sz w:val="24"/>
          <w:szCs w:val="24"/>
        </w:rPr>
        <w:t>世纪，随着西部大开发的进行，作为区内主要</w:t>
      </w:r>
      <w:r>
        <w:rPr>
          <w:rFonts w:hint="default" w:ascii="Times New Roman" w:hAnsi="Times New Roman" w:cs="Times New Roman"/>
          <w:b w:val="0"/>
          <w:bCs w:val="0"/>
          <w:color w:val="000000"/>
          <w:sz w:val="24"/>
          <w:szCs w:val="24"/>
          <w:lang w:eastAsia="zh-CN"/>
        </w:rPr>
        <w:t>的</w:t>
      </w:r>
      <w:r>
        <w:rPr>
          <w:rFonts w:hint="default" w:ascii="Times New Roman" w:hAnsi="Times New Roman" w:eastAsia="宋体" w:cs="Times New Roman"/>
          <w:b w:val="0"/>
          <w:bCs w:val="0"/>
          <w:color w:val="000000"/>
          <w:sz w:val="24"/>
          <w:szCs w:val="24"/>
        </w:rPr>
        <w:t>供水层，工业和城市的地下水集中开采，彻底改变了地下水循环系统，承压水位持续下降，下降速率</w:t>
      </w:r>
      <w:r>
        <w:rPr>
          <w:rFonts w:hint="default" w:ascii="Times New Roman" w:hAnsi="Times New Roman" w:eastAsia="Times New Roman PS MT" w:cs="Times New Roman"/>
          <w:b w:val="0"/>
          <w:bCs w:val="0"/>
          <w:color w:val="000000"/>
          <w:sz w:val="24"/>
          <w:szCs w:val="24"/>
        </w:rPr>
        <w:t>0.3</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0.5m/a</w:t>
      </w:r>
      <w:r>
        <w:rPr>
          <w:rFonts w:hint="default" w:ascii="Times New Roman" w:hAnsi="Times New Roman" w:eastAsia="宋体" w:cs="Times New Roman"/>
          <w:b w:val="0"/>
          <w:bCs w:val="0"/>
          <w:color w:val="000000"/>
          <w:sz w:val="24"/>
          <w:szCs w:val="24"/>
        </w:rPr>
        <w:t>，现状埋深为</w:t>
      </w:r>
      <w:r>
        <w:rPr>
          <w:rFonts w:hint="eastAsia" w:cs="Times New Roman"/>
          <w:color w:val="000000"/>
          <w:sz w:val="24"/>
          <w:szCs w:val="24"/>
          <w:highlight w:val="none"/>
          <w:lang w:val="en-US" w:eastAsia="zh-CN"/>
        </w:rPr>
        <w:t>12—23</w:t>
      </w:r>
      <w:r>
        <w:rPr>
          <w:rFonts w:hint="default" w:ascii="Times New Roman" w:hAnsi="Times New Roman" w:eastAsia="Times New Roman PS MT" w:cs="Times New Roman"/>
          <w:b w:val="0"/>
          <w:bCs w:val="0"/>
          <w:color w:val="000000"/>
          <w:sz w:val="24"/>
          <w:szCs w:val="24"/>
        </w:rPr>
        <w:t>m</w:t>
      </w:r>
      <w:r>
        <w:rPr>
          <w:rFonts w:hint="default" w:ascii="Times New Roman" w:hAnsi="Times New Roman" w:eastAsia="宋体" w:cs="Times New Roman"/>
          <w:b w:val="0"/>
          <w:bCs w:val="0"/>
          <w:color w:val="000000"/>
          <w:sz w:val="24"/>
          <w:szCs w:val="24"/>
        </w:rPr>
        <w:t>，个别大于</w:t>
      </w:r>
      <w:r>
        <w:rPr>
          <w:rFonts w:hint="default" w:ascii="Times New Roman" w:hAnsi="Times New Roman" w:eastAsia="Times New Roman PS MT" w:cs="Times New Roman"/>
          <w:b w:val="0"/>
          <w:bCs w:val="0"/>
          <w:color w:val="000000"/>
          <w:sz w:val="24"/>
          <w:szCs w:val="24"/>
        </w:rPr>
        <w:t>20m</w:t>
      </w:r>
      <w:r>
        <w:rPr>
          <w:rFonts w:hint="default" w:ascii="Times New Roman" w:hAnsi="Times New Roman" w:eastAsia="宋体" w:cs="Times New Roman"/>
          <w:b w:val="0"/>
          <w:bCs w:val="0"/>
          <w:color w:val="000000"/>
          <w:sz w:val="24"/>
          <w:szCs w:val="24"/>
        </w:rPr>
        <w:t>。</w:t>
      </w:r>
    </w:p>
    <w:p w14:paraId="01C292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⑧包气带</w:t>
      </w:r>
    </w:p>
    <w:p w14:paraId="2F1BCF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kern w:val="2"/>
          <w:sz w:val="24"/>
          <w:szCs w:val="24"/>
          <w:highlight w:val="none"/>
          <w:lang w:val="zh-CN" w:eastAsia="zh-CN" w:bidi="ar-SA"/>
        </w:rPr>
      </w:pPr>
      <w:r>
        <w:rPr>
          <w:rFonts w:hint="eastAsia" w:ascii="Times New Roman" w:hAnsi="Times New Roman" w:eastAsia="宋体" w:cs="Times New Roman"/>
          <w:color w:val="auto"/>
          <w:kern w:val="2"/>
          <w:sz w:val="24"/>
          <w:szCs w:val="24"/>
          <w:lang w:val="en-US" w:eastAsia="zh-CN" w:bidi="ar-SA"/>
        </w:rPr>
        <w:t>本项目区域包气带厚度稳定在</w:t>
      </w:r>
      <w:r>
        <w:rPr>
          <w:rFonts w:hint="default" w:ascii="Times New Roman" w:hAnsi="Times New Roman" w:eastAsia="Times New Roman PS MT" w:cs="Times New Roman"/>
          <w:b w:val="0"/>
          <w:bCs w:val="0"/>
          <w:color w:val="000000"/>
          <w:sz w:val="24"/>
          <w:szCs w:val="24"/>
        </w:rPr>
        <w:t>12</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Times New Roman PS MT" w:cs="Times New Roman"/>
          <w:b w:val="0"/>
          <w:bCs w:val="0"/>
          <w:color w:val="000000"/>
          <w:sz w:val="24"/>
          <w:szCs w:val="24"/>
        </w:rPr>
        <w:t>15m</w:t>
      </w:r>
      <w:r>
        <w:rPr>
          <w:rFonts w:hint="eastAsia" w:ascii="Times New Roman" w:hAnsi="Times New Roman" w:eastAsia="宋体" w:cs="Times New Roman"/>
          <w:color w:val="auto"/>
          <w:kern w:val="2"/>
          <w:sz w:val="24"/>
          <w:szCs w:val="24"/>
          <w:lang w:val="en-US" w:eastAsia="zh-CN" w:bidi="ar-SA"/>
        </w:rPr>
        <w:t>，整体厚度变化连续、无突变。整体包气带以粘土、粉质粘土、粉土、砂土互层分布为主。</w:t>
      </w:r>
    </w:p>
    <w:p w14:paraId="76A134B6">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zh-CN" w:eastAsia="zh-CN" w:bidi="ar-SA"/>
        </w:rPr>
      </w:pPr>
      <w:r>
        <w:rPr>
          <w:rFonts w:hint="eastAsia" w:cs="Times New Roman"/>
          <w:color w:val="000000"/>
          <w:kern w:val="2"/>
          <w:sz w:val="24"/>
          <w:szCs w:val="24"/>
          <w:highlight w:val="none"/>
          <w:lang w:val="zh-CN" w:eastAsia="zh-CN" w:bidi="ar-SA"/>
        </w:rPr>
        <w:t>（</w:t>
      </w:r>
      <w:r>
        <w:rPr>
          <w:rFonts w:hint="eastAsia" w:cs="Times New Roman"/>
          <w:color w:val="000000"/>
          <w:kern w:val="2"/>
          <w:sz w:val="24"/>
          <w:szCs w:val="24"/>
          <w:highlight w:val="none"/>
          <w:lang w:val="en-US" w:eastAsia="zh-CN" w:bidi="ar-SA"/>
        </w:rPr>
        <w:t>2</w:t>
      </w:r>
      <w:r>
        <w:rPr>
          <w:rFonts w:hint="eastAsia" w:cs="Times New Roman"/>
          <w:color w:val="000000"/>
          <w:kern w:val="2"/>
          <w:sz w:val="24"/>
          <w:szCs w:val="24"/>
          <w:highlight w:val="none"/>
          <w:lang w:val="zh-CN" w:eastAsia="zh-CN" w:bidi="ar-SA"/>
        </w:rPr>
        <w:t>）</w:t>
      </w:r>
      <w:r>
        <w:rPr>
          <w:rFonts w:hint="eastAsia" w:ascii="Times New Roman" w:hAnsi="Times New Roman" w:eastAsia="宋体" w:cs="Times New Roman"/>
          <w:sz w:val="24"/>
          <w:szCs w:val="24"/>
          <w:highlight w:val="none"/>
          <w:lang w:val="en-US" w:eastAsia="zh-CN"/>
        </w:rPr>
        <w:t>正常状况下地下水影响</w:t>
      </w:r>
    </w:p>
    <w:p w14:paraId="17AD4AF2">
      <w:pPr>
        <w:widowControl w:val="0"/>
        <w:spacing w:line="360" w:lineRule="auto"/>
        <w:ind w:firstLine="480" w:firstLineChars="200"/>
        <w:jc w:val="both"/>
        <w:rPr>
          <w:rFonts w:hint="eastAsia"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zh-CN" w:eastAsia="zh-CN" w:bidi="ar-SA"/>
        </w:rPr>
        <w:t>正常情况下，项目严格按照报告中提出的</w:t>
      </w:r>
      <w:r>
        <w:rPr>
          <w:rFonts w:hint="eastAsia" w:cs="Times New Roman"/>
          <w:color w:val="000000"/>
          <w:kern w:val="2"/>
          <w:sz w:val="24"/>
          <w:szCs w:val="24"/>
          <w:highlight w:val="none"/>
          <w:lang w:val="zh-CN" w:eastAsia="zh-CN" w:bidi="ar-SA"/>
        </w:rPr>
        <w:t>“</w:t>
      </w:r>
      <w:r>
        <w:rPr>
          <w:rFonts w:hint="default" w:ascii="Times New Roman" w:hAnsi="Times New Roman" w:eastAsia="宋体" w:cs="Times New Roman"/>
          <w:color w:val="000000"/>
          <w:kern w:val="2"/>
          <w:sz w:val="24"/>
          <w:szCs w:val="24"/>
          <w:highlight w:val="none"/>
          <w:lang w:val="zh-CN" w:eastAsia="zh-CN" w:bidi="ar-SA"/>
        </w:rPr>
        <w:t>源头控制、分区防控、污染监控、应急响应</w:t>
      </w:r>
      <w:r>
        <w:rPr>
          <w:rFonts w:hint="eastAsia" w:cs="Times New Roman"/>
          <w:color w:val="000000"/>
          <w:kern w:val="2"/>
          <w:sz w:val="24"/>
          <w:szCs w:val="24"/>
          <w:highlight w:val="none"/>
          <w:lang w:val="zh-CN" w:eastAsia="zh-CN" w:bidi="ar-SA"/>
        </w:rPr>
        <w:t>”</w:t>
      </w:r>
      <w:r>
        <w:rPr>
          <w:rFonts w:hint="default" w:ascii="Times New Roman" w:hAnsi="Times New Roman" w:eastAsia="宋体" w:cs="Times New Roman"/>
          <w:color w:val="000000"/>
          <w:kern w:val="2"/>
          <w:sz w:val="24"/>
          <w:szCs w:val="24"/>
          <w:highlight w:val="none"/>
          <w:lang w:val="zh-CN" w:eastAsia="zh-CN" w:bidi="ar-SA"/>
        </w:rPr>
        <w:t>原则。根据本项目生产特点、废水性质及排放去向，本项目废水主要为</w:t>
      </w:r>
      <w:r>
        <w:rPr>
          <w:rFonts w:hint="eastAsia" w:ascii="Times New Roman" w:hAnsi="Times New Roman" w:eastAsia="宋体" w:cs="Times New Roman"/>
          <w:color w:val="000000"/>
          <w:kern w:val="2"/>
          <w:sz w:val="24"/>
          <w:szCs w:val="24"/>
          <w:highlight w:val="none"/>
          <w:lang w:val="en-US" w:eastAsia="zh-CN" w:bidi="ar-SA"/>
        </w:rPr>
        <w:t>生活污水，</w:t>
      </w:r>
      <w:r>
        <w:rPr>
          <w:rFonts w:hint="default" w:ascii="Times New Roman" w:hAnsi="Times New Roman" w:eastAsia="宋体" w:cs="Times New Roman"/>
          <w:color w:val="000000"/>
          <w:kern w:val="2"/>
          <w:sz w:val="24"/>
          <w:szCs w:val="24"/>
          <w:highlight w:val="none"/>
          <w:lang w:val="en-US" w:eastAsia="zh-CN" w:bidi="ar-SA"/>
        </w:rPr>
        <w:t>经</w:t>
      </w:r>
      <w:r>
        <w:rPr>
          <w:rFonts w:hint="eastAsia" w:cs="Times New Roman"/>
          <w:color w:val="000000"/>
          <w:kern w:val="2"/>
          <w:sz w:val="24"/>
          <w:szCs w:val="24"/>
          <w:highlight w:val="none"/>
          <w:lang w:val="en-US" w:eastAsia="zh-CN" w:bidi="ar-SA"/>
        </w:rPr>
        <w:t>防渗化粪池收集后定期拉运至污水处理厂处置</w:t>
      </w:r>
      <w:r>
        <w:rPr>
          <w:rFonts w:hint="eastAsia" w:eastAsia="宋体" w:cs="Times New Roman"/>
          <w:color w:val="000000"/>
          <w:kern w:val="2"/>
          <w:sz w:val="24"/>
          <w:szCs w:val="24"/>
          <w:highlight w:val="none"/>
          <w:lang w:val="en-US" w:eastAsia="zh-CN" w:bidi="ar-SA"/>
        </w:rPr>
        <w:t>。</w:t>
      </w:r>
    </w:p>
    <w:p w14:paraId="225934E8">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zh-CN" w:eastAsia="zh-CN" w:bidi="ar-SA"/>
        </w:rPr>
      </w:pPr>
      <w:r>
        <w:rPr>
          <w:rFonts w:hint="default" w:ascii="Times New Roman" w:hAnsi="Times New Roman" w:eastAsia="宋体" w:cs="Times New Roman"/>
          <w:color w:val="auto"/>
          <w:kern w:val="2"/>
          <w:sz w:val="24"/>
          <w:szCs w:val="24"/>
          <w:highlight w:val="none"/>
          <w:lang w:val="zh-CN" w:eastAsia="zh-CN" w:bidi="ar-SA"/>
        </w:rPr>
        <w:t>本项目</w:t>
      </w:r>
      <w:r>
        <w:rPr>
          <w:rFonts w:hint="eastAsia" w:cs="Times New Roman"/>
          <w:color w:val="auto"/>
          <w:kern w:val="2"/>
          <w:sz w:val="24"/>
          <w:szCs w:val="24"/>
          <w:highlight w:val="none"/>
          <w:lang w:val="en-US" w:eastAsia="zh-CN" w:bidi="ar-SA"/>
        </w:rPr>
        <w:t>牛圈以及</w:t>
      </w:r>
      <w:r>
        <w:rPr>
          <w:rFonts w:ascii="宋体" w:hAnsi="宋体" w:eastAsia="宋体" w:cs="宋体"/>
          <w:sz w:val="24"/>
          <w:szCs w:val="24"/>
        </w:rPr>
        <w:t>尿液收集池</w:t>
      </w:r>
      <w:r>
        <w:rPr>
          <w:rFonts w:hint="default" w:ascii="Times New Roman" w:hAnsi="Times New Roman" w:eastAsia="宋体" w:cs="Times New Roman"/>
          <w:color w:val="auto"/>
          <w:kern w:val="2"/>
          <w:sz w:val="24"/>
          <w:szCs w:val="24"/>
          <w:highlight w:val="none"/>
          <w:lang w:val="zh-CN" w:eastAsia="zh-CN" w:bidi="ar-SA"/>
        </w:rPr>
        <w:t>均采取防渗设计</w:t>
      </w:r>
      <w:r>
        <w:rPr>
          <w:rFonts w:hint="eastAsia" w:ascii="Times New Roman" w:hAnsi="Times New Roman" w:eastAsia="宋体" w:cs="Times New Roman"/>
          <w:color w:val="auto"/>
          <w:kern w:val="2"/>
          <w:sz w:val="24"/>
          <w:szCs w:val="24"/>
          <w:highlight w:val="none"/>
          <w:lang w:val="zh-CN" w:eastAsia="zh-CN" w:bidi="ar-SA"/>
        </w:rPr>
        <w:t>，</w:t>
      </w:r>
      <w:r>
        <w:rPr>
          <w:rFonts w:hint="eastAsia" w:ascii="Times New Roman" w:hAnsi="Times New Roman" w:eastAsia="宋体" w:cs="Times New Roman"/>
          <w:color w:val="auto"/>
          <w:kern w:val="2"/>
          <w:sz w:val="24"/>
          <w:szCs w:val="24"/>
          <w:highlight w:val="none"/>
          <w:lang w:val="en-US" w:eastAsia="zh-CN" w:bidi="ar-SA"/>
        </w:rPr>
        <w:t>渗透系数小于10</w:t>
      </w:r>
      <w:r>
        <w:rPr>
          <w:rFonts w:hint="eastAsia" w:ascii="Times New Roman" w:hAnsi="Times New Roman" w:eastAsia="宋体" w:cs="Times New Roman"/>
          <w:color w:val="auto"/>
          <w:kern w:val="2"/>
          <w:sz w:val="24"/>
          <w:szCs w:val="24"/>
          <w:highlight w:val="none"/>
          <w:vertAlign w:val="superscript"/>
          <w:lang w:val="en-US" w:eastAsia="zh-CN" w:bidi="ar-SA"/>
        </w:rPr>
        <w:t>-7</w:t>
      </w:r>
      <w:r>
        <w:rPr>
          <w:rFonts w:hint="eastAsia" w:ascii="Times New Roman" w:hAnsi="Times New Roman" w:eastAsia="宋体" w:cs="Times New Roman"/>
          <w:color w:val="auto"/>
          <w:kern w:val="2"/>
          <w:sz w:val="24"/>
          <w:szCs w:val="24"/>
          <w:highlight w:val="none"/>
          <w:vertAlign w:val="baseline"/>
          <w:lang w:val="en-US" w:eastAsia="zh-CN" w:bidi="ar-SA"/>
        </w:rPr>
        <w:t>cm/s</w:t>
      </w:r>
      <w:r>
        <w:rPr>
          <w:rFonts w:hint="default" w:ascii="Times New Roman" w:hAnsi="Times New Roman" w:eastAsia="宋体" w:cs="Times New Roman"/>
          <w:color w:val="auto"/>
          <w:kern w:val="2"/>
          <w:sz w:val="24"/>
          <w:szCs w:val="24"/>
          <w:highlight w:val="none"/>
          <w:lang w:val="zh-CN" w:eastAsia="zh-CN" w:bidi="ar-SA"/>
        </w:rPr>
        <w:t>，</w:t>
      </w:r>
      <w:r>
        <w:rPr>
          <w:rFonts w:hint="default" w:ascii="Times New Roman" w:hAnsi="Times New Roman" w:eastAsia="宋体" w:cs="Times New Roman"/>
          <w:color w:val="000000"/>
          <w:kern w:val="2"/>
          <w:sz w:val="24"/>
          <w:szCs w:val="24"/>
          <w:highlight w:val="none"/>
          <w:lang w:val="zh-CN" w:eastAsia="zh-CN" w:bidi="ar-SA"/>
        </w:rPr>
        <w:t>在防渗系统正常运行的情况下，本项目生产废水向地下渗透将得到很好</w:t>
      </w:r>
      <w:r>
        <w:rPr>
          <w:rFonts w:hint="eastAsia" w:cs="Times New Roman"/>
          <w:color w:val="000000"/>
          <w:kern w:val="2"/>
          <w:sz w:val="24"/>
          <w:szCs w:val="24"/>
          <w:highlight w:val="none"/>
          <w:lang w:val="zh-CN" w:eastAsia="zh-CN" w:bidi="ar-SA"/>
        </w:rPr>
        <w:t>地</w:t>
      </w:r>
      <w:r>
        <w:rPr>
          <w:rFonts w:hint="default" w:ascii="Times New Roman" w:hAnsi="Times New Roman" w:eastAsia="宋体" w:cs="Times New Roman"/>
          <w:color w:val="000000"/>
          <w:kern w:val="2"/>
          <w:sz w:val="24"/>
          <w:szCs w:val="24"/>
          <w:highlight w:val="none"/>
          <w:lang w:val="zh-CN" w:eastAsia="zh-CN" w:bidi="ar-SA"/>
        </w:rPr>
        <w:t>控制，不会对地下水质量造成功能类别的改变。按照《环境影响评价技术导则</w:t>
      </w:r>
      <w:r>
        <w:rPr>
          <w:rFonts w:hint="eastAsia" w:ascii="Times New Roman" w:hAnsi="Times New Roman" w:eastAsia="宋体" w:cs="Times New Roman"/>
          <w:color w:val="000000"/>
          <w:kern w:val="2"/>
          <w:sz w:val="24"/>
          <w:szCs w:val="24"/>
          <w:highlight w:val="none"/>
          <w:lang w:val="en-US" w:eastAsia="zh-CN" w:bidi="ar-SA"/>
        </w:rPr>
        <w:t xml:space="preserve"> </w:t>
      </w:r>
      <w:r>
        <w:rPr>
          <w:rFonts w:hint="default" w:ascii="Times New Roman" w:hAnsi="Times New Roman" w:eastAsia="宋体" w:cs="Times New Roman"/>
          <w:color w:val="000000"/>
          <w:kern w:val="2"/>
          <w:sz w:val="24"/>
          <w:szCs w:val="24"/>
          <w:highlight w:val="none"/>
          <w:lang w:val="zh-CN" w:eastAsia="zh-CN" w:bidi="ar-SA"/>
        </w:rPr>
        <w:t>地下水环境》（HJ610-2016）要求：</w:t>
      </w:r>
      <w:r>
        <w:rPr>
          <w:rFonts w:hint="eastAsia" w:cs="Times New Roman"/>
          <w:color w:val="000000"/>
          <w:kern w:val="2"/>
          <w:sz w:val="24"/>
          <w:szCs w:val="24"/>
          <w:highlight w:val="none"/>
          <w:lang w:val="zh-CN" w:eastAsia="zh-CN" w:bidi="ar-SA"/>
        </w:rPr>
        <w:t>“</w:t>
      </w:r>
      <w:r>
        <w:rPr>
          <w:rFonts w:hint="default" w:ascii="Times New Roman" w:hAnsi="Times New Roman" w:eastAsia="宋体" w:cs="Times New Roman"/>
          <w:color w:val="000000"/>
          <w:kern w:val="2"/>
          <w:sz w:val="24"/>
          <w:szCs w:val="24"/>
          <w:highlight w:val="none"/>
          <w:lang w:val="zh-CN" w:eastAsia="zh-CN" w:bidi="ar-SA"/>
        </w:rPr>
        <w:t>9.4.2已依据GB16889、GB18597、GB18598、GB18599、GB/T50934设计地下水污染防渗措施的建设项目，可不进行正常状况情景下的预测。</w:t>
      </w:r>
      <w:r>
        <w:rPr>
          <w:rFonts w:hint="eastAsia" w:cs="Times New Roman"/>
          <w:color w:val="000000"/>
          <w:kern w:val="2"/>
          <w:sz w:val="24"/>
          <w:szCs w:val="24"/>
          <w:highlight w:val="none"/>
          <w:lang w:val="zh-CN" w:eastAsia="zh-CN" w:bidi="ar-SA"/>
        </w:rPr>
        <w:t>”</w:t>
      </w:r>
    </w:p>
    <w:p w14:paraId="6E02FDA5">
      <w:pPr>
        <w:widowControl w:val="0"/>
        <w:spacing w:line="360" w:lineRule="auto"/>
        <w:ind w:firstLine="480" w:firstLineChars="200"/>
        <w:jc w:val="both"/>
        <w:rPr>
          <w:rFonts w:hint="default" w:ascii="Times New Roman" w:hAnsi="Times New Roman" w:eastAsia="宋体" w:cs="Times New Roman"/>
          <w:color w:val="000000"/>
          <w:kern w:val="2"/>
          <w:sz w:val="34"/>
          <w:szCs w:val="24"/>
          <w:highlight w:val="none"/>
          <w:lang w:val="en-US" w:eastAsia="zh-CN" w:bidi="ar-SA"/>
        </w:rPr>
      </w:pPr>
      <w:r>
        <w:rPr>
          <w:rFonts w:hint="default" w:ascii="Times New Roman" w:hAnsi="Times New Roman" w:eastAsia="宋体" w:cs="Times New Roman"/>
          <w:color w:val="000000"/>
          <w:kern w:val="2"/>
          <w:sz w:val="24"/>
          <w:szCs w:val="24"/>
          <w:highlight w:val="none"/>
          <w:lang w:val="zh-CN" w:eastAsia="zh-CN" w:bidi="ar-SA"/>
        </w:rPr>
        <w:t>因此在正常状况下，在做好各区域防渗的基础上，不会对场地地下包气带及地下水环境造成影响。</w:t>
      </w:r>
    </w:p>
    <w:p w14:paraId="50C008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3</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非正常状况下地下水影响</w:t>
      </w:r>
    </w:p>
    <w:p w14:paraId="28F2F577">
      <w:pPr>
        <w:widowControl w:val="0"/>
        <w:adjustRightInd/>
        <w:snapToGrid/>
        <w:spacing w:line="360" w:lineRule="auto"/>
        <w:ind w:left="0" w:lef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w:t>
      </w:r>
      <w:r>
        <w:rPr>
          <w:rFonts w:hint="default" w:ascii="Times New Roman" w:hAnsi="Times New Roman" w:eastAsia="宋体" w:cs="Times New Roman"/>
          <w:color w:val="auto"/>
          <w:kern w:val="2"/>
          <w:sz w:val="24"/>
          <w:szCs w:val="24"/>
          <w:lang w:val="en-US" w:eastAsia="zh-CN" w:bidi="ar-SA"/>
        </w:rPr>
        <w:t>概述</w:t>
      </w:r>
    </w:p>
    <w:p w14:paraId="4D6ED768">
      <w:pPr>
        <w:widowControl w:val="0"/>
        <w:adjustRightInd/>
        <w:snapToGrid/>
        <w:spacing w:line="360" w:lineRule="auto"/>
        <w:ind w:left="0" w:lef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根据项目性质及其对地下水环境的影响特点，按《环境影响评价技术导则 地下水环境》（HJ 610-2016）相关要求，预测的范围、时段、内容和方法均应根据评价工作等级、工程特征与环境特征，结合当地环境功能和环保要求确定。</w:t>
      </w:r>
    </w:p>
    <w:p w14:paraId="73BB1337">
      <w:pPr>
        <w:widowControl w:val="0"/>
        <w:adjustRightInd/>
        <w:snapToGrid/>
        <w:spacing w:line="360" w:lineRule="auto"/>
        <w:ind w:left="0" w:lef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本次地下水环境影响评价等级为三级，故采用解析法进行预测与评价。考虑到地下水环境污染的隐蔽性和难恢复性，还应遵循环境 安全性原则，预测应为评价各方案的环境安全和环境保护措施的合理性提供依据。</w:t>
      </w:r>
    </w:p>
    <w:p w14:paraId="4B2D2A88">
      <w:pPr>
        <w:widowControl w:val="0"/>
        <w:adjustRightInd/>
        <w:snapToGrid/>
        <w:spacing w:line="360" w:lineRule="auto"/>
        <w:ind w:left="0" w:lef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w:t>
      </w:r>
      <w:r>
        <w:rPr>
          <w:rFonts w:hint="default" w:ascii="Times New Roman" w:hAnsi="Times New Roman" w:eastAsia="宋体" w:cs="Times New Roman"/>
          <w:color w:val="auto"/>
          <w:kern w:val="2"/>
          <w:sz w:val="24"/>
          <w:szCs w:val="24"/>
          <w:lang w:val="en-US" w:eastAsia="zh-CN" w:bidi="ar-SA"/>
        </w:rPr>
        <w:t>预测原则</w:t>
      </w:r>
    </w:p>
    <w:p w14:paraId="2214147C">
      <w:pPr>
        <w:widowControl w:val="0"/>
        <w:adjustRightInd/>
        <w:snapToGrid/>
        <w:spacing w:line="360" w:lineRule="auto"/>
        <w:ind w:left="0" w:lef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项目地下水环境影响预测原则为：</w:t>
      </w:r>
    </w:p>
    <w:p w14:paraId="662143F3">
      <w:pPr>
        <w:widowControl w:val="0"/>
        <w:adjustRightInd/>
        <w:snapToGrid/>
        <w:spacing w:line="360" w:lineRule="auto"/>
        <w:ind w:left="0" w:lef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考虑到地下水环境污染的隐蔽性和难恢复性，遵循环境安全性原则，为评价各方案的环境安全和环境保护措施的合理性提供依据。</w:t>
      </w:r>
    </w:p>
    <w:p w14:paraId="770BD5C6">
      <w:pPr>
        <w:spacing w:line="360" w:lineRule="auto"/>
        <w:ind w:firstLine="482"/>
        <w:rPr>
          <w:rFonts w:hint="default" w:ascii="Times New Roman" w:hAnsi="Times New Roman" w:cs="Times New Roman"/>
          <w:color w:val="000000"/>
          <w:sz w:val="24"/>
          <w:szCs w:val="24"/>
          <w:highlight w:val="none"/>
        </w:rPr>
      </w:pPr>
      <w:r>
        <w:rPr>
          <w:rFonts w:hint="eastAsia" w:eastAsia="宋体"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预测的范围、时段、内容和方法根据评价工作等级、工程特征与环境特征，结合当地环境功能和环保要求确定，以拟建项目对地下水水质的影响及由此而产生的主要环境水文地质问题为重点。</w:t>
      </w:r>
    </w:p>
    <w:p w14:paraId="0B7AB9A7">
      <w:pPr>
        <w:spacing w:line="360" w:lineRule="auto"/>
        <w:ind w:firstLine="482"/>
        <w:rPr>
          <w:rFonts w:hint="default" w:ascii="Times New Roman" w:hAnsi="Times New Roman" w:eastAsia="宋体" w:cs="Times New Roman"/>
          <w:color w:val="000000"/>
          <w:kern w:val="0"/>
          <w:sz w:val="24"/>
          <w:szCs w:val="24"/>
          <w:highlight w:val="none"/>
        </w:rPr>
      </w:pPr>
      <w:r>
        <w:rPr>
          <w:rFonts w:hint="eastAsia" w:eastAsia="宋体" w:cs="Times New Roman"/>
          <w:color w:val="000000"/>
          <w:kern w:val="0"/>
          <w:sz w:val="24"/>
          <w:szCs w:val="24"/>
          <w:highlight w:val="none"/>
          <w:lang w:val="en-US" w:eastAsia="zh-CN"/>
        </w:rPr>
        <w:t>③</w:t>
      </w:r>
      <w:r>
        <w:rPr>
          <w:rFonts w:hint="default" w:ascii="Times New Roman" w:hAnsi="Times New Roman" w:eastAsia="宋体" w:cs="Times New Roman"/>
          <w:color w:val="000000"/>
          <w:kern w:val="0"/>
          <w:sz w:val="24"/>
          <w:szCs w:val="24"/>
          <w:highlight w:val="none"/>
        </w:rPr>
        <w:t>预测范围及年限</w:t>
      </w:r>
    </w:p>
    <w:p w14:paraId="10FC2390">
      <w:pPr>
        <w:spacing w:line="360" w:lineRule="auto"/>
        <w:ind w:firstLine="482"/>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评价区地下水流向受地形影响，主要由</w:t>
      </w:r>
      <w:r>
        <w:rPr>
          <w:rFonts w:hint="eastAsia" w:cs="Times New Roman"/>
          <w:color w:val="000000"/>
          <w:kern w:val="0"/>
          <w:sz w:val="24"/>
          <w:szCs w:val="24"/>
          <w:highlight w:val="none"/>
          <w:lang w:val="en-US" w:eastAsia="zh-CN"/>
        </w:rPr>
        <w:t>南向北</w:t>
      </w:r>
      <w:r>
        <w:rPr>
          <w:rFonts w:hint="default" w:ascii="Times New Roman" w:hAnsi="Times New Roman" w:eastAsia="宋体" w:cs="Times New Roman"/>
          <w:color w:val="000000"/>
          <w:kern w:val="0"/>
          <w:sz w:val="24"/>
          <w:szCs w:val="24"/>
          <w:highlight w:val="none"/>
        </w:rPr>
        <w:t>径流，因此本次预测时，假设地下水为由</w:t>
      </w:r>
      <w:r>
        <w:rPr>
          <w:rFonts w:hint="eastAsia" w:cs="Times New Roman"/>
          <w:color w:val="000000"/>
          <w:kern w:val="0"/>
          <w:sz w:val="24"/>
          <w:szCs w:val="24"/>
          <w:highlight w:val="none"/>
          <w:lang w:val="en-US" w:eastAsia="zh-CN"/>
        </w:rPr>
        <w:t>南向北</w:t>
      </w:r>
      <w:r>
        <w:rPr>
          <w:rFonts w:hint="default" w:ascii="Times New Roman" w:hAnsi="Times New Roman" w:eastAsia="宋体" w:cs="Times New Roman"/>
          <w:color w:val="000000"/>
          <w:kern w:val="0"/>
          <w:sz w:val="24"/>
          <w:szCs w:val="24"/>
          <w:highlight w:val="none"/>
        </w:rPr>
        <w:t>径流。</w:t>
      </w:r>
    </w:p>
    <w:p w14:paraId="7760053B">
      <w:pPr>
        <w:spacing w:line="360" w:lineRule="auto"/>
        <w:ind w:firstLine="482"/>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根据场区周边的地形地貌、水文特征、地质条件、水文地质条件和周围的地下水环境敏感目标等综合因素考虑，本次评价工作的预测范围与评价范围一致。</w:t>
      </w:r>
    </w:p>
    <w:p w14:paraId="1F0B81C0">
      <w:pPr>
        <w:spacing w:line="360" w:lineRule="auto"/>
        <w:ind w:firstLine="482"/>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预测层位以潜水含水层为主，预测时段为污染发生后100d</w:t>
      </w:r>
      <w:r>
        <w:rPr>
          <w:rFonts w:hint="eastAsia" w:ascii="Times New Roman" w:hAnsi="Times New Roman" w:eastAsia="宋体" w:cs="Times New Roman"/>
          <w:color w:val="000000"/>
          <w:kern w:val="0"/>
          <w:sz w:val="24"/>
          <w:szCs w:val="24"/>
          <w:highlight w:val="none"/>
          <w:lang w:eastAsia="zh-CN"/>
        </w:rPr>
        <w:t>、</w:t>
      </w:r>
      <w:r>
        <w:rPr>
          <w:rFonts w:hint="default" w:ascii="Times New Roman" w:hAnsi="Times New Roman" w:eastAsia="宋体" w:cs="Times New Roman"/>
          <w:color w:val="000000"/>
          <w:kern w:val="0"/>
          <w:sz w:val="24"/>
          <w:szCs w:val="24"/>
          <w:highlight w:val="none"/>
          <w:lang w:val="en-US" w:eastAsia="zh-CN"/>
        </w:rPr>
        <w:t>1000</w:t>
      </w:r>
      <w:r>
        <w:rPr>
          <w:rFonts w:hint="default" w:ascii="Times New Roman" w:hAnsi="Times New Roman" w:eastAsia="宋体" w:cs="Times New Roman"/>
          <w:color w:val="000000"/>
          <w:kern w:val="0"/>
          <w:sz w:val="24"/>
          <w:szCs w:val="24"/>
          <w:highlight w:val="none"/>
        </w:rPr>
        <w:t>d及</w:t>
      </w:r>
      <w:r>
        <w:rPr>
          <w:rFonts w:hint="eastAsia" w:ascii="Times New Roman" w:hAnsi="Times New Roman" w:eastAsia="宋体" w:cs="Times New Roman"/>
          <w:color w:val="000000"/>
          <w:kern w:val="0"/>
          <w:sz w:val="24"/>
          <w:szCs w:val="24"/>
          <w:highlight w:val="none"/>
          <w:lang w:val="en-US" w:eastAsia="zh-CN"/>
        </w:rPr>
        <w:t>365</w:t>
      </w:r>
      <w:r>
        <w:rPr>
          <w:rFonts w:hint="eastAsia" w:cs="Times New Roman"/>
          <w:color w:val="000000"/>
          <w:kern w:val="0"/>
          <w:sz w:val="24"/>
          <w:szCs w:val="24"/>
          <w:highlight w:val="none"/>
          <w:lang w:val="en-US" w:eastAsia="zh-CN"/>
        </w:rPr>
        <w:t>0</w:t>
      </w:r>
      <w:r>
        <w:rPr>
          <w:rFonts w:hint="eastAsia" w:ascii="Times New Roman" w:hAnsi="Times New Roman" w:eastAsia="宋体" w:cs="Times New Roman"/>
          <w:color w:val="000000"/>
          <w:kern w:val="0"/>
          <w:sz w:val="24"/>
          <w:szCs w:val="24"/>
          <w:highlight w:val="none"/>
          <w:lang w:val="en-US" w:eastAsia="zh-CN"/>
        </w:rPr>
        <w:t>d</w:t>
      </w:r>
      <w:r>
        <w:rPr>
          <w:rFonts w:hint="default" w:ascii="Times New Roman" w:hAnsi="Times New Roman" w:eastAsia="宋体" w:cs="Times New Roman"/>
          <w:color w:val="000000"/>
          <w:kern w:val="0"/>
          <w:sz w:val="24"/>
          <w:szCs w:val="24"/>
          <w:highlight w:val="none"/>
        </w:rPr>
        <w:t>。</w:t>
      </w:r>
    </w:p>
    <w:p w14:paraId="10F56F12">
      <w:pPr>
        <w:widowControl w:val="0"/>
        <w:adjustRightInd w:val="0"/>
        <w:spacing w:line="360" w:lineRule="auto"/>
        <w:ind w:firstLine="480" w:firstLineChars="200"/>
        <w:jc w:val="both"/>
        <w:textAlignment w:val="baseline"/>
        <w:rPr>
          <w:rFonts w:hint="default" w:ascii="Times New Roman" w:hAnsi="Times New Roman" w:eastAsia="宋体" w:cs="Times New Roman"/>
          <w:color w:val="000000"/>
          <w:kern w:val="0"/>
          <w:sz w:val="24"/>
          <w:szCs w:val="24"/>
          <w:highlight w:val="none"/>
          <w:lang w:val="en-US" w:eastAsia="zh-CN" w:bidi="ar-SA"/>
        </w:rPr>
      </w:pPr>
      <w:r>
        <w:rPr>
          <w:rFonts w:hint="eastAsia" w:eastAsia="宋体" w:cs="Times New Roman"/>
          <w:color w:val="000000"/>
          <w:kern w:val="0"/>
          <w:sz w:val="24"/>
          <w:szCs w:val="24"/>
          <w:highlight w:val="none"/>
          <w:lang w:val="en-US" w:eastAsia="zh-CN" w:bidi="ar-SA"/>
        </w:rPr>
        <w:t>④</w:t>
      </w:r>
      <w:r>
        <w:rPr>
          <w:rFonts w:hint="default" w:ascii="Times New Roman" w:hAnsi="Times New Roman" w:eastAsia="宋体" w:cs="Times New Roman"/>
          <w:color w:val="000000"/>
          <w:kern w:val="0"/>
          <w:sz w:val="24"/>
          <w:szCs w:val="24"/>
          <w:highlight w:val="none"/>
          <w:lang w:val="en-US" w:eastAsia="zh-CN" w:bidi="ar-SA"/>
        </w:rPr>
        <w:t>预测因子及标准</w:t>
      </w:r>
    </w:p>
    <w:p w14:paraId="73BD4E7C">
      <w:pPr>
        <w:spacing w:line="360" w:lineRule="auto"/>
        <w:ind w:firstLine="482"/>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本次模拟预测，在选定优先控制污染物的基础上，分别对地下水污染物在不同时段的运移距离、超标范围进行模拟预测，污染情景的源强数据通过工程分析类比调查予以确定。</w:t>
      </w:r>
    </w:p>
    <w:p w14:paraId="60F9F59C">
      <w:pPr>
        <w:spacing w:line="360" w:lineRule="auto"/>
        <w:ind w:firstLine="480"/>
        <w:rPr>
          <w:rFonts w:hint="default"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lang w:val="en-US" w:eastAsia="zh-CN"/>
        </w:rPr>
        <w:t>本</w:t>
      </w:r>
      <w:r>
        <w:rPr>
          <w:rFonts w:hint="default" w:ascii="Times New Roman" w:hAnsi="Times New Roman" w:eastAsia="宋体" w:cs="Times New Roman"/>
          <w:color w:val="auto"/>
          <w:kern w:val="0"/>
          <w:sz w:val="24"/>
          <w:szCs w:val="24"/>
          <w:highlight w:val="none"/>
        </w:rPr>
        <w:t>项目</w:t>
      </w:r>
      <w:r>
        <w:rPr>
          <w:rFonts w:ascii="宋体" w:hAnsi="宋体" w:eastAsia="宋体" w:cs="宋体"/>
          <w:sz w:val="24"/>
          <w:szCs w:val="24"/>
        </w:rPr>
        <w:t>尿液收集池</w:t>
      </w:r>
      <w:r>
        <w:rPr>
          <w:rFonts w:hint="default" w:ascii="Times New Roman" w:hAnsi="Times New Roman" w:eastAsia="宋体" w:cs="Times New Roman"/>
          <w:color w:val="auto"/>
          <w:kern w:val="0"/>
          <w:sz w:val="24"/>
          <w:szCs w:val="24"/>
          <w:highlight w:val="none"/>
        </w:rPr>
        <w:t>为地下式，如发生泄漏，污染物浓度高，且较其他区域更难发现，对地下水环境影响相对较大。因此，在上述非正常状况中，</w:t>
      </w:r>
      <w:r>
        <w:rPr>
          <w:rFonts w:hint="eastAsia" w:cs="Times New Roman"/>
          <w:color w:val="auto"/>
          <w:kern w:val="0"/>
          <w:sz w:val="24"/>
          <w:szCs w:val="24"/>
          <w:highlight w:val="none"/>
          <w:lang w:val="en-US" w:eastAsia="zh-CN"/>
        </w:rPr>
        <w:t>污水处理设施</w:t>
      </w:r>
      <w:r>
        <w:rPr>
          <w:rFonts w:hint="default" w:ascii="Times New Roman" w:hAnsi="Times New Roman" w:eastAsia="宋体" w:cs="Times New Roman"/>
          <w:color w:val="auto"/>
          <w:kern w:val="0"/>
          <w:sz w:val="24"/>
          <w:szCs w:val="24"/>
          <w:highlight w:val="none"/>
        </w:rPr>
        <w:t>发生泄漏情况下，污染物下渗的可能性最大。</w:t>
      </w:r>
    </w:p>
    <w:p w14:paraId="5272289A">
      <w:pPr>
        <w:spacing w:line="360" w:lineRule="auto"/>
        <w:ind w:firstLine="480" w:firstLineChars="200"/>
        <w:rPr>
          <w:rFonts w:ascii="Times New Roman" w:hAnsi="Times New Roman"/>
          <w:sz w:val="24"/>
          <w:szCs w:val="24"/>
        </w:rPr>
      </w:pPr>
      <w:r>
        <w:rPr>
          <w:rFonts w:ascii="Times New Roman" w:hAnsi="Times New Roman"/>
          <w:sz w:val="24"/>
          <w:szCs w:val="24"/>
        </w:rPr>
        <w:t>废水进入地下后，其污染物在地下水中的迁移途径为：入渗污染物→表土层→包气带→潜水含水层→</w:t>
      </w:r>
      <w:r>
        <w:rPr>
          <w:rFonts w:hint="eastAsia" w:eastAsia="宋体"/>
          <w:sz w:val="24"/>
          <w:szCs w:val="24"/>
          <w:lang w:eastAsia="zh-CN"/>
        </w:rPr>
        <w:t>迁移</w:t>
      </w:r>
    </w:p>
    <w:p w14:paraId="7475F95E">
      <w:pPr>
        <w:spacing w:line="360" w:lineRule="auto"/>
        <w:ind w:firstLine="480" w:firstLineChars="200"/>
        <w:rPr>
          <w:rFonts w:ascii="Times New Roman" w:hAnsi="Times New Roman"/>
          <w:sz w:val="24"/>
          <w:szCs w:val="24"/>
        </w:rPr>
      </w:pPr>
      <w:r>
        <w:rPr>
          <w:rFonts w:ascii="Times New Roman" w:hAnsi="Times New Roman"/>
          <w:sz w:val="24"/>
          <w:szCs w:val="24"/>
        </w:rPr>
        <w:t>根据土壤吸附实验相关资料，砂土对COD吸附作用较小，截留率约38%；对NH</w:t>
      </w:r>
      <w:r>
        <w:rPr>
          <w:rFonts w:ascii="Times New Roman" w:hAnsi="Times New Roman"/>
          <w:sz w:val="24"/>
          <w:szCs w:val="24"/>
          <w:vertAlign w:val="subscript"/>
        </w:rPr>
        <w:t>3</w:t>
      </w:r>
      <w:r>
        <w:rPr>
          <w:rFonts w:ascii="Times New Roman" w:hAnsi="Times New Roman"/>
          <w:sz w:val="24"/>
          <w:szCs w:val="24"/>
        </w:rPr>
        <w:t>-N吸附作用较强，截留率可达80%。亚粘土对COD吸附能力较强，截留率可达85%；对NH</w:t>
      </w:r>
      <w:r>
        <w:rPr>
          <w:rFonts w:ascii="Times New Roman" w:hAnsi="Times New Roman"/>
          <w:sz w:val="24"/>
          <w:szCs w:val="24"/>
          <w:vertAlign w:val="subscript"/>
        </w:rPr>
        <w:t>3</w:t>
      </w:r>
      <w:r>
        <w:rPr>
          <w:rFonts w:ascii="Times New Roman" w:hAnsi="Times New Roman"/>
          <w:sz w:val="24"/>
          <w:szCs w:val="24"/>
        </w:rPr>
        <w:t>-N吸附能力更强，截留率平均可达95%。该实验结果表明，当污水下渗时，由于包气带微生物降解作用不强，包气带厚度较小，仅靠土壤的吸附作用去除污水中的污染物是很有限的，虽然在污水下渗初期，经过包气带的吸附，污染物会在一定程度上降低，起到了对地下水污染的减缓作用，但其作用随着时间的推移，包气带土壤对污染物的吸附作用趋向饱和，吸附能力降低，污染物浓度增大至初始浓度，当环境容量饱和时，污染物就进入地下水，对地下水产生污染。</w:t>
      </w:r>
    </w:p>
    <w:p w14:paraId="47DEBC12">
      <w:pPr>
        <w:spacing w:line="360" w:lineRule="auto"/>
        <w:ind w:firstLine="482"/>
        <w:rPr>
          <w:rFonts w:hint="default" w:ascii="Times New Roman" w:hAnsi="Times New Roman" w:eastAsia="宋体" w:cs="Times New Roman"/>
          <w:color w:val="000000"/>
          <w:kern w:val="0"/>
          <w:sz w:val="24"/>
          <w:szCs w:val="24"/>
          <w:highlight w:val="none"/>
          <w:lang w:val="zh-CN"/>
        </w:rPr>
      </w:pPr>
      <w:r>
        <w:rPr>
          <w:rFonts w:hint="eastAsia" w:ascii="Times New Roman" w:hAnsi="Times New Roman" w:eastAsia="宋体" w:cs="Times New Roman"/>
          <w:color w:val="000000"/>
          <w:kern w:val="0"/>
          <w:sz w:val="24"/>
          <w:szCs w:val="24"/>
          <w:highlight w:val="none"/>
          <w:lang w:val="en-US" w:eastAsia="zh-CN"/>
        </w:rPr>
        <w:t>根据《环境影响评价技术导则 地下水环境》（HJ610-2016）</w:t>
      </w:r>
      <w:r>
        <w:rPr>
          <w:rFonts w:hint="default" w:ascii="Times New Roman" w:hAnsi="Times New Roman" w:eastAsia="宋体" w:cs="Times New Roman"/>
          <w:color w:val="000000"/>
          <w:kern w:val="0"/>
          <w:sz w:val="24"/>
          <w:szCs w:val="24"/>
          <w:highlight w:val="none"/>
        </w:rPr>
        <w:t>识别建设项目可能导致地下水污染的特征因子。特征因子应根据建设项目污废水成分、液体物料成分、固废浸出液成分等确定。</w:t>
      </w:r>
      <w:r>
        <w:rPr>
          <w:rFonts w:hint="eastAsia" w:ascii="Times New Roman" w:hAnsi="Times New Roman" w:eastAsia="宋体" w:cs="Times New Roman"/>
          <w:color w:val="000000"/>
          <w:kern w:val="0"/>
          <w:sz w:val="24"/>
          <w:szCs w:val="24"/>
          <w:highlight w:val="none"/>
          <w:lang w:val="en-US" w:eastAsia="zh-CN"/>
        </w:rPr>
        <w:t>本项目</w:t>
      </w:r>
      <w:r>
        <w:rPr>
          <w:rFonts w:hint="eastAsia" w:cs="Times New Roman"/>
          <w:color w:val="000000"/>
          <w:kern w:val="0"/>
          <w:sz w:val="24"/>
          <w:szCs w:val="24"/>
          <w:highlight w:val="none"/>
          <w:lang w:val="en-US" w:eastAsia="zh-CN"/>
        </w:rPr>
        <w:t>牛圈渗滤尿液</w:t>
      </w:r>
      <w:r>
        <w:rPr>
          <w:rFonts w:hint="eastAsia" w:ascii="Times New Roman" w:hAnsi="Times New Roman" w:eastAsia="宋体" w:cs="Times New Roman"/>
          <w:color w:val="000000"/>
          <w:kern w:val="0"/>
          <w:sz w:val="24"/>
          <w:szCs w:val="24"/>
          <w:highlight w:val="none"/>
          <w:lang w:val="en-US" w:eastAsia="zh-CN"/>
        </w:rPr>
        <w:t>成分有</w:t>
      </w:r>
      <w:r>
        <w:rPr>
          <w:rFonts w:hint="default" w:ascii="Times New Roman" w:hAnsi="Times New Roman" w:eastAsia="宋体" w:cs="Times New Roman"/>
          <w:color w:val="000000"/>
          <w:kern w:val="0"/>
          <w:sz w:val="24"/>
          <w:szCs w:val="24"/>
          <w:highlight w:val="none"/>
        </w:rPr>
        <w:t>COD</w:t>
      </w:r>
      <w:r>
        <w:rPr>
          <w:rFonts w:hint="eastAsia" w:ascii="Times New Roman" w:hAnsi="Times New Roman" w:eastAsia="宋体" w:cs="Times New Roman"/>
          <w:color w:val="000000"/>
          <w:kern w:val="0"/>
          <w:sz w:val="24"/>
          <w:szCs w:val="24"/>
          <w:highlight w:val="none"/>
          <w:lang w:val="en-US" w:eastAsia="zh-CN"/>
        </w:rPr>
        <w:t>、氨氮、总磷、总氮</w:t>
      </w:r>
      <w:r>
        <w:rPr>
          <w:rFonts w:hint="eastAsia" w:cs="Times New Roman"/>
          <w:color w:val="000000"/>
          <w:kern w:val="0"/>
          <w:sz w:val="24"/>
          <w:szCs w:val="24"/>
          <w:highlight w:val="none"/>
          <w:lang w:val="en-US" w:eastAsia="zh-CN"/>
        </w:rPr>
        <w:t>，均属于其他类别，不涉及重金属、持久性有机污染物</w:t>
      </w:r>
      <w:r>
        <w:rPr>
          <w:rFonts w:hint="eastAsia" w:ascii="Times New Roman" w:hAnsi="Times New Roman" w:eastAsia="宋体" w:cs="Times New Roman"/>
          <w:color w:val="000000"/>
          <w:kern w:val="0"/>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bidi="ar-SA"/>
        </w:rPr>
        <w:t>根据</w:t>
      </w:r>
      <w:r>
        <w:rPr>
          <w:rFonts w:hint="default" w:ascii="Times New Roman" w:hAnsi="Times New Roman" w:eastAsia="宋体" w:cs="Times New Roman"/>
          <w:color w:val="000000"/>
          <w:kern w:val="2"/>
          <w:sz w:val="24"/>
          <w:szCs w:val="24"/>
          <w:highlight w:val="none"/>
          <w:lang w:val="zh-CN" w:eastAsia="zh-CN" w:bidi="ar-SA"/>
        </w:rPr>
        <w:t xml:space="preserve">《环境影响评价技术导则 </w:t>
      </w:r>
      <w:r>
        <w:rPr>
          <w:rFonts w:hint="eastAsia" w:ascii="Times New Roman" w:hAnsi="Times New Roman" w:eastAsia="宋体" w:cs="Times New Roman"/>
          <w:color w:val="000000"/>
          <w:kern w:val="2"/>
          <w:sz w:val="24"/>
          <w:szCs w:val="24"/>
          <w:highlight w:val="none"/>
          <w:lang w:val="en-US" w:eastAsia="zh-CN" w:bidi="ar-SA"/>
        </w:rPr>
        <w:t>地表水</w:t>
      </w:r>
      <w:r>
        <w:rPr>
          <w:rFonts w:hint="default" w:ascii="Times New Roman" w:hAnsi="Times New Roman" w:eastAsia="宋体" w:cs="Times New Roman"/>
          <w:color w:val="000000"/>
          <w:kern w:val="2"/>
          <w:sz w:val="24"/>
          <w:szCs w:val="24"/>
          <w:highlight w:val="none"/>
          <w:lang w:val="zh-CN" w:eastAsia="zh-CN" w:bidi="ar-SA"/>
        </w:rPr>
        <w:t>环境》（HJ</w:t>
      </w:r>
      <w:r>
        <w:rPr>
          <w:rFonts w:hint="eastAsia" w:ascii="Times New Roman" w:hAnsi="Times New Roman" w:eastAsia="宋体" w:cs="Times New Roman"/>
          <w:color w:val="000000"/>
          <w:kern w:val="2"/>
          <w:sz w:val="24"/>
          <w:szCs w:val="24"/>
          <w:highlight w:val="none"/>
          <w:lang w:val="en-US" w:eastAsia="zh-CN" w:bidi="ar-SA"/>
        </w:rPr>
        <w:t>2.3</w:t>
      </w:r>
      <w:r>
        <w:rPr>
          <w:rFonts w:hint="default" w:ascii="Times New Roman" w:hAnsi="Times New Roman" w:eastAsia="宋体" w:cs="Times New Roman"/>
          <w:color w:val="000000"/>
          <w:kern w:val="2"/>
          <w:sz w:val="24"/>
          <w:szCs w:val="24"/>
          <w:highlight w:val="none"/>
          <w:lang w:val="zh-CN" w:eastAsia="zh-CN" w:bidi="ar-SA"/>
        </w:rPr>
        <w:t>-201</w:t>
      </w:r>
      <w:r>
        <w:rPr>
          <w:rFonts w:hint="eastAsia" w:ascii="Times New Roman" w:hAnsi="Times New Roman" w:eastAsia="宋体" w:cs="Times New Roman"/>
          <w:color w:val="000000"/>
          <w:kern w:val="2"/>
          <w:sz w:val="24"/>
          <w:szCs w:val="24"/>
          <w:highlight w:val="none"/>
          <w:lang w:val="en-US" w:eastAsia="zh-CN" w:bidi="ar-SA"/>
        </w:rPr>
        <w:t>8</w:t>
      </w:r>
      <w:r>
        <w:rPr>
          <w:rFonts w:hint="default" w:ascii="Times New Roman" w:hAnsi="Times New Roman" w:eastAsia="宋体" w:cs="Times New Roman"/>
          <w:color w:val="000000"/>
          <w:kern w:val="2"/>
          <w:sz w:val="24"/>
          <w:szCs w:val="24"/>
          <w:highlight w:val="none"/>
          <w:lang w:val="zh-CN" w:eastAsia="zh-CN" w:bidi="ar-SA"/>
        </w:rPr>
        <w:t>）</w:t>
      </w:r>
      <w:r>
        <w:rPr>
          <w:rFonts w:hint="eastAsia" w:ascii="Times New Roman" w:hAnsi="Times New Roman" w:eastAsia="宋体" w:cs="Times New Roman"/>
          <w:color w:val="000000"/>
          <w:kern w:val="2"/>
          <w:sz w:val="24"/>
          <w:szCs w:val="24"/>
          <w:highlight w:val="none"/>
          <w:lang w:val="en-US" w:eastAsia="zh-CN" w:bidi="ar-SA"/>
        </w:rPr>
        <w:t>识别出的特征因子，按照标准指数进行排序，由于选取的废水因子为COD，但预测对地下水影响的评价因子为耗氧量，为使污染因子COD与评价因子高锰酸盐指数（耗氧量）在数值关系上对应统一，故在模型计算过程中，本次评价参照《高锰酸盐指数与化学需氧量相关关系探讨》 胡大琼（云南省水文水资源局普洱分局），高锰酸盐指数（耗氧量）与化学需氧量线性回归方程Y=4.76X+2.61，X为高锰酸盐指数（耗氧量，CODmn），Y为CODcr（mg/L）进行换算。因此根据标准指数排序，标准指数最大的因子为氨氮，因此</w:t>
      </w:r>
      <w:r>
        <w:rPr>
          <w:rFonts w:hint="eastAsia" w:ascii="Times New Roman" w:hAnsi="Times New Roman" w:eastAsia="宋体" w:cs="Times New Roman"/>
          <w:color w:val="000000"/>
          <w:kern w:val="0"/>
          <w:sz w:val="24"/>
          <w:szCs w:val="24"/>
          <w:highlight w:val="none"/>
          <w:lang w:val="en-US" w:eastAsia="zh-CN"/>
        </w:rPr>
        <w:t>选取氨氮</w:t>
      </w:r>
      <w:r>
        <w:rPr>
          <w:rFonts w:hint="default" w:ascii="Times New Roman" w:hAnsi="Times New Roman" w:eastAsia="宋体" w:cs="Times New Roman"/>
          <w:color w:val="000000"/>
          <w:kern w:val="0"/>
          <w:sz w:val="24"/>
          <w:szCs w:val="24"/>
          <w:highlight w:val="none"/>
        </w:rPr>
        <w:t>作为预测因子，设定以下污染物泄漏情景：</w:t>
      </w:r>
      <w:r>
        <w:rPr>
          <w:rFonts w:hint="eastAsia" w:ascii="Times New Roman" w:hAnsi="Times New Roman" w:eastAsia="宋体" w:cs="Times New Roman"/>
          <w:color w:val="000000"/>
          <w:kern w:val="0"/>
          <w:sz w:val="24"/>
          <w:szCs w:val="24"/>
          <w:highlight w:val="none"/>
          <w:lang w:val="en-US" w:eastAsia="zh-CN"/>
        </w:rPr>
        <w:t>废水</w:t>
      </w:r>
      <w:r>
        <w:rPr>
          <w:rFonts w:hint="default" w:ascii="Times New Roman" w:hAnsi="Times New Roman" w:eastAsia="宋体" w:cs="Times New Roman"/>
          <w:color w:val="000000"/>
          <w:kern w:val="0"/>
          <w:sz w:val="24"/>
          <w:szCs w:val="24"/>
          <w:highlight w:val="none"/>
        </w:rPr>
        <w:t>收集池发生泄漏后下渗，进入含水层系统，渗漏一定量后被发现，采取补救措施后不再渗漏。</w:t>
      </w:r>
      <w:r>
        <w:rPr>
          <w:rFonts w:hint="default" w:ascii="Times New Roman" w:hAnsi="Times New Roman" w:eastAsia="宋体" w:cs="Times New Roman"/>
          <w:color w:val="000000"/>
          <w:kern w:val="0"/>
          <w:sz w:val="24"/>
          <w:szCs w:val="24"/>
          <w:highlight w:val="none"/>
          <w:lang w:val="en-US" w:eastAsia="zh-CN"/>
        </w:rPr>
        <w:t>氨氮</w:t>
      </w:r>
      <w:r>
        <w:rPr>
          <w:rFonts w:hint="default" w:ascii="Times New Roman" w:hAnsi="Times New Roman" w:eastAsia="宋体" w:cs="Times New Roman"/>
          <w:color w:val="000000"/>
          <w:kern w:val="0"/>
          <w:sz w:val="24"/>
          <w:szCs w:val="24"/>
          <w:highlight w:val="none"/>
          <w:lang w:val="zh-CN"/>
        </w:rPr>
        <w:t>执行《地下水质量标准》（GB/T14848-2017），</w:t>
      </w:r>
      <w:r>
        <w:rPr>
          <w:rFonts w:hint="default" w:ascii="Times New Roman" w:hAnsi="Times New Roman" w:eastAsia="宋体" w:cs="Times New Roman"/>
          <w:color w:val="000000"/>
          <w:kern w:val="0"/>
          <w:sz w:val="24"/>
          <w:szCs w:val="24"/>
          <w:highlight w:val="none"/>
          <w:lang w:val="en-US" w:eastAsia="zh-CN"/>
        </w:rPr>
        <w:t>氨氮</w:t>
      </w:r>
      <w:r>
        <w:rPr>
          <w:rFonts w:hint="default" w:ascii="Times New Roman" w:hAnsi="Times New Roman" w:eastAsia="宋体" w:cs="Times New Roman"/>
          <w:color w:val="000000"/>
          <w:kern w:val="0"/>
          <w:sz w:val="24"/>
          <w:szCs w:val="24"/>
          <w:highlight w:val="none"/>
          <w:lang w:val="zh-CN"/>
        </w:rPr>
        <w:t>大于</w:t>
      </w:r>
      <w:r>
        <w:rPr>
          <w:rFonts w:hint="default" w:ascii="Times New Roman" w:hAnsi="Times New Roman" w:eastAsia="宋体" w:cs="Times New Roman"/>
          <w:color w:val="000000"/>
          <w:kern w:val="0"/>
          <w:sz w:val="24"/>
          <w:szCs w:val="24"/>
          <w:highlight w:val="none"/>
          <w:lang w:val="en-US" w:eastAsia="zh-CN"/>
        </w:rPr>
        <w:t>0.5m</w:t>
      </w:r>
      <w:r>
        <w:rPr>
          <w:rFonts w:hint="default" w:ascii="Times New Roman" w:hAnsi="Times New Roman" w:eastAsia="宋体" w:cs="Times New Roman"/>
          <w:color w:val="000000"/>
          <w:kern w:val="0"/>
          <w:sz w:val="24"/>
          <w:szCs w:val="24"/>
          <w:highlight w:val="none"/>
          <w:lang w:val="zh-CN"/>
        </w:rPr>
        <w:t>g/L定为超标范围。</w:t>
      </w:r>
    </w:p>
    <w:p w14:paraId="6B6A49DE">
      <w:pPr>
        <w:widowControl w:val="0"/>
        <w:spacing w:line="360" w:lineRule="auto"/>
        <w:jc w:val="center"/>
        <w:rPr>
          <w:rFonts w:hint="eastAsia"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color w:val="000000"/>
          <w:kern w:val="2"/>
          <w:sz w:val="24"/>
          <w:szCs w:val="24"/>
          <w:highlight w:val="none"/>
        </w:rPr>
        <w:t>表5.</w:t>
      </w:r>
      <w:r>
        <w:rPr>
          <w:rFonts w:hint="eastAsia" w:cs="Times New Roman"/>
          <w:b/>
          <w:color w:val="000000"/>
          <w:kern w:val="2"/>
          <w:sz w:val="24"/>
          <w:szCs w:val="24"/>
          <w:highlight w:val="none"/>
          <w:lang w:val="en-US" w:eastAsia="zh-CN"/>
        </w:rPr>
        <w:t>2-24</w:t>
      </w:r>
      <w:r>
        <w:rPr>
          <w:rFonts w:hint="eastAsia" w:ascii="Times New Roman" w:hAnsi="Times New Roman" w:eastAsia="宋体" w:cs="Times New Roman"/>
          <w:b/>
          <w:bCs/>
          <w:color w:val="000000"/>
          <w:kern w:val="2"/>
          <w:sz w:val="24"/>
          <w:szCs w:val="24"/>
          <w:highlight w:val="none"/>
          <w:lang w:val="en-US" w:eastAsia="zh-CN" w:bidi="ar-SA"/>
        </w:rPr>
        <w:t>各项因子标准指数排序表</w:t>
      </w:r>
    </w:p>
    <w:tbl>
      <w:tblPr>
        <w:tblStyle w:val="21"/>
        <w:tblW w:w="85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0"/>
        <w:gridCol w:w="2840"/>
      </w:tblGrid>
      <w:tr w14:paraId="472AF3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l2br w:val="nil"/>
              <w:tr2bl w:val="nil"/>
            </w:tcBorders>
          </w:tcPr>
          <w:p w14:paraId="12BAEF67">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
                <w:bCs w:val="0"/>
                <w:snapToGrid w:val="0"/>
                <w:color w:val="000000"/>
                <w:kern w:val="0"/>
                <w:sz w:val="21"/>
                <w:szCs w:val="21"/>
                <w:highlight w:val="none"/>
                <w:lang w:val="en-US" w:eastAsia="zh-CN" w:bidi="ar-SA"/>
              </w:rPr>
            </w:pPr>
            <w:r>
              <w:rPr>
                <w:rFonts w:hint="eastAsia" w:ascii="Times New Roman" w:hAnsi="Times New Roman" w:eastAsia="宋体" w:cs="Times New Roman"/>
                <w:b/>
                <w:bCs w:val="0"/>
                <w:snapToGrid w:val="0"/>
                <w:color w:val="000000"/>
                <w:kern w:val="0"/>
                <w:sz w:val="21"/>
                <w:szCs w:val="21"/>
                <w:highlight w:val="none"/>
                <w:lang w:val="en-US" w:eastAsia="zh-CN" w:bidi="ar-SA"/>
              </w:rPr>
              <w:t>污染物</w:t>
            </w:r>
          </w:p>
        </w:tc>
        <w:tc>
          <w:tcPr>
            <w:tcW w:w="2840" w:type="dxa"/>
            <w:tcBorders>
              <w:tl2br w:val="nil"/>
              <w:tr2bl w:val="nil"/>
            </w:tcBorders>
            <w:shd w:val="clear" w:color="auto" w:fill="auto"/>
            <w:vAlign w:val="center"/>
          </w:tcPr>
          <w:p w14:paraId="42B9AC4E">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产生浓度</w:t>
            </w:r>
            <w:r>
              <w:rPr>
                <w:rStyle w:val="41"/>
                <w:rFonts w:eastAsia="宋体"/>
                <w:lang w:val="en-US" w:eastAsia="zh-CN" w:bidi="ar"/>
              </w:rPr>
              <w:t>mg/L</w:t>
            </w:r>
          </w:p>
        </w:tc>
        <w:tc>
          <w:tcPr>
            <w:tcW w:w="2840" w:type="dxa"/>
            <w:tcBorders>
              <w:tl2br w:val="nil"/>
              <w:tr2bl w:val="nil"/>
            </w:tcBorders>
          </w:tcPr>
          <w:p w14:paraId="4641C924">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
                <w:bCs w:val="0"/>
                <w:snapToGrid w:val="0"/>
                <w:color w:val="000000"/>
                <w:kern w:val="0"/>
                <w:sz w:val="21"/>
                <w:szCs w:val="21"/>
                <w:highlight w:val="none"/>
                <w:lang w:val="en-US" w:eastAsia="zh-CN" w:bidi="ar-SA"/>
              </w:rPr>
            </w:pPr>
            <w:r>
              <w:rPr>
                <w:rFonts w:hint="eastAsia" w:cs="Times New Roman"/>
                <w:b/>
                <w:bCs w:val="0"/>
                <w:snapToGrid w:val="0"/>
                <w:color w:val="000000"/>
                <w:kern w:val="0"/>
                <w:sz w:val="21"/>
                <w:szCs w:val="21"/>
                <w:highlight w:val="none"/>
                <w:lang w:val="en-US" w:eastAsia="zh-CN" w:bidi="ar-SA"/>
              </w:rPr>
              <w:t>标准指数</w:t>
            </w:r>
          </w:p>
        </w:tc>
      </w:tr>
      <w:tr w14:paraId="5A926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20" w:type="dxa"/>
            <w:gridSpan w:val="3"/>
            <w:tcBorders>
              <w:tl2br w:val="nil"/>
              <w:tr2bl w:val="nil"/>
            </w:tcBorders>
          </w:tcPr>
          <w:p w14:paraId="0FD5368D">
            <w:pPr>
              <w:widowControl w:val="0"/>
              <w:overflowPunct w:val="0"/>
              <w:autoSpaceDE/>
              <w:autoSpaceDN/>
              <w:adjustRightInd w:val="0"/>
              <w:snapToGrid w:val="0"/>
              <w:spacing w:line="240" w:lineRule="auto"/>
              <w:ind w:firstLine="0" w:firstLineChars="0"/>
              <w:jc w:val="center"/>
              <w:textAlignment w:val="auto"/>
              <w:rPr>
                <w:rFonts w:hint="eastAsia" w:cs="Times New Roman"/>
                <w:b/>
                <w:bCs w:val="0"/>
                <w:snapToGrid w:val="0"/>
                <w:color w:val="000000"/>
                <w:kern w:val="0"/>
                <w:sz w:val="21"/>
                <w:szCs w:val="21"/>
                <w:highlight w:val="none"/>
                <w:lang w:val="en-US" w:eastAsia="zh-CN" w:bidi="ar-SA"/>
              </w:rPr>
            </w:pPr>
            <w:r>
              <w:rPr>
                <w:rFonts w:hint="eastAsia" w:cs="Times New Roman"/>
                <w:b/>
                <w:bCs w:val="0"/>
                <w:snapToGrid w:val="0"/>
                <w:color w:val="000000"/>
                <w:kern w:val="0"/>
                <w:sz w:val="21"/>
                <w:szCs w:val="21"/>
                <w:highlight w:val="none"/>
                <w:lang w:val="en-US" w:eastAsia="zh-CN" w:bidi="ar-SA"/>
              </w:rPr>
              <w:t>其他污染物</w:t>
            </w:r>
          </w:p>
        </w:tc>
      </w:tr>
      <w:tr w14:paraId="07C2D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2840" w:type="dxa"/>
            <w:tcBorders>
              <w:tl2br w:val="nil"/>
              <w:tr2bl w:val="nil"/>
            </w:tcBorders>
            <w:vAlign w:val="center"/>
          </w:tcPr>
          <w:p w14:paraId="23F6585B">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default" w:ascii="Times New Roman" w:hAnsi="Times New Roman" w:eastAsia="Calibri" w:cs="Times New Roman"/>
                <w:bCs/>
                <w:snapToGrid w:val="0"/>
                <w:color w:val="000000"/>
                <w:kern w:val="0"/>
                <w:sz w:val="21"/>
                <w:szCs w:val="21"/>
                <w:highlight w:val="none"/>
                <w:lang w:val="en-US" w:eastAsia="zh-CN" w:bidi="ar-SA"/>
              </w:rPr>
              <w:t>COD</w:t>
            </w:r>
          </w:p>
        </w:tc>
        <w:tc>
          <w:tcPr>
            <w:tcW w:w="2840" w:type="dxa"/>
            <w:vMerge w:val="restart"/>
            <w:tcBorders>
              <w:tl2br w:val="nil"/>
              <w:tr2bl w:val="nil"/>
            </w:tcBorders>
            <w:shd w:val="clear" w:color="auto" w:fill="auto"/>
            <w:vAlign w:val="center"/>
          </w:tcPr>
          <w:p w14:paraId="2B9C51B9">
            <w:pPr>
              <w:keepNext w:val="0"/>
              <w:keepLines w:val="0"/>
              <w:widowControl/>
              <w:suppressLineNumbers w:val="0"/>
              <w:jc w:val="center"/>
              <w:textAlignment w:val="center"/>
              <w:rPr>
                <w:rFonts w:hint="eastAsia"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21069.</w:t>
            </w:r>
            <w:r>
              <w:rPr>
                <w:rFonts w:hint="eastAsia" w:cs="Times New Roman"/>
                <w:i w:val="0"/>
                <w:iCs w:val="0"/>
                <w:color w:val="000000"/>
                <w:kern w:val="0"/>
                <w:sz w:val="21"/>
                <w:szCs w:val="21"/>
                <w:u w:val="none"/>
                <w:lang w:val="en-US" w:eastAsia="zh-CN" w:bidi="ar"/>
              </w:rPr>
              <w:t>33</w:t>
            </w:r>
            <w:r>
              <w:rPr>
                <w:rFonts w:hint="eastAsia" w:ascii="Times New Roman" w:hAnsi="Times New Roman" w:eastAsia="宋体" w:cs="Times New Roman"/>
                <w:color w:val="auto"/>
                <w:kern w:val="0"/>
                <w:sz w:val="21"/>
                <w:szCs w:val="21"/>
                <w:highlight w:val="none"/>
                <w:lang w:val="en-US" w:eastAsia="zh-CN"/>
              </w:rPr>
              <w:t xml:space="preserve"> </w:t>
            </w:r>
          </w:p>
        </w:tc>
        <w:tc>
          <w:tcPr>
            <w:tcW w:w="2840" w:type="dxa"/>
            <w:tcBorders>
              <w:tl2br w:val="nil"/>
              <w:tr2bl w:val="nil"/>
            </w:tcBorders>
            <w:shd w:val="clear" w:color="auto" w:fill="auto"/>
            <w:vAlign w:val="center"/>
          </w:tcPr>
          <w:p w14:paraId="2FA620E6">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Calibri" w:cs="Times New Roman"/>
                <w:bCs/>
                <w:snapToGrid w:val="0"/>
                <w:color w:val="000000"/>
                <w:kern w:val="0"/>
                <w:sz w:val="21"/>
                <w:szCs w:val="21"/>
                <w:highlight w:val="none"/>
                <w:lang w:val="en-US" w:eastAsia="zh-CN" w:bidi="ar-SA"/>
              </w:rPr>
              <w:t>7023.</w:t>
            </w:r>
            <w:r>
              <w:rPr>
                <w:rFonts w:hint="eastAsia" w:eastAsia="Calibri" w:cs="Times New Roman"/>
                <w:bCs/>
                <w:snapToGrid w:val="0"/>
                <w:color w:val="000000"/>
                <w:kern w:val="0"/>
                <w:sz w:val="21"/>
                <w:szCs w:val="21"/>
                <w:highlight w:val="none"/>
                <w:lang w:val="en-US" w:eastAsia="zh-CN" w:bidi="ar-SA"/>
              </w:rPr>
              <w:t>11</w:t>
            </w:r>
          </w:p>
        </w:tc>
      </w:tr>
      <w:tr w14:paraId="7BCBD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l2br w:val="nil"/>
              <w:tr2bl w:val="nil"/>
            </w:tcBorders>
            <w:vAlign w:val="center"/>
          </w:tcPr>
          <w:p w14:paraId="498B9A35">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Calibri" w:cs="Times New Roman"/>
                <w:bCs/>
                <w:snapToGrid w:val="0"/>
                <w:color w:val="000000"/>
                <w:kern w:val="0"/>
                <w:sz w:val="21"/>
                <w:szCs w:val="21"/>
                <w:highlight w:val="none"/>
                <w:lang w:val="en-US" w:eastAsia="zh-CN" w:bidi="ar-SA"/>
              </w:rPr>
              <w:t>耗氧量</w:t>
            </w:r>
          </w:p>
        </w:tc>
        <w:tc>
          <w:tcPr>
            <w:tcW w:w="2840" w:type="dxa"/>
            <w:vMerge w:val="continue"/>
            <w:tcBorders>
              <w:tl2br w:val="nil"/>
              <w:tr2bl w:val="nil"/>
            </w:tcBorders>
            <w:shd w:val="clear" w:color="auto" w:fill="auto"/>
            <w:vAlign w:val="center"/>
          </w:tcPr>
          <w:p w14:paraId="608F1ABD">
            <w:pPr>
              <w:keepNext w:val="0"/>
              <w:keepLines w:val="0"/>
              <w:widowControl/>
              <w:suppressLineNumbers w:val="0"/>
              <w:jc w:val="center"/>
              <w:textAlignment w:val="center"/>
              <w:rPr>
                <w:rFonts w:hint="eastAsia" w:ascii="Times New Roman" w:hAnsi="Times New Roman" w:eastAsia="Calibri" w:cs="Times New Roman"/>
                <w:bCs/>
                <w:snapToGrid w:val="0"/>
                <w:color w:val="000000"/>
                <w:kern w:val="0"/>
                <w:sz w:val="21"/>
                <w:szCs w:val="21"/>
                <w:highlight w:val="none"/>
                <w:lang w:val="en-US" w:eastAsia="zh-CN" w:bidi="ar-SA"/>
              </w:rPr>
            </w:pPr>
          </w:p>
        </w:tc>
        <w:tc>
          <w:tcPr>
            <w:tcW w:w="2840" w:type="dxa"/>
            <w:tcBorders>
              <w:tl2br w:val="nil"/>
              <w:tr2bl w:val="nil"/>
            </w:tcBorders>
            <w:shd w:val="clear" w:color="auto" w:fill="auto"/>
            <w:vAlign w:val="center"/>
          </w:tcPr>
          <w:p w14:paraId="7E17CF33">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Calibri" w:cs="Times New Roman"/>
                <w:bCs/>
                <w:snapToGrid w:val="0"/>
                <w:color w:val="000000"/>
                <w:kern w:val="0"/>
                <w:sz w:val="21"/>
                <w:szCs w:val="21"/>
                <w:highlight w:val="none"/>
                <w:lang w:val="en-US" w:eastAsia="zh-CN" w:bidi="ar-SA"/>
              </w:rPr>
              <w:t>4425.</w:t>
            </w:r>
            <w:r>
              <w:rPr>
                <w:rFonts w:hint="eastAsia" w:eastAsia="Calibri" w:cs="Times New Roman"/>
                <w:bCs/>
                <w:snapToGrid w:val="0"/>
                <w:color w:val="000000"/>
                <w:kern w:val="0"/>
                <w:sz w:val="21"/>
                <w:szCs w:val="21"/>
                <w:highlight w:val="none"/>
                <w:lang w:val="en-US" w:eastAsia="zh-CN" w:bidi="ar-SA"/>
              </w:rPr>
              <w:t>78</w:t>
            </w:r>
          </w:p>
        </w:tc>
      </w:tr>
      <w:tr w14:paraId="24984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l2br w:val="nil"/>
              <w:tr2bl w:val="nil"/>
            </w:tcBorders>
            <w:vAlign w:val="center"/>
          </w:tcPr>
          <w:p w14:paraId="19CD1E82">
            <w:pPr>
              <w:keepNext w:val="0"/>
              <w:keepLines w:val="0"/>
              <w:widowControl/>
              <w:suppressLineNumbers w:val="0"/>
              <w:jc w:val="center"/>
              <w:textAlignment w:val="center"/>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TN</w:t>
            </w:r>
          </w:p>
        </w:tc>
        <w:tc>
          <w:tcPr>
            <w:tcW w:w="2840" w:type="dxa"/>
            <w:tcBorders>
              <w:tl2br w:val="nil"/>
              <w:tr2bl w:val="nil"/>
            </w:tcBorders>
            <w:shd w:val="clear" w:color="auto" w:fill="auto"/>
            <w:vAlign w:val="center"/>
          </w:tcPr>
          <w:p w14:paraId="664E4E05">
            <w:pPr>
              <w:keepNext w:val="0"/>
              <w:keepLines w:val="0"/>
              <w:widowControl/>
              <w:suppressLineNumbers w:val="0"/>
              <w:jc w:val="center"/>
              <w:textAlignment w:val="center"/>
              <w:rPr>
                <w:rFonts w:hint="eastAsia"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4663.</w:t>
            </w:r>
            <w:r>
              <w:rPr>
                <w:rFonts w:hint="eastAsia" w:cs="Times New Roman"/>
                <w:i w:val="0"/>
                <w:iCs w:val="0"/>
                <w:color w:val="000000"/>
                <w:kern w:val="0"/>
                <w:sz w:val="21"/>
                <w:szCs w:val="21"/>
                <w:u w:val="none"/>
                <w:lang w:val="en-US" w:eastAsia="zh-CN" w:bidi="ar"/>
              </w:rPr>
              <w:t>90</w:t>
            </w:r>
          </w:p>
        </w:tc>
        <w:tc>
          <w:tcPr>
            <w:tcW w:w="2840" w:type="dxa"/>
            <w:tcBorders>
              <w:tl2br w:val="nil"/>
              <w:tr2bl w:val="nil"/>
            </w:tcBorders>
            <w:shd w:val="clear" w:color="auto" w:fill="auto"/>
            <w:vAlign w:val="center"/>
          </w:tcPr>
          <w:p w14:paraId="642E952B">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Calibri" w:cs="Times New Roman"/>
                <w:bCs/>
                <w:snapToGrid w:val="0"/>
                <w:color w:val="000000"/>
                <w:kern w:val="0"/>
                <w:sz w:val="21"/>
                <w:szCs w:val="21"/>
                <w:highlight w:val="none"/>
                <w:lang w:val="en-US" w:eastAsia="zh-CN" w:bidi="ar-SA"/>
              </w:rPr>
              <w:t>/</w:t>
            </w:r>
          </w:p>
        </w:tc>
      </w:tr>
      <w:tr w14:paraId="5DD4D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l2br w:val="nil"/>
              <w:tr2bl w:val="nil"/>
            </w:tcBorders>
            <w:vAlign w:val="center"/>
          </w:tcPr>
          <w:p w14:paraId="3D87A996">
            <w:pPr>
              <w:keepNext w:val="0"/>
              <w:keepLines w:val="0"/>
              <w:widowControl/>
              <w:suppressLineNumbers w:val="0"/>
              <w:jc w:val="center"/>
              <w:textAlignment w:val="center"/>
              <w:rPr>
                <w:rFonts w:hint="eastAsia" w:eastAsia="Calibri" w:cs="Times New Roman"/>
                <w:bCs/>
                <w:snapToGrid w:val="0"/>
                <w:color w:val="000000"/>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TP</w:t>
            </w:r>
          </w:p>
        </w:tc>
        <w:tc>
          <w:tcPr>
            <w:tcW w:w="2840" w:type="dxa"/>
            <w:tcBorders>
              <w:tl2br w:val="nil"/>
              <w:tr2bl w:val="nil"/>
            </w:tcBorders>
            <w:vAlign w:val="center"/>
          </w:tcPr>
          <w:p w14:paraId="17B316E4">
            <w:pPr>
              <w:keepNext w:val="0"/>
              <w:keepLines w:val="0"/>
              <w:widowControl/>
              <w:suppressLineNumbers w:val="0"/>
              <w:jc w:val="center"/>
              <w:textAlignment w:val="center"/>
              <w:rPr>
                <w:rFonts w:hint="eastAsia"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288.</w:t>
            </w:r>
            <w:r>
              <w:rPr>
                <w:rFonts w:hint="eastAsia" w:cs="Times New Roman"/>
                <w:i w:val="0"/>
                <w:iCs w:val="0"/>
                <w:color w:val="000000"/>
                <w:kern w:val="0"/>
                <w:sz w:val="21"/>
                <w:szCs w:val="21"/>
                <w:u w:val="none"/>
                <w:lang w:val="en-US" w:eastAsia="zh-CN" w:bidi="ar"/>
              </w:rPr>
              <w:t>68</w:t>
            </w:r>
            <w:r>
              <w:rPr>
                <w:rFonts w:hint="eastAsia" w:ascii="Times New Roman" w:hAnsi="Times New Roman" w:eastAsia="宋体" w:cs="Times New Roman"/>
                <w:i w:val="0"/>
                <w:iCs w:val="0"/>
                <w:color w:val="000000"/>
                <w:kern w:val="0"/>
                <w:sz w:val="21"/>
                <w:szCs w:val="21"/>
                <w:u w:val="none"/>
                <w:lang w:val="en-US" w:eastAsia="zh-CN" w:bidi="ar"/>
              </w:rPr>
              <w:t xml:space="preserve"> </w:t>
            </w:r>
          </w:p>
        </w:tc>
        <w:tc>
          <w:tcPr>
            <w:tcW w:w="2840" w:type="dxa"/>
            <w:tcBorders>
              <w:tl2br w:val="nil"/>
              <w:tr2bl w:val="nil"/>
            </w:tcBorders>
            <w:vAlign w:val="center"/>
          </w:tcPr>
          <w:p w14:paraId="5076CFB1">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Calibri" w:cs="Times New Roman"/>
                <w:bCs/>
                <w:snapToGrid w:val="0"/>
                <w:color w:val="000000"/>
                <w:kern w:val="0"/>
                <w:sz w:val="21"/>
                <w:szCs w:val="21"/>
                <w:highlight w:val="none"/>
                <w:lang w:val="en-US" w:eastAsia="zh-CN" w:bidi="ar-SA"/>
              </w:rPr>
              <w:t>/</w:t>
            </w:r>
          </w:p>
        </w:tc>
      </w:tr>
      <w:tr w14:paraId="6FB9B0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l2br w:val="nil"/>
              <w:tr2bl w:val="nil"/>
            </w:tcBorders>
            <w:vAlign w:val="center"/>
          </w:tcPr>
          <w:p w14:paraId="2D7752CF">
            <w:pPr>
              <w:widowControl w:val="0"/>
              <w:overflowPunct w:val="0"/>
              <w:autoSpaceDE/>
              <w:autoSpaceDN/>
              <w:adjustRightInd w:val="0"/>
              <w:snapToGrid w:val="0"/>
              <w:spacing w:line="240" w:lineRule="auto"/>
              <w:ind w:firstLine="0" w:firstLineChars="0"/>
              <w:jc w:val="center"/>
              <w:textAlignment w:val="auto"/>
              <w:rPr>
                <w:rFonts w:hint="eastAsia" w:eastAsia="Calibri" w:cs="Times New Roman"/>
                <w:bCs/>
                <w:snapToGrid w:val="0"/>
                <w:color w:val="000000"/>
                <w:kern w:val="0"/>
                <w:sz w:val="21"/>
                <w:szCs w:val="21"/>
                <w:highlight w:val="none"/>
                <w:lang w:val="en-US" w:eastAsia="zh-CN" w:bidi="ar-SA"/>
              </w:rPr>
            </w:pPr>
            <w:r>
              <w:rPr>
                <w:rFonts w:hint="default" w:ascii="Times New Roman" w:hAnsi="Times New Roman" w:eastAsia="Calibri" w:cs="Times New Roman"/>
                <w:bCs/>
                <w:snapToGrid w:val="0"/>
                <w:color w:val="000000"/>
                <w:kern w:val="0"/>
                <w:sz w:val="21"/>
                <w:szCs w:val="21"/>
                <w:highlight w:val="none"/>
                <w:lang w:val="en-US" w:eastAsia="zh-CN" w:bidi="ar-SA"/>
              </w:rPr>
              <w:t>NH</w:t>
            </w:r>
            <w:r>
              <w:rPr>
                <w:rFonts w:hint="default" w:ascii="Times New Roman" w:hAnsi="Times New Roman" w:eastAsia="Calibri" w:cs="Times New Roman"/>
                <w:bCs/>
                <w:snapToGrid w:val="0"/>
                <w:color w:val="000000"/>
                <w:kern w:val="0"/>
                <w:sz w:val="21"/>
                <w:szCs w:val="21"/>
                <w:highlight w:val="none"/>
                <w:vertAlign w:val="subscript"/>
                <w:lang w:val="en-US" w:eastAsia="zh-CN" w:bidi="ar-SA"/>
              </w:rPr>
              <w:t>3</w:t>
            </w:r>
            <w:r>
              <w:rPr>
                <w:rFonts w:hint="default" w:ascii="Times New Roman" w:hAnsi="Times New Roman" w:eastAsia="Calibri" w:cs="Times New Roman"/>
                <w:bCs/>
                <w:snapToGrid w:val="0"/>
                <w:color w:val="000000"/>
                <w:kern w:val="0"/>
                <w:sz w:val="21"/>
                <w:szCs w:val="21"/>
                <w:highlight w:val="none"/>
                <w:lang w:val="en-US" w:eastAsia="zh-CN" w:bidi="ar-SA"/>
              </w:rPr>
              <w:t>-N</w:t>
            </w:r>
          </w:p>
        </w:tc>
        <w:tc>
          <w:tcPr>
            <w:tcW w:w="2840" w:type="dxa"/>
            <w:tcBorders>
              <w:tl2br w:val="nil"/>
              <w:tr2bl w:val="nil"/>
            </w:tcBorders>
            <w:vAlign w:val="center"/>
          </w:tcPr>
          <w:p w14:paraId="7651CD94">
            <w:pPr>
              <w:keepNext w:val="0"/>
              <w:keepLines w:val="0"/>
              <w:widowControl/>
              <w:suppressLineNumbers w:val="0"/>
              <w:jc w:val="center"/>
              <w:textAlignment w:val="center"/>
              <w:rPr>
                <w:rFonts w:hint="eastAsia"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 xml:space="preserve">2920.84 </w:t>
            </w:r>
          </w:p>
        </w:tc>
        <w:tc>
          <w:tcPr>
            <w:tcW w:w="2840" w:type="dxa"/>
            <w:tcBorders>
              <w:tl2br w:val="nil"/>
              <w:tr2bl w:val="nil"/>
            </w:tcBorders>
            <w:vAlign w:val="center"/>
          </w:tcPr>
          <w:p w14:paraId="416BC4D9">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Calibri" w:cs="Times New Roman"/>
                <w:bCs/>
                <w:snapToGrid w:val="0"/>
                <w:color w:val="000000"/>
                <w:kern w:val="0"/>
                <w:sz w:val="21"/>
                <w:szCs w:val="21"/>
                <w:highlight w:val="none"/>
                <w:lang w:val="en-US" w:eastAsia="zh-CN" w:bidi="ar-SA"/>
              </w:rPr>
              <w:t xml:space="preserve">5841.68 </w:t>
            </w:r>
          </w:p>
        </w:tc>
      </w:tr>
    </w:tbl>
    <w:p w14:paraId="4D135163">
      <w:pPr>
        <w:spacing w:line="360" w:lineRule="auto"/>
        <w:ind w:firstLine="482"/>
        <w:rPr>
          <w:rFonts w:hint="default" w:ascii="Times New Roman" w:hAnsi="Times New Roman" w:eastAsia="宋体" w:cs="Times New Roman"/>
          <w:color w:val="000000"/>
          <w:kern w:val="0"/>
          <w:sz w:val="24"/>
          <w:szCs w:val="24"/>
          <w:highlight w:val="none"/>
        </w:rPr>
      </w:pPr>
      <w:r>
        <w:rPr>
          <w:rFonts w:hint="eastAsia" w:eastAsia="宋体" w:cs="Times New Roman"/>
          <w:color w:val="000000"/>
          <w:kern w:val="0"/>
          <w:sz w:val="24"/>
          <w:szCs w:val="24"/>
          <w:highlight w:val="none"/>
          <w:lang w:val="en-US" w:eastAsia="zh-CN"/>
        </w:rPr>
        <w:t>⑤</w:t>
      </w:r>
      <w:r>
        <w:rPr>
          <w:rFonts w:hint="default" w:ascii="Times New Roman" w:hAnsi="Times New Roman" w:eastAsia="宋体" w:cs="Times New Roman"/>
          <w:color w:val="000000"/>
          <w:kern w:val="0"/>
          <w:sz w:val="24"/>
          <w:szCs w:val="24"/>
          <w:highlight w:val="none"/>
        </w:rPr>
        <w:t>预测方法</w:t>
      </w:r>
    </w:p>
    <w:p w14:paraId="441ABE39">
      <w:pPr>
        <w:spacing w:line="360" w:lineRule="auto"/>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000000"/>
          <w:kern w:val="0"/>
          <w:sz w:val="24"/>
          <w:szCs w:val="24"/>
          <w:highlight w:val="none"/>
        </w:rPr>
        <w:t>按照《环境影响评价技术导则</w:t>
      </w:r>
      <w:r>
        <w:rPr>
          <w:rFonts w:hint="eastAsia" w:ascii="Times New Roman" w:hAnsi="Times New Roman" w:eastAsia="宋体" w:cs="Times New Roman"/>
          <w:color w:val="000000"/>
          <w:kern w:val="0"/>
          <w:sz w:val="24"/>
          <w:szCs w:val="24"/>
          <w:highlight w:val="none"/>
          <w:lang w:val="en-US" w:eastAsia="zh-CN"/>
        </w:rPr>
        <w:t xml:space="preserve"> </w:t>
      </w:r>
      <w:r>
        <w:rPr>
          <w:rFonts w:hint="default" w:ascii="Times New Roman" w:hAnsi="Times New Roman" w:eastAsia="宋体" w:cs="Times New Roman"/>
          <w:color w:val="000000"/>
          <w:kern w:val="0"/>
          <w:sz w:val="24"/>
          <w:szCs w:val="24"/>
          <w:highlight w:val="none"/>
        </w:rPr>
        <w:t>地下水环境》（HJ610-2016）的规定，预测方法可以采用解析法</w:t>
      </w:r>
      <w:r>
        <w:rPr>
          <w:rFonts w:hint="eastAsia" w:ascii="Times New Roman" w:hAnsi="Times New Roman" w:eastAsia="宋体" w:cs="Times New Roman"/>
          <w:color w:val="000000"/>
          <w:kern w:val="0"/>
          <w:sz w:val="24"/>
          <w:szCs w:val="24"/>
          <w:highlight w:val="none"/>
          <w:lang w:val="en-US" w:eastAsia="zh-CN"/>
        </w:rPr>
        <w:t>或类比分析法</w:t>
      </w:r>
      <w:r>
        <w:rPr>
          <w:rFonts w:hint="default" w:ascii="Times New Roman" w:hAnsi="Times New Roman" w:eastAsia="宋体" w:cs="Times New Roman"/>
          <w:color w:val="000000"/>
          <w:kern w:val="0"/>
          <w:sz w:val="24"/>
          <w:szCs w:val="24"/>
          <w:highlight w:val="none"/>
        </w:rPr>
        <w:t>进行，</w:t>
      </w:r>
      <w:r>
        <w:rPr>
          <w:rFonts w:ascii="Times New Roman" w:hAnsi="Times New Roman" w:eastAsia="宋体" w:cs="Times New Roman"/>
          <w:color w:val="000000"/>
          <w:kern w:val="0"/>
          <w:sz w:val="24"/>
          <w:szCs w:val="20"/>
        </w:rPr>
        <w:t>采用解析模型预测污染物在含水层中的扩散时，一般应满足以下条件：污染物的排放对地下水流场没有明显的影响；评价区内含水层的基本参数</w:t>
      </w:r>
      <w:r>
        <w:rPr>
          <w:rFonts w:hint="eastAsia" w:ascii="Times New Roman" w:hAnsi="Times New Roman" w:eastAsia="宋体" w:cs="Times New Roman"/>
          <w:color w:val="000000"/>
          <w:kern w:val="0"/>
          <w:sz w:val="24"/>
          <w:szCs w:val="20"/>
          <w:lang w:eastAsia="zh-CN"/>
        </w:rPr>
        <w:t>（</w:t>
      </w:r>
      <w:r>
        <w:rPr>
          <w:rFonts w:ascii="Times New Roman" w:hAnsi="Times New Roman" w:eastAsia="宋体" w:cs="Times New Roman"/>
          <w:color w:val="000000"/>
          <w:kern w:val="0"/>
          <w:sz w:val="24"/>
          <w:szCs w:val="20"/>
        </w:rPr>
        <w:t>如渗透系数、有效孔隙度等</w:t>
      </w:r>
      <w:r>
        <w:rPr>
          <w:rFonts w:hint="eastAsia" w:ascii="Times New Roman" w:hAnsi="Times New Roman" w:eastAsia="宋体" w:cs="Times New Roman"/>
          <w:color w:val="000000"/>
          <w:kern w:val="0"/>
          <w:sz w:val="24"/>
          <w:szCs w:val="20"/>
          <w:lang w:eastAsia="zh-CN"/>
        </w:rPr>
        <w:t>）</w:t>
      </w:r>
      <w:r>
        <w:rPr>
          <w:rFonts w:ascii="Times New Roman" w:hAnsi="Times New Roman" w:eastAsia="宋体" w:cs="Times New Roman"/>
          <w:color w:val="000000"/>
          <w:kern w:val="0"/>
          <w:sz w:val="24"/>
          <w:szCs w:val="20"/>
        </w:rPr>
        <w:t>不变或变化很小。通过本工程</w:t>
      </w:r>
      <w:r>
        <w:rPr>
          <w:rFonts w:hint="eastAsia" w:ascii="Times New Roman" w:hAnsi="Times New Roman" w:eastAsia="宋体" w:cs="Times New Roman"/>
          <w:color w:val="000000"/>
          <w:kern w:val="0"/>
          <w:sz w:val="24"/>
          <w:szCs w:val="20"/>
        </w:rPr>
        <w:t>污水</w:t>
      </w:r>
      <w:r>
        <w:rPr>
          <w:rFonts w:ascii="Times New Roman" w:hAnsi="Times New Roman" w:eastAsia="宋体" w:cs="Times New Roman"/>
          <w:color w:val="000000"/>
          <w:kern w:val="0"/>
          <w:sz w:val="24"/>
          <w:szCs w:val="20"/>
        </w:rPr>
        <w:t>排放特征及工程水文地质勘察工作获取资料，可满足以上条件</w:t>
      </w:r>
      <w:r>
        <w:rPr>
          <w:rFonts w:hint="default" w:ascii="Times New Roman" w:hAnsi="Times New Roman" w:eastAsia="宋体" w:cs="Times New Roman"/>
          <w:color w:val="000000"/>
          <w:kern w:val="0"/>
          <w:sz w:val="24"/>
          <w:szCs w:val="24"/>
          <w:highlight w:val="none"/>
        </w:rPr>
        <w:t>，故选</w:t>
      </w:r>
      <w:r>
        <w:rPr>
          <w:rFonts w:hint="default" w:ascii="Times New Roman" w:hAnsi="Times New Roman" w:eastAsia="宋体" w:cs="Times New Roman"/>
          <w:color w:val="auto"/>
          <w:kern w:val="0"/>
          <w:sz w:val="24"/>
          <w:szCs w:val="24"/>
          <w:highlight w:val="none"/>
        </w:rPr>
        <w:t>择解析法进行预测，完全能够满足评价的要求。</w:t>
      </w:r>
    </w:p>
    <w:p w14:paraId="4FCCCC9B">
      <w:pPr>
        <w:spacing w:line="360" w:lineRule="auto"/>
        <w:ind w:firstLine="480"/>
        <w:rPr>
          <w:rFonts w:hint="default" w:ascii="Times New Roman" w:hAnsi="Times New Roman" w:eastAsia="宋体" w:cs="Times New Roman"/>
          <w:color w:val="auto"/>
          <w:kern w:val="0"/>
          <w:sz w:val="24"/>
          <w:szCs w:val="24"/>
          <w:highlight w:val="none"/>
          <w:lang w:val="en-US" w:eastAsia="zh-CN"/>
        </w:rPr>
      </w:pPr>
      <w:r>
        <w:rPr>
          <w:rFonts w:hint="eastAsia" w:eastAsia="宋体" w:cs="Times New Roman"/>
          <w:color w:val="auto"/>
          <w:kern w:val="0"/>
          <w:sz w:val="24"/>
          <w:szCs w:val="24"/>
          <w:highlight w:val="none"/>
          <w:lang w:val="en-US" w:eastAsia="zh-CN"/>
        </w:rPr>
        <w:t>⑥</w:t>
      </w:r>
      <w:r>
        <w:rPr>
          <w:rFonts w:hint="default" w:ascii="Times New Roman" w:hAnsi="Times New Roman" w:eastAsia="宋体" w:cs="Times New Roman"/>
          <w:color w:val="auto"/>
          <w:kern w:val="0"/>
          <w:sz w:val="24"/>
          <w:szCs w:val="24"/>
          <w:highlight w:val="none"/>
          <w:lang w:val="en-US" w:eastAsia="zh-CN"/>
        </w:rPr>
        <w:t>预测源强</w:t>
      </w:r>
    </w:p>
    <w:p w14:paraId="6B33562C">
      <w:pPr>
        <w:spacing w:line="360" w:lineRule="auto"/>
        <w:ind w:firstLine="480"/>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w:t>
      </w:r>
      <w:r>
        <w:rPr>
          <w:rFonts w:hint="eastAsia" w:cs="Times New Roman"/>
          <w:color w:val="auto"/>
          <w:kern w:val="0"/>
          <w:sz w:val="24"/>
          <w:szCs w:val="24"/>
          <w:highlight w:val="none"/>
          <w:lang w:val="en-US" w:eastAsia="zh-CN"/>
        </w:rPr>
        <w:t>进入尿液收集池的渗滤尿液</w:t>
      </w:r>
      <w:r>
        <w:rPr>
          <w:rFonts w:hint="default" w:ascii="Times New Roman" w:hAnsi="Times New Roman" w:eastAsia="宋体" w:cs="Times New Roman"/>
          <w:color w:val="auto"/>
          <w:kern w:val="0"/>
          <w:sz w:val="24"/>
          <w:szCs w:val="24"/>
          <w:highlight w:val="none"/>
          <w:lang w:val="en-US" w:eastAsia="zh-CN"/>
        </w:rPr>
        <w:t>主要污染物</w:t>
      </w:r>
      <w:r>
        <w:rPr>
          <w:rFonts w:hint="eastAsia" w:eastAsia="宋体" w:cs="Times New Roman"/>
          <w:color w:val="auto"/>
          <w:kern w:val="0"/>
          <w:sz w:val="24"/>
          <w:szCs w:val="24"/>
          <w:highlight w:val="none"/>
          <w:lang w:val="en-US" w:eastAsia="zh-CN"/>
        </w:rPr>
        <w:t>氨氮</w:t>
      </w:r>
      <w:r>
        <w:rPr>
          <w:rFonts w:hint="eastAsia" w:cs="Times New Roman"/>
          <w:color w:val="auto"/>
          <w:kern w:val="0"/>
          <w:sz w:val="24"/>
          <w:szCs w:val="24"/>
          <w:highlight w:val="none"/>
          <w:lang w:val="en-US" w:eastAsia="zh-CN"/>
        </w:rPr>
        <w:t>2920.84</w:t>
      </w:r>
      <w:r>
        <w:rPr>
          <w:rFonts w:hint="default" w:ascii="Times New Roman" w:hAnsi="Times New Roman" w:eastAsia="宋体" w:cs="Times New Roman"/>
          <w:color w:val="auto"/>
          <w:kern w:val="0"/>
          <w:sz w:val="24"/>
          <w:szCs w:val="24"/>
          <w:highlight w:val="none"/>
          <w:lang w:val="en-US" w:eastAsia="zh-CN"/>
        </w:rPr>
        <w:t>mg/L</w:t>
      </w:r>
      <w:r>
        <w:rPr>
          <w:rFonts w:hint="eastAsia" w:ascii="Times New Roman" w:hAnsi="Times New Roman" w:eastAsia="宋体" w:cs="Times New Roman"/>
          <w:color w:val="auto"/>
          <w:kern w:val="0"/>
          <w:sz w:val="24"/>
          <w:szCs w:val="24"/>
          <w:highlight w:val="none"/>
          <w:lang w:val="en-US" w:eastAsia="zh-CN"/>
        </w:rPr>
        <w:t>。</w:t>
      </w:r>
    </w:p>
    <w:p w14:paraId="7B4DFA63">
      <w:pPr>
        <w:widowControl w:val="0"/>
        <w:spacing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cs="Times New Roman"/>
          <w:color w:val="000000"/>
          <w:kern w:val="2"/>
          <w:sz w:val="24"/>
          <w:szCs w:val="24"/>
          <w:highlight w:val="none"/>
          <w:lang w:val="en-US" w:eastAsia="zh-CN" w:bidi="ar-SA"/>
        </w:rPr>
        <w:t>每座牛舍的</w:t>
      </w:r>
      <w:r>
        <w:rPr>
          <w:rFonts w:hint="eastAsia" w:ascii="Times New Roman" w:hAnsi="Times New Roman" w:eastAsia="宋体" w:cs="Times New Roman"/>
          <w:color w:val="000000"/>
          <w:kern w:val="2"/>
          <w:sz w:val="24"/>
          <w:szCs w:val="24"/>
          <w:highlight w:val="none"/>
          <w:lang w:val="en-US" w:eastAsia="zh-CN" w:bidi="ar-SA"/>
        </w:rPr>
        <w:t>尿液收集池为长</w:t>
      </w:r>
      <w:r>
        <w:rPr>
          <w:rFonts w:hint="eastAsia" w:cs="Times New Roman"/>
          <w:color w:val="000000"/>
          <w:kern w:val="2"/>
          <w:sz w:val="24"/>
          <w:szCs w:val="24"/>
          <w:highlight w:val="none"/>
          <w:lang w:val="en-US" w:eastAsia="zh-CN" w:bidi="ar-SA"/>
        </w:rPr>
        <w:t>2</w:t>
      </w:r>
      <w:r>
        <w:rPr>
          <w:rFonts w:hint="eastAsia" w:ascii="Times New Roman" w:hAnsi="Times New Roman" w:eastAsia="宋体" w:cs="Times New Roman"/>
          <w:color w:val="000000"/>
          <w:kern w:val="2"/>
          <w:sz w:val="24"/>
          <w:szCs w:val="24"/>
          <w:highlight w:val="none"/>
          <w:lang w:val="en-US" w:eastAsia="zh-CN" w:bidi="ar-SA"/>
        </w:rPr>
        <w:t>米，宽</w:t>
      </w:r>
      <w:r>
        <w:rPr>
          <w:rFonts w:hint="eastAsia" w:cs="Times New Roman"/>
          <w:color w:val="000000"/>
          <w:kern w:val="2"/>
          <w:sz w:val="24"/>
          <w:szCs w:val="24"/>
          <w:highlight w:val="none"/>
          <w:lang w:val="en-US" w:eastAsia="zh-CN" w:bidi="ar-SA"/>
        </w:rPr>
        <w:t>1</w:t>
      </w:r>
      <w:r>
        <w:rPr>
          <w:rFonts w:hint="eastAsia" w:ascii="Times New Roman" w:hAnsi="Times New Roman" w:eastAsia="宋体" w:cs="Times New Roman"/>
          <w:color w:val="000000"/>
          <w:kern w:val="2"/>
          <w:sz w:val="24"/>
          <w:szCs w:val="24"/>
          <w:highlight w:val="none"/>
          <w:lang w:val="en-US" w:eastAsia="zh-CN" w:bidi="ar-SA"/>
        </w:rPr>
        <w:t>米，池内深度</w:t>
      </w:r>
      <w:r>
        <w:rPr>
          <w:rFonts w:hint="eastAsia" w:cs="Times New Roman"/>
          <w:color w:val="000000"/>
          <w:kern w:val="2"/>
          <w:sz w:val="24"/>
          <w:szCs w:val="24"/>
          <w:highlight w:val="none"/>
          <w:lang w:val="en-US" w:eastAsia="zh-CN" w:bidi="ar-SA"/>
        </w:rPr>
        <w:t>2.5</w:t>
      </w:r>
      <w:r>
        <w:rPr>
          <w:rFonts w:hint="eastAsia" w:ascii="Times New Roman" w:hAnsi="Times New Roman" w:eastAsia="宋体" w:cs="Times New Roman"/>
          <w:color w:val="000000"/>
          <w:kern w:val="2"/>
          <w:sz w:val="24"/>
          <w:szCs w:val="24"/>
          <w:highlight w:val="none"/>
          <w:lang w:val="en-US" w:eastAsia="zh-CN" w:bidi="ar-SA"/>
        </w:rPr>
        <w:t>米</w:t>
      </w:r>
      <w:r>
        <w:rPr>
          <w:rFonts w:hint="default" w:ascii="Times New Roman" w:hAnsi="Times New Roman" w:eastAsia="宋体" w:cs="Times New Roman"/>
          <w:color w:val="000000"/>
          <w:kern w:val="2"/>
          <w:sz w:val="24"/>
          <w:szCs w:val="24"/>
          <w:highlight w:val="none"/>
          <w:lang w:val="en-US" w:eastAsia="zh-CN" w:bidi="ar-SA"/>
        </w:rPr>
        <w:t>的混凝土构筑物</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根据《给水排水构筑物工程施工及验收规范》（GB50141-2008）中规定钢筋混凝土水池渗水量不得超过2L/m</w:t>
      </w:r>
      <w:r>
        <w:rPr>
          <w:rFonts w:hint="default" w:ascii="Times New Roman" w:hAnsi="Times New Roman" w:eastAsia="宋体" w:cs="Times New Roman"/>
          <w:color w:val="000000"/>
          <w:kern w:val="2"/>
          <w:sz w:val="24"/>
          <w:szCs w:val="24"/>
          <w:highlight w:val="none"/>
          <w:vertAlign w:val="super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·d。泄漏面积为池底面积和常水位池壁板面积之和。为分析可能出现的最大泄漏情况，本次以池底面积和池壁板面积之和计算，共计</w:t>
      </w:r>
      <w:r>
        <w:rPr>
          <w:rFonts w:hint="eastAsia" w:cs="Times New Roman"/>
          <w:color w:val="000000"/>
          <w:kern w:val="2"/>
          <w:sz w:val="24"/>
          <w:szCs w:val="24"/>
          <w:highlight w:val="none"/>
          <w:lang w:val="en-US" w:eastAsia="zh-CN" w:bidi="ar-SA"/>
        </w:rPr>
        <w:t>17</w:t>
      </w:r>
      <w:r>
        <w:rPr>
          <w:rFonts w:hint="default" w:ascii="Times New Roman" w:hAnsi="Times New Roman" w:eastAsia="宋体" w:cs="Times New Roman"/>
          <w:color w:val="000000"/>
          <w:kern w:val="2"/>
          <w:sz w:val="24"/>
          <w:szCs w:val="24"/>
          <w:highlight w:val="none"/>
          <w:lang w:val="en-US" w:eastAsia="zh-CN" w:bidi="ar-SA"/>
        </w:rPr>
        <w:t>m</w:t>
      </w:r>
      <w:r>
        <w:rPr>
          <w:rFonts w:hint="default" w:ascii="Times New Roman" w:hAnsi="Times New Roman" w:eastAsia="宋体" w:cs="Times New Roman"/>
          <w:color w:val="000000"/>
          <w:kern w:val="2"/>
          <w:sz w:val="24"/>
          <w:szCs w:val="24"/>
          <w:highlight w:val="none"/>
          <w:vertAlign w:val="super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，则收集区渗漏量为</w:t>
      </w:r>
      <w:r>
        <w:rPr>
          <w:rFonts w:hint="eastAsia" w:ascii="Times New Roman" w:hAnsi="Times New Roman" w:eastAsia="宋体" w:cs="Times New Roman"/>
          <w:color w:val="000000"/>
          <w:kern w:val="2"/>
          <w:sz w:val="24"/>
          <w:szCs w:val="24"/>
          <w:highlight w:val="none"/>
          <w:lang w:val="en-US" w:eastAsia="zh-CN" w:bidi="ar-SA"/>
        </w:rPr>
        <w:t>0.</w:t>
      </w:r>
      <w:r>
        <w:rPr>
          <w:rFonts w:hint="eastAsia" w:cs="Times New Roman"/>
          <w:color w:val="000000"/>
          <w:kern w:val="2"/>
          <w:sz w:val="24"/>
          <w:szCs w:val="24"/>
          <w:highlight w:val="none"/>
          <w:lang w:val="en-US" w:eastAsia="zh-CN" w:bidi="ar-SA"/>
        </w:rPr>
        <w:t>034</w:t>
      </w:r>
      <w:r>
        <w:rPr>
          <w:rFonts w:hint="default" w:ascii="Times New Roman" w:hAnsi="Times New Roman" w:eastAsia="宋体" w:cs="Times New Roman"/>
          <w:color w:val="000000"/>
          <w:kern w:val="2"/>
          <w:sz w:val="24"/>
          <w:szCs w:val="24"/>
          <w:highlight w:val="none"/>
          <w:lang w:val="en-US" w:eastAsia="zh-CN" w:bidi="ar-SA"/>
        </w:rPr>
        <w:t>m</w:t>
      </w:r>
      <w:r>
        <w:rPr>
          <w:rFonts w:hint="default" w:ascii="Times New Roman" w:hAnsi="Times New Roman" w:eastAsia="宋体" w:cs="Times New Roman"/>
          <w:color w:val="000000"/>
          <w:kern w:val="2"/>
          <w:sz w:val="24"/>
          <w:szCs w:val="24"/>
          <w:highlight w:val="none"/>
          <w:vertAlign w:val="superscript"/>
          <w:lang w:val="en-US" w:eastAsia="zh-CN" w:bidi="ar-SA"/>
        </w:rPr>
        <w:t>3</w:t>
      </w:r>
      <w:r>
        <w:rPr>
          <w:rFonts w:hint="default" w:ascii="Times New Roman" w:hAnsi="Times New Roman" w:eastAsia="宋体" w:cs="Times New Roman"/>
          <w:color w:val="000000"/>
          <w:kern w:val="2"/>
          <w:sz w:val="24"/>
          <w:szCs w:val="24"/>
          <w:highlight w:val="none"/>
          <w:lang w:val="en-US" w:eastAsia="zh-CN" w:bidi="ar-SA"/>
        </w:rPr>
        <w:t>/d。</w:t>
      </w:r>
      <w:r>
        <w:rPr>
          <w:rFonts w:hint="eastAsia" w:ascii="Times New Roman" w:hAnsi="Times New Roman" w:eastAsia="宋体" w:cs="Times New Roman"/>
          <w:color w:val="000000"/>
          <w:kern w:val="2"/>
          <w:sz w:val="24"/>
          <w:szCs w:val="24"/>
          <w:highlight w:val="none"/>
          <w:lang w:val="en-US" w:eastAsia="zh-CN" w:bidi="ar-SA"/>
        </w:rPr>
        <w:t>泄漏时间按两次检修时间计算，即180d。</w:t>
      </w:r>
    </w:p>
    <w:p w14:paraId="2AB47A0D">
      <w:pPr>
        <w:widowControl/>
        <w:spacing w:line="320" w:lineRule="exact"/>
        <w:jc w:val="center"/>
        <w:rPr>
          <w:rFonts w:hint="default" w:ascii="Times New Roman" w:hAnsi="Times New Roman" w:eastAsia="宋体" w:cs="Times New Roman"/>
          <w:b/>
          <w:color w:val="000000"/>
          <w:kern w:val="2"/>
          <w:sz w:val="24"/>
          <w:szCs w:val="24"/>
          <w:highlight w:val="none"/>
        </w:rPr>
      </w:pPr>
      <w:r>
        <w:rPr>
          <w:rFonts w:hint="default" w:ascii="Times New Roman" w:hAnsi="Times New Roman" w:eastAsia="宋体" w:cs="Times New Roman"/>
          <w:b/>
          <w:color w:val="000000"/>
          <w:kern w:val="2"/>
          <w:sz w:val="24"/>
          <w:szCs w:val="24"/>
          <w:highlight w:val="none"/>
        </w:rPr>
        <w:t>表5.</w:t>
      </w:r>
      <w:r>
        <w:rPr>
          <w:rFonts w:hint="eastAsia" w:ascii="Times New Roman" w:hAnsi="Times New Roman" w:eastAsia="宋体" w:cs="Times New Roman"/>
          <w:b/>
          <w:color w:val="000000"/>
          <w:kern w:val="2"/>
          <w:sz w:val="24"/>
          <w:szCs w:val="24"/>
          <w:highlight w:val="none"/>
          <w:lang w:val="en-US" w:eastAsia="zh-CN"/>
        </w:rPr>
        <w:t>2-</w:t>
      </w:r>
      <w:r>
        <w:rPr>
          <w:rFonts w:hint="eastAsia" w:cs="Times New Roman"/>
          <w:b/>
          <w:color w:val="000000"/>
          <w:kern w:val="2"/>
          <w:sz w:val="24"/>
          <w:szCs w:val="24"/>
          <w:highlight w:val="none"/>
          <w:lang w:val="en-US" w:eastAsia="zh-CN"/>
        </w:rPr>
        <w:t>25</w:t>
      </w:r>
      <w:r>
        <w:rPr>
          <w:rFonts w:hint="default" w:ascii="Times New Roman" w:hAnsi="Times New Roman" w:eastAsia="宋体" w:cs="Times New Roman"/>
          <w:b/>
          <w:color w:val="000000"/>
          <w:kern w:val="2"/>
          <w:sz w:val="24"/>
          <w:szCs w:val="24"/>
          <w:highlight w:val="none"/>
          <w:lang w:eastAsia="zh-CN"/>
        </w:rPr>
        <w:t>设定事故条件下污水的泄漏速率计算</w:t>
      </w:r>
      <w:r>
        <w:rPr>
          <w:rFonts w:hint="default" w:ascii="Times New Roman" w:hAnsi="Times New Roman" w:eastAsia="宋体" w:cs="Times New Roman"/>
          <w:b/>
          <w:color w:val="000000"/>
          <w:kern w:val="2"/>
          <w:sz w:val="24"/>
          <w:szCs w:val="24"/>
          <w:highlight w:val="none"/>
        </w:rPr>
        <w:t>结果</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236"/>
        <w:gridCol w:w="2431"/>
        <w:gridCol w:w="1266"/>
        <w:gridCol w:w="1785"/>
        <w:gridCol w:w="1786"/>
      </w:tblGrid>
      <w:tr w14:paraId="56B6D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8" w:hRule="atLeast"/>
          <w:jc w:val="center"/>
        </w:trPr>
        <w:tc>
          <w:tcPr>
            <w:tcW w:w="1236" w:type="dxa"/>
            <w:tcBorders>
              <w:tl2br w:val="nil"/>
              <w:tr2bl w:val="nil"/>
            </w:tcBorders>
            <w:noWrap w:val="0"/>
            <w:vAlign w:val="center"/>
          </w:tcPr>
          <w:p w14:paraId="40654435">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
                <w:bCs w:val="0"/>
                <w:snapToGrid w:val="0"/>
                <w:color w:val="000000"/>
                <w:kern w:val="0"/>
                <w:sz w:val="21"/>
                <w:szCs w:val="25"/>
                <w:highlight w:val="none"/>
                <w:lang w:val="en-US" w:eastAsia="zh-CN" w:bidi="ar-SA"/>
              </w:rPr>
            </w:pPr>
            <w:r>
              <w:rPr>
                <w:rFonts w:hint="default" w:ascii="Times New Roman" w:hAnsi="Times New Roman" w:eastAsia="宋体" w:cs="Times New Roman"/>
                <w:b/>
                <w:bCs w:val="0"/>
                <w:snapToGrid w:val="0"/>
                <w:color w:val="000000"/>
                <w:kern w:val="0"/>
                <w:sz w:val="21"/>
                <w:szCs w:val="21"/>
                <w:highlight w:val="none"/>
                <w:lang w:val="en-US" w:eastAsia="zh-CN" w:bidi="ar-SA"/>
              </w:rPr>
              <w:t>状况情况</w:t>
            </w:r>
          </w:p>
        </w:tc>
        <w:tc>
          <w:tcPr>
            <w:tcW w:w="2431" w:type="dxa"/>
            <w:tcBorders>
              <w:tl2br w:val="nil"/>
              <w:tr2bl w:val="nil"/>
            </w:tcBorders>
            <w:noWrap w:val="0"/>
            <w:vAlign w:val="center"/>
          </w:tcPr>
          <w:p w14:paraId="6333B47B">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
                <w:bCs w:val="0"/>
                <w:snapToGrid w:val="0"/>
                <w:color w:val="000000"/>
                <w:kern w:val="0"/>
                <w:sz w:val="21"/>
                <w:szCs w:val="25"/>
                <w:highlight w:val="none"/>
                <w:lang w:val="en-US" w:eastAsia="zh-CN" w:bidi="ar-SA"/>
              </w:rPr>
            </w:pPr>
            <w:r>
              <w:rPr>
                <w:rFonts w:hint="default" w:ascii="Times New Roman" w:hAnsi="Times New Roman" w:eastAsia="宋体" w:cs="Times New Roman"/>
                <w:b/>
                <w:bCs w:val="0"/>
                <w:snapToGrid w:val="0"/>
                <w:color w:val="000000"/>
                <w:kern w:val="0"/>
                <w:sz w:val="21"/>
                <w:szCs w:val="21"/>
                <w:highlight w:val="none"/>
                <w:lang w:val="en-US" w:eastAsia="zh-CN" w:bidi="ar-SA"/>
              </w:rPr>
              <w:t>预测情景</w:t>
            </w:r>
          </w:p>
        </w:tc>
        <w:tc>
          <w:tcPr>
            <w:tcW w:w="1266" w:type="dxa"/>
            <w:tcBorders>
              <w:tl2br w:val="nil"/>
              <w:tr2bl w:val="nil"/>
            </w:tcBorders>
            <w:noWrap w:val="0"/>
            <w:vAlign w:val="center"/>
          </w:tcPr>
          <w:p w14:paraId="38218E03">
            <w:pPr>
              <w:widowControl w:val="0"/>
              <w:overflowPunct w:val="0"/>
              <w:autoSpaceDE/>
              <w:autoSpaceDN/>
              <w:adjustRightInd w:val="0"/>
              <w:snapToGrid w:val="0"/>
              <w:spacing w:line="240" w:lineRule="auto"/>
              <w:ind w:firstLine="0" w:firstLineChars="0"/>
              <w:jc w:val="center"/>
              <w:textAlignment w:val="auto"/>
              <w:rPr>
                <w:rFonts w:hint="eastAsia" w:ascii="Times New Roman" w:hAnsi="Times New Roman" w:eastAsia="宋体" w:cs="Times New Roman"/>
                <w:b/>
                <w:bCs w:val="0"/>
                <w:snapToGrid w:val="0"/>
                <w:color w:val="000000"/>
                <w:kern w:val="0"/>
                <w:sz w:val="21"/>
                <w:szCs w:val="25"/>
                <w:highlight w:val="none"/>
                <w:lang w:val="en-US" w:eastAsia="zh-CN" w:bidi="ar-SA"/>
              </w:rPr>
            </w:pPr>
            <w:r>
              <w:rPr>
                <w:rFonts w:hint="default" w:ascii="Times New Roman" w:hAnsi="Times New Roman" w:eastAsia="宋体" w:cs="Times New Roman"/>
                <w:b/>
                <w:bCs w:val="0"/>
                <w:snapToGrid w:val="0"/>
                <w:color w:val="000000"/>
                <w:kern w:val="0"/>
                <w:sz w:val="21"/>
                <w:szCs w:val="21"/>
                <w:highlight w:val="none"/>
                <w:lang w:val="en-US" w:eastAsia="zh-CN" w:bidi="ar-SA"/>
              </w:rPr>
              <w:t>泄漏量</w:t>
            </w:r>
            <w:r>
              <w:rPr>
                <w:rFonts w:hint="eastAsia" w:ascii="Times New Roman" w:hAnsi="Times New Roman" w:eastAsia="宋体" w:cs="Times New Roman"/>
                <w:b/>
                <w:bCs w:val="0"/>
                <w:snapToGrid w:val="0"/>
                <w:color w:val="000000"/>
                <w:kern w:val="0"/>
                <w:sz w:val="21"/>
                <w:szCs w:val="21"/>
                <w:highlight w:val="none"/>
                <w:lang w:val="en-US" w:eastAsia="zh-CN" w:bidi="ar-SA"/>
              </w:rPr>
              <w:t>（L/d）</w:t>
            </w:r>
          </w:p>
        </w:tc>
        <w:tc>
          <w:tcPr>
            <w:tcW w:w="1785" w:type="dxa"/>
            <w:tcBorders>
              <w:tl2br w:val="nil"/>
              <w:tr2bl w:val="nil"/>
            </w:tcBorders>
            <w:noWrap w:val="0"/>
            <w:vAlign w:val="center"/>
          </w:tcPr>
          <w:p w14:paraId="71F5BC7D">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
                <w:bCs w:val="0"/>
                <w:snapToGrid w:val="0"/>
                <w:color w:val="000000"/>
                <w:kern w:val="0"/>
                <w:sz w:val="21"/>
                <w:szCs w:val="25"/>
                <w:highlight w:val="none"/>
                <w:lang w:val="en-US" w:eastAsia="zh-CN" w:bidi="ar-SA"/>
              </w:rPr>
            </w:pPr>
            <w:r>
              <w:rPr>
                <w:rFonts w:hint="default" w:ascii="Times New Roman" w:hAnsi="Times New Roman" w:eastAsia="宋体" w:cs="Times New Roman"/>
                <w:b/>
                <w:bCs w:val="0"/>
                <w:snapToGrid w:val="0"/>
                <w:color w:val="000000"/>
                <w:kern w:val="0"/>
                <w:sz w:val="21"/>
                <w:szCs w:val="25"/>
                <w:highlight w:val="none"/>
                <w:lang w:val="en-US" w:eastAsia="zh-CN" w:bidi="ar-SA"/>
              </w:rPr>
              <w:t>污染因子</w:t>
            </w:r>
          </w:p>
        </w:tc>
        <w:tc>
          <w:tcPr>
            <w:tcW w:w="1786" w:type="dxa"/>
            <w:tcBorders>
              <w:tl2br w:val="nil"/>
              <w:tr2bl w:val="nil"/>
            </w:tcBorders>
            <w:noWrap w:val="0"/>
            <w:vAlign w:val="center"/>
          </w:tcPr>
          <w:p w14:paraId="78C522E9">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
                <w:bCs w:val="0"/>
                <w:snapToGrid w:val="0"/>
                <w:color w:val="000000"/>
                <w:kern w:val="0"/>
                <w:sz w:val="21"/>
                <w:szCs w:val="21"/>
                <w:highlight w:val="none"/>
                <w:lang w:val="en-US" w:eastAsia="zh-CN" w:bidi="ar-SA"/>
              </w:rPr>
            </w:pPr>
            <w:r>
              <w:rPr>
                <w:rFonts w:hint="eastAsia" w:ascii="Times New Roman" w:hAnsi="Times New Roman" w:eastAsia="宋体" w:cs="Times New Roman"/>
                <w:b/>
                <w:bCs w:val="0"/>
                <w:snapToGrid w:val="0"/>
                <w:color w:val="000000"/>
                <w:kern w:val="0"/>
                <w:sz w:val="21"/>
                <w:szCs w:val="21"/>
                <w:highlight w:val="none"/>
                <w:lang w:val="en-US" w:eastAsia="zh-CN" w:bidi="ar-SA"/>
              </w:rPr>
              <w:t>浓度（mg/L）</w:t>
            </w:r>
          </w:p>
        </w:tc>
      </w:tr>
      <w:tr w14:paraId="56A81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1236" w:type="dxa"/>
            <w:tcBorders>
              <w:tl2br w:val="nil"/>
              <w:tr2bl w:val="nil"/>
            </w:tcBorders>
            <w:noWrap w:val="0"/>
            <w:vAlign w:val="center"/>
          </w:tcPr>
          <w:p w14:paraId="4C7D2B9F">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Cs/>
                <w:snapToGrid w:val="0"/>
                <w:color w:val="000000"/>
                <w:kern w:val="0"/>
                <w:sz w:val="21"/>
                <w:szCs w:val="21"/>
                <w:highlight w:val="none"/>
                <w:lang w:val="en-US" w:eastAsia="zh-CN" w:bidi="ar-SA"/>
              </w:rPr>
            </w:pPr>
            <w:r>
              <w:rPr>
                <w:rFonts w:hint="default" w:ascii="Times New Roman" w:hAnsi="Times New Roman" w:eastAsia="宋体" w:cs="Times New Roman"/>
                <w:bCs/>
                <w:snapToGrid w:val="0"/>
                <w:color w:val="000000"/>
                <w:kern w:val="0"/>
                <w:sz w:val="21"/>
                <w:szCs w:val="21"/>
                <w:highlight w:val="none"/>
                <w:lang w:val="en-US" w:eastAsia="zh-CN" w:bidi="ar-SA"/>
              </w:rPr>
              <w:t>非正常状况</w:t>
            </w:r>
          </w:p>
        </w:tc>
        <w:tc>
          <w:tcPr>
            <w:tcW w:w="2431" w:type="dxa"/>
            <w:tcBorders>
              <w:tl2br w:val="nil"/>
              <w:tr2bl w:val="nil"/>
            </w:tcBorders>
            <w:noWrap w:val="0"/>
            <w:vAlign w:val="center"/>
          </w:tcPr>
          <w:p w14:paraId="2A10CA77">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宋体" w:cs="Times New Roman"/>
                <w:bCs/>
                <w:snapToGrid w:val="0"/>
                <w:color w:val="000000"/>
                <w:kern w:val="0"/>
                <w:sz w:val="21"/>
                <w:szCs w:val="25"/>
                <w:highlight w:val="none"/>
                <w:lang w:val="en-US" w:eastAsia="zh-CN" w:bidi="ar-SA"/>
              </w:rPr>
            </w:pPr>
            <w:r>
              <w:rPr>
                <w:rFonts w:hint="eastAsia" w:cs="Times New Roman"/>
                <w:color w:val="000000"/>
                <w:highlight w:val="none"/>
                <w:lang w:val="en-US" w:eastAsia="zh-CN"/>
              </w:rPr>
              <w:t>尿液收集池</w:t>
            </w:r>
            <w:r>
              <w:rPr>
                <w:rFonts w:hint="default" w:ascii="Times New Roman" w:hAnsi="Times New Roman" w:eastAsia="宋体" w:cs="Times New Roman"/>
                <w:bCs/>
                <w:snapToGrid w:val="0"/>
                <w:color w:val="000000"/>
                <w:kern w:val="0"/>
                <w:sz w:val="21"/>
                <w:szCs w:val="25"/>
                <w:highlight w:val="none"/>
                <w:lang w:val="en-US" w:eastAsia="zh-CN" w:bidi="ar-SA"/>
              </w:rPr>
              <w:t>底部穿孔</w:t>
            </w:r>
          </w:p>
        </w:tc>
        <w:tc>
          <w:tcPr>
            <w:tcW w:w="1266" w:type="dxa"/>
            <w:tcBorders>
              <w:tl2br w:val="nil"/>
              <w:tr2bl w:val="nil"/>
            </w:tcBorders>
            <w:noWrap w:val="0"/>
            <w:vAlign w:val="center"/>
          </w:tcPr>
          <w:p w14:paraId="2BF68A9D">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cs="Times New Roman"/>
                <w:bCs/>
                <w:snapToGrid w:val="0"/>
                <w:color w:val="000000"/>
                <w:kern w:val="0"/>
                <w:sz w:val="21"/>
                <w:szCs w:val="21"/>
                <w:highlight w:val="none"/>
                <w:lang w:val="en-US" w:eastAsia="zh-CN" w:bidi="ar-SA"/>
              </w:rPr>
              <w:t>34</w:t>
            </w:r>
          </w:p>
        </w:tc>
        <w:tc>
          <w:tcPr>
            <w:tcW w:w="1785" w:type="dxa"/>
            <w:tcBorders>
              <w:tl2br w:val="nil"/>
              <w:tr2bl w:val="nil"/>
            </w:tcBorders>
            <w:noWrap w:val="0"/>
            <w:vAlign w:val="center"/>
          </w:tcPr>
          <w:p w14:paraId="30DDBEC5">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default" w:ascii="Times New Roman" w:hAnsi="Times New Roman" w:eastAsia="Calibri" w:cs="Times New Roman"/>
                <w:bCs/>
                <w:snapToGrid w:val="0"/>
                <w:color w:val="000000"/>
                <w:kern w:val="0"/>
                <w:sz w:val="21"/>
                <w:szCs w:val="21"/>
                <w:highlight w:val="none"/>
                <w:lang w:val="en-US" w:eastAsia="zh-CN" w:bidi="ar-SA"/>
              </w:rPr>
              <w:t>氨氮</w:t>
            </w:r>
          </w:p>
        </w:tc>
        <w:tc>
          <w:tcPr>
            <w:tcW w:w="1786" w:type="dxa"/>
            <w:tcBorders>
              <w:tl2br w:val="nil"/>
              <w:tr2bl w:val="nil"/>
            </w:tcBorders>
            <w:noWrap w:val="0"/>
            <w:vAlign w:val="center"/>
          </w:tcPr>
          <w:p w14:paraId="6CC3D14C">
            <w:pPr>
              <w:widowControl w:val="0"/>
              <w:overflowPunct w:val="0"/>
              <w:autoSpaceDE/>
              <w:autoSpaceDN/>
              <w:adjustRightInd w:val="0"/>
              <w:snapToGrid w:val="0"/>
              <w:spacing w:line="240" w:lineRule="auto"/>
              <w:ind w:firstLine="0" w:firstLineChars="0"/>
              <w:jc w:val="center"/>
              <w:textAlignment w:val="auto"/>
              <w:rPr>
                <w:rFonts w:hint="default" w:ascii="Times New Roman" w:hAnsi="Times New Roman" w:eastAsia="Calibri" w:cs="Times New Roman"/>
                <w:bCs/>
                <w:snapToGrid w:val="0"/>
                <w:color w:val="000000"/>
                <w:kern w:val="0"/>
                <w:sz w:val="21"/>
                <w:szCs w:val="21"/>
                <w:highlight w:val="none"/>
                <w:lang w:val="en-US" w:eastAsia="zh-CN" w:bidi="ar-SA"/>
              </w:rPr>
            </w:pPr>
            <w:r>
              <w:rPr>
                <w:rFonts w:hint="eastAsia" w:ascii="Times New Roman" w:hAnsi="Times New Roman" w:eastAsia="Calibri" w:cs="Times New Roman"/>
                <w:bCs/>
                <w:snapToGrid w:val="0"/>
                <w:color w:val="000000"/>
                <w:kern w:val="0"/>
                <w:sz w:val="21"/>
                <w:szCs w:val="21"/>
                <w:highlight w:val="none"/>
                <w:lang w:val="en-US" w:eastAsia="zh-CN" w:bidi="ar-SA"/>
              </w:rPr>
              <w:t>2920.84</w:t>
            </w:r>
          </w:p>
        </w:tc>
      </w:tr>
    </w:tbl>
    <w:p w14:paraId="5ACA1F12">
      <w:pPr>
        <w:numPr>
          <w:ilvl w:val="0"/>
          <w:numId w:val="0"/>
        </w:numPr>
        <w:spacing w:line="360" w:lineRule="auto"/>
        <w:ind w:firstLine="480" w:firstLineChars="200"/>
        <w:rPr>
          <w:rFonts w:hint="default" w:ascii="Times New Roman" w:hAnsi="Times New Roman" w:eastAsia="宋体" w:cs="Times New Roman"/>
          <w:color w:val="000000"/>
          <w:kern w:val="0"/>
          <w:sz w:val="24"/>
          <w:szCs w:val="24"/>
          <w:highlight w:val="none"/>
        </w:rPr>
      </w:pPr>
      <w:r>
        <w:rPr>
          <w:rFonts w:hint="eastAsia" w:eastAsia="宋体" w:cs="Times New Roman"/>
          <w:color w:val="000000"/>
          <w:kern w:val="0"/>
          <w:sz w:val="24"/>
          <w:szCs w:val="24"/>
          <w:highlight w:val="none"/>
          <w:lang w:val="en-US" w:eastAsia="zh-CN"/>
        </w:rPr>
        <w:t>⑦</w:t>
      </w:r>
      <w:r>
        <w:rPr>
          <w:rFonts w:hint="default" w:ascii="Times New Roman" w:hAnsi="Times New Roman" w:eastAsia="宋体" w:cs="Times New Roman"/>
          <w:color w:val="000000"/>
          <w:kern w:val="0"/>
          <w:sz w:val="24"/>
          <w:szCs w:val="24"/>
          <w:highlight w:val="none"/>
        </w:rPr>
        <w:t>预测模型</w:t>
      </w:r>
    </w:p>
    <w:p w14:paraId="18DBF2A7">
      <w:pPr>
        <w:spacing w:line="360" w:lineRule="auto"/>
        <w:ind w:firstLine="480" w:firstLineChars="20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lang w:val="en-US" w:eastAsia="zh-CN"/>
        </w:rPr>
        <w:t>1）</w:t>
      </w:r>
      <w:r>
        <w:rPr>
          <w:rFonts w:hint="default" w:ascii="Times New Roman" w:hAnsi="Times New Roman" w:eastAsia="宋体" w:cs="Times New Roman"/>
          <w:color w:val="000000"/>
          <w:kern w:val="0"/>
          <w:sz w:val="24"/>
          <w:szCs w:val="24"/>
          <w:highlight w:val="none"/>
        </w:rPr>
        <w:t>污染预测模型建立</w:t>
      </w:r>
    </w:p>
    <w:p w14:paraId="29444C38">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为了揭示污染物进入地下水体后，地下水质的时空变化规律，将污染场地地下水污染物的溶质迁移问题概化为污染物连续注入的一定浓度的一维水动力弥散问题。预测按最不利的情况设计情景，污染物泄漏直接进入地下水，并在含水层中沿水力梯度方向径流，污</w:t>
      </w:r>
      <w:r>
        <w:rPr>
          <w:rFonts w:hint="eastAsia" w:cs="Times New Roman"/>
          <w:color w:val="000000"/>
          <w:kern w:val="0"/>
          <w:sz w:val="24"/>
          <w:szCs w:val="24"/>
          <w:highlight w:val="none"/>
          <w:lang w:eastAsia="zh-CN"/>
        </w:rPr>
        <w:t>染物</w:t>
      </w:r>
      <w:r>
        <w:rPr>
          <w:rFonts w:hint="default" w:ascii="Times New Roman" w:hAnsi="Times New Roman" w:eastAsia="宋体" w:cs="Times New Roman"/>
          <w:color w:val="000000"/>
          <w:kern w:val="0"/>
          <w:sz w:val="24"/>
          <w:szCs w:val="24"/>
          <w:highlight w:val="none"/>
        </w:rPr>
        <w:t>浓度在未渗入地下水前不发生变化，不考虑污水在包气带中下渗过程的降解与吸附作用，不考虑含水层中对污染物的吸附、挥发、生物化学反应。设计情景为极端情况，用于表征污水排放对地下水环境的最大影响程度和影响范围。</w:t>
      </w:r>
    </w:p>
    <w:p w14:paraId="555C4522">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由于收集及调查的水文地质资料有限，因此在模型计算中，对污染物的吸附、挥发、生物化学反应均不</w:t>
      </w:r>
      <w:r>
        <w:rPr>
          <w:rFonts w:hint="eastAsia" w:cs="Times New Roman"/>
          <w:color w:val="000000"/>
          <w:kern w:val="0"/>
          <w:sz w:val="24"/>
          <w:szCs w:val="24"/>
          <w:highlight w:val="none"/>
          <w:lang w:eastAsia="zh-CN"/>
        </w:rPr>
        <w:t>予考虑</w:t>
      </w:r>
      <w:r>
        <w:rPr>
          <w:rFonts w:hint="default" w:ascii="Times New Roman" w:hAnsi="Times New Roman" w:eastAsia="宋体" w:cs="Times New Roman"/>
          <w:color w:val="000000"/>
          <w:kern w:val="0"/>
          <w:sz w:val="24"/>
          <w:szCs w:val="24"/>
          <w:highlight w:val="none"/>
        </w:rPr>
        <w:t>，对模型中的各项参数均</w:t>
      </w:r>
      <w:r>
        <w:rPr>
          <w:rFonts w:hint="eastAsia" w:cs="Times New Roman"/>
          <w:color w:val="000000"/>
          <w:kern w:val="0"/>
          <w:sz w:val="24"/>
          <w:szCs w:val="24"/>
          <w:highlight w:val="none"/>
          <w:lang w:eastAsia="zh-CN"/>
        </w:rPr>
        <w:t>予以</w:t>
      </w:r>
      <w:r>
        <w:rPr>
          <w:rFonts w:hint="default" w:ascii="Times New Roman" w:hAnsi="Times New Roman" w:eastAsia="宋体" w:cs="Times New Roman"/>
          <w:color w:val="000000"/>
          <w:kern w:val="0"/>
          <w:sz w:val="24"/>
          <w:szCs w:val="24"/>
          <w:highlight w:val="none"/>
        </w:rPr>
        <w:t>保守性估计，主要原因为：</w:t>
      </w:r>
    </w:p>
    <w:p w14:paraId="4918C45A">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地下水中污染物运移过程十分复杂，不仅受对流、弥散作用的影响，同时</w:t>
      </w:r>
      <w:r>
        <w:rPr>
          <w:rFonts w:hint="eastAsia" w:cs="Times New Roman"/>
          <w:color w:val="000000"/>
          <w:kern w:val="0"/>
          <w:sz w:val="24"/>
          <w:szCs w:val="24"/>
          <w:highlight w:val="none"/>
          <w:lang w:eastAsia="zh-CN"/>
        </w:rPr>
        <w:t>受</w:t>
      </w:r>
      <w:r>
        <w:rPr>
          <w:rFonts w:hint="default" w:ascii="Times New Roman" w:hAnsi="Times New Roman" w:eastAsia="宋体" w:cs="Times New Roman"/>
          <w:color w:val="000000"/>
          <w:kern w:val="0"/>
          <w:sz w:val="24"/>
          <w:szCs w:val="24"/>
          <w:highlight w:val="none"/>
        </w:rPr>
        <w:t>物理、化学、微生物作用的影响，这些作用通常在一定程度上造成污染物浓度的衰减；而且目前对这些反应参数的确定还没有较为确定的方法。</w:t>
      </w:r>
    </w:p>
    <w:p w14:paraId="0648265C">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此方法作为保守性估计，即假定污染质在地下运移过程中，不与含水层介质发生作用或反应，这样的污染质通常被</w:t>
      </w:r>
      <w:r>
        <w:rPr>
          <w:rFonts w:hint="eastAsia" w:cs="Times New Roman"/>
          <w:color w:val="000000"/>
          <w:kern w:val="0"/>
          <w:sz w:val="24"/>
          <w:szCs w:val="24"/>
          <w:highlight w:val="none"/>
          <w:lang w:eastAsia="zh-CN"/>
        </w:rPr>
        <w:t>称为</w:t>
      </w:r>
      <w:r>
        <w:rPr>
          <w:rFonts w:hint="default" w:ascii="Times New Roman" w:hAnsi="Times New Roman" w:eastAsia="宋体" w:cs="Times New Roman"/>
          <w:color w:val="000000"/>
          <w:kern w:val="0"/>
          <w:sz w:val="24"/>
          <w:szCs w:val="24"/>
          <w:highlight w:val="none"/>
        </w:rPr>
        <w:t>保守型污染质，计算按保守性计算，可估计污染源最大程度上对地下水水质的影响。</w:t>
      </w:r>
    </w:p>
    <w:p w14:paraId="78A16313">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保守计算符合工程设计的理念。</w:t>
      </w:r>
    </w:p>
    <w:p w14:paraId="5FB880F6">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根据本项目污染特征分析，场地地下潜水流向基本与地形一致，呈</w:t>
      </w:r>
      <w:r>
        <w:rPr>
          <w:rFonts w:hint="eastAsia" w:cs="Times New Roman"/>
          <w:color w:val="000000"/>
          <w:kern w:val="0"/>
          <w:sz w:val="24"/>
          <w:szCs w:val="24"/>
          <w:highlight w:val="none"/>
          <w:lang w:val="en-US" w:eastAsia="zh-CN"/>
        </w:rPr>
        <w:t>东</w:t>
      </w:r>
      <w:r>
        <w:rPr>
          <w:rFonts w:hint="default" w:ascii="Times New Roman" w:hAnsi="Times New Roman" w:eastAsia="宋体" w:cs="Times New Roman"/>
          <w:color w:val="000000"/>
          <w:kern w:val="0"/>
          <w:sz w:val="24"/>
          <w:szCs w:val="24"/>
          <w:highlight w:val="none"/>
        </w:rPr>
        <w:t>向</w:t>
      </w:r>
      <w:r>
        <w:rPr>
          <w:rFonts w:hint="eastAsia" w:cs="Times New Roman"/>
          <w:color w:val="000000"/>
          <w:kern w:val="0"/>
          <w:sz w:val="24"/>
          <w:szCs w:val="24"/>
          <w:highlight w:val="none"/>
          <w:lang w:val="en-US" w:eastAsia="zh-CN"/>
        </w:rPr>
        <w:t>西</w:t>
      </w:r>
      <w:r>
        <w:rPr>
          <w:rFonts w:hint="default" w:ascii="Times New Roman" w:hAnsi="Times New Roman" w:eastAsia="宋体" w:cs="Times New Roman"/>
          <w:color w:val="000000"/>
          <w:kern w:val="0"/>
          <w:sz w:val="24"/>
          <w:szCs w:val="24"/>
          <w:highlight w:val="none"/>
        </w:rPr>
        <w:t>下游方向径流的线状特征；污水渗漏是一个长期的过程，在区域上可假定</w:t>
      </w:r>
      <w:r>
        <w:rPr>
          <w:rFonts w:hint="eastAsia" w:cs="Times New Roman"/>
          <w:color w:val="000000"/>
          <w:kern w:val="0"/>
          <w:sz w:val="24"/>
          <w:szCs w:val="24"/>
          <w:highlight w:val="none"/>
          <w:lang w:eastAsia="zh-CN"/>
        </w:rPr>
        <w:t>为一</w:t>
      </w:r>
      <w:r>
        <w:rPr>
          <w:rFonts w:hint="default" w:ascii="Times New Roman" w:hAnsi="Times New Roman" w:eastAsia="宋体" w:cs="Times New Roman"/>
          <w:color w:val="000000"/>
          <w:kern w:val="0"/>
          <w:sz w:val="24"/>
          <w:szCs w:val="24"/>
          <w:highlight w:val="none"/>
        </w:rPr>
        <w:t>定浓度的渗漏点。</w:t>
      </w:r>
    </w:p>
    <w:p w14:paraId="24ED234B">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依据《环境影响评价技术导则</w:t>
      </w:r>
      <w:r>
        <w:rPr>
          <w:rFonts w:hint="eastAsia" w:ascii="Times New Roman" w:hAnsi="Times New Roman" w:eastAsia="宋体" w:cs="Times New Roman"/>
          <w:color w:val="000000"/>
          <w:kern w:val="0"/>
          <w:sz w:val="24"/>
          <w:szCs w:val="24"/>
          <w:highlight w:val="none"/>
          <w:lang w:val="en-US" w:eastAsia="zh-CN"/>
        </w:rPr>
        <w:t xml:space="preserve"> </w:t>
      </w:r>
      <w:r>
        <w:rPr>
          <w:rFonts w:hint="default" w:ascii="Times New Roman" w:hAnsi="Times New Roman" w:eastAsia="宋体" w:cs="Times New Roman"/>
          <w:color w:val="000000"/>
          <w:kern w:val="0"/>
          <w:sz w:val="24"/>
          <w:szCs w:val="24"/>
          <w:highlight w:val="none"/>
        </w:rPr>
        <w:t>地下水环境》（HJ610-2016）的要求，结合区域水文地质条件和潜在污染源特征，</w:t>
      </w:r>
      <w:r>
        <w:rPr>
          <w:rFonts w:hint="eastAsia" w:ascii="Times New Roman" w:hAnsi="Times New Roman" w:eastAsia="宋体" w:cs="Times New Roman"/>
          <w:color w:val="000000"/>
          <w:kern w:val="0"/>
          <w:sz w:val="24"/>
          <w:szCs w:val="24"/>
          <w:highlight w:val="none"/>
          <w:lang w:val="en-US" w:eastAsia="zh-CN"/>
        </w:rPr>
        <w:t>本项目废水预测因子氨氮</w:t>
      </w:r>
      <w:r>
        <w:rPr>
          <w:rFonts w:hint="default" w:ascii="Times New Roman" w:hAnsi="Times New Roman" w:eastAsia="宋体" w:cs="Times New Roman"/>
          <w:color w:val="000000"/>
          <w:kern w:val="0"/>
          <w:sz w:val="24"/>
          <w:szCs w:val="24"/>
          <w:highlight w:val="none"/>
        </w:rPr>
        <w:t>地下水环境影响预测采用一维稳定流动二维水动力弥散问题，</w:t>
      </w:r>
      <w:r>
        <w:rPr>
          <w:rFonts w:hint="eastAsia" w:cs="Times New Roman"/>
          <w:color w:val="000000"/>
          <w:kern w:val="0"/>
          <w:sz w:val="24"/>
          <w:szCs w:val="24"/>
          <w:highlight w:val="none"/>
          <w:lang w:val="en-US" w:eastAsia="zh-CN"/>
        </w:rPr>
        <w:t>连续</w:t>
      </w:r>
      <w:r>
        <w:rPr>
          <w:rFonts w:hint="default" w:ascii="Times New Roman" w:hAnsi="Times New Roman" w:eastAsia="宋体" w:cs="Times New Roman"/>
          <w:color w:val="000000"/>
          <w:kern w:val="0"/>
          <w:sz w:val="24"/>
          <w:szCs w:val="24"/>
          <w:highlight w:val="none"/>
        </w:rPr>
        <w:t>注入示踪剂—平面</w:t>
      </w:r>
      <w:r>
        <w:rPr>
          <w:rFonts w:hint="eastAsia" w:ascii="Times New Roman" w:hAnsi="Times New Roman" w:eastAsia="宋体" w:cs="Times New Roman"/>
          <w:color w:val="000000"/>
          <w:kern w:val="0"/>
          <w:sz w:val="24"/>
          <w:szCs w:val="24"/>
          <w:highlight w:val="none"/>
          <w:lang w:val="en-US" w:eastAsia="zh-CN"/>
        </w:rPr>
        <w:t>连续</w:t>
      </w:r>
      <w:r>
        <w:rPr>
          <w:rFonts w:hint="default" w:ascii="Times New Roman" w:hAnsi="Times New Roman" w:eastAsia="宋体" w:cs="Times New Roman"/>
          <w:color w:val="000000"/>
          <w:kern w:val="0"/>
          <w:sz w:val="24"/>
          <w:szCs w:val="24"/>
          <w:highlight w:val="none"/>
        </w:rPr>
        <w:t>点源模型。公式为：</w:t>
      </w:r>
    </w:p>
    <w:p w14:paraId="55D502B0">
      <w:pPr>
        <w:widowControl/>
        <w:spacing w:line="240" w:lineRule="auto"/>
        <w:ind w:firstLine="480"/>
        <w:jc w:val="center"/>
        <w:rPr>
          <w:rFonts w:hint="default" w:ascii="Times New Roman" w:hAnsi="Times New Roman" w:eastAsia="宋体" w:cs="Times New Roman"/>
          <w:snapToGrid w:val="0"/>
          <w:color w:val="000000"/>
          <w:kern w:val="0"/>
          <w:sz w:val="21"/>
          <w:szCs w:val="24"/>
          <w:highlight w:val="none"/>
        </w:rPr>
      </w:pPr>
      <w:r>
        <w:rPr>
          <w:rFonts w:ascii="Times New Roman" w:hAnsi="Times New Roman" w:eastAsia="宋体" w:cs="Times New Roman"/>
          <w:color w:val="000000"/>
          <w:kern w:val="0"/>
          <w:position w:val="-74"/>
          <w:sz w:val="24"/>
          <w:szCs w:val="24"/>
        </w:rPr>
        <w:object>
          <v:shape id="_x0000_i1028" o:spt="75" type="#_x0000_t75" style="height:100.1pt;width:362.65pt;" o:ole="t" filled="f" o:preferrelative="t" stroked="f" coordsize="21600,21600">
            <v:path/>
            <v:fill on="f" focussize="0,0"/>
            <v:stroke on="f"/>
            <v:imagedata r:id="rId46" o:title=""/>
            <o:lock v:ext="edit" aspectratio="t"/>
            <w10:wrap type="none"/>
            <w10:anchorlock/>
          </v:shape>
          <o:OLEObject Type="Embed" ProgID="Equation.3" ShapeID="_x0000_i1028" DrawAspect="Content" ObjectID="_1468075728" r:id="rId45">
            <o:LockedField>false</o:LockedField>
          </o:OLEObject>
        </w:object>
      </w:r>
    </w:p>
    <w:p w14:paraId="470177F2">
      <w:pPr>
        <w:spacing w:line="520" w:lineRule="exact"/>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式中：</w:t>
      </w:r>
    </w:p>
    <w:p w14:paraId="03EE4825">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式中：x，y—计算点处的位置坐标；</w:t>
      </w:r>
    </w:p>
    <w:p w14:paraId="34ED56B7">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t—时间，d；</w:t>
      </w:r>
    </w:p>
    <w:p w14:paraId="28BCE4E9">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C（x，y，t）—t时刻x，y处的示踪剂浓度，g/L；</w:t>
      </w:r>
    </w:p>
    <w:p w14:paraId="7A21578C">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M—含水层的厚度，m；</w:t>
      </w:r>
      <w:r>
        <w:rPr>
          <w:rFonts w:hint="default" w:ascii="Times New Roman" w:hAnsi="Times New Roman" w:eastAsia="宋体" w:cs="Times New Roman"/>
          <w:color w:val="000000"/>
          <w:kern w:val="2"/>
          <w:sz w:val="24"/>
          <w:szCs w:val="24"/>
          <w:highlight w:val="none"/>
          <w:lang w:val="zh-CN" w:eastAsia="zh-CN" w:bidi="ar-SA"/>
        </w:rPr>
        <w:t>根据以往水文地质资料，可知</w:t>
      </w:r>
      <w:r>
        <w:rPr>
          <w:rFonts w:hint="eastAsia" w:ascii="Times New Roman" w:hAnsi="Times New Roman" w:eastAsia="宋体" w:cs="Times New Roman"/>
          <w:color w:val="000000"/>
          <w:kern w:val="2"/>
          <w:sz w:val="24"/>
          <w:szCs w:val="24"/>
          <w:highlight w:val="none"/>
          <w:lang w:val="en-US" w:eastAsia="zh-CN" w:bidi="ar-SA"/>
        </w:rPr>
        <w:t>项目区</w:t>
      </w:r>
      <w:r>
        <w:rPr>
          <w:rFonts w:hint="default" w:ascii="Times New Roman" w:hAnsi="Times New Roman" w:eastAsia="宋体" w:cs="Times New Roman"/>
          <w:color w:val="000000"/>
          <w:kern w:val="2"/>
          <w:sz w:val="24"/>
          <w:szCs w:val="24"/>
          <w:highlight w:val="none"/>
          <w:lang w:val="zh-CN" w:eastAsia="zh-CN" w:bidi="ar-SA"/>
        </w:rPr>
        <w:t>潜水含水层厚度</w:t>
      </w:r>
      <w:r>
        <w:rPr>
          <w:rFonts w:hint="eastAsia" w:ascii="Times New Roman" w:hAnsi="Times New Roman" w:eastAsia="宋体" w:cs="Times New Roman"/>
          <w:color w:val="000000"/>
          <w:kern w:val="2"/>
          <w:sz w:val="24"/>
          <w:szCs w:val="24"/>
          <w:highlight w:val="none"/>
          <w:lang w:val="en-US" w:eastAsia="zh-CN" w:bidi="ar-SA"/>
        </w:rPr>
        <w:t>大于20</w:t>
      </w:r>
      <w:r>
        <w:rPr>
          <w:rFonts w:hint="default" w:ascii="Times New Roman" w:hAnsi="Times New Roman" w:eastAsia="宋体" w:cs="Times New Roman"/>
          <w:color w:val="000000"/>
          <w:kern w:val="2"/>
          <w:sz w:val="24"/>
          <w:szCs w:val="24"/>
          <w:highlight w:val="none"/>
          <w:lang w:val="zh-CN" w:eastAsia="zh-CN" w:bidi="ar-SA"/>
        </w:rPr>
        <w:t>m；</w:t>
      </w:r>
    </w:p>
    <w:p w14:paraId="71647486">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w:t>
      </w:r>
      <w:r>
        <w:rPr>
          <w:rFonts w:ascii="Times New Roman" w:hAnsi="Times New Roman" w:eastAsia="宋体" w:cs="Times New Roman"/>
          <w:color w:val="000000"/>
          <w:kern w:val="0"/>
          <w:sz w:val="24"/>
          <w:szCs w:val="24"/>
          <w:vertAlign w:val="subscript"/>
        </w:rPr>
        <w:t>t</w:t>
      </w:r>
      <w:r>
        <w:rPr>
          <w:rFonts w:ascii="Times New Roman" w:hAnsi="Times New Roman" w:eastAsia="宋体" w:cs="Times New Roman"/>
          <w:color w:val="000000"/>
          <w:kern w:val="0"/>
          <w:sz w:val="24"/>
          <w:szCs w:val="24"/>
        </w:rPr>
        <w:t>—单位时间注入示踪剂的质量，kg/d；</w:t>
      </w:r>
    </w:p>
    <w:p w14:paraId="0A5099CD">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u—水流速度，m/d；</w:t>
      </w:r>
    </w:p>
    <w:p w14:paraId="116B2A18">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n—有效孔隙度，无量纲；</w:t>
      </w:r>
    </w:p>
    <w:p w14:paraId="6A4CFAEA">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D</w:t>
      </w:r>
      <w:r>
        <w:rPr>
          <w:rFonts w:ascii="Times New Roman" w:hAnsi="Times New Roman" w:eastAsia="宋体" w:cs="Times New Roman"/>
          <w:color w:val="000000"/>
          <w:kern w:val="0"/>
          <w:sz w:val="24"/>
          <w:szCs w:val="24"/>
          <w:vertAlign w:val="subscript"/>
        </w:rPr>
        <w:t>L</w:t>
      </w:r>
      <w:r>
        <w:rPr>
          <w:rFonts w:ascii="Times New Roman" w:hAnsi="Times New Roman" w:eastAsia="宋体" w:cs="Times New Roman"/>
          <w:color w:val="000000"/>
          <w:kern w:val="0"/>
          <w:sz w:val="24"/>
          <w:szCs w:val="24"/>
        </w:rPr>
        <w:t>—纵向弥散系数，m</w:t>
      </w:r>
      <w:r>
        <w:rPr>
          <w:rFonts w:ascii="Times New Roman" w:hAnsi="Times New Roman" w:eastAsia="宋体" w:cs="Times New Roman"/>
          <w:color w:val="000000"/>
          <w:kern w:val="0"/>
          <w:sz w:val="24"/>
          <w:szCs w:val="24"/>
          <w:vertAlign w:val="superscript"/>
        </w:rPr>
        <w:t>2</w:t>
      </w:r>
      <w:r>
        <w:rPr>
          <w:rFonts w:ascii="Times New Roman" w:hAnsi="Times New Roman" w:eastAsia="宋体" w:cs="Times New Roman"/>
          <w:color w:val="000000"/>
          <w:kern w:val="0"/>
          <w:sz w:val="24"/>
          <w:szCs w:val="24"/>
        </w:rPr>
        <w:t>/d；</w:t>
      </w:r>
    </w:p>
    <w:p w14:paraId="39F1CBE7">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D</w:t>
      </w:r>
      <w:r>
        <w:rPr>
          <w:rFonts w:ascii="Times New Roman" w:hAnsi="Times New Roman" w:eastAsia="宋体" w:cs="Times New Roman"/>
          <w:color w:val="000000"/>
          <w:kern w:val="0"/>
          <w:sz w:val="24"/>
          <w:szCs w:val="24"/>
          <w:vertAlign w:val="subscript"/>
        </w:rPr>
        <w:t>T</w:t>
      </w:r>
      <w:r>
        <w:rPr>
          <w:rFonts w:ascii="Times New Roman" w:hAnsi="Times New Roman" w:eastAsia="宋体" w:cs="Times New Roman"/>
          <w:color w:val="000000"/>
          <w:kern w:val="0"/>
          <w:sz w:val="24"/>
          <w:szCs w:val="24"/>
        </w:rPr>
        <w:t>—横向y方向的弥散系数，m</w:t>
      </w:r>
      <w:r>
        <w:rPr>
          <w:rFonts w:ascii="Times New Roman" w:hAnsi="Times New Roman" w:eastAsia="宋体" w:cs="Times New Roman"/>
          <w:color w:val="000000"/>
          <w:kern w:val="0"/>
          <w:sz w:val="24"/>
          <w:szCs w:val="24"/>
          <w:vertAlign w:val="superscript"/>
        </w:rPr>
        <w:t>2</w:t>
      </w:r>
      <w:r>
        <w:rPr>
          <w:rFonts w:ascii="Times New Roman" w:hAnsi="Times New Roman" w:eastAsia="宋体" w:cs="Times New Roman"/>
          <w:color w:val="000000"/>
          <w:kern w:val="0"/>
          <w:sz w:val="24"/>
          <w:szCs w:val="24"/>
        </w:rPr>
        <w:t>/d；</w:t>
      </w:r>
    </w:p>
    <w:p w14:paraId="150DB0EF">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position w:val="-6"/>
          <w:sz w:val="24"/>
          <w:szCs w:val="24"/>
        </w:rPr>
        <w:object>
          <v:shape id="_x0000_i1029" o:spt="75" type="#_x0000_t75" style="height:14.5pt;width:14.5pt;" o:ole="t" filled="f" o:preferrelative="t" stroked="f" coordsize="21600,21600">
            <v:path/>
            <v:fill on="f" focussize="0,0"/>
            <v:stroke on="f"/>
            <v:imagedata r:id="rId48" o:title=""/>
            <o:lock v:ext="edit" aspectratio="t"/>
            <w10:wrap type="none"/>
            <w10:anchorlock/>
          </v:shape>
          <o:OLEObject Type="Embed" ProgID="Equation.3" ShapeID="_x0000_i1029" DrawAspect="Content" ObjectID="_1468075729" r:id="rId47">
            <o:LockedField>false</o:LockedField>
          </o:OLEObject>
        </w:object>
      </w:r>
      <w:r>
        <w:rPr>
          <w:rFonts w:ascii="Times New Roman" w:hAnsi="Times New Roman" w:eastAsia="宋体" w:cs="Times New Roman"/>
          <w:color w:val="000000"/>
          <w:kern w:val="0"/>
          <w:sz w:val="24"/>
          <w:szCs w:val="24"/>
        </w:rPr>
        <w:t>—圆周率。</w:t>
      </w:r>
    </w:p>
    <w:p w14:paraId="3C10C72B">
      <w:pPr>
        <w:spacing w:line="36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position w:val="-30"/>
          <w:sz w:val="24"/>
          <w:szCs w:val="24"/>
        </w:rPr>
        <w:pict>
          <v:shape id="_x0000_s1027" o:spid="_x0000_s1027" o:spt="75" type="#_x0000_t75" style="position:absolute;left:0pt;margin-left:48pt;margin-top:30.9pt;height:35.1pt;width:28.1pt;z-index:251668480;mso-width-relative:page;mso-height-relative:page;" o:ole="t" filled="f" o:preferrelative="t" stroked="f" coordsize="21600,21600">
            <v:path/>
            <v:fill on="f" focussize="0,0"/>
            <v:stroke on="f"/>
            <v:imagedata r:id="rId50" o:title=""/>
            <o:lock v:ext="edit" aspectratio="t"/>
          </v:shape>
          <o:OLEObject Type="Embed" ProgID="Equation.3" ShapeID="_x0000_s1027" DrawAspect="Content" ObjectID="_1468075730" r:id="rId49">
            <o:LockedField>false</o:LockedField>
          </o:OLEObject>
        </w:pict>
      </w:r>
      <w:r>
        <w:rPr>
          <w:rFonts w:ascii="Times New Roman" w:hAnsi="Times New Roman" w:eastAsia="宋体" w:cs="Times New Roman"/>
          <w:color w:val="000000"/>
          <w:kern w:val="0"/>
          <w:sz w:val="24"/>
          <w:szCs w:val="24"/>
        </w:rPr>
        <w:t>K</w:t>
      </w:r>
      <w:r>
        <w:rPr>
          <w:rFonts w:ascii="Times New Roman" w:hAnsi="Times New Roman" w:eastAsia="宋体" w:cs="Times New Roman"/>
          <w:color w:val="000000"/>
          <w:kern w:val="0"/>
          <w:sz w:val="24"/>
          <w:szCs w:val="24"/>
          <w:vertAlign w:val="subscript"/>
        </w:rPr>
        <w:t>0</w:t>
      </w:r>
      <w:r>
        <w:rPr>
          <w:rFonts w:ascii="Times New Roman" w:hAnsi="Times New Roman" w:eastAsia="宋体" w:cs="Times New Roman"/>
          <w:color w:val="000000"/>
          <w:kern w:val="0"/>
          <w:sz w:val="24"/>
          <w:szCs w:val="24"/>
        </w:rPr>
        <w:t>（</w:t>
      </w:r>
      <w:r>
        <w:rPr>
          <w:rFonts w:ascii="Times New Roman" w:hAnsi="Times New Roman" w:eastAsia="宋体" w:cs="Times New Roman"/>
          <w:color w:val="000000"/>
          <w:kern w:val="0"/>
          <w:position w:val="-10"/>
          <w:sz w:val="24"/>
          <w:szCs w:val="24"/>
        </w:rPr>
        <w:object>
          <v:shape id="_x0000_i1030" o:spt="75" type="#_x0000_t75" style="height:14.95pt;width:13.15pt;" o:ole="t" filled="f" o:preferrelative="t" stroked="f" coordsize="21600,21600">
            <v:path/>
            <v:fill on="f" focussize="0,0"/>
            <v:stroke on="f"/>
            <v:imagedata r:id="rId52" o:title=""/>
            <o:lock v:ext="edit" aspectratio="t"/>
            <w10:wrap type="none"/>
            <w10:anchorlock/>
          </v:shape>
          <o:OLEObject Type="Embed" ProgID="Equation.3" ShapeID="_x0000_i1030" DrawAspect="Content" ObjectID="_1468075731" r:id="rId51">
            <o:LockedField>false</o:LockedField>
          </o:OLEObject>
        </w:object>
      </w:r>
      <w:r>
        <w:rPr>
          <w:rFonts w:ascii="Times New Roman" w:hAnsi="Times New Roman" w:eastAsia="宋体" w:cs="Times New Roman"/>
          <w:color w:val="000000"/>
          <w:kern w:val="0"/>
          <w:sz w:val="24"/>
          <w:szCs w:val="24"/>
        </w:rPr>
        <w:t>）—第二类零阶修正贝塞尔函数；</w:t>
      </w:r>
    </w:p>
    <w:p w14:paraId="544C6B54">
      <w:pPr>
        <w:spacing w:line="520" w:lineRule="exact"/>
        <w:ind w:firstLine="480"/>
        <w:rPr>
          <w:rFonts w:hint="default" w:ascii="Times New Roman" w:hAnsi="Times New Roman" w:eastAsia="宋体" w:cs="Times New Roman"/>
          <w:color w:val="000000"/>
          <w:kern w:val="0"/>
          <w:sz w:val="24"/>
          <w:szCs w:val="24"/>
          <w:highlight w:val="none"/>
          <w:lang w:val="en-US" w:eastAsia="zh-CN"/>
        </w:rPr>
      </w:pPr>
      <w:r>
        <w:rPr>
          <w:rFonts w:ascii="Times New Roman" w:hAnsi="Times New Roman" w:eastAsia="宋体" w:cs="Times New Roman"/>
          <w:color w:val="000000"/>
          <w:kern w:val="0"/>
          <w:sz w:val="24"/>
          <w:szCs w:val="24"/>
        </w:rPr>
        <w:t>W（</w:t>
      </w:r>
      <w:r>
        <w:rPr>
          <w:rFonts w:hint="eastAsia" w:cs="Times New Roman"/>
          <w:color w:val="000000"/>
          <w:kern w:val="0"/>
          <w:sz w:val="24"/>
          <w:szCs w:val="24"/>
          <w:lang w:val="en-US" w:eastAsia="zh-CN"/>
        </w:rPr>
        <w:t xml:space="preserve">      </w:t>
      </w:r>
      <w:r>
        <w:rPr>
          <w:rFonts w:ascii="Times New Roman" w:hAnsi="Times New Roman" w:eastAsia="宋体" w:cs="Times New Roman"/>
          <w:color w:val="000000"/>
          <w:kern w:val="0"/>
          <w:sz w:val="24"/>
          <w:szCs w:val="24"/>
        </w:rPr>
        <w:t>，</w:t>
      </w:r>
      <w:r>
        <w:rPr>
          <w:rFonts w:ascii="Times New Roman" w:hAnsi="Times New Roman" w:eastAsia="宋体" w:cs="Times New Roman"/>
          <w:color w:val="000000"/>
          <w:kern w:val="0"/>
          <w:position w:val="-10"/>
          <w:sz w:val="24"/>
          <w:szCs w:val="24"/>
        </w:rPr>
        <w:object>
          <v:shape id="_x0000_i1031" o:spt="75" type="#_x0000_t75" style="height:14.95pt;width:13.15pt;" o:ole="t" filled="f" o:preferrelative="t" stroked="f" coordsize="21600,21600">
            <v:path/>
            <v:fill on="f" focussize="0,0"/>
            <v:stroke on="f"/>
            <v:imagedata r:id="rId54" o:title=""/>
            <o:lock v:ext="edit" aspectratio="t"/>
            <w10:wrap type="none"/>
            <w10:anchorlock/>
          </v:shape>
          <o:OLEObject Type="Embed" ProgID="Equation.3" ShapeID="_x0000_i1031" DrawAspect="Content" ObjectID="_1468075732" r:id="rId53">
            <o:LockedField>false</o:LockedField>
          </o:OLEObject>
        </w:object>
      </w:r>
      <w:r>
        <w:rPr>
          <w:rFonts w:ascii="Times New Roman" w:hAnsi="Times New Roman" w:eastAsia="宋体" w:cs="Times New Roman"/>
          <w:color w:val="000000"/>
          <w:kern w:val="0"/>
          <w:sz w:val="24"/>
          <w:szCs w:val="24"/>
        </w:rPr>
        <w:t>）—第一类越流系统井函数。</w:t>
      </w:r>
    </w:p>
    <w:p w14:paraId="07A123EA">
      <w:pPr>
        <w:spacing w:line="520" w:lineRule="exact"/>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lang w:val="en-US" w:eastAsia="zh-CN"/>
        </w:rPr>
        <w:t>2）</w:t>
      </w:r>
      <w:r>
        <w:rPr>
          <w:rFonts w:hint="default" w:ascii="Times New Roman" w:hAnsi="Times New Roman" w:eastAsia="宋体" w:cs="Times New Roman"/>
          <w:color w:val="000000"/>
          <w:kern w:val="0"/>
          <w:sz w:val="24"/>
          <w:szCs w:val="24"/>
          <w:highlight w:val="none"/>
        </w:rPr>
        <w:t>模型参数</w:t>
      </w:r>
    </w:p>
    <w:p w14:paraId="2C610097">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zh-CN" w:eastAsia="zh-CN" w:bidi="ar-SA"/>
        </w:rPr>
      </w:pPr>
      <w:r>
        <w:rPr>
          <w:rFonts w:hint="default" w:ascii="Times New Roman" w:hAnsi="Times New Roman" w:eastAsia="宋体" w:cs="Times New Roman"/>
          <w:color w:val="000000"/>
          <w:kern w:val="2"/>
          <w:sz w:val="24"/>
          <w:szCs w:val="24"/>
          <w:highlight w:val="none"/>
          <w:lang w:val="zh-CN" w:eastAsia="zh-CN" w:bidi="ar-SA"/>
        </w:rPr>
        <w:t>利用所选取的污染物迁移模型，能否达到对污染物迁移过程的合理预测，关键就在于模型参数的选取和确定是否正确合理。</w:t>
      </w:r>
    </w:p>
    <w:p w14:paraId="5B012BAC">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u w:val="none"/>
          <w:lang w:val="zh-CN" w:eastAsia="zh-CN" w:bidi="ar-SA"/>
        </w:rPr>
      </w:pPr>
      <w:r>
        <w:rPr>
          <w:rFonts w:hint="default" w:ascii="Times New Roman" w:hAnsi="Times New Roman" w:eastAsia="宋体" w:cs="Times New Roman"/>
          <w:color w:val="000000"/>
          <w:kern w:val="2"/>
          <w:sz w:val="24"/>
          <w:szCs w:val="24"/>
          <w:highlight w:val="none"/>
          <w:lang w:val="zh-CN" w:eastAsia="zh-CN" w:bidi="ar-SA"/>
        </w:rPr>
        <w:t>模型需要的参数有：有效孔隙度n；水流的实际平均速度u；污染物在含水层中的纵向弥散系数D</w:t>
      </w:r>
      <w:r>
        <w:rPr>
          <w:rFonts w:hint="default" w:ascii="Times New Roman" w:hAnsi="Times New Roman" w:eastAsia="宋体" w:cs="Times New Roman"/>
          <w:color w:val="000000"/>
          <w:kern w:val="2"/>
          <w:sz w:val="24"/>
          <w:szCs w:val="24"/>
          <w:highlight w:val="none"/>
          <w:vertAlign w:val="subscript"/>
          <w:lang w:val="zh-CN" w:eastAsia="zh-CN" w:bidi="ar-SA"/>
        </w:rPr>
        <w:t>L</w:t>
      </w:r>
      <w:r>
        <w:rPr>
          <w:rFonts w:hint="eastAsia" w:ascii="Times New Roman" w:hAnsi="Times New Roman" w:eastAsia="宋体" w:cs="Times New Roman"/>
          <w:color w:val="000000"/>
          <w:kern w:val="2"/>
          <w:sz w:val="24"/>
          <w:szCs w:val="24"/>
          <w:highlight w:val="none"/>
          <w:u w:val="none"/>
          <w:lang w:val="en-US" w:eastAsia="zh-CN" w:bidi="ar-SA"/>
        </w:rPr>
        <w:t>。</w:t>
      </w:r>
    </w:p>
    <w:p w14:paraId="0A39E7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0"/>
        </w:rPr>
      </w:pPr>
      <w:r>
        <w:rPr>
          <w:rFonts w:hint="eastAsia" w:eastAsia="宋体" w:cs="Times New Roman"/>
          <w:color w:val="auto"/>
          <w:kern w:val="0"/>
          <w:sz w:val="24"/>
          <w:szCs w:val="20"/>
          <w:lang w:val="en-US" w:eastAsia="zh-CN"/>
        </w:rPr>
        <w:t>A.</w:t>
      </w:r>
      <w:r>
        <w:rPr>
          <w:rFonts w:hint="eastAsia" w:ascii="Times New Roman" w:hAnsi="Times New Roman" w:eastAsia="宋体" w:cs="Times New Roman"/>
          <w:color w:val="auto"/>
          <w:kern w:val="0"/>
          <w:sz w:val="24"/>
          <w:szCs w:val="20"/>
        </w:rPr>
        <w:t>潜水含水层的有效孔隙度n</w:t>
      </w:r>
    </w:p>
    <w:p w14:paraId="52FEC39F">
      <w:pPr>
        <w:spacing w:line="360" w:lineRule="auto"/>
        <w:ind w:firstLine="480" w:firstLineChars="200"/>
        <w:rPr>
          <w:rFonts w:hint="eastAsia" w:ascii="Times New Roman" w:hAnsi="Times New Roman" w:eastAsia="宋体" w:cs="Times New Roman"/>
          <w:color w:val="auto"/>
          <w:kern w:val="0"/>
          <w:sz w:val="24"/>
          <w:szCs w:val="20"/>
        </w:rPr>
      </w:pPr>
      <w:r>
        <w:rPr>
          <w:rFonts w:hint="eastAsia" w:ascii="Times New Roman" w:hAnsi="Times New Roman" w:eastAsia="宋体" w:cs="Times New Roman"/>
          <w:color w:val="auto"/>
          <w:kern w:val="0"/>
          <w:sz w:val="24"/>
          <w:szCs w:val="20"/>
          <w:lang w:val="en-US" w:eastAsia="zh-CN"/>
        </w:rPr>
        <w:t>根据《水文地质手册</w:t>
      </w:r>
      <w:r>
        <w:rPr>
          <w:rFonts w:hint="eastAsia" w:cs="Times New Roman"/>
          <w:color w:val="auto"/>
          <w:kern w:val="0"/>
          <w:sz w:val="24"/>
          <w:szCs w:val="20"/>
          <w:lang w:val="en-US" w:eastAsia="zh-CN"/>
        </w:rPr>
        <w:t>（第二版）</w:t>
      </w:r>
      <w:r>
        <w:rPr>
          <w:rFonts w:hint="eastAsia" w:ascii="Times New Roman" w:hAnsi="Times New Roman" w:eastAsia="宋体" w:cs="Times New Roman"/>
          <w:color w:val="auto"/>
          <w:kern w:val="0"/>
          <w:sz w:val="24"/>
          <w:szCs w:val="20"/>
          <w:lang w:val="en-US" w:eastAsia="zh-CN"/>
        </w:rPr>
        <w:t>》，可取</w:t>
      </w:r>
      <w:r>
        <w:rPr>
          <w:rFonts w:hint="eastAsia" w:cs="Times New Roman"/>
          <w:color w:val="auto"/>
          <w:kern w:val="0"/>
          <w:sz w:val="24"/>
          <w:szCs w:val="20"/>
          <w:lang w:val="en-US" w:eastAsia="zh-CN"/>
        </w:rPr>
        <w:t>细砂</w:t>
      </w:r>
      <w:r>
        <w:rPr>
          <w:rFonts w:hint="eastAsia" w:ascii="Times New Roman" w:hAnsi="Times New Roman" w:eastAsia="宋体" w:cs="Times New Roman"/>
          <w:color w:val="auto"/>
          <w:kern w:val="0"/>
          <w:sz w:val="24"/>
          <w:szCs w:val="20"/>
          <w:lang w:val="en-US" w:eastAsia="zh-CN"/>
        </w:rPr>
        <w:t>孔隙度为</w:t>
      </w:r>
      <w:r>
        <w:rPr>
          <w:rFonts w:hint="eastAsia" w:cs="Times New Roman"/>
          <w:color w:val="auto"/>
          <w:kern w:val="0"/>
          <w:sz w:val="24"/>
          <w:szCs w:val="20"/>
          <w:lang w:val="en-US" w:eastAsia="zh-CN"/>
        </w:rPr>
        <w:t>0.42</w:t>
      </w:r>
      <w:r>
        <w:rPr>
          <w:rFonts w:hint="eastAsia" w:ascii="Times New Roman" w:hAnsi="Times New Roman" w:eastAsia="宋体" w:cs="Times New Roman"/>
          <w:color w:val="auto"/>
          <w:kern w:val="0"/>
          <w:sz w:val="24"/>
          <w:szCs w:val="20"/>
          <w:lang w:val="en-US" w:eastAsia="zh-CN"/>
        </w:rPr>
        <w:t>，而根据以往</w:t>
      </w:r>
      <w:r>
        <w:rPr>
          <w:rFonts w:hint="eastAsia" w:cs="Times New Roman"/>
          <w:color w:val="auto"/>
          <w:kern w:val="0"/>
          <w:sz w:val="24"/>
          <w:szCs w:val="20"/>
          <w:lang w:val="en-US" w:eastAsia="zh-CN"/>
        </w:rPr>
        <w:t>生产</w:t>
      </w:r>
      <w:r>
        <w:rPr>
          <w:rFonts w:hint="eastAsia" w:ascii="Times New Roman" w:hAnsi="Times New Roman" w:eastAsia="宋体" w:cs="Times New Roman"/>
          <w:color w:val="auto"/>
          <w:kern w:val="0"/>
          <w:sz w:val="24"/>
          <w:szCs w:val="20"/>
          <w:lang w:val="en-US" w:eastAsia="zh-CN"/>
        </w:rPr>
        <w:t xml:space="preserve">经验，有效孔隙度一般比孔隙度小10%～20%。 </w:t>
      </w:r>
    </w:p>
    <w:p w14:paraId="23F62165">
      <w:pPr>
        <w:spacing w:line="360" w:lineRule="auto"/>
        <w:ind w:firstLine="480" w:firstLineChars="200"/>
        <w:rPr>
          <w:rFonts w:hint="default" w:ascii="Times New Roman" w:hAnsi="Times New Roman" w:eastAsia="宋体" w:cs="Times New Roman"/>
          <w:color w:val="auto"/>
          <w:kern w:val="0"/>
          <w:sz w:val="24"/>
          <w:szCs w:val="20"/>
          <w:lang w:val="en-US"/>
        </w:rPr>
      </w:pPr>
      <w:r>
        <w:rPr>
          <w:rFonts w:hint="eastAsia" w:ascii="Times New Roman" w:hAnsi="Times New Roman" w:eastAsia="宋体" w:cs="Times New Roman"/>
          <w:color w:val="auto"/>
          <w:kern w:val="0"/>
          <w:sz w:val="24"/>
          <w:szCs w:val="20"/>
          <w:lang w:val="en-US" w:eastAsia="zh-CN"/>
        </w:rPr>
        <w:t>因此本次取有效孔隙度n=0.</w:t>
      </w:r>
      <w:r>
        <w:rPr>
          <w:rFonts w:hint="eastAsia" w:cs="Times New Roman"/>
          <w:color w:val="auto"/>
          <w:kern w:val="0"/>
          <w:sz w:val="24"/>
          <w:szCs w:val="20"/>
          <w:lang w:val="en-US" w:eastAsia="zh-CN"/>
        </w:rPr>
        <w:t>42</w:t>
      </w:r>
      <w:r>
        <w:rPr>
          <w:rFonts w:hint="eastAsia" w:ascii="Times New Roman" w:hAnsi="Times New Roman" w:eastAsia="宋体" w:cs="Times New Roman"/>
          <w:color w:val="auto"/>
          <w:kern w:val="0"/>
          <w:sz w:val="24"/>
          <w:szCs w:val="20"/>
          <w:lang w:val="en-US" w:eastAsia="zh-CN"/>
        </w:rPr>
        <w:t>×0.8=0.</w:t>
      </w:r>
      <w:r>
        <w:rPr>
          <w:rFonts w:hint="eastAsia" w:cs="Times New Roman"/>
          <w:color w:val="auto"/>
          <w:kern w:val="0"/>
          <w:sz w:val="24"/>
          <w:szCs w:val="20"/>
          <w:lang w:val="en-US" w:eastAsia="zh-CN"/>
        </w:rPr>
        <w:t>34</w:t>
      </w:r>
    </w:p>
    <w:p w14:paraId="28B15124">
      <w:pPr>
        <w:spacing w:line="360" w:lineRule="auto"/>
        <w:ind w:firstLine="480" w:firstLineChars="200"/>
        <w:rPr>
          <w:rFonts w:hint="eastAsia" w:ascii="Times New Roman" w:hAnsi="Times New Roman" w:eastAsia="宋体" w:cs="Times New Roman"/>
          <w:color w:val="auto"/>
          <w:kern w:val="0"/>
          <w:sz w:val="24"/>
          <w:szCs w:val="20"/>
        </w:rPr>
      </w:pPr>
      <w:r>
        <w:rPr>
          <w:rFonts w:hint="eastAsia" w:ascii="Times New Roman" w:hAnsi="Times New Roman" w:eastAsia="宋体" w:cs="Times New Roman"/>
          <w:color w:val="auto"/>
          <w:kern w:val="0"/>
          <w:sz w:val="24"/>
          <w:szCs w:val="20"/>
        </w:rPr>
        <w:t>有效孔隙度平均值</w:t>
      </w:r>
      <w:r>
        <w:rPr>
          <w:rFonts w:hint="eastAsia" w:ascii="Times New Roman" w:hAnsi="Times New Roman" w:eastAsia="宋体" w:cs="Times New Roman"/>
          <w:color w:val="auto"/>
          <w:kern w:val="0"/>
          <w:sz w:val="24"/>
          <w:szCs w:val="20"/>
          <w:lang w:val="en-US" w:eastAsia="zh-CN"/>
        </w:rPr>
        <w:t>0.</w:t>
      </w:r>
      <w:r>
        <w:rPr>
          <w:rFonts w:hint="eastAsia" w:cs="Times New Roman"/>
          <w:color w:val="auto"/>
          <w:kern w:val="0"/>
          <w:sz w:val="24"/>
          <w:szCs w:val="20"/>
          <w:lang w:val="en-US" w:eastAsia="zh-CN"/>
        </w:rPr>
        <w:t>34</w:t>
      </w:r>
      <w:r>
        <w:rPr>
          <w:rFonts w:hint="eastAsia" w:ascii="Times New Roman" w:hAnsi="Times New Roman" w:eastAsia="宋体" w:cs="Times New Roman"/>
          <w:color w:val="auto"/>
          <w:kern w:val="0"/>
          <w:sz w:val="24"/>
          <w:szCs w:val="20"/>
        </w:rPr>
        <w:t>。</w:t>
      </w:r>
    </w:p>
    <w:p w14:paraId="631B4B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根据评价区水文地质条件，非正常状况下受到污染的层位为第四系松散岩类孔隙潜水。据本次调查工作可知，厂区第四系松散岩类孔隙潜水含水层厚度约</w:t>
      </w:r>
      <w:r>
        <w:rPr>
          <w:rFonts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宋体" w:cs="Times New Roman PS MT"/>
          <w:b w:val="0"/>
          <w:bCs w:val="0"/>
          <w:color w:val="000000"/>
          <w:sz w:val="24"/>
          <w:szCs w:val="24"/>
          <w:lang w:val="en-US" w:eastAsia="zh-CN"/>
        </w:rPr>
        <w:t>20</w:t>
      </w:r>
      <w:r>
        <w:rPr>
          <w:rFonts w:ascii="Times New Roman PS MT" w:hAnsi="Times New Roman PS MT" w:eastAsia="Times New Roman PS MT" w:cs="Times New Roman PS MT"/>
          <w:b w:val="0"/>
          <w:bCs w:val="0"/>
          <w:color w:val="000000"/>
          <w:sz w:val="24"/>
          <w:szCs w:val="24"/>
        </w:rPr>
        <w:t>m</w:t>
      </w:r>
      <w:r>
        <w:rPr>
          <w:rFonts w:hint="eastAsia" w:ascii="宋体" w:hAnsi="宋体" w:eastAsia="宋体" w:cs="宋体"/>
          <w:b w:val="0"/>
          <w:bCs w:val="0"/>
          <w:color w:val="000000"/>
          <w:sz w:val="24"/>
          <w:szCs w:val="24"/>
        </w:rPr>
        <w:t>。</w:t>
      </w:r>
    </w:p>
    <w:p w14:paraId="4ED689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0"/>
        </w:rPr>
      </w:pPr>
      <w:r>
        <w:rPr>
          <w:rFonts w:hint="eastAsia" w:eastAsia="宋体" w:cs="Times New Roman"/>
          <w:color w:val="auto"/>
          <w:kern w:val="0"/>
          <w:sz w:val="24"/>
          <w:szCs w:val="20"/>
          <w:lang w:val="en-US" w:eastAsia="zh-CN"/>
        </w:rPr>
        <w:t>B.</w:t>
      </w:r>
      <w:r>
        <w:rPr>
          <w:rFonts w:hint="eastAsia" w:ascii="Times New Roman" w:hAnsi="Times New Roman" w:eastAsia="宋体" w:cs="Times New Roman"/>
          <w:color w:val="auto"/>
          <w:kern w:val="0"/>
          <w:sz w:val="24"/>
          <w:szCs w:val="20"/>
        </w:rPr>
        <w:t>水流速度u</w:t>
      </w:r>
    </w:p>
    <w:p w14:paraId="7053ADB4">
      <w:pPr>
        <w:spacing w:line="360" w:lineRule="auto"/>
        <w:ind w:firstLine="480" w:firstLineChars="200"/>
        <w:rPr>
          <w:rFonts w:hint="eastAsia" w:ascii="Times New Roman" w:hAnsi="Times New Roman" w:eastAsia="宋体" w:cs="Times New Roman"/>
          <w:color w:val="auto"/>
          <w:kern w:val="0"/>
          <w:sz w:val="24"/>
          <w:szCs w:val="20"/>
        </w:rPr>
      </w:pPr>
      <w:r>
        <w:rPr>
          <w:rFonts w:hint="eastAsia" w:ascii="Times New Roman" w:hAnsi="Times New Roman" w:eastAsia="宋体" w:cs="Times New Roman"/>
          <w:color w:val="auto"/>
          <w:kern w:val="0"/>
          <w:sz w:val="24"/>
          <w:szCs w:val="20"/>
          <w:lang w:val="en-US" w:eastAsia="zh-CN"/>
        </w:rPr>
        <w:t>由于项目所在区域</w:t>
      </w:r>
      <w:r>
        <w:rPr>
          <w:rFonts w:ascii="Times New Roman" w:hAnsi="Times New Roman" w:eastAsia="宋体" w:cs="Times New Roman"/>
          <w:sz w:val="24"/>
          <w:szCs w:val="24"/>
        </w:rPr>
        <w:t>潜水含水层岩性为</w:t>
      </w:r>
      <w:r>
        <w:rPr>
          <w:rFonts w:hint="eastAsia" w:cs="Times New Roman"/>
          <w:color w:val="auto"/>
          <w:kern w:val="2"/>
          <w:sz w:val="24"/>
          <w:szCs w:val="24"/>
          <w:lang w:val="en-US" w:eastAsia="zh-CN" w:bidi="ar-SA"/>
        </w:rPr>
        <w:t>以粉土及细砂为主，本项目以最不利细砂计算</w:t>
      </w:r>
      <w:r>
        <w:rPr>
          <w:rFonts w:ascii="Times New Roman" w:hAnsi="Times New Roman" w:eastAsia="宋体" w:cs="Times New Roman"/>
          <w:sz w:val="24"/>
          <w:szCs w:val="24"/>
        </w:rPr>
        <w:t>，</w:t>
      </w:r>
      <w:r>
        <w:rPr>
          <w:rFonts w:hint="eastAsia" w:ascii="Times New Roman" w:hAnsi="Times New Roman" w:eastAsia="宋体" w:cs="Times New Roman"/>
          <w:color w:val="auto"/>
          <w:kern w:val="0"/>
          <w:sz w:val="24"/>
          <w:szCs w:val="20"/>
          <w:lang w:val="en-US" w:eastAsia="zh-CN"/>
        </w:rPr>
        <w:t>根据</w:t>
      </w:r>
      <w:r>
        <w:rPr>
          <w:rFonts w:hint="eastAsia" w:cs="Times New Roman"/>
          <w:color w:val="auto"/>
          <w:kern w:val="0"/>
          <w:sz w:val="24"/>
          <w:szCs w:val="20"/>
          <w:lang w:val="en-US" w:eastAsia="zh-CN"/>
        </w:rPr>
        <w:t>《环境影响评价技术导则 地下水环境》（HJ 610-2016）</w:t>
      </w:r>
      <w:r>
        <w:rPr>
          <w:rFonts w:hint="eastAsia" w:ascii="Times New Roman" w:hAnsi="Times New Roman" w:eastAsia="宋体" w:cs="Times New Roman"/>
          <w:color w:val="auto"/>
          <w:kern w:val="0"/>
          <w:sz w:val="24"/>
          <w:szCs w:val="20"/>
          <w:lang w:val="en-US" w:eastAsia="zh-CN"/>
        </w:rPr>
        <w:t>，确定</w:t>
      </w:r>
      <w:r>
        <w:rPr>
          <w:rFonts w:hint="eastAsia" w:cs="Times New Roman"/>
          <w:color w:val="auto"/>
          <w:kern w:val="0"/>
          <w:sz w:val="24"/>
          <w:szCs w:val="20"/>
          <w:lang w:val="en-US" w:eastAsia="zh-CN"/>
        </w:rPr>
        <w:t>砾砂</w:t>
      </w:r>
      <w:r>
        <w:rPr>
          <w:rFonts w:hint="eastAsia" w:ascii="Times New Roman" w:hAnsi="Times New Roman" w:eastAsia="宋体" w:cs="Times New Roman"/>
          <w:color w:val="auto"/>
          <w:kern w:val="0"/>
          <w:sz w:val="24"/>
          <w:szCs w:val="20"/>
          <w:lang w:val="en-US" w:eastAsia="zh-CN"/>
        </w:rPr>
        <w:t>含水层渗透系数</w:t>
      </w:r>
      <w:r>
        <w:rPr>
          <w:rFonts w:hint="eastAsia" w:cs="Times New Roman"/>
          <w:color w:val="auto"/>
          <w:kern w:val="0"/>
          <w:sz w:val="24"/>
          <w:szCs w:val="20"/>
          <w:highlight w:val="none"/>
          <w:lang w:val="en-US" w:eastAsia="zh-CN"/>
        </w:rPr>
        <w:t>5.0～10</w:t>
      </w:r>
      <w:r>
        <w:rPr>
          <w:rFonts w:hint="eastAsia" w:ascii="Times New Roman" w:hAnsi="Times New Roman" w:eastAsia="宋体" w:cs="Times New Roman"/>
          <w:color w:val="auto"/>
          <w:kern w:val="0"/>
          <w:sz w:val="24"/>
          <w:szCs w:val="20"/>
          <w:lang w:val="en-US" w:eastAsia="zh-CN"/>
        </w:rPr>
        <w:t>m/d</w:t>
      </w:r>
      <w:r>
        <w:rPr>
          <w:rFonts w:hint="eastAsia" w:cs="Times New Roman"/>
          <w:color w:val="auto"/>
          <w:kern w:val="0"/>
          <w:sz w:val="24"/>
          <w:szCs w:val="20"/>
          <w:lang w:val="en-US" w:eastAsia="zh-CN"/>
        </w:rPr>
        <w:t>，本项目取10</w:t>
      </w:r>
      <w:r>
        <w:rPr>
          <w:rFonts w:hint="eastAsia" w:ascii="Times New Roman" w:hAnsi="Times New Roman" w:eastAsia="宋体" w:cs="Times New Roman"/>
          <w:color w:val="auto"/>
          <w:kern w:val="0"/>
          <w:sz w:val="24"/>
          <w:szCs w:val="20"/>
          <w:lang w:val="en-US" w:eastAsia="zh-CN"/>
        </w:rPr>
        <w:t>m/d，评价区域含水层水力坡度取</w:t>
      </w:r>
      <w:r>
        <w:rPr>
          <w:rFonts w:hint="default" w:ascii="Times New Roman PS MT" w:hAnsi="Times New Roman PS MT" w:eastAsia="Times New Roman PS MT" w:cs="Times New Roman PS MT"/>
          <w:b w:val="0"/>
          <w:bCs w:val="0"/>
          <w:color w:val="000000"/>
          <w:sz w:val="24"/>
          <w:szCs w:val="24"/>
        </w:rPr>
        <w:t>1.6‰</w:t>
      </w:r>
      <w:r>
        <w:rPr>
          <w:rFonts w:hint="eastAsia" w:ascii="Times New Roman" w:hAnsi="Times New Roman" w:eastAsia="宋体" w:cs="Times New Roman"/>
          <w:color w:val="auto"/>
          <w:kern w:val="0"/>
          <w:sz w:val="24"/>
          <w:szCs w:val="20"/>
          <w:lang w:val="en-US" w:eastAsia="zh-CN"/>
        </w:rPr>
        <w:t>，因此地下水的渗透流速：V=KI=</w:t>
      </w:r>
      <w:r>
        <w:rPr>
          <w:rFonts w:hint="eastAsia" w:cs="Times New Roman"/>
          <w:color w:val="auto"/>
          <w:kern w:val="0"/>
          <w:sz w:val="24"/>
          <w:szCs w:val="20"/>
          <w:lang w:val="en-US" w:eastAsia="zh-CN"/>
        </w:rPr>
        <w:t>10</w:t>
      </w:r>
      <w:r>
        <w:rPr>
          <w:rFonts w:hint="eastAsia" w:ascii="Times New Roman" w:hAnsi="Times New Roman" w:eastAsia="宋体" w:cs="Times New Roman"/>
          <w:color w:val="auto"/>
          <w:kern w:val="0"/>
          <w:sz w:val="24"/>
          <w:szCs w:val="20"/>
          <w:lang w:val="en-US" w:eastAsia="zh-CN"/>
        </w:rPr>
        <w:t>m/d×0.0</w:t>
      </w:r>
      <w:r>
        <w:rPr>
          <w:rFonts w:hint="eastAsia" w:cs="Times New Roman"/>
          <w:color w:val="auto"/>
          <w:kern w:val="0"/>
          <w:sz w:val="24"/>
          <w:szCs w:val="20"/>
          <w:lang w:val="en-US" w:eastAsia="zh-CN"/>
        </w:rPr>
        <w:t>016</w:t>
      </w:r>
      <w:r>
        <w:rPr>
          <w:rFonts w:hint="eastAsia" w:ascii="Times New Roman" w:hAnsi="Times New Roman" w:eastAsia="宋体" w:cs="Times New Roman"/>
          <w:color w:val="auto"/>
          <w:kern w:val="0"/>
          <w:sz w:val="24"/>
          <w:szCs w:val="20"/>
          <w:lang w:val="en-US" w:eastAsia="zh-CN"/>
        </w:rPr>
        <w:t>=</w:t>
      </w:r>
      <w:r>
        <w:rPr>
          <w:rFonts w:hint="eastAsia" w:cs="Times New Roman"/>
          <w:color w:val="auto"/>
          <w:kern w:val="0"/>
          <w:sz w:val="24"/>
          <w:szCs w:val="20"/>
          <w:lang w:val="en-US" w:eastAsia="zh-CN"/>
        </w:rPr>
        <w:t>0.016</w:t>
      </w:r>
      <w:r>
        <w:rPr>
          <w:rFonts w:hint="eastAsia" w:ascii="Times New Roman" w:hAnsi="Times New Roman" w:eastAsia="宋体" w:cs="Times New Roman"/>
          <w:color w:val="auto"/>
          <w:kern w:val="0"/>
          <w:sz w:val="24"/>
          <w:szCs w:val="20"/>
          <w:lang w:val="en-US" w:eastAsia="zh-CN"/>
        </w:rPr>
        <w:t xml:space="preserve">m/d， </w:t>
      </w:r>
    </w:p>
    <w:p w14:paraId="01A02BBB">
      <w:pPr>
        <w:spacing w:line="360" w:lineRule="auto"/>
        <w:ind w:firstLine="480" w:firstLineChars="200"/>
        <w:rPr>
          <w:rFonts w:hint="eastAsia" w:ascii="Times New Roman" w:hAnsi="Times New Roman" w:eastAsia="宋体" w:cs="Times New Roman"/>
          <w:color w:val="auto"/>
          <w:kern w:val="0"/>
          <w:sz w:val="24"/>
          <w:szCs w:val="20"/>
        </w:rPr>
      </w:pPr>
      <w:r>
        <w:rPr>
          <w:rFonts w:hint="eastAsia" w:ascii="Times New Roman" w:hAnsi="Times New Roman" w:eastAsia="宋体" w:cs="Times New Roman"/>
          <w:color w:val="auto"/>
          <w:kern w:val="0"/>
          <w:sz w:val="24"/>
          <w:szCs w:val="20"/>
          <w:lang w:val="en-US" w:eastAsia="zh-CN"/>
        </w:rPr>
        <w:t>平均实际流速 u=V/n=</w:t>
      </w:r>
      <w:r>
        <w:rPr>
          <w:rFonts w:hint="eastAsia" w:cs="Times New Roman"/>
          <w:color w:val="auto"/>
          <w:kern w:val="0"/>
          <w:sz w:val="24"/>
          <w:szCs w:val="20"/>
          <w:lang w:val="en-US" w:eastAsia="zh-CN"/>
        </w:rPr>
        <w:t>0.05</w:t>
      </w:r>
      <w:r>
        <w:rPr>
          <w:rFonts w:hint="eastAsia" w:ascii="Times New Roman" w:hAnsi="Times New Roman" w:eastAsia="宋体" w:cs="Times New Roman"/>
          <w:color w:val="auto"/>
          <w:kern w:val="0"/>
          <w:sz w:val="24"/>
          <w:szCs w:val="20"/>
          <w:lang w:val="en-US" w:eastAsia="zh-CN"/>
        </w:rPr>
        <w:t>m/d。</w:t>
      </w:r>
    </w:p>
    <w:p w14:paraId="2F1A2F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0"/>
        </w:rPr>
      </w:pPr>
      <w:r>
        <w:rPr>
          <w:rFonts w:hint="eastAsia" w:eastAsia="宋体" w:cs="Times New Roman"/>
          <w:color w:val="auto"/>
          <w:kern w:val="0"/>
          <w:sz w:val="24"/>
          <w:szCs w:val="20"/>
          <w:lang w:val="en-US" w:eastAsia="zh-CN"/>
        </w:rPr>
        <w:t>C.</w:t>
      </w:r>
      <w:r>
        <w:rPr>
          <w:rFonts w:hint="eastAsia" w:ascii="Times New Roman" w:hAnsi="Times New Roman" w:eastAsia="宋体" w:cs="Times New Roman"/>
          <w:color w:val="auto"/>
          <w:kern w:val="0"/>
          <w:sz w:val="24"/>
          <w:szCs w:val="20"/>
        </w:rPr>
        <w:t>纵向弥散系数D</w:t>
      </w:r>
      <w:r>
        <w:rPr>
          <w:rFonts w:hint="eastAsia" w:ascii="Times New Roman" w:hAnsi="Times New Roman" w:eastAsia="宋体" w:cs="Times New Roman"/>
          <w:color w:val="auto"/>
          <w:kern w:val="0"/>
          <w:sz w:val="24"/>
          <w:szCs w:val="20"/>
          <w:vertAlign w:val="subscript"/>
        </w:rPr>
        <w:t>L</w:t>
      </w:r>
      <w:r>
        <w:rPr>
          <w:rFonts w:hint="eastAsia" w:ascii="Times New Roman" w:hAnsi="Times New Roman" w:eastAsia="宋体" w:cs="Times New Roman"/>
          <w:color w:val="auto"/>
          <w:kern w:val="0"/>
          <w:sz w:val="24"/>
          <w:szCs w:val="20"/>
        </w:rPr>
        <w:t>（x方向）</w:t>
      </w:r>
    </w:p>
    <w:p w14:paraId="79AB48A1">
      <w:pPr>
        <w:widowControl w:val="0"/>
        <w:spacing w:after="0" w:line="520" w:lineRule="exact"/>
        <w:ind w:firstLine="480" w:firstLineChars="200"/>
        <w:jc w:val="both"/>
        <w:rPr>
          <w:rFonts w:hint="default" w:ascii="Times New Roman" w:hAnsi="Times New Roman" w:eastAsia="宋体" w:cs="Times New Roman"/>
          <w:color w:val="auto"/>
          <w:kern w:val="2"/>
          <w:sz w:val="24"/>
          <w:szCs w:val="24"/>
          <w:highlight w:val="none"/>
          <w:lang w:val="zh-CN" w:eastAsia="zh-CN" w:bidi="ar-SA"/>
        </w:rPr>
      </w:pPr>
      <w:r>
        <w:rPr>
          <w:rFonts w:hint="default" w:ascii="Times New Roman" w:hAnsi="Times New Roman" w:eastAsia="宋体" w:cs="Times New Roman"/>
          <w:color w:val="auto"/>
          <w:kern w:val="2"/>
          <w:sz w:val="24"/>
          <w:szCs w:val="24"/>
          <w:highlight w:val="none"/>
          <w:lang w:val="zh-CN" w:eastAsia="zh-CN" w:bidi="ar-SA"/>
        </w:rPr>
        <w:t>参考Gelhar等人关于纵向弥散度与观测尺度关系的理论，通常弥散度随着溶质运移距离的增加而加大，这种现象称之为水动力弥散尺度效应。其具体表现为：野外弥散试验所求出的弥散度远远大于在实验室所测出的值；即使是同一含水层，溶质运移距离越大，所计算出的弥散度也越大。将世界范围内所收集到的百余个水质模型中所使用的纵向弥散度αL绘在双对数坐标纸上，从图上可以看出纵向弥散度αL从整体上随着尺度的增加而增大（图5.</w:t>
      </w:r>
      <w:r>
        <w:rPr>
          <w:rFonts w:hint="eastAsia" w:eastAsia="宋体"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zh-CN" w:eastAsia="zh-CN" w:bidi="ar-SA"/>
        </w:rPr>
        <w:t>-</w:t>
      </w:r>
      <w:r>
        <w:rPr>
          <w:rFonts w:hint="eastAsia" w:cs="Times New Roman"/>
          <w:color w:val="auto"/>
          <w:kern w:val="2"/>
          <w:sz w:val="24"/>
          <w:szCs w:val="24"/>
          <w:highlight w:val="none"/>
          <w:lang w:val="en-US" w:eastAsia="zh-CN" w:bidi="ar-SA"/>
        </w:rPr>
        <w:t>1</w:t>
      </w:r>
      <w:r>
        <w:rPr>
          <w:rFonts w:hint="default" w:ascii="Times New Roman" w:hAnsi="Times New Roman" w:eastAsia="宋体" w:cs="Times New Roman"/>
          <w:color w:val="auto"/>
          <w:kern w:val="2"/>
          <w:sz w:val="24"/>
          <w:szCs w:val="24"/>
          <w:highlight w:val="none"/>
          <w:lang w:val="zh-CN" w:eastAsia="zh-CN" w:bidi="ar-SA"/>
        </w:rPr>
        <w:t>）。基准尺度Ls是指研究区大小的度量，一般用溶质运移到观测孔的最大距离表示，或用计算区的近似最大内径长度代替。</w:t>
      </w:r>
    </w:p>
    <w:p w14:paraId="53D3B0E6">
      <w:pPr>
        <w:spacing w:line="360" w:lineRule="auto"/>
        <w:ind w:firstLine="480" w:firstLineChars="200"/>
        <w:rPr>
          <w:rFonts w:hint="eastAsia" w:ascii="Times New Roman" w:hAnsi="Times New Roman" w:eastAsia="宋体" w:cs="Times New Roman"/>
          <w:color w:val="auto"/>
          <w:kern w:val="0"/>
          <w:sz w:val="24"/>
          <w:szCs w:val="20"/>
        </w:rPr>
      </w:pPr>
      <w:r>
        <w:rPr>
          <w:rFonts w:hint="eastAsia" w:ascii="Times New Roman" w:hAnsi="Times New Roman" w:eastAsia="宋体" w:cs="Times New Roman"/>
          <w:color w:val="auto"/>
          <w:kern w:val="0"/>
          <w:sz w:val="24"/>
          <w:szCs w:val="20"/>
        </w:rPr>
        <w:t>弥散度取值</w:t>
      </w:r>
      <w:r>
        <w:rPr>
          <w:rFonts w:hint="eastAsia" w:ascii="Times New Roman" w:hAnsi="Times New Roman" w:eastAsia="宋体" w:cs="Times New Roman"/>
          <w:color w:val="auto"/>
          <w:spacing w:val="-20"/>
          <w:kern w:val="0"/>
          <w:sz w:val="24"/>
          <w:szCs w:val="20"/>
        </w:rPr>
        <w:t>α</w:t>
      </w:r>
      <w:r>
        <w:rPr>
          <w:rFonts w:hint="eastAsia" w:ascii="Times New Roman" w:hAnsi="Times New Roman" w:eastAsia="宋体" w:cs="Times New Roman"/>
          <w:color w:val="auto"/>
          <w:spacing w:val="-20"/>
          <w:kern w:val="0"/>
          <w:sz w:val="24"/>
          <w:szCs w:val="20"/>
          <w:vertAlign w:val="subscript"/>
        </w:rPr>
        <w:t>L</w:t>
      </w:r>
      <w:r>
        <w:rPr>
          <w:rFonts w:hint="eastAsia" w:ascii="Times New Roman" w:hAnsi="Times New Roman" w:eastAsia="宋体" w:cs="Times New Roman"/>
          <w:color w:val="auto"/>
          <w:kern w:val="0"/>
          <w:sz w:val="24"/>
          <w:szCs w:val="20"/>
        </w:rPr>
        <w:t>=</w:t>
      </w:r>
      <w:r>
        <w:rPr>
          <w:rFonts w:hint="eastAsia" w:ascii="Times New Roman" w:hAnsi="Times New Roman" w:eastAsia="宋体" w:cs="Times New Roman"/>
          <w:color w:val="auto"/>
          <w:kern w:val="0"/>
          <w:sz w:val="24"/>
          <w:szCs w:val="20"/>
          <w:lang w:val="en-US" w:eastAsia="zh-CN"/>
        </w:rPr>
        <w:t>5</w:t>
      </w:r>
      <w:r>
        <w:rPr>
          <w:rFonts w:hint="eastAsia" w:ascii="Times New Roman" w:hAnsi="Times New Roman" w:eastAsia="宋体" w:cs="Times New Roman"/>
          <w:color w:val="auto"/>
          <w:kern w:val="0"/>
          <w:sz w:val="24"/>
          <w:szCs w:val="20"/>
        </w:rPr>
        <w:t>m，则纵向弥散系数D</w:t>
      </w:r>
      <w:r>
        <w:rPr>
          <w:rFonts w:hint="eastAsia" w:ascii="Times New Roman" w:hAnsi="Times New Roman" w:eastAsia="宋体" w:cs="Times New Roman"/>
          <w:color w:val="auto"/>
          <w:kern w:val="0"/>
          <w:sz w:val="24"/>
          <w:szCs w:val="20"/>
          <w:vertAlign w:val="subscript"/>
        </w:rPr>
        <w:t>L</w:t>
      </w:r>
      <w:r>
        <w:rPr>
          <w:rFonts w:hint="eastAsia" w:ascii="Times New Roman" w:hAnsi="Times New Roman" w:eastAsia="宋体" w:cs="Times New Roman"/>
          <w:color w:val="auto"/>
          <w:kern w:val="0"/>
          <w:sz w:val="24"/>
          <w:szCs w:val="20"/>
        </w:rPr>
        <w:t>=</w:t>
      </w:r>
      <w:r>
        <w:rPr>
          <w:rFonts w:hint="eastAsia" w:ascii="Times New Roman" w:hAnsi="Times New Roman" w:eastAsia="宋体" w:cs="Times New Roman"/>
          <w:color w:val="auto"/>
          <w:spacing w:val="-20"/>
          <w:kern w:val="0"/>
          <w:sz w:val="24"/>
          <w:szCs w:val="20"/>
        </w:rPr>
        <w:t>α</w:t>
      </w:r>
      <w:r>
        <w:rPr>
          <w:rFonts w:hint="eastAsia" w:ascii="Times New Roman" w:hAnsi="Times New Roman" w:eastAsia="宋体" w:cs="Times New Roman"/>
          <w:color w:val="auto"/>
          <w:spacing w:val="-20"/>
          <w:kern w:val="0"/>
          <w:sz w:val="24"/>
          <w:szCs w:val="20"/>
          <w:vertAlign w:val="subscript"/>
        </w:rPr>
        <w:t>L</w:t>
      </w:r>
      <w:r>
        <w:rPr>
          <w:rFonts w:hint="eastAsia" w:ascii="Times New Roman" w:hAnsi="Times New Roman" w:eastAsia="宋体" w:cs="Times New Roman"/>
          <w:color w:val="auto"/>
          <w:kern w:val="0"/>
          <w:sz w:val="24"/>
          <w:szCs w:val="20"/>
        </w:rPr>
        <w:t>•u=</w:t>
      </w:r>
      <w:r>
        <w:rPr>
          <w:rFonts w:hint="eastAsia" w:cs="Times New Roman"/>
          <w:color w:val="auto"/>
          <w:kern w:val="0"/>
          <w:sz w:val="24"/>
          <w:szCs w:val="20"/>
          <w:lang w:val="en-US" w:eastAsia="zh-CN"/>
        </w:rPr>
        <w:t>0.25</w:t>
      </w:r>
      <w:r>
        <w:rPr>
          <w:rFonts w:hint="eastAsia" w:ascii="Times New Roman" w:hAnsi="Times New Roman" w:eastAsia="宋体" w:cs="Times New Roman"/>
          <w:color w:val="auto"/>
          <w:kern w:val="0"/>
          <w:sz w:val="24"/>
          <w:szCs w:val="20"/>
        </w:rPr>
        <w:t>m</w:t>
      </w:r>
      <w:r>
        <w:rPr>
          <w:rFonts w:hint="eastAsia" w:ascii="Times New Roman" w:hAnsi="Times New Roman" w:eastAsia="宋体" w:cs="Times New Roman"/>
          <w:color w:val="auto"/>
          <w:kern w:val="0"/>
          <w:sz w:val="24"/>
          <w:szCs w:val="20"/>
          <w:vertAlign w:val="superscript"/>
        </w:rPr>
        <w:t>2</w:t>
      </w:r>
      <w:r>
        <w:rPr>
          <w:rFonts w:hint="eastAsia" w:ascii="Times New Roman" w:hAnsi="Times New Roman" w:eastAsia="宋体" w:cs="Times New Roman"/>
          <w:color w:val="auto"/>
          <w:kern w:val="0"/>
          <w:sz w:val="24"/>
          <w:szCs w:val="20"/>
        </w:rPr>
        <w:t>/d。</w:t>
      </w:r>
    </w:p>
    <w:p w14:paraId="54B16A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0"/>
        </w:rPr>
      </w:pPr>
      <w:r>
        <w:rPr>
          <w:rFonts w:hint="eastAsia" w:eastAsia="宋体" w:cs="Times New Roman"/>
          <w:color w:val="auto"/>
          <w:kern w:val="0"/>
          <w:sz w:val="24"/>
          <w:szCs w:val="20"/>
          <w:lang w:val="en-US" w:eastAsia="zh-CN"/>
        </w:rPr>
        <w:t>D.</w:t>
      </w:r>
      <w:r>
        <w:rPr>
          <w:rFonts w:hint="eastAsia" w:ascii="Times New Roman" w:hAnsi="Times New Roman" w:eastAsia="宋体" w:cs="Times New Roman"/>
          <w:color w:val="auto"/>
          <w:kern w:val="0"/>
          <w:sz w:val="24"/>
          <w:szCs w:val="20"/>
        </w:rPr>
        <w:t>横向弥散系数D</w:t>
      </w:r>
      <w:r>
        <w:rPr>
          <w:rFonts w:hint="eastAsia" w:ascii="Times New Roman" w:hAnsi="Times New Roman" w:eastAsia="宋体" w:cs="Times New Roman"/>
          <w:color w:val="auto"/>
          <w:kern w:val="0"/>
          <w:sz w:val="24"/>
          <w:szCs w:val="20"/>
          <w:vertAlign w:val="subscript"/>
        </w:rPr>
        <w:t>T</w:t>
      </w:r>
      <w:r>
        <w:rPr>
          <w:rFonts w:hint="eastAsia" w:ascii="Times New Roman" w:hAnsi="Times New Roman" w:eastAsia="宋体" w:cs="Times New Roman"/>
          <w:color w:val="auto"/>
          <w:kern w:val="0"/>
          <w:sz w:val="24"/>
          <w:szCs w:val="20"/>
        </w:rPr>
        <w:t>（y方向）</w:t>
      </w:r>
    </w:p>
    <w:p w14:paraId="166D9615">
      <w:pPr>
        <w:spacing w:line="360" w:lineRule="auto"/>
        <w:ind w:firstLine="480" w:firstLineChars="200"/>
        <w:rPr>
          <w:rFonts w:hint="eastAsia" w:ascii="Times New Roman" w:hAnsi="Times New Roman" w:eastAsia="宋体" w:cs="Times New Roman"/>
          <w:color w:val="auto"/>
          <w:kern w:val="0"/>
          <w:sz w:val="24"/>
          <w:szCs w:val="20"/>
        </w:rPr>
      </w:pPr>
      <w:r>
        <w:rPr>
          <w:rFonts w:hint="eastAsia" w:ascii="Times New Roman" w:hAnsi="Times New Roman" w:eastAsia="宋体" w:cs="Times New Roman"/>
          <w:color w:val="auto"/>
          <w:kern w:val="0"/>
          <w:sz w:val="24"/>
          <w:szCs w:val="20"/>
        </w:rPr>
        <w:t>根据经验一般取</w:t>
      </w:r>
      <w:r>
        <w:rPr>
          <w:rFonts w:hint="eastAsia" w:ascii="Times New Roman" w:hAnsi="Times New Roman" w:eastAsia="宋体" w:cs="Times New Roman"/>
          <w:color w:val="auto"/>
          <w:spacing w:val="-20"/>
          <w:kern w:val="0"/>
          <w:sz w:val="24"/>
          <w:szCs w:val="20"/>
        </w:rPr>
        <w:t>α</w:t>
      </w:r>
      <w:r>
        <w:rPr>
          <w:rFonts w:hint="eastAsia" w:ascii="Times New Roman" w:hAnsi="Times New Roman" w:eastAsia="宋体" w:cs="Times New Roman"/>
          <w:color w:val="auto"/>
          <w:kern w:val="0"/>
          <w:sz w:val="24"/>
          <w:szCs w:val="20"/>
          <w:vertAlign w:val="subscript"/>
        </w:rPr>
        <w:t>T</w:t>
      </w:r>
      <w:r>
        <w:rPr>
          <w:rFonts w:hint="eastAsia" w:ascii="Times New Roman" w:hAnsi="Times New Roman" w:eastAsia="宋体" w:cs="Times New Roman"/>
          <w:color w:val="auto"/>
          <w:kern w:val="0"/>
          <w:sz w:val="24"/>
          <w:szCs w:val="20"/>
        </w:rPr>
        <w:t>/</w:t>
      </w:r>
      <w:r>
        <w:rPr>
          <w:rFonts w:hint="eastAsia" w:ascii="Times New Roman" w:hAnsi="Times New Roman" w:eastAsia="宋体" w:cs="Times New Roman"/>
          <w:color w:val="auto"/>
          <w:spacing w:val="-20"/>
          <w:kern w:val="0"/>
          <w:sz w:val="24"/>
          <w:szCs w:val="20"/>
        </w:rPr>
        <w:t>α</w:t>
      </w:r>
      <w:r>
        <w:rPr>
          <w:rFonts w:hint="eastAsia" w:ascii="Times New Roman" w:hAnsi="Times New Roman" w:eastAsia="宋体" w:cs="Times New Roman"/>
          <w:color w:val="auto"/>
          <w:kern w:val="0"/>
          <w:sz w:val="24"/>
          <w:szCs w:val="20"/>
          <w:vertAlign w:val="subscript"/>
        </w:rPr>
        <w:t>L</w:t>
      </w:r>
      <w:r>
        <w:rPr>
          <w:rFonts w:hint="eastAsia" w:ascii="Times New Roman" w:hAnsi="Times New Roman" w:eastAsia="宋体" w:cs="Times New Roman"/>
          <w:color w:val="auto"/>
          <w:kern w:val="0"/>
          <w:sz w:val="24"/>
          <w:szCs w:val="20"/>
        </w:rPr>
        <w:t>=</w:t>
      </w:r>
      <w:r>
        <w:rPr>
          <w:rFonts w:hint="eastAsia" w:ascii="Times New Roman" w:hAnsi="Times New Roman" w:eastAsia="宋体" w:cs="Times New Roman"/>
          <w:color w:val="auto"/>
          <w:kern w:val="0"/>
          <w:sz w:val="24"/>
          <w:szCs w:val="20"/>
          <w:lang w:val="en-US" w:eastAsia="zh-CN"/>
        </w:rPr>
        <w:t>0.1</w:t>
      </w:r>
      <w:r>
        <w:rPr>
          <w:rFonts w:hint="eastAsia" w:ascii="Times New Roman" w:hAnsi="Times New Roman" w:eastAsia="宋体" w:cs="Times New Roman"/>
          <w:color w:val="auto"/>
          <w:kern w:val="0"/>
          <w:sz w:val="24"/>
          <w:szCs w:val="20"/>
        </w:rPr>
        <w:t>，因此可求得</w:t>
      </w:r>
      <w:r>
        <w:rPr>
          <w:rFonts w:hint="eastAsia" w:ascii="Times New Roman" w:hAnsi="Times New Roman" w:eastAsia="宋体" w:cs="Times New Roman"/>
          <w:color w:val="auto"/>
          <w:spacing w:val="-20"/>
          <w:kern w:val="0"/>
          <w:sz w:val="24"/>
          <w:szCs w:val="20"/>
        </w:rPr>
        <w:t>α</w:t>
      </w:r>
      <w:r>
        <w:rPr>
          <w:rFonts w:hint="eastAsia" w:ascii="Times New Roman" w:hAnsi="Times New Roman" w:eastAsia="宋体" w:cs="Times New Roman"/>
          <w:color w:val="auto"/>
          <w:kern w:val="0"/>
          <w:sz w:val="24"/>
          <w:szCs w:val="20"/>
          <w:vertAlign w:val="subscript"/>
        </w:rPr>
        <w:t>T</w:t>
      </w:r>
      <w:r>
        <w:rPr>
          <w:rFonts w:hint="eastAsia" w:ascii="Times New Roman" w:hAnsi="Times New Roman" w:eastAsia="宋体" w:cs="Times New Roman"/>
          <w:color w:val="auto"/>
          <w:kern w:val="0"/>
          <w:sz w:val="24"/>
          <w:szCs w:val="20"/>
        </w:rPr>
        <w:t>=</w:t>
      </w:r>
      <w:r>
        <w:rPr>
          <w:rFonts w:hint="eastAsia" w:ascii="Times New Roman" w:hAnsi="Times New Roman" w:eastAsia="宋体" w:cs="Times New Roman"/>
          <w:color w:val="auto"/>
          <w:kern w:val="0"/>
          <w:sz w:val="24"/>
          <w:szCs w:val="20"/>
          <w:lang w:val="en-US" w:eastAsia="zh-CN"/>
        </w:rPr>
        <w:t>0.5</w:t>
      </w:r>
      <w:r>
        <w:rPr>
          <w:rFonts w:hint="eastAsia" w:ascii="Times New Roman" w:hAnsi="Times New Roman" w:eastAsia="宋体" w:cs="Times New Roman"/>
          <w:color w:val="auto"/>
          <w:kern w:val="0"/>
          <w:sz w:val="24"/>
          <w:szCs w:val="20"/>
        </w:rPr>
        <w:t>m</w:t>
      </w:r>
      <w:r>
        <w:rPr>
          <w:rFonts w:hint="eastAsia" w:ascii="Times New Roman" w:hAnsi="Times New Roman" w:eastAsia="宋体" w:cs="Times New Roman"/>
          <w:color w:val="auto"/>
          <w:kern w:val="0"/>
          <w:sz w:val="24"/>
          <w:szCs w:val="20"/>
          <w:lang w:eastAsia="zh-CN"/>
        </w:rPr>
        <w:t>，</w:t>
      </w:r>
      <w:r>
        <w:rPr>
          <w:rFonts w:hint="eastAsia" w:ascii="Times New Roman" w:hAnsi="Times New Roman" w:eastAsia="宋体" w:cs="Times New Roman"/>
          <w:color w:val="auto"/>
          <w:kern w:val="0"/>
          <w:sz w:val="24"/>
          <w:szCs w:val="20"/>
          <w:lang w:val="en-US" w:eastAsia="zh-CN"/>
        </w:rPr>
        <w:t>则D</w:t>
      </w:r>
      <w:r>
        <w:rPr>
          <w:rFonts w:hint="eastAsia" w:ascii="Times New Roman" w:hAnsi="Times New Roman" w:eastAsia="宋体" w:cs="Times New Roman"/>
          <w:color w:val="auto"/>
          <w:kern w:val="0"/>
          <w:sz w:val="24"/>
          <w:szCs w:val="20"/>
          <w:vertAlign w:val="subscript"/>
          <w:lang w:val="en-US" w:eastAsia="zh-CN"/>
        </w:rPr>
        <w:t>T</w:t>
      </w:r>
      <w:r>
        <w:rPr>
          <w:rFonts w:hint="eastAsia" w:ascii="Times New Roman" w:hAnsi="Times New Roman" w:eastAsia="宋体" w:cs="Times New Roman"/>
          <w:color w:val="auto"/>
          <w:kern w:val="0"/>
          <w:sz w:val="24"/>
          <w:szCs w:val="20"/>
          <w:lang w:val="en-US" w:eastAsia="zh-CN"/>
        </w:rPr>
        <w:t>=</w:t>
      </w:r>
      <w:r>
        <w:rPr>
          <w:rFonts w:hint="eastAsia" w:ascii="Times New Roman" w:hAnsi="Times New Roman" w:eastAsia="宋体" w:cs="Times New Roman"/>
          <w:color w:val="auto"/>
          <w:spacing w:val="-20"/>
          <w:kern w:val="0"/>
          <w:sz w:val="24"/>
          <w:szCs w:val="20"/>
        </w:rPr>
        <w:t>α</w:t>
      </w:r>
      <w:r>
        <w:rPr>
          <w:rFonts w:hint="eastAsia" w:ascii="Times New Roman" w:hAnsi="Times New Roman" w:eastAsia="宋体" w:cs="Times New Roman"/>
          <w:color w:val="auto"/>
          <w:kern w:val="0"/>
          <w:sz w:val="24"/>
          <w:szCs w:val="20"/>
          <w:vertAlign w:val="subscript"/>
        </w:rPr>
        <w:t>T</w:t>
      </w:r>
      <w:r>
        <w:rPr>
          <w:rFonts w:hint="eastAsia" w:ascii="Times New Roman" w:hAnsi="Times New Roman" w:eastAsia="宋体" w:cs="Times New Roman"/>
          <w:color w:val="auto"/>
          <w:kern w:val="0"/>
          <w:sz w:val="24"/>
          <w:szCs w:val="20"/>
        </w:rPr>
        <w:t>•u</w:t>
      </w:r>
      <w:r>
        <w:rPr>
          <w:rFonts w:hint="eastAsia" w:ascii="Times New Roman" w:hAnsi="Times New Roman" w:eastAsia="宋体" w:cs="Times New Roman"/>
          <w:color w:val="auto"/>
          <w:kern w:val="0"/>
          <w:sz w:val="24"/>
          <w:szCs w:val="20"/>
          <w:lang w:val="en-US" w:eastAsia="zh-CN"/>
        </w:rPr>
        <w:t>=</w:t>
      </w:r>
      <w:r>
        <w:rPr>
          <w:rFonts w:hint="eastAsia" w:cs="Times New Roman"/>
          <w:color w:val="auto"/>
          <w:kern w:val="0"/>
          <w:sz w:val="24"/>
          <w:szCs w:val="20"/>
          <w:lang w:val="en-US" w:eastAsia="zh-CN"/>
        </w:rPr>
        <w:t>0.025</w:t>
      </w:r>
      <w:r>
        <w:rPr>
          <w:rFonts w:hint="eastAsia" w:ascii="Times New Roman" w:hAnsi="Times New Roman" w:eastAsia="宋体" w:cs="Times New Roman"/>
          <w:color w:val="auto"/>
          <w:kern w:val="0"/>
          <w:sz w:val="24"/>
          <w:szCs w:val="20"/>
        </w:rPr>
        <w:t>m</w:t>
      </w:r>
      <w:r>
        <w:rPr>
          <w:rFonts w:hint="eastAsia" w:ascii="Times New Roman" w:hAnsi="Times New Roman" w:eastAsia="宋体" w:cs="Times New Roman"/>
          <w:color w:val="auto"/>
          <w:kern w:val="0"/>
          <w:sz w:val="24"/>
          <w:szCs w:val="20"/>
          <w:vertAlign w:val="superscript"/>
        </w:rPr>
        <w:t>2</w:t>
      </w:r>
      <w:r>
        <w:rPr>
          <w:rFonts w:hint="eastAsia" w:ascii="Times New Roman" w:hAnsi="Times New Roman" w:eastAsia="宋体" w:cs="Times New Roman"/>
          <w:color w:val="auto"/>
          <w:kern w:val="0"/>
          <w:sz w:val="24"/>
          <w:szCs w:val="20"/>
        </w:rPr>
        <w:t>/d。</w:t>
      </w:r>
    </w:p>
    <w:p w14:paraId="51B61748">
      <w:pPr>
        <w:widowControl w:val="0"/>
        <w:spacing w:after="0" w:line="240" w:lineRule="auto"/>
        <w:ind w:firstLine="480" w:firstLineChars="20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drawing>
          <wp:inline distT="0" distB="0" distL="114300" distR="114300">
            <wp:extent cx="2810510" cy="2160270"/>
            <wp:effectExtent l="0" t="0" r="8890" b="11430"/>
            <wp:docPr id="6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 13"/>
                    <pic:cNvPicPr>
                      <a:picLocks noChangeAspect="1"/>
                    </pic:cNvPicPr>
                  </pic:nvPicPr>
                  <pic:blipFill>
                    <a:blip r:embed="rId55"/>
                    <a:srcRect l="9776" r="10300" b="12144"/>
                    <a:stretch>
                      <a:fillRect/>
                    </a:stretch>
                  </pic:blipFill>
                  <pic:spPr>
                    <a:xfrm>
                      <a:off x="0" y="0"/>
                      <a:ext cx="2810510" cy="2160270"/>
                    </a:xfrm>
                    <a:prstGeom prst="rect">
                      <a:avLst/>
                    </a:prstGeom>
                    <a:noFill/>
                    <a:ln>
                      <a:noFill/>
                    </a:ln>
                  </pic:spPr>
                </pic:pic>
              </a:graphicData>
            </a:graphic>
          </wp:inline>
        </w:drawing>
      </w:r>
    </w:p>
    <w:p w14:paraId="05ABDB62">
      <w:pPr>
        <w:widowControl w:val="0"/>
        <w:spacing w:after="0" w:line="360" w:lineRule="auto"/>
        <w:ind w:firstLine="482" w:firstLineChars="200"/>
        <w:jc w:val="center"/>
        <w:rPr>
          <w:rFonts w:hint="default" w:ascii="Times New Roman" w:hAnsi="Times New Roman" w:eastAsia="宋体" w:cs="Times New Roman"/>
          <w:b/>
          <w:bCs/>
          <w:color w:val="000000"/>
          <w:kern w:val="2"/>
          <w:sz w:val="24"/>
          <w:szCs w:val="24"/>
          <w:highlight w:val="none"/>
          <w:lang w:val="zh-CN" w:eastAsia="zh-CN" w:bidi="ar-SA"/>
        </w:rPr>
      </w:pPr>
      <w:r>
        <w:rPr>
          <w:rFonts w:hint="default" w:ascii="Times New Roman" w:hAnsi="Times New Roman" w:eastAsia="宋体" w:cs="Times New Roman"/>
          <w:b/>
          <w:bCs/>
          <w:color w:val="auto"/>
          <w:kern w:val="2"/>
          <w:sz w:val="24"/>
          <w:szCs w:val="24"/>
          <w:highlight w:val="none"/>
          <w:lang w:val="zh-CN" w:eastAsia="zh-CN" w:bidi="ar-SA"/>
        </w:rPr>
        <w:t>图5.</w:t>
      </w:r>
      <w:r>
        <w:rPr>
          <w:rFonts w:hint="eastAsia" w:eastAsia="宋体" w:cs="Times New Roman"/>
          <w:b/>
          <w:bCs/>
          <w:color w:val="auto"/>
          <w:kern w:val="2"/>
          <w:sz w:val="24"/>
          <w:szCs w:val="24"/>
          <w:highlight w:val="none"/>
          <w:lang w:val="en-US" w:eastAsia="zh-CN" w:bidi="ar-SA"/>
        </w:rPr>
        <w:t>2</w:t>
      </w:r>
      <w:r>
        <w:rPr>
          <w:rFonts w:hint="default" w:ascii="Times New Roman" w:hAnsi="Times New Roman" w:eastAsia="宋体" w:cs="Times New Roman"/>
          <w:b/>
          <w:bCs/>
          <w:color w:val="auto"/>
          <w:kern w:val="2"/>
          <w:sz w:val="24"/>
          <w:szCs w:val="24"/>
          <w:highlight w:val="none"/>
          <w:lang w:val="zh-CN" w:eastAsia="zh-CN" w:bidi="ar-SA"/>
        </w:rPr>
        <w:t>-</w:t>
      </w:r>
      <w:r>
        <w:rPr>
          <w:rFonts w:hint="eastAsia" w:cs="Times New Roman"/>
          <w:b/>
          <w:bCs/>
          <w:color w:val="auto"/>
          <w:kern w:val="2"/>
          <w:sz w:val="24"/>
          <w:szCs w:val="24"/>
          <w:highlight w:val="none"/>
          <w:lang w:val="en-US" w:eastAsia="zh-CN" w:bidi="ar-SA"/>
        </w:rPr>
        <w:t>1</w:t>
      </w:r>
      <w:r>
        <w:rPr>
          <w:rFonts w:hint="default" w:ascii="Times New Roman" w:hAnsi="Times New Roman" w:eastAsia="宋体" w:cs="Times New Roman"/>
          <w:b/>
          <w:bCs/>
          <w:color w:val="auto"/>
          <w:kern w:val="2"/>
          <w:sz w:val="24"/>
          <w:szCs w:val="24"/>
          <w:highlight w:val="none"/>
          <w:lang w:val="en-US" w:eastAsia="zh-CN" w:bidi="ar-SA"/>
        </w:rPr>
        <w:t xml:space="preserve">  </w:t>
      </w:r>
      <w:r>
        <w:rPr>
          <w:rFonts w:hint="default" w:ascii="Times New Roman" w:hAnsi="Times New Roman" w:eastAsia="宋体" w:cs="Times New Roman"/>
          <w:b/>
          <w:bCs/>
          <w:color w:val="auto"/>
          <w:kern w:val="2"/>
          <w:sz w:val="24"/>
          <w:szCs w:val="24"/>
          <w:highlight w:val="none"/>
          <w:lang w:val="zh-CN" w:eastAsia="zh-CN" w:bidi="ar-SA"/>
        </w:rPr>
        <w:t>lgαL—lgLs关系图</w:t>
      </w:r>
    </w:p>
    <w:p w14:paraId="74C5E2E5">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zh-CN" w:eastAsia="zh-CN" w:bidi="ar-SA"/>
        </w:rPr>
      </w:pPr>
      <w:r>
        <w:rPr>
          <w:rFonts w:hint="default" w:ascii="Times New Roman" w:hAnsi="Times New Roman" w:eastAsia="宋体" w:cs="Times New Roman"/>
          <w:color w:val="000000"/>
          <w:kern w:val="2"/>
          <w:sz w:val="24"/>
          <w:szCs w:val="24"/>
          <w:highlight w:val="none"/>
          <w:lang w:val="zh-CN" w:eastAsia="zh-CN" w:bidi="ar-SA"/>
        </w:rPr>
        <w:t>项目水文地质参数取值，见表</w:t>
      </w:r>
      <w:r>
        <w:rPr>
          <w:rFonts w:hint="eastAsia" w:ascii="Times New Roman" w:hAnsi="Times New Roman" w:eastAsia="宋体" w:cs="Times New Roman"/>
          <w:color w:val="000000"/>
          <w:kern w:val="2"/>
          <w:sz w:val="24"/>
          <w:szCs w:val="24"/>
          <w:highlight w:val="none"/>
          <w:lang w:val="en-US" w:eastAsia="zh-CN" w:bidi="ar-SA"/>
        </w:rPr>
        <w:t>5.2-</w:t>
      </w:r>
      <w:r>
        <w:rPr>
          <w:rFonts w:hint="eastAsia" w:cs="Times New Roman"/>
          <w:color w:val="000000"/>
          <w:kern w:val="2"/>
          <w:sz w:val="24"/>
          <w:szCs w:val="24"/>
          <w:highlight w:val="none"/>
          <w:lang w:val="en-US" w:eastAsia="zh-CN" w:bidi="ar-SA"/>
        </w:rPr>
        <w:t>26</w:t>
      </w:r>
      <w:r>
        <w:rPr>
          <w:rFonts w:hint="default" w:ascii="Times New Roman" w:hAnsi="Times New Roman" w:eastAsia="宋体" w:cs="Times New Roman"/>
          <w:color w:val="000000"/>
          <w:kern w:val="2"/>
          <w:sz w:val="24"/>
          <w:szCs w:val="24"/>
          <w:highlight w:val="none"/>
          <w:lang w:val="zh-CN" w:eastAsia="zh-CN" w:bidi="ar-SA"/>
        </w:rPr>
        <w:t>。</w:t>
      </w:r>
    </w:p>
    <w:p w14:paraId="1326AD93">
      <w:pPr>
        <w:widowControl w:val="0"/>
        <w:spacing w:line="500" w:lineRule="exact"/>
        <w:ind w:firstLine="482" w:firstLineChars="200"/>
        <w:jc w:val="center"/>
        <w:rPr>
          <w:rFonts w:hint="default" w:ascii="Times New Roman" w:hAnsi="Times New Roman" w:eastAsia="宋体" w:cs="Times New Roman"/>
          <w:b/>
          <w:bCs/>
          <w:color w:val="000000"/>
          <w:kern w:val="2"/>
          <w:sz w:val="24"/>
          <w:szCs w:val="24"/>
          <w:highlight w:val="none"/>
          <w:lang w:val="zh-CN" w:eastAsia="zh-CN" w:bidi="ar-SA"/>
        </w:rPr>
      </w:pPr>
      <w:r>
        <w:rPr>
          <w:rFonts w:hint="default" w:ascii="Times New Roman" w:hAnsi="Times New Roman" w:eastAsia="宋体" w:cs="Times New Roman"/>
          <w:b/>
          <w:bCs/>
          <w:color w:val="000000"/>
          <w:kern w:val="2"/>
          <w:sz w:val="24"/>
          <w:szCs w:val="24"/>
          <w:highlight w:val="none"/>
          <w:lang w:val="zh-CN" w:eastAsia="zh-CN" w:bidi="ar-SA"/>
        </w:rPr>
        <w:t>表</w:t>
      </w:r>
      <w:r>
        <w:rPr>
          <w:rFonts w:hint="eastAsia" w:ascii="Times New Roman" w:hAnsi="Times New Roman" w:eastAsia="宋体" w:cs="Times New Roman"/>
          <w:b/>
          <w:bCs/>
          <w:color w:val="000000"/>
          <w:kern w:val="2"/>
          <w:sz w:val="24"/>
          <w:szCs w:val="24"/>
          <w:highlight w:val="none"/>
          <w:lang w:val="en-US" w:eastAsia="zh-CN" w:bidi="ar-SA"/>
        </w:rPr>
        <w:t>5.2-</w:t>
      </w:r>
      <w:r>
        <w:rPr>
          <w:rFonts w:hint="eastAsia" w:cs="Times New Roman"/>
          <w:b/>
          <w:bCs/>
          <w:color w:val="000000"/>
          <w:kern w:val="2"/>
          <w:sz w:val="24"/>
          <w:szCs w:val="24"/>
          <w:highlight w:val="none"/>
          <w:lang w:val="en-US" w:eastAsia="zh-CN" w:bidi="ar-SA"/>
        </w:rPr>
        <w:t>26</w:t>
      </w:r>
      <w:r>
        <w:rPr>
          <w:rFonts w:hint="default" w:ascii="Times New Roman" w:hAnsi="Times New Roman" w:eastAsia="宋体" w:cs="Times New Roman"/>
          <w:b/>
          <w:bCs/>
          <w:color w:val="000000"/>
          <w:kern w:val="2"/>
          <w:sz w:val="24"/>
          <w:szCs w:val="24"/>
          <w:highlight w:val="none"/>
          <w:lang w:val="zh-CN" w:eastAsia="zh-CN" w:bidi="ar-SA"/>
        </w:rPr>
        <w:t>水文地质参数取值一览表</w:t>
      </w:r>
    </w:p>
    <w:tbl>
      <w:tblPr>
        <w:tblStyle w:val="20"/>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6" w:type="dxa"/>
          <w:bottom w:w="0" w:type="dxa"/>
          <w:right w:w="6" w:type="dxa"/>
        </w:tblCellMar>
      </w:tblPr>
      <w:tblGrid>
        <w:gridCol w:w="1215"/>
        <w:gridCol w:w="1214"/>
        <w:gridCol w:w="1214"/>
        <w:gridCol w:w="1215"/>
        <w:gridCol w:w="1214"/>
        <w:gridCol w:w="1215"/>
        <w:gridCol w:w="1217"/>
      </w:tblGrid>
      <w:tr w14:paraId="24C291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 w:type="dxa"/>
            <w:bottom w:w="0" w:type="dxa"/>
            <w:right w:w="6" w:type="dxa"/>
          </w:tblCellMar>
        </w:tblPrEx>
        <w:trPr>
          <w:trHeight w:val="397" w:hRule="atLeast"/>
          <w:jc w:val="center"/>
        </w:trPr>
        <w:tc>
          <w:tcPr>
            <w:tcW w:w="1417" w:type="dxa"/>
            <w:vMerge w:val="restart"/>
            <w:vAlign w:val="center"/>
          </w:tcPr>
          <w:p w14:paraId="077777F3">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参数名称</w:t>
            </w:r>
          </w:p>
        </w:tc>
        <w:tc>
          <w:tcPr>
            <w:tcW w:w="1416" w:type="dxa"/>
            <w:vAlign w:val="center"/>
          </w:tcPr>
          <w:p w14:paraId="1FAD5078">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hint="eastAsia" w:ascii="Times New Roman" w:hAnsi="Times New Roman" w:eastAsia="宋体" w:cs="宋体"/>
                <w:b/>
                <w:bCs/>
                <w:kern w:val="0"/>
                <w:sz w:val="21"/>
                <w:szCs w:val="24"/>
                <w:lang w:val="en-US" w:eastAsia="zh-CN" w:bidi="ar-SA"/>
              </w:rPr>
              <w:t>渗透系数</w:t>
            </w:r>
            <w:r>
              <w:rPr>
                <w:rFonts w:hint="eastAsia" w:cs="宋体"/>
                <w:b/>
                <w:bCs/>
                <w:kern w:val="0"/>
                <w:sz w:val="21"/>
                <w:szCs w:val="24"/>
                <w:lang w:val="en-US" w:eastAsia="zh-CN" w:bidi="ar-SA"/>
              </w:rPr>
              <w:t>（K）</w:t>
            </w:r>
          </w:p>
        </w:tc>
        <w:tc>
          <w:tcPr>
            <w:tcW w:w="1416" w:type="dxa"/>
            <w:vAlign w:val="center"/>
          </w:tcPr>
          <w:p w14:paraId="4C4B6E1D">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hint="eastAsia" w:ascii="Times New Roman" w:hAnsi="Times New Roman" w:eastAsia="宋体" w:cs="宋体"/>
                <w:b/>
                <w:bCs/>
                <w:kern w:val="0"/>
                <w:sz w:val="21"/>
                <w:szCs w:val="24"/>
                <w:lang w:val="en-US" w:eastAsia="zh-CN" w:bidi="ar-SA"/>
              </w:rPr>
              <w:t>地下水的渗透流速（</w:t>
            </w:r>
            <w:r>
              <w:rPr>
                <w:rFonts w:hint="eastAsia" w:cs="宋体"/>
                <w:b/>
                <w:bCs/>
                <w:kern w:val="0"/>
                <w:sz w:val="21"/>
                <w:szCs w:val="24"/>
                <w:lang w:val="en-US" w:eastAsia="zh-CN" w:bidi="ar-SA"/>
              </w:rPr>
              <w:t>V=</w:t>
            </w:r>
            <w:r>
              <w:rPr>
                <w:rFonts w:ascii="Times New Roman" w:hAnsi="Times New Roman" w:eastAsia="宋体" w:cs="宋体"/>
                <w:b/>
                <w:bCs/>
                <w:kern w:val="0"/>
                <w:sz w:val="21"/>
                <w:szCs w:val="24"/>
                <w:lang w:val="en-US" w:eastAsia="zh-CN" w:bidi="ar-SA"/>
              </w:rPr>
              <w:t>K1</w:t>
            </w:r>
            <w:r>
              <w:rPr>
                <w:rFonts w:hint="eastAsia" w:ascii="Times New Roman" w:hAnsi="Times New Roman" w:eastAsia="宋体" w:cs="宋体"/>
                <w:b/>
                <w:bCs/>
                <w:kern w:val="0"/>
                <w:sz w:val="21"/>
                <w:szCs w:val="24"/>
                <w:lang w:val="en-US" w:eastAsia="zh-CN" w:bidi="ar-SA"/>
              </w:rPr>
              <w:t>）</w:t>
            </w:r>
          </w:p>
        </w:tc>
        <w:tc>
          <w:tcPr>
            <w:tcW w:w="1418" w:type="dxa"/>
            <w:vAlign w:val="center"/>
          </w:tcPr>
          <w:p w14:paraId="22B43BDA">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地下水流速</w:t>
            </w:r>
            <w:r>
              <w:rPr>
                <w:rFonts w:hint="eastAsia" w:ascii="Times New Roman" w:hAnsi="Times New Roman" w:eastAsia="宋体" w:cs="宋体"/>
                <w:b/>
                <w:bCs/>
                <w:kern w:val="0"/>
                <w:sz w:val="21"/>
                <w:szCs w:val="24"/>
                <w:lang w:val="en-US" w:eastAsia="zh-CN" w:bidi="ar-SA"/>
              </w:rPr>
              <w:t>（</w:t>
            </w:r>
            <w:r>
              <w:rPr>
                <w:rFonts w:ascii="Times New Roman" w:hAnsi="Times New Roman" w:eastAsia="宋体" w:cs="宋体"/>
                <w:b/>
                <w:bCs/>
                <w:kern w:val="0"/>
                <w:sz w:val="21"/>
                <w:szCs w:val="24"/>
                <w:lang w:val="en-US" w:eastAsia="zh-CN" w:bidi="ar-SA"/>
              </w:rPr>
              <w:t>u</w:t>
            </w:r>
            <w:r>
              <w:rPr>
                <w:rFonts w:hint="eastAsia" w:ascii="Times New Roman" w:hAnsi="Times New Roman" w:eastAsia="宋体" w:cs="宋体"/>
                <w:b/>
                <w:bCs/>
                <w:kern w:val="0"/>
                <w:sz w:val="21"/>
                <w:szCs w:val="24"/>
                <w:lang w:val="en-US" w:eastAsia="zh-CN" w:bidi="ar-SA"/>
              </w:rPr>
              <w:t>）</w:t>
            </w:r>
          </w:p>
        </w:tc>
        <w:tc>
          <w:tcPr>
            <w:tcW w:w="1416" w:type="dxa"/>
            <w:vAlign w:val="center"/>
          </w:tcPr>
          <w:p w14:paraId="2FCEC85E">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有效孔隙度</w:t>
            </w:r>
            <w:r>
              <w:rPr>
                <w:rFonts w:hint="eastAsia" w:ascii="Times New Roman" w:hAnsi="Times New Roman" w:eastAsia="宋体" w:cs="宋体"/>
                <w:b/>
                <w:bCs/>
                <w:kern w:val="0"/>
                <w:sz w:val="21"/>
                <w:szCs w:val="24"/>
                <w:lang w:val="en-US" w:eastAsia="zh-CN" w:bidi="ar-SA"/>
              </w:rPr>
              <w:t>（</w:t>
            </w:r>
            <w:r>
              <w:rPr>
                <w:rFonts w:ascii="Times New Roman" w:hAnsi="Times New Roman" w:eastAsia="宋体" w:cs="宋体"/>
                <w:b/>
                <w:bCs/>
                <w:kern w:val="0"/>
                <w:sz w:val="21"/>
                <w:szCs w:val="24"/>
                <w:lang w:val="en-US" w:eastAsia="zh-CN" w:bidi="ar-SA"/>
              </w:rPr>
              <w:t>ne</w:t>
            </w:r>
            <w:r>
              <w:rPr>
                <w:rFonts w:hint="eastAsia" w:ascii="Times New Roman" w:hAnsi="Times New Roman" w:eastAsia="宋体" w:cs="宋体"/>
                <w:b/>
                <w:bCs/>
                <w:kern w:val="0"/>
                <w:sz w:val="21"/>
                <w:szCs w:val="24"/>
                <w:lang w:val="en-US" w:eastAsia="zh-CN" w:bidi="ar-SA"/>
              </w:rPr>
              <w:t>）</w:t>
            </w:r>
          </w:p>
        </w:tc>
        <w:tc>
          <w:tcPr>
            <w:tcW w:w="1418" w:type="dxa"/>
            <w:vAlign w:val="center"/>
          </w:tcPr>
          <w:p w14:paraId="38A1A4C9">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弥散系数</w:t>
            </w:r>
          </w:p>
          <w:p w14:paraId="31D21E7E">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hint="eastAsia" w:ascii="Times New Roman" w:hAnsi="Times New Roman" w:eastAsia="宋体" w:cs="宋体"/>
                <w:b/>
                <w:bCs/>
                <w:kern w:val="0"/>
                <w:sz w:val="21"/>
                <w:szCs w:val="24"/>
                <w:lang w:val="en-US" w:eastAsia="zh-CN" w:bidi="ar-SA"/>
              </w:rPr>
              <w:t>(</w:t>
            </w:r>
            <w:r>
              <w:rPr>
                <w:rFonts w:ascii="Times New Roman" w:hAnsi="Times New Roman" w:eastAsia="宋体" w:cs="宋体"/>
                <w:b/>
                <w:bCs/>
                <w:kern w:val="0"/>
                <w:sz w:val="21"/>
                <w:szCs w:val="24"/>
                <w:lang w:val="en-US" w:eastAsia="zh-CN" w:bidi="ar-SA"/>
              </w:rPr>
              <w:t>DL</w:t>
            </w:r>
            <w:r>
              <w:rPr>
                <w:rFonts w:hint="eastAsia" w:ascii="Times New Roman" w:hAnsi="Times New Roman" w:eastAsia="宋体" w:cs="宋体"/>
                <w:b/>
                <w:bCs/>
                <w:kern w:val="0"/>
                <w:sz w:val="21"/>
                <w:szCs w:val="24"/>
                <w:lang w:val="en-US" w:eastAsia="zh-CN" w:bidi="ar-SA"/>
              </w:rPr>
              <w:t>)</w:t>
            </w:r>
          </w:p>
        </w:tc>
        <w:tc>
          <w:tcPr>
            <w:tcW w:w="1419" w:type="dxa"/>
            <w:vAlign w:val="center"/>
          </w:tcPr>
          <w:p w14:paraId="00230888">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弥散系数</w:t>
            </w:r>
          </w:p>
          <w:p w14:paraId="6EBF66E8">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hint="eastAsia" w:ascii="Times New Roman" w:hAnsi="Times New Roman" w:eastAsia="宋体" w:cs="宋体"/>
                <w:b/>
                <w:bCs/>
                <w:kern w:val="0"/>
                <w:sz w:val="21"/>
                <w:szCs w:val="24"/>
                <w:lang w:val="en-US" w:eastAsia="zh-CN" w:bidi="ar-SA"/>
              </w:rPr>
              <w:t>(</w:t>
            </w:r>
            <w:r>
              <w:rPr>
                <w:rFonts w:ascii="Times New Roman" w:hAnsi="Times New Roman" w:eastAsia="宋体" w:cs="宋体"/>
                <w:b/>
                <w:bCs/>
                <w:kern w:val="0"/>
                <w:sz w:val="21"/>
                <w:szCs w:val="24"/>
                <w:lang w:val="en-US" w:eastAsia="zh-CN" w:bidi="ar-SA"/>
              </w:rPr>
              <w:t>DT</w:t>
            </w:r>
            <w:r>
              <w:rPr>
                <w:rFonts w:hint="eastAsia" w:ascii="Times New Roman" w:hAnsi="Times New Roman" w:eastAsia="宋体" w:cs="宋体"/>
                <w:b/>
                <w:bCs/>
                <w:kern w:val="0"/>
                <w:sz w:val="21"/>
                <w:szCs w:val="24"/>
                <w:lang w:val="en-US" w:eastAsia="zh-CN" w:bidi="ar-SA"/>
              </w:rPr>
              <w:t>)</w:t>
            </w:r>
          </w:p>
        </w:tc>
      </w:tr>
      <w:tr w14:paraId="18E8C6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 w:type="dxa"/>
            <w:bottom w:w="0" w:type="dxa"/>
            <w:right w:w="6" w:type="dxa"/>
          </w:tblCellMar>
        </w:tblPrEx>
        <w:trPr>
          <w:trHeight w:val="397" w:hRule="atLeast"/>
          <w:jc w:val="center"/>
        </w:trPr>
        <w:tc>
          <w:tcPr>
            <w:tcW w:w="1417" w:type="dxa"/>
            <w:vMerge w:val="continue"/>
            <w:vAlign w:val="center"/>
          </w:tcPr>
          <w:p w14:paraId="6B6F0328">
            <w:pPr>
              <w:widowControl/>
              <w:spacing w:line="240" w:lineRule="auto"/>
              <w:ind w:firstLine="0" w:firstLineChars="0"/>
              <w:jc w:val="center"/>
              <w:rPr>
                <w:rFonts w:ascii="Times New Roman" w:hAnsi="Times New Roman" w:eastAsia="宋体" w:cs="宋体"/>
                <w:b/>
                <w:bCs/>
                <w:kern w:val="0"/>
                <w:sz w:val="21"/>
                <w:szCs w:val="24"/>
                <w:lang w:val="en-US" w:eastAsia="zh-CN" w:bidi="ar-SA"/>
              </w:rPr>
            </w:pPr>
          </w:p>
        </w:tc>
        <w:tc>
          <w:tcPr>
            <w:tcW w:w="1416" w:type="dxa"/>
            <w:vAlign w:val="center"/>
          </w:tcPr>
          <w:p w14:paraId="1DE7177C">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m/d</w:t>
            </w:r>
          </w:p>
        </w:tc>
        <w:tc>
          <w:tcPr>
            <w:tcW w:w="1416" w:type="dxa"/>
            <w:vAlign w:val="center"/>
          </w:tcPr>
          <w:p w14:paraId="067F0EB6">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m/d</w:t>
            </w:r>
          </w:p>
        </w:tc>
        <w:tc>
          <w:tcPr>
            <w:tcW w:w="1418" w:type="dxa"/>
            <w:vAlign w:val="center"/>
          </w:tcPr>
          <w:p w14:paraId="59D65F04">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m/d</w:t>
            </w:r>
          </w:p>
        </w:tc>
        <w:tc>
          <w:tcPr>
            <w:tcW w:w="1416" w:type="dxa"/>
            <w:vAlign w:val="center"/>
          </w:tcPr>
          <w:p w14:paraId="4271BDD8">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m/d</w:t>
            </w:r>
          </w:p>
        </w:tc>
        <w:tc>
          <w:tcPr>
            <w:tcW w:w="1418" w:type="dxa"/>
            <w:vAlign w:val="center"/>
          </w:tcPr>
          <w:p w14:paraId="7507C16F">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m</w:t>
            </w:r>
            <w:r>
              <w:rPr>
                <w:rFonts w:ascii="Times New Roman" w:hAnsi="Times New Roman" w:eastAsia="宋体" w:cs="宋体"/>
                <w:b/>
                <w:bCs/>
                <w:kern w:val="0"/>
                <w:sz w:val="21"/>
                <w:szCs w:val="24"/>
                <w:vertAlign w:val="superscript"/>
                <w:lang w:val="en-US" w:eastAsia="zh-CN" w:bidi="ar-SA"/>
              </w:rPr>
              <w:t>2</w:t>
            </w:r>
            <w:r>
              <w:rPr>
                <w:rFonts w:ascii="Times New Roman" w:hAnsi="Times New Roman" w:eastAsia="宋体" w:cs="宋体"/>
                <w:b/>
                <w:bCs/>
                <w:kern w:val="0"/>
                <w:sz w:val="21"/>
                <w:szCs w:val="24"/>
                <w:lang w:val="en-US" w:eastAsia="zh-CN" w:bidi="ar-SA"/>
              </w:rPr>
              <w:t>/d</w:t>
            </w:r>
          </w:p>
        </w:tc>
        <w:tc>
          <w:tcPr>
            <w:tcW w:w="1419" w:type="dxa"/>
            <w:vAlign w:val="center"/>
          </w:tcPr>
          <w:p w14:paraId="18748EA0">
            <w:pPr>
              <w:widowControl/>
              <w:spacing w:line="240" w:lineRule="auto"/>
              <w:ind w:firstLine="0" w:firstLineChars="0"/>
              <w:jc w:val="center"/>
              <w:rPr>
                <w:rFonts w:ascii="Times New Roman" w:hAnsi="Times New Roman" w:eastAsia="宋体" w:cs="宋体"/>
                <w:b/>
                <w:bCs/>
                <w:kern w:val="0"/>
                <w:sz w:val="21"/>
                <w:szCs w:val="24"/>
                <w:lang w:val="en-US" w:eastAsia="zh-CN" w:bidi="ar-SA"/>
              </w:rPr>
            </w:pPr>
            <w:r>
              <w:rPr>
                <w:rFonts w:ascii="Times New Roman" w:hAnsi="Times New Roman" w:eastAsia="宋体" w:cs="宋体"/>
                <w:b/>
                <w:bCs/>
                <w:kern w:val="0"/>
                <w:sz w:val="21"/>
                <w:szCs w:val="24"/>
                <w:lang w:val="en-US" w:eastAsia="zh-CN" w:bidi="ar-SA"/>
              </w:rPr>
              <w:t>m</w:t>
            </w:r>
            <w:r>
              <w:rPr>
                <w:rFonts w:ascii="Times New Roman" w:hAnsi="Times New Roman" w:eastAsia="宋体" w:cs="宋体"/>
                <w:b/>
                <w:bCs/>
                <w:kern w:val="0"/>
                <w:sz w:val="21"/>
                <w:szCs w:val="24"/>
                <w:vertAlign w:val="superscript"/>
                <w:lang w:val="en-US" w:eastAsia="zh-CN" w:bidi="ar-SA"/>
              </w:rPr>
              <w:t>2</w:t>
            </w:r>
            <w:r>
              <w:rPr>
                <w:rFonts w:ascii="Times New Roman" w:hAnsi="Times New Roman" w:eastAsia="宋体" w:cs="宋体"/>
                <w:b/>
                <w:bCs/>
                <w:kern w:val="0"/>
                <w:sz w:val="21"/>
                <w:szCs w:val="24"/>
                <w:lang w:val="en-US" w:eastAsia="zh-CN" w:bidi="ar-SA"/>
              </w:rPr>
              <w:t>/d</w:t>
            </w:r>
          </w:p>
        </w:tc>
      </w:tr>
      <w:tr w14:paraId="7E0CAE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 w:type="dxa"/>
            <w:bottom w:w="0" w:type="dxa"/>
            <w:right w:w="6" w:type="dxa"/>
          </w:tblCellMar>
        </w:tblPrEx>
        <w:trPr>
          <w:trHeight w:val="397" w:hRule="atLeast"/>
          <w:jc w:val="center"/>
        </w:trPr>
        <w:tc>
          <w:tcPr>
            <w:tcW w:w="1417" w:type="dxa"/>
            <w:vAlign w:val="center"/>
          </w:tcPr>
          <w:p w14:paraId="51378F5B">
            <w:pPr>
              <w:widowControl/>
              <w:spacing w:line="240" w:lineRule="auto"/>
              <w:ind w:firstLine="0" w:firstLineChars="0"/>
              <w:jc w:val="center"/>
              <w:rPr>
                <w:rFonts w:ascii="Times New Roman" w:hAnsi="Times New Roman" w:eastAsia="宋体" w:cs="宋体"/>
                <w:kern w:val="0"/>
                <w:sz w:val="21"/>
                <w:szCs w:val="24"/>
                <w:lang w:val="en-US" w:eastAsia="zh-CN" w:bidi="ar-SA"/>
              </w:rPr>
            </w:pPr>
            <w:r>
              <w:rPr>
                <w:rFonts w:ascii="Times New Roman" w:hAnsi="Times New Roman" w:eastAsia="宋体" w:cs="宋体"/>
                <w:kern w:val="0"/>
                <w:sz w:val="21"/>
                <w:szCs w:val="24"/>
                <w:lang w:val="en-US" w:eastAsia="zh-CN" w:bidi="ar-SA"/>
              </w:rPr>
              <w:t>数值</w:t>
            </w:r>
          </w:p>
        </w:tc>
        <w:tc>
          <w:tcPr>
            <w:tcW w:w="1416" w:type="dxa"/>
            <w:vAlign w:val="center"/>
          </w:tcPr>
          <w:p w14:paraId="084DBFC8">
            <w:pPr>
              <w:widowControl/>
              <w:spacing w:line="240" w:lineRule="auto"/>
              <w:ind w:firstLine="0" w:firstLineChars="0"/>
              <w:jc w:val="center"/>
              <w:rPr>
                <w:rFonts w:hint="default" w:cs="宋体"/>
                <w:kern w:val="0"/>
                <w:sz w:val="21"/>
                <w:szCs w:val="24"/>
                <w:lang w:val="en-US" w:eastAsia="zh-CN" w:bidi="ar-SA"/>
              </w:rPr>
            </w:pPr>
            <w:r>
              <w:rPr>
                <w:rFonts w:hint="eastAsia" w:cs="宋体"/>
                <w:kern w:val="0"/>
                <w:sz w:val="21"/>
                <w:szCs w:val="24"/>
                <w:lang w:val="en-US" w:eastAsia="zh-CN" w:bidi="ar-SA"/>
              </w:rPr>
              <w:t>10</w:t>
            </w:r>
          </w:p>
        </w:tc>
        <w:tc>
          <w:tcPr>
            <w:tcW w:w="1416" w:type="dxa"/>
            <w:vAlign w:val="center"/>
          </w:tcPr>
          <w:p w14:paraId="6BC570A3">
            <w:pPr>
              <w:widowControl/>
              <w:spacing w:line="240" w:lineRule="auto"/>
              <w:ind w:firstLine="0" w:firstLineChars="0"/>
              <w:jc w:val="center"/>
              <w:rPr>
                <w:rFonts w:hint="default" w:ascii="Times New Roman" w:hAnsi="Times New Roman" w:eastAsia="宋体" w:cs="宋体"/>
                <w:kern w:val="0"/>
                <w:sz w:val="21"/>
                <w:szCs w:val="24"/>
                <w:lang w:val="en-US" w:eastAsia="zh-CN" w:bidi="ar-SA"/>
              </w:rPr>
            </w:pPr>
            <w:r>
              <w:rPr>
                <w:rFonts w:hint="eastAsia" w:cs="宋体"/>
                <w:kern w:val="0"/>
                <w:sz w:val="21"/>
                <w:szCs w:val="24"/>
                <w:lang w:val="en-US" w:eastAsia="zh-CN" w:bidi="ar-SA"/>
              </w:rPr>
              <w:t>0.016</w:t>
            </w:r>
          </w:p>
        </w:tc>
        <w:tc>
          <w:tcPr>
            <w:tcW w:w="1418" w:type="dxa"/>
            <w:vAlign w:val="center"/>
          </w:tcPr>
          <w:p w14:paraId="7BD7996F">
            <w:pPr>
              <w:widowControl/>
              <w:spacing w:line="240" w:lineRule="auto"/>
              <w:ind w:firstLine="0" w:firstLineChars="0"/>
              <w:jc w:val="center"/>
              <w:rPr>
                <w:rFonts w:hint="default" w:ascii="Times New Roman" w:hAnsi="Times New Roman" w:eastAsia="宋体" w:cs="宋体"/>
                <w:kern w:val="0"/>
                <w:sz w:val="21"/>
                <w:szCs w:val="24"/>
                <w:lang w:val="en-US" w:eastAsia="zh-CN" w:bidi="ar-SA"/>
              </w:rPr>
            </w:pPr>
            <w:r>
              <w:rPr>
                <w:rFonts w:hint="eastAsia" w:cs="宋体"/>
                <w:kern w:val="0"/>
                <w:sz w:val="21"/>
                <w:szCs w:val="24"/>
                <w:lang w:val="en-US" w:eastAsia="zh-CN" w:bidi="ar-SA"/>
              </w:rPr>
              <w:t>0.05</w:t>
            </w:r>
          </w:p>
        </w:tc>
        <w:tc>
          <w:tcPr>
            <w:tcW w:w="1416" w:type="dxa"/>
            <w:vAlign w:val="center"/>
          </w:tcPr>
          <w:p w14:paraId="33552CC5">
            <w:pPr>
              <w:widowControl/>
              <w:spacing w:line="240" w:lineRule="auto"/>
              <w:ind w:firstLine="0" w:firstLineChars="0"/>
              <w:jc w:val="center"/>
              <w:rPr>
                <w:rFonts w:hint="default" w:ascii="Times New Roman" w:hAnsi="Times New Roman" w:eastAsia="宋体" w:cs="宋体"/>
                <w:kern w:val="0"/>
                <w:sz w:val="21"/>
                <w:szCs w:val="24"/>
                <w:lang w:val="en-US" w:eastAsia="zh-CN" w:bidi="ar-SA"/>
              </w:rPr>
            </w:pPr>
            <w:r>
              <w:rPr>
                <w:rFonts w:hint="eastAsia" w:cs="宋体"/>
                <w:kern w:val="0"/>
                <w:sz w:val="21"/>
                <w:szCs w:val="24"/>
                <w:lang w:val="en-US" w:eastAsia="zh-CN" w:bidi="ar-SA"/>
              </w:rPr>
              <w:t>0.34</w:t>
            </w:r>
          </w:p>
        </w:tc>
        <w:tc>
          <w:tcPr>
            <w:tcW w:w="1418" w:type="dxa"/>
            <w:vAlign w:val="center"/>
          </w:tcPr>
          <w:p w14:paraId="7B7710B2">
            <w:pPr>
              <w:widowControl/>
              <w:spacing w:line="240" w:lineRule="auto"/>
              <w:ind w:firstLine="0" w:firstLineChars="0"/>
              <w:jc w:val="center"/>
              <w:rPr>
                <w:rFonts w:hint="default" w:ascii="Times New Roman" w:hAnsi="Times New Roman" w:eastAsia="宋体" w:cs="宋体"/>
                <w:kern w:val="0"/>
                <w:sz w:val="21"/>
                <w:szCs w:val="24"/>
                <w:lang w:val="en-US" w:eastAsia="zh-CN" w:bidi="ar-SA"/>
              </w:rPr>
            </w:pPr>
            <w:r>
              <w:rPr>
                <w:rFonts w:hint="eastAsia" w:cs="宋体"/>
                <w:kern w:val="0"/>
                <w:sz w:val="21"/>
                <w:szCs w:val="24"/>
                <w:lang w:val="en-US" w:eastAsia="zh-CN" w:bidi="ar-SA"/>
              </w:rPr>
              <w:t>0.25</w:t>
            </w:r>
          </w:p>
        </w:tc>
        <w:tc>
          <w:tcPr>
            <w:tcW w:w="1419" w:type="dxa"/>
            <w:vAlign w:val="center"/>
          </w:tcPr>
          <w:p w14:paraId="47E14471">
            <w:pPr>
              <w:widowControl/>
              <w:spacing w:line="240" w:lineRule="auto"/>
              <w:ind w:firstLine="0" w:firstLineChars="0"/>
              <w:jc w:val="center"/>
              <w:rPr>
                <w:rFonts w:hint="default" w:ascii="Times New Roman" w:hAnsi="Times New Roman" w:eastAsia="宋体" w:cs="宋体"/>
                <w:kern w:val="0"/>
                <w:sz w:val="21"/>
                <w:szCs w:val="24"/>
                <w:lang w:val="en-US" w:eastAsia="zh-CN" w:bidi="ar-SA"/>
              </w:rPr>
            </w:pPr>
            <w:r>
              <w:rPr>
                <w:rFonts w:hint="eastAsia" w:cs="宋体"/>
                <w:kern w:val="0"/>
                <w:sz w:val="21"/>
                <w:szCs w:val="24"/>
                <w:lang w:val="en-US" w:eastAsia="zh-CN" w:bidi="ar-SA"/>
              </w:rPr>
              <w:t>0.025</w:t>
            </w:r>
          </w:p>
        </w:tc>
      </w:tr>
    </w:tbl>
    <w:p w14:paraId="01C55022">
      <w:pPr>
        <w:spacing w:line="360" w:lineRule="auto"/>
        <w:ind w:firstLine="480"/>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lang w:val="en-US" w:eastAsia="zh-CN"/>
        </w:rPr>
        <w:t>3）</w:t>
      </w:r>
      <w:r>
        <w:rPr>
          <w:rFonts w:hint="default" w:ascii="Times New Roman" w:hAnsi="Times New Roman" w:eastAsia="宋体" w:cs="Times New Roman"/>
          <w:color w:val="000000"/>
          <w:kern w:val="0"/>
          <w:sz w:val="24"/>
          <w:szCs w:val="24"/>
          <w:highlight w:val="none"/>
        </w:rPr>
        <w:t>污染影响预测结果</w:t>
      </w:r>
    </w:p>
    <w:p w14:paraId="1E638D2D">
      <w:pPr>
        <w:keepNext w:val="0"/>
        <w:keepLines w:val="0"/>
        <w:pageBreakBefore w:val="0"/>
        <w:widowControl w:val="0"/>
        <w:kinsoku/>
        <w:wordWrap/>
        <w:overflowPunct/>
        <w:topLinePunct w:val="0"/>
        <w:autoSpaceDE/>
        <w:autoSpaceDN/>
        <w:bidi w:val="0"/>
        <w:adjustRightInd/>
        <w:spacing w:after="0" w:line="360" w:lineRule="auto"/>
        <w:ind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污染物迁移的时间</w:t>
      </w:r>
      <w:r>
        <w:rPr>
          <w:rFonts w:hint="eastAsia" w:ascii="Times New Roman" w:hAnsi="Times New Roman" w:eastAsia="宋体" w:cs="Times New Roman"/>
          <w:color w:val="000000"/>
          <w:kern w:val="2"/>
          <w:sz w:val="24"/>
          <w:szCs w:val="24"/>
          <w:highlight w:val="none"/>
          <w:lang w:val="en-US" w:eastAsia="zh-CN" w:bidi="ar-SA"/>
        </w:rPr>
        <w:t>选定</w:t>
      </w:r>
      <w:r>
        <w:rPr>
          <w:rFonts w:hint="default" w:ascii="Times New Roman" w:hAnsi="Times New Roman" w:eastAsia="宋体" w:cs="Times New Roman"/>
          <w:color w:val="000000"/>
          <w:kern w:val="2"/>
          <w:sz w:val="24"/>
          <w:szCs w:val="24"/>
          <w:highlight w:val="none"/>
          <w:lang w:val="en-US" w:eastAsia="zh-CN" w:bidi="ar-SA"/>
        </w:rPr>
        <w:t>为100d、1000d</w:t>
      </w:r>
      <w:r>
        <w:rPr>
          <w:rFonts w:hint="eastAsia" w:cs="Times New Roman"/>
          <w:color w:val="000000"/>
          <w:kern w:val="2"/>
          <w:sz w:val="24"/>
          <w:szCs w:val="24"/>
          <w:highlight w:val="none"/>
          <w:lang w:val="en-US" w:eastAsia="zh-CN" w:bidi="ar-SA"/>
        </w:rPr>
        <w:t>、3650d</w:t>
      </w:r>
      <w:r>
        <w:rPr>
          <w:rFonts w:hint="default" w:ascii="Times New Roman" w:hAnsi="Times New Roman" w:eastAsia="宋体" w:cs="Times New Roman"/>
          <w:color w:val="000000"/>
          <w:kern w:val="2"/>
          <w:sz w:val="24"/>
          <w:szCs w:val="24"/>
          <w:highlight w:val="none"/>
          <w:lang w:val="en-US" w:eastAsia="zh-CN" w:bidi="ar-SA"/>
        </w:rPr>
        <w:t>，预测结果见表5.</w:t>
      </w:r>
      <w:r>
        <w:rPr>
          <w:rFonts w:hint="eastAsia" w:eastAsia="宋体" w:cs="Times New Roman"/>
          <w:color w:val="000000"/>
          <w:kern w:val="2"/>
          <w:sz w:val="24"/>
          <w:szCs w:val="24"/>
          <w:highlight w:val="none"/>
          <w:lang w:val="en-US" w:eastAsia="zh-CN" w:bidi="ar-SA"/>
        </w:rPr>
        <w:t>2-</w:t>
      </w:r>
      <w:r>
        <w:rPr>
          <w:rFonts w:hint="eastAsia" w:cs="Times New Roman"/>
          <w:color w:val="000000"/>
          <w:kern w:val="2"/>
          <w:sz w:val="24"/>
          <w:szCs w:val="24"/>
          <w:highlight w:val="none"/>
          <w:lang w:val="en-US" w:eastAsia="zh-CN" w:bidi="ar-SA"/>
        </w:rPr>
        <w:t>27</w:t>
      </w:r>
      <w:r>
        <w:rPr>
          <w:rFonts w:hint="default" w:ascii="Times New Roman" w:hAnsi="Times New Roman" w:eastAsia="宋体" w:cs="Times New Roman"/>
          <w:color w:val="000000"/>
          <w:kern w:val="2"/>
          <w:sz w:val="24"/>
          <w:szCs w:val="24"/>
          <w:highlight w:val="none"/>
          <w:lang w:val="en-US" w:eastAsia="zh-CN" w:bidi="ar-SA"/>
        </w:rPr>
        <w:t>。</w:t>
      </w:r>
    </w:p>
    <w:p w14:paraId="1640C94A">
      <w:pPr>
        <w:keepNext w:val="0"/>
        <w:keepLines w:val="0"/>
        <w:pageBreakBefore w:val="0"/>
        <w:widowControl/>
        <w:kinsoku/>
        <w:wordWrap/>
        <w:overflowPunct/>
        <w:topLinePunct w:val="0"/>
        <w:autoSpaceDE/>
        <w:autoSpaceDN/>
        <w:bidi w:val="0"/>
        <w:adjustRightInd/>
        <w:spacing w:after="0" w:line="360" w:lineRule="auto"/>
        <w:ind w:firstLine="482" w:firstLineChars="200"/>
        <w:jc w:val="center"/>
        <w:textAlignment w:val="auto"/>
        <w:rPr>
          <w:rFonts w:hint="default" w:ascii="Times New Roman" w:hAnsi="Times New Roman" w:eastAsia="宋体" w:cs="Times New Roman"/>
          <w:b/>
          <w:color w:val="000000"/>
          <w:kern w:val="0"/>
          <w:sz w:val="24"/>
          <w:szCs w:val="24"/>
          <w:highlight w:val="none"/>
          <w:lang w:val="en-US" w:eastAsia="en-US" w:bidi="en-US"/>
        </w:rPr>
      </w:pPr>
      <w:r>
        <w:rPr>
          <w:rFonts w:hint="default" w:ascii="Times New Roman" w:hAnsi="Times New Roman" w:eastAsia="宋体" w:cs="Times New Roman"/>
          <w:b/>
          <w:color w:val="000000"/>
          <w:kern w:val="0"/>
          <w:sz w:val="24"/>
          <w:szCs w:val="24"/>
          <w:highlight w:val="none"/>
          <w:lang w:val="en-US" w:eastAsia="en-US" w:bidi="en-US"/>
        </w:rPr>
        <w:t>表</w:t>
      </w:r>
      <w:r>
        <w:rPr>
          <w:rFonts w:hint="eastAsia" w:ascii="Times New Roman" w:hAnsi="Times New Roman" w:eastAsia="宋体" w:cs="Times New Roman"/>
          <w:b/>
          <w:color w:val="000000"/>
          <w:kern w:val="0"/>
          <w:sz w:val="24"/>
          <w:szCs w:val="24"/>
          <w:highlight w:val="none"/>
          <w:lang w:val="en-US" w:eastAsia="zh-CN" w:bidi="en-US"/>
        </w:rPr>
        <w:t>5.</w:t>
      </w:r>
      <w:r>
        <w:rPr>
          <w:rFonts w:hint="eastAsia" w:eastAsia="宋体" w:cs="Times New Roman"/>
          <w:b/>
          <w:color w:val="000000"/>
          <w:kern w:val="0"/>
          <w:sz w:val="24"/>
          <w:szCs w:val="24"/>
          <w:highlight w:val="none"/>
          <w:lang w:val="en-US" w:eastAsia="zh-CN" w:bidi="en-US"/>
        </w:rPr>
        <w:t>2-</w:t>
      </w:r>
      <w:r>
        <w:rPr>
          <w:rFonts w:hint="eastAsia" w:cs="Times New Roman"/>
          <w:b/>
          <w:color w:val="000000"/>
          <w:kern w:val="0"/>
          <w:sz w:val="24"/>
          <w:szCs w:val="24"/>
          <w:highlight w:val="none"/>
          <w:lang w:val="en-US" w:eastAsia="zh-CN" w:bidi="en-US"/>
        </w:rPr>
        <w:t>27</w:t>
      </w:r>
      <w:r>
        <w:rPr>
          <w:rFonts w:hint="default" w:ascii="Times New Roman" w:hAnsi="Times New Roman" w:eastAsia="宋体" w:cs="Times New Roman"/>
          <w:b/>
          <w:color w:val="000000"/>
          <w:kern w:val="0"/>
          <w:sz w:val="24"/>
          <w:szCs w:val="24"/>
          <w:highlight w:val="none"/>
          <w:lang w:val="en-US" w:eastAsia="en-US" w:bidi="en-US"/>
        </w:rPr>
        <w:t>各阶段</w:t>
      </w:r>
      <w:r>
        <w:rPr>
          <w:rFonts w:hint="eastAsia" w:cs="Times New Roman"/>
          <w:b/>
          <w:color w:val="000000"/>
          <w:kern w:val="0"/>
          <w:sz w:val="24"/>
          <w:szCs w:val="24"/>
          <w:highlight w:val="none"/>
          <w:lang w:val="en-US" w:eastAsia="zh-CN" w:bidi="en-US"/>
        </w:rPr>
        <w:t>氨氮</w:t>
      </w:r>
      <w:r>
        <w:rPr>
          <w:rFonts w:hint="default" w:ascii="Times New Roman" w:hAnsi="Times New Roman" w:eastAsia="宋体" w:cs="Times New Roman"/>
          <w:b/>
          <w:color w:val="000000"/>
          <w:kern w:val="0"/>
          <w:sz w:val="24"/>
          <w:szCs w:val="24"/>
          <w:highlight w:val="none"/>
          <w:lang w:val="en-US" w:eastAsia="en-US" w:bidi="en-US"/>
        </w:rPr>
        <w:t>对地下水环境超标范围预测表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2631"/>
        <w:gridCol w:w="1978"/>
        <w:gridCol w:w="2117"/>
      </w:tblGrid>
      <w:tr w14:paraId="13545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tcBorders>
              <w:tl2br w:val="nil"/>
              <w:tr2bl w:val="nil"/>
            </w:tcBorders>
            <w:noWrap w:val="0"/>
            <w:vAlign w:val="center"/>
          </w:tcPr>
          <w:p w14:paraId="65F96C43">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b/>
                <w:bCs/>
                <w:color w:val="000000"/>
                <w:spacing w:val="0"/>
                <w:sz w:val="21"/>
                <w:szCs w:val="21"/>
                <w:highlight w:val="none"/>
                <w:lang w:val="en-US" w:eastAsia="zh-CN" w:bidi="ar-SA"/>
              </w:rPr>
            </w:pPr>
            <w:r>
              <w:rPr>
                <w:rFonts w:hint="default" w:ascii="Times New Roman" w:hAnsi="Times New Roman" w:eastAsia="宋体" w:cs="Times New Roman"/>
                <w:b/>
                <w:bCs/>
                <w:color w:val="000000"/>
                <w:spacing w:val="0"/>
                <w:sz w:val="21"/>
                <w:szCs w:val="21"/>
                <w:highlight w:val="none"/>
                <w:lang w:val="en-US" w:eastAsia="zh-CN" w:bidi="ar-SA"/>
              </w:rPr>
              <w:t>预测时间（d）</w:t>
            </w:r>
          </w:p>
        </w:tc>
        <w:tc>
          <w:tcPr>
            <w:tcW w:w="2631" w:type="dxa"/>
            <w:tcBorders>
              <w:tl2br w:val="nil"/>
              <w:tr2bl w:val="nil"/>
            </w:tcBorders>
            <w:shd w:val="clear" w:color="auto" w:fill="auto"/>
            <w:noWrap w:val="0"/>
            <w:vAlign w:val="center"/>
          </w:tcPr>
          <w:p w14:paraId="7E005E1D">
            <w:pPr>
              <w:keepNext w:val="0"/>
              <w:keepLines w:val="0"/>
              <w:widowControl/>
              <w:suppressLineNumbers w:val="0"/>
              <w:overflowPunct/>
              <w:autoSpaceDE/>
              <w:autoSpaceDN/>
              <w:adjustRightInd/>
              <w:snapToGrid/>
              <w:spacing w:line="320" w:lineRule="exact"/>
              <w:ind w:firstLine="0" w:firstLineChars="0"/>
              <w:jc w:val="center"/>
              <w:textAlignment w:val="center"/>
              <w:rPr>
                <w:rFonts w:hint="default" w:ascii="Times New Roman" w:hAnsi="Times New Roman" w:eastAsia="宋体" w:cs="Times New Roman"/>
                <w:b/>
                <w:bCs/>
                <w:color w:val="000000"/>
                <w:spacing w:val="0"/>
                <w:kern w:val="0"/>
                <w:sz w:val="21"/>
                <w:szCs w:val="21"/>
                <w:highlight w:val="none"/>
                <w:lang w:val="en-US" w:eastAsia="zh-CN" w:bidi="ar-SA"/>
              </w:rPr>
            </w:pPr>
            <w:r>
              <w:rPr>
                <w:rFonts w:hint="eastAsia" w:ascii="Times New Roman" w:hAnsi="Times New Roman" w:eastAsia="宋体" w:cs="Times New Roman"/>
                <w:b/>
                <w:bCs/>
                <w:i w:val="0"/>
                <w:iCs w:val="0"/>
                <w:color w:val="000000"/>
                <w:kern w:val="0"/>
                <w:sz w:val="22"/>
                <w:szCs w:val="22"/>
                <w:highlight w:val="none"/>
                <w:u w:val="none"/>
                <w:lang w:val="en-US" w:eastAsia="zh-CN" w:bidi="ar"/>
              </w:rPr>
              <w:t>预测的最大值（mg/L）</w:t>
            </w:r>
          </w:p>
        </w:tc>
        <w:tc>
          <w:tcPr>
            <w:tcW w:w="1978" w:type="dxa"/>
            <w:tcBorders>
              <w:tl2br w:val="nil"/>
              <w:tr2bl w:val="nil"/>
            </w:tcBorders>
            <w:noWrap w:val="0"/>
            <w:vAlign w:val="center"/>
          </w:tcPr>
          <w:p w14:paraId="467581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000000"/>
                <w:spacing w:val="0"/>
                <w:kern w:val="0"/>
                <w:sz w:val="21"/>
                <w:szCs w:val="21"/>
                <w:highlight w:val="none"/>
                <w:lang w:val="en-US" w:eastAsia="zh-CN" w:bidi="ar-SA"/>
              </w:rPr>
            </w:pPr>
            <w:r>
              <w:rPr>
                <w:rFonts w:hint="default" w:ascii="Times New Roman" w:hAnsi="Times New Roman" w:eastAsia="宋体" w:cs="Times New Roman"/>
                <w:b/>
                <w:bCs/>
                <w:color w:val="000000"/>
                <w:spacing w:val="0"/>
                <w:kern w:val="0"/>
                <w:sz w:val="21"/>
                <w:szCs w:val="21"/>
                <w:highlight w:val="none"/>
                <w:lang w:val="en-US" w:eastAsia="zh-CN" w:bidi="ar-SA"/>
              </w:rPr>
              <w:t>最大</w:t>
            </w:r>
            <w:r>
              <w:rPr>
                <w:rFonts w:hint="eastAsia" w:ascii="Times New Roman" w:hAnsi="Times New Roman" w:eastAsia="宋体" w:cs="Times New Roman"/>
                <w:b/>
                <w:bCs/>
                <w:color w:val="000000"/>
                <w:spacing w:val="0"/>
                <w:kern w:val="0"/>
                <w:sz w:val="21"/>
                <w:szCs w:val="21"/>
                <w:highlight w:val="none"/>
                <w:lang w:val="en-US" w:eastAsia="zh-CN" w:bidi="ar-SA"/>
              </w:rPr>
              <w:t>影响</w:t>
            </w:r>
            <w:r>
              <w:rPr>
                <w:rFonts w:hint="default" w:ascii="Times New Roman" w:hAnsi="Times New Roman" w:eastAsia="宋体" w:cs="Times New Roman"/>
                <w:b/>
                <w:bCs/>
                <w:color w:val="000000"/>
                <w:spacing w:val="0"/>
                <w:kern w:val="0"/>
                <w:sz w:val="21"/>
                <w:szCs w:val="21"/>
                <w:highlight w:val="none"/>
                <w:lang w:val="en-US" w:eastAsia="zh-CN" w:bidi="ar-SA"/>
              </w:rPr>
              <w:t>距离</w:t>
            </w:r>
            <w:r>
              <w:rPr>
                <w:rFonts w:hint="eastAsia" w:cs="Times New Roman"/>
                <w:b/>
                <w:bCs/>
                <w:color w:val="000000"/>
                <w:spacing w:val="0"/>
                <w:kern w:val="0"/>
                <w:sz w:val="21"/>
                <w:szCs w:val="21"/>
                <w:highlight w:val="none"/>
                <w:lang w:val="en-US" w:eastAsia="zh-CN" w:bidi="ar-SA"/>
              </w:rPr>
              <w:t>（</w:t>
            </w:r>
            <w:r>
              <w:rPr>
                <w:rFonts w:hint="default" w:ascii="Times New Roman" w:hAnsi="Times New Roman" w:eastAsia="宋体" w:cs="Times New Roman"/>
                <w:b/>
                <w:bCs/>
                <w:color w:val="000000"/>
                <w:spacing w:val="0"/>
                <w:kern w:val="0"/>
                <w:sz w:val="21"/>
                <w:szCs w:val="21"/>
                <w:highlight w:val="none"/>
                <w:lang w:val="en-US" w:eastAsia="zh-CN" w:bidi="ar-SA"/>
              </w:rPr>
              <w:t>m</w:t>
            </w:r>
            <w:r>
              <w:rPr>
                <w:rFonts w:hint="eastAsia" w:cs="Times New Roman"/>
                <w:b/>
                <w:bCs/>
                <w:color w:val="000000"/>
                <w:spacing w:val="0"/>
                <w:kern w:val="0"/>
                <w:sz w:val="21"/>
                <w:szCs w:val="21"/>
                <w:highlight w:val="none"/>
                <w:lang w:val="en-US" w:eastAsia="zh-CN" w:bidi="ar-SA"/>
              </w:rPr>
              <w:t>）</w:t>
            </w:r>
          </w:p>
        </w:tc>
        <w:tc>
          <w:tcPr>
            <w:tcW w:w="2117" w:type="dxa"/>
            <w:tcBorders>
              <w:tl2br w:val="nil"/>
              <w:tr2bl w:val="nil"/>
            </w:tcBorders>
            <w:noWrap w:val="0"/>
            <w:vAlign w:val="center"/>
          </w:tcPr>
          <w:p w14:paraId="317010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000000"/>
                <w:spacing w:val="0"/>
                <w:kern w:val="0"/>
                <w:sz w:val="21"/>
                <w:szCs w:val="21"/>
                <w:highlight w:val="none"/>
                <w:lang w:val="en-US" w:eastAsia="zh-CN" w:bidi="ar-SA"/>
              </w:rPr>
            </w:pPr>
            <w:r>
              <w:rPr>
                <w:rFonts w:hint="eastAsia" w:ascii="Times New Roman" w:hAnsi="Times New Roman" w:eastAsia="宋体" w:cs="Times New Roman"/>
                <w:b/>
                <w:bCs/>
                <w:color w:val="000000"/>
                <w:spacing w:val="0"/>
                <w:kern w:val="0"/>
                <w:sz w:val="21"/>
                <w:szCs w:val="21"/>
                <w:highlight w:val="none"/>
                <w:lang w:val="en-US" w:eastAsia="zh-CN" w:bidi="ar-SA"/>
              </w:rPr>
              <w:t>超标最远距离（m）</w:t>
            </w:r>
          </w:p>
        </w:tc>
      </w:tr>
      <w:tr w14:paraId="678BC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tcBorders>
              <w:tl2br w:val="nil"/>
              <w:tr2bl w:val="nil"/>
            </w:tcBorders>
            <w:noWrap w:val="0"/>
            <w:vAlign w:val="center"/>
          </w:tcPr>
          <w:p w14:paraId="0024810A">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default" w:ascii="Times New Roman" w:hAnsi="Times New Roman" w:eastAsia="宋体" w:cs="Times New Roman"/>
                <w:color w:val="000000"/>
                <w:spacing w:val="0"/>
                <w:sz w:val="21"/>
                <w:szCs w:val="21"/>
                <w:highlight w:val="none"/>
                <w:lang w:val="en-US" w:eastAsia="zh-CN" w:bidi="ar-SA"/>
              </w:rPr>
              <w:t>100</w:t>
            </w:r>
          </w:p>
        </w:tc>
        <w:tc>
          <w:tcPr>
            <w:tcW w:w="2631" w:type="dxa"/>
            <w:tcBorders>
              <w:tl2br w:val="nil"/>
              <w:tr2bl w:val="nil"/>
            </w:tcBorders>
            <w:shd w:val="clear" w:color="auto" w:fill="auto"/>
            <w:noWrap w:val="0"/>
            <w:vAlign w:val="center"/>
          </w:tcPr>
          <w:p w14:paraId="58937809">
            <w:pPr>
              <w:keepNext w:val="0"/>
              <w:keepLines w:val="0"/>
              <w:widowControl/>
              <w:suppressLineNumbers w:val="0"/>
              <w:overflowPunct/>
              <w:autoSpaceDE/>
              <w:autoSpaceDN/>
              <w:adjustRightInd/>
              <w:snapToGrid/>
              <w:spacing w:line="320" w:lineRule="exact"/>
              <w:ind w:firstLine="0" w:firstLineChars="0"/>
              <w:jc w:val="center"/>
              <w:textAlignment w:val="center"/>
              <w:rPr>
                <w:rFonts w:hint="eastAsia" w:ascii="Times New Roman" w:hAnsi="Times New Roman" w:eastAsia="宋体" w:cs="Times New Roman"/>
                <w:color w:val="000000"/>
                <w:spacing w:val="0"/>
                <w:kern w:val="2"/>
                <w:sz w:val="21"/>
                <w:szCs w:val="21"/>
                <w:highlight w:val="none"/>
                <w:lang w:val="en-US" w:eastAsia="zh-CN" w:bidi="ar-SA"/>
              </w:rPr>
            </w:pPr>
            <w:r>
              <w:rPr>
                <w:rFonts w:hint="eastAsia" w:ascii="Times New Roman" w:hAnsi="Times New Roman" w:eastAsia="宋体" w:cs="Times New Roman"/>
                <w:color w:val="000000"/>
                <w:spacing w:val="0"/>
                <w:kern w:val="2"/>
                <w:sz w:val="21"/>
                <w:szCs w:val="21"/>
                <w:highlight w:val="none"/>
                <w:lang w:val="en-US" w:eastAsia="zh-CN" w:bidi="ar-SA"/>
              </w:rPr>
              <w:t>174.4843</w:t>
            </w:r>
          </w:p>
        </w:tc>
        <w:tc>
          <w:tcPr>
            <w:tcW w:w="1978" w:type="dxa"/>
            <w:tcBorders>
              <w:tl2br w:val="nil"/>
              <w:tr2bl w:val="nil"/>
            </w:tcBorders>
            <w:noWrap w:val="0"/>
            <w:vAlign w:val="center"/>
          </w:tcPr>
          <w:p w14:paraId="7422C3E1">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29</w:t>
            </w:r>
          </w:p>
        </w:tc>
        <w:tc>
          <w:tcPr>
            <w:tcW w:w="2117" w:type="dxa"/>
            <w:tcBorders>
              <w:tl2br w:val="nil"/>
              <w:tr2bl w:val="nil"/>
            </w:tcBorders>
            <w:noWrap w:val="0"/>
            <w:vAlign w:val="center"/>
          </w:tcPr>
          <w:p w14:paraId="254A2918">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36</w:t>
            </w:r>
          </w:p>
        </w:tc>
      </w:tr>
      <w:tr w14:paraId="10C2ED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tcBorders>
              <w:tl2br w:val="nil"/>
              <w:tr2bl w:val="nil"/>
            </w:tcBorders>
            <w:noWrap w:val="0"/>
            <w:vAlign w:val="center"/>
          </w:tcPr>
          <w:p w14:paraId="7C22137F">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1000</w:t>
            </w:r>
          </w:p>
        </w:tc>
        <w:tc>
          <w:tcPr>
            <w:tcW w:w="2631" w:type="dxa"/>
            <w:tcBorders>
              <w:tl2br w:val="nil"/>
              <w:tr2bl w:val="nil"/>
            </w:tcBorders>
            <w:shd w:val="clear" w:color="auto" w:fill="auto"/>
            <w:noWrap w:val="0"/>
            <w:vAlign w:val="center"/>
          </w:tcPr>
          <w:p w14:paraId="24040193">
            <w:pPr>
              <w:keepNext w:val="0"/>
              <w:keepLines w:val="0"/>
              <w:widowControl/>
              <w:suppressLineNumbers w:val="0"/>
              <w:overflowPunct/>
              <w:autoSpaceDE/>
              <w:autoSpaceDN/>
              <w:adjustRightInd/>
              <w:snapToGrid/>
              <w:spacing w:line="320" w:lineRule="exact"/>
              <w:ind w:firstLine="0" w:firstLineChars="0"/>
              <w:jc w:val="center"/>
              <w:textAlignment w:val="center"/>
              <w:rPr>
                <w:rFonts w:hint="eastAsia" w:ascii="Times New Roman" w:hAnsi="Times New Roman" w:eastAsia="宋体" w:cs="Times New Roman"/>
                <w:color w:val="000000"/>
                <w:spacing w:val="0"/>
                <w:kern w:val="2"/>
                <w:sz w:val="21"/>
                <w:szCs w:val="21"/>
                <w:highlight w:val="none"/>
                <w:lang w:val="en-US" w:eastAsia="zh-CN" w:bidi="ar-SA"/>
              </w:rPr>
            </w:pPr>
            <w:r>
              <w:rPr>
                <w:rFonts w:hint="eastAsia" w:ascii="Times New Roman" w:hAnsi="Times New Roman" w:eastAsia="宋体" w:cs="Times New Roman"/>
                <w:color w:val="000000"/>
                <w:kern w:val="2"/>
                <w:sz w:val="21"/>
                <w:szCs w:val="22"/>
                <w:highlight w:val="none"/>
                <w:lang w:val="en-US" w:eastAsia="zh-CN"/>
              </w:rPr>
              <w:t>55.17678</w:t>
            </w:r>
          </w:p>
        </w:tc>
        <w:tc>
          <w:tcPr>
            <w:tcW w:w="1978" w:type="dxa"/>
            <w:tcBorders>
              <w:tl2br w:val="nil"/>
              <w:tr2bl w:val="nil"/>
            </w:tcBorders>
            <w:noWrap w:val="0"/>
            <w:vAlign w:val="center"/>
          </w:tcPr>
          <w:p w14:paraId="77154A98">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118</w:t>
            </w:r>
          </w:p>
        </w:tc>
        <w:tc>
          <w:tcPr>
            <w:tcW w:w="2117" w:type="dxa"/>
            <w:tcBorders>
              <w:tl2br w:val="nil"/>
              <w:tr2bl w:val="nil"/>
            </w:tcBorders>
            <w:noWrap w:val="0"/>
            <w:vAlign w:val="center"/>
          </w:tcPr>
          <w:p w14:paraId="6435FA07">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142</w:t>
            </w:r>
          </w:p>
        </w:tc>
      </w:tr>
      <w:tr w14:paraId="132E53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tcBorders>
              <w:tl2br w:val="nil"/>
              <w:tr2bl w:val="nil"/>
            </w:tcBorders>
            <w:noWrap w:val="0"/>
            <w:vAlign w:val="center"/>
          </w:tcPr>
          <w:p w14:paraId="67D0C422">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365</w:t>
            </w:r>
            <w:r>
              <w:rPr>
                <w:rFonts w:hint="eastAsia" w:ascii="Times New Roman" w:hAnsi="Times New Roman" w:eastAsia="宋体" w:cs="Times New Roman"/>
                <w:color w:val="000000"/>
                <w:spacing w:val="0"/>
                <w:sz w:val="21"/>
                <w:szCs w:val="21"/>
                <w:highlight w:val="none"/>
                <w:lang w:val="en-US" w:eastAsia="zh-CN" w:bidi="ar-SA"/>
              </w:rPr>
              <w:t>0</w:t>
            </w:r>
          </w:p>
        </w:tc>
        <w:tc>
          <w:tcPr>
            <w:tcW w:w="2631" w:type="dxa"/>
            <w:tcBorders>
              <w:tl2br w:val="nil"/>
              <w:tr2bl w:val="nil"/>
            </w:tcBorders>
            <w:shd w:val="clear" w:color="auto" w:fill="auto"/>
            <w:noWrap w:val="0"/>
            <w:vAlign w:val="center"/>
          </w:tcPr>
          <w:p w14:paraId="70D09F9F">
            <w:pPr>
              <w:keepNext w:val="0"/>
              <w:keepLines w:val="0"/>
              <w:widowControl/>
              <w:suppressLineNumbers w:val="0"/>
              <w:overflowPunct/>
              <w:autoSpaceDE/>
              <w:autoSpaceDN/>
              <w:adjustRightInd/>
              <w:snapToGrid/>
              <w:spacing w:line="320" w:lineRule="exact"/>
              <w:ind w:firstLine="0" w:firstLineChars="0"/>
              <w:jc w:val="center"/>
              <w:textAlignment w:val="center"/>
              <w:rPr>
                <w:rFonts w:hint="eastAsia" w:ascii="Times New Roman" w:hAnsi="Times New Roman" w:eastAsia="宋体" w:cs="Times New Roman"/>
                <w:color w:val="000000"/>
                <w:spacing w:val="0"/>
                <w:kern w:val="2"/>
                <w:sz w:val="21"/>
                <w:szCs w:val="21"/>
                <w:highlight w:val="none"/>
                <w:lang w:val="en-US" w:eastAsia="zh-CN" w:bidi="ar-SA"/>
              </w:rPr>
            </w:pPr>
            <w:r>
              <w:rPr>
                <w:rFonts w:hint="eastAsia" w:ascii="Times New Roman" w:hAnsi="Times New Roman" w:eastAsia="宋体" w:cs="Times New Roman"/>
                <w:color w:val="000000"/>
                <w:spacing w:val="0"/>
                <w:kern w:val="2"/>
                <w:sz w:val="21"/>
                <w:szCs w:val="21"/>
                <w:highlight w:val="none"/>
                <w:lang w:val="en-US" w:eastAsia="zh-CN" w:bidi="ar-SA"/>
              </w:rPr>
              <w:t>28.88085</w:t>
            </w:r>
          </w:p>
        </w:tc>
        <w:tc>
          <w:tcPr>
            <w:tcW w:w="1978" w:type="dxa"/>
            <w:tcBorders>
              <w:tl2br w:val="nil"/>
              <w:tr2bl w:val="nil"/>
            </w:tcBorders>
            <w:noWrap w:val="0"/>
            <w:vAlign w:val="center"/>
          </w:tcPr>
          <w:p w14:paraId="03390FA6">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304</w:t>
            </w:r>
          </w:p>
        </w:tc>
        <w:tc>
          <w:tcPr>
            <w:tcW w:w="2117" w:type="dxa"/>
            <w:tcBorders>
              <w:tl2br w:val="nil"/>
              <w:tr2bl w:val="nil"/>
            </w:tcBorders>
            <w:noWrap w:val="0"/>
            <w:vAlign w:val="center"/>
          </w:tcPr>
          <w:p w14:paraId="6DE6B829">
            <w:pPr>
              <w:keepNext w:val="0"/>
              <w:keepLines w:val="0"/>
              <w:pageBreakBefore w:val="0"/>
              <w:widowControl w:val="0"/>
              <w:tabs>
                <w:tab w:val="left" w:pos="5940"/>
              </w:tabs>
              <w:kinsoku/>
              <w:wordWrap/>
              <w:overflowPunct/>
              <w:topLinePunct w:val="0"/>
              <w:autoSpaceDE/>
              <w:autoSpaceDN/>
              <w:bidi w:val="0"/>
              <w:adjustRightInd/>
              <w:snapToGrid w:val="0"/>
              <w:spacing w:line="240" w:lineRule="auto"/>
              <w:ind w:left="0" w:leftChars="0" w:firstLine="0" w:firstLineChars="0"/>
              <w:contextualSpacing/>
              <w:jc w:val="center"/>
              <w:textAlignment w:val="auto"/>
              <w:rPr>
                <w:rFonts w:hint="default" w:ascii="Times New Roman" w:hAnsi="Times New Roman" w:eastAsia="宋体" w:cs="Times New Roman"/>
                <w:color w:val="000000"/>
                <w:spacing w:val="0"/>
                <w:sz w:val="21"/>
                <w:szCs w:val="21"/>
                <w:highlight w:val="none"/>
                <w:lang w:val="en-US" w:eastAsia="zh-CN" w:bidi="ar-SA"/>
              </w:rPr>
            </w:pPr>
            <w:r>
              <w:rPr>
                <w:rFonts w:hint="eastAsia" w:cs="Times New Roman"/>
                <w:color w:val="000000"/>
                <w:spacing w:val="0"/>
                <w:sz w:val="21"/>
                <w:szCs w:val="21"/>
                <w:highlight w:val="none"/>
                <w:lang w:val="en-US" w:eastAsia="zh-CN" w:bidi="ar-SA"/>
              </w:rPr>
              <w:t>353</w:t>
            </w:r>
          </w:p>
        </w:tc>
      </w:tr>
    </w:tbl>
    <w:p w14:paraId="05F5F6B8">
      <w:pPr>
        <w:keepNext w:val="0"/>
        <w:keepLines w:val="0"/>
        <w:pageBreakBefore w:val="0"/>
        <w:widowControl w:val="0"/>
        <w:kinsoku/>
        <w:wordWrap/>
        <w:overflowPunct/>
        <w:topLinePunct w:val="0"/>
        <w:autoSpaceDE/>
        <w:autoSpaceDN/>
        <w:bidi w:val="0"/>
        <w:adjustRightInd/>
        <w:spacing w:after="0" w:line="360" w:lineRule="auto"/>
        <w:jc w:val="center"/>
        <w:textAlignment w:val="auto"/>
        <w:rPr>
          <w:rFonts w:hint="default" w:ascii="Times New Roman" w:hAnsi="Times New Roman" w:eastAsia="宋体" w:cs="Times New Roman"/>
          <w:color w:val="5B9BD5"/>
          <w:kern w:val="2"/>
          <w:sz w:val="24"/>
          <w:szCs w:val="24"/>
          <w:highlight w:val="none"/>
          <w:lang w:val="en-US" w:eastAsia="zh-CN" w:bidi="ar-SA"/>
        </w:rPr>
      </w:pPr>
      <w:r>
        <w:drawing>
          <wp:inline distT="0" distB="0" distL="114300" distR="114300">
            <wp:extent cx="4826000" cy="2743200"/>
            <wp:effectExtent l="4445" t="4445" r="8255" b="14605"/>
            <wp:docPr id="9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56BDB84">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Times New Roman" w:hAnsi="宋体" w:eastAsia="宋体" w:cs="Times New Roman"/>
          <w:color w:val="auto"/>
          <w:kern w:val="0"/>
          <w:sz w:val="24"/>
          <w:szCs w:val="24"/>
          <w:lang w:val="en-US"/>
        </w:rPr>
      </w:pPr>
      <w:r>
        <w:rPr>
          <w:rFonts w:hint="eastAsia" w:ascii="Times New Roman" w:hAnsi="宋体" w:eastAsia="宋体" w:cs="Times New Roman"/>
          <w:b/>
          <w:color w:val="auto"/>
          <w:kern w:val="0"/>
          <w:sz w:val="24"/>
          <w:szCs w:val="24"/>
          <w:lang w:val="en-US" w:eastAsia="zh-CN"/>
        </w:rPr>
        <w:t>图5.</w:t>
      </w:r>
      <w:r>
        <w:rPr>
          <w:rFonts w:hint="eastAsia" w:hAnsi="宋体" w:eastAsia="宋体" w:cs="Times New Roman"/>
          <w:b/>
          <w:color w:val="auto"/>
          <w:kern w:val="0"/>
          <w:sz w:val="24"/>
          <w:szCs w:val="24"/>
          <w:lang w:val="en-US" w:eastAsia="zh-CN"/>
        </w:rPr>
        <w:t>2-</w:t>
      </w:r>
      <w:r>
        <w:rPr>
          <w:rFonts w:hint="eastAsia" w:hAnsi="宋体" w:cs="Times New Roman"/>
          <w:b/>
          <w:color w:val="auto"/>
          <w:kern w:val="0"/>
          <w:sz w:val="24"/>
          <w:szCs w:val="24"/>
          <w:lang w:val="en-US" w:eastAsia="zh-CN"/>
        </w:rPr>
        <w:t>2</w:t>
      </w:r>
      <w:r>
        <w:rPr>
          <w:rFonts w:hint="eastAsia" w:ascii="Times New Roman" w:hAnsi="宋体" w:eastAsia="宋体" w:cs="Times New Roman"/>
          <w:b/>
          <w:color w:val="auto"/>
          <w:kern w:val="0"/>
          <w:sz w:val="24"/>
          <w:szCs w:val="24"/>
          <w:lang w:val="en-US" w:eastAsia="zh-CN"/>
        </w:rPr>
        <w:t>（1）  非正常状况下100天</w:t>
      </w:r>
      <w:r>
        <w:rPr>
          <w:rFonts w:hint="eastAsia" w:hAnsi="宋体" w:cs="Times New Roman"/>
          <w:b/>
          <w:color w:val="auto"/>
          <w:kern w:val="0"/>
          <w:sz w:val="24"/>
          <w:szCs w:val="24"/>
          <w:lang w:val="en-US" w:eastAsia="zh-CN"/>
        </w:rPr>
        <w:t>氨氮</w:t>
      </w:r>
      <w:r>
        <w:rPr>
          <w:rFonts w:hint="eastAsia" w:ascii="Times New Roman" w:hAnsi="宋体" w:eastAsia="宋体" w:cs="Times New Roman"/>
          <w:b/>
          <w:color w:val="auto"/>
          <w:kern w:val="0"/>
          <w:sz w:val="24"/>
          <w:szCs w:val="24"/>
          <w:lang w:val="en-US" w:eastAsia="zh-CN"/>
        </w:rPr>
        <w:t>浓度曲线</w:t>
      </w:r>
    </w:p>
    <w:p w14:paraId="0501A8D6">
      <w:pPr>
        <w:keepNext w:val="0"/>
        <w:keepLines w:val="0"/>
        <w:pageBreakBefore w:val="0"/>
        <w:widowControl w:val="0"/>
        <w:kinsoku/>
        <w:wordWrap/>
        <w:overflowPunct/>
        <w:topLinePunct w:val="0"/>
        <w:autoSpaceDE/>
        <w:autoSpaceDN/>
        <w:bidi w:val="0"/>
        <w:adjustRightInd/>
        <w:spacing w:after="0" w:line="360" w:lineRule="auto"/>
        <w:jc w:val="center"/>
        <w:textAlignment w:val="auto"/>
        <w:rPr>
          <w:rFonts w:hint="default" w:ascii="Times New Roman" w:hAnsi="Times New Roman" w:eastAsia="宋体" w:cs="Times New Roman"/>
          <w:color w:val="5B9BD5"/>
          <w:kern w:val="2"/>
          <w:sz w:val="24"/>
          <w:szCs w:val="24"/>
          <w:highlight w:val="none"/>
          <w:lang w:val="en-US" w:eastAsia="zh-CN" w:bidi="ar-SA"/>
        </w:rPr>
      </w:pPr>
      <w:r>
        <w:drawing>
          <wp:inline distT="0" distB="0" distL="114300" distR="114300">
            <wp:extent cx="4826000" cy="2743200"/>
            <wp:effectExtent l="4445" t="4445" r="825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B88C840">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Times New Roman" w:hAnsi="宋体" w:eastAsia="宋体" w:cs="Times New Roman"/>
          <w:color w:val="auto"/>
          <w:kern w:val="0"/>
          <w:sz w:val="24"/>
          <w:szCs w:val="24"/>
          <w:lang w:val="en-US"/>
        </w:rPr>
      </w:pPr>
      <w:r>
        <w:rPr>
          <w:rFonts w:hint="eastAsia" w:ascii="Times New Roman" w:hAnsi="宋体" w:eastAsia="宋体" w:cs="Times New Roman"/>
          <w:b/>
          <w:color w:val="auto"/>
          <w:kern w:val="0"/>
          <w:sz w:val="24"/>
          <w:szCs w:val="24"/>
          <w:lang w:val="en-US" w:eastAsia="zh-CN"/>
        </w:rPr>
        <w:t>图5.</w:t>
      </w:r>
      <w:r>
        <w:rPr>
          <w:rFonts w:hint="eastAsia" w:hAnsi="宋体" w:eastAsia="宋体" w:cs="Times New Roman"/>
          <w:b/>
          <w:color w:val="auto"/>
          <w:kern w:val="0"/>
          <w:sz w:val="24"/>
          <w:szCs w:val="24"/>
          <w:lang w:val="en-US" w:eastAsia="zh-CN"/>
        </w:rPr>
        <w:t>2</w:t>
      </w:r>
      <w:r>
        <w:rPr>
          <w:rFonts w:hint="eastAsia" w:ascii="Times New Roman" w:hAnsi="宋体" w:eastAsia="宋体" w:cs="Times New Roman"/>
          <w:b/>
          <w:color w:val="auto"/>
          <w:kern w:val="0"/>
          <w:sz w:val="24"/>
          <w:szCs w:val="24"/>
          <w:lang w:val="en-US" w:eastAsia="zh-CN"/>
        </w:rPr>
        <w:t>-</w:t>
      </w:r>
      <w:r>
        <w:rPr>
          <w:rFonts w:hint="eastAsia" w:hAnsi="宋体" w:cs="Times New Roman"/>
          <w:b/>
          <w:color w:val="auto"/>
          <w:kern w:val="0"/>
          <w:sz w:val="24"/>
          <w:szCs w:val="24"/>
          <w:lang w:val="en-US" w:eastAsia="zh-CN"/>
        </w:rPr>
        <w:t>2</w:t>
      </w:r>
      <w:r>
        <w:rPr>
          <w:rFonts w:hint="eastAsia" w:ascii="Times New Roman" w:hAnsi="宋体" w:eastAsia="宋体" w:cs="Times New Roman"/>
          <w:b/>
          <w:color w:val="auto"/>
          <w:kern w:val="0"/>
          <w:sz w:val="24"/>
          <w:szCs w:val="24"/>
          <w:lang w:val="en-US" w:eastAsia="zh-CN"/>
        </w:rPr>
        <w:t>（2）  非正常状况下</w:t>
      </w:r>
      <w:r>
        <w:rPr>
          <w:rFonts w:hint="eastAsia" w:hAnsi="宋体" w:cs="Times New Roman"/>
          <w:b/>
          <w:color w:val="auto"/>
          <w:kern w:val="0"/>
          <w:sz w:val="24"/>
          <w:szCs w:val="24"/>
          <w:lang w:val="en-US" w:eastAsia="zh-CN"/>
        </w:rPr>
        <w:t>1000</w:t>
      </w:r>
      <w:r>
        <w:rPr>
          <w:rFonts w:hint="eastAsia" w:ascii="Times New Roman" w:hAnsi="宋体" w:eastAsia="宋体" w:cs="Times New Roman"/>
          <w:b/>
          <w:color w:val="auto"/>
          <w:kern w:val="0"/>
          <w:sz w:val="24"/>
          <w:szCs w:val="24"/>
          <w:lang w:val="en-US" w:eastAsia="zh-CN"/>
        </w:rPr>
        <w:t>天</w:t>
      </w:r>
      <w:r>
        <w:rPr>
          <w:rFonts w:hint="eastAsia" w:hAnsi="宋体" w:cs="Times New Roman"/>
          <w:b/>
          <w:color w:val="auto"/>
          <w:kern w:val="0"/>
          <w:sz w:val="24"/>
          <w:szCs w:val="24"/>
          <w:lang w:val="en-US" w:eastAsia="zh-CN"/>
        </w:rPr>
        <w:t>氨氮</w:t>
      </w:r>
      <w:r>
        <w:rPr>
          <w:rFonts w:hint="eastAsia" w:ascii="Times New Roman" w:hAnsi="宋体" w:eastAsia="宋体" w:cs="Times New Roman"/>
          <w:b/>
          <w:color w:val="auto"/>
          <w:kern w:val="0"/>
          <w:sz w:val="24"/>
          <w:szCs w:val="24"/>
          <w:lang w:val="en-US" w:eastAsia="zh-CN"/>
        </w:rPr>
        <w:t>浓度曲线</w:t>
      </w:r>
    </w:p>
    <w:p w14:paraId="20EE7EA7">
      <w:pPr>
        <w:keepNext w:val="0"/>
        <w:keepLines w:val="0"/>
        <w:pageBreakBefore w:val="0"/>
        <w:widowControl w:val="0"/>
        <w:kinsoku/>
        <w:wordWrap/>
        <w:overflowPunct/>
        <w:topLinePunct w:val="0"/>
        <w:autoSpaceDE/>
        <w:autoSpaceDN/>
        <w:bidi w:val="0"/>
        <w:adjustRightInd/>
        <w:spacing w:after="0" w:line="360" w:lineRule="auto"/>
        <w:jc w:val="center"/>
        <w:textAlignment w:val="auto"/>
        <w:rPr>
          <w:rFonts w:hint="default" w:ascii="Times New Roman" w:hAnsi="Times New Roman" w:eastAsia="宋体" w:cs="Times New Roman"/>
          <w:color w:val="5B9BD5"/>
          <w:kern w:val="2"/>
          <w:sz w:val="24"/>
          <w:szCs w:val="24"/>
          <w:highlight w:val="none"/>
          <w:lang w:val="en-US" w:eastAsia="zh-CN" w:bidi="ar-SA"/>
        </w:rPr>
      </w:pPr>
      <w:r>
        <w:drawing>
          <wp:inline distT="0" distB="0" distL="114300" distR="114300">
            <wp:extent cx="4826000" cy="2743200"/>
            <wp:effectExtent l="4445" t="4445" r="8255" b="14605"/>
            <wp:docPr id="8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CA7658F">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Times New Roman" w:hAnsi="宋体" w:eastAsia="宋体" w:cs="Times New Roman"/>
          <w:color w:val="auto"/>
          <w:kern w:val="0"/>
          <w:sz w:val="24"/>
          <w:szCs w:val="24"/>
          <w:lang w:val="en-US"/>
        </w:rPr>
      </w:pPr>
      <w:r>
        <w:rPr>
          <w:rFonts w:hint="eastAsia" w:ascii="Times New Roman" w:hAnsi="宋体" w:eastAsia="宋体" w:cs="Times New Roman"/>
          <w:b/>
          <w:color w:val="auto"/>
          <w:kern w:val="0"/>
          <w:sz w:val="24"/>
          <w:szCs w:val="24"/>
          <w:lang w:val="en-US" w:eastAsia="zh-CN"/>
        </w:rPr>
        <w:t>图5.</w:t>
      </w:r>
      <w:r>
        <w:rPr>
          <w:rFonts w:hint="eastAsia" w:hAnsi="宋体" w:eastAsia="宋体" w:cs="Times New Roman"/>
          <w:b/>
          <w:color w:val="auto"/>
          <w:kern w:val="0"/>
          <w:sz w:val="24"/>
          <w:szCs w:val="24"/>
          <w:lang w:val="en-US" w:eastAsia="zh-CN"/>
        </w:rPr>
        <w:t>2</w:t>
      </w:r>
      <w:r>
        <w:rPr>
          <w:rFonts w:hint="eastAsia" w:ascii="Times New Roman" w:hAnsi="宋体" w:eastAsia="宋体" w:cs="Times New Roman"/>
          <w:b/>
          <w:color w:val="auto"/>
          <w:kern w:val="0"/>
          <w:sz w:val="24"/>
          <w:szCs w:val="24"/>
          <w:lang w:val="en-US" w:eastAsia="zh-CN"/>
        </w:rPr>
        <w:t>-</w:t>
      </w:r>
      <w:r>
        <w:rPr>
          <w:rFonts w:hint="eastAsia" w:hAnsi="宋体" w:cs="Times New Roman"/>
          <w:b/>
          <w:color w:val="auto"/>
          <w:kern w:val="0"/>
          <w:sz w:val="24"/>
          <w:szCs w:val="24"/>
          <w:lang w:val="en-US" w:eastAsia="zh-CN"/>
        </w:rPr>
        <w:t>2</w:t>
      </w:r>
      <w:r>
        <w:rPr>
          <w:rFonts w:hint="eastAsia" w:ascii="Times New Roman" w:hAnsi="宋体" w:eastAsia="宋体" w:cs="Times New Roman"/>
          <w:b/>
          <w:color w:val="auto"/>
          <w:kern w:val="0"/>
          <w:sz w:val="24"/>
          <w:szCs w:val="24"/>
          <w:lang w:val="en-US" w:eastAsia="zh-CN"/>
        </w:rPr>
        <w:t>（3）  非正常状况下</w:t>
      </w:r>
      <w:r>
        <w:rPr>
          <w:rFonts w:hint="eastAsia" w:hAnsi="宋体" w:cs="Times New Roman"/>
          <w:b/>
          <w:color w:val="auto"/>
          <w:kern w:val="0"/>
          <w:sz w:val="24"/>
          <w:szCs w:val="24"/>
          <w:lang w:val="en-US" w:eastAsia="zh-CN"/>
        </w:rPr>
        <w:t>3650</w:t>
      </w:r>
      <w:r>
        <w:rPr>
          <w:rFonts w:hint="eastAsia" w:ascii="Times New Roman" w:hAnsi="宋体" w:eastAsia="宋体" w:cs="Times New Roman"/>
          <w:b/>
          <w:color w:val="auto"/>
          <w:kern w:val="0"/>
          <w:sz w:val="24"/>
          <w:szCs w:val="24"/>
          <w:lang w:val="en-US" w:eastAsia="zh-CN"/>
        </w:rPr>
        <w:t>天</w:t>
      </w:r>
      <w:r>
        <w:rPr>
          <w:rFonts w:hint="eastAsia" w:hAnsi="宋体" w:cs="Times New Roman"/>
          <w:b/>
          <w:color w:val="auto"/>
          <w:kern w:val="0"/>
          <w:sz w:val="24"/>
          <w:szCs w:val="24"/>
          <w:lang w:val="en-US" w:eastAsia="zh-CN"/>
        </w:rPr>
        <w:t>氨氮</w:t>
      </w:r>
      <w:r>
        <w:rPr>
          <w:rFonts w:hint="eastAsia" w:ascii="Times New Roman" w:hAnsi="宋体" w:eastAsia="宋体" w:cs="Times New Roman"/>
          <w:b/>
          <w:color w:val="auto"/>
          <w:kern w:val="0"/>
          <w:sz w:val="24"/>
          <w:szCs w:val="24"/>
          <w:lang w:val="en-US" w:eastAsia="zh-CN"/>
        </w:rPr>
        <w:t>浓度曲线</w:t>
      </w:r>
    </w:p>
    <w:p w14:paraId="231267FA">
      <w:pPr>
        <w:widowControl w:val="0"/>
        <w:spacing w:line="360" w:lineRule="auto"/>
        <w:ind w:firstLine="480" w:firstLineChars="200"/>
        <w:jc w:val="both"/>
        <w:rPr>
          <w:rFonts w:hint="eastAsia" w:ascii="Times New Roman" w:hAnsi="Times New Roman" w:eastAsia="宋体" w:cs="Times New Roman"/>
          <w:color w:val="000000"/>
          <w:kern w:val="0"/>
          <w:sz w:val="24"/>
          <w:szCs w:val="24"/>
          <w:highlight w:val="none"/>
          <w:lang w:val="zh-CN" w:eastAsia="zh-CN" w:bidi="ar-SA"/>
        </w:rPr>
      </w:pPr>
      <w:r>
        <w:rPr>
          <w:rFonts w:hint="eastAsia" w:ascii="Times New Roman" w:hAnsi="Times New Roman" w:eastAsia="宋体" w:cs="Times New Roman"/>
          <w:color w:val="000000"/>
          <w:kern w:val="0"/>
          <w:sz w:val="24"/>
          <w:szCs w:val="24"/>
          <w:highlight w:val="none"/>
          <w:lang w:val="en-US" w:eastAsia="zh-CN" w:bidi="ar-SA"/>
        </w:rPr>
        <w:t>根据预测结果，</w:t>
      </w:r>
      <w:r>
        <w:rPr>
          <w:rFonts w:hint="eastAsia" w:cs="Times New Roman"/>
          <w:color w:val="000000"/>
          <w:kern w:val="0"/>
          <w:sz w:val="24"/>
          <w:szCs w:val="24"/>
          <w:highlight w:val="none"/>
          <w:lang w:val="en-US" w:eastAsia="zh-CN" w:bidi="ar-SA"/>
        </w:rPr>
        <w:t>尿液收集池</w:t>
      </w:r>
      <w:r>
        <w:rPr>
          <w:rFonts w:hint="eastAsia" w:ascii="Times New Roman" w:hAnsi="Times New Roman" w:eastAsia="宋体" w:cs="Times New Roman"/>
          <w:color w:val="000000"/>
          <w:kern w:val="0"/>
          <w:sz w:val="24"/>
          <w:szCs w:val="24"/>
          <w:highlight w:val="none"/>
          <w:lang w:val="en-US" w:eastAsia="zh-CN" w:bidi="ar-SA"/>
        </w:rPr>
        <w:t>泄漏</w:t>
      </w:r>
      <w:r>
        <w:rPr>
          <w:rFonts w:hint="eastAsia" w:ascii="Times New Roman" w:hAnsi="Times New Roman" w:eastAsia="宋体" w:cs="Times New Roman"/>
          <w:color w:val="000000"/>
          <w:kern w:val="0"/>
          <w:sz w:val="24"/>
          <w:szCs w:val="24"/>
          <w:highlight w:val="none"/>
          <w:lang w:val="zh-CN" w:eastAsia="zh-CN" w:bidi="ar-SA"/>
        </w:rPr>
        <w:t>100天时，</w:t>
      </w:r>
      <w:r>
        <w:rPr>
          <w:rFonts w:hint="eastAsia" w:ascii="Times New Roman" w:hAnsi="Times New Roman" w:eastAsia="宋体" w:cs="Times New Roman"/>
          <w:color w:val="000000"/>
          <w:kern w:val="0"/>
          <w:sz w:val="24"/>
          <w:szCs w:val="24"/>
          <w:highlight w:val="none"/>
          <w:lang w:val="en-US" w:eastAsia="zh-CN" w:bidi="ar-SA"/>
        </w:rPr>
        <w:t>氨氮</w:t>
      </w:r>
      <w:r>
        <w:rPr>
          <w:rFonts w:hint="eastAsia" w:ascii="Times New Roman" w:hAnsi="Times New Roman" w:eastAsia="宋体" w:cs="Times New Roman"/>
          <w:color w:val="000000"/>
          <w:kern w:val="0"/>
          <w:sz w:val="24"/>
          <w:szCs w:val="24"/>
          <w:highlight w:val="none"/>
          <w:lang w:val="zh-CN" w:eastAsia="zh-CN" w:bidi="ar-SA"/>
        </w:rPr>
        <w:t>预测超标距离最远为</w:t>
      </w:r>
      <w:r>
        <w:rPr>
          <w:rFonts w:hint="eastAsia" w:cs="Times New Roman"/>
          <w:color w:val="000000"/>
          <w:kern w:val="0"/>
          <w:sz w:val="24"/>
          <w:szCs w:val="24"/>
          <w:highlight w:val="none"/>
          <w:lang w:val="en-US" w:eastAsia="zh-CN" w:bidi="ar-SA"/>
        </w:rPr>
        <w:t>29</w:t>
      </w:r>
      <w:r>
        <w:rPr>
          <w:rFonts w:hint="eastAsia" w:ascii="Times New Roman" w:hAnsi="Times New Roman" w:eastAsia="宋体" w:cs="Times New Roman"/>
          <w:color w:val="000000"/>
          <w:kern w:val="0"/>
          <w:sz w:val="24"/>
          <w:szCs w:val="24"/>
          <w:highlight w:val="none"/>
          <w:lang w:val="zh-CN" w:eastAsia="zh-CN" w:bidi="ar-SA"/>
        </w:rPr>
        <w:t>m</w:t>
      </w:r>
      <w:r>
        <w:rPr>
          <w:rFonts w:hint="eastAsia" w:cs="Times New Roman"/>
          <w:color w:val="000000"/>
          <w:kern w:val="0"/>
          <w:sz w:val="24"/>
          <w:szCs w:val="24"/>
          <w:highlight w:val="none"/>
          <w:lang w:val="zh-CN" w:eastAsia="zh-CN" w:bidi="ar-SA"/>
        </w:rPr>
        <w:t>，</w:t>
      </w:r>
      <w:r>
        <w:rPr>
          <w:rFonts w:hint="eastAsia" w:ascii="Times New Roman" w:hAnsi="Times New Roman" w:eastAsia="宋体" w:cs="Times New Roman"/>
          <w:color w:val="000000"/>
          <w:kern w:val="0"/>
          <w:sz w:val="24"/>
          <w:szCs w:val="24"/>
          <w:highlight w:val="none"/>
          <w:lang w:val="zh-CN" w:eastAsia="zh-CN" w:bidi="ar-SA"/>
        </w:rPr>
        <w:t>影响距离最远为</w:t>
      </w:r>
      <w:r>
        <w:rPr>
          <w:rFonts w:hint="eastAsia" w:cs="Times New Roman"/>
          <w:color w:val="000000"/>
          <w:kern w:val="0"/>
          <w:sz w:val="24"/>
          <w:szCs w:val="24"/>
          <w:highlight w:val="none"/>
          <w:lang w:val="en-US" w:eastAsia="zh-CN" w:bidi="ar-SA"/>
        </w:rPr>
        <w:t>36</w:t>
      </w:r>
      <w:r>
        <w:rPr>
          <w:rFonts w:hint="eastAsia" w:ascii="Times New Roman" w:hAnsi="Times New Roman" w:eastAsia="宋体" w:cs="Times New Roman"/>
          <w:color w:val="000000"/>
          <w:kern w:val="0"/>
          <w:sz w:val="24"/>
          <w:szCs w:val="24"/>
          <w:highlight w:val="none"/>
          <w:lang w:val="zh-CN" w:eastAsia="zh-CN" w:bidi="ar-SA"/>
        </w:rPr>
        <w:t>m；</w:t>
      </w:r>
      <w:r>
        <w:rPr>
          <w:rFonts w:hint="eastAsia" w:cs="Times New Roman"/>
          <w:color w:val="000000"/>
          <w:kern w:val="0"/>
          <w:sz w:val="24"/>
          <w:szCs w:val="24"/>
          <w:highlight w:val="none"/>
          <w:lang w:val="en-US" w:eastAsia="zh-CN" w:bidi="ar-SA"/>
        </w:rPr>
        <w:t>1000</w:t>
      </w:r>
      <w:r>
        <w:rPr>
          <w:rFonts w:hint="eastAsia" w:ascii="Times New Roman" w:hAnsi="Times New Roman" w:eastAsia="宋体" w:cs="Times New Roman"/>
          <w:color w:val="000000"/>
          <w:kern w:val="0"/>
          <w:sz w:val="24"/>
          <w:szCs w:val="24"/>
          <w:highlight w:val="none"/>
          <w:lang w:val="zh-CN" w:eastAsia="zh-CN" w:bidi="ar-SA"/>
        </w:rPr>
        <w:t>天时，</w:t>
      </w:r>
      <w:r>
        <w:rPr>
          <w:rFonts w:hint="eastAsia" w:ascii="Times New Roman" w:hAnsi="Times New Roman" w:eastAsia="宋体" w:cs="Times New Roman"/>
          <w:color w:val="000000"/>
          <w:kern w:val="0"/>
          <w:sz w:val="24"/>
          <w:szCs w:val="24"/>
          <w:highlight w:val="none"/>
          <w:lang w:val="en-US" w:eastAsia="zh-CN" w:bidi="ar-SA"/>
        </w:rPr>
        <w:t>氨氮</w:t>
      </w:r>
      <w:r>
        <w:rPr>
          <w:rFonts w:hint="eastAsia" w:ascii="Times New Roman" w:hAnsi="Times New Roman" w:eastAsia="宋体" w:cs="Times New Roman"/>
          <w:color w:val="000000"/>
          <w:kern w:val="0"/>
          <w:sz w:val="24"/>
          <w:szCs w:val="24"/>
          <w:highlight w:val="none"/>
          <w:lang w:val="zh-CN" w:eastAsia="zh-CN" w:bidi="ar-SA"/>
        </w:rPr>
        <w:t>预测超标距离最远为</w:t>
      </w:r>
      <w:r>
        <w:rPr>
          <w:rFonts w:hint="eastAsia" w:cs="Times New Roman"/>
          <w:color w:val="000000"/>
          <w:spacing w:val="0"/>
          <w:sz w:val="24"/>
          <w:szCs w:val="24"/>
          <w:highlight w:val="none"/>
          <w:lang w:val="en-US" w:eastAsia="zh-CN" w:bidi="ar-SA"/>
        </w:rPr>
        <w:t>118</w:t>
      </w:r>
      <w:r>
        <w:rPr>
          <w:rFonts w:hint="eastAsia" w:ascii="Times New Roman" w:hAnsi="Times New Roman" w:eastAsia="宋体" w:cs="Times New Roman"/>
          <w:color w:val="000000"/>
          <w:kern w:val="0"/>
          <w:sz w:val="24"/>
          <w:szCs w:val="24"/>
          <w:highlight w:val="none"/>
          <w:lang w:val="zh-CN" w:eastAsia="zh-CN" w:bidi="ar-SA"/>
        </w:rPr>
        <w:t>m</w:t>
      </w:r>
      <w:r>
        <w:rPr>
          <w:rFonts w:hint="eastAsia" w:cs="Times New Roman"/>
          <w:color w:val="000000"/>
          <w:kern w:val="0"/>
          <w:sz w:val="24"/>
          <w:szCs w:val="24"/>
          <w:highlight w:val="none"/>
          <w:lang w:val="zh-CN" w:eastAsia="zh-CN" w:bidi="ar-SA"/>
        </w:rPr>
        <w:t>，</w:t>
      </w:r>
      <w:r>
        <w:rPr>
          <w:rFonts w:hint="eastAsia" w:ascii="Times New Roman" w:hAnsi="Times New Roman" w:eastAsia="宋体" w:cs="Times New Roman"/>
          <w:color w:val="000000"/>
          <w:kern w:val="0"/>
          <w:sz w:val="24"/>
          <w:szCs w:val="24"/>
          <w:highlight w:val="none"/>
          <w:lang w:val="zh-CN" w:eastAsia="zh-CN" w:bidi="ar-SA"/>
        </w:rPr>
        <w:t>影响距离最远为</w:t>
      </w:r>
      <w:r>
        <w:rPr>
          <w:rFonts w:hint="eastAsia" w:cs="Times New Roman"/>
          <w:color w:val="000000"/>
          <w:kern w:val="0"/>
          <w:sz w:val="24"/>
          <w:szCs w:val="24"/>
          <w:highlight w:val="none"/>
          <w:lang w:val="en-US" w:eastAsia="zh-CN" w:bidi="ar-SA"/>
        </w:rPr>
        <w:t>142</w:t>
      </w:r>
      <w:r>
        <w:rPr>
          <w:rFonts w:hint="eastAsia" w:ascii="Times New Roman" w:hAnsi="Times New Roman" w:eastAsia="宋体" w:cs="Times New Roman"/>
          <w:color w:val="000000"/>
          <w:kern w:val="0"/>
          <w:sz w:val="24"/>
          <w:szCs w:val="24"/>
          <w:highlight w:val="none"/>
          <w:lang w:val="zh-CN" w:eastAsia="zh-CN" w:bidi="ar-SA"/>
        </w:rPr>
        <w:t>m</w:t>
      </w:r>
      <w:r>
        <w:rPr>
          <w:rFonts w:hint="eastAsia" w:cs="Times New Roman"/>
          <w:color w:val="000000"/>
          <w:kern w:val="0"/>
          <w:sz w:val="24"/>
          <w:szCs w:val="24"/>
          <w:highlight w:val="none"/>
          <w:lang w:val="zh-CN" w:eastAsia="zh-CN" w:bidi="ar-SA"/>
        </w:rPr>
        <w:t>；</w:t>
      </w:r>
      <w:r>
        <w:rPr>
          <w:rFonts w:hint="eastAsia" w:cs="Times New Roman"/>
          <w:color w:val="000000"/>
          <w:kern w:val="0"/>
          <w:sz w:val="24"/>
          <w:szCs w:val="24"/>
          <w:highlight w:val="none"/>
          <w:lang w:val="en-US" w:eastAsia="zh-CN" w:bidi="ar-SA"/>
        </w:rPr>
        <w:t>3650</w:t>
      </w:r>
      <w:r>
        <w:rPr>
          <w:rFonts w:hint="eastAsia" w:ascii="Times New Roman" w:hAnsi="Times New Roman" w:eastAsia="宋体" w:cs="Times New Roman"/>
          <w:color w:val="000000"/>
          <w:kern w:val="0"/>
          <w:sz w:val="24"/>
          <w:szCs w:val="24"/>
          <w:highlight w:val="none"/>
          <w:lang w:val="zh-CN" w:eastAsia="zh-CN" w:bidi="ar-SA"/>
        </w:rPr>
        <w:t>天时，</w:t>
      </w:r>
      <w:r>
        <w:rPr>
          <w:rFonts w:hint="eastAsia" w:ascii="Times New Roman" w:hAnsi="Times New Roman" w:eastAsia="宋体" w:cs="Times New Roman"/>
          <w:color w:val="000000"/>
          <w:kern w:val="0"/>
          <w:sz w:val="24"/>
          <w:szCs w:val="24"/>
          <w:highlight w:val="none"/>
          <w:lang w:val="en-US" w:eastAsia="zh-CN" w:bidi="ar-SA"/>
        </w:rPr>
        <w:t>氨氮</w:t>
      </w:r>
      <w:r>
        <w:rPr>
          <w:rFonts w:hint="eastAsia" w:ascii="Times New Roman" w:hAnsi="Times New Roman" w:eastAsia="宋体" w:cs="Times New Roman"/>
          <w:color w:val="000000"/>
          <w:kern w:val="0"/>
          <w:sz w:val="24"/>
          <w:szCs w:val="24"/>
          <w:highlight w:val="none"/>
          <w:lang w:val="zh-CN" w:eastAsia="zh-CN" w:bidi="ar-SA"/>
        </w:rPr>
        <w:t>预测超标距离最远为</w:t>
      </w:r>
      <w:r>
        <w:rPr>
          <w:rFonts w:hint="eastAsia" w:cs="Times New Roman"/>
          <w:color w:val="000000"/>
          <w:spacing w:val="0"/>
          <w:sz w:val="24"/>
          <w:szCs w:val="24"/>
          <w:highlight w:val="none"/>
          <w:lang w:val="en-US" w:eastAsia="zh-CN" w:bidi="ar-SA"/>
        </w:rPr>
        <w:t>304</w:t>
      </w:r>
      <w:r>
        <w:rPr>
          <w:rFonts w:hint="eastAsia" w:ascii="Times New Roman" w:hAnsi="Times New Roman" w:eastAsia="宋体" w:cs="Times New Roman"/>
          <w:color w:val="000000"/>
          <w:kern w:val="0"/>
          <w:sz w:val="24"/>
          <w:szCs w:val="24"/>
          <w:highlight w:val="none"/>
          <w:lang w:val="zh-CN" w:eastAsia="zh-CN" w:bidi="ar-SA"/>
        </w:rPr>
        <w:t>m</w:t>
      </w:r>
      <w:r>
        <w:rPr>
          <w:rFonts w:hint="eastAsia" w:cs="Times New Roman"/>
          <w:color w:val="000000"/>
          <w:kern w:val="0"/>
          <w:sz w:val="24"/>
          <w:szCs w:val="24"/>
          <w:highlight w:val="none"/>
          <w:lang w:val="zh-CN" w:eastAsia="zh-CN" w:bidi="ar-SA"/>
        </w:rPr>
        <w:t>，</w:t>
      </w:r>
      <w:r>
        <w:rPr>
          <w:rFonts w:hint="eastAsia" w:ascii="Times New Roman" w:hAnsi="Times New Roman" w:eastAsia="宋体" w:cs="Times New Roman"/>
          <w:color w:val="000000"/>
          <w:kern w:val="0"/>
          <w:sz w:val="24"/>
          <w:szCs w:val="24"/>
          <w:highlight w:val="none"/>
          <w:lang w:val="zh-CN" w:eastAsia="zh-CN" w:bidi="ar-SA"/>
        </w:rPr>
        <w:t>影响距离最远为</w:t>
      </w:r>
      <w:r>
        <w:rPr>
          <w:rFonts w:hint="eastAsia" w:cs="Times New Roman"/>
          <w:color w:val="000000"/>
          <w:kern w:val="0"/>
          <w:sz w:val="24"/>
          <w:szCs w:val="24"/>
          <w:highlight w:val="none"/>
          <w:lang w:val="en-US" w:eastAsia="zh-CN" w:bidi="ar-SA"/>
        </w:rPr>
        <w:t>353</w:t>
      </w:r>
      <w:r>
        <w:rPr>
          <w:rFonts w:hint="eastAsia" w:ascii="Times New Roman" w:hAnsi="Times New Roman" w:eastAsia="宋体" w:cs="Times New Roman"/>
          <w:color w:val="000000"/>
          <w:kern w:val="0"/>
          <w:sz w:val="24"/>
          <w:szCs w:val="24"/>
          <w:highlight w:val="none"/>
          <w:lang w:val="zh-CN" w:eastAsia="zh-CN" w:bidi="ar-SA"/>
        </w:rPr>
        <w:t>m。</w:t>
      </w:r>
    </w:p>
    <w:p w14:paraId="7730010A">
      <w:pPr>
        <w:widowControl w:val="0"/>
        <w:spacing w:line="360" w:lineRule="auto"/>
        <w:ind w:firstLine="480" w:firstLineChars="200"/>
        <w:jc w:val="both"/>
        <w:rPr>
          <w:rFonts w:hint="default" w:ascii="Times New Roman" w:hAnsi="Times New Roman" w:eastAsia="宋体" w:cs="Times New Roman"/>
          <w:color w:val="000000"/>
          <w:kern w:val="0"/>
          <w:sz w:val="24"/>
          <w:szCs w:val="24"/>
          <w:highlight w:val="none"/>
          <w:lang w:val="zh-CN" w:eastAsia="zh-CN" w:bidi="ar-SA"/>
        </w:rPr>
      </w:pPr>
      <w:r>
        <w:rPr>
          <w:rFonts w:hint="eastAsia" w:ascii="Times New Roman" w:hAnsi="Times New Roman" w:eastAsia="宋体" w:cs="Times New Roman"/>
          <w:color w:val="000000"/>
          <w:kern w:val="0"/>
          <w:sz w:val="24"/>
          <w:szCs w:val="24"/>
          <w:highlight w:val="none"/>
          <w:lang w:val="zh-CN" w:eastAsia="zh-CN" w:bidi="ar-SA"/>
        </w:rPr>
        <w:t>在采取防渗措施时，应考虑潜在污染源自身性质和场地水文地质条件，并应加强项目运营期间的监控工作，防止对地下水造成污染。因此，若发生风险事故，应立即采取有效的应急措施，以保护地下水环境，</w:t>
      </w:r>
      <w:r>
        <w:rPr>
          <w:rFonts w:hint="default" w:ascii="Times New Roman" w:hAnsi="Times New Roman" w:eastAsia="宋体" w:cs="Times New Roman"/>
          <w:color w:val="000000"/>
          <w:kern w:val="0"/>
          <w:sz w:val="24"/>
          <w:szCs w:val="24"/>
          <w:highlight w:val="none"/>
          <w:lang w:val="zh-CN" w:eastAsia="zh-CN" w:bidi="ar-SA"/>
        </w:rPr>
        <w:t>减少对地下水水质的影响。</w:t>
      </w:r>
    </w:p>
    <w:p w14:paraId="2AA685E3">
      <w:pPr>
        <w:spacing w:line="520" w:lineRule="exact"/>
        <w:ind w:firstLine="482"/>
        <w:rPr>
          <w:rFonts w:hint="default" w:ascii="Times New Roman" w:hAnsi="Times New Roman" w:eastAsia="宋体" w:cs="Times New Roman"/>
          <w:color w:val="000000"/>
          <w:kern w:val="0"/>
          <w:sz w:val="24"/>
          <w:szCs w:val="24"/>
          <w:highlight w:val="none"/>
          <w:lang w:val="en-US" w:eastAsia="zh-CN"/>
        </w:rPr>
      </w:pPr>
      <w:r>
        <w:rPr>
          <w:rFonts w:hint="eastAsia" w:eastAsia="宋体" w:cs="Times New Roman"/>
          <w:color w:val="000000"/>
          <w:kern w:val="0"/>
          <w:sz w:val="24"/>
          <w:szCs w:val="24"/>
          <w:highlight w:val="none"/>
          <w:lang w:val="en-US" w:eastAsia="zh-CN"/>
        </w:rPr>
        <w:t>⑧</w:t>
      </w:r>
      <w:r>
        <w:rPr>
          <w:rFonts w:hint="default" w:ascii="Times New Roman" w:hAnsi="Times New Roman" w:eastAsia="宋体" w:cs="Times New Roman"/>
          <w:color w:val="000000"/>
          <w:kern w:val="0"/>
          <w:sz w:val="24"/>
          <w:szCs w:val="24"/>
          <w:highlight w:val="none"/>
          <w:lang w:val="en-US" w:eastAsia="zh-CN"/>
        </w:rPr>
        <w:t>地下水影响评价</w:t>
      </w:r>
    </w:p>
    <w:p w14:paraId="45963FF2">
      <w:pPr>
        <w:spacing w:line="520" w:lineRule="exact"/>
        <w:ind w:firstLine="482"/>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根据预测结果，废水泄漏将对地下水环境造成一定影响。各预测因子的中心浓度均随着地下水的稀释而逐渐降低，</w:t>
      </w:r>
      <w:r>
        <w:rPr>
          <w:rFonts w:hint="eastAsia" w:ascii="Times New Roman" w:hAnsi="Times New Roman" w:eastAsia="宋体" w:cs="Times New Roman"/>
          <w:color w:val="000000"/>
          <w:kern w:val="0"/>
          <w:sz w:val="24"/>
          <w:szCs w:val="24"/>
          <w:highlight w:val="none"/>
          <w:lang w:val="en-US" w:eastAsia="zh-CN"/>
        </w:rPr>
        <w:t>氨氮</w:t>
      </w:r>
      <w:r>
        <w:rPr>
          <w:rFonts w:hint="default" w:ascii="Times New Roman" w:hAnsi="Times New Roman" w:eastAsia="宋体" w:cs="Times New Roman"/>
          <w:color w:val="000000"/>
          <w:kern w:val="0"/>
          <w:sz w:val="24"/>
          <w:szCs w:val="24"/>
          <w:highlight w:val="none"/>
        </w:rPr>
        <w:t>的超标范围由小逐渐变大，之后又变小，说明在预测时段内，污染物对环境的影响</w:t>
      </w:r>
      <w:r>
        <w:rPr>
          <w:rFonts w:hint="eastAsia" w:cs="Times New Roman"/>
          <w:color w:val="000000"/>
          <w:kern w:val="0"/>
          <w:sz w:val="24"/>
          <w:szCs w:val="24"/>
          <w:highlight w:val="none"/>
          <w:lang w:val="en-US" w:eastAsia="zh-CN"/>
        </w:rPr>
        <w:t>逐渐减弱</w:t>
      </w:r>
      <w:r>
        <w:rPr>
          <w:rFonts w:hint="default" w:ascii="Times New Roman" w:hAnsi="Times New Roman" w:eastAsia="宋体" w:cs="Times New Roman"/>
          <w:color w:val="000000"/>
          <w:kern w:val="0"/>
          <w:sz w:val="24"/>
          <w:szCs w:val="24"/>
          <w:highlight w:val="none"/>
        </w:rPr>
        <w:t>，随着时间推移，将被地下水稀释自净。</w:t>
      </w:r>
    </w:p>
    <w:p w14:paraId="0BCF3F50">
      <w:pPr>
        <w:spacing w:line="520" w:lineRule="exact"/>
        <w:ind w:firstLine="482"/>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事实上污染物进入含水层，还要进行稀释、扩散，在每个月都进行水质监测的情况下也不会出现不被发现的数个月内的连续、大量泄露，但是如果这样，即便已经处理的污水，长期泄露对于周边——特别是下游的地下水环境的影响还是明显的。所以在本项目投产后，对</w:t>
      </w:r>
      <w:r>
        <w:rPr>
          <w:rFonts w:hint="eastAsia" w:cs="Times New Roman"/>
          <w:color w:val="000000"/>
          <w:kern w:val="0"/>
          <w:sz w:val="24"/>
          <w:szCs w:val="24"/>
          <w:highlight w:val="none"/>
          <w:lang w:eastAsia="zh-CN"/>
        </w:rPr>
        <w:t>厂区</w:t>
      </w:r>
      <w:r>
        <w:rPr>
          <w:rFonts w:hint="default" w:ascii="Times New Roman" w:hAnsi="Times New Roman" w:eastAsia="宋体" w:cs="Times New Roman"/>
          <w:color w:val="000000"/>
          <w:kern w:val="0"/>
          <w:sz w:val="24"/>
          <w:szCs w:val="24"/>
          <w:highlight w:val="none"/>
        </w:rPr>
        <w:t>污水处理设施和排水管道仍必须采取可靠的防渗防漏措施，并采取严格的监测措施，防止重大事故或者事故处理不及时污水泄漏对地下水环境造成污染。</w:t>
      </w:r>
    </w:p>
    <w:p w14:paraId="47D9246B">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eastAsia="宋体" w:cs="Times New Roman"/>
          <w:color w:val="000000"/>
          <w:kern w:val="2"/>
          <w:sz w:val="24"/>
          <w:szCs w:val="24"/>
          <w:highlight w:val="none"/>
          <w:lang w:val="en-US" w:eastAsia="zh-CN" w:bidi="ar-SA"/>
        </w:rPr>
        <w:t>⑨</w:t>
      </w:r>
      <w:r>
        <w:rPr>
          <w:rFonts w:hint="default" w:ascii="Times New Roman" w:hAnsi="Times New Roman" w:eastAsia="宋体" w:cs="Times New Roman"/>
          <w:color w:val="000000"/>
          <w:kern w:val="2"/>
          <w:sz w:val="24"/>
          <w:szCs w:val="24"/>
          <w:highlight w:val="none"/>
          <w:lang w:val="en-US" w:eastAsia="zh-CN" w:bidi="ar-SA"/>
        </w:rPr>
        <w:t>预防措施</w:t>
      </w:r>
    </w:p>
    <w:p w14:paraId="08B75F27">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环评要求对厂区地面、地下污水管道系统等均进行分区防渗处理，以防止污水、物料泄漏对地下水环境造成污染。</w:t>
      </w:r>
    </w:p>
    <w:p w14:paraId="3370761E">
      <w:pPr>
        <w:spacing w:line="360" w:lineRule="auto"/>
        <w:ind w:firstLine="482"/>
        <w:rPr>
          <w:rFonts w:ascii="Times New Roman" w:hAnsi="Times New Roman" w:eastAsia="宋体" w:cs="Times New Roman"/>
          <w:bCs/>
          <w:color w:val="000000"/>
          <w:sz w:val="24"/>
        </w:rPr>
      </w:pPr>
      <w:r>
        <w:rPr>
          <w:rFonts w:hint="eastAsia" w:ascii="Times New Roman" w:hAnsi="Times New Roman" w:eastAsia="宋体" w:cs="Times New Roman"/>
          <w:bCs/>
          <w:color w:val="000000"/>
          <w:sz w:val="24"/>
        </w:rPr>
        <w:t>根据</w:t>
      </w:r>
      <w:r>
        <w:rPr>
          <w:rFonts w:ascii="Times New Roman" w:hAnsi="Times New Roman" w:eastAsia="宋体" w:cs="Times New Roman"/>
          <w:bCs/>
          <w:color w:val="000000"/>
          <w:sz w:val="24"/>
        </w:rPr>
        <w:t>HJ610-2016</w:t>
      </w:r>
      <w:r>
        <w:rPr>
          <w:rFonts w:hint="eastAsia" w:ascii="Times New Roman" w:hAnsi="Times New Roman" w:eastAsia="宋体" w:cs="Times New Roman"/>
          <w:bCs/>
          <w:color w:val="000000"/>
          <w:sz w:val="24"/>
        </w:rPr>
        <w:t>《环境影响评价技术导则</w:t>
      </w:r>
      <w:r>
        <w:rPr>
          <w:rFonts w:hint="eastAsia" w:cs="Times New Roman"/>
          <w:bCs/>
          <w:color w:val="000000"/>
          <w:sz w:val="24"/>
          <w:lang w:val="en-US" w:eastAsia="zh-CN"/>
        </w:rPr>
        <w:t xml:space="preserve"> </w:t>
      </w:r>
      <w:r>
        <w:rPr>
          <w:rFonts w:hint="eastAsia" w:ascii="Times New Roman" w:hAnsi="Times New Roman" w:eastAsia="宋体" w:cs="Times New Roman"/>
          <w:bCs/>
          <w:color w:val="000000"/>
          <w:sz w:val="24"/>
        </w:rPr>
        <w:t>地下水环境》中关于分区防控的要求，建设项目应根据环评结果、工程设计等资料，将场区划分为不同区域并采取不同的防渗措施。</w:t>
      </w:r>
    </w:p>
    <w:p w14:paraId="63ECBEFD">
      <w:pPr>
        <w:spacing w:line="360" w:lineRule="auto"/>
        <w:ind w:firstLine="482"/>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本项目</w:t>
      </w:r>
      <w:r>
        <w:rPr>
          <w:rFonts w:hint="eastAsia" w:cs="Times New Roman"/>
          <w:bCs/>
          <w:color w:val="000000"/>
          <w:sz w:val="24"/>
          <w:lang w:val="en-US" w:eastAsia="zh-CN"/>
        </w:rPr>
        <w:t>尿液收集池</w:t>
      </w:r>
      <w:r>
        <w:rPr>
          <w:rFonts w:hint="default" w:ascii="Times New Roman" w:hAnsi="Times New Roman" w:eastAsia="宋体" w:cs="Times New Roman"/>
          <w:bCs/>
          <w:color w:val="000000"/>
          <w:sz w:val="24"/>
        </w:rPr>
        <w:t>、输送管网</w:t>
      </w:r>
      <w:r>
        <w:rPr>
          <w:rFonts w:hint="eastAsia" w:cs="Times New Roman"/>
          <w:bCs/>
          <w:color w:val="000000"/>
          <w:sz w:val="24"/>
          <w:lang w:eastAsia="zh-CN"/>
        </w:rPr>
        <w:t>、</w:t>
      </w:r>
      <w:r>
        <w:rPr>
          <w:rFonts w:hint="eastAsia" w:cs="Times New Roman"/>
          <w:bCs/>
          <w:color w:val="000000"/>
          <w:sz w:val="24"/>
          <w:lang w:val="en-US" w:eastAsia="zh-CN"/>
        </w:rPr>
        <w:t>发酵槽</w:t>
      </w:r>
      <w:r>
        <w:rPr>
          <w:rFonts w:hint="default" w:ascii="Times New Roman" w:hAnsi="Times New Roman" w:eastAsia="宋体" w:cs="Times New Roman"/>
          <w:bCs/>
          <w:color w:val="000000"/>
          <w:sz w:val="24"/>
        </w:rPr>
        <w:t>均属于</w:t>
      </w:r>
      <w:r>
        <w:rPr>
          <w:rFonts w:hint="eastAsia" w:cs="Times New Roman"/>
          <w:bCs/>
          <w:color w:val="000000"/>
          <w:sz w:val="24"/>
          <w:lang w:val="en-US" w:eastAsia="zh-CN"/>
        </w:rPr>
        <w:t>半</w:t>
      </w:r>
      <w:r>
        <w:rPr>
          <w:rFonts w:hint="default" w:ascii="Times New Roman" w:hAnsi="Times New Roman" w:eastAsia="宋体" w:cs="Times New Roman"/>
          <w:bCs/>
          <w:color w:val="000000"/>
          <w:sz w:val="24"/>
        </w:rPr>
        <w:t>地下构筑物，污染控制难度属于</w:t>
      </w:r>
      <w:r>
        <w:rPr>
          <w:rFonts w:hint="eastAsia" w:cs="Times New Roman"/>
          <w:bCs/>
          <w:color w:val="000000"/>
          <w:sz w:val="24"/>
          <w:lang w:eastAsia="zh-CN"/>
        </w:rPr>
        <w:t>“</w:t>
      </w:r>
      <w:r>
        <w:rPr>
          <w:rFonts w:hint="eastAsia" w:cs="Times New Roman"/>
          <w:bCs/>
          <w:color w:val="000000"/>
          <w:sz w:val="24"/>
          <w:lang w:val="en-US" w:eastAsia="zh-CN"/>
        </w:rPr>
        <w:t>难</w:t>
      </w:r>
      <w:r>
        <w:rPr>
          <w:rFonts w:hint="eastAsia" w:cs="Times New Roman"/>
          <w:bCs/>
          <w:color w:val="000000"/>
          <w:sz w:val="24"/>
          <w:lang w:eastAsia="zh-CN"/>
        </w:rPr>
        <w:t>”</w:t>
      </w:r>
      <w:r>
        <w:rPr>
          <w:rFonts w:hint="default" w:ascii="Times New Roman" w:hAnsi="Times New Roman" w:eastAsia="宋体" w:cs="Times New Roman"/>
          <w:bCs/>
          <w:color w:val="000000"/>
          <w:sz w:val="24"/>
        </w:rPr>
        <w:t>，应作为</w:t>
      </w:r>
      <w:r>
        <w:rPr>
          <w:rFonts w:hint="eastAsia" w:cs="Times New Roman"/>
          <w:bCs/>
          <w:color w:val="000000"/>
          <w:sz w:val="24"/>
          <w:lang w:eastAsia="zh-CN"/>
        </w:rPr>
        <w:t>“</w:t>
      </w:r>
      <w:r>
        <w:rPr>
          <w:rFonts w:hint="eastAsia" w:cs="Times New Roman"/>
          <w:bCs/>
          <w:color w:val="000000"/>
          <w:sz w:val="24"/>
          <w:lang w:val="en-US" w:eastAsia="zh-CN"/>
        </w:rPr>
        <w:t>重点防渗区</w:t>
      </w:r>
      <w:r>
        <w:rPr>
          <w:rFonts w:hint="eastAsia" w:cs="Times New Roman"/>
          <w:bCs/>
          <w:color w:val="000000"/>
          <w:sz w:val="24"/>
          <w:lang w:eastAsia="zh-CN"/>
        </w:rPr>
        <w:t>”</w:t>
      </w:r>
      <w:r>
        <w:rPr>
          <w:rFonts w:hint="default" w:ascii="Times New Roman" w:hAnsi="Times New Roman" w:eastAsia="宋体" w:cs="Times New Roman"/>
          <w:bCs/>
          <w:color w:val="000000"/>
          <w:sz w:val="24"/>
        </w:rPr>
        <w:t>， 主要污染因子为氨氮，防渗要求等效黏土防渗层厚度大于等于</w:t>
      </w:r>
      <w:r>
        <w:rPr>
          <w:rFonts w:hint="eastAsia" w:cs="Times New Roman"/>
          <w:bCs/>
          <w:color w:val="000000"/>
          <w:sz w:val="24"/>
          <w:lang w:val="en-US" w:eastAsia="zh-CN"/>
        </w:rPr>
        <w:t>2</w:t>
      </w:r>
      <w:r>
        <w:rPr>
          <w:rFonts w:hint="default" w:ascii="Times New Roman" w:hAnsi="Times New Roman" w:eastAsia="宋体" w:cs="Times New Roman"/>
          <w:bCs/>
          <w:color w:val="000000"/>
          <w:sz w:val="24"/>
        </w:rPr>
        <w:t>m，渗透系数低于1.0×10</w:t>
      </w:r>
      <w:r>
        <w:rPr>
          <w:rFonts w:hint="default" w:ascii="Times New Roman" w:hAnsi="Times New Roman" w:eastAsia="宋体" w:cs="Times New Roman"/>
          <w:bCs/>
          <w:color w:val="000000"/>
          <w:sz w:val="24"/>
          <w:vertAlign w:val="superscript"/>
        </w:rPr>
        <w:t>-7</w:t>
      </w:r>
      <w:r>
        <w:rPr>
          <w:rFonts w:hint="default" w:ascii="Times New Roman" w:hAnsi="Times New Roman" w:eastAsia="宋体" w:cs="Times New Roman"/>
          <w:bCs/>
          <w:color w:val="000000"/>
          <w:sz w:val="24"/>
        </w:rPr>
        <w:t>cm/s，或按照GB16889执行。</w:t>
      </w:r>
    </w:p>
    <w:p w14:paraId="5C5660EE">
      <w:pPr>
        <w:spacing w:line="360" w:lineRule="auto"/>
        <w:ind w:firstLine="482"/>
        <w:rPr>
          <w:rFonts w:hint="default" w:ascii="Times New Roman" w:hAnsi="Times New Roman" w:eastAsia="宋体" w:cs="Times New Roman"/>
          <w:bCs/>
          <w:color w:val="000000"/>
          <w:sz w:val="24"/>
        </w:rPr>
      </w:pPr>
      <w:r>
        <w:rPr>
          <w:rFonts w:hint="eastAsia" w:cs="Times New Roman"/>
          <w:bCs/>
          <w:color w:val="000000"/>
          <w:sz w:val="24"/>
          <w:lang w:val="en-US" w:eastAsia="zh-CN"/>
        </w:rPr>
        <w:t>本项目运动场</w:t>
      </w:r>
      <w:r>
        <w:rPr>
          <w:rFonts w:hint="default" w:ascii="Times New Roman" w:hAnsi="Times New Roman" w:eastAsia="宋体" w:cs="Times New Roman"/>
          <w:bCs w:val="0"/>
          <w:kern w:val="0"/>
          <w:sz w:val="24"/>
        </w:rPr>
        <w:t>下层</w:t>
      </w:r>
      <w:r>
        <w:rPr>
          <w:rFonts w:hint="eastAsia" w:ascii="Times New Roman" w:hAnsi="Times New Roman" w:cs="Times New Roman"/>
          <w:bCs w:val="0"/>
          <w:kern w:val="0"/>
          <w:sz w:val="24"/>
          <w:lang w:val="en-US" w:eastAsia="zh-CN"/>
        </w:rPr>
        <w:t>采用</w:t>
      </w:r>
      <w:r>
        <w:rPr>
          <w:rFonts w:hint="eastAsia" w:cs="Times New Roman"/>
          <w:bCs w:val="0"/>
          <w:kern w:val="0"/>
          <w:sz w:val="24"/>
          <w:lang w:val="en-US" w:eastAsia="zh-CN"/>
        </w:rPr>
        <w:t>原土夯实</w:t>
      </w:r>
      <w:r>
        <w:rPr>
          <w:rFonts w:hint="default" w:ascii="Times New Roman" w:hAnsi="Times New Roman" w:eastAsia="宋体" w:cs="Times New Roman"/>
          <w:bCs w:val="0"/>
          <w:sz w:val="24"/>
        </w:rPr>
        <w:t>，上层采用</w:t>
      </w:r>
      <w:r>
        <w:rPr>
          <w:rFonts w:hint="eastAsia" w:cs="Times New Roman"/>
          <w:bCs w:val="0"/>
          <w:sz w:val="24"/>
          <w:lang w:val="en-US" w:eastAsia="zh-CN"/>
        </w:rPr>
        <w:t>3mm</w:t>
      </w:r>
      <w:r>
        <w:rPr>
          <w:rFonts w:hint="default" w:ascii="Times New Roman" w:hAnsi="Times New Roman" w:eastAsia="宋体" w:cs="Times New Roman"/>
          <w:bCs w:val="0"/>
          <w:sz w:val="24"/>
        </w:rPr>
        <w:t>HDPE防渗膜进行防渗。</w:t>
      </w:r>
    </w:p>
    <w:p w14:paraId="0DFAB15F">
      <w:pPr>
        <w:spacing w:line="360" w:lineRule="auto"/>
        <w:ind w:firstLine="482"/>
        <w:rPr>
          <w:rFonts w:hint="eastAsia" w:ascii="Times New Roman" w:hAnsi="Times New Roman" w:eastAsia="宋体" w:cs="Times New Roman"/>
          <w:bCs/>
          <w:color w:val="000000"/>
          <w:sz w:val="24"/>
        </w:rPr>
      </w:pPr>
      <w:r>
        <w:rPr>
          <w:rFonts w:hint="eastAsia" w:ascii="Times New Roman" w:hAnsi="Times New Roman" w:eastAsia="宋体" w:cs="Times New Roman"/>
          <w:bCs/>
          <w:color w:val="000000"/>
          <w:sz w:val="24"/>
        </w:rPr>
        <w:t>项目场地内包括</w:t>
      </w:r>
      <w:r>
        <w:rPr>
          <w:rFonts w:hint="eastAsia" w:eastAsia="宋体" w:cs="Times New Roman"/>
          <w:bCs/>
          <w:color w:val="000000"/>
          <w:sz w:val="24"/>
          <w:lang w:val="en-US" w:eastAsia="zh-CN"/>
        </w:rPr>
        <w:t>医疗废物暂存间</w:t>
      </w:r>
      <w:r>
        <w:rPr>
          <w:rFonts w:hint="eastAsia" w:cs="Times New Roman"/>
          <w:bCs/>
          <w:color w:val="000000"/>
          <w:sz w:val="24"/>
          <w:lang w:val="en-US" w:eastAsia="zh-CN"/>
        </w:rPr>
        <w:t>、隔离圈、危险废物贮存点</w:t>
      </w:r>
      <w:r>
        <w:rPr>
          <w:rFonts w:hint="eastAsia" w:ascii="Times New Roman" w:hAnsi="Times New Roman" w:eastAsia="宋体" w:cs="Times New Roman"/>
          <w:bCs/>
          <w:color w:val="000000"/>
          <w:sz w:val="24"/>
        </w:rPr>
        <w:t>位于地上，作为</w:t>
      </w:r>
      <w:r>
        <w:rPr>
          <w:rFonts w:hint="eastAsia" w:cs="Times New Roman"/>
          <w:bCs/>
          <w:color w:val="000000"/>
          <w:sz w:val="24"/>
          <w:lang w:eastAsia="zh-CN"/>
        </w:rPr>
        <w:t>“</w:t>
      </w:r>
      <w:r>
        <w:rPr>
          <w:rFonts w:hint="eastAsia" w:ascii="Times New Roman" w:hAnsi="Times New Roman" w:eastAsia="宋体" w:cs="Times New Roman"/>
          <w:bCs/>
          <w:color w:val="000000"/>
          <w:sz w:val="24"/>
        </w:rPr>
        <w:t>重点防渗区</w:t>
      </w:r>
      <w:r>
        <w:rPr>
          <w:rFonts w:hint="eastAsia" w:cs="Times New Roman"/>
          <w:bCs/>
          <w:color w:val="000000"/>
          <w:sz w:val="24"/>
          <w:lang w:eastAsia="zh-CN"/>
        </w:rPr>
        <w:t>”</w:t>
      </w:r>
      <w:r>
        <w:rPr>
          <w:rFonts w:hint="eastAsia" w:ascii="Times New Roman" w:hAnsi="Times New Roman" w:eastAsia="宋体" w:cs="Times New Roman"/>
          <w:bCs/>
          <w:color w:val="000000"/>
          <w:sz w:val="24"/>
        </w:rPr>
        <w:t>处理，主要污染因子为氨氮，</w:t>
      </w:r>
      <w:r>
        <w:rPr>
          <w:rFonts w:ascii="Times New Roman" w:hAnsi="Times New Roman" w:eastAsia="宋体" w:cs="Times New Roman"/>
          <w:bCs/>
          <w:color w:val="000000"/>
          <w:sz w:val="24"/>
        </w:rPr>
        <w:t>防渗要求</w:t>
      </w:r>
      <w:r>
        <w:rPr>
          <w:rFonts w:hint="eastAsia" w:ascii="Times New Roman" w:hAnsi="Times New Roman" w:eastAsia="宋体" w:cs="Times New Roman"/>
          <w:bCs/>
          <w:color w:val="000000"/>
          <w:sz w:val="24"/>
        </w:rPr>
        <w:t>等效黏土防渗层厚度大于等于</w:t>
      </w:r>
      <w:r>
        <w:rPr>
          <w:rFonts w:hint="eastAsia" w:cs="Times New Roman"/>
          <w:bCs/>
          <w:color w:val="000000"/>
          <w:sz w:val="24"/>
          <w:lang w:val="en-US" w:eastAsia="zh-CN"/>
        </w:rPr>
        <w:t>2</w:t>
      </w:r>
      <w:r>
        <w:rPr>
          <w:rFonts w:ascii="Times New Roman" w:hAnsi="Times New Roman" w:eastAsia="宋体" w:cs="Times New Roman"/>
          <w:bCs/>
          <w:color w:val="000000"/>
          <w:sz w:val="24"/>
        </w:rPr>
        <w:t>m</w:t>
      </w:r>
      <w:r>
        <w:rPr>
          <w:rFonts w:hint="eastAsia" w:ascii="Times New Roman" w:hAnsi="Times New Roman" w:eastAsia="宋体" w:cs="Times New Roman"/>
          <w:bCs/>
          <w:color w:val="000000"/>
          <w:sz w:val="24"/>
        </w:rPr>
        <w:t>，渗透系数低于</w:t>
      </w:r>
      <w:r>
        <w:rPr>
          <w:rFonts w:ascii="Times New Roman" w:hAnsi="Times New Roman" w:eastAsia="宋体" w:cs="Times New Roman"/>
          <w:bCs/>
          <w:color w:val="000000"/>
          <w:sz w:val="24"/>
        </w:rPr>
        <w:t>1.0</w:t>
      </w:r>
      <w:r>
        <w:rPr>
          <w:rFonts w:hint="eastAsia" w:ascii="Times New Roman" w:hAnsi="Times New Roman" w:eastAsia="宋体" w:cs="Times New Roman"/>
          <w:bCs/>
          <w:color w:val="000000"/>
          <w:sz w:val="24"/>
        </w:rPr>
        <w:t>×</w:t>
      </w:r>
      <w:r>
        <w:rPr>
          <w:rFonts w:ascii="Times New Roman" w:hAnsi="Times New Roman" w:eastAsia="宋体" w:cs="Times New Roman"/>
          <w:bCs/>
          <w:color w:val="000000"/>
          <w:sz w:val="24"/>
        </w:rPr>
        <w:t>10</w:t>
      </w:r>
      <w:r>
        <w:rPr>
          <w:rFonts w:ascii="Times New Roman" w:hAnsi="Times New Roman" w:eastAsia="宋体" w:cs="Times New Roman"/>
          <w:bCs/>
          <w:color w:val="000000"/>
          <w:sz w:val="24"/>
          <w:vertAlign w:val="superscript"/>
        </w:rPr>
        <w:t>-7</w:t>
      </w:r>
      <w:r>
        <w:rPr>
          <w:rFonts w:ascii="Times New Roman" w:hAnsi="Times New Roman" w:eastAsia="宋体" w:cs="Times New Roman"/>
          <w:bCs/>
          <w:color w:val="000000"/>
          <w:sz w:val="24"/>
        </w:rPr>
        <w:t>cm/s</w:t>
      </w:r>
      <w:r>
        <w:rPr>
          <w:rFonts w:hint="eastAsia" w:ascii="Times New Roman" w:hAnsi="Times New Roman" w:eastAsia="宋体" w:cs="Times New Roman"/>
          <w:bCs/>
          <w:color w:val="000000"/>
          <w:sz w:val="24"/>
        </w:rPr>
        <w:t>，或按照</w:t>
      </w:r>
      <w:r>
        <w:rPr>
          <w:rFonts w:ascii="Times New Roman" w:hAnsi="Times New Roman" w:eastAsia="宋体" w:cs="Times New Roman"/>
          <w:bCs/>
          <w:color w:val="000000"/>
          <w:sz w:val="24"/>
        </w:rPr>
        <w:t>GB16889</w:t>
      </w:r>
      <w:r>
        <w:rPr>
          <w:rFonts w:hint="eastAsia" w:ascii="Times New Roman" w:hAnsi="Times New Roman" w:eastAsia="宋体" w:cs="Times New Roman"/>
          <w:bCs/>
          <w:color w:val="000000"/>
          <w:sz w:val="24"/>
        </w:rPr>
        <w:t>执行。</w:t>
      </w:r>
    </w:p>
    <w:p w14:paraId="3D7E2338">
      <w:pPr>
        <w:spacing w:line="360" w:lineRule="auto"/>
        <w:ind w:firstLine="482"/>
        <w:rPr>
          <w:rFonts w:hint="default" w:ascii="Times New Roman" w:hAnsi="Times New Roman" w:eastAsia="宋体" w:cs="Times New Roman"/>
          <w:sz w:val="24"/>
          <w:szCs w:val="24"/>
        </w:rPr>
      </w:pPr>
      <w:r>
        <w:rPr>
          <w:rFonts w:hint="eastAsia" w:cs="Times New Roman"/>
          <w:bCs/>
          <w:color w:val="000000"/>
          <w:sz w:val="24"/>
          <w:lang w:val="en-US" w:eastAsia="zh-CN"/>
        </w:rPr>
        <w:t>尿液收集池</w:t>
      </w:r>
      <w:r>
        <w:rPr>
          <w:rFonts w:hint="default" w:ascii="Times New Roman" w:hAnsi="Times New Roman" w:eastAsia="宋体" w:cs="Times New Roman"/>
          <w:bCs/>
          <w:color w:val="000000"/>
          <w:sz w:val="24"/>
        </w:rPr>
        <w:t>、</w:t>
      </w:r>
      <w:r>
        <w:rPr>
          <w:rFonts w:hint="eastAsia" w:cs="Times New Roman"/>
          <w:bCs/>
          <w:color w:val="000000"/>
          <w:sz w:val="24"/>
          <w:lang w:val="en-US" w:eastAsia="zh-CN"/>
        </w:rPr>
        <w:t>堆肥间的</w:t>
      </w:r>
      <w:r>
        <w:rPr>
          <w:rFonts w:hint="eastAsia" w:ascii="Times New Roman" w:hAnsi="Times New Roman" w:eastAsia="宋体" w:cs="Times New Roman"/>
          <w:bCs/>
          <w:color w:val="000000"/>
          <w:sz w:val="24"/>
          <w:lang w:val="en-US" w:eastAsia="zh-CN"/>
        </w:rPr>
        <w:t>发酵槽</w:t>
      </w:r>
      <w:r>
        <w:rPr>
          <w:rFonts w:hint="default" w:ascii="Times New Roman" w:hAnsi="Times New Roman" w:eastAsia="宋体" w:cs="Times New Roman"/>
          <w:sz w:val="24"/>
          <w:szCs w:val="24"/>
        </w:rPr>
        <w:t>池体推荐防渗设计如下：</w:t>
      </w:r>
    </w:p>
    <w:p w14:paraId="235AA6B6">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①基底处理</w:t>
      </w:r>
    </w:p>
    <w:p w14:paraId="4CCA7CB5">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开挖基坑后，</w:t>
      </w:r>
      <w:r>
        <w:rPr>
          <w:rFonts w:hint="eastAsia" w:cs="Times New Roman"/>
          <w:sz w:val="24"/>
          <w:szCs w:val="24"/>
          <w:lang w:eastAsia="zh-CN"/>
        </w:rPr>
        <w:t>先</w:t>
      </w:r>
      <w:r>
        <w:rPr>
          <w:rFonts w:hint="default" w:ascii="Times New Roman" w:hAnsi="Times New Roman" w:eastAsia="宋体" w:cs="Times New Roman"/>
          <w:sz w:val="24"/>
          <w:szCs w:val="24"/>
        </w:rPr>
        <w:t>整平、夯实，进行20cm厚碎石填筑，在碎石上用30cm厚</w:t>
      </w:r>
      <w:r>
        <w:rPr>
          <w:rFonts w:hint="eastAsia" w:cs="Times New Roman"/>
          <w:sz w:val="24"/>
          <w:szCs w:val="24"/>
          <w:lang w:val="en-US" w:eastAsia="zh-CN"/>
        </w:rPr>
        <w:t>黏土</w:t>
      </w:r>
      <w:r>
        <w:rPr>
          <w:rFonts w:hint="default" w:ascii="Times New Roman" w:hAnsi="Times New Roman" w:eastAsia="宋体" w:cs="Times New Roman"/>
          <w:sz w:val="24"/>
          <w:szCs w:val="24"/>
        </w:rPr>
        <w:t>进行压实，采用小型打夯机进行夯实。</w:t>
      </w:r>
    </w:p>
    <w:p w14:paraId="7AA8A087">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②边墙处理</w:t>
      </w:r>
    </w:p>
    <w:p w14:paraId="0F8E1D48">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池壁采用混凝土砖墙，池壁厚50cm，并用水泥砂浆抹面。</w:t>
      </w:r>
    </w:p>
    <w:p w14:paraId="6DB7DA7A">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③地上部分</w:t>
      </w:r>
    </w:p>
    <w:p w14:paraId="3186443B">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池壁浇筑地上高出50cm，并设置围栏，围栏高度1m。</w:t>
      </w:r>
    </w:p>
    <w:p w14:paraId="5D0C156B">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④防渗材料</w:t>
      </w:r>
    </w:p>
    <w:p w14:paraId="27FB5DC1">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防渗材料选择</w:t>
      </w:r>
      <w:r>
        <w:rPr>
          <w:rFonts w:hint="eastAsia" w:cs="Times New Roman"/>
          <w:sz w:val="24"/>
          <w:szCs w:val="24"/>
          <w:lang w:val="en-US" w:eastAsia="zh-CN"/>
        </w:rPr>
        <w:t>2</w:t>
      </w:r>
      <w:r>
        <w:rPr>
          <w:rFonts w:hint="default" w:ascii="Times New Roman" w:hAnsi="Times New Roman" w:eastAsia="宋体" w:cs="Times New Roman"/>
          <w:sz w:val="24"/>
          <w:szCs w:val="24"/>
        </w:rPr>
        <w:t>mm厚高密度聚乙烯</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HDPE</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膜</w:t>
      </w:r>
      <w:r>
        <w:rPr>
          <w:rFonts w:hint="eastAsia" w:cs="Times New Roman"/>
          <w:sz w:val="24"/>
          <w:szCs w:val="24"/>
          <w:lang w:val="en-US" w:eastAsia="zh-CN"/>
        </w:rPr>
        <w:t>+20</w:t>
      </w:r>
      <w:r>
        <w:rPr>
          <w:rFonts w:hint="eastAsia" w:cs="Times New Roman"/>
          <w:bCs w:val="0"/>
          <w:sz w:val="24"/>
          <w:lang w:val="en-US" w:eastAsia="zh-CN"/>
        </w:rPr>
        <w:t>cm</w:t>
      </w:r>
      <w:r>
        <w:rPr>
          <w:rFonts w:hint="eastAsia" w:ascii="Times New Roman" w:hAnsi="Times New Roman" w:cs="Times New Roman"/>
          <w:bCs w:val="0"/>
          <w:sz w:val="24"/>
          <w:lang w:val="en-US" w:eastAsia="zh-CN"/>
        </w:rPr>
        <w:t>混凝土</w:t>
      </w:r>
      <w:r>
        <w:rPr>
          <w:rFonts w:hint="default" w:ascii="Times New Roman" w:hAnsi="Times New Roman" w:eastAsia="宋体" w:cs="Times New Roman"/>
          <w:sz w:val="24"/>
          <w:szCs w:val="24"/>
        </w:rPr>
        <w:t>进行防渗铺设，铺设自池壁放至坡底，按规定顺序和方向分区、分块进行膜铺设。在铺设土工膜时，适当放松，并避免</w:t>
      </w:r>
      <w:r>
        <w:rPr>
          <w:rFonts w:hint="eastAsia" w:cs="Times New Roman"/>
          <w:sz w:val="24"/>
          <w:szCs w:val="24"/>
          <w:lang w:eastAsia="zh-CN"/>
        </w:rPr>
        <w:t>人为</w:t>
      </w:r>
      <w:r>
        <w:rPr>
          <w:rFonts w:hint="default" w:ascii="Times New Roman" w:hAnsi="Times New Roman" w:eastAsia="宋体" w:cs="Times New Roman"/>
          <w:sz w:val="24"/>
          <w:szCs w:val="24"/>
        </w:rPr>
        <w:t>硬折和损伤，</w:t>
      </w:r>
      <w:r>
        <w:rPr>
          <w:rFonts w:hint="eastAsia" w:cs="Times New Roman"/>
          <w:sz w:val="24"/>
          <w:szCs w:val="24"/>
          <w:lang w:eastAsia="zh-CN"/>
        </w:rPr>
        <w:t>模块</w:t>
      </w:r>
      <w:r>
        <w:rPr>
          <w:rFonts w:hint="default" w:ascii="Times New Roman" w:hAnsi="Times New Roman" w:eastAsia="宋体" w:cs="Times New Roman"/>
          <w:sz w:val="24"/>
          <w:szCs w:val="24"/>
        </w:rPr>
        <w:t>间形成的结点为T</w:t>
      </w:r>
      <w:r>
        <w:rPr>
          <w:rFonts w:hint="eastAsia" w:cs="Times New Roman"/>
          <w:sz w:val="24"/>
          <w:szCs w:val="24"/>
          <w:lang w:eastAsia="zh-CN"/>
        </w:rPr>
        <w:t>字形</w:t>
      </w:r>
      <w:r>
        <w:rPr>
          <w:rFonts w:hint="default" w:ascii="Times New Roman" w:hAnsi="Times New Roman" w:eastAsia="宋体" w:cs="Times New Roman"/>
          <w:sz w:val="24"/>
          <w:szCs w:val="24"/>
        </w:rPr>
        <w:t>，焊接搭接面不得有污垢、砂土、积水（包括露水）等影响焊接质量的杂物存在。最后进行水泥砂浆抹面，水泥应优先选用硅酸盐水泥。</w:t>
      </w:r>
    </w:p>
    <w:p w14:paraId="12E34B13">
      <w:pPr>
        <w:pageBreakBefore w:val="0"/>
        <w:wordWrap/>
        <w:topLinePunct w:val="0"/>
        <w:bidi w:val="0"/>
        <w:adjustRightInd/>
        <w:snapToGrid/>
        <w:spacing w:line="5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工程在做好分区防渗的情况下，对粪污、污水采取回收处理措施后，不会对潜水产生污染，否则，污水下渗后，将对场区及下游区潜水产生污染。</w:t>
      </w:r>
    </w:p>
    <w:p w14:paraId="721480F5">
      <w:pPr>
        <w:pageBreakBefore w:val="0"/>
        <w:wordWrap/>
        <w:topLinePunct w:val="0"/>
        <w:bidi w:val="0"/>
        <w:adjustRightInd/>
        <w:snapToGrid/>
        <w:spacing w:line="360" w:lineRule="auto"/>
        <w:outlineLvl w:val="3"/>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5.2.</w:t>
      </w:r>
      <w:r>
        <w:rPr>
          <w:rFonts w:hint="eastAsia" w:cs="Times New Roman"/>
          <w:b/>
          <w:sz w:val="24"/>
          <w:szCs w:val="24"/>
          <w:lang w:val="en-US" w:eastAsia="zh-CN"/>
        </w:rPr>
        <w:t>2</w:t>
      </w:r>
      <w:r>
        <w:rPr>
          <w:rFonts w:hint="default" w:ascii="Times New Roman" w:hAnsi="Times New Roman" w:eastAsia="宋体" w:cs="Times New Roman"/>
          <w:b/>
          <w:sz w:val="24"/>
          <w:szCs w:val="24"/>
        </w:rPr>
        <w:t>.</w:t>
      </w:r>
      <w:r>
        <w:rPr>
          <w:rFonts w:hint="eastAsia" w:cs="Times New Roman"/>
          <w:b/>
          <w:sz w:val="24"/>
          <w:szCs w:val="24"/>
          <w:lang w:val="en-US" w:eastAsia="zh-CN"/>
        </w:rPr>
        <w:t>3</w:t>
      </w:r>
      <w:r>
        <w:rPr>
          <w:rFonts w:hint="eastAsia" w:cs="Times New Roman"/>
          <w:b/>
          <w:sz w:val="24"/>
          <w:szCs w:val="24"/>
          <w:lang w:eastAsia="zh-CN"/>
        </w:rPr>
        <w:t>“</w:t>
      </w:r>
      <w:r>
        <w:rPr>
          <w:rFonts w:hint="eastAsia" w:cs="Times New Roman"/>
          <w:b/>
          <w:sz w:val="24"/>
          <w:szCs w:val="24"/>
          <w:lang w:val="en-US" w:eastAsia="zh-CN"/>
        </w:rPr>
        <w:t>发酵床技术</w:t>
      </w:r>
      <w:r>
        <w:rPr>
          <w:rFonts w:hint="eastAsia" w:cs="Times New Roman"/>
          <w:b/>
          <w:sz w:val="24"/>
          <w:szCs w:val="24"/>
          <w:lang w:eastAsia="zh-CN"/>
        </w:rPr>
        <w:t>”</w:t>
      </w:r>
      <w:r>
        <w:rPr>
          <w:rFonts w:hint="default" w:ascii="Times New Roman" w:hAnsi="Times New Roman" w:eastAsia="宋体" w:cs="Times New Roman"/>
          <w:b/>
          <w:sz w:val="24"/>
          <w:szCs w:val="24"/>
        </w:rPr>
        <w:t>处理模式对</w:t>
      </w:r>
      <w:r>
        <w:rPr>
          <w:rFonts w:hint="eastAsia" w:cs="Times New Roman"/>
          <w:b/>
          <w:sz w:val="24"/>
          <w:szCs w:val="24"/>
          <w:lang w:val="en-US" w:eastAsia="zh-CN"/>
        </w:rPr>
        <w:t>地下水</w:t>
      </w:r>
      <w:r>
        <w:rPr>
          <w:rFonts w:hint="default" w:ascii="Times New Roman" w:hAnsi="Times New Roman" w:eastAsia="宋体" w:cs="Times New Roman"/>
          <w:b/>
          <w:sz w:val="24"/>
          <w:szCs w:val="24"/>
        </w:rPr>
        <w:t>影响分析</w:t>
      </w:r>
    </w:p>
    <w:p w14:paraId="6B005512">
      <w:pPr>
        <w:spacing w:line="360" w:lineRule="auto"/>
        <w:ind w:firstLine="480" w:firstLineChars="200"/>
        <w:rPr>
          <w:rFonts w:hint="default" w:eastAsia="宋体"/>
          <w:color w:val="000000"/>
          <w:sz w:val="24"/>
          <w:lang w:val="en-US" w:eastAsia="zh-CN"/>
        </w:rPr>
      </w:pPr>
      <w:r>
        <w:rPr>
          <w:rFonts w:hint="eastAsia" w:eastAsia="宋体"/>
          <w:color w:val="000000"/>
          <w:sz w:val="24"/>
        </w:rPr>
        <w:t>（1</w:t>
      </w:r>
      <w:r>
        <w:rPr>
          <w:rFonts w:eastAsia="宋体"/>
          <w:color w:val="000000"/>
          <w:sz w:val="24"/>
        </w:rPr>
        <w:t>）</w:t>
      </w:r>
      <w:r>
        <w:rPr>
          <w:rFonts w:hint="eastAsia" w:ascii="Times New Roman" w:eastAsia="宋体"/>
          <w:color w:val="000000"/>
          <w:sz w:val="24"/>
          <w:lang w:val="en-US" w:eastAsia="zh-CN"/>
        </w:rPr>
        <w:t>发酵床</w:t>
      </w:r>
      <w:r>
        <w:rPr>
          <w:rFonts w:eastAsia="宋体"/>
          <w:color w:val="000000"/>
          <w:sz w:val="24"/>
        </w:rPr>
        <w:t>处置</w:t>
      </w:r>
    </w:p>
    <w:p w14:paraId="3AFBEB83">
      <w:pPr>
        <w:spacing w:line="360" w:lineRule="auto"/>
        <w:ind w:firstLine="480" w:firstLineChars="200"/>
        <w:rPr>
          <w:rFonts w:eastAsia="宋体"/>
          <w:color w:val="000000"/>
          <w:sz w:val="24"/>
        </w:rPr>
      </w:pPr>
      <w:r>
        <w:rPr>
          <w:rFonts w:hint="eastAsia" w:eastAsia="宋体"/>
          <w:color w:val="000000"/>
          <w:sz w:val="24"/>
        </w:rPr>
        <w:t>目前，集约化畜禽养殖场多建在大、中城市近郊是中国畜禽养殖业污染防治存在的主要问题之一。另外大量养殖专业户和专业村导致畜禽粪便量大且集中</w:t>
      </w:r>
      <w:r>
        <w:rPr>
          <w:rFonts w:hint="eastAsia" w:eastAsia="宋体"/>
          <w:color w:val="000000"/>
          <w:sz w:val="24"/>
          <w:lang w:eastAsia="zh-CN"/>
        </w:rPr>
        <w:t>，</w:t>
      </w:r>
      <w:r>
        <w:rPr>
          <w:rFonts w:hint="eastAsia" w:eastAsia="宋体"/>
          <w:color w:val="000000"/>
          <w:sz w:val="24"/>
        </w:rPr>
        <w:t xml:space="preserve"> 而城郊又无充足的土地进行消纳，形成农牧分离，种养严重脱节的不利局面，导致环境的严重污染。另一方面化肥的大量使用，导致有机肥施用量大幅减少</w:t>
      </w:r>
      <w:r>
        <w:rPr>
          <w:rFonts w:hint="eastAsia" w:eastAsia="宋体"/>
          <w:color w:val="000000"/>
          <w:sz w:val="24"/>
          <w:lang w:eastAsia="zh-CN"/>
        </w:rPr>
        <w:t>，</w:t>
      </w:r>
      <w:r>
        <w:rPr>
          <w:rFonts w:hint="eastAsia" w:eastAsia="宋体"/>
          <w:color w:val="000000"/>
          <w:sz w:val="24"/>
        </w:rPr>
        <w:t xml:space="preserve"> 使畜禽粪便未得到有效利用。</w:t>
      </w:r>
      <w:r>
        <w:rPr>
          <w:rFonts w:hint="eastAsia" w:ascii="Times New Roman" w:eastAsia="宋体"/>
          <w:color w:val="000000"/>
          <w:sz w:val="24"/>
          <w:lang w:val="en-US" w:eastAsia="zh-CN"/>
        </w:rPr>
        <w:t>牛粪</w:t>
      </w:r>
      <w:r>
        <w:rPr>
          <w:rFonts w:hint="eastAsia" w:eastAsia="宋体"/>
          <w:color w:val="000000"/>
          <w:sz w:val="24"/>
        </w:rPr>
        <w:t>便含有丰富的</w:t>
      </w:r>
      <w:r>
        <w:rPr>
          <w:rFonts w:eastAsia="宋体"/>
          <w:color w:val="000000"/>
          <w:sz w:val="24"/>
        </w:rPr>
        <w:t>N、P、K</w:t>
      </w:r>
      <w:r>
        <w:rPr>
          <w:rFonts w:hint="eastAsia" w:eastAsia="宋体"/>
          <w:color w:val="000000"/>
          <w:sz w:val="24"/>
        </w:rPr>
        <w:t>及微量元素，通过处理及加工后是理想的有机肥料，是解决规模化</w:t>
      </w:r>
      <w:r>
        <w:rPr>
          <w:rFonts w:hint="eastAsia" w:ascii="Times New Roman" w:eastAsia="宋体"/>
          <w:color w:val="000000"/>
          <w:sz w:val="24"/>
          <w:lang w:val="en-US" w:eastAsia="zh-CN"/>
        </w:rPr>
        <w:t>养殖场</w:t>
      </w:r>
      <w:r>
        <w:rPr>
          <w:rFonts w:hint="eastAsia" w:eastAsia="宋体"/>
          <w:color w:val="000000"/>
          <w:sz w:val="24"/>
        </w:rPr>
        <w:t>粪便污染的有效措施，也是实现规模化畜禽养殖场粪便资源化的重要途径之一。</w:t>
      </w:r>
    </w:p>
    <w:p w14:paraId="18061021">
      <w:pPr>
        <w:spacing w:line="360" w:lineRule="auto"/>
        <w:ind w:firstLine="480" w:firstLineChars="200"/>
        <w:rPr>
          <w:rFonts w:eastAsia="宋体"/>
          <w:color w:val="000000"/>
          <w:sz w:val="24"/>
        </w:rPr>
      </w:pPr>
      <w:r>
        <w:rPr>
          <w:rFonts w:hint="eastAsia" w:ascii="Times New Roman" w:eastAsia="宋体"/>
          <w:color w:val="000000"/>
          <w:sz w:val="24"/>
          <w:lang w:val="en-US" w:eastAsia="zh-CN"/>
        </w:rPr>
        <w:t>粪便</w:t>
      </w:r>
      <w:r>
        <w:rPr>
          <w:rFonts w:eastAsia="宋体"/>
          <w:color w:val="000000"/>
          <w:sz w:val="24"/>
        </w:rPr>
        <w:t>堆肥无害化处置，</w:t>
      </w:r>
      <w:r>
        <w:rPr>
          <w:rFonts w:hint="eastAsia" w:eastAsia="宋体"/>
          <w:color w:val="000000"/>
          <w:sz w:val="24"/>
        </w:rPr>
        <w:t>实现综合利用，可大大改善土壤的颗粒结构，可修复长期施用无机肥而板结的土壤，从而增加了土壤的肥力，增加农作物的产量并形成良性生态循环。</w:t>
      </w:r>
    </w:p>
    <w:p w14:paraId="7F22CCD0">
      <w:pPr>
        <w:widowControl/>
        <w:spacing w:line="360" w:lineRule="auto"/>
        <w:ind w:firstLine="482"/>
        <w:rPr>
          <w:rFonts w:hint="eastAsia" w:ascii="Times New Roman" w:hAnsi="Times New Roman" w:eastAsia="宋体" w:cs="Times New Roman"/>
          <w:bCs/>
          <w:color w:val="000000"/>
          <w:sz w:val="24"/>
        </w:rPr>
      </w:pPr>
      <w:r>
        <w:rPr>
          <w:rFonts w:hint="eastAsia" w:ascii="Times New Roman" w:hAnsi="Times New Roman" w:eastAsia="宋体" w:cs="Times New Roman"/>
          <w:bCs/>
          <w:sz w:val="24"/>
          <w:lang w:eastAsia="zh-CN"/>
        </w:rPr>
        <w:t>（</w:t>
      </w:r>
      <w:r>
        <w:rPr>
          <w:rFonts w:hint="eastAsia" w:ascii="Times New Roman" w:hAnsi="Times New Roman" w:eastAsia="宋体" w:cs="Times New Roman"/>
          <w:bCs/>
          <w:sz w:val="24"/>
          <w:lang w:val="en-US" w:eastAsia="zh-CN"/>
        </w:rPr>
        <w:t>2</w:t>
      </w:r>
      <w:r>
        <w:rPr>
          <w:rFonts w:hint="eastAsia" w:ascii="Times New Roman" w:hAnsi="Times New Roman" w:eastAsia="宋体" w:cs="Times New Roman"/>
          <w:bCs/>
          <w:sz w:val="24"/>
          <w:lang w:eastAsia="zh-CN"/>
        </w:rPr>
        <w:t>）畜禽粪肥施用量</w:t>
      </w:r>
    </w:p>
    <w:p w14:paraId="37D4BB68">
      <w:pPr>
        <w:widowControl/>
        <w:spacing w:line="360" w:lineRule="auto"/>
        <w:ind w:firstLine="482"/>
        <w:rPr>
          <w:rFonts w:eastAsia="宋体"/>
          <w:bCs/>
          <w:color w:val="000000"/>
          <w:sz w:val="24"/>
        </w:rPr>
      </w:pPr>
      <w:r>
        <w:rPr>
          <w:rFonts w:hint="eastAsia" w:eastAsia="宋体"/>
          <w:bCs/>
          <w:color w:val="000000"/>
          <w:sz w:val="24"/>
        </w:rPr>
        <w:t>规模化畜禽养殖业在快速发展的同时，由于养殖场缺少配套的种植用地产生种、养分离这一不合理局面，造成大量粪尿流失，使养殖企业成为影响环境的主要面源。在农业生态系统中养分循环是最简单形式，集约化条件下畜禽粪污可经农田施肥进入土壤。如果进入农田的畜禽粪污超出了作物对养分的需求，便存在向环境流失氮、磷的风险。因此，可用农田对粪污养分的消纳能力来评价畜禽养殖的环境风险程度。</w:t>
      </w:r>
    </w:p>
    <w:p w14:paraId="6BC747BB">
      <w:pPr>
        <w:widowControl/>
        <w:spacing w:line="360" w:lineRule="auto"/>
        <w:ind w:firstLine="482"/>
        <w:rPr>
          <w:rFonts w:eastAsia="宋体"/>
          <w:bCs/>
          <w:color w:val="000000"/>
          <w:sz w:val="24"/>
        </w:rPr>
      </w:pPr>
      <w:r>
        <w:rPr>
          <w:rFonts w:hint="eastAsia" w:eastAsia="宋体"/>
          <w:bCs/>
          <w:color w:val="000000"/>
          <w:sz w:val="24"/>
        </w:rPr>
        <w:t>一般来说，正确估算作物施肥量，应根据作物目标产量、达产所</w:t>
      </w:r>
      <w:r>
        <w:rPr>
          <w:rFonts w:hint="eastAsia" w:eastAsia="宋体"/>
          <w:bCs/>
          <w:color w:val="000000"/>
          <w:sz w:val="24"/>
          <w:lang w:eastAsia="zh-CN"/>
        </w:rPr>
        <w:t>需</w:t>
      </w:r>
      <w:r>
        <w:rPr>
          <w:rFonts w:hint="eastAsia" w:eastAsia="宋体"/>
          <w:bCs/>
          <w:color w:val="000000"/>
          <w:sz w:val="24"/>
        </w:rPr>
        <w:t>养分、土壤供肥能力和肥料的利用率等因素来综合计算。</w:t>
      </w:r>
    </w:p>
    <w:p w14:paraId="7EC61246">
      <w:pPr>
        <w:widowControl/>
        <w:spacing w:line="360" w:lineRule="auto"/>
        <w:ind w:firstLine="482"/>
        <w:rPr>
          <w:rFonts w:hint="default" w:cs="Times New Roman"/>
          <w:bCs/>
          <w:color w:val="000000"/>
          <w:sz w:val="24"/>
          <w:lang w:val="en-US" w:eastAsia="zh-CN"/>
        </w:rPr>
      </w:pPr>
      <w:r>
        <w:rPr>
          <w:rFonts w:hint="eastAsia" w:cs="Times New Roman"/>
          <w:bCs/>
          <w:color w:val="000000"/>
          <w:sz w:val="24"/>
          <w:lang w:val="en-US" w:eastAsia="zh-CN"/>
        </w:rPr>
        <w:t>《畜禽粪污土地承载力测算技术指南》测算依据为《畜禽粪便还田技术规范》（GB/T 25246-2010），2025年《畜禽粪便还田技术规范》（GB/T 25246-2010）进行第一次修订，因此本项目畜禽粪污土地承载力依据《畜禽粪肥还田技术规范》（GB/T25246—2025）进行测算。基于土地承载力测算，畜禽粪肥应施尽施。根据气候条件、土壤肥力、作物类型、作物目标产量和粪肥当季利用率等确定粪肥施用量。畜禽粪肥施用量一般应以作物养分需求和粪肥养分供给的氮平衡为基础测算，对于土壤本底值磷含量较高的特殊区域，宜以磷平衡为基础测算。</w:t>
      </w:r>
    </w:p>
    <w:p w14:paraId="5A96FBA3">
      <w:pPr>
        <w:widowControl/>
        <w:spacing w:line="360" w:lineRule="auto"/>
        <w:ind w:firstLine="482"/>
        <w:rPr>
          <w:rFonts w:hint="default" w:cs="Times New Roman"/>
          <w:bCs/>
          <w:color w:val="000000"/>
          <w:sz w:val="24"/>
          <w:lang w:val="en-US" w:eastAsia="zh-CN"/>
        </w:rPr>
      </w:pPr>
      <w:r>
        <w:rPr>
          <w:rFonts w:hint="eastAsia" w:cs="Times New Roman"/>
          <w:bCs/>
          <w:color w:val="000000"/>
          <w:sz w:val="24"/>
          <w:lang w:val="en-US" w:eastAsia="zh-CN"/>
        </w:rPr>
        <w:t>本项目周边农田均种植棉花，棉花属于《畜禽粪肥还田技术规范》（GB/T25246—2025）主要作物，根据《畜禽粪肥还田技术规范》（GB/T25246—2025）主要作物粪肥推荐施用量见附录B中B.1和B.2。</w:t>
      </w:r>
    </w:p>
    <w:p w14:paraId="1B9191FC">
      <w:pPr>
        <w:widowControl/>
        <w:spacing w:line="360" w:lineRule="auto"/>
        <w:ind w:firstLine="482"/>
        <w:rPr>
          <w:rFonts w:hint="eastAsia" w:ascii="Times New Roman" w:hAnsi="Times New Roman" w:eastAsia="宋体" w:cs="Times New Roman"/>
          <w:bCs/>
          <w:color w:val="000000"/>
          <w:sz w:val="24"/>
        </w:rPr>
      </w:pPr>
      <w:r>
        <w:rPr>
          <w:rFonts w:hint="eastAsia" w:cs="Times New Roman"/>
          <w:bCs/>
          <w:color w:val="000000"/>
          <w:sz w:val="24"/>
          <w:lang w:val="en-US" w:eastAsia="zh-CN"/>
        </w:rPr>
        <w:t>根据《畜禽粪肥还田技术规范》（GB/T25246—2025）当季作物固体粪肥施用量推荐值</w:t>
      </w:r>
      <w:r>
        <w:rPr>
          <w:rFonts w:ascii="Times New Roman" w:hAnsi="Times New Roman" w:eastAsia="宋体" w:cs="Times New Roman"/>
          <w:bCs/>
          <w:color w:val="000000"/>
          <w:sz w:val="24"/>
        </w:rPr>
        <w:t>见表</w:t>
      </w:r>
      <w:r>
        <w:rPr>
          <w:rFonts w:hint="eastAsia" w:ascii="Times New Roman" w:hAnsi="Times New Roman" w:eastAsia="宋体" w:cs="Times New Roman"/>
          <w:bCs/>
          <w:color w:val="000000"/>
          <w:sz w:val="24"/>
        </w:rPr>
        <w:t>5.2</w:t>
      </w:r>
      <w:r>
        <w:rPr>
          <w:rFonts w:hint="eastAsia" w:eastAsia="宋体" w:cs="Times New Roman"/>
          <w:bCs/>
          <w:color w:val="000000"/>
          <w:sz w:val="24"/>
          <w:lang w:val="en-US" w:eastAsia="zh-CN"/>
        </w:rPr>
        <w:t>-</w:t>
      </w:r>
      <w:r>
        <w:rPr>
          <w:rFonts w:hint="eastAsia" w:cs="Times New Roman"/>
          <w:bCs/>
          <w:color w:val="000000"/>
          <w:sz w:val="24"/>
          <w:lang w:val="en-US" w:eastAsia="zh-CN"/>
        </w:rPr>
        <w:t>28</w:t>
      </w:r>
      <w:r>
        <w:rPr>
          <w:rFonts w:hint="eastAsia" w:ascii="Times New Roman" w:hAnsi="Times New Roman" w:eastAsia="宋体" w:cs="Times New Roman"/>
          <w:bCs/>
          <w:color w:val="000000"/>
          <w:sz w:val="24"/>
        </w:rPr>
        <w:t>。</w:t>
      </w:r>
    </w:p>
    <w:p w14:paraId="7E91F891">
      <w:pPr>
        <w:spacing w:before="156" w:beforeLines="50"/>
        <w:jc w:val="center"/>
        <w:rPr>
          <w:rFonts w:hint="eastAsia" w:ascii="Times New Roman" w:hAnsi="Times New Roman" w:eastAsia="宋体" w:cs="Times New Roman"/>
          <w:b/>
          <w:bCs w:val="0"/>
          <w:kern w:val="0"/>
          <w:sz w:val="24"/>
          <w:highlight w:val="none"/>
        </w:rPr>
      </w:pPr>
      <w:r>
        <w:rPr>
          <w:rFonts w:ascii="Times New Roman" w:hAnsi="宋体" w:eastAsia="宋体" w:cs="Times New Roman"/>
          <w:b/>
          <w:bCs w:val="0"/>
          <w:kern w:val="0"/>
          <w:sz w:val="24"/>
          <w:highlight w:val="none"/>
          <w:lang w:eastAsia="zh-TW"/>
        </w:rPr>
        <w:t>表</w:t>
      </w:r>
      <w:r>
        <w:rPr>
          <w:rFonts w:hint="eastAsia" w:ascii="Times New Roman" w:hAnsi="宋体" w:eastAsia="宋体" w:cs="Times New Roman"/>
          <w:b/>
          <w:bCs w:val="0"/>
          <w:kern w:val="0"/>
          <w:sz w:val="24"/>
          <w:highlight w:val="none"/>
          <w:lang w:eastAsia="zh-TW"/>
        </w:rPr>
        <w:t>5.2</w:t>
      </w:r>
      <w:r>
        <w:rPr>
          <w:rFonts w:hint="eastAsia" w:ascii="Times New Roman" w:hAnsi="宋体" w:eastAsia="宋体" w:cs="Times New Roman"/>
          <w:b/>
          <w:bCs w:val="0"/>
          <w:kern w:val="0"/>
          <w:sz w:val="24"/>
          <w:highlight w:val="none"/>
          <w:lang w:val="en-US" w:eastAsia="zh-TW"/>
        </w:rPr>
        <w:t>-</w:t>
      </w:r>
      <w:r>
        <w:rPr>
          <w:rFonts w:hint="eastAsia" w:hAnsi="宋体" w:cs="Times New Roman"/>
          <w:b/>
          <w:bCs w:val="0"/>
          <w:kern w:val="0"/>
          <w:sz w:val="24"/>
          <w:highlight w:val="none"/>
          <w:lang w:val="en-US" w:eastAsia="zh-CN"/>
        </w:rPr>
        <w:t>28当季作物固体粪肥推荐施用量推荐值</w:t>
      </w:r>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52"/>
        <w:gridCol w:w="1553"/>
        <w:gridCol w:w="1348"/>
        <w:gridCol w:w="1348"/>
        <w:gridCol w:w="1348"/>
        <w:gridCol w:w="1373"/>
      </w:tblGrid>
      <w:tr w14:paraId="5DF2FE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8" w:type="pct"/>
            <w:vMerge w:val="restart"/>
            <w:shd w:val="clear" w:color="auto" w:fill="auto"/>
            <w:noWrap/>
            <w:vAlign w:val="center"/>
          </w:tcPr>
          <w:p w14:paraId="517D2834">
            <w:pPr>
              <w:spacing w:line="240" w:lineRule="atLeast"/>
              <w:jc w:val="center"/>
              <w:rPr>
                <w:rFonts w:ascii="Times New Roman" w:hAnsi="Times New Roman" w:eastAsia="宋体" w:cs="Times New Roman"/>
                <w:b/>
                <w:bCs w:val="0"/>
                <w:color w:val="000000"/>
                <w:kern w:val="0"/>
                <w:sz w:val="21"/>
                <w:szCs w:val="22"/>
              </w:rPr>
            </w:pPr>
            <w:r>
              <w:rPr>
                <w:rFonts w:ascii="Times New Roman" w:hAnsi="Times New Roman" w:eastAsia="宋体" w:cs="Times New Roman"/>
                <w:b/>
                <w:bCs w:val="0"/>
                <w:color w:val="000000"/>
                <w:kern w:val="0"/>
                <w:sz w:val="21"/>
                <w:szCs w:val="22"/>
              </w:rPr>
              <w:t>作物名称</w:t>
            </w:r>
          </w:p>
        </w:tc>
        <w:tc>
          <w:tcPr>
            <w:tcW w:w="918" w:type="pct"/>
            <w:vMerge w:val="restart"/>
            <w:shd w:val="clear" w:color="auto" w:fill="auto"/>
            <w:noWrap/>
            <w:vAlign w:val="center"/>
          </w:tcPr>
          <w:p w14:paraId="3936E983">
            <w:pPr>
              <w:spacing w:line="240" w:lineRule="atLeast"/>
              <w:jc w:val="center"/>
              <w:rPr>
                <w:rFonts w:hint="eastAsia" w:ascii="Times New Roman" w:hAnsi="Times New Roman" w:eastAsia="宋体" w:cs="Times New Roman"/>
                <w:b/>
                <w:bCs w:val="0"/>
                <w:color w:val="000000"/>
                <w:kern w:val="0"/>
                <w:sz w:val="21"/>
                <w:szCs w:val="22"/>
                <w:lang w:val="en-US" w:eastAsia="zh-CN"/>
              </w:rPr>
            </w:pPr>
            <w:r>
              <w:rPr>
                <w:rFonts w:hint="eastAsia" w:cs="Times New Roman"/>
                <w:b/>
                <w:bCs w:val="0"/>
                <w:color w:val="000000"/>
                <w:kern w:val="0"/>
                <w:sz w:val="21"/>
                <w:szCs w:val="22"/>
                <w:lang w:val="en-US" w:eastAsia="zh-CN"/>
              </w:rPr>
              <w:t>平均产量</w:t>
            </w:r>
          </w:p>
        </w:tc>
        <w:tc>
          <w:tcPr>
            <w:tcW w:w="3162" w:type="pct"/>
            <w:gridSpan w:val="4"/>
            <w:shd w:val="clear" w:color="auto" w:fill="auto"/>
            <w:noWrap w:val="0"/>
            <w:vAlign w:val="center"/>
          </w:tcPr>
          <w:p w14:paraId="5F793F59">
            <w:pPr>
              <w:widowControl/>
              <w:spacing w:line="240" w:lineRule="atLeast"/>
              <w:ind w:firstLine="440"/>
              <w:jc w:val="center"/>
              <w:rPr>
                <w:rFonts w:hint="eastAsia" w:ascii="Times New Roman" w:hAnsi="Times New Roman" w:eastAsia="宋体" w:cs="Times New Roman"/>
                <w:b/>
                <w:bCs w:val="0"/>
                <w:color w:val="000000"/>
                <w:kern w:val="0"/>
                <w:sz w:val="21"/>
                <w:szCs w:val="22"/>
                <w:lang w:eastAsia="zh-CN"/>
              </w:rPr>
            </w:pPr>
            <w:r>
              <w:rPr>
                <w:rFonts w:ascii="Times New Roman" w:hAnsi="Times New Roman" w:eastAsia="宋体" w:cs="Times New Roman"/>
                <w:b/>
                <w:bCs w:val="0"/>
                <w:color w:val="000000"/>
                <w:kern w:val="0"/>
                <w:sz w:val="21"/>
                <w:szCs w:val="22"/>
              </w:rPr>
              <w:t>不同施肥比例的粪肥推荐施用量</w:t>
            </w:r>
            <w:r>
              <w:rPr>
                <w:rFonts w:hint="eastAsia" w:cs="Times New Roman"/>
                <w:b/>
                <w:bCs w:val="0"/>
                <w:color w:val="000000"/>
                <w:kern w:val="0"/>
                <w:sz w:val="21"/>
                <w:szCs w:val="22"/>
                <w:lang w:eastAsia="zh-CN"/>
              </w:rPr>
              <w:t>（吨每公顷）</w:t>
            </w:r>
          </w:p>
        </w:tc>
      </w:tr>
      <w:tr w14:paraId="3FAB7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8" w:type="pct"/>
            <w:vMerge w:val="continue"/>
            <w:shd w:val="clear" w:color="auto" w:fill="auto"/>
            <w:noWrap/>
            <w:vAlign w:val="center"/>
          </w:tcPr>
          <w:p w14:paraId="1A92FBA5">
            <w:pPr>
              <w:widowControl/>
              <w:spacing w:line="240" w:lineRule="atLeast"/>
              <w:jc w:val="center"/>
              <w:rPr>
                <w:rFonts w:ascii="Times New Roman" w:hAnsi="Times New Roman" w:eastAsia="宋体" w:cs="Times New Roman"/>
                <w:b/>
                <w:bCs w:val="0"/>
                <w:color w:val="000000"/>
                <w:kern w:val="0"/>
                <w:sz w:val="21"/>
                <w:szCs w:val="22"/>
              </w:rPr>
            </w:pPr>
          </w:p>
        </w:tc>
        <w:tc>
          <w:tcPr>
            <w:tcW w:w="918" w:type="pct"/>
            <w:vMerge w:val="continue"/>
            <w:shd w:val="clear" w:color="auto" w:fill="auto"/>
            <w:noWrap/>
            <w:vAlign w:val="center"/>
          </w:tcPr>
          <w:p w14:paraId="00FAE0F5">
            <w:pPr>
              <w:widowControl/>
              <w:spacing w:line="240" w:lineRule="atLeast"/>
              <w:jc w:val="center"/>
              <w:rPr>
                <w:rFonts w:ascii="Times New Roman" w:hAnsi="Times New Roman" w:eastAsia="宋体" w:cs="Times New Roman"/>
                <w:b/>
                <w:bCs w:val="0"/>
                <w:color w:val="000000"/>
                <w:kern w:val="0"/>
                <w:sz w:val="21"/>
                <w:szCs w:val="22"/>
              </w:rPr>
            </w:pPr>
          </w:p>
        </w:tc>
        <w:tc>
          <w:tcPr>
            <w:tcW w:w="787" w:type="pct"/>
            <w:shd w:val="clear" w:color="auto" w:fill="auto"/>
            <w:noWrap/>
            <w:vAlign w:val="center"/>
          </w:tcPr>
          <w:p w14:paraId="2A5BA780">
            <w:pPr>
              <w:widowControl/>
              <w:spacing w:line="240" w:lineRule="atLeast"/>
              <w:jc w:val="center"/>
              <w:rPr>
                <w:rFonts w:ascii="Times New Roman" w:hAnsi="Times New Roman" w:eastAsia="宋体" w:cs="Times New Roman"/>
                <w:b/>
                <w:bCs/>
                <w:color w:val="000000"/>
                <w:kern w:val="0"/>
                <w:sz w:val="21"/>
                <w:szCs w:val="22"/>
              </w:rPr>
            </w:pPr>
            <w:r>
              <w:rPr>
                <w:rFonts w:ascii="Times New Roman" w:hAnsi="Times New Roman" w:eastAsia="宋体" w:cs="Times New Roman"/>
                <w:b/>
                <w:bCs/>
                <w:color w:val="000000"/>
                <w:kern w:val="0"/>
                <w:sz w:val="21"/>
                <w:szCs w:val="22"/>
              </w:rPr>
              <w:t>15%</w:t>
            </w:r>
          </w:p>
        </w:tc>
        <w:tc>
          <w:tcPr>
            <w:tcW w:w="787" w:type="pct"/>
            <w:shd w:val="clear" w:color="auto" w:fill="auto"/>
            <w:noWrap/>
            <w:vAlign w:val="center"/>
          </w:tcPr>
          <w:p w14:paraId="38D17CD9">
            <w:pPr>
              <w:widowControl/>
              <w:spacing w:line="240" w:lineRule="atLeast"/>
              <w:jc w:val="center"/>
              <w:rPr>
                <w:rFonts w:ascii="Times New Roman" w:hAnsi="Times New Roman" w:eastAsia="宋体" w:cs="Times New Roman"/>
                <w:b/>
                <w:bCs/>
                <w:color w:val="000000"/>
                <w:kern w:val="0"/>
                <w:sz w:val="21"/>
                <w:szCs w:val="22"/>
              </w:rPr>
            </w:pPr>
            <w:r>
              <w:rPr>
                <w:rFonts w:hint="eastAsia" w:cs="Times New Roman"/>
                <w:b/>
                <w:bCs/>
                <w:color w:val="000000"/>
                <w:kern w:val="0"/>
                <w:sz w:val="21"/>
                <w:szCs w:val="22"/>
                <w:lang w:val="en-US" w:eastAsia="zh-CN"/>
              </w:rPr>
              <w:t>30</w:t>
            </w:r>
            <w:r>
              <w:rPr>
                <w:rFonts w:ascii="Times New Roman" w:hAnsi="Times New Roman" w:eastAsia="宋体" w:cs="Times New Roman"/>
                <w:b/>
                <w:bCs/>
                <w:color w:val="000000"/>
                <w:kern w:val="0"/>
                <w:sz w:val="21"/>
                <w:szCs w:val="22"/>
              </w:rPr>
              <w:t>%</w:t>
            </w:r>
          </w:p>
        </w:tc>
        <w:tc>
          <w:tcPr>
            <w:tcW w:w="787" w:type="pct"/>
            <w:shd w:val="clear" w:color="auto" w:fill="auto"/>
            <w:noWrap/>
            <w:vAlign w:val="center"/>
          </w:tcPr>
          <w:p w14:paraId="76B9CC03">
            <w:pPr>
              <w:widowControl/>
              <w:spacing w:line="240" w:lineRule="atLeast"/>
              <w:jc w:val="center"/>
              <w:rPr>
                <w:rFonts w:ascii="Times New Roman" w:hAnsi="Times New Roman" w:eastAsia="宋体" w:cs="Times New Roman"/>
                <w:b/>
                <w:bCs/>
                <w:color w:val="000000"/>
                <w:kern w:val="0"/>
                <w:sz w:val="21"/>
                <w:szCs w:val="22"/>
              </w:rPr>
            </w:pPr>
            <w:r>
              <w:rPr>
                <w:rFonts w:hint="eastAsia" w:cs="Times New Roman"/>
                <w:b/>
                <w:bCs/>
                <w:color w:val="000000"/>
                <w:kern w:val="0"/>
                <w:sz w:val="21"/>
                <w:szCs w:val="22"/>
                <w:lang w:val="en-US" w:eastAsia="zh-CN"/>
              </w:rPr>
              <w:t>45</w:t>
            </w:r>
            <w:r>
              <w:rPr>
                <w:rFonts w:ascii="Times New Roman" w:hAnsi="Times New Roman" w:eastAsia="宋体" w:cs="Times New Roman"/>
                <w:b/>
                <w:bCs/>
                <w:color w:val="000000"/>
                <w:kern w:val="0"/>
                <w:sz w:val="21"/>
                <w:szCs w:val="22"/>
              </w:rPr>
              <w:t>%</w:t>
            </w:r>
          </w:p>
        </w:tc>
        <w:tc>
          <w:tcPr>
            <w:tcW w:w="800" w:type="pct"/>
            <w:shd w:val="clear" w:color="auto" w:fill="auto"/>
            <w:noWrap/>
            <w:vAlign w:val="center"/>
          </w:tcPr>
          <w:p w14:paraId="175089F7">
            <w:pPr>
              <w:widowControl/>
              <w:spacing w:line="240" w:lineRule="atLeast"/>
              <w:jc w:val="center"/>
              <w:rPr>
                <w:rFonts w:ascii="Times New Roman" w:hAnsi="Times New Roman" w:eastAsia="宋体" w:cs="Times New Roman"/>
                <w:b/>
                <w:bCs/>
                <w:color w:val="000000"/>
                <w:kern w:val="0"/>
                <w:sz w:val="21"/>
                <w:szCs w:val="22"/>
              </w:rPr>
            </w:pPr>
            <w:r>
              <w:rPr>
                <w:rFonts w:hint="eastAsia" w:cs="Times New Roman"/>
                <w:b/>
                <w:bCs/>
                <w:color w:val="000000"/>
                <w:kern w:val="0"/>
                <w:sz w:val="21"/>
                <w:szCs w:val="22"/>
                <w:lang w:val="en-US" w:eastAsia="zh-CN"/>
              </w:rPr>
              <w:t>60</w:t>
            </w:r>
            <w:r>
              <w:rPr>
                <w:rFonts w:ascii="Times New Roman" w:hAnsi="Times New Roman" w:eastAsia="宋体" w:cs="Times New Roman"/>
                <w:b/>
                <w:bCs/>
                <w:color w:val="000000"/>
                <w:kern w:val="0"/>
                <w:sz w:val="21"/>
                <w:szCs w:val="22"/>
              </w:rPr>
              <w:t>%</w:t>
            </w:r>
          </w:p>
        </w:tc>
      </w:tr>
      <w:tr w14:paraId="52CD70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8" w:type="pct"/>
            <w:shd w:val="clear" w:color="auto" w:fill="auto"/>
            <w:noWrap/>
            <w:vAlign w:val="center"/>
          </w:tcPr>
          <w:p w14:paraId="05BDF931">
            <w:pPr>
              <w:widowControl/>
              <w:spacing w:line="240" w:lineRule="atLeast"/>
              <w:jc w:val="center"/>
              <w:rPr>
                <w:rFonts w:hint="eastAsia" w:ascii="Times New Roman" w:hAnsi="Times New Roman" w:eastAsia="宋体" w:cs="Times New Roman"/>
                <w:bCs w:val="0"/>
                <w:color w:val="000000"/>
                <w:kern w:val="0"/>
                <w:sz w:val="21"/>
                <w:szCs w:val="22"/>
                <w:lang w:eastAsia="zh-CN"/>
              </w:rPr>
            </w:pPr>
            <w:r>
              <w:rPr>
                <w:rFonts w:hint="eastAsia" w:cs="Times New Roman"/>
                <w:bCs w:val="0"/>
                <w:color w:val="000000"/>
                <w:kern w:val="0"/>
                <w:sz w:val="21"/>
                <w:szCs w:val="22"/>
                <w:lang w:val="en-US" w:eastAsia="zh-CN"/>
              </w:rPr>
              <w:t>棉花</w:t>
            </w:r>
            <w:r>
              <w:rPr>
                <w:rFonts w:hint="eastAsia" w:cs="Times New Roman"/>
                <w:bCs w:val="0"/>
                <w:color w:val="000000"/>
                <w:kern w:val="0"/>
                <w:sz w:val="21"/>
                <w:szCs w:val="22"/>
                <w:lang w:eastAsia="zh-CN"/>
              </w:rPr>
              <w:t>（</w:t>
            </w:r>
            <w:r>
              <w:rPr>
                <w:rFonts w:hint="eastAsia" w:cs="Times New Roman"/>
                <w:bCs w:val="0"/>
                <w:color w:val="000000"/>
                <w:kern w:val="0"/>
                <w:sz w:val="21"/>
                <w:szCs w:val="22"/>
                <w:lang w:val="en-US" w:eastAsia="zh-CN"/>
              </w:rPr>
              <w:t>猪粪</w:t>
            </w:r>
            <w:r>
              <w:rPr>
                <w:rFonts w:hint="eastAsia" w:cs="Times New Roman"/>
                <w:bCs w:val="0"/>
                <w:color w:val="000000"/>
                <w:kern w:val="0"/>
                <w:sz w:val="21"/>
                <w:szCs w:val="22"/>
                <w:lang w:eastAsia="zh-CN"/>
              </w:rPr>
              <w:t>）</w:t>
            </w:r>
          </w:p>
        </w:tc>
        <w:tc>
          <w:tcPr>
            <w:tcW w:w="918" w:type="pct"/>
            <w:vMerge w:val="restart"/>
            <w:shd w:val="clear" w:color="auto" w:fill="auto"/>
            <w:noWrap/>
            <w:vAlign w:val="center"/>
          </w:tcPr>
          <w:p w14:paraId="3784D976">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eastAsia" w:cs="Times New Roman"/>
                <w:bCs w:val="0"/>
                <w:color w:val="000000"/>
                <w:kern w:val="0"/>
                <w:sz w:val="21"/>
                <w:szCs w:val="22"/>
                <w:lang w:val="en-US" w:eastAsia="zh-CN"/>
              </w:rPr>
              <w:t>2.6</w:t>
            </w:r>
          </w:p>
        </w:tc>
        <w:tc>
          <w:tcPr>
            <w:tcW w:w="787" w:type="pct"/>
            <w:shd w:val="clear" w:color="auto" w:fill="auto"/>
            <w:noWrap/>
            <w:vAlign w:val="center"/>
          </w:tcPr>
          <w:p w14:paraId="733D0F59">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5.0~7.8</w:t>
            </w:r>
          </w:p>
        </w:tc>
        <w:tc>
          <w:tcPr>
            <w:tcW w:w="787" w:type="pct"/>
            <w:shd w:val="clear" w:color="auto" w:fill="auto"/>
            <w:noWrap/>
            <w:vAlign w:val="center"/>
          </w:tcPr>
          <w:p w14:paraId="2D525E3A">
            <w:pPr>
              <w:widowControl/>
              <w:spacing w:line="240" w:lineRule="atLeast"/>
              <w:jc w:val="center"/>
              <w:rPr>
                <w:rFonts w:hint="default" w:cs="Times New Roman"/>
                <w:bCs w:val="0"/>
                <w:color w:val="000000"/>
                <w:kern w:val="0"/>
                <w:sz w:val="21"/>
                <w:szCs w:val="22"/>
                <w:lang w:val="en-US" w:eastAsia="zh-CN"/>
              </w:rPr>
            </w:pPr>
            <w:r>
              <w:rPr>
                <w:rFonts w:hint="eastAsia" w:cs="Times New Roman"/>
                <w:bCs w:val="0"/>
                <w:color w:val="000000"/>
                <w:kern w:val="0"/>
                <w:sz w:val="21"/>
                <w:szCs w:val="22"/>
                <w:lang w:val="en-US" w:eastAsia="zh-CN"/>
              </w:rPr>
              <w:t>9.9~15.6</w:t>
            </w:r>
          </w:p>
        </w:tc>
        <w:tc>
          <w:tcPr>
            <w:tcW w:w="787" w:type="pct"/>
            <w:shd w:val="clear" w:color="auto" w:fill="auto"/>
            <w:noWrap/>
            <w:vAlign w:val="center"/>
          </w:tcPr>
          <w:p w14:paraId="65E12F01">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eastAsia" w:cs="Times New Roman"/>
                <w:bCs w:val="0"/>
                <w:color w:val="000000"/>
                <w:kern w:val="0"/>
                <w:sz w:val="21"/>
                <w:szCs w:val="22"/>
                <w:lang w:val="en-US" w:eastAsia="zh-CN"/>
              </w:rPr>
              <w:t>14.9~23.4</w:t>
            </w:r>
          </w:p>
        </w:tc>
        <w:tc>
          <w:tcPr>
            <w:tcW w:w="800" w:type="pct"/>
            <w:shd w:val="clear" w:color="auto" w:fill="auto"/>
            <w:noWrap/>
            <w:vAlign w:val="center"/>
          </w:tcPr>
          <w:p w14:paraId="32B962C3">
            <w:pPr>
              <w:widowControl/>
              <w:spacing w:line="240" w:lineRule="atLeast"/>
              <w:jc w:val="center"/>
              <w:rPr>
                <w:rFonts w:hint="default" w:cs="Times New Roman"/>
                <w:bCs w:val="0"/>
                <w:color w:val="000000"/>
                <w:kern w:val="0"/>
                <w:sz w:val="21"/>
                <w:szCs w:val="22"/>
                <w:lang w:val="en-US" w:eastAsia="zh-CN"/>
              </w:rPr>
            </w:pPr>
            <w:r>
              <w:rPr>
                <w:rFonts w:hint="eastAsia" w:cs="Times New Roman"/>
                <w:bCs w:val="0"/>
                <w:color w:val="000000"/>
                <w:kern w:val="0"/>
                <w:sz w:val="21"/>
                <w:szCs w:val="22"/>
                <w:lang w:val="en-US" w:eastAsia="zh-CN"/>
              </w:rPr>
              <w:t>19.9~31.2</w:t>
            </w:r>
          </w:p>
        </w:tc>
      </w:tr>
      <w:tr w14:paraId="067ED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8" w:type="pct"/>
            <w:shd w:val="clear" w:color="auto" w:fill="auto"/>
            <w:noWrap/>
            <w:vAlign w:val="center"/>
          </w:tcPr>
          <w:p w14:paraId="66BDA0B1">
            <w:pPr>
              <w:widowControl/>
              <w:spacing w:line="240" w:lineRule="atLeast"/>
              <w:jc w:val="center"/>
              <w:rPr>
                <w:rFonts w:hint="eastAsia" w:ascii="Times New Roman" w:hAnsi="Times New Roman" w:eastAsia="宋体" w:cs="Times New Roman"/>
                <w:bCs w:val="0"/>
                <w:color w:val="000000"/>
                <w:kern w:val="0"/>
                <w:sz w:val="21"/>
                <w:szCs w:val="22"/>
                <w:lang w:eastAsia="zh-CN"/>
              </w:rPr>
            </w:pPr>
            <w:r>
              <w:rPr>
                <w:rFonts w:hint="eastAsia" w:cs="Times New Roman"/>
                <w:bCs w:val="0"/>
                <w:color w:val="000000"/>
                <w:kern w:val="0"/>
                <w:sz w:val="21"/>
                <w:szCs w:val="22"/>
                <w:lang w:val="en-US" w:eastAsia="zh-CN"/>
              </w:rPr>
              <w:t>棉花</w:t>
            </w:r>
            <w:r>
              <w:rPr>
                <w:rFonts w:hint="eastAsia" w:cs="Times New Roman"/>
                <w:bCs w:val="0"/>
                <w:color w:val="000000"/>
                <w:kern w:val="0"/>
                <w:sz w:val="21"/>
                <w:szCs w:val="22"/>
                <w:lang w:eastAsia="zh-CN"/>
              </w:rPr>
              <w:t>（</w:t>
            </w:r>
            <w:r>
              <w:rPr>
                <w:rFonts w:hint="eastAsia" w:cs="Times New Roman"/>
                <w:bCs w:val="0"/>
                <w:color w:val="000000"/>
                <w:kern w:val="0"/>
                <w:sz w:val="21"/>
                <w:szCs w:val="22"/>
                <w:lang w:val="en-US" w:eastAsia="zh-CN"/>
              </w:rPr>
              <w:t>牛粪</w:t>
            </w:r>
            <w:r>
              <w:rPr>
                <w:rFonts w:hint="eastAsia" w:cs="Times New Roman"/>
                <w:bCs w:val="0"/>
                <w:color w:val="000000"/>
                <w:kern w:val="0"/>
                <w:sz w:val="21"/>
                <w:szCs w:val="22"/>
                <w:lang w:eastAsia="zh-CN"/>
              </w:rPr>
              <w:t>）</w:t>
            </w:r>
          </w:p>
        </w:tc>
        <w:tc>
          <w:tcPr>
            <w:tcW w:w="918" w:type="pct"/>
            <w:vMerge w:val="continue"/>
            <w:shd w:val="clear" w:color="auto" w:fill="auto"/>
            <w:noWrap/>
            <w:vAlign w:val="center"/>
          </w:tcPr>
          <w:p w14:paraId="45504F2B">
            <w:pPr>
              <w:widowControl/>
              <w:spacing w:line="240" w:lineRule="atLeast"/>
              <w:jc w:val="center"/>
              <w:rPr>
                <w:rFonts w:ascii="Times New Roman" w:hAnsi="Times New Roman" w:eastAsia="宋体" w:cs="Times New Roman"/>
                <w:bCs w:val="0"/>
                <w:color w:val="000000"/>
                <w:kern w:val="0"/>
                <w:sz w:val="21"/>
                <w:szCs w:val="22"/>
              </w:rPr>
            </w:pPr>
          </w:p>
        </w:tc>
        <w:tc>
          <w:tcPr>
            <w:tcW w:w="1348" w:type="dxa"/>
            <w:shd w:val="clear" w:color="auto" w:fill="auto"/>
            <w:noWrap/>
            <w:vAlign w:val="center"/>
          </w:tcPr>
          <w:p w14:paraId="3632E7FB">
            <w:pPr>
              <w:widowControl/>
              <w:spacing w:line="240" w:lineRule="atLeast"/>
              <w:jc w:val="center"/>
              <w:rPr>
                <w:rFonts w:hint="default" w:ascii="Times New Roman" w:hAnsi="Times New Roman" w:eastAsia="宋体" w:cs="Times New Roman"/>
                <w:b w:val="0"/>
                <w:bCs w:val="0"/>
                <w:color w:val="000000"/>
                <w:kern w:val="0"/>
                <w:sz w:val="21"/>
                <w:szCs w:val="22"/>
                <w:lang w:val="en-US" w:eastAsia="zh-CN"/>
              </w:rPr>
            </w:pPr>
            <w:r>
              <w:rPr>
                <w:rFonts w:hint="eastAsia" w:ascii="Times New Roman" w:hAnsi="Times New Roman" w:eastAsia="宋体" w:cs="Times New Roman"/>
                <w:bCs w:val="0"/>
                <w:color w:val="000000"/>
                <w:kern w:val="0"/>
                <w:sz w:val="21"/>
                <w:szCs w:val="22"/>
                <w:lang w:val="en-US" w:eastAsia="zh-CN"/>
              </w:rPr>
              <w:t>3.5</w:t>
            </w:r>
            <w:r>
              <w:rPr>
                <w:rFonts w:hint="default" w:ascii="Times New Roman" w:hAnsi="Times New Roman" w:eastAsia="宋体" w:cs="Times New Roman"/>
                <w:bCs w:val="0"/>
                <w:color w:val="000000"/>
                <w:kern w:val="0"/>
                <w:sz w:val="21"/>
                <w:szCs w:val="22"/>
                <w:lang w:val="en-US" w:eastAsia="zh-CN"/>
              </w:rPr>
              <w:t>~</w:t>
            </w:r>
            <w:r>
              <w:rPr>
                <w:rFonts w:hint="eastAsia" w:ascii="Times New Roman" w:hAnsi="Times New Roman" w:eastAsia="宋体" w:cs="Times New Roman"/>
                <w:bCs w:val="0"/>
                <w:color w:val="000000"/>
                <w:kern w:val="0"/>
                <w:sz w:val="21"/>
                <w:szCs w:val="22"/>
                <w:lang w:val="en-US" w:eastAsia="zh-CN"/>
              </w:rPr>
              <w:t>5.46</w:t>
            </w:r>
          </w:p>
        </w:tc>
        <w:tc>
          <w:tcPr>
            <w:tcW w:w="1348" w:type="dxa"/>
            <w:shd w:val="clear" w:color="auto" w:fill="auto"/>
            <w:noWrap/>
            <w:vAlign w:val="center"/>
          </w:tcPr>
          <w:p w14:paraId="6BBEDDC1">
            <w:pPr>
              <w:widowControl/>
              <w:spacing w:line="240" w:lineRule="atLeast"/>
              <w:jc w:val="center"/>
              <w:rPr>
                <w:rFonts w:hint="default" w:cs="Times New Roman"/>
                <w:b w:val="0"/>
                <w:bCs w:val="0"/>
                <w:color w:val="000000"/>
                <w:kern w:val="0"/>
                <w:sz w:val="21"/>
                <w:szCs w:val="22"/>
                <w:lang w:val="en-US" w:eastAsia="zh-CN"/>
              </w:rPr>
            </w:pPr>
            <w:r>
              <w:rPr>
                <w:rFonts w:hint="eastAsia" w:cs="Times New Roman"/>
                <w:bCs w:val="0"/>
                <w:color w:val="000000"/>
                <w:kern w:val="0"/>
                <w:sz w:val="21"/>
                <w:szCs w:val="22"/>
                <w:lang w:val="en-US" w:eastAsia="zh-CN"/>
              </w:rPr>
              <w:t>6.93~10.92</w:t>
            </w:r>
          </w:p>
        </w:tc>
        <w:tc>
          <w:tcPr>
            <w:tcW w:w="1348" w:type="dxa"/>
            <w:shd w:val="clear" w:color="auto" w:fill="auto"/>
            <w:noWrap/>
            <w:vAlign w:val="center"/>
          </w:tcPr>
          <w:p w14:paraId="75792199">
            <w:pPr>
              <w:widowControl/>
              <w:spacing w:line="240" w:lineRule="atLeast"/>
              <w:jc w:val="center"/>
              <w:rPr>
                <w:rFonts w:hint="default" w:ascii="Times New Roman" w:hAnsi="Times New Roman" w:eastAsia="宋体" w:cs="Times New Roman"/>
                <w:b w:val="0"/>
                <w:bCs w:val="0"/>
                <w:color w:val="000000"/>
                <w:kern w:val="0"/>
                <w:sz w:val="21"/>
                <w:szCs w:val="22"/>
                <w:lang w:val="en-US" w:eastAsia="zh-CN"/>
              </w:rPr>
            </w:pPr>
            <w:r>
              <w:rPr>
                <w:rFonts w:hint="eastAsia" w:cs="Times New Roman"/>
                <w:bCs w:val="0"/>
                <w:color w:val="000000"/>
                <w:kern w:val="0"/>
                <w:sz w:val="21"/>
                <w:szCs w:val="22"/>
                <w:lang w:val="en-US" w:eastAsia="zh-CN"/>
              </w:rPr>
              <w:t>10.43~16.38</w:t>
            </w:r>
          </w:p>
        </w:tc>
        <w:tc>
          <w:tcPr>
            <w:tcW w:w="1373" w:type="dxa"/>
            <w:shd w:val="clear" w:color="auto" w:fill="auto"/>
            <w:noWrap/>
            <w:vAlign w:val="center"/>
          </w:tcPr>
          <w:p w14:paraId="7EED81CB">
            <w:pPr>
              <w:widowControl/>
              <w:spacing w:line="240" w:lineRule="atLeast"/>
              <w:jc w:val="center"/>
              <w:rPr>
                <w:rFonts w:hint="default" w:cs="Times New Roman"/>
                <w:b w:val="0"/>
                <w:bCs w:val="0"/>
                <w:color w:val="000000"/>
                <w:kern w:val="0"/>
                <w:sz w:val="21"/>
                <w:szCs w:val="22"/>
                <w:lang w:val="en-US" w:eastAsia="zh-CN"/>
              </w:rPr>
            </w:pPr>
            <w:r>
              <w:rPr>
                <w:rFonts w:hint="eastAsia" w:cs="Times New Roman"/>
                <w:bCs w:val="0"/>
                <w:color w:val="000000"/>
                <w:kern w:val="0"/>
                <w:sz w:val="21"/>
                <w:szCs w:val="22"/>
                <w:lang w:val="en-US" w:eastAsia="zh-CN"/>
              </w:rPr>
              <w:t>13.93~21.84</w:t>
            </w:r>
          </w:p>
        </w:tc>
      </w:tr>
      <w:tr w14:paraId="7C4DF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00" w:type="pct"/>
            <w:gridSpan w:val="6"/>
            <w:shd w:val="clear" w:color="auto" w:fill="auto"/>
            <w:noWrap/>
            <w:vAlign w:val="center"/>
          </w:tcPr>
          <w:p w14:paraId="35D777C1">
            <w:pPr>
              <w:widowControl/>
              <w:spacing w:line="240" w:lineRule="atLeast"/>
              <w:jc w:val="center"/>
              <w:rPr>
                <w:rFonts w:hint="eastAsia" w:cs="Times New Roman"/>
                <w:b w:val="0"/>
                <w:bCs w:val="0"/>
                <w:color w:val="000000"/>
                <w:kern w:val="0"/>
                <w:sz w:val="21"/>
                <w:szCs w:val="22"/>
                <w:lang w:val="en-US" w:eastAsia="zh-CN"/>
              </w:rPr>
            </w:pPr>
            <w:r>
              <w:rPr>
                <w:rFonts w:ascii="Times New Roman" w:hAnsi="Times New Roman" w:eastAsia="宋体" w:cs="Times New Roman"/>
                <w:bCs w:val="0"/>
                <w:color w:val="000000"/>
                <w:kern w:val="0"/>
                <w:sz w:val="21"/>
                <w:szCs w:val="22"/>
              </w:rPr>
              <w:t>表中15%、30%、45%、60%指粪肥施用量占施肥总量的百分比</w:t>
            </w:r>
            <w:r>
              <w:rPr>
                <w:rFonts w:hint="eastAsia" w:cs="Times New Roman"/>
                <w:bCs w:val="0"/>
                <w:color w:val="000000"/>
                <w:kern w:val="0"/>
                <w:sz w:val="21"/>
                <w:szCs w:val="22"/>
                <w:lang w:eastAsia="zh-CN"/>
              </w:rPr>
              <w:t>（</w:t>
            </w:r>
            <w:r>
              <w:rPr>
                <w:rFonts w:ascii="Times New Roman" w:hAnsi="Times New Roman" w:eastAsia="宋体" w:cs="Times New Roman"/>
                <w:bCs w:val="0"/>
                <w:color w:val="000000"/>
                <w:kern w:val="0"/>
                <w:sz w:val="21"/>
                <w:szCs w:val="22"/>
              </w:rPr>
              <w:t>以氮计</w:t>
            </w:r>
            <w:r>
              <w:rPr>
                <w:rFonts w:hint="eastAsia" w:cs="Times New Roman"/>
                <w:bCs w:val="0"/>
                <w:color w:val="000000"/>
                <w:kern w:val="0"/>
                <w:sz w:val="21"/>
                <w:szCs w:val="22"/>
                <w:lang w:eastAsia="zh-CN"/>
              </w:rPr>
              <w:t>），</w:t>
            </w:r>
            <w:r>
              <w:rPr>
                <w:rFonts w:ascii="Times New Roman" w:hAnsi="Times New Roman" w:eastAsia="宋体" w:cs="Times New Roman"/>
                <w:bCs w:val="0"/>
                <w:color w:val="000000"/>
                <w:kern w:val="0"/>
                <w:sz w:val="21"/>
                <w:szCs w:val="22"/>
              </w:rPr>
              <w:t>粪肥施用量可根据含水率40%的猪粪肥计算</w:t>
            </w:r>
            <w:r>
              <w:rPr>
                <w:rFonts w:hint="eastAsia" w:cs="Times New Roman"/>
                <w:bCs w:val="0"/>
                <w:color w:val="000000"/>
                <w:kern w:val="0"/>
                <w:sz w:val="21"/>
                <w:szCs w:val="22"/>
                <w:lang w:eastAsia="zh-CN"/>
              </w:rPr>
              <w:t>，</w:t>
            </w:r>
            <w:r>
              <w:rPr>
                <w:rFonts w:ascii="Times New Roman" w:hAnsi="Times New Roman" w:eastAsia="宋体" w:cs="Times New Roman"/>
                <w:bCs w:val="0"/>
                <w:color w:val="000000"/>
                <w:kern w:val="0"/>
                <w:sz w:val="21"/>
                <w:szCs w:val="22"/>
              </w:rPr>
              <w:t>如果施用牛粪肥料可根据猪粪肥换算</w:t>
            </w:r>
            <w:r>
              <w:rPr>
                <w:rFonts w:hint="eastAsia" w:cs="Times New Roman"/>
                <w:bCs w:val="0"/>
                <w:color w:val="000000"/>
                <w:kern w:val="0"/>
                <w:sz w:val="21"/>
                <w:szCs w:val="22"/>
                <w:lang w:eastAsia="zh-CN"/>
              </w:rPr>
              <w:t>，</w:t>
            </w:r>
            <w:r>
              <w:rPr>
                <w:rFonts w:ascii="Times New Roman" w:hAnsi="Times New Roman" w:eastAsia="宋体" w:cs="Times New Roman"/>
                <w:bCs w:val="0"/>
                <w:color w:val="000000"/>
                <w:kern w:val="0"/>
                <w:sz w:val="21"/>
                <w:szCs w:val="22"/>
              </w:rPr>
              <w:t>其换算系数为</w:t>
            </w:r>
            <w:r>
              <w:rPr>
                <w:rFonts w:hint="eastAsia" w:cs="Times New Roman"/>
                <w:bCs w:val="0"/>
                <w:color w:val="000000"/>
                <w:kern w:val="0"/>
                <w:sz w:val="21"/>
                <w:szCs w:val="22"/>
                <w:lang w:eastAsia="zh-CN"/>
              </w:rPr>
              <w:t>：</w:t>
            </w:r>
            <w:r>
              <w:rPr>
                <w:rFonts w:ascii="Times New Roman" w:hAnsi="Times New Roman" w:eastAsia="宋体" w:cs="Times New Roman"/>
                <w:bCs w:val="0"/>
                <w:color w:val="000000"/>
                <w:kern w:val="0"/>
                <w:sz w:val="21"/>
                <w:szCs w:val="22"/>
              </w:rPr>
              <w:t>牛粪0.7。</w:t>
            </w:r>
          </w:p>
        </w:tc>
      </w:tr>
    </w:tbl>
    <w:p w14:paraId="58C093AA">
      <w:pPr>
        <w:widowControl w:val="0"/>
        <w:spacing w:line="360" w:lineRule="auto"/>
        <w:ind w:firstLine="480" w:firstLineChars="200"/>
        <w:jc w:val="both"/>
        <w:rPr>
          <w:rFonts w:hint="default" w:ascii="Times New Roman" w:hAnsi="Times New Roman" w:eastAsia="宋体" w:cs="Times New Roman"/>
          <w:color w:val="auto"/>
          <w:sz w:val="24"/>
          <w:szCs w:val="24"/>
          <w:highlight w:val="yellow"/>
          <w:lang w:val="en-US" w:eastAsia="zh-CN" w:bidi="ar-SA"/>
        </w:rPr>
      </w:pPr>
      <w:r>
        <w:rPr>
          <w:rFonts w:hint="eastAsia" w:cs="Times New Roman"/>
          <w:color w:val="auto"/>
          <w:sz w:val="24"/>
          <w:szCs w:val="24"/>
          <w:lang w:val="en-US" w:eastAsia="zh-CN" w:bidi="ar-SA"/>
        </w:rPr>
        <w:t>根据调查，项目周边农田主要作物为棉花，粪肥施用量占施肥总量比例为60%，</w:t>
      </w:r>
      <w:r>
        <w:rPr>
          <w:rFonts w:hint="eastAsia" w:eastAsia="宋体" w:cs="Times New Roman"/>
          <w:color w:val="auto"/>
          <w:kern w:val="2"/>
          <w:sz w:val="24"/>
          <w:szCs w:val="24"/>
          <w:highlight w:val="none"/>
          <w:lang w:val="en-US" w:eastAsia="zh-CN" w:bidi="ar-SA"/>
        </w:rPr>
        <w:t>本项目固体粪便堆肥外供，</w:t>
      </w:r>
      <w:r>
        <w:rPr>
          <w:rFonts w:hint="eastAsia" w:cs="Times New Roman"/>
          <w:color w:val="auto"/>
          <w:kern w:val="2"/>
          <w:sz w:val="24"/>
          <w:szCs w:val="24"/>
          <w:highlight w:val="none"/>
          <w:lang w:val="en-US" w:eastAsia="zh-CN" w:bidi="ar-SA"/>
        </w:rPr>
        <w:t>产生牛粪11913.6t/a</w:t>
      </w:r>
      <w:r>
        <w:rPr>
          <w:rFonts w:hint="eastAsia" w:cs="Times New Roman"/>
          <w:color w:val="auto"/>
          <w:sz w:val="24"/>
          <w:szCs w:val="24"/>
          <w:highlight w:val="none"/>
          <w:lang w:val="en-US" w:eastAsia="zh-CN" w:bidi="ar-SA"/>
        </w:rPr>
        <w:t>，牛粪经发酵床发酵后，含水率从原来的80%降低至30%，发酵垫料220t/a，因此发酵结束后固态肥共3623.89t/a，因此本项目</w:t>
      </w:r>
      <w:r>
        <w:rPr>
          <w:rFonts w:hint="eastAsia" w:cs="Times New Roman"/>
          <w:color w:val="auto"/>
          <w:kern w:val="2"/>
          <w:sz w:val="24"/>
          <w:szCs w:val="24"/>
          <w:highlight w:val="none"/>
          <w:lang w:val="en-US" w:eastAsia="zh-CN" w:bidi="ar-SA"/>
        </w:rPr>
        <w:t>还田至少需要165.93公顷农田，本项目共签订350公顷地（折合5250亩）用于粪肥还田。</w:t>
      </w:r>
    </w:p>
    <w:p w14:paraId="1D7E7B5D">
      <w:pPr>
        <w:widowControl/>
        <w:spacing w:line="360" w:lineRule="auto"/>
        <w:ind w:firstLine="482"/>
        <w:rPr>
          <w:rFonts w:hint="eastAsia" w:cs="Times New Roman"/>
          <w:bCs/>
          <w:color w:val="000000"/>
          <w:sz w:val="24"/>
          <w:lang w:val="en-US" w:eastAsia="zh-CN"/>
        </w:rPr>
      </w:pPr>
      <w:r>
        <w:rPr>
          <w:rFonts w:hint="eastAsia" w:cs="Times New Roman"/>
          <w:bCs/>
          <w:color w:val="000000"/>
          <w:sz w:val="24"/>
          <w:lang w:val="en-US" w:eastAsia="zh-CN"/>
        </w:rPr>
        <w:t>根据《畜禽粪肥还田技术规范》（GB/T25246—2025）不具备田间试验和土肥分析化验的条件下施肥量的计算公式：</w:t>
      </w:r>
    </w:p>
    <w:p w14:paraId="0CB77EEF">
      <w:pPr>
        <w:widowControl/>
        <w:spacing w:line="360" w:lineRule="auto"/>
        <w:ind w:firstLine="482"/>
        <w:rPr>
          <w:rFonts w:hint="default" w:cs="Times New Roman"/>
          <w:bCs/>
          <w:color w:val="000000"/>
          <w:sz w:val="24"/>
          <w:lang w:val="en-US" w:eastAsia="zh-CN"/>
        </w:rPr>
      </w:pPr>
      <m:oMathPara>
        <m:oMath>
          <m:r>
            <m:rPr/>
            <w:rPr>
              <w:rFonts w:hint="eastAsia" w:ascii="Cambria Math" w:hAnsi="Cambria Math" w:cs="Times New Roman"/>
              <w:color w:val="000000"/>
              <w:kern w:val="2"/>
              <w:sz w:val="24"/>
              <w:szCs w:val="24"/>
              <w:lang w:val="en-US" w:eastAsia="zh-CN" w:bidi="ar-SA"/>
            </w:rPr>
            <m:t>N</m:t>
          </m:r>
          <m:r>
            <m:rPr/>
            <w:rPr>
              <w:rFonts w:hint="default" w:ascii="Cambria Math" w:hAnsi="Cambria Math" w:cs="Times New Roman"/>
              <w:color w:val="000000"/>
              <w:kern w:val="2"/>
              <w:sz w:val="24"/>
              <w:szCs w:val="24"/>
              <w:lang w:val="en-US" w:eastAsia="zh-CN" w:bidi="ar-SA"/>
            </w:rPr>
            <m:t>=</m:t>
          </m:r>
          <m:f>
            <m:fPr>
              <m:ctrlPr>
                <w:rPr>
                  <w:rFonts w:hint="default" w:ascii="Cambria Math" w:hAnsi="Cambria Math" w:cs="Times New Roman"/>
                  <w:bCs/>
                  <w:i/>
                  <w:color w:val="000000"/>
                  <w:kern w:val="2"/>
                  <w:sz w:val="24"/>
                  <w:szCs w:val="24"/>
                  <w:lang w:val="en-US" w:eastAsia="zh-CN" w:bidi="ar-SA"/>
                </w:rPr>
              </m:ctrlPr>
            </m:fPr>
            <m:num>
              <m:r>
                <m:rPr/>
                <w:rPr>
                  <w:rFonts w:hint="default" w:ascii="Cambria Math" w:hAnsi="Cambria Math" w:cs="Times New Roman"/>
                  <w:color w:val="000000"/>
                  <w:kern w:val="2"/>
                  <w:sz w:val="24"/>
                  <w:szCs w:val="24"/>
                  <w:lang w:val="en-US" w:eastAsia="zh-CN" w:bidi="ar-SA"/>
                </w:rPr>
                <m:t>A</m:t>
              </m:r>
              <m:r>
                <m:rPr/>
                <w:rPr>
                  <w:rFonts w:hint="eastAsia" w:ascii="Cambria Math" w:hAnsi="Cambria Math" w:cs="Times New Roman"/>
                  <w:color w:val="000000"/>
                  <w:kern w:val="2"/>
                  <w:sz w:val="24"/>
                  <w:szCs w:val="24"/>
                  <w:lang w:val="en-US" w:eastAsia="zh-CN" w:bidi="ar-SA"/>
                </w:rPr>
                <m:t>×</m:t>
              </m:r>
              <m:r>
                <m:rPr/>
                <w:rPr>
                  <w:rFonts w:hint="default" w:ascii="Cambria Math" w:hAnsi="Cambria Math" w:cs="Times New Roman"/>
                  <w:color w:val="000000"/>
                  <w:kern w:val="2"/>
                  <w:sz w:val="24"/>
                  <w:szCs w:val="24"/>
                  <w:lang w:val="en-US" w:eastAsia="zh-CN" w:bidi="ar-SA"/>
                </w:rPr>
                <m:t>p</m:t>
              </m:r>
              <m:ctrlPr>
                <w:rPr>
                  <w:rFonts w:hint="default" w:ascii="Cambria Math" w:hAnsi="Cambria Math" w:cs="Times New Roman"/>
                  <w:bCs/>
                  <w:i/>
                  <w:color w:val="000000"/>
                  <w:kern w:val="2"/>
                  <w:sz w:val="24"/>
                  <w:szCs w:val="24"/>
                  <w:lang w:val="en-US" w:eastAsia="zh-CN" w:bidi="ar-SA"/>
                </w:rPr>
              </m:ctrlPr>
            </m:num>
            <m:den>
              <m:r>
                <m:rPr/>
                <w:rPr>
                  <w:rFonts w:hint="default" w:ascii="Cambria Math" w:hAnsi="Cambria Math" w:cs="Times New Roman"/>
                  <w:color w:val="000000"/>
                  <w:kern w:val="2"/>
                  <w:sz w:val="24"/>
                  <w:szCs w:val="24"/>
                  <w:lang w:val="en-US" w:eastAsia="zh-CN" w:bidi="ar-SA"/>
                </w:rPr>
                <m:t>d</m:t>
              </m:r>
              <m:r>
                <m:rPr/>
                <w:rPr>
                  <w:rFonts w:hint="eastAsia" w:ascii="Cambria Math" w:hAnsi="Cambria Math" w:cs="Times New Roman"/>
                  <w:color w:val="000000"/>
                  <w:kern w:val="2"/>
                  <w:sz w:val="24"/>
                  <w:szCs w:val="24"/>
                  <w:lang w:val="en-US" w:eastAsia="zh-CN" w:bidi="ar-SA"/>
                </w:rPr>
                <m:t>×</m:t>
              </m:r>
              <m:r>
                <m:rPr/>
                <w:rPr>
                  <w:rFonts w:hint="default" w:ascii="Cambria Math" w:hAnsi="Cambria Math" w:cs="Times New Roman"/>
                  <w:color w:val="000000"/>
                  <w:kern w:val="2"/>
                  <w:sz w:val="24"/>
                  <w:szCs w:val="24"/>
                  <w:lang w:val="en-US" w:eastAsia="zh-CN" w:bidi="ar-SA"/>
                </w:rPr>
                <m:t>r</m:t>
              </m:r>
              <m:ctrlPr>
                <w:rPr>
                  <w:rFonts w:hint="default" w:ascii="Cambria Math" w:hAnsi="Cambria Math" w:cs="Times New Roman"/>
                  <w:bCs/>
                  <w:i/>
                  <w:color w:val="000000"/>
                  <w:kern w:val="2"/>
                  <w:sz w:val="24"/>
                  <w:szCs w:val="24"/>
                  <w:lang w:val="en-US" w:eastAsia="zh-CN" w:bidi="ar-SA"/>
                </w:rPr>
              </m:ctrlPr>
            </m:den>
          </m:f>
          <m:r>
            <m:rPr/>
            <w:rPr>
              <w:rFonts w:hint="eastAsia" w:ascii="Cambria Math" w:hAnsi="Cambria Math" w:cs="Times New Roman"/>
              <w:color w:val="000000"/>
              <w:kern w:val="2"/>
              <w:sz w:val="24"/>
              <w:szCs w:val="24"/>
              <w:lang w:val="en-US" w:eastAsia="zh-CN" w:bidi="ar-SA"/>
            </w:rPr>
            <m:t>×</m:t>
          </m:r>
          <m:r>
            <m:rPr/>
            <w:rPr>
              <w:rFonts w:hint="default" w:ascii="Cambria Math" w:hAnsi="Cambria Math" w:cs="Times New Roman"/>
              <w:color w:val="000000"/>
              <w:kern w:val="2"/>
              <w:sz w:val="24"/>
              <w:szCs w:val="24"/>
              <w:lang w:val="en-US" w:eastAsia="zh-CN" w:bidi="ar-SA"/>
            </w:rPr>
            <m:t>f</m:t>
          </m:r>
        </m:oMath>
      </m:oMathPara>
    </w:p>
    <w:p w14:paraId="2B1B7646">
      <w:pPr>
        <w:widowControl/>
        <w:spacing w:line="360" w:lineRule="auto"/>
        <w:ind w:firstLine="482"/>
        <w:rPr>
          <w:rFonts w:hint="eastAsia"/>
          <w:bCs/>
          <w:color w:val="000000"/>
          <w:sz w:val="24"/>
          <w:lang w:val="en-US" w:eastAsia="zh-CN"/>
        </w:rPr>
      </w:pPr>
      <w:r>
        <w:rPr>
          <w:rFonts w:hint="eastAsia"/>
          <w:bCs/>
          <w:color w:val="000000"/>
          <w:sz w:val="24"/>
          <w:lang w:val="en-US" w:eastAsia="zh-CN"/>
        </w:rPr>
        <w:t>式中：</w:t>
      </w:r>
    </w:p>
    <w:p w14:paraId="02043B3E">
      <w:pPr>
        <w:widowControl/>
        <w:spacing w:line="360" w:lineRule="auto"/>
        <w:ind w:firstLine="482"/>
        <w:rPr>
          <w:rFonts w:hint="default"/>
          <w:bCs/>
          <w:color w:val="000000"/>
          <w:sz w:val="24"/>
          <w:lang w:val="en-US" w:eastAsia="zh-CN"/>
        </w:rPr>
      </w:pPr>
      <w:r>
        <w:rPr>
          <w:rFonts w:hint="eastAsia"/>
          <w:bCs/>
          <w:color w:val="000000"/>
          <w:sz w:val="24"/>
          <w:lang w:val="en-US" w:eastAsia="zh-CN"/>
        </w:rPr>
        <w:t>N—一定肥力和单位面积作物预期产量下需要投入的某种营养元素的量，固体粪肥施用量单位为吨每公顷（t/hm</w:t>
      </w:r>
      <w:r>
        <w:rPr>
          <w:rFonts w:hint="eastAsia"/>
          <w:bCs/>
          <w:color w:val="000000"/>
          <w:sz w:val="24"/>
          <w:vertAlign w:val="superscript"/>
          <w:lang w:val="en-US" w:eastAsia="zh-CN"/>
        </w:rPr>
        <w:t>2</w:t>
      </w:r>
      <w:r>
        <w:rPr>
          <w:rFonts w:hint="eastAsia"/>
          <w:bCs/>
          <w:color w:val="000000"/>
          <w:sz w:val="24"/>
          <w:lang w:val="en-US" w:eastAsia="zh-CN"/>
        </w:rPr>
        <w:t>），液体粪肥施用量单位为立方米每公顷（m</w:t>
      </w:r>
      <w:r>
        <w:rPr>
          <w:rFonts w:hint="eastAsia"/>
          <w:bCs/>
          <w:color w:val="000000"/>
          <w:sz w:val="24"/>
          <w:vertAlign w:val="superscript"/>
          <w:lang w:val="en-US" w:eastAsia="zh-CN"/>
        </w:rPr>
        <w:t>3</w:t>
      </w:r>
      <w:r>
        <w:rPr>
          <w:rFonts w:hint="eastAsia"/>
          <w:bCs/>
          <w:color w:val="000000"/>
          <w:sz w:val="24"/>
          <w:lang w:val="en-US" w:eastAsia="zh-CN"/>
        </w:rPr>
        <w:t>/hm</w:t>
      </w:r>
      <w:r>
        <w:rPr>
          <w:rFonts w:hint="eastAsia"/>
          <w:bCs/>
          <w:color w:val="000000"/>
          <w:sz w:val="24"/>
          <w:vertAlign w:val="superscript"/>
          <w:lang w:val="en-US" w:eastAsia="zh-CN"/>
        </w:rPr>
        <w:t>2</w:t>
      </w:r>
      <w:r>
        <w:rPr>
          <w:rFonts w:hint="eastAsia"/>
          <w:bCs/>
          <w:color w:val="000000"/>
          <w:sz w:val="24"/>
          <w:lang w:val="en-US" w:eastAsia="zh-CN"/>
        </w:rPr>
        <w:t>）；氮元素0.19t/hm</w:t>
      </w:r>
      <w:r>
        <w:rPr>
          <w:rFonts w:hint="eastAsia"/>
          <w:bCs/>
          <w:color w:val="000000"/>
          <w:sz w:val="24"/>
          <w:vertAlign w:val="superscript"/>
          <w:lang w:val="en-US" w:eastAsia="zh-CN"/>
        </w:rPr>
        <w:t>2</w:t>
      </w:r>
      <w:r>
        <w:rPr>
          <w:rFonts w:hint="eastAsia"/>
          <w:bCs/>
          <w:color w:val="000000"/>
          <w:sz w:val="24"/>
          <w:lang w:val="en-US" w:eastAsia="zh-CN"/>
        </w:rPr>
        <w:t>，磷元素0.17t/hm</w:t>
      </w:r>
      <w:r>
        <w:rPr>
          <w:rFonts w:hint="eastAsia"/>
          <w:bCs/>
          <w:color w:val="000000"/>
          <w:sz w:val="24"/>
          <w:vertAlign w:val="superscript"/>
          <w:lang w:val="en-US" w:eastAsia="zh-CN"/>
        </w:rPr>
        <w:t>2</w:t>
      </w:r>
    </w:p>
    <w:p w14:paraId="41FE1C36">
      <w:pPr>
        <w:widowControl/>
        <w:spacing w:line="360" w:lineRule="auto"/>
        <w:ind w:firstLine="482"/>
        <w:rPr>
          <w:rFonts w:hint="eastAsia"/>
          <w:bCs/>
          <w:color w:val="000000"/>
          <w:sz w:val="24"/>
          <w:vertAlign w:val="baseline"/>
          <w:lang w:val="en-US" w:eastAsia="zh-CN"/>
        </w:rPr>
      </w:pPr>
      <w:r>
        <w:rPr>
          <w:rFonts w:hint="eastAsia"/>
          <w:bCs/>
          <w:color w:val="000000"/>
          <w:sz w:val="24"/>
          <w:lang w:val="en-US" w:eastAsia="zh-CN"/>
        </w:rPr>
        <w:t>A—预期单位面积产量下作物需要吸收的营养元素的量，单位为吨每公顷（t/hm</w:t>
      </w:r>
      <w:r>
        <w:rPr>
          <w:rFonts w:hint="eastAsia"/>
          <w:bCs/>
          <w:color w:val="000000"/>
          <w:sz w:val="24"/>
          <w:vertAlign w:val="superscript"/>
          <w:lang w:val="en-US" w:eastAsia="zh-CN"/>
        </w:rPr>
        <w:t>2</w:t>
      </w:r>
      <w:r>
        <w:rPr>
          <w:rFonts w:hint="eastAsia"/>
          <w:bCs/>
          <w:color w:val="000000"/>
          <w:sz w:val="24"/>
          <w:lang w:val="en-US" w:eastAsia="zh-CN"/>
        </w:rPr>
        <w:t>）；A=y×a×10</w:t>
      </w:r>
      <w:r>
        <w:rPr>
          <w:rFonts w:hint="eastAsia"/>
          <w:bCs/>
          <w:color w:val="000000"/>
          <w:sz w:val="24"/>
          <w:vertAlign w:val="superscript"/>
          <w:lang w:val="en-US" w:eastAsia="zh-CN"/>
        </w:rPr>
        <w:t>-2</w:t>
      </w:r>
      <w:r>
        <w:rPr>
          <w:rFonts w:hint="eastAsia"/>
          <w:bCs/>
          <w:color w:val="000000"/>
          <w:sz w:val="24"/>
          <w:vertAlign w:val="baseline"/>
          <w:lang w:val="en-US" w:eastAsia="zh-CN"/>
        </w:rPr>
        <w:t>；式中：y—预期单位面积产量，单位为吨每公顷</w:t>
      </w:r>
      <w:r>
        <w:rPr>
          <w:rFonts w:hint="eastAsia"/>
          <w:bCs/>
          <w:color w:val="000000"/>
          <w:sz w:val="24"/>
          <w:lang w:val="en-US" w:eastAsia="zh-CN"/>
        </w:rPr>
        <w:t>（t/hm</w:t>
      </w:r>
      <w:r>
        <w:rPr>
          <w:rFonts w:hint="eastAsia"/>
          <w:bCs/>
          <w:color w:val="000000"/>
          <w:sz w:val="24"/>
          <w:vertAlign w:val="superscript"/>
          <w:lang w:val="en-US" w:eastAsia="zh-CN"/>
        </w:rPr>
        <w:t>2</w:t>
      </w:r>
      <w:r>
        <w:rPr>
          <w:rFonts w:hint="eastAsia"/>
          <w:bCs/>
          <w:color w:val="000000"/>
          <w:sz w:val="24"/>
          <w:lang w:val="en-US" w:eastAsia="zh-CN"/>
        </w:rPr>
        <w:t>），根据建设单位提供资料，125团棉花产量约470kg/亩，折算为7.05t/hm</w:t>
      </w:r>
      <w:r>
        <w:rPr>
          <w:rFonts w:hint="eastAsia"/>
          <w:bCs/>
          <w:color w:val="000000"/>
          <w:sz w:val="24"/>
          <w:vertAlign w:val="superscript"/>
          <w:lang w:val="en-US" w:eastAsia="zh-CN"/>
        </w:rPr>
        <w:t>2</w:t>
      </w:r>
      <w:r>
        <w:rPr>
          <w:rFonts w:hint="eastAsia"/>
          <w:bCs/>
          <w:color w:val="000000"/>
          <w:sz w:val="24"/>
          <w:vertAlign w:val="baseline"/>
          <w:lang w:val="en-US" w:eastAsia="zh-CN"/>
        </w:rPr>
        <w:t>；a—作物形成100千克产量吸收的氮磷元素的量，单位为千克（kg）。</w:t>
      </w:r>
    </w:p>
    <w:p w14:paraId="4A58F78E">
      <w:pPr>
        <w:spacing w:before="156" w:beforeLines="50"/>
        <w:jc w:val="center"/>
        <w:rPr>
          <w:rFonts w:hint="default" w:ascii="Times New Roman" w:hAnsi="Times New Roman" w:eastAsia="宋体" w:cs="Times New Roman"/>
          <w:b/>
          <w:bCs w:val="0"/>
          <w:kern w:val="0"/>
          <w:sz w:val="24"/>
          <w:highlight w:val="none"/>
          <w:lang w:val="en-US"/>
        </w:rPr>
      </w:pPr>
      <w:r>
        <w:rPr>
          <w:rFonts w:ascii="Times New Roman" w:hAnsi="宋体" w:eastAsia="宋体" w:cs="Times New Roman"/>
          <w:b/>
          <w:bCs w:val="0"/>
          <w:kern w:val="0"/>
          <w:sz w:val="24"/>
          <w:highlight w:val="none"/>
          <w:lang w:eastAsia="zh-TW"/>
        </w:rPr>
        <w:t>表</w:t>
      </w:r>
      <w:r>
        <w:rPr>
          <w:rFonts w:hint="eastAsia" w:ascii="Times New Roman" w:hAnsi="宋体" w:eastAsia="宋体" w:cs="Times New Roman"/>
          <w:b/>
          <w:bCs w:val="0"/>
          <w:kern w:val="0"/>
          <w:sz w:val="24"/>
          <w:highlight w:val="none"/>
          <w:lang w:eastAsia="zh-TW"/>
        </w:rPr>
        <w:t>5.2</w:t>
      </w:r>
      <w:r>
        <w:rPr>
          <w:rFonts w:hint="eastAsia" w:ascii="Times New Roman" w:hAnsi="宋体" w:eastAsia="宋体" w:cs="Times New Roman"/>
          <w:b/>
          <w:bCs w:val="0"/>
          <w:kern w:val="0"/>
          <w:sz w:val="24"/>
          <w:highlight w:val="none"/>
          <w:lang w:val="en-US" w:eastAsia="zh-TW"/>
        </w:rPr>
        <w:t>-</w:t>
      </w:r>
      <w:r>
        <w:rPr>
          <w:rFonts w:hint="eastAsia" w:hAnsi="宋体" w:cs="Times New Roman"/>
          <w:b/>
          <w:bCs w:val="0"/>
          <w:kern w:val="0"/>
          <w:sz w:val="24"/>
          <w:highlight w:val="none"/>
          <w:lang w:val="en-US" w:eastAsia="zh-CN"/>
        </w:rPr>
        <w:t>29作物形成100千克产量吸收的氮磷元素的量 单位：千克</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80"/>
        <w:gridCol w:w="2288"/>
        <w:gridCol w:w="1958"/>
        <w:gridCol w:w="1958"/>
        <w:gridCol w:w="20"/>
      </w:tblGrid>
      <w:tr w14:paraId="11C774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685" w:type="pct"/>
            <w:gridSpan w:val="2"/>
            <w:shd w:val="clear" w:color="auto" w:fill="auto"/>
            <w:noWrap/>
            <w:vAlign w:val="center"/>
          </w:tcPr>
          <w:p w14:paraId="1ADD8FA9">
            <w:pPr>
              <w:spacing w:line="240" w:lineRule="atLeast"/>
              <w:jc w:val="center"/>
              <w:rPr>
                <w:rFonts w:hint="eastAsia" w:ascii="Times New Roman" w:hAnsi="Times New Roman" w:eastAsia="宋体" w:cs="Times New Roman"/>
                <w:b/>
                <w:bCs w:val="0"/>
                <w:color w:val="000000"/>
                <w:kern w:val="0"/>
                <w:sz w:val="21"/>
                <w:szCs w:val="22"/>
                <w:lang w:val="en-US" w:eastAsia="zh-CN"/>
              </w:rPr>
            </w:pPr>
            <w:r>
              <w:rPr>
                <w:rFonts w:ascii="Times New Roman" w:hAnsi="Times New Roman" w:eastAsia="宋体" w:cs="Times New Roman"/>
                <w:b/>
                <w:bCs w:val="0"/>
                <w:color w:val="000000"/>
                <w:kern w:val="0"/>
                <w:sz w:val="21"/>
                <w:szCs w:val="22"/>
              </w:rPr>
              <w:t>作物</w:t>
            </w:r>
            <w:r>
              <w:rPr>
                <w:rFonts w:hint="eastAsia" w:ascii="Times New Roman" w:hAnsi="Times New Roman" w:eastAsia="宋体" w:cs="Times New Roman"/>
                <w:b/>
                <w:bCs w:val="0"/>
                <w:color w:val="000000"/>
                <w:kern w:val="0"/>
                <w:sz w:val="21"/>
                <w:szCs w:val="22"/>
                <w:lang w:val="en-US" w:eastAsia="zh-CN"/>
              </w:rPr>
              <w:t>种类</w:t>
            </w:r>
          </w:p>
        </w:tc>
        <w:tc>
          <w:tcPr>
            <w:tcW w:w="1151" w:type="pct"/>
            <w:shd w:val="clear" w:color="auto" w:fill="auto"/>
            <w:noWrap w:val="0"/>
            <w:vAlign w:val="center"/>
          </w:tcPr>
          <w:p w14:paraId="56F4D433">
            <w:pPr>
              <w:widowControl/>
              <w:spacing w:line="240" w:lineRule="atLeast"/>
              <w:ind w:firstLine="440"/>
              <w:jc w:val="both"/>
              <w:rPr>
                <w:rFonts w:hint="default" w:ascii="Times New Roman" w:hAnsi="Times New Roman" w:eastAsia="宋体" w:cs="Times New Roman"/>
                <w:b/>
                <w:bCs w:val="0"/>
                <w:color w:val="000000"/>
                <w:kern w:val="0"/>
                <w:sz w:val="21"/>
                <w:szCs w:val="22"/>
                <w:lang w:val="en-US" w:eastAsia="zh-CN"/>
              </w:rPr>
            </w:pPr>
            <w:r>
              <w:rPr>
                <w:rFonts w:hint="eastAsia" w:ascii="Times New Roman" w:hAnsi="Times New Roman" w:eastAsia="宋体" w:cs="Times New Roman"/>
                <w:b/>
                <w:bCs w:val="0"/>
                <w:color w:val="000000"/>
                <w:kern w:val="0"/>
                <w:sz w:val="21"/>
                <w:szCs w:val="22"/>
                <w:lang w:val="en-US" w:eastAsia="zh-CN"/>
              </w:rPr>
              <w:t>氮（N）</w:t>
            </w:r>
          </w:p>
        </w:tc>
        <w:tc>
          <w:tcPr>
            <w:tcW w:w="1163" w:type="pct"/>
            <w:gridSpan w:val="2"/>
            <w:shd w:val="clear" w:color="auto" w:fill="auto"/>
            <w:noWrap w:val="0"/>
            <w:vAlign w:val="center"/>
          </w:tcPr>
          <w:p w14:paraId="36FEB5A3">
            <w:pPr>
              <w:widowControl/>
              <w:spacing w:line="240" w:lineRule="atLeast"/>
              <w:ind w:firstLine="440"/>
              <w:jc w:val="both"/>
              <w:rPr>
                <w:rFonts w:hint="default" w:ascii="Times New Roman" w:hAnsi="Times New Roman" w:eastAsia="宋体" w:cs="Times New Roman"/>
                <w:b/>
                <w:bCs w:val="0"/>
                <w:color w:val="000000"/>
                <w:kern w:val="0"/>
                <w:sz w:val="21"/>
                <w:szCs w:val="22"/>
                <w:lang w:val="en-US" w:eastAsia="zh-CN"/>
              </w:rPr>
            </w:pPr>
            <w:r>
              <w:rPr>
                <w:rFonts w:hint="eastAsia" w:ascii="Times New Roman" w:hAnsi="Times New Roman" w:eastAsia="宋体" w:cs="Times New Roman"/>
                <w:b/>
                <w:bCs w:val="0"/>
                <w:color w:val="000000"/>
                <w:kern w:val="0"/>
                <w:sz w:val="21"/>
                <w:szCs w:val="22"/>
                <w:lang w:val="en-US" w:eastAsia="zh-CN"/>
              </w:rPr>
              <w:t>磷（P）</w:t>
            </w:r>
          </w:p>
        </w:tc>
      </w:tr>
      <w:tr w14:paraId="585A4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2" w:type="pct"/>
          <w:trHeight w:val="454" w:hRule="atLeast"/>
          <w:jc w:val="center"/>
        </w:trPr>
        <w:tc>
          <w:tcPr>
            <w:tcW w:w="1340" w:type="pct"/>
            <w:shd w:val="clear" w:color="auto" w:fill="auto"/>
            <w:noWrap/>
            <w:vAlign w:val="center"/>
          </w:tcPr>
          <w:p w14:paraId="11A523CB">
            <w:pPr>
              <w:widowControl/>
              <w:spacing w:line="240" w:lineRule="atLeast"/>
              <w:jc w:val="center"/>
              <w:rPr>
                <w:rFonts w:hint="eastAsia" w:ascii="Times New Roman" w:hAnsi="Times New Roman" w:eastAsia="宋体" w:cs="Times New Roman"/>
                <w:bCs w:val="0"/>
                <w:color w:val="000000"/>
                <w:kern w:val="0"/>
                <w:sz w:val="21"/>
                <w:szCs w:val="22"/>
                <w:lang w:eastAsia="zh-CN"/>
              </w:rPr>
            </w:pPr>
            <w:r>
              <w:rPr>
                <w:rFonts w:hint="eastAsia" w:ascii="Times New Roman" w:hAnsi="Times New Roman" w:eastAsia="宋体" w:cs="Times New Roman"/>
                <w:bCs w:val="0"/>
                <w:color w:val="000000"/>
                <w:kern w:val="0"/>
                <w:sz w:val="21"/>
                <w:szCs w:val="22"/>
                <w:lang w:val="en-US" w:eastAsia="zh-CN"/>
              </w:rPr>
              <w:t>大田作物</w:t>
            </w:r>
          </w:p>
        </w:tc>
        <w:tc>
          <w:tcPr>
            <w:tcW w:w="1344" w:type="pct"/>
            <w:shd w:val="clear" w:color="auto" w:fill="auto"/>
            <w:noWrap/>
            <w:vAlign w:val="center"/>
          </w:tcPr>
          <w:p w14:paraId="06F65C6F">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eastAsia" w:cs="Times New Roman"/>
                <w:bCs w:val="0"/>
                <w:color w:val="000000"/>
                <w:kern w:val="0"/>
                <w:sz w:val="21"/>
                <w:szCs w:val="22"/>
                <w:lang w:val="en-US" w:eastAsia="zh-CN"/>
              </w:rPr>
              <w:t>棉花</w:t>
            </w:r>
          </w:p>
        </w:tc>
        <w:tc>
          <w:tcPr>
            <w:tcW w:w="1151" w:type="pct"/>
            <w:shd w:val="clear" w:color="auto" w:fill="auto"/>
            <w:noWrap/>
            <w:vAlign w:val="center"/>
          </w:tcPr>
          <w:p w14:paraId="06687BD3">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eastAsia" w:cs="Times New Roman"/>
                <w:bCs w:val="0"/>
                <w:color w:val="000000"/>
                <w:kern w:val="0"/>
                <w:sz w:val="21"/>
                <w:szCs w:val="22"/>
                <w:lang w:val="en-US" w:eastAsia="zh-CN"/>
              </w:rPr>
              <w:t>11.7</w:t>
            </w:r>
          </w:p>
        </w:tc>
        <w:tc>
          <w:tcPr>
            <w:tcW w:w="1151" w:type="pct"/>
            <w:shd w:val="clear" w:color="auto" w:fill="auto"/>
            <w:noWrap/>
            <w:vAlign w:val="center"/>
          </w:tcPr>
          <w:p w14:paraId="6E176E8E">
            <w:pPr>
              <w:widowControl/>
              <w:spacing w:line="240" w:lineRule="atLeast"/>
              <w:jc w:val="center"/>
              <w:rPr>
                <w:rFonts w:hint="default" w:cs="Times New Roman"/>
                <w:bCs w:val="0"/>
                <w:color w:val="000000"/>
                <w:kern w:val="0"/>
                <w:sz w:val="21"/>
                <w:szCs w:val="22"/>
                <w:lang w:val="en-US" w:eastAsia="zh-CN"/>
              </w:rPr>
            </w:pPr>
            <w:r>
              <w:rPr>
                <w:rFonts w:hint="eastAsia" w:cs="Times New Roman"/>
                <w:bCs w:val="0"/>
                <w:color w:val="000000"/>
                <w:kern w:val="0"/>
                <w:sz w:val="21"/>
                <w:szCs w:val="22"/>
                <w:lang w:val="en-US" w:eastAsia="zh-CN"/>
              </w:rPr>
              <w:t>3.04</w:t>
            </w:r>
          </w:p>
        </w:tc>
      </w:tr>
    </w:tbl>
    <w:p w14:paraId="5B8CA274">
      <w:pPr>
        <w:widowControl/>
        <w:spacing w:line="360" w:lineRule="auto"/>
        <w:ind w:firstLine="482"/>
        <w:rPr>
          <w:rFonts w:hint="default"/>
          <w:bCs/>
          <w:color w:val="000000"/>
          <w:sz w:val="24"/>
          <w:lang w:val="en-US" w:eastAsia="zh-CN"/>
        </w:rPr>
      </w:pPr>
      <w:r>
        <w:rPr>
          <w:rFonts w:hint="eastAsia"/>
          <w:bCs/>
          <w:color w:val="000000"/>
          <w:sz w:val="24"/>
          <w:lang w:val="en-US" w:eastAsia="zh-CN"/>
        </w:rPr>
        <w:t>p—由施肥创造的产量占总产量的比例，%；低等土壤肥力60%（土壤的有机质含量0.5%～1%）</w:t>
      </w:r>
    </w:p>
    <w:p w14:paraId="473A3270">
      <w:pPr>
        <w:widowControl/>
        <w:spacing w:line="360" w:lineRule="auto"/>
        <w:ind w:firstLine="482"/>
        <w:rPr>
          <w:rFonts w:hint="default"/>
          <w:bCs/>
          <w:color w:val="000000"/>
          <w:sz w:val="24"/>
          <w:lang w:val="en-US" w:eastAsia="zh-CN"/>
        </w:rPr>
      </w:pPr>
      <w:r>
        <w:rPr>
          <w:rFonts w:hint="eastAsia"/>
          <w:bCs/>
          <w:color w:val="000000"/>
          <w:sz w:val="24"/>
          <w:lang w:val="en-US" w:eastAsia="zh-CN"/>
        </w:rPr>
        <w:t>d—畜禽粪肥中某种营养元素的含量，固体粪肥单位为克每千克（g/kg），液体粪肥单位为克每立方米（g/m</w:t>
      </w:r>
      <w:r>
        <w:rPr>
          <w:rFonts w:hint="eastAsia"/>
          <w:bCs/>
          <w:color w:val="000000"/>
          <w:sz w:val="24"/>
          <w:vertAlign w:val="superscript"/>
          <w:lang w:val="en-US" w:eastAsia="zh-CN"/>
        </w:rPr>
        <w:t>3</w:t>
      </w:r>
      <w:r>
        <w:rPr>
          <w:rFonts w:hint="eastAsia"/>
          <w:bCs/>
          <w:color w:val="000000"/>
          <w:sz w:val="24"/>
          <w:lang w:val="en-US" w:eastAsia="zh-CN"/>
        </w:rPr>
        <w:t>）；固体粪肥总氮6.32g/kg，总磷1.11g/kg，</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排污许可证申请与核发技术规范 畜禽养殖行业</w:t>
      </w:r>
      <w:r>
        <w:rPr>
          <w:rFonts w:hint="eastAsia" w:ascii="Times New Roman" w:hAnsi="Times New Roman" w:eastAsia="宋体" w:cs="Times New Roman"/>
          <w:color w:val="auto"/>
          <w:sz w:val="24"/>
          <w:szCs w:val="24"/>
          <w:lang w:val="en-US" w:eastAsia="zh-CN"/>
        </w:rPr>
        <w:t>》（HJ1029-2019），肉牛粪便中污染物总氮含量68.8g/d·头/只</w:t>
      </w:r>
      <w:r>
        <w:rPr>
          <w:rFonts w:hint="eastAsia"/>
          <w:bCs/>
          <w:color w:val="000000"/>
          <w:sz w:val="24"/>
          <w:lang w:val="en-US" w:eastAsia="zh-CN"/>
        </w:rPr>
        <w:t>，</w:t>
      </w:r>
      <w:r>
        <w:rPr>
          <w:rFonts w:hint="eastAsia" w:ascii="Times New Roman" w:hAnsi="Times New Roman" w:eastAsia="宋体" w:cs="Times New Roman"/>
          <w:color w:val="auto"/>
          <w:sz w:val="24"/>
          <w:szCs w:val="24"/>
          <w:lang w:val="en-US" w:eastAsia="zh-CN"/>
        </w:rPr>
        <w:t>肉牛粪便中污染物总磷含量12.1g/d·头/只；本项目粪便产生量</w:t>
      </w:r>
      <w:r>
        <w:rPr>
          <w:rFonts w:hint="eastAsia" w:cs="Times New Roman"/>
          <w:color w:val="auto"/>
          <w:sz w:val="24"/>
          <w:szCs w:val="24"/>
          <w:lang w:val="en-US" w:eastAsia="zh-CN"/>
        </w:rPr>
        <w:t>10.88</w:t>
      </w:r>
      <w:r>
        <w:rPr>
          <w:rFonts w:hint="eastAsia" w:ascii="Times New Roman" w:hAnsi="Times New Roman" w:eastAsia="宋体" w:cs="Times New Roman"/>
          <w:color w:val="auto"/>
          <w:sz w:val="24"/>
          <w:szCs w:val="24"/>
          <w:lang w:val="en-US" w:eastAsia="zh-CN"/>
        </w:rPr>
        <w:t>kg/d·头/只。</w:t>
      </w:r>
      <w:r>
        <w:rPr>
          <w:rFonts w:hint="eastAsia"/>
          <w:bCs/>
          <w:color w:val="000000"/>
          <w:sz w:val="24"/>
          <w:lang w:val="en-US" w:eastAsia="zh-CN"/>
        </w:rPr>
        <w:t>液体粪肥0；</w:t>
      </w:r>
    </w:p>
    <w:p w14:paraId="65D1B8C3">
      <w:pPr>
        <w:widowControl/>
        <w:spacing w:line="360" w:lineRule="auto"/>
        <w:ind w:firstLine="482"/>
        <w:rPr>
          <w:rFonts w:hint="eastAsia"/>
          <w:bCs/>
          <w:color w:val="000000"/>
          <w:sz w:val="24"/>
          <w:lang w:val="en-US" w:eastAsia="zh-CN"/>
        </w:rPr>
      </w:pPr>
      <w:r>
        <w:rPr>
          <w:rFonts w:hint="eastAsia"/>
          <w:bCs/>
          <w:color w:val="000000"/>
          <w:sz w:val="24"/>
          <w:lang w:val="en-US" w:eastAsia="zh-CN"/>
        </w:rPr>
        <w:t>r—畜禽粪肥中某种营养元素的当季利用率，%；畜禽粪肥氮（N）养分当季利用率推荐值为25%，磷（P）养分当季利用率推荐值为40%。</w:t>
      </w:r>
    </w:p>
    <w:p w14:paraId="6CEA3B0B">
      <w:pPr>
        <w:widowControl/>
        <w:spacing w:line="360" w:lineRule="auto"/>
        <w:ind w:firstLine="482"/>
        <w:rPr>
          <w:rFonts w:hint="default"/>
          <w:bCs/>
          <w:color w:val="000000"/>
          <w:sz w:val="24"/>
          <w:lang w:val="en-US" w:eastAsia="zh-CN"/>
        </w:rPr>
      </w:pPr>
      <w:r>
        <w:rPr>
          <w:rFonts w:hint="eastAsia"/>
          <w:bCs/>
          <w:color w:val="000000"/>
          <w:sz w:val="24"/>
          <w:lang w:val="en-US" w:eastAsia="zh-CN"/>
        </w:rPr>
        <w:t>f—当地农业生产中，施于农田中的畜禽粪肥的养分含量占施肥总量的比例，%。60%</w:t>
      </w:r>
    </w:p>
    <w:p w14:paraId="1E01FBD6">
      <w:pPr>
        <w:widowControl/>
        <w:spacing w:line="360" w:lineRule="auto"/>
        <w:ind w:firstLine="482"/>
        <w:rPr>
          <w:rFonts w:ascii="Segoe UI" w:hAnsi="Segoe UI" w:eastAsia="Segoe UI" w:cs="Segoe UI"/>
          <w:i w:val="0"/>
          <w:iCs w:val="0"/>
          <w:caps w:val="0"/>
          <w:color w:val="0F1115"/>
          <w:spacing w:val="0"/>
          <w:sz w:val="24"/>
          <w:szCs w:val="24"/>
          <w:shd w:val="clear" w:fill="FFFFFF"/>
        </w:rPr>
      </w:pPr>
      <w:r>
        <w:rPr>
          <w:rFonts w:hint="eastAsia" w:cs="Times New Roman"/>
          <w:color w:val="auto"/>
          <w:kern w:val="2"/>
          <w:sz w:val="24"/>
          <w:szCs w:val="24"/>
          <w:highlight w:val="none"/>
          <w:lang w:val="en-US" w:eastAsia="zh-CN" w:bidi="ar-SA"/>
        </w:rPr>
        <w:t>本项目还田固态肥3623.89t/a，总氮22.90t/a，总磷4.02t/a</w:t>
      </w:r>
      <w:r>
        <w:rPr>
          <w:rFonts w:hint="eastAsia" w:cs="Times New Roman"/>
          <w:color w:val="auto"/>
          <w:sz w:val="24"/>
          <w:szCs w:val="24"/>
          <w:highlight w:val="none"/>
          <w:lang w:val="en-US" w:eastAsia="zh-CN" w:bidi="ar-SA"/>
        </w:rPr>
        <w:t>。</w:t>
      </w:r>
      <w:r>
        <w:rPr>
          <w:rFonts w:hint="eastAsia" w:cs="Times New Roman"/>
          <w:color w:val="auto"/>
          <w:kern w:val="2"/>
          <w:sz w:val="24"/>
          <w:szCs w:val="24"/>
          <w:highlight w:val="none"/>
          <w:lang w:val="en-US" w:eastAsia="zh-CN" w:bidi="ar-SA"/>
        </w:rPr>
        <w:t>因此氮元素核算共需要120.53公顷，磷元素核算共需要23.65公顷；本项目共签订5250亩地（折合350公顷）用于粪肥还田，均能满足氮、磷元素还田所需</w:t>
      </w:r>
      <w:r>
        <w:rPr>
          <w:rFonts w:hint="eastAsia" w:eastAsia="宋体"/>
          <w:bCs/>
          <w:color w:val="000000"/>
          <w:sz w:val="24"/>
        </w:rPr>
        <w:t>一倍以上的土地</w:t>
      </w:r>
      <w:r>
        <w:rPr>
          <w:rFonts w:hint="eastAsia" w:cs="Times New Roman"/>
          <w:color w:val="auto"/>
          <w:kern w:val="2"/>
          <w:sz w:val="24"/>
          <w:szCs w:val="24"/>
          <w:highlight w:val="none"/>
          <w:lang w:val="en-US" w:eastAsia="zh-CN" w:bidi="ar-SA"/>
        </w:rPr>
        <w:t>面积，</w:t>
      </w:r>
      <w:r>
        <w:rPr>
          <w:rFonts w:ascii="Segoe UI" w:hAnsi="Segoe UI" w:eastAsia="Segoe UI" w:cs="Segoe UI"/>
          <w:i w:val="0"/>
          <w:iCs w:val="0"/>
          <w:caps w:val="0"/>
          <w:color w:val="0F1115"/>
          <w:spacing w:val="0"/>
          <w:sz w:val="24"/>
          <w:szCs w:val="24"/>
          <w:shd w:val="clear" w:fill="FFFFFF"/>
        </w:rPr>
        <w:t>确保粪污全部资源化利用，实现种养平衡。</w:t>
      </w:r>
    </w:p>
    <w:p w14:paraId="1B778DB9">
      <w:pPr>
        <w:widowControl/>
        <w:spacing w:line="360" w:lineRule="auto"/>
        <w:ind w:firstLine="482"/>
        <w:rPr>
          <w:rFonts w:hint="default"/>
          <w:bCs/>
          <w:color w:val="000000"/>
          <w:sz w:val="24"/>
          <w:lang w:val="en-US" w:eastAsia="zh-CN"/>
        </w:rPr>
      </w:pPr>
      <w:r>
        <w:rPr>
          <w:rFonts w:hint="eastAsia" w:ascii="Times New Roman" w:eastAsia="宋体"/>
          <w:bCs/>
          <w:color w:val="000000"/>
          <w:sz w:val="24"/>
          <w:lang w:val="en-US" w:eastAsia="zh-CN"/>
        </w:rPr>
        <w:t>本项目与</w:t>
      </w:r>
      <w:r>
        <w:rPr>
          <w:rFonts w:hint="eastAsia"/>
          <w:bCs/>
          <w:color w:val="000000"/>
          <w:sz w:val="24"/>
          <w:lang w:val="en-US" w:eastAsia="zh-CN"/>
        </w:rPr>
        <w:t>125团6连</w:t>
      </w:r>
      <w:r>
        <w:rPr>
          <w:rFonts w:hint="eastAsia" w:ascii="Times New Roman" w:eastAsia="宋体"/>
          <w:bCs/>
          <w:color w:val="000000"/>
          <w:sz w:val="24"/>
          <w:lang w:val="en-US" w:eastAsia="zh-CN"/>
        </w:rPr>
        <w:t>签订固态肥消纳协议（协议见附件），125团</w:t>
      </w:r>
      <w:r>
        <w:rPr>
          <w:rFonts w:hint="eastAsia"/>
          <w:bCs/>
          <w:color w:val="000000"/>
          <w:sz w:val="24"/>
          <w:lang w:val="en-US" w:eastAsia="zh-CN"/>
        </w:rPr>
        <w:t>6</w:t>
      </w:r>
      <w:r>
        <w:rPr>
          <w:rFonts w:hint="eastAsia" w:ascii="Times New Roman" w:eastAsia="宋体"/>
          <w:bCs/>
          <w:color w:val="000000"/>
          <w:sz w:val="24"/>
          <w:lang w:val="en-US" w:eastAsia="zh-CN"/>
        </w:rPr>
        <w:t>连</w:t>
      </w:r>
      <w:r>
        <w:rPr>
          <w:rFonts w:hint="eastAsia"/>
          <w:bCs/>
          <w:color w:val="000000"/>
          <w:sz w:val="24"/>
          <w:lang w:val="en-US" w:eastAsia="zh-CN"/>
        </w:rPr>
        <w:t>棉花</w:t>
      </w:r>
      <w:r>
        <w:rPr>
          <w:rFonts w:hint="eastAsia" w:ascii="Times New Roman" w:eastAsia="宋体"/>
          <w:bCs/>
          <w:color w:val="000000"/>
          <w:sz w:val="24"/>
          <w:lang w:val="en-US" w:eastAsia="zh-CN"/>
        </w:rPr>
        <w:t>地，均位于本项目周边</w:t>
      </w:r>
      <w:r>
        <w:rPr>
          <w:rFonts w:hint="eastAsia"/>
          <w:bCs/>
          <w:color w:val="000000"/>
          <w:sz w:val="24"/>
          <w:lang w:val="en-US" w:eastAsia="zh-CN"/>
        </w:rPr>
        <w:t>10</w:t>
      </w:r>
      <w:r>
        <w:rPr>
          <w:rFonts w:hint="eastAsia" w:ascii="Times New Roman" w:eastAsia="宋体"/>
          <w:bCs/>
          <w:color w:val="000000"/>
          <w:sz w:val="24"/>
          <w:lang w:val="en-US" w:eastAsia="zh-CN"/>
        </w:rPr>
        <w:t>km以内，运输距离短，能够充分消纳本项目有机肥。</w:t>
      </w:r>
    </w:p>
    <w:p w14:paraId="06936300">
      <w:pPr>
        <w:widowControl/>
        <w:spacing w:line="360" w:lineRule="auto"/>
        <w:ind w:firstLine="482"/>
        <w:rPr>
          <w:rFonts w:hint="eastAsia" w:eastAsia="宋体"/>
          <w:bCs/>
          <w:color w:val="000000"/>
          <w:sz w:val="24"/>
        </w:rPr>
      </w:pPr>
      <w:r>
        <w:rPr>
          <w:rFonts w:hint="eastAsia" w:ascii="Times New Roman" w:eastAsia="宋体"/>
          <w:bCs/>
          <w:color w:val="000000"/>
          <w:sz w:val="24"/>
          <w:lang w:val="en-US" w:eastAsia="zh-CN"/>
        </w:rPr>
        <w:t>根据《畜禽养殖业污染治理工程技术规范》（HJ 497－2009）</w:t>
      </w:r>
      <w:r>
        <w:rPr>
          <w:rFonts w:hint="eastAsia" w:eastAsia="宋体"/>
          <w:bCs/>
          <w:color w:val="000000"/>
          <w:sz w:val="24"/>
        </w:rPr>
        <w:t xml:space="preserve">经无害化处理后进行还田综合利用的，粪肥用量不能超过作物当年生长所需的养分量。在确定粪肥的最佳施用量时，应对土壤肥力和粪肥肥效进行测试评价，并符合当地环境容量的要求。同时应有一倍以上的土地用于轮作施肥，不得长期施肥于同一土地。 </w:t>
      </w:r>
    </w:p>
    <w:p w14:paraId="2BAB6B85">
      <w:pPr>
        <w:widowControl/>
        <w:spacing w:line="360" w:lineRule="auto"/>
        <w:ind w:firstLine="482"/>
        <w:rPr>
          <w:rFonts w:hint="default" w:eastAsia="宋体"/>
          <w:bCs/>
          <w:color w:val="000000"/>
          <w:sz w:val="24"/>
          <w:lang w:val="en-US" w:eastAsia="zh-CN"/>
        </w:rPr>
      </w:pPr>
      <w:r>
        <w:rPr>
          <w:rFonts w:hint="eastAsia" w:ascii="Times New Roman" w:eastAsia="宋体"/>
          <w:bCs/>
          <w:color w:val="000000"/>
          <w:sz w:val="24"/>
          <w:lang w:val="en-US" w:eastAsia="zh-CN"/>
        </w:rPr>
        <w:t>本项目设置一倍以上的土地轮作施肥，满足《畜禽养殖业污染治理工程技术规范》（HJ 497－2009）要求。</w:t>
      </w:r>
    </w:p>
    <w:p w14:paraId="05BC91C0">
      <w:pPr>
        <w:widowControl/>
        <w:spacing w:line="360" w:lineRule="auto"/>
        <w:ind w:firstLine="482"/>
        <w:rPr>
          <w:rFonts w:hint="eastAsia" w:eastAsia="宋体"/>
          <w:bCs/>
          <w:color w:val="000000"/>
          <w:sz w:val="24"/>
          <w:highlight w:val="yellow"/>
          <w:lang w:val="en-US" w:eastAsia="zh-CN"/>
        </w:rPr>
      </w:pPr>
      <w:r>
        <w:rPr>
          <w:rFonts w:hint="eastAsia" w:eastAsia="宋体"/>
          <w:bCs/>
          <w:color w:val="000000"/>
          <w:sz w:val="24"/>
        </w:rPr>
        <w:t>综上，本项目粪污经科学、</w:t>
      </w:r>
      <w:r>
        <w:rPr>
          <w:rFonts w:hint="eastAsia" w:eastAsia="宋体"/>
          <w:bCs/>
          <w:color w:val="000000"/>
          <w:sz w:val="24"/>
          <w:lang w:eastAsia="zh-CN"/>
        </w:rPr>
        <w:t>合理</w:t>
      </w:r>
      <w:r>
        <w:rPr>
          <w:rFonts w:hint="eastAsia" w:eastAsia="宋体"/>
          <w:bCs/>
          <w:color w:val="000000"/>
          <w:sz w:val="24"/>
        </w:rPr>
        <w:t>处理后，固体有机肥料等可资源化利用的产品，从而得到有效利用，不会产生二次污染问题</w:t>
      </w:r>
      <w:r>
        <w:rPr>
          <w:rFonts w:hint="eastAsia" w:ascii="Times New Roman" w:eastAsia="宋体"/>
          <w:bCs/>
          <w:color w:val="000000"/>
          <w:sz w:val="24"/>
          <w:highlight w:val="none"/>
          <w:lang w:val="en-US" w:eastAsia="zh-CN"/>
        </w:rPr>
        <w:t>，不会污染区域土壤、地下水环境</w:t>
      </w:r>
      <w:r>
        <w:rPr>
          <w:rFonts w:hint="eastAsia" w:eastAsia="宋体"/>
          <w:bCs/>
          <w:color w:val="000000"/>
          <w:sz w:val="24"/>
          <w:highlight w:val="none"/>
          <w:lang w:val="en-US" w:eastAsia="zh-CN"/>
        </w:rPr>
        <w:t>。</w:t>
      </w:r>
    </w:p>
    <w:p w14:paraId="7A04B853">
      <w:pPr>
        <w:widowControl/>
        <w:spacing w:line="360" w:lineRule="auto"/>
        <w:ind w:firstLine="482"/>
        <w:rPr>
          <w:rFonts w:hint="eastAsia" w:eastAsia="宋体"/>
          <w:bCs/>
          <w:color w:val="000000"/>
          <w:sz w:val="24"/>
        </w:rPr>
      </w:pPr>
      <w:r>
        <w:rPr>
          <w:rFonts w:hint="eastAsia" w:eastAsia="宋体"/>
          <w:bCs/>
          <w:color w:val="000000"/>
          <w:sz w:val="24"/>
          <w:lang w:val="en-US" w:eastAsia="zh-CN"/>
        </w:rPr>
        <w:t>有机肥</w:t>
      </w:r>
      <w:r>
        <w:rPr>
          <w:rFonts w:hint="eastAsia" w:eastAsia="宋体"/>
          <w:bCs/>
          <w:color w:val="000000"/>
          <w:sz w:val="24"/>
        </w:rPr>
        <w:t>还田</w:t>
      </w:r>
      <w:r>
        <w:rPr>
          <w:rFonts w:eastAsia="宋体"/>
          <w:bCs/>
          <w:color w:val="000000"/>
          <w:sz w:val="24"/>
        </w:rPr>
        <w:t>范围示意见图</w:t>
      </w:r>
      <w:r>
        <w:rPr>
          <w:rFonts w:hint="eastAsia" w:eastAsia="宋体"/>
          <w:bCs/>
          <w:color w:val="000000"/>
          <w:sz w:val="24"/>
          <w:lang w:val="en-US" w:eastAsia="zh-CN"/>
        </w:rPr>
        <w:t>5</w:t>
      </w:r>
      <w:r>
        <w:rPr>
          <w:rFonts w:hint="eastAsia" w:eastAsia="宋体"/>
          <w:bCs/>
          <w:color w:val="000000"/>
          <w:sz w:val="24"/>
        </w:rPr>
        <w:t>.</w:t>
      </w:r>
      <w:r>
        <w:rPr>
          <w:rFonts w:hint="eastAsia" w:eastAsia="宋体"/>
          <w:bCs/>
          <w:color w:val="000000"/>
          <w:sz w:val="24"/>
          <w:lang w:val="en-US" w:eastAsia="zh-CN"/>
        </w:rPr>
        <w:t>2</w:t>
      </w:r>
      <w:r>
        <w:rPr>
          <w:rFonts w:hint="eastAsia" w:eastAsia="宋体"/>
          <w:bCs/>
          <w:color w:val="000000"/>
          <w:sz w:val="24"/>
        </w:rPr>
        <w:t>-</w:t>
      </w:r>
      <w:r>
        <w:rPr>
          <w:rFonts w:hint="eastAsia" w:ascii="Times New Roman" w:eastAsia="宋体"/>
          <w:bCs/>
          <w:color w:val="000000"/>
          <w:sz w:val="24"/>
          <w:lang w:val="en-US" w:eastAsia="zh-CN"/>
        </w:rPr>
        <w:t>6</w:t>
      </w:r>
      <w:r>
        <w:rPr>
          <w:rFonts w:hint="eastAsia" w:eastAsia="宋体"/>
          <w:bCs/>
          <w:color w:val="000000"/>
          <w:sz w:val="24"/>
        </w:rPr>
        <w:t>。</w:t>
      </w:r>
    </w:p>
    <w:p w14:paraId="788A5144">
      <w:pPr>
        <w:spacing w:line="360" w:lineRule="auto"/>
        <w:ind w:firstLine="480" w:firstLineChars="200"/>
        <w:rPr>
          <w:rFonts w:hint="eastAsia" w:ascii="宋体" w:hAnsi="宋体"/>
          <w:color w:val="000000"/>
          <w:sz w:val="24"/>
          <w:lang w:eastAsia="zh-CN"/>
        </w:rPr>
      </w:pPr>
      <w:r>
        <w:rPr>
          <w:rFonts w:hint="eastAsia" w:cs="Times New Roman"/>
          <w:bCs/>
          <w:color w:val="000000"/>
          <w:sz w:val="24"/>
          <w:lang w:val="en-US" w:eastAsia="zh-CN"/>
        </w:rPr>
        <w:t>根据《畜禽粪肥还田技术规范》（GB/T25246—2025），</w:t>
      </w:r>
      <w:r>
        <w:rPr>
          <w:rFonts w:hint="eastAsia" w:ascii="宋体" w:hAnsi="宋体" w:eastAsia="宋体"/>
          <w:color w:val="000000"/>
          <w:sz w:val="24"/>
        </w:rPr>
        <w:t>为了</w:t>
      </w:r>
      <w:r>
        <w:rPr>
          <w:rFonts w:ascii="宋体" w:hAnsi="宋体" w:eastAsia="宋体"/>
          <w:color w:val="000000"/>
          <w:sz w:val="24"/>
        </w:rPr>
        <w:t>更好地保护好农田生态环境，</w:t>
      </w:r>
      <w:r>
        <w:rPr>
          <w:rFonts w:hint="eastAsia" w:ascii="宋体" w:hAnsi="宋体" w:eastAsia="宋体"/>
          <w:color w:val="000000"/>
          <w:sz w:val="24"/>
        </w:rPr>
        <w:t>促进</w:t>
      </w:r>
      <w:r>
        <w:rPr>
          <w:rFonts w:ascii="宋体" w:hAnsi="宋体" w:eastAsia="宋体"/>
          <w:color w:val="000000"/>
          <w:sz w:val="24"/>
        </w:rPr>
        <w:t>农业生产可持续发展，</w:t>
      </w:r>
      <w:r>
        <w:rPr>
          <w:rFonts w:hint="eastAsia" w:ascii="宋体" w:hAnsi="宋体" w:eastAsia="宋体"/>
          <w:color w:val="000000"/>
          <w:sz w:val="24"/>
        </w:rPr>
        <w:t>本项目固体粪肥施用方法</w:t>
      </w:r>
      <w:r>
        <w:rPr>
          <w:rFonts w:hint="eastAsia" w:ascii="宋体" w:hAnsi="宋体"/>
          <w:color w:val="000000"/>
          <w:sz w:val="24"/>
          <w:lang w:eastAsia="zh-CN"/>
        </w:rPr>
        <w:t>：</w:t>
      </w:r>
    </w:p>
    <w:p w14:paraId="4C150AF3">
      <w:pPr>
        <w:spacing w:line="360" w:lineRule="auto"/>
        <w:ind w:firstLine="480" w:firstLineChars="200"/>
        <w:rPr>
          <w:rFonts w:hint="eastAsia" w:ascii="宋体" w:hAnsi="宋体" w:eastAsia="宋体" w:cs="宋体"/>
          <w:sz w:val="24"/>
          <w:szCs w:val="24"/>
          <w:lang w:eastAsia="zh-CN"/>
        </w:rPr>
      </w:pPr>
      <w:r>
        <w:rPr>
          <w:rFonts w:ascii="宋体" w:hAnsi="宋体" w:eastAsia="宋体" w:cs="宋体"/>
          <w:sz w:val="24"/>
          <w:szCs w:val="24"/>
        </w:rPr>
        <w:t>基肥</w:t>
      </w:r>
      <w:r>
        <w:rPr>
          <w:rFonts w:hint="eastAsia" w:ascii="宋体" w:hAnsi="宋体" w:eastAsia="宋体" w:cs="宋体"/>
          <w:sz w:val="24"/>
          <w:szCs w:val="24"/>
          <w:lang w:eastAsia="zh-CN"/>
        </w:rPr>
        <w:t>（</w:t>
      </w:r>
      <w:r>
        <w:rPr>
          <w:rFonts w:ascii="宋体" w:hAnsi="宋体" w:eastAsia="宋体" w:cs="宋体"/>
          <w:sz w:val="24"/>
          <w:szCs w:val="24"/>
        </w:rPr>
        <w:t>基施</w:t>
      </w:r>
      <w:r>
        <w:rPr>
          <w:rFonts w:hint="eastAsia" w:ascii="宋体" w:hAnsi="宋体" w:eastAsia="宋体" w:cs="宋体"/>
          <w:sz w:val="24"/>
          <w:szCs w:val="24"/>
          <w:lang w:eastAsia="zh-CN"/>
        </w:rPr>
        <w:t>）：</w:t>
      </w:r>
    </w:p>
    <w:p w14:paraId="5609222F">
      <w:pPr>
        <w:numPr>
          <w:ilvl w:val="0"/>
          <w:numId w:val="0"/>
        </w:numPr>
        <w:spacing w:line="360" w:lineRule="auto"/>
        <w:ind w:firstLine="480" w:firstLineChars="200"/>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a）</w:t>
      </w:r>
      <w:r>
        <w:rPr>
          <w:rFonts w:hint="default" w:ascii="Times New Roman" w:hAnsi="Times New Roman" w:eastAsia="宋体" w:cs="Times New Roman"/>
          <w:sz w:val="24"/>
          <w:szCs w:val="24"/>
        </w:rPr>
        <w:t>撒施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在耕地前将肥料均匀撒于地表</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结合农田整地把肥料翻入土中</w:t>
      </w:r>
      <w:r>
        <w:rPr>
          <w:rFonts w:hint="default" w:ascii="Times New Roman" w:hAnsi="Times New Roman" w:eastAsia="宋体" w:cs="Times New Roman"/>
          <w:sz w:val="24"/>
          <w:szCs w:val="24"/>
          <w:lang w:eastAsia="zh-CN"/>
        </w:rPr>
        <w:t>；</w:t>
      </w:r>
    </w:p>
    <w:p w14:paraId="4B2AF611">
      <w:pPr>
        <w:numPr>
          <w:ilvl w:val="0"/>
          <w:numId w:val="0"/>
        </w:num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b）</w:t>
      </w:r>
      <w:r>
        <w:rPr>
          <w:rFonts w:hint="default" w:ascii="Times New Roman" w:hAnsi="Times New Roman" w:eastAsia="宋体" w:cs="Times New Roman"/>
          <w:sz w:val="24"/>
          <w:szCs w:val="24"/>
        </w:rPr>
        <w:t>条施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结合犁地或开沟</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将肥料按条状集中施于作物种植行内并覆土</w:t>
      </w:r>
      <w:r>
        <w:rPr>
          <w:rFonts w:hint="default" w:ascii="Times New Roman" w:hAnsi="Times New Roman" w:eastAsia="宋体" w:cs="Times New Roman"/>
          <w:sz w:val="24"/>
          <w:szCs w:val="24"/>
          <w:lang w:eastAsia="zh-CN"/>
        </w:rPr>
        <w:t>；</w:t>
      </w:r>
    </w:p>
    <w:p w14:paraId="61305E49">
      <w:pPr>
        <w:numPr>
          <w:ilvl w:val="0"/>
          <w:numId w:val="0"/>
        </w:numPr>
        <w:spacing w:line="360" w:lineRule="auto"/>
        <w:ind w:firstLine="480" w:firstLineChars="200"/>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c</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 xml:space="preserve"> 穴施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在作物播种或种植穴内施肥</w:t>
      </w:r>
      <w:r>
        <w:rPr>
          <w:rFonts w:hint="default" w:ascii="Times New Roman" w:hAnsi="Times New Roman" w:eastAsia="宋体" w:cs="Times New Roman"/>
          <w:sz w:val="24"/>
          <w:szCs w:val="24"/>
          <w:lang w:eastAsia="zh-CN"/>
        </w:rPr>
        <w:t>；</w:t>
      </w:r>
    </w:p>
    <w:p w14:paraId="3259B8FE">
      <w:pPr>
        <w:numPr>
          <w:ilvl w:val="0"/>
          <w:numId w:val="0"/>
        </w:num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追肥</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追施</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施用方法同b</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、c</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w:t>
      </w:r>
    </w:p>
    <w:p w14:paraId="479FE554">
      <w:pPr>
        <w:numPr>
          <w:ilvl w:val="0"/>
          <w:numId w:val="0"/>
        </w:numPr>
        <w:spacing w:line="360" w:lineRule="auto"/>
        <w:ind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sz w:val="24"/>
          <w:szCs w:val="24"/>
        </w:rPr>
        <w:t>条施、穴施和环施的沟深、沟宽应按不同作物、不同生长期的相应生产要求执行</w:t>
      </w:r>
      <w:r>
        <w:rPr>
          <w:rFonts w:hint="default" w:ascii="Times New Roman" w:hAnsi="Times New Roman" w:eastAsia="宋体" w:cs="Times New Roman"/>
          <w:color w:val="000000"/>
          <w:sz w:val="24"/>
        </w:rPr>
        <w:t>。</w:t>
      </w:r>
    </w:p>
    <w:p w14:paraId="4331CC41">
      <w:pPr>
        <w:widowControl/>
        <w:spacing w:line="360" w:lineRule="auto"/>
        <w:ind w:firstLine="482"/>
        <w:rPr>
          <w:rFonts w:hint="default" w:ascii="Times New Roman" w:hAnsi="Times New Roman" w:eastAsia="宋体" w:cs="Times New Roman"/>
          <w:bCs/>
          <w:color w:val="000000"/>
          <w:sz w:val="24"/>
          <w:lang w:val="en-US" w:eastAsia="zh-CN"/>
        </w:rPr>
      </w:pPr>
      <w:r>
        <w:rPr>
          <w:rFonts w:hint="default" w:ascii="Times New Roman" w:hAnsi="Times New Roman" w:eastAsia="宋体" w:cs="Times New Roman"/>
          <w:bCs/>
          <w:color w:val="000000"/>
          <w:sz w:val="24"/>
          <w:lang w:val="en-US" w:eastAsia="zh-CN"/>
        </w:rPr>
        <w:t>根据</w:t>
      </w:r>
      <w:r>
        <w:rPr>
          <w:rFonts w:hint="eastAsia" w:cs="Times New Roman"/>
          <w:bCs/>
          <w:color w:val="000000"/>
          <w:sz w:val="24"/>
          <w:lang w:val="en-US" w:eastAsia="zh-CN"/>
        </w:rPr>
        <w:t>《畜禽粪肥还田技术规范》（GB/T25246—2025）</w:t>
      </w:r>
      <w:r>
        <w:rPr>
          <w:rFonts w:hint="default" w:ascii="Times New Roman" w:hAnsi="Times New Roman" w:eastAsia="宋体" w:cs="Times New Roman"/>
          <w:bCs/>
          <w:color w:val="000000"/>
          <w:sz w:val="24"/>
          <w:lang w:val="en-US" w:eastAsia="zh-CN"/>
        </w:rPr>
        <w:t>，固体粪肥主要用作基肥施用，一般在耕整地之前或播种时施用，也可用作追肥，在作物生长关键期施用，且应避开汛期及降雨前后。</w:t>
      </w:r>
    </w:p>
    <w:p w14:paraId="33FCD8C5">
      <w:pPr>
        <w:widowControl/>
        <w:spacing w:line="360" w:lineRule="auto"/>
        <w:ind w:firstLine="482"/>
        <w:rPr>
          <w:rFonts w:hint="default" w:ascii="Times New Roman" w:hAnsi="Times New Roman" w:eastAsia="宋体" w:cs="Times New Roman"/>
          <w:bCs/>
          <w:color w:val="000000"/>
          <w:sz w:val="24"/>
          <w:lang w:val="en-US" w:eastAsia="zh-CN"/>
        </w:rPr>
      </w:pPr>
      <w:r>
        <w:rPr>
          <w:rFonts w:hint="default" w:ascii="Times New Roman" w:hAnsi="Times New Roman" w:eastAsia="宋体" w:cs="Times New Roman"/>
          <w:bCs/>
          <w:color w:val="000000"/>
          <w:sz w:val="24"/>
          <w:lang w:val="en-US" w:eastAsia="zh-CN"/>
        </w:rPr>
        <w:t>本项目固肥施用安排如下：</w:t>
      </w:r>
    </w:p>
    <w:p w14:paraId="0A70030A">
      <w:pPr>
        <w:spacing w:before="156" w:beforeLines="50"/>
        <w:jc w:val="center"/>
        <w:rPr>
          <w:rFonts w:hint="default" w:ascii="Times New Roman" w:hAnsi="Times New Roman" w:eastAsia="宋体" w:cs="Times New Roman"/>
          <w:b/>
          <w:bCs w:val="0"/>
          <w:kern w:val="0"/>
          <w:sz w:val="24"/>
          <w:highlight w:val="none"/>
          <w:lang w:val="en-US"/>
        </w:rPr>
      </w:pPr>
      <w:r>
        <w:rPr>
          <w:rFonts w:ascii="Times New Roman" w:hAnsi="宋体" w:eastAsia="宋体" w:cs="Times New Roman"/>
          <w:b/>
          <w:bCs w:val="0"/>
          <w:kern w:val="0"/>
          <w:sz w:val="24"/>
          <w:highlight w:val="none"/>
          <w:lang w:eastAsia="zh-TW"/>
        </w:rPr>
        <w:t>表</w:t>
      </w:r>
      <w:r>
        <w:rPr>
          <w:rFonts w:hint="eastAsia" w:ascii="Times New Roman" w:hAnsi="宋体" w:eastAsia="宋体" w:cs="Times New Roman"/>
          <w:b/>
          <w:bCs w:val="0"/>
          <w:kern w:val="0"/>
          <w:sz w:val="24"/>
          <w:highlight w:val="none"/>
          <w:lang w:eastAsia="zh-TW"/>
        </w:rPr>
        <w:t>5.2</w:t>
      </w:r>
      <w:r>
        <w:rPr>
          <w:rFonts w:hint="eastAsia" w:ascii="Times New Roman" w:hAnsi="宋体" w:eastAsia="宋体" w:cs="Times New Roman"/>
          <w:b/>
          <w:bCs w:val="0"/>
          <w:kern w:val="0"/>
          <w:sz w:val="24"/>
          <w:highlight w:val="none"/>
          <w:lang w:val="en-US" w:eastAsia="zh-TW"/>
        </w:rPr>
        <w:t>-</w:t>
      </w:r>
      <w:r>
        <w:rPr>
          <w:rFonts w:hint="eastAsia" w:hAnsi="宋体" w:cs="Times New Roman"/>
          <w:b/>
          <w:bCs w:val="0"/>
          <w:kern w:val="0"/>
          <w:sz w:val="24"/>
          <w:highlight w:val="none"/>
          <w:lang w:val="en-US" w:eastAsia="zh-CN"/>
        </w:rPr>
        <w:t>30</w:t>
      </w:r>
      <w:r>
        <w:rPr>
          <w:rFonts w:hint="eastAsia" w:ascii="Times New Roman" w:hAnsi="宋体" w:eastAsia="宋体" w:cs="Times New Roman"/>
          <w:b/>
          <w:bCs w:val="0"/>
          <w:kern w:val="0"/>
          <w:sz w:val="24"/>
          <w:highlight w:val="none"/>
          <w:lang w:val="en-US" w:eastAsia="zh-CN"/>
        </w:rPr>
        <w:t>固肥施用安排</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213"/>
        <w:gridCol w:w="2705"/>
        <w:gridCol w:w="4586"/>
      </w:tblGrid>
      <w:tr w14:paraId="64D35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tcBorders>
              <w:tl2br w:val="nil"/>
              <w:tr2bl w:val="nil"/>
            </w:tcBorders>
            <w:shd w:val="clear" w:color="auto" w:fill="FFFFFF"/>
            <w:tcMar>
              <w:top w:w="150" w:type="dxa"/>
              <w:left w:w="0" w:type="dxa"/>
              <w:bottom w:w="150" w:type="dxa"/>
              <w:right w:w="240" w:type="dxa"/>
            </w:tcMar>
            <w:vAlign w:val="center"/>
          </w:tcPr>
          <w:p w14:paraId="6492493B">
            <w:pPr>
              <w:widowControl/>
              <w:spacing w:line="240" w:lineRule="atLeast"/>
              <w:jc w:val="center"/>
              <w:rPr>
                <w:rFonts w:hint="eastAsia" w:ascii="Times New Roman" w:hAnsi="Times New Roman" w:eastAsia="宋体" w:cs="Times New Roman"/>
                <w:b/>
                <w:bCs/>
                <w:color w:val="000000"/>
                <w:kern w:val="0"/>
                <w:sz w:val="21"/>
                <w:szCs w:val="22"/>
                <w:lang w:val="en-US" w:eastAsia="zh-CN"/>
              </w:rPr>
            </w:pPr>
            <w:r>
              <w:rPr>
                <w:rFonts w:hint="default" w:ascii="Times New Roman" w:hAnsi="Times New Roman" w:eastAsia="宋体" w:cs="Times New Roman"/>
                <w:b/>
                <w:bCs/>
                <w:color w:val="000000"/>
                <w:kern w:val="0"/>
                <w:sz w:val="21"/>
                <w:szCs w:val="22"/>
                <w:lang w:val="en-US" w:eastAsia="zh-CN"/>
              </w:rPr>
              <w:t>施用类型</w:t>
            </w:r>
          </w:p>
        </w:tc>
        <w:tc>
          <w:tcPr>
            <w:tcW w:w="0" w:type="auto"/>
            <w:tcBorders>
              <w:tl2br w:val="nil"/>
              <w:tr2bl w:val="nil"/>
            </w:tcBorders>
            <w:shd w:val="clear" w:color="auto" w:fill="FFFFFF"/>
            <w:tcMar>
              <w:top w:w="150" w:type="dxa"/>
              <w:left w:w="240" w:type="dxa"/>
              <w:bottom w:w="150" w:type="dxa"/>
              <w:right w:w="240" w:type="dxa"/>
            </w:tcMar>
            <w:vAlign w:val="center"/>
          </w:tcPr>
          <w:p w14:paraId="66EF66D0">
            <w:pPr>
              <w:widowControl/>
              <w:spacing w:line="240" w:lineRule="atLeast"/>
              <w:jc w:val="center"/>
              <w:rPr>
                <w:rFonts w:hint="default" w:ascii="Times New Roman" w:hAnsi="Times New Roman" w:eastAsia="宋体" w:cs="Times New Roman"/>
                <w:b/>
                <w:bCs/>
                <w:color w:val="000000"/>
                <w:kern w:val="0"/>
                <w:sz w:val="21"/>
                <w:szCs w:val="22"/>
                <w:lang w:val="en-US" w:eastAsia="zh-CN"/>
              </w:rPr>
            </w:pPr>
            <w:r>
              <w:rPr>
                <w:rFonts w:hint="default" w:ascii="Times New Roman" w:hAnsi="Times New Roman" w:eastAsia="宋体" w:cs="Times New Roman"/>
                <w:b/>
                <w:bCs/>
                <w:color w:val="000000"/>
                <w:kern w:val="0"/>
                <w:sz w:val="21"/>
                <w:szCs w:val="22"/>
                <w:lang w:val="en-US" w:eastAsia="zh-CN"/>
              </w:rPr>
              <w:t>施用时间</w:t>
            </w:r>
          </w:p>
        </w:tc>
        <w:tc>
          <w:tcPr>
            <w:tcW w:w="0" w:type="auto"/>
            <w:tcBorders>
              <w:tl2br w:val="nil"/>
              <w:tr2bl w:val="nil"/>
            </w:tcBorders>
            <w:shd w:val="clear" w:color="auto" w:fill="FFFFFF"/>
            <w:tcMar>
              <w:top w:w="150" w:type="dxa"/>
              <w:left w:w="240" w:type="dxa"/>
              <w:bottom w:w="150" w:type="dxa"/>
              <w:right w:w="240" w:type="dxa"/>
            </w:tcMar>
            <w:vAlign w:val="center"/>
          </w:tcPr>
          <w:p w14:paraId="5756A934">
            <w:pPr>
              <w:widowControl/>
              <w:spacing w:line="240" w:lineRule="atLeast"/>
              <w:jc w:val="center"/>
              <w:rPr>
                <w:rFonts w:hint="default" w:ascii="Times New Roman" w:hAnsi="Times New Roman" w:eastAsia="宋体" w:cs="Times New Roman"/>
                <w:b/>
                <w:bCs/>
                <w:color w:val="000000"/>
                <w:kern w:val="0"/>
                <w:sz w:val="21"/>
                <w:szCs w:val="22"/>
                <w:lang w:val="en-US" w:eastAsia="zh-CN"/>
              </w:rPr>
            </w:pPr>
            <w:r>
              <w:rPr>
                <w:rFonts w:hint="default" w:ascii="Times New Roman" w:hAnsi="Times New Roman" w:eastAsia="宋体" w:cs="Times New Roman"/>
                <w:b/>
                <w:bCs/>
                <w:color w:val="000000"/>
                <w:kern w:val="0"/>
                <w:sz w:val="21"/>
                <w:szCs w:val="22"/>
                <w:lang w:val="en-US" w:eastAsia="zh-CN"/>
              </w:rPr>
              <w:t>具体安排</w:t>
            </w:r>
          </w:p>
        </w:tc>
      </w:tr>
      <w:tr w14:paraId="771A7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13" w:type="dxa"/>
            <w:tcBorders>
              <w:tl2br w:val="nil"/>
              <w:tr2bl w:val="nil"/>
            </w:tcBorders>
            <w:shd w:val="clear" w:color="auto" w:fill="FFFFFF"/>
            <w:tcMar>
              <w:top w:w="150" w:type="dxa"/>
              <w:left w:w="0" w:type="dxa"/>
              <w:bottom w:w="150" w:type="dxa"/>
              <w:right w:w="240" w:type="dxa"/>
            </w:tcMar>
            <w:vAlign w:val="center"/>
          </w:tcPr>
          <w:p w14:paraId="695BCED1">
            <w:pPr>
              <w:widowControl/>
              <w:spacing w:line="240" w:lineRule="atLeast"/>
              <w:jc w:val="center"/>
              <w:rPr>
                <w:rFonts w:hint="default" w:ascii="Times New Roman" w:hAnsi="Times New Roman" w:eastAsia="宋体" w:cs="Times New Roman"/>
                <w:b/>
                <w:bCs/>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基肥（春季）</w:t>
            </w:r>
          </w:p>
        </w:tc>
        <w:tc>
          <w:tcPr>
            <w:tcW w:w="2705" w:type="dxa"/>
            <w:tcBorders>
              <w:tl2br w:val="nil"/>
              <w:tr2bl w:val="nil"/>
            </w:tcBorders>
            <w:shd w:val="clear" w:color="auto" w:fill="FFFFFF"/>
            <w:tcMar>
              <w:top w:w="150" w:type="dxa"/>
              <w:left w:w="240" w:type="dxa"/>
              <w:bottom w:w="150" w:type="dxa"/>
              <w:right w:w="240" w:type="dxa"/>
            </w:tcMar>
            <w:vAlign w:val="center"/>
          </w:tcPr>
          <w:p w14:paraId="7B4DDDA6">
            <w:pPr>
              <w:widowControl/>
              <w:spacing w:line="240" w:lineRule="atLeast"/>
              <w:jc w:val="center"/>
              <w:rPr>
                <w:rFonts w:hint="default" w:ascii="Times New Roman" w:hAnsi="Times New Roman" w:eastAsia="宋体" w:cs="Times New Roman"/>
                <w:b/>
                <w:bCs/>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4月（播种前）</w:t>
            </w:r>
          </w:p>
        </w:tc>
        <w:tc>
          <w:tcPr>
            <w:tcW w:w="4586" w:type="dxa"/>
            <w:tcBorders>
              <w:tl2br w:val="nil"/>
              <w:tr2bl w:val="nil"/>
            </w:tcBorders>
            <w:shd w:val="clear" w:color="auto" w:fill="FFFFFF"/>
            <w:tcMar>
              <w:top w:w="150" w:type="dxa"/>
              <w:left w:w="240" w:type="dxa"/>
              <w:bottom w:w="150" w:type="dxa"/>
              <w:right w:w="240" w:type="dxa"/>
            </w:tcMar>
            <w:vAlign w:val="center"/>
          </w:tcPr>
          <w:p w14:paraId="17CC40E9">
            <w:pPr>
              <w:widowControl/>
              <w:spacing w:line="240" w:lineRule="atLeast"/>
              <w:jc w:val="center"/>
              <w:rPr>
                <w:rFonts w:hint="default" w:ascii="Times New Roman" w:hAnsi="Times New Roman" w:eastAsia="宋体" w:cs="Times New Roman"/>
                <w:b/>
                <w:bCs/>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春耕前施用腐熟固体粪肥作为基肥</w:t>
            </w:r>
          </w:p>
        </w:tc>
      </w:tr>
      <w:tr w14:paraId="645C09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13" w:type="dxa"/>
            <w:tcBorders>
              <w:tl2br w:val="nil"/>
              <w:tr2bl w:val="nil"/>
            </w:tcBorders>
            <w:shd w:val="clear" w:color="auto" w:fill="FFFFFF"/>
            <w:tcMar>
              <w:top w:w="150" w:type="dxa"/>
              <w:left w:w="0" w:type="dxa"/>
              <w:bottom w:w="150" w:type="dxa"/>
              <w:right w:w="240" w:type="dxa"/>
            </w:tcMar>
            <w:vAlign w:val="center"/>
          </w:tcPr>
          <w:p w14:paraId="1F9FE06F">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追肥</w:t>
            </w:r>
          </w:p>
        </w:tc>
        <w:tc>
          <w:tcPr>
            <w:tcW w:w="2705" w:type="dxa"/>
            <w:tcBorders>
              <w:tl2br w:val="nil"/>
              <w:tr2bl w:val="nil"/>
            </w:tcBorders>
            <w:shd w:val="clear" w:color="auto" w:fill="FFFFFF"/>
            <w:tcMar>
              <w:top w:w="150" w:type="dxa"/>
              <w:left w:w="240" w:type="dxa"/>
              <w:bottom w:w="150" w:type="dxa"/>
              <w:right w:w="240" w:type="dxa"/>
            </w:tcMar>
            <w:vAlign w:val="center"/>
          </w:tcPr>
          <w:p w14:paraId="3B184486">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作物生长期（棉花 2～3 叶期、盛蕾期至初花期等关键期）</w:t>
            </w:r>
          </w:p>
        </w:tc>
        <w:tc>
          <w:tcPr>
            <w:tcW w:w="4586" w:type="dxa"/>
            <w:tcBorders>
              <w:tl2br w:val="nil"/>
              <w:tr2bl w:val="nil"/>
            </w:tcBorders>
            <w:shd w:val="clear" w:color="auto" w:fill="FFFFFF"/>
            <w:tcMar>
              <w:top w:w="150" w:type="dxa"/>
              <w:left w:w="240" w:type="dxa"/>
              <w:bottom w:w="150" w:type="dxa"/>
              <w:right w:w="0" w:type="dxa"/>
            </w:tcMar>
            <w:vAlign w:val="center"/>
          </w:tcPr>
          <w:p w14:paraId="47D812A9">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采用条施或穴施方式追施</w:t>
            </w:r>
          </w:p>
        </w:tc>
      </w:tr>
      <w:tr w14:paraId="630A08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13" w:type="dxa"/>
            <w:tcBorders>
              <w:tl2br w:val="nil"/>
              <w:tr2bl w:val="nil"/>
            </w:tcBorders>
            <w:shd w:val="clear" w:color="auto" w:fill="FFFFFF"/>
            <w:tcMar>
              <w:top w:w="150" w:type="dxa"/>
              <w:left w:w="0" w:type="dxa"/>
              <w:bottom w:w="150" w:type="dxa"/>
              <w:right w:w="240" w:type="dxa"/>
            </w:tcMar>
            <w:vAlign w:val="center"/>
          </w:tcPr>
          <w:p w14:paraId="6EE3373F">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基肥（秋季）</w:t>
            </w:r>
          </w:p>
        </w:tc>
        <w:tc>
          <w:tcPr>
            <w:tcW w:w="2705" w:type="dxa"/>
            <w:tcBorders>
              <w:tl2br w:val="nil"/>
              <w:tr2bl w:val="nil"/>
            </w:tcBorders>
            <w:shd w:val="clear" w:color="auto" w:fill="FFFFFF"/>
            <w:tcMar>
              <w:top w:w="150" w:type="dxa"/>
              <w:left w:w="240" w:type="dxa"/>
              <w:bottom w:w="150" w:type="dxa"/>
              <w:right w:w="240" w:type="dxa"/>
            </w:tcMar>
            <w:vAlign w:val="center"/>
          </w:tcPr>
          <w:p w14:paraId="1F299F18">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9月～1</w:t>
            </w:r>
            <w:r>
              <w:rPr>
                <w:rFonts w:hint="eastAsia" w:ascii="Times New Roman" w:hAnsi="Times New Roman" w:eastAsia="宋体" w:cs="Times New Roman"/>
                <w:bCs w:val="0"/>
                <w:color w:val="000000"/>
                <w:kern w:val="0"/>
                <w:sz w:val="21"/>
                <w:szCs w:val="22"/>
                <w:lang w:val="en-US" w:eastAsia="zh-CN"/>
              </w:rPr>
              <w:t>0</w:t>
            </w:r>
            <w:r>
              <w:rPr>
                <w:rFonts w:hint="default" w:ascii="Times New Roman" w:hAnsi="Times New Roman" w:eastAsia="宋体" w:cs="Times New Roman"/>
                <w:bCs w:val="0"/>
                <w:color w:val="000000"/>
                <w:kern w:val="0"/>
                <w:sz w:val="21"/>
                <w:szCs w:val="22"/>
                <w:lang w:val="en-US" w:eastAsia="zh-CN"/>
              </w:rPr>
              <w:t>月（秋收后、封冻前）</w:t>
            </w:r>
          </w:p>
        </w:tc>
        <w:tc>
          <w:tcPr>
            <w:tcW w:w="4586" w:type="dxa"/>
            <w:tcBorders>
              <w:tl2br w:val="nil"/>
              <w:tr2bl w:val="nil"/>
            </w:tcBorders>
            <w:shd w:val="clear" w:color="auto" w:fill="FFFFFF"/>
            <w:tcMar>
              <w:top w:w="150" w:type="dxa"/>
              <w:left w:w="240" w:type="dxa"/>
              <w:bottom w:w="150" w:type="dxa"/>
              <w:right w:w="0" w:type="dxa"/>
            </w:tcMar>
            <w:vAlign w:val="center"/>
          </w:tcPr>
          <w:p w14:paraId="73C1A654">
            <w:pPr>
              <w:widowControl/>
              <w:spacing w:line="240" w:lineRule="atLeast"/>
              <w:jc w:val="center"/>
              <w:rPr>
                <w:rFonts w:hint="default" w:ascii="Times New Roman" w:hAnsi="Times New Roman" w:eastAsia="宋体" w:cs="Times New Roman"/>
                <w:bCs w:val="0"/>
                <w:color w:val="000000"/>
                <w:kern w:val="0"/>
                <w:sz w:val="21"/>
                <w:szCs w:val="22"/>
                <w:lang w:val="en-US" w:eastAsia="zh-CN"/>
              </w:rPr>
            </w:pPr>
            <w:r>
              <w:rPr>
                <w:rFonts w:hint="default" w:ascii="Times New Roman" w:hAnsi="Times New Roman" w:eastAsia="宋体" w:cs="Times New Roman"/>
                <w:bCs w:val="0"/>
                <w:color w:val="000000"/>
                <w:kern w:val="0"/>
                <w:sz w:val="21"/>
                <w:szCs w:val="22"/>
                <w:lang w:val="en-US" w:eastAsia="zh-CN"/>
              </w:rPr>
              <w:t>耕地前将腐熟固体粪肥均匀撒施于地表，结合农田整地把肥料翻入土中</w:t>
            </w:r>
          </w:p>
        </w:tc>
      </w:tr>
    </w:tbl>
    <w:p w14:paraId="56D46A58">
      <w:pPr>
        <w:widowControl/>
        <w:spacing w:line="360" w:lineRule="auto"/>
        <w:ind w:firstLine="482"/>
        <w:rPr>
          <w:rFonts w:hint="default" w:ascii="Times New Roman" w:hAnsi="Times New Roman" w:eastAsia="宋体" w:cs="Times New Roman"/>
          <w:bCs/>
          <w:color w:val="000000"/>
          <w:sz w:val="24"/>
          <w:lang w:val="en-US" w:eastAsia="zh-CN"/>
        </w:rPr>
      </w:pPr>
      <w:r>
        <w:rPr>
          <w:rFonts w:hint="default" w:ascii="Times New Roman" w:hAnsi="Times New Roman" w:eastAsia="宋体" w:cs="Times New Roman"/>
          <w:bCs/>
          <w:color w:val="000000"/>
          <w:sz w:val="24"/>
          <w:lang w:val="en-US" w:eastAsia="zh-CN"/>
        </w:rPr>
        <w:t>粪污产生具有连续性，而农业种植具有季节性，非施肥季节（冬季封冻期、雨季）产生的固体粪肥</w:t>
      </w:r>
      <w:r>
        <w:rPr>
          <w:rFonts w:hint="eastAsia" w:ascii="Times New Roman" w:hAnsi="Times New Roman" w:eastAsia="宋体" w:cs="Times New Roman"/>
          <w:bCs/>
          <w:color w:val="000000"/>
          <w:sz w:val="24"/>
          <w:lang w:val="en-US" w:eastAsia="zh-CN"/>
        </w:rPr>
        <w:t>在本项目发酵床内暂存</w:t>
      </w:r>
      <w:r>
        <w:rPr>
          <w:rFonts w:hint="default" w:ascii="Times New Roman" w:hAnsi="Times New Roman" w:eastAsia="宋体" w:cs="Times New Roman"/>
          <w:bCs/>
          <w:color w:val="000000"/>
          <w:sz w:val="24"/>
          <w:lang w:val="en-US" w:eastAsia="zh-CN"/>
        </w:rPr>
        <w:t>，待施肥季节集中还田。</w:t>
      </w:r>
    </w:p>
    <w:p w14:paraId="05F3823F">
      <w:pPr>
        <w:pageBreakBefore w:val="0"/>
        <w:widowControl w:val="0"/>
        <w:wordWrap/>
        <w:topLinePunct w:val="0"/>
        <w:bidi w:val="0"/>
        <w:adjustRightInd/>
        <w:snapToGrid/>
        <w:spacing w:line="500" w:lineRule="exact"/>
        <w:ind w:firstLine="480" w:firstLineChars="20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w:t>
      </w:r>
      <w:r>
        <w:rPr>
          <w:rFonts w:hint="eastAsia" w:cs="Times New Roman"/>
          <w:kern w:val="2"/>
          <w:sz w:val="24"/>
          <w:szCs w:val="24"/>
          <w:lang w:val="en-US" w:eastAsia="zh-CN" w:bidi="ar-SA"/>
        </w:rPr>
        <w:t>棉花地</w:t>
      </w:r>
      <w:r>
        <w:rPr>
          <w:rFonts w:hint="eastAsia" w:ascii="Times New Roman" w:hAnsi="Times New Roman" w:eastAsia="宋体" w:cs="Times New Roman"/>
          <w:kern w:val="2"/>
          <w:sz w:val="24"/>
          <w:szCs w:val="24"/>
          <w:lang w:val="en-US" w:eastAsia="zh-CN" w:bidi="ar-SA"/>
        </w:rPr>
        <w:t>每年施肥量</w:t>
      </w:r>
      <w:r>
        <w:rPr>
          <w:rFonts w:hint="eastAsia" w:cs="Times New Roman"/>
          <w:kern w:val="2"/>
          <w:sz w:val="24"/>
          <w:szCs w:val="24"/>
          <w:highlight w:val="none"/>
          <w:lang w:val="en-US" w:eastAsia="zh-CN" w:bidi="ar-SA"/>
        </w:rPr>
        <w:t>20.71</w:t>
      </w:r>
      <w:r>
        <w:rPr>
          <w:rFonts w:hint="eastAsia" w:ascii="Times New Roman" w:hAnsi="Times New Roman" w:eastAsia="宋体" w:cs="Times New Roman"/>
          <w:kern w:val="2"/>
          <w:sz w:val="24"/>
          <w:szCs w:val="24"/>
          <w:lang w:val="en-US" w:eastAsia="zh-CN" w:bidi="ar-SA"/>
        </w:rPr>
        <w:t>吨每公顷，施肥量低于《畜禽粪肥还田技术规范》（GB/T25246—2025）施用量推荐值（</w:t>
      </w:r>
      <w:r>
        <w:rPr>
          <w:rFonts w:hint="eastAsia" w:cs="Times New Roman"/>
          <w:kern w:val="2"/>
          <w:sz w:val="24"/>
          <w:szCs w:val="24"/>
          <w:lang w:val="en-US" w:eastAsia="zh-CN" w:bidi="ar-SA"/>
        </w:rPr>
        <w:t>21.84</w:t>
      </w:r>
      <w:r>
        <w:rPr>
          <w:rFonts w:hint="eastAsia" w:ascii="Times New Roman" w:hAnsi="Times New Roman" w:eastAsia="宋体" w:cs="Times New Roman"/>
          <w:kern w:val="2"/>
          <w:sz w:val="24"/>
          <w:szCs w:val="24"/>
          <w:lang w:val="en-US" w:eastAsia="zh-CN" w:bidi="ar-SA"/>
        </w:rPr>
        <w:t>吨每公顷），</w:t>
      </w:r>
      <w:r>
        <w:rPr>
          <w:rFonts w:hint="default" w:ascii="Times New Roman" w:hAnsi="Times New Roman" w:eastAsia="宋体" w:cs="Times New Roman"/>
          <w:kern w:val="2"/>
          <w:sz w:val="24"/>
          <w:szCs w:val="24"/>
          <w:lang w:val="en-US" w:eastAsia="zh-CN" w:bidi="ar-SA"/>
        </w:rPr>
        <w:t>低于常规推荐施用量上限，处于安全、合理的施用区间</w:t>
      </w:r>
      <w:r>
        <w:rPr>
          <w:rFonts w:hint="eastAsia" w:ascii="Times New Roman" w:hAnsi="Times New Roman" w:eastAsia="宋体" w:cs="Times New Roman"/>
          <w:kern w:val="2"/>
          <w:sz w:val="24"/>
          <w:szCs w:val="24"/>
          <w:lang w:val="en-US" w:eastAsia="zh-CN" w:bidi="ar-SA"/>
        </w:rPr>
        <w:t>，次年轮作施肥</w:t>
      </w:r>
      <w:r>
        <w:rPr>
          <w:rFonts w:hint="default" w:ascii="Times New Roman" w:hAnsi="Times New Roman" w:eastAsia="宋体" w:cs="Times New Roman"/>
          <w:kern w:val="2"/>
          <w:sz w:val="24"/>
          <w:szCs w:val="24"/>
          <w:lang w:val="en-US" w:eastAsia="zh-CN" w:bidi="ar-SA"/>
        </w:rPr>
        <w:t>，不会对土壤造成过量施肥风险。</w:t>
      </w:r>
    </w:p>
    <w:p w14:paraId="0012A941">
      <w:pPr>
        <w:pageBreakBefore w:val="0"/>
        <w:widowControl w:val="0"/>
        <w:wordWrap/>
        <w:topLinePunct w:val="0"/>
        <w:bidi w:val="0"/>
        <w:adjustRightInd/>
        <w:snapToGrid/>
        <w:spacing w:line="500" w:lineRule="exact"/>
        <w:ind w:firstLine="480" w:firstLineChars="20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轮作方案：</w:t>
      </w:r>
      <w:r>
        <w:rPr>
          <w:rFonts w:hint="default" w:ascii="Times New Roman" w:hAnsi="Times New Roman" w:eastAsia="宋体" w:cs="Times New Roman"/>
          <w:kern w:val="2"/>
          <w:sz w:val="24"/>
          <w:szCs w:val="24"/>
          <w:lang w:val="en-US" w:eastAsia="zh-CN" w:bidi="ar-SA"/>
        </w:rPr>
        <w:t>本项目消纳土地共计</w:t>
      </w:r>
      <w:r>
        <w:rPr>
          <w:rFonts w:hint="eastAsia" w:cs="Times New Roman"/>
          <w:kern w:val="2"/>
          <w:sz w:val="24"/>
          <w:szCs w:val="24"/>
          <w:lang w:val="en-US" w:eastAsia="zh-CN" w:bidi="ar-SA"/>
        </w:rPr>
        <w:t>350</w:t>
      </w:r>
      <w:r>
        <w:rPr>
          <w:rFonts w:hint="default" w:ascii="Times New Roman" w:hAnsi="Times New Roman" w:eastAsia="宋体" w:cs="Times New Roman"/>
          <w:kern w:val="2"/>
          <w:sz w:val="24"/>
          <w:szCs w:val="24"/>
          <w:lang w:val="en-US" w:eastAsia="zh-CN" w:bidi="ar-SA"/>
        </w:rPr>
        <w:t>公顷，分布在</w:t>
      </w:r>
      <w:r>
        <w:rPr>
          <w:rFonts w:hint="eastAsia" w:cs="Times New Roman"/>
          <w:kern w:val="2"/>
          <w:sz w:val="24"/>
          <w:szCs w:val="24"/>
          <w:lang w:val="en-US" w:eastAsia="zh-CN" w:bidi="ar-SA"/>
        </w:rPr>
        <w:t>125</w:t>
      </w:r>
      <w:r>
        <w:rPr>
          <w:rFonts w:hint="default" w:ascii="Times New Roman" w:hAnsi="Times New Roman" w:eastAsia="宋体" w:cs="Times New Roman"/>
          <w:kern w:val="2"/>
          <w:sz w:val="24"/>
          <w:szCs w:val="24"/>
          <w:lang w:val="en-US" w:eastAsia="zh-CN" w:bidi="ar-SA"/>
        </w:rPr>
        <w:t>团</w:t>
      </w:r>
      <w:r>
        <w:rPr>
          <w:rFonts w:hint="eastAsia" w:cs="Times New Roman"/>
          <w:kern w:val="2"/>
          <w:sz w:val="24"/>
          <w:szCs w:val="24"/>
          <w:lang w:val="en-US" w:eastAsia="zh-CN" w:bidi="ar-SA"/>
        </w:rPr>
        <w:t>6连</w:t>
      </w:r>
      <w:r>
        <w:rPr>
          <w:rFonts w:hint="default" w:ascii="Times New Roman" w:hAnsi="Times New Roman" w:eastAsia="宋体" w:cs="Times New Roman"/>
          <w:kern w:val="2"/>
          <w:sz w:val="24"/>
          <w:szCs w:val="24"/>
          <w:lang w:val="en-US" w:eastAsia="zh-CN" w:bidi="ar-SA"/>
        </w:rPr>
        <w:t>。为保证不长期施肥于同一土地，项目运营后拟采取以下轮作施肥制度：</w:t>
      </w:r>
      <w:r>
        <w:rPr>
          <w:rFonts w:hint="eastAsia" w:ascii="Times New Roman" w:hAnsi="Times New Roman" w:eastAsia="宋体" w:cs="Times New Roman"/>
          <w:kern w:val="2"/>
          <w:sz w:val="24"/>
          <w:szCs w:val="24"/>
          <w:lang w:val="en-US" w:eastAsia="zh-CN" w:bidi="ar-SA"/>
        </w:rPr>
        <w:t>每年施肥过的耕地，次年不得再次施肥</w:t>
      </w:r>
      <w:r>
        <w:rPr>
          <w:rFonts w:hint="default"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每两年每个</w:t>
      </w:r>
      <w:r>
        <w:rPr>
          <w:rFonts w:hint="default" w:ascii="Times New Roman" w:hAnsi="Times New Roman" w:eastAsia="宋体" w:cs="Times New Roman"/>
          <w:kern w:val="2"/>
          <w:sz w:val="24"/>
          <w:szCs w:val="24"/>
          <w:lang w:val="en-US" w:eastAsia="zh-CN" w:bidi="ar-SA"/>
        </w:rPr>
        <w:t>地块轮施一遍，避免同一地块连续多年过量施肥</w:t>
      </w:r>
      <w:r>
        <w:rPr>
          <w:rFonts w:hint="eastAsia" w:ascii="Times New Roman" w:hAnsi="Times New Roman" w:eastAsia="宋体" w:cs="Times New Roman"/>
          <w:kern w:val="2"/>
          <w:sz w:val="24"/>
          <w:szCs w:val="24"/>
          <w:lang w:val="en-US" w:eastAsia="zh-CN" w:bidi="ar-SA"/>
        </w:rPr>
        <w:t>后</w:t>
      </w:r>
      <w:r>
        <w:rPr>
          <w:rFonts w:hint="default" w:ascii="Times New Roman" w:hAnsi="Times New Roman" w:eastAsia="宋体" w:cs="Times New Roman"/>
          <w:kern w:val="2"/>
          <w:sz w:val="24"/>
          <w:szCs w:val="24"/>
          <w:lang w:val="en-US" w:eastAsia="zh-CN" w:bidi="ar-SA"/>
        </w:rPr>
        <w:t>养分过度积累和土壤盐渍化。畜禽粪肥还田前应记录卫生学指标的检测结果，还田过程应及时记录粪肥类型、施用日期、施用方式、施用量等信息，确保还田数据真实准确，</w:t>
      </w:r>
      <w:r>
        <w:rPr>
          <w:rFonts w:hint="eastAsia" w:ascii="Times New Roman" w:hAnsi="Times New Roman" w:eastAsia="宋体" w:cs="Times New Roman"/>
          <w:kern w:val="2"/>
          <w:sz w:val="24"/>
          <w:szCs w:val="24"/>
          <w:lang w:val="en-US" w:eastAsia="zh-CN" w:bidi="ar-SA"/>
        </w:rPr>
        <w:t>填写</w:t>
      </w:r>
      <w:r>
        <w:rPr>
          <w:rFonts w:hint="default" w:ascii="Times New Roman" w:hAnsi="Times New Roman" w:eastAsia="宋体" w:cs="Times New Roman"/>
          <w:kern w:val="2"/>
          <w:sz w:val="24"/>
          <w:szCs w:val="24"/>
          <w:lang w:val="en-US" w:eastAsia="zh-CN" w:bidi="ar-SA"/>
        </w:rPr>
        <w:t>粪肥还田台账记录。畜禽粪肥还田期间，应定期对粪肥还田效果进行监测，通过</w:t>
      </w:r>
      <w:r>
        <w:rPr>
          <w:rFonts w:hint="eastAsia" w:ascii="Times New Roman" w:hAnsi="Times New Roman" w:eastAsia="宋体" w:cs="Times New Roman"/>
          <w:kern w:val="2"/>
          <w:sz w:val="24"/>
          <w:szCs w:val="24"/>
          <w:lang w:val="en-US" w:eastAsia="zh-CN" w:bidi="ar-SA"/>
        </w:rPr>
        <w:t>定期检测还田前后土壤有机质、pH、全氮、全磷、硝态氮、铵态氮、有效磷以及水溶性盐含量等指标以及作物施肥量以及产量</w:t>
      </w:r>
      <w:r>
        <w:rPr>
          <w:rFonts w:hint="default" w:ascii="Times New Roman" w:hAnsi="Times New Roman" w:eastAsia="宋体" w:cs="Times New Roman"/>
          <w:kern w:val="2"/>
          <w:sz w:val="24"/>
          <w:szCs w:val="24"/>
          <w:lang w:val="en-US" w:eastAsia="zh-CN" w:bidi="ar-SA"/>
        </w:rPr>
        <w:t>，动态优化施肥方案，确保施肥量符合当地环境容量要求</w:t>
      </w:r>
      <w:r>
        <w:rPr>
          <w:rFonts w:hint="eastAsia" w:ascii="Times New Roman" w:hAnsi="Times New Roman" w:eastAsia="宋体" w:cs="Times New Roman"/>
          <w:kern w:val="2"/>
          <w:sz w:val="24"/>
          <w:szCs w:val="24"/>
          <w:lang w:val="en-US" w:eastAsia="zh-CN" w:bidi="ar-SA"/>
        </w:rPr>
        <w:t>。</w:t>
      </w:r>
    </w:p>
    <w:p w14:paraId="4CEBC571">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572" w:name="_Toc31259"/>
      <w:bookmarkStart w:id="573" w:name="_Toc19744"/>
      <w:r>
        <w:rPr>
          <w:rFonts w:hint="default" w:ascii="Times New Roman" w:hAnsi="Times New Roman" w:eastAsia="宋体" w:cs="Times New Roman"/>
          <w:b/>
          <w:kern w:val="2"/>
          <w:sz w:val="24"/>
          <w:szCs w:val="24"/>
          <w:lang w:val="en-US" w:eastAsia="zh-CN" w:bidi="ar-SA"/>
        </w:rPr>
        <w:t>5.2.</w:t>
      </w:r>
      <w:r>
        <w:rPr>
          <w:rFonts w:hint="eastAsia" w:cs="Times New Roman"/>
          <w:b/>
          <w:kern w:val="2"/>
          <w:sz w:val="24"/>
          <w:szCs w:val="24"/>
          <w:lang w:val="en-US" w:eastAsia="zh-CN" w:bidi="ar-SA"/>
        </w:rPr>
        <w:t>2</w:t>
      </w:r>
      <w:r>
        <w:rPr>
          <w:rFonts w:hint="eastAsia" w:ascii="Times New Roman" w:hAnsi="Times New Roman" w:eastAsia="宋体" w:cs="Times New Roman"/>
          <w:b/>
          <w:kern w:val="2"/>
          <w:sz w:val="24"/>
          <w:szCs w:val="24"/>
          <w:lang w:val="en-US" w:eastAsia="zh-CN" w:bidi="ar-SA"/>
        </w:rPr>
        <w:t>.</w:t>
      </w:r>
      <w:r>
        <w:rPr>
          <w:rFonts w:hint="eastAsia"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小结</w:t>
      </w:r>
      <w:bookmarkEnd w:id="572"/>
      <w:bookmarkEnd w:id="573"/>
    </w:p>
    <w:p w14:paraId="5E316F3E">
      <w:pPr>
        <w:pageBreakBefore w:val="0"/>
        <w:widowControl w:val="0"/>
        <w:wordWrap/>
        <w:topLinePunct w:val="0"/>
        <w:bidi w:val="0"/>
        <w:adjustRightInd/>
        <w:snapToGrid/>
        <w:spacing w:line="500" w:lineRule="exact"/>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本项目生产废水</w:t>
      </w:r>
      <w:r>
        <w:rPr>
          <w:rFonts w:hint="eastAsia" w:cs="Times New Roman"/>
          <w:kern w:val="2"/>
          <w:sz w:val="24"/>
          <w:szCs w:val="24"/>
          <w:lang w:val="en-US" w:eastAsia="zh-CN" w:bidi="ar-SA"/>
        </w:rPr>
        <w:t>、生活污水</w:t>
      </w:r>
      <w:r>
        <w:rPr>
          <w:rFonts w:hint="default" w:ascii="Times New Roman" w:hAnsi="Times New Roman" w:eastAsia="宋体" w:cs="Times New Roman"/>
          <w:kern w:val="2"/>
          <w:sz w:val="24"/>
          <w:szCs w:val="24"/>
          <w:lang w:val="en-US" w:eastAsia="zh-CN" w:bidi="ar-SA"/>
        </w:rPr>
        <w:t>不外排</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不会对外环境造成严重的环境影响，仅仅存在事故状态下对项目区地下水环境的污染威胁。</w:t>
      </w:r>
    </w:p>
    <w:p w14:paraId="0EE14470">
      <w:pPr>
        <w:pageBreakBefore w:val="0"/>
        <w:widowControl w:val="0"/>
        <w:wordWrap/>
        <w:topLinePunct w:val="0"/>
        <w:bidi w:val="0"/>
        <w:adjustRightInd/>
        <w:snapToGrid/>
        <w:spacing w:line="500" w:lineRule="exact"/>
        <w:ind w:firstLine="480" w:firstLineChars="200"/>
        <w:jc w:val="both"/>
        <w:rPr>
          <w:rFonts w:hint="default" w:ascii="Times New Roman" w:hAnsi="Times New Roman" w:eastAsia="宋体" w:cs="Times New Roman"/>
          <w:snapToGrid w:val="0"/>
          <w:kern w:val="2"/>
          <w:sz w:val="24"/>
          <w:szCs w:val="24"/>
          <w:lang w:val="en-US" w:eastAsia="zh-CN" w:bidi="ar-SA"/>
        </w:rPr>
      </w:pPr>
      <w:r>
        <w:rPr>
          <w:rFonts w:hint="default" w:ascii="Times New Roman" w:hAnsi="Times New Roman" w:eastAsia="宋体" w:cs="Times New Roman"/>
          <w:kern w:val="2"/>
          <w:sz w:val="24"/>
          <w:szCs w:val="24"/>
          <w:lang w:val="en-US" w:eastAsia="zh-CN" w:bidi="ar-SA"/>
        </w:rPr>
        <w:t>项目全厂废水为重力流排放，一般发生管道破裂的</w:t>
      </w:r>
      <w:r>
        <w:rPr>
          <w:rFonts w:hint="eastAsia" w:cs="Times New Roman"/>
          <w:kern w:val="2"/>
          <w:sz w:val="24"/>
          <w:szCs w:val="24"/>
          <w:lang w:val="en-US" w:eastAsia="zh-CN" w:bidi="ar-SA"/>
        </w:rPr>
        <w:t>概率</w:t>
      </w:r>
      <w:r>
        <w:rPr>
          <w:rFonts w:hint="default" w:ascii="Times New Roman" w:hAnsi="Times New Roman" w:eastAsia="宋体" w:cs="Times New Roman"/>
          <w:kern w:val="2"/>
          <w:sz w:val="24"/>
          <w:szCs w:val="24"/>
          <w:lang w:val="en-US" w:eastAsia="zh-CN" w:bidi="ar-SA"/>
        </w:rPr>
        <w:t>很小，正常情况下，废水不会对项目区地下水水环境产生影响。由于设计和施工的缺陷或管理、维修不善，均可造成建设项目管道破裂泄漏及突发性事故消防废水的排放，这些无组织泄漏或事故排放的污染物，如渗入地下水环境，均有可能造成地下水污染。为了避免这种情况，根据设计，各装置单元均采用防渗或防漏效果很好的装置设备，装置内排水管道均采用密封、防渗材料，各单元排水均经管道排放</w:t>
      </w:r>
      <w:r>
        <w:rPr>
          <w:rFonts w:hint="eastAsia" w:cs="Times New Roman"/>
          <w:kern w:val="2"/>
          <w:sz w:val="24"/>
          <w:szCs w:val="24"/>
          <w:lang w:val="en-US" w:eastAsia="zh-CN" w:bidi="ar-SA"/>
        </w:rPr>
        <w:t>，还田时定期检查，避免过量施肥</w:t>
      </w:r>
      <w:r>
        <w:rPr>
          <w:rFonts w:hint="default" w:ascii="Times New Roman" w:hAnsi="Times New Roman" w:eastAsia="宋体" w:cs="Times New Roman"/>
          <w:kern w:val="2"/>
          <w:sz w:val="24"/>
          <w:szCs w:val="24"/>
          <w:lang w:val="en-US" w:eastAsia="zh-CN" w:bidi="ar-SA"/>
        </w:rPr>
        <w:t>，在正常情况下，对周围地下水环境影响不大。</w:t>
      </w:r>
    </w:p>
    <w:p w14:paraId="6FD5E9BF">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2"/>
        <w:rPr>
          <w:rFonts w:hint="default" w:ascii="Times New Roman" w:hAnsi="Times New Roman" w:eastAsia="宋体" w:cs="Times New Roman"/>
          <w:b/>
          <w:bCs/>
          <w:color w:val="auto"/>
          <w:kern w:val="2"/>
          <w:sz w:val="28"/>
          <w:szCs w:val="28"/>
          <w:lang w:val="en-US" w:eastAsia="zh-CN" w:bidi="ar-SA"/>
        </w:rPr>
      </w:pPr>
      <w:r>
        <w:rPr>
          <w:rFonts w:hint="default" w:ascii="Times New Roman" w:hAnsi="Times New Roman" w:eastAsia="宋体" w:cs="Times New Roman"/>
          <w:b/>
          <w:bCs/>
          <w:color w:val="auto"/>
          <w:kern w:val="2"/>
          <w:sz w:val="28"/>
          <w:szCs w:val="28"/>
          <w:lang w:val="en-US" w:eastAsia="zh-CN" w:bidi="ar-SA"/>
        </w:rPr>
        <w:t>5.</w:t>
      </w:r>
      <w:r>
        <w:rPr>
          <w:rFonts w:hint="eastAsia" w:ascii="Times New Roman" w:hAnsi="Times New Roman" w:eastAsia="宋体" w:cs="Times New Roman"/>
          <w:b/>
          <w:bCs/>
          <w:color w:val="auto"/>
          <w:kern w:val="2"/>
          <w:sz w:val="28"/>
          <w:szCs w:val="28"/>
          <w:lang w:val="en-US" w:eastAsia="zh-CN" w:bidi="ar-SA"/>
        </w:rPr>
        <w:t>2.</w:t>
      </w:r>
      <w:r>
        <w:rPr>
          <w:rFonts w:hint="default" w:ascii="Times New Roman" w:hAnsi="Times New Roman" w:eastAsia="宋体" w:cs="Times New Roman"/>
          <w:b/>
          <w:bCs/>
          <w:color w:val="auto"/>
          <w:kern w:val="2"/>
          <w:sz w:val="28"/>
          <w:szCs w:val="28"/>
          <w:lang w:val="en-US" w:eastAsia="zh-CN" w:bidi="ar-SA"/>
        </w:rPr>
        <w:t>3声环境影响分析</w:t>
      </w:r>
    </w:p>
    <w:p w14:paraId="4933AB28">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3"/>
        <w:rPr>
          <w:rFonts w:hint="default" w:ascii="Times New Roman" w:hAnsi="Times New Roman" w:eastAsia="宋体" w:cs="Times New Roman"/>
          <w:b/>
          <w:bCs/>
          <w:color w:val="auto"/>
          <w:kern w:val="2"/>
          <w:sz w:val="24"/>
          <w:szCs w:val="24"/>
          <w:lang w:val="en-US" w:eastAsia="zh-CN" w:bidi="ar-SA"/>
        </w:rPr>
      </w:pPr>
      <w:bookmarkStart w:id="574" w:name="_Toc10392"/>
      <w:bookmarkStart w:id="575" w:name="_Toc16726"/>
      <w:r>
        <w:rPr>
          <w:rFonts w:hint="default" w:ascii="Times New Roman" w:hAnsi="Times New Roman" w:eastAsia="宋体" w:cs="Times New Roman"/>
          <w:b/>
          <w:bCs/>
          <w:color w:val="auto"/>
          <w:kern w:val="2"/>
          <w:sz w:val="24"/>
          <w:szCs w:val="24"/>
          <w:lang w:val="en-US" w:eastAsia="zh-CN" w:bidi="ar-SA"/>
        </w:rPr>
        <w:t>5.</w:t>
      </w:r>
      <w:r>
        <w:rPr>
          <w:rFonts w:hint="eastAsia" w:ascii="Times New Roman" w:hAnsi="Times New Roman" w:eastAsia="宋体"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3.1噪声源</w:t>
      </w:r>
      <w:bookmarkEnd w:id="574"/>
      <w:bookmarkEnd w:id="575"/>
      <w:r>
        <w:rPr>
          <w:rFonts w:hint="eastAsia" w:ascii="Times New Roman" w:hAnsi="Times New Roman" w:eastAsia="宋体" w:cs="Times New Roman"/>
          <w:b/>
          <w:bCs/>
          <w:color w:val="auto"/>
          <w:kern w:val="2"/>
          <w:sz w:val="24"/>
          <w:szCs w:val="24"/>
          <w:lang w:val="en-US" w:eastAsia="zh-CN" w:bidi="ar-SA"/>
        </w:rPr>
        <w:t>及预测噪声源强</w:t>
      </w:r>
    </w:p>
    <w:p w14:paraId="53230F7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运营期间，噪声主要来源于养殖区牛的噪声，养殖区</w:t>
      </w:r>
      <w:r>
        <w:rPr>
          <w:rFonts w:hint="eastAsia" w:cs="Times New Roman"/>
          <w:color w:val="auto"/>
          <w:kern w:val="0"/>
          <w:sz w:val="24"/>
          <w:szCs w:val="24"/>
          <w:highlight w:val="none"/>
          <w:lang w:val="en-US" w:eastAsia="zh-CN" w:bidi="ar"/>
        </w:rPr>
        <w:t>、饲料加工区</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堆肥区</w:t>
      </w:r>
      <w:r>
        <w:rPr>
          <w:rFonts w:hint="default" w:ascii="Times New Roman" w:hAnsi="Times New Roman" w:eastAsia="宋体" w:cs="Times New Roman"/>
          <w:color w:val="auto"/>
          <w:kern w:val="0"/>
          <w:sz w:val="24"/>
          <w:szCs w:val="24"/>
          <w:highlight w:val="none"/>
          <w:lang w:val="en-US" w:eastAsia="zh-CN" w:bidi="ar"/>
        </w:rPr>
        <w:t>设备运行噪声。</w:t>
      </w:r>
      <w:r>
        <w:rPr>
          <w:rFonts w:hint="eastAsia"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US" w:eastAsia="zh-CN" w:bidi="ar-SA"/>
        </w:rPr>
        <w:t>主要设备有</w:t>
      </w:r>
      <w:r>
        <w:rPr>
          <w:rFonts w:hint="default" w:ascii="Times New Roman" w:hAnsi="Times New Roman" w:eastAsia="宋体" w:cs="Times New Roman"/>
          <w:color w:val="auto"/>
          <w:kern w:val="2"/>
          <w:sz w:val="24"/>
          <w:szCs w:val="24"/>
          <w:highlight w:val="none"/>
          <w:lang w:val="en-US" w:eastAsia="zh-CN" w:bidi="ar-SA"/>
        </w:rPr>
        <w:t>水泵</w:t>
      </w:r>
      <w:r>
        <w:rPr>
          <w:rFonts w:hint="eastAsia" w:cs="Times New Roman"/>
          <w:color w:val="auto"/>
          <w:kern w:val="2"/>
          <w:sz w:val="24"/>
          <w:szCs w:val="24"/>
          <w:highlight w:val="none"/>
          <w:lang w:val="en-US" w:eastAsia="zh-CN" w:bidi="ar-SA"/>
        </w:rPr>
        <w:t>、撒料车、清粪车、吸污车、</w:t>
      </w:r>
      <w:r>
        <w:rPr>
          <w:rFonts w:hint="eastAsia" w:ascii="Times New Roman" w:hAnsi="Times New Roman" w:eastAsia="宋体" w:cs="Times New Roman"/>
          <w:color w:val="auto"/>
          <w:kern w:val="0"/>
          <w:sz w:val="24"/>
          <w:szCs w:val="24"/>
          <w:highlight w:val="none"/>
          <w:lang w:val="en-US" w:eastAsia="zh-CN" w:bidi="ar"/>
        </w:rPr>
        <w:t>牛床铺料机</w:t>
      </w:r>
      <w:r>
        <w:rPr>
          <w:rFonts w:hint="default" w:ascii="Times New Roman" w:hAnsi="Times New Roman" w:eastAsia="宋体" w:cs="Times New Roman"/>
          <w:color w:val="auto"/>
          <w:kern w:val="2"/>
          <w:sz w:val="24"/>
          <w:szCs w:val="24"/>
          <w:lang w:val="en-US" w:eastAsia="zh-CN" w:bidi="ar-SA"/>
        </w:rPr>
        <w:t>等。这些噪声源强约为7</w:t>
      </w:r>
      <w:r>
        <w:rPr>
          <w:rFonts w:hint="eastAsia" w:ascii="Times New Roman" w:hAnsi="Times New Roman" w:eastAsia="宋体" w:cs="Times New Roman"/>
          <w:color w:val="auto"/>
          <w:kern w:val="2"/>
          <w:sz w:val="24"/>
          <w:szCs w:val="24"/>
          <w:lang w:val="en-US" w:eastAsia="zh-CN" w:bidi="ar-SA"/>
        </w:rPr>
        <w:t>0</w:t>
      </w:r>
      <w:r>
        <w:rPr>
          <w:rFonts w:hint="eastAsia" w:cs="Times New Roman"/>
          <w:color w:val="auto"/>
          <w:kern w:val="2"/>
          <w:sz w:val="24"/>
          <w:szCs w:val="24"/>
          <w:lang w:val="en-US" w:eastAsia="zh-CN" w:bidi="ar-SA"/>
        </w:rPr>
        <w:t>-93</w:t>
      </w:r>
      <w:r>
        <w:rPr>
          <w:rFonts w:hint="default" w:ascii="Times New Roman" w:hAnsi="Times New Roman" w:eastAsia="宋体" w:cs="Times New Roman"/>
          <w:color w:val="auto"/>
          <w:kern w:val="2"/>
          <w:sz w:val="24"/>
          <w:szCs w:val="24"/>
          <w:lang w:val="en-US" w:eastAsia="zh-CN" w:bidi="ar-SA"/>
        </w:rPr>
        <w:t>dB（A）。</w:t>
      </w:r>
      <w:r>
        <w:rPr>
          <w:rFonts w:hint="eastAsia" w:cs="Times New Roman"/>
          <w:color w:val="auto"/>
          <w:kern w:val="2"/>
          <w:sz w:val="24"/>
          <w:szCs w:val="24"/>
          <w:lang w:val="en-US" w:eastAsia="zh-CN" w:bidi="ar-SA"/>
        </w:rPr>
        <w:t>饲料加工区设置饲料粉碎机、固定式TMR搅拌机、风机，</w:t>
      </w:r>
      <w:r>
        <w:rPr>
          <w:rFonts w:hint="default" w:ascii="Times New Roman" w:hAnsi="Times New Roman" w:eastAsia="宋体" w:cs="Times New Roman"/>
          <w:color w:val="auto"/>
          <w:kern w:val="2"/>
          <w:sz w:val="24"/>
          <w:szCs w:val="24"/>
          <w:lang w:val="en-US" w:eastAsia="zh-CN" w:bidi="ar-SA"/>
        </w:rPr>
        <w:t>噪声设备</w:t>
      </w:r>
      <w:r>
        <w:rPr>
          <w:rFonts w:hint="eastAsia" w:cs="Times New Roman"/>
          <w:color w:val="auto"/>
          <w:kern w:val="2"/>
          <w:sz w:val="24"/>
          <w:szCs w:val="24"/>
          <w:lang w:val="en-US" w:eastAsia="zh-CN" w:bidi="ar-SA"/>
        </w:rPr>
        <w:t>均</w:t>
      </w:r>
      <w:r>
        <w:rPr>
          <w:rFonts w:hint="default" w:ascii="Times New Roman" w:hAnsi="Times New Roman" w:eastAsia="宋体" w:cs="Times New Roman"/>
          <w:color w:val="auto"/>
          <w:kern w:val="2"/>
          <w:sz w:val="24"/>
          <w:szCs w:val="24"/>
          <w:lang w:val="en-US" w:eastAsia="zh-CN" w:bidi="ar-SA"/>
        </w:rPr>
        <w:t>置于室内。噪声源强约为</w:t>
      </w:r>
      <w:r>
        <w:rPr>
          <w:rFonts w:hint="eastAsia" w:cs="Times New Roman"/>
          <w:color w:val="auto"/>
          <w:kern w:val="2"/>
          <w:sz w:val="24"/>
          <w:szCs w:val="24"/>
          <w:lang w:val="en-US" w:eastAsia="zh-CN" w:bidi="ar-SA"/>
        </w:rPr>
        <w:t>80~95</w:t>
      </w:r>
      <w:r>
        <w:rPr>
          <w:rFonts w:hint="default" w:ascii="Times New Roman" w:hAnsi="Times New Roman" w:eastAsia="宋体" w:cs="Times New Roman"/>
          <w:color w:val="auto"/>
          <w:kern w:val="2"/>
          <w:sz w:val="24"/>
          <w:szCs w:val="24"/>
          <w:lang w:val="en-US" w:eastAsia="zh-CN" w:bidi="ar-SA"/>
        </w:rPr>
        <w:t>dB（A）</w:t>
      </w:r>
      <w:r>
        <w:rPr>
          <w:rFonts w:hint="eastAsia" w:cs="Times New Roman"/>
          <w:color w:val="auto"/>
          <w:kern w:val="2"/>
          <w:sz w:val="24"/>
          <w:szCs w:val="24"/>
          <w:lang w:val="en-US" w:eastAsia="zh-CN" w:bidi="ar-SA"/>
        </w:rPr>
        <w:t>。堆肥区设置翻抛机、混料机、风机，</w:t>
      </w:r>
      <w:r>
        <w:rPr>
          <w:rFonts w:hint="default" w:ascii="Times New Roman" w:hAnsi="Times New Roman" w:eastAsia="宋体" w:cs="Times New Roman"/>
          <w:color w:val="auto"/>
          <w:kern w:val="2"/>
          <w:sz w:val="24"/>
          <w:szCs w:val="24"/>
          <w:lang w:val="en-US" w:eastAsia="zh-CN" w:bidi="ar-SA"/>
        </w:rPr>
        <w:t>噪声设备</w:t>
      </w:r>
      <w:r>
        <w:rPr>
          <w:rFonts w:hint="eastAsia" w:cs="Times New Roman"/>
          <w:color w:val="auto"/>
          <w:kern w:val="2"/>
          <w:sz w:val="24"/>
          <w:szCs w:val="24"/>
          <w:lang w:val="en-US" w:eastAsia="zh-CN" w:bidi="ar-SA"/>
        </w:rPr>
        <w:t>均</w:t>
      </w:r>
      <w:r>
        <w:rPr>
          <w:rFonts w:hint="default" w:ascii="Times New Roman" w:hAnsi="Times New Roman" w:eastAsia="宋体" w:cs="Times New Roman"/>
          <w:color w:val="auto"/>
          <w:kern w:val="2"/>
          <w:sz w:val="24"/>
          <w:szCs w:val="24"/>
          <w:lang w:val="en-US" w:eastAsia="zh-CN" w:bidi="ar-SA"/>
        </w:rPr>
        <w:t>置于室内。噪声源强约为</w:t>
      </w:r>
      <w:r>
        <w:rPr>
          <w:rFonts w:hint="eastAsia" w:cs="Times New Roman"/>
          <w:color w:val="auto"/>
          <w:kern w:val="2"/>
          <w:sz w:val="24"/>
          <w:szCs w:val="24"/>
          <w:lang w:val="en-US" w:eastAsia="zh-CN" w:bidi="ar-SA"/>
        </w:rPr>
        <w:t>80~85</w:t>
      </w:r>
      <w:r>
        <w:rPr>
          <w:rFonts w:hint="default" w:ascii="Times New Roman" w:hAnsi="Times New Roman" w:eastAsia="宋体" w:cs="Times New Roman"/>
          <w:color w:val="auto"/>
          <w:kern w:val="2"/>
          <w:sz w:val="24"/>
          <w:szCs w:val="24"/>
          <w:lang w:val="en-US" w:eastAsia="zh-CN" w:bidi="ar-SA"/>
        </w:rPr>
        <w:t>dB（A）。</w:t>
      </w:r>
      <w:r>
        <w:rPr>
          <w:rFonts w:hint="eastAsia" w:cs="Times New Roman"/>
          <w:color w:val="auto"/>
          <w:kern w:val="2"/>
          <w:sz w:val="24"/>
          <w:szCs w:val="24"/>
          <w:lang w:val="en-US" w:eastAsia="zh-CN" w:bidi="ar-SA"/>
        </w:rPr>
        <w:t>本项目</w:t>
      </w:r>
      <w:r>
        <w:rPr>
          <w:rFonts w:hint="default" w:ascii="Times New Roman" w:hAnsi="Times New Roman" w:eastAsia="宋体" w:cs="Times New Roman"/>
          <w:color w:val="auto"/>
          <w:kern w:val="0"/>
          <w:sz w:val="24"/>
          <w:szCs w:val="24"/>
          <w:highlight w:val="none"/>
          <w:lang w:val="en-US" w:eastAsia="zh-CN" w:bidi="ar"/>
        </w:rPr>
        <w:t>各噪声采取基础减振、隔声等措施，项目主要噪声源如表5.2-</w:t>
      </w:r>
      <w:r>
        <w:rPr>
          <w:rFonts w:hint="eastAsia" w:cs="Times New Roman"/>
          <w:color w:val="auto"/>
          <w:kern w:val="0"/>
          <w:sz w:val="24"/>
          <w:szCs w:val="24"/>
          <w:highlight w:val="none"/>
          <w:lang w:val="en-US" w:eastAsia="zh-CN" w:bidi="ar"/>
        </w:rPr>
        <w:t>31、5.2-32</w:t>
      </w:r>
      <w:r>
        <w:rPr>
          <w:rFonts w:hint="default" w:ascii="Times New Roman" w:hAnsi="Times New Roman" w:eastAsia="宋体" w:cs="Times New Roman"/>
          <w:color w:val="auto"/>
          <w:kern w:val="0"/>
          <w:sz w:val="24"/>
          <w:szCs w:val="24"/>
          <w:highlight w:val="none"/>
          <w:lang w:val="en-US" w:eastAsia="zh-CN" w:bidi="ar"/>
        </w:rPr>
        <w:t>所示。</w:t>
      </w:r>
    </w:p>
    <w:p w14:paraId="290A862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清粪车</w:t>
      </w:r>
      <w:r>
        <w:rPr>
          <w:rFonts w:hint="eastAsia"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撒料车</w:t>
      </w:r>
      <w:r>
        <w:rPr>
          <w:rFonts w:hint="eastAsia" w:ascii="Times New Roman" w:hAnsi="Times New Roman" w:eastAsia="宋体" w:cs="Times New Roman"/>
          <w:color w:val="auto"/>
          <w:kern w:val="0"/>
          <w:sz w:val="24"/>
          <w:szCs w:val="24"/>
          <w:highlight w:val="none"/>
          <w:lang w:val="en-US" w:eastAsia="zh-CN" w:bidi="ar"/>
        </w:rPr>
        <w:t>、牛床铺料机均为移动声源，交通噪声源强大小与车流量、车速以及路况等因素有关。运输车辆均为昼间进行作业，均为大型车，设计时速为5km/h，交通运输噪声在80～90dB（A）之间。移动声源</w:t>
      </w:r>
      <w:r>
        <w:rPr>
          <w:rFonts w:hint="default" w:ascii="Times New Roman" w:hAnsi="Times New Roman" w:eastAsia="宋体" w:cs="Times New Roman"/>
          <w:color w:val="auto"/>
          <w:kern w:val="0"/>
          <w:sz w:val="24"/>
          <w:szCs w:val="24"/>
          <w:highlight w:val="none"/>
          <w:lang w:val="en-US" w:eastAsia="zh-CN" w:bidi="ar"/>
        </w:rPr>
        <w:t>防治措施为</w:t>
      </w:r>
      <w:r>
        <w:rPr>
          <w:rFonts w:hint="eastAsia" w:ascii="Times New Roman" w:hAnsi="Times New Roman" w:eastAsia="宋体" w:cs="Times New Roman"/>
          <w:color w:val="auto"/>
          <w:kern w:val="0"/>
          <w:sz w:val="24"/>
          <w:szCs w:val="24"/>
          <w:highlight w:val="none"/>
          <w:lang w:val="en-US" w:eastAsia="zh-CN" w:bidi="ar"/>
        </w:rPr>
        <w:t>选用低噪声设备</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设置消声器、加强车辆管理等措施。</w:t>
      </w:r>
    </w:p>
    <w:p w14:paraId="35EA7A2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highlight w:val="none"/>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E05D6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b/>
          <w:bCs/>
          <w:color w:val="auto"/>
          <w:sz w:val="24"/>
          <w:szCs w:val="24"/>
          <w:lang w:eastAsia="zh-CN"/>
        </w:rPr>
      </w:pPr>
      <w:r>
        <w:rPr>
          <w:rFonts w:hint="default" w:ascii="Times New Roman" w:hAnsi="Times New Roman" w:eastAsia="宋体" w:cs="Times New Roman"/>
          <w:b/>
          <w:color w:val="auto"/>
          <w:spacing w:val="8"/>
          <w:sz w:val="24"/>
          <w:szCs w:val="24"/>
        </w:rPr>
        <w:t>表</w:t>
      </w:r>
      <w:r>
        <w:rPr>
          <w:rFonts w:hint="eastAsia" w:eastAsia="宋体" w:cs="Times New Roman"/>
          <w:b/>
          <w:color w:val="auto"/>
          <w:spacing w:val="8"/>
          <w:sz w:val="24"/>
          <w:szCs w:val="24"/>
          <w:lang w:val="en-US" w:eastAsia="zh-CN"/>
        </w:rPr>
        <w:t>5.2-</w:t>
      </w:r>
      <w:r>
        <w:rPr>
          <w:rFonts w:hint="eastAsia" w:cs="Times New Roman"/>
          <w:b/>
          <w:color w:val="auto"/>
          <w:spacing w:val="8"/>
          <w:sz w:val="24"/>
          <w:szCs w:val="24"/>
          <w:lang w:val="en-US" w:eastAsia="zh-CN"/>
        </w:rPr>
        <w:t>31</w:t>
      </w:r>
      <w:r>
        <w:rPr>
          <w:rFonts w:eastAsia="宋体"/>
          <w:b/>
          <w:bCs/>
          <w:color w:val="auto"/>
          <w:sz w:val="24"/>
          <w:szCs w:val="24"/>
        </w:rPr>
        <w:t>设备</w:t>
      </w:r>
      <w:r>
        <w:rPr>
          <w:rFonts w:hint="eastAsia" w:eastAsia="宋体"/>
          <w:b/>
          <w:bCs/>
          <w:color w:val="auto"/>
          <w:sz w:val="24"/>
          <w:szCs w:val="24"/>
        </w:rPr>
        <w:t>噪声源</w:t>
      </w:r>
      <w:r>
        <w:rPr>
          <w:rFonts w:eastAsia="宋体"/>
          <w:b/>
          <w:bCs/>
          <w:color w:val="auto"/>
          <w:sz w:val="24"/>
          <w:szCs w:val="24"/>
        </w:rPr>
        <w:t>声压级</w:t>
      </w:r>
      <w:r>
        <w:rPr>
          <w:rFonts w:hint="eastAsia" w:eastAsia="宋体"/>
          <w:b/>
          <w:bCs/>
          <w:color w:val="auto"/>
          <w:sz w:val="24"/>
          <w:szCs w:val="24"/>
          <w:lang w:eastAsia="zh-CN"/>
        </w:rPr>
        <w:t>（</w:t>
      </w:r>
      <w:r>
        <w:rPr>
          <w:rFonts w:hint="eastAsia" w:ascii="Times New Roman" w:eastAsia="宋体"/>
          <w:b/>
          <w:bCs/>
          <w:color w:val="auto"/>
          <w:sz w:val="24"/>
          <w:szCs w:val="24"/>
          <w:lang w:val="en-US" w:eastAsia="zh-CN"/>
        </w:rPr>
        <w:t>室外声源</w:t>
      </w:r>
      <w:r>
        <w:rPr>
          <w:rFonts w:hint="eastAsia" w:eastAsia="宋体"/>
          <w:b/>
          <w:bCs/>
          <w:color w:val="auto"/>
          <w:sz w:val="24"/>
          <w:szCs w:val="24"/>
          <w:lang w:eastAsia="zh-CN"/>
        </w:rPr>
        <w:t>）</w:t>
      </w:r>
    </w:p>
    <w:tbl>
      <w:tblPr>
        <w:tblStyle w:val="2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492"/>
        <w:gridCol w:w="1204"/>
        <w:gridCol w:w="1204"/>
        <w:gridCol w:w="1214"/>
        <w:gridCol w:w="2777"/>
        <w:gridCol w:w="2777"/>
        <w:gridCol w:w="2777"/>
      </w:tblGrid>
      <w:tr w14:paraId="2329F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5" w:type="pct"/>
            <w:vMerge w:val="restart"/>
            <w:tcBorders>
              <w:tl2br w:val="nil"/>
              <w:tr2bl w:val="nil"/>
            </w:tcBorders>
            <w:vAlign w:val="center"/>
          </w:tcPr>
          <w:p w14:paraId="44AC4274">
            <w:pPr>
              <w:spacing w:line="240" w:lineRule="auto"/>
              <w:jc w:val="center"/>
              <w:rPr>
                <w:rFonts w:hint="default" w:eastAsia="宋体" w:cs="宋体"/>
                <w:b/>
                <w:bCs/>
                <w:color w:val="auto"/>
                <w:sz w:val="21"/>
                <w:szCs w:val="21"/>
                <w:lang w:val="en-US" w:eastAsia="zh-CN"/>
              </w:rPr>
            </w:pPr>
            <w:r>
              <w:rPr>
                <w:rFonts w:hint="eastAsia" w:eastAsia="宋体" w:cs="宋体"/>
                <w:b/>
                <w:bCs/>
                <w:color w:val="auto"/>
                <w:sz w:val="21"/>
                <w:szCs w:val="21"/>
                <w:lang w:val="en-US" w:eastAsia="zh-CN"/>
              </w:rPr>
              <w:t>序号</w:t>
            </w:r>
          </w:p>
        </w:tc>
        <w:tc>
          <w:tcPr>
            <w:tcW w:w="526" w:type="pct"/>
            <w:vMerge w:val="restart"/>
            <w:tcBorders>
              <w:tl2br w:val="nil"/>
              <w:tr2bl w:val="nil"/>
            </w:tcBorders>
            <w:vAlign w:val="center"/>
          </w:tcPr>
          <w:p w14:paraId="644E090C">
            <w:pPr>
              <w:spacing w:line="240" w:lineRule="auto"/>
              <w:jc w:val="center"/>
              <w:rPr>
                <w:rFonts w:hint="default" w:eastAsia="宋体" w:cs="宋体"/>
                <w:b/>
                <w:bCs/>
                <w:color w:val="auto"/>
                <w:sz w:val="21"/>
                <w:szCs w:val="21"/>
                <w:lang w:val="en-US" w:eastAsia="zh-CN"/>
              </w:rPr>
            </w:pPr>
            <w:r>
              <w:rPr>
                <w:rFonts w:hint="eastAsia" w:eastAsia="宋体" w:cs="宋体"/>
                <w:b/>
                <w:bCs/>
                <w:color w:val="auto"/>
                <w:sz w:val="21"/>
                <w:szCs w:val="21"/>
                <w:lang w:val="en-US" w:eastAsia="zh-CN"/>
              </w:rPr>
              <w:t>声源名称</w:t>
            </w:r>
          </w:p>
        </w:tc>
        <w:tc>
          <w:tcPr>
            <w:tcW w:w="1278" w:type="pct"/>
            <w:gridSpan w:val="3"/>
            <w:tcBorders>
              <w:tl2br w:val="nil"/>
              <w:tr2bl w:val="nil"/>
            </w:tcBorders>
            <w:vAlign w:val="center"/>
          </w:tcPr>
          <w:p w14:paraId="715050EF">
            <w:pPr>
              <w:widowControl w:val="0"/>
              <w:spacing w:line="240" w:lineRule="auto"/>
              <w:jc w:val="center"/>
              <w:rPr>
                <w:rFonts w:hint="eastAsia" w:ascii="Times New Roman" w:hAnsi="Times New Roman" w:eastAsia="宋体" w:cs="Times New Roman"/>
                <w:b/>
                <w:bCs/>
                <w:snapToGrid w:val="0"/>
                <w:color w:val="auto"/>
                <w:kern w:val="2"/>
                <w:sz w:val="21"/>
                <w:szCs w:val="21"/>
                <w:highlight w:val="none"/>
                <w:vertAlign w:val="baseline"/>
                <w:lang w:val="en-US" w:eastAsia="zh-CN" w:bidi="ar-SA"/>
              </w:rPr>
            </w:pPr>
            <w:r>
              <w:rPr>
                <w:rFonts w:hint="eastAsia" w:ascii="Times New Roman" w:hAnsi="Times New Roman" w:eastAsia="宋体" w:cs="Times New Roman"/>
                <w:b/>
                <w:bCs/>
                <w:snapToGrid w:val="0"/>
                <w:color w:val="auto"/>
                <w:kern w:val="2"/>
                <w:sz w:val="21"/>
                <w:szCs w:val="21"/>
                <w:highlight w:val="none"/>
                <w:vertAlign w:val="baseline"/>
                <w:lang w:val="en-US" w:eastAsia="zh-CN" w:bidi="ar-SA"/>
              </w:rPr>
              <w:t>空间相对位置/m</w:t>
            </w:r>
          </w:p>
        </w:tc>
        <w:tc>
          <w:tcPr>
            <w:tcW w:w="979" w:type="pct"/>
            <w:tcBorders>
              <w:tl2br w:val="nil"/>
              <w:tr2bl w:val="nil"/>
            </w:tcBorders>
            <w:vAlign w:val="center"/>
          </w:tcPr>
          <w:p w14:paraId="29A4876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b/>
                <w:bCs/>
                <w:snapToGrid w:val="0"/>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pacing w:val="-2"/>
                <w:kern w:val="0"/>
                <w:sz w:val="21"/>
                <w:szCs w:val="21"/>
              </w:rPr>
              <w:t>声源源强</w:t>
            </w:r>
          </w:p>
        </w:tc>
        <w:tc>
          <w:tcPr>
            <w:tcW w:w="979" w:type="pct"/>
            <w:vMerge w:val="restart"/>
            <w:tcBorders>
              <w:tl2br w:val="nil"/>
              <w:tr2bl w:val="nil"/>
            </w:tcBorders>
            <w:vAlign w:val="center"/>
          </w:tcPr>
          <w:p w14:paraId="019D3B56">
            <w:pPr>
              <w:widowControl w:val="0"/>
              <w:spacing w:line="240" w:lineRule="auto"/>
              <w:jc w:val="center"/>
              <w:rPr>
                <w:rFonts w:hint="default" w:ascii="Times New Roman" w:hAnsi="Times New Roman" w:eastAsia="宋体" w:cs="Times New Roman"/>
                <w:b/>
                <w:bCs/>
                <w:snapToGrid w:val="0"/>
                <w:color w:val="auto"/>
                <w:kern w:val="2"/>
                <w:sz w:val="21"/>
                <w:szCs w:val="21"/>
                <w:highlight w:val="none"/>
                <w:vertAlign w:val="baseline"/>
                <w:lang w:val="en-US" w:eastAsia="zh-CN" w:bidi="ar-SA"/>
              </w:rPr>
            </w:pPr>
            <w:r>
              <w:rPr>
                <w:rFonts w:hint="eastAsia" w:ascii="Times New Roman" w:hAnsi="Times New Roman" w:eastAsia="宋体" w:cs="Times New Roman"/>
                <w:b/>
                <w:bCs/>
                <w:snapToGrid w:val="0"/>
                <w:color w:val="auto"/>
                <w:kern w:val="2"/>
                <w:sz w:val="21"/>
                <w:szCs w:val="21"/>
                <w:highlight w:val="none"/>
                <w:vertAlign w:val="baseline"/>
                <w:lang w:val="en-US" w:eastAsia="zh-CN" w:bidi="ar-SA"/>
              </w:rPr>
              <w:t>声源控制措施</w:t>
            </w:r>
          </w:p>
        </w:tc>
        <w:tc>
          <w:tcPr>
            <w:tcW w:w="979" w:type="pct"/>
            <w:vMerge w:val="restart"/>
            <w:tcBorders>
              <w:tl2br w:val="nil"/>
              <w:tr2bl w:val="nil"/>
            </w:tcBorders>
            <w:vAlign w:val="center"/>
          </w:tcPr>
          <w:p w14:paraId="5FE4B925">
            <w:pPr>
              <w:widowControl w:val="0"/>
              <w:spacing w:line="240" w:lineRule="auto"/>
              <w:jc w:val="center"/>
              <w:rPr>
                <w:rFonts w:hint="eastAsia" w:ascii="Times New Roman" w:hAnsi="Times New Roman" w:eastAsia="宋体" w:cs="Times New Roman"/>
                <w:b/>
                <w:bCs/>
                <w:snapToGrid w:val="0"/>
                <w:color w:val="auto"/>
                <w:kern w:val="2"/>
                <w:sz w:val="21"/>
                <w:szCs w:val="21"/>
                <w:highlight w:val="none"/>
                <w:vertAlign w:val="baseline"/>
                <w:lang w:val="en-US" w:eastAsia="zh-CN" w:bidi="ar-SA"/>
              </w:rPr>
            </w:pPr>
            <w:r>
              <w:rPr>
                <w:rFonts w:hint="eastAsia" w:ascii="Times New Roman" w:hAnsi="Times New Roman" w:eastAsia="宋体" w:cs="Times New Roman"/>
                <w:b/>
                <w:bCs/>
                <w:snapToGrid w:val="0"/>
                <w:color w:val="auto"/>
                <w:kern w:val="2"/>
                <w:sz w:val="21"/>
                <w:szCs w:val="21"/>
                <w:highlight w:val="none"/>
                <w:vertAlign w:val="baseline"/>
                <w:lang w:val="en-US" w:eastAsia="zh-CN" w:bidi="ar-SA"/>
              </w:rPr>
              <w:t>运行时段</w:t>
            </w:r>
          </w:p>
        </w:tc>
      </w:tr>
      <w:tr w14:paraId="0AB57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5" w:type="pct"/>
            <w:vMerge w:val="continue"/>
            <w:tcBorders>
              <w:tl2br w:val="nil"/>
              <w:tr2bl w:val="nil"/>
            </w:tcBorders>
            <w:vAlign w:val="center"/>
          </w:tcPr>
          <w:p w14:paraId="480E120F">
            <w:pPr>
              <w:widowControl w:val="0"/>
              <w:spacing w:line="240" w:lineRule="auto"/>
              <w:jc w:val="center"/>
              <w:rPr>
                <w:rFonts w:ascii="Times New Roman" w:hAnsi="Times New Roman" w:eastAsia="宋体" w:cs="宋体"/>
                <w:b/>
                <w:bCs/>
                <w:snapToGrid w:val="0"/>
                <w:color w:val="auto"/>
                <w:sz w:val="21"/>
                <w:szCs w:val="21"/>
                <w:lang w:val="en-US" w:eastAsia="zh-CN" w:bidi="ar-SA"/>
              </w:rPr>
            </w:pPr>
          </w:p>
        </w:tc>
        <w:tc>
          <w:tcPr>
            <w:tcW w:w="526" w:type="pct"/>
            <w:vMerge w:val="continue"/>
            <w:tcBorders>
              <w:tl2br w:val="nil"/>
              <w:tr2bl w:val="nil"/>
            </w:tcBorders>
            <w:vAlign w:val="center"/>
          </w:tcPr>
          <w:p w14:paraId="09ED7AFA">
            <w:pPr>
              <w:widowControl w:val="0"/>
              <w:spacing w:line="240" w:lineRule="auto"/>
              <w:jc w:val="center"/>
              <w:rPr>
                <w:rFonts w:ascii="Times New Roman" w:hAnsi="Times New Roman" w:eastAsia="宋体" w:cs="宋体"/>
                <w:b/>
                <w:bCs/>
                <w:snapToGrid w:val="0"/>
                <w:color w:val="auto"/>
                <w:sz w:val="21"/>
                <w:szCs w:val="21"/>
                <w:lang w:val="en-US" w:eastAsia="zh-CN" w:bidi="ar-SA"/>
              </w:rPr>
            </w:pPr>
          </w:p>
        </w:tc>
        <w:tc>
          <w:tcPr>
            <w:tcW w:w="424" w:type="pct"/>
            <w:tcBorders>
              <w:tl2br w:val="nil"/>
              <w:tr2bl w:val="nil"/>
            </w:tcBorders>
            <w:vAlign w:val="center"/>
          </w:tcPr>
          <w:p w14:paraId="3427A8B9">
            <w:pPr>
              <w:widowControl w:val="0"/>
              <w:spacing w:line="240" w:lineRule="auto"/>
              <w:jc w:val="center"/>
              <w:rPr>
                <w:rFonts w:hint="eastAsia" w:ascii="Times New Roman" w:hAnsi="Times New Roman" w:eastAsia="宋体" w:cs="Times New Roman"/>
                <w:b/>
                <w:bCs/>
                <w:snapToGrid w:val="0"/>
                <w:color w:val="auto"/>
                <w:kern w:val="2"/>
                <w:sz w:val="21"/>
                <w:szCs w:val="21"/>
                <w:highlight w:val="none"/>
                <w:vertAlign w:val="baseline"/>
                <w:lang w:val="en-US" w:eastAsia="zh-CN" w:bidi="ar-SA"/>
              </w:rPr>
            </w:pPr>
            <w:r>
              <w:rPr>
                <w:rFonts w:hint="eastAsia" w:ascii="Times New Roman" w:hAnsi="Times New Roman" w:eastAsia="宋体" w:cs="Times New Roman"/>
                <w:b/>
                <w:bCs/>
                <w:snapToGrid w:val="0"/>
                <w:color w:val="auto"/>
                <w:kern w:val="2"/>
                <w:sz w:val="21"/>
                <w:szCs w:val="21"/>
                <w:highlight w:val="none"/>
                <w:vertAlign w:val="baseline"/>
                <w:lang w:val="en-US" w:eastAsia="zh-CN" w:bidi="ar-SA"/>
              </w:rPr>
              <w:t>X</w:t>
            </w:r>
          </w:p>
        </w:tc>
        <w:tc>
          <w:tcPr>
            <w:tcW w:w="424" w:type="pct"/>
            <w:tcBorders>
              <w:tl2br w:val="nil"/>
              <w:tr2bl w:val="nil"/>
            </w:tcBorders>
            <w:vAlign w:val="center"/>
          </w:tcPr>
          <w:p w14:paraId="47C1DEAF">
            <w:pPr>
              <w:spacing w:line="240" w:lineRule="auto"/>
              <w:jc w:val="center"/>
              <w:rPr>
                <w:rFonts w:hint="default" w:eastAsia="宋体" w:cs="宋体"/>
                <w:b/>
                <w:bCs/>
                <w:color w:val="auto"/>
                <w:sz w:val="21"/>
                <w:szCs w:val="21"/>
                <w:lang w:val="en-US" w:eastAsia="zh-CN"/>
              </w:rPr>
            </w:pPr>
            <w:r>
              <w:rPr>
                <w:rFonts w:hint="eastAsia" w:eastAsia="宋体" w:cs="宋体"/>
                <w:b/>
                <w:bCs/>
                <w:color w:val="auto"/>
                <w:sz w:val="21"/>
                <w:szCs w:val="21"/>
                <w:lang w:val="en-US" w:eastAsia="zh-CN"/>
              </w:rPr>
              <w:t>Y</w:t>
            </w:r>
          </w:p>
        </w:tc>
        <w:tc>
          <w:tcPr>
            <w:tcW w:w="428" w:type="pct"/>
            <w:tcBorders>
              <w:tl2br w:val="nil"/>
              <w:tr2bl w:val="nil"/>
            </w:tcBorders>
            <w:vAlign w:val="center"/>
          </w:tcPr>
          <w:p w14:paraId="540DEF11">
            <w:pPr>
              <w:spacing w:line="240" w:lineRule="auto"/>
              <w:jc w:val="center"/>
              <w:rPr>
                <w:rFonts w:hint="eastAsia" w:eastAsia="宋体" w:cs="宋体"/>
                <w:b/>
                <w:bCs/>
                <w:color w:val="auto"/>
                <w:sz w:val="21"/>
                <w:szCs w:val="21"/>
                <w:lang w:val="en-US" w:eastAsia="zh-CN"/>
              </w:rPr>
            </w:pPr>
            <w:r>
              <w:rPr>
                <w:rFonts w:hint="eastAsia" w:eastAsia="宋体" w:cs="宋体"/>
                <w:b/>
                <w:bCs/>
                <w:color w:val="auto"/>
                <w:sz w:val="21"/>
                <w:szCs w:val="21"/>
                <w:lang w:val="en-US" w:eastAsia="zh-CN"/>
              </w:rPr>
              <w:t>Z</w:t>
            </w:r>
          </w:p>
        </w:tc>
        <w:tc>
          <w:tcPr>
            <w:tcW w:w="979" w:type="pct"/>
            <w:tcBorders>
              <w:tl2br w:val="nil"/>
              <w:tr2bl w:val="nil"/>
            </w:tcBorders>
            <w:vAlign w:val="center"/>
          </w:tcPr>
          <w:p w14:paraId="7F0275D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b/>
                <w:bCs/>
                <w:snapToGrid w:val="0"/>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pacing w:val="-1"/>
                <w:sz w:val="21"/>
                <w:szCs w:val="21"/>
                <w:lang w:val="en-US" w:eastAsia="en-US" w:bidi="ar-SA"/>
              </w:rPr>
              <w:t>声功率级/dB</w:t>
            </w:r>
            <w:r>
              <w:rPr>
                <w:rFonts w:hint="eastAsia" w:ascii="Times New Roman" w:hAnsi="Times New Roman" w:eastAsia="宋体" w:cs="Times New Roman"/>
                <w:b/>
                <w:bCs/>
                <w:color w:val="auto"/>
                <w:spacing w:val="-1"/>
                <w:sz w:val="21"/>
                <w:szCs w:val="21"/>
                <w:lang w:val="en-US" w:eastAsia="zh-CN" w:bidi="ar-SA"/>
              </w:rPr>
              <w:t>（</w:t>
            </w:r>
            <w:r>
              <w:rPr>
                <w:rFonts w:hint="default" w:ascii="Times New Roman" w:hAnsi="Times New Roman" w:eastAsia="宋体" w:cs="Times New Roman"/>
                <w:b/>
                <w:bCs/>
                <w:color w:val="auto"/>
                <w:spacing w:val="-1"/>
                <w:sz w:val="21"/>
                <w:szCs w:val="21"/>
                <w:lang w:val="en-US" w:eastAsia="en-US" w:bidi="ar-SA"/>
              </w:rPr>
              <w:t>A</w:t>
            </w:r>
            <w:r>
              <w:rPr>
                <w:rFonts w:hint="eastAsia" w:ascii="Times New Roman" w:hAnsi="Times New Roman" w:eastAsia="宋体" w:cs="Times New Roman"/>
                <w:b/>
                <w:bCs/>
                <w:color w:val="auto"/>
                <w:spacing w:val="-1"/>
                <w:sz w:val="21"/>
                <w:szCs w:val="21"/>
                <w:lang w:val="en-US" w:eastAsia="zh-CN" w:bidi="ar-SA"/>
              </w:rPr>
              <w:t>）</w:t>
            </w:r>
          </w:p>
        </w:tc>
        <w:tc>
          <w:tcPr>
            <w:tcW w:w="979" w:type="pct"/>
            <w:vMerge w:val="continue"/>
            <w:tcBorders>
              <w:tl2br w:val="nil"/>
              <w:tr2bl w:val="nil"/>
            </w:tcBorders>
            <w:vAlign w:val="center"/>
          </w:tcPr>
          <w:p w14:paraId="6ACE43E0">
            <w:pPr>
              <w:widowControl w:val="0"/>
              <w:spacing w:line="240" w:lineRule="auto"/>
              <w:jc w:val="center"/>
              <w:rPr>
                <w:rFonts w:hint="default" w:ascii="Times New Roman" w:hAnsi="Times New Roman" w:eastAsia="宋体" w:cs="Times New Roman"/>
                <w:b/>
                <w:bCs/>
                <w:snapToGrid w:val="0"/>
                <w:color w:val="auto"/>
                <w:kern w:val="2"/>
                <w:sz w:val="21"/>
                <w:szCs w:val="21"/>
                <w:highlight w:val="none"/>
                <w:vertAlign w:val="baseline"/>
                <w:lang w:val="en-US" w:eastAsia="zh-CN" w:bidi="ar-SA"/>
              </w:rPr>
            </w:pPr>
          </w:p>
        </w:tc>
        <w:tc>
          <w:tcPr>
            <w:tcW w:w="979" w:type="pct"/>
            <w:vMerge w:val="continue"/>
            <w:tcBorders>
              <w:tl2br w:val="nil"/>
              <w:tr2bl w:val="nil"/>
            </w:tcBorders>
            <w:vAlign w:val="center"/>
          </w:tcPr>
          <w:p w14:paraId="22D80A6E">
            <w:pPr>
              <w:widowControl w:val="0"/>
              <w:spacing w:line="240" w:lineRule="auto"/>
              <w:jc w:val="center"/>
              <w:rPr>
                <w:rFonts w:hint="default" w:eastAsia="宋体" w:cs="宋体"/>
                <w:b/>
                <w:bCs/>
                <w:color w:val="auto"/>
                <w:sz w:val="21"/>
                <w:szCs w:val="21"/>
                <w:lang w:val="en-US" w:eastAsia="zh-CN"/>
              </w:rPr>
            </w:pPr>
          </w:p>
        </w:tc>
      </w:tr>
      <w:tr w14:paraId="658CA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5" w:type="pct"/>
            <w:tcBorders>
              <w:tl2br w:val="nil"/>
              <w:tr2bl w:val="nil"/>
            </w:tcBorders>
            <w:vAlign w:val="center"/>
          </w:tcPr>
          <w:p w14:paraId="0920967A">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rPr>
            </w:pPr>
            <w:r>
              <w:rPr>
                <w:rFonts w:hint="eastAsia" w:cs="Times New Roman"/>
                <w:color w:val="000000"/>
                <w:kern w:val="2"/>
                <w:sz w:val="21"/>
                <w:szCs w:val="21"/>
                <w:highlight w:val="none"/>
                <w:lang w:val="en-US" w:eastAsia="zh-CN" w:bidi="ar-SA"/>
              </w:rPr>
              <w:t>1</w:t>
            </w:r>
          </w:p>
        </w:tc>
        <w:tc>
          <w:tcPr>
            <w:tcW w:w="526" w:type="pct"/>
            <w:tcBorders>
              <w:tl2br w:val="nil"/>
              <w:tr2bl w:val="nil"/>
            </w:tcBorders>
            <w:vAlign w:val="center"/>
          </w:tcPr>
          <w:p w14:paraId="5ADB89E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imes New Roman" w:hAnsi="Times New Roman" w:eastAsia="宋体" w:cs="Times New Roman"/>
                <w:b w:val="0"/>
                <w:bCs w:val="0"/>
                <w:color w:val="auto"/>
                <w:kern w:val="2"/>
                <w:sz w:val="21"/>
                <w:szCs w:val="21"/>
                <w:highlight w:val="none"/>
                <w:vertAlign w:val="baseline"/>
                <w:lang w:val="en-US" w:eastAsia="zh-CN"/>
              </w:rPr>
            </w:pPr>
            <w:r>
              <w:rPr>
                <w:rFonts w:hint="eastAsia" w:eastAsia="宋体" w:cs="宋体"/>
                <w:color w:val="auto"/>
                <w:sz w:val="21"/>
                <w:szCs w:val="21"/>
                <w:lang w:val="en-US" w:eastAsia="zh-CN" w:bidi="ar-SA"/>
              </w:rPr>
              <w:t>水</w:t>
            </w:r>
            <w:r>
              <w:rPr>
                <w:rFonts w:hint="eastAsia" w:ascii="Times New Roman" w:hAnsi="Times New Roman" w:eastAsia="宋体" w:cs="宋体"/>
                <w:color w:val="auto"/>
                <w:sz w:val="21"/>
                <w:szCs w:val="21"/>
                <w:lang w:val="en-US" w:eastAsia="zh-CN" w:bidi="ar-SA"/>
              </w:rPr>
              <w:t>泵</w:t>
            </w:r>
          </w:p>
        </w:tc>
        <w:tc>
          <w:tcPr>
            <w:tcW w:w="424" w:type="pct"/>
            <w:tcBorders>
              <w:tl2br w:val="nil"/>
              <w:tr2bl w:val="nil"/>
            </w:tcBorders>
            <w:vAlign w:val="center"/>
          </w:tcPr>
          <w:p w14:paraId="059D035F">
            <w:pPr>
              <w:widowControl w:val="0"/>
              <w:spacing w:line="240" w:lineRule="auto"/>
              <w:jc w:val="center"/>
              <w:rPr>
                <w:rFonts w:hint="default" w:ascii="Times New Roman" w:hAnsi="Times New Roman" w:eastAsia="宋体" w:cs="Times New Roman"/>
                <w:b w:val="0"/>
                <w:bCs w:val="0"/>
                <w:snapToGrid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snapToGrid w:val="0"/>
                <w:color w:val="auto"/>
                <w:kern w:val="2"/>
                <w:sz w:val="21"/>
                <w:szCs w:val="21"/>
                <w:highlight w:val="none"/>
                <w:vertAlign w:val="baseline"/>
                <w:lang w:val="en-US" w:eastAsia="zh-CN" w:bidi="ar-SA"/>
              </w:rPr>
              <w:t>-</w:t>
            </w:r>
          </w:p>
        </w:tc>
        <w:tc>
          <w:tcPr>
            <w:tcW w:w="424" w:type="pct"/>
            <w:tcBorders>
              <w:tl2br w:val="nil"/>
              <w:tr2bl w:val="nil"/>
            </w:tcBorders>
            <w:vAlign w:val="center"/>
          </w:tcPr>
          <w:p w14:paraId="30783D29">
            <w:pPr>
              <w:widowControl w:val="0"/>
              <w:spacing w:line="240" w:lineRule="auto"/>
              <w:jc w:val="center"/>
              <w:rPr>
                <w:rFonts w:hint="default" w:ascii="Times New Roman" w:hAnsi="Times New Roman" w:eastAsia="宋体" w:cs="Times New Roman"/>
                <w:b w:val="0"/>
                <w:bCs w:val="0"/>
                <w:snapToGrid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snapToGrid w:val="0"/>
                <w:color w:val="auto"/>
                <w:kern w:val="2"/>
                <w:sz w:val="21"/>
                <w:szCs w:val="21"/>
                <w:highlight w:val="none"/>
                <w:vertAlign w:val="baseline"/>
                <w:lang w:val="en-US" w:eastAsia="zh-CN" w:bidi="ar-SA"/>
              </w:rPr>
              <w:t>-</w:t>
            </w:r>
          </w:p>
        </w:tc>
        <w:tc>
          <w:tcPr>
            <w:tcW w:w="428" w:type="pct"/>
            <w:tcBorders>
              <w:tl2br w:val="nil"/>
              <w:tr2bl w:val="nil"/>
            </w:tcBorders>
            <w:vAlign w:val="center"/>
          </w:tcPr>
          <w:p w14:paraId="1BEB1566">
            <w:pPr>
              <w:widowControl w:val="0"/>
              <w:spacing w:line="240" w:lineRule="auto"/>
              <w:jc w:val="center"/>
              <w:rPr>
                <w:rFonts w:hint="eastAsia" w:ascii="Times New Roman" w:hAnsi="Times New Roman" w:eastAsia="宋体" w:cs="Times New Roman"/>
                <w:b w:val="0"/>
                <w:bCs w:val="0"/>
                <w:snapToGrid w:val="0"/>
                <w:color w:val="auto"/>
                <w:kern w:val="2"/>
                <w:sz w:val="21"/>
                <w:szCs w:val="21"/>
                <w:highlight w:val="none"/>
                <w:vertAlign w:val="baseline"/>
                <w:lang w:val="en-US" w:eastAsia="zh-CN" w:bidi="ar-SA"/>
              </w:rPr>
            </w:pPr>
            <w:r>
              <w:rPr>
                <w:rFonts w:hint="eastAsia" w:cs="Times New Roman"/>
                <w:b w:val="0"/>
                <w:bCs w:val="0"/>
                <w:snapToGrid w:val="0"/>
                <w:color w:val="auto"/>
                <w:kern w:val="2"/>
                <w:sz w:val="21"/>
                <w:szCs w:val="21"/>
                <w:highlight w:val="none"/>
                <w:vertAlign w:val="baseline"/>
                <w:lang w:val="en-US" w:eastAsia="zh-CN" w:bidi="ar-SA"/>
              </w:rPr>
              <w:t>0.5</w:t>
            </w:r>
          </w:p>
        </w:tc>
        <w:tc>
          <w:tcPr>
            <w:tcW w:w="979" w:type="pct"/>
            <w:tcBorders>
              <w:tl2br w:val="nil"/>
              <w:tr2bl w:val="nil"/>
            </w:tcBorders>
            <w:vAlign w:val="center"/>
          </w:tcPr>
          <w:p w14:paraId="3CA14F31">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宋体" w:cs="Times New Roman"/>
                <w:b w:val="0"/>
                <w:bCs w:val="0"/>
                <w:snapToGrid w:val="0"/>
                <w:color w:val="auto"/>
                <w:kern w:val="2"/>
                <w:sz w:val="21"/>
                <w:szCs w:val="21"/>
                <w:highlight w:val="none"/>
                <w:vertAlign w:val="baseline"/>
                <w:lang w:val="en-US" w:eastAsia="zh-CN" w:bidi="ar-SA"/>
              </w:rPr>
            </w:pPr>
            <w:r>
              <w:rPr>
                <w:rFonts w:hint="eastAsia" w:cs="Times New Roman"/>
                <w:color w:val="auto"/>
                <w:kern w:val="2"/>
                <w:sz w:val="21"/>
                <w:szCs w:val="20"/>
                <w:lang w:val="en-US" w:eastAsia="zh-CN" w:bidi="ar-SA"/>
              </w:rPr>
              <w:t>85</w:t>
            </w:r>
          </w:p>
        </w:tc>
        <w:tc>
          <w:tcPr>
            <w:tcW w:w="979" w:type="pct"/>
            <w:tcBorders>
              <w:tl2br w:val="nil"/>
              <w:tr2bl w:val="nil"/>
            </w:tcBorders>
            <w:vAlign w:val="center"/>
          </w:tcPr>
          <w:p w14:paraId="53AC078D">
            <w:pPr>
              <w:widowControl w:val="0"/>
              <w:spacing w:line="240" w:lineRule="auto"/>
              <w:jc w:val="center"/>
              <w:rPr>
                <w:rFonts w:hint="eastAsia" w:ascii="Times New Roman" w:hAnsi="Times New Roman" w:eastAsia="宋体" w:cs="Times New Roman"/>
                <w:b w:val="0"/>
                <w:bCs w:val="0"/>
                <w:snapToGrid w:val="0"/>
                <w:color w:val="auto"/>
                <w:kern w:val="2"/>
                <w:sz w:val="21"/>
                <w:szCs w:val="21"/>
                <w:highlight w:val="none"/>
                <w:vertAlign w:val="baseline"/>
                <w:lang w:val="en-US" w:eastAsia="zh-CN" w:bidi="ar-SA"/>
              </w:rPr>
            </w:pPr>
            <w:r>
              <w:rPr>
                <w:rFonts w:hint="eastAsia" w:ascii="Times New Roman" w:hAnsi="Times New Roman" w:eastAsia="宋体" w:cs="Times New Roman"/>
                <w:color w:val="auto"/>
                <w:spacing w:val="-1"/>
                <w:kern w:val="0"/>
                <w:sz w:val="21"/>
                <w:szCs w:val="21"/>
                <w:lang w:val="en-US" w:eastAsia="zh-CN"/>
              </w:rPr>
              <w:t>基础减振+距离衰减</w:t>
            </w:r>
          </w:p>
        </w:tc>
        <w:tc>
          <w:tcPr>
            <w:tcW w:w="979" w:type="pct"/>
            <w:tcBorders>
              <w:tl2br w:val="nil"/>
              <w:tr2bl w:val="nil"/>
            </w:tcBorders>
            <w:vAlign w:val="center"/>
          </w:tcPr>
          <w:p w14:paraId="18824175">
            <w:pPr>
              <w:widowControl w:val="0"/>
              <w:spacing w:line="240" w:lineRule="auto"/>
              <w:jc w:val="center"/>
              <w:rPr>
                <w:rFonts w:hint="eastAsia" w:ascii="Times New Roman" w:hAnsi="Times New Roman" w:eastAsia="宋体" w:cs="Times New Roman"/>
                <w:b w:val="0"/>
                <w:bCs w:val="0"/>
                <w:snapToGrid w:val="0"/>
                <w:color w:val="auto"/>
                <w:kern w:val="2"/>
                <w:sz w:val="21"/>
                <w:szCs w:val="21"/>
                <w:highlight w:val="none"/>
                <w:vertAlign w:val="baseline"/>
                <w:lang w:val="en-US" w:eastAsia="zh-CN" w:bidi="ar-SA"/>
              </w:rPr>
            </w:pPr>
            <w:r>
              <w:rPr>
                <w:rFonts w:hint="eastAsia" w:cs="Times New Roman"/>
                <w:b w:val="0"/>
                <w:bCs w:val="0"/>
                <w:snapToGrid w:val="0"/>
                <w:color w:val="auto"/>
                <w:kern w:val="2"/>
                <w:sz w:val="21"/>
                <w:szCs w:val="21"/>
                <w:highlight w:val="none"/>
                <w:vertAlign w:val="baseline"/>
                <w:lang w:val="en-US" w:eastAsia="zh-CN" w:bidi="ar-SA"/>
              </w:rPr>
              <w:t>5840</w:t>
            </w:r>
          </w:p>
        </w:tc>
      </w:tr>
    </w:tbl>
    <w:p w14:paraId="233F47FE">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000000"/>
          <w:kern w:val="0"/>
          <w:sz w:val="24"/>
          <w:szCs w:val="20"/>
          <w:highlight w:val="none"/>
          <w:vertAlign w:val="baseline"/>
          <w:lang w:val="en-US" w:eastAsia="zh-CN"/>
        </w:rPr>
      </w:pPr>
      <w:r>
        <w:rPr>
          <w:rFonts w:hint="eastAsia" w:ascii="Times New Roman" w:hAnsi="Times New Roman" w:eastAsia="宋体" w:cs="Times New Roman"/>
          <w:b/>
          <w:bCs/>
          <w:color w:val="000000"/>
          <w:kern w:val="0"/>
          <w:sz w:val="24"/>
          <w:szCs w:val="20"/>
          <w:highlight w:val="none"/>
          <w:vertAlign w:val="baseline"/>
          <w:lang w:val="en-US" w:eastAsia="zh-CN"/>
        </w:rPr>
        <w:t>表5.2-</w:t>
      </w:r>
      <w:r>
        <w:rPr>
          <w:rFonts w:hint="eastAsia" w:cs="Times New Roman"/>
          <w:b/>
          <w:bCs/>
          <w:color w:val="000000"/>
          <w:kern w:val="0"/>
          <w:sz w:val="24"/>
          <w:szCs w:val="20"/>
          <w:highlight w:val="none"/>
          <w:vertAlign w:val="baseline"/>
          <w:lang w:val="en-US" w:eastAsia="zh-CN"/>
        </w:rPr>
        <w:t>32</w:t>
      </w:r>
      <w:r>
        <w:rPr>
          <w:rFonts w:hint="eastAsia" w:ascii="Times New Roman" w:hAnsi="Times New Roman" w:eastAsia="宋体" w:cs="Times New Roman"/>
          <w:b/>
          <w:bCs/>
          <w:color w:val="000000"/>
          <w:kern w:val="0"/>
          <w:sz w:val="24"/>
          <w:szCs w:val="20"/>
          <w:highlight w:val="none"/>
          <w:vertAlign w:val="baseline"/>
          <w:lang w:val="en-US" w:eastAsia="zh-CN"/>
        </w:rPr>
        <w:t>本项目主要噪声源调查一览表（室内声源）</w:t>
      </w:r>
    </w:p>
    <w:tbl>
      <w:tblPr>
        <w:tblStyle w:val="32"/>
        <w:tblW w:w="1417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00"/>
        <w:gridCol w:w="762"/>
        <w:gridCol w:w="1397"/>
        <w:gridCol w:w="815"/>
        <w:gridCol w:w="1548"/>
        <w:gridCol w:w="443"/>
        <w:gridCol w:w="444"/>
        <w:gridCol w:w="444"/>
        <w:gridCol w:w="444"/>
        <w:gridCol w:w="444"/>
        <w:gridCol w:w="444"/>
        <w:gridCol w:w="444"/>
        <w:gridCol w:w="444"/>
        <w:gridCol w:w="444"/>
        <w:gridCol w:w="444"/>
        <w:gridCol w:w="444"/>
        <w:gridCol w:w="444"/>
        <w:gridCol w:w="444"/>
        <w:gridCol w:w="444"/>
        <w:gridCol w:w="444"/>
        <w:gridCol w:w="445"/>
        <w:gridCol w:w="445"/>
        <w:gridCol w:w="445"/>
        <w:gridCol w:w="446"/>
        <w:gridCol w:w="446"/>
        <w:gridCol w:w="465"/>
      </w:tblGrid>
      <w:tr w14:paraId="0B91F3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300" w:type="dxa"/>
            <w:vMerge w:val="restart"/>
            <w:tcBorders>
              <w:tl2br w:val="nil"/>
              <w:tr2bl w:val="nil"/>
            </w:tcBorders>
            <w:vAlign w:val="center"/>
          </w:tcPr>
          <w:p w14:paraId="44A37E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序号</w:t>
            </w:r>
          </w:p>
        </w:tc>
        <w:tc>
          <w:tcPr>
            <w:tcW w:w="762" w:type="dxa"/>
            <w:vMerge w:val="restart"/>
            <w:tcBorders>
              <w:tl2br w:val="nil"/>
              <w:tr2bl w:val="nil"/>
            </w:tcBorders>
            <w:vAlign w:val="center"/>
          </w:tcPr>
          <w:p w14:paraId="7D99D7F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建筑物名称</w:t>
            </w:r>
          </w:p>
        </w:tc>
        <w:tc>
          <w:tcPr>
            <w:tcW w:w="1397" w:type="dxa"/>
            <w:vMerge w:val="restart"/>
            <w:tcBorders>
              <w:tl2br w:val="nil"/>
              <w:tr2bl w:val="nil"/>
            </w:tcBorders>
            <w:vAlign w:val="center"/>
          </w:tcPr>
          <w:p w14:paraId="02BEE0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声源名称</w:t>
            </w:r>
          </w:p>
        </w:tc>
        <w:tc>
          <w:tcPr>
            <w:tcW w:w="815" w:type="dxa"/>
            <w:tcBorders>
              <w:tl2br w:val="nil"/>
              <w:tr2bl w:val="nil"/>
            </w:tcBorders>
            <w:vAlign w:val="center"/>
          </w:tcPr>
          <w:p w14:paraId="34BE17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声源源强</w:t>
            </w:r>
          </w:p>
        </w:tc>
        <w:tc>
          <w:tcPr>
            <w:tcW w:w="1548" w:type="dxa"/>
            <w:vMerge w:val="restart"/>
            <w:tcBorders>
              <w:tl2br w:val="nil"/>
              <w:tr2bl w:val="nil"/>
            </w:tcBorders>
            <w:vAlign w:val="center"/>
          </w:tcPr>
          <w:p w14:paraId="0C63DF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声源控制措施</w:t>
            </w:r>
          </w:p>
        </w:tc>
        <w:tc>
          <w:tcPr>
            <w:tcW w:w="1331" w:type="dxa"/>
            <w:gridSpan w:val="3"/>
            <w:tcBorders>
              <w:tl2br w:val="nil"/>
              <w:tr2bl w:val="nil"/>
            </w:tcBorders>
            <w:vAlign w:val="center"/>
          </w:tcPr>
          <w:p w14:paraId="2459ADC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pacing w:val="-2"/>
                <w:sz w:val="21"/>
                <w:szCs w:val="21"/>
                <w:lang w:val="en-US" w:eastAsia="en-US" w:bidi="ar-SA"/>
              </w:rPr>
              <w:t>空间相对位置/m</w:t>
            </w:r>
          </w:p>
        </w:tc>
        <w:tc>
          <w:tcPr>
            <w:tcW w:w="1776" w:type="dxa"/>
            <w:gridSpan w:val="4"/>
            <w:tcBorders>
              <w:tl2br w:val="nil"/>
              <w:tr2bl w:val="nil"/>
            </w:tcBorders>
            <w:vAlign w:val="center"/>
          </w:tcPr>
          <w:p w14:paraId="24EE8C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pacing w:val="-1"/>
                <w:sz w:val="21"/>
                <w:szCs w:val="21"/>
                <w:lang w:val="en-US" w:eastAsia="en-US" w:bidi="ar-SA"/>
              </w:rPr>
              <w:t>距室内边界距离/m</w:t>
            </w:r>
          </w:p>
        </w:tc>
        <w:tc>
          <w:tcPr>
            <w:tcW w:w="1776" w:type="dxa"/>
            <w:gridSpan w:val="4"/>
            <w:tcBorders>
              <w:tl2br w:val="nil"/>
              <w:tr2bl w:val="nil"/>
            </w:tcBorders>
            <w:vAlign w:val="center"/>
          </w:tcPr>
          <w:p w14:paraId="3AC589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
                <w:sz w:val="21"/>
                <w:szCs w:val="21"/>
                <w:lang w:val="en-US" w:eastAsia="en-US" w:bidi="ar-SA"/>
              </w:rPr>
              <w:t>室内边界声级/dB</w:t>
            </w:r>
            <w:r>
              <w:rPr>
                <w:rFonts w:hint="eastAsia" w:ascii="Times New Roman" w:hAnsi="Times New Roman" w:eastAsia="宋体" w:cs="Times New Roman"/>
                <w:color w:val="auto"/>
                <w:spacing w:val="-1"/>
                <w:sz w:val="21"/>
                <w:szCs w:val="21"/>
                <w:lang w:val="en-US" w:eastAsia="zh-CN" w:bidi="ar-SA"/>
              </w:rPr>
              <w:t>（</w:t>
            </w:r>
            <w:r>
              <w:rPr>
                <w:rFonts w:hint="default" w:ascii="Times New Roman" w:hAnsi="Times New Roman" w:eastAsia="宋体" w:cs="Times New Roman"/>
                <w:color w:val="auto"/>
                <w:spacing w:val="-1"/>
                <w:sz w:val="21"/>
                <w:szCs w:val="21"/>
                <w:lang w:val="en-US" w:eastAsia="en-US" w:bidi="ar-SA"/>
              </w:rPr>
              <w:t>A</w:t>
            </w:r>
            <w:r>
              <w:rPr>
                <w:rFonts w:hint="eastAsia" w:ascii="Times New Roman" w:hAnsi="Times New Roman" w:eastAsia="宋体" w:cs="Times New Roman"/>
                <w:color w:val="auto"/>
                <w:spacing w:val="-1"/>
                <w:sz w:val="21"/>
                <w:szCs w:val="21"/>
                <w:lang w:val="en-US" w:eastAsia="zh-CN" w:bidi="ar-SA"/>
              </w:rPr>
              <w:t>）</w:t>
            </w:r>
          </w:p>
        </w:tc>
        <w:tc>
          <w:tcPr>
            <w:tcW w:w="444" w:type="dxa"/>
            <w:vMerge w:val="restart"/>
            <w:tcBorders>
              <w:tl2br w:val="nil"/>
              <w:tr2bl w:val="nil"/>
            </w:tcBorders>
            <w:vAlign w:val="center"/>
          </w:tcPr>
          <w:p w14:paraId="1A8737D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运行时</w:t>
            </w:r>
            <w:r>
              <w:rPr>
                <w:rFonts w:hint="default" w:ascii="Times New Roman" w:hAnsi="Times New Roman" w:eastAsia="宋体" w:cs="Times New Roman"/>
                <w:color w:val="auto"/>
                <w:kern w:val="0"/>
                <w:sz w:val="21"/>
                <w:szCs w:val="21"/>
              </w:rPr>
              <w:t>段</w:t>
            </w:r>
          </w:p>
        </w:tc>
        <w:tc>
          <w:tcPr>
            <w:tcW w:w="1777" w:type="dxa"/>
            <w:gridSpan w:val="4"/>
            <w:tcBorders>
              <w:tl2br w:val="nil"/>
              <w:tr2bl w:val="nil"/>
            </w:tcBorders>
            <w:vAlign w:val="center"/>
          </w:tcPr>
          <w:p w14:paraId="1C1FD4C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
                <w:sz w:val="21"/>
                <w:szCs w:val="21"/>
                <w:lang w:val="en-US" w:eastAsia="en-US" w:bidi="ar-SA"/>
              </w:rPr>
              <w:t>建筑物插入损失/dB</w:t>
            </w:r>
            <w:r>
              <w:rPr>
                <w:rFonts w:hint="eastAsia" w:ascii="Times New Roman" w:hAnsi="Times New Roman" w:eastAsia="宋体" w:cs="Times New Roman"/>
                <w:color w:val="auto"/>
                <w:spacing w:val="-1"/>
                <w:sz w:val="21"/>
                <w:szCs w:val="21"/>
                <w:lang w:val="en-US" w:eastAsia="zh-CN" w:bidi="ar-SA"/>
              </w:rPr>
              <w:t>（</w:t>
            </w:r>
            <w:r>
              <w:rPr>
                <w:rFonts w:hint="default" w:ascii="Times New Roman" w:hAnsi="Times New Roman" w:eastAsia="宋体" w:cs="Times New Roman"/>
                <w:color w:val="auto"/>
                <w:spacing w:val="-1"/>
                <w:sz w:val="21"/>
                <w:szCs w:val="21"/>
                <w:lang w:val="en-US" w:eastAsia="en-US" w:bidi="ar-SA"/>
              </w:rPr>
              <w:t>A</w:t>
            </w:r>
            <w:r>
              <w:rPr>
                <w:rFonts w:hint="eastAsia" w:ascii="Times New Roman" w:hAnsi="Times New Roman" w:eastAsia="宋体" w:cs="Times New Roman"/>
                <w:color w:val="auto"/>
                <w:spacing w:val="-1"/>
                <w:sz w:val="21"/>
                <w:szCs w:val="21"/>
                <w:lang w:val="en-US" w:eastAsia="zh-CN" w:bidi="ar-SA"/>
              </w:rPr>
              <w:t>）</w:t>
            </w:r>
          </w:p>
        </w:tc>
        <w:tc>
          <w:tcPr>
            <w:tcW w:w="2247" w:type="dxa"/>
            <w:gridSpan w:val="5"/>
            <w:tcBorders>
              <w:tl2br w:val="nil"/>
              <w:tr2bl w:val="nil"/>
            </w:tcBorders>
            <w:vAlign w:val="center"/>
          </w:tcPr>
          <w:p w14:paraId="38DA5C7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
                <w:sz w:val="21"/>
                <w:szCs w:val="21"/>
                <w:lang w:val="en-US" w:eastAsia="en-US" w:bidi="ar-SA"/>
              </w:rPr>
              <w:t>建筑物外噪声声压级/dB</w:t>
            </w:r>
            <w:r>
              <w:rPr>
                <w:rFonts w:hint="eastAsia" w:ascii="Times New Roman" w:hAnsi="Times New Roman" w:eastAsia="宋体" w:cs="Times New Roman"/>
                <w:color w:val="auto"/>
                <w:spacing w:val="-1"/>
                <w:sz w:val="21"/>
                <w:szCs w:val="21"/>
                <w:lang w:val="en-US" w:eastAsia="zh-CN" w:bidi="ar-SA"/>
              </w:rPr>
              <w:t>（</w:t>
            </w:r>
            <w:r>
              <w:rPr>
                <w:rFonts w:hint="default" w:ascii="Times New Roman" w:hAnsi="Times New Roman" w:eastAsia="宋体" w:cs="Times New Roman"/>
                <w:color w:val="auto"/>
                <w:spacing w:val="-1"/>
                <w:sz w:val="21"/>
                <w:szCs w:val="21"/>
                <w:lang w:val="en-US" w:eastAsia="en-US" w:bidi="ar-SA"/>
              </w:rPr>
              <w:t>A</w:t>
            </w:r>
            <w:r>
              <w:rPr>
                <w:rFonts w:hint="eastAsia" w:ascii="Times New Roman" w:hAnsi="Times New Roman" w:eastAsia="宋体" w:cs="Times New Roman"/>
                <w:color w:val="auto"/>
                <w:spacing w:val="-1"/>
                <w:sz w:val="21"/>
                <w:szCs w:val="21"/>
                <w:lang w:val="en-US" w:eastAsia="zh-CN" w:bidi="ar-SA"/>
              </w:rPr>
              <w:t>）</w:t>
            </w:r>
          </w:p>
        </w:tc>
      </w:tr>
      <w:tr w14:paraId="019853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300" w:type="dxa"/>
            <w:vMerge w:val="continue"/>
            <w:tcBorders>
              <w:tl2br w:val="nil"/>
              <w:tr2bl w:val="nil"/>
            </w:tcBorders>
            <w:vAlign w:val="center"/>
          </w:tcPr>
          <w:p w14:paraId="6EE39D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p>
        </w:tc>
        <w:tc>
          <w:tcPr>
            <w:tcW w:w="762" w:type="dxa"/>
            <w:vMerge w:val="continue"/>
            <w:tcBorders>
              <w:tl2br w:val="nil"/>
              <w:tr2bl w:val="nil"/>
            </w:tcBorders>
            <w:vAlign w:val="center"/>
          </w:tcPr>
          <w:p w14:paraId="363BAB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p>
        </w:tc>
        <w:tc>
          <w:tcPr>
            <w:tcW w:w="1397" w:type="dxa"/>
            <w:vMerge w:val="continue"/>
            <w:tcBorders>
              <w:tl2br w:val="nil"/>
              <w:tr2bl w:val="nil"/>
            </w:tcBorders>
            <w:vAlign w:val="center"/>
          </w:tcPr>
          <w:p w14:paraId="40474C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p>
        </w:tc>
        <w:tc>
          <w:tcPr>
            <w:tcW w:w="815" w:type="dxa"/>
            <w:tcBorders>
              <w:tl2br w:val="nil"/>
              <w:tr2bl w:val="nil"/>
            </w:tcBorders>
            <w:vAlign w:val="center"/>
          </w:tcPr>
          <w:p w14:paraId="565C50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pacing w:val="-1"/>
                <w:sz w:val="21"/>
                <w:szCs w:val="21"/>
                <w:lang w:val="en-US" w:eastAsia="en-US" w:bidi="ar-SA"/>
              </w:rPr>
              <w:t>声功率级/dB</w:t>
            </w:r>
            <w:r>
              <w:rPr>
                <w:rFonts w:hint="eastAsia" w:ascii="Times New Roman" w:hAnsi="Times New Roman" w:eastAsia="宋体" w:cs="Times New Roman"/>
                <w:color w:val="auto"/>
                <w:spacing w:val="-1"/>
                <w:sz w:val="21"/>
                <w:szCs w:val="21"/>
                <w:lang w:val="en-US" w:eastAsia="zh-CN" w:bidi="ar-SA"/>
              </w:rPr>
              <w:t>（</w:t>
            </w:r>
            <w:r>
              <w:rPr>
                <w:rFonts w:hint="default" w:ascii="Times New Roman" w:hAnsi="Times New Roman" w:eastAsia="宋体" w:cs="Times New Roman"/>
                <w:color w:val="auto"/>
                <w:spacing w:val="-1"/>
                <w:sz w:val="21"/>
                <w:szCs w:val="21"/>
                <w:lang w:val="en-US" w:eastAsia="en-US" w:bidi="ar-SA"/>
              </w:rPr>
              <w:t>A</w:t>
            </w:r>
            <w:r>
              <w:rPr>
                <w:rFonts w:hint="eastAsia" w:ascii="Times New Roman" w:hAnsi="Times New Roman" w:eastAsia="宋体" w:cs="Times New Roman"/>
                <w:color w:val="auto"/>
                <w:spacing w:val="-1"/>
                <w:sz w:val="21"/>
                <w:szCs w:val="21"/>
                <w:lang w:val="en-US" w:eastAsia="zh-CN" w:bidi="ar-SA"/>
              </w:rPr>
              <w:t>）</w:t>
            </w:r>
          </w:p>
        </w:tc>
        <w:tc>
          <w:tcPr>
            <w:tcW w:w="1548" w:type="dxa"/>
            <w:vMerge w:val="continue"/>
            <w:tcBorders>
              <w:tl2br w:val="nil"/>
              <w:tr2bl w:val="nil"/>
            </w:tcBorders>
            <w:vAlign w:val="center"/>
          </w:tcPr>
          <w:p w14:paraId="32D648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p>
        </w:tc>
        <w:tc>
          <w:tcPr>
            <w:tcW w:w="443" w:type="dxa"/>
            <w:tcBorders>
              <w:tl2br w:val="nil"/>
              <w:tr2bl w:val="nil"/>
            </w:tcBorders>
            <w:vAlign w:val="center"/>
          </w:tcPr>
          <w:p w14:paraId="7F3C3DF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X</w:t>
            </w:r>
          </w:p>
        </w:tc>
        <w:tc>
          <w:tcPr>
            <w:tcW w:w="444" w:type="dxa"/>
            <w:tcBorders>
              <w:tl2br w:val="nil"/>
              <w:tr2bl w:val="nil"/>
            </w:tcBorders>
            <w:vAlign w:val="center"/>
          </w:tcPr>
          <w:p w14:paraId="262746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Y</w:t>
            </w:r>
          </w:p>
        </w:tc>
        <w:tc>
          <w:tcPr>
            <w:tcW w:w="444" w:type="dxa"/>
            <w:tcBorders>
              <w:tl2br w:val="nil"/>
              <w:tr2bl w:val="nil"/>
            </w:tcBorders>
            <w:vAlign w:val="center"/>
          </w:tcPr>
          <w:p w14:paraId="497BB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Z</w:t>
            </w:r>
          </w:p>
        </w:tc>
        <w:tc>
          <w:tcPr>
            <w:tcW w:w="444" w:type="dxa"/>
            <w:tcBorders>
              <w:tl2br w:val="nil"/>
              <w:tr2bl w:val="nil"/>
            </w:tcBorders>
            <w:vAlign w:val="center"/>
          </w:tcPr>
          <w:p w14:paraId="09959A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东</w:t>
            </w:r>
          </w:p>
        </w:tc>
        <w:tc>
          <w:tcPr>
            <w:tcW w:w="444" w:type="dxa"/>
            <w:tcBorders>
              <w:tl2br w:val="nil"/>
              <w:tr2bl w:val="nil"/>
            </w:tcBorders>
            <w:vAlign w:val="center"/>
          </w:tcPr>
          <w:p w14:paraId="2FFBEC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南</w:t>
            </w:r>
          </w:p>
        </w:tc>
        <w:tc>
          <w:tcPr>
            <w:tcW w:w="444" w:type="dxa"/>
            <w:tcBorders>
              <w:tl2br w:val="nil"/>
              <w:tr2bl w:val="nil"/>
            </w:tcBorders>
            <w:vAlign w:val="center"/>
          </w:tcPr>
          <w:p w14:paraId="562F56A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西</w:t>
            </w:r>
          </w:p>
        </w:tc>
        <w:tc>
          <w:tcPr>
            <w:tcW w:w="444" w:type="dxa"/>
            <w:tcBorders>
              <w:tl2br w:val="nil"/>
              <w:tr2bl w:val="nil"/>
            </w:tcBorders>
            <w:vAlign w:val="center"/>
          </w:tcPr>
          <w:p w14:paraId="1D84DE1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北</w:t>
            </w:r>
          </w:p>
        </w:tc>
        <w:tc>
          <w:tcPr>
            <w:tcW w:w="444" w:type="dxa"/>
            <w:tcBorders>
              <w:tl2br w:val="nil"/>
              <w:tr2bl w:val="nil"/>
            </w:tcBorders>
            <w:vAlign w:val="center"/>
          </w:tcPr>
          <w:p w14:paraId="4F5782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东</w:t>
            </w:r>
          </w:p>
        </w:tc>
        <w:tc>
          <w:tcPr>
            <w:tcW w:w="444" w:type="dxa"/>
            <w:tcBorders>
              <w:tl2br w:val="nil"/>
              <w:tr2bl w:val="nil"/>
            </w:tcBorders>
            <w:vAlign w:val="center"/>
          </w:tcPr>
          <w:p w14:paraId="7F14E1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南</w:t>
            </w:r>
          </w:p>
        </w:tc>
        <w:tc>
          <w:tcPr>
            <w:tcW w:w="444" w:type="dxa"/>
            <w:tcBorders>
              <w:tl2br w:val="nil"/>
              <w:tr2bl w:val="nil"/>
            </w:tcBorders>
            <w:vAlign w:val="center"/>
          </w:tcPr>
          <w:p w14:paraId="2B4241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西</w:t>
            </w:r>
          </w:p>
        </w:tc>
        <w:tc>
          <w:tcPr>
            <w:tcW w:w="444" w:type="dxa"/>
            <w:tcBorders>
              <w:tl2br w:val="nil"/>
              <w:tr2bl w:val="nil"/>
            </w:tcBorders>
            <w:vAlign w:val="center"/>
          </w:tcPr>
          <w:p w14:paraId="5AB6E9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北</w:t>
            </w:r>
          </w:p>
        </w:tc>
        <w:tc>
          <w:tcPr>
            <w:tcW w:w="444" w:type="dxa"/>
            <w:vMerge w:val="continue"/>
            <w:tcBorders>
              <w:tl2br w:val="nil"/>
              <w:tr2bl w:val="nil"/>
            </w:tcBorders>
            <w:vAlign w:val="center"/>
          </w:tcPr>
          <w:p w14:paraId="0F7123B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p>
        </w:tc>
        <w:tc>
          <w:tcPr>
            <w:tcW w:w="444" w:type="dxa"/>
            <w:tcBorders>
              <w:tl2br w:val="nil"/>
              <w:tr2bl w:val="nil"/>
            </w:tcBorders>
            <w:vAlign w:val="center"/>
          </w:tcPr>
          <w:p w14:paraId="0CC23E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东</w:t>
            </w:r>
          </w:p>
        </w:tc>
        <w:tc>
          <w:tcPr>
            <w:tcW w:w="444" w:type="dxa"/>
            <w:tcBorders>
              <w:tl2br w:val="nil"/>
              <w:tr2bl w:val="nil"/>
            </w:tcBorders>
            <w:vAlign w:val="center"/>
          </w:tcPr>
          <w:p w14:paraId="54410D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南</w:t>
            </w:r>
          </w:p>
        </w:tc>
        <w:tc>
          <w:tcPr>
            <w:tcW w:w="444" w:type="dxa"/>
            <w:tcBorders>
              <w:tl2br w:val="nil"/>
              <w:tr2bl w:val="nil"/>
            </w:tcBorders>
            <w:vAlign w:val="center"/>
          </w:tcPr>
          <w:p w14:paraId="6A90049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西</w:t>
            </w:r>
          </w:p>
        </w:tc>
        <w:tc>
          <w:tcPr>
            <w:tcW w:w="445" w:type="dxa"/>
            <w:tcBorders>
              <w:tl2br w:val="nil"/>
              <w:tr2bl w:val="nil"/>
            </w:tcBorders>
            <w:vAlign w:val="center"/>
          </w:tcPr>
          <w:p w14:paraId="4402A8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北</w:t>
            </w:r>
          </w:p>
        </w:tc>
        <w:tc>
          <w:tcPr>
            <w:tcW w:w="445" w:type="dxa"/>
            <w:tcBorders>
              <w:tl2br w:val="nil"/>
              <w:tr2bl w:val="nil"/>
            </w:tcBorders>
            <w:vAlign w:val="center"/>
          </w:tcPr>
          <w:p w14:paraId="40D32F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东</w:t>
            </w:r>
          </w:p>
        </w:tc>
        <w:tc>
          <w:tcPr>
            <w:tcW w:w="445" w:type="dxa"/>
            <w:tcBorders>
              <w:tl2br w:val="nil"/>
              <w:tr2bl w:val="nil"/>
            </w:tcBorders>
            <w:vAlign w:val="center"/>
          </w:tcPr>
          <w:p w14:paraId="10E7ED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南</w:t>
            </w:r>
          </w:p>
        </w:tc>
        <w:tc>
          <w:tcPr>
            <w:tcW w:w="446" w:type="dxa"/>
            <w:tcBorders>
              <w:tl2br w:val="nil"/>
              <w:tr2bl w:val="nil"/>
            </w:tcBorders>
            <w:vAlign w:val="center"/>
          </w:tcPr>
          <w:p w14:paraId="17EBE0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西</w:t>
            </w:r>
          </w:p>
        </w:tc>
        <w:tc>
          <w:tcPr>
            <w:tcW w:w="446" w:type="dxa"/>
            <w:tcBorders>
              <w:tl2br w:val="nil"/>
              <w:tr2bl w:val="nil"/>
            </w:tcBorders>
            <w:vAlign w:val="center"/>
          </w:tcPr>
          <w:p w14:paraId="354D16B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北</w:t>
            </w:r>
          </w:p>
        </w:tc>
        <w:tc>
          <w:tcPr>
            <w:tcW w:w="465" w:type="dxa"/>
            <w:tcBorders>
              <w:tl2br w:val="nil"/>
              <w:tr2bl w:val="nil"/>
            </w:tcBorders>
            <w:vAlign w:val="center"/>
          </w:tcPr>
          <w:p w14:paraId="4C1211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3"/>
                <w:kern w:val="0"/>
                <w:sz w:val="21"/>
                <w:szCs w:val="21"/>
              </w:rPr>
              <w:t>建筑物外距离</w:t>
            </w:r>
          </w:p>
        </w:tc>
      </w:tr>
      <w:tr w14:paraId="31AB1B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300" w:type="dxa"/>
            <w:tcBorders>
              <w:tl2br w:val="nil"/>
              <w:tr2bl w:val="nil"/>
            </w:tcBorders>
            <w:vAlign w:val="center"/>
          </w:tcPr>
          <w:p w14:paraId="54DAF9E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1</w:t>
            </w:r>
          </w:p>
        </w:tc>
        <w:tc>
          <w:tcPr>
            <w:tcW w:w="762" w:type="dxa"/>
            <w:vMerge w:val="restart"/>
            <w:tcBorders>
              <w:tl2br w:val="nil"/>
              <w:tr2bl w:val="nil"/>
            </w:tcBorders>
            <w:vAlign w:val="center"/>
          </w:tcPr>
          <w:p w14:paraId="51ACEE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堆肥区</w:t>
            </w:r>
          </w:p>
        </w:tc>
        <w:tc>
          <w:tcPr>
            <w:tcW w:w="1397" w:type="dxa"/>
            <w:tcBorders>
              <w:tl2br w:val="nil"/>
              <w:tr2bl w:val="nil"/>
            </w:tcBorders>
            <w:vAlign w:val="center"/>
          </w:tcPr>
          <w:p w14:paraId="53D52FD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翻抛机，1台</w:t>
            </w:r>
          </w:p>
        </w:tc>
        <w:tc>
          <w:tcPr>
            <w:tcW w:w="815" w:type="dxa"/>
            <w:tcBorders>
              <w:tl2br w:val="nil"/>
              <w:tr2bl w:val="nil"/>
            </w:tcBorders>
            <w:vAlign w:val="center"/>
          </w:tcPr>
          <w:p w14:paraId="7003651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lang w:val="en-US" w:eastAsia="zh-CN" w:bidi="ar-SA"/>
              </w:rPr>
            </w:pPr>
            <w:r>
              <w:rPr>
                <w:rFonts w:hint="eastAsia" w:cs="Times New Roman"/>
                <w:color w:val="auto"/>
                <w:spacing w:val="-4"/>
                <w:sz w:val="21"/>
                <w:szCs w:val="21"/>
                <w:lang w:val="en-US" w:eastAsia="zh-CN" w:bidi="ar-SA"/>
              </w:rPr>
              <w:t>85</w:t>
            </w:r>
          </w:p>
        </w:tc>
        <w:tc>
          <w:tcPr>
            <w:tcW w:w="1548" w:type="dxa"/>
            <w:tcBorders>
              <w:tl2br w:val="nil"/>
              <w:tr2bl w:val="nil"/>
            </w:tcBorders>
            <w:vAlign w:val="center"/>
          </w:tcPr>
          <w:p w14:paraId="71A76C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lang w:val="en-US" w:eastAsia="en-US" w:bidi="ar-SA"/>
              </w:rPr>
            </w:pPr>
            <w:r>
              <w:rPr>
                <w:rFonts w:hint="default" w:ascii="Times New Roman" w:hAnsi="Times New Roman" w:eastAsia="宋体" w:cs="Times New Roman"/>
                <w:color w:val="auto"/>
                <w:spacing w:val="-1"/>
                <w:sz w:val="21"/>
                <w:szCs w:val="21"/>
                <w:lang w:val="en-US" w:eastAsia="en-US" w:bidi="ar-SA"/>
              </w:rPr>
              <w:t>减振+建筑物隔声</w:t>
            </w:r>
          </w:p>
        </w:tc>
        <w:tc>
          <w:tcPr>
            <w:tcW w:w="443" w:type="dxa"/>
            <w:tcBorders>
              <w:tl2br w:val="nil"/>
              <w:tr2bl w:val="nil"/>
            </w:tcBorders>
            <w:vAlign w:val="center"/>
          </w:tcPr>
          <w:p w14:paraId="1AE52D3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-110</w:t>
            </w:r>
          </w:p>
        </w:tc>
        <w:tc>
          <w:tcPr>
            <w:tcW w:w="444" w:type="dxa"/>
            <w:tcBorders>
              <w:tl2br w:val="nil"/>
              <w:tr2bl w:val="nil"/>
            </w:tcBorders>
            <w:vAlign w:val="center"/>
          </w:tcPr>
          <w:p w14:paraId="7BC4AC9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-318</w:t>
            </w:r>
          </w:p>
        </w:tc>
        <w:tc>
          <w:tcPr>
            <w:tcW w:w="444" w:type="dxa"/>
            <w:tcBorders>
              <w:tl2br w:val="nil"/>
              <w:tr2bl w:val="nil"/>
            </w:tcBorders>
            <w:vAlign w:val="center"/>
          </w:tcPr>
          <w:p w14:paraId="37D80E3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sz w:val="21"/>
                <w:szCs w:val="21"/>
                <w:highlight w:val="none"/>
                <w:lang w:val="en-US" w:eastAsia="zh-CN" w:bidi="ar-SA"/>
              </w:rPr>
            </w:pPr>
            <w:r>
              <w:rPr>
                <w:rFonts w:hint="default" w:ascii="Times New Roman" w:hAnsi="Times New Roman" w:eastAsia="宋体" w:cs="Times New Roman"/>
                <w:color w:val="auto"/>
                <w:spacing w:val="-2"/>
                <w:sz w:val="21"/>
                <w:szCs w:val="21"/>
                <w:highlight w:val="none"/>
                <w:lang w:val="en-US" w:eastAsia="zh-CN" w:bidi="ar-SA"/>
              </w:rPr>
              <w:t>0.5</w:t>
            </w:r>
          </w:p>
        </w:tc>
        <w:tc>
          <w:tcPr>
            <w:tcW w:w="444" w:type="dxa"/>
            <w:tcBorders>
              <w:tl2br w:val="nil"/>
              <w:tr2bl w:val="nil"/>
            </w:tcBorders>
            <w:vAlign w:val="center"/>
          </w:tcPr>
          <w:p w14:paraId="3DEE8E9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bidi="ar-SA"/>
              </w:rPr>
            </w:pPr>
            <w:r>
              <w:rPr>
                <w:rFonts w:hint="eastAsia" w:cs="Times New Roman"/>
                <w:i w:val="0"/>
                <w:iCs w:val="0"/>
                <w:color w:val="000000"/>
                <w:kern w:val="0"/>
                <w:sz w:val="21"/>
                <w:szCs w:val="21"/>
                <w:u w:val="none"/>
                <w:lang w:val="en-US" w:eastAsia="zh-CN" w:bidi="ar"/>
              </w:rPr>
              <w:t>10</w:t>
            </w:r>
          </w:p>
        </w:tc>
        <w:tc>
          <w:tcPr>
            <w:tcW w:w="444" w:type="dxa"/>
            <w:tcBorders>
              <w:tl2br w:val="nil"/>
              <w:tr2bl w:val="nil"/>
            </w:tcBorders>
            <w:vAlign w:val="center"/>
          </w:tcPr>
          <w:p w14:paraId="02952E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lang w:val="en-US" w:eastAsia="zh-CN" w:bidi="ar-SA"/>
              </w:rPr>
            </w:pPr>
            <w:r>
              <w:rPr>
                <w:rFonts w:hint="eastAsia" w:cs="Times New Roman"/>
                <w:spacing w:val="-2"/>
                <w:kern w:val="2"/>
                <w:sz w:val="21"/>
                <w:szCs w:val="21"/>
                <w:lang w:val="en-US" w:eastAsia="zh-CN" w:bidi="ar-SA"/>
              </w:rPr>
              <w:t>6</w:t>
            </w:r>
          </w:p>
        </w:tc>
        <w:tc>
          <w:tcPr>
            <w:tcW w:w="444" w:type="dxa"/>
            <w:tcBorders>
              <w:tl2br w:val="nil"/>
              <w:tr2bl w:val="nil"/>
            </w:tcBorders>
            <w:vAlign w:val="center"/>
          </w:tcPr>
          <w:p w14:paraId="075E40A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lang w:val="en-US" w:eastAsia="zh-CN" w:bidi="ar-SA"/>
              </w:rPr>
            </w:pPr>
            <w:r>
              <w:rPr>
                <w:rFonts w:hint="eastAsia" w:cs="Times New Roman"/>
                <w:spacing w:val="-2"/>
                <w:kern w:val="2"/>
                <w:sz w:val="21"/>
                <w:szCs w:val="21"/>
                <w:lang w:val="en-US" w:eastAsia="zh-CN" w:bidi="ar-SA"/>
              </w:rPr>
              <w:t>40</w:t>
            </w:r>
          </w:p>
        </w:tc>
        <w:tc>
          <w:tcPr>
            <w:tcW w:w="444" w:type="dxa"/>
            <w:tcBorders>
              <w:tl2br w:val="nil"/>
              <w:tr2bl w:val="nil"/>
            </w:tcBorders>
            <w:vAlign w:val="center"/>
          </w:tcPr>
          <w:p w14:paraId="394EADFB">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bidi="ar-SA"/>
              </w:rPr>
            </w:pPr>
            <w:r>
              <w:rPr>
                <w:rFonts w:hint="eastAsia" w:cs="Times New Roman"/>
                <w:i w:val="0"/>
                <w:iCs w:val="0"/>
                <w:color w:val="000000"/>
                <w:kern w:val="0"/>
                <w:sz w:val="21"/>
                <w:szCs w:val="21"/>
                <w:u w:val="none"/>
                <w:lang w:val="en-US" w:eastAsia="zh-CN" w:bidi="ar"/>
              </w:rPr>
              <w:t>6</w:t>
            </w:r>
          </w:p>
        </w:tc>
        <w:tc>
          <w:tcPr>
            <w:tcW w:w="444" w:type="dxa"/>
            <w:tcBorders>
              <w:tl2br w:val="nil"/>
              <w:tr2bl w:val="nil"/>
            </w:tcBorders>
            <w:vAlign w:val="center"/>
          </w:tcPr>
          <w:p w14:paraId="5D9C82B2">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65.00 </w:t>
            </w:r>
          </w:p>
        </w:tc>
        <w:tc>
          <w:tcPr>
            <w:tcW w:w="444" w:type="dxa"/>
            <w:tcBorders>
              <w:tl2br w:val="nil"/>
              <w:tr2bl w:val="nil"/>
            </w:tcBorders>
            <w:vAlign w:val="center"/>
          </w:tcPr>
          <w:p w14:paraId="0AD712C3">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69.44 </w:t>
            </w:r>
          </w:p>
        </w:tc>
        <w:tc>
          <w:tcPr>
            <w:tcW w:w="444" w:type="dxa"/>
            <w:tcBorders>
              <w:tl2br w:val="nil"/>
              <w:tr2bl w:val="nil"/>
            </w:tcBorders>
            <w:vAlign w:val="center"/>
          </w:tcPr>
          <w:p w14:paraId="5E96FBDE">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52.96 </w:t>
            </w:r>
          </w:p>
        </w:tc>
        <w:tc>
          <w:tcPr>
            <w:tcW w:w="444" w:type="dxa"/>
            <w:tcBorders>
              <w:tl2br w:val="nil"/>
              <w:tr2bl w:val="nil"/>
            </w:tcBorders>
            <w:vAlign w:val="center"/>
          </w:tcPr>
          <w:p w14:paraId="72E6427B">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69.44 </w:t>
            </w:r>
          </w:p>
        </w:tc>
        <w:tc>
          <w:tcPr>
            <w:tcW w:w="444" w:type="dxa"/>
            <w:tcBorders>
              <w:tl2br w:val="nil"/>
              <w:tr2bl w:val="nil"/>
            </w:tcBorders>
            <w:vAlign w:val="center"/>
          </w:tcPr>
          <w:p w14:paraId="7D77749F">
            <w:pPr>
              <w:widowControl w:val="0"/>
              <w:spacing w:line="240" w:lineRule="auto"/>
              <w:jc w:val="center"/>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4728</w:t>
            </w:r>
          </w:p>
        </w:tc>
        <w:tc>
          <w:tcPr>
            <w:tcW w:w="444" w:type="dxa"/>
            <w:tcBorders>
              <w:tl2br w:val="nil"/>
              <w:tr2bl w:val="nil"/>
            </w:tcBorders>
            <w:vAlign w:val="center"/>
          </w:tcPr>
          <w:p w14:paraId="69BAEA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4" w:type="dxa"/>
            <w:tcBorders>
              <w:tl2br w:val="nil"/>
              <w:tr2bl w:val="nil"/>
            </w:tcBorders>
            <w:vAlign w:val="center"/>
          </w:tcPr>
          <w:p w14:paraId="46CCB82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4" w:type="dxa"/>
            <w:tcBorders>
              <w:tl2br w:val="nil"/>
              <w:tr2bl w:val="nil"/>
            </w:tcBorders>
            <w:vAlign w:val="center"/>
          </w:tcPr>
          <w:p w14:paraId="7797152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5" w:type="dxa"/>
            <w:tcBorders>
              <w:tl2br w:val="nil"/>
              <w:tr2bl w:val="nil"/>
            </w:tcBorders>
            <w:vAlign w:val="center"/>
          </w:tcPr>
          <w:p w14:paraId="106AC07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5" w:type="dxa"/>
            <w:tcBorders>
              <w:tl2br w:val="nil"/>
              <w:tr2bl w:val="nil"/>
            </w:tcBorders>
            <w:vAlign w:val="center"/>
          </w:tcPr>
          <w:p w14:paraId="5027E52F">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45.00 </w:t>
            </w:r>
          </w:p>
        </w:tc>
        <w:tc>
          <w:tcPr>
            <w:tcW w:w="445" w:type="dxa"/>
            <w:tcBorders>
              <w:tl2br w:val="nil"/>
              <w:tr2bl w:val="nil"/>
            </w:tcBorders>
            <w:vAlign w:val="center"/>
          </w:tcPr>
          <w:p w14:paraId="4D6B8CB4">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49.44 </w:t>
            </w:r>
          </w:p>
        </w:tc>
        <w:tc>
          <w:tcPr>
            <w:tcW w:w="446" w:type="dxa"/>
            <w:tcBorders>
              <w:tl2br w:val="nil"/>
              <w:tr2bl w:val="nil"/>
            </w:tcBorders>
            <w:vAlign w:val="center"/>
          </w:tcPr>
          <w:p w14:paraId="7AB3868E">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32.96 </w:t>
            </w:r>
          </w:p>
        </w:tc>
        <w:tc>
          <w:tcPr>
            <w:tcW w:w="446" w:type="dxa"/>
            <w:tcBorders>
              <w:tl2br w:val="nil"/>
              <w:tr2bl w:val="nil"/>
            </w:tcBorders>
            <w:vAlign w:val="center"/>
          </w:tcPr>
          <w:p w14:paraId="014D3D62">
            <w:pPr>
              <w:keepNext w:val="0"/>
              <w:keepLines w:val="0"/>
              <w:widowControl/>
              <w:suppressLineNumbers w:val="0"/>
              <w:jc w:val="center"/>
              <w:textAlignment w:val="center"/>
              <w:rPr>
                <w:rFonts w:hint="eastAsia"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49.44 </w:t>
            </w:r>
          </w:p>
        </w:tc>
        <w:tc>
          <w:tcPr>
            <w:tcW w:w="465" w:type="dxa"/>
            <w:tcBorders>
              <w:tl2br w:val="nil"/>
              <w:tr2bl w:val="nil"/>
            </w:tcBorders>
            <w:vAlign w:val="center"/>
          </w:tcPr>
          <w:p w14:paraId="06493C4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1</w:t>
            </w:r>
          </w:p>
        </w:tc>
      </w:tr>
      <w:tr w14:paraId="117A54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300" w:type="dxa"/>
            <w:tcBorders>
              <w:tl2br w:val="nil"/>
              <w:tr2bl w:val="nil"/>
            </w:tcBorders>
            <w:vAlign w:val="center"/>
          </w:tcPr>
          <w:p w14:paraId="1549E7E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en-US" w:bidi="ar-SA"/>
              </w:rPr>
            </w:pPr>
            <w:r>
              <w:rPr>
                <w:rFonts w:hint="eastAsia" w:cs="Times New Roman"/>
                <w:color w:val="auto"/>
                <w:sz w:val="21"/>
                <w:szCs w:val="21"/>
                <w:lang w:val="en-US" w:eastAsia="zh-CN" w:bidi="ar-SA"/>
              </w:rPr>
              <w:t>2</w:t>
            </w:r>
          </w:p>
        </w:tc>
        <w:tc>
          <w:tcPr>
            <w:tcW w:w="762" w:type="dxa"/>
            <w:vMerge w:val="continue"/>
            <w:tcBorders>
              <w:tl2br w:val="nil"/>
              <w:tr2bl w:val="nil"/>
            </w:tcBorders>
            <w:vAlign w:val="center"/>
          </w:tcPr>
          <w:p w14:paraId="0BA7DD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cs="Times New Roman"/>
                <w:color w:val="auto"/>
                <w:kern w:val="0"/>
                <w:sz w:val="21"/>
                <w:szCs w:val="21"/>
                <w:lang w:val="en-US" w:eastAsia="zh-CN"/>
              </w:rPr>
            </w:pPr>
          </w:p>
        </w:tc>
        <w:tc>
          <w:tcPr>
            <w:tcW w:w="1397" w:type="dxa"/>
            <w:tcBorders>
              <w:tl2br w:val="nil"/>
              <w:tr2bl w:val="nil"/>
            </w:tcBorders>
            <w:vAlign w:val="center"/>
          </w:tcPr>
          <w:p w14:paraId="6CA628D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混料机，1台</w:t>
            </w:r>
          </w:p>
        </w:tc>
        <w:tc>
          <w:tcPr>
            <w:tcW w:w="815" w:type="dxa"/>
            <w:tcBorders>
              <w:tl2br w:val="nil"/>
              <w:tr2bl w:val="nil"/>
            </w:tcBorders>
            <w:vAlign w:val="center"/>
          </w:tcPr>
          <w:p w14:paraId="027BD7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cs="Times New Roman"/>
                <w:color w:val="auto"/>
                <w:spacing w:val="-4"/>
                <w:sz w:val="21"/>
                <w:szCs w:val="21"/>
                <w:lang w:val="en-US" w:eastAsia="zh-CN" w:bidi="ar-SA"/>
              </w:rPr>
            </w:pPr>
            <w:r>
              <w:rPr>
                <w:rFonts w:hint="eastAsia" w:cs="Times New Roman"/>
                <w:color w:val="auto"/>
                <w:spacing w:val="-4"/>
                <w:sz w:val="21"/>
                <w:szCs w:val="21"/>
                <w:lang w:val="en-US" w:eastAsia="zh-CN" w:bidi="ar-SA"/>
              </w:rPr>
              <w:t>85</w:t>
            </w:r>
          </w:p>
        </w:tc>
        <w:tc>
          <w:tcPr>
            <w:tcW w:w="1548" w:type="dxa"/>
            <w:tcBorders>
              <w:tl2br w:val="nil"/>
              <w:tr2bl w:val="nil"/>
            </w:tcBorders>
            <w:vAlign w:val="center"/>
          </w:tcPr>
          <w:p w14:paraId="49501C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lang w:val="en-US" w:eastAsia="en-US" w:bidi="ar-SA"/>
              </w:rPr>
            </w:pPr>
            <w:r>
              <w:rPr>
                <w:rFonts w:hint="default" w:ascii="Times New Roman" w:hAnsi="Times New Roman" w:eastAsia="宋体" w:cs="Times New Roman"/>
                <w:color w:val="auto"/>
                <w:spacing w:val="-1"/>
                <w:sz w:val="21"/>
                <w:szCs w:val="21"/>
                <w:lang w:val="en-US" w:eastAsia="en-US" w:bidi="ar-SA"/>
              </w:rPr>
              <w:t>减振+建筑物隔声</w:t>
            </w:r>
          </w:p>
        </w:tc>
        <w:tc>
          <w:tcPr>
            <w:tcW w:w="443" w:type="dxa"/>
            <w:tcBorders>
              <w:tl2br w:val="nil"/>
              <w:tr2bl w:val="nil"/>
            </w:tcBorders>
            <w:vAlign w:val="center"/>
          </w:tcPr>
          <w:p w14:paraId="4F003AB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-115</w:t>
            </w:r>
          </w:p>
        </w:tc>
        <w:tc>
          <w:tcPr>
            <w:tcW w:w="444" w:type="dxa"/>
            <w:tcBorders>
              <w:tl2br w:val="nil"/>
              <w:tr2bl w:val="nil"/>
            </w:tcBorders>
            <w:vAlign w:val="center"/>
          </w:tcPr>
          <w:p w14:paraId="397C936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-318</w:t>
            </w:r>
          </w:p>
        </w:tc>
        <w:tc>
          <w:tcPr>
            <w:tcW w:w="444" w:type="dxa"/>
            <w:tcBorders>
              <w:tl2br w:val="nil"/>
              <w:tr2bl w:val="nil"/>
            </w:tcBorders>
            <w:vAlign w:val="center"/>
          </w:tcPr>
          <w:p w14:paraId="7BEF11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default" w:ascii="Times New Roman" w:hAnsi="Times New Roman" w:eastAsia="宋体" w:cs="Times New Roman"/>
                <w:color w:val="auto"/>
                <w:spacing w:val="-2"/>
                <w:sz w:val="21"/>
                <w:szCs w:val="21"/>
                <w:highlight w:val="none"/>
                <w:lang w:val="en-US" w:eastAsia="zh-CN" w:bidi="ar-SA"/>
              </w:rPr>
              <w:t>0.5</w:t>
            </w:r>
          </w:p>
        </w:tc>
        <w:tc>
          <w:tcPr>
            <w:tcW w:w="444" w:type="dxa"/>
            <w:tcBorders>
              <w:tl2br w:val="nil"/>
              <w:tr2bl w:val="nil"/>
            </w:tcBorders>
            <w:vAlign w:val="center"/>
          </w:tcPr>
          <w:p w14:paraId="53086E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444" w:type="dxa"/>
            <w:tcBorders>
              <w:tl2br w:val="nil"/>
              <w:tr2bl w:val="nil"/>
            </w:tcBorders>
            <w:vAlign w:val="center"/>
          </w:tcPr>
          <w:p w14:paraId="6A1B04B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kern w:val="2"/>
                <w:sz w:val="21"/>
                <w:szCs w:val="21"/>
                <w:lang w:val="en-US" w:eastAsia="zh-CN" w:bidi="ar-SA"/>
              </w:rPr>
            </w:pPr>
            <w:r>
              <w:rPr>
                <w:rFonts w:hint="eastAsia" w:cs="Times New Roman"/>
                <w:spacing w:val="-2"/>
                <w:kern w:val="2"/>
                <w:sz w:val="21"/>
                <w:szCs w:val="21"/>
                <w:lang w:val="en-US" w:eastAsia="zh-CN" w:bidi="ar-SA"/>
              </w:rPr>
              <w:t>6</w:t>
            </w:r>
          </w:p>
        </w:tc>
        <w:tc>
          <w:tcPr>
            <w:tcW w:w="444" w:type="dxa"/>
            <w:tcBorders>
              <w:tl2br w:val="nil"/>
              <w:tr2bl w:val="nil"/>
            </w:tcBorders>
            <w:vAlign w:val="center"/>
          </w:tcPr>
          <w:p w14:paraId="052DB54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kern w:val="2"/>
                <w:sz w:val="21"/>
                <w:szCs w:val="21"/>
                <w:lang w:val="en-US" w:eastAsia="zh-CN" w:bidi="ar-SA"/>
              </w:rPr>
            </w:pPr>
            <w:r>
              <w:rPr>
                <w:rFonts w:hint="eastAsia" w:cs="Times New Roman"/>
                <w:spacing w:val="-2"/>
                <w:kern w:val="2"/>
                <w:sz w:val="21"/>
                <w:szCs w:val="21"/>
                <w:lang w:val="en-US" w:eastAsia="zh-CN" w:bidi="ar-SA"/>
              </w:rPr>
              <w:t>35</w:t>
            </w:r>
          </w:p>
        </w:tc>
        <w:tc>
          <w:tcPr>
            <w:tcW w:w="444" w:type="dxa"/>
            <w:tcBorders>
              <w:tl2br w:val="nil"/>
              <w:tr2bl w:val="nil"/>
            </w:tcBorders>
            <w:vAlign w:val="center"/>
          </w:tcPr>
          <w:p w14:paraId="613D04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w:t>
            </w:r>
          </w:p>
        </w:tc>
        <w:tc>
          <w:tcPr>
            <w:tcW w:w="444" w:type="dxa"/>
            <w:tcBorders>
              <w:tl2br w:val="nil"/>
              <w:tr2bl w:val="nil"/>
            </w:tcBorders>
            <w:vAlign w:val="center"/>
          </w:tcPr>
          <w:p w14:paraId="0F4794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61.48 </w:t>
            </w:r>
          </w:p>
        </w:tc>
        <w:tc>
          <w:tcPr>
            <w:tcW w:w="444" w:type="dxa"/>
            <w:tcBorders>
              <w:tl2br w:val="nil"/>
              <w:tr2bl w:val="nil"/>
            </w:tcBorders>
            <w:vAlign w:val="center"/>
          </w:tcPr>
          <w:p w14:paraId="0CA1D8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69.44 </w:t>
            </w:r>
          </w:p>
        </w:tc>
        <w:tc>
          <w:tcPr>
            <w:tcW w:w="444" w:type="dxa"/>
            <w:tcBorders>
              <w:tl2br w:val="nil"/>
              <w:tr2bl w:val="nil"/>
            </w:tcBorders>
            <w:vAlign w:val="center"/>
          </w:tcPr>
          <w:p w14:paraId="075FD1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54.12 </w:t>
            </w:r>
          </w:p>
        </w:tc>
        <w:tc>
          <w:tcPr>
            <w:tcW w:w="444" w:type="dxa"/>
            <w:tcBorders>
              <w:tl2br w:val="nil"/>
              <w:tr2bl w:val="nil"/>
            </w:tcBorders>
            <w:vAlign w:val="center"/>
          </w:tcPr>
          <w:p w14:paraId="71F740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69.44 </w:t>
            </w:r>
          </w:p>
        </w:tc>
        <w:tc>
          <w:tcPr>
            <w:tcW w:w="444" w:type="dxa"/>
            <w:tcBorders>
              <w:tl2br w:val="nil"/>
              <w:tr2bl w:val="nil"/>
            </w:tcBorders>
            <w:vAlign w:val="center"/>
          </w:tcPr>
          <w:p w14:paraId="0AC976A9">
            <w:pPr>
              <w:widowControl w:val="0"/>
              <w:spacing w:line="240" w:lineRule="auto"/>
              <w:jc w:val="center"/>
              <w:rPr>
                <w:rFonts w:hint="eastAsia" w:ascii="Times New Roman" w:hAnsi="Times New Roman" w:eastAsia="宋体" w:cs="Times New Roman"/>
                <w:b w:val="0"/>
                <w:bCs w:val="0"/>
                <w:snapToGrid w:val="0"/>
                <w:color w:val="auto"/>
                <w:kern w:val="2"/>
                <w:sz w:val="21"/>
                <w:szCs w:val="21"/>
                <w:highlight w:val="none"/>
                <w:vertAlign w:val="baseline"/>
                <w:lang w:val="en-US" w:eastAsia="zh-CN" w:bidi="ar-SA"/>
              </w:rPr>
            </w:pPr>
            <w:r>
              <w:rPr>
                <w:rFonts w:hint="eastAsia" w:cs="Times New Roman"/>
                <w:color w:val="auto"/>
                <w:spacing w:val="-2"/>
                <w:sz w:val="21"/>
                <w:szCs w:val="21"/>
                <w:highlight w:val="none"/>
                <w:lang w:val="en-US" w:eastAsia="zh-CN" w:bidi="ar-SA"/>
              </w:rPr>
              <w:t>4728</w:t>
            </w:r>
          </w:p>
        </w:tc>
        <w:tc>
          <w:tcPr>
            <w:tcW w:w="444" w:type="dxa"/>
            <w:tcBorders>
              <w:tl2br w:val="nil"/>
              <w:tr2bl w:val="nil"/>
            </w:tcBorders>
            <w:vAlign w:val="center"/>
          </w:tcPr>
          <w:p w14:paraId="46A3B33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4" w:type="dxa"/>
            <w:tcBorders>
              <w:tl2br w:val="nil"/>
              <w:tr2bl w:val="nil"/>
            </w:tcBorders>
            <w:vAlign w:val="center"/>
          </w:tcPr>
          <w:p w14:paraId="22F5EF4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4" w:type="dxa"/>
            <w:tcBorders>
              <w:tl2br w:val="nil"/>
              <w:tr2bl w:val="nil"/>
            </w:tcBorders>
            <w:vAlign w:val="center"/>
          </w:tcPr>
          <w:p w14:paraId="6AA86CE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5" w:type="dxa"/>
            <w:tcBorders>
              <w:tl2br w:val="nil"/>
              <w:tr2bl w:val="nil"/>
            </w:tcBorders>
            <w:vAlign w:val="center"/>
          </w:tcPr>
          <w:p w14:paraId="15FBFE8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5" w:type="dxa"/>
            <w:tcBorders>
              <w:tl2br w:val="nil"/>
              <w:tr2bl w:val="nil"/>
            </w:tcBorders>
            <w:vAlign w:val="center"/>
          </w:tcPr>
          <w:p w14:paraId="3EADDD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41.48 </w:t>
            </w:r>
          </w:p>
        </w:tc>
        <w:tc>
          <w:tcPr>
            <w:tcW w:w="445" w:type="dxa"/>
            <w:tcBorders>
              <w:tl2br w:val="nil"/>
              <w:tr2bl w:val="nil"/>
            </w:tcBorders>
            <w:vAlign w:val="center"/>
          </w:tcPr>
          <w:p w14:paraId="16EC9E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49.44 </w:t>
            </w:r>
          </w:p>
        </w:tc>
        <w:tc>
          <w:tcPr>
            <w:tcW w:w="446" w:type="dxa"/>
            <w:tcBorders>
              <w:tl2br w:val="nil"/>
              <w:tr2bl w:val="nil"/>
            </w:tcBorders>
            <w:vAlign w:val="center"/>
          </w:tcPr>
          <w:p w14:paraId="2F1819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34.12 </w:t>
            </w:r>
          </w:p>
        </w:tc>
        <w:tc>
          <w:tcPr>
            <w:tcW w:w="446" w:type="dxa"/>
            <w:tcBorders>
              <w:tl2br w:val="nil"/>
              <w:tr2bl w:val="nil"/>
            </w:tcBorders>
            <w:vAlign w:val="center"/>
          </w:tcPr>
          <w:p w14:paraId="7D4B60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49.44 </w:t>
            </w:r>
          </w:p>
        </w:tc>
        <w:tc>
          <w:tcPr>
            <w:tcW w:w="465" w:type="dxa"/>
            <w:tcBorders>
              <w:tl2br w:val="nil"/>
              <w:tr2bl w:val="nil"/>
            </w:tcBorders>
            <w:vAlign w:val="center"/>
          </w:tcPr>
          <w:p w14:paraId="631199A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kern w:val="2"/>
                <w:sz w:val="21"/>
                <w:szCs w:val="21"/>
                <w:highlight w:val="none"/>
                <w:lang w:val="en-US" w:eastAsia="zh-CN" w:bidi="ar-SA"/>
              </w:rPr>
            </w:pPr>
            <w:r>
              <w:rPr>
                <w:rFonts w:hint="eastAsia" w:ascii="Times New Roman" w:hAnsi="Times New Roman" w:eastAsia="宋体" w:cs="Times New Roman"/>
                <w:spacing w:val="-2"/>
                <w:kern w:val="2"/>
                <w:sz w:val="21"/>
                <w:szCs w:val="21"/>
                <w:highlight w:val="none"/>
                <w:lang w:val="en-US" w:eastAsia="zh-CN" w:bidi="ar-SA"/>
              </w:rPr>
              <w:t>1</w:t>
            </w:r>
          </w:p>
        </w:tc>
      </w:tr>
      <w:tr w14:paraId="253F3C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300" w:type="dxa"/>
            <w:tcBorders>
              <w:tl2br w:val="nil"/>
              <w:tr2bl w:val="nil"/>
            </w:tcBorders>
            <w:vAlign w:val="center"/>
          </w:tcPr>
          <w:p w14:paraId="6270D45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bidi="ar-SA"/>
              </w:rPr>
              <w:t>3</w:t>
            </w:r>
          </w:p>
        </w:tc>
        <w:tc>
          <w:tcPr>
            <w:tcW w:w="762" w:type="dxa"/>
            <w:vMerge w:val="continue"/>
            <w:tcBorders>
              <w:tl2br w:val="nil"/>
              <w:tr2bl w:val="nil"/>
            </w:tcBorders>
            <w:vAlign w:val="center"/>
          </w:tcPr>
          <w:p w14:paraId="1A157A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olor w:val="auto"/>
                <w:kern w:val="0"/>
                <w:sz w:val="21"/>
                <w:szCs w:val="21"/>
                <w:lang w:val="en-US" w:eastAsia="zh-CN"/>
              </w:rPr>
            </w:pPr>
          </w:p>
        </w:tc>
        <w:tc>
          <w:tcPr>
            <w:tcW w:w="1397" w:type="dxa"/>
            <w:tcBorders>
              <w:tl2br w:val="nil"/>
              <w:tr2bl w:val="nil"/>
            </w:tcBorders>
            <w:vAlign w:val="center"/>
          </w:tcPr>
          <w:p w14:paraId="6DA85B9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宋体"/>
                <w:color w:val="auto"/>
                <w:kern w:val="0"/>
                <w:sz w:val="21"/>
                <w:szCs w:val="21"/>
                <w:lang w:val="en-US" w:eastAsia="zh-CN"/>
              </w:rPr>
            </w:pPr>
            <w:r>
              <w:rPr>
                <w:rFonts w:hint="eastAsia" w:ascii="Times New Roman" w:hAnsi="Times New Roman" w:eastAsia="宋体" w:cs="宋体"/>
                <w:color w:val="auto"/>
                <w:kern w:val="0"/>
                <w:sz w:val="21"/>
                <w:szCs w:val="21"/>
                <w:lang w:val="en-US" w:eastAsia="zh-CN"/>
              </w:rPr>
              <w:t>风机，</w:t>
            </w:r>
            <w:r>
              <w:rPr>
                <w:rFonts w:hint="eastAsia" w:cs="宋体"/>
                <w:color w:val="auto"/>
                <w:kern w:val="0"/>
                <w:sz w:val="21"/>
                <w:szCs w:val="21"/>
                <w:lang w:val="en-US" w:eastAsia="zh-CN"/>
              </w:rPr>
              <w:t>2</w:t>
            </w:r>
            <w:r>
              <w:rPr>
                <w:rFonts w:hint="eastAsia" w:ascii="Times New Roman" w:hAnsi="Times New Roman" w:eastAsia="宋体" w:cs="宋体"/>
                <w:color w:val="auto"/>
                <w:kern w:val="0"/>
                <w:sz w:val="21"/>
                <w:szCs w:val="21"/>
                <w:lang w:val="en-US" w:eastAsia="zh-CN"/>
              </w:rPr>
              <w:t>台</w:t>
            </w:r>
          </w:p>
        </w:tc>
        <w:tc>
          <w:tcPr>
            <w:tcW w:w="815" w:type="dxa"/>
            <w:tcBorders>
              <w:tl2br w:val="nil"/>
              <w:tr2bl w:val="nil"/>
            </w:tcBorders>
            <w:vAlign w:val="center"/>
          </w:tcPr>
          <w:p w14:paraId="2B1534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lang w:val="en-US" w:eastAsia="zh-CN" w:bidi="ar-SA"/>
              </w:rPr>
            </w:pPr>
            <w:r>
              <w:rPr>
                <w:rFonts w:hint="eastAsia" w:cs="Times New Roman"/>
                <w:color w:val="auto"/>
                <w:spacing w:val="-4"/>
                <w:sz w:val="21"/>
                <w:szCs w:val="21"/>
                <w:lang w:val="en-US" w:eastAsia="zh-CN" w:bidi="ar-SA"/>
              </w:rPr>
              <w:t>83</w:t>
            </w:r>
          </w:p>
        </w:tc>
        <w:tc>
          <w:tcPr>
            <w:tcW w:w="1548" w:type="dxa"/>
            <w:tcBorders>
              <w:tl2br w:val="nil"/>
              <w:tr2bl w:val="nil"/>
            </w:tcBorders>
            <w:vAlign w:val="center"/>
          </w:tcPr>
          <w:p w14:paraId="163AAB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kern w:val="0"/>
                <w:sz w:val="21"/>
                <w:szCs w:val="21"/>
              </w:rPr>
            </w:pPr>
            <w:r>
              <w:rPr>
                <w:rFonts w:hint="default" w:ascii="Times New Roman" w:hAnsi="Times New Roman" w:eastAsia="宋体" w:cs="Times New Roman"/>
                <w:color w:val="auto"/>
                <w:spacing w:val="-1"/>
                <w:kern w:val="0"/>
                <w:sz w:val="21"/>
                <w:szCs w:val="21"/>
              </w:rPr>
              <w:t>减振+建筑物隔声</w:t>
            </w:r>
          </w:p>
        </w:tc>
        <w:tc>
          <w:tcPr>
            <w:tcW w:w="443" w:type="dxa"/>
            <w:tcBorders>
              <w:tl2br w:val="nil"/>
              <w:tr2bl w:val="nil"/>
            </w:tcBorders>
            <w:vAlign w:val="center"/>
          </w:tcPr>
          <w:p w14:paraId="4046EA9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spacing w:val="-2"/>
                <w:sz w:val="21"/>
                <w:szCs w:val="21"/>
                <w:highlight w:val="yellow"/>
                <w:lang w:val="en-US" w:eastAsia="zh-CN" w:bidi="ar-SA"/>
              </w:rPr>
            </w:pPr>
            <w:r>
              <w:rPr>
                <w:rFonts w:hint="eastAsia" w:cs="Times New Roman"/>
                <w:bCs w:val="0"/>
                <w:color w:val="000000"/>
                <w:spacing w:val="0"/>
                <w:kern w:val="2"/>
                <w:sz w:val="21"/>
                <w:szCs w:val="21"/>
                <w:highlight w:val="none"/>
                <w:lang w:val="en-US" w:eastAsia="zh-CN"/>
              </w:rPr>
              <w:t>-120</w:t>
            </w:r>
          </w:p>
        </w:tc>
        <w:tc>
          <w:tcPr>
            <w:tcW w:w="444" w:type="dxa"/>
            <w:tcBorders>
              <w:tl2br w:val="nil"/>
              <w:tr2bl w:val="nil"/>
            </w:tcBorders>
            <w:vAlign w:val="center"/>
          </w:tcPr>
          <w:p w14:paraId="2AA573B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spacing w:val="-2"/>
                <w:sz w:val="21"/>
                <w:szCs w:val="21"/>
                <w:highlight w:val="yellow"/>
                <w:lang w:val="en-US" w:eastAsia="zh-CN" w:bidi="ar-SA"/>
              </w:rPr>
            </w:pPr>
            <w:r>
              <w:rPr>
                <w:rFonts w:hint="eastAsia" w:cs="Times New Roman"/>
                <w:bCs w:val="0"/>
                <w:color w:val="000000"/>
                <w:spacing w:val="0"/>
                <w:kern w:val="2"/>
                <w:sz w:val="21"/>
                <w:szCs w:val="21"/>
                <w:highlight w:val="none"/>
                <w:lang w:val="en-US" w:eastAsia="zh-CN"/>
              </w:rPr>
              <w:t>-319</w:t>
            </w:r>
          </w:p>
        </w:tc>
        <w:tc>
          <w:tcPr>
            <w:tcW w:w="444" w:type="dxa"/>
            <w:tcBorders>
              <w:tl2br w:val="nil"/>
              <w:tr2bl w:val="nil"/>
            </w:tcBorders>
            <w:vAlign w:val="center"/>
          </w:tcPr>
          <w:p w14:paraId="16B1849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yellow"/>
                <w:lang w:val="en-US" w:eastAsia="zh-CN" w:bidi="ar-SA"/>
              </w:rPr>
            </w:pPr>
            <w:r>
              <w:rPr>
                <w:rFonts w:hint="default" w:ascii="Times New Roman" w:hAnsi="Times New Roman" w:eastAsia="宋体" w:cs="Times New Roman"/>
                <w:color w:val="auto"/>
                <w:spacing w:val="-2"/>
                <w:sz w:val="21"/>
                <w:szCs w:val="21"/>
                <w:highlight w:val="none"/>
                <w:lang w:val="en-US" w:eastAsia="zh-CN" w:bidi="ar-SA"/>
              </w:rPr>
              <w:t>0.5</w:t>
            </w:r>
          </w:p>
        </w:tc>
        <w:tc>
          <w:tcPr>
            <w:tcW w:w="444" w:type="dxa"/>
            <w:tcBorders>
              <w:tl2br w:val="nil"/>
              <w:tr2bl w:val="nil"/>
            </w:tcBorders>
            <w:vAlign w:val="center"/>
          </w:tcPr>
          <w:p w14:paraId="63A8025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bidi="ar-SA"/>
              </w:rPr>
            </w:pPr>
            <w:r>
              <w:rPr>
                <w:rFonts w:hint="eastAsia" w:cs="Times New Roman"/>
                <w:i w:val="0"/>
                <w:iCs w:val="0"/>
                <w:color w:val="000000"/>
                <w:kern w:val="0"/>
                <w:sz w:val="21"/>
                <w:szCs w:val="21"/>
                <w:u w:val="none"/>
                <w:lang w:val="en-US" w:eastAsia="zh-CN" w:bidi="ar"/>
              </w:rPr>
              <w:t>20</w:t>
            </w:r>
          </w:p>
        </w:tc>
        <w:tc>
          <w:tcPr>
            <w:tcW w:w="444" w:type="dxa"/>
            <w:tcBorders>
              <w:tl2br w:val="nil"/>
              <w:tr2bl w:val="nil"/>
            </w:tcBorders>
            <w:vAlign w:val="center"/>
          </w:tcPr>
          <w:p w14:paraId="21EEAF3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lang w:val="en-US" w:eastAsia="zh-CN" w:bidi="ar-SA"/>
              </w:rPr>
            </w:pPr>
            <w:r>
              <w:rPr>
                <w:rFonts w:hint="eastAsia" w:ascii="Times New Roman" w:hAnsi="Times New Roman" w:eastAsia="宋体" w:cs="Times New Roman"/>
                <w:spacing w:val="-2"/>
                <w:kern w:val="2"/>
                <w:sz w:val="21"/>
                <w:szCs w:val="21"/>
                <w:lang w:val="en-US" w:eastAsia="zh-CN" w:bidi="ar-SA"/>
              </w:rPr>
              <w:t>5</w:t>
            </w:r>
          </w:p>
        </w:tc>
        <w:tc>
          <w:tcPr>
            <w:tcW w:w="444" w:type="dxa"/>
            <w:tcBorders>
              <w:tl2br w:val="nil"/>
              <w:tr2bl w:val="nil"/>
            </w:tcBorders>
            <w:vAlign w:val="center"/>
          </w:tcPr>
          <w:p w14:paraId="222878B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lang w:val="en-US" w:eastAsia="zh-CN" w:bidi="ar-SA"/>
              </w:rPr>
            </w:pPr>
            <w:r>
              <w:rPr>
                <w:rFonts w:hint="eastAsia" w:cs="Times New Roman"/>
                <w:spacing w:val="-2"/>
                <w:kern w:val="2"/>
                <w:sz w:val="21"/>
                <w:szCs w:val="21"/>
                <w:lang w:val="en-US" w:eastAsia="zh-CN" w:bidi="ar-SA"/>
              </w:rPr>
              <w:t>30</w:t>
            </w:r>
          </w:p>
        </w:tc>
        <w:tc>
          <w:tcPr>
            <w:tcW w:w="444" w:type="dxa"/>
            <w:tcBorders>
              <w:tl2br w:val="nil"/>
              <w:tr2bl w:val="nil"/>
            </w:tcBorders>
            <w:vAlign w:val="center"/>
          </w:tcPr>
          <w:p w14:paraId="7EDB7365">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bidi="ar-SA"/>
              </w:rPr>
            </w:pPr>
            <w:r>
              <w:rPr>
                <w:rFonts w:hint="eastAsia" w:cs="Times New Roman"/>
                <w:i w:val="0"/>
                <w:iCs w:val="0"/>
                <w:color w:val="000000"/>
                <w:kern w:val="0"/>
                <w:sz w:val="21"/>
                <w:szCs w:val="21"/>
                <w:u w:val="none"/>
                <w:lang w:val="en-US" w:eastAsia="zh-CN" w:bidi="ar"/>
              </w:rPr>
              <w:t>7</w:t>
            </w:r>
          </w:p>
        </w:tc>
        <w:tc>
          <w:tcPr>
            <w:tcW w:w="444" w:type="dxa"/>
            <w:tcBorders>
              <w:tl2br w:val="nil"/>
              <w:tr2bl w:val="nil"/>
            </w:tcBorders>
            <w:vAlign w:val="center"/>
          </w:tcPr>
          <w:p w14:paraId="54F79A3D">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56.98 </w:t>
            </w:r>
          </w:p>
        </w:tc>
        <w:tc>
          <w:tcPr>
            <w:tcW w:w="444" w:type="dxa"/>
            <w:tcBorders>
              <w:tl2br w:val="nil"/>
              <w:tr2bl w:val="nil"/>
            </w:tcBorders>
            <w:vAlign w:val="center"/>
          </w:tcPr>
          <w:p w14:paraId="26E51BE9">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69.02 </w:t>
            </w:r>
          </w:p>
        </w:tc>
        <w:tc>
          <w:tcPr>
            <w:tcW w:w="444" w:type="dxa"/>
            <w:tcBorders>
              <w:tl2br w:val="nil"/>
              <w:tr2bl w:val="nil"/>
            </w:tcBorders>
            <w:vAlign w:val="center"/>
          </w:tcPr>
          <w:p w14:paraId="67A5274F">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53.46 </w:t>
            </w:r>
          </w:p>
        </w:tc>
        <w:tc>
          <w:tcPr>
            <w:tcW w:w="444" w:type="dxa"/>
            <w:tcBorders>
              <w:tl2br w:val="nil"/>
              <w:tr2bl w:val="nil"/>
            </w:tcBorders>
            <w:vAlign w:val="center"/>
          </w:tcPr>
          <w:p w14:paraId="5C6B2D37">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66.10 </w:t>
            </w:r>
          </w:p>
        </w:tc>
        <w:tc>
          <w:tcPr>
            <w:tcW w:w="444" w:type="dxa"/>
            <w:tcBorders>
              <w:tl2br w:val="nil"/>
              <w:tr2bl w:val="nil"/>
            </w:tcBorders>
            <w:vAlign w:val="center"/>
          </w:tcPr>
          <w:p w14:paraId="47DA1C0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4728</w:t>
            </w:r>
          </w:p>
        </w:tc>
        <w:tc>
          <w:tcPr>
            <w:tcW w:w="444" w:type="dxa"/>
            <w:tcBorders>
              <w:tl2br w:val="nil"/>
              <w:tr2bl w:val="nil"/>
            </w:tcBorders>
            <w:vAlign w:val="center"/>
          </w:tcPr>
          <w:p w14:paraId="76BFF93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4" w:type="dxa"/>
            <w:tcBorders>
              <w:tl2br w:val="nil"/>
              <w:tr2bl w:val="nil"/>
            </w:tcBorders>
            <w:vAlign w:val="center"/>
          </w:tcPr>
          <w:p w14:paraId="0C24AE1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4" w:type="dxa"/>
            <w:tcBorders>
              <w:tl2br w:val="nil"/>
              <w:tr2bl w:val="nil"/>
            </w:tcBorders>
            <w:vAlign w:val="center"/>
          </w:tcPr>
          <w:p w14:paraId="5262512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5" w:type="dxa"/>
            <w:tcBorders>
              <w:tl2br w:val="nil"/>
              <w:tr2bl w:val="nil"/>
            </w:tcBorders>
            <w:vAlign w:val="center"/>
          </w:tcPr>
          <w:p w14:paraId="711ED7E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20</w:t>
            </w:r>
          </w:p>
        </w:tc>
        <w:tc>
          <w:tcPr>
            <w:tcW w:w="445" w:type="dxa"/>
            <w:tcBorders>
              <w:tl2br w:val="nil"/>
              <w:tr2bl w:val="nil"/>
            </w:tcBorders>
            <w:vAlign w:val="center"/>
          </w:tcPr>
          <w:p w14:paraId="31DBCDF1">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36.98 </w:t>
            </w:r>
          </w:p>
        </w:tc>
        <w:tc>
          <w:tcPr>
            <w:tcW w:w="445" w:type="dxa"/>
            <w:tcBorders>
              <w:tl2br w:val="nil"/>
              <w:tr2bl w:val="nil"/>
            </w:tcBorders>
            <w:vAlign w:val="center"/>
          </w:tcPr>
          <w:p w14:paraId="0324503D">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49.02 </w:t>
            </w:r>
          </w:p>
        </w:tc>
        <w:tc>
          <w:tcPr>
            <w:tcW w:w="446" w:type="dxa"/>
            <w:tcBorders>
              <w:tl2br w:val="nil"/>
              <w:tr2bl w:val="nil"/>
            </w:tcBorders>
            <w:vAlign w:val="center"/>
          </w:tcPr>
          <w:p w14:paraId="178634D2">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33.46 </w:t>
            </w:r>
          </w:p>
        </w:tc>
        <w:tc>
          <w:tcPr>
            <w:tcW w:w="446" w:type="dxa"/>
            <w:tcBorders>
              <w:tl2br w:val="nil"/>
              <w:tr2bl w:val="nil"/>
            </w:tcBorders>
            <w:vAlign w:val="center"/>
          </w:tcPr>
          <w:p w14:paraId="7FDFE48E">
            <w:pPr>
              <w:keepNext w:val="0"/>
              <w:keepLines w:val="0"/>
              <w:widowControl/>
              <w:suppressLineNumbers w:val="0"/>
              <w:jc w:val="center"/>
              <w:textAlignment w:val="center"/>
              <w:rPr>
                <w:rFonts w:hint="default" w:ascii="Times New Roman" w:hAnsi="Times New Roman" w:eastAsia="宋体" w:cs="Times New Roman"/>
                <w:color w:val="auto"/>
                <w:spacing w:val="-2"/>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46.10 </w:t>
            </w:r>
          </w:p>
        </w:tc>
        <w:tc>
          <w:tcPr>
            <w:tcW w:w="465" w:type="dxa"/>
            <w:tcBorders>
              <w:tl2br w:val="nil"/>
              <w:tr2bl w:val="nil"/>
            </w:tcBorders>
            <w:vAlign w:val="center"/>
          </w:tcPr>
          <w:p w14:paraId="38AC96F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spacing w:val="-2"/>
                <w:kern w:val="2"/>
                <w:sz w:val="21"/>
                <w:szCs w:val="21"/>
                <w:highlight w:val="none"/>
                <w:lang w:val="en-US" w:eastAsia="zh-CN" w:bidi="ar-SA"/>
              </w:rPr>
              <w:t>1</w:t>
            </w:r>
          </w:p>
        </w:tc>
      </w:tr>
      <w:tr w14:paraId="669009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00" w:type="dxa"/>
            <w:tcBorders>
              <w:tl2br w:val="nil"/>
              <w:tr2bl w:val="nil"/>
            </w:tcBorders>
            <w:vAlign w:val="center"/>
          </w:tcPr>
          <w:p w14:paraId="780999A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bidi="ar-SA"/>
              </w:rPr>
              <w:t>4</w:t>
            </w:r>
          </w:p>
        </w:tc>
        <w:tc>
          <w:tcPr>
            <w:tcW w:w="762" w:type="dxa"/>
            <w:vMerge w:val="restart"/>
            <w:tcBorders>
              <w:tl2br w:val="nil"/>
              <w:tr2bl w:val="nil"/>
            </w:tcBorders>
            <w:vAlign w:val="center"/>
          </w:tcPr>
          <w:p w14:paraId="5A97423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饲料加工区</w:t>
            </w:r>
          </w:p>
        </w:tc>
        <w:tc>
          <w:tcPr>
            <w:tcW w:w="1397" w:type="dxa"/>
            <w:tcBorders>
              <w:tl2br w:val="nil"/>
              <w:tr2bl w:val="nil"/>
            </w:tcBorders>
            <w:vAlign w:val="center"/>
          </w:tcPr>
          <w:p w14:paraId="2CCA681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ascii="Times New Roman" w:hAnsi="Times New Roman" w:eastAsia="宋体" w:cs="宋体"/>
                <w:color w:val="auto"/>
                <w:kern w:val="0"/>
                <w:sz w:val="21"/>
                <w:szCs w:val="21"/>
                <w:lang w:val="en-US" w:eastAsia="zh-CN"/>
              </w:rPr>
            </w:pPr>
            <w:r>
              <w:rPr>
                <w:rFonts w:hint="eastAsia" w:cs="宋体"/>
                <w:color w:val="000000"/>
                <w:kern w:val="2"/>
                <w:sz w:val="21"/>
                <w:szCs w:val="21"/>
                <w:highlight w:val="none"/>
                <w:lang w:val="en-US" w:eastAsia="zh-CN" w:bidi="ar-SA"/>
              </w:rPr>
              <w:t>饲料粉碎机</w:t>
            </w:r>
            <w:r>
              <w:rPr>
                <w:rFonts w:hint="eastAsia" w:cs="Times New Roman"/>
                <w:b w:val="0"/>
                <w:bCs w:val="0"/>
                <w:color w:val="auto"/>
                <w:kern w:val="2"/>
                <w:sz w:val="21"/>
                <w:szCs w:val="21"/>
                <w:highlight w:val="none"/>
                <w:vertAlign w:val="baseline"/>
                <w:lang w:val="en-US" w:eastAsia="zh-CN"/>
              </w:rPr>
              <w:t>，1台</w:t>
            </w:r>
          </w:p>
        </w:tc>
        <w:tc>
          <w:tcPr>
            <w:tcW w:w="815" w:type="dxa"/>
            <w:tcBorders>
              <w:tl2br w:val="nil"/>
              <w:tr2bl w:val="nil"/>
            </w:tcBorders>
            <w:vAlign w:val="center"/>
          </w:tcPr>
          <w:p w14:paraId="44C7986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bidi="ar-SA"/>
              </w:rPr>
            </w:pPr>
            <w:r>
              <w:rPr>
                <w:rFonts w:hint="eastAsia" w:cs="Times New Roman"/>
                <w:color w:val="auto"/>
                <w:spacing w:val="-2"/>
                <w:sz w:val="21"/>
                <w:szCs w:val="21"/>
                <w:lang w:val="en-US" w:eastAsia="zh-CN" w:bidi="ar-SA"/>
              </w:rPr>
              <w:t>95</w:t>
            </w:r>
          </w:p>
        </w:tc>
        <w:tc>
          <w:tcPr>
            <w:tcW w:w="1548" w:type="dxa"/>
            <w:tcBorders>
              <w:tl2br w:val="nil"/>
              <w:tr2bl w:val="nil"/>
            </w:tcBorders>
            <w:vAlign w:val="center"/>
          </w:tcPr>
          <w:p w14:paraId="20E587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kern w:val="0"/>
                <w:sz w:val="21"/>
                <w:szCs w:val="21"/>
              </w:rPr>
            </w:pPr>
            <w:r>
              <w:rPr>
                <w:rFonts w:hint="default" w:ascii="Times New Roman" w:hAnsi="Times New Roman" w:eastAsia="宋体" w:cs="Times New Roman"/>
                <w:color w:val="auto"/>
                <w:spacing w:val="-1"/>
                <w:kern w:val="0"/>
                <w:sz w:val="21"/>
                <w:szCs w:val="21"/>
              </w:rPr>
              <w:t>减振+建筑物隔声</w:t>
            </w:r>
          </w:p>
        </w:tc>
        <w:tc>
          <w:tcPr>
            <w:tcW w:w="443" w:type="dxa"/>
            <w:tcBorders>
              <w:tl2br w:val="nil"/>
              <w:tr2bl w:val="nil"/>
            </w:tcBorders>
            <w:vAlign w:val="center"/>
          </w:tcPr>
          <w:p w14:paraId="0AE1979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-35</w:t>
            </w:r>
          </w:p>
        </w:tc>
        <w:tc>
          <w:tcPr>
            <w:tcW w:w="444" w:type="dxa"/>
            <w:tcBorders>
              <w:tl2br w:val="nil"/>
              <w:tr2bl w:val="nil"/>
            </w:tcBorders>
            <w:vAlign w:val="center"/>
          </w:tcPr>
          <w:p w14:paraId="66530D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20</w:t>
            </w:r>
          </w:p>
        </w:tc>
        <w:tc>
          <w:tcPr>
            <w:tcW w:w="444" w:type="dxa"/>
            <w:tcBorders>
              <w:tl2br w:val="nil"/>
              <w:tr2bl w:val="nil"/>
            </w:tcBorders>
            <w:vAlign w:val="center"/>
          </w:tcPr>
          <w:p w14:paraId="71FBEDC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sz w:val="21"/>
                <w:szCs w:val="21"/>
                <w:highlight w:val="none"/>
                <w:lang w:val="en-US" w:eastAsia="zh-CN" w:bidi="ar-SA"/>
              </w:rPr>
            </w:pPr>
            <w:r>
              <w:rPr>
                <w:rFonts w:hint="eastAsia" w:ascii="Times New Roman" w:hAnsi="Times New Roman" w:eastAsia="宋体" w:cs="Times New Roman"/>
                <w:color w:val="auto"/>
                <w:spacing w:val="-2"/>
                <w:sz w:val="21"/>
                <w:szCs w:val="21"/>
                <w:highlight w:val="none"/>
                <w:lang w:val="en-US" w:eastAsia="zh-CN" w:bidi="ar-SA"/>
              </w:rPr>
              <w:t>0.5</w:t>
            </w:r>
          </w:p>
        </w:tc>
        <w:tc>
          <w:tcPr>
            <w:tcW w:w="444" w:type="dxa"/>
            <w:tcBorders>
              <w:tl2br w:val="nil"/>
              <w:tr2bl w:val="nil"/>
            </w:tcBorders>
            <w:vAlign w:val="center"/>
          </w:tcPr>
          <w:p w14:paraId="399EB624">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bidi="ar-SA"/>
              </w:rPr>
            </w:pPr>
            <w:r>
              <w:rPr>
                <w:rFonts w:hint="eastAsia" w:cs="Times New Roman"/>
                <w:i w:val="0"/>
                <w:iCs w:val="0"/>
                <w:color w:val="000000"/>
                <w:kern w:val="0"/>
                <w:sz w:val="21"/>
                <w:szCs w:val="21"/>
                <w:u w:val="none"/>
                <w:lang w:val="en-US" w:eastAsia="zh-CN" w:bidi="ar"/>
              </w:rPr>
              <w:t>3</w:t>
            </w:r>
          </w:p>
        </w:tc>
        <w:tc>
          <w:tcPr>
            <w:tcW w:w="444" w:type="dxa"/>
            <w:tcBorders>
              <w:tl2br w:val="nil"/>
              <w:tr2bl w:val="nil"/>
            </w:tcBorders>
            <w:vAlign w:val="center"/>
          </w:tcPr>
          <w:p w14:paraId="233C9F9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lang w:val="en-US" w:eastAsia="zh-CN" w:bidi="ar-SA"/>
              </w:rPr>
            </w:pPr>
            <w:r>
              <w:rPr>
                <w:rFonts w:hint="eastAsia" w:cs="Times New Roman"/>
                <w:color w:val="auto"/>
                <w:spacing w:val="-2"/>
                <w:sz w:val="21"/>
                <w:szCs w:val="21"/>
                <w:lang w:val="en-US" w:eastAsia="zh-CN" w:bidi="ar-SA"/>
              </w:rPr>
              <w:t>10</w:t>
            </w:r>
          </w:p>
        </w:tc>
        <w:tc>
          <w:tcPr>
            <w:tcW w:w="444" w:type="dxa"/>
            <w:tcBorders>
              <w:tl2br w:val="nil"/>
              <w:tr2bl w:val="nil"/>
            </w:tcBorders>
            <w:vAlign w:val="center"/>
          </w:tcPr>
          <w:p w14:paraId="1178B05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kern w:val="2"/>
                <w:sz w:val="21"/>
                <w:szCs w:val="21"/>
                <w:lang w:val="en-US" w:eastAsia="zh-CN" w:bidi="ar-SA"/>
              </w:rPr>
            </w:pPr>
            <w:r>
              <w:rPr>
                <w:rFonts w:hint="eastAsia" w:cs="Times New Roman"/>
                <w:color w:val="auto"/>
                <w:spacing w:val="-2"/>
                <w:sz w:val="21"/>
                <w:szCs w:val="21"/>
                <w:lang w:val="en-US" w:eastAsia="zh-CN" w:bidi="ar-SA"/>
              </w:rPr>
              <w:t>4</w:t>
            </w:r>
          </w:p>
        </w:tc>
        <w:tc>
          <w:tcPr>
            <w:tcW w:w="444" w:type="dxa"/>
            <w:tcBorders>
              <w:tl2br w:val="nil"/>
              <w:tr2bl w:val="nil"/>
            </w:tcBorders>
            <w:vAlign w:val="center"/>
          </w:tcPr>
          <w:p w14:paraId="1254B30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bidi="ar-SA"/>
              </w:rPr>
            </w:pPr>
            <w:r>
              <w:rPr>
                <w:rFonts w:hint="eastAsia" w:cs="Times New Roman"/>
                <w:i w:val="0"/>
                <w:iCs w:val="0"/>
                <w:color w:val="000000"/>
                <w:kern w:val="0"/>
                <w:sz w:val="21"/>
                <w:szCs w:val="21"/>
                <w:u w:val="none"/>
                <w:lang w:val="en-US" w:eastAsia="zh-CN" w:bidi="ar"/>
              </w:rPr>
              <w:t>40</w:t>
            </w:r>
          </w:p>
        </w:tc>
        <w:tc>
          <w:tcPr>
            <w:tcW w:w="444" w:type="dxa"/>
            <w:tcBorders>
              <w:tl2br w:val="nil"/>
              <w:tr2bl w:val="nil"/>
            </w:tcBorders>
            <w:vAlign w:val="center"/>
          </w:tcPr>
          <w:p w14:paraId="14119C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85.46 </w:t>
            </w:r>
          </w:p>
        </w:tc>
        <w:tc>
          <w:tcPr>
            <w:tcW w:w="444" w:type="dxa"/>
            <w:tcBorders>
              <w:tl2br w:val="nil"/>
              <w:tr2bl w:val="nil"/>
            </w:tcBorders>
            <w:vAlign w:val="center"/>
          </w:tcPr>
          <w:p w14:paraId="2B13FE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75.00 </w:t>
            </w:r>
          </w:p>
        </w:tc>
        <w:tc>
          <w:tcPr>
            <w:tcW w:w="444" w:type="dxa"/>
            <w:tcBorders>
              <w:tl2br w:val="nil"/>
              <w:tr2bl w:val="nil"/>
            </w:tcBorders>
            <w:vAlign w:val="center"/>
          </w:tcPr>
          <w:p w14:paraId="641B81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82.96 </w:t>
            </w:r>
          </w:p>
        </w:tc>
        <w:tc>
          <w:tcPr>
            <w:tcW w:w="444" w:type="dxa"/>
            <w:tcBorders>
              <w:tl2br w:val="nil"/>
              <w:tr2bl w:val="nil"/>
            </w:tcBorders>
            <w:vAlign w:val="center"/>
          </w:tcPr>
          <w:p w14:paraId="59105D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62.96 </w:t>
            </w:r>
          </w:p>
        </w:tc>
        <w:tc>
          <w:tcPr>
            <w:tcW w:w="444" w:type="dxa"/>
            <w:tcBorders>
              <w:tl2br w:val="nil"/>
              <w:tr2bl w:val="nil"/>
            </w:tcBorders>
            <w:vAlign w:val="center"/>
          </w:tcPr>
          <w:p w14:paraId="1AF215F4">
            <w:pPr>
              <w:keepNext w:val="0"/>
              <w:keepLines w:val="0"/>
              <w:widowControl/>
              <w:suppressLineNumbers w:val="0"/>
              <w:jc w:val="center"/>
              <w:textAlignment w:val="center"/>
              <w:rPr>
                <w:rFonts w:hint="eastAsia" w:ascii="Times New Roman" w:hAnsi="Times New Roman" w:eastAsia="宋体" w:cs="Times New Roman"/>
                <w:color w:val="auto"/>
                <w:spacing w:val="-2"/>
                <w:sz w:val="21"/>
                <w:szCs w:val="21"/>
                <w:highlight w:val="none"/>
                <w:lang w:val="en-US" w:eastAsia="zh-CN" w:bidi="ar-SA"/>
              </w:rPr>
            </w:pPr>
            <w:r>
              <w:rPr>
                <w:rFonts w:hint="eastAsia" w:cs="宋体"/>
                <w:color w:val="auto"/>
                <w:sz w:val="21"/>
                <w:szCs w:val="22"/>
                <w:lang w:val="en-US" w:eastAsia="zh-CN" w:bidi="ar-SA"/>
              </w:rPr>
              <w:t>5840</w:t>
            </w:r>
          </w:p>
        </w:tc>
        <w:tc>
          <w:tcPr>
            <w:tcW w:w="444" w:type="dxa"/>
            <w:tcBorders>
              <w:tl2br w:val="nil"/>
              <w:tr2bl w:val="nil"/>
            </w:tcBorders>
            <w:vAlign w:val="center"/>
          </w:tcPr>
          <w:p w14:paraId="0C095196">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i w:val="0"/>
                <w:iCs w:val="0"/>
                <w:color w:val="000000"/>
                <w:kern w:val="0"/>
                <w:sz w:val="21"/>
                <w:szCs w:val="21"/>
                <w:u w:val="none"/>
                <w:lang w:val="en-US" w:eastAsia="zh-CN" w:bidi="ar"/>
              </w:rPr>
              <w:t>0</w:t>
            </w:r>
          </w:p>
        </w:tc>
        <w:tc>
          <w:tcPr>
            <w:tcW w:w="444" w:type="dxa"/>
            <w:tcBorders>
              <w:tl2br w:val="nil"/>
              <w:tr2bl w:val="nil"/>
            </w:tcBorders>
            <w:vAlign w:val="center"/>
          </w:tcPr>
          <w:p w14:paraId="7B8C951C">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4" w:type="dxa"/>
            <w:tcBorders>
              <w:tl2br w:val="nil"/>
              <w:tr2bl w:val="nil"/>
            </w:tcBorders>
            <w:vAlign w:val="center"/>
          </w:tcPr>
          <w:p w14:paraId="42141D4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5" w:type="dxa"/>
            <w:tcBorders>
              <w:tl2br w:val="nil"/>
              <w:tr2bl w:val="nil"/>
            </w:tcBorders>
            <w:vAlign w:val="center"/>
          </w:tcPr>
          <w:p w14:paraId="24E4E472">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5" w:type="dxa"/>
            <w:tcBorders>
              <w:tl2br w:val="nil"/>
              <w:tr2bl w:val="nil"/>
            </w:tcBorders>
            <w:vAlign w:val="center"/>
          </w:tcPr>
          <w:p w14:paraId="4DB045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85.46 </w:t>
            </w:r>
          </w:p>
        </w:tc>
        <w:tc>
          <w:tcPr>
            <w:tcW w:w="445" w:type="dxa"/>
            <w:tcBorders>
              <w:tl2br w:val="nil"/>
              <w:tr2bl w:val="nil"/>
            </w:tcBorders>
            <w:vAlign w:val="center"/>
          </w:tcPr>
          <w:p w14:paraId="3CAD4C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55.00 </w:t>
            </w:r>
          </w:p>
        </w:tc>
        <w:tc>
          <w:tcPr>
            <w:tcW w:w="446" w:type="dxa"/>
            <w:tcBorders>
              <w:tl2br w:val="nil"/>
              <w:tr2bl w:val="nil"/>
            </w:tcBorders>
            <w:vAlign w:val="center"/>
          </w:tcPr>
          <w:p w14:paraId="6E8C94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62.96 </w:t>
            </w:r>
          </w:p>
        </w:tc>
        <w:tc>
          <w:tcPr>
            <w:tcW w:w="446" w:type="dxa"/>
            <w:tcBorders>
              <w:tl2br w:val="nil"/>
              <w:tr2bl w:val="nil"/>
            </w:tcBorders>
            <w:vAlign w:val="center"/>
          </w:tcPr>
          <w:p w14:paraId="0D88B3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42.96 </w:t>
            </w:r>
          </w:p>
        </w:tc>
        <w:tc>
          <w:tcPr>
            <w:tcW w:w="465" w:type="dxa"/>
            <w:tcBorders>
              <w:tl2br w:val="nil"/>
              <w:tr2bl w:val="nil"/>
            </w:tcBorders>
            <w:vAlign w:val="center"/>
          </w:tcPr>
          <w:p w14:paraId="47C2288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ascii="Times New Roman" w:hAnsi="Times New Roman" w:eastAsia="宋体" w:cs="Times New Roman"/>
                <w:color w:val="auto"/>
                <w:spacing w:val="-2"/>
                <w:sz w:val="21"/>
                <w:szCs w:val="21"/>
                <w:highlight w:val="none"/>
                <w:lang w:val="en-US" w:eastAsia="zh-CN" w:bidi="ar-SA"/>
              </w:rPr>
              <w:t>1</w:t>
            </w:r>
          </w:p>
        </w:tc>
      </w:tr>
      <w:tr w14:paraId="671C49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00" w:type="dxa"/>
            <w:tcBorders>
              <w:tl2br w:val="nil"/>
              <w:tr2bl w:val="nil"/>
            </w:tcBorders>
            <w:vAlign w:val="center"/>
          </w:tcPr>
          <w:p w14:paraId="2C539E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color w:val="auto"/>
                <w:sz w:val="21"/>
                <w:szCs w:val="21"/>
                <w:lang w:val="en-US" w:eastAsia="zh-CN" w:bidi="ar-SA"/>
              </w:rPr>
            </w:pPr>
            <w:r>
              <w:rPr>
                <w:rFonts w:hint="eastAsia" w:cs="Times New Roman"/>
                <w:color w:val="auto"/>
                <w:sz w:val="21"/>
                <w:szCs w:val="21"/>
                <w:lang w:val="en-US" w:eastAsia="zh-CN" w:bidi="ar-SA"/>
              </w:rPr>
              <w:t>5</w:t>
            </w:r>
          </w:p>
        </w:tc>
        <w:tc>
          <w:tcPr>
            <w:tcW w:w="762" w:type="dxa"/>
            <w:vMerge w:val="continue"/>
            <w:tcBorders>
              <w:tl2br w:val="nil"/>
              <w:tr2bl w:val="nil"/>
            </w:tcBorders>
            <w:vAlign w:val="center"/>
          </w:tcPr>
          <w:p w14:paraId="3C9825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cs="Times New Roman"/>
                <w:color w:val="auto"/>
                <w:kern w:val="0"/>
                <w:sz w:val="21"/>
                <w:szCs w:val="21"/>
                <w:lang w:val="en-US" w:eastAsia="zh-CN"/>
              </w:rPr>
            </w:pPr>
          </w:p>
        </w:tc>
        <w:tc>
          <w:tcPr>
            <w:tcW w:w="1397" w:type="dxa"/>
            <w:tcBorders>
              <w:tl2br w:val="nil"/>
              <w:tr2bl w:val="nil"/>
            </w:tcBorders>
            <w:vAlign w:val="center"/>
          </w:tcPr>
          <w:p w14:paraId="090FAA8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cs="宋体"/>
                <w:color w:val="000000"/>
                <w:kern w:val="2"/>
                <w:sz w:val="21"/>
                <w:szCs w:val="21"/>
                <w:highlight w:val="none"/>
                <w:lang w:val="en-US" w:eastAsia="zh-CN" w:bidi="ar-SA"/>
              </w:rPr>
            </w:pPr>
            <w:r>
              <w:rPr>
                <w:rFonts w:hint="eastAsia" w:cs="宋体"/>
                <w:color w:val="000000"/>
                <w:kern w:val="2"/>
                <w:sz w:val="21"/>
                <w:szCs w:val="21"/>
                <w:highlight w:val="none"/>
                <w:lang w:val="en-US" w:eastAsia="zh-CN" w:bidi="ar-SA"/>
              </w:rPr>
              <w:t>固定式TMR，4台</w:t>
            </w:r>
          </w:p>
        </w:tc>
        <w:tc>
          <w:tcPr>
            <w:tcW w:w="815" w:type="dxa"/>
            <w:tcBorders>
              <w:tl2br w:val="nil"/>
              <w:tr2bl w:val="nil"/>
            </w:tcBorders>
            <w:vAlign w:val="center"/>
          </w:tcPr>
          <w:p w14:paraId="19D9538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color w:val="auto"/>
                <w:spacing w:val="-2"/>
                <w:sz w:val="21"/>
                <w:szCs w:val="21"/>
                <w:lang w:val="en-US" w:eastAsia="zh-CN" w:bidi="ar-SA"/>
              </w:rPr>
            </w:pPr>
            <w:r>
              <w:rPr>
                <w:rFonts w:hint="eastAsia" w:cs="Times New Roman"/>
                <w:color w:val="auto"/>
                <w:spacing w:val="-2"/>
                <w:sz w:val="21"/>
                <w:szCs w:val="21"/>
                <w:lang w:val="en-US" w:eastAsia="zh-CN" w:bidi="ar-SA"/>
              </w:rPr>
              <w:t>86</w:t>
            </w:r>
          </w:p>
        </w:tc>
        <w:tc>
          <w:tcPr>
            <w:tcW w:w="1548" w:type="dxa"/>
            <w:tcBorders>
              <w:tl2br w:val="nil"/>
              <w:tr2bl w:val="nil"/>
            </w:tcBorders>
            <w:vAlign w:val="center"/>
          </w:tcPr>
          <w:p w14:paraId="6994AD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kern w:val="0"/>
                <w:sz w:val="21"/>
                <w:szCs w:val="21"/>
              </w:rPr>
            </w:pPr>
            <w:r>
              <w:rPr>
                <w:rFonts w:hint="default" w:ascii="Times New Roman" w:hAnsi="Times New Roman" w:eastAsia="宋体" w:cs="Times New Roman"/>
                <w:color w:val="auto"/>
                <w:spacing w:val="-1"/>
                <w:kern w:val="0"/>
                <w:sz w:val="21"/>
                <w:szCs w:val="21"/>
              </w:rPr>
              <w:t>减振+建筑物隔声</w:t>
            </w:r>
          </w:p>
        </w:tc>
        <w:tc>
          <w:tcPr>
            <w:tcW w:w="443" w:type="dxa"/>
            <w:tcBorders>
              <w:tl2br w:val="nil"/>
              <w:tr2bl w:val="nil"/>
            </w:tcBorders>
            <w:vAlign w:val="center"/>
          </w:tcPr>
          <w:p w14:paraId="4E1127B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-35</w:t>
            </w:r>
          </w:p>
        </w:tc>
        <w:tc>
          <w:tcPr>
            <w:tcW w:w="444" w:type="dxa"/>
            <w:tcBorders>
              <w:tl2br w:val="nil"/>
              <w:tr2bl w:val="nil"/>
            </w:tcBorders>
            <w:vAlign w:val="center"/>
          </w:tcPr>
          <w:p w14:paraId="3A2EC82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10</w:t>
            </w:r>
          </w:p>
        </w:tc>
        <w:tc>
          <w:tcPr>
            <w:tcW w:w="444" w:type="dxa"/>
            <w:tcBorders>
              <w:tl2br w:val="nil"/>
              <w:tr2bl w:val="nil"/>
            </w:tcBorders>
            <w:vAlign w:val="center"/>
          </w:tcPr>
          <w:p w14:paraId="1C3EB8F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sz w:val="21"/>
                <w:szCs w:val="21"/>
                <w:highlight w:val="none"/>
                <w:lang w:val="en-US" w:eastAsia="zh-CN" w:bidi="ar-SA"/>
              </w:rPr>
            </w:pPr>
            <w:r>
              <w:rPr>
                <w:rFonts w:hint="eastAsia" w:ascii="Times New Roman" w:hAnsi="Times New Roman" w:eastAsia="宋体" w:cs="Times New Roman"/>
                <w:color w:val="auto"/>
                <w:spacing w:val="-2"/>
                <w:sz w:val="21"/>
                <w:szCs w:val="21"/>
                <w:highlight w:val="none"/>
                <w:lang w:val="en-US" w:eastAsia="zh-CN" w:bidi="ar-SA"/>
              </w:rPr>
              <w:t>0.5</w:t>
            </w:r>
          </w:p>
        </w:tc>
        <w:tc>
          <w:tcPr>
            <w:tcW w:w="444" w:type="dxa"/>
            <w:tcBorders>
              <w:tl2br w:val="nil"/>
              <w:tr2bl w:val="nil"/>
            </w:tcBorders>
            <w:vAlign w:val="center"/>
          </w:tcPr>
          <w:p w14:paraId="44D574BB">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4</w:t>
            </w:r>
          </w:p>
        </w:tc>
        <w:tc>
          <w:tcPr>
            <w:tcW w:w="444" w:type="dxa"/>
            <w:tcBorders>
              <w:tl2br w:val="nil"/>
              <w:tr2bl w:val="nil"/>
            </w:tcBorders>
            <w:vAlign w:val="center"/>
          </w:tcPr>
          <w:p w14:paraId="6316E08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color w:val="auto"/>
                <w:spacing w:val="-2"/>
                <w:sz w:val="21"/>
                <w:szCs w:val="21"/>
                <w:lang w:val="en-US" w:eastAsia="zh-CN" w:bidi="ar-SA"/>
              </w:rPr>
            </w:pPr>
            <w:r>
              <w:rPr>
                <w:rFonts w:hint="eastAsia" w:cs="Times New Roman"/>
                <w:color w:val="auto"/>
                <w:spacing w:val="-2"/>
                <w:sz w:val="21"/>
                <w:szCs w:val="21"/>
                <w:lang w:val="en-US" w:eastAsia="zh-CN" w:bidi="ar-SA"/>
              </w:rPr>
              <w:t>20</w:t>
            </w:r>
          </w:p>
        </w:tc>
        <w:tc>
          <w:tcPr>
            <w:tcW w:w="444" w:type="dxa"/>
            <w:tcBorders>
              <w:tl2br w:val="nil"/>
              <w:tr2bl w:val="nil"/>
            </w:tcBorders>
            <w:vAlign w:val="center"/>
          </w:tcPr>
          <w:p w14:paraId="04AA793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color w:val="auto"/>
                <w:spacing w:val="-2"/>
                <w:sz w:val="21"/>
                <w:szCs w:val="21"/>
                <w:lang w:val="en-US" w:eastAsia="zh-CN" w:bidi="ar-SA"/>
              </w:rPr>
            </w:pPr>
            <w:r>
              <w:rPr>
                <w:rFonts w:hint="eastAsia" w:cs="Times New Roman"/>
                <w:color w:val="auto"/>
                <w:spacing w:val="-2"/>
                <w:sz w:val="21"/>
                <w:szCs w:val="21"/>
                <w:lang w:val="en-US" w:eastAsia="zh-CN" w:bidi="ar-SA"/>
              </w:rPr>
              <w:t>3</w:t>
            </w:r>
          </w:p>
        </w:tc>
        <w:tc>
          <w:tcPr>
            <w:tcW w:w="444" w:type="dxa"/>
            <w:tcBorders>
              <w:tl2br w:val="nil"/>
              <w:tr2bl w:val="nil"/>
            </w:tcBorders>
            <w:vAlign w:val="center"/>
          </w:tcPr>
          <w:p w14:paraId="1B422FDD">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30</w:t>
            </w:r>
          </w:p>
        </w:tc>
        <w:tc>
          <w:tcPr>
            <w:tcW w:w="444" w:type="dxa"/>
            <w:tcBorders>
              <w:tl2br w:val="nil"/>
              <w:tr2bl w:val="nil"/>
            </w:tcBorders>
            <w:vAlign w:val="center"/>
          </w:tcPr>
          <w:p w14:paraId="17D643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73.96 </w:t>
            </w:r>
          </w:p>
        </w:tc>
        <w:tc>
          <w:tcPr>
            <w:tcW w:w="444" w:type="dxa"/>
            <w:tcBorders>
              <w:tl2br w:val="nil"/>
              <w:tr2bl w:val="nil"/>
            </w:tcBorders>
            <w:vAlign w:val="center"/>
          </w:tcPr>
          <w:p w14:paraId="6FDF34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59.98 </w:t>
            </w:r>
          </w:p>
        </w:tc>
        <w:tc>
          <w:tcPr>
            <w:tcW w:w="444" w:type="dxa"/>
            <w:tcBorders>
              <w:tl2br w:val="nil"/>
              <w:tr2bl w:val="nil"/>
            </w:tcBorders>
            <w:vAlign w:val="center"/>
          </w:tcPr>
          <w:p w14:paraId="422AE0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76.46 </w:t>
            </w:r>
          </w:p>
        </w:tc>
        <w:tc>
          <w:tcPr>
            <w:tcW w:w="444" w:type="dxa"/>
            <w:tcBorders>
              <w:tl2br w:val="nil"/>
              <w:tr2bl w:val="nil"/>
            </w:tcBorders>
            <w:vAlign w:val="center"/>
          </w:tcPr>
          <w:p w14:paraId="22E465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56.46 </w:t>
            </w:r>
          </w:p>
        </w:tc>
        <w:tc>
          <w:tcPr>
            <w:tcW w:w="444" w:type="dxa"/>
            <w:tcBorders>
              <w:tl2br w:val="nil"/>
              <w:tr2bl w:val="nil"/>
            </w:tcBorders>
            <w:vAlign w:val="center"/>
          </w:tcPr>
          <w:p w14:paraId="2D53C3CA">
            <w:pPr>
              <w:keepNext w:val="0"/>
              <w:keepLines w:val="0"/>
              <w:widowControl/>
              <w:suppressLineNumbers w:val="0"/>
              <w:jc w:val="center"/>
              <w:textAlignment w:val="center"/>
              <w:rPr>
                <w:rFonts w:hint="eastAsia" w:cs="宋体"/>
                <w:color w:val="auto"/>
                <w:sz w:val="21"/>
                <w:szCs w:val="22"/>
                <w:lang w:val="en-US" w:eastAsia="zh-CN" w:bidi="ar-SA"/>
              </w:rPr>
            </w:pPr>
            <w:r>
              <w:rPr>
                <w:rFonts w:hint="eastAsia" w:cs="宋体"/>
                <w:color w:val="auto"/>
                <w:sz w:val="21"/>
                <w:szCs w:val="22"/>
                <w:lang w:val="en-US" w:eastAsia="zh-CN" w:bidi="ar-SA"/>
              </w:rPr>
              <w:t>5840</w:t>
            </w:r>
          </w:p>
        </w:tc>
        <w:tc>
          <w:tcPr>
            <w:tcW w:w="444" w:type="dxa"/>
            <w:tcBorders>
              <w:tl2br w:val="nil"/>
              <w:tr2bl w:val="nil"/>
            </w:tcBorders>
            <w:vAlign w:val="center"/>
          </w:tcPr>
          <w:p w14:paraId="7F5FD4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w:t>
            </w:r>
          </w:p>
        </w:tc>
        <w:tc>
          <w:tcPr>
            <w:tcW w:w="444" w:type="dxa"/>
            <w:tcBorders>
              <w:tl2br w:val="nil"/>
              <w:tr2bl w:val="nil"/>
            </w:tcBorders>
            <w:vAlign w:val="center"/>
          </w:tcPr>
          <w:p w14:paraId="46666B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4" w:type="dxa"/>
            <w:tcBorders>
              <w:tl2br w:val="nil"/>
              <w:tr2bl w:val="nil"/>
            </w:tcBorders>
            <w:vAlign w:val="center"/>
          </w:tcPr>
          <w:p w14:paraId="08E842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5" w:type="dxa"/>
            <w:tcBorders>
              <w:tl2br w:val="nil"/>
              <w:tr2bl w:val="nil"/>
            </w:tcBorders>
            <w:vAlign w:val="center"/>
          </w:tcPr>
          <w:p w14:paraId="0249D5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5" w:type="dxa"/>
            <w:tcBorders>
              <w:tl2br w:val="nil"/>
              <w:tr2bl w:val="nil"/>
            </w:tcBorders>
            <w:vAlign w:val="center"/>
          </w:tcPr>
          <w:p w14:paraId="0B3CAE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73.96 </w:t>
            </w:r>
          </w:p>
        </w:tc>
        <w:tc>
          <w:tcPr>
            <w:tcW w:w="445" w:type="dxa"/>
            <w:tcBorders>
              <w:tl2br w:val="nil"/>
              <w:tr2bl w:val="nil"/>
            </w:tcBorders>
            <w:vAlign w:val="center"/>
          </w:tcPr>
          <w:p w14:paraId="4CF998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39.98 </w:t>
            </w:r>
          </w:p>
        </w:tc>
        <w:tc>
          <w:tcPr>
            <w:tcW w:w="446" w:type="dxa"/>
            <w:tcBorders>
              <w:tl2br w:val="nil"/>
              <w:tr2bl w:val="nil"/>
            </w:tcBorders>
            <w:vAlign w:val="center"/>
          </w:tcPr>
          <w:p w14:paraId="184FCB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56.46 </w:t>
            </w:r>
          </w:p>
        </w:tc>
        <w:tc>
          <w:tcPr>
            <w:tcW w:w="446" w:type="dxa"/>
            <w:tcBorders>
              <w:tl2br w:val="nil"/>
              <w:tr2bl w:val="nil"/>
            </w:tcBorders>
            <w:vAlign w:val="center"/>
          </w:tcPr>
          <w:p w14:paraId="24D8B4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36.46 </w:t>
            </w:r>
          </w:p>
        </w:tc>
        <w:tc>
          <w:tcPr>
            <w:tcW w:w="465" w:type="dxa"/>
            <w:tcBorders>
              <w:tl2br w:val="nil"/>
              <w:tr2bl w:val="nil"/>
            </w:tcBorders>
            <w:vAlign w:val="center"/>
          </w:tcPr>
          <w:p w14:paraId="51B0CF2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1</w:t>
            </w:r>
          </w:p>
        </w:tc>
      </w:tr>
      <w:tr w14:paraId="5FB67E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00" w:type="dxa"/>
            <w:tcBorders>
              <w:tl2br w:val="nil"/>
              <w:tr2bl w:val="nil"/>
            </w:tcBorders>
            <w:vAlign w:val="center"/>
          </w:tcPr>
          <w:p w14:paraId="50180CA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bidi="ar-SA"/>
              </w:rPr>
              <w:t>6</w:t>
            </w:r>
          </w:p>
        </w:tc>
        <w:tc>
          <w:tcPr>
            <w:tcW w:w="762" w:type="dxa"/>
            <w:vMerge w:val="continue"/>
            <w:tcBorders>
              <w:tl2br w:val="nil"/>
              <w:tr2bl w:val="nil"/>
            </w:tcBorders>
            <w:vAlign w:val="center"/>
          </w:tcPr>
          <w:p w14:paraId="002C24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kern w:val="0"/>
                <w:sz w:val="21"/>
                <w:szCs w:val="21"/>
                <w:lang w:val="en-US" w:eastAsia="zh-CN"/>
              </w:rPr>
            </w:pPr>
          </w:p>
        </w:tc>
        <w:tc>
          <w:tcPr>
            <w:tcW w:w="1397" w:type="dxa"/>
            <w:tcBorders>
              <w:tl2br w:val="nil"/>
              <w:tr2bl w:val="nil"/>
            </w:tcBorders>
            <w:vAlign w:val="center"/>
          </w:tcPr>
          <w:p w14:paraId="4773B9D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eastAsia" w:eastAsia="宋体" w:cs="宋体"/>
                <w:color w:val="000000"/>
                <w:kern w:val="2"/>
                <w:sz w:val="21"/>
                <w:szCs w:val="21"/>
                <w:highlight w:val="none"/>
                <w:lang w:val="en-US" w:eastAsia="zh-CN" w:bidi="ar-SA"/>
              </w:rPr>
            </w:pPr>
            <w:r>
              <w:rPr>
                <w:rFonts w:hint="eastAsia" w:cs="宋体"/>
                <w:color w:val="000000"/>
                <w:kern w:val="2"/>
                <w:sz w:val="21"/>
                <w:szCs w:val="21"/>
                <w:highlight w:val="none"/>
                <w:lang w:val="en-US" w:eastAsia="zh-CN" w:bidi="ar-SA"/>
              </w:rPr>
              <w:t>风机</w:t>
            </w:r>
            <w:r>
              <w:rPr>
                <w:rFonts w:hint="eastAsia" w:cs="Times New Roman"/>
                <w:b w:val="0"/>
                <w:bCs w:val="0"/>
                <w:color w:val="auto"/>
                <w:kern w:val="2"/>
                <w:sz w:val="21"/>
                <w:szCs w:val="21"/>
                <w:highlight w:val="none"/>
                <w:vertAlign w:val="baseline"/>
                <w:lang w:val="en-US" w:eastAsia="zh-CN"/>
              </w:rPr>
              <w:t>，1台</w:t>
            </w:r>
          </w:p>
        </w:tc>
        <w:tc>
          <w:tcPr>
            <w:tcW w:w="815" w:type="dxa"/>
            <w:tcBorders>
              <w:tl2br w:val="nil"/>
              <w:tr2bl w:val="nil"/>
            </w:tcBorders>
            <w:vAlign w:val="center"/>
          </w:tcPr>
          <w:p w14:paraId="21F17DB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bidi="ar-SA"/>
              </w:rPr>
            </w:pPr>
            <w:r>
              <w:rPr>
                <w:rFonts w:hint="eastAsia" w:cs="Times New Roman"/>
                <w:color w:val="auto"/>
                <w:spacing w:val="-2"/>
                <w:sz w:val="21"/>
                <w:szCs w:val="21"/>
                <w:lang w:val="en-US" w:eastAsia="zh-CN" w:bidi="ar-SA"/>
              </w:rPr>
              <w:t>80</w:t>
            </w:r>
          </w:p>
        </w:tc>
        <w:tc>
          <w:tcPr>
            <w:tcW w:w="1548" w:type="dxa"/>
            <w:tcBorders>
              <w:tl2br w:val="nil"/>
              <w:tr2bl w:val="nil"/>
            </w:tcBorders>
            <w:vAlign w:val="center"/>
          </w:tcPr>
          <w:p w14:paraId="7E6BDA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kern w:val="0"/>
                <w:sz w:val="21"/>
                <w:szCs w:val="21"/>
              </w:rPr>
            </w:pPr>
            <w:r>
              <w:rPr>
                <w:rFonts w:hint="default" w:ascii="Times New Roman" w:hAnsi="Times New Roman" w:eastAsia="宋体" w:cs="Times New Roman"/>
                <w:color w:val="auto"/>
                <w:spacing w:val="-1"/>
                <w:kern w:val="0"/>
                <w:sz w:val="21"/>
                <w:szCs w:val="21"/>
              </w:rPr>
              <w:t>减振+建筑物隔声</w:t>
            </w:r>
          </w:p>
        </w:tc>
        <w:tc>
          <w:tcPr>
            <w:tcW w:w="443" w:type="dxa"/>
            <w:tcBorders>
              <w:tl2br w:val="nil"/>
              <w:tr2bl w:val="nil"/>
            </w:tcBorders>
            <w:vAlign w:val="center"/>
          </w:tcPr>
          <w:p w14:paraId="40A936B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kern w:val="2"/>
                <w:sz w:val="21"/>
                <w:szCs w:val="24"/>
                <w:lang w:val="en-US" w:eastAsia="zh-CN" w:bidi="ar-SA"/>
              </w:rPr>
              <w:t>-35</w:t>
            </w:r>
          </w:p>
        </w:tc>
        <w:tc>
          <w:tcPr>
            <w:tcW w:w="444" w:type="dxa"/>
            <w:tcBorders>
              <w:tl2br w:val="nil"/>
              <w:tr2bl w:val="nil"/>
            </w:tcBorders>
            <w:vAlign w:val="center"/>
          </w:tcPr>
          <w:p w14:paraId="7FD9E1A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cs="Times New Roman"/>
                <w:color w:val="auto"/>
                <w:spacing w:val="-2"/>
                <w:sz w:val="21"/>
                <w:szCs w:val="21"/>
                <w:highlight w:val="none"/>
                <w:lang w:val="en-US" w:eastAsia="zh-CN" w:bidi="ar-SA"/>
              </w:rPr>
            </w:pPr>
            <w:r>
              <w:rPr>
                <w:rFonts w:hint="eastAsia" w:cs="Times New Roman"/>
                <w:color w:val="auto"/>
                <w:kern w:val="2"/>
                <w:sz w:val="21"/>
                <w:szCs w:val="24"/>
                <w:lang w:val="en-US" w:eastAsia="zh-CN" w:bidi="ar-SA"/>
              </w:rPr>
              <w:t>5</w:t>
            </w:r>
          </w:p>
        </w:tc>
        <w:tc>
          <w:tcPr>
            <w:tcW w:w="444" w:type="dxa"/>
            <w:tcBorders>
              <w:tl2br w:val="nil"/>
              <w:tr2bl w:val="nil"/>
            </w:tcBorders>
            <w:vAlign w:val="center"/>
          </w:tcPr>
          <w:p w14:paraId="32634AA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sz w:val="21"/>
                <w:szCs w:val="21"/>
                <w:highlight w:val="none"/>
                <w:lang w:val="en-US" w:eastAsia="zh-CN" w:bidi="ar-SA"/>
              </w:rPr>
            </w:pPr>
            <w:r>
              <w:rPr>
                <w:rFonts w:hint="eastAsia" w:ascii="Times New Roman" w:hAnsi="Times New Roman" w:eastAsia="宋体" w:cs="Times New Roman"/>
                <w:color w:val="auto"/>
                <w:spacing w:val="-2"/>
                <w:sz w:val="21"/>
                <w:szCs w:val="21"/>
                <w:highlight w:val="none"/>
                <w:lang w:val="en-US" w:eastAsia="zh-CN" w:bidi="ar-SA"/>
              </w:rPr>
              <w:t>0.5</w:t>
            </w:r>
          </w:p>
        </w:tc>
        <w:tc>
          <w:tcPr>
            <w:tcW w:w="444" w:type="dxa"/>
            <w:tcBorders>
              <w:tl2br w:val="nil"/>
              <w:tr2bl w:val="nil"/>
            </w:tcBorders>
            <w:vAlign w:val="center"/>
          </w:tcPr>
          <w:p w14:paraId="4E867D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w:t>
            </w:r>
          </w:p>
        </w:tc>
        <w:tc>
          <w:tcPr>
            <w:tcW w:w="444" w:type="dxa"/>
            <w:tcBorders>
              <w:tl2br w:val="nil"/>
              <w:tr2bl w:val="nil"/>
            </w:tcBorders>
            <w:vAlign w:val="center"/>
          </w:tcPr>
          <w:p w14:paraId="5D4C4B2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bidi="ar-SA"/>
              </w:rPr>
            </w:pPr>
            <w:r>
              <w:rPr>
                <w:rFonts w:hint="eastAsia" w:cs="Times New Roman"/>
                <w:color w:val="auto"/>
                <w:spacing w:val="-2"/>
                <w:sz w:val="21"/>
                <w:szCs w:val="21"/>
                <w:lang w:val="en-US" w:eastAsia="zh-CN" w:bidi="ar-SA"/>
              </w:rPr>
              <w:t>25</w:t>
            </w:r>
          </w:p>
        </w:tc>
        <w:tc>
          <w:tcPr>
            <w:tcW w:w="444" w:type="dxa"/>
            <w:tcBorders>
              <w:tl2br w:val="nil"/>
              <w:tr2bl w:val="nil"/>
            </w:tcBorders>
            <w:vAlign w:val="center"/>
          </w:tcPr>
          <w:p w14:paraId="4C68729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bidi="ar-SA"/>
              </w:rPr>
            </w:pPr>
            <w:r>
              <w:rPr>
                <w:rFonts w:hint="eastAsia" w:cs="Times New Roman"/>
                <w:color w:val="auto"/>
                <w:spacing w:val="-2"/>
                <w:sz w:val="21"/>
                <w:szCs w:val="21"/>
                <w:lang w:val="en-US" w:eastAsia="zh-CN" w:bidi="ar-SA"/>
              </w:rPr>
              <w:t>5</w:t>
            </w:r>
          </w:p>
        </w:tc>
        <w:tc>
          <w:tcPr>
            <w:tcW w:w="444" w:type="dxa"/>
            <w:tcBorders>
              <w:tl2br w:val="nil"/>
              <w:tr2bl w:val="nil"/>
            </w:tcBorders>
            <w:vAlign w:val="center"/>
          </w:tcPr>
          <w:p w14:paraId="6BBE4F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25</w:t>
            </w:r>
          </w:p>
        </w:tc>
        <w:tc>
          <w:tcPr>
            <w:tcW w:w="444" w:type="dxa"/>
            <w:tcBorders>
              <w:tl2br w:val="nil"/>
              <w:tr2bl w:val="nil"/>
            </w:tcBorders>
            <w:vAlign w:val="center"/>
          </w:tcPr>
          <w:p w14:paraId="3C2B7B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73.98 </w:t>
            </w:r>
          </w:p>
        </w:tc>
        <w:tc>
          <w:tcPr>
            <w:tcW w:w="444" w:type="dxa"/>
            <w:tcBorders>
              <w:tl2br w:val="nil"/>
              <w:tr2bl w:val="nil"/>
            </w:tcBorders>
            <w:vAlign w:val="center"/>
          </w:tcPr>
          <w:p w14:paraId="6BE264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52.04 </w:t>
            </w:r>
          </w:p>
        </w:tc>
        <w:tc>
          <w:tcPr>
            <w:tcW w:w="444" w:type="dxa"/>
            <w:tcBorders>
              <w:tl2br w:val="nil"/>
              <w:tr2bl w:val="nil"/>
            </w:tcBorders>
            <w:vAlign w:val="center"/>
          </w:tcPr>
          <w:p w14:paraId="0720D4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66.02 </w:t>
            </w:r>
          </w:p>
        </w:tc>
        <w:tc>
          <w:tcPr>
            <w:tcW w:w="444" w:type="dxa"/>
            <w:tcBorders>
              <w:tl2br w:val="nil"/>
              <w:tr2bl w:val="nil"/>
            </w:tcBorders>
            <w:vAlign w:val="center"/>
          </w:tcPr>
          <w:p w14:paraId="4E9004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52.04 </w:t>
            </w:r>
          </w:p>
        </w:tc>
        <w:tc>
          <w:tcPr>
            <w:tcW w:w="444" w:type="dxa"/>
            <w:tcBorders>
              <w:tl2br w:val="nil"/>
              <w:tr2bl w:val="nil"/>
            </w:tcBorders>
            <w:vAlign w:val="center"/>
          </w:tcPr>
          <w:p w14:paraId="66DC7F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宋体"/>
                <w:color w:val="auto"/>
                <w:sz w:val="21"/>
                <w:szCs w:val="22"/>
                <w:lang w:val="en-US" w:eastAsia="zh-CN" w:bidi="ar-SA"/>
              </w:rPr>
              <w:t>5840</w:t>
            </w:r>
          </w:p>
        </w:tc>
        <w:tc>
          <w:tcPr>
            <w:tcW w:w="444" w:type="dxa"/>
            <w:tcBorders>
              <w:tl2br w:val="nil"/>
              <w:tr2bl w:val="nil"/>
            </w:tcBorders>
            <w:vAlign w:val="center"/>
          </w:tcPr>
          <w:p w14:paraId="27C01F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w:t>
            </w:r>
          </w:p>
        </w:tc>
        <w:tc>
          <w:tcPr>
            <w:tcW w:w="444" w:type="dxa"/>
            <w:tcBorders>
              <w:tl2br w:val="nil"/>
              <w:tr2bl w:val="nil"/>
            </w:tcBorders>
            <w:vAlign w:val="center"/>
          </w:tcPr>
          <w:p w14:paraId="553CA3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4" w:type="dxa"/>
            <w:tcBorders>
              <w:tl2br w:val="nil"/>
              <w:tr2bl w:val="nil"/>
            </w:tcBorders>
            <w:vAlign w:val="center"/>
          </w:tcPr>
          <w:p w14:paraId="70B808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5" w:type="dxa"/>
            <w:tcBorders>
              <w:tl2br w:val="nil"/>
              <w:tr2bl w:val="nil"/>
            </w:tcBorders>
            <w:vAlign w:val="center"/>
          </w:tcPr>
          <w:p w14:paraId="26D8B4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5" w:type="dxa"/>
            <w:tcBorders>
              <w:tl2br w:val="nil"/>
              <w:tr2bl w:val="nil"/>
            </w:tcBorders>
            <w:vAlign w:val="center"/>
          </w:tcPr>
          <w:p w14:paraId="6553B0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73.98 </w:t>
            </w:r>
          </w:p>
        </w:tc>
        <w:tc>
          <w:tcPr>
            <w:tcW w:w="445" w:type="dxa"/>
            <w:tcBorders>
              <w:tl2br w:val="nil"/>
              <w:tr2bl w:val="nil"/>
            </w:tcBorders>
            <w:vAlign w:val="center"/>
          </w:tcPr>
          <w:p w14:paraId="7A25C2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32.04 </w:t>
            </w:r>
          </w:p>
        </w:tc>
        <w:tc>
          <w:tcPr>
            <w:tcW w:w="446" w:type="dxa"/>
            <w:tcBorders>
              <w:tl2br w:val="nil"/>
              <w:tr2bl w:val="nil"/>
            </w:tcBorders>
            <w:vAlign w:val="center"/>
          </w:tcPr>
          <w:p w14:paraId="108D5E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46.02 </w:t>
            </w:r>
          </w:p>
        </w:tc>
        <w:tc>
          <w:tcPr>
            <w:tcW w:w="446" w:type="dxa"/>
            <w:tcBorders>
              <w:tl2br w:val="nil"/>
              <w:tr2bl w:val="nil"/>
            </w:tcBorders>
            <w:vAlign w:val="center"/>
          </w:tcPr>
          <w:p w14:paraId="22A793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32.04 </w:t>
            </w:r>
          </w:p>
        </w:tc>
        <w:tc>
          <w:tcPr>
            <w:tcW w:w="465" w:type="dxa"/>
            <w:tcBorders>
              <w:tl2br w:val="nil"/>
              <w:tr2bl w:val="nil"/>
            </w:tcBorders>
            <w:vAlign w:val="center"/>
          </w:tcPr>
          <w:p w14:paraId="3F6DF65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color w:val="auto"/>
                <w:spacing w:val="-2"/>
                <w:sz w:val="21"/>
                <w:szCs w:val="21"/>
                <w:highlight w:val="none"/>
                <w:lang w:val="en-US" w:eastAsia="zh-CN" w:bidi="ar-SA"/>
              </w:rPr>
            </w:pPr>
            <w:r>
              <w:rPr>
                <w:rFonts w:hint="eastAsia" w:ascii="Times New Roman" w:hAnsi="Times New Roman" w:eastAsia="宋体" w:cs="Times New Roman"/>
                <w:color w:val="auto"/>
                <w:spacing w:val="-2"/>
                <w:sz w:val="21"/>
                <w:szCs w:val="21"/>
                <w:highlight w:val="none"/>
                <w:lang w:val="en-US" w:eastAsia="zh-CN" w:bidi="ar-SA"/>
              </w:rPr>
              <w:t>1</w:t>
            </w:r>
          </w:p>
        </w:tc>
      </w:tr>
      <w:tr w14:paraId="2D4681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4173" w:type="dxa"/>
            <w:gridSpan w:val="26"/>
            <w:tcBorders>
              <w:tl2br w:val="nil"/>
              <w:tr2bl w:val="nil"/>
            </w:tcBorders>
            <w:vAlign w:val="center"/>
          </w:tcPr>
          <w:p w14:paraId="61B0CF3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bidi="ar-SA"/>
              </w:rPr>
            </w:pPr>
            <w:r>
              <w:rPr>
                <w:rFonts w:hint="eastAsia" w:cs="Times New Roman"/>
                <w:color w:val="auto"/>
                <w:spacing w:val="-2"/>
                <w:sz w:val="21"/>
                <w:szCs w:val="21"/>
                <w:highlight w:val="none"/>
                <w:lang w:val="en-US" w:eastAsia="zh-CN" w:bidi="ar-SA"/>
              </w:rPr>
              <w:t>注：饲料加工区东侧方便撒料车进出，未封闭，因此</w:t>
            </w:r>
            <w:r>
              <w:rPr>
                <w:rFonts w:hint="default" w:ascii="Times New Roman" w:hAnsi="Times New Roman" w:eastAsia="宋体" w:cs="Times New Roman"/>
                <w:color w:val="auto"/>
                <w:spacing w:val="-1"/>
                <w:sz w:val="21"/>
                <w:szCs w:val="21"/>
                <w:lang w:val="en-US" w:eastAsia="en-US" w:bidi="ar-SA"/>
              </w:rPr>
              <w:t>建筑物插入损失</w:t>
            </w:r>
            <w:r>
              <w:rPr>
                <w:rFonts w:hint="eastAsia" w:cs="Times New Roman"/>
                <w:color w:val="auto"/>
                <w:spacing w:val="-1"/>
                <w:sz w:val="21"/>
                <w:szCs w:val="21"/>
                <w:lang w:val="en-US" w:eastAsia="zh-CN" w:bidi="ar-SA"/>
              </w:rPr>
              <w:t>0</w:t>
            </w:r>
            <w:r>
              <w:rPr>
                <w:rFonts w:hint="default" w:ascii="Times New Roman" w:hAnsi="Times New Roman" w:eastAsia="宋体" w:cs="Times New Roman"/>
                <w:color w:val="auto"/>
                <w:spacing w:val="-1"/>
                <w:sz w:val="21"/>
                <w:szCs w:val="21"/>
                <w:lang w:val="en-US" w:eastAsia="en-US" w:bidi="ar-SA"/>
              </w:rPr>
              <w:t>dB</w:t>
            </w:r>
            <w:r>
              <w:rPr>
                <w:rFonts w:hint="eastAsia" w:ascii="Times New Roman" w:hAnsi="Times New Roman" w:eastAsia="宋体" w:cs="Times New Roman"/>
                <w:color w:val="auto"/>
                <w:spacing w:val="-1"/>
                <w:sz w:val="21"/>
                <w:szCs w:val="21"/>
                <w:lang w:val="en-US" w:eastAsia="zh-CN" w:bidi="ar-SA"/>
              </w:rPr>
              <w:t>（</w:t>
            </w:r>
            <w:r>
              <w:rPr>
                <w:rFonts w:hint="default" w:ascii="Times New Roman" w:hAnsi="Times New Roman" w:eastAsia="宋体" w:cs="Times New Roman"/>
                <w:color w:val="auto"/>
                <w:spacing w:val="-1"/>
                <w:sz w:val="21"/>
                <w:szCs w:val="21"/>
                <w:lang w:val="en-US" w:eastAsia="en-US" w:bidi="ar-SA"/>
              </w:rPr>
              <w:t>A</w:t>
            </w:r>
            <w:r>
              <w:rPr>
                <w:rFonts w:hint="eastAsia" w:ascii="Times New Roman" w:hAnsi="Times New Roman" w:eastAsia="宋体" w:cs="Times New Roman"/>
                <w:color w:val="auto"/>
                <w:spacing w:val="-1"/>
                <w:sz w:val="21"/>
                <w:szCs w:val="21"/>
                <w:lang w:val="en-US" w:eastAsia="zh-CN" w:bidi="ar-SA"/>
              </w:rPr>
              <w:t>）</w:t>
            </w:r>
          </w:p>
        </w:tc>
      </w:tr>
    </w:tbl>
    <w:p w14:paraId="24D7E98D">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000000"/>
          <w:sz w:val="24"/>
          <w:szCs w:val="20"/>
          <w:highlight w:val="none"/>
          <w:vertAlign w:val="baseline"/>
          <w:lang w:val="en-US" w:eastAsia="zh-CN"/>
        </w:rPr>
      </w:pPr>
      <w:r>
        <w:rPr>
          <w:rFonts w:hint="eastAsia" w:ascii="Times New Roman" w:hAnsi="Times New Roman" w:eastAsia="宋体" w:cs="Times New Roman"/>
          <w:b/>
          <w:bCs/>
          <w:color w:val="000000"/>
          <w:sz w:val="24"/>
          <w:szCs w:val="20"/>
          <w:highlight w:val="none"/>
          <w:vertAlign w:val="baseline"/>
          <w:lang w:val="en-US" w:eastAsia="zh-CN"/>
        </w:rPr>
        <w:t>表</w:t>
      </w:r>
      <w:r>
        <w:rPr>
          <w:rFonts w:hint="eastAsia" w:cs="Times New Roman"/>
          <w:b/>
          <w:bCs/>
          <w:color w:val="000000"/>
          <w:sz w:val="24"/>
          <w:szCs w:val="20"/>
          <w:highlight w:val="none"/>
          <w:vertAlign w:val="baseline"/>
          <w:lang w:val="en-US" w:eastAsia="zh-CN"/>
        </w:rPr>
        <w:t>5.2-33</w:t>
      </w:r>
      <w:r>
        <w:rPr>
          <w:rFonts w:hint="eastAsia" w:ascii="Times New Roman" w:hAnsi="Times New Roman" w:eastAsia="宋体" w:cs="Times New Roman"/>
          <w:b/>
          <w:bCs/>
          <w:color w:val="000000"/>
          <w:sz w:val="24"/>
          <w:szCs w:val="20"/>
          <w:highlight w:val="none"/>
          <w:vertAlign w:val="baseline"/>
          <w:lang w:val="en-US" w:eastAsia="zh-CN"/>
        </w:rPr>
        <w:t>本项目主要噪声源调查一览表（</w:t>
      </w:r>
      <w:r>
        <w:rPr>
          <w:rFonts w:hint="eastAsia" w:cs="Times New Roman"/>
          <w:b/>
          <w:bCs/>
          <w:color w:val="000000"/>
          <w:sz w:val="24"/>
          <w:szCs w:val="20"/>
          <w:highlight w:val="none"/>
          <w:vertAlign w:val="baseline"/>
          <w:lang w:val="en-US" w:eastAsia="zh-CN"/>
        </w:rPr>
        <w:t>道路</w:t>
      </w:r>
      <w:r>
        <w:rPr>
          <w:rFonts w:hint="eastAsia" w:ascii="Times New Roman" w:hAnsi="Times New Roman" w:eastAsia="宋体" w:cs="Times New Roman"/>
          <w:b/>
          <w:bCs/>
          <w:color w:val="000000"/>
          <w:sz w:val="24"/>
          <w:szCs w:val="20"/>
          <w:highlight w:val="none"/>
          <w:vertAlign w:val="baseline"/>
          <w:lang w:val="en-US" w:eastAsia="zh-CN"/>
        </w:rPr>
        <w:t>）</w:t>
      </w:r>
    </w:p>
    <w:tbl>
      <w:tblPr>
        <w:tblStyle w:val="32"/>
        <w:tblW w:w="1417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7"/>
        <w:gridCol w:w="2674"/>
        <w:gridCol w:w="1337"/>
        <w:gridCol w:w="1337"/>
        <w:gridCol w:w="1162"/>
        <w:gridCol w:w="1163"/>
        <w:gridCol w:w="1162"/>
        <w:gridCol w:w="1163"/>
        <w:gridCol w:w="3498"/>
      </w:tblGrid>
      <w:tr w14:paraId="34C23E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606" w:type="dxa"/>
            <w:vMerge w:val="restart"/>
            <w:tcBorders>
              <w:tl2br w:val="nil"/>
              <w:tr2bl w:val="nil"/>
            </w:tcBorders>
            <w:vAlign w:val="center"/>
          </w:tcPr>
          <w:p w14:paraId="6B6829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z w:val="21"/>
                <w:szCs w:val="21"/>
                <w:lang w:eastAsia="zh-CN"/>
              </w:rPr>
            </w:pPr>
            <w:r>
              <w:rPr>
                <w:rFonts w:hint="eastAsia" w:cs="Times New Roman"/>
                <w:spacing w:val="1"/>
                <w:sz w:val="21"/>
                <w:szCs w:val="21"/>
                <w:lang w:val="en-US" w:eastAsia="zh-CN"/>
              </w:rPr>
              <w:t>路段</w:t>
            </w:r>
          </w:p>
        </w:tc>
        <w:tc>
          <w:tcPr>
            <w:tcW w:w="2390" w:type="dxa"/>
            <w:vMerge w:val="restart"/>
            <w:tcBorders>
              <w:tl2br w:val="nil"/>
              <w:tr2bl w:val="nil"/>
            </w:tcBorders>
            <w:vAlign w:val="center"/>
          </w:tcPr>
          <w:p w14:paraId="0BB5027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pacing w:val="-2"/>
                <w:sz w:val="21"/>
                <w:szCs w:val="21"/>
                <w:lang w:val="en-US" w:eastAsia="zh-CN"/>
              </w:rPr>
            </w:pPr>
            <w:r>
              <w:rPr>
                <w:rFonts w:hint="eastAsia" w:cs="Times New Roman"/>
                <w:spacing w:val="-2"/>
                <w:sz w:val="21"/>
                <w:szCs w:val="21"/>
                <w:lang w:val="en-US" w:eastAsia="zh-CN"/>
              </w:rPr>
              <w:t>时期</w:t>
            </w:r>
          </w:p>
        </w:tc>
        <w:tc>
          <w:tcPr>
            <w:tcW w:w="2390" w:type="dxa"/>
            <w:gridSpan w:val="2"/>
            <w:tcBorders>
              <w:tl2br w:val="nil"/>
              <w:tr2bl w:val="nil"/>
            </w:tcBorders>
            <w:vAlign w:val="center"/>
          </w:tcPr>
          <w:p w14:paraId="6815EA8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车流量/</w:t>
            </w:r>
            <w:r>
              <w:rPr>
                <w:rFonts w:hint="eastAsia" w:cs="Times New Roman"/>
                <w:sz w:val="21"/>
                <w:szCs w:val="21"/>
                <w:lang w:eastAsia="zh-CN"/>
              </w:rPr>
              <w:t>（</w:t>
            </w:r>
            <w:r>
              <w:rPr>
                <w:rFonts w:hint="eastAsia" w:ascii="Times New Roman" w:hAnsi="Times New Roman" w:eastAsia="宋体" w:cs="Times New Roman"/>
                <w:sz w:val="21"/>
                <w:szCs w:val="21"/>
                <w:lang w:eastAsia="zh-CN"/>
              </w:rPr>
              <w:t>辆/h</w:t>
            </w:r>
            <w:r>
              <w:rPr>
                <w:rFonts w:hint="eastAsia" w:cs="Times New Roman"/>
                <w:sz w:val="21"/>
                <w:szCs w:val="21"/>
                <w:lang w:eastAsia="zh-CN"/>
              </w:rPr>
              <w:t>）</w:t>
            </w:r>
          </w:p>
        </w:tc>
        <w:tc>
          <w:tcPr>
            <w:tcW w:w="2077" w:type="dxa"/>
            <w:gridSpan w:val="2"/>
            <w:tcBorders>
              <w:tl2br w:val="nil"/>
              <w:tr2bl w:val="nil"/>
            </w:tcBorders>
            <w:vAlign w:val="center"/>
          </w:tcPr>
          <w:p w14:paraId="1892DA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pacing w:val="-2"/>
                <w:sz w:val="21"/>
                <w:szCs w:val="21"/>
                <w:lang w:val="en-US" w:eastAsia="zh-CN"/>
              </w:rPr>
            </w:pPr>
            <w:r>
              <w:rPr>
                <w:rFonts w:hint="eastAsia" w:ascii="Times New Roman" w:hAnsi="Times New Roman" w:eastAsia="宋体" w:cs="Times New Roman"/>
                <w:spacing w:val="-2"/>
                <w:sz w:val="21"/>
                <w:szCs w:val="21"/>
                <w:lang w:val="en-US" w:eastAsia="zh-CN"/>
              </w:rPr>
              <w:t>车速/</w:t>
            </w:r>
            <w:r>
              <w:rPr>
                <w:rFonts w:hint="eastAsia" w:cs="Times New Roman"/>
                <w:spacing w:val="-2"/>
                <w:sz w:val="21"/>
                <w:szCs w:val="21"/>
                <w:lang w:val="en-US" w:eastAsia="zh-CN"/>
              </w:rPr>
              <w:t>（</w:t>
            </w:r>
            <w:r>
              <w:rPr>
                <w:rFonts w:hint="eastAsia" w:ascii="Times New Roman" w:hAnsi="Times New Roman" w:eastAsia="宋体" w:cs="Times New Roman"/>
                <w:spacing w:val="-2"/>
                <w:sz w:val="21"/>
                <w:szCs w:val="21"/>
                <w:lang w:val="en-US" w:eastAsia="zh-CN"/>
              </w:rPr>
              <w:t>km/h</w:t>
            </w:r>
            <w:r>
              <w:rPr>
                <w:rFonts w:hint="eastAsia" w:cs="Times New Roman"/>
                <w:spacing w:val="-2"/>
                <w:sz w:val="21"/>
                <w:szCs w:val="21"/>
                <w:lang w:val="en-US" w:eastAsia="zh-CN"/>
              </w:rPr>
              <w:t>）</w:t>
            </w:r>
          </w:p>
        </w:tc>
        <w:tc>
          <w:tcPr>
            <w:tcW w:w="2077" w:type="dxa"/>
            <w:gridSpan w:val="2"/>
            <w:tcBorders>
              <w:tl2br w:val="nil"/>
              <w:tr2bl w:val="nil"/>
            </w:tcBorders>
            <w:vAlign w:val="center"/>
          </w:tcPr>
          <w:p w14:paraId="653B66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声源源强</w:t>
            </w:r>
            <w:r>
              <w:rPr>
                <w:rFonts w:hint="default" w:ascii="Times New Roman" w:hAnsi="Times New Roman" w:eastAsia="宋体" w:cs="Times New Roman"/>
                <w:spacing w:val="-1"/>
                <w:sz w:val="21"/>
                <w:szCs w:val="21"/>
              </w:rPr>
              <w:t>/dB</w:t>
            </w:r>
          </w:p>
        </w:tc>
        <w:tc>
          <w:tcPr>
            <w:tcW w:w="3126" w:type="dxa"/>
            <w:vMerge w:val="restart"/>
            <w:tcBorders>
              <w:tl2br w:val="nil"/>
              <w:tr2bl w:val="nil"/>
            </w:tcBorders>
            <w:vAlign w:val="center"/>
          </w:tcPr>
          <w:p w14:paraId="315966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声源控制措施</w:t>
            </w:r>
          </w:p>
        </w:tc>
      </w:tr>
      <w:tr w14:paraId="15E39B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606" w:type="dxa"/>
            <w:vMerge w:val="continue"/>
            <w:tcBorders>
              <w:tl2br w:val="nil"/>
              <w:tr2bl w:val="nil"/>
            </w:tcBorders>
            <w:vAlign w:val="center"/>
          </w:tcPr>
          <w:p w14:paraId="16F206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cs="Times New Roman"/>
                <w:spacing w:val="1"/>
                <w:sz w:val="21"/>
                <w:szCs w:val="21"/>
                <w:lang w:val="en-US" w:eastAsia="zh-CN"/>
              </w:rPr>
            </w:pPr>
          </w:p>
        </w:tc>
        <w:tc>
          <w:tcPr>
            <w:tcW w:w="2390" w:type="dxa"/>
            <w:vMerge w:val="continue"/>
            <w:tcBorders>
              <w:tl2br w:val="nil"/>
              <w:tr2bl w:val="nil"/>
            </w:tcBorders>
            <w:vAlign w:val="center"/>
          </w:tcPr>
          <w:p w14:paraId="5A1D3A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cs="Times New Roman"/>
                <w:spacing w:val="-2"/>
                <w:sz w:val="21"/>
                <w:szCs w:val="21"/>
                <w:lang w:val="en-US" w:eastAsia="zh-CN"/>
              </w:rPr>
            </w:pPr>
          </w:p>
        </w:tc>
        <w:tc>
          <w:tcPr>
            <w:tcW w:w="2390" w:type="dxa"/>
            <w:gridSpan w:val="2"/>
            <w:tcBorders>
              <w:tl2br w:val="nil"/>
              <w:tr2bl w:val="nil"/>
            </w:tcBorders>
            <w:vAlign w:val="center"/>
          </w:tcPr>
          <w:p w14:paraId="18C9448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21"/>
                <w:szCs w:val="21"/>
                <w:lang w:val="en-US" w:eastAsia="zh-CN"/>
              </w:rPr>
            </w:pPr>
            <w:r>
              <w:rPr>
                <w:rFonts w:hint="eastAsia" w:cs="Times New Roman"/>
                <w:sz w:val="21"/>
                <w:szCs w:val="21"/>
                <w:lang w:val="en-US" w:eastAsia="zh-CN"/>
              </w:rPr>
              <w:t>大型车</w:t>
            </w:r>
          </w:p>
        </w:tc>
        <w:tc>
          <w:tcPr>
            <w:tcW w:w="2077" w:type="dxa"/>
            <w:gridSpan w:val="2"/>
            <w:tcBorders>
              <w:tl2br w:val="nil"/>
              <w:tr2bl w:val="nil"/>
            </w:tcBorders>
            <w:vAlign w:val="center"/>
          </w:tcPr>
          <w:p w14:paraId="572A0A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pacing w:val="-2"/>
                <w:sz w:val="21"/>
                <w:szCs w:val="21"/>
                <w:lang w:val="en-US" w:eastAsia="zh-CN"/>
              </w:rPr>
            </w:pPr>
            <w:r>
              <w:rPr>
                <w:rFonts w:hint="eastAsia" w:cs="Times New Roman"/>
                <w:spacing w:val="-2"/>
                <w:sz w:val="21"/>
                <w:szCs w:val="21"/>
                <w:lang w:val="en-US" w:eastAsia="zh-CN"/>
              </w:rPr>
              <w:t>大型车</w:t>
            </w:r>
          </w:p>
        </w:tc>
        <w:tc>
          <w:tcPr>
            <w:tcW w:w="2077" w:type="dxa"/>
            <w:gridSpan w:val="2"/>
            <w:tcBorders>
              <w:tl2br w:val="nil"/>
              <w:tr2bl w:val="nil"/>
            </w:tcBorders>
            <w:vAlign w:val="center"/>
          </w:tcPr>
          <w:p w14:paraId="458DD2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pacing w:val="-2"/>
                <w:sz w:val="21"/>
                <w:szCs w:val="21"/>
              </w:rPr>
            </w:pPr>
            <w:r>
              <w:rPr>
                <w:rFonts w:hint="eastAsia" w:cs="Times New Roman"/>
                <w:spacing w:val="-2"/>
                <w:sz w:val="21"/>
                <w:szCs w:val="21"/>
                <w:lang w:val="en-US" w:eastAsia="zh-CN"/>
              </w:rPr>
              <w:t>大型车</w:t>
            </w:r>
          </w:p>
        </w:tc>
        <w:tc>
          <w:tcPr>
            <w:tcW w:w="3126" w:type="dxa"/>
            <w:vMerge w:val="continue"/>
            <w:tcBorders>
              <w:tl2br w:val="nil"/>
              <w:tr2bl w:val="nil"/>
            </w:tcBorders>
            <w:vAlign w:val="center"/>
          </w:tcPr>
          <w:p w14:paraId="16E9B08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pacing w:val="-2"/>
                <w:sz w:val="21"/>
                <w:szCs w:val="21"/>
              </w:rPr>
            </w:pPr>
          </w:p>
        </w:tc>
      </w:tr>
      <w:tr w14:paraId="33A599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606" w:type="dxa"/>
            <w:vMerge w:val="continue"/>
            <w:tcBorders>
              <w:tl2br w:val="nil"/>
              <w:tr2bl w:val="nil"/>
            </w:tcBorders>
            <w:vAlign w:val="center"/>
          </w:tcPr>
          <w:p w14:paraId="1B9C35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21"/>
                <w:szCs w:val="21"/>
              </w:rPr>
            </w:pPr>
          </w:p>
        </w:tc>
        <w:tc>
          <w:tcPr>
            <w:tcW w:w="2390" w:type="dxa"/>
            <w:vMerge w:val="continue"/>
            <w:tcBorders>
              <w:tl2br w:val="nil"/>
              <w:tr2bl w:val="nil"/>
            </w:tcBorders>
            <w:vAlign w:val="center"/>
          </w:tcPr>
          <w:p w14:paraId="2614E6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21"/>
                <w:szCs w:val="21"/>
              </w:rPr>
            </w:pPr>
          </w:p>
        </w:tc>
        <w:tc>
          <w:tcPr>
            <w:tcW w:w="1195" w:type="dxa"/>
            <w:tcBorders>
              <w:tl2br w:val="nil"/>
              <w:tr2bl w:val="nil"/>
            </w:tcBorders>
            <w:vAlign w:val="center"/>
          </w:tcPr>
          <w:p w14:paraId="066C15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z w:val="21"/>
                <w:szCs w:val="21"/>
                <w:lang w:val="en-US" w:eastAsia="zh-CN"/>
              </w:rPr>
            </w:pPr>
            <w:r>
              <w:rPr>
                <w:rFonts w:hint="eastAsia" w:cs="Times New Roman"/>
                <w:sz w:val="21"/>
                <w:szCs w:val="21"/>
                <w:lang w:val="en-US" w:eastAsia="zh-CN"/>
              </w:rPr>
              <w:t>昼间</w:t>
            </w:r>
          </w:p>
        </w:tc>
        <w:tc>
          <w:tcPr>
            <w:tcW w:w="1195" w:type="dxa"/>
            <w:tcBorders>
              <w:tl2br w:val="nil"/>
              <w:tr2bl w:val="nil"/>
            </w:tcBorders>
            <w:vAlign w:val="center"/>
          </w:tcPr>
          <w:p w14:paraId="67E877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z w:val="21"/>
                <w:szCs w:val="21"/>
                <w:lang w:val="en-US" w:eastAsia="zh-CN"/>
              </w:rPr>
            </w:pPr>
            <w:r>
              <w:rPr>
                <w:rFonts w:hint="eastAsia" w:cs="Times New Roman"/>
                <w:sz w:val="21"/>
                <w:szCs w:val="21"/>
                <w:lang w:val="en-US" w:eastAsia="zh-CN"/>
              </w:rPr>
              <w:t>夜间</w:t>
            </w:r>
          </w:p>
        </w:tc>
        <w:tc>
          <w:tcPr>
            <w:tcW w:w="1038" w:type="dxa"/>
            <w:tcBorders>
              <w:tl2br w:val="nil"/>
              <w:tr2bl w:val="nil"/>
            </w:tcBorders>
            <w:vAlign w:val="center"/>
          </w:tcPr>
          <w:p w14:paraId="0A87E3A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1"/>
                <w:sz w:val="21"/>
                <w:szCs w:val="21"/>
              </w:rPr>
            </w:pPr>
            <w:r>
              <w:rPr>
                <w:rFonts w:hint="eastAsia" w:cs="Times New Roman"/>
                <w:sz w:val="21"/>
                <w:szCs w:val="21"/>
                <w:lang w:val="en-US" w:eastAsia="zh-CN"/>
              </w:rPr>
              <w:t>昼间</w:t>
            </w:r>
          </w:p>
        </w:tc>
        <w:tc>
          <w:tcPr>
            <w:tcW w:w="1039" w:type="dxa"/>
            <w:tcBorders>
              <w:tl2br w:val="nil"/>
              <w:tr2bl w:val="nil"/>
            </w:tcBorders>
            <w:vAlign w:val="center"/>
          </w:tcPr>
          <w:p w14:paraId="4258FFD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1"/>
                <w:sz w:val="21"/>
                <w:szCs w:val="21"/>
              </w:rPr>
            </w:pPr>
            <w:r>
              <w:rPr>
                <w:rFonts w:hint="eastAsia" w:cs="Times New Roman"/>
                <w:sz w:val="21"/>
                <w:szCs w:val="21"/>
                <w:lang w:val="en-US" w:eastAsia="zh-CN"/>
              </w:rPr>
              <w:t>夜间</w:t>
            </w:r>
          </w:p>
        </w:tc>
        <w:tc>
          <w:tcPr>
            <w:tcW w:w="1038" w:type="dxa"/>
            <w:tcBorders>
              <w:tl2br w:val="nil"/>
              <w:tr2bl w:val="nil"/>
            </w:tcBorders>
            <w:vAlign w:val="center"/>
          </w:tcPr>
          <w:p w14:paraId="72155A3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z w:val="21"/>
                <w:szCs w:val="21"/>
                <w:lang w:eastAsia="zh-CN"/>
              </w:rPr>
            </w:pPr>
            <w:r>
              <w:rPr>
                <w:rFonts w:hint="eastAsia" w:cs="Times New Roman"/>
                <w:sz w:val="21"/>
                <w:szCs w:val="21"/>
                <w:lang w:val="en-US" w:eastAsia="zh-CN"/>
              </w:rPr>
              <w:t>昼间</w:t>
            </w:r>
          </w:p>
        </w:tc>
        <w:tc>
          <w:tcPr>
            <w:tcW w:w="1039" w:type="dxa"/>
            <w:tcBorders>
              <w:tl2br w:val="nil"/>
              <w:tr2bl w:val="nil"/>
            </w:tcBorders>
            <w:vAlign w:val="center"/>
          </w:tcPr>
          <w:p w14:paraId="2CF3D4B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z w:val="21"/>
                <w:szCs w:val="21"/>
                <w:lang w:eastAsia="zh-CN"/>
              </w:rPr>
            </w:pPr>
            <w:r>
              <w:rPr>
                <w:rFonts w:hint="eastAsia" w:cs="Times New Roman"/>
                <w:sz w:val="21"/>
                <w:szCs w:val="21"/>
                <w:lang w:val="en-US" w:eastAsia="zh-CN"/>
              </w:rPr>
              <w:t>夜间</w:t>
            </w:r>
          </w:p>
        </w:tc>
        <w:tc>
          <w:tcPr>
            <w:tcW w:w="3126" w:type="dxa"/>
            <w:vMerge w:val="continue"/>
            <w:tcBorders>
              <w:tl2br w:val="nil"/>
              <w:tr2bl w:val="nil"/>
            </w:tcBorders>
            <w:vAlign w:val="center"/>
          </w:tcPr>
          <w:p w14:paraId="338CB78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21"/>
                <w:szCs w:val="21"/>
              </w:rPr>
            </w:pPr>
          </w:p>
        </w:tc>
      </w:tr>
      <w:tr w14:paraId="161C31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606" w:type="dxa"/>
            <w:vMerge w:val="restart"/>
            <w:tcBorders>
              <w:tl2br w:val="nil"/>
              <w:tr2bl w:val="nil"/>
            </w:tcBorders>
            <w:vAlign w:val="center"/>
          </w:tcPr>
          <w:p w14:paraId="147C9DC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养殖区</w:t>
            </w:r>
          </w:p>
        </w:tc>
        <w:tc>
          <w:tcPr>
            <w:tcW w:w="2390" w:type="dxa"/>
            <w:tcBorders>
              <w:tl2br w:val="nil"/>
              <w:tr2bl w:val="nil"/>
            </w:tcBorders>
            <w:vAlign w:val="center"/>
          </w:tcPr>
          <w:p w14:paraId="041A2AD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pacing w:val="-1"/>
                <w:sz w:val="21"/>
                <w:szCs w:val="21"/>
                <w:lang w:val="en-US" w:eastAsia="zh-CN" w:bidi="ar-SA"/>
              </w:rPr>
            </w:pPr>
            <w:r>
              <w:rPr>
                <w:rFonts w:hint="eastAsia" w:cs="Times New Roman"/>
                <w:spacing w:val="-1"/>
                <w:sz w:val="21"/>
                <w:szCs w:val="21"/>
                <w:lang w:val="en-US" w:eastAsia="zh-CN" w:bidi="ar-SA"/>
              </w:rPr>
              <w:t>近期</w:t>
            </w:r>
          </w:p>
        </w:tc>
        <w:tc>
          <w:tcPr>
            <w:tcW w:w="1195" w:type="dxa"/>
            <w:tcBorders>
              <w:tl2br w:val="nil"/>
              <w:tr2bl w:val="nil"/>
            </w:tcBorders>
            <w:vAlign w:val="center"/>
          </w:tcPr>
          <w:p w14:paraId="1C8AF18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宋体"/>
                <w:sz w:val="21"/>
                <w:szCs w:val="21"/>
                <w:lang w:val="en-US" w:eastAsia="zh-CN"/>
              </w:rPr>
            </w:pPr>
            <w:r>
              <w:rPr>
                <w:rFonts w:hint="eastAsia" w:cs="Times New Roman"/>
                <w:spacing w:val="-1"/>
                <w:sz w:val="21"/>
                <w:szCs w:val="21"/>
                <w:lang w:val="en-US" w:eastAsia="zh-CN" w:bidi="ar-SA"/>
              </w:rPr>
              <w:t>8</w:t>
            </w:r>
            <w:r>
              <w:rPr>
                <w:rFonts w:hint="eastAsia" w:cs="Times New Roman"/>
                <w:color w:val="auto"/>
                <w:kern w:val="2"/>
                <w:sz w:val="21"/>
                <w:szCs w:val="24"/>
                <w:lang w:val="en-US" w:eastAsia="zh-CN"/>
              </w:rPr>
              <w:t>辆</w:t>
            </w:r>
          </w:p>
        </w:tc>
        <w:tc>
          <w:tcPr>
            <w:tcW w:w="1195" w:type="dxa"/>
            <w:tcBorders>
              <w:tl2br w:val="nil"/>
              <w:tr2bl w:val="nil"/>
            </w:tcBorders>
            <w:vAlign w:val="center"/>
          </w:tcPr>
          <w:p w14:paraId="5BE225A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pacing w:val="-1"/>
                <w:sz w:val="21"/>
                <w:szCs w:val="21"/>
                <w:lang w:val="en-US" w:eastAsia="zh-CN" w:bidi="ar-SA"/>
              </w:rPr>
            </w:pPr>
            <w:r>
              <w:rPr>
                <w:rFonts w:hint="eastAsia" w:cs="Times New Roman"/>
                <w:spacing w:val="-1"/>
                <w:sz w:val="21"/>
                <w:szCs w:val="21"/>
                <w:lang w:val="en-US" w:eastAsia="zh-CN" w:bidi="ar-SA"/>
              </w:rPr>
              <w:t>/</w:t>
            </w:r>
          </w:p>
        </w:tc>
        <w:tc>
          <w:tcPr>
            <w:tcW w:w="1038" w:type="dxa"/>
            <w:tcBorders>
              <w:tl2br w:val="nil"/>
              <w:tr2bl w:val="nil"/>
            </w:tcBorders>
            <w:vAlign w:val="center"/>
          </w:tcPr>
          <w:p w14:paraId="032DA24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6"/>
                <w:sz w:val="21"/>
                <w:szCs w:val="21"/>
                <w:lang w:val="en-US" w:eastAsia="zh-CN" w:bidi="ar-SA"/>
              </w:rPr>
            </w:pPr>
            <w:r>
              <w:rPr>
                <w:rFonts w:hint="eastAsia" w:cs="Times New Roman"/>
                <w:spacing w:val="-6"/>
                <w:sz w:val="21"/>
                <w:szCs w:val="21"/>
                <w:lang w:val="en-US" w:eastAsia="zh-CN" w:bidi="ar-SA"/>
              </w:rPr>
              <w:t>5</w:t>
            </w:r>
          </w:p>
        </w:tc>
        <w:tc>
          <w:tcPr>
            <w:tcW w:w="1039" w:type="dxa"/>
            <w:tcBorders>
              <w:tl2br w:val="nil"/>
              <w:tr2bl w:val="nil"/>
            </w:tcBorders>
            <w:vAlign w:val="center"/>
          </w:tcPr>
          <w:p w14:paraId="7808C9D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cs="Times New Roman"/>
                <w:spacing w:val="-6"/>
                <w:sz w:val="21"/>
                <w:szCs w:val="21"/>
                <w:lang w:val="en-US" w:eastAsia="zh-CN" w:bidi="ar-SA"/>
              </w:rPr>
            </w:pPr>
            <w:r>
              <w:rPr>
                <w:rFonts w:hint="eastAsia" w:cs="Times New Roman"/>
                <w:spacing w:val="-6"/>
                <w:sz w:val="21"/>
                <w:szCs w:val="21"/>
                <w:lang w:val="en-US" w:eastAsia="zh-CN" w:bidi="ar-SA"/>
              </w:rPr>
              <w:t>/</w:t>
            </w:r>
          </w:p>
        </w:tc>
        <w:tc>
          <w:tcPr>
            <w:tcW w:w="1038" w:type="dxa"/>
            <w:tcBorders>
              <w:tl2br w:val="nil"/>
              <w:tr2bl w:val="nil"/>
            </w:tcBorders>
            <w:vAlign w:val="center"/>
          </w:tcPr>
          <w:p w14:paraId="6C336F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80</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90</w:t>
            </w:r>
          </w:p>
        </w:tc>
        <w:tc>
          <w:tcPr>
            <w:tcW w:w="1039" w:type="dxa"/>
            <w:tcBorders>
              <w:tl2br w:val="nil"/>
              <w:tr2bl w:val="nil"/>
            </w:tcBorders>
            <w:vAlign w:val="center"/>
          </w:tcPr>
          <w:p w14:paraId="13C179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3126" w:type="dxa"/>
            <w:tcBorders>
              <w:tl2br w:val="nil"/>
              <w:tr2bl w:val="nil"/>
            </w:tcBorders>
            <w:vAlign w:val="center"/>
          </w:tcPr>
          <w:p w14:paraId="63913F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pacing w:val="-1"/>
                <w:kern w:val="2"/>
                <w:sz w:val="21"/>
                <w:szCs w:val="21"/>
                <w:lang w:val="en-US" w:eastAsia="zh-CN" w:bidi="ar-SA"/>
              </w:rPr>
            </w:pPr>
            <w:r>
              <w:rPr>
                <w:rFonts w:hint="default" w:ascii="Times New Roman" w:hAnsi="Times New Roman" w:eastAsia="宋体" w:cs="Times New Roman"/>
                <w:spacing w:val="-1"/>
                <w:kern w:val="2"/>
                <w:sz w:val="21"/>
                <w:szCs w:val="21"/>
                <w:lang w:val="en-US" w:eastAsia="en-US" w:bidi="ar-SA"/>
              </w:rPr>
              <w:t>低噪声设备、设置消声器、加强车辆管理</w:t>
            </w:r>
          </w:p>
        </w:tc>
      </w:tr>
      <w:tr w14:paraId="7FDAF7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606" w:type="dxa"/>
            <w:vMerge w:val="continue"/>
            <w:tcBorders>
              <w:tl2br w:val="nil"/>
              <w:tr2bl w:val="nil"/>
            </w:tcBorders>
            <w:vAlign w:val="center"/>
          </w:tcPr>
          <w:p w14:paraId="1BD53BC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kern w:val="2"/>
                <w:sz w:val="21"/>
                <w:szCs w:val="21"/>
                <w:lang w:val="en-US" w:eastAsia="en-US" w:bidi="ar-SA"/>
              </w:rPr>
            </w:pPr>
          </w:p>
        </w:tc>
        <w:tc>
          <w:tcPr>
            <w:tcW w:w="2390" w:type="dxa"/>
            <w:tcBorders>
              <w:tl2br w:val="nil"/>
              <w:tr2bl w:val="nil"/>
            </w:tcBorders>
            <w:vAlign w:val="center"/>
          </w:tcPr>
          <w:p w14:paraId="333718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pacing w:val="-1"/>
                <w:sz w:val="21"/>
                <w:szCs w:val="21"/>
                <w:lang w:val="en-US" w:eastAsia="zh-CN" w:bidi="ar-SA"/>
              </w:rPr>
            </w:pPr>
            <w:r>
              <w:rPr>
                <w:rFonts w:hint="eastAsia" w:cs="Times New Roman"/>
                <w:spacing w:val="-1"/>
                <w:sz w:val="21"/>
                <w:szCs w:val="21"/>
                <w:lang w:val="en-US" w:eastAsia="zh-CN" w:bidi="ar-SA"/>
              </w:rPr>
              <w:t>中期</w:t>
            </w:r>
          </w:p>
        </w:tc>
        <w:tc>
          <w:tcPr>
            <w:tcW w:w="1195" w:type="dxa"/>
            <w:tcBorders>
              <w:tl2br w:val="nil"/>
              <w:tr2bl w:val="nil"/>
            </w:tcBorders>
            <w:vAlign w:val="center"/>
          </w:tcPr>
          <w:p w14:paraId="692E5A8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z w:val="21"/>
                <w:szCs w:val="21"/>
                <w:lang w:val="en-US"/>
              </w:rPr>
            </w:pPr>
            <w:r>
              <w:rPr>
                <w:rFonts w:hint="eastAsia" w:cs="Times New Roman"/>
                <w:spacing w:val="-1"/>
                <w:sz w:val="21"/>
                <w:szCs w:val="21"/>
                <w:lang w:val="en-US" w:eastAsia="zh-CN" w:bidi="ar-SA"/>
              </w:rPr>
              <w:t>8</w:t>
            </w:r>
            <w:r>
              <w:rPr>
                <w:rFonts w:hint="eastAsia" w:cs="Times New Roman"/>
                <w:color w:val="auto"/>
                <w:kern w:val="2"/>
                <w:sz w:val="21"/>
                <w:szCs w:val="24"/>
                <w:lang w:val="en-US" w:eastAsia="zh-CN"/>
              </w:rPr>
              <w:t>辆</w:t>
            </w:r>
          </w:p>
        </w:tc>
        <w:tc>
          <w:tcPr>
            <w:tcW w:w="1195" w:type="dxa"/>
            <w:tcBorders>
              <w:tl2br w:val="nil"/>
              <w:tr2bl w:val="nil"/>
            </w:tcBorders>
            <w:vAlign w:val="center"/>
          </w:tcPr>
          <w:p w14:paraId="6E476C0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1"/>
                <w:sz w:val="21"/>
                <w:szCs w:val="21"/>
                <w:lang w:val="en-US" w:eastAsia="en-US" w:bidi="ar-SA"/>
              </w:rPr>
            </w:pPr>
            <w:r>
              <w:rPr>
                <w:rFonts w:hint="eastAsia" w:cs="Times New Roman"/>
                <w:spacing w:val="-1"/>
                <w:sz w:val="21"/>
                <w:szCs w:val="21"/>
                <w:lang w:val="en-US" w:eastAsia="zh-CN" w:bidi="ar-SA"/>
              </w:rPr>
              <w:t>/</w:t>
            </w:r>
          </w:p>
        </w:tc>
        <w:tc>
          <w:tcPr>
            <w:tcW w:w="1038" w:type="dxa"/>
            <w:tcBorders>
              <w:tl2br w:val="nil"/>
              <w:tr2bl w:val="nil"/>
            </w:tcBorders>
            <w:vAlign w:val="center"/>
          </w:tcPr>
          <w:p w14:paraId="7018EF6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pacing w:val="-6"/>
                <w:sz w:val="21"/>
                <w:szCs w:val="21"/>
                <w:lang w:val="en-US" w:eastAsia="zh-CN" w:bidi="ar-SA"/>
              </w:rPr>
            </w:pPr>
            <w:r>
              <w:rPr>
                <w:rFonts w:hint="eastAsia" w:cs="Times New Roman"/>
                <w:spacing w:val="-6"/>
                <w:sz w:val="21"/>
                <w:szCs w:val="21"/>
                <w:lang w:val="en-US" w:eastAsia="zh-CN" w:bidi="ar-SA"/>
              </w:rPr>
              <w:t>5</w:t>
            </w:r>
          </w:p>
        </w:tc>
        <w:tc>
          <w:tcPr>
            <w:tcW w:w="1039" w:type="dxa"/>
            <w:tcBorders>
              <w:tl2br w:val="nil"/>
              <w:tr2bl w:val="nil"/>
            </w:tcBorders>
            <w:vAlign w:val="center"/>
          </w:tcPr>
          <w:p w14:paraId="0D2D906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6"/>
                <w:sz w:val="21"/>
                <w:szCs w:val="21"/>
                <w:lang w:val="en-US" w:eastAsia="zh-CN" w:bidi="ar-SA"/>
              </w:rPr>
            </w:pPr>
            <w:r>
              <w:rPr>
                <w:rFonts w:hint="eastAsia" w:cs="Times New Roman"/>
                <w:spacing w:val="-6"/>
                <w:sz w:val="21"/>
                <w:szCs w:val="21"/>
                <w:lang w:val="en-US" w:eastAsia="zh-CN" w:bidi="ar-SA"/>
              </w:rPr>
              <w:t>/</w:t>
            </w:r>
          </w:p>
        </w:tc>
        <w:tc>
          <w:tcPr>
            <w:tcW w:w="1038" w:type="dxa"/>
            <w:tcBorders>
              <w:tl2br w:val="nil"/>
              <w:tr2bl w:val="nil"/>
            </w:tcBorders>
            <w:vAlign w:val="center"/>
          </w:tcPr>
          <w:p w14:paraId="602C5B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80</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90</w:t>
            </w:r>
          </w:p>
        </w:tc>
        <w:tc>
          <w:tcPr>
            <w:tcW w:w="1039" w:type="dxa"/>
            <w:tcBorders>
              <w:tl2br w:val="nil"/>
              <w:tr2bl w:val="nil"/>
            </w:tcBorders>
            <w:vAlign w:val="center"/>
          </w:tcPr>
          <w:p w14:paraId="7CCE7D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3126" w:type="dxa"/>
            <w:tcBorders>
              <w:tl2br w:val="nil"/>
              <w:tr2bl w:val="nil"/>
            </w:tcBorders>
            <w:vAlign w:val="center"/>
          </w:tcPr>
          <w:p w14:paraId="6735E3F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lang w:val="en-US" w:eastAsia="en-US" w:bidi="ar-SA"/>
              </w:rPr>
              <w:t>低噪声设备、设置消声器、加强车辆管理</w:t>
            </w:r>
          </w:p>
        </w:tc>
      </w:tr>
      <w:tr w14:paraId="5079B6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606" w:type="dxa"/>
            <w:vMerge w:val="continue"/>
            <w:tcBorders>
              <w:tl2br w:val="nil"/>
              <w:tr2bl w:val="nil"/>
            </w:tcBorders>
            <w:vAlign w:val="center"/>
          </w:tcPr>
          <w:p w14:paraId="47FB83D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kern w:val="2"/>
                <w:sz w:val="21"/>
                <w:szCs w:val="21"/>
                <w:lang w:val="en-US" w:eastAsia="zh-CN" w:bidi="ar-SA"/>
              </w:rPr>
            </w:pPr>
          </w:p>
        </w:tc>
        <w:tc>
          <w:tcPr>
            <w:tcW w:w="2390" w:type="dxa"/>
            <w:tcBorders>
              <w:tl2br w:val="nil"/>
              <w:tr2bl w:val="nil"/>
            </w:tcBorders>
            <w:vAlign w:val="center"/>
          </w:tcPr>
          <w:p w14:paraId="56829C7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pacing w:val="-1"/>
                <w:sz w:val="21"/>
                <w:szCs w:val="21"/>
                <w:lang w:val="en-US" w:eastAsia="zh-CN" w:bidi="ar-SA"/>
              </w:rPr>
            </w:pPr>
            <w:r>
              <w:rPr>
                <w:rFonts w:hint="eastAsia" w:cs="Times New Roman"/>
                <w:spacing w:val="-1"/>
                <w:sz w:val="21"/>
                <w:szCs w:val="21"/>
                <w:lang w:val="en-US" w:eastAsia="zh-CN" w:bidi="ar-SA"/>
              </w:rPr>
              <w:t>远期</w:t>
            </w:r>
          </w:p>
        </w:tc>
        <w:tc>
          <w:tcPr>
            <w:tcW w:w="1195" w:type="dxa"/>
            <w:tcBorders>
              <w:tl2br w:val="nil"/>
              <w:tr2bl w:val="nil"/>
            </w:tcBorders>
            <w:vAlign w:val="center"/>
          </w:tcPr>
          <w:p w14:paraId="1F4781E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宋体"/>
                <w:sz w:val="21"/>
                <w:szCs w:val="21"/>
                <w:lang w:val="en-US" w:eastAsia="zh-CN"/>
              </w:rPr>
            </w:pPr>
            <w:r>
              <w:rPr>
                <w:rFonts w:hint="eastAsia" w:cs="Times New Roman"/>
                <w:spacing w:val="-1"/>
                <w:sz w:val="21"/>
                <w:szCs w:val="21"/>
                <w:lang w:val="en-US" w:eastAsia="zh-CN" w:bidi="ar-SA"/>
              </w:rPr>
              <w:t>8</w:t>
            </w:r>
            <w:r>
              <w:rPr>
                <w:rFonts w:hint="eastAsia" w:cs="Times New Roman"/>
                <w:color w:val="auto"/>
                <w:kern w:val="2"/>
                <w:sz w:val="21"/>
                <w:szCs w:val="24"/>
                <w:lang w:val="en-US" w:eastAsia="zh-CN"/>
              </w:rPr>
              <w:t>辆</w:t>
            </w:r>
          </w:p>
        </w:tc>
        <w:tc>
          <w:tcPr>
            <w:tcW w:w="1195" w:type="dxa"/>
            <w:tcBorders>
              <w:tl2br w:val="nil"/>
              <w:tr2bl w:val="nil"/>
            </w:tcBorders>
            <w:vAlign w:val="center"/>
          </w:tcPr>
          <w:p w14:paraId="521E1F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1"/>
                <w:sz w:val="21"/>
                <w:szCs w:val="21"/>
                <w:lang w:val="en-US" w:eastAsia="en-US" w:bidi="ar-SA"/>
              </w:rPr>
            </w:pPr>
            <w:r>
              <w:rPr>
                <w:rFonts w:hint="eastAsia" w:cs="Times New Roman"/>
                <w:spacing w:val="-1"/>
                <w:sz w:val="21"/>
                <w:szCs w:val="21"/>
                <w:lang w:val="en-US" w:eastAsia="zh-CN" w:bidi="ar-SA"/>
              </w:rPr>
              <w:t>/</w:t>
            </w:r>
          </w:p>
        </w:tc>
        <w:tc>
          <w:tcPr>
            <w:tcW w:w="1038" w:type="dxa"/>
            <w:tcBorders>
              <w:tl2br w:val="nil"/>
              <w:tr2bl w:val="nil"/>
            </w:tcBorders>
            <w:vAlign w:val="center"/>
          </w:tcPr>
          <w:p w14:paraId="4574B18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pacing w:val="-2"/>
                <w:sz w:val="21"/>
                <w:szCs w:val="21"/>
                <w:lang w:val="en-US" w:eastAsia="zh-CN" w:bidi="ar-SA"/>
              </w:rPr>
            </w:pPr>
            <w:r>
              <w:rPr>
                <w:rFonts w:hint="eastAsia" w:cs="Times New Roman"/>
                <w:spacing w:val="-6"/>
                <w:sz w:val="21"/>
                <w:szCs w:val="21"/>
                <w:lang w:val="en-US" w:eastAsia="zh-CN" w:bidi="ar-SA"/>
              </w:rPr>
              <w:t>5</w:t>
            </w:r>
          </w:p>
        </w:tc>
        <w:tc>
          <w:tcPr>
            <w:tcW w:w="1039" w:type="dxa"/>
            <w:tcBorders>
              <w:tl2br w:val="nil"/>
              <w:tr2bl w:val="nil"/>
            </w:tcBorders>
            <w:vAlign w:val="center"/>
          </w:tcPr>
          <w:p w14:paraId="368CBD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pacing w:val="-2"/>
                <w:sz w:val="21"/>
                <w:szCs w:val="21"/>
                <w:lang w:val="en-US" w:eastAsia="zh-CN" w:bidi="ar-SA"/>
              </w:rPr>
            </w:pPr>
            <w:r>
              <w:rPr>
                <w:rFonts w:hint="eastAsia" w:cs="Times New Roman"/>
                <w:spacing w:val="-2"/>
                <w:sz w:val="21"/>
                <w:szCs w:val="21"/>
                <w:lang w:val="en-US" w:eastAsia="zh-CN" w:bidi="ar-SA"/>
              </w:rPr>
              <w:t>/</w:t>
            </w:r>
          </w:p>
        </w:tc>
        <w:tc>
          <w:tcPr>
            <w:tcW w:w="1038" w:type="dxa"/>
            <w:tcBorders>
              <w:tl2br w:val="nil"/>
              <w:tr2bl w:val="nil"/>
            </w:tcBorders>
            <w:vAlign w:val="center"/>
          </w:tcPr>
          <w:p w14:paraId="7404A55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80</w:t>
            </w: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90</w:t>
            </w:r>
          </w:p>
        </w:tc>
        <w:tc>
          <w:tcPr>
            <w:tcW w:w="1039" w:type="dxa"/>
            <w:tcBorders>
              <w:tl2br w:val="nil"/>
              <w:tr2bl w:val="nil"/>
            </w:tcBorders>
            <w:vAlign w:val="center"/>
          </w:tcPr>
          <w:p w14:paraId="70E174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3126" w:type="dxa"/>
            <w:tcBorders>
              <w:tl2br w:val="nil"/>
              <w:tr2bl w:val="nil"/>
            </w:tcBorders>
            <w:vAlign w:val="center"/>
          </w:tcPr>
          <w:p w14:paraId="402B583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pacing w:val="-1"/>
                <w:sz w:val="21"/>
                <w:szCs w:val="21"/>
                <w:lang w:val="en-US" w:eastAsia="zh-CN"/>
              </w:rPr>
            </w:pPr>
            <w:r>
              <w:rPr>
                <w:rFonts w:hint="default" w:ascii="Times New Roman" w:hAnsi="Times New Roman" w:eastAsia="宋体" w:cs="Times New Roman"/>
                <w:spacing w:val="-1"/>
                <w:sz w:val="21"/>
                <w:szCs w:val="21"/>
                <w:lang w:val="en-US" w:eastAsia="en-US" w:bidi="ar-SA"/>
              </w:rPr>
              <w:t>低噪声设备、设置消声器、加强车辆管理</w:t>
            </w:r>
          </w:p>
        </w:tc>
      </w:tr>
    </w:tbl>
    <w:p w14:paraId="47BEA3ED">
      <w:pPr>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06E00CD2">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3"/>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5.2.3.2预测条件概化</w:t>
      </w:r>
    </w:p>
    <w:p w14:paraId="4857D8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b w:val="0"/>
          <w:bCs w:val="0"/>
          <w:color w:val="auto"/>
          <w:kern w:val="0"/>
          <w:sz w:val="24"/>
          <w:szCs w:val="24"/>
          <w:lang w:val="en-US" w:eastAsia="zh-CN" w:bidi="ar"/>
        </w:rPr>
      </w:pPr>
      <w:r>
        <w:rPr>
          <w:rFonts w:hint="eastAsia" w:eastAsia="宋体" w:cs="宋体"/>
          <w:b w:val="0"/>
          <w:bCs w:val="0"/>
          <w:color w:val="auto"/>
          <w:kern w:val="0"/>
          <w:sz w:val="24"/>
          <w:szCs w:val="24"/>
          <w:lang w:val="en-US" w:eastAsia="zh-CN" w:bidi="ar"/>
        </w:rPr>
        <w:t>（1）</w:t>
      </w:r>
      <w:r>
        <w:rPr>
          <w:rFonts w:hint="default" w:ascii="Times New Roman" w:hAnsi="Times New Roman" w:eastAsia="宋体" w:cs="宋体"/>
          <w:b w:val="0"/>
          <w:bCs w:val="0"/>
          <w:color w:val="auto"/>
          <w:kern w:val="0"/>
          <w:sz w:val="24"/>
          <w:szCs w:val="24"/>
          <w:lang w:val="en-US" w:eastAsia="zh-CN" w:bidi="ar"/>
        </w:rPr>
        <w:t>所有产噪设备均在正常工况条件下运行；</w:t>
      </w:r>
    </w:p>
    <w:p w14:paraId="64A8A1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b w:val="0"/>
          <w:bCs w:val="0"/>
          <w:color w:val="auto"/>
          <w:kern w:val="0"/>
          <w:sz w:val="24"/>
          <w:szCs w:val="24"/>
          <w:lang w:val="en-US" w:eastAsia="zh-CN" w:bidi="ar"/>
        </w:rPr>
      </w:pPr>
      <w:r>
        <w:rPr>
          <w:rFonts w:hint="eastAsia" w:eastAsia="宋体" w:cs="宋体"/>
          <w:b w:val="0"/>
          <w:bCs w:val="0"/>
          <w:color w:val="auto"/>
          <w:kern w:val="0"/>
          <w:sz w:val="24"/>
          <w:szCs w:val="24"/>
          <w:lang w:val="en-US" w:eastAsia="zh-CN" w:bidi="ar"/>
        </w:rPr>
        <w:t>（2）</w:t>
      </w:r>
      <w:r>
        <w:rPr>
          <w:rFonts w:hint="default" w:ascii="Times New Roman" w:hAnsi="Times New Roman" w:eastAsia="宋体" w:cs="宋体"/>
          <w:b w:val="0"/>
          <w:bCs w:val="0"/>
          <w:color w:val="auto"/>
          <w:kern w:val="0"/>
          <w:sz w:val="24"/>
          <w:szCs w:val="24"/>
          <w:lang w:val="en-US" w:eastAsia="zh-CN" w:bidi="ar"/>
        </w:rPr>
        <w:t>室内噪声源考虑声源所在厂房围护结构的隔声作用；</w:t>
      </w:r>
    </w:p>
    <w:p w14:paraId="6CC476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b w:val="0"/>
          <w:bCs w:val="0"/>
          <w:color w:val="auto"/>
          <w:kern w:val="0"/>
          <w:sz w:val="24"/>
          <w:szCs w:val="24"/>
          <w:lang w:val="en-US" w:eastAsia="zh-CN" w:bidi="ar"/>
        </w:rPr>
      </w:pPr>
      <w:r>
        <w:rPr>
          <w:rFonts w:hint="eastAsia" w:eastAsia="宋体" w:cs="宋体"/>
          <w:b w:val="0"/>
          <w:bCs w:val="0"/>
          <w:color w:val="auto"/>
          <w:kern w:val="0"/>
          <w:sz w:val="24"/>
          <w:szCs w:val="24"/>
          <w:lang w:val="en-US" w:eastAsia="zh-CN" w:bidi="ar"/>
        </w:rPr>
        <w:t>（3）</w:t>
      </w:r>
      <w:r>
        <w:rPr>
          <w:rFonts w:hint="default" w:ascii="Times New Roman" w:hAnsi="Times New Roman" w:eastAsia="宋体" w:cs="宋体"/>
          <w:b w:val="0"/>
          <w:bCs w:val="0"/>
          <w:color w:val="auto"/>
          <w:kern w:val="0"/>
          <w:sz w:val="24"/>
          <w:szCs w:val="24"/>
          <w:lang w:val="en-US" w:eastAsia="zh-CN" w:bidi="ar"/>
        </w:rPr>
        <w:t>考虑声源至预测点的距离衰减，忽略传播中建筑物的阻挡、地面反射以及空气吸收、雨、雪、温度等影响。</w:t>
      </w:r>
    </w:p>
    <w:p w14:paraId="192F4D5E">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3"/>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5.2.3.3预测模型</w:t>
      </w:r>
    </w:p>
    <w:p w14:paraId="59FF689E">
      <w:pPr>
        <w:keepNext w:val="0"/>
        <w:keepLines w:val="0"/>
        <w:pageBreakBefore w:val="0"/>
        <w:widowControl w:val="0"/>
        <w:wordWrap/>
        <w:topLinePunct w:val="0"/>
        <w:bidi w:val="0"/>
        <w:spacing w:line="360" w:lineRule="auto"/>
        <w:ind w:firstLine="480" w:firstLineChars="200"/>
        <w:jc w:val="both"/>
        <w:rPr>
          <w:rFonts w:ascii="Times New Roman" w:hAnsi="Times New Roman" w:eastAsia="宋体" w:cs="华文仿宋"/>
          <w:color w:val="auto"/>
          <w:kern w:val="2"/>
          <w:sz w:val="24"/>
          <w:szCs w:val="24"/>
          <w:lang w:val="en-US" w:eastAsia="zh-CN" w:bidi="ar-SA"/>
        </w:rPr>
      </w:pPr>
      <w:r>
        <w:rPr>
          <w:rFonts w:ascii="Times New Roman" w:hAnsi="Times New Roman" w:eastAsia="宋体" w:cs="华文仿宋"/>
          <w:color w:val="auto"/>
          <w:kern w:val="2"/>
          <w:sz w:val="24"/>
          <w:szCs w:val="24"/>
          <w:lang w:val="en-US" w:eastAsia="zh-CN" w:bidi="ar-SA"/>
        </w:rPr>
        <w:t>本项目噪声源分为室外室内两种声源。噪声声波在传播过程中，将通过距离衰减，空气吸收衰减达到各预测点。另外，雨、雪、雾和温度梯度等因素忽略不计，作为满足预测精度前提下的一定安全保证值。以保证未来实际噪声环境较预测结果优越。</w:t>
      </w:r>
    </w:p>
    <w:p w14:paraId="279B263F">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bookmarkStart w:id="576" w:name="_Toc6241"/>
      <w:bookmarkStart w:id="577" w:name="_Toc11277"/>
      <w:r>
        <w:rPr>
          <w:rFonts w:ascii="Times New Roman" w:hAnsi="Times New Roman" w:eastAsia="宋体" w:cs="Times New Roman"/>
          <w:color w:val="000000"/>
          <w:kern w:val="2"/>
          <w:sz w:val="24"/>
          <w:szCs w:val="24"/>
          <w:highlight w:val="none"/>
          <w:lang w:val="en-US" w:eastAsia="zh-CN" w:bidi="ar-SA"/>
        </w:rPr>
        <w:t>采用</w:t>
      </w:r>
      <w:r>
        <w:rPr>
          <w:rFonts w:hint="eastAsia" w:ascii="Times New Roman" w:hAnsi="Times New Roman" w:eastAsia="宋体" w:cs="Times New Roman"/>
          <w:color w:val="000000"/>
          <w:kern w:val="2"/>
          <w:sz w:val="24"/>
          <w:szCs w:val="24"/>
          <w:highlight w:val="none"/>
          <w:lang w:val="en-US" w:eastAsia="zh-CN" w:bidi="ar-SA"/>
        </w:rPr>
        <w:t>根据《环境影响评价技术导则 声环境》（HJ2.4-2021）</w:t>
      </w:r>
      <w:r>
        <w:rPr>
          <w:rFonts w:ascii="Times New Roman" w:hAnsi="Times New Roman" w:eastAsia="宋体" w:cs="Times New Roman"/>
          <w:color w:val="000000"/>
          <w:kern w:val="2"/>
          <w:sz w:val="24"/>
          <w:szCs w:val="24"/>
          <w:highlight w:val="none"/>
          <w:lang w:val="en-US" w:eastAsia="zh-CN" w:bidi="ar-SA"/>
        </w:rPr>
        <w:t>中推荐模式形式进行</w:t>
      </w:r>
      <w:r>
        <w:rPr>
          <w:rFonts w:hint="eastAsia" w:ascii="Times New Roman" w:hAnsi="Times New Roman" w:eastAsia="宋体" w:cs="Times New Roman"/>
          <w:color w:val="000000"/>
          <w:kern w:val="2"/>
          <w:sz w:val="24"/>
          <w:szCs w:val="24"/>
          <w:highlight w:val="none"/>
          <w:lang w:val="en-US" w:eastAsia="zh-CN" w:bidi="ar-SA"/>
        </w:rPr>
        <w:t>分析</w:t>
      </w:r>
      <w:r>
        <w:rPr>
          <w:rFonts w:ascii="Times New Roman" w:hAnsi="Times New Roman" w:eastAsia="宋体" w:cs="Times New Roman"/>
          <w:color w:val="000000"/>
          <w:kern w:val="2"/>
          <w:sz w:val="24"/>
          <w:szCs w:val="24"/>
          <w:highlight w:val="none"/>
          <w:lang w:val="en-US" w:eastAsia="zh-CN" w:bidi="ar-SA"/>
        </w:rPr>
        <w:t>：</w:t>
      </w:r>
    </w:p>
    <w:p w14:paraId="17DDD354">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①</w:t>
      </w:r>
      <w:r>
        <w:rPr>
          <w:rFonts w:ascii="Times New Roman" w:hAnsi="Times New Roman" w:eastAsia="宋体" w:cs="Times New Roman"/>
          <w:color w:val="000000"/>
          <w:kern w:val="2"/>
          <w:sz w:val="24"/>
          <w:szCs w:val="24"/>
          <w:highlight w:val="none"/>
          <w:lang w:val="en-US" w:eastAsia="zh-CN" w:bidi="ar-SA"/>
        </w:rPr>
        <w:t>室外声源</w:t>
      </w:r>
    </w:p>
    <w:p w14:paraId="65D0FB39">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rPr>
      </w:pPr>
      <w:r>
        <w:rPr>
          <w:rFonts w:hint="eastAsia" w:ascii="Times New Roman" w:hAnsi="Times New Roman" w:eastAsia="宋体" w:cs="Times New Roman"/>
          <w:color w:val="000000"/>
          <w:kern w:val="2"/>
          <w:sz w:val="24"/>
          <w:szCs w:val="24"/>
          <w:highlight w:val="none"/>
          <w:lang w:val="en-US" w:eastAsia="zh-CN" w:bidi="ar-SA"/>
        </w:rPr>
        <w:t>假设线声源长度为l</w:t>
      </w:r>
      <w:r>
        <w:rPr>
          <w:rFonts w:hint="eastAsia" w:ascii="Times New Roman" w:hAnsi="Times New Roman" w:eastAsia="宋体" w:cs="Times New Roman"/>
          <w:color w:val="000000"/>
          <w:kern w:val="2"/>
          <w:sz w:val="24"/>
          <w:szCs w:val="24"/>
          <w:highlight w:val="none"/>
          <w:vertAlign w:val="subscript"/>
          <w:lang w:val="en-US" w:eastAsia="zh-CN" w:bidi="ar-SA"/>
        </w:rPr>
        <w:t>0</w:t>
      </w:r>
      <w:r>
        <w:rPr>
          <w:rFonts w:hint="eastAsia" w:ascii="Times New Roman" w:hAnsi="Times New Roman" w:eastAsia="宋体" w:cs="Times New Roman"/>
          <w:color w:val="000000"/>
          <w:kern w:val="2"/>
          <w:sz w:val="24"/>
          <w:szCs w:val="24"/>
          <w:highlight w:val="none"/>
          <w:lang w:val="en-US" w:eastAsia="zh-CN" w:bidi="ar-SA"/>
        </w:rPr>
        <w:t>，单位长度线声源辐射的倍频带声功率级为Lw。在线声源垂直平分线上距声源r处的声压级为 ：</w:t>
      </w:r>
    </w:p>
    <w:p w14:paraId="5821D092">
      <w:pPr>
        <w:overflowPunct/>
        <w:autoSpaceDE/>
        <w:autoSpaceDN/>
        <w:adjustRightInd/>
        <w:snapToGrid w:val="0"/>
        <w:spacing w:before="0" w:after="0" w:line="520" w:lineRule="exact"/>
        <w:ind w:left="0" w:right="0" w:firstLine="480" w:firstLineChars="200"/>
        <w:jc w:val="both"/>
        <w:rPr>
          <w:rFonts w:hint="eastAsia" w:ascii="Times New Roman" w:hAnsi="Times New Roman" w:eastAsia="宋体" w:cs="Times New Roman"/>
          <w:color w:val="000000"/>
          <w:kern w:val="2"/>
          <w:sz w:val="24"/>
          <w:szCs w:val="24"/>
          <w:highlight w:val="none"/>
        </w:rPr>
      </w:pPr>
      <w:r>
        <w:rPr>
          <w:rFonts w:ascii="Times New Roman" w:hAnsi="Times New Roman" w:eastAsia="宋体" w:cs="Times New Roman"/>
          <w:color w:val="000000"/>
          <w:kern w:val="2"/>
          <w:sz w:val="24"/>
          <w:szCs w:val="24"/>
          <w:highlight w:val="none"/>
        </w:rPr>
        <w:drawing>
          <wp:anchor distT="0" distB="0" distL="114300" distR="114300" simplePos="0" relativeHeight="251664384" behindDoc="0" locked="0" layoutInCell="1" allowOverlap="1">
            <wp:simplePos x="0" y="0"/>
            <wp:positionH relativeFrom="column">
              <wp:posOffset>1388745</wp:posOffset>
            </wp:positionH>
            <wp:positionV relativeFrom="paragraph">
              <wp:posOffset>-12700</wp:posOffset>
            </wp:positionV>
            <wp:extent cx="2305050" cy="514350"/>
            <wp:effectExtent l="0" t="0" r="0" b="0"/>
            <wp:wrapTopAndBottom/>
            <wp:docPr id="224" name="图片 224" descr="165874602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1658746024279"/>
                    <pic:cNvPicPr>
                      <a:picLocks noChangeAspect="1"/>
                    </pic:cNvPicPr>
                  </pic:nvPicPr>
                  <pic:blipFill>
                    <a:blip r:embed="rId59"/>
                    <a:stretch>
                      <a:fillRect/>
                    </a:stretch>
                  </pic:blipFill>
                  <pic:spPr>
                    <a:xfrm>
                      <a:off x="0" y="0"/>
                      <a:ext cx="2305050" cy="514350"/>
                    </a:xfrm>
                    <a:prstGeom prst="rect">
                      <a:avLst/>
                    </a:prstGeom>
                  </pic:spPr>
                </pic:pic>
              </a:graphicData>
            </a:graphic>
          </wp:anchor>
        </w:drawing>
      </w:r>
      <w:r>
        <w:rPr>
          <w:rFonts w:ascii="Times New Roman" w:hAnsi="Times New Roman" w:eastAsia="宋体" w:cs="Times New Roman"/>
          <w:color w:val="000000"/>
          <w:kern w:val="2"/>
          <w:sz w:val="24"/>
          <w:szCs w:val="24"/>
          <w:highlight w:val="none"/>
        </w:rPr>
        <w:t>式中</w:t>
      </w:r>
      <w:r>
        <w:rPr>
          <w:rFonts w:hint="eastAsia" w:ascii="Times New Roman" w:hAnsi="Times New Roman" w:eastAsia="宋体" w:cs="Times New Roman"/>
          <w:color w:val="000000"/>
          <w:kern w:val="2"/>
          <w:sz w:val="24"/>
          <w:szCs w:val="24"/>
          <w:highlight w:val="none"/>
        </w:rPr>
        <w:t>：</w:t>
      </w:r>
    </w:p>
    <w:p w14:paraId="6EC2501F">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rPr>
      </w:pPr>
      <w:r>
        <w:rPr>
          <w:rFonts w:ascii="Times New Roman" w:hAnsi="Times New Roman" w:eastAsia="宋体" w:cs="Times New Roman"/>
          <w:color w:val="000000"/>
          <w:kern w:val="2"/>
          <w:sz w:val="24"/>
          <w:szCs w:val="24"/>
          <w:highlight w:val="none"/>
        </w:rPr>
        <w:t>L</w:t>
      </w:r>
      <w:r>
        <w:rPr>
          <w:rFonts w:hint="eastAsia" w:ascii="Times New Roman" w:hAnsi="Times New Roman" w:eastAsia="宋体" w:cs="Times New Roman"/>
          <w:color w:val="000000"/>
          <w:kern w:val="2"/>
          <w:sz w:val="24"/>
          <w:szCs w:val="24"/>
          <w:highlight w:val="none"/>
          <w:lang w:val="en-US" w:eastAsia="zh-CN"/>
        </w:rPr>
        <w:t>p</w:t>
      </w:r>
      <w:r>
        <w:rPr>
          <w:rFonts w:ascii="Times New Roman" w:hAnsi="Times New Roman" w:eastAsia="宋体" w:cs="Times New Roman"/>
          <w:color w:val="000000"/>
          <w:kern w:val="2"/>
          <w:sz w:val="24"/>
          <w:szCs w:val="24"/>
          <w:highlight w:val="none"/>
        </w:rPr>
        <w:t>（r）</w:t>
      </w:r>
      <w:r>
        <w:rPr>
          <w:rFonts w:ascii="Times New Roman" w:hAnsi="Times New Roman" w:eastAsia="宋体" w:cs="Times New Roman"/>
          <w:color w:val="000000"/>
          <w:kern w:val="2"/>
          <w:sz w:val="24"/>
          <w:szCs w:val="24"/>
          <w:highlight w:val="none"/>
        </w:rPr>
        <w:softHyphen/>
      </w:r>
      <w:r>
        <w:rPr>
          <w:rFonts w:hint="eastAsia" w:ascii="Times New Roman" w:hAnsi="Times New Roman" w:eastAsia="宋体" w:cs="Times New Roman"/>
          <w:color w:val="000000"/>
          <w:kern w:val="2"/>
          <w:sz w:val="24"/>
          <w:szCs w:val="24"/>
          <w:highlight w:val="none"/>
        </w:rPr>
        <w:t>—预测点处声压级，dB</w:t>
      </w:r>
      <w:r>
        <w:rPr>
          <w:rFonts w:ascii="Times New Roman" w:hAnsi="Times New Roman" w:eastAsia="宋体" w:cs="Times New Roman"/>
          <w:color w:val="000000"/>
          <w:kern w:val="2"/>
          <w:sz w:val="24"/>
          <w:szCs w:val="24"/>
          <w:highlight w:val="none"/>
        </w:rPr>
        <w:t>；</w:t>
      </w:r>
    </w:p>
    <w:p w14:paraId="12ADE44C">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rPr>
      </w:pPr>
      <w:r>
        <w:rPr>
          <w:rFonts w:hint="eastAsia" w:ascii="Times New Roman" w:hAnsi="Times New Roman" w:eastAsia="宋体" w:cs="Times New Roman"/>
          <w:color w:val="000000"/>
          <w:kern w:val="2"/>
          <w:sz w:val="24"/>
          <w:szCs w:val="24"/>
          <w:highlight w:val="none"/>
          <w:lang w:val="en-US" w:eastAsia="zh-CN"/>
        </w:rPr>
        <w:t>Lw—线声源声功率级（A计权或倍频带），dB</w:t>
      </w:r>
      <w:r>
        <w:rPr>
          <w:rFonts w:ascii="Times New Roman" w:hAnsi="Times New Roman" w:eastAsia="宋体" w:cs="Times New Roman"/>
          <w:color w:val="000000"/>
          <w:kern w:val="2"/>
          <w:sz w:val="24"/>
          <w:szCs w:val="24"/>
          <w:highlight w:val="none"/>
        </w:rPr>
        <w:t>；</w:t>
      </w:r>
    </w:p>
    <w:p w14:paraId="1B8295D6">
      <w:pPr>
        <w:overflowPunct/>
        <w:autoSpaceDE/>
        <w:autoSpaceDN/>
        <w:adjustRightInd/>
        <w:snapToGrid w:val="0"/>
        <w:spacing w:before="0" w:after="0" w:line="520" w:lineRule="exact"/>
        <w:ind w:left="0" w:right="0" w:firstLine="480" w:firstLineChars="200"/>
        <w:jc w:val="both"/>
        <w:rPr>
          <w:rFonts w:hint="eastAsia" w:ascii="Times New Roman" w:hAnsi="Times New Roman" w:eastAsia="宋体" w:cs="Times New Roman"/>
          <w:color w:val="000000"/>
          <w:kern w:val="2"/>
          <w:sz w:val="24"/>
          <w:szCs w:val="24"/>
          <w:highlight w:val="none"/>
        </w:rPr>
      </w:pPr>
      <w:r>
        <w:rPr>
          <w:rFonts w:hint="eastAsia" w:ascii="Times New Roman" w:hAnsi="Times New Roman" w:eastAsia="宋体" w:cs="Times New Roman"/>
          <w:color w:val="000000"/>
          <w:kern w:val="2"/>
          <w:sz w:val="24"/>
          <w:szCs w:val="24"/>
          <w:highlight w:val="none"/>
        </w:rPr>
        <w:t xml:space="preserve">r—预测点距声源的距离； </w:t>
      </w:r>
    </w:p>
    <w:p w14:paraId="5E29E1BD">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rPr>
      </w:pPr>
      <w:r>
        <w:rPr>
          <w:rFonts w:hint="eastAsia" w:ascii="Times New Roman" w:hAnsi="Times New Roman" w:eastAsia="宋体" w:cs="Times New Roman"/>
          <w:color w:val="000000"/>
          <w:kern w:val="2"/>
          <w:sz w:val="24"/>
          <w:szCs w:val="24"/>
          <w:highlight w:val="none"/>
          <w:lang w:val="en-US" w:eastAsia="zh-CN" w:bidi="ar-SA"/>
        </w:rPr>
        <w:t>l</w:t>
      </w:r>
      <w:r>
        <w:rPr>
          <w:rFonts w:hint="eastAsia" w:ascii="Times New Roman" w:hAnsi="Times New Roman" w:eastAsia="宋体" w:cs="Times New Roman"/>
          <w:color w:val="000000"/>
          <w:kern w:val="2"/>
          <w:sz w:val="24"/>
          <w:szCs w:val="24"/>
          <w:highlight w:val="none"/>
          <w:vertAlign w:val="subscript"/>
          <w:lang w:val="en-US" w:eastAsia="zh-CN" w:bidi="ar-SA"/>
        </w:rPr>
        <w:t>0</w:t>
      </w:r>
      <w:r>
        <w:rPr>
          <w:rFonts w:hint="eastAsia" w:ascii="Times New Roman" w:hAnsi="Times New Roman" w:eastAsia="宋体" w:cs="Times New Roman"/>
          <w:color w:val="000000"/>
          <w:kern w:val="2"/>
          <w:sz w:val="24"/>
          <w:szCs w:val="24"/>
          <w:highlight w:val="none"/>
        </w:rPr>
        <w:t>—线声源长度。</w:t>
      </w:r>
    </w:p>
    <w:p w14:paraId="4C0D1CE9">
      <w:pPr>
        <w:widowControl w:val="0"/>
        <w:overflowPunct w:val="0"/>
        <w:autoSpaceDE w:val="0"/>
        <w:autoSpaceDN w:val="0"/>
        <w:adjustRightInd w:val="0"/>
        <w:snapToGrid w:val="0"/>
        <w:spacing w:before="0" w:after="0" w:line="500" w:lineRule="exact"/>
        <w:ind w:left="0" w:right="0" w:firstLine="480" w:firstLineChars="200"/>
        <w:jc w:val="both"/>
        <w:rPr>
          <w:rFonts w:hint="default" w:eastAsia="宋体" w:cs="Times New Roman"/>
          <w:color w:val="000000"/>
          <w:kern w:val="2"/>
          <w:sz w:val="24"/>
          <w:szCs w:val="24"/>
          <w:highlight w:val="none"/>
          <w:lang w:val="en-US" w:eastAsia="zh-CN" w:bidi="ar-SA"/>
        </w:rPr>
      </w:pPr>
      <w:r>
        <w:rPr>
          <w:rFonts w:hint="eastAsia" w:eastAsia="宋体" w:cs="Times New Roman"/>
          <w:color w:val="000000"/>
          <w:kern w:val="2"/>
          <w:sz w:val="24"/>
          <w:szCs w:val="24"/>
          <w:highlight w:val="none"/>
          <w:lang w:val="en-US" w:eastAsia="zh-CN" w:bidi="ar-SA"/>
        </w:rPr>
        <w:t>②</w:t>
      </w:r>
      <w:r>
        <w:rPr>
          <w:rFonts w:hint="eastAsia" w:ascii="Times New Roman" w:hAnsi="Times New Roman" w:eastAsia="宋体" w:cs="Times New Roman"/>
          <w:color w:val="000000"/>
          <w:kern w:val="2"/>
          <w:sz w:val="24"/>
          <w:szCs w:val="24"/>
          <w:highlight w:val="none"/>
          <w:lang w:val="en-US" w:eastAsia="zh-CN" w:bidi="ar-SA"/>
        </w:rPr>
        <w:t>公路（道路）交通运输声源</w:t>
      </w:r>
    </w:p>
    <w:p w14:paraId="1875B9C7">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采用《环境影响评价技术导则</w:t>
      </w:r>
      <w:r>
        <w:rPr>
          <w:rFonts w:hint="eastAsia" w:eastAsia="宋体" w:cs="Times New Roman"/>
          <w:color w:val="000000"/>
          <w:kern w:val="2"/>
          <w:sz w:val="24"/>
          <w:szCs w:val="24"/>
          <w:highlight w:val="none"/>
          <w:lang w:val="en-US" w:eastAsia="zh-CN" w:bidi="ar-SA"/>
        </w:rPr>
        <w:t xml:space="preserve"> </w:t>
      </w:r>
      <w:r>
        <w:rPr>
          <w:rFonts w:ascii="Times New Roman" w:hAnsi="Times New Roman" w:eastAsia="宋体" w:cs="Times New Roman"/>
          <w:color w:val="000000"/>
          <w:kern w:val="2"/>
          <w:sz w:val="24"/>
          <w:szCs w:val="24"/>
          <w:highlight w:val="none"/>
          <w:lang w:val="en-US" w:eastAsia="zh-CN" w:bidi="ar-SA"/>
        </w:rPr>
        <w:t>声环境》</w:t>
      </w:r>
      <w:r>
        <w:rPr>
          <w:rFonts w:hint="eastAsia" w:ascii="Times New Roman" w:hAnsi="Times New Roman" w:eastAsia="宋体"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HJ2.4</w:t>
      </w:r>
      <w:r>
        <w:rPr>
          <w:rFonts w:hint="eastAsia" w:eastAsia="宋体"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20</w:t>
      </w:r>
      <w:r>
        <w:rPr>
          <w:rFonts w:hint="eastAsia" w:eastAsia="宋体" w:cs="Times New Roman"/>
          <w:color w:val="000000"/>
          <w:kern w:val="2"/>
          <w:sz w:val="24"/>
          <w:szCs w:val="24"/>
          <w:highlight w:val="none"/>
          <w:lang w:val="en-US" w:eastAsia="zh-CN" w:bidi="ar-SA"/>
        </w:rPr>
        <w:t>21</w:t>
      </w:r>
      <w:r>
        <w:rPr>
          <w:rFonts w:hint="eastAsia" w:ascii="Times New Roman" w:hAnsi="Times New Roman" w:eastAsia="宋体"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中</w:t>
      </w:r>
      <w:r>
        <w:rPr>
          <w:rFonts w:hint="eastAsia" w:ascii="Times New Roman" w:hAnsi="Times New Roman" w:eastAsia="宋体" w:cs="Times New Roman"/>
          <w:color w:val="000000"/>
          <w:kern w:val="2"/>
          <w:sz w:val="24"/>
          <w:szCs w:val="24"/>
          <w:highlight w:val="none"/>
          <w:lang w:val="en-US" w:eastAsia="zh-CN" w:bidi="ar-SA"/>
        </w:rPr>
        <w:t>公路（道路）交通运输噪声预测基本模型</w:t>
      </w:r>
      <w:r>
        <w:rPr>
          <w:rFonts w:ascii="Times New Roman" w:hAnsi="Times New Roman" w:eastAsia="宋体" w:cs="Times New Roman"/>
          <w:color w:val="000000"/>
          <w:kern w:val="2"/>
          <w:sz w:val="24"/>
          <w:szCs w:val="24"/>
          <w:highlight w:val="none"/>
          <w:lang w:val="en-US" w:eastAsia="zh-CN" w:bidi="ar-SA"/>
        </w:rPr>
        <w:t>形式进行</w:t>
      </w:r>
      <w:r>
        <w:rPr>
          <w:rFonts w:hint="eastAsia" w:ascii="Times New Roman" w:hAnsi="Times New Roman" w:eastAsia="宋体" w:cs="Times New Roman"/>
          <w:color w:val="000000"/>
          <w:kern w:val="2"/>
          <w:sz w:val="24"/>
          <w:szCs w:val="24"/>
          <w:highlight w:val="none"/>
          <w:lang w:val="en-US" w:eastAsia="zh-CN" w:bidi="ar-SA"/>
        </w:rPr>
        <w:t>分析</w:t>
      </w:r>
      <w:r>
        <w:rPr>
          <w:rFonts w:ascii="Times New Roman" w:hAnsi="Times New Roman" w:eastAsia="宋体" w:cs="Times New Roman"/>
          <w:color w:val="000000"/>
          <w:kern w:val="2"/>
          <w:sz w:val="24"/>
          <w:szCs w:val="24"/>
          <w:highlight w:val="none"/>
          <w:lang w:val="en-US" w:eastAsia="zh-CN" w:bidi="ar-SA"/>
        </w:rPr>
        <w:t>：</w:t>
      </w:r>
    </w:p>
    <w:p w14:paraId="6B2B5E57">
      <w:pPr>
        <w:widowControl w:val="0"/>
        <w:overflowPunct w:val="0"/>
        <w:autoSpaceDE w:val="0"/>
        <w:autoSpaceDN w:val="0"/>
        <w:adjustRightInd w:val="0"/>
        <w:snapToGrid w:val="0"/>
        <w:spacing w:before="0" w:after="0" w:line="500" w:lineRule="exact"/>
        <w:ind w:left="0" w:right="0" w:firstLine="480" w:firstLineChars="200"/>
        <w:jc w:val="both"/>
        <w:rPr>
          <w:rFonts w:hint="eastAsia" w:ascii="Times New Roman" w:hAnsi="Times New Roman" w:eastAsia="宋体" w:cs="Times New Roman"/>
          <w:color w:val="000000"/>
          <w:kern w:val="2"/>
          <w:sz w:val="24"/>
          <w:szCs w:val="24"/>
          <w:highlight w:val="none"/>
        </w:rPr>
      </w:pPr>
      <w:r>
        <w:rPr>
          <w:rFonts w:ascii="Times New Roman" w:hAnsi="Times New Roman" w:eastAsia="宋体" w:cs="Times New Roman"/>
          <w:color w:val="000000"/>
          <w:kern w:val="2"/>
          <w:sz w:val="24"/>
          <w:szCs w:val="24"/>
          <w:highlight w:val="none"/>
          <w:lang w:val="en-US" w:eastAsia="zh-CN" w:bidi="ar-SA"/>
        </w:rPr>
        <w:drawing>
          <wp:anchor distT="0" distB="0" distL="114300" distR="114300" simplePos="0" relativeHeight="251665408" behindDoc="0" locked="0" layoutInCell="1" allowOverlap="1">
            <wp:simplePos x="0" y="0"/>
            <wp:positionH relativeFrom="column">
              <wp:posOffset>527050</wp:posOffset>
            </wp:positionH>
            <wp:positionV relativeFrom="paragraph">
              <wp:posOffset>282575</wp:posOffset>
            </wp:positionV>
            <wp:extent cx="3648075" cy="466725"/>
            <wp:effectExtent l="0" t="0" r="9525" b="9525"/>
            <wp:wrapTopAndBottom/>
            <wp:docPr id="225" name="图片 225" descr="168187836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1681878361972"/>
                    <pic:cNvPicPr>
                      <a:picLocks noChangeAspect="1"/>
                    </pic:cNvPicPr>
                  </pic:nvPicPr>
                  <pic:blipFill>
                    <a:blip r:embed="rId60"/>
                    <a:stretch>
                      <a:fillRect/>
                    </a:stretch>
                  </pic:blipFill>
                  <pic:spPr>
                    <a:xfrm>
                      <a:off x="0" y="0"/>
                      <a:ext cx="3648075" cy="466725"/>
                    </a:xfrm>
                    <a:prstGeom prst="rect">
                      <a:avLst/>
                    </a:prstGeom>
                  </pic:spPr>
                </pic:pic>
              </a:graphicData>
            </a:graphic>
          </wp:anchor>
        </w:drawing>
      </w:r>
      <w:r>
        <w:rPr>
          <w:rFonts w:ascii="Times New Roman" w:hAnsi="Times New Roman" w:eastAsia="宋体" w:cs="Times New Roman"/>
          <w:color w:val="000000"/>
          <w:kern w:val="2"/>
          <w:sz w:val="24"/>
          <w:szCs w:val="24"/>
          <w:highlight w:val="none"/>
        </w:rPr>
        <w:t>式中</w:t>
      </w:r>
      <w:r>
        <w:rPr>
          <w:rFonts w:hint="eastAsia" w:ascii="Times New Roman" w:hAnsi="Times New Roman" w:eastAsia="宋体" w:cs="Times New Roman"/>
          <w:color w:val="000000"/>
          <w:kern w:val="2"/>
          <w:sz w:val="24"/>
          <w:szCs w:val="24"/>
          <w:highlight w:val="none"/>
        </w:rPr>
        <w:t>：</w:t>
      </w:r>
    </w:p>
    <w:p w14:paraId="23CF63DC">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rPr>
      </w:pPr>
      <w:r>
        <w:rPr>
          <w:rFonts w:ascii="Times New Roman" w:hAnsi="Times New Roman" w:eastAsia="宋体" w:cs="Times New Roman"/>
          <w:color w:val="000000"/>
          <w:kern w:val="2"/>
          <w:sz w:val="24"/>
          <w:szCs w:val="24"/>
          <w:highlight w:val="none"/>
        </w:rPr>
        <w:t>L</w:t>
      </w:r>
      <w:r>
        <w:rPr>
          <w:rFonts w:hint="eastAsia" w:eastAsia="宋体" w:cs="Times New Roman"/>
          <w:color w:val="000000"/>
          <w:kern w:val="2"/>
          <w:sz w:val="24"/>
          <w:szCs w:val="24"/>
          <w:highlight w:val="none"/>
          <w:lang w:val="en-US" w:eastAsia="zh-CN"/>
        </w:rPr>
        <w:t>eq</w:t>
      </w:r>
      <w:r>
        <w:rPr>
          <w:rFonts w:ascii="Times New Roman" w:hAnsi="Times New Roman" w:eastAsia="宋体" w:cs="Times New Roman"/>
          <w:color w:val="000000"/>
          <w:kern w:val="2"/>
          <w:sz w:val="24"/>
          <w:szCs w:val="24"/>
          <w:highlight w:val="none"/>
        </w:rPr>
        <w:t>（</w:t>
      </w:r>
      <w:r>
        <w:rPr>
          <w:rFonts w:hint="eastAsia" w:eastAsia="宋体" w:cs="Times New Roman"/>
          <w:color w:val="000000"/>
          <w:kern w:val="2"/>
          <w:sz w:val="24"/>
          <w:szCs w:val="24"/>
          <w:highlight w:val="none"/>
          <w:lang w:val="en-US" w:eastAsia="zh-CN"/>
        </w:rPr>
        <w:t>h</w:t>
      </w:r>
      <w:r>
        <w:rPr>
          <w:rFonts w:ascii="Times New Roman" w:hAnsi="Times New Roman" w:eastAsia="宋体" w:cs="Times New Roman"/>
          <w:color w:val="000000"/>
          <w:kern w:val="2"/>
          <w:sz w:val="24"/>
          <w:szCs w:val="24"/>
          <w:highlight w:val="none"/>
        </w:rPr>
        <w:t>）</w:t>
      </w:r>
      <w:r>
        <w:rPr>
          <w:rFonts w:hint="eastAsia" w:eastAsia="宋体" w:cs="Times New Roman"/>
          <w:color w:val="000000"/>
          <w:kern w:val="2"/>
          <w:sz w:val="24"/>
          <w:szCs w:val="24"/>
          <w:highlight w:val="none"/>
          <w:vertAlign w:val="subscript"/>
          <w:lang w:val="en-US" w:eastAsia="zh-CN"/>
        </w:rPr>
        <w:t>i</w:t>
      </w:r>
      <w:r>
        <w:rPr>
          <w:rFonts w:ascii="Times New Roman" w:hAnsi="Times New Roman" w:eastAsia="宋体" w:cs="Times New Roman"/>
          <w:color w:val="000000"/>
          <w:kern w:val="2"/>
          <w:sz w:val="24"/>
          <w:szCs w:val="24"/>
          <w:highlight w:val="none"/>
        </w:rPr>
        <w:softHyphen/>
      </w:r>
      <w:r>
        <w:rPr>
          <w:rFonts w:ascii="Times New Roman" w:hAnsi="Times New Roman" w:eastAsia="宋体" w:cs="Times New Roman"/>
          <w:color w:val="000000"/>
          <w:kern w:val="2"/>
          <w:sz w:val="24"/>
          <w:szCs w:val="24"/>
          <w:highlight w:val="none"/>
        </w:rPr>
        <w:t>—第</w:t>
      </w:r>
      <w:r>
        <w:rPr>
          <w:rFonts w:hint="eastAsia" w:eastAsia="宋体" w:cs="Times New Roman"/>
          <w:color w:val="000000"/>
          <w:kern w:val="2"/>
          <w:sz w:val="24"/>
          <w:szCs w:val="24"/>
          <w:highlight w:val="none"/>
          <w:lang w:val="en-US" w:eastAsia="zh-CN"/>
        </w:rPr>
        <w:t>i</w:t>
      </w:r>
      <w:r>
        <w:rPr>
          <w:rFonts w:hint="eastAsia" w:ascii="Times New Roman" w:hAnsi="Times New Roman" w:eastAsia="宋体" w:cs="Times New Roman"/>
          <w:color w:val="000000"/>
          <w:kern w:val="2"/>
          <w:sz w:val="24"/>
          <w:szCs w:val="24"/>
          <w:highlight w:val="none"/>
        </w:rPr>
        <w:t>类车的小时等效声级</w:t>
      </w:r>
      <w:r>
        <w:rPr>
          <w:rFonts w:hint="eastAsia" w:eastAsia="宋体" w:cs="Times New Roman"/>
          <w:color w:val="000000"/>
          <w:kern w:val="2"/>
          <w:sz w:val="24"/>
          <w:szCs w:val="24"/>
          <w:highlight w:val="none"/>
          <w:lang w:eastAsia="zh-CN"/>
        </w:rPr>
        <w:t>，</w:t>
      </w:r>
      <w:r>
        <w:rPr>
          <w:rFonts w:ascii="Times New Roman" w:hAnsi="Times New Roman" w:eastAsia="宋体" w:cs="Times New Roman"/>
          <w:color w:val="000000"/>
          <w:kern w:val="2"/>
          <w:sz w:val="24"/>
          <w:szCs w:val="24"/>
          <w:highlight w:val="none"/>
        </w:rPr>
        <w:t>dB</w:t>
      </w:r>
      <w:r>
        <w:rPr>
          <w:rFonts w:hint="eastAsia" w:eastAsia="宋体" w:cs="Times New Roman"/>
          <w:color w:val="000000"/>
          <w:kern w:val="2"/>
          <w:sz w:val="24"/>
          <w:szCs w:val="24"/>
          <w:highlight w:val="none"/>
          <w:lang w:eastAsia="zh-CN"/>
        </w:rPr>
        <w:t>（</w:t>
      </w:r>
      <w:r>
        <w:rPr>
          <w:rFonts w:hint="eastAsia" w:eastAsia="宋体" w:cs="Times New Roman"/>
          <w:color w:val="000000"/>
          <w:kern w:val="2"/>
          <w:sz w:val="24"/>
          <w:szCs w:val="24"/>
          <w:highlight w:val="none"/>
          <w:lang w:val="en-US" w:eastAsia="zh-CN"/>
        </w:rPr>
        <w:t>A</w:t>
      </w:r>
      <w:r>
        <w:rPr>
          <w:rFonts w:hint="eastAsia" w:eastAsia="宋体" w:cs="Times New Roman"/>
          <w:color w:val="000000"/>
          <w:kern w:val="2"/>
          <w:sz w:val="24"/>
          <w:szCs w:val="24"/>
          <w:highlight w:val="none"/>
          <w:lang w:eastAsia="zh-CN"/>
        </w:rPr>
        <w:t>）</w:t>
      </w:r>
      <w:r>
        <w:rPr>
          <w:rFonts w:ascii="Times New Roman" w:hAnsi="Times New Roman" w:eastAsia="宋体" w:cs="Times New Roman"/>
          <w:color w:val="000000"/>
          <w:kern w:val="2"/>
          <w:sz w:val="24"/>
          <w:szCs w:val="24"/>
          <w:highlight w:val="none"/>
        </w:rPr>
        <w:t>；</w:t>
      </w:r>
    </w:p>
    <w:p w14:paraId="67CFB3B9">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rPr>
      </w:pPr>
      <w:r>
        <w:rPr>
          <w:rFonts w:eastAsia="宋体" w:cs="宋体"/>
          <w:color w:val="auto"/>
          <w:kern w:val="0"/>
          <w:sz w:val="24"/>
          <w:szCs w:val="22"/>
        </w:rPr>
        <mc:AlternateContent>
          <mc:Choice Requires="wps">
            <w:drawing>
              <wp:anchor distT="0" distB="0" distL="114300" distR="114300" simplePos="0" relativeHeight="251666432" behindDoc="0" locked="0" layoutInCell="1" allowOverlap="1">
                <wp:simplePos x="0" y="0"/>
                <wp:positionH relativeFrom="column">
                  <wp:posOffset>417195</wp:posOffset>
                </wp:positionH>
                <wp:positionV relativeFrom="paragraph">
                  <wp:posOffset>89535</wp:posOffset>
                </wp:positionV>
                <wp:extent cx="228600" cy="9525"/>
                <wp:effectExtent l="0" t="0" r="0" b="0"/>
                <wp:wrapNone/>
                <wp:docPr id="226" name="直接连接符 226"/>
                <wp:cNvGraphicFramePr/>
                <a:graphic xmlns:a="http://schemas.openxmlformats.org/drawingml/2006/main">
                  <a:graphicData uri="http://schemas.microsoft.com/office/word/2010/wordprocessingShape">
                    <wps:wsp>
                      <wps:cNvCnPr/>
                      <wps:spPr>
                        <a:xfrm flipV="1">
                          <a:off x="1903730" y="1019810"/>
                          <a:ext cx="228600" cy="9525"/>
                        </a:xfrm>
                        <a:prstGeom prst="line">
                          <a:avLst/>
                        </a:prstGeom>
                        <a:noFill/>
                        <a:ln w="6350" cap="flat" cmpd="sng" algn="ctr">
                          <a:solidFill>
                            <a:sysClr val="windowText" lastClr="000000"/>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2.85pt;margin-top:7.05pt;height:0.75pt;width:18pt;z-index:251666432;mso-width-relative:page;mso-height-relative:page;" filled="f" stroked="t" coordsize="21600,21600" o:gfxdata="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zpxWX1QAAAAgBAAAPAAAAAAAAAAEAIAAAACIA&#10;AABkcnMvZG93bnJldi54bWxQSwECFAAUAAAACACHTuJAa8UJzAwCAADvAwAADgAAAAAAAAABACAA&#10;AAAkAQAAZHJzL2Uyb0RvYy54bWxQSwUGAAAAAAYABgBZAQAAogUAAAAA&#10;">
                <v:fill on="f" focussize="0,0"/>
                <v:stroke weight="0.5pt" color="#000000 [3204]" miterlimit="8" joinstyle="miter"/>
                <v:imagedata o:title=""/>
                <o:lock v:ext="edit" aspectratio="f"/>
              </v:line>
            </w:pict>
          </mc:Fallback>
        </mc:AlternateContent>
      </w:r>
      <w:r>
        <w:rPr>
          <w:rFonts w:hint="eastAsia" w:eastAsia="宋体" w:cs="Times New Roman"/>
          <w:color w:val="000000"/>
          <w:kern w:val="2"/>
          <w:sz w:val="24"/>
          <w:szCs w:val="24"/>
          <w:highlight w:val="none"/>
          <w:lang w:val="en-US" w:eastAsia="zh-CN"/>
        </w:rPr>
        <w:t>（</w:t>
      </w:r>
      <w:r>
        <w:rPr>
          <w:rFonts w:hint="eastAsia" w:eastAsia="宋体" w:cs="Times New Roman"/>
          <w:color w:val="000000"/>
          <w:kern w:val="2"/>
          <w:sz w:val="24"/>
          <w:szCs w:val="24"/>
          <w:highlight w:val="none"/>
          <w:shd w:val="clear" w:color="auto" w:fill="auto"/>
          <w:lang w:val="en-US" w:eastAsia="zh-CN"/>
        </w:rPr>
        <w:t>L</w:t>
      </w:r>
      <w:r>
        <w:rPr>
          <w:rFonts w:hint="eastAsia" w:eastAsia="宋体" w:cs="Times New Roman"/>
          <w:color w:val="000000"/>
          <w:kern w:val="2"/>
          <w:sz w:val="24"/>
          <w:szCs w:val="24"/>
          <w:highlight w:val="none"/>
          <w:shd w:val="clear" w:color="auto" w:fill="auto"/>
          <w:vertAlign w:val="subscript"/>
          <w:lang w:val="en-US" w:eastAsia="zh-CN"/>
        </w:rPr>
        <w:t>0E</w:t>
      </w:r>
      <w:r>
        <w:rPr>
          <w:rFonts w:hint="eastAsia" w:eastAsia="宋体" w:cs="Times New Roman"/>
          <w:color w:val="000000"/>
          <w:kern w:val="2"/>
          <w:sz w:val="24"/>
          <w:szCs w:val="24"/>
          <w:highlight w:val="none"/>
          <w:lang w:val="en-US" w:eastAsia="zh-CN"/>
        </w:rPr>
        <w:t>）</w:t>
      </w:r>
      <w:r>
        <w:rPr>
          <w:rFonts w:hint="eastAsia" w:eastAsia="宋体" w:cs="Times New Roman"/>
          <w:color w:val="000000"/>
          <w:kern w:val="2"/>
          <w:sz w:val="24"/>
          <w:szCs w:val="24"/>
          <w:highlight w:val="none"/>
          <w:vertAlign w:val="subscript"/>
          <w:lang w:val="en-US" w:eastAsia="zh-CN"/>
        </w:rPr>
        <w:t>i</w:t>
      </w:r>
      <w:r>
        <w:rPr>
          <w:rFonts w:hint="eastAsia" w:ascii="Times New Roman" w:hAnsi="Times New Roman" w:eastAsia="宋体" w:cs="Times New Roman"/>
          <w:color w:val="000000"/>
          <w:kern w:val="2"/>
          <w:sz w:val="24"/>
          <w:szCs w:val="24"/>
          <w:highlight w:val="none"/>
        </w:rPr>
        <w:t>—第i类车速度为Vi，km/h，水平距离为7.5 m处的能量平均A声级，dB</w:t>
      </w:r>
      <w:r>
        <w:rPr>
          <w:rFonts w:ascii="Times New Roman" w:hAnsi="Times New Roman" w:eastAsia="宋体" w:cs="Times New Roman"/>
          <w:color w:val="000000"/>
          <w:kern w:val="2"/>
          <w:sz w:val="24"/>
          <w:szCs w:val="24"/>
          <w:highlight w:val="none"/>
        </w:rPr>
        <w:t>；</w:t>
      </w:r>
    </w:p>
    <w:p w14:paraId="02C38DF0">
      <w:pPr>
        <w:widowControl w:val="0"/>
        <w:autoSpaceDE/>
        <w:autoSpaceDN/>
        <w:adjustRightInd/>
        <w:spacing w:after="120" w:line="240" w:lineRule="auto"/>
        <w:ind w:left="0" w:leftChars="0" w:firstLine="480" w:firstLineChars="200"/>
        <w:jc w:val="both"/>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eastAsia="宋体" w:cs="Times New Roman"/>
          <w:color w:val="000000"/>
          <w:kern w:val="2"/>
          <w:sz w:val="24"/>
          <w:szCs w:val="24"/>
          <w:highlight w:val="none"/>
          <w:lang w:val="en-US" w:eastAsia="zh-CN" w:bidi="ar-SA"/>
        </w:rPr>
        <w:t>N</w:t>
      </w:r>
      <w:r>
        <w:rPr>
          <w:rFonts w:hint="eastAsia" w:ascii="Times New Roman" w:hAnsi="Times New Roman" w:eastAsia="宋体" w:cs="Times New Roman"/>
          <w:color w:val="000000"/>
          <w:kern w:val="2"/>
          <w:sz w:val="24"/>
          <w:szCs w:val="24"/>
          <w:highlight w:val="none"/>
          <w:vertAlign w:val="subscript"/>
          <w:lang w:val="en-US" w:eastAsia="zh-CN" w:bidi="ar-SA"/>
        </w:rPr>
        <w:t>i</w:t>
      </w:r>
      <w:r>
        <w:rPr>
          <w:rFonts w:hint="eastAsia" w:ascii="Times New Roman" w:hAnsi="Times New Roman" w:eastAsia="宋体" w:cs="Times New Roman"/>
          <w:color w:val="000000"/>
          <w:kern w:val="2"/>
          <w:sz w:val="24"/>
          <w:szCs w:val="24"/>
          <w:highlight w:val="none"/>
          <w:lang w:val="en-US" w:eastAsia="zh-CN" w:bidi="ar-SA"/>
        </w:rPr>
        <w:t>—昼间，夜间通过某个预测点的第i类车平均小时车流量，辆/h；</w:t>
      </w:r>
    </w:p>
    <w:p w14:paraId="2CD48F11">
      <w:pPr>
        <w:overflowPunct/>
        <w:autoSpaceDE/>
        <w:autoSpaceDN/>
        <w:adjustRightInd/>
        <w:snapToGrid w:val="0"/>
        <w:spacing w:before="0" w:after="0" w:line="520" w:lineRule="exact"/>
        <w:ind w:left="0" w:right="0" w:firstLine="480" w:firstLineChars="200"/>
        <w:jc w:val="both"/>
        <w:rPr>
          <w:rFonts w:hint="eastAsia" w:eastAsia="宋体" w:cs="Times New Roman"/>
          <w:color w:val="000000"/>
          <w:kern w:val="2"/>
          <w:sz w:val="24"/>
          <w:szCs w:val="24"/>
          <w:highlight w:val="none"/>
          <w:lang w:val="en-US" w:eastAsia="zh-CN"/>
        </w:rPr>
      </w:pPr>
      <w:r>
        <w:rPr>
          <w:rFonts w:hint="eastAsia" w:eastAsia="宋体" w:cs="Times New Roman"/>
          <w:color w:val="000000"/>
          <w:kern w:val="2"/>
          <w:sz w:val="24"/>
          <w:szCs w:val="24"/>
          <w:highlight w:val="none"/>
          <w:lang w:val="en-US" w:eastAsia="zh-CN"/>
        </w:rPr>
        <w:t xml:space="preserve">V </w:t>
      </w:r>
      <w:r>
        <w:rPr>
          <w:rFonts w:hint="eastAsia" w:eastAsia="宋体" w:cs="Times New Roman"/>
          <w:color w:val="000000"/>
          <w:kern w:val="2"/>
          <w:sz w:val="24"/>
          <w:szCs w:val="24"/>
          <w:highlight w:val="none"/>
          <w:vertAlign w:val="subscript"/>
          <w:lang w:val="en-US" w:eastAsia="zh-CN"/>
        </w:rPr>
        <w:t>i</w:t>
      </w:r>
      <w:r>
        <w:rPr>
          <w:rFonts w:hint="eastAsia" w:ascii="Times New Roman" w:hAnsi="Times New Roman" w:eastAsia="宋体" w:cs="Times New Roman"/>
          <w:color w:val="000000"/>
          <w:kern w:val="2"/>
          <w:sz w:val="24"/>
          <w:szCs w:val="24"/>
          <w:highlight w:val="none"/>
        </w:rPr>
        <w:t>—</w:t>
      </w:r>
      <w:r>
        <w:rPr>
          <w:rFonts w:hint="eastAsia" w:eastAsia="宋体" w:cs="Times New Roman"/>
          <w:color w:val="000000"/>
          <w:kern w:val="2"/>
          <w:sz w:val="24"/>
          <w:szCs w:val="24"/>
          <w:highlight w:val="none"/>
          <w:lang w:val="en-US" w:eastAsia="zh-CN"/>
        </w:rPr>
        <w:t>第i类车的平均车速，km/h；</w:t>
      </w:r>
    </w:p>
    <w:p w14:paraId="4906EC75">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rPr>
      </w:pPr>
      <w:r>
        <w:rPr>
          <w:rFonts w:hint="eastAsia" w:eastAsia="宋体" w:cs="Times New Roman"/>
          <w:color w:val="000000"/>
          <w:kern w:val="2"/>
          <w:sz w:val="24"/>
          <w:szCs w:val="24"/>
          <w:highlight w:val="none"/>
          <w:lang w:val="en-US" w:eastAsia="zh-CN"/>
        </w:rPr>
        <w:t>T</w:t>
      </w:r>
      <w:r>
        <w:rPr>
          <w:rFonts w:hint="eastAsia" w:ascii="Times New Roman" w:hAnsi="Times New Roman" w:eastAsia="宋体" w:cs="Times New Roman"/>
          <w:color w:val="000000"/>
          <w:kern w:val="2"/>
          <w:sz w:val="24"/>
          <w:szCs w:val="24"/>
          <w:highlight w:val="none"/>
        </w:rPr>
        <w:t>—计算等效声级的时间，1 h</w:t>
      </w:r>
      <w:r>
        <w:rPr>
          <w:rFonts w:ascii="Times New Roman" w:hAnsi="Times New Roman" w:eastAsia="宋体" w:cs="Times New Roman"/>
          <w:color w:val="000000"/>
          <w:kern w:val="2"/>
          <w:sz w:val="24"/>
          <w:szCs w:val="24"/>
          <w:highlight w:val="none"/>
        </w:rPr>
        <w:t>；</w:t>
      </w:r>
    </w:p>
    <w:p w14:paraId="425FE4CC">
      <w:pPr>
        <w:overflowPunct/>
        <w:autoSpaceDE/>
        <w:autoSpaceDN/>
        <w:adjustRightInd/>
        <w:snapToGrid w:val="0"/>
        <w:spacing w:before="0" w:after="0" w:line="520" w:lineRule="exact"/>
        <w:ind w:left="0" w:right="0" w:firstLine="480" w:firstLineChars="200"/>
        <w:jc w:val="both"/>
        <w:rPr>
          <w:rFonts w:hint="eastAsia"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rPr>
        <w:t>Δ</w:t>
      </w:r>
      <w:r>
        <w:rPr>
          <w:rFonts w:hint="eastAsia" w:eastAsia="宋体" w:cs="Times New Roman"/>
          <w:color w:val="000000"/>
          <w:kern w:val="2"/>
          <w:sz w:val="24"/>
          <w:szCs w:val="24"/>
          <w:highlight w:val="none"/>
          <w:lang w:val="en-US" w:eastAsia="zh-CN"/>
        </w:rPr>
        <w:t>L</w:t>
      </w:r>
      <w:r>
        <w:rPr>
          <w:rFonts w:hint="eastAsia" w:eastAsia="宋体" w:cs="Times New Roman"/>
          <w:color w:val="000000"/>
          <w:kern w:val="2"/>
          <w:sz w:val="24"/>
          <w:szCs w:val="24"/>
          <w:highlight w:val="none"/>
          <w:vertAlign w:val="subscript"/>
          <w:lang w:val="en-US" w:eastAsia="zh-CN"/>
        </w:rPr>
        <w:t>距离</w:t>
      </w:r>
      <w:r>
        <w:rPr>
          <w:rFonts w:hint="eastAsia" w:eastAsia="宋体" w:cs="Times New Roman"/>
          <w:color w:val="000000"/>
          <w:kern w:val="2"/>
          <w:sz w:val="24"/>
          <w:szCs w:val="24"/>
          <w:highlight w:val="none"/>
          <w:lang w:val="en-US" w:eastAsia="zh-CN"/>
        </w:rPr>
        <w:t>—距离衰减量，dB</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A</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，小时车流量小于300辆/小时：</w:t>
      </w:r>
      <w:r>
        <w:rPr>
          <w:rFonts w:hint="eastAsia" w:ascii="Times New Roman" w:hAnsi="Times New Roman" w:eastAsia="宋体" w:cs="Times New Roman"/>
          <w:color w:val="000000"/>
          <w:kern w:val="2"/>
          <w:sz w:val="24"/>
          <w:szCs w:val="24"/>
          <w:highlight w:val="none"/>
        </w:rPr>
        <w:t>Δ</w:t>
      </w:r>
      <w:r>
        <w:rPr>
          <w:rFonts w:hint="eastAsia" w:eastAsia="宋体" w:cs="Times New Roman"/>
          <w:color w:val="000000"/>
          <w:kern w:val="2"/>
          <w:sz w:val="24"/>
          <w:szCs w:val="24"/>
          <w:highlight w:val="none"/>
          <w:lang w:val="en-US" w:eastAsia="zh-CN"/>
        </w:rPr>
        <w:t>L</w:t>
      </w:r>
      <w:r>
        <w:rPr>
          <w:rFonts w:hint="eastAsia" w:eastAsia="宋体" w:cs="Times New Roman"/>
          <w:color w:val="000000"/>
          <w:kern w:val="2"/>
          <w:sz w:val="24"/>
          <w:szCs w:val="24"/>
          <w:highlight w:val="none"/>
          <w:vertAlign w:val="subscript"/>
          <w:lang w:val="en-US" w:eastAsia="zh-CN"/>
        </w:rPr>
        <w:t>距离</w:t>
      </w:r>
      <w:r>
        <w:rPr>
          <w:rFonts w:hint="eastAsia" w:eastAsia="宋体" w:cs="Times New Roman"/>
          <w:color w:val="000000"/>
          <w:kern w:val="2"/>
          <w:sz w:val="24"/>
          <w:szCs w:val="24"/>
          <w:highlight w:val="none"/>
          <w:lang w:val="en-US" w:eastAsia="zh-CN"/>
        </w:rPr>
        <w:t>=15lg</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7.5/r</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w:t>
      </w:r>
    </w:p>
    <w:p w14:paraId="41B4F360">
      <w:pPr>
        <w:overflowPunct/>
        <w:autoSpaceDE/>
        <w:autoSpaceDN/>
        <w:adjustRightInd/>
        <w:snapToGrid w:val="0"/>
        <w:spacing w:before="0" w:after="0" w:line="520" w:lineRule="exact"/>
        <w:ind w:left="0" w:right="0" w:firstLine="480" w:firstLineChars="200"/>
        <w:jc w:val="both"/>
        <w:rPr>
          <w:rFonts w:hint="eastAsia" w:ascii="Times New Roman" w:hAnsi="Times New Roman" w:eastAsia="宋体" w:cs="Times New Roman"/>
          <w:color w:val="000000"/>
          <w:kern w:val="2"/>
          <w:sz w:val="24"/>
          <w:szCs w:val="24"/>
          <w:highlight w:val="none"/>
        </w:rPr>
      </w:pPr>
      <w:r>
        <w:rPr>
          <w:rFonts w:hint="eastAsia" w:ascii="Times New Roman" w:hAnsi="Times New Roman" w:eastAsia="宋体" w:cs="Times New Roman"/>
          <w:color w:val="000000"/>
          <w:kern w:val="2"/>
          <w:sz w:val="24"/>
          <w:szCs w:val="24"/>
          <w:highlight w:val="none"/>
        </w:rPr>
        <w:t>r—从车道中心线到预测点的距离，m，适用于r＞7.5 m的预测点的噪声预测；</w:t>
      </w:r>
    </w:p>
    <w:p w14:paraId="272B88B5">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000000"/>
          <w:kern w:val="2"/>
          <w:sz w:val="24"/>
          <w:szCs w:val="24"/>
          <w:highlight w:val="none"/>
        </w:rPr>
      </w:pPr>
      <w:r>
        <w:rPr>
          <w:rFonts w:hint="default" w:ascii="Times New Roman" w:hAnsi="Times New Roman" w:eastAsia="宋体" w:cs="Times New Roman"/>
          <w:color w:val="000000"/>
          <w:kern w:val="2"/>
          <w:sz w:val="24"/>
          <w:szCs w:val="24"/>
          <w:highlight w:val="none"/>
        </w:rPr>
        <w:t>Ψ</w:t>
      </w:r>
      <w:r>
        <w:rPr>
          <w:rFonts w:hint="eastAsia" w:ascii="Times New Roman" w:hAnsi="Times New Roman" w:eastAsia="宋体" w:cs="Times New Roman"/>
          <w:color w:val="000000"/>
          <w:kern w:val="2"/>
          <w:sz w:val="24"/>
          <w:szCs w:val="24"/>
          <w:highlight w:val="none"/>
          <w:vertAlign w:val="subscript"/>
          <w:lang w:val="en-US" w:eastAsia="zh-CN"/>
        </w:rPr>
        <w:t>1</w:t>
      </w:r>
      <w:r>
        <w:rPr>
          <w:rFonts w:hint="eastAsia" w:ascii="Times New Roman" w:hAnsi="Times New Roman" w:eastAsia="宋体" w:cs="Times New Roman"/>
          <w:color w:val="000000"/>
          <w:kern w:val="2"/>
          <w:sz w:val="24"/>
          <w:szCs w:val="24"/>
          <w:highlight w:val="none"/>
          <w:lang w:val="en-US" w:eastAsia="zh-CN"/>
        </w:rPr>
        <w:t>、</w:t>
      </w:r>
      <w:r>
        <w:rPr>
          <w:rFonts w:hint="default" w:ascii="Times New Roman" w:hAnsi="Times New Roman" w:eastAsia="宋体" w:cs="Times New Roman"/>
          <w:color w:val="000000"/>
          <w:kern w:val="2"/>
          <w:sz w:val="24"/>
          <w:szCs w:val="24"/>
          <w:highlight w:val="none"/>
        </w:rPr>
        <w:t>Ψ</w:t>
      </w:r>
      <w:r>
        <w:rPr>
          <w:rFonts w:hint="eastAsia" w:ascii="Times New Roman" w:hAnsi="Times New Roman" w:eastAsia="宋体" w:cs="Times New Roman"/>
          <w:color w:val="000000"/>
          <w:kern w:val="2"/>
          <w:sz w:val="24"/>
          <w:szCs w:val="24"/>
          <w:highlight w:val="none"/>
          <w:vertAlign w:val="subscript"/>
          <w:lang w:val="en-US" w:eastAsia="zh-CN"/>
        </w:rPr>
        <w:t>2</w:t>
      </w:r>
      <w:r>
        <w:rPr>
          <w:rFonts w:hint="eastAsia" w:ascii="Times New Roman" w:hAnsi="Times New Roman" w:eastAsia="宋体" w:cs="Times New Roman"/>
          <w:color w:val="000000"/>
          <w:kern w:val="2"/>
          <w:sz w:val="24"/>
          <w:szCs w:val="24"/>
          <w:highlight w:val="none"/>
        </w:rPr>
        <w:t>—预测点到有限长路段两端的张角，弧度，如图</w:t>
      </w:r>
      <w:r>
        <w:rPr>
          <w:rFonts w:hint="eastAsia" w:eastAsia="宋体" w:cs="Times New Roman"/>
          <w:color w:val="000000"/>
          <w:kern w:val="2"/>
          <w:sz w:val="24"/>
          <w:szCs w:val="24"/>
          <w:highlight w:val="none"/>
          <w:lang w:val="en-US" w:eastAsia="zh-CN"/>
        </w:rPr>
        <w:t>4.7-1</w:t>
      </w:r>
      <w:r>
        <w:rPr>
          <w:rFonts w:hint="eastAsia" w:ascii="Times New Roman" w:hAnsi="Times New Roman" w:eastAsia="宋体" w:cs="Times New Roman"/>
          <w:color w:val="000000"/>
          <w:kern w:val="2"/>
          <w:sz w:val="24"/>
          <w:szCs w:val="24"/>
          <w:highlight w:val="none"/>
        </w:rPr>
        <w:t>所示</w:t>
      </w:r>
      <w:r>
        <w:rPr>
          <w:rFonts w:ascii="Times New Roman" w:hAnsi="Times New Roman" w:eastAsia="宋体" w:cs="Times New Roman"/>
          <w:color w:val="000000"/>
          <w:kern w:val="2"/>
          <w:sz w:val="24"/>
          <w:szCs w:val="24"/>
          <w:highlight w:val="none"/>
        </w:rPr>
        <w:t>；</w:t>
      </w:r>
    </w:p>
    <w:p w14:paraId="4E8D964A">
      <w:pPr>
        <w:widowControl w:val="0"/>
        <w:overflowPunct w:val="0"/>
        <w:autoSpaceDE w:val="0"/>
        <w:autoSpaceDN w:val="0"/>
        <w:adjustRightInd w:val="0"/>
        <w:snapToGrid w:val="0"/>
        <w:spacing w:before="0" w:after="0" w:line="500" w:lineRule="exact"/>
        <w:ind w:left="0" w:right="0"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drawing>
          <wp:anchor distT="0" distB="0" distL="114300" distR="114300" simplePos="0" relativeHeight="251667456" behindDoc="1" locked="0" layoutInCell="1" allowOverlap="1">
            <wp:simplePos x="0" y="0"/>
            <wp:positionH relativeFrom="column">
              <wp:posOffset>1045845</wp:posOffset>
            </wp:positionH>
            <wp:positionV relativeFrom="paragraph">
              <wp:posOffset>47625</wp:posOffset>
            </wp:positionV>
            <wp:extent cx="2609850" cy="1200150"/>
            <wp:effectExtent l="0" t="0" r="0" b="0"/>
            <wp:wrapNone/>
            <wp:docPr id="424" name="图片 424" descr="168188031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424" descr="1681880313207"/>
                    <pic:cNvPicPr>
                      <a:picLocks noChangeAspect="1"/>
                    </pic:cNvPicPr>
                  </pic:nvPicPr>
                  <pic:blipFill>
                    <a:blip r:embed="rId61"/>
                    <a:stretch>
                      <a:fillRect/>
                    </a:stretch>
                  </pic:blipFill>
                  <pic:spPr>
                    <a:xfrm>
                      <a:off x="0" y="0"/>
                      <a:ext cx="2609850" cy="1200150"/>
                    </a:xfrm>
                    <a:prstGeom prst="rect">
                      <a:avLst/>
                    </a:prstGeom>
                  </pic:spPr>
                </pic:pic>
              </a:graphicData>
            </a:graphic>
          </wp:anchor>
        </w:drawing>
      </w:r>
    </w:p>
    <w:p w14:paraId="0EA17FFF">
      <w:pPr>
        <w:widowControl w:val="0"/>
        <w:overflowPunct w:val="0"/>
        <w:autoSpaceDE w:val="0"/>
        <w:autoSpaceDN w:val="0"/>
        <w:adjustRightInd w:val="0"/>
        <w:snapToGrid w:val="0"/>
        <w:spacing w:before="0" w:after="0" w:line="500" w:lineRule="exact"/>
        <w:ind w:left="0" w:right="0" w:firstLine="480" w:firstLineChars="200"/>
        <w:jc w:val="both"/>
        <w:rPr>
          <w:rFonts w:hint="eastAsia" w:ascii="Times New Roman" w:hAnsi="Times New Roman" w:eastAsia="宋体" w:cs="Times New Roman"/>
          <w:color w:val="000000"/>
          <w:kern w:val="2"/>
          <w:sz w:val="24"/>
          <w:szCs w:val="24"/>
          <w:highlight w:val="none"/>
          <w:lang w:val="en-US" w:eastAsia="zh-CN" w:bidi="ar-SA"/>
        </w:rPr>
      </w:pPr>
    </w:p>
    <w:p w14:paraId="14ABF8C2">
      <w:pPr>
        <w:widowControl w:val="0"/>
        <w:overflowPunct w:val="0"/>
        <w:autoSpaceDE w:val="0"/>
        <w:autoSpaceDN w:val="0"/>
        <w:adjustRightInd w:val="0"/>
        <w:snapToGrid w:val="0"/>
        <w:spacing w:before="0" w:after="0" w:line="500" w:lineRule="exact"/>
        <w:ind w:left="0" w:right="0" w:firstLine="480" w:firstLineChars="200"/>
        <w:jc w:val="both"/>
        <w:rPr>
          <w:rFonts w:hint="eastAsia" w:ascii="Times New Roman" w:hAnsi="Times New Roman" w:eastAsia="宋体" w:cs="Times New Roman"/>
          <w:color w:val="000000"/>
          <w:kern w:val="2"/>
          <w:sz w:val="24"/>
          <w:szCs w:val="24"/>
          <w:highlight w:val="none"/>
          <w:lang w:val="en-US" w:eastAsia="zh-CN" w:bidi="ar-SA"/>
        </w:rPr>
      </w:pPr>
    </w:p>
    <w:p w14:paraId="2B1FE62F">
      <w:pPr>
        <w:widowControl w:val="0"/>
        <w:overflowPunct w:val="0"/>
        <w:autoSpaceDE w:val="0"/>
        <w:autoSpaceDN w:val="0"/>
        <w:adjustRightInd w:val="0"/>
        <w:snapToGrid w:val="0"/>
        <w:spacing w:before="0" w:after="0" w:line="500" w:lineRule="exact"/>
        <w:ind w:right="0"/>
        <w:jc w:val="both"/>
        <w:rPr>
          <w:rFonts w:hint="eastAsia" w:ascii="Times New Roman" w:hAnsi="Times New Roman" w:eastAsia="宋体" w:cs="Times New Roman"/>
          <w:color w:val="000000"/>
          <w:kern w:val="2"/>
          <w:sz w:val="24"/>
          <w:szCs w:val="24"/>
          <w:highlight w:val="none"/>
          <w:lang w:val="en-US" w:eastAsia="zh-CN"/>
        </w:rPr>
      </w:pPr>
    </w:p>
    <w:p w14:paraId="20D54E37">
      <w:pPr>
        <w:widowControl w:val="0"/>
        <w:overflowPunct w:val="0"/>
        <w:autoSpaceDE w:val="0"/>
        <w:autoSpaceDN w:val="0"/>
        <w:adjustRightInd w:val="0"/>
        <w:snapToGrid w:val="0"/>
        <w:spacing w:before="0" w:after="0" w:line="500" w:lineRule="exact"/>
        <w:ind w:right="0"/>
        <w:jc w:val="center"/>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b/>
          <w:bCs/>
          <w:color w:val="000000"/>
          <w:kern w:val="2"/>
          <w:sz w:val="24"/>
          <w:szCs w:val="24"/>
          <w:highlight w:val="none"/>
          <w:lang w:val="en-US" w:eastAsia="zh-CN"/>
        </w:rPr>
        <w:t>图</w:t>
      </w:r>
      <w:r>
        <w:rPr>
          <w:rFonts w:hint="eastAsia" w:eastAsia="宋体" w:cs="Times New Roman"/>
          <w:b/>
          <w:bCs/>
          <w:color w:val="000000"/>
          <w:kern w:val="2"/>
          <w:sz w:val="24"/>
          <w:szCs w:val="24"/>
          <w:highlight w:val="none"/>
          <w:lang w:val="en-US" w:eastAsia="zh-CN"/>
        </w:rPr>
        <w:t>5.2</w:t>
      </w:r>
      <w:r>
        <w:rPr>
          <w:rFonts w:hint="eastAsia" w:ascii="Times New Roman" w:hAnsi="Times New Roman" w:eastAsia="宋体" w:cs="Times New Roman"/>
          <w:b/>
          <w:bCs/>
          <w:color w:val="000000"/>
          <w:kern w:val="2"/>
          <w:sz w:val="24"/>
          <w:szCs w:val="24"/>
          <w:highlight w:val="none"/>
          <w:lang w:val="en-US" w:eastAsia="zh-CN"/>
        </w:rPr>
        <w:t>-</w:t>
      </w:r>
      <w:r>
        <w:rPr>
          <w:rFonts w:hint="eastAsia" w:cs="Times New Roman"/>
          <w:b/>
          <w:bCs/>
          <w:color w:val="000000"/>
          <w:kern w:val="2"/>
          <w:sz w:val="24"/>
          <w:szCs w:val="24"/>
          <w:highlight w:val="none"/>
          <w:lang w:val="en-US" w:eastAsia="zh-CN"/>
        </w:rPr>
        <w:t>7</w:t>
      </w:r>
      <w:r>
        <w:rPr>
          <w:rFonts w:hint="eastAsia" w:ascii="Times New Roman" w:hAnsi="Times New Roman" w:eastAsia="宋体" w:cs="Times New Roman"/>
          <w:b/>
          <w:bCs/>
          <w:color w:val="000000"/>
          <w:kern w:val="2"/>
          <w:sz w:val="24"/>
          <w:szCs w:val="24"/>
          <w:highlight w:val="none"/>
          <w:lang w:val="en-US" w:eastAsia="zh-CN"/>
        </w:rPr>
        <w:t>有限路段的修正函数，A～B 为路段，P为预测点</w:t>
      </w:r>
    </w:p>
    <w:p w14:paraId="6295828C">
      <w:pPr>
        <w:widowControl w:val="0"/>
        <w:overflowPunct w:val="0"/>
        <w:autoSpaceDE w:val="0"/>
        <w:autoSpaceDN w:val="0"/>
        <w:adjustRightInd w:val="0"/>
        <w:snapToGrid w:val="0"/>
        <w:spacing w:before="0" w:after="0" w:line="360" w:lineRule="auto"/>
        <w:ind w:left="0" w:right="0"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由其他因素引起的修正量（</w:t>
      </w:r>
      <w:r>
        <w:rPr>
          <w:rFonts w:hint="eastAsia" w:ascii="Times New Roman" w:hAnsi="Times New Roman" w:eastAsia="宋体" w:cs="Times New Roman"/>
          <w:color w:val="000000"/>
          <w:kern w:val="2"/>
          <w:sz w:val="24"/>
          <w:szCs w:val="24"/>
          <w:highlight w:val="none"/>
        </w:rPr>
        <w:t>Δ</w:t>
      </w:r>
      <w:r>
        <w:rPr>
          <w:rFonts w:hint="eastAsia" w:ascii="Times New Roman" w:hAnsi="Times New Roman" w:eastAsia="宋体" w:cs="Times New Roman"/>
          <w:color w:val="000000"/>
          <w:kern w:val="2"/>
          <w:sz w:val="24"/>
          <w:szCs w:val="24"/>
          <w:highlight w:val="none"/>
          <w:lang w:val="en-US" w:eastAsia="zh-CN" w:bidi="ar-SA"/>
        </w:rPr>
        <w:t>L</w:t>
      </w:r>
      <w:r>
        <w:rPr>
          <w:rFonts w:hint="eastAsia" w:ascii="Times New Roman" w:hAnsi="Times New Roman" w:eastAsia="宋体" w:cs="Times New Roman"/>
          <w:color w:val="000000"/>
          <w:kern w:val="2"/>
          <w:sz w:val="24"/>
          <w:szCs w:val="24"/>
          <w:highlight w:val="none"/>
          <w:vertAlign w:val="subscript"/>
          <w:lang w:val="en-US" w:eastAsia="zh-CN" w:bidi="ar-SA"/>
        </w:rPr>
        <w:t>1</w:t>
      </w:r>
      <w:r>
        <w:rPr>
          <w:rFonts w:hint="eastAsia" w:ascii="Times New Roman" w:hAnsi="Times New Roman" w:eastAsia="宋体" w:cs="Times New Roman"/>
          <w:color w:val="000000"/>
          <w:kern w:val="2"/>
          <w:sz w:val="24"/>
          <w:szCs w:val="24"/>
          <w:highlight w:val="none"/>
          <w:lang w:val="en-US" w:eastAsia="zh-CN" w:bidi="ar-SA"/>
        </w:rPr>
        <w:t xml:space="preserve">）可按下式计算： </w:t>
      </w:r>
    </w:p>
    <w:p w14:paraId="56075B0C">
      <w:pPr>
        <w:widowControl w:val="0"/>
        <w:overflowPunct w:val="0"/>
        <w:autoSpaceDE w:val="0"/>
        <w:autoSpaceDN w:val="0"/>
        <w:adjustRightInd w:val="0"/>
        <w:snapToGrid w:val="0"/>
        <w:spacing w:before="0" w:after="0" w:line="360" w:lineRule="auto"/>
        <w:ind w:left="0" w:right="0"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drawing>
          <wp:anchor distT="0" distB="0" distL="114300" distR="114300" simplePos="0" relativeHeight="251667456" behindDoc="1" locked="0" layoutInCell="1" allowOverlap="1">
            <wp:simplePos x="0" y="0"/>
            <wp:positionH relativeFrom="column">
              <wp:posOffset>1327150</wp:posOffset>
            </wp:positionH>
            <wp:positionV relativeFrom="paragraph">
              <wp:posOffset>95250</wp:posOffset>
            </wp:positionV>
            <wp:extent cx="2047875" cy="733425"/>
            <wp:effectExtent l="0" t="0" r="9525" b="9525"/>
            <wp:wrapNone/>
            <wp:docPr id="425" name="图片 425" descr="168188070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425" descr="1681880703383"/>
                    <pic:cNvPicPr>
                      <a:picLocks noChangeAspect="1"/>
                    </pic:cNvPicPr>
                  </pic:nvPicPr>
                  <pic:blipFill>
                    <a:blip r:embed="rId62"/>
                    <a:stretch>
                      <a:fillRect/>
                    </a:stretch>
                  </pic:blipFill>
                  <pic:spPr>
                    <a:xfrm>
                      <a:off x="0" y="0"/>
                      <a:ext cx="2047875" cy="733425"/>
                    </a:xfrm>
                    <a:prstGeom prst="rect">
                      <a:avLst/>
                    </a:prstGeom>
                  </pic:spPr>
                </pic:pic>
              </a:graphicData>
            </a:graphic>
          </wp:anchor>
        </w:drawing>
      </w:r>
    </w:p>
    <w:p w14:paraId="57691FB9">
      <w:pPr>
        <w:widowControl w:val="0"/>
        <w:overflowPunct w:val="0"/>
        <w:autoSpaceDE w:val="0"/>
        <w:autoSpaceDN w:val="0"/>
        <w:adjustRightInd w:val="0"/>
        <w:snapToGrid w:val="0"/>
        <w:spacing w:before="0" w:after="0" w:line="360" w:lineRule="auto"/>
        <w:ind w:right="0"/>
        <w:jc w:val="both"/>
        <w:rPr>
          <w:rFonts w:hint="eastAsia" w:ascii="Times New Roman" w:hAnsi="Times New Roman" w:eastAsia="宋体" w:cs="Times New Roman"/>
          <w:color w:val="000000"/>
          <w:kern w:val="2"/>
          <w:sz w:val="24"/>
          <w:szCs w:val="24"/>
          <w:highlight w:val="none"/>
          <w:lang w:val="en-US" w:eastAsia="zh-CN" w:bidi="ar-SA"/>
        </w:rPr>
      </w:pPr>
    </w:p>
    <w:p w14:paraId="1D09A4E1">
      <w:pPr>
        <w:widowControl w:val="0"/>
        <w:overflowPunct w:val="0"/>
        <w:autoSpaceDE w:val="0"/>
        <w:autoSpaceDN w:val="0"/>
        <w:adjustRightInd w:val="0"/>
        <w:snapToGrid w:val="0"/>
        <w:spacing w:before="0" w:after="0" w:line="360" w:lineRule="auto"/>
        <w:ind w:left="0" w:right="0" w:firstLine="480" w:firstLineChars="200"/>
        <w:jc w:val="both"/>
        <w:rPr>
          <w:rFonts w:ascii="Times New Roman" w:hAnsi="Times New Roman" w:eastAsia="宋体" w:cs="Times New Roman"/>
          <w:color w:val="000000"/>
          <w:kern w:val="2"/>
          <w:sz w:val="24"/>
          <w:szCs w:val="24"/>
          <w:highlight w:val="none"/>
        </w:rPr>
      </w:pPr>
    </w:p>
    <w:p w14:paraId="255AF8F6">
      <w:pPr>
        <w:widowControl w:val="0"/>
        <w:overflowPunct w:val="0"/>
        <w:autoSpaceDE w:val="0"/>
        <w:autoSpaceDN w:val="0"/>
        <w:adjustRightInd w:val="0"/>
        <w:snapToGrid w:val="0"/>
        <w:spacing w:before="0" w:after="0" w:line="360" w:lineRule="auto"/>
        <w:ind w:left="0" w:right="0" w:firstLine="480" w:firstLineChars="200"/>
        <w:jc w:val="both"/>
        <w:rPr>
          <w:rFonts w:hint="eastAsia" w:ascii="Times New Roman" w:hAnsi="Times New Roman" w:eastAsia="宋体" w:cs="Times New Roman"/>
          <w:color w:val="000000"/>
          <w:kern w:val="2"/>
          <w:sz w:val="24"/>
          <w:szCs w:val="24"/>
          <w:highlight w:val="none"/>
        </w:rPr>
      </w:pPr>
      <w:r>
        <w:rPr>
          <w:rFonts w:ascii="Times New Roman" w:hAnsi="Times New Roman" w:eastAsia="宋体" w:cs="Times New Roman"/>
          <w:color w:val="000000"/>
          <w:kern w:val="2"/>
          <w:sz w:val="24"/>
          <w:szCs w:val="24"/>
          <w:highlight w:val="none"/>
        </w:rPr>
        <w:t>式中</w:t>
      </w:r>
      <w:r>
        <w:rPr>
          <w:rFonts w:hint="eastAsia" w:ascii="Times New Roman" w:hAnsi="Times New Roman" w:eastAsia="宋体" w:cs="Times New Roman"/>
          <w:color w:val="000000"/>
          <w:kern w:val="2"/>
          <w:sz w:val="24"/>
          <w:szCs w:val="24"/>
          <w:highlight w:val="none"/>
        </w:rPr>
        <w:t>：Δ</w:t>
      </w:r>
      <w:r>
        <w:rPr>
          <w:rFonts w:hint="eastAsia" w:ascii="Times New Roman" w:hAnsi="Times New Roman" w:eastAsia="宋体" w:cs="Times New Roman"/>
          <w:color w:val="000000"/>
          <w:kern w:val="2"/>
          <w:sz w:val="24"/>
          <w:szCs w:val="24"/>
          <w:highlight w:val="none"/>
          <w:lang w:val="en-US" w:eastAsia="zh-CN" w:bidi="ar-SA"/>
        </w:rPr>
        <w:t>L</w:t>
      </w:r>
      <w:r>
        <w:rPr>
          <w:rFonts w:hint="eastAsia" w:ascii="Times New Roman" w:hAnsi="Times New Roman" w:eastAsia="宋体" w:cs="Times New Roman"/>
          <w:color w:val="000000"/>
          <w:kern w:val="2"/>
          <w:sz w:val="24"/>
          <w:szCs w:val="24"/>
          <w:highlight w:val="none"/>
          <w:vertAlign w:val="subscript"/>
          <w:lang w:val="en-US" w:eastAsia="zh-CN" w:bidi="ar-SA"/>
        </w:rPr>
        <w:t>1</w:t>
      </w:r>
      <w:r>
        <w:rPr>
          <w:rFonts w:hint="eastAsia" w:ascii="Times New Roman" w:hAnsi="Times New Roman" w:eastAsia="宋体" w:cs="Times New Roman"/>
          <w:color w:val="000000"/>
          <w:kern w:val="2"/>
          <w:sz w:val="24"/>
          <w:szCs w:val="24"/>
          <w:highlight w:val="none"/>
        </w:rPr>
        <w:t>—线路因素引起的修正量，dB</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A</w:t>
      </w:r>
      <w:r>
        <w:rPr>
          <w:rFonts w:hint="eastAsia" w:cs="Times New Roman"/>
          <w:color w:val="000000"/>
          <w:kern w:val="2"/>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rPr>
        <w:t>；</w:t>
      </w:r>
    </w:p>
    <w:p w14:paraId="5540BD7A">
      <w:pPr>
        <w:widowControl w:val="0"/>
        <w:tabs>
          <w:tab w:val="center" w:pos="4064"/>
        </w:tabs>
        <w:autoSpaceDE/>
        <w:autoSpaceDN/>
        <w:adjustRightInd/>
        <w:spacing w:after="120" w:line="360" w:lineRule="auto"/>
        <w:ind w:left="420" w:leftChars="200" w:firstLine="720" w:firstLineChars="300"/>
        <w:jc w:val="both"/>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Times New Roman"/>
          <w:color w:val="000000"/>
          <w:kern w:val="2"/>
          <w:sz w:val="24"/>
          <w:szCs w:val="24"/>
          <w:highlight w:val="none"/>
          <w:lang w:val="en-US" w:eastAsia="zh-CN" w:bidi="ar-SA"/>
        </w:rPr>
        <w:t>ΔL</w:t>
      </w:r>
      <w:r>
        <w:rPr>
          <w:rFonts w:hint="eastAsia" w:ascii="Times New Roman" w:hAnsi="Times New Roman" w:eastAsia="宋体" w:cs="Times New Roman"/>
          <w:color w:val="000000"/>
          <w:kern w:val="2"/>
          <w:sz w:val="24"/>
          <w:szCs w:val="24"/>
          <w:highlight w:val="none"/>
          <w:vertAlign w:val="subscript"/>
          <w:lang w:val="en-US" w:eastAsia="zh-CN" w:bidi="ar-SA"/>
        </w:rPr>
        <w:t>坡度</w:t>
      </w:r>
      <w:r>
        <w:rPr>
          <w:rFonts w:hint="eastAsia" w:ascii="Times New Roman" w:hAnsi="Times New Roman" w:eastAsia="宋体" w:cs="宋体"/>
          <w:color w:val="auto"/>
          <w:kern w:val="2"/>
          <w:sz w:val="24"/>
          <w:szCs w:val="24"/>
          <w:lang w:val="en-US" w:eastAsia="zh-CN" w:bidi="ar-SA"/>
        </w:rPr>
        <w:t>—公路纵坡修正量，dB</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A</w:t>
      </w:r>
      <w:r>
        <w:rPr>
          <w:rFonts w:hint="eastAsia" w:cs="Times New Roman"/>
          <w:color w:val="000000"/>
          <w:kern w:val="2"/>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bidi="ar-SA"/>
        </w:rPr>
        <w:t>；</w:t>
      </w:r>
    </w:p>
    <w:p w14:paraId="25B67582">
      <w:pPr>
        <w:widowControl w:val="0"/>
        <w:overflowPunct w:val="0"/>
        <w:autoSpaceDE w:val="0"/>
        <w:autoSpaceDN w:val="0"/>
        <w:adjustRightInd w:val="0"/>
        <w:snapToGrid w:val="0"/>
        <w:spacing w:before="0" w:after="0" w:line="360" w:lineRule="auto"/>
        <w:ind w:left="0" w:right="0" w:firstLine="1200" w:firstLineChars="5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rPr>
        <w:t>Δ</w:t>
      </w:r>
      <w:r>
        <w:rPr>
          <w:rFonts w:hint="eastAsia" w:ascii="Times New Roman" w:hAnsi="Times New Roman" w:eastAsia="宋体" w:cs="Times New Roman"/>
          <w:color w:val="000000"/>
          <w:kern w:val="2"/>
          <w:sz w:val="24"/>
          <w:szCs w:val="24"/>
          <w:highlight w:val="none"/>
          <w:lang w:val="en-US" w:eastAsia="zh-CN" w:bidi="ar-SA"/>
        </w:rPr>
        <w:t>L</w:t>
      </w:r>
      <w:r>
        <w:rPr>
          <w:rFonts w:hint="eastAsia" w:ascii="Times New Roman" w:hAnsi="Times New Roman" w:eastAsia="宋体" w:cs="Times New Roman"/>
          <w:color w:val="000000"/>
          <w:kern w:val="2"/>
          <w:sz w:val="24"/>
          <w:szCs w:val="24"/>
          <w:highlight w:val="none"/>
          <w:vertAlign w:val="subscript"/>
          <w:lang w:val="en-US" w:eastAsia="zh-CN" w:bidi="ar-SA"/>
        </w:rPr>
        <w:t>路面</w:t>
      </w:r>
      <w:r>
        <w:rPr>
          <w:rFonts w:hint="eastAsia" w:ascii="Times New Roman" w:hAnsi="Times New Roman" w:eastAsia="宋体" w:cs="Times New Roman"/>
          <w:color w:val="000000"/>
          <w:kern w:val="2"/>
          <w:sz w:val="24"/>
          <w:szCs w:val="24"/>
          <w:highlight w:val="none"/>
          <w:lang w:val="en-US" w:eastAsia="zh-CN" w:bidi="ar-SA"/>
        </w:rPr>
        <w:t>—公路路面引起的修正量，dB</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A</w:t>
      </w:r>
      <w:r>
        <w:rPr>
          <w:rFonts w:hint="eastAsia" w:cs="Times New Roman"/>
          <w:color w:val="000000"/>
          <w:kern w:val="2"/>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rPr>
        <w:t>；</w:t>
      </w:r>
    </w:p>
    <w:p w14:paraId="3CFD4873">
      <w:pPr>
        <w:widowControl w:val="0"/>
        <w:overflowPunct w:val="0"/>
        <w:autoSpaceDE w:val="0"/>
        <w:autoSpaceDN w:val="0"/>
        <w:adjustRightInd w:val="0"/>
        <w:snapToGrid w:val="0"/>
        <w:spacing w:before="0" w:after="0" w:line="360" w:lineRule="auto"/>
        <w:ind w:left="0" w:right="0" w:firstLine="1200" w:firstLineChars="500"/>
        <w:jc w:val="both"/>
        <w:rPr>
          <w:rFonts w:hint="eastAsia"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rPr>
        <w:t>Δ</w:t>
      </w:r>
      <w:r>
        <w:rPr>
          <w:rFonts w:hint="eastAsia" w:ascii="Times New Roman" w:hAnsi="Times New Roman" w:eastAsia="宋体" w:cs="Times New Roman"/>
          <w:color w:val="000000"/>
          <w:kern w:val="2"/>
          <w:sz w:val="24"/>
          <w:szCs w:val="24"/>
          <w:highlight w:val="none"/>
          <w:lang w:val="en-US" w:eastAsia="zh-CN" w:bidi="ar-SA"/>
        </w:rPr>
        <w:t>L</w:t>
      </w:r>
      <w:r>
        <w:rPr>
          <w:rFonts w:hint="eastAsia" w:ascii="Times New Roman" w:hAnsi="Times New Roman" w:eastAsia="宋体" w:cs="Times New Roman"/>
          <w:color w:val="000000"/>
          <w:kern w:val="2"/>
          <w:sz w:val="24"/>
          <w:szCs w:val="24"/>
          <w:highlight w:val="none"/>
          <w:vertAlign w:val="subscript"/>
          <w:lang w:val="en-US" w:eastAsia="zh-CN" w:bidi="ar-SA"/>
        </w:rPr>
        <w:t>2</w:t>
      </w:r>
      <w:r>
        <w:rPr>
          <w:rFonts w:hint="eastAsia" w:ascii="Times New Roman" w:hAnsi="Times New Roman" w:eastAsia="宋体" w:cs="Times New Roman"/>
          <w:color w:val="000000"/>
          <w:kern w:val="2"/>
          <w:sz w:val="24"/>
          <w:szCs w:val="24"/>
          <w:highlight w:val="none"/>
          <w:lang w:val="en-US" w:eastAsia="zh-CN"/>
        </w:rPr>
        <w:t>—声波传播途径中引起的衰减量，dB</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A</w:t>
      </w:r>
      <w:r>
        <w:rPr>
          <w:rFonts w:hint="eastAsia" w:cs="Times New Roman"/>
          <w:color w:val="000000"/>
          <w:kern w:val="2"/>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rPr>
        <w:t>；</w:t>
      </w:r>
    </w:p>
    <w:p w14:paraId="5C6336AC">
      <w:pPr>
        <w:widowControl w:val="0"/>
        <w:overflowPunct w:val="0"/>
        <w:autoSpaceDE w:val="0"/>
        <w:autoSpaceDN w:val="0"/>
        <w:adjustRightInd w:val="0"/>
        <w:snapToGrid w:val="0"/>
        <w:spacing w:before="0" w:after="0" w:line="360" w:lineRule="auto"/>
        <w:ind w:left="0" w:right="0" w:firstLine="1200" w:firstLineChars="500"/>
        <w:jc w:val="both"/>
        <w:rPr>
          <w:rFonts w:hint="eastAsia"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rPr>
        <w:t>Δ</w:t>
      </w:r>
      <w:r>
        <w:rPr>
          <w:rFonts w:hint="eastAsia" w:ascii="Times New Roman" w:hAnsi="Times New Roman" w:eastAsia="宋体" w:cs="Times New Roman"/>
          <w:color w:val="000000"/>
          <w:kern w:val="2"/>
          <w:sz w:val="24"/>
          <w:szCs w:val="24"/>
          <w:highlight w:val="none"/>
          <w:lang w:val="en-US" w:eastAsia="zh-CN" w:bidi="ar-SA"/>
        </w:rPr>
        <w:t>L</w:t>
      </w:r>
      <w:r>
        <w:rPr>
          <w:rFonts w:hint="eastAsia" w:ascii="Times New Roman" w:hAnsi="Times New Roman" w:eastAsia="宋体" w:cs="Times New Roman"/>
          <w:color w:val="000000"/>
          <w:kern w:val="2"/>
          <w:sz w:val="24"/>
          <w:szCs w:val="24"/>
          <w:highlight w:val="none"/>
          <w:vertAlign w:val="subscript"/>
          <w:lang w:val="en-US" w:eastAsia="zh-CN" w:bidi="ar-SA"/>
        </w:rPr>
        <w:t>3</w:t>
      </w:r>
      <w:r>
        <w:rPr>
          <w:rFonts w:hint="eastAsia" w:ascii="Times New Roman" w:hAnsi="Times New Roman" w:eastAsia="宋体" w:cs="Times New Roman"/>
          <w:color w:val="000000"/>
          <w:kern w:val="2"/>
          <w:sz w:val="24"/>
          <w:szCs w:val="24"/>
          <w:highlight w:val="none"/>
          <w:lang w:val="en-US" w:eastAsia="zh-CN"/>
        </w:rPr>
        <w:t>—由反射等引起的修正量，dB</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A</w:t>
      </w:r>
      <w:r>
        <w:rPr>
          <w:rFonts w:hint="eastAsia" w:cs="Times New Roman"/>
          <w:color w:val="000000"/>
          <w:kern w:val="2"/>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rPr>
        <w:t>。</w:t>
      </w:r>
    </w:p>
    <w:p w14:paraId="0308FA90">
      <w:pPr>
        <w:widowControl w:val="0"/>
        <w:overflowPunct w:val="0"/>
        <w:autoSpaceDE w:val="0"/>
        <w:autoSpaceDN w:val="0"/>
        <w:adjustRightInd w:val="0"/>
        <w:snapToGrid w:val="0"/>
        <w:spacing w:before="0" w:after="0" w:line="500" w:lineRule="exact"/>
        <w:ind w:left="0" w:right="0"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eastAsia="宋体" w:cs="Times New Roman"/>
          <w:color w:val="000000"/>
          <w:kern w:val="2"/>
          <w:sz w:val="24"/>
          <w:szCs w:val="24"/>
          <w:highlight w:val="none"/>
          <w:lang w:val="en-US" w:eastAsia="zh-CN" w:bidi="ar-SA"/>
        </w:rPr>
        <w:t>③</w:t>
      </w:r>
      <w:r>
        <w:rPr>
          <w:rFonts w:hint="eastAsia" w:ascii="Times New Roman" w:hAnsi="Times New Roman" w:eastAsia="宋体" w:cs="Times New Roman"/>
          <w:color w:val="000000"/>
          <w:kern w:val="2"/>
          <w:sz w:val="24"/>
          <w:szCs w:val="24"/>
          <w:highlight w:val="none"/>
          <w:lang w:val="en-US" w:eastAsia="zh-CN" w:bidi="ar-SA"/>
        </w:rPr>
        <w:t>路面修正量（ΔL</w:t>
      </w:r>
      <w:r>
        <w:rPr>
          <w:rFonts w:hint="eastAsia" w:ascii="Times New Roman" w:hAnsi="Times New Roman" w:eastAsia="宋体" w:cs="Times New Roman"/>
          <w:color w:val="000000"/>
          <w:kern w:val="2"/>
          <w:sz w:val="24"/>
          <w:szCs w:val="24"/>
          <w:highlight w:val="none"/>
          <w:vertAlign w:val="subscript"/>
          <w:lang w:val="en-US" w:eastAsia="zh-CN" w:bidi="ar-SA"/>
        </w:rPr>
        <w:t>路面</w:t>
      </w:r>
      <w:r>
        <w:rPr>
          <w:rFonts w:hint="eastAsia" w:ascii="Times New Roman" w:hAnsi="Times New Roman" w:eastAsia="宋体" w:cs="Times New Roman"/>
          <w:color w:val="000000"/>
          <w:kern w:val="2"/>
          <w:sz w:val="24"/>
          <w:szCs w:val="24"/>
          <w:highlight w:val="none"/>
          <w:lang w:val="en-US" w:eastAsia="zh-CN" w:bidi="ar-SA"/>
        </w:rPr>
        <w:t xml:space="preserve">） </w:t>
      </w:r>
    </w:p>
    <w:p w14:paraId="4FC346AC">
      <w:pPr>
        <w:widowControl w:val="0"/>
        <w:overflowPunct w:val="0"/>
        <w:autoSpaceDE w:val="0"/>
        <w:autoSpaceDN w:val="0"/>
        <w:adjustRightInd w:val="0"/>
        <w:snapToGrid w:val="0"/>
        <w:spacing w:before="0" w:after="0" w:line="500" w:lineRule="exact"/>
        <w:ind w:left="0" w:right="0"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不同路面的噪声修正量见表</w:t>
      </w:r>
      <w:r>
        <w:rPr>
          <w:rFonts w:hint="eastAsia" w:eastAsia="宋体" w:cs="Times New Roman"/>
          <w:color w:val="000000"/>
          <w:kern w:val="2"/>
          <w:sz w:val="24"/>
          <w:szCs w:val="24"/>
          <w:highlight w:val="none"/>
          <w:lang w:val="en-US" w:eastAsia="zh-CN" w:bidi="ar-SA"/>
        </w:rPr>
        <w:t>5.2-</w:t>
      </w:r>
      <w:r>
        <w:rPr>
          <w:rFonts w:hint="eastAsia" w:cs="Times New Roman"/>
          <w:color w:val="000000"/>
          <w:kern w:val="2"/>
          <w:sz w:val="24"/>
          <w:szCs w:val="24"/>
          <w:highlight w:val="none"/>
          <w:lang w:val="en-US" w:eastAsia="zh-CN" w:bidi="ar-SA"/>
        </w:rPr>
        <w:t>34</w:t>
      </w:r>
      <w:r>
        <w:rPr>
          <w:rFonts w:hint="eastAsia" w:ascii="Times New Roman" w:hAnsi="Times New Roman" w:eastAsia="宋体" w:cs="Times New Roman"/>
          <w:color w:val="000000"/>
          <w:kern w:val="2"/>
          <w:sz w:val="24"/>
          <w:szCs w:val="24"/>
          <w:highlight w:val="none"/>
          <w:lang w:val="en-US" w:eastAsia="zh-CN" w:bidi="ar-SA"/>
        </w:rPr>
        <w:t>。</w:t>
      </w:r>
    </w:p>
    <w:p w14:paraId="7356E4A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firstLineChars="0"/>
        <w:jc w:val="center"/>
        <w:textAlignment w:val="auto"/>
        <w:rPr>
          <w:rFonts w:hint="eastAsia" w:ascii="Times New Roman" w:hAnsi="Times New Roman" w:eastAsia="宋体" w:cs="Times New Roman"/>
          <w:b/>
          <w:bCs/>
          <w:color w:val="000000"/>
          <w:kern w:val="2"/>
          <w:sz w:val="24"/>
          <w:szCs w:val="20"/>
          <w:highlight w:val="none"/>
          <w:vertAlign w:val="baseline"/>
          <w:lang w:val="en-US" w:eastAsia="zh-CN"/>
        </w:rPr>
      </w:pPr>
      <w:r>
        <w:rPr>
          <w:rFonts w:hint="eastAsia" w:ascii="Times New Roman" w:hAnsi="Times New Roman" w:eastAsia="宋体" w:cs="Times New Roman"/>
          <w:b/>
          <w:bCs/>
          <w:color w:val="000000"/>
          <w:kern w:val="2"/>
          <w:sz w:val="24"/>
          <w:szCs w:val="20"/>
          <w:highlight w:val="none"/>
          <w:vertAlign w:val="baseline"/>
          <w:lang w:val="en-US" w:eastAsia="zh-CN"/>
        </w:rPr>
        <w:t>表</w:t>
      </w:r>
      <w:r>
        <w:rPr>
          <w:rFonts w:hint="eastAsia" w:eastAsia="宋体" w:cs="Times New Roman"/>
          <w:b/>
          <w:bCs/>
          <w:color w:val="000000"/>
          <w:kern w:val="2"/>
          <w:sz w:val="24"/>
          <w:szCs w:val="20"/>
          <w:highlight w:val="none"/>
          <w:vertAlign w:val="baseline"/>
          <w:lang w:val="en-US" w:eastAsia="zh-CN"/>
        </w:rPr>
        <w:t>5.2-</w:t>
      </w:r>
      <w:r>
        <w:rPr>
          <w:rFonts w:hint="eastAsia" w:cs="Times New Roman"/>
          <w:b/>
          <w:bCs/>
          <w:color w:val="000000"/>
          <w:kern w:val="2"/>
          <w:sz w:val="24"/>
          <w:szCs w:val="20"/>
          <w:highlight w:val="none"/>
          <w:vertAlign w:val="baseline"/>
          <w:lang w:val="en-US" w:eastAsia="zh-CN"/>
        </w:rPr>
        <w:t>34</w:t>
      </w:r>
      <w:r>
        <w:rPr>
          <w:rFonts w:hint="eastAsia" w:ascii="Times New Roman" w:hAnsi="Times New Roman" w:eastAsia="宋体" w:cs="Times New Roman"/>
          <w:b/>
          <w:bCs/>
          <w:color w:val="000000"/>
          <w:kern w:val="2"/>
          <w:sz w:val="24"/>
          <w:szCs w:val="20"/>
          <w:highlight w:val="none"/>
          <w:vertAlign w:val="baseline"/>
          <w:lang w:val="en-US" w:eastAsia="zh-CN"/>
        </w:rPr>
        <w:t>常见路面噪声修正量</w:t>
      </w:r>
    </w:p>
    <w:tbl>
      <w:tblPr>
        <w:tblStyle w:val="20"/>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2442"/>
        <w:gridCol w:w="2174"/>
        <w:gridCol w:w="2345"/>
      </w:tblGrid>
      <w:tr w14:paraId="70BA4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66" w:type="pct"/>
            <w:vMerge w:val="restart"/>
            <w:tcBorders>
              <w:tl2br w:val="nil"/>
              <w:tr2bl w:val="nil"/>
            </w:tcBorders>
            <w:noWrap w:val="0"/>
            <w:vAlign w:val="center"/>
          </w:tcPr>
          <w:p w14:paraId="00E32564">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ascii="Times New Roman" w:hAnsi="Times New Roman" w:eastAsia="宋体" w:cs="宋体"/>
                <w:b/>
                <w:bCs/>
                <w:color w:val="000000"/>
                <w:kern w:val="2"/>
                <w:sz w:val="21"/>
                <w:szCs w:val="21"/>
                <w:highlight w:val="none"/>
                <w:lang w:val="en-US" w:eastAsia="zh-CN" w:bidi="ar-SA"/>
              </w:rPr>
            </w:pPr>
            <w:r>
              <w:rPr>
                <w:rFonts w:hint="eastAsia" w:ascii="Times New Roman" w:hAnsi="Times New Roman" w:eastAsia="宋体" w:cs="宋体"/>
                <w:b/>
                <w:bCs/>
                <w:color w:val="000000"/>
                <w:kern w:val="2"/>
                <w:sz w:val="21"/>
                <w:szCs w:val="21"/>
                <w:highlight w:val="none"/>
                <w:lang w:val="en-US" w:eastAsia="zh-CN" w:bidi="ar-SA"/>
              </w:rPr>
              <w:t xml:space="preserve">路面类型 </w:t>
            </w:r>
          </w:p>
        </w:tc>
        <w:tc>
          <w:tcPr>
            <w:tcW w:w="4233" w:type="pct"/>
            <w:gridSpan w:val="3"/>
            <w:tcBorders>
              <w:tl2br w:val="nil"/>
              <w:tr2bl w:val="nil"/>
            </w:tcBorders>
            <w:noWrap w:val="0"/>
            <w:vAlign w:val="center"/>
          </w:tcPr>
          <w:p w14:paraId="1AA10CB1">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ascii="Times New Roman" w:hAnsi="Times New Roman" w:eastAsia="宋体" w:cs="宋体"/>
                <w:b/>
                <w:bCs/>
                <w:color w:val="000000"/>
                <w:kern w:val="2"/>
                <w:sz w:val="21"/>
                <w:szCs w:val="21"/>
                <w:highlight w:val="none"/>
                <w:lang w:val="en-US" w:eastAsia="zh-CN" w:bidi="ar-SA"/>
              </w:rPr>
            </w:pPr>
            <w:r>
              <w:rPr>
                <w:rFonts w:hint="eastAsia" w:ascii="Times New Roman" w:hAnsi="Times New Roman" w:eastAsia="宋体" w:cs="宋体"/>
                <w:b/>
                <w:bCs/>
                <w:color w:val="000000"/>
                <w:kern w:val="2"/>
                <w:sz w:val="21"/>
                <w:szCs w:val="21"/>
                <w:highlight w:val="none"/>
                <w:lang w:val="en-US" w:eastAsia="zh-CN" w:bidi="ar-SA"/>
              </w:rPr>
              <w:t xml:space="preserve">不同行驶速度修正量/（km/h） </w:t>
            </w:r>
          </w:p>
        </w:tc>
      </w:tr>
      <w:tr w14:paraId="65DAC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66" w:type="pct"/>
            <w:vMerge w:val="continue"/>
            <w:tcBorders>
              <w:tl2br w:val="nil"/>
              <w:tr2bl w:val="nil"/>
            </w:tcBorders>
            <w:noWrap w:val="0"/>
            <w:vAlign w:val="center"/>
          </w:tcPr>
          <w:p w14:paraId="6E1310EF">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eastAsia="宋体" w:cs="宋体"/>
                <w:b/>
                <w:bCs/>
                <w:color w:val="auto"/>
                <w:kern w:val="0"/>
                <w:sz w:val="24"/>
                <w:szCs w:val="22"/>
              </w:rPr>
            </w:pPr>
          </w:p>
        </w:tc>
        <w:tc>
          <w:tcPr>
            <w:tcW w:w="1485" w:type="pct"/>
            <w:tcBorders>
              <w:tl2br w:val="nil"/>
              <w:tr2bl w:val="nil"/>
            </w:tcBorders>
            <w:noWrap w:val="0"/>
            <w:vAlign w:val="center"/>
          </w:tcPr>
          <w:p w14:paraId="55D67C1F">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hint="default" w:ascii="Times New Roman" w:hAnsi="Times New Roman" w:eastAsia="宋体" w:cs="宋体"/>
                <w:b/>
                <w:bCs/>
                <w:color w:val="000000"/>
                <w:kern w:val="2"/>
                <w:sz w:val="21"/>
                <w:szCs w:val="21"/>
                <w:highlight w:val="none"/>
                <w:lang w:val="en-US" w:eastAsia="zh-CN" w:bidi="ar-SA"/>
              </w:rPr>
            </w:pPr>
            <w:r>
              <w:rPr>
                <w:rFonts w:hint="eastAsia" w:ascii="Times New Roman" w:hAnsi="Times New Roman" w:eastAsia="宋体" w:cs="宋体"/>
                <w:b/>
                <w:bCs/>
                <w:color w:val="000000"/>
                <w:kern w:val="2"/>
                <w:sz w:val="21"/>
                <w:szCs w:val="21"/>
                <w:highlight w:val="none"/>
                <w:lang w:val="en-US" w:eastAsia="zh-CN" w:bidi="ar-SA"/>
              </w:rPr>
              <w:t>30</w:t>
            </w:r>
          </w:p>
        </w:tc>
        <w:tc>
          <w:tcPr>
            <w:tcW w:w="1322" w:type="pct"/>
            <w:tcBorders>
              <w:tl2br w:val="nil"/>
              <w:tr2bl w:val="nil"/>
            </w:tcBorders>
            <w:noWrap w:val="0"/>
            <w:vAlign w:val="center"/>
          </w:tcPr>
          <w:p w14:paraId="01709BA8">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hint="default" w:ascii="Times New Roman" w:hAnsi="Times New Roman" w:eastAsia="宋体" w:cs="宋体"/>
                <w:b/>
                <w:bCs/>
                <w:color w:val="000000"/>
                <w:kern w:val="2"/>
                <w:sz w:val="21"/>
                <w:szCs w:val="21"/>
                <w:highlight w:val="none"/>
                <w:lang w:val="en-US" w:eastAsia="zh-CN" w:bidi="ar-SA"/>
              </w:rPr>
            </w:pPr>
            <w:r>
              <w:rPr>
                <w:rFonts w:hint="eastAsia" w:ascii="Times New Roman" w:hAnsi="Times New Roman" w:eastAsia="宋体" w:cs="宋体"/>
                <w:b/>
                <w:bCs/>
                <w:color w:val="000000"/>
                <w:kern w:val="2"/>
                <w:sz w:val="21"/>
                <w:szCs w:val="21"/>
                <w:highlight w:val="none"/>
                <w:lang w:val="en-US" w:eastAsia="zh-CN" w:bidi="ar-SA"/>
              </w:rPr>
              <w:t>40</w:t>
            </w:r>
          </w:p>
        </w:tc>
        <w:tc>
          <w:tcPr>
            <w:tcW w:w="1425" w:type="pct"/>
            <w:tcBorders>
              <w:tl2br w:val="nil"/>
              <w:tr2bl w:val="nil"/>
            </w:tcBorders>
            <w:noWrap w:val="0"/>
            <w:vAlign w:val="center"/>
          </w:tcPr>
          <w:p w14:paraId="039CDBCB">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hint="default" w:ascii="Times New Roman" w:hAnsi="Times New Roman" w:eastAsia="宋体" w:cs="宋体"/>
                <w:b/>
                <w:bCs/>
                <w:color w:val="000000"/>
                <w:kern w:val="2"/>
                <w:sz w:val="21"/>
                <w:szCs w:val="21"/>
                <w:highlight w:val="none"/>
                <w:lang w:val="en-US" w:eastAsia="zh-CN" w:bidi="ar-SA"/>
              </w:rPr>
            </w:pPr>
            <w:r>
              <w:rPr>
                <w:rFonts w:hint="eastAsia" w:ascii="Times New Roman" w:hAnsi="Times New Roman" w:eastAsia="宋体" w:cs="宋体"/>
                <w:b/>
                <w:bCs/>
                <w:color w:val="000000"/>
                <w:kern w:val="2"/>
                <w:sz w:val="21"/>
                <w:szCs w:val="21"/>
                <w:highlight w:val="none"/>
                <w:lang w:val="en-US" w:eastAsia="zh-CN" w:bidi="ar-SA"/>
              </w:rPr>
              <w:t>≥50</w:t>
            </w:r>
          </w:p>
        </w:tc>
      </w:tr>
      <w:tr w14:paraId="5ED1A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pct"/>
            <w:tcBorders>
              <w:tl2br w:val="nil"/>
              <w:tr2bl w:val="nil"/>
            </w:tcBorders>
            <w:noWrap w:val="0"/>
            <w:vAlign w:val="center"/>
          </w:tcPr>
          <w:p w14:paraId="3EBD61D3">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水泥混凝土/dB</w:t>
            </w:r>
            <w:r>
              <w:rPr>
                <w:rFonts w:hint="eastAsia" w:cs="Times New Roman"/>
                <w:color w:val="000000"/>
                <w:kern w:val="2"/>
                <w:sz w:val="24"/>
                <w:szCs w:val="24"/>
                <w:highlight w:val="none"/>
                <w:lang w:val="en-US" w:eastAsia="zh-CN"/>
              </w:rPr>
              <w:t>（</w:t>
            </w:r>
            <w:r>
              <w:rPr>
                <w:rFonts w:hint="eastAsia" w:eastAsia="宋体" w:cs="Times New Roman"/>
                <w:color w:val="000000"/>
                <w:kern w:val="2"/>
                <w:sz w:val="24"/>
                <w:szCs w:val="24"/>
                <w:highlight w:val="none"/>
                <w:lang w:val="en-US" w:eastAsia="zh-CN"/>
              </w:rPr>
              <w:t>A</w:t>
            </w:r>
            <w:r>
              <w:rPr>
                <w:rFonts w:hint="eastAsia" w:cs="Times New Roman"/>
                <w:color w:val="000000"/>
                <w:kern w:val="2"/>
                <w:sz w:val="24"/>
                <w:szCs w:val="24"/>
                <w:highlight w:val="none"/>
                <w:lang w:val="en-US" w:eastAsia="zh-CN"/>
              </w:rPr>
              <w:t>）</w:t>
            </w:r>
          </w:p>
        </w:tc>
        <w:tc>
          <w:tcPr>
            <w:tcW w:w="1485" w:type="pct"/>
            <w:tcBorders>
              <w:tl2br w:val="nil"/>
              <w:tr2bl w:val="nil"/>
            </w:tcBorders>
            <w:noWrap w:val="0"/>
            <w:vAlign w:val="center"/>
          </w:tcPr>
          <w:p w14:paraId="512C7AFA">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leftChars="0" w:right="0" w:rightChars="0" w:firstLine="0" w:firstLineChars="0"/>
              <w:jc w:val="center"/>
              <w:textAlignment w:val="auto"/>
              <w:rPr>
                <w:rFonts w:hint="default" w:ascii="Times New Roman" w:hAnsi="Times New Roman" w:eastAsia="宋体" w:cs="宋体"/>
                <w:color w:val="000000"/>
                <w:kern w:val="2"/>
                <w:sz w:val="21"/>
                <w:szCs w:val="21"/>
                <w:highlight w:val="none"/>
                <w:lang w:val="en-US" w:eastAsia="zh-CN" w:bidi="ar-SA"/>
              </w:rPr>
            </w:pPr>
            <w:r>
              <w:rPr>
                <w:rFonts w:hint="eastAsia" w:eastAsia="宋体" w:cs="宋体"/>
                <w:color w:val="000000"/>
                <w:kern w:val="2"/>
                <w:sz w:val="21"/>
                <w:szCs w:val="21"/>
                <w:highlight w:val="none"/>
                <w:lang w:val="en-US" w:eastAsia="zh-CN" w:bidi="ar-SA"/>
              </w:rPr>
              <w:t>1.0</w:t>
            </w:r>
          </w:p>
        </w:tc>
        <w:tc>
          <w:tcPr>
            <w:tcW w:w="1322" w:type="pct"/>
            <w:tcBorders>
              <w:tl2br w:val="nil"/>
              <w:tr2bl w:val="nil"/>
            </w:tcBorders>
            <w:noWrap w:val="0"/>
            <w:vAlign w:val="center"/>
          </w:tcPr>
          <w:p w14:paraId="28D7B41A">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hint="default" w:ascii="Times New Roman" w:hAnsi="Times New Roman" w:eastAsia="宋体" w:cs="Times New Roman"/>
                <w:color w:val="000000"/>
                <w:kern w:val="2"/>
                <w:sz w:val="21"/>
                <w:szCs w:val="20"/>
                <w:highlight w:val="none"/>
                <w:lang w:val="en-US" w:eastAsia="zh-CN" w:bidi="ar-SA"/>
              </w:rPr>
            </w:pPr>
            <w:r>
              <w:rPr>
                <w:rFonts w:hint="eastAsia" w:eastAsia="宋体" w:cs="Times New Roman"/>
                <w:color w:val="000000"/>
                <w:kern w:val="2"/>
                <w:sz w:val="21"/>
                <w:szCs w:val="20"/>
                <w:highlight w:val="none"/>
                <w:lang w:val="en-US" w:eastAsia="zh-CN" w:bidi="ar-SA"/>
              </w:rPr>
              <w:t>1.5</w:t>
            </w:r>
          </w:p>
        </w:tc>
        <w:tc>
          <w:tcPr>
            <w:tcW w:w="1425" w:type="pct"/>
            <w:tcBorders>
              <w:tl2br w:val="nil"/>
              <w:tr2bl w:val="nil"/>
            </w:tcBorders>
            <w:noWrap w:val="0"/>
            <w:vAlign w:val="center"/>
          </w:tcPr>
          <w:p w14:paraId="1C917236">
            <w:pPr>
              <w:keepNext w:val="0"/>
              <w:keepLines w:val="0"/>
              <w:pageBreakBefore w:val="0"/>
              <w:widowControl w:val="0"/>
              <w:kinsoku/>
              <w:wordWrap/>
              <w:overflowPunct/>
              <w:topLinePunct w:val="0"/>
              <w:autoSpaceDE w:val="0"/>
              <w:autoSpaceDN w:val="0"/>
              <w:bidi w:val="0"/>
              <w:adjustRightInd w:val="0"/>
              <w:snapToGrid/>
              <w:spacing w:before="0" w:after="0" w:line="240" w:lineRule="auto"/>
              <w:ind w:left="0" w:right="0" w:firstLine="0" w:firstLineChars="0"/>
              <w:jc w:val="center"/>
              <w:textAlignment w:val="auto"/>
              <w:rPr>
                <w:rFonts w:hint="default"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2.0</w:t>
            </w:r>
          </w:p>
        </w:tc>
      </w:tr>
    </w:tbl>
    <w:p w14:paraId="4D60F0FC">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hint="eastAsia" w:ascii="Times New Roman" w:hAnsi="Times New Roman" w:eastAsia="宋体" w:cs="Times New Roman"/>
          <w:color w:val="000000"/>
          <w:kern w:val="2"/>
          <w:sz w:val="24"/>
          <w:szCs w:val="24"/>
          <w:highlight w:val="none"/>
          <w:lang w:val="en-US" w:eastAsia="zh-CN" w:bidi="ar-SA"/>
        </w:rPr>
        <w:t>④</w:t>
      </w:r>
      <w:r>
        <w:rPr>
          <w:rFonts w:ascii="Times New Roman" w:hAnsi="Times New Roman" w:eastAsia="宋体" w:cs="Times New Roman"/>
          <w:color w:val="auto"/>
          <w:kern w:val="2"/>
          <w:sz w:val="24"/>
          <w:szCs w:val="24"/>
          <w:highlight w:val="none"/>
        </w:rPr>
        <w:t>室内声源</w:t>
      </w:r>
    </w:p>
    <w:p w14:paraId="34162E42">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假如某厂房内有K个噪声源，对预测点的影响相当于若干个等效室外声源，其计算如下：</w:t>
      </w:r>
    </w:p>
    <w:p w14:paraId="1C7CD44F">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1）计算厂房内第I个声源在室内靠近围护结构处的声级Lpil：</w:t>
      </w:r>
    </w:p>
    <w:p w14:paraId="3A6E891E">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Lpil=Lwi+10lg（Qπri/4+4/R）</w:t>
      </w:r>
    </w:p>
    <w:p w14:paraId="17184D67">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式中：</w:t>
      </w:r>
    </w:p>
    <w:p w14:paraId="0657FBCA">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Lwi—该厂房内第i个声源的声功率级；</w:t>
      </w:r>
    </w:p>
    <w:p w14:paraId="20C5048A">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Q—声源的方向性因素；</w:t>
      </w:r>
    </w:p>
    <w:p w14:paraId="02BC1D87">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ri—室内点距声源的距离；</w:t>
      </w:r>
    </w:p>
    <w:p w14:paraId="7A620B7F">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R—房间常数。</w:t>
      </w:r>
    </w:p>
    <w:p w14:paraId="14265942">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2）计算厂房内K个声源在靠近围护结构处的声级Lp1：</w:t>
      </w:r>
    </w:p>
    <w:p w14:paraId="1FA97270">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Lp1=10lgΣ100.1Lpi1</w:t>
      </w:r>
    </w:p>
    <w:p w14:paraId="3913BB61">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3）计算厂房外靠近围护结构处的声级Lp2: Lp2=Lp1-（TL+6）</w:t>
      </w:r>
    </w:p>
    <w:p w14:paraId="1913C8F0">
      <w:pPr>
        <w:overflowPunct/>
        <w:autoSpaceDE/>
        <w:autoSpaceDN/>
        <w:adjustRightInd/>
        <w:snapToGrid w:val="0"/>
        <w:spacing w:before="0" w:after="0" w:line="520" w:lineRule="exact"/>
        <w:ind w:left="0" w:right="0" w:firstLine="480" w:firstLineChars="200"/>
        <w:jc w:val="both"/>
        <w:rPr>
          <w:rFonts w:ascii="Times New Roman" w:hAnsi="Times New Roman" w:eastAsia="宋体" w:cs="Times New Roman"/>
          <w:color w:val="auto"/>
          <w:kern w:val="2"/>
          <w:sz w:val="24"/>
          <w:szCs w:val="24"/>
          <w:highlight w:val="none"/>
        </w:rPr>
      </w:pPr>
      <w:r>
        <w:rPr>
          <w:rFonts w:ascii="Times New Roman" w:hAnsi="Times New Roman" w:eastAsia="宋体" w:cs="Times New Roman"/>
          <w:color w:val="auto"/>
          <w:kern w:val="2"/>
          <w:sz w:val="24"/>
          <w:szCs w:val="24"/>
          <w:highlight w:val="none"/>
        </w:rPr>
        <w:t>式中</w:t>
      </w:r>
      <w:r>
        <w:rPr>
          <w:rFonts w:hint="eastAsia" w:cs="Times New Roman"/>
          <w:color w:val="auto"/>
          <w:kern w:val="2"/>
          <w:sz w:val="24"/>
          <w:szCs w:val="24"/>
          <w:highlight w:val="none"/>
          <w:lang w:eastAsia="zh-CN"/>
        </w:rPr>
        <w:t>：</w:t>
      </w:r>
      <w:r>
        <w:rPr>
          <w:rFonts w:ascii="Times New Roman" w:hAnsi="Times New Roman" w:eastAsia="宋体" w:cs="Times New Roman"/>
          <w:color w:val="auto"/>
          <w:kern w:val="2"/>
          <w:sz w:val="24"/>
          <w:szCs w:val="24"/>
          <w:highlight w:val="none"/>
        </w:rPr>
        <w:t>TL—围护结构的传声损失。</w:t>
      </w:r>
    </w:p>
    <w:p w14:paraId="2378AF91">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kern w:val="2"/>
          <w:sz w:val="24"/>
          <w:szCs w:val="24"/>
          <w:highlight w:val="none"/>
          <w:lang w:val="en-US" w:eastAsia="zh-CN" w:bidi="ar-SA"/>
        </w:rPr>
        <w:t>4）把围护结构当作等效室外声源，再根据声级Lp2和围护结构（一般为门、窗）的面积，计算等效室外的声功率级。</w:t>
      </w:r>
    </w:p>
    <w:p w14:paraId="25CDD535">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kern w:val="2"/>
          <w:sz w:val="24"/>
          <w:szCs w:val="24"/>
          <w:highlight w:val="none"/>
          <w:lang w:val="en-US" w:eastAsia="zh-CN" w:bidi="ar-SA"/>
        </w:rPr>
        <w:t>5）按照上述室外声源的计算方法，计算该等效室外声源在第i个预测点的声级Lakj（in）。</w:t>
      </w:r>
    </w:p>
    <w:p w14:paraId="6515B81A">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⑤</w:t>
      </w:r>
      <w:r>
        <w:rPr>
          <w:rFonts w:ascii="Times New Roman" w:hAnsi="Times New Roman" w:eastAsia="宋体" w:cs="Times New Roman"/>
          <w:color w:val="000000"/>
          <w:kern w:val="2"/>
          <w:sz w:val="24"/>
          <w:szCs w:val="24"/>
          <w:highlight w:val="none"/>
          <w:lang w:val="en-US" w:eastAsia="zh-CN" w:bidi="ar-SA"/>
        </w:rPr>
        <w:t>总声级</w:t>
      </w:r>
    </w:p>
    <w:p w14:paraId="332BD3B4">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将计算总声级和原有背景声级进行能量叠加，得到最终噪声级。</w:t>
      </w:r>
    </w:p>
    <w:p w14:paraId="57A621C0">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eastAsia" w:cs="Times New Roman"/>
          <w:color w:val="000000"/>
          <w:kern w:val="2"/>
          <w:sz w:val="24"/>
          <w:szCs w:val="24"/>
          <w:highlight w:val="none"/>
          <w:lang w:val="en-US" w:eastAsia="zh-CN" w:bidi="ar-SA"/>
        </w:rPr>
        <w:t>⑥</w:t>
      </w:r>
      <w:r>
        <w:rPr>
          <w:rFonts w:ascii="Times New Roman" w:hAnsi="Times New Roman" w:eastAsia="宋体" w:cs="Times New Roman"/>
          <w:color w:val="000000"/>
          <w:kern w:val="2"/>
          <w:sz w:val="24"/>
          <w:szCs w:val="24"/>
          <w:highlight w:val="none"/>
          <w:lang w:val="en-US" w:eastAsia="zh-CN" w:bidi="ar-SA"/>
        </w:rPr>
        <w:t>计算受声点的布设</w:t>
      </w:r>
    </w:p>
    <w:p w14:paraId="7FD5EE74">
      <w:pPr>
        <w:widowControl w:val="0"/>
        <w:overflowPunct w:val="0"/>
        <w:autoSpaceDE w:val="0"/>
        <w:autoSpaceDN w:val="0"/>
        <w:adjustRightInd w:val="0"/>
        <w:snapToGrid w:val="0"/>
        <w:spacing w:before="0" w:after="0" w:line="500" w:lineRule="exact"/>
        <w:ind w:left="0" w:right="0"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根据工程规模及建设地点环境噪声特点，参照</w:t>
      </w:r>
      <w:r>
        <w:rPr>
          <w:rFonts w:hint="eastAsia" w:ascii="Times New Roman" w:hAnsi="Times New Roman" w:eastAsia="宋体" w:cs="Times New Roman"/>
          <w:color w:val="000000"/>
          <w:kern w:val="2"/>
          <w:sz w:val="24"/>
          <w:szCs w:val="24"/>
          <w:highlight w:val="none"/>
          <w:lang w:val="en-US" w:eastAsia="zh-CN"/>
        </w:rPr>
        <w:t>《环境影响评价技术导则 声环境》（HJ2.4-2021）</w:t>
      </w:r>
      <w:r>
        <w:rPr>
          <w:rFonts w:ascii="Times New Roman" w:hAnsi="Times New Roman" w:eastAsia="宋体" w:cs="Times New Roman"/>
          <w:color w:val="000000"/>
          <w:kern w:val="2"/>
          <w:sz w:val="24"/>
          <w:szCs w:val="24"/>
          <w:highlight w:val="none"/>
          <w:lang w:val="en-US" w:eastAsia="zh-CN" w:bidi="ar-SA"/>
        </w:rPr>
        <w:t>的有关规定，预测计算影响到厂界范围的声场分布状况，根据</w:t>
      </w:r>
      <w:r>
        <w:rPr>
          <w:rFonts w:hint="eastAsia" w:ascii="Times New Roman" w:hAnsi="Times New Roman" w:eastAsia="宋体" w:cs="Times New Roman"/>
          <w:color w:val="000000"/>
          <w:kern w:val="2"/>
          <w:sz w:val="24"/>
          <w:szCs w:val="24"/>
          <w:highlight w:val="none"/>
          <w:lang w:val="en-US" w:eastAsia="zh-CN" w:bidi="ar-SA"/>
        </w:rPr>
        <w:t>计算</w:t>
      </w:r>
      <w:r>
        <w:rPr>
          <w:rFonts w:ascii="Times New Roman" w:hAnsi="Times New Roman" w:eastAsia="宋体" w:cs="Times New Roman"/>
          <w:color w:val="000000"/>
          <w:kern w:val="2"/>
          <w:sz w:val="24"/>
          <w:szCs w:val="24"/>
          <w:highlight w:val="none"/>
          <w:lang w:val="en-US" w:eastAsia="zh-CN" w:bidi="ar-SA"/>
        </w:rPr>
        <w:t>结果说明项目建成后，对周围环境的噪声影响情况。</w:t>
      </w:r>
    </w:p>
    <w:p w14:paraId="230E264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3"/>
        <w:rPr>
          <w:rFonts w:hint="eastAsia"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5.</w:t>
      </w:r>
      <w:r>
        <w:rPr>
          <w:rFonts w:hint="eastAsia" w:ascii="Times New Roman" w:hAnsi="Times New Roman" w:eastAsia="宋体"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3.</w:t>
      </w:r>
      <w:r>
        <w:rPr>
          <w:rFonts w:hint="eastAsia" w:ascii="Times New Roman" w:hAnsi="Times New Roman" w:eastAsia="宋体" w:cs="Times New Roman"/>
          <w:b/>
          <w:bCs/>
          <w:color w:val="auto"/>
          <w:kern w:val="2"/>
          <w:sz w:val="24"/>
          <w:szCs w:val="24"/>
          <w:lang w:val="en-US" w:eastAsia="zh-CN" w:bidi="ar-SA"/>
        </w:rPr>
        <w:t>4</w:t>
      </w:r>
      <w:bookmarkEnd w:id="576"/>
      <w:bookmarkEnd w:id="577"/>
      <w:r>
        <w:rPr>
          <w:rFonts w:hint="eastAsia" w:ascii="Times New Roman" w:hAnsi="Times New Roman" w:eastAsia="宋体" w:cs="Times New Roman"/>
          <w:b/>
          <w:bCs/>
          <w:color w:val="auto"/>
          <w:kern w:val="2"/>
          <w:sz w:val="24"/>
          <w:szCs w:val="24"/>
          <w:lang w:val="en-US" w:eastAsia="zh-CN" w:bidi="ar-SA"/>
        </w:rPr>
        <w:t>预测结果分析</w:t>
      </w:r>
    </w:p>
    <w:p w14:paraId="7D9FD90B">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宋体" w:cs="华文仿宋"/>
          <w:color w:val="auto"/>
          <w:kern w:val="2"/>
          <w:sz w:val="24"/>
          <w:szCs w:val="24"/>
          <w:lang w:val="en-US" w:eastAsia="zh-CN" w:bidi="ar-SA"/>
        </w:rPr>
      </w:pPr>
      <w:r>
        <w:rPr>
          <w:rFonts w:hint="eastAsia" w:ascii="Times New Roman" w:hAnsi="Times New Roman" w:eastAsia="宋体" w:cs="华文仿宋"/>
          <w:color w:val="auto"/>
          <w:kern w:val="2"/>
          <w:sz w:val="24"/>
          <w:szCs w:val="24"/>
          <w:lang w:val="en-US" w:eastAsia="zh-CN" w:bidi="ar-SA"/>
        </w:rPr>
        <w:t>在本次声环境影响预测与评价中，根据室内声源衰减模式，同时结合该项目的建筑物特征，由于吸声、隔声的作用，可使本项目的噪声源强值降低20dB（A）。计算结果见表</w:t>
      </w:r>
      <w:r>
        <w:rPr>
          <w:rFonts w:hint="eastAsia" w:eastAsia="宋体" w:cs="华文仿宋"/>
          <w:color w:val="auto"/>
          <w:kern w:val="2"/>
          <w:sz w:val="24"/>
          <w:szCs w:val="24"/>
          <w:lang w:val="en-US" w:eastAsia="zh-CN" w:bidi="ar-SA"/>
        </w:rPr>
        <w:t>5.2-</w:t>
      </w:r>
      <w:r>
        <w:rPr>
          <w:rFonts w:hint="eastAsia" w:cs="华文仿宋"/>
          <w:color w:val="auto"/>
          <w:kern w:val="2"/>
          <w:sz w:val="24"/>
          <w:szCs w:val="24"/>
          <w:lang w:val="en-US" w:eastAsia="zh-CN" w:bidi="ar-SA"/>
        </w:rPr>
        <w:t>35</w:t>
      </w:r>
      <w:r>
        <w:rPr>
          <w:rFonts w:hint="eastAsia" w:ascii="Times New Roman" w:hAnsi="Times New Roman" w:eastAsia="宋体" w:cs="华文仿宋"/>
          <w:color w:val="auto"/>
          <w:kern w:val="2"/>
          <w:sz w:val="24"/>
          <w:szCs w:val="24"/>
          <w:lang w:val="en-US" w:eastAsia="zh-CN" w:bidi="ar-SA"/>
        </w:rPr>
        <w:t>。</w:t>
      </w:r>
    </w:p>
    <w:p w14:paraId="05C9DCB3">
      <w:pPr>
        <w:keepNext w:val="0"/>
        <w:keepLines w:val="0"/>
        <w:pageBreakBefore w:val="0"/>
        <w:widowControl w:val="0"/>
        <w:kinsoku/>
        <w:wordWrap/>
        <w:overflowPunct/>
        <w:topLinePunct w:val="0"/>
        <w:autoSpaceDE/>
        <w:autoSpaceDN/>
        <w:bidi w:val="0"/>
        <w:adjustRightInd/>
        <w:snapToGrid w:val="0"/>
        <w:spacing w:after="0" w:afterAutospacing="0" w:line="360" w:lineRule="auto"/>
        <w:ind w:firstLine="482" w:firstLineChars="200"/>
        <w:jc w:val="center"/>
        <w:textAlignment w:val="auto"/>
        <w:rPr>
          <w:rFonts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表</w:t>
      </w:r>
      <w:r>
        <w:rPr>
          <w:rFonts w:hint="eastAsia" w:eastAsia="宋体" w:cs="Times New Roman"/>
          <w:b/>
          <w:color w:val="auto"/>
          <w:kern w:val="2"/>
          <w:sz w:val="24"/>
          <w:szCs w:val="24"/>
          <w:lang w:val="en-US" w:eastAsia="zh-CN" w:bidi="ar-SA"/>
        </w:rPr>
        <w:t>5.2-</w:t>
      </w:r>
      <w:r>
        <w:rPr>
          <w:rFonts w:hint="eastAsia" w:cs="Times New Roman"/>
          <w:b/>
          <w:color w:val="auto"/>
          <w:kern w:val="2"/>
          <w:sz w:val="24"/>
          <w:szCs w:val="24"/>
          <w:lang w:val="en-US" w:eastAsia="zh-CN" w:bidi="ar-SA"/>
        </w:rPr>
        <w:t>35</w:t>
      </w:r>
      <w:r>
        <w:rPr>
          <w:rFonts w:hint="eastAsia" w:ascii="Times New Roman" w:hAnsi="Times New Roman" w:eastAsia="宋体" w:cs="Times New Roman"/>
          <w:b/>
          <w:color w:val="auto"/>
          <w:kern w:val="2"/>
          <w:sz w:val="24"/>
          <w:szCs w:val="24"/>
          <w:lang w:val="en-US" w:eastAsia="zh-CN" w:bidi="ar-SA"/>
        </w:rPr>
        <w:t>厂界处噪声预测结果一览表  单位：dB（A）</w:t>
      </w:r>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43"/>
        <w:gridCol w:w="858"/>
        <w:gridCol w:w="860"/>
        <w:gridCol w:w="860"/>
        <w:gridCol w:w="860"/>
        <w:gridCol w:w="860"/>
        <w:gridCol w:w="860"/>
        <w:gridCol w:w="860"/>
        <w:gridCol w:w="861"/>
      </w:tblGrid>
      <w:tr w14:paraId="0538E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3" w:type="pct"/>
            <w:vMerge w:val="restart"/>
            <w:vAlign w:val="center"/>
          </w:tcPr>
          <w:p w14:paraId="495CEB9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厂界噪声</w:t>
            </w:r>
          </w:p>
          <w:p w14:paraId="691818F3">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dB（A）</w:t>
            </w:r>
          </w:p>
        </w:tc>
        <w:tc>
          <w:tcPr>
            <w:tcW w:w="1007" w:type="pct"/>
            <w:gridSpan w:val="2"/>
            <w:vAlign w:val="center"/>
          </w:tcPr>
          <w:p w14:paraId="044B2A47">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东厂界</w:t>
            </w:r>
          </w:p>
        </w:tc>
        <w:tc>
          <w:tcPr>
            <w:tcW w:w="1009" w:type="pct"/>
            <w:gridSpan w:val="2"/>
            <w:vAlign w:val="center"/>
          </w:tcPr>
          <w:p w14:paraId="30A44316">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南厂界</w:t>
            </w:r>
          </w:p>
        </w:tc>
        <w:tc>
          <w:tcPr>
            <w:tcW w:w="1009" w:type="pct"/>
            <w:gridSpan w:val="2"/>
            <w:vAlign w:val="center"/>
          </w:tcPr>
          <w:p w14:paraId="3C201D1D">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西厂界</w:t>
            </w:r>
          </w:p>
        </w:tc>
        <w:tc>
          <w:tcPr>
            <w:tcW w:w="1009" w:type="pct"/>
            <w:gridSpan w:val="2"/>
            <w:vAlign w:val="center"/>
          </w:tcPr>
          <w:p w14:paraId="50E6084F">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北厂界</w:t>
            </w:r>
          </w:p>
        </w:tc>
      </w:tr>
      <w:tr w14:paraId="5CD23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963" w:type="pct"/>
            <w:vMerge w:val="continue"/>
            <w:vAlign w:val="center"/>
          </w:tcPr>
          <w:p w14:paraId="1C47B940">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p>
        </w:tc>
        <w:tc>
          <w:tcPr>
            <w:tcW w:w="503" w:type="pct"/>
            <w:vAlign w:val="center"/>
          </w:tcPr>
          <w:p w14:paraId="7F3148C6">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昼</w:t>
            </w:r>
          </w:p>
        </w:tc>
        <w:tc>
          <w:tcPr>
            <w:tcW w:w="504" w:type="pct"/>
            <w:vAlign w:val="center"/>
          </w:tcPr>
          <w:p w14:paraId="38FECBB0">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夜</w:t>
            </w:r>
          </w:p>
        </w:tc>
        <w:tc>
          <w:tcPr>
            <w:tcW w:w="504" w:type="pct"/>
            <w:vAlign w:val="center"/>
          </w:tcPr>
          <w:p w14:paraId="33F72229">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昼</w:t>
            </w:r>
          </w:p>
        </w:tc>
        <w:tc>
          <w:tcPr>
            <w:tcW w:w="504" w:type="pct"/>
            <w:vAlign w:val="center"/>
          </w:tcPr>
          <w:p w14:paraId="3F8CA7D7">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夜</w:t>
            </w:r>
          </w:p>
        </w:tc>
        <w:tc>
          <w:tcPr>
            <w:tcW w:w="504" w:type="pct"/>
            <w:vAlign w:val="center"/>
          </w:tcPr>
          <w:p w14:paraId="58647DA9">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昼</w:t>
            </w:r>
          </w:p>
        </w:tc>
        <w:tc>
          <w:tcPr>
            <w:tcW w:w="504" w:type="pct"/>
            <w:vAlign w:val="center"/>
          </w:tcPr>
          <w:p w14:paraId="3B3CC1A9">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夜</w:t>
            </w:r>
          </w:p>
        </w:tc>
        <w:tc>
          <w:tcPr>
            <w:tcW w:w="504" w:type="pct"/>
            <w:vAlign w:val="center"/>
          </w:tcPr>
          <w:p w14:paraId="1644DD1A">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昼</w:t>
            </w:r>
          </w:p>
        </w:tc>
        <w:tc>
          <w:tcPr>
            <w:tcW w:w="505" w:type="pct"/>
            <w:vAlign w:val="center"/>
          </w:tcPr>
          <w:p w14:paraId="0F903BE2">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夜</w:t>
            </w:r>
          </w:p>
        </w:tc>
      </w:tr>
      <w:tr w14:paraId="0BE9CD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643" w:type="dxa"/>
            <w:vAlign w:val="center"/>
          </w:tcPr>
          <w:p w14:paraId="219A97F4">
            <w:pPr>
              <w:widowControl w:val="0"/>
              <w:spacing w:line="320" w:lineRule="exact"/>
              <w:jc w:val="center"/>
              <w:rPr>
                <w:rFonts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kern w:val="0"/>
                <w:sz w:val="21"/>
                <w:szCs w:val="24"/>
                <w:highlight w:val="none"/>
                <w:lang w:val="en-US" w:eastAsia="zh-CN" w:bidi="ar-SA"/>
              </w:rPr>
              <w:t>背景值</w:t>
            </w:r>
          </w:p>
        </w:tc>
        <w:tc>
          <w:tcPr>
            <w:tcW w:w="503" w:type="pct"/>
            <w:vAlign w:val="center"/>
          </w:tcPr>
          <w:p w14:paraId="1CBCC29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lang w:val="en-US" w:eastAsia="zh-CN"/>
              </w:rPr>
            </w:pPr>
            <w:r>
              <w:rPr>
                <w:rFonts w:hint="eastAsia" w:cs="Times New Roman"/>
                <w:color w:val="auto"/>
                <w:lang w:val="en-US" w:eastAsia="zh-CN"/>
              </w:rPr>
              <w:t>52</w:t>
            </w:r>
          </w:p>
        </w:tc>
        <w:tc>
          <w:tcPr>
            <w:tcW w:w="504" w:type="pct"/>
            <w:vAlign w:val="center"/>
          </w:tcPr>
          <w:p w14:paraId="706791E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lang w:val="en-US" w:eastAsia="zh-CN"/>
              </w:rPr>
            </w:pPr>
            <w:r>
              <w:rPr>
                <w:rFonts w:hint="eastAsia" w:cs="Times New Roman"/>
                <w:color w:val="auto"/>
                <w:lang w:val="en-US" w:eastAsia="zh-CN"/>
              </w:rPr>
              <w:t>43</w:t>
            </w:r>
          </w:p>
        </w:tc>
        <w:tc>
          <w:tcPr>
            <w:tcW w:w="860" w:type="dxa"/>
            <w:vAlign w:val="center"/>
          </w:tcPr>
          <w:p w14:paraId="7BA479F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highlight w:val="yellow"/>
                <w:lang w:val="en-US" w:eastAsia="zh-CN"/>
              </w:rPr>
            </w:pPr>
            <w:r>
              <w:rPr>
                <w:rFonts w:hint="eastAsia" w:cs="Times New Roman"/>
                <w:color w:val="auto"/>
                <w:lang w:val="en-US" w:eastAsia="zh-CN"/>
              </w:rPr>
              <w:t>52</w:t>
            </w:r>
          </w:p>
        </w:tc>
        <w:tc>
          <w:tcPr>
            <w:tcW w:w="860" w:type="dxa"/>
            <w:vAlign w:val="center"/>
          </w:tcPr>
          <w:p w14:paraId="544938A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highlight w:val="yellow"/>
                <w:lang w:val="en-US" w:eastAsia="zh-CN"/>
              </w:rPr>
            </w:pPr>
            <w:r>
              <w:rPr>
                <w:rFonts w:hint="eastAsia" w:cs="Times New Roman"/>
                <w:color w:val="auto"/>
                <w:lang w:val="en-US" w:eastAsia="zh-CN"/>
              </w:rPr>
              <w:t>42</w:t>
            </w:r>
          </w:p>
        </w:tc>
        <w:tc>
          <w:tcPr>
            <w:tcW w:w="860" w:type="dxa"/>
            <w:vAlign w:val="center"/>
          </w:tcPr>
          <w:p w14:paraId="32E5FB6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lang w:val="en-US" w:eastAsia="zh-CN"/>
              </w:rPr>
              <w:t>53</w:t>
            </w:r>
          </w:p>
        </w:tc>
        <w:tc>
          <w:tcPr>
            <w:tcW w:w="860" w:type="dxa"/>
            <w:vAlign w:val="center"/>
          </w:tcPr>
          <w:p w14:paraId="7008FD8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lang w:val="en-US" w:eastAsia="zh-CN"/>
              </w:rPr>
              <w:t>42</w:t>
            </w:r>
          </w:p>
        </w:tc>
        <w:tc>
          <w:tcPr>
            <w:tcW w:w="860" w:type="dxa"/>
            <w:vAlign w:val="center"/>
          </w:tcPr>
          <w:p w14:paraId="3F4A505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lang w:val="en-US" w:eastAsia="zh-CN"/>
              </w:rPr>
            </w:pPr>
            <w:r>
              <w:rPr>
                <w:rFonts w:hint="eastAsia" w:cs="Times New Roman"/>
                <w:color w:val="auto"/>
                <w:lang w:val="en-US" w:eastAsia="zh-CN"/>
              </w:rPr>
              <w:t>52</w:t>
            </w:r>
          </w:p>
        </w:tc>
        <w:tc>
          <w:tcPr>
            <w:tcW w:w="861" w:type="dxa"/>
            <w:vAlign w:val="center"/>
          </w:tcPr>
          <w:p w14:paraId="101EA33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color w:val="auto"/>
                <w:lang w:val="en-US" w:eastAsia="zh-CN"/>
              </w:rPr>
            </w:pPr>
            <w:r>
              <w:rPr>
                <w:rFonts w:hint="eastAsia" w:cs="Times New Roman"/>
                <w:color w:val="auto"/>
                <w:lang w:val="en-US" w:eastAsia="zh-CN"/>
              </w:rPr>
              <w:t>42</w:t>
            </w:r>
          </w:p>
        </w:tc>
      </w:tr>
      <w:tr w14:paraId="07CBE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643" w:type="dxa"/>
            <w:vAlign w:val="center"/>
          </w:tcPr>
          <w:p w14:paraId="5132CC8B">
            <w:pPr>
              <w:widowControl w:val="0"/>
              <w:spacing w:line="320" w:lineRule="exact"/>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kern w:val="0"/>
                <w:sz w:val="21"/>
                <w:szCs w:val="24"/>
                <w:highlight w:val="none"/>
                <w:lang w:val="en-US" w:eastAsia="zh-CN" w:bidi="ar-SA"/>
              </w:rPr>
              <w:t>贡献值</w:t>
            </w:r>
          </w:p>
        </w:tc>
        <w:tc>
          <w:tcPr>
            <w:tcW w:w="503" w:type="pct"/>
            <w:vAlign w:val="center"/>
          </w:tcPr>
          <w:p w14:paraId="74B74BC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lang w:val="en-US" w:eastAsia="zh-CN"/>
              </w:rPr>
              <w:t>47.9</w:t>
            </w:r>
          </w:p>
        </w:tc>
        <w:tc>
          <w:tcPr>
            <w:tcW w:w="504" w:type="pct"/>
            <w:vAlign w:val="center"/>
          </w:tcPr>
          <w:p w14:paraId="373C556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lang w:val="en-US" w:eastAsia="zh-CN"/>
              </w:rPr>
              <w:t>7.0</w:t>
            </w:r>
          </w:p>
        </w:tc>
        <w:tc>
          <w:tcPr>
            <w:tcW w:w="504" w:type="pct"/>
            <w:vAlign w:val="center"/>
          </w:tcPr>
          <w:p w14:paraId="4A22656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18.5</w:t>
            </w:r>
          </w:p>
        </w:tc>
        <w:tc>
          <w:tcPr>
            <w:tcW w:w="504" w:type="pct"/>
            <w:vAlign w:val="center"/>
          </w:tcPr>
          <w:p w14:paraId="6A1377D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lang w:val="en-US" w:eastAsia="zh-CN"/>
              </w:rPr>
              <w:t>7.6</w:t>
            </w:r>
          </w:p>
        </w:tc>
        <w:tc>
          <w:tcPr>
            <w:tcW w:w="504" w:type="pct"/>
            <w:vAlign w:val="center"/>
          </w:tcPr>
          <w:p w14:paraId="1766654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39.5</w:t>
            </w:r>
          </w:p>
        </w:tc>
        <w:tc>
          <w:tcPr>
            <w:tcW w:w="504" w:type="pct"/>
            <w:vAlign w:val="center"/>
          </w:tcPr>
          <w:p w14:paraId="59F9E3C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lang w:val="en-US" w:eastAsia="zh-CN"/>
              </w:rPr>
              <w:t>7.7</w:t>
            </w:r>
          </w:p>
        </w:tc>
        <w:tc>
          <w:tcPr>
            <w:tcW w:w="504" w:type="pct"/>
            <w:vAlign w:val="center"/>
          </w:tcPr>
          <w:p w14:paraId="39530EE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lang w:val="en-US" w:eastAsia="zh-CN"/>
              </w:rPr>
              <w:t>31.0</w:t>
            </w:r>
          </w:p>
        </w:tc>
        <w:tc>
          <w:tcPr>
            <w:tcW w:w="505" w:type="pct"/>
            <w:vAlign w:val="center"/>
          </w:tcPr>
          <w:p w14:paraId="6C540A3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lang w:val="en-US" w:eastAsia="zh-CN"/>
              </w:rPr>
              <w:t>0</w:t>
            </w:r>
          </w:p>
        </w:tc>
      </w:tr>
      <w:tr w14:paraId="617A71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643" w:type="dxa"/>
            <w:vAlign w:val="center"/>
          </w:tcPr>
          <w:p w14:paraId="221711EC">
            <w:pPr>
              <w:widowControl w:val="0"/>
              <w:spacing w:line="320" w:lineRule="exact"/>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000000"/>
                <w:kern w:val="0"/>
                <w:sz w:val="21"/>
                <w:szCs w:val="24"/>
                <w:highlight w:val="none"/>
                <w:lang w:val="en-US" w:eastAsia="zh-CN" w:bidi="ar-SA"/>
              </w:rPr>
              <w:t>叠加值</w:t>
            </w:r>
          </w:p>
        </w:tc>
        <w:tc>
          <w:tcPr>
            <w:tcW w:w="503" w:type="pct"/>
            <w:vAlign w:val="center"/>
          </w:tcPr>
          <w:p w14:paraId="4360EC9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lang w:val="en-US" w:eastAsia="zh-CN"/>
              </w:rPr>
              <w:t>53.4</w:t>
            </w:r>
          </w:p>
        </w:tc>
        <w:tc>
          <w:tcPr>
            <w:tcW w:w="504" w:type="pct"/>
            <w:vAlign w:val="center"/>
          </w:tcPr>
          <w:p w14:paraId="289CA23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highlight w:val="none"/>
                <w:lang w:val="en-US" w:eastAsia="zh-CN"/>
              </w:rPr>
              <w:t>43.0</w:t>
            </w:r>
          </w:p>
        </w:tc>
        <w:tc>
          <w:tcPr>
            <w:tcW w:w="504" w:type="pct"/>
            <w:vAlign w:val="center"/>
          </w:tcPr>
          <w:p w14:paraId="7EFC404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52.0</w:t>
            </w:r>
          </w:p>
        </w:tc>
        <w:tc>
          <w:tcPr>
            <w:tcW w:w="504" w:type="pct"/>
            <w:vAlign w:val="center"/>
          </w:tcPr>
          <w:p w14:paraId="1904114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42.0</w:t>
            </w:r>
          </w:p>
        </w:tc>
        <w:tc>
          <w:tcPr>
            <w:tcW w:w="504" w:type="pct"/>
            <w:vAlign w:val="center"/>
          </w:tcPr>
          <w:p w14:paraId="0734A1A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53.2</w:t>
            </w:r>
          </w:p>
        </w:tc>
        <w:tc>
          <w:tcPr>
            <w:tcW w:w="504" w:type="pct"/>
            <w:vAlign w:val="center"/>
          </w:tcPr>
          <w:p w14:paraId="5DA3C2F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42.0</w:t>
            </w:r>
          </w:p>
        </w:tc>
        <w:tc>
          <w:tcPr>
            <w:tcW w:w="504" w:type="pct"/>
            <w:vAlign w:val="center"/>
          </w:tcPr>
          <w:p w14:paraId="4DA6E87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lang w:val="en-US" w:eastAsia="zh-CN"/>
              </w:rPr>
              <w:t>52.0</w:t>
            </w:r>
          </w:p>
        </w:tc>
        <w:tc>
          <w:tcPr>
            <w:tcW w:w="505" w:type="pct"/>
            <w:vAlign w:val="center"/>
          </w:tcPr>
          <w:p w14:paraId="60F8F11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cs="Times New Roman"/>
                <w:color w:val="auto"/>
                <w:lang w:val="en-US" w:eastAsia="zh-CN"/>
              </w:rPr>
            </w:pPr>
            <w:r>
              <w:rPr>
                <w:rFonts w:hint="eastAsia" w:cs="Times New Roman"/>
                <w:color w:val="auto"/>
                <w:lang w:val="en-US" w:eastAsia="zh-CN"/>
              </w:rPr>
              <w:t>42.0</w:t>
            </w:r>
          </w:p>
        </w:tc>
      </w:tr>
      <w:tr w14:paraId="3456D5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3" w:type="pct"/>
            <w:vAlign w:val="center"/>
          </w:tcPr>
          <w:p w14:paraId="31A2A43F">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标准值</w:t>
            </w:r>
          </w:p>
        </w:tc>
        <w:tc>
          <w:tcPr>
            <w:tcW w:w="503" w:type="pct"/>
            <w:vAlign w:val="center"/>
          </w:tcPr>
          <w:p w14:paraId="026332D0">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w:t>
            </w:r>
            <w:r>
              <w:rPr>
                <w:rFonts w:hint="eastAsia" w:eastAsia="宋体" w:cs="Times New Roman"/>
                <w:color w:val="auto"/>
                <w:kern w:val="0"/>
                <w:sz w:val="21"/>
                <w:szCs w:val="21"/>
                <w:lang w:val="en-US" w:eastAsia="zh-CN" w:bidi="ar-SA"/>
              </w:rPr>
              <w:t>0</w:t>
            </w:r>
          </w:p>
        </w:tc>
        <w:tc>
          <w:tcPr>
            <w:tcW w:w="504" w:type="pct"/>
            <w:vAlign w:val="center"/>
          </w:tcPr>
          <w:p w14:paraId="3502B297">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w:t>
            </w:r>
            <w:r>
              <w:rPr>
                <w:rFonts w:hint="eastAsia" w:eastAsia="宋体" w:cs="Times New Roman"/>
                <w:color w:val="auto"/>
                <w:kern w:val="0"/>
                <w:sz w:val="21"/>
                <w:szCs w:val="21"/>
                <w:lang w:val="en-US" w:eastAsia="zh-CN" w:bidi="ar-SA"/>
              </w:rPr>
              <w:t>0</w:t>
            </w:r>
          </w:p>
        </w:tc>
        <w:tc>
          <w:tcPr>
            <w:tcW w:w="504" w:type="pct"/>
            <w:vAlign w:val="center"/>
          </w:tcPr>
          <w:p w14:paraId="289DE6E0">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w:t>
            </w:r>
            <w:r>
              <w:rPr>
                <w:rFonts w:hint="eastAsia" w:eastAsia="宋体" w:cs="Times New Roman"/>
                <w:color w:val="auto"/>
                <w:kern w:val="0"/>
                <w:sz w:val="21"/>
                <w:szCs w:val="21"/>
                <w:lang w:val="en-US" w:eastAsia="zh-CN" w:bidi="ar-SA"/>
              </w:rPr>
              <w:t>0</w:t>
            </w:r>
          </w:p>
        </w:tc>
        <w:tc>
          <w:tcPr>
            <w:tcW w:w="504" w:type="pct"/>
            <w:vAlign w:val="center"/>
          </w:tcPr>
          <w:p w14:paraId="02000E39">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w:t>
            </w:r>
            <w:r>
              <w:rPr>
                <w:rFonts w:hint="eastAsia" w:eastAsia="宋体" w:cs="Times New Roman"/>
                <w:color w:val="auto"/>
                <w:kern w:val="0"/>
                <w:sz w:val="21"/>
                <w:szCs w:val="21"/>
                <w:lang w:val="en-US" w:eastAsia="zh-CN" w:bidi="ar-SA"/>
              </w:rPr>
              <w:t>0</w:t>
            </w:r>
          </w:p>
        </w:tc>
        <w:tc>
          <w:tcPr>
            <w:tcW w:w="504" w:type="pct"/>
            <w:vAlign w:val="center"/>
          </w:tcPr>
          <w:p w14:paraId="0DC14151">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w:t>
            </w:r>
            <w:r>
              <w:rPr>
                <w:rFonts w:hint="eastAsia" w:eastAsia="宋体" w:cs="Times New Roman"/>
                <w:color w:val="auto"/>
                <w:kern w:val="0"/>
                <w:sz w:val="21"/>
                <w:szCs w:val="21"/>
                <w:lang w:val="en-US" w:eastAsia="zh-CN" w:bidi="ar-SA"/>
              </w:rPr>
              <w:t>0</w:t>
            </w:r>
          </w:p>
        </w:tc>
        <w:tc>
          <w:tcPr>
            <w:tcW w:w="504" w:type="pct"/>
            <w:vAlign w:val="center"/>
          </w:tcPr>
          <w:p w14:paraId="0FFA6085">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w:t>
            </w:r>
            <w:r>
              <w:rPr>
                <w:rFonts w:hint="eastAsia" w:eastAsia="宋体" w:cs="Times New Roman"/>
                <w:color w:val="auto"/>
                <w:kern w:val="0"/>
                <w:sz w:val="21"/>
                <w:szCs w:val="21"/>
                <w:lang w:val="en-US" w:eastAsia="zh-CN" w:bidi="ar-SA"/>
              </w:rPr>
              <w:t>0</w:t>
            </w:r>
          </w:p>
        </w:tc>
        <w:tc>
          <w:tcPr>
            <w:tcW w:w="504" w:type="pct"/>
            <w:vAlign w:val="center"/>
          </w:tcPr>
          <w:p w14:paraId="30FA8731">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w:t>
            </w:r>
            <w:r>
              <w:rPr>
                <w:rFonts w:hint="eastAsia" w:eastAsia="宋体" w:cs="Times New Roman"/>
                <w:color w:val="auto"/>
                <w:kern w:val="0"/>
                <w:sz w:val="21"/>
                <w:szCs w:val="21"/>
                <w:lang w:val="en-US" w:eastAsia="zh-CN" w:bidi="ar-SA"/>
              </w:rPr>
              <w:t>0</w:t>
            </w:r>
          </w:p>
        </w:tc>
        <w:tc>
          <w:tcPr>
            <w:tcW w:w="505" w:type="pct"/>
            <w:vAlign w:val="center"/>
          </w:tcPr>
          <w:p w14:paraId="62816A72">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w:t>
            </w:r>
            <w:r>
              <w:rPr>
                <w:rFonts w:hint="eastAsia" w:eastAsia="宋体" w:cs="Times New Roman"/>
                <w:color w:val="auto"/>
                <w:kern w:val="0"/>
                <w:sz w:val="21"/>
                <w:szCs w:val="21"/>
                <w:lang w:val="en-US" w:eastAsia="zh-CN" w:bidi="ar-SA"/>
              </w:rPr>
              <w:t>0</w:t>
            </w:r>
          </w:p>
        </w:tc>
      </w:tr>
    </w:tbl>
    <w:p w14:paraId="02A4D5D1">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宋体" w:cs="华文仿宋"/>
          <w:color w:val="auto"/>
          <w:kern w:val="2"/>
          <w:sz w:val="24"/>
          <w:szCs w:val="24"/>
          <w:lang w:val="en-US" w:eastAsia="zh-CN" w:bidi="ar-SA"/>
        </w:rPr>
      </w:pPr>
      <w:r>
        <w:rPr>
          <w:rFonts w:hint="eastAsia" w:ascii="Times New Roman" w:hAnsi="Times New Roman" w:eastAsia="宋体" w:cs="华文仿宋"/>
          <w:color w:val="auto"/>
          <w:kern w:val="2"/>
          <w:sz w:val="24"/>
          <w:szCs w:val="24"/>
          <w:lang w:val="en-US" w:eastAsia="zh-CN" w:bidi="ar-SA"/>
        </w:rPr>
        <w:t>本项目噪声计算结果显示：本项目建成运行后厂界昼间、夜间噪声贡献均满足《工业企业厂界环境噪声排放标准》（GB12348</w:t>
      </w:r>
      <w:r>
        <w:rPr>
          <w:rFonts w:hint="eastAsia" w:cs="华文仿宋"/>
          <w:color w:val="auto"/>
          <w:kern w:val="2"/>
          <w:sz w:val="24"/>
          <w:szCs w:val="24"/>
          <w:lang w:val="en-US" w:eastAsia="zh-CN" w:bidi="ar-SA"/>
        </w:rPr>
        <w:t>-</w:t>
      </w:r>
      <w:r>
        <w:rPr>
          <w:rFonts w:hint="eastAsia" w:ascii="Times New Roman" w:hAnsi="Times New Roman" w:eastAsia="宋体" w:cs="华文仿宋"/>
          <w:color w:val="auto"/>
          <w:kern w:val="2"/>
          <w:sz w:val="24"/>
          <w:szCs w:val="24"/>
          <w:lang w:val="en-US" w:eastAsia="zh-CN" w:bidi="ar-SA"/>
        </w:rPr>
        <w:t>2008）中2类标准，不会降低声环境级别，项目运行期对周围声环境影响较小。</w:t>
      </w:r>
    </w:p>
    <w:p w14:paraId="32FCEFD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2"/>
        <w:rPr>
          <w:rFonts w:hint="default" w:ascii="Times New Roman" w:hAnsi="Times New Roman" w:eastAsia="宋体" w:cs="Times New Roman"/>
          <w:b/>
          <w:bCs/>
          <w:kern w:val="2"/>
          <w:sz w:val="28"/>
          <w:szCs w:val="28"/>
          <w:lang w:val="en-US" w:eastAsia="zh-CN" w:bidi="ar-SA"/>
        </w:rPr>
      </w:pPr>
      <w:bookmarkStart w:id="578" w:name="_Toc5355"/>
      <w:bookmarkStart w:id="579" w:name="_Toc886"/>
      <w:r>
        <w:rPr>
          <w:rFonts w:hint="default" w:ascii="Times New Roman" w:hAnsi="Times New Roman" w:eastAsia="宋体" w:cs="Times New Roman"/>
          <w:b/>
          <w:bCs/>
          <w:kern w:val="2"/>
          <w:sz w:val="28"/>
          <w:szCs w:val="28"/>
          <w:lang w:val="en-US" w:eastAsia="zh-CN" w:bidi="ar-SA"/>
        </w:rPr>
        <w:t>5.2.</w:t>
      </w:r>
      <w:r>
        <w:rPr>
          <w:rFonts w:hint="eastAsia" w:ascii="Times New Roman" w:hAnsi="Times New Roman" w:eastAsia="宋体" w:cs="Times New Roman"/>
          <w:b/>
          <w:bCs/>
          <w:kern w:val="2"/>
          <w:sz w:val="28"/>
          <w:szCs w:val="28"/>
          <w:lang w:val="en-US" w:eastAsia="zh-CN" w:bidi="ar-SA"/>
        </w:rPr>
        <w:t>4</w:t>
      </w:r>
      <w:r>
        <w:rPr>
          <w:rFonts w:hint="default" w:ascii="Times New Roman" w:hAnsi="Times New Roman" w:eastAsia="宋体" w:cs="Times New Roman"/>
          <w:b/>
          <w:bCs/>
          <w:kern w:val="2"/>
          <w:sz w:val="28"/>
          <w:szCs w:val="28"/>
          <w:lang w:val="en-US" w:eastAsia="zh-CN" w:bidi="ar-SA"/>
        </w:rPr>
        <w:t>固体废弃物影响评价</w:t>
      </w:r>
      <w:bookmarkEnd w:id="578"/>
      <w:bookmarkEnd w:id="579"/>
    </w:p>
    <w:p w14:paraId="4E09B482">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5.2.4.1</w:t>
      </w:r>
      <w:r>
        <w:rPr>
          <w:rFonts w:hint="eastAsia" w:cs="Times New Roman"/>
          <w:b/>
          <w:kern w:val="2"/>
          <w:sz w:val="24"/>
          <w:szCs w:val="24"/>
          <w:lang w:val="en-US" w:eastAsia="zh-CN" w:bidi="ar-SA"/>
        </w:rPr>
        <w:t>固体废弃物</w:t>
      </w:r>
    </w:p>
    <w:p w14:paraId="2D5034E9">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本项目产生的固体废物主要</w:t>
      </w:r>
      <w:r>
        <w:rPr>
          <w:rFonts w:hint="eastAsia" w:cs="Times New Roman"/>
          <w:color w:val="auto"/>
          <w:sz w:val="24"/>
          <w:szCs w:val="24"/>
          <w:lang w:val="en-US" w:eastAsia="zh-CN"/>
        </w:rPr>
        <w:t>为</w:t>
      </w:r>
      <w:r>
        <w:rPr>
          <w:rFonts w:hint="default" w:ascii="Times New Roman" w:hAnsi="Times New Roman" w:eastAsia="宋体" w:cs="Times New Roman"/>
          <w:color w:val="auto"/>
          <w:sz w:val="24"/>
          <w:szCs w:val="24"/>
        </w:rPr>
        <w:t>生活垃圾</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牛粪及废发酵垫</w:t>
      </w:r>
      <w:r>
        <w:rPr>
          <w:rFonts w:hint="eastAsia" w:ascii="Times New Roman" w:hAnsi="Times New Roman" w:eastAsia="宋体" w:cs="Times New Roman"/>
          <w:color w:val="auto"/>
          <w:sz w:val="24"/>
          <w:szCs w:val="24"/>
          <w:lang w:val="en-US" w:eastAsia="zh-CN"/>
        </w:rPr>
        <w:t>、病死</w:t>
      </w:r>
      <w:r>
        <w:rPr>
          <w:rFonts w:hint="eastAsia" w:eastAsia="宋体" w:cs="Times New Roman"/>
          <w:color w:val="auto"/>
          <w:sz w:val="24"/>
          <w:szCs w:val="24"/>
          <w:lang w:val="en-US" w:eastAsia="zh-CN"/>
        </w:rPr>
        <w:t>牛</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000000"/>
          <w:kern w:val="2"/>
          <w:sz w:val="24"/>
          <w:szCs w:val="24"/>
          <w:highlight w:val="none"/>
          <w:lang w:val="en-US" w:eastAsia="zh-CN" w:bidi="ar-SA"/>
        </w:rPr>
        <w:t>废包装材料</w:t>
      </w:r>
      <w:r>
        <w:rPr>
          <w:rFonts w:hint="eastAsia" w:cs="Times New Roman"/>
          <w:color w:val="auto"/>
          <w:sz w:val="24"/>
          <w:szCs w:val="24"/>
          <w:lang w:val="en-US" w:eastAsia="zh-CN"/>
        </w:rPr>
        <w:t>、医疗废物、除尘灰、废布袋</w:t>
      </w:r>
      <w:r>
        <w:rPr>
          <w:rFonts w:hint="default" w:ascii="Times New Roman" w:hAnsi="Times New Roman" w:eastAsia="宋体" w:cs="Times New Roman"/>
          <w:color w:val="auto"/>
          <w:sz w:val="24"/>
          <w:szCs w:val="24"/>
        </w:rPr>
        <w:t>和</w:t>
      </w:r>
      <w:r>
        <w:rPr>
          <w:rFonts w:hint="eastAsia" w:cs="Times New Roman"/>
          <w:color w:val="auto"/>
          <w:sz w:val="24"/>
          <w:szCs w:val="24"/>
          <w:lang w:val="en-US" w:eastAsia="zh-CN"/>
        </w:rPr>
        <w:t>废填料</w:t>
      </w:r>
      <w:r>
        <w:rPr>
          <w:rFonts w:hint="default" w:ascii="Times New Roman" w:hAnsi="Times New Roman" w:eastAsia="宋体" w:cs="Times New Roman"/>
          <w:color w:val="auto"/>
          <w:sz w:val="24"/>
          <w:szCs w:val="24"/>
        </w:rPr>
        <w:t>。</w:t>
      </w:r>
    </w:p>
    <w:p w14:paraId="371255A4">
      <w:pPr>
        <w:keepNext w:val="0"/>
        <w:keepLines w:val="0"/>
        <w:pageBreakBefore w:val="0"/>
        <w:numPr>
          <w:ilvl w:val="0"/>
          <w:numId w:val="21"/>
        </w:numPr>
        <w:wordWrap/>
        <w:topLinePunct w:val="0"/>
        <w:bidi w:val="0"/>
        <w:adjustRightInd/>
        <w:snapToGrid/>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生活垃圾</w:t>
      </w:r>
    </w:p>
    <w:p w14:paraId="3C5616A6">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本项目生活垃圾主要是员工日常办公及生活产生的废物。本项目</w:t>
      </w:r>
      <w:r>
        <w:rPr>
          <w:rFonts w:hint="eastAsia" w:ascii="Times New Roman" w:hAnsi="Times New Roman" w:eastAsia="宋体" w:cs="Times New Roman"/>
          <w:color w:val="auto"/>
          <w:sz w:val="24"/>
          <w:szCs w:val="24"/>
          <w:lang w:val="en-US" w:eastAsia="zh-CN"/>
        </w:rPr>
        <w:t>劳动定员</w:t>
      </w:r>
      <w:r>
        <w:rPr>
          <w:rFonts w:hint="eastAsia" w:cs="Times New Roman"/>
          <w:color w:val="auto"/>
          <w:sz w:val="24"/>
          <w:szCs w:val="24"/>
          <w:lang w:val="en-US" w:eastAsia="zh-CN"/>
        </w:rPr>
        <w:t>12</w:t>
      </w:r>
      <w:r>
        <w:rPr>
          <w:rFonts w:hint="default" w:ascii="Times New Roman" w:hAnsi="Times New Roman" w:eastAsia="宋体" w:cs="Times New Roman"/>
          <w:color w:val="auto"/>
          <w:sz w:val="24"/>
          <w:szCs w:val="24"/>
        </w:rPr>
        <w:t>人，生活垃圾按每人每天</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kg/d计，生活垃圾产生量约为</w:t>
      </w:r>
      <w:r>
        <w:rPr>
          <w:rFonts w:hint="eastAsia" w:cs="Times New Roman"/>
          <w:color w:val="auto"/>
          <w:sz w:val="24"/>
          <w:szCs w:val="24"/>
          <w:lang w:val="en-US" w:eastAsia="zh-CN"/>
        </w:rPr>
        <w:t>4.38</w:t>
      </w:r>
      <w:r>
        <w:rPr>
          <w:rFonts w:hint="default" w:ascii="Times New Roman" w:hAnsi="Times New Roman" w:eastAsia="宋体" w:cs="Times New Roman"/>
          <w:color w:val="auto"/>
          <w:sz w:val="24"/>
          <w:szCs w:val="24"/>
        </w:rPr>
        <w:t>t/a。生活垃圾</w:t>
      </w:r>
      <w:r>
        <w:rPr>
          <w:rFonts w:hint="eastAsia" w:ascii="Times New Roman" w:hAnsi="Times New Roman" w:eastAsia="宋体" w:cs="Times New Roman"/>
          <w:color w:val="auto"/>
          <w:sz w:val="24"/>
          <w:szCs w:val="24"/>
          <w:lang w:val="en-US" w:eastAsia="zh-CN"/>
        </w:rPr>
        <w:t>集中收集后</w:t>
      </w:r>
      <w:r>
        <w:rPr>
          <w:rFonts w:hint="default" w:ascii="Times New Roman" w:hAnsi="Times New Roman" w:eastAsia="宋体" w:cs="Times New Roman"/>
          <w:color w:val="auto"/>
          <w:sz w:val="24"/>
          <w:szCs w:val="24"/>
        </w:rPr>
        <w:t>，委托环卫部门</w:t>
      </w:r>
      <w:r>
        <w:rPr>
          <w:rFonts w:hint="eastAsia" w:ascii="Times New Roman" w:hAnsi="Times New Roman" w:eastAsia="宋体" w:cs="Times New Roman"/>
          <w:color w:val="auto"/>
          <w:sz w:val="24"/>
          <w:szCs w:val="24"/>
          <w:lang w:val="en-US" w:eastAsia="zh-CN"/>
        </w:rPr>
        <w:t>定期</w:t>
      </w:r>
      <w:r>
        <w:rPr>
          <w:rFonts w:hint="default" w:ascii="Times New Roman" w:hAnsi="Times New Roman" w:eastAsia="宋体" w:cs="Times New Roman"/>
          <w:color w:val="auto"/>
          <w:sz w:val="24"/>
          <w:szCs w:val="24"/>
        </w:rPr>
        <w:t>清运。</w:t>
      </w:r>
    </w:p>
    <w:p w14:paraId="5C80233C">
      <w:pPr>
        <w:keepNext w:val="0"/>
        <w:keepLines w:val="0"/>
        <w:pageBreakBefore w:val="0"/>
        <w:numPr>
          <w:ilvl w:val="0"/>
          <w:numId w:val="21"/>
        </w:numPr>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养殖区固废</w:t>
      </w:r>
    </w:p>
    <w:p w14:paraId="7C80305E">
      <w:pPr>
        <w:keepNext w:val="0"/>
        <w:keepLines w:val="0"/>
        <w:pageBreakBefore w:val="0"/>
        <w:numPr>
          <w:ilvl w:val="0"/>
          <w:numId w:val="0"/>
        </w:numPr>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①</w:t>
      </w:r>
      <w:r>
        <w:rPr>
          <w:rFonts w:hint="eastAsia" w:eastAsia="宋体" w:cs="Times New Roman"/>
          <w:color w:val="auto"/>
          <w:sz w:val="24"/>
          <w:szCs w:val="24"/>
          <w:lang w:val="en-US" w:eastAsia="zh-CN"/>
        </w:rPr>
        <w:t>牛粪及废发酵垫</w:t>
      </w:r>
    </w:p>
    <w:p w14:paraId="63EFE0E9">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lang w:val="en-US" w:eastAsia="zh-CN"/>
        </w:rPr>
        <w:t>《排污许可证申请与核发技术规范 畜禽养殖行业》（HJ1029-2019）</w:t>
      </w:r>
      <w:r>
        <w:rPr>
          <w:rFonts w:hint="eastAsia" w:cs="Times New Roman"/>
          <w:color w:val="auto"/>
          <w:sz w:val="24"/>
          <w:lang w:val="en-US" w:eastAsia="zh-CN"/>
        </w:rPr>
        <w:t>肉牛粪便产生量10.88kg/d·头</w:t>
      </w:r>
      <w:r>
        <w:rPr>
          <w:rFonts w:hint="eastAsia" w:ascii="Times New Roman" w:hAnsi="Times New Roman" w:eastAsia="宋体" w:cs="Times New Roman"/>
          <w:color w:val="auto"/>
          <w:sz w:val="24"/>
          <w:lang w:val="en-US" w:eastAsia="zh-CN"/>
        </w:rPr>
        <w:t>，则本项目运营期</w:t>
      </w:r>
      <w:r>
        <w:rPr>
          <w:rFonts w:hint="eastAsia" w:eastAsia="宋体" w:cs="Times New Roman"/>
          <w:color w:val="auto"/>
          <w:sz w:val="24"/>
          <w:szCs w:val="24"/>
          <w:lang w:val="en-US" w:eastAsia="zh-CN"/>
        </w:rPr>
        <w:t>牛粪</w:t>
      </w:r>
      <w:r>
        <w:rPr>
          <w:rFonts w:hint="eastAsia" w:ascii="Times New Roman" w:hAnsi="Times New Roman" w:eastAsia="宋体" w:cs="Times New Roman"/>
          <w:color w:val="auto"/>
          <w:sz w:val="24"/>
          <w:lang w:val="en-US" w:eastAsia="zh-CN"/>
        </w:rPr>
        <w:t>产生量为</w:t>
      </w:r>
      <w:r>
        <w:rPr>
          <w:rFonts w:hint="eastAsia" w:cs="Times New Roman"/>
          <w:color w:val="auto"/>
          <w:sz w:val="24"/>
          <w:lang w:val="en-US" w:eastAsia="zh-CN"/>
        </w:rPr>
        <w:t>11913.6</w:t>
      </w:r>
      <w:r>
        <w:rPr>
          <w:rFonts w:hint="eastAsia" w:ascii="Times New Roman" w:hAnsi="Times New Roman" w:eastAsia="宋体" w:cs="Times New Roman"/>
          <w:color w:val="auto"/>
          <w:sz w:val="24"/>
          <w:lang w:val="en-US" w:eastAsia="zh-CN"/>
        </w:rPr>
        <w:t>t/a</w:t>
      </w:r>
      <w:r>
        <w:rPr>
          <w:rFonts w:hint="default" w:ascii="Times New Roman" w:hAnsi="Times New Roman" w:eastAsia="宋体" w:cs="Times New Roman"/>
          <w:color w:val="auto"/>
          <w:sz w:val="24"/>
          <w:szCs w:val="24"/>
        </w:rPr>
        <w:t>。</w:t>
      </w:r>
    </w:p>
    <w:p w14:paraId="5F59F6E1">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生物菌发酵床技术铺设垫床一般采用</w:t>
      </w:r>
      <w:r>
        <w:rPr>
          <w:rFonts w:hint="eastAsia" w:ascii="Times New Roman" w:hAnsi="Times New Roman" w:eastAsia="宋体" w:cs="Times New Roman"/>
          <w:color w:val="auto"/>
          <w:kern w:val="0"/>
          <w:sz w:val="24"/>
          <w:szCs w:val="24"/>
          <w:lang w:val="en-US" w:eastAsia="zh-CN"/>
        </w:rPr>
        <w:t>玉米秸秆</w:t>
      </w:r>
      <w:r>
        <w:rPr>
          <w:rFonts w:hint="eastAsia"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稻草、锯末和稻壳</w:t>
      </w:r>
      <w:r>
        <w:rPr>
          <w:rFonts w:hint="eastAsia" w:ascii="Times New Roman" w:hAnsi="Times New Roman" w:eastAsia="宋体" w:cs="Times New Roman"/>
          <w:color w:val="auto"/>
          <w:sz w:val="24"/>
          <w:szCs w:val="24"/>
          <w:lang w:val="en-US" w:eastAsia="zh-CN"/>
        </w:rPr>
        <w:t>等农业材料。项目的牛粪和牛尿液均进入垫草垫料中，经牛踩结形成粪床。</w:t>
      </w:r>
      <w:r>
        <w:rPr>
          <w:rFonts w:hint="eastAsia" w:eastAsia="宋体" w:cs="Times New Roman"/>
          <w:color w:val="auto"/>
          <w:sz w:val="24"/>
          <w:szCs w:val="24"/>
          <w:lang w:val="en-US" w:eastAsia="zh-CN"/>
        </w:rPr>
        <w:t>其中牛尿在发酵过程中蒸发损耗，垫料每年集中清理一次，</w:t>
      </w:r>
      <w:r>
        <w:rPr>
          <w:rFonts w:hint="eastAsia" w:cs="Times New Roman"/>
          <w:color w:val="auto"/>
          <w:sz w:val="24"/>
          <w:szCs w:val="24"/>
          <w:lang w:val="en-US" w:eastAsia="zh-CN"/>
        </w:rPr>
        <w:t>根据建设单位提供材料，发酵垫料</w:t>
      </w:r>
      <w:r>
        <w:rPr>
          <w:rFonts w:hint="eastAsia" w:eastAsia="宋体" w:cs="Times New Roman"/>
          <w:color w:val="auto"/>
          <w:sz w:val="24"/>
          <w:szCs w:val="24"/>
          <w:lang w:val="en-US" w:eastAsia="zh-CN"/>
        </w:rPr>
        <w:t>更换量</w:t>
      </w:r>
      <w:r>
        <w:rPr>
          <w:rFonts w:hint="eastAsia" w:cs="Times New Roman"/>
          <w:color w:val="auto"/>
          <w:sz w:val="24"/>
          <w:szCs w:val="24"/>
          <w:lang w:val="en-US" w:eastAsia="zh-CN"/>
        </w:rPr>
        <w:t>共</w:t>
      </w:r>
      <w:r>
        <w:rPr>
          <w:rFonts w:hint="eastAsia" w:eastAsia="宋体" w:cs="Times New Roman"/>
          <w:color w:val="auto"/>
          <w:sz w:val="24"/>
          <w:szCs w:val="24"/>
          <w:lang w:val="en-US" w:eastAsia="zh-CN"/>
        </w:rPr>
        <w:t>为</w:t>
      </w:r>
      <w:r>
        <w:rPr>
          <w:rFonts w:hint="eastAsia" w:cs="Times New Roman"/>
          <w:color w:val="auto"/>
          <w:sz w:val="24"/>
          <w:szCs w:val="24"/>
          <w:highlight w:val="none"/>
          <w:lang w:val="en-US" w:eastAsia="zh-CN"/>
        </w:rPr>
        <w:t>220</w:t>
      </w:r>
      <w:r>
        <w:rPr>
          <w:rFonts w:hint="eastAsia" w:eastAsia="宋体" w:cs="Times New Roman"/>
          <w:color w:val="auto"/>
          <w:sz w:val="24"/>
          <w:szCs w:val="24"/>
          <w:lang w:val="en-US" w:eastAsia="zh-CN"/>
        </w:rPr>
        <w:t>t/a，定期更换的废发酵垫料与牛粪一同送入</w:t>
      </w:r>
      <w:r>
        <w:rPr>
          <w:rFonts w:hint="eastAsia" w:cs="Times New Roman"/>
          <w:color w:val="auto"/>
          <w:sz w:val="24"/>
          <w:szCs w:val="24"/>
          <w:lang w:val="en-US" w:eastAsia="zh-CN"/>
        </w:rPr>
        <w:t>堆肥间翻抛后还田</w:t>
      </w:r>
      <w:r>
        <w:rPr>
          <w:rFonts w:hint="eastAsia" w:eastAsia="宋体" w:cs="Times New Roman"/>
          <w:color w:val="auto"/>
          <w:sz w:val="24"/>
          <w:szCs w:val="24"/>
          <w:lang w:val="en-US" w:eastAsia="zh-CN"/>
        </w:rPr>
        <w:t>，全过程按照无害化，资源化进行处理处置。</w:t>
      </w:r>
    </w:p>
    <w:p w14:paraId="5A7E1220">
      <w:pPr>
        <w:pageBreakBefore w:val="0"/>
        <w:kinsoku/>
        <w:wordWrap/>
        <w:topLinePunct w:val="0"/>
        <w:bidi w:val="0"/>
        <w:adjustRightInd/>
        <w:snapToGrid/>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为减轻</w:t>
      </w:r>
      <w:r>
        <w:rPr>
          <w:rFonts w:hint="eastAsia" w:cs="Times New Roman"/>
          <w:sz w:val="24"/>
          <w:lang w:val="en-US" w:eastAsia="zh-CN"/>
        </w:rPr>
        <w:t>堆肥间</w:t>
      </w:r>
      <w:r>
        <w:rPr>
          <w:rFonts w:hint="default" w:ascii="Times New Roman" w:hAnsi="Times New Roman" w:eastAsia="宋体" w:cs="Times New Roman"/>
          <w:sz w:val="24"/>
        </w:rPr>
        <w:t>产生的恶臭影响，</w:t>
      </w:r>
      <w:r>
        <w:rPr>
          <w:rFonts w:hint="eastAsia" w:cs="Times New Roman"/>
          <w:sz w:val="24"/>
          <w:lang w:val="en-US" w:eastAsia="zh-CN"/>
        </w:rPr>
        <w:t>堆肥间</w:t>
      </w:r>
      <w:r>
        <w:rPr>
          <w:rFonts w:hint="default" w:ascii="Times New Roman" w:hAnsi="Times New Roman" w:eastAsia="宋体" w:cs="Times New Roman"/>
          <w:sz w:val="24"/>
        </w:rPr>
        <w:t>周围需要紧密种植高大乔木，来阻挡恶臭的传播，并定时喷洒除臭剂。</w:t>
      </w:r>
    </w:p>
    <w:p w14:paraId="3C591EFB">
      <w:pPr>
        <w:widowControl w:val="0"/>
        <w:spacing w:line="500" w:lineRule="exact"/>
        <w:ind w:firstLine="480" w:firstLineChars="200"/>
        <w:jc w:val="both"/>
        <w:rPr>
          <w:rFonts w:hint="default" w:ascii="Times New Roman" w:hAnsi="Times New Roman" w:eastAsia="宋体" w:cs="Times New Roman"/>
          <w:color w:val="auto"/>
          <w:sz w:val="24"/>
          <w:szCs w:val="24"/>
          <w:highlight w:val="yellow"/>
          <w:lang w:val="en-US" w:eastAsia="zh-CN" w:bidi="ar-SA"/>
        </w:rPr>
      </w:pPr>
      <w:r>
        <w:rPr>
          <w:rFonts w:hint="default" w:ascii="Times New Roman" w:hAnsi="Times New Roman" w:eastAsia="宋体" w:cs="Times New Roman"/>
          <w:color w:val="auto"/>
          <w:sz w:val="24"/>
          <w:szCs w:val="24"/>
          <w:highlight w:val="none"/>
          <w:lang w:val="en-US" w:eastAsia="zh-CN" w:bidi="ar-SA"/>
        </w:rPr>
        <w:t>本项目更换清理下来的垫料以及少量渗滤出的尿液</w:t>
      </w:r>
      <w:r>
        <w:rPr>
          <w:rFonts w:hint="eastAsia" w:cs="Times New Roman"/>
          <w:color w:val="auto"/>
          <w:sz w:val="24"/>
          <w:szCs w:val="24"/>
          <w:highlight w:val="none"/>
          <w:lang w:val="en-US" w:eastAsia="zh-CN" w:bidi="ar-SA"/>
        </w:rPr>
        <w:t>堆肥后还田</w:t>
      </w:r>
      <w:r>
        <w:rPr>
          <w:rFonts w:hint="default" w:ascii="Times New Roman" w:hAnsi="Times New Roman" w:eastAsia="宋体" w:cs="Times New Roman"/>
          <w:color w:val="auto"/>
          <w:sz w:val="24"/>
          <w:szCs w:val="24"/>
          <w:highlight w:val="none"/>
          <w:lang w:val="en-US" w:eastAsia="zh-CN" w:bidi="ar-SA"/>
        </w:rPr>
        <w:t>。</w:t>
      </w:r>
      <w:r>
        <w:rPr>
          <w:rFonts w:hint="eastAsia" w:cs="Times New Roman"/>
          <w:color w:val="auto"/>
          <w:sz w:val="24"/>
          <w:szCs w:val="24"/>
          <w:highlight w:val="none"/>
          <w:lang w:val="en-US" w:eastAsia="zh-CN" w:bidi="ar-SA"/>
        </w:rPr>
        <w:t>堆肥间</w:t>
      </w:r>
      <w:r>
        <w:rPr>
          <w:rFonts w:hint="default" w:ascii="Times New Roman" w:hAnsi="Times New Roman" w:eastAsia="宋体" w:cs="Times New Roman"/>
          <w:color w:val="auto"/>
          <w:sz w:val="24"/>
          <w:szCs w:val="24"/>
          <w:highlight w:val="none"/>
          <w:lang w:val="en-US" w:eastAsia="zh-CN" w:bidi="ar-SA"/>
        </w:rPr>
        <w:t>采用钢筋混凝土防渗，应做好防雨、防溢流措施</w:t>
      </w:r>
      <w:r>
        <w:rPr>
          <w:rFonts w:hint="eastAsia"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防止降雨（水）的进入，四围还应设渗滤水收集沟，并与</w:t>
      </w:r>
      <w:r>
        <w:rPr>
          <w:rFonts w:hint="eastAsia" w:cs="Times New Roman"/>
          <w:color w:val="auto"/>
          <w:sz w:val="24"/>
          <w:szCs w:val="24"/>
          <w:highlight w:val="none"/>
          <w:lang w:val="en-US" w:eastAsia="zh-CN" w:bidi="ar-SA"/>
        </w:rPr>
        <w:t>收集池</w:t>
      </w:r>
      <w:r>
        <w:rPr>
          <w:rFonts w:hint="default" w:ascii="Times New Roman" w:hAnsi="Times New Roman" w:eastAsia="宋体" w:cs="Times New Roman"/>
          <w:color w:val="auto"/>
          <w:sz w:val="24"/>
          <w:szCs w:val="24"/>
          <w:highlight w:val="none"/>
          <w:lang w:val="en-US" w:eastAsia="zh-CN" w:bidi="ar-SA"/>
        </w:rPr>
        <w:t>相连。四周进行绿化。落实上述措施后，本项目产生的</w:t>
      </w:r>
      <w:r>
        <w:rPr>
          <w:rFonts w:hint="eastAsia" w:eastAsia="宋体" w:cs="Times New Roman"/>
          <w:color w:val="auto"/>
          <w:sz w:val="24"/>
          <w:szCs w:val="24"/>
          <w:lang w:val="en-US" w:eastAsia="zh-CN"/>
        </w:rPr>
        <w:t>牛粪及废发酵垫</w:t>
      </w:r>
      <w:r>
        <w:rPr>
          <w:rFonts w:hint="default" w:ascii="Times New Roman" w:hAnsi="Times New Roman" w:eastAsia="宋体" w:cs="Times New Roman"/>
          <w:color w:val="auto"/>
          <w:sz w:val="24"/>
          <w:szCs w:val="24"/>
          <w:highlight w:val="none"/>
          <w:lang w:val="en-US" w:eastAsia="zh-CN" w:bidi="ar-SA"/>
        </w:rPr>
        <w:t>不会对周围环境产生二次污染。</w:t>
      </w:r>
    </w:p>
    <w:p w14:paraId="458027DB">
      <w:pPr>
        <w:widowControl w:val="0"/>
        <w:spacing w:line="500" w:lineRule="exact"/>
        <w:ind w:firstLine="480" w:firstLineChars="200"/>
        <w:jc w:val="both"/>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堆肥的优点是技术和设备简单，施用方便，无臭味；同时，在堆制过程中，由于有机物的好氧降解，堆内温度持续15</w:t>
      </w:r>
      <w:r>
        <w:rPr>
          <w:rFonts w:hint="eastAsia" w:cs="Times New Roman"/>
          <w:color w:val="auto"/>
          <w:sz w:val="24"/>
          <w:szCs w:val="24"/>
          <w:lang w:val="en-US" w:eastAsia="zh-CN" w:bidi="ar-SA"/>
        </w:rPr>
        <w:t>—</w:t>
      </w:r>
      <w:r>
        <w:rPr>
          <w:rFonts w:hint="default" w:ascii="Times New Roman" w:hAnsi="Times New Roman" w:eastAsia="宋体" w:cs="Times New Roman"/>
          <w:color w:val="auto"/>
          <w:sz w:val="24"/>
          <w:szCs w:val="24"/>
          <w:lang w:val="en-US" w:eastAsia="zh-CN" w:bidi="ar-SA"/>
        </w:rPr>
        <w:t>30天达50-70℃，可杀死绝大部分病原微生物、寄生虫卵</w:t>
      </w:r>
      <w:r>
        <w:rPr>
          <w:rFonts w:hint="eastAsia" w:cs="Times New Roman"/>
          <w:color w:val="auto"/>
          <w:sz w:val="24"/>
          <w:szCs w:val="24"/>
          <w:lang w:val="en-US" w:eastAsia="zh-CN" w:bidi="ar-SA"/>
        </w:rPr>
        <w:t>和杂草种子</w:t>
      </w:r>
      <w:r>
        <w:rPr>
          <w:rFonts w:hint="default" w:ascii="Times New Roman" w:hAnsi="Times New Roman" w:eastAsia="宋体" w:cs="Times New Roman"/>
          <w:color w:val="auto"/>
          <w:sz w:val="24"/>
          <w:szCs w:val="24"/>
          <w:lang w:val="en-US" w:eastAsia="zh-CN" w:bidi="ar-SA"/>
        </w:rPr>
        <w:t>；而且，腐熟的堆肥属迟效料，对作物要安全。</w:t>
      </w:r>
    </w:p>
    <w:p w14:paraId="3D95BC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szCs w:val="24"/>
          <w:highlight w:val="none"/>
        </w:rPr>
      </w:pPr>
      <w:r>
        <w:rPr>
          <w:rFonts w:hint="eastAsia" w:cs="Times New Roman"/>
          <w:color w:val="000000"/>
          <w:sz w:val="24"/>
          <w:szCs w:val="24"/>
          <w:highlight w:val="none"/>
          <w:lang w:val="en-US" w:eastAsia="zh-CN"/>
        </w:rPr>
        <w:t>畜禽粪便及废垫料</w:t>
      </w:r>
      <w:r>
        <w:rPr>
          <w:rFonts w:hint="default" w:ascii="Times New Roman" w:hAnsi="Times New Roman" w:eastAsia="宋体" w:cs="Times New Roman"/>
          <w:color w:val="000000"/>
          <w:sz w:val="24"/>
          <w:szCs w:val="24"/>
          <w:highlight w:val="none"/>
        </w:rPr>
        <w:t>经无害化处置，</w:t>
      </w:r>
      <w:r>
        <w:rPr>
          <w:rFonts w:hint="eastAsia" w:cs="Times New Roman"/>
          <w:color w:val="000000"/>
          <w:sz w:val="24"/>
          <w:szCs w:val="24"/>
          <w:highlight w:val="none"/>
          <w:lang w:val="en-US" w:eastAsia="zh-CN"/>
        </w:rPr>
        <w:t>符合</w:t>
      </w:r>
      <w:r>
        <w:rPr>
          <w:rFonts w:hint="default" w:ascii="Times New Roman" w:hAnsi="Times New Roman" w:eastAsia="宋体" w:cs="Times New Roman"/>
          <w:color w:val="000000"/>
          <w:sz w:val="24"/>
          <w:szCs w:val="24"/>
          <w:highlight w:val="none"/>
          <w:lang w:val="en-US" w:eastAsia="zh-CN"/>
        </w:rPr>
        <w:t>《畜禽粪肥还田技术规范》（GB/T25246-2025）</w:t>
      </w:r>
      <w:r>
        <w:rPr>
          <w:rFonts w:hint="eastAsia" w:cs="Times New Roman"/>
          <w:color w:val="000000"/>
          <w:sz w:val="24"/>
          <w:szCs w:val="24"/>
          <w:highlight w:val="none"/>
          <w:lang w:val="en-US" w:eastAsia="zh-CN"/>
        </w:rPr>
        <w:t>以及《粪便无害化卫生要求》（GB 7959-2012）要求</w:t>
      </w:r>
      <w:r>
        <w:rPr>
          <w:rFonts w:hint="default" w:ascii="Times New Roman" w:hAnsi="Times New Roman" w:eastAsia="宋体" w:cs="Times New Roman"/>
          <w:color w:val="000000"/>
          <w:sz w:val="24"/>
          <w:szCs w:val="24"/>
          <w:highlight w:val="none"/>
        </w:rPr>
        <w:t>。</w:t>
      </w:r>
    </w:p>
    <w:p w14:paraId="63D77D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lang w:val="en-US" w:eastAsia="zh-CN" w:bidi="ar-SA"/>
        </w:rPr>
      </w:pPr>
      <w:r>
        <w:rPr>
          <w:rFonts w:hint="default" w:ascii="Times New Roman" w:hAnsi="Times New Roman" w:eastAsia="宋体" w:cs="Times New Roman"/>
          <w:b/>
          <w:bCs/>
          <w:color w:val="000000"/>
          <w:kern w:val="2"/>
          <w:sz w:val="24"/>
          <w:szCs w:val="24"/>
          <w:lang w:val="en-US" w:eastAsia="zh-CN" w:bidi="ar-SA"/>
        </w:rPr>
        <w:t>表</w:t>
      </w:r>
      <w:r>
        <w:rPr>
          <w:rFonts w:hint="eastAsia" w:ascii="Times New Roman" w:hAnsi="Times New Roman" w:eastAsia="宋体" w:cs="Times New Roman"/>
          <w:b/>
          <w:bCs/>
          <w:color w:val="000000"/>
          <w:kern w:val="2"/>
          <w:sz w:val="24"/>
          <w:szCs w:val="24"/>
          <w:lang w:val="en-US" w:eastAsia="zh-CN" w:bidi="ar-SA"/>
        </w:rPr>
        <w:t>5.2-3</w:t>
      </w:r>
      <w:r>
        <w:rPr>
          <w:rFonts w:hint="eastAsia" w:cs="Times New Roman"/>
          <w:b/>
          <w:bCs/>
          <w:color w:val="000000"/>
          <w:kern w:val="2"/>
          <w:sz w:val="24"/>
          <w:szCs w:val="24"/>
          <w:lang w:val="en-US" w:eastAsia="zh-CN" w:bidi="ar-SA"/>
        </w:rPr>
        <w:t>6</w:t>
      </w:r>
      <w:r>
        <w:rPr>
          <w:rFonts w:hint="default" w:ascii="Times New Roman" w:hAnsi="Times New Roman" w:eastAsia="宋体" w:cs="Times New Roman"/>
          <w:b/>
          <w:bCs/>
          <w:color w:val="000000"/>
          <w:kern w:val="2"/>
          <w:sz w:val="24"/>
          <w:szCs w:val="24"/>
          <w:lang w:val="en-US" w:eastAsia="zh-CN" w:bidi="ar-SA"/>
        </w:rPr>
        <w:t>畜禽养殖业废渣无害化环境标准</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72"/>
        <w:gridCol w:w="4132"/>
      </w:tblGrid>
      <w:tr w14:paraId="12688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67107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控制项目</w:t>
            </w:r>
          </w:p>
        </w:tc>
        <w:tc>
          <w:tcPr>
            <w:tcW w:w="4132" w:type="dxa"/>
            <w:tcBorders>
              <w:tl2br w:val="nil"/>
              <w:tr2bl w:val="nil"/>
            </w:tcBorders>
            <w:noWrap w:val="0"/>
            <w:vAlign w:val="center"/>
          </w:tcPr>
          <w:p w14:paraId="1AA232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指标</w:t>
            </w:r>
          </w:p>
        </w:tc>
      </w:tr>
      <w:tr w14:paraId="2975E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5EBBA0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蛔虫卵</w:t>
            </w:r>
          </w:p>
        </w:tc>
        <w:tc>
          <w:tcPr>
            <w:tcW w:w="4132" w:type="dxa"/>
            <w:tcBorders>
              <w:tl2br w:val="nil"/>
              <w:tr2bl w:val="nil"/>
            </w:tcBorders>
            <w:noWrap w:val="0"/>
            <w:vAlign w:val="center"/>
          </w:tcPr>
          <w:p w14:paraId="3C527E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死亡率≥95%</w:t>
            </w:r>
          </w:p>
        </w:tc>
      </w:tr>
      <w:tr w14:paraId="672AF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5E8104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粪大肠杆菌群数</w:t>
            </w:r>
          </w:p>
        </w:tc>
        <w:tc>
          <w:tcPr>
            <w:tcW w:w="4132" w:type="dxa"/>
            <w:tcBorders>
              <w:tl2br w:val="nil"/>
              <w:tr2bl w:val="nil"/>
            </w:tcBorders>
            <w:noWrap w:val="0"/>
            <w:vAlign w:val="center"/>
          </w:tcPr>
          <w:p w14:paraId="6DFC8F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≤10</w:t>
            </w:r>
            <w:r>
              <w:rPr>
                <w:rFonts w:hint="default" w:ascii="Times New Roman" w:hAnsi="Times New Roman" w:eastAsia="宋体" w:cs="Times New Roman"/>
                <w:color w:val="000000"/>
                <w:sz w:val="21"/>
                <w:szCs w:val="21"/>
                <w:vertAlign w:val="superscript"/>
              </w:rPr>
              <w:t>5</w:t>
            </w:r>
            <w:r>
              <w:rPr>
                <w:rFonts w:hint="default" w:ascii="Times New Roman" w:hAnsi="Times New Roman" w:eastAsia="宋体" w:cs="Times New Roman"/>
                <w:color w:val="000000"/>
                <w:sz w:val="21"/>
                <w:szCs w:val="21"/>
              </w:rPr>
              <w:t>个/kg</w:t>
            </w:r>
          </w:p>
        </w:tc>
      </w:tr>
    </w:tbl>
    <w:p w14:paraId="60A63B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2"/>
          <w:sz w:val="24"/>
          <w:szCs w:val="24"/>
          <w:lang w:val="en-US" w:eastAsia="zh-CN" w:bidi="ar-SA"/>
        </w:rPr>
      </w:pPr>
      <w:r>
        <w:rPr>
          <w:rFonts w:hint="default" w:ascii="Times New Roman" w:hAnsi="Times New Roman" w:eastAsia="宋体" w:cs="Times New Roman"/>
          <w:b/>
          <w:bCs/>
          <w:color w:val="000000"/>
          <w:kern w:val="2"/>
          <w:sz w:val="24"/>
          <w:szCs w:val="24"/>
          <w:lang w:val="en-US" w:eastAsia="zh-CN" w:bidi="ar-SA"/>
        </w:rPr>
        <w:t>表</w:t>
      </w:r>
      <w:r>
        <w:rPr>
          <w:rFonts w:hint="eastAsia" w:ascii="Times New Roman" w:hAnsi="Times New Roman" w:eastAsia="宋体" w:cs="Times New Roman"/>
          <w:b/>
          <w:bCs/>
          <w:color w:val="000000"/>
          <w:kern w:val="2"/>
          <w:sz w:val="24"/>
          <w:szCs w:val="24"/>
          <w:lang w:val="en-US" w:eastAsia="zh-CN" w:bidi="ar-SA"/>
        </w:rPr>
        <w:t>5.2-</w:t>
      </w:r>
      <w:r>
        <w:rPr>
          <w:rFonts w:hint="eastAsia" w:cs="Times New Roman"/>
          <w:b/>
          <w:bCs/>
          <w:color w:val="000000"/>
          <w:kern w:val="2"/>
          <w:sz w:val="24"/>
          <w:szCs w:val="24"/>
          <w:lang w:val="en-US" w:eastAsia="zh-CN" w:bidi="ar-SA"/>
        </w:rPr>
        <w:t>37</w:t>
      </w:r>
      <w:r>
        <w:rPr>
          <w:rFonts w:hint="eastAsia" w:ascii="Times New Roman" w:hAnsi="Times New Roman" w:eastAsia="宋体" w:cs="Times New Roman"/>
          <w:b/>
          <w:bCs/>
          <w:color w:val="000000"/>
          <w:kern w:val="2"/>
          <w:sz w:val="24"/>
          <w:szCs w:val="24"/>
          <w:lang w:val="en-US" w:eastAsia="zh-CN" w:bidi="ar-SA"/>
        </w:rPr>
        <w:t>还田</w:t>
      </w:r>
      <w:r>
        <w:rPr>
          <w:rFonts w:hint="default" w:ascii="Times New Roman" w:hAnsi="Times New Roman" w:eastAsia="宋体" w:cs="Times New Roman"/>
          <w:b/>
          <w:bCs/>
          <w:color w:val="000000"/>
          <w:kern w:val="2"/>
          <w:sz w:val="24"/>
          <w:szCs w:val="24"/>
          <w:lang w:val="en-US" w:eastAsia="zh-CN" w:bidi="ar-SA"/>
        </w:rPr>
        <w:t>技术指标要求</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72"/>
        <w:gridCol w:w="4132"/>
      </w:tblGrid>
      <w:tr w14:paraId="10BC63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0B4C79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控制项目</w:t>
            </w:r>
          </w:p>
        </w:tc>
        <w:tc>
          <w:tcPr>
            <w:tcW w:w="4132" w:type="dxa"/>
            <w:tcBorders>
              <w:tl2br w:val="nil"/>
              <w:tr2bl w:val="nil"/>
            </w:tcBorders>
            <w:noWrap w:val="0"/>
            <w:vAlign w:val="center"/>
          </w:tcPr>
          <w:p w14:paraId="65F843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指标</w:t>
            </w:r>
          </w:p>
        </w:tc>
      </w:tr>
      <w:tr w14:paraId="5CBF9D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4" w:type="dxa"/>
            <w:gridSpan w:val="2"/>
            <w:tcBorders>
              <w:tl2br w:val="nil"/>
              <w:tr2bl w:val="nil"/>
            </w:tcBorders>
            <w:noWrap w:val="0"/>
            <w:vAlign w:val="center"/>
          </w:tcPr>
          <w:p w14:paraId="1F56E7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lang w:val="en-US"/>
              </w:rPr>
            </w:pPr>
            <w:r>
              <w:rPr>
                <w:rFonts w:hint="default" w:ascii="Times New Roman" w:hAnsi="Times New Roman" w:eastAsia="宋体" w:cs="Times New Roman"/>
                <w:b w:val="0"/>
                <w:bCs w:val="0"/>
                <w:color w:val="000000"/>
                <w:sz w:val="21"/>
                <w:szCs w:val="21"/>
                <w:lang w:val="en-US" w:eastAsia="zh-CN"/>
              </w:rPr>
              <w:t>《畜禽粪肥还田技术规范》（GB/T25246-2025）</w:t>
            </w:r>
            <w:r>
              <w:rPr>
                <w:rFonts w:hint="eastAsia" w:cs="Times New Roman"/>
                <w:b w:val="0"/>
                <w:bCs w:val="0"/>
                <w:color w:val="000000"/>
                <w:sz w:val="21"/>
                <w:szCs w:val="21"/>
                <w:lang w:val="en-US" w:eastAsia="zh-CN"/>
              </w:rPr>
              <w:t>固体粪肥卫生学指标</w:t>
            </w:r>
          </w:p>
        </w:tc>
      </w:tr>
      <w:tr w14:paraId="6332CA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57608F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color w:val="000000"/>
                <w:sz w:val="21"/>
                <w:szCs w:val="21"/>
              </w:rPr>
              <w:t>蛔虫卵</w:t>
            </w:r>
          </w:p>
        </w:tc>
        <w:tc>
          <w:tcPr>
            <w:tcW w:w="4132" w:type="dxa"/>
            <w:tcBorders>
              <w:tl2br w:val="nil"/>
              <w:tr2bl w:val="nil"/>
            </w:tcBorders>
            <w:noWrap w:val="0"/>
            <w:vAlign w:val="center"/>
          </w:tcPr>
          <w:p w14:paraId="0B0E68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color w:val="000000"/>
                <w:sz w:val="21"/>
                <w:szCs w:val="21"/>
              </w:rPr>
              <w:t>死亡率≥95%</w:t>
            </w:r>
          </w:p>
        </w:tc>
      </w:tr>
      <w:tr w14:paraId="703A2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51F6DC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color w:val="000000"/>
                <w:sz w:val="21"/>
                <w:szCs w:val="21"/>
              </w:rPr>
              <w:t>粪大肠菌</w:t>
            </w:r>
            <w:r>
              <w:rPr>
                <w:rFonts w:hint="eastAsia" w:ascii="Times New Roman" w:hAnsi="Times New Roman" w:cs="Times New Roman"/>
                <w:color w:val="000000"/>
                <w:sz w:val="21"/>
                <w:szCs w:val="21"/>
                <w:lang w:val="en-US" w:eastAsia="zh-CN"/>
              </w:rPr>
              <w:t>值</w:t>
            </w:r>
          </w:p>
        </w:tc>
        <w:tc>
          <w:tcPr>
            <w:tcW w:w="4132" w:type="dxa"/>
            <w:tcBorders>
              <w:tl2br w:val="nil"/>
              <w:tr2bl w:val="nil"/>
            </w:tcBorders>
            <w:noWrap w:val="0"/>
            <w:vAlign w:val="center"/>
          </w:tcPr>
          <w:p w14:paraId="2CD399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eastAsia" w:ascii="Times New Roman" w:hAnsi="Times New Roman" w:cs="Times New Roman"/>
                <w:color w:val="000000"/>
                <w:sz w:val="21"/>
                <w:szCs w:val="21"/>
                <w:lang w:val="en-US" w:eastAsia="zh-CN"/>
              </w:rPr>
              <w:t>10</w:t>
            </w:r>
            <w:r>
              <w:rPr>
                <w:rFonts w:hint="eastAsia" w:ascii="Times New Roman" w:hAnsi="Times New Roman" w:cs="Times New Roman"/>
                <w:color w:val="000000"/>
                <w:sz w:val="21"/>
                <w:szCs w:val="21"/>
                <w:vertAlign w:val="superscript"/>
                <w:lang w:val="en-US" w:eastAsia="zh-CN"/>
              </w:rPr>
              <w:t>-1</w:t>
            </w:r>
            <w:r>
              <w:rPr>
                <w:rFonts w:hint="eastAsia" w:ascii="Times New Roman" w:hAnsi="Times New Roman" w:cs="Times New Roman"/>
                <w:color w:val="000000"/>
                <w:sz w:val="21"/>
                <w:szCs w:val="21"/>
                <w:lang w:val="en-US" w:eastAsia="zh-CN"/>
              </w:rPr>
              <w:t>~10</w:t>
            </w:r>
            <w:r>
              <w:rPr>
                <w:rFonts w:hint="eastAsia" w:ascii="Times New Roman" w:hAnsi="Times New Roman" w:cs="Times New Roman"/>
                <w:color w:val="000000"/>
                <w:sz w:val="21"/>
                <w:szCs w:val="21"/>
                <w:vertAlign w:val="superscript"/>
                <w:lang w:val="en-US" w:eastAsia="zh-CN"/>
              </w:rPr>
              <w:t>-2</w:t>
            </w:r>
            <w:r>
              <w:rPr>
                <w:rFonts w:hint="default" w:ascii="Times New Roman" w:hAnsi="Times New Roman" w:eastAsia="宋体" w:cs="Times New Roman"/>
                <w:color w:val="000000"/>
                <w:sz w:val="21"/>
                <w:szCs w:val="21"/>
              </w:rPr>
              <w:t>个/kg</w:t>
            </w:r>
          </w:p>
        </w:tc>
      </w:tr>
      <w:tr w14:paraId="7BF85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685630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钩虫卵</w:t>
            </w:r>
          </w:p>
        </w:tc>
        <w:tc>
          <w:tcPr>
            <w:tcW w:w="4132" w:type="dxa"/>
            <w:tcBorders>
              <w:tl2br w:val="nil"/>
              <w:tr2bl w:val="nil"/>
            </w:tcBorders>
            <w:noWrap w:val="0"/>
            <w:vAlign w:val="center"/>
          </w:tcPr>
          <w:p w14:paraId="5BED20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w:t>
            </w:r>
          </w:p>
        </w:tc>
      </w:tr>
      <w:tr w14:paraId="17118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630BC8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eastAsia" w:cs="Times New Roman"/>
                <w:color w:val="000000"/>
                <w:sz w:val="21"/>
                <w:szCs w:val="21"/>
                <w:lang w:val="en-US" w:eastAsia="zh-CN"/>
              </w:rPr>
              <w:t>蚊子、苍蝇</w:t>
            </w:r>
          </w:p>
        </w:tc>
        <w:tc>
          <w:tcPr>
            <w:tcW w:w="4132" w:type="dxa"/>
            <w:tcBorders>
              <w:tl2br w:val="nil"/>
              <w:tr2bl w:val="nil"/>
            </w:tcBorders>
            <w:noWrap w:val="0"/>
            <w:vAlign w:val="center"/>
          </w:tcPr>
          <w:p w14:paraId="002B03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sz w:val="21"/>
                <w:szCs w:val="21"/>
              </w:rPr>
            </w:pPr>
            <w:r>
              <w:rPr>
                <w:rFonts w:hint="eastAsia" w:ascii="Times New Roman" w:hAnsi="Times New Roman" w:cs="Times New Roman"/>
                <w:color w:val="000000"/>
                <w:sz w:val="21"/>
                <w:szCs w:val="21"/>
                <w:lang w:val="en-US" w:eastAsia="zh-CN"/>
              </w:rPr>
              <w:t>无</w:t>
            </w:r>
            <w:r>
              <w:rPr>
                <w:rFonts w:hint="default" w:ascii="Times New Roman" w:hAnsi="Times New Roman" w:eastAsia="宋体" w:cs="Times New Roman"/>
                <w:color w:val="000000"/>
                <w:sz w:val="21"/>
                <w:szCs w:val="21"/>
              </w:rPr>
              <w:t>活的蛆、蛹或新羽化的成蝇</w:t>
            </w:r>
          </w:p>
        </w:tc>
      </w:tr>
      <w:tr w14:paraId="1C1F6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4" w:type="dxa"/>
            <w:gridSpan w:val="2"/>
            <w:tcBorders>
              <w:tl2br w:val="nil"/>
              <w:tr2bl w:val="nil"/>
            </w:tcBorders>
            <w:noWrap w:val="0"/>
            <w:vAlign w:val="center"/>
          </w:tcPr>
          <w:p w14:paraId="6DDFCD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《粪便无害化卫生要求》（GB 7959-2012）好氧发酵的卫生要求</w:t>
            </w:r>
          </w:p>
        </w:tc>
      </w:tr>
      <w:tr w14:paraId="61F98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337A53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温度与持续时间</w:t>
            </w:r>
          </w:p>
        </w:tc>
        <w:tc>
          <w:tcPr>
            <w:tcW w:w="4132" w:type="dxa"/>
            <w:tcBorders>
              <w:tl2br w:val="nil"/>
              <w:tr2bl w:val="nil"/>
            </w:tcBorders>
            <w:noWrap w:val="0"/>
            <w:vAlign w:val="center"/>
          </w:tcPr>
          <w:p w14:paraId="2EC93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机械</w:t>
            </w:r>
            <w:r>
              <w:rPr>
                <w:rFonts w:hint="eastAsia" w:cs="Times New Roman"/>
                <w:color w:val="000000"/>
                <w:sz w:val="21"/>
                <w:szCs w:val="21"/>
                <w:lang w:val="en-US" w:eastAsia="zh-CN"/>
              </w:rPr>
              <w:t xml:space="preserve">  </w:t>
            </w:r>
            <w:r>
              <w:rPr>
                <w:rFonts w:hint="default" w:ascii="Times New Roman" w:hAnsi="Times New Roman" w:eastAsia="宋体" w:cs="Times New Roman"/>
                <w:color w:val="000000"/>
                <w:sz w:val="21"/>
                <w:szCs w:val="21"/>
                <w:lang w:val="en-US" w:eastAsia="zh-CN"/>
              </w:rPr>
              <w:t>堆温≥50°C，至少持续2d</w:t>
            </w:r>
          </w:p>
        </w:tc>
      </w:tr>
      <w:tr w14:paraId="1BCA8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2F121B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沙门氏菌</w:t>
            </w:r>
          </w:p>
        </w:tc>
        <w:tc>
          <w:tcPr>
            <w:tcW w:w="4132" w:type="dxa"/>
            <w:tcBorders>
              <w:tl2br w:val="nil"/>
              <w:tr2bl w:val="nil"/>
            </w:tcBorders>
            <w:noWrap w:val="0"/>
            <w:vAlign w:val="center"/>
          </w:tcPr>
          <w:p w14:paraId="47A3FE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不得检出</w:t>
            </w:r>
          </w:p>
        </w:tc>
      </w:tr>
    </w:tbl>
    <w:p w14:paraId="50829F0D">
      <w:pPr>
        <w:widowControl w:val="0"/>
        <w:spacing w:line="360" w:lineRule="auto"/>
        <w:ind w:firstLine="480" w:firstLineChars="200"/>
        <w:jc w:val="both"/>
        <w:rPr>
          <w:rFonts w:hint="default" w:ascii="Times New Roman" w:hAnsi="Times New Roman" w:eastAsia="宋体" w:cs="宋体"/>
          <w:snapToGrid w:val="0"/>
          <w:color w:val="auto"/>
          <w:sz w:val="24"/>
          <w:szCs w:val="21"/>
          <w:lang w:val="en-US" w:eastAsia="zh-CN" w:bidi="ar-SA"/>
        </w:rPr>
      </w:pPr>
      <w:r>
        <w:rPr>
          <w:rFonts w:hint="eastAsia" w:ascii="Times New Roman" w:hAnsi="Times New Roman" w:eastAsia="宋体" w:cs="宋体"/>
          <w:snapToGrid w:val="0"/>
          <w:color w:val="auto"/>
          <w:sz w:val="24"/>
          <w:szCs w:val="21"/>
          <w:lang w:val="en-US" w:eastAsia="zh-CN" w:bidi="ar-SA"/>
        </w:rPr>
        <w:t>同时符合《</w:t>
      </w:r>
      <w:r>
        <w:rPr>
          <w:rFonts w:hint="default" w:ascii="Times New Roman" w:hAnsi="Times New Roman" w:eastAsia="宋体" w:cs="宋体"/>
          <w:snapToGrid w:val="0"/>
          <w:color w:val="auto"/>
          <w:sz w:val="24"/>
          <w:szCs w:val="21"/>
          <w:lang w:val="en-US" w:eastAsia="zh-CN" w:bidi="ar-SA"/>
        </w:rPr>
        <w:t>畜禽养殖业污染治理工程技术规范</w:t>
      </w:r>
      <w:r>
        <w:rPr>
          <w:rFonts w:hint="eastAsia" w:ascii="Times New Roman" w:hAnsi="Times New Roman" w:eastAsia="宋体" w:cs="宋体"/>
          <w:snapToGrid w:val="0"/>
          <w:color w:val="auto"/>
          <w:sz w:val="24"/>
          <w:szCs w:val="21"/>
          <w:lang w:val="en-US" w:eastAsia="zh-CN" w:bidi="ar-SA"/>
        </w:rPr>
        <w:t>》（HJ 497-2009）相关要求：</w:t>
      </w:r>
    </w:p>
    <w:p w14:paraId="53814AF8">
      <w:pPr>
        <w:widowControl w:val="0"/>
        <w:spacing w:line="360" w:lineRule="auto"/>
        <w:ind w:firstLine="480" w:firstLineChars="200"/>
        <w:jc w:val="both"/>
        <w:rPr>
          <w:rFonts w:hint="default" w:ascii="Times New Roman" w:hAnsi="Times New Roman" w:eastAsia="宋体" w:cs="宋体"/>
          <w:snapToGrid w:val="0"/>
          <w:color w:val="auto"/>
          <w:sz w:val="24"/>
          <w:szCs w:val="21"/>
          <w:lang w:val="en-US" w:eastAsia="zh-CN" w:bidi="ar-SA"/>
        </w:rPr>
      </w:pPr>
      <w:r>
        <w:rPr>
          <w:rFonts w:hint="default" w:ascii="Times New Roman" w:hAnsi="Times New Roman" w:eastAsia="宋体" w:cs="宋体"/>
          <w:snapToGrid w:val="0"/>
          <w:color w:val="auto"/>
          <w:sz w:val="24"/>
          <w:szCs w:val="21"/>
          <w:lang w:val="en-US" w:eastAsia="zh-CN" w:bidi="ar-SA"/>
        </w:rPr>
        <w:t>①堆肥产品存放时，含水率应不高于30%，袋装堆肥含水率应不高于20%；②堆肥产品的含盐量应在1%</w:t>
      </w:r>
      <w:r>
        <w:rPr>
          <w:rFonts w:hint="eastAsia" w:cs="宋体"/>
          <w:snapToGrid w:val="0"/>
          <w:color w:val="auto"/>
          <w:sz w:val="24"/>
          <w:szCs w:val="21"/>
          <w:lang w:val="en-US" w:eastAsia="zh-CN" w:bidi="ar-SA"/>
        </w:rPr>
        <w:t>～</w:t>
      </w:r>
      <w:r>
        <w:rPr>
          <w:rFonts w:hint="default" w:ascii="Times New Roman" w:hAnsi="Times New Roman" w:eastAsia="宋体" w:cs="宋体"/>
          <w:snapToGrid w:val="0"/>
          <w:color w:val="auto"/>
          <w:sz w:val="24"/>
          <w:szCs w:val="21"/>
          <w:lang w:val="en-US" w:eastAsia="zh-CN" w:bidi="ar-SA"/>
        </w:rPr>
        <w:t>2%；</w:t>
      </w:r>
      <w:r>
        <w:rPr>
          <w:rFonts w:hint="eastAsia" w:ascii="Times New Roman" w:hAnsi="Times New Roman" w:eastAsia="宋体" w:cs="宋体"/>
          <w:snapToGrid w:val="0"/>
          <w:color w:val="auto"/>
          <w:sz w:val="24"/>
          <w:szCs w:val="21"/>
          <w:lang w:val="en-US" w:eastAsia="zh-CN" w:bidi="ar-SA"/>
        </w:rPr>
        <w:t>③</w:t>
      </w:r>
      <w:r>
        <w:rPr>
          <w:rFonts w:hint="default" w:ascii="Times New Roman" w:hAnsi="Times New Roman" w:eastAsia="宋体" w:cs="宋体"/>
          <w:snapToGrid w:val="0"/>
          <w:color w:val="auto"/>
          <w:sz w:val="24"/>
          <w:szCs w:val="21"/>
          <w:lang w:val="en-US" w:eastAsia="zh-CN" w:bidi="ar-SA"/>
        </w:rPr>
        <w:t>成品堆肥外观应为茶褐色或黑褐色，无恶臭，质地松散，具有泥土气味。</w:t>
      </w:r>
    </w:p>
    <w:p w14:paraId="5394FF00">
      <w:pPr>
        <w:widowControl w:val="0"/>
        <w:spacing w:line="500" w:lineRule="exact"/>
        <w:ind w:firstLine="480" w:firstLineChars="200"/>
        <w:jc w:val="both"/>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highlight w:val="none"/>
          <w:lang w:val="en-US" w:eastAsia="zh-CN" w:bidi="ar-SA"/>
        </w:rPr>
        <w:t>堆肥处理技术应符合《</w:t>
      </w:r>
      <w:r>
        <w:rPr>
          <w:rFonts w:hint="eastAsia" w:cs="Times New Roman"/>
          <w:color w:val="auto"/>
          <w:sz w:val="24"/>
          <w:szCs w:val="24"/>
          <w:highlight w:val="none"/>
          <w:lang w:val="en-US" w:eastAsia="zh-CN" w:bidi="ar-SA"/>
        </w:rPr>
        <w:t>畜禽粪便无害化处理技术规范</w:t>
      </w:r>
      <w:r>
        <w:rPr>
          <w:rFonts w:hint="default" w:ascii="Times New Roman" w:hAnsi="Times New Roman" w:eastAsia="宋体" w:cs="Times New Roman"/>
          <w:color w:val="auto"/>
          <w:sz w:val="24"/>
          <w:szCs w:val="24"/>
          <w:highlight w:val="none"/>
          <w:lang w:val="en-US" w:eastAsia="zh-CN" w:bidi="ar-SA"/>
        </w:rPr>
        <w:t>》（GB/T36195-2018）相关规定</w:t>
      </w:r>
      <w:r>
        <w:rPr>
          <w:rFonts w:hint="default" w:ascii="Times New Roman" w:hAnsi="Times New Roman" w:eastAsia="宋体" w:cs="Times New Roman"/>
          <w:color w:val="auto"/>
          <w:sz w:val="24"/>
          <w:szCs w:val="24"/>
          <w:lang w:val="en-US" w:eastAsia="zh-CN" w:bidi="ar-SA"/>
        </w:rPr>
        <w:t>。</w:t>
      </w:r>
    </w:p>
    <w:p w14:paraId="260D05DE">
      <w:pPr>
        <w:widowControl w:val="0"/>
        <w:spacing w:line="360" w:lineRule="auto"/>
        <w:ind w:firstLine="482" w:firstLineChars="200"/>
        <w:jc w:val="center"/>
        <w:rPr>
          <w:rFonts w:hint="default" w:ascii="Times New Roman" w:hAnsi="Times New Roman" w:eastAsia="宋体" w:cs="Times New Roman"/>
          <w:b/>
          <w:bCs/>
          <w:color w:val="auto"/>
          <w:sz w:val="24"/>
          <w:szCs w:val="20"/>
          <w:lang w:val="en-US" w:eastAsia="zh-CN" w:bidi="ar-SA"/>
        </w:rPr>
      </w:pPr>
      <w:r>
        <w:rPr>
          <w:rFonts w:hint="default" w:ascii="Times New Roman" w:hAnsi="Times New Roman" w:eastAsia="宋体" w:cs="Times New Roman"/>
          <w:b/>
          <w:bCs/>
          <w:color w:val="auto"/>
          <w:sz w:val="24"/>
          <w:szCs w:val="20"/>
          <w:lang w:val="en-US" w:eastAsia="zh-CN" w:bidi="ar-SA"/>
        </w:rPr>
        <w:t>表5.</w:t>
      </w:r>
      <w:r>
        <w:rPr>
          <w:rFonts w:hint="eastAsia" w:ascii="Times New Roman" w:hAnsi="Times New Roman" w:eastAsia="宋体" w:cs="Times New Roman"/>
          <w:b/>
          <w:bCs/>
          <w:color w:val="auto"/>
          <w:sz w:val="24"/>
          <w:szCs w:val="20"/>
          <w:lang w:val="en-US" w:eastAsia="zh-CN" w:bidi="ar-SA"/>
        </w:rPr>
        <w:t>2</w:t>
      </w:r>
      <w:r>
        <w:rPr>
          <w:rFonts w:hint="default" w:ascii="Times New Roman" w:hAnsi="Times New Roman" w:eastAsia="宋体" w:cs="Times New Roman"/>
          <w:b/>
          <w:bCs/>
          <w:color w:val="auto"/>
          <w:sz w:val="24"/>
          <w:szCs w:val="20"/>
          <w:lang w:val="en-US" w:eastAsia="zh-CN" w:bidi="ar-SA"/>
        </w:rPr>
        <w:t>-</w:t>
      </w:r>
      <w:r>
        <w:rPr>
          <w:rFonts w:hint="eastAsia" w:cs="Times New Roman"/>
          <w:b/>
          <w:bCs/>
          <w:color w:val="auto"/>
          <w:sz w:val="24"/>
          <w:szCs w:val="20"/>
          <w:lang w:val="en-US" w:eastAsia="zh-CN" w:bidi="ar-SA"/>
        </w:rPr>
        <w:t>38</w:t>
      </w:r>
      <w:r>
        <w:rPr>
          <w:rFonts w:hint="default" w:ascii="Times New Roman" w:hAnsi="Times New Roman" w:eastAsia="宋体" w:cs="Times New Roman"/>
          <w:b/>
          <w:bCs/>
          <w:color w:val="auto"/>
          <w:sz w:val="24"/>
          <w:szCs w:val="20"/>
          <w:lang w:val="en-US" w:eastAsia="zh-CN" w:bidi="ar-SA"/>
        </w:rPr>
        <w:t>粪便堆放处理卫生标准要求</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520"/>
        <w:gridCol w:w="3203"/>
        <w:gridCol w:w="3205"/>
      </w:tblGrid>
      <w:tr w14:paraId="479CE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7" w:type="dxa"/>
            <w:noWrap w:val="0"/>
            <w:vAlign w:val="center"/>
          </w:tcPr>
          <w:p w14:paraId="0E493AAB">
            <w:pPr>
              <w:spacing w:line="400" w:lineRule="exac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编号</w:t>
            </w:r>
          </w:p>
        </w:tc>
        <w:tc>
          <w:tcPr>
            <w:tcW w:w="1523" w:type="dxa"/>
            <w:noWrap w:val="0"/>
            <w:vAlign w:val="center"/>
          </w:tcPr>
          <w:p w14:paraId="12C0673A">
            <w:pPr>
              <w:spacing w:line="400" w:lineRule="exac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项目</w:t>
            </w:r>
          </w:p>
        </w:tc>
        <w:tc>
          <w:tcPr>
            <w:tcW w:w="3210" w:type="dxa"/>
            <w:noWrap w:val="0"/>
            <w:vAlign w:val="center"/>
          </w:tcPr>
          <w:p w14:paraId="03B4F821">
            <w:pPr>
              <w:spacing w:line="400" w:lineRule="exac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eastAsia="zh-CN"/>
              </w:rPr>
              <w:t>固体</w:t>
            </w:r>
            <w:r>
              <w:rPr>
                <w:rFonts w:hint="default" w:ascii="Times New Roman" w:hAnsi="Times New Roman" w:eastAsia="宋体" w:cs="Times New Roman"/>
                <w:b/>
                <w:bCs/>
                <w:color w:val="auto"/>
                <w:kern w:val="0"/>
                <w:sz w:val="21"/>
                <w:szCs w:val="21"/>
              </w:rPr>
              <w:t>卫生标准</w:t>
            </w:r>
          </w:p>
        </w:tc>
        <w:tc>
          <w:tcPr>
            <w:tcW w:w="3211" w:type="dxa"/>
            <w:noWrap w:val="0"/>
            <w:vAlign w:val="center"/>
          </w:tcPr>
          <w:p w14:paraId="2F7486C4">
            <w:pPr>
              <w:spacing w:line="400" w:lineRule="exact"/>
              <w:jc w:val="center"/>
              <w:rPr>
                <w:rFonts w:hint="default" w:ascii="Times New Roman" w:hAnsi="Times New Roman" w:eastAsia="宋体" w:cs="Times New Roman"/>
                <w:b/>
                <w:bCs/>
                <w:color w:val="auto"/>
                <w:kern w:val="0"/>
                <w:sz w:val="21"/>
                <w:szCs w:val="21"/>
                <w:lang w:eastAsia="zh-CN"/>
              </w:rPr>
            </w:pPr>
            <w:r>
              <w:rPr>
                <w:rFonts w:hint="default" w:ascii="Times New Roman" w:hAnsi="Times New Roman" w:eastAsia="宋体" w:cs="Times New Roman"/>
                <w:b/>
                <w:bCs/>
                <w:color w:val="auto"/>
                <w:kern w:val="0"/>
                <w:sz w:val="21"/>
                <w:szCs w:val="21"/>
                <w:lang w:eastAsia="zh-CN"/>
              </w:rPr>
              <w:t>液体卫生标准</w:t>
            </w:r>
          </w:p>
        </w:tc>
      </w:tr>
      <w:tr w14:paraId="4FE80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7" w:type="dxa"/>
            <w:noWrap w:val="0"/>
            <w:vAlign w:val="center"/>
          </w:tcPr>
          <w:p w14:paraId="7D1732A9">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1523" w:type="dxa"/>
            <w:noWrap w:val="0"/>
            <w:vAlign w:val="center"/>
          </w:tcPr>
          <w:p w14:paraId="3F537D27">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密封贮存期</w:t>
            </w:r>
          </w:p>
        </w:tc>
        <w:tc>
          <w:tcPr>
            <w:tcW w:w="3210" w:type="dxa"/>
            <w:noWrap w:val="0"/>
            <w:vAlign w:val="center"/>
          </w:tcPr>
          <w:p w14:paraId="5F547134">
            <w:pPr>
              <w:spacing w:line="400" w:lineRule="exac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c>
          <w:tcPr>
            <w:tcW w:w="3211" w:type="dxa"/>
            <w:noWrap w:val="0"/>
            <w:vAlign w:val="center"/>
          </w:tcPr>
          <w:p w14:paraId="24F95250">
            <w:pPr>
              <w:spacing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30天以上</w:t>
            </w:r>
          </w:p>
        </w:tc>
      </w:tr>
      <w:tr w14:paraId="5AF0B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7" w:type="dxa"/>
            <w:noWrap w:val="0"/>
            <w:vAlign w:val="center"/>
          </w:tcPr>
          <w:p w14:paraId="5CA28A98">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w:t>
            </w:r>
          </w:p>
        </w:tc>
        <w:tc>
          <w:tcPr>
            <w:tcW w:w="1523" w:type="dxa"/>
            <w:noWrap w:val="0"/>
            <w:vAlign w:val="center"/>
          </w:tcPr>
          <w:p w14:paraId="120450FF">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高温发酵温度</w:t>
            </w:r>
          </w:p>
        </w:tc>
        <w:tc>
          <w:tcPr>
            <w:tcW w:w="3210" w:type="dxa"/>
            <w:noWrap w:val="0"/>
            <w:vAlign w:val="center"/>
          </w:tcPr>
          <w:p w14:paraId="279421EE">
            <w:pPr>
              <w:spacing w:line="400" w:lineRule="exact"/>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5</w:t>
            </w:r>
            <w:r>
              <w:rPr>
                <w:rFonts w:hint="default" w:ascii="Times New Roman" w:hAnsi="Times New Roman" w:eastAsia="宋体" w:cs="Times New Roman"/>
                <w:color w:val="auto"/>
                <w:kern w:val="0"/>
                <w:sz w:val="21"/>
                <w:szCs w:val="21"/>
                <w:lang w:val="en-US" w:eastAsia="zh-CN"/>
              </w:rPr>
              <w:t>0</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kern w:val="0"/>
                <w:sz w:val="21"/>
                <w:szCs w:val="21"/>
                <w:lang w:eastAsia="zh-CN"/>
              </w:rPr>
              <w:t>以上</w:t>
            </w:r>
            <w:r>
              <w:rPr>
                <w:rFonts w:hint="default" w:ascii="Times New Roman" w:hAnsi="Times New Roman" w:eastAsia="宋体" w:cs="Times New Roman"/>
                <w:color w:val="auto"/>
                <w:kern w:val="0"/>
                <w:sz w:val="21"/>
                <w:szCs w:val="21"/>
              </w:rPr>
              <w:t>持续</w:t>
            </w:r>
            <w:r>
              <w:rPr>
                <w:rFonts w:hint="default" w:ascii="Times New Roman" w:hAnsi="Times New Roman" w:eastAsia="宋体" w:cs="Times New Roman"/>
                <w:color w:val="auto"/>
                <w:kern w:val="0"/>
                <w:sz w:val="21"/>
                <w:szCs w:val="21"/>
                <w:lang w:eastAsia="zh-CN"/>
              </w:rPr>
              <w:t>不少于</w:t>
            </w:r>
            <w:r>
              <w:rPr>
                <w:rFonts w:hint="default" w:ascii="Times New Roman" w:hAnsi="Times New Roman" w:eastAsia="宋体" w:cs="Times New Roman"/>
                <w:color w:val="auto"/>
                <w:kern w:val="0"/>
                <w:sz w:val="21"/>
                <w:szCs w:val="21"/>
                <w:lang w:val="en-US" w:eastAsia="zh-CN"/>
              </w:rPr>
              <w:t>7</w:t>
            </w:r>
            <w:r>
              <w:rPr>
                <w:rFonts w:hint="default" w:ascii="Times New Roman" w:hAnsi="Times New Roman" w:eastAsia="宋体" w:cs="Times New Roman"/>
                <w:color w:val="auto"/>
                <w:kern w:val="0"/>
                <w:sz w:val="21"/>
                <w:szCs w:val="21"/>
              </w:rPr>
              <w:t>天</w:t>
            </w:r>
            <w:r>
              <w:rPr>
                <w:rFonts w:hint="default" w:ascii="Times New Roman" w:hAnsi="Times New Roman" w:eastAsia="宋体" w:cs="Times New Roman"/>
                <w:color w:val="auto"/>
                <w:kern w:val="0"/>
                <w:sz w:val="21"/>
                <w:szCs w:val="21"/>
                <w:lang w:eastAsia="zh-CN"/>
              </w:rPr>
              <w:t>，或</w:t>
            </w:r>
            <w:r>
              <w:rPr>
                <w:rFonts w:hint="default" w:ascii="Times New Roman" w:hAnsi="Times New Roman" w:eastAsia="宋体" w:cs="Times New Roman"/>
                <w:color w:val="auto"/>
                <w:kern w:val="0"/>
                <w:sz w:val="21"/>
                <w:szCs w:val="21"/>
                <w:lang w:val="en-US" w:eastAsia="zh-CN"/>
              </w:rPr>
              <w:t>45</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kern w:val="0"/>
                <w:sz w:val="21"/>
                <w:szCs w:val="21"/>
                <w:lang w:eastAsia="zh-CN"/>
              </w:rPr>
              <w:t>以上</w:t>
            </w:r>
            <w:r>
              <w:rPr>
                <w:rFonts w:hint="default" w:ascii="Times New Roman" w:hAnsi="Times New Roman" w:eastAsia="宋体" w:cs="Times New Roman"/>
                <w:color w:val="auto"/>
                <w:kern w:val="0"/>
                <w:sz w:val="21"/>
                <w:szCs w:val="21"/>
              </w:rPr>
              <w:t>持续</w:t>
            </w:r>
            <w:r>
              <w:rPr>
                <w:rFonts w:hint="default" w:ascii="Times New Roman" w:hAnsi="Times New Roman" w:eastAsia="宋体" w:cs="Times New Roman"/>
                <w:color w:val="auto"/>
                <w:kern w:val="0"/>
                <w:sz w:val="21"/>
                <w:szCs w:val="21"/>
                <w:lang w:eastAsia="zh-CN"/>
              </w:rPr>
              <w:t>不少于</w:t>
            </w:r>
            <w:r>
              <w:rPr>
                <w:rFonts w:hint="default" w:ascii="Times New Roman" w:hAnsi="Times New Roman" w:eastAsia="宋体" w:cs="Times New Roman"/>
                <w:color w:val="auto"/>
                <w:kern w:val="0"/>
                <w:sz w:val="21"/>
                <w:szCs w:val="21"/>
                <w:lang w:val="en-US" w:eastAsia="zh-CN"/>
              </w:rPr>
              <w:t>14</w:t>
            </w:r>
            <w:r>
              <w:rPr>
                <w:rFonts w:hint="default" w:ascii="Times New Roman" w:hAnsi="Times New Roman" w:eastAsia="宋体" w:cs="Times New Roman"/>
                <w:color w:val="auto"/>
                <w:kern w:val="0"/>
                <w:sz w:val="21"/>
                <w:szCs w:val="21"/>
              </w:rPr>
              <w:t>天</w:t>
            </w:r>
          </w:p>
        </w:tc>
        <w:tc>
          <w:tcPr>
            <w:tcW w:w="3211" w:type="dxa"/>
            <w:noWrap w:val="0"/>
            <w:vAlign w:val="center"/>
          </w:tcPr>
          <w:p w14:paraId="1D87F5A7">
            <w:pPr>
              <w:spacing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eastAsia="zh-CN"/>
              </w:rPr>
              <w:t>中温厌氧发酵不少于</w:t>
            </w:r>
            <w:r>
              <w:rPr>
                <w:rFonts w:hint="default" w:ascii="Times New Roman" w:hAnsi="Times New Roman" w:eastAsia="宋体" w:cs="Times New Roman"/>
                <w:color w:val="auto"/>
                <w:kern w:val="0"/>
                <w:sz w:val="21"/>
                <w:szCs w:val="21"/>
                <w:lang w:val="en-US" w:eastAsia="zh-CN"/>
              </w:rPr>
              <w:t>7d，</w:t>
            </w:r>
            <w:r>
              <w:rPr>
                <w:rFonts w:hint="default" w:ascii="Times New Roman" w:hAnsi="Times New Roman" w:eastAsia="宋体" w:cs="Times New Roman"/>
                <w:color w:val="auto"/>
                <w:kern w:val="0"/>
                <w:sz w:val="21"/>
                <w:szCs w:val="21"/>
              </w:rPr>
              <w:t>53±2℃持续</w:t>
            </w:r>
            <w:r>
              <w:rPr>
                <w:rFonts w:hint="default" w:ascii="Times New Roman" w:hAnsi="Times New Roman" w:eastAsia="宋体" w:cs="Times New Roman"/>
                <w:color w:val="auto"/>
                <w:kern w:val="0"/>
                <w:sz w:val="21"/>
                <w:szCs w:val="21"/>
                <w:lang w:eastAsia="zh-CN"/>
              </w:rPr>
              <w:t>不少于</w:t>
            </w:r>
            <w:r>
              <w:rPr>
                <w:rFonts w:hint="default" w:ascii="Times New Roman" w:hAnsi="Times New Roman" w:eastAsia="宋体" w:cs="Times New Roman"/>
                <w:color w:val="auto"/>
                <w:kern w:val="0"/>
                <w:sz w:val="21"/>
                <w:szCs w:val="21"/>
              </w:rPr>
              <w:t>2天</w:t>
            </w:r>
          </w:p>
        </w:tc>
      </w:tr>
      <w:tr w14:paraId="3C59D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7" w:type="dxa"/>
            <w:noWrap w:val="0"/>
            <w:vAlign w:val="center"/>
          </w:tcPr>
          <w:p w14:paraId="61403897">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w:t>
            </w:r>
          </w:p>
        </w:tc>
        <w:tc>
          <w:tcPr>
            <w:tcW w:w="1523" w:type="dxa"/>
            <w:noWrap w:val="0"/>
            <w:vAlign w:val="center"/>
          </w:tcPr>
          <w:p w14:paraId="0AA8AEDE">
            <w:pPr>
              <w:spacing w:line="400" w:lineRule="exact"/>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蛔虫卵</w:t>
            </w:r>
          </w:p>
        </w:tc>
        <w:tc>
          <w:tcPr>
            <w:tcW w:w="3210" w:type="dxa"/>
            <w:noWrap w:val="0"/>
            <w:vAlign w:val="center"/>
          </w:tcPr>
          <w:p w14:paraId="24DF04C0">
            <w:pPr>
              <w:spacing w:line="400" w:lineRule="exac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eastAsia="zh-CN"/>
              </w:rPr>
              <w:t>死亡率≥</w:t>
            </w:r>
            <w:r>
              <w:rPr>
                <w:rFonts w:hint="default" w:ascii="Times New Roman" w:hAnsi="Times New Roman" w:eastAsia="宋体" w:cs="Times New Roman"/>
                <w:color w:val="auto"/>
                <w:kern w:val="0"/>
                <w:sz w:val="21"/>
                <w:szCs w:val="21"/>
                <w:lang w:val="en-US" w:eastAsia="zh-CN"/>
              </w:rPr>
              <w:t>95%</w:t>
            </w:r>
          </w:p>
        </w:tc>
        <w:tc>
          <w:tcPr>
            <w:tcW w:w="3211" w:type="dxa"/>
            <w:noWrap w:val="0"/>
            <w:vAlign w:val="center"/>
          </w:tcPr>
          <w:p w14:paraId="52B8A47A">
            <w:pPr>
              <w:spacing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eastAsia="zh-CN"/>
              </w:rPr>
              <w:t>死亡率≥</w:t>
            </w:r>
            <w:r>
              <w:rPr>
                <w:rFonts w:hint="default" w:ascii="Times New Roman" w:hAnsi="Times New Roman" w:eastAsia="宋体" w:cs="Times New Roman"/>
                <w:color w:val="auto"/>
                <w:kern w:val="0"/>
                <w:sz w:val="21"/>
                <w:szCs w:val="21"/>
                <w:lang w:val="en-US" w:eastAsia="zh-CN"/>
              </w:rPr>
              <w:t>95%</w:t>
            </w:r>
          </w:p>
        </w:tc>
      </w:tr>
      <w:tr w14:paraId="3F6AB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7" w:type="dxa"/>
            <w:noWrap w:val="0"/>
            <w:vAlign w:val="center"/>
          </w:tcPr>
          <w:p w14:paraId="2C2A9319">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4</w:t>
            </w:r>
          </w:p>
        </w:tc>
        <w:tc>
          <w:tcPr>
            <w:tcW w:w="1523" w:type="dxa"/>
            <w:noWrap w:val="0"/>
            <w:vAlign w:val="center"/>
          </w:tcPr>
          <w:p w14:paraId="6710E7A0">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血吸虫卵和钩虫卵</w:t>
            </w:r>
          </w:p>
        </w:tc>
        <w:tc>
          <w:tcPr>
            <w:tcW w:w="3210" w:type="dxa"/>
            <w:noWrap w:val="0"/>
            <w:vAlign w:val="center"/>
          </w:tcPr>
          <w:p w14:paraId="543A59E9">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在使用粪液中不得检出血吸虫卵和钩虫卵</w:t>
            </w:r>
          </w:p>
        </w:tc>
        <w:tc>
          <w:tcPr>
            <w:tcW w:w="3211" w:type="dxa"/>
            <w:noWrap w:val="0"/>
            <w:vAlign w:val="center"/>
          </w:tcPr>
          <w:p w14:paraId="3807C89F">
            <w:pPr>
              <w:spacing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在使用粪液中不得检出血吸虫卵和钩虫卵</w:t>
            </w:r>
          </w:p>
        </w:tc>
      </w:tr>
      <w:tr w14:paraId="0D504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7" w:type="dxa"/>
            <w:noWrap w:val="0"/>
            <w:vAlign w:val="center"/>
          </w:tcPr>
          <w:p w14:paraId="05440DE4">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w:t>
            </w:r>
          </w:p>
        </w:tc>
        <w:tc>
          <w:tcPr>
            <w:tcW w:w="1523" w:type="dxa"/>
            <w:noWrap w:val="0"/>
            <w:vAlign w:val="center"/>
          </w:tcPr>
          <w:p w14:paraId="0F44A60C">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粪大肠菌值</w:t>
            </w:r>
          </w:p>
        </w:tc>
        <w:tc>
          <w:tcPr>
            <w:tcW w:w="3210" w:type="dxa"/>
            <w:noWrap w:val="0"/>
            <w:vAlign w:val="center"/>
          </w:tcPr>
          <w:p w14:paraId="50321DD8">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常温发酵10</w:t>
            </w:r>
            <w:r>
              <w:rPr>
                <w:rFonts w:hint="default" w:ascii="Times New Roman" w:hAnsi="Times New Roman" w:eastAsia="宋体" w:cs="Times New Roman"/>
                <w:color w:val="auto"/>
                <w:kern w:val="0"/>
                <w:sz w:val="21"/>
                <w:szCs w:val="21"/>
                <w:vertAlign w:val="superscript"/>
              </w:rPr>
              <w:t>-4</w:t>
            </w:r>
            <w:r>
              <w:rPr>
                <w:rFonts w:hint="default" w:ascii="Times New Roman" w:hAnsi="Times New Roman" w:eastAsia="宋体" w:cs="Times New Roman"/>
                <w:color w:val="auto"/>
                <w:kern w:val="0"/>
                <w:sz w:val="21"/>
                <w:szCs w:val="21"/>
              </w:rPr>
              <w:t>高温发酵10</w:t>
            </w:r>
            <w:r>
              <w:rPr>
                <w:rFonts w:hint="default" w:ascii="Times New Roman" w:hAnsi="Times New Roman" w:eastAsia="宋体" w:cs="Times New Roman"/>
                <w:color w:val="auto"/>
                <w:kern w:val="0"/>
                <w:sz w:val="21"/>
                <w:szCs w:val="21"/>
                <w:vertAlign w:val="superscript"/>
              </w:rPr>
              <w:t>-1</w:t>
            </w:r>
            <w:r>
              <w:rPr>
                <w:rFonts w:hint="default" w:ascii="Times New Roman" w:hAnsi="Times New Roman" w:eastAsia="宋体" w:cs="Times New Roman"/>
                <w:color w:val="auto"/>
                <w:kern w:val="0"/>
                <w:sz w:val="21"/>
                <w:szCs w:val="21"/>
              </w:rPr>
              <w:t>~10</w:t>
            </w:r>
            <w:r>
              <w:rPr>
                <w:rFonts w:hint="default" w:ascii="Times New Roman" w:hAnsi="Times New Roman" w:eastAsia="宋体" w:cs="Times New Roman"/>
                <w:color w:val="auto"/>
                <w:kern w:val="0"/>
                <w:sz w:val="21"/>
                <w:szCs w:val="21"/>
                <w:vertAlign w:val="superscript"/>
              </w:rPr>
              <w:t>-2</w:t>
            </w:r>
          </w:p>
        </w:tc>
        <w:tc>
          <w:tcPr>
            <w:tcW w:w="3211" w:type="dxa"/>
            <w:noWrap w:val="0"/>
            <w:vAlign w:val="center"/>
          </w:tcPr>
          <w:p w14:paraId="7D8B4E5D">
            <w:pPr>
              <w:spacing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常温发酵10</w:t>
            </w:r>
            <w:r>
              <w:rPr>
                <w:rFonts w:hint="default" w:ascii="Times New Roman" w:hAnsi="Times New Roman" w:eastAsia="宋体" w:cs="Times New Roman"/>
                <w:color w:val="auto"/>
                <w:kern w:val="0"/>
                <w:sz w:val="21"/>
                <w:szCs w:val="21"/>
                <w:vertAlign w:val="superscript"/>
              </w:rPr>
              <w:t>-4</w:t>
            </w:r>
            <w:r>
              <w:rPr>
                <w:rFonts w:hint="default" w:ascii="Times New Roman" w:hAnsi="Times New Roman" w:eastAsia="宋体" w:cs="Times New Roman"/>
                <w:color w:val="auto"/>
                <w:kern w:val="0"/>
                <w:sz w:val="21"/>
                <w:szCs w:val="21"/>
              </w:rPr>
              <w:t>高温发酵10</w:t>
            </w:r>
            <w:r>
              <w:rPr>
                <w:rFonts w:hint="default" w:ascii="Times New Roman" w:hAnsi="Times New Roman" w:eastAsia="宋体" w:cs="Times New Roman"/>
                <w:color w:val="auto"/>
                <w:kern w:val="0"/>
                <w:sz w:val="21"/>
                <w:szCs w:val="21"/>
                <w:vertAlign w:val="superscript"/>
              </w:rPr>
              <w:t>-1</w:t>
            </w:r>
            <w:r>
              <w:rPr>
                <w:rFonts w:hint="default" w:ascii="Times New Roman" w:hAnsi="Times New Roman" w:eastAsia="宋体" w:cs="Times New Roman"/>
                <w:color w:val="auto"/>
                <w:kern w:val="0"/>
                <w:sz w:val="21"/>
                <w:szCs w:val="21"/>
              </w:rPr>
              <w:t>~10</w:t>
            </w:r>
            <w:r>
              <w:rPr>
                <w:rFonts w:hint="default" w:ascii="Times New Roman" w:hAnsi="Times New Roman" w:eastAsia="宋体" w:cs="Times New Roman"/>
                <w:color w:val="auto"/>
                <w:kern w:val="0"/>
                <w:sz w:val="21"/>
                <w:szCs w:val="21"/>
                <w:vertAlign w:val="superscript"/>
              </w:rPr>
              <w:t>-2</w:t>
            </w:r>
          </w:p>
        </w:tc>
      </w:tr>
      <w:tr w14:paraId="5AC526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7" w:type="dxa"/>
            <w:noWrap w:val="0"/>
            <w:vAlign w:val="center"/>
          </w:tcPr>
          <w:p w14:paraId="387FA6BA">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6</w:t>
            </w:r>
          </w:p>
        </w:tc>
        <w:tc>
          <w:tcPr>
            <w:tcW w:w="1523" w:type="dxa"/>
            <w:noWrap w:val="0"/>
            <w:vAlign w:val="center"/>
          </w:tcPr>
          <w:p w14:paraId="3045FE3A">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蚊子、苍蝇</w:t>
            </w:r>
          </w:p>
        </w:tc>
        <w:tc>
          <w:tcPr>
            <w:tcW w:w="3210" w:type="dxa"/>
            <w:noWrap w:val="0"/>
            <w:vAlign w:val="center"/>
          </w:tcPr>
          <w:p w14:paraId="12D0EB5C">
            <w:pPr>
              <w:spacing w:line="400" w:lineRule="exac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有效地控制</w:t>
            </w:r>
            <w:r>
              <w:rPr>
                <w:rFonts w:hint="eastAsia" w:cs="Times New Roman"/>
                <w:color w:val="auto"/>
                <w:kern w:val="0"/>
                <w:sz w:val="21"/>
                <w:szCs w:val="21"/>
                <w:lang w:eastAsia="zh-CN"/>
              </w:rPr>
              <w:t>蚊蝇滋生</w:t>
            </w:r>
            <w:r>
              <w:rPr>
                <w:rFonts w:hint="default"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lang w:val="en-US" w:eastAsia="zh-CN"/>
              </w:rPr>
              <w:t>牛粪</w:t>
            </w:r>
            <w:r>
              <w:rPr>
                <w:rFonts w:hint="default" w:ascii="Times New Roman" w:hAnsi="Times New Roman" w:eastAsia="宋体" w:cs="Times New Roman"/>
                <w:color w:val="auto"/>
                <w:kern w:val="0"/>
                <w:sz w:val="21"/>
                <w:szCs w:val="21"/>
              </w:rPr>
              <w:t>中无孑孓，池的周围无活的蛆、蛹或新羽化的成蝇</w:t>
            </w:r>
          </w:p>
        </w:tc>
        <w:tc>
          <w:tcPr>
            <w:tcW w:w="3211" w:type="dxa"/>
            <w:noWrap w:val="0"/>
            <w:vAlign w:val="center"/>
          </w:tcPr>
          <w:p w14:paraId="29963FD9">
            <w:pPr>
              <w:spacing w:line="40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rPr>
              <w:t>有效地控制</w:t>
            </w:r>
            <w:r>
              <w:rPr>
                <w:rFonts w:hint="eastAsia" w:cs="Times New Roman"/>
                <w:color w:val="auto"/>
                <w:kern w:val="0"/>
                <w:sz w:val="21"/>
                <w:szCs w:val="21"/>
                <w:lang w:eastAsia="zh-CN"/>
              </w:rPr>
              <w:t>蚊蝇滋生</w:t>
            </w:r>
            <w:r>
              <w:rPr>
                <w:rFonts w:hint="default"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lang w:val="en-US" w:eastAsia="zh-CN"/>
              </w:rPr>
              <w:t>牛粪</w:t>
            </w:r>
            <w:r>
              <w:rPr>
                <w:rFonts w:hint="default" w:ascii="Times New Roman" w:hAnsi="Times New Roman" w:eastAsia="宋体" w:cs="Times New Roman"/>
                <w:color w:val="auto"/>
                <w:kern w:val="0"/>
                <w:sz w:val="21"/>
                <w:szCs w:val="21"/>
              </w:rPr>
              <w:t>中无孑孓，池的周围无活的蛆、蛹或新羽化的成蝇</w:t>
            </w:r>
          </w:p>
        </w:tc>
      </w:tr>
    </w:tbl>
    <w:p w14:paraId="2BE78997">
      <w:pPr>
        <w:spacing w:line="360" w:lineRule="auto"/>
        <w:ind w:firstLine="480" w:firstLineChars="200"/>
        <w:rPr>
          <w:rFonts w:hint="eastAsia" w:cs="Times New Roman"/>
          <w:sz w:val="24"/>
          <w:szCs w:val="24"/>
          <w:lang w:eastAsia="zh-CN"/>
        </w:rPr>
      </w:pPr>
      <w:r>
        <w:rPr>
          <w:rFonts w:hint="eastAsia" w:cs="Times New Roman"/>
          <w:sz w:val="24"/>
          <w:szCs w:val="24"/>
          <w:lang w:val="en-US" w:eastAsia="zh-CN"/>
        </w:rPr>
        <w:t>根据</w:t>
      </w:r>
      <w:r>
        <w:rPr>
          <w:rFonts w:hint="default" w:ascii="Times New Roman" w:hAnsi="Times New Roman" w:eastAsia="宋体" w:cs="Times New Roman"/>
          <w:sz w:val="24"/>
          <w:szCs w:val="24"/>
        </w:rPr>
        <w:t>《畜禽养殖场（户）粪污处理设施建设技术指南》中的相关要求</w:t>
      </w:r>
      <w:r>
        <w:rPr>
          <w:rFonts w:hint="eastAsia" w:cs="Times New Roman"/>
          <w:sz w:val="24"/>
          <w:szCs w:val="24"/>
          <w:lang w:eastAsia="zh-CN"/>
        </w:rPr>
        <w:t>，畜禽养殖场</w:t>
      </w:r>
      <w:r>
        <w:rPr>
          <w:rFonts w:hint="default" w:ascii="Times New Roman" w:hAnsi="Times New Roman" w:eastAsia="宋体" w:cs="Times New Roman"/>
          <w:sz w:val="24"/>
          <w:szCs w:val="24"/>
        </w:rPr>
        <w:t>（户）</w:t>
      </w:r>
      <w:r>
        <w:rPr>
          <w:rFonts w:hint="eastAsia" w:cs="Times New Roman"/>
          <w:sz w:val="24"/>
          <w:szCs w:val="24"/>
          <w:lang w:eastAsia="zh-CN"/>
        </w:rPr>
        <w:t>可采用堆肥、沤肥、生产垫料等方式处理固体粪污。堆肥宜采用条垛式、强制通风静态垛、槽式、发酵仓、反应器或覆膜堆肥等好氧工艺，根据不同工艺配套必要的混合、输送、搅拌、供氧和除臭等设施设备。沤肥宜采用平地或半坑式糊泥静置等兼氧工艺。生产垫料宜采用密闭式滚筒好氧发酵工艺，配套必要的固液分离、进料、混合、发酵、除臭或智能控制等设施设备，分离出的液体粪污应参照5.5液体粪污贮存发酵设施中的要求进行处理。堆（沤）肥设施发酵容积不小于单位畜禽固体粪污日产生量（立方米/天·头、只、羽）</w:t>
      </w:r>
      <w:r>
        <w:rPr>
          <w:rFonts w:hint="eastAsia" w:cs="Times New Roman"/>
          <w:sz w:val="24"/>
          <w:szCs w:val="24"/>
          <w:lang w:val="en-US" w:eastAsia="zh-CN"/>
        </w:rPr>
        <w:t>×</w:t>
      </w:r>
      <w:r>
        <w:rPr>
          <w:rFonts w:hint="eastAsia" w:cs="Times New Roman"/>
          <w:sz w:val="24"/>
          <w:szCs w:val="24"/>
          <w:lang w:eastAsia="zh-CN"/>
        </w:rPr>
        <w:t>发酵周期（</w:t>
      </w:r>
      <w:r>
        <w:rPr>
          <w:rFonts w:hint="eastAsia" w:cs="Times New Roman"/>
          <w:sz w:val="24"/>
          <w:szCs w:val="24"/>
          <w:lang w:val="en-US" w:eastAsia="zh-CN"/>
        </w:rPr>
        <w:t>天</w:t>
      </w:r>
      <w:r>
        <w:rPr>
          <w:rFonts w:hint="eastAsia" w:cs="Times New Roman"/>
          <w:sz w:val="24"/>
          <w:szCs w:val="24"/>
          <w:lang w:eastAsia="zh-CN"/>
        </w:rPr>
        <w:t>）</w:t>
      </w:r>
      <w:r>
        <w:rPr>
          <w:rFonts w:hint="eastAsia" w:cs="Times New Roman"/>
          <w:sz w:val="24"/>
          <w:szCs w:val="24"/>
          <w:lang w:val="en-US" w:eastAsia="zh-CN"/>
        </w:rPr>
        <w:t>×</w:t>
      </w:r>
      <w:r>
        <w:rPr>
          <w:rFonts w:hint="eastAsia" w:cs="Times New Roman"/>
          <w:sz w:val="24"/>
          <w:szCs w:val="24"/>
          <w:lang w:eastAsia="zh-CN"/>
        </w:rPr>
        <w:t>设计存栏量（头、只、羽），确保充分发酵腐熟，处理后蛔虫卵、粪大肠杆菌、镐、汞、砷、铅、铬和缩二脲等物质应达到《肥料中有毒有害物质的限量要求》。</w:t>
      </w:r>
    </w:p>
    <w:p w14:paraId="6D142DE9">
      <w:pPr>
        <w:spacing w:line="360" w:lineRule="auto"/>
        <w:ind w:firstLine="480" w:firstLineChars="200"/>
        <w:rPr>
          <w:rFonts w:ascii="Times New Roman" w:hAnsi="Times New Roman" w:eastAsia="宋体" w:cs="Times New Roman"/>
          <w:bCs/>
          <w:color w:val="000000"/>
          <w:sz w:val="24"/>
        </w:rPr>
      </w:pPr>
      <w:r>
        <w:rPr>
          <w:rFonts w:hint="eastAsia" w:cs="Times New Roman"/>
          <w:sz w:val="24"/>
          <w:szCs w:val="24"/>
          <w:lang w:val="en-US" w:eastAsia="zh-CN"/>
        </w:rPr>
        <w:t>本项目粪污采用</w:t>
      </w:r>
      <w:r>
        <w:rPr>
          <w:rFonts w:hint="eastAsia" w:cs="Times New Roman"/>
          <w:sz w:val="24"/>
          <w:szCs w:val="24"/>
          <w:lang w:eastAsia="zh-CN"/>
        </w:rPr>
        <w:t>生产垫料方式进行处理利用</w:t>
      </w:r>
      <w:r>
        <w:rPr>
          <w:rFonts w:hint="eastAsia" w:cs="Times New Roman"/>
          <w:sz w:val="24"/>
          <w:szCs w:val="24"/>
          <w:lang w:val="en-US" w:eastAsia="zh-CN"/>
        </w:rPr>
        <w:t>，少量板结不合格品进入发酵槽均采用静态好氧堆肥发酵工艺，配套</w:t>
      </w:r>
      <w:r>
        <w:rPr>
          <w:rFonts w:hint="eastAsia" w:cs="Times New Roman"/>
          <w:sz w:val="24"/>
          <w:szCs w:val="24"/>
          <w:lang w:eastAsia="zh-CN"/>
        </w:rPr>
        <w:t>混合、输送、</w:t>
      </w:r>
      <w:r>
        <w:rPr>
          <w:rFonts w:hint="eastAsia" w:cs="Times New Roman"/>
          <w:sz w:val="24"/>
          <w:szCs w:val="24"/>
          <w:lang w:val="en-US" w:eastAsia="zh-CN"/>
        </w:rPr>
        <w:t>翻抛</w:t>
      </w:r>
      <w:r>
        <w:rPr>
          <w:rFonts w:hint="eastAsia" w:cs="Times New Roman"/>
          <w:sz w:val="24"/>
          <w:szCs w:val="24"/>
          <w:lang w:eastAsia="zh-CN"/>
        </w:rPr>
        <w:t>等设施设备，</w:t>
      </w:r>
      <w:r>
        <w:rPr>
          <w:rFonts w:hint="eastAsia" w:cs="Times New Roman"/>
          <w:sz w:val="24"/>
          <w:szCs w:val="24"/>
          <w:highlight w:val="none"/>
          <w:lang w:val="en-US" w:eastAsia="zh-CN"/>
        </w:rPr>
        <w:t>本项目发酵床容积共30786m</w:t>
      </w:r>
      <w:r>
        <w:rPr>
          <w:rFonts w:hint="eastAsia" w:cs="Times New Roman"/>
          <w:sz w:val="24"/>
          <w:szCs w:val="24"/>
          <w:highlight w:val="none"/>
          <w:vertAlign w:val="superscript"/>
          <w:lang w:val="en-US" w:eastAsia="zh-CN"/>
        </w:rPr>
        <w:t>3</w:t>
      </w:r>
      <w:r>
        <w:rPr>
          <w:rFonts w:hint="eastAsia" w:cs="Times New Roman"/>
          <w:sz w:val="24"/>
          <w:szCs w:val="24"/>
          <w:highlight w:val="none"/>
          <w:lang w:val="en-US" w:eastAsia="zh-CN"/>
        </w:rPr>
        <w:t>，</w:t>
      </w:r>
      <w:r>
        <w:rPr>
          <w:rFonts w:hint="eastAsia" w:cs="Times New Roman"/>
          <w:sz w:val="24"/>
          <w:szCs w:val="24"/>
          <w:lang w:val="en-US" w:eastAsia="zh-CN"/>
        </w:rPr>
        <w:t>根据</w:t>
      </w:r>
      <w:r>
        <w:rPr>
          <w:rFonts w:hint="default" w:ascii="Times New Roman" w:hAnsi="Times New Roman" w:eastAsia="宋体" w:cs="Times New Roman"/>
          <w:sz w:val="24"/>
          <w:szCs w:val="24"/>
        </w:rPr>
        <w:t>《畜禽养殖场（户）粪污处理设施建设技术指南》单位畜禽粪污日产生量参考值</w:t>
      </w:r>
      <w:r>
        <w:rPr>
          <w:rFonts w:hint="eastAsia" w:cs="Times New Roman"/>
          <w:sz w:val="24"/>
          <w:szCs w:val="24"/>
          <w:lang w:val="en-US" w:eastAsia="zh-CN"/>
        </w:rPr>
        <w:t>固体和液体全量粪污同时处理肉牛固体粪污产生量0.025立方米，液体粪污产生量0立方米</w:t>
      </w:r>
      <w:r>
        <w:rPr>
          <w:rFonts w:hint="eastAsia" w:cs="Times New Roman"/>
          <w:sz w:val="24"/>
          <w:szCs w:val="24"/>
          <w:highlight w:val="none"/>
          <w:lang w:val="en-US" w:eastAsia="zh-CN"/>
        </w:rPr>
        <w:t>，</w:t>
      </w:r>
      <w:r>
        <w:rPr>
          <w:rFonts w:hint="eastAsia" w:cs="Times New Roman"/>
          <w:sz w:val="24"/>
          <w:szCs w:val="24"/>
          <w:lang w:val="en-US" w:eastAsia="zh-CN"/>
        </w:rPr>
        <w:t>满足</w:t>
      </w:r>
      <w:r>
        <w:rPr>
          <w:rFonts w:hint="eastAsia" w:cs="Times New Roman"/>
          <w:sz w:val="24"/>
          <w:szCs w:val="24"/>
          <w:lang w:eastAsia="zh-CN"/>
        </w:rPr>
        <w:t>设施发酵容积不小于0.0</w:t>
      </w:r>
      <w:r>
        <w:rPr>
          <w:rFonts w:hint="eastAsia" w:cs="Times New Roman"/>
          <w:sz w:val="24"/>
          <w:szCs w:val="24"/>
          <w:lang w:val="en-US" w:eastAsia="zh-CN"/>
        </w:rPr>
        <w:t>25</w:t>
      </w:r>
      <w:r>
        <w:rPr>
          <w:rFonts w:hint="eastAsia" w:cs="Times New Roman"/>
          <w:sz w:val="24"/>
          <w:szCs w:val="24"/>
          <w:lang w:eastAsia="zh-CN"/>
        </w:rPr>
        <w:t>m</w:t>
      </w:r>
      <w:r>
        <w:rPr>
          <w:rFonts w:hint="eastAsia" w:cs="Times New Roman"/>
          <w:sz w:val="24"/>
          <w:szCs w:val="24"/>
          <w:vertAlign w:val="superscript"/>
          <w:lang w:eastAsia="zh-CN"/>
        </w:rPr>
        <w:t>3</w:t>
      </w:r>
      <w:r>
        <w:rPr>
          <w:rFonts w:hint="eastAsia" w:cs="Times New Roman"/>
          <w:sz w:val="24"/>
          <w:szCs w:val="24"/>
          <w:lang w:eastAsia="zh-CN"/>
        </w:rPr>
        <w:t>×发酵周期（天）×设计存栏量（头）</w:t>
      </w:r>
      <w:r>
        <w:rPr>
          <w:rFonts w:hint="eastAsia" w:cs="Times New Roman"/>
          <w:sz w:val="24"/>
          <w:szCs w:val="24"/>
          <w:lang w:val="en-US" w:eastAsia="zh-CN"/>
        </w:rPr>
        <w:t>=27375m</w:t>
      </w:r>
      <w:r>
        <w:rPr>
          <w:rFonts w:hint="eastAsia" w:cs="Times New Roman"/>
          <w:sz w:val="24"/>
          <w:szCs w:val="24"/>
          <w:vertAlign w:val="superscript"/>
          <w:lang w:val="en-US" w:eastAsia="zh-CN"/>
        </w:rPr>
        <w:t>3</w:t>
      </w:r>
      <w:r>
        <w:rPr>
          <w:rFonts w:hint="eastAsia" w:cs="Times New Roman"/>
          <w:sz w:val="24"/>
          <w:szCs w:val="24"/>
          <w:lang w:eastAsia="zh-CN"/>
        </w:rPr>
        <w:t>，</w:t>
      </w:r>
      <w:r>
        <w:rPr>
          <w:rFonts w:hint="eastAsia" w:cs="Times New Roman"/>
          <w:sz w:val="24"/>
          <w:szCs w:val="24"/>
          <w:lang w:val="en-US" w:eastAsia="zh-CN"/>
        </w:rPr>
        <w:t>因此满足要求。</w:t>
      </w:r>
    </w:p>
    <w:p w14:paraId="42F2B580">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cs="Times New Roman"/>
          <w:color w:val="auto"/>
          <w:sz w:val="24"/>
          <w:szCs w:val="24"/>
          <w:lang w:val="en-US" w:eastAsia="zh-CN"/>
        </w:rPr>
        <w:t>②</w:t>
      </w:r>
      <w:r>
        <w:rPr>
          <w:rFonts w:hint="default" w:ascii="Times New Roman" w:hAnsi="Times New Roman" w:eastAsia="宋体" w:cs="Times New Roman"/>
          <w:color w:val="auto"/>
          <w:sz w:val="24"/>
          <w:szCs w:val="24"/>
        </w:rPr>
        <w:t>病死</w:t>
      </w:r>
      <w:r>
        <w:rPr>
          <w:rFonts w:hint="eastAsia" w:eastAsia="宋体" w:cs="Times New Roman"/>
          <w:color w:val="auto"/>
          <w:sz w:val="24"/>
          <w:szCs w:val="24"/>
          <w:lang w:val="en-US" w:eastAsia="zh-CN"/>
        </w:rPr>
        <w:t>牛</w:t>
      </w:r>
    </w:p>
    <w:p w14:paraId="4593987C">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w:t>
      </w:r>
      <w:r>
        <w:rPr>
          <w:rFonts w:hint="eastAsia" w:ascii="Times New Roman" w:hAnsi="Times New Roman" w:eastAsia="宋体" w:cs="Times New Roman"/>
          <w:color w:val="auto"/>
          <w:sz w:val="24"/>
          <w:szCs w:val="24"/>
          <w:lang w:val="en-US" w:eastAsia="zh-CN"/>
        </w:rPr>
        <w:t>建设单位提供资料，育肥牛及成年死亡率较低，在1‰</w:t>
      </w:r>
      <w:r>
        <w:rPr>
          <w:rFonts w:hint="eastAsia" w:eastAsia="宋体" w:cs="Times New Roman"/>
          <w:color w:val="auto"/>
          <w:sz w:val="24"/>
          <w:szCs w:val="24"/>
          <w:lang w:val="en-US" w:eastAsia="zh-CN"/>
        </w:rPr>
        <w:t>左右</w:t>
      </w:r>
      <w:r>
        <w:rPr>
          <w:rFonts w:hint="default" w:ascii="Times New Roman" w:hAnsi="Times New Roman" w:eastAsia="宋体" w:cs="Times New Roman"/>
          <w:color w:val="auto"/>
          <w:sz w:val="24"/>
          <w:szCs w:val="24"/>
        </w:rPr>
        <w:t>，平均重量以</w:t>
      </w:r>
      <w:r>
        <w:rPr>
          <w:rFonts w:hint="eastAsia" w:eastAsia="宋体" w:cs="Times New Roman"/>
          <w:color w:val="auto"/>
          <w:sz w:val="24"/>
          <w:szCs w:val="24"/>
          <w:lang w:val="en-US" w:eastAsia="zh-CN"/>
        </w:rPr>
        <w:t>30</w:t>
      </w:r>
      <w:r>
        <w:rPr>
          <w:rFonts w:hint="eastAsia" w:ascii="Times New Roman" w:hAnsi="Times New Roman" w:eastAsia="宋体" w:cs="Times New Roman"/>
          <w:color w:val="auto"/>
          <w:sz w:val="24"/>
          <w:szCs w:val="24"/>
          <w:lang w:val="en-US" w:eastAsia="zh-CN"/>
        </w:rPr>
        <w:t>0</w:t>
      </w:r>
      <w:r>
        <w:rPr>
          <w:rFonts w:hint="default" w:ascii="Times New Roman" w:hAnsi="Times New Roman" w:eastAsia="宋体" w:cs="Times New Roman"/>
          <w:color w:val="auto"/>
          <w:sz w:val="24"/>
          <w:szCs w:val="24"/>
        </w:rPr>
        <w:t>kg/头计。本项目按照养殖场年存栏量</w:t>
      </w:r>
      <w:r>
        <w:rPr>
          <w:rFonts w:hint="eastAsia" w:cs="Times New Roman"/>
          <w:color w:val="auto"/>
          <w:sz w:val="24"/>
          <w:szCs w:val="24"/>
          <w:lang w:val="en-US" w:eastAsia="zh-CN"/>
        </w:rPr>
        <w:t>3000</w:t>
      </w:r>
      <w:r>
        <w:rPr>
          <w:rFonts w:hint="default" w:ascii="Times New Roman" w:hAnsi="Times New Roman" w:eastAsia="宋体" w:cs="Times New Roman"/>
          <w:color w:val="auto"/>
          <w:sz w:val="24"/>
          <w:szCs w:val="24"/>
        </w:rPr>
        <w:t>头计算，则本项目</w:t>
      </w:r>
      <w:r>
        <w:rPr>
          <w:rFonts w:hint="eastAsia" w:eastAsia="宋体" w:cs="Times New Roman"/>
          <w:color w:val="auto"/>
          <w:sz w:val="24"/>
          <w:szCs w:val="24"/>
          <w:lang w:val="en-US" w:eastAsia="zh-CN"/>
        </w:rPr>
        <w:t>病死牛</w:t>
      </w:r>
      <w:r>
        <w:rPr>
          <w:rFonts w:hint="default" w:ascii="Times New Roman" w:hAnsi="Times New Roman" w:eastAsia="宋体" w:cs="Times New Roman"/>
          <w:color w:val="auto"/>
          <w:sz w:val="24"/>
          <w:szCs w:val="24"/>
        </w:rPr>
        <w:t>产生量约</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头/年</w:t>
      </w:r>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0.9</w:t>
      </w:r>
      <w:r>
        <w:rPr>
          <w:rFonts w:hint="eastAsia"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szCs w:val="24"/>
        </w:rPr>
        <w:t>。</w:t>
      </w:r>
    </w:p>
    <w:p w14:paraId="38C98CCD">
      <w:pPr>
        <w:keepNext w:val="0"/>
        <w:keepLines w:val="0"/>
        <w:pageBreakBefore w:val="0"/>
        <w:wordWrap/>
        <w:topLinePunct w:val="0"/>
        <w:bidi w:val="0"/>
        <w:adjustRightInd/>
        <w:snapToGrid/>
        <w:spacing w:line="360" w:lineRule="auto"/>
        <w:ind w:firstLine="480" w:firstLineChars="200"/>
        <w:rPr>
          <w:rFonts w:hint="eastAsia" w:cs="Times New Roman"/>
          <w:color w:val="auto"/>
          <w:sz w:val="24"/>
          <w:szCs w:val="24"/>
          <w:lang w:eastAsia="zh-CN"/>
        </w:rPr>
      </w:pPr>
      <w:r>
        <w:rPr>
          <w:rFonts w:hint="eastAsia"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rPr>
        <w:t>《国家危险废物名录（</w:t>
      </w:r>
      <w:r>
        <w:rPr>
          <w:rFonts w:hint="eastAsia" w:ascii="Times New Roman" w:hAnsi="Times New Roman" w:eastAsia="宋体" w:cs="Times New Roman"/>
          <w:color w:val="auto"/>
          <w:sz w:val="24"/>
          <w:szCs w:val="24"/>
          <w:lang w:val="en-US" w:eastAsia="zh-CN"/>
        </w:rPr>
        <w:t>2021</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版</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常见问题解答</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原农业部发布的《病死及病害动物无害化处理技术规范》（农医发〔2017〕25号）也明确了病死及病害动物和相关动物产品无害化处理操作技术。因此，为防治动物传染病而需要收集和处置的废物由农业农村部门按照有关法律法规和技术规范进行监管，可以实现废物的无害化处理和污染防治目的，《名录》不再将其列入。”</w:t>
      </w:r>
    </w:p>
    <w:p w14:paraId="31FC0B1A">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根据《关于病害动物无害化处理有关意见的复函》（环办函</w:t>
      </w:r>
      <w:r>
        <w:rPr>
          <w:rFonts w:hint="eastAsia" w:cs="Times New Roman"/>
          <w:color w:val="auto"/>
          <w:sz w:val="24"/>
          <w:szCs w:val="24"/>
          <w:lang w:val="en-US" w:eastAsia="zh-CN"/>
        </w:rPr>
        <w:t>〔2014〕789号</w:t>
      </w:r>
      <w:r>
        <w:rPr>
          <w:rFonts w:hint="eastAsia" w:ascii="Times New Roman" w:hAnsi="Times New Roman" w:eastAsia="宋体" w:cs="Times New Roman"/>
          <w:color w:val="auto"/>
          <w:sz w:val="24"/>
          <w:szCs w:val="24"/>
          <w:lang w:val="en-US" w:eastAsia="zh-CN"/>
        </w:rPr>
        <w:t>），病害动物无害化处理不宜在认定为危险废物集中处置项目。</w:t>
      </w:r>
    </w:p>
    <w:p w14:paraId="6CAED45F">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rPr>
      </w:pPr>
      <w:r>
        <w:rPr>
          <w:rFonts w:hint="eastAsia" w:cs="Times New Roman"/>
          <w:color w:val="auto"/>
          <w:sz w:val="24"/>
          <w:szCs w:val="24"/>
          <w:lang w:val="en-US" w:eastAsia="zh-CN"/>
        </w:rPr>
        <w:t>因此病死牛为一般固废，本项目委托</w:t>
      </w:r>
      <w:r>
        <w:rPr>
          <w:rFonts w:hint="eastAsia" w:eastAsia="宋体" w:cs="Times New Roman"/>
          <w:color w:val="000000"/>
          <w:kern w:val="0"/>
          <w:sz w:val="24"/>
          <w:szCs w:val="24"/>
          <w:highlight w:val="none"/>
          <w:lang w:val="en-US" w:eastAsia="zh-CN"/>
        </w:rPr>
        <w:t>胡杨河市题桥环保科技有限公司</w:t>
      </w:r>
      <w:r>
        <w:rPr>
          <w:rFonts w:hint="eastAsia" w:eastAsia="宋体" w:cs="Times New Roman"/>
          <w:color w:val="auto"/>
          <w:sz w:val="24"/>
          <w:szCs w:val="24"/>
          <w:highlight w:val="none"/>
          <w:lang w:val="en-US" w:eastAsia="zh-CN"/>
        </w:rPr>
        <w:t>处置本项目病死牛</w:t>
      </w:r>
      <w:r>
        <w:rPr>
          <w:rFonts w:hint="eastAsia" w:cs="Times New Roman"/>
          <w:color w:val="auto"/>
          <w:sz w:val="24"/>
          <w:szCs w:val="24"/>
          <w:highlight w:val="none"/>
          <w:lang w:val="en-US" w:eastAsia="zh-CN"/>
        </w:rPr>
        <w:t>，</w:t>
      </w:r>
      <w:r>
        <w:rPr>
          <w:rFonts w:hint="eastAsia" w:ascii="Times New Roman" w:hAnsi="Times New Roman" w:cs="Times New Roman"/>
          <w:color w:val="000000"/>
          <w:kern w:val="0"/>
          <w:sz w:val="24"/>
          <w:szCs w:val="24"/>
          <w:highlight w:val="none"/>
          <w:lang w:val="en-US" w:eastAsia="zh-CN"/>
        </w:rPr>
        <w:t>病死牛由病死畜禽无害化处理单位配套病死畜禽专用运输车辆运输</w:t>
      </w:r>
      <w:r>
        <w:rPr>
          <w:rFonts w:hint="eastAsia" w:cs="Times New Roman"/>
          <w:color w:val="auto"/>
          <w:sz w:val="24"/>
          <w:szCs w:val="24"/>
          <w:lang w:val="en-US" w:eastAsia="zh-CN"/>
        </w:rPr>
        <w:t>。</w:t>
      </w:r>
    </w:p>
    <w:p w14:paraId="1CD89AA8">
      <w:pPr>
        <w:pageBreakBefore w:val="0"/>
        <w:kinsoku/>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sz w:val="24"/>
          <w:lang w:val="zh-CN"/>
        </w:rPr>
        <w:t>根据环办函</w:t>
      </w:r>
      <w:r>
        <w:rPr>
          <w:rFonts w:hint="eastAsia" w:cs="Times New Roman"/>
          <w:sz w:val="24"/>
          <w:lang w:val="zh-CN"/>
        </w:rPr>
        <w:t>〔2014〕789号</w:t>
      </w:r>
      <w:r>
        <w:rPr>
          <w:rFonts w:hint="default" w:ascii="Times New Roman" w:hAnsi="Times New Roman" w:eastAsia="宋体" w:cs="Times New Roman"/>
          <w:sz w:val="24"/>
          <w:lang w:val="zh-CN"/>
        </w:rPr>
        <w:t>文《关于病害动物无害化处理有关意见的复函》，病害动物不再认定为危险废物，其无害化处理方式应执行</w:t>
      </w:r>
      <w:r>
        <w:rPr>
          <w:rFonts w:hint="eastAsia" w:cs="Times New Roman"/>
          <w:sz w:val="24"/>
          <w:lang w:val="zh-CN"/>
        </w:rPr>
        <w:t>《中华人民共和国动物防疫法》</w:t>
      </w:r>
      <w:r>
        <w:rPr>
          <w:rFonts w:hint="default" w:ascii="Times New Roman" w:hAnsi="Times New Roman" w:eastAsia="宋体" w:cs="Times New Roman"/>
          <w:sz w:val="24"/>
          <w:lang w:val="zh-CN"/>
        </w:rPr>
        <w:t>。</w:t>
      </w:r>
      <w:r>
        <w:rPr>
          <w:rFonts w:hint="eastAsia" w:ascii="Times New Roman" w:hAnsi="Times New Roman" w:eastAsia="宋体" w:cs="Times New Roman"/>
          <w:sz w:val="24"/>
          <w:lang w:val="en-US" w:eastAsia="zh-CN"/>
        </w:rPr>
        <w:t>本项目</w:t>
      </w:r>
      <w:r>
        <w:rPr>
          <w:rFonts w:hint="default" w:ascii="Times New Roman" w:hAnsi="Times New Roman" w:eastAsia="宋体" w:cs="Times New Roman"/>
          <w:sz w:val="24"/>
          <w:lang w:val="zh-CN"/>
        </w:rPr>
        <w:t>每年将产生病死</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lang w:val="zh-CN"/>
        </w:rPr>
        <w:t>约</w:t>
      </w:r>
      <w:r>
        <w:rPr>
          <w:rFonts w:hint="eastAsia" w:cs="Times New Roman"/>
          <w:sz w:val="24"/>
          <w:lang w:val="en-US" w:eastAsia="zh-CN"/>
        </w:rPr>
        <w:t>10头</w:t>
      </w:r>
      <w:r>
        <w:rPr>
          <w:rFonts w:hint="default" w:ascii="Times New Roman" w:hAnsi="Times New Roman" w:eastAsia="宋体" w:cs="Times New Roman"/>
          <w:sz w:val="24"/>
          <w:lang w:val="zh-CN"/>
        </w:rPr>
        <w:t>（按</w:t>
      </w:r>
      <w:r>
        <w:rPr>
          <w:rFonts w:hint="eastAsia" w:ascii="Times New Roman" w:hAnsi="Times New Roman" w:eastAsia="宋体" w:cs="Times New Roman"/>
          <w:sz w:val="24"/>
          <w:lang w:val="en-US" w:eastAsia="zh-CN"/>
        </w:rPr>
        <w:t>1‰</w:t>
      </w:r>
      <w:r>
        <w:rPr>
          <w:rFonts w:hint="eastAsia" w:cs="Times New Roman"/>
          <w:sz w:val="24"/>
          <w:lang w:val="en-US" w:eastAsia="zh-CN"/>
        </w:rPr>
        <w:t>计算</w:t>
      </w:r>
      <w:r>
        <w:rPr>
          <w:rFonts w:hint="default" w:ascii="Times New Roman" w:hAnsi="Times New Roman" w:eastAsia="宋体" w:cs="Times New Roman"/>
          <w:sz w:val="24"/>
          <w:lang w:val="zh-CN"/>
        </w:rPr>
        <w:t>）。根据《畜禽养殖业污染治理工程技术规范》（HJ 497-2009）中第9章和《</w:t>
      </w:r>
      <w:r>
        <w:rPr>
          <w:rFonts w:hint="eastAsia" w:cs="Times New Roman"/>
          <w:sz w:val="24"/>
          <w:lang w:val="zh-CN"/>
        </w:rPr>
        <w:t>畜禽养殖业污染防治技术规范</w:t>
      </w:r>
      <w:r>
        <w:rPr>
          <w:rFonts w:hint="default" w:ascii="Times New Roman" w:hAnsi="Times New Roman" w:eastAsia="宋体" w:cs="Times New Roman"/>
          <w:sz w:val="24"/>
          <w:lang w:val="zh-CN"/>
        </w:rPr>
        <w:t>》（HJ/T81-2001）中第9章的要求，病死畜禽尸体应及时合理处理，不得随意丢弃不得出售。</w:t>
      </w:r>
    </w:p>
    <w:p w14:paraId="5551E3AA">
      <w:pPr>
        <w:widowControl w:val="0"/>
        <w:numPr>
          <w:ilvl w:val="0"/>
          <w:numId w:val="0"/>
        </w:numPr>
        <w:adjustRightInd w:val="0"/>
        <w:spacing w:line="360" w:lineRule="auto"/>
        <w:ind w:firstLine="480" w:firstLineChars="200"/>
        <w:jc w:val="both"/>
        <w:textAlignment w:val="baseline"/>
        <w:rPr>
          <w:rFonts w:hint="default" w:cs="Times New Roman"/>
          <w:kern w:val="0"/>
          <w:sz w:val="24"/>
          <w:szCs w:val="20"/>
          <w:lang w:val="en-US" w:eastAsia="zh-CN" w:bidi="ar-SA"/>
        </w:rPr>
      </w:pPr>
      <w:r>
        <w:rPr>
          <w:rFonts w:hint="eastAsia" w:cs="Times New Roman"/>
          <w:kern w:val="0"/>
          <w:sz w:val="24"/>
          <w:szCs w:val="20"/>
          <w:lang w:val="en-US" w:eastAsia="zh-CN" w:bidi="ar-SA"/>
        </w:rPr>
        <w:t>①暂存措施</w:t>
      </w:r>
    </w:p>
    <w:p w14:paraId="26BED763">
      <w:pPr>
        <w:widowControl w:val="0"/>
        <w:numPr>
          <w:ilvl w:val="0"/>
          <w:numId w:val="0"/>
        </w:numPr>
        <w:adjustRightInd w:val="0"/>
        <w:spacing w:line="360" w:lineRule="auto"/>
        <w:ind w:firstLine="480" w:firstLineChars="200"/>
        <w:jc w:val="both"/>
        <w:textAlignment w:val="baseline"/>
        <w:rPr>
          <w:rFonts w:hint="eastAsia" w:cs="Times New Roman"/>
          <w:kern w:val="0"/>
          <w:sz w:val="24"/>
          <w:szCs w:val="20"/>
          <w:lang w:val="en-US" w:eastAsia="zh-CN" w:bidi="ar-SA"/>
        </w:rPr>
      </w:pPr>
      <w:r>
        <w:rPr>
          <w:rFonts w:hint="eastAsia" w:cs="Times New Roman"/>
          <w:kern w:val="0"/>
          <w:sz w:val="24"/>
          <w:szCs w:val="20"/>
          <w:lang w:val="en-US" w:eastAsia="zh-CN" w:bidi="ar-SA"/>
        </w:rPr>
        <w:t>本项目病死牛产生后在委托处置单位未到达现场之前，在本项目20m</w:t>
      </w:r>
      <w:r>
        <w:rPr>
          <w:rFonts w:hint="eastAsia" w:cs="Times New Roman"/>
          <w:kern w:val="0"/>
          <w:sz w:val="24"/>
          <w:szCs w:val="20"/>
          <w:vertAlign w:val="superscript"/>
          <w:lang w:val="en-US" w:eastAsia="zh-CN" w:bidi="ar-SA"/>
        </w:rPr>
        <w:t>2</w:t>
      </w:r>
      <w:r>
        <w:rPr>
          <w:rFonts w:hint="eastAsia" w:cs="Times New Roman"/>
          <w:kern w:val="0"/>
          <w:sz w:val="24"/>
          <w:szCs w:val="20"/>
          <w:lang w:val="en-US" w:eastAsia="zh-CN" w:bidi="ar-SA"/>
        </w:rPr>
        <w:t>病死牛暂存间冷藏暂存，冷藏温度低于</w:t>
      </w:r>
      <w:r>
        <w:rPr>
          <w:rFonts w:hint="default" w:ascii="Times New Roman" w:hAnsi="Times New Roman" w:cs="Times New Roman"/>
          <w:kern w:val="0"/>
          <w:sz w:val="24"/>
          <w:szCs w:val="20"/>
          <w:lang w:val="en-US" w:eastAsia="zh-CN" w:bidi="ar-SA"/>
        </w:rPr>
        <w:t>5℃</w:t>
      </w:r>
      <w:r>
        <w:rPr>
          <w:rFonts w:hint="eastAsia" w:ascii="Times New Roman" w:hAnsi="Times New Roman" w:cs="Times New Roman"/>
          <w:kern w:val="0"/>
          <w:sz w:val="24"/>
          <w:szCs w:val="20"/>
          <w:lang w:val="en-US" w:eastAsia="zh-CN" w:bidi="ar-SA"/>
        </w:rPr>
        <w:t>，24h内完成转运后，对</w:t>
      </w:r>
      <w:r>
        <w:rPr>
          <w:rFonts w:hint="eastAsia" w:cs="Times New Roman"/>
          <w:kern w:val="0"/>
          <w:sz w:val="24"/>
          <w:szCs w:val="20"/>
          <w:lang w:val="en-US" w:eastAsia="zh-CN" w:bidi="ar-SA"/>
        </w:rPr>
        <w:t>病死牛暂存间</w:t>
      </w:r>
      <w:r>
        <w:rPr>
          <w:rFonts w:hint="eastAsia" w:ascii="Times New Roman" w:hAnsi="Times New Roman" w:cs="Times New Roman"/>
          <w:kern w:val="0"/>
          <w:sz w:val="24"/>
          <w:szCs w:val="20"/>
          <w:lang w:val="en-US" w:eastAsia="zh-CN" w:bidi="ar-SA"/>
        </w:rPr>
        <w:t>进行全面消毒</w:t>
      </w:r>
      <w:r>
        <w:rPr>
          <w:rFonts w:hint="eastAsia" w:cs="Times New Roman"/>
          <w:kern w:val="0"/>
          <w:sz w:val="24"/>
          <w:szCs w:val="20"/>
          <w:lang w:val="en-US" w:eastAsia="zh-CN" w:bidi="ar-SA"/>
        </w:rPr>
        <w:t>。符合《病死畜禽和病害畜禽产品无害化处理管理办法》“畜禽养殖场委托病死畜禽无害化处理场处理的，应当符合以下要求：（一）采取必要的冷藏冷冻、清洗消毒等措施；（二）具有病死畜禽和病害畜禽产品输出通道；（三）及时通知病死畜禽无害化处理场进行收集，或自行送至指定地点。”以及</w:t>
      </w:r>
      <w:r>
        <w:rPr>
          <w:rFonts w:ascii="Helvetica" w:hAnsi="Helvetica" w:eastAsia="Helvetica" w:cs="Helvetica"/>
          <w:i w:val="0"/>
          <w:iCs w:val="0"/>
          <w:caps w:val="0"/>
          <w:color w:val="111111"/>
          <w:spacing w:val="0"/>
          <w:sz w:val="24"/>
          <w:szCs w:val="24"/>
          <w:shd w:val="clear" w:fill="FFFFFF"/>
        </w:rPr>
        <w:t>《中华人民共和国动物防疫法</w:t>
      </w:r>
      <w:r>
        <w:rPr>
          <w:rFonts w:hint="eastAsia" w:cs="Times New Roman"/>
          <w:kern w:val="0"/>
          <w:sz w:val="24"/>
          <w:szCs w:val="20"/>
          <w:lang w:val="en-US" w:eastAsia="zh-CN" w:bidi="ar-SA"/>
        </w:rPr>
        <w:t>》“病死动物、病害动物产品无害化处理设施设备或者冷藏冷冻设施设备，以及清洗消毒设施设备”相关要求。</w:t>
      </w:r>
    </w:p>
    <w:p w14:paraId="73842230">
      <w:pPr>
        <w:widowControl w:val="0"/>
        <w:numPr>
          <w:ilvl w:val="0"/>
          <w:numId w:val="0"/>
        </w:numPr>
        <w:adjustRightInd w:val="0"/>
        <w:spacing w:line="360" w:lineRule="auto"/>
        <w:ind w:leftChars="200"/>
        <w:jc w:val="both"/>
        <w:textAlignment w:val="baseline"/>
        <w:rPr>
          <w:rFonts w:hint="eastAsia" w:ascii="Times New Roman" w:hAnsi="Times New Roman" w:eastAsia="宋体" w:cs="Times New Roman"/>
          <w:kern w:val="0"/>
          <w:sz w:val="24"/>
          <w:szCs w:val="20"/>
          <w:lang w:val="en-US" w:eastAsia="zh-CN" w:bidi="ar-SA"/>
        </w:rPr>
      </w:pPr>
      <w:r>
        <w:rPr>
          <w:rFonts w:hint="eastAsia" w:cs="Times New Roman"/>
          <w:kern w:val="0"/>
          <w:sz w:val="24"/>
          <w:szCs w:val="20"/>
          <w:lang w:val="en-US" w:eastAsia="zh-CN" w:bidi="ar-SA"/>
        </w:rPr>
        <w:t>②</w:t>
      </w:r>
      <w:r>
        <w:rPr>
          <w:rFonts w:hint="eastAsia" w:ascii="Times New Roman" w:hAnsi="Times New Roman" w:eastAsia="宋体" w:cs="Times New Roman"/>
          <w:kern w:val="0"/>
          <w:sz w:val="24"/>
          <w:szCs w:val="20"/>
          <w:lang w:val="en-US" w:eastAsia="zh-CN" w:bidi="ar-SA"/>
        </w:rPr>
        <w:t>运输路线及方式</w:t>
      </w:r>
    </w:p>
    <w:p w14:paraId="2348621A">
      <w:pPr>
        <w:widowControl w:val="0"/>
        <w:numPr>
          <w:ilvl w:val="0"/>
          <w:numId w:val="0"/>
        </w:numPr>
        <w:adjustRightInd w:val="0"/>
        <w:spacing w:line="360" w:lineRule="auto"/>
        <w:ind w:firstLine="480" w:firstLineChars="200"/>
        <w:jc w:val="both"/>
        <w:textAlignment w:val="baseline"/>
        <w:rPr>
          <w:rFonts w:hint="default" w:cs="Times New Roman"/>
          <w:color w:val="auto"/>
          <w:sz w:val="24"/>
          <w:szCs w:val="24"/>
          <w:lang w:val="en-US" w:eastAsia="zh-CN"/>
        </w:rPr>
      </w:pPr>
      <w:r>
        <w:rPr>
          <w:rFonts w:hint="eastAsia" w:cs="Times New Roman"/>
          <w:color w:val="auto"/>
          <w:kern w:val="0"/>
          <w:sz w:val="24"/>
          <w:szCs w:val="24"/>
          <w:lang w:val="en-US" w:eastAsia="zh-CN"/>
        </w:rPr>
        <w:t>本项目</w:t>
      </w:r>
      <w:r>
        <w:rPr>
          <w:rFonts w:hint="eastAsia" w:cs="Times New Roman"/>
          <w:color w:val="auto"/>
          <w:sz w:val="24"/>
          <w:szCs w:val="24"/>
          <w:lang w:val="en-US" w:eastAsia="zh-CN"/>
        </w:rPr>
        <w:t>场区内设置</w:t>
      </w:r>
      <w:r>
        <w:rPr>
          <w:rFonts w:hint="default" w:ascii="宋体" w:hAnsi="宋体" w:eastAsia="宋体" w:cs="宋体"/>
          <w:color w:val="000000"/>
          <w:kern w:val="2"/>
          <w:sz w:val="24"/>
          <w:szCs w:val="24"/>
          <w:lang w:val="en-US" w:eastAsia="zh-CN" w:bidi="ar-SA"/>
        </w:rPr>
        <w:t>病死</w:t>
      </w:r>
      <w:r>
        <w:rPr>
          <w:rFonts w:hint="eastAsia" w:ascii="宋体" w:hAnsi="宋体" w:eastAsia="宋体" w:cs="宋体"/>
          <w:color w:val="000000"/>
          <w:kern w:val="2"/>
          <w:sz w:val="24"/>
          <w:szCs w:val="24"/>
          <w:lang w:val="en-US" w:eastAsia="zh-CN" w:bidi="ar-SA"/>
        </w:rPr>
        <w:t>牛专用</w:t>
      </w:r>
      <w:r>
        <w:rPr>
          <w:rFonts w:hint="default" w:ascii="宋体" w:hAnsi="宋体" w:eastAsia="宋体" w:cs="宋体"/>
          <w:color w:val="000000"/>
          <w:kern w:val="2"/>
          <w:sz w:val="24"/>
          <w:szCs w:val="24"/>
          <w:lang w:val="en-US" w:eastAsia="zh-CN" w:bidi="ar-SA"/>
        </w:rPr>
        <w:t>输出通道</w:t>
      </w:r>
      <w:r>
        <w:rPr>
          <w:rFonts w:hint="eastAsia" w:ascii="宋体" w:hAnsi="宋体" w:cs="宋体"/>
          <w:color w:val="000000"/>
          <w:kern w:val="2"/>
          <w:sz w:val="24"/>
          <w:szCs w:val="24"/>
          <w:lang w:val="en-US" w:eastAsia="zh-CN" w:bidi="ar-SA"/>
        </w:rPr>
        <w:t>，</w:t>
      </w:r>
      <w:r>
        <w:rPr>
          <w:rFonts w:hint="eastAsia" w:cs="Times New Roman"/>
          <w:color w:val="auto"/>
          <w:sz w:val="24"/>
          <w:szCs w:val="24"/>
          <w:lang w:val="en-US" w:eastAsia="zh-CN"/>
        </w:rPr>
        <w:t>病死畜禽专用运输车辆运输可</w:t>
      </w:r>
      <w:r>
        <w:rPr>
          <w:rFonts w:hint="eastAsia" w:ascii="宋体" w:hAnsi="宋体" w:cs="宋体"/>
          <w:color w:val="000000"/>
          <w:kern w:val="2"/>
          <w:sz w:val="24"/>
          <w:szCs w:val="24"/>
          <w:lang w:val="en-US" w:eastAsia="zh-CN" w:bidi="ar-SA"/>
        </w:rPr>
        <w:t>由病死牛暂存间直接运输至场外</w:t>
      </w:r>
      <w:r>
        <w:rPr>
          <w:rFonts w:hint="eastAsia" w:ascii="宋体" w:hAnsi="宋体" w:eastAsia="宋体" w:cs="宋体"/>
          <w:color w:val="000000"/>
          <w:kern w:val="2"/>
          <w:sz w:val="24"/>
          <w:szCs w:val="24"/>
          <w:lang w:val="en-US" w:eastAsia="zh-CN" w:bidi="ar-SA"/>
        </w:rPr>
        <w:t>，避开生活区以及生产区</w:t>
      </w:r>
      <w:r>
        <w:rPr>
          <w:rFonts w:hint="eastAsia" w:cs="Times New Roman"/>
          <w:color w:val="auto"/>
          <w:sz w:val="24"/>
          <w:szCs w:val="24"/>
          <w:lang w:val="en-US" w:eastAsia="zh-CN"/>
        </w:rPr>
        <w:t>。发现病死牛当日通知病死畜禽无害化处置单位进行收集，不在场区内自行</w:t>
      </w:r>
      <w:r>
        <w:rPr>
          <w:rFonts w:hint="eastAsia" w:ascii="宋体" w:hAnsi="宋体" w:eastAsia="宋体" w:cs="宋体"/>
          <w:color w:val="000000"/>
          <w:kern w:val="2"/>
          <w:sz w:val="24"/>
          <w:szCs w:val="24"/>
          <w:lang w:val="en-US" w:eastAsia="zh-CN" w:bidi="ar-SA"/>
        </w:rPr>
        <w:t>处理病死牛和病害牛产品</w:t>
      </w:r>
      <w:r>
        <w:rPr>
          <w:rFonts w:hint="eastAsia" w:cs="Times New Roman"/>
          <w:color w:val="auto"/>
          <w:sz w:val="24"/>
          <w:szCs w:val="24"/>
          <w:lang w:val="en-US" w:eastAsia="zh-CN"/>
        </w:rPr>
        <w:t>，由病死畜禽无害化处置单位病死畜禽专用运输车辆运输，运输过程中</w:t>
      </w:r>
      <w:r>
        <w:rPr>
          <w:rFonts w:hint="default" w:ascii="Times New Roman" w:hAnsi="Times New Roman" w:eastAsia="宋体" w:cs="Times New Roman"/>
          <w:kern w:val="2"/>
          <w:sz w:val="24"/>
          <w:szCs w:val="24"/>
          <w:lang w:val="en-US" w:eastAsia="zh-CN" w:bidi="ar-SA"/>
        </w:rPr>
        <w:t>不得擅自弃置和处理</w:t>
      </w:r>
      <w:r>
        <w:rPr>
          <w:rFonts w:hint="eastAsia" w:cs="Times New Roman"/>
          <w:color w:val="auto"/>
          <w:sz w:val="24"/>
          <w:szCs w:val="24"/>
          <w:lang w:val="en-US" w:eastAsia="zh-CN"/>
        </w:rPr>
        <w:t>。</w:t>
      </w:r>
    </w:p>
    <w:p w14:paraId="7D0B0074">
      <w:pPr>
        <w:widowControl w:val="0"/>
        <w:numPr>
          <w:ilvl w:val="0"/>
          <w:numId w:val="0"/>
        </w:numPr>
        <w:adjustRightInd w:val="0"/>
        <w:spacing w:line="360" w:lineRule="auto"/>
        <w:ind w:firstLine="480" w:firstLineChars="200"/>
        <w:jc w:val="both"/>
        <w:textAlignment w:val="baseline"/>
        <w:rPr>
          <w:rFonts w:hint="default" w:ascii="Times New Roman" w:hAnsi="Times New Roman" w:eastAsia="宋体" w:cs="Times New Roman"/>
          <w:kern w:val="0"/>
          <w:sz w:val="24"/>
          <w:szCs w:val="20"/>
          <w:lang w:val="en-US" w:eastAsia="zh-CN" w:bidi="ar-SA"/>
        </w:rPr>
      </w:pPr>
      <w:r>
        <w:rPr>
          <w:rFonts w:hint="eastAsia" w:ascii="Times New Roman" w:hAnsi="Times New Roman" w:eastAsia="宋体" w:cs="Times New Roman"/>
          <w:kern w:val="0"/>
          <w:sz w:val="24"/>
          <w:szCs w:val="20"/>
          <w:lang w:val="en-US" w:eastAsia="zh-CN" w:bidi="ar-SA"/>
        </w:rPr>
        <w:t>为将病死牛尽快运至</w:t>
      </w:r>
      <w:r>
        <w:rPr>
          <w:rFonts w:hint="eastAsia" w:cs="Times New Roman"/>
          <w:color w:val="auto"/>
          <w:sz w:val="24"/>
          <w:szCs w:val="24"/>
          <w:lang w:val="en-US" w:eastAsia="zh-CN"/>
        </w:rPr>
        <w:t>病死畜禽无害化处置单位</w:t>
      </w:r>
      <w:r>
        <w:rPr>
          <w:rFonts w:hint="eastAsia" w:ascii="Times New Roman" w:hAnsi="Times New Roman" w:eastAsia="宋体" w:cs="Times New Roman"/>
          <w:kern w:val="0"/>
          <w:sz w:val="24"/>
          <w:szCs w:val="20"/>
          <w:lang w:val="en-US" w:eastAsia="zh-CN" w:bidi="ar-SA"/>
        </w:rPr>
        <w:t>，减少污染，避免运输途中的接触，因此，</w:t>
      </w:r>
      <w:r>
        <w:rPr>
          <w:rFonts w:hint="eastAsia" w:eastAsia="宋体" w:cs="Times New Roman"/>
          <w:color w:val="000000"/>
          <w:kern w:val="0"/>
          <w:sz w:val="24"/>
          <w:szCs w:val="24"/>
          <w:highlight w:val="none"/>
          <w:lang w:val="en-US" w:eastAsia="zh-CN"/>
        </w:rPr>
        <w:t>胡杨河市题桥环保科技有限公司</w:t>
      </w:r>
      <w:r>
        <w:rPr>
          <w:rFonts w:hint="eastAsia" w:ascii="Times New Roman" w:hAnsi="Times New Roman" w:eastAsia="宋体" w:cs="Times New Roman"/>
          <w:color w:val="000000"/>
          <w:kern w:val="0"/>
          <w:sz w:val="24"/>
          <w:szCs w:val="24"/>
          <w:highlight w:val="none"/>
          <w:lang w:val="en-US" w:eastAsia="zh-CN"/>
        </w:rPr>
        <w:t>配套有</w:t>
      </w:r>
      <w:r>
        <w:rPr>
          <w:rFonts w:hint="default" w:ascii="Times New Roman" w:hAnsi="Times New Roman" w:eastAsia="宋体" w:cs="Times New Roman"/>
          <w:sz w:val="24"/>
          <w:lang w:val="zh-CN"/>
        </w:rPr>
        <w:t>病死畜禽</w:t>
      </w:r>
      <w:r>
        <w:rPr>
          <w:rFonts w:hint="eastAsia" w:ascii="Times New Roman" w:hAnsi="Times New Roman" w:eastAsia="宋体" w:cs="Times New Roman"/>
          <w:kern w:val="0"/>
          <w:sz w:val="24"/>
          <w:szCs w:val="20"/>
          <w:lang w:val="en-US" w:eastAsia="zh-CN" w:bidi="ar-SA"/>
        </w:rPr>
        <w:t>专用运输车辆，不进行其他生产活动</w:t>
      </w:r>
      <w:r>
        <w:rPr>
          <w:rFonts w:hint="eastAsia" w:cs="Times New Roman"/>
          <w:kern w:val="0"/>
          <w:sz w:val="24"/>
          <w:szCs w:val="20"/>
          <w:lang w:val="en-US" w:eastAsia="zh-CN" w:bidi="ar-SA"/>
        </w:rPr>
        <w:t>，将</w:t>
      </w:r>
      <w:r>
        <w:rPr>
          <w:rFonts w:hint="eastAsia" w:ascii="Times New Roman" w:hAnsi="Times New Roman" w:eastAsia="宋体" w:cs="Times New Roman"/>
          <w:kern w:val="0"/>
          <w:sz w:val="24"/>
          <w:szCs w:val="20"/>
          <w:lang w:val="en-US" w:eastAsia="zh-CN" w:bidi="ar-SA"/>
        </w:rPr>
        <w:t>病死牛从隔离舍运送至</w:t>
      </w:r>
      <w:r>
        <w:rPr>
          <w:rFonts w:hint="eastAsia" w:cs="Times New Roman"/>
          <w:color w:val="auto"/>
          <w:sz w:val="24"/>
          <w:szCs w:val="24"/>
          <w:lang w:val="en-US" w:eastAsia="zh-CN"/>
        </w:rPr>
        <w:t>病死畜禽无害化处置单位，能在病死畜禽产生当日完成运输</w:t>
      </w:r>
      <w:r>
        <w:rPr>
          <w:rFonts w:hint="eastAsia" w:ascii="Times New Roman" w:hAnsi="Times New Roman" w:eastAsia="宋体" w:cs="Times New Roman"/>
          <w:kern w:val="0"/>
          <w:sz w:val="24"/>
          <w:szCs w:val="20"/>
          <w:lang w:val="en-US" w:eastAsia="zh-CN" w:bidi="ar-SA"/>
        </w:rPr>
        <w:t>，运送后，</w:t>
      </w:r>
      <w:r>
        <w:rPr>
          <w:rFonts w:hint="eastAsia" w:cs="Times New Roman"/>
          <w:color w:val="auto"/>
          <w:sz w:val="24"/>
          <w:szCs w:val="24"/>
          <w:lang w:val="en-US" w:eastAsia="zh-CN"/>
        </w:rPr>
        <w:t>病死畜禽无害化处置单位</w:t>
      </w:r>
      <w:r>
        <w:rPr>
          <w:rFonts w:hint="eastAsia" w:ascii="Times New Roman" w:hAnsi="Times New Roman" w:eastAsia="宋体" w:cs="Times New Roman"/>
          <w:kern w:val="0"/>
          <w:sz w:val="24"/>
          <w:szCs w:val="20"/>
          <w:lang w:val="en-US" w:eastAsia="zh-CN" w:bidi="ar-SA"/>
        </w:rPr>
        <w:t>对车辆进行消毒。</w:t>
      </w:r>
    </w:p>
    <w:p w14:paraId="02C0131A">
      <w:pPr>
        <w:keepNext w:val="0"/>
        <w:keepLines w:val="0"/>
        <w:pageBreakBefore w:val="0"/>
        <w:numPr>
          <w:ilvl w:val="0"/>
          <w:numId w:val="0"/>
        </w:numPr>
        <w:wordWrap/>
        <w:topLinePunct w:val="0"/>
        <w:bidi w:val="0"/>
        <w:adjustRightInd/>
        <w:snapToGrid/>
        <w:spacing w:line="360" w:lineRule="auto"/>
        <w:ind w:leftChars="200"/>
        <w:rPr>
          <w:rFonts w:hint="default" w:eastAsia="宋体" w:cs="Times New Roman"/>
          <w:color w:val="auto"/>
          <w:sz w:val="24"/>
          <w:szCs w:val="24"/>
          <w:lang w:val="en-US" w:eastAsia="zh-CN"/>
        </w:rPr>
      </w:pPr>
      <w:r>
        <w:rPr>
          <w:rFonts w:hint="eastAsia" w:cs="Times New Roman"/>
          <w:color w:val="auto"/>
          <w:sz w:val="24"/>
          <w:szCs w:val="24"/>
          <w:lang w:val="en-US" w:eastAsia="zh-CN"/>
        </w:rPr>
        <w:t>③废包装材料</w:t>
      </w:r>
    </w:p>
    <w:p w14:paraId="67811A73">
      <w:pPr>
        <w:keepNext w:val="0"/>
        <w:keepLines w:val="0"/>
        <w:pageBreakBefore w:val="0"/>
        <w:numPr>
          <w:ilvl w:val="0"/>
          <w:numId w:val="0"/>
        </w:numPr>
        <w:wordWrap/>
        <w:topLinePunct w:val="0"/>
        <w:bidi w:val="0"/>
        <w:adjustRightInd/>
        <w:snapToGrid/>
        <w:spacing w:line="360" w:lineRule="auto"/>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养殖区废包装物主要为精饲料袋、生物除臭剂包装桶、生物菌剂包装桶。废包装袋共219000</w:t>
      </w:r>
      <w:r>
        <w:rPr>
          <w:rFonts w:hint="eastAsia" w:ascii="Times New Roman" w:hAnsi="Times New Roman" w:eastAsia="宋体" w:cs="Times New Roman"/>
          <w:color w:val="000000"/>
          <w:kern w:val="2"/>
          <w:sz w:val="24"/>
          <w:szCs w:val="24"/>
          <w:highlight w:val="none"/>
          <w:lang w:val="en-US" w:eastAsia="zh-CN" w:bidi="ar-SA"/>
        </w:rPr>
        <w:t>个/a</w:t>
      </w:r>
      <w:r>
        <w:rPr>
          <w:rFonts w:hint="eastAsia" w:cs="Times New Roman"/>
          <w:color w:val="auto"/>
          <w:sz w:val="24"/>
          <w:szCs w:val="24"/>
          <w:highlight w:val="none"/>
          <w:lang w:val="en-US" w:eastAsia="zh-CN"/>
        </w:rPr>
        <w:t>，单个包装袋重约50g，共10.95t/a。生物除臭剂采用25L塑料桶装，25L单桶重950g，共计0.09t/a；生物菌剂采用1L包装桶，1L单桶重约40g，共计0.003t/a。因此养殖区包装物共约11.04t/a。精饲料袋、生物除臭剂包装桶、生物菌剂包装桶属于一般工业固废，分类暂存于库房内，</w:t>
      </w:r>
      <w:r>
        <w:rPr>
          <w:rFonts w:hint="eastAsia" w:ascii="Times New Roman" w:hAnsi="Times New Roman" w:eastAsia="宋体" w:cs="Times New Roman"/>
          <w:color w:val="000000"/>
          <w:kern w:val="2"/>
          <w:sz w:val="24"/>
          <w:szCs w:val="24"/>
          <w:highlight w:val="none"/>
          <w:lang w:val="en-US" w:eastAsia="zh-CN" w:bidi="ar-SA"/>
        </w:rPr>
        <w:t>定期外售回收单位综合利用。</w:t>
      </w:r>
    </w:p>
    <w:p w14:paraId="124FB652">
      <w:pPr>
        <w:keepNext w:val="0"/>
        <w:keepLines w:val="0"/>
        <w:pageBreakBefore w:val="0"/>
        <w:numPr>
          <w:ilvl w:val="0"/>
          <w:numId w:val="0"/>
        </w:numPr>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本项目消毒剂包装桶，1L单桶重约40g，单个包装袋重约50g，因此共0.09t/a。本项目消毒剂戊二醛、生石灰等均属于危险化学品，包装物沾染毒性，属于危险废物，根据</w:t>
      </w:r>
      <w:r>
        <w:rPr>
          <w:rFonts w:hint="default" w:ascii="Times New Roman" w:hAnsi="Times New Roman" w:eastAsia="宋体" w:cs="Times New Roman"/>
          <w:color w:val="auto"/>
          <w:sz w:val="24"/>
          <w:szCs w:val="24"/>
          <w:highlight w:val="none"/>
        </w:rPr>
        <w:t>《国家危险废物名录（</w:t>
      </w:r>
      <w:r>
        <w:rPr>
          <w:rFonts w:hint="eastAsia" w:ascii="Times New Roman" w:hAnsi="Times New Roman" w:eastAsia="宋体" w:cs="Times New Roman"/>
          <w:color w:val="auto"/>
          <w:sz w:val="24"/>
          <w:szCs w:val="24"/>
          <w:highlight w:val="none"/>
          <w:lang w:val="en-US" w:eastAsia="zh-CN"/>
        </w:rPr>
        <w:t>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lang w:val="en-US" w:eastAsia="zh-CN"/>
        </w:rPr>
        <w:t>版</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属于HW49 其他废物900-041-49 含有或沾染毒性、感染性危险废物的废弃包装物、容器、过滤吸附介质</w:t>
      </w:r>
      <w:r>
        <w:rPr>
          <w:rFonts w:hint="eastAsia" w:cs="Times New Roman"/>
          <w:color w:val="auto"/>
          <w:sz w:val="24"/>
          <w:szCs w:val="24"/>
          <w:highlight w:val="none"/>
          <w:lang w:val="en-US" w:eastAsia="zh-CN"/>
        </w:rPr>
        <w:t>，集中收集后设置10m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危险废物贮存点暂存，委托有资质的单位运输处置</w:t>
      </w:r>
      <w:r>
        <w:rPr>
          <w:rFonts w:hint="eastAsia" w:ascii="Times New Roman" w:hAnsi="Times New Roman" w:eastAsia="宋体" w:cs="Times New Roman"/>
          <w:color w:val="000000"/>
          <w:kern w:val="2"/>
          <w:sz w:val="24"/>
          <w:szCs w:val="24"/>
          <w:highlight w:val="none"/>
          <w:lang w:val="en-US" w:eastAsia="zh-CN" w:bidi="ar-SA"/>
        </w:rPr>
        <w:t>。</w:t>
      </w:r>
    </w:p>
    <w:p w14:paraId="726CC603">
      <w:pPr>
        <w:widowControl w:val="0"/>
        <w:spacing w:line="50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本项目</w:t>
      </w:r>
      <w:r>
        <w:rPr>
          <w:rFonts w:hint="eastAsia" w:ascii="Times New Roman" w:hAnsi="Times New Roman" w:eastAsia="宋体" w:cs="Times New Roman"/>
          <w:color w:val="auto"/>
          <w:kern w:val="2"/>
          <w:sz w:val="24"/>
          <w:szCs w:val="24"/>
          <w:highlight w:val="none"/>
          <w:lang w:val="en-US" w:eastAsia="zh-CN" w:bidi="ar-SA"/>
        </w:rPr>
        <w:t>建设一座</w:t>
      </w:r>
      <w:r>
        <w:rPr>
          <w:rFonts w:hint="eastAsia" w:ascii="Times New Roman" w:hAnsi="Times New Roman" w:cs="Times New Roman"/>
          <w:color w:val="auto"/>
          <w:kern w:val="2"/>
          <w:sz w:val="24"/>
          <w:szCs w:val="24"/>
          <w:highlight w:val="none"/>
          <w:lang w:val="en-US" w:eastAsia="zh-CN" w:bidi="ar-SA"/>
        </w:rPr>
        <w:t>10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cs="Times New Roman"/>
          <w:color w:val="000000"/>
          <w:kern w:val="2"/>
          <w:sz w:val="24"/>
          <w:szCs w:val="24"/>
          <w:highlight w:val="none"/>
          <w:lang w:val="en-US" w:eastAsia="zh-CN" w:bidi="ar-SA"/>
        </w:rPr>
        <w:t>危险废物贮存点</w:t>
      </w:r>
      <w:r>
        <w:rPr>
          <w:rFonts w:hint="eastAsia" w:ascii="Times New Roman" w:hAnsi="Times New Roman" w:cs="Times New Roman"/>
          <w:color w:val="000000"/>
          <w:kern w:val="2"/>
          <w:sz w:val="24"/>
          <w:szCs w:val="24"/>
          <w:highlight w:val="none"/>
          <w:lang w:val="en-US" w:eastAsia="zh-CN" w:bidi="ar-SA"/>
        </w:rPr>
        <w:t>，为便于</w:t>
      </w:r>
      <w:r>
        <w:rPr>
          <w:rFonts w:hint="eastAsia" w:cs="Times New Roman"/>
          <w:color w:val="000000"/>
          <w:kern w:val="2"/>
          <w:sz w:val="24"/>
          <w:szCs w:val="24"/>
          <w:highlight w:val="none"/>
          <w:lang w:val="en-US" w:eastAsia="zh-CN" w:bidi="ar-SA"/>
        </w:rPr>
        <w:t>建成后</w:t>
      </w:r>
      <w:r>
        <w:rPr>
          <w:rFonts w:hint="eastAsia" w:ascii="Times New Roman" w:hAnsi="Times New Roman" w:cs="Times New Roman"/>
          <w:color w:val="000000"/>
          <w:kern w:val="2"/>
          <w:sz w:val="24"/>
          <w:szCs w:val="24"/>
          <w:highlight w:val="none"/>
          <w:lang w:val="en-US" w:eastAsia="zh-CN" w:bidi="ar-SA"/>
        </w:rPr>
        <w:t>全厂危险废物管理，定期委托有资质单位运输处置</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危险废物贮存点</w:t>
      </w:r>
      <w:r>
        <w:rPr>
          <w:rFonts w:hint="default" w:ascii="Times New Roman" w:hAnsi="Times New Roman" w:eastAsia="宋体" w:cs="Times New Roman"/>
          <w:color w:val="auto"/>
          <w:kern w:val="2"/>
          <w:sz w:val="24"/>
          <w:szCs w:val="24"/>
          <w:highlight w:val="none"/>
          <w:lang w:val="en-US" w:eastAsia="zh-CN" w:bidi="ar-SA"/>
        </w:rPr>
        <w:t>按照《危险废物贮存污染控制标准》</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GB18597-2023</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相关要求进行</w:t>
      </w:r>
      <w:r>
        <w:rPr>
          <w:rFonts w:hint="eastAsia" w:ascii="Times New Roman" w:hAnsi="Times New Roman" w:eastAsia="宋体" w:cs="Times New Roman"/>
          <w:color w:val="auto"/>
          <w:kern w:val="2"/>
          <w:sz w:val="24"/>
          <w:szCs w:val="24"/>
          <w:highlight w:val="none"/>
          <w:lang w:val="en-US" w:eastAsia="zh-CN" w:bidi="ar-SA"/>
        </w:rPr>
        <w:t>选址、</w:t>
      </w:r>
      <w:r>
        <w:rPr>
          <w:rFonts w:hint="default" w:ascii="Times New Roman" w:hAnsi="Times New Roman" w:eastAsia="宋体" w:cs="Times New Roman"/>
          <w:color w:val="auto"/>
          <w:kern w:val="2"/>
          <w:sz w:val="24"/>
          <w:szCs w:val="24"/>
          <w:highlight w:val="none"/>
          <w:lang w:val="en-US" w:eastAsia="zh-CN" w:bidi="ar-SA"/>
        </w:rPr>
        <w:t>设计建设，按照规范要求设置防风、防晒、防雨、防漏、防渗、防腐以及其他环境污染防治措施，</w:t>
      </w:r>
      <w:r>
        <w:rPr>
          <w:rFonts w:hint="eastAsia" w:ascii="Times New Roman" w:hAnsi="Times New Roman" w:cs="Times New Roman"/>
          <w:color w:val="auto"/>
          <w:kern w:val="2"/>
          <w:sz w:val="24"/>
          <w:szCs w:val="24"/>
          <w:highlight w:val="none"/>
          <w:lang w:val="en-US" w:eastAsia="zh-CN" w:bidi="ar-SA"/>
        </w:rPr>
        <w:t>根据《危险废物识别标志设置技术规范》（HJ 1276—2022）规定制作危险废物标签、危险废物贮存分区标志、贮存设施标志。</w:t>
      </w:r>
      <w:r>
        <w:rPr>
          <w:rFonts w:hint="eastAsia" w:cs="Times New Roman"/>
          <w:color w:val="000000"/>
          <w:kern w:val="2"/>
          <w:sz w:val="24"/>
          <w:szCs w:val="24"/>
          <w:highlight w:val="none"/>
          <w:lang w:val="en-US" w:eastAsia="zh-CN" w:bidi="ar-SA"/>
        </w:rPr>
        <w:t>危险废物贮存点</w:t>
      </w:r>
      <w:r>
        <w:rPr>
          <w:rFonts w:hint="default" w:ascii="Times New Roman" w:hAnsi="Times New Roman" w:eastAsia="宋体" w:cs="Times New Roman"/>
          <w:color w:val="auto"/>
          <w:kern w:val="2"/>
          <w:sz w:val="24"/>
          <w:szCs w:val="24"/>
          <w:highlight w:val="none"/>
          <w:lang w:val="en-US" w:eastAsia="zh-CN" w:bidi="ar-SA"/>
        </w:rPr>
        <w:t>设置隔断，各类</w:t>
      </w:r>
      <w:r>
        <w:rPr>
          <w:rFonts w:hint="eastAsia" w:ascii="Times New Roman" w:hAnsi="Times New Roman" w:cs="Times New Roman"/>
          <w:color w:val="auto"/>
          <w:kern w:val="2"/>
          <w:sz w:val="24"/>
          <w:szCs w:val="24"/>
          <w:highlight w:val="none"/>
          <w:lang w:val="en-US" w:eastAsia="zh-CN" w:bidi="ar-SA"/>
        </w:rPr>
        <w:t>危险废物</w:t>
      </w:r>
      <w:r>
        <w:rPr>
          <w:rFonts w:hint="default" w:ascii="Times New Roman" w:hAnsi="Times New Roman" w:eastAsia="宋体" w:cs="Times New Roman"/>
          <w:color w:val="auto"/>
          <w:kern w:val="2"/>
          <w:sz w:val="24"/>
          <w:szCs w:val="24"/>
          <w:highlight w:val="none"/>
          <w:lang w:val="en-US" w:eastAsia="zh-CN" w:bidi="ar-SA"/>
        </w:rPr>
        <w:t>分类收集、分开存放。暂存区域地面按规范要求</w:t>
      </w:r>
      <w:r>
        <w:rPr>
          <w:rFonts w:hint="eastAsia" w:ascii="Times New Roman" w:hAnsi="Times New Roman" w:eastAsia="宋体" w:cs="Times New Roman"/>
          <w:color w:val="auto"/>
          <w:kern w:val="2"/>
          <w:sz w:val="24"/>
          <w:szCs w:val="24"/>
          <w:highlight w:val="none"/>
          <w:lang w:val="en-US" w:eastAsia="zh-CN" w:bidi="ar-SA"/>
        </w:rPr>
        <w:t>设置</w:t>
      </w:r>
      <w:r>
        <w:rPr>
          <w:rFonts w:hint="default" w:ascii="Times New Roman" w:hAnsi="Times New Roman" w:eastAsia="宋体" w:cs="Times New Roman"/>
          <w:color w:val="auto"/>
          <w:kern w:val="2"/>
          <w:sz w:val="24"/>
          <w:szCs w:val="24"/>
          <w:highlight w:val="none"/>
          <w:lang w:val="en-US" w:eastAsia="zh-CN" w:bidi="ar-SA"/>
        </w:rPr>
        <w:t>防渗；</w:t>
      </w:r>
      <w:r>
        <w:rPr>
          <w:rFonts w:hint="eastAsia" w:cs="Times New Roman"/>
          <w:color w:val="000000"/>
          <w:kern w:val="2"/>
          <w:sz w:val="24"/>
          <w:szCs w:val="24"/>
          <w:highlight w:val="none"/>
          <w:lang w:val="en-US" w:eastAsia="zh-CN" w:bidi="ar-SA"/>
        </w:rPr>
        <w:t>危险废物贮存点</w:t>
      </w:r>
      <w:r>
        <w:rPr>
          <w:rFonts w:hint="default" w:ascii="Times New Roman" w:hAnsi="Times New Roman" w:eastAsia="宋体" w:cs="Times New Roman"/>
          <w:color w:val="auto"/>
          <w:kern w:val="2"/>
          <w:sz w:val="24"/>
          <w:szCs w:val="24"/>
          <w:highlight w:val="none"/>
          <w:lang w:val="en-US" w:eastAsia="zh-CN" w:bidi="ar-SA"/>
        </w:rPr>
        <w:t>设门槛、导流沟等截流措施，可收集泄漏的废液；同时配备防渗托盘和吸收材料，可有效防止对土壤及地下水的污染。</w:t>
      </w:r>
    </w:p>
    <w:p w14:paraId="5613CF6F">
      <w:pPr>
        <w:widowControl w:val="0"/>
        <w:spacing w:line="50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各类危险废物分别盛装在不同容器内，按其性质分开贮存；危险废物贮存容器应当使用符合标准的容器盛装危险废物，装载危险废物的容器及材质要满足相应的强度要求，装载危险废物的容器必须完好无损。盛装危险废物的容器材质和衬里要与危险废物兼容</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不相互反应</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液体危险废物可注入开孔直径不超过70毫米并有放气孔的桶中。盛装危险废物的容器上将粘贴符合标准的标签，</w:t>
      </w:r>
      <w:r>
        <w:rPr>
          <w:rFonts w:hint="eastAsia" w:cs="Times New Roman"/>
          <w:color w:val="auto"/>
          <w:kern w:val="2"/>
          <w:sz w:val="24"/>
          <w:szCs w:val="24"/>
          <w:highlight w:val="none"/>
          <w:lang w:val="en-US" w:eastAsia="zh-CN" w:bidi="ar-SA"/>
        </w:rPr>
        <w:t>危险废物贮存点</w:t>
      </w:r>
      <w:r>
        <w:rPr>
          <w:rFonts w:hint="default" w:ascii="Times New Roman" w:hAnsi="Times New Roman" w:eastAsia="宋体" w:cs="Times New Roman"/>
          <w:color w:val="auto"/>
          <w:kern w:val="2"/>
          <w:sz w:val="24"/>
          <w:szCs w:val="24"/>
          <w:highlight w:val="none"/>
          <w:lang w:val="en-US" w:eastAsia="zh-CN" w:bidi="ar-SA"/>
        </w:rPr>
        <w:t>将按《危险废物识别标志设置技术规范》（HJ 1276—2022）规定制作危险废物标签、危险废物贮存分区标志、贮存设施标志；</w:t>
      </w:r>
    </w:p>
    <w:p w14:paraId="3DA3A560">
      <w:pPr>
        <w:widowControl w:val="0"/>
        <w:spacing w:line="50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危险废物贮存点</w:t>
      </w:r>
      <w:r>
        <w:rPr>
          <w:rFonts w:hint="default" w:ascii="Times New Roman" w:hAnsi="Times New Roman" w:eastAsia="宋体" w:cs="Times New Roman"/>
          <w:color w:val="auto"/>
          <w:kern w:val="2"/>
          <w:sz w:val="24"/>
          <w:szCs w:val="24"/>
          <w:highlight w:val="none"/>
          <w:lang w:val="en-US" w:eastAsia="zh-CN" w:bidi="ar-SA"/>
        </w:rPr>
        <w:t>设置专人负责运行，实行危险废物联单制度，规范日常管理。厂内固废转移实施网上审批流程，并建立固废转移台账。</w:t>
      </w:r>
    </w:p>
    <w:p w14:paraId="6DE4FC7B">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cs="Times New Roman"/>
          <w:color w:val="auto"/>
          <w:sz w:val="24"/>
          <w:szCs w:val="24"/>
          <w:lang w:val="en-US" w:eastAsia="zh-CN"/>
        </w:rPr>
        <w:t>④医疗废物</w:t>
      </w:r>
    </w:p>
    <w:p w14:paraId="0254A264">
      <w:pPr>
        <w:pageBreakBefore w:val="0"/>
        <w:kinsoku/>
        <w:wordWrap/>
        <w:topLinePunct w:val="0"/>
        <w:bidi w:val="0"/>
        <w:adjustRightInd/>
        <w:snapToGrid/>
        <w:spacing w:line="360" w:lineRule="auto"/>
        <w:ind w:firstLine="480" w:firstLineChars="200"/>
        <w:rPr>
          <w:rFonts w:hint="eastAsia" w:ascii="Times New Roman" w:hAnsi="Times New Roman" w:eastAsia="宋体" w:cs="Times New Roman"/>
          <w:sz w:val="24"/>
          <w:lang w:val="zh-CN"/>
        </w:rPr>
      </w:pPr>
      <w:r>
        <w:rPr>
          <w:rFonts w:hint="eastAsia" w:ascii="Times New Roman" w:hAnsi="Times New Roman" w:eastAsia="宋体" w:cs="Times New Roman"/>
          <w:sz w:val="24"/>
          <w:lang w:val="zh-CN"/>
        </w:rPr>
        <w:t>根据《医疗废物名录</w:t>
      </w:r>
      <w:r>
        <w:rPr>
          <w:rFonts w:hint="eastAsia" w:cs="Times New Roman"/>
          <w:sz w:val="24"/>
          <w:lang w:val="zh-CN"/>
        </w:rPr>
        <w:t>》《</w:t>
      </w:r>
      <w:r>
        <w:rPr>
          <w:rFonts w:hint="eastAsia" w:ascii="Times New Roman" w:hAnsi="Times New Roman" w:eastAsia="宋体" w:cs="Times New Roman"/>
          <w:sz w:val="24"/>
          <w:lang w:val="zh-CN"/>
        </w:rPr>
        <w:t>国家危险废物名录》规定，兽用医疗废物主要有养殖过程治疗性医疗废物。本项目</w:t>
      </w:r>
      <w:r>
        <w:rPr>
          <w:rFonts w:hint="eastAsia" w:cs="Times New Roman"/>
          <w:sz w:val="24"/>
          <w:lang w:val="zh-CN"/>
        </w:rPr>
        <w:t>以育肥牛生产为主</w:t>
      </w:r>
      <w:r>
        <w:rPr>
          <w:rFonts w:hint="default" w:ascii="Times New Roman" w:hAnsi="Times New Roman" w:eastAsia="宋体" w:cs="Times New Roman"/>
          <w:sz w:val="24"/>
          <w:lang w:val="zh-CN"/>
        </w:rPr>
        <w:t>，主要</w:t>
      </w:r>
      <w:r>
        <w:rPr>
          <w:rFonts w:hint="eastAsia" w:ascii="Times New Roman" w:hAnsi="Times New Roman" w:eastAsia="宋体" w:cs="Times New Roman"/>
          <w:sz w:val="24"/>
          <w:lang w:val="zh-CN"/>
        </w:rPr>
        <w:t>兽用医疗废物为治疗性医疗废物。治疗畜禽疾病使用的药剂主要有</w:t>
      </w:r>
      <w:r>
        <w:rPr>
          <w:rFonts w:hint="default" w:ascii="Times New Roman" w:hAnsi="Times New Roman" w:eastAsia="宋体" w:cs="Times New Roman"/>
          <w:sz w:val="24"/>
          <w:lang w:val="zh-CN"/>
        </w:rPr>
        <w:t>链霉素、卡那霉素</w:t>
      </w:r>
      <w:r>
        <w:rPr>
          <w:rFonts w:hint="eastAsia" w:ascii="Times New Roman" w:hAnsi="Times New Roman" w:eastAsia="宋体" w:cs="Times New Roman"/>
          <w:sz w:val="24"/>
          <w:lang w:val="zh-CN"/>
        </w:rPr>
        <w:t>、</w:t>
      </w:r>
      <w:r>
        <w:rPr>
          <w:rFonts w:hint="default" w:ascii="Times New Roman" w:hAnsi="Times New Roman" w:eastAsia="宋体" w:cs="Times New Roman"/>
          <w:sz w:val="24"/>
          <w:lang w:val="zh-CN"/>
        </w:rPr>
        <w:t>口蹄疫疫苗</w:t>
      </w:r>
      <w:r>
        <w:rPr>
          <w:rFonts w:hint="eastAsia" w:ascii="Times New Roman" w:hAnsi="Times New Roman" w:eastAsia="宋体" w:cs="Times New Roman"/>
          <w:sz w:val="24"/>
          <w:lang w:val="zh-CN"/>
        </w:rPr>
        <w:t>、</w:t>
      </w:r>
      <w:r>
        <w:rPr>
          <w:rFonts w:hint="default" w:ascii="Times New Roman" w:hAnsi="Times New Roman" w:eastAsia="宋体" w:cs="Times New Roman"/>
          <w:sz w:val="24"/>
          <w:lang w:val="zh-CN"/>
        </w:rPr>
        <w:t>青霉素</w:t>
      </w:r>
      <w:r>
        <w:rPr>
          <w:rFonts w:hint="eastAsia" w:ascii="Times New Roman" w:hAnsi="Times New Roman" w:eastAsia="宋体" w:cs="Times New Roman"/>
          <w:sz w:val="24"/>
          <w:lang w:val="zh-CN"/>
        </w:rPr>
        <w:t>、</w:t>
      </w:r>
      <w:r>
        <w:rPr>
          <w:rFonts w:hint="default" w:ascii="Times New Roman" w:hAnsi="Times New Roman" w:eastAsia="宋体" w:cs="Times New Roman"/>
          <w:sz w:val="24"/>
          <w:lang w:val="zh-CN"/>
        </w:rPr>
        <w:fldChar w:fldCharType="begin"/>
      </w:r>
      <w:r>
        <w:rPr>
          <w:rFonts w:hint="default" w:ascii="Times New Roman" w:hAnsi="Times New Roman" w:eastAsia="宋体" w:cs="Times New Roman"/>
          <w:sz w:val="24"/>
          <w:lang w:val="zh-CN"/>
        </w:rPr>
        <w:instrText xml:space="preserve"> HYPERLINK "http://baike.sogou.com/lemma/ShowInnerLink.htm?lemmaId=214308&amp;ss_c=ssc.citiao.link" \t "_blank" </w:instrText>
      </w:r>
      <w:r>
        <w:rPr>
          <w:rFonts w:hint="default" w:ascii="Times New Roman" w:hAnsi="Times New Roman" w:eastAsia="宋体" w:cs="Times New Roman"/>
          <w:sz w:val="24"/>
          <w:lang w:val="zh-CN"/>
        </w:rPr>
        <w:fldChar w:fldCharType="separate"/>
      </w:r>
      <w:r>
        <w:rPr>
          <w:rFonts w:hint="default" w:ascii="Times New Roman" w:hAnsi="Times New Roman" w:eastAsia="宋体" w:cs="Times New Roman"/>
          <w:sz w:val="24"/>
          <w:lang w:val="zh-CN"/>
        </w:rPr>
        <w:t>氢氧化钠</w:t>
      </w:r>
      <w:r>
        <w:rPr>
          <w:rFonts w:hint="default" w:ascii="Times New Roman" w:hAnsi="Times New Roman" w:eastAsia="宋体" w:cs="Times New Roman"/>
          <w:sz w:val="24"/>
          <w:lang w:val="zh-CN"/>
        </w:rPr>
        <w:fldChar w:fldCharType="end"/>
      </w:r>
      <w:r>
        <w:rPr>
          <w:rFonts w:hint="eastAsia" w:ascii="Times New Roman" w:hAnsi="Times New Roman" w:eastAsia="宋体" w:cs="Times New Roman"/>
          <w:sz w:val="24"/>
          <w:lang w:val="zh-CN"/>
        </w:rPr>
        <w:t>、瘟可康注射液等；药具主要为一次性针具、吊瓶等。本项目全部</w:t>
      </w:r>
      <w:r>
        <w:rPr>
          <w:rFonts w:hint="default" w:ascii="Times New Roman" w:hAnsi="Times New Roman" w:eastAsia="宋体" w:cs="Times New Roman"/>
          <w:sz w:val="24"/>
          <w:lang w:val="zh-CN"/>
        </w:rPr>
        <w:t>可产生兽用医疗废物</w:t>
      </w:r>
      <w:r>
        <w:rPr>
          <w:rFonts w:hint="eastAsia" w:ascii="Times New Roman" w:hAnsi="Times New Roman" w:eastAsia="宋体" w:cs="Times New Roman"/>
          <w:sz w:val="24"/>
          <w:lang w:val="zh-CN"/>
        </w:rPr>
        <w:t>为</w:t>
      </w:r>
      <w:r>
        <w:rPr>
          <w:rFonts w:hint="eastAsia" w:ascii="Times New Roman" w:hAnsi="Times New Roman" w:eastAsia="宋体" w:cs="Times New Roman"/>
          <w:sz w:val="24"/>
          <w:lang w:val="en-US" w:eastAsia="zh-CN"/>
        </w:rPr>
        <w:t>0.</w:t>
      </w:r>
      <w:r>
        <w:rPr>
          <w:rFonts w:hint="eastAsia" w:cs="Times New Roman"/>
          <w:sz w:val="24"/>
          <w:lang w:val="en-US" w:eastAsia="zh-CN"/>
        </w:rPr>
        <w:t>2</w:t>
      </w:r>
      <w:r>
        <w:rPr>
          <w:rFonts w:hint="default" w:ascii="Times New Roman" w:hAnsi="Times New Roman" w:eastAsia="宋体" w:cs="Times New Roman"/>
          <w:sz w:val="24"/>
          <w:lang w:val="zh-CN"/>
        </w:rPr>
        <w:t>t/a。</w:t>
      </w:r>
    </w:p>
    <w:p w14:paraId="0A2CC496">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本项目建设有1座</w:t>
      </w:r>
      <w:r>
        <w:rPr>
          <w:rFonts w:hint="eastAsia"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医疗废物暂存间，项目产生的医疗废物收集至医疗废物暂存间内暂存，定期委托有资质单位进行处置。</w:t>
      </w:r>
    </w:p>
    <w:p w14:paraId="17C19281">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根据《国家危险废物名录（</w:t>
      </w:r>
      <w:r>
        <w:rPr>
          <w:rFonts w:hint="eastAsia"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版</w:t>
      </w:r>
      <w:r>
        <w:rPr>
          <w:rFonts w:hint="default" w:ascii="Times New Roman" w:hAnsi="Times New Roman" w:eastAsia="宋体" w:cs="Times New Roman"/>
          <w:color w:val="auto"/>
          <w:sz w:val="24"/>
          <w:szCs w:val="24"/>
        </w:rPr>
        <w:t>）》，本项目运营期间产生医疗废物属危险废物，其危险废物类别为HW01医疗废物</w:t>
      </w:r>
      <w:r>
        <w:rPr>
          <w:rFonts w:hint="eastAsia" w:cs="Times New Roman"/>
          <w:color w:val="auto"/>
          <w:sz w:val="24"/>
          <w:szCs w:val="24"/>
          <w:lang w:eastAsia="zh-CN"/>
        </w:rPr>
        <w:t>841-001-01，感染性废物</w:t>
      </w:r>
      <w:r>
        <w:rPr>
          <w:rFonts w:hint="default" w:ascii="Times New Roman" w:hAnsi="Times New Roman" w:eastAsia="宋体" w:cs="Times New Roman"/>
          <w:color w:val="auto"/>
          <w:sz w:val="24"/>
          <w:szCs w:val="24"/>
        </w:rPr>
        <w:t>，危险特性In。医疗废物的具体管理办法参照《医疗废物管理条例》（2003年6月16日）和</w:t>
      </w:r>
      <w:r>
        <w:rPr>
          <w:rFonts w:hint="default" w:ascii="Times New Roman" w:hAnsi="Times New Roman" w:eastAsia="宋体" w:cs="Times New Roman"/>
          <w:color w:val="auto"/>
          <w:kern w:val="2"/>
          <w:sz w:val="24"/>
          <w:szCs w:val="24"/>
          <w:highlight w:val="none"/>
          <w:lang w:val="en-US" w:eastAsia="zh-CN" w:bidi="ar-SA"/>
        </w:rPr>
        <w:t>《危险废物贮存污染控制标准》</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GB18597-2023</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sz w:val="24"/>
          <w:szCs w:val="24"/>
        </w:rPr>
        <w:t>中的相应要求进行收集、暂存，并交由有资质的单位处置。</w:t>
      </w:r>
    </w:p>
    <w:p w14:paraId="2C1C6245">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医疗废物</w:t>
      </w:r>
      <w:r>
        <w:rPr>
          <w:rFonts w:hint="eastAsia" w:ascii="Times New Roman" w:hAnsi="Times New Roman" w:eastAsia="宋体" w:cs="Times New Roman"/>
          <w:color w:val="auto"/>
          <w:sz w:val="24"/>
          <w:szCs w:val="24"/>
          <w:lang w:val="en-US" w:eastAsia="zh-CN"/>
        </w:rPr>
        <w:t>暂存间</w:t>
      </w:r>
      <w:r>
        <w:rPr>
          <w:rFonts w:hint="default" w:ascii="Times New Roman" w:hAnsi="Times New Roman" w:eastAsia="宋体" w:cs="Times New Roman"/>
          <w:color w:val="auto"/>
          <w:sz w:val="24"/>
          <w:szCs w:val="24"/>
        </w:rPr>
        <w:t>为封闭式，地面做防渗处理，贮存间周围要设置警告标志，防止无关人员靠近。</w:t>
      </w:r>
      <w:r>
        <w:rPr>
          <w:rFonts w:hint="eastAsia" w:ascii="Times New Roman" w:hAnsi="Times New Roman" w:eastAsia="宋体" w:cs="Times New Roman"/>
          <w:color w:val="auto"/>
          <w:sz w:val="24"/>
          <w:szCs w:val="24"/>
          <w:lang w:val="en-US" w:eastAsia="zh-CN"/>
        </w:rPr>
        <w:t>暂存间</w:t>
      </w:r>
      <w:r>
        <w:rPr>
          <w:rFonts w:hint="default" w:ascii="Times New Roman" w:hAnsi="Times New Roman" w:eastAsia="宋体" w:cs="Times New Roman"/>
          <w:color w:val="auto"/>
          <w:sz w:val="24"/>
          <w:szCs w:val="24"/>
        </w:rPr>
        <w:t>需要有专职兽医进行管理。</w:t>
      </w:r>
    </w:p>
    <w:p w14:paraId="7F56E1F6">
      <w:pPr>
        <w:pageBreakBefore w:val="0"/>
        <w:kinsoku/>
        <w:wordWrap/>
        <w:topLinePunct w:val="0"/>
        <w:bidi w:val="0"/>
        <w:adjustRightInd/>
        <w:snapToGrid/>
        <w:spacing w:line="360" w:lineRule="auto"/>
        <w:ind w:firstLine="480" w:firstLineChars="200"/>
        <w:rPr>
          <w:rFonts w:hint="eastAsia" w:ascii="Times New Roman" w:hAnsi="Times New Roman" w:eastAsia="宋体" w:cs="Times New Roman"/>
          <w:sz w:val="24"/>
          <w:lang w:val="zh-CN"/>
        </w:rPr>
      </w:pPr>
      <w:r>
        <w:rPr>
          <w:rFonts w:hint="eastAsia" w:ascii="Times New Roman" w:hAnsi="Times New Roman" w:eastAsia="宋体" w:cs="Times New Roman"/>
          <w:sz w:val="24"/>
          <w:lang w:val="zh-CN"/>
        </w:rPr>
        <w:t>医疗废物的产生量与养殖过程中疫情的发生量和治疗量有关，根据卫生防疫要求及疫病防治管理，疫苗药具及防疫用药用量按每只畜禽注射一次，主要产生的一次性针具及废弃药瓶量。</w:t>
      </w:r>
    </w:p>
    <w:p w14:paraId="0A39C64B">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zh-CN"/>
        </w:rPr>
        <w:t>按照</w:t>
      </w:r>
      <w:r>
        <w:rPr>
          <w:rFonts w:hint="eastAsia" w:ascii="Times New Roman" w:hAnsi="Times New Roman" w:eastAsia="宋体" w:cs="Times New Roman"/>
          <w:sz w:val="24"/>
          <w:lang w:val="zh-CN" w:eastAsia="zh-CN"/>
        </w:rPr>
        <w:t>《医疗废物处理处置污染控制标准》（GB39707-2020）</w:t>
      </w:r>
      <w:r>
        <w:rPr>
          <w:rFonts w:hint="eastAsia" w:ascii="Times New Roman" w:hAnsi="Times New Roman" w:eastAsia="宋体" w:cs="Times New Roman"/>
          <w:sz w:val="24"/>
          <w:lang w:val="zh-CN"/>
        </w:rPr>
        <w:t>，</w:t>
      </w:r>
      <w:r>
        <w:rPr>
          <w:rFonts w:hint="eastAsia" w:cs="Times New Roman"/>
          <w:sz w:val="24"/>
          <w:lang w:val="en-US" w:eastAsia="zh-CN"/>
        </w:rPr>
        <w:t>医疗废物收集、贮存措施如下：</w:t>
      </w:r>
    </w:p>
    <w:p w14:paraId="072C52EF">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zh-CN"/>
        </w:rPr>
      </w:pPr>
      <w:r>
        <w:rPr>
          <w:rFonts w:hint="eastAsia" w:cs="Times New Roman"/>
          <w:sz w:val="24"/>
          <w:lang w:val="en-US" w:eastAsia="zh-CN"/>
        </w:rPr>
        <w:t>①</w:t>
      </w:r>
      <w:r>
        <w:rPr>
          <w:rFonts w:hint="eastAsia" w:ascii="Times New Roman" w:hAnsi="Times New Roman" w:eastAsia="宋体" w:cs="Times New Roman"/>
          <w:sz w:val="24"/>
          <w:lang w:val="zh-CN"/>
        </w:rPr>
        <w:t xml:space="preserve">收集 </w:t>
      </w:r>
    </w:p>
    <w:p w14:paraId="3884D2E4">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zh-CN"/>
        </w:rPr>
      </w:pPr>
      <w:r>
        <w:rPr>
          <w:rFonts w:hint="eastAsia" w:ascii="Times New Roman" w:hAnsi="Times New Roman" w:eastAsia="宋体" w:cs="Times New Roman"/>
          <w:sz w:val="24"/>
          <w:lang w:val="zh-CN"/>
        </w:rPr>
        <w:t xml:space="preserve">医疗废物处理处置单位收集的医疗废物包装应符合HJ 421的要求。 </w:t>
      </w:r>
    </w:p>
    <w:p w14:paraId="6CD38E88">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zh-CN"/>
        </w:rPr>
      </w:pPr>
      <w:r>
        <w:rPr>
          <w:rFonts w:hint="eastAsia" w:ascii="Times New Roman" w:hAnsi="Times New Roman" w:eastAsia="宋体" w:cs="Times New Roman"/>
          <w:sz w:val="24"/>
          <w:lang w:val="zh-CN"/>
        </w:rPr>
        <w:t>处理处置单位应采用周转箱/桶收集、转移医疗废物，并应执行危险废物转移联单管理制度。</w:t>
      </w:r>
    </w:p>
    <w:p w14:paraId="3DDD9DC8">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②贮存 </w:t>
      </w:r>
    </w:p>
    <w:p w14:paraId="0399974A">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医疗废物处理处置单位应设置感染性、损伤性、病理性废物的贮存设施；若收集化学性、药物性废物还应设置专用贮存设施。贮存设施内应设置不同类别医疗废物的贮存区。 </w:t>
      </w:r>
    </w:p>
    <w:p w14:paraId="6F434A1D">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贮存设施地面防渗应满足国家和地方有关重点污染源防渗要求。墙面应做防渗处理，感染性、损伤性、病理性废物贮存设施的地面、墙面材料应易于清洗和消毒。 </w:t>
      </w:r>
    </w:p>
    <w:p w14:paraId="31FFCDA5">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感染性、损伤性、病理性废物贮存设施应设置微负压及通风装置、制冷系统和设备，排风口应设置废气净化装置。 </w:t>
      </w:r>
    </w:p>
    <w:p w14:paraId="24EB8A0F">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医疗废物不能及时处理处置时，应置于贮存设施内贮存。感染性、损伤性、病理性废物应盛装于医疗废物周转箱/桶内一并置于贮存设施内暂时贮存。 </w:t>
      </w:r>
    </w:p>
    <w:p w14:paraId="6C5BF02F">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处理处置单位对感染性、损伤性、病理性废物的贮存应符合以下要求： </w:t>
      </w:r>
    </w:p>
    <w:p w14:paraId="3E9C3ED1">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a）贮存温度≥5℃，贮存时间不得超过24小时； </w:t>
      </w:r>
    </w:p>
    <w:p w14:paraId="2A9B4379">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b）贮存温度＜5℃，贮存时间不得超过72小时； </w:t>
      </w:r>
    </w:p>
    <w:p w14:paraId="171A13C3">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 xml:space="preserve">c）偏远地区贮存温度＜5℃，并采取消毒措施时，可适当延长贮存时间，但不得超过168小时。  </w:t>
      </w:r>
    </w:p>
    <w:p w14:paraId="016A98A5">
      <w:pPr>
        <w:overflowPunct w:val="0"/>
        <w:autoSpaceDE w:val="0"/>
        <w:autoSpaceDN w:val="0"/>
        <w:bidi w:val="0"/>
        <w:adjustRightInd w:val="0"/>
        <w:snapToGrid w:val="0"/>
        <w:spacing w:before="0" w:after="0" w:line="360" w:lineRule="auto"/>
        <w:ind w:left="0" w:right="0" w:firstLine="480" w:firstLineChars="200"/>
        <w:jc w:val="both"/>
        <w:rPr>
          <w:rFonts w:hint="eastAsia" w:cs="Times New Roman"/>
          <w:sz w:val="24"/>
          <w:lang w:val="en-US" w:eastAsia="zh-CN"/>
        </w:rPr>
      </w:pPr>
      <w:r>
        <w:rPr>
          <w:rFonts w:hint="eastAsia" w:cs="Times New Roman"/>
          <w:sz w:val="24"/>
          <w:lang w:val="en-US" w:eastAsia="zh-CN"/>
        </w:rPr>
        <w:t>化学性、药物性废物贮存应符合GB 18597的要求。</w:t>
      </w:r>
    </w:p>
    <w:p w14:paraId="10442E5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rPr>
      </w:pPr>
      <w:r>
        <w:rPr>
          <w:rFonts w:hint="eastAsia" w:cs="Times New Roman"/>
          <w:color w:val="auto"/>
          <w:sz w:val="24"/>
          <w:szCs w:val="24"/>
          <w:lang w:val="en-US" w:eastAsia="zh-CN"/>
        </w:rPr>
        <w:t>本项目20m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医疗废物暂存间，医疗废物主要为防疫药剂废弃包装、消毒棉球和纱布及绷带、一次性注射器、医用手套和衣服等，无胎盘等易产生恶臭医疗废物，同时医疗废物均用医疗废物专用包装袋以及密封的医疗废物周转箱收集，因此带有病毒和致病细菌、真菌的废气较少，设置通风装置，医疗废物暂存间在贮存期间定期消毒，在完成清运后进行消毒。</w:t>
      </w:r>
    </w:p>
    <w:p w14:paraId="30AA1B91">
      <w:pPr>
        <w:keepNext w:val="0"/>
        <w:keepLines w:val="0"/>
        <w:pageBreakBefore w:val="0"/>
        <w:numPr>
          <w:ilvl w:val="0"/>
          <w:numId w:val="0"/>
        </w:numPr>
        <w:wordWrap/>
        <w:topLinePunct w:val="0"/>
        <w:bidi w:val="0"/>
        <w:adjustRightInd/>
        <w:snapToGrid/>
        <w:spacing w:line="360" w:lineRule="auto"/>
        <w:ind w:left="420" w:leftChars="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（3）堆肥间固废</w:t>
      </w:r>
    </w:p>
    <w:p w14:paraId="1DA850FA">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①除尘灰</w:t>
      </w:r>
    </w:p>
    <w:p w14:paraId="1A73B2B2">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yellow"/>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w:t>
      </w:r>
      <w:r>
        <w:rPr>
          <w:rFonts w:hint="eastAsia" w:cs="Times New Roman"/>
          <w:snapToGrid w:val="0"/>
          <w:color w:val="000000"/>
          <w:sz w:val="24"/>
          <w:szCs w:val="24"/>
          <w:highlight w:val="none"/>
          <w:lang w:val="en-US" w:eastAsia="zh-CN" w:bidi="ar-SA"/>
        </w:rPr>
        <w:t>堆肥间</w:t>
      </w:r>
      <w:r>
        <w:rPr>
          <w:rFonts w:hint="eastAsia" w:ascii="Times New Roman" w:hAnsi="Times New Roman" w:eastAsia="宋体" w:cs="Times New Roman"/>
          <w:color w:val="000000"/>
          <w:kern w:val="2"/>
          <w:sz w:val="24"/>
          <w:szCs w:val="24"/>
          <w:highlight w:val="none"/>
          <w:lang w:val="en-US" w:eastAsia="zh-CN" w:bidi="ar-SA"/>
        </w:rPr>
        <w:t>除尘器收集粉尘产生量约为</w:t>
      </w:r>
      <w:r>
        <w:rPr>
          <w:rFonts w:hint="eastAsia" w:cs="Times New Roman"/>
          <w:color w:val="000000"/>
          <w:kern w:val="2"/>
          <w:sz w:val="24"/>
          <w:szCs w:val="24"/>
          <w:highlight w:val="none"/>
          <w:lang w:val="en-US" w:eastAsia="zh-CN" w:bidi="ar-SA"/>
        </w:rPr>
        <w:t>1.19</w:t>
      </w:r>
      <w:r>
        <w:rPr>
          <w:rFonts w:hint="eastAsia" w:ascii="Times New Roman" w:hAnsi="Times New Roman" w:eastAsia="宋体" w:cs="Times New Roman"/>
          <w:color w:val="000000"/>
          <w:kern w:val="2"/>
          <w:sz w:val="24"/>
          <w:szCs w:val="24"/>
          <w:highlight w:val="none"/>
          <w:lang w:val="en-US" w:eastAsia="zh-CN" w:bidi="ar-SA"/>
        </w:rPr>
        <w:t>t/a，属于一般固废，经收集后暂存于堆肥间内，回用于</w:t>
      </w:r>
      <w:r>
        <w:rPr>
          <w:rFonts w:hint="eastAsia" w:cs="Times New Roman"/>
          <w:color w:val="000000"/>
          <w:kern w:val="2"/>
          <w:sz w:val="24"/>
          <w:szCs w:val="24"/>
          <w:highlight w:val="none"/>
          <w:lang w:val="en-US" w:eastAsia="zh-CN" w:bidi="ar-SA"/>
        </w:rPr>
        <w:t>堆肥</w:t>
      </w:r>
      <w:r>
        <w:rPr>
          <w:rFonts w:hint="eastAsia" w:ascii="Times New Roman" w:hAnsi="Times New Roman" w:eastAsia="宋体" w:cs="Times New Roman"/>
          <w:color w:val="auto"/>
          <w:highlight w:val="none"/>
          <w:lang w:val="en-US" w:eastAsia="zh-CN"/>
        </w:rPr>
        <w:t>。</w:t>
      </w:r>
    </w:p>
    <w:p w14:paraId="68577907">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②</w:t>
      </w:r>
      <w:r>
        <w:rPr>
          <w:rFonts w:hint="eastAsia" w:cs="Times New Roman"/>
          <w:snapToGrid w:val="0"/>
          <w:color w:val="000000"/>
          <w:sz w:val="24"/>
          <w:szCs w:val="24"/>
          <w:highlight w:val="none"/>
          <w:lang w:val="en-US" w:eastAsia="zh-CN" w:bidi="ar-SA"/>
        </w:rPr>
        <w:t>废布袋</w:t>
      </w:r>
    </w:p>
    <w:p w14:paraId="36CBD70B">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本项目袋式除尘器需定期更换布袋，会产生一定的废布袋，产生量约为0.</w:t>
      </w:r>
      <w:r>
        <w:rPr>
          <w:rFonts w:hint="eastAsia" w:cs="Times New Roman"/>
          <w:color w:val="000000"/>
          <w:kern w:val="2"/>
          <w:sz w:val="24"/>
          <w:szCs w:val="24"/>
          <w:highlight w:val="none"/>
          <w:lang w:val="en-US" w:eastAsia="zh-CN" w:bidi="ar-SA"/>
        </w:rPr>
        <w:t>2</w:t>
      </w:r>
      <w:r>
        <w:rPr>
          <w:rFonts w:hint="eastAsia" w:ascii="Times New Roman" w:hAnsi="Times New Roman" w:eastAsia="宋体" w:cs="Times New Roman"/>
          <w:color w:val="000000"/>
          <w:kern w:val="2"/>
          <w:sz w:val="24"/>
          <w:szCs w:val="24"/>
          <w:highlight w:val="none"/>
          <w:lang w:val="en-US" w:eastAsia="zh-CN" w:bidi="ar-SA"/>
        </w:rPr>
        <w:t>t/a，属于一般固废，经收集后暂存于堆肥间内，定期外售综合利用。</w:t>
      </w:r>
    </w:p>
    <w:p w14:paraId="20B05529">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snapToGrid w:val="0"/>
          <w:color w:val="000000"/>
          <w:sz w:val="24"/>
          <w:szCs w:val="24"/>
          <w:highlight w:val="none"/>
          <w:lang w:val="en-US" w:eastAsia="zh-CN" w:bidi="ar-SA"/>
        </w:rPr>
      </w:pPr>
      <w:r>
        <w:rPr>
          <w:rFonts w:hint="eastAsia" w:cs="Times New Roman"/>
          <w:snapToGrid w:val="0"/>
          <w:color w:val="000000"/>
          <w:sz w:val="24"/>
          <w:szCs w:val="24"/>
          <w:highlight w:val="none"/>
          <w:lang w:val="en-US" w:eastAsia="zh-CN" w:bidi="ar-SA"/>
        </w:rPr>
        <w:t>③</w:t>
      </w:r>
      <w:r>
        <w:rPr>
          <w:rFonts w:hint="eastAsia" w:ascii="Times New Roman" w:hAnsi="Times New Roman" w:eastAsia="宋体" w:cs="Times New Roman"/>
          <w:snapToGrid w:val="0"/>
          <w:color w:val="000000"/>
          <w:sz w:val="24"/>
          <w:szCs w:val="24"/>
          <w:highlight w:val="none"/>
          <w:lang w:val="en-US" w:eastAsia="zh-CN" w:bidi="ar-SA"/>
        </w:rPr>
        <w:t>废填料</w:t>
      </w:r>
    </w:p>
    <w:p w14:paraId="18D1107A">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本项目车间生物除臭填料需定期更换，填料主要为聚丙烯、陶粒、颗粒活性炭等惰性填料，由于除臭微生物对恶臭气体进行脱除，能够将含氮、硫等微生物在降解过程中形成酸性代谢污染物滤除干净，因此废填料不含有有毒有害气体，属于一般固废，产生量约为0.5t/a，集中收集后暂存于</w:t>
      </w:r>
      <w:r>
        <w:rPr>
          <w:rFonts w:hint="eastAsia" w:ascii="Times New Roman" w:hAnsi="Times New Roman" w:eastAsia="宋体" w:cs="Times New Roman"/>
          <w:color w:val="000000"/>
          <w:kern w:val="2"/>
          <w:sz w:val="24"/>
          <w:szCs w:val="24"/>
          <w:highlight w:val="none"/>
          <w:lang w:val="en-US" w:eastAsia="zh-CN" w:bidi="ar-SA"/>
        </w:rPr>
        <w:t>堆肥间</w:t>
      </w:r>
      <w:r>
        <w:rPr>
          <w:rFonts w:hint="eastAsia" w:ascii="Times New Roman" w:hAnsi="Times New Roman" w:eastAsia="宋体" w:cs="Times New Roman"/>
          <w:snapToGrid w:val="0"/>
          <w:color w:val="000000"/>
          <w:sz w:val="24"/>
          <w:szCs w:val="24"/>
          <w:highlight w:val="none"/>
          <w:lang w:val="en-US" w:eastAsia="zh-CN" w:bidi="ar-SA"/>
        </w:rPr>
        <w:t>内，定期外售回收单位综合利用。</w:t>
      </w:r>
    </w:p>
    <w:p w14:paraId="088C572F">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（4）饲料加工</w:t>
      </w:r>
      <w:r>
        <w:rPr>
          <w:rFonts w:hint="eastAsia" w:cs="Times New Roman"/>
          <w:snapToGrid w:val="0"/>
          <w:color w:val="000000"/>
          <w:sz w:val="24"/>
          <w:szCs w:val="24"/>
          <w:highlight w:val="none"/>
          <w:lang w:val="en-US" w:eastAsia="zh-CN" w:bidi="ar-SA"/>
        </w:rPr>
        <w:t>区</w:t>
      </w:r>
      <w:r>
        <w:rPr>
          <w:rFonts w:hint="eastAsia" w:ascii="Times New Roman" w:hAnsi="Times New Roman" w:eastAsia="宋体" w:cs="Times New Roman"/>
          <w:snapToGrid w:val="0"/>
          <w:color w:val="000000"/>
          <w:sz w:val="24"/>
          <w:szCs w:val="24"/>
          <w:highlight w:val="none"/>
          <w:lang w:val="en-US" w:eastAsia="zh-CN" w:bidi="ar-SA"/>
        </w:rPr>
        <w:t>固废</w:t>
      </w:r>
    </w:p>
    <w:p w14:paraId="5EFED9C9">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①除尘灰</w:t>
      </w:r>
    </w:p>
    <w:p w14:paraId="5C3A6956">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w:t>
      </w:r>
      <w:r>
        <w:rPr>
          <w:rFonts w:hint="eastAsia" w:ascii="Times New Roman" w:hAnsi="Times New Roman" w:eastAsia="宋体" w:cs="Times New Roman"/>
          <w:snapToGrid w:val="0"/>
          <w:color w:val="000000"/>
          <w:sz w:val="24"/>
          <w:szCs w:val="24"/>
          <w:highlight w:val="none"/>
          <w:lang w:val="en-US" w:eastAsia="zh-CN" w:bidi="ar-SA"/>
        </w:rPr>
        <w:t>饲料加工</w:t>
      </w:r>
      <w:r>
        <w:rPr>
          <w:rFonts w:hint="eastAsia" w:cs="Times New Roman"/>
          <w:snapToGrid w:val="0"/>
          <w:color w:val="000000"/>
          <w:sz w:val="24"/>
          <w:szCs w:val="24"/>
          <w:highlight w:val="none"/>
          <w:lang w:val="en-US" w:eastAsia="zh-CN" w:bidi="ar-SA"/>
        </w:rPr>
        <w:t>间</w:t>
      </w:r>
      <w:r>
        <w:rPr>
          <w:rFonts w:hint="eastAsia" w:ascii="Times New Roman" w:hAnsi="Times New Roman" w:eastAsia="宋体" w:cs="Times New Roman"/>
          <w:color w:val="000000"/>
          <w:kern w:val="2"/>
          <w:sz w:val="24"/>
          <w:szCs w:val="24"/>
          <w:highlight w:val="none"/>
          <w:lang w:val="en-US" w:eastAsia="zh-CN" w:bidi="ar-SA"/>
        </w:rPr>
        <w:t>除尘器收集粉尘产生量约为</w:t>
      </w:r>
      <w:r>
        <w:rPr>
          <w:rFonts w:hint="eastAsia" w:cs="Times New Roman"/>
          <w:color w:val="000000"/>
          <w:kern w:val="2"/>
          <w:sz w:val="24"/>
          <w:szCs w:val="24"/>
          <w:highlight w:val="none"/>
          <w:lang w:val="en-US" w:eastAsia="zh-CN" w:bidi="ar-SA"/>
        </w:rPr>
        <w:t>0.46</w:t>
      </w:r>
      <w:r>
        <w:rPr>
          <w:rFonts w:hint="eastAsia" w:ascii="Times New Roman" w:hAnsi="Times New Roman" w:eastAsia="宋体" w:cs="Times New Roman"/>
          <w:color w:val="000000"/>
          <w:kern w:val="2"/>
          <w:sz w:val="24"/>
          <w:szCs w:val="24"/>
          <w:highlight w:val="none"/>
          <w:lang w:val="en-US" w:eastAsia="zh-CN" w:bidi="ar-SA"/>
        </w:rPr>
        <w:t>t/a，属于一般固废，经收集后</w:t>
      </w:r>
      <w:r>
        <w:rPr>
          <w:rFonts w:hint="eastAsia" w:cs="Times New Roman"/>
          <w:color w:val="000000"/>
          <w:kern w:val="2"/>
          <w:sz w:val="24"/>
          <w:szCs w:val="24"/>
          <w:highlight w:val="none"/>
          <w:lang w:val="en-US" w:eastAsia="zh-CN" w:bidi="ar-SA"/>
        </w:rPr>
        <w:t>暂存于库房内，</w:t>
      </w:r>
      <w:r>
        <w:rPr>
          <w:rFonts w:hint="eastAsia" w:ascii="Times New Roman" w:hAnsi="Times New Roman" w:eastAsia="宋体" w:cs="Times New Roman"/>
          <w:color w:val="000000"/>
          <w:kern w:val="2"/>
          <w:sz w:val="24"/>
          <w:szCs w:val="24"/>
          <w:highlight w:val="none"/>
          <w:lang w:val="en-US" w:eastAsia="zh-CN" w:bidi="ar-SA"/>
        </w:rPr>
        <w:t>回用于</w:t>
      </w:r>
      <w:r>
        <w:rPr>
          <w:rFonts w:hint="eastAsia" w:cs="Times New Roman"/>
          <w:color w:val="000000"/>
          <w:kern w:val="2"/>
          <w:sz w:val="24"/>
          <w:szCs w:val="24"/>
          <w:highlight w:val="none"/>
          <w:lang w:val="en-US" w:eastAsia="zh-CN" w:bidi="ar-SA"/>
        </w:rPr>
        <w:t>饲料加工</w:t>
      </w:r>
      <w:r>
        <w:rPr>
          <w:rFonts w:hint="eastAsia" w:ascii="Times New Roman" w:hAnsi="Times New Roman" w:eastAsia="宋体" w:cs="Times New Roman"/>
          <w:color w:val="auto"/>
          <w:lang w:val="en-US" w:eastAsia="zh-CN"/>
        </w:rPr>
        <w:t>。</w:t>
      </w:r>
    </w:p>
    <w:p w14:paraId="56CD5AC9">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②</w:t>
      </w:r>
      <w:r>
        <w:rPr>
          <w:rFonts w:hint="eastAsia" w:cs="Times New Roman"/>
          <w:snapToGrid w:val="0"/>
          <w:color w:val="000000"/>
          <w:sz w:val="24"/>
          <w:szCs w:val="24"/>
          <w:highlight w:val="none"/>
          <w:lang w:val="en-US" w:eastAsia="zh-CN" w:bidi="ar-SA"/>
        </w:rPr>
        <w:t>废布袋</w:t>
      </w:r>
    </w:p>
    <w:p w14:paraId="1953425E">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lang w:val="en-US" w:eastAsia="zh-CN"/>
        </w:rPr>
      </w:pPr>
      <w:r>
        <w:rPr>
          <w:rFonts w:hint="eastAsia" w:ascii="Times New Roman" w:hAnsi="Times New Roman" w:eastAsia="宋体" w:cs="Times New Roman"/>
          <w:color w:val="000000"/>
          <w:kern w:val="2"/>
          <w:sz w:val="24"/>
          <w:szCs w:val="24"/>
          <w:highlight w:val="none"/>
          <w:lang w:val="en-US" w:eastAsia="zh-CN" w:bidi="ar-SA"/>
        </w:rPr>
        <w:t>本项目袋式除尘器需定期更换布袋，会产生一定的废布袋，产生量约为0.2t/a，属于一般固废，经收集后暂存于堆肥间内，由原厂回收。</w:t>
      </w:r>
    </w:p>
    <w:p w14:paraId="0854AAE3">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5.2.4.</w:t>
      </w:r>
      <w:r>
        <w:rPr>
          <w:rFonts w:hint="eastAsia"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固体废物环境影响分析</w:t>
      </w:r>
    </w:p>
    <w:p w14:paraId="55E450A9">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固体废物，特别是危险废物主要会对周边大气环境、地表水环境、土壤环境可能造成影响。</w:t>
      </w:r>
    </w:p>
    <w:p w14:paraId="3CADAB5E">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（1）</w:t>
      </w:r>
      <w:r>
        <w:rPr>
          <w:rFonts w:hint="default" w:ascii="Times New Roman" w:hAnsi="Times New Roman" w:eastAsia="宋体" w:cs="Times New Roman"/>
          <w:color w:val="000000"/>
          <w:kern w:val="2"/>
          <w:sz w:val="24"/>
          <w:szCs w:val="24"/>
          <w:highlight w:val="none"/>
          <w:lang w:val="en-US" w:eastAsia="zh-CN" w:bidi="ar-SA"/>
        </w:rPr>
        <w:t>大气环境的影响</w:t>
      </w:r>
    </w:p>
    <w:p w14:paraId="5C84DFDF">
      <w:pPr>
        <w:widowControl w:val="0"/>
        <w:spacing w:line="500" w:lineRule="exact"/>
        <w:ind w:firstLine="480" w:firstLineChars="200"/>
        <w:jc w:val="both"/>
        <w:rPr>
          <w:rFonts w:hint="eastAsia"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固体废物在堆放过程中，废物所含的细粒、粉末随风扬散；在废物运输及处理过程中缺少相应的防护和净化设施，释放有害气体和粉尘。</w:t>
      </w:r>
      <w:r>
        <w:rPr>
          <w:rFonts w:hint="eastAsia" w:ascii="Times New Roman" w:hAnsi="Times New Roman" w:eastAsia="宋体" w:cs="Times New Roman"/>
          <w:color w:val="000000"/>
          <w:kern w:val="2"/>
          <w:sz w:val="24"/>
          <w:szCs w:val="24"/>
          <w:highlight w:val="none"/>
          <w:lang w:val="en-US" w:eastAsia="zh-CN" w:bidi="ar-SA"/>
        </w:rPr>
        <w:t>本</w:t>
      </w:r>
      <w:r>
        <w:rPr>
          <w:rFonts w:hint="default" w:ascii="Times New Roman" w:hAnsi="Times New Roman" w:eastAsia="宋体" w:cs="Times New Roman"/>
          <w:color w:val="000000"/>
          <w:kern w:val="2"/>
          <w:sz w:val="24"/>
          <w:szCs w:val="24"/>
          <w:highlight w:val="none"/>
          <w:lang w:val="en-US" w:eastAsia="zh-CN" w:bidi="ar-SA"/>
        </w:rPr>
        <w:t>项目一般固废</w:t>
      </w:r>
      <w:r>
        <w:rPr>
          <w:rFonts w:hint="eastAsia" w:ascii="Times New Roman" w:hAnsi="Times New Roman" w:eastAsia="宋体" w:cs="Times New Roman"/>
          <w:color w:val="000000"/>
          <w:kern w:val="2"/>
          <w:sz w:val="24"/>
          <w:szCs w:val="24"/>
          <w:highlight w:val="none"/>
          <w:lang w:val="en-US" w:eastAsia="zh-CN" w:bidi="ar-SA"/>
        </w:rPr>
        <w:t>分别</w:t>
      </w:r>
      <w:r>
        <w:rPr>
          <w:rFonts w:hint="default" w:ascii="Times New Roman" w:hAnsi="Times New Roman" w:eastAsia="宋体" w:cs="Times New Roman"/>
          <w:color w:val="000000"/>
          <w:kern w:val="2"/>
          <w:sz w:val="24"/>
          <w:szCs w:val="24"/>
          <w:highlight w:val="none"/>
          <w:lang w:val="en-US" w:eastAsia="zh-CN" w:bidi="ar-SA"/>
        </w:rPr>
        <w:t>暂存</w:t>
      </w:r>
      <w:r>
        <w:rPr>
          <w:rFonts w:hint="eastAsia" w:ascii="Times New Roman" w:hAnsi="Times New Roman" w:eastAsia="宋体" w:cs="Times New Roman"/>
          <w:color w:val="000000"/>
          <w:kern w:val="2"/>
          <w:sz w:val="24"/>
          <w:szCs w:val="24"/>
          <w:highlight w:val="none"/>
          <w:lang w:val="en-US" w:eastAsia="zh-CN" w:bidi="ar-SA"/>
        </w:rPr>
        <w:t>在</w:t>
      </w:r>
      <w:r>
        <w:rPr>
          <w:rFonts w:hint="eastAsia" w:cs="Times New Roman"/>
          <w:color w:val="000000"/>
          <w:kern w:val="2"/>
          <w:sz w:val="24"/>
          <w:szCs w:val="24"/>
          <w:highlight w:val="none"/>
          <w:lang w:val="en-US" w:eastAsia="zh-CN" w:bidi="ar-SA"/>
        </w:rPr>
        <w:t>堆肥间</w:t>
      </w:r>
      <w:r>
        <w:rPr>
          <w:rFonts w:hint="eastAsia" w:ascii="Times New Roman" w:hAnsi="Times New Roman" w:eastAsia="宋体" w:cs="Times New Roman"/>
          <w:color w:val="000000"/>
          <w:kern w:val="2"/>
          <w:sz w:val="24"/>
          <w:szCs w:val="24"/>
          <w:highlight w:val="none"/>
          <w:lang w:val="en-US" w:eastAsia="zh-CN" w:bidi="ar-SA"/>
        </w:rPr>
        <w:t>内、</w:t>
      </w:r>
      <w:r>
        <w:rPr>
          <w:rFonts w:hint="eastAsia" w:cs="Times New Roman"/>
          <w:color w:val="000000"/>
          <w:kern w:val="2"/>
          <w:sz w:val="24"/>
          <w:szCs w:val="24"/>
          <w:highlight w:val="none"/>
          <w:lang w:val="en-US" w:eastAsia="zh-CN" w:bidi="ar-SA"/>
        </w:rPr>
        <w:t>库房</w:t>
      </w:r>
      <w:r>
        <w:rPr>
          <w:rFonts w:hint="eastAsia" w:ascii="Times New Roman" w:hAnsi="Times New Roman" w:eastAsia="宋体" w:cs="Times New Roman"/>
          <w:color w:val="000000"/>
          <w:kern w:val="2"/>
          <w:sz w:val="24"/>
          <w:szCs w:val="24"/>
          <w:highlight w:val="none"/>
          <w:lang w:val="en-US" w:eastAsia="zh-CN" w:bidi="ar-SA"/>
        </w:rPr>
        <w:t>内</w:t>
      </w:r>
      <w:r>
        <w:rPr>
          <w:rFonts w:hint="eastAsia" w:cs="Times New Roman"/>
          <w:color w:val="000000"/>
          <w:kern w:val="2"/>
          <w:sz w:val="24"/>
          <w:szCs w:val="24"/>
          <w:highlight w:val="none"/>
          <w:lang w:val="en-US" w:eastAsia="zh-CN" w:bidi="ar-SA"/>
        </w:rPr>
        <w:t>，堆肥间</w:t>
      </w:r>
      <w:r>
        <w:rPr>
          <w:rFonts w:hint="eastAsia" w:ascii="Times New Roman" w:hAnsi="Times New Roman" w:eastAsia="宋体" w:cs="Times New Roman"/>
          <w:color w:val="000000"/>
          <w:kern w:val="2"/>
          <w:sz w:val="24"/>
          <w:szCs w:val="24"/>
          <w:highlight w:val="none"/>
          <w:lang w:val="en-US" w:eastAsia="zh-CN" w:bidi="ar-SA"/>
        </w:rPr>
        <w:t>内、</w:t>
      </w:r>
      <w:r>
        <w:rPr>
          <w:rFonts w:hint="eastAsia" w:cs="Times New Roman"/>
          <w:color w:val="000000"/>
          <w:kern w:val="2"/>
          <w:sz w:val="24"/>
          <w:szCs w:val="24"/>
          <w:highlight w:val="none"/>
          <w:lang w:val="en-US" w:eastAsia="zh-CN" w:bidi="ar-SA"/>
        </w:rPr>
        <w:t>库房</w:t>
      </w:r>
      <w:r>
        <w:rPr>
          <w:rFonts w:hint="eastAsia" w:ascii="Times New Roman" w:hAnsi="Times New Roman" w:eastAsia="宋体" w:cs="Times New Roman"/>
          <w:color w:val="000000"/>
          <w:kern w:val="2"/>
          <w:sz w:val="24"/>
          <w:szCs w:val="24"/>
          <w:highlight w:val="none"/>
          <w:lang w:val="en-US" w:eastAsia="zh-CN" w:bidi="ar-SA"/>
        </w:rPr>
        <w:t>均进行防渗处理，防渗</w:t>
      </w:r>
      <w:r>
        <w:rPr>
          <w:rFonts w:hint="default" w:ascii="Times New Roman" w:hAnsi="Times New Roman" w:eastAsia="宋体" w:cs="Times New Roman"/>
          <w:color w:val="000000"/>
          <w:kern w:val="2"/>
          <w:sz w:val="24"/>
          <w:szCs w:val="20"/>
          <w:highlight w:val="none"/>
          <w:lang w:val="en-US" w:eastAsia="zh-CN"/>
        </w:rPr>
        <w:t>采用厚度Mb=1.5m，渗透系数K≤10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cm/s防渗等效的20cm厚P4等级混凝土进行防渗。防渗技术要求为：等效黏土防渗层Mb≥1.5m，K≤1×10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，满足《一般工业固体废物贮存和填埋污染控制标准》（GB18599-2020）贮存要求</w:t>
      </w:r>
      <w:r>
        <w:rPr>
          <w:rFonts w:hint="eastAsia" w:cs="Times New Roman"/>
          <w:color w:val="000000"/>
          <w:kern w:val="2"/>
          <w:sz w:val="24"/>
          <w:szCs w:val="24"/>
          <w:highlight w:val="none"/>
          <w:lang w:val="en-US" w:eastAsia="zh-CN" w:bidi="ar-SA"/>
        </w:rPr>
        <w:t>。</w:t>
      </w:r>
    </w:p>
    <w:p w14:paraId="1733A134">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设置</w:t>
      </w:r>
      <w:r>
        <w:rPr>
          <w:rFonts w:hint="eastAsia" w:ascii="Times New Roman" w:hAnsi="Times New Roman" w:eastAsia="宋体" w:cs="Times New Roman"/>
          <w:color w:val="000000"/>
          <w:kern w:val="2"/>
          <w:sz w:val="24"/>
          <w:szCs w:val="24"/>
          <w:highlight w:val="none"/>
          <w:lang w:val="en-US" w:eastAsia="zh-CN" w:bidi="ar-SA"/>
        </w:rPr>
        <w:t>医疗废物暂存间</w:t>
      </w:r>
      <w:r>
        <w:rPr>
          <w:rFonts w:hint="default"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sz w:val="24"/>
        </w:rPr>
        <w:t>按照《医疗废物集中处置技术规范（试行）》规定，设置医疗废物暂时贮存库房，对医疗废弃物进行分类暂存</w:t>
      </w:r>
      <w:r>
        <w:rPr>
          <w:rFonts w:hint="eastAsia" w:ascii="Times New Roman" w:hAnsi="Times New Roman" w:eastAsia="宋体" w:cs="Times New Roman"/>
          <w:color w:val="000000"/>
          <w:sz w:val="24"/>
          <w:lang w:eastAsia="zh-CN"/>
        </w:rPr>
        <w:t>，</w:t>
      </w:r>
      <w:r>
        <w:rPr>
          <w:rFonts w:hint="eastAsia" w:cs="Times New Roman"/>
          <w:color w:val="000000"/>
          <w:sz w:val="24"/>
          <w:lang w:val="en-US" w:eastAsia="zh-CN"/>
        </w:rPr>
        <w:t>同时</w:t>
      </w:r>
      <w:r>
        <w:rPr>
          <w:rFonts w:hint="default" w:ascii="Times New Roman" w:hAnsi="Times New Roman" w:eastAsia="宋体" w:cs="Times New Roman"/>
          <w:color w:val="000000"/>
          <w:sz w:val="24"/>
          <w:szCs w:val="24"/>
          <w:highlight w:val="none"/>
          <w:lang w:val="en-US" w:eastAsia="zh-CN" w:bidi="ar-SA"/>
        </w:rPr>
        <w:t>在厂区内的贮存执行《危险废物贮存污染控制标准》（GB18597-2023）</w:t>
      </w:r>
      <w:r>
        <w:rPr>
          <w:rFonts w:hint="default" w:ascii="Times New Roman" w:hAnsi="Times New Roman" w:eastAsia="宋体" w:cs="Times New Roman"/>
          <w:color w:val="000000"/>
          <w:kern w:val="2"/>
          <w:sz w:val="24"/>
          <w:szCs w:val="24"/>
          <w:highlight w:val="none"/>
          <w:lang w:val="en-US" w:eastAsia="zh-CN" w:bidi="ar-SA"/>
        </w:rPr>
        <w:t>，并采取防风、防雨、防漏等措施，暂存能力满足要求，由处置单位专用车辆或由处置单位委托具有危险货物运输资质的单位运输危险废物。</w:t>
      </w:r>
    </w:p>
    <w:p w14:paraId="5A222CD9">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cs="Times New Roman"/>
          <w:color w:val="000000"/>
          <w:kern w:val="2"/>
          <w:sz w:val="24"/>
          <w:szCs w:val="24"/>
          <w:highlight w:val="none"/>
          <w:lang w:val="en-US" w:eastAsia="zh-CN" w:bidi="ar-SA"/>
        </w:rPr>
        <w:t>设置危险废物贮存点，按照</w:t>
      </w:r>
      <w:r>
        <w:rPr>
          <w:rFonts w:hint="default" w:ascii="Times New Roman" w:hAnsi="Times New Roman" w:eastAsia="宋体" w:cs="Times New Roman"/>
          <w:color w:val="000000"/>
          <w:sz w:val="24"/>
          <w:szCs w:val="24"/>
          <w:highlight w:val="none"/>
          <w:lang w:val="en-US" w:eastAsia="zh-CN" w:bidi="ar-SA"/>
        </w:rPr>
        <w:t>《危险废物贮存污染控制标准》（GB18597-2023）</w:t>
      </w:r>
      <w:r>
        <w:rPr>
          <w:rFonts w:hint="eastAsia" w:ascii="Times New Roman" w:hAnsi="Times New Roman" w:eastAsia="宋体" w:cs="Times New Roman"/>
          <w:color w:val="000000"/>
          <w:sz w:val="24"/>
          <w:szCs w:val="24"/>
          <w:highlight w:val="none"/>
          <w:lang w:val="en-US" w:eastAsia="zh-CN" w:bidi="ar-SA"/>
        </w:rPr>
        <w:t>设置</w:t>
      </w:r>
      <w:r>
        <w:rPr>
          <w:rFonts w:hint="default" w:ascii="Times New Roman" w:hAnsi="Times New Roman" w:eastAsia="宋体" w:cs="Times New Roman"/>
          <w:color w:val="auto"/>
          <w:kern w:val="2"/>
          <w:sz w:val="24"/>
          <w:szCs w:val="24"/>
          <w:highlight w:val="none"/>
          <w:lang w:val="en-US" w:eastAsia="zh-CN" w:bidi="ar-SA"/>
        </w:rPr>
        <w:t>防风、防晒、防雨、防漏、防渗、防腐以及其他环境污染防治措施，</w:t>
      </w:r>
      <w:r>
        <w:rPr>
          <w:rFonts w:hint="default" w:ascii="Times New Roman" w:hAnsi="Times New Roman" w:eastAsia="宋体" w:cs="Times New Roman"/>
          <w:color w:val="000000"/>
          <w:kern w:val="2"/>
          <w:sz w:val="24"/>
          <w:szCs w:val="24"/>
          <w:highlight w:val="none"/>
          <w:lang w:val="en-US" w:eastAsia="zh-CN" w:bidi="ar-SA"/>
        </w:rPr>
        <w:t>暂存能力满足要求，由处置单位专用车辆或由处置单位委托具有危险货物运输资质的单位运输危险废物。</w:t>
      </w:r>
    </w:p>
    <w:p w14:paraId="74214267">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因此，</w:t>
      </w:r>
      <w:r>
        <w:rPr>
          <w:rFonts w:hint="eastAsia" w:ascii="Times New Roman" w:hAnsi="Times New Roman" w:eastAsia="宋体" w:cs="Times New Roman"/>
          <w:color w:val="000000"/>
          <w:kern w:val="2"/>
          <w:sz w:val="24"/>
          <w:szCs w:val="24"/>
          <w:highlight w:val="none"/>
          <w:lang w:val="en-US" w:eastAsia="zh-CN" w:bidi="ar-SA"/>
        </w:rPr>
        <w:t>本</w:t>
      </w:r>
      <w:r>
        <w:rPr>
          <w:rFonts w:hint="default" w:ascii="Times New Roman" w:hAnsi="Times New Roman" w:eastAsia="宋体" w:cs="Times New Roman"/>
          <w:color w:val="000000"/>
          <w:kern w:val="2"/>
          <w:sz w:val="24"/>
          <w:szCs w:val="24"/>
          <w:highlight w:val="none"/>
          <w:lang w:val="en-US" w:eastAsia="zh-CN" w:bidi="ar-SA"/>
        </w:rPr>
        <w:t>项目固体废物对大气环境的影响较小。</w:t>
      </w:r>
    </w:p>
    <w:p w14:paraId="43872C41">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地表水的影响</w:t>
      </w:r>
    </w:p>
    <w:p w14:paraId="19AEDC69">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若不重视监管，将</w:t>
      </w:r>
      <w:r>
        <w:rPr>
          <w:rFonts w:hint="eastAsia" w:cs="Times New Roman"/>
          <w:color w:val="000000"/>
          <w:kern w:val="2"/>
          <w:sz w:val="24"/>
          <w:szCs w:val="24"/>
          <w:highlight w:val="none"/>
          <w:lang w:val="en-US" w:eastAsia="zh-CN" w:bidi="ar-SA"/>
        </w:rPr>
        <w:t>固体废物</w:t>
      </w:r>
      <w:r>
        <w:rPr>
          <w:rFonts w:hint="default" w:ascii="Times New Roman" w:hAnsi="Times New Roman" w:eastAsia="宋体" w:cs="Times New Roman"/>
          <w:color w:val="000000"/>
          <w:kern w:val="2"/>
          <w:sz w:val="24"/>
          <w:szCs w:val="24"/>
          <w:highlight w:val="none"/>
          <w:lang w:val="en-US" w:eastAsia="zh-CN" w:bidi="ar-SA"/>
        </w:rPr>
        <w:t>直接排入自然水体或是露天堆放的固体废物被地表径流携带进入水体或是堆放过</w:t>
      </w:r>
      <w:r>
        <w:rPr>
          <w:rFonts w:hint="eastAsia" w:cs="Times New Roman"/>
          <w:color w:val="000000"/>
          <w:kern w:val="2"/>
          <w:sz w:val="24"/>
          <w:szCs w:val="24"/>
          <w:highlight w:val="none"/>
          <w:lang w:val="en-US" w:eastAsia="zh-CN" w:bidi="ar-SA"/>
        </w:rPr>
        <w:t>程中</w:t>
      </w:r>
      <w:r>
        <w:rPr>
          <w:rFonts w:hint="default" w:ascii="Times New Roman" w:hAnsi="Times New Roman" w:eastAsia="宋体" w:cs="Times New Roman"/>
          <w:color w:val="000000"/>
          <w:kern w:val="2"/>
          <w:sz w:val="24"/>
          <w:szCs w:val="24"/>
          <w:highlight w:val="none"/>
          <w:lang w:val="en-US" w:eastAsia="zh-CN" w:bidi="ar-SA"/>
        </w:rPr>
        <w:t>飘入空中的废物细小颗粒，通过降雨的冲洗沉积、凝雨沉积以及重力沉降和干沉积而落入地表水系，水体都可溶入有害成分，毒害水生生物，造成水体富营养化，导致生物死亡等。</w:t>
      </w:r>
      <w:r>
        <w:rPr>
          <w:rFonts w:hint="eastAsia" w:ascii="Times New Roman" w:hAnsi="Times New Roman" w:eastAsia="宋体" w:cs="Times New Roman"/>
          <w:color w:val="000000"/>
          <w:kern w:val="2"/>
          <w:sz w:val="24"/>
          <w:szCs w:val="24"/>
          <w:highlight w:val="none"/>
          <w:lang w:val="en-US" w:eastAsia="zh-CN" w:bidi="ar-SA"/>
        </w:rPr>
        <w:t>本</w:t>
      </w:r>
      <w:r>
        <w:rPr>
          <w:rFonts w:hint="default" w:ascii="Times New Roman" w:hAnsi="Times New Roman" w:eastAsia="宋体" w:cs="Times New Roman"/>
          <w:color w:val="000000"/>
          <w:kern w:val="2"/>
          <w:sz w:val="24"/>
          <w:szCs w:val="24"/>
          <w:highlight w:val="none"/>
          <w:lang w:val="en-US" w:eastAsia="zh-CN" w:bidi="ar-SA"/>
        </w:rPr>
        <w:t>项目</w:t>
      </w:r>
      <w:r>
        <w:rPr>
          <w:rFonts w:hint="eastAsia" w:ascii="Times New Roman" w:hAnsi="Times New Roman" w:eastAsia="宋体" w:cs="Times New Roman"/>
          <w:color w:val="000000"/>
          <w:kern w:val="2"/>
          <w:sz w:val="24"/>
          <w:szCs w:val="24"/>
          <w:highlight w:val="none"/>
          <w:lang w:val="en-US" w:eastAsia="zh-CN" w:bidi="ar-SA"/>
        </w:rPr>
        <w:t>固废暂存设施设置分区防渗</w:t>
      </w:r>
      <w:r>
        <w:rPr>
          <w:rFonts w:hint="default" w:ascii="Times New Roman" w:hAnsi="Times New Roman" w:eastAsia="宋体" w:cs="Times New Roman"/>
          <w:color w:val="000000"/>
          <w:kern w:val="2"/>
          <w:sz w:val="24"/>
          <w:szCs w:val="24"/>
          <w:highlight w:val="none"/>
          <w:lang w:val="en-US" w:eastAsia="zh-CN" w:bidi="ar-SA"/>
        </w:rPr>
        <w:t>，因此，固体废物直接排入自然水体</w:t>
      </w:r>
      <w:r>
        <w:rPr>
          <w:rFonts w:hint="eastAsia" w:cs="Times New Roman"/>
          <w:color w:val="000000"/>
          <w:kern w:val="2"/>
          <w:sz w:val="24"/>
          <w:szCs w:val="24"/>
          <w:highlight w:val="none"/>
          <w:lang w:val="en-US" w:eastAsia="zh-CN" w:bidi="ar-SA"/>
        </w:rPr>
        <w:t>或</w:t>
      </w:r>
      <w:r>
        <w:rPr>
          <w:rFonts w:hint="default" w:ascii="Times New Roman" w:hAnsi="Times New Roman" w:eastAsia="宋体" w:cs="Times New Roman"/>
          <w:color w:val="000000"/>
          <w:kern w:val="2"/>
          <w:sz w:val="24"/>
          <w:szCs w:val="24"/>
          <w:highlight w:val="none"/>
          <w:lang w:val="en-US" w:eastAsia="zh-CN" w:bidi="ar-SA"/>
        </w:rPr>
        <w:t>露天堆放的可能性很小，因此固废对地表水的影响很小。</w:t>
      </w:r>
    </w:p>
    <w:p w14:paraId="0B0DE0E9">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（3）</w:t>
      </w:r>
      <w:r>
        <w:rPr>
          <w:rFonts w:hint="default" w:ascii="Times New Roman" w:hAnsi="Times New Roman" w:eastAsia="宋体" w:cs="Times New Roman"/>
          <w:color w:val="000000"/>
          <w:kern w:val="2"/>
          <w:sz w:val="24"/>
          <w:szCs w:val="24"/>
          <w:highlight w:val="none"/>
          <w:lang w:val="en-US" w:eastAsia="zh-CN" w:bidi="ar-SA"/>
        </w:rPr>
        <w:t>土壤环境的影响</w:t>
      </w:r>
    </w:p>
    <w:p w14:paraId="4812A5CD">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固体废物的长期露天堆放，其有害成分通过地表径流和雨水的淋溶、渗透作用，通过土壤孔隙向四周和纵深的土壤迁移。在迁移过程中，由于土壤的吸附能力和吸附容量很大，固体废物随着渗滤水在地下水中的迁移，使有害成分在土壤固相中呈现不同程度的积累，导致土壤成分和结构的改变，间接又对在该土壤上生长的植物及土壤中的动物、微生物产生了危害。</w:t>
      </w:r>
      <w:r>
        <w:rPr>
          <w:rFonts w:hint="eastAsia" w:ascii="Times New Roman" w:hAnsi="Times New Roman" w:eastAsia="宋体" w:cs="Times New Roman"/>
          <w:color w:val="000000"/>
          <w:kern w:val="2"/>
          <w:sz w:val="24"/>
          <w:szCs w:val="24"/>
          <w:highlight w:val="none"/>
          <w:lang w:val="en-US" w:eastAsia="zh-CN" w:bidi="ar-SA"/>
        </w:rPr>
        <w:t>本</w:t>
      </w:r>
      <w:r>
        <w:rPr>
          <w:rFonts w:hint="default" w:ascii="Times New Roman" w:hAnsi="Times New Roman" w:eastAsia="宋体" w:cs="Times New Roman"/>
          <w:color w:val="000000"/>
          <w:kern w:val="2"/>
          <w:sz w:val="24"/>
          <w:szCs w:val="24"/>
          <w:highlight w:val="none"/>
          <w:lang w:val="en-US" w:eastAsia="zh-CN" w:bidi="ar-SA"/>
        </w:rPr>
        <w:t>项目产生一般固废和危险废物均暂存于满足要求的暂存</w:t>
      </w:r>
      <w:r>
        <w:rPr>
          <w:rFonts w:hint="eastAsia" w:ascii="Times New Roman" w:hAnsi="Times New Roman" w:eastAsia="宋体" w:cs="Times New Roman"/>
          <w:color w:val="000000"/>
          <w:kern w:val="2"/>
          <w:sz w:val="24"/>
          <w:szCs w:val="24"/>
          <w:highlight w:val="none"/>
          <w:lang w:val="en-US" w:eastAsia="zh-CN" w:bidi="ar-SA"/>
        </w:rPr>
        <w:t>区、暂存间</w:t>
      </w:r>
      <w:r>
        <w:rPr>
          <w:rFonts w:hint="eastAsia" w:cs="Times New Roman"/>
          <w:color w:val="000000"/>
          <w:kern w:val="2"/>
          <w:sz w:val="24"/>
          <w:szCs w:val="24"/>
          <w:highlight w:val="none"/>
          <w:lang w:val="en-US" w:eastAsia="zh-CN" w:bidi="ar-SA"/>
        </w:rPr>
        <w:t>以及贮存点</w:t>
      </w:r>
      <w:r>
        <w:rPr>
          <w:rFonts w:hint="eastAsia" w:ascii="Times New Roman" w:hAnsi="Times New Roman" w:eastAsia="宋体" w:cs="Times New Roman"/>
          <w:color w:val="000000"/>
          <w:kern w:val="2"/>
          <w:sz w:val="24"/>
          <w:szCs w:val="24"/>
          <w:highlight w:val="none"/>
          <w:lang w:val="en-US" w:eastAsia="zh-CN" w:bidi="ar-SA"/>
        </w:rPr>
        <w:t>内</w:t>
      </w:r>
      <w:r>
        <w:rPr>
          <w:rFonts w:hint="default" w:ascii="Times New Roman" w:hAnsi="Times New Roman" w:eastAsia="宋体" w:cs="Times New Roman"/>
          <w:color w:val="000000"/>
          <w:kern w:val="2"/>
          <w:sz w:val="24"/>
          <w:szCs w:val="24"/>
          <w:highlight w:val="none"/>
          <w:lang w:val="en-US" w:eastAsia="zh-CN" w:bidi="ar-SA"/>
        </w:rPr>
        <w:t>，采取防风、防雨措施，不存在露天堆放，因此，固体废物特别是危险废物的有害成分进入土壤环境的可能性较小，对周边土壤环境的影响较小。</w:t>
      </w:r>
    </w:p>
    <w:p w14:paraId="78E7ADE7">
      <w:pPr>
        <w:widowControl w:val="0"/>
        <w:spacing w:line="500" w:lineRule="exact"/>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外运的固体废物使用专用车辆进行运输，同时运输过程中注意遮盖，避免物料遗撒，防止运输途中产生扬尘，污染道路沿线的大气环境。另外要求在厂区内暂时存放固体废物特别是危险废物期间应加强管理，分类收集，及时处理，严格执行《危险废物贮存污染控制标准》</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GB18597-20</w:t>
      </w:r>
      <w:r>
        <w:rPr>
          <w:rFonts w:hint="eastAsia" w:ascii="Times New Roman" w:hAnsi="Times New Roman" w:eastAsia="宋体" w:cs="Times New Roman"/>
          <w:color w:val="000000"/>
          <w:kern w:val="2"/>
          <w:sz w:val="24"/>
          <w:szCs w:val="24"/>
          <w:highlight w:val="none"/>
          <w:lang w:val="en-US" w:eastAsia="zh-CN" w:bidi="ar-SA"/>
        </w:rPr>
        <w:t>23）</w:t>
      </w:r>
      <w:r>
        <w:rPr>
          <w:rFonts w:hint="default" w:ascii="Times New Roman" w:hAnsi="Times New Roman" w:eastAsia="宋体" w:cs="Times New Roman"/>
          <w:color w:val="000000"/>
          <w:kern w:val="2"/>
          <w:sz w:val="24"/>
          <w:szCs w:val="24"/>
          <w:highlight w:val="none"/>
          <w:lang w:val="en-US" w:eastAsia="zh-CN" w:bidi="ar-SA"/>
        </w:rPr>
        <w:t>、《一般工业固体废物贮存和填埋污染控制标准》</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GB18599-2020</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等相关要求，堆放场地应设有防渗、防流失措施；在清运过程中，</w:t>
      </w:r>
      <w:r>
        <w:rPr>
          <w:rFonts w:hint="eastAsia" w:cs="Times New Roman"/>
          <w:color w:val="000000"/>
          <w:kern w:val="2"/>
          <w:sz w:val="24"/>
          <w:szCs w:val="24"/>
          <w:highlight w:val="none"/>
          <w:lang w:val="en-US" w:eastAsia="zh-CN" w:bidi="ar-SA"/>
        </w:rPr>
        <w:t>要</w:t>
      </w:r>
      <w:r>
        <w:rPr>
          <w:rFonts w:hint="default" w:ascii="Times New Roman" w:hAnsi="Times New Roman" w:eastAsia="宋体" w:cs="Times New Roman"/>
          <w:color w:val="000000"/>
          <w:kern w:val="2"/>
          <w:sz w:val="24"/>
          <w:szCs w:val="24"/>
          <w:highlight w:val="none"/>
          <w:lang w:val="en-US" w:eastAsia="zh-CN" w:bidi="ar-SA"/>
        </w:rPr>
        <w:t>做好密闭措施，防止固废散发出臭味或</w:t>
      </w:r>
      <w:r>
        <w:rPr>
          <w:rFonts w:hint="eastAsia" w:cs="Times New Roman"/>
          <w:color w:val="000000"/>
          <w:kern w:val="2"/>
          <w:sz w:val="24"/>
          <w:szCs w:val="24"/>
          <w:highlight w:val="none"/>
          <w:lang w:val="en-US" w:eastAsia="zh-CN" w:bidi="ar-SA"/>
        </w:rPr>
        <w:t>抛撒</w:t>
      </w:r>
      <w:r>
        <w:rPr>
          <w:rFonts w:hint="default" w:ascii="Times New Roman" w:hAnsi="Times New Roman" w:eastAsia="宋体" w:cs="Times New Roman"/>
          <w:color w:val="000000"/>
          <w:kern w:val="2"/>
          <w:sz w:val="24"/>
          <w:szCs w:val="24"/>
          <w:highlight w:val="none"/>
          <w:lang w:val="en-US" w:eastAsia="zh-CN" w:bidi="ar-SA"/>
        </w:rPr>
        <w:t>遗漏而导致污染扩散。</w:t>
      </w:r>
    </w:p>
    <w:p w14:paraId="2137BD67">
      <w:pPr>
        <w:pageBreakBefore w:val="0"/>
        <w:kinsoku/>
        <w:wordWrap/>
        <w:topLinePunct w:val="0"/>
        <w:bidi w:val="0"/>
        <w:adjustRightInd/>
        <w:snapToGrid/>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综上所述，从固体废物处理途径可知，本项目固体废物可全部得到综合利用和合理处置，对周围环境影响较小。</w:t>
      </w:r>
    </w:p>
    <w:p w14:paraId="542F07C5">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ascii="Times New Roman" w:hAnsi="Times New Roman" w:eastAsia="宋体" w:cs="Times New Roman"/>
          <w:b/>
          <w:kern w:val="0"/>
          <w:sz w:val="24"/>
          <w:szCs w:val="24"/>
          <w:lang w:val="en-US" w:eastAsia="zh-CN" w:bidi="ar-SA"/>
        </w:rPr>
        <w:t>4.</w:t>
      </w:r>
      <w:r>
        <w:rPr>
          <w:rFonts w:hint="eastAsia" w:cs="Times New Roman"/>
          <w:b/>
          <w:kern w:val="0"/>
          <w:sz w:val="24"/>
          <w:szCs w:val="24"/>
          <w:lang w:val="en-US" w:eastAsia="zh-CN" w:bidi="ar-SA"/>
        </w:rPr>
        <w:t>3</w:t>
      </w:r>
      <w:r>
        <w:rPr>
          <w:rFonts w:hint="eastAsia" w:ascii="Times New Roman" w:hAnsi="Times New Roman" w:eastAsia="宋体" w:cs="Times New Roman"/>
          <w:b/>
          <w:kern w:val="0"/>
          <w:sz w:val="24"/>
          <w:szCs w:val="24"/>
          <w:lang w:val="en-US" w:eastAsia="zh-CN" w:bidi="ar-SA"/>
        </w:rPr>
        <w:t>运输过程的环境</w:t>
      </w:r>
      <w:r>
        <w:rPr>
          <w:rFonts w:hint="default" w:ascii="Times New Roman" w:hAnsi="Times New Roman" w:eastAsia="宋体" w:cs="Times New Roman"/>
          <w:b/>
          <w:kern w:val="0"/>
          <w:sz w:val="24"/>
          <w:szCs w:val="24"/>
          <w:lang w:val="en-US" w:eastAsia="zh-CN" w:bidi="ar-SA"/>
        </w:rPr>
        <w:t>影响</w:t>
      </w:r>
      <w:r>
        <w:rPr>
          <w:rFonts w:hint="eastAsia" w:ascii="Times New Roman" w:hAnsi="Times New Roman" w:eastAsia="宋体" w:cs="Times New Roman"/>
          <w:b/>
          <w:kern w:val="0"/>
          <w:sz w:val="24"/>
          <w:szCs w:val="24"/>
          <w:lang w:val="en-US" w:eastAsia="zh-CN" w:bidi="ar-SA"/>
        </w:rPr>
        <w:t>分析</w:t>
      </w:r>
    </w:p>
    <w:p w14:paraId="1579C298">
      <w:pPr>
        <w:widowControl w:val="0"/>
        <w:spacing w:line="50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厂区内</w:t>
      </w:r>
      <w:r>
        <w:rPr>
          <w:rFonts w:hint="eastAsia" w:ascii="Times New Roman" w:hAnsi="Times New Roman" w:eastAsia="宋体" w:cs="Times New Roman"/>
          <w:color w:val="auto"/>
          <w:kern w:val="2"/>
          <w:sz w:val="24"/>
          <w:szCs w:val="24"/>
          <w:highlight w:val="none"/>
          <w:lang w:val="en-US" w:eastAsia="zh-CN" w:bidi="ar-SA"/>
        </w:rPr>
        <w:t>的固体废物</w:t>
      </w:r>
      <w:r>
        <w:rPr>
          <w:rFonts w:hint="default" w:ascii="Times New Roman" w:hAnsi="Times New Roman" w:eastAsia="宋体" w:cs="Times New Roman"/>
          <w:color w:val="auto"/>
          <w:kern w:val="2"/>
          <w:sz w:val="24"/>
          <w:szCs w:val="24"/>
          <w:highlight w:val="none"/>
          <w:lang w:val="en-US" w:eastAsia="zh-CN" w:bidi="ar-SA"/>
        </w:rPr>
        <w:t>产生后分类收集在密闭容器内，通过叉车运输至贮存</w:t>
      </w:r>
      <w:r>
        <w:rPr>
          <w:rFonts w:hint="eastAsia" w:ascii="Times New Roman" w:hAnsi="Times New Roman" w:cs="Times New Roman"/>
          <w:color w:val="auto"/>
          <w:kern w:val="2"/>
          <w:sz w:val="24"/>
          <w:szCs w:val="24"/>
          <w:highlight w:val="none"/>
          <w:lang w:val="en-US" w:eastAsia="zh-CN" w:bidi="ar-SA"/>
        </w:rPr>
        <w:t>库</w:t>
      </w:r>
      <w:r>
        <w:rPr>
          <w:rFonts w:hint="default" w:ascii="Times New Roman" w:hAnsi="Times New Roman" w:eastAsia="宋体" w:cs="Times New Roman"/>
          <w:color w:val="auto"/>
          <w:kern w:val="2"/>
          <w:sz w:val="24"/>
          <w:szCs w:val="24"/>
          <w:highlight w:val="none"/>
          <w:lang w:val="en-US" w:eastAsia="zh-CN" w:bidi="ar-SA"/>
        </w:rPr>
        <w:t>。厂内危险废物的运输均由专人管理，执行《工业企业厂内铁路、道路运输安全规程》（GB4387-2008）的各项要求，运输过程中发生散落、泄漏事故的可能性较低；发生散落、泄漏事故的情况下，负责操作的人员可立即发现，对泄漏的物料进行及时收集和清理，因此厂区内运输时的泄漏事故产生的影响持续时间短，同时由于容器规格小，产生的影响对周边环境产生影响的范围有限，经过及时的应急处理后，产生的影响可以逐渐消失。</w:t>
      </w:r>
    </w:p>
    <w:p w14:paraId="7FB3558E">
      <w:pPr>
        <w:widowControl w:val="0"/>
        <w:spacing w:line="50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危险废物</w:t>
      </w:r>
      <w:r>
        <w:rPr>
          <w:rFonts w:hint="default" w:ascii="Times New Roman" w:hAnsi="Times New Roman" w:eastAsia="宋体" w:cs="Times New Roman"/>
          <w:color w:val="auto"/>
          <w:kern w:val="2"/>
          <w:sz w:val="24"/>
          <w:szCs w:val="24"/>
          <w:highlight w:val="none"/>
          <w:lang w:val="en-US" w:eastAsia="zh-CN" w:bidi="ar-SA"/>
        </w:rPr>
        <w:t>外运处置时根据规定均委托有运输资质的单位对</w:t>
      </w:r>
      <w:r>
        <w:rPr>
          <w:rFonts w:hint="eastAsia" w:ascii="Times New Roman" w:hAnsi="Times New Roman" w:cs="Times New Roman"/>
          <w:color w:val="auto"/>
          <w:kern w:val="2"/>
          <w:sz w:val="24"/>
          <w:szCs w:val="24"/>
          <w:highlight w:val="none"/>
          <w:lang w:val="en-US" w:eastAsia="zh-CN" w:bidi="ar-SA"/>
        </w:rPr>
        <w:t>危险废物</w:t>
      </w:r>
      <w:r>
        <w:rPr>
          <w:rFonts w:hint="default" w:ascii="Times New Roman" w:hAnsi="Times New Roman" w:eastAsia="宋体" w:cs="Times New Roman"/>
          <w:color w:val="auto"/>
          <w:kern w:val="2"/>
          <w:sz w:val="24"/>
          <w:szCs w:val="24"/>
          <w:highlight w:val="none"/>
          <w:lang w:val="en-US" w:eastAsia="zh-CN" w:bidi="ar-SA"/>
        </w:rPr>
        <w:t>进行转移运输，执行《危险废物收集</w:t>
      </w:r>
      <w:r>
        <w:rPr>
          <w:rFonts w:hint="eastAsia"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贮存</w:t>
      </w:r>
      <w:r>
        <w:rPr>
          <w:rFonts w:hint="eastAsia"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运输技术规范》（HJ2025-2012）的要求，根据《危险废物转移管理办法》应当通过国家危险废物信息管理系统（以下简称信息系统）填写、运行危险废物电子转移联单</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由运输单位对运输过程进行严格的环境管理，避免</w:t>
      </w:r>
      <w:r>
        <w:rPr>
          <w:rFonts w:hint="eastAsia" w:ascii="Times New Roman" w:hAnsi="Times New Roman" w:eastAsia="宋体" w:cs="Times New Roman"/>
          <w:color w:val="auto"/>
          <w:kern w:val="2"/>
          <w:sz w:val="24"/>
          <w:szCs w:val="24"/>
          <w:highlight w:val="none"/>
          <w:lang w:val="en-US" w:eastAsia="zh-CN" w:bidi="ar-SA"/>
        </w:rPr>
        <w:t>产生环</w:t>
      </w:r>
      <w:r>
        <w:rPr>
          <w:rFonts w:hint="default" w:ascii="Times New Roman" w:hAnsi="Times New Roman" w:eastAsia="宋体" w:cs="Times New Roman"/>
          <w:color w:val="auto"/>
          <w:kern w:val="2"/>
          <w:sz w:val="24"/>
          <w:szCs w:val="24"/>
          <w:highlight w:val="none"/>
          <w:lang w:val="en-US" w:eastAsia="zh-CN" w:bidi="ar-SA"/>
        </w:rPr>
        <w:t>境影响。</w:t>
      </w:r>
    </w:p>
    <w:p w14:paraId="1B9AF230">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ascii="Times New Roman" w:hAnsi="Times New Roman" w:eastAsia="宋体" w:cs="Times New Roman"/>
          <w:b/>
          <w:kern w:val="0"/>
          <w:sz w:val="24"/>
          <w:szCs w:val="24"/>
          <w:lang w:val="en-US" w:eastAsia="zh-CN" w:bidi="ar-SA"/>
        </w:rPr>
        <w:t>4.</w:t>
      </w:r>
      <w:r>
        <w:rPr>
          <w:rFonts w:hint="eastAsia" w:cs="Times New Roman"/>
          <w:b/>
          <w:kern w:val="0"/>
          <w:sz w:val="24"/>
          <w:szCs w:val="24"/>
          <w:lang w:val="en-US" w:eastAsia="zh-CN" w:bidi="ar-SA"/>
        </w:rPr>
        <w:t>4</w:t>
      </w:r>
      <w:r>
        <w:rPr>
          <w:rFonts w:hint="eastAsia" w:ascii="Times New Roman" w:hAnsi="Times New Roman" w:eastAsia="宋体" w:cs="Times New Roman"/>
          <w:b/>
          <w:kern w:val="0"/>
          <w:sz w:val="24"/>
          <w:szCs w:val="24"/>
          <w:lang w:val="en-US" w:eastAsia="zh-CN" w:bidi="ar-SA"/>
        </w:rPr>
        <w:t>利用或者处置的环境影响分析</w:t>
      </w:r>
    </w:p>
    <w:p w14:paraId="18BA87B4">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本项目产生的固体废物涵盖生活垃圾、养殖区固废（牛粪及废发酵垫、病死牛、废包装材料、医疗废物）、堆肥间固废（除尘灰</w:t>
      </w:r>
      <w:r>
        <w:rPr>
          <w:rFonts w:hint="eastAsia" w:cs="Times New Roman"/>
          <w:color w:val="auto"/>
          <w:kern w:val="2"/>
          <w:sz w:val="24"/>
          <w:szCs w:val="24"/>
          <w:highlight w:val="none"/>
          <w:lang w:val="en-US" w:eastAsia="zh-CN" w:bidi="ar-SA"/>
        </w:rPr>
        <w:t>、废布袋</w:t>
      </w:r>
      <w:r>
        <w:rPr>
          <w:rFonts w:hint="default" w:ascii="Times New Roman" w:hAnsi="Times New Roman" w:cs="Times New Roman"/>
          <w:color w:val="auto"/>
          <w:kern w:val="2"/>
          <w:sz w:val="24"/>
          <w:szCs w:val="24"/>
          <w:highlight w:val="none"/>
          <w:lang w:val="en-US" w:eastAsia="zh-CN" w:bidi="ar-SA"/>
        </w:rPr>
        <w:t>、废填料）</w:t>
      </w:r>
      <w:r>
        <w:rPr>
          <w:rFonts w:hint="eastAsia" w:cs="Times New Roman"/>
          <w:color w:val="auto"/>
          <w:kern w:val="2"/>
          <w:sz w:val="24"/>
          <w:szCs w:val="24"/>
          <w:highlight w:val="none"/>
          <w:lang w:val="en-US" w:eastAsia="zh-CN" w:bidi="ar-SA"/>
        </w:rPr>
        <w:t>、饲料加工区固废（除尘灰、废布袋）</w:t>
      </w:r>
      <w:r>
        <w:rPr>
          <w:rFonts w:hint="default" w:ascii="Times New Roman" w:hAnsi="Times New Roman" w:cs="Times New Roman"/>
          <w:color w:val="auto"/>
          <w:kern w:val="2"/>
          <w:sz w:val="24"/>
          <w:szCs w:val="24"/>
          <w:highlight w:val="none"/>
          <w:lang w:val="en-US" w:eastAsia="zh-CN" w:bidi="ar-SA"/>
        </w:rPr>
        <w:t>等类别，各类废物均按照</w:t>
      </w:r>
      <w:r>
        <w:rPr>
          <w:rFonts w:hint="eastAsia"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减量化、资源化、无害化</w:t>
      </w:r>
      <w:r>
        <w:rPr>
          <w:rFonts w:hint="eastAsia"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原则制定了合理的处置利用方案。</w:t>
      </w:r>
    </w:p>
    <w:p w14:paraId="4969A96B">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w:t>
      </w:r>
      <w:r>
        <w:rPr>
          <w:rFonts w:hint="default" w:ascii="Times New Roman" w:hAnsi="Times New Roman" w:cs="Times New Roman"/>
          <w:color w:val="auto"/>
          <w:kern w:val="2"/>
          <w:sz w:val="24"/>
          <w:szCs w:val="24"/>
          <w:highlight w:val="none"/>
          <w:lang w:val="en-US" w:eastAsia="zh-CN" w:bidi="ar-SA"/>
        </w:rPr>
        <w:t>牛粪及废发酵</w:t>
      </w:r>
      <w:r>
        <w:rPr>
          <w:rFonts w:hint="eastAsia" w:cs="Times New Roman"/>
          <w:color w:val="auto"/>
          <w:kern w:val="2"/>
          <w:sz w:val="24"/>
          <w:szCs w:val="24"/>
          <w:highlight w:val="none"/>
          <w:lang w:val="en-US" w:eastAsia="zh-CN" w:bidi="ar-SA"/>
        </w:rPr>
        <w:t>垫料</w:t>
      </w:r>
      <w:r>
        <w:rPr>
          <w:rFonts w:hint="default" w:ascii="Times New Roman" w:hAnsi="Times New Roman" w:cs="Times New Roman"/>
          <w:color w:val="auto"/>
          <w:kern w:val="2"/>
          <w:sz w:val="24"/>
          <w:szCs w:val="24"/>
          <w:highlight w:val="none"/>
          <w:lang w:val="en-US" w:eastAsia="zh-CN" w:bidi="ar-SA"/>
        </w:rPr>
        <w:t>——堆肥还田</w:t>
      </w:r>
    </w:p>
    <w:p w14:paraId="3C0A46FF">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本项目采用</w:t>
      </w:r>
      <w:r>
        <w:rPr>
          <w:rFonts w:hint="eastAsia" w:cs="Times New Roman"/>
          <w:color w:val="auto"/>
          <w:kern w:val="2"/>
          <w:sz w:val="24"/>
          <w:szCs w:val="24"/>
          <w:highlight w:val="none"/>
          <w:lang w:val="en-US" w:eastAsia="zh-CN" w:bidi="ar-SA"/>
        </w:rPr>
        <w:t>原位</w:t>
      </w:r>
      <w:r>
        <w:rPr>
          <w:rFonts w:hint="default" w:ascii="Times New Roman" w:hAnsi="Times New Roman" w:cs="Times New Roman"/>
          <w:color w:val="auto"/>
          <w:kern w:val="2"/>
          <w:sz w:val="24"/>
          <w:szCs w:val="24"/>
          <w:highlight w:val="none"/>
          <w:lang w:val="en-US" w:eastAsia="zh-CN" w:bidi="ar-SA"/>
        </w:rPr>
        <w:t>发酵床养殖工艺，发酵床采用静态好氧堆肥发酵，定期更换的废发酵垫料与牛粪一同送入堆肥间翻抛后还田</w:t>
      </w:r>
      <w:r>
        <w:rPr>
          <w:rFonts w:hint="eastAsia" w:cs="Times New Roman"/>
          <w:color w:val="auto"/>
          <w:kern w:val="2"/>
          <w:sz w:val="24"/>
          <w:szCs w:val="24"/>
          <w:highlight w:val="none"/>
          <w:lang w:val="en-US" w:eastAsia="zh-CN" w:bidi="ar-SA"/>
        </w:rPr>
        <w:t>，少量不合格品经发酵槽</w:t>
      </w:r>
      <w:r>
        <w:rPr>
          <w:rFonts w:hint="default" w:ascii="Times New Roman" w:hAnsi="Times New Roman" w:cs="Times New Roman"/>
          <w:color w:val="auto"/>
          <w:kern w:val="2"/>
          <w:sz w:val="24"/>
          <w:szCs w:val="24"/>
          <w:highlight w:val="none"/>
          <w:lang w:val="en-US" w:eastAsia="zh-CN" w:bidi="ar-SA"/>
        </w:rPr>
        <w:t>静态好氧堆肥发酵</w:t>
      </w:r>
      <w:r>
        <w:rPr>
          <w:rFonts w:hint="eastAsia" w:cs="Times New Roman"/>
          <w:color w:val="auto"/>
          <w:kern w:val="2"/>
          <w:sz w:val="24"/>
          <w:szCs w:val="24"/>
          <w:highlight w:val="none"/>
          <w:lang w:val="en-US" w:eastAsia="zh-CN" w:bidi="ar-SA"/>
        </w:rPr>
        <w:t>后还田</w:t>
      </w:r>
      <w:r>
        <w:rPr>
          <w:rFonts w:hint="default" w:ascii="Times New Roman" w:hAnsi="Times New Roman" w:cs="Times New Roman"/>
          <w:color w:val="auto"/>
          <w:kern w:val="2"/>
          <w:sz w:val="24"/>
          <w:szCs w:val="24"/>
          <w:highlight w:val="none"/>
          <w:lang w:val="en-US" w:eastAsia="zh-CN" w:bidi="ar-SA"/>
        </w:rPr>
        <w:t>，全过程按照无害化，资源化进行处理处置。该方案符合《规模畜禽养殖场污染防治最佳可行技术指南（试行）》推荐的</w:t>
      </w:r>
      <w:r>
        <w:rPr>
          <w:rFonts w:ascii="宋体" w:hAnsi="宋体" w:eastAsia="宋体" w:cs="宋体"/>
          <w:sz w:val="24"/>
          <w:szCs w:val="24"/>
        </w:rPr>
        <w:t>畜禽养殖生物发酵床技术</w:t>
      </w:r>
      <w:r>
        <w:rPr>
          <w:rFonts w:hint="eastAsia" w:ascii="宋体" w:hAnsi="宋体" w:eastAsia="宋体" w:cs="宋体"/>
          <w:sz w:val="24"/>
          <w:szCs w:val="24"/>
          <w:lang w:eastAsia="zh-CN"/>
        </w:rPr>
        <w:t>、</w:t>
      </w:r>
      <w:r>
        <w:rPr>
          <w:rFonts w:ascii="宋体" w:hAnsi="宋体" w:eastAsia="宋体" w:cs="宋体"/>
          <w:sz w:val="24"/>
          <w:szCs w:val="24"/>
        </w:rPr>
        <w:t>机械翻堆堆肥</w:t>
      </w:r>
      <w:r>
        <w:rPr>
          <w:rFonts w:hint="default" w:ascii="Times New Roman" w:hAnsi="Times New Roman" w:cs="Times New Roman"/>
          <w:color w:val="auto"/>
          <w:kern w:val="2"/>
          <w:sz w:val="24"/>
          <w:szCs w:val="24"/>
          <w:highlight w:val="none"/>
          <w:lang w:val="en-US" w:eastAsia="zh-CN" w:bidi="ar-SA"/>
        </w:rPr>
        <w:t>可行技术。堆肥过程中高温（50-70℃持续15</w:t>
      </w:r>
      <w:r>
        <w:rPr>
          <w:rFonts w:hint="eastAsia"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30天）可有效杀灭病原微生物、寄生虫卵和杂草种子，实现无害化与资源化的统一。</w:t>
      </w:r>
      <w:r>
        <w:rPr>
          <w:rFonts w:hint="eastAsia" w:cs="Times New Roman"/>
          <w:color w:val="000000"/>
          <w:sz w:val="24"/>
          <w:szCs w:val="24"/>
          <w:highlight w:val="none"/>
          <w:lang w:val="en-US" w:eastAsia="zh-CN"/>
        </w:rPr>
        <w:t>畜禽粪便及废垫料</w:t>
      </w:r>
      <w:r>
        <w:rPr>
          <w:rFonts w:hint="default" w:ascii="Times New Roman" w:hAnsi="Times New Roman" w:eastAsia="宋体" w:cs="Times New Roman"/>
          <w:color w:val="000000"/>
          <w:sz w:val="24"/>
          <w:szCs w:val="24"/>
          <w:highlight w:val="none"/>
        </w:rPr>
        <w:t>经无害化处置，</w:t>
      </w:r>
      <w:r>
        <w:rPr>
          <w:rFonts w:hint="eastAsia" w:cs="Times New Roman"/>
          <w:color w:val="000000"/>
          <w:sz w:val="24"/>
          <w:szCs w:val="24"/>
          <w:highlight w:val="none"/>
          <w:lang w:val="en-US" w:eastAsia="zh-CN"/>
        </w:rPr>
        <w:t>符合</w:t>
      </w:r>
      <w:r>
        <w:rPr>
          <w:rFonts w:hint="default" w:ascii="Times New Roman" w:hAnsi="Times New Roman" w:eastAsia="宋体" w:cs="Times New Roman"/>
          <w:color w:val="000000"/>
          <w:sz w:val="24"/>
          <w:szCs w:val="24"/>
          <w:highlight w:val="none"/>
          <w:lang w:val="en-US" w:eastAsia="zh-CN"/>
        </w:rPr>
        <w:t>《畜禽粪肥还田技术规范》（GB/T25246-2025）</w:t>
      </w:r>
      <w:r>
        <w:rPr>
          <w:rFonts w:hint="eastAsia" w:cs="Times New Roman"/>
          <w:color w:val="000000"/>
          <w:sz w:val="24"/>
          <w:szCs w:val="24"/>
          <w:highlight w:val="none"/>
          <w:lang w:val="en-US" w:eastAsia="zh-CN"/>
        </w:rPr>
        <w:t>、《粪便无害化卫生要求》（GB 7959-2012）以及</w:t>
      </w:r>
      <w:r>
        <w:rPr>
          <w:rFonts w:hint="eastAsia" w:ascii="Times New Roman" w:hAnsi="Times New Roman" w:eastAsia="宋体" w:cs="宋体"/>
          <w:snapToGrid w:val="0"/>
          <w:color w:val="auto"/>
          <w:sz w:val="24"/>
          <w:szCs w:val="21"/>
          <w:lang w:val="en-US" w:eastAsia="zh-CN" w:bidi="ar-SA"/>
        </w:rPr>
        <w:t>《</w:t>
      </w:r>
      <w:r>
        <w:rPr>
          <w:rFonts w:hint="default" w:ascii="Times New Roman" w:hAnsi="Times New Roman" w:eastAsia="宋体" w:cs="宋体"/>
          <w:snapToGrid w:val="0"/>
          <w:color w:val="auto"/>
          <w:sz w:val="24"/>
          <w:szCs w:val="21"/>
          <w:lang w:val="en-US" w:eastAsia="zh-CN" w:bidi="ar-SA"/>
        </w:rPr>
        <w:t>畜禽养殖业污染治理工程技术规范</w:t>
      </w:r>
      <w:r>
        <w:rPr>
          <w:rFonts w:hint="eastAsia" w:ascii="Times New Roman" w:hAnsi="Times New Roman" w:eastAsia="宋体" w:cs="宋体"/>
          <w:snapToGrid w:val="0"/>
          <w:color w:val="auto"/>
          <w:sz w:val="24"/>
          <w:szCs w:val="21"/>
          <w:lang w:val="en-US" w:eastAsia="zh-CN" w:bidi="ar-SA"/>
        </w:rPr>
        <w:t>》（HJ 497-2009）</w:t>
      </w:r>
      <w:r>
        <w:rPr>
          <w:rFonts w:hint="eastAsia" w:cs="宋体"/>
          <w:snapToGrid w:val="0"/>
          <w:color w:val="auto"/>
          <w:sz w:val="24"/>
          <w:szCs w:val="21"/>
          <w:lang w:val="en-US" w:eastAsia="zh-CN" w:bidi="ar-SA"/>
        </w:rPr>
        <w:t>要求。</w:t>
      </w:r>
    </w:p>
    <w:p w14:paraId="5C89F727">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堆肥发酵容积方面，本项目发酵床容积30786m</w:t>
      </w:r>
      <w:r>
        <w:rPr>
          <w:rFonts w:hint="eastAsia" w:cs="Times New Roman"/>
          <w:color w:val="auto"/>
          <w:kern w:val="2"/>
          <w:sz w:val="24"/>
          <w:szCs w:val="24"/>
          <w:highlight w:val="none"/>
          <w:vertAlign w:val="superscript"/>
          <w:lang w:val="en-US" w:eastAsia="zh-CN" w:bidi="ar-SA"/>
        </w:rPr>
        <w:t>3</w:t>
      </w:r>
      <w:r>
        <w:rPr>
          <w:rFonts w:hint="default" w:ascii="Times New Roman" w:hAnsi="Times New Roman" w:cs="Times New Roman"/>
          <w:color w:val="auto"/>
          <w:kern w:val="2"/>
          <w:sz w:val="24"/>
          <w:szCs w:val="24"/>
          <w:highlight w:val="none"/>
          <w:lang w:val="en-US" w:eastAsia="zh-CN" w:bidi="ar-SA"/>
        </w:rPr>
        <w:t>，根据《畜禽养殖场（户）粪污处理设施建设技术指南》，肉牛固体粪污日产生量参考值为0.025m</w:t>
      </w:r>
      <w:r>
        <w:rPr>
          <w:rFonts w:hint="eastAsia" w:cs="Times New Roman"/>
          <w:color w:val="auto"/>
          <w:kern w:val="2"/>
          <w:sz w:val="24"/>
          <w:szCs w:val="24"/>
          <w:highlight w:val="none"/>
          <w:vertAlign w:val="superscript"/>
          <w:lang w:val="en-US" w:eastAsia="zh-CN" w:bidi="ar-SA"/>
        </w:rPr>
        <w:t>3</w:t>
      </w:r>
      <w:r>
        <w:rPr>
          <w:rFonts w:hint="default" w:ascii="Times New Roman" w:hAnsi="Times New Roman" w:cs="Times New Roman"/>
          <w:color w:val="auto"/>
          <w:kern w:val="2"/>
          <w:sz w:val="24"/>
          <w:szCs w:val="24"/>
          <w:highlight w:val="none"/>
          <w:lang w:val="en-US" w:eastAsia="zh-CN" w:bidi="ar-SA"/>
        </w:rPr>
        <w:t>/头，按</w:t>
      </w:r>
      <w:r>
        <w:rPr>
          <w:rFonts w:hint="eastAsia" w:cs="Times New Roman"/>
          <w:color w:val="auto"/>
          <w:kern w:val="2"/>
          <w:sz w:val="24"/>
          <w:szCs w:val="24"/>
          <w:highlight w:val="none"/>
          <w:lang w:val="en-US" w:eastAsia="zh-CN" w:bidi="ar-SA"/>
        </w:rPr>
        <w:t>全厂</w:t>
      </w:r>
      <w:r>
        <w:rPr>
          <w:rFonts w:hint="default" w:ascii="Times New Roman" w:hAnsi="Times New Roman" w:cs="Times New Roman"/>
          <w:color w:val="auto"/>
          <w:kern w:val="2"/>
          <w:sz w:val="24"/>
          <w:szCs w:val="24"/>
          <w:highlight w:val="none"/>
          <w:lang w:val="en-US" w:eastAsia="zh-CN" w:bidi="ar-SA"/>
        </w:rPr>
        <w:t>发酵周期和设计存栏量</w:t>
      </w:r>
      <w:r>
        <w:rPr>
          <w:rFonts w:hint="eastAsia" w:cs="Times New Roman"/>
          <w:color w:val="auto"/>
          <w:kern w:val="2"/>
          <w:sz w:val="24"/>
          <w:szCs w:val="24"/>
          <w:highlight w:val="none"/>
          <w:lang w:val="en-US" w:eastAsia="zh-CN" w:bidi="ar-SA"/>
        </w:rPr>
        <w:t>10</w:t>
      </w:r>
      <w:r>
        <w:rPr>
          <w:rFonts w:hint="default" w:ascii="Times New Roman" w:hAnsi="Times New Roman" w:cs="Times New Roman"/>
          <w:color w:val="auto"/>
          <w:kern w:val="2"/>
          <w:sz w:val="24"/>
          <w:szCs w:val="24"/>
          <w:highlight w:val="none"/>
          <w:lang w:val="en-US" w:eastAsia="zh-CN" w:bidi="ar-SA"/>
        </w:rPr>
        <w:t>000头计算，所需发酵容积不小于0.025m</w:t>
      </w:r>
      <w:r>
        <w:rPr>
          <w:rFonts w:hint="eastAsia" w:cs="Times New Roman"/>
          <w:color w:val="auto"/>
          <w:kern w:val="2"/>
          <w:sz w:val="24"/>
          <w:szCs w:val="24"/>
          <w:highlight w:val="none"/>
          <w:vertAlign w:val="superscript"/>
          <w:lang w:val="en-US" w:eastAsia="zh-CN" w:bidi="ar-SA"/>
        </w:rPr>
        <w:t>3</w:t>
      </w:r>
      <w:r>
        <w:rPr>
          <w:rFonts w:hint="default" w:ascii="Times New Roman" w:hAnsi="Times New Roman" w:cs="Times New Roman"/>
          <w:color w:val="auto"/>
          <w:kern w:val="2"/>
          <w:sz w:val="24"/>
          <w:szCs w:val="24"/>
          <w:highlight w:val="none"/>
          <w:lang w:val="en-US" w:eastAsia="zh-CN" w:bidi="ar-SA"/>
        </w:rPr>
        <w:t>×发酵周期（</w:t>
      </w:r>
      <w:r>
        <w:rPr>
          <w:rFonts w:hint="eastAsia" w:cs="Times New Roman"/>
          <w:color w:val="auto"/>
          <w:kern w:val="2"/>
          <w:sz w:val="24"/>
          <w:szCs w:val="24"/>
          <w:highlight w:val="none"/>
          <w:lang w:val="en-US" w:eastAsia="zh-CN" w:bidi="ar-SA"/>
        </w:rPr>
        <w:t>365</w:t>
      </w:r>
      <w:r>
        <w:rPr>
          <w:rFonts w:hint="default" w:ascii="Times New Roman" w:hAnsi="Times New Roman" w:cs="Times New Roman"/>
          <w:color w:val="auto"/>
          <w:kern w:val="2"/>
          <w:sz w:val="24"/>
          <w:szCs w:val="24"/>
          <w:highlight w:val="none"/>
          <w:lang w:val="en-US" w:eastAsia="zh-CN" w:bidi="ar-SA"/>
        </w:rPr>
        <w:t>天）×</w:t>
      </w:r>
      <w:r>
        <w:rPr>
          <w:rFonts w:hint="eastAsia" w:cs="Times New Roman"/>
          <w:color w:val="auto"/>
          <w:kern w:val="2"/>
          <w:sz w:val="24"/>
          <w:szCs w:val="24"/>
          <w:highlight w:val="none"/>
          <w:lang w:val="en-US" w:eastAsia="zh-CN" w:bidi="ar-SA"/>
        </w:rPr>
        <w:t>3</w:t>
      </w:r>
      <w:r>
        <w:rPr>
          <w:rFonts w:hint="default" w:ascii="Times New Roman" w:hAnsi="Times New Roman" w:cs="Times New Roman"/>
          <w:color w:val="auto"/>
          <w:kern w:val="2"/>
          <w:sz w:val="24"/>
          <w:szCs w:val="24"/>
          <w:highlight w:val="none"/>
          <w:lang w:val="en-US" w:eastAsia="zh-CN" w:bidi="ar-SA"/>
        </w:rPr>
        <w:t>000头=</w:t>
      </w:r>
      <w:r>
        <w:rPr>
          <w:rFonts w:hint="eastAsia" w:cs="Times New Roman"/>
          <w:sz w:val="24"/>
          <w:szCs w:val="24"/>
          <w:lang w:val="en-US" w:eastAsia="zh-CN"/>
        </w:rPr>
        <w:t>27375</w:t>
      </w:r>
      <w:r>
        <w:rPr>
          <w:rFonts w:hint="default" w:ascii="Times New Roman" w:hAnsi="Times New Roman" w:cs="Times New Roman"/>
          <w:color w:val="auto"/>
          <w:kern w:val="2"/>
          <w:sz w:val="24"/>
          <w:szCs w:val="24"/>
          <w:highlight w:val="none"/>
          <w:lang w:val="en-US" w:eastAsia="zh-CN" w:bidi="ar-SA"/>
        </w:rPr>
        <w:t>m</w:t>
      </w:r>
      <w:r>
        <w:rPr>
          <w:rFonts w:hint="eastAsia" w:cs="Times New Roman"/>
          <w:color w:val="auto"/>
          <w:kern w:val="2"/>
          <w:sz w:val="24"/>
          <w:szCs w:val="24"/>
          <w:highlight w:val="none"/>
          <w:vertAlign w:val="superscript"/>
          <w:lang w:val="en-US" w:eastAsia="zh-CN" w:bidi="ar-SA"/>
        </w:rPr>
        <w:t>3</w:t>
      </w:r>
      <w:r>
        <w:rPr>
          <w:rFonts w:hint="default" w:ascii="Times New Roman" w:hAnsi="Times New Roman" w:cs="Times New Roman"/>
          <w:color w:val="auto"/>
          <w:kern w:val="2"/>
          <w:sz w:val="24"/>
          <w:szCs w:val="24"/>
          <w:highlight w:val="none"/>
          <w:lang w:val="en-US" w:eastAsia="zh-CN" w:bidi="ar-SA"/>
        </w:rPr>
        <w:t>，本项目容积充分满足要求。</w:t>
      </w:r>
    </w:p>
    <w:p w14:paraId="40C2C855">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2</w:t>
      </w:r>
      <w:r>
        <w:rPr>
          <w:rFonts w:hint="default" w:ascii="Times New Roman" w:hAnsi="Times New Roman" w:cs="Times New Roman"/>
          <w:color w:val="auto"/>
          <w:kern w:val="2"/>
          <w:sz w:val="24"/>
          <w:szCs w:val="24"/>
          <w:highlight w:val="none"/>
          <w:lang w:val="en-US" w:eastAsia="zh-CN" w:bidi="ar-SA"/>
        </w:rPr>
        <w:t>）病死牛——委托无害化处理</w:t>
      </w:r>
      <w:r>
        <w:rPr>
          <w:rFonts w:hint="eastAsia" w:cs="Times New Roman"/>
          <w:color w:val="auto"/>
          <w:kern w:val="2"/>
          <w:sz w:val="24"/>
          <w:szCs w:val="24"/>
          <w:highlight w:val="none"/>
          <w:lang w:val="en-US" w:eastAsia="zh-CN" w:bidi="ar-SA"/>
        </w:rPr>
        <w:t>单位处理</w:t>
      </w:r>
    </w:p>
    <w:p w14:paraId="51D9DB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本项目病死牛产生量约</w:t>
      </w:r>
      <w:r>
        <w:rPr>
          <w:rFonts w:hint="eastAsia" w:cs="Times New Roman"/>
          <w:color w:val="auto"/>
          <w:kern w:val="2"/>
          <w:sz w:val="24"/>
          <w:szCs w:val="24"/>
          <w:highlight w:val="none"/>
          <w:lang w:val="en-US" w:eastAsia="zh-CN" w:bidi="ar-SA"/>
        </w:rPr>
        <w:t>0.9</w:t>
      </w:r>
      <w:r>
        <w:rPr>
          <w:rFonts w:hint="default" w:ascii="Times New Roman" w:hAnsi="Times New Roman" w:cs="Times New Roman"/>
          <w:color w:val="auto"/>
          <w:kern w:val="2"/>
          <w:sz w:val="24"/>
          <w:szCs w:val="24"/>
          <w:highlight w:val="none"/>
          <w:lang w:val="en-US" w:eastAsia="zh-CN" w:bidi="ar-SA"/>
        </w:rPr>
        <w:t>t/a（</w:t>
      </w:r>
      <w:r>
        <w:rPr>
          <w:rFonts w:hint="eastAsia" w:cs="Times New Roman"/>
          <w:color w:val="auto"/>
          <w:kern w:val="2"/>
          <w:sz w:val="24"/>
          <w:szCs w:val="24"/>
          <w:highlight w:val="none"/>
          <w:lang w:val="en-US" w:eastAsia="zh-CN" w:bidi="ar-SA"/>
        </w:rPr>
        <w:t>3</w:t>
      </w:r>
      <w:r>
        <w:rPr>
          <w:rFonts w:hint="default" w:ascii="Times New Roman" w:hAnsi="Times New Roman" w:cs="Times New Roman"/>
          <w:color w:val="auto"/>
          <w:kern w:val="2"/>
          <w:sz w:val="24"/>
          <w:szCs w:val="24"/>
          <w:highlight w:val="none"/>
          <w:lang w:val="en-US" w:eastAsia="zh-CN" w:bidi="ar-SA"/>
        </w:rPr>
        <w:t>头/年）。根据《国家危险废物名录（2021年版）》常见问题解答及《关于病害动物无害化处理有关意见的复函》（环办函〔2014〕789号），病害动物不再认定为危险废物，应按照《中华人民共和国动物防疫法》及相关技术规范进行无害化处理。</w:t>
      </w:r>
      <w:r>
        <w:rPr>
          <w:rFonts w:hint="eastAsia" w:cs="Times New Roman"/>
          <w:color w:val="auto"/>
          <w:kern w:val="2"/>
          <w:sz w:val="24"/>
          <w:szCs w:val="24"/>
          <w:highlight w:val="none"/>
          <w:lang w:val="en-US" w:eastAsia="zh-CN" w:bidi="ar-SA"/>
        </w:rPr>
        <w:t>根据</w:t>
      </w:r>
      <w:r>
        <w:rPr>
          <w:rFonts w:hint="eastAsia" w:ascii="Times New Roman" w:hAnsi="Times New Roman" w:eastAsia="宋体" w:cs="Times New Roman"/>
          <w:kern w:val="2"/>
          <w:sz w:val="24"/>
          <w:szCs w:val="24"/>
          <w:lang w:val="en-US" w:eastAsia="zh-CN" w:bidi="ar-SA"/>
        </w:rPr>
        <w:t>《病死畜禽和病害畜禽产品无害化处理管理办法》（中华人民共和国农业农村部令2022年第3号）</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从事畜禽饲养、屠宰、经营、隔离等活动的单位和个人，应当承担主体责任，按照本办法对病死畜禽和病害畜禽产品进行无害化处理，或者委托病死畜禽无害化处理场处理。</w:t>
      </w:r>
    </w:p>
    <w:p w14:paraId="2F2265DD">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eastAsia="宋体" w:cs="Times New Roman"/>
          <w:color w:val="000000"/>
          <w:kern w:val="0"/>
          <w:sz w:val="24"/>
          <w:szCs w:val="24"/>
          <w:highlight w:val="none"/>
          <w:lang w:val="en-US" w:eastAsia="zh-CN"/>
        </w:rPr>
        <w:t>胡杨河市题桥环保科技有限公司</w:t>
      </w:r>
      <w:r>
        <w:rPr>
          <w:rFonts w:hint="eastAsia" w:cs="Times New Roman"/>
          <w:color w:val="auto"/>
          <w:kern w:val="2"/>
          <w:sz w:val="24"/>
          <w:szCs w:val="24"/>
          <w:highlight w:val="none"/>
          <w:lang w:val="en-US" w:eastAsia="zh-CN" w:bidi="ar-SA"/>
        </w:rPr>
        <w:t>为第七师胡杨河市</w:t>
      </w:r>
      <w:r>
        <w:rPr>
          <w:rFonts w:hint="default" w:ascii="Times New Roman" w:hAnsi="Times New Roman" w:eastAsia="宋体" w:cs="Times New Roman"/>
          <w:color w:val="000000"/>
          <w:kern w:val="0"/>
          <w:sz w:val="24"/>
          <w:szCs w:val="24"/>
          <w:highlight w:val="none"/>
          <w:lang w:val="en-US" w:eastAsia="zh-CN"/>
        </w:rPr>
        <w:t>集中无害化处理场所</w:t>
      </w:r>
      <w:r>
        <w:rPr>
          <w:rFonts w:hint="eastAsia" w:cs="Times New Roman"/>
          <w:color w:val="000000"/>
          <w:kern w:val="0"/>
          <w:sz w:val="24"/>
          <w:szCs w:val="24"/>
          <w:highlight w:val="none"/>
          <w:lang w:val="en-US" w:eastAsia="zh-CN"/>
        </w:rPr>
        <w:t>，因此本项目</w:t>
      </w:r>
      <w:r>
        <w:rPr>
          <w:rFonts w:hint="default" w:ascii="Times New Roman" w:hAnsi="Times New Roman" w:cs="Times New Roman"/>
          <w:color w:val="auto"/>
          <w:kern w:val="2"/>
          <w:sz w:val="24"/>
          <w:szCs w:val="24"/>
          <w:highlight w:val="none"/>
          <w:lang w:val="en-US" w:eastAsia="zh-CN" w:bidi="ar-SA"/>
        </w:rPr>
        <w:t>委托</w:t>
      </w:r>
      <w:r>
        <w:rPr>
          <w:rFonts w:hint="eastAsia" w:eastAsia="宋体" w:cs="Times New Roman"/>
          <w:color w:val="000000"/>
          <w:kern w:val="0"/>
          <w:sz w:val="24"/>
          <w:szCs w:val="24"/>
          <w:highlight w:val="none"/>
          <w:lang w:val="en-US" w:eastAsia="zh-CN"/>
        </w:rPr>
        <w:t>胡杨河市题桥环保科技有限公司</w:t>
      </w:r>
      <w:r>
        <w:rPr>
          <w:rFonts w:hint="default" w:ascii="Times New Roman" w:hAnsi="Times New Roman" w:cs="Times New Roman"/>
          <w:color w:val="auto"/>
          <w:kern w:val="2"/>
          <w:sz w:val="24"/>
          <w:szCs w:val="24"/>
          <w:highlight w:val="none"/>
          <w:lang w:val="en-US" w:eastAsia="zh-CN" w:bidi="ar-SA"/>
        </w:rPr>
        <w:t>进行病死牛无害化处理</w:t>
      </w:r>
      <w:r>
        <w:rPr>
          <w:rFonts w:hint="eastAsia" w:cs="Times New Roman"/>
          <w:color w:val="auto"/>
          <w:kern w:val="2"/>
          <w:sz w:val="24"/>
          <w:szCs w:val="24"/>
          <w:highlight w:val="none"/>
          <w:lang w:val="en-US" w:eastAsia="zh-CN" w:bidi="ar-SA"/>
        </w:rPr>
        <w:t>，</w:t>
      </w:r>
      <w:r>
        <w:rPr>
          <w:rFonts w:hint="eastAsia" w:eastAsia="宋体" w:cs="Times New Roman"/>
          <w:color w:val="auto"/>
          <w:kern w:val="0"/>
          <w:sz w:val="24"/>
          <w:szCs w:val="24"/>
          <w:lang w:val="en-US" w:eastAsia="zh-CN"/>
        </w:rPr>
        <w:t>本项目</w:t>
      </w:r>
      <w:r>
        <w:rPr>
          <w:rFonts w:hint="eastAsia" w:eastAsia="宋体" w:cs="Times New Roman"/>
          <w:color w:val="auto"/>
          <w:sz w:val="24"/>
          <w:szCs w:val="24"/>
          <w:lang w:val="en-US" w:eastAsia="zh-CN"/>
        </w:rPr>
        <w:t>场区内设置</w:t>
      </w:r>
      <w:r>
        <w:rPr>
          <w:rFonts w:hint="default" w:ascii="宋体" w:hAnsi="宋体" w:eastAsia="宋体" w:cs="宋体"/>
          <w:color w:val="000000"/>
          <w:kern w:val="2"/>
          <w:sz w:val="24"/>
          <w:szCs w:val="24"/>
          <w:lang w:val="en-US" w:eastAsia="zh-CN" w:bidi="ar-SA"/>
        </w:rPr>
        <w:t>病死</w:t>
      </w:r>
      <w:r>
        <w:rPr>
          <w:rFonts w:hint="eastAsia" w:ascii="宋体" w:hAnsi="宋体" w:eastAsia="宋体" w:cs="宋体"/>
          <w:color w:val="000000"/>
          <w:kern w:val="2"/>
          <w:sz w:val="24"/>
          <w:szCs w:val="24"/>
          <w:lang w:val="en-US" w:eastAsia="zh-CN" w:bidi="ar-SA"/>
        </w:rPr>
        <w:t>牛专用</w:t>
      </w:r>
      <w:r>
        <w:rPr>
          <w:rFonts w:hint="default" w:ascii="宋体" w:hAnsi="宋体" w:eastAsia="宋体" w:cs="宋体"/>
          <w:color w:val="000000"/>
          <w:kern w:val="2"/>
          <w:sz w:val="24"/>
          <w:szCs w:val="24"/>
          <w:lang w:val="en-US" w:eastAsia="zh-CN" w:bidi="ar-SA"/>
        </w:rPr>
        <w:t>输出通道</w:t>
      </w:r>
      <w:r>
        <w:rPr>
          <w:rFonts w:hint="eastAsia" w:ascii="宋体" w:hAnsi="宋体" w:cs="宋体"/>
          <w:color w:val="000000"/>
          <w:kern w:val="2"/>
          <w:sz w:val="24"/>
          <w:szCs w:val="24"/>
          <w:lang w:val="en-US" w:eastAsia="zh-CN" w:bidi="ar-SA"/>
        </w:rPr>
        <w:t>，</w:t>
      </w:r>
      <w:r>
        <w:rPr>
          <w:rFonts w:hint="eastAsia" w:eastAsia="宋体" w:cs="Times New Roman"/>
          <w:color w:val="auto"/>
          <w:sz w:val="24"/>
          <w:szCs w:val="24"/>
          <w:highlight w:val="none"/>
          <w:lang w:val="en-US" w:eastAsia="zh-CN"/>
        </w:rPr>
        <w:t>由</w:t>
      </w:r>
      <w:r>
        <w:rPr>
          <w:rFonts w:hint="eastAsia" w:cs="Times New Roman"/>
          <w:color w:val="auto"/>
          <w:sz w:val="24"/>
          <w:szCs w:val="24"/>
          <w:highlight w:val="none"/>
          <w:lang w:val="en-US" w:eastAsia="zh-CN"/>
        </w:rPr>
        <w:t>病死畜禽无害化处置单位配套的</w:t>
      </w:r>
      <w:r>
        <w:rPr>
          <w:rFonts w:hint="eastAsia" w:eastAsia="宋体" w:cs="Times New Roman"/>
          <w:color w:val="auto"/>
          <w:sz w:val="24"/>
          <w:szCs w:val="24"/>
          <w:highlight w:val="none"/>
          <w:lang w:val="en-US" w:eastAsia="zh-CN"/>
        </w:rPr>
        <w:t>病死畜禽专用运输车辆运输</w:t>
      </w:r>
      <w:r>
        <w:rPr>
          <w:rFonts w:hint="eastAsia" w:ascii="宋体" w:hAnsi="宋体" w:eastAsia="宋体" w:cs="宋体"/>
          <w:color w:val="000000"/>
          <w:kern w:val="2"/>
          <w:sz w:val="24"/>
          <w:szCs w:val="24"/>
          <w:lang w:val="en-US" w:eastAsia="zh-CN" w:bidi="ar-SA"/>
        </w:rPr>
        <w:t>，</w:t>
      </w:r>
      <w:r>
        <w:rPr>
          <w:rFonts w:hint="eastAsia" w:eastAsia="宋体" w:cs="Times New Roman"/>
          <w:color w:val="auto"/>
          <w:sz w:val="24"/>
          <w:szCs w:val="24"/>
          <w:lang w:val="en-US" w:eastAsia="zh-CN"/>
        </w:rPr>
        <w:t>病死畜禽专用运输车辆运输可</w:t>
      </w:r>
      <w:r>
        <w:rPr>
          <w:rFonts w:hint="eastAsia" w:ascii="宋体" w:hAnsi="宋体" w:eastAsia="宋体" w:cs="宋体"/>
          <w:color w:val="000000"/>
          <w:kern w:val="2"/>
          <w:sz w:val="24"/>
          <w:szCs w:val="24"/>
          <w:lang w:val="en-US" w:eastAsia="zh-CN" w:bidi="ar-SA"/>
        </w:rPr>
        <w:t>由病死牛暂存间直接运输至场外，避开生活区以及生产区</w:t>
      </w:r>
      <w:r>
        <w:rPr>
          <w:rFonts w:hint="eastAsia" w:eastAsia="宋体" w:cs="Times New Roman"/>
          <w:color w:val="auto"/>
          <w:sz w:val="24"/>
          <w:szCs w:val="24"/>
          <w:lang w:val="en-US" w:eastAsia="zh-CN"/>
        </w:rPr>
        <w:t>。发现病死牛当日通知</w:t>
      </w:r>
      <w:r>
        <w:rPr>
          <w:rFonts w:hint="eastAsia" w:cs="Times New Roman"/>
          <w:color w:val="auto"/>
          <w:sz w:val="24"/>
          <w:szCs w:val="24"/>
          <w:highlight w:val="none"/>
          <w:lang w:val="en-US" w:eastAsia="zh-CN"/>
        </w:rPr>
        <w:t>病死畜禽无害化处置单位</w:t>
      </w:r>
      <w:r>
        <w:rPr>
          <w:rFonts w:hint="eastAsia" w:eastAsia="宋体" w:cs="Times New Roman"/>
          <w:color w:val="auto"/>
          <w:sz w:val="24"/>
          <w:szCs w:val="24"/>
          <w:lang w:val="en-US" w:eastAsia="zh-CN"/>
        </w:rPr>
        <w:t>进行收集，不在场区内自行</w:t>
      </w:r>
      <w:r>
        <w:rPr>
          <w:rFonts w:hint="eastAsia" w:ascii="宋体" w:hAnsi="宋体" w:eastAsia="宋体" w:cs="宋体"/>
          <w:color w:val="000000"/>
          <w:kern w:val="2"/>
          <w:sz w:val="24"/>
          <w:szCs w:val="24"/>
          <w:lang w:val="en-US" w:eastAsia="zh-CN" w:bidi="ar-SA"/>
        </w:rPr>
        <w:t>处理病死牛和病害牛产品</w:t>
      </w:r>
      <w:r>
        <w:rPr>
          <w:rFonts w:hint="eastAsia" w:eastAsia="宋体" w:cs="Times New Roman"/>
          <w:color w:val="auto"/>
          <w:sz w:val="24"/>
          <w:szCs w:val="24"/>
          <w:lang w:val="en-US" w:eastAsia="zh-CN"/>
        </w:rPr>
        <w:t>，</w:t>
      </w:r>
      <w:r>
        <w:rPr>
          <w:rFonts w:hint="default" w:ascii="Times New Roman" w:hAnsi="Times New Roman" w:cs="Times New Roman"/>
          <w:color w:val="auto"/>
          <w:kern w:val="2"/>
          <w:sz w:val="24"/>
          <w:szCs w:val="24"/>
          <w:highlight w:val="none"/>
          <w:lang w:val="en-US" w:eastAsia="zh-CN" w:bidi="ar-SA"/>
        </w:rPr>
        <w:t>病死牛在场内20m</w:t>
      </w:r>
      <w:r>
        <w:rPr>
          <w:rFonts w:hint="eastAsia" w:cs="Times New Roman"/>
          <w:color w:val="auto"/>
          <w:kern w:val="2"/>
          <w:sz w:val="24"/>
          <w:szCs w:val="24"/>
          <w:highlight w:val="none"/>
          <w:vertAlign w:val="superscript"/>
          <w:lang w:val="en-US" w:eastAsia="zh-CN" w:bidi="ar-SA"/>
        </w:rPr>
        <w:t>2</w:t>
      </w:r>
      <w:r>
        <w:rPr>
          <w:rFonts w:hint="default" w:ascii="Times New Roman" w:hAnsi="Times New Roman" w:cs="Times New Roman"/>
          <w:color w:val="auto"/>
          <w:kern w:val="2"/>
          <w:sz w:val="24"/>
          <w:szCs w:val="24"/>
          <w:highlight w:val="none"/>
          <w:lang w:val="en-US" w:eastAsia="zh-CN" w:bidi="ar-SA"/>
        </w:rPr>
        <w:t>病死牛暂存间冷藏暂存（温度低于5℃），24h内完成转运</w:t>
      </w:r>
      <w:r>
        <w:rPr>
          <w:rFonts w:hint="eastAsia" w:cs="Times New Roman"/>
          <w:color w:val="auto"/>
          <w:kern w:val="2"/>
          <w:sz w:val="24"/>
          <w:szCs w:val="24"/>
          <w:highlight w:val="none"/>
          <w:lang w:val="en-US" w:eastAsia="zh-CN" w:bidi="ar-SA"/>
        </w:rPr>
        <w:t>，</w:t>
      </w:r>
      <w:r>
        <w:rPr>
          <w:rFonts w:hint="eastAsia" w:eastAsia="宋体" w:cs="Times New Roman"/>
          <w:color w:val="auto"/>
          <w:sz w:val="24"/>
          <w:szCs w:val="24"/>
          <w:lang w:val="en-US" w:eastAsia="zh-CN"/>
        </w:rPr>
        <w:t>由</w:t>
      </w:r>
      <w:r>
        <w:rPr>
          <w:rFonts w:hint="eastAsia" w:cs="Times New Roman"/>
          <w:color w:val="auto"/>
          <w:sz w:val="24"/>
          <w:szCs w:val="24"/>
          <w:highlight w:val="none"/>
          <w:lang w:val="en-US" w:eastAsia="zh-CN"/>
        </w:rPr>
        <w:t>病死畜禽无害化处置单位配套的</w:t>
      </w:r>
      <w:r>
        <w:rPr>
          <w:rFonts w:hint="eastAsia" w:eastAsia="宋体" w:cs="Times New Roman"/>
          <w:color w:val="auto"/>
          <w:sz w:val="24"/>
          <w:szCs w:val="24"/>
          <w:lang w:val="en-US" w:eastAsia="zh-CN"/>
        </w:rPr>
        <w:t>病死畜禽专用运输车辆运输，运输过程中</w:t>
      </w:r>
      <w:r>
        <w:rPr>
          <w:rFonts w:hint="default" w:ascii="Times New Roman" w:hAnsi="Times New Roman" w:eastAsia="宋体" w:cs="Times New Roman"/>
          <w:kern w:val="2"/>
          <w:sz w:val="24"/>
          <w:szCs w:val="24"/>
          <w:lang w:val="en-US" w:eastAsia="zh-CN" w:bidi="ar-SA"/>
        </w:rPr>
        <w:t>不得擅自弃置和处理</w:t>
      </w:r>
      <w:r>
        <w:rPr>
          <w:rFonts w:hint="eastAsia" w:eastAsia="宋体" w:cs="Times New Roman"/>
          <w:color w:val="auto"/>
          <w:sz w:val="24"/>
          <w:szCs w:val="24"/>
          <w:lang w:val="en-US" w:eastAsia="zh-CN"/>
        </w:rPr>
        <w:t>。转运后，对隔离圈、</w:t>
      </w:r>
      <w:r>
        <w:rPr>
          <w:rFonts w:hint="eastAsia" w:ascii="宋体" w:hAnsi="宋体" w:eastAsia="宋体" w:cs="宋体"/>
          <w:color w:val="000000"/>
          <w:kern w:val="2"/>
          <w:sz w:val="24"/>
          <w:szCs w:val="24"/>
          <w:lang w:val="en-US" w:eastAsia="zh-CN" w:bidi="ar-SA"/>
        </w:rPr>
        <w:t>病死牛暂存间</w:t>
      </w:r>
      <w:r>
        <w:rPr>
          <w:rFonts w:hint="eastAsia" w:eastAsia="宋体" w:cs="Times New Roman"/>
          <w:color w:val="auto"/>
          <w:sz w:val="24"/>
          <w:szCs w:val="24"/>
          <w:lang w:val="en-US" w:eastAsia="zh-CN"/>
        </w:rPr>
        <w:t>、输出通道进行消毒</w:t>
      </w:r>
      <w:r>
        <w:rPr>
          <w:rFonts w:hint="eastAsia" w:eastAsia="宋体" w:cs="Times New Roman"/>
          <w:color w:val="auto"/>
          <w:sz w:val="24"/>
          <w:szCs w:val="24"/>
          <w:highlight w:val="none"/>
          <w:lang w:val="en-US" w:eastAsia="zh-CN"/>
        </w:rPr>
        <w:t>，</w:t>
      </w:r>
      <w:r>
        <w:rPr>
          <w:rFonts w:hint="default" w:ascii="Times New Roman" w:hAnsi="Times New Roman" w:cs="Times New Roman"/>
          <w:color w:val="auto"/>
          <w:kern w:val="2"/>
          <w:sz w:val="24"/>
          <w:szCs w:val="24"/>
          <w:highlight w:val="none"/>
          <w:lang w:val="en-US" w:eastAsia="zh-CN" w:bidi="ar-SA"/>
        </w:rPr>
        <w:t>该方案符合《病死及病害动物无害化处理技术规范》（农医发〔2017〕25号）</w:t>
      </w:r>
      <w:r>
        <w:rPr>
          <w:rFonts w:hint="eastAsia" w:cs="Times New Roman"/>
          <w:color w:val="auto"/>
          <w:kern w:val="2"/>
          <w:sz w:val="24"/>
          <w:szCs w:val="24"/>
          <w:highlight w:val="none"/>
          <w:lang w:val="en-US" w:eastAsia="zh-CN" w:bidi="ar-SA"/>
        </w:rPr>
        <w:t>、《病死畜禽和病害畜禽产品无害化处理管理办法》</w:t>
      </w:r>
      <w:r>
        <w:rPr>
          <w:rFonts w:hint="default" w:ascii="Times New Roman" w:hAnsi="Times New Roman" w:cs="Times New Roman"/>
          <w:color w:val="auto"/>
          <w:kern w:val="2"/>
          <w:sz w:val="24"/>
          <w:szCs w:val="24"/>
          <w:highlight w:val="none"/>
          <w:lang w:val="en-US" w:eastAsia="zh-CN" w:bidi="ar-SA"/>
        </w:rPr>
        <w:t>及《畜禽养殖业污染防治技术规范》（HJ/T81-2001）相关要求</w:t>
      </w:r>
      <w:r>
        <w:rPr>
          <w:rFonts w:hint="default" w:ascii="Times New Roman" w:hAnsi="Times New Roman" w:cs="Times New Roman"/>
          <w:color w:val="auto"/>
          <w:kern w:val="2"/>
          <w:sz w:val="24"/>
          <w:szCs w:val="24"/>
          <w:highlight w:val="none"/>
          <w:lang w:val="en-US" w:eastAsia="zh-CN" w:bidi="ar-SA"/>
        </w:rPr>
        <w:fldChar w:fldCharType="begin"/>
      </w:r>
      <w:r>
        <w:rPr>
          <w:rFonts w:hint="default" w:ascii="Times New Roman" w:hAnsi="Times New Roman" w:cs="Times New Roman"/>
          <w:color w:val="auto"/>
          <w:kern w:val="2"/>
          <w:sz w:val="24"/>
          <w:szCs w:val="24"/>
          <w:highlight w:val="none"/>
          <w:lang w:val="en-US" w:eastAsia="zh-CN" w:bidi="ar-SA"/>
        </w:rPr>
        <w:instrText xml:space="preserve"> HYPERLINK "https://www.moa.gov.cn/govpublic/SYJ/201707/t20170705_5738413.htm" \t "https://chat.deepseek.com/a/chat/s/_blank" </w:instrText>
      </w:r>
      <w:r>
        <w:rPr>
          <w:rFonts w:hint="default" w:ascii="Times New Roman" w:hAnsi="Times New Roman" w:cs="Times New Roman"/>
          <w:color w:val="auto"/>
          <w:kern w:val="2"/>
          <w:sz w:val="24"/>
          <w:szCs w:val="24"/>
          <w:highlight w:val="none"/>
          <w:lang w:val="en-US" w:eastAsia="zh-CN" w:bidi="ar-SA"/>
        </w:rPr>
        <w:fldChar w:fldCharType="separate"/>
      </w:r>
      <w:r>
        <w:rPr>
          <w:rFonts w:hint="default" w:ascii="Times New Roman" w:hAnsi="Times New Roman" w:cs="Times New Roman"/>
          <w:color w:val="auto"/>
          <w:kern w:val="2"/>
          <w:sz w:val="24"/>
          <w:szCs w:val="24"/>
          <w:highlight w:val="none"/>
          <w:lang w:val="en-US" w:eastAsia="zh-CN" w:bidi="ar-SA"/>
        </w:rPr>
        <w:fldChar w:fldCharType="end"/>
      </w:r>
      <w:r>
        <w:rPr>
          <w:rFonts w:hint="default" w:ascii="Times New Roman" w:hAnsi="Times New Roman" w:cs="Times New Roman"/>
          <w:color w:val="auto"/>
          <w:kern w:val="2"/>
          <w:sz w:val="24"/>
          <w:szCs w:val="24"/>
          <w:highlight w:val="none"/>
          <w:lang w:val="en-US" w:eastAsia="zh-CN" w:bidi="ar-SA"/>
        </w:rPr>
        <w:t>。</w:t>
      </w:r>
    </w:p>
    <w:p w14:paraId="0D11A712">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3</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一般工业固废</w:t>
      </w:r>
      <w:r>
        <w:rPr>
          <w:rFonts w:hint="default" w:ascii="Times New Roman" w:hAnsi="Times New Roman" w:cs="Times New Roman"/>
          <w:color w:val="auto"/>
          <w:kern w:val="2"/>
          <w:sz w:val="24"/>
          <w:szCs w:val="24"/>
          <w:highlight w:val="none"/>
          <w:lang w:val="en-US" w:eastAsia="zh-CN" w:bidi="ar-SA"/>
        </w:rPr>
        <w:t>废包装材料——资源回收</w:t>
      </w:r>
      <w:r>
        <w:rPr>
          <w:rFonts w:hint="eastAsia" w:cs="Times New Roman"/>
          <w:color w:val="auto"/>
          <w:kern w:val="2"/>
          <w:sz w:val="24"/>
          <w:szCs w:val="24"/>
          <w:highlight w:val="none"/>
          <w:lang w:val="en-US" w:eastAsia="zh-CN" w:bidi="ar-SA"/>
        </w:rPr>
        <w:t>利用</w:t>
      </w:r>
    </w:p>
    <w:p w14:paraId="1152308C">
      <w:pPr>
        <w:widowControl w:val="0"/>
        <w:spacing w:line="500" w:lineRule="exact"/>
        <w:ind w:firstLine="480" w:firstLineChars="200"/>
        <w:jc w:val="both"/>
        <w:rPr>
          <w:rFonts w:hint="eastAsia"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饲料</w:t>
      </w:r>
      <w:r>
        <w:rPr>
          <w:rFonts w:hint="eastAsia" w:cs="Times New Roman"/>
          <w:color w:val="auto"/>
          <w:kern w:val="2"/>
          <w:sz w:val="24"/>
          <w:szCs w:val="24"/>
          <w:highlight w:val="none"/>
          <w:lang w:val="en-US" w:eastAsia="zh-CN" w:bidi="ar-SA"/>
        </w:rPr>
        <w:t>包装袋</w:t>
      </w:r>
      <w:r>
        <w:rPr>
          <w:rFonts w:hint="default" w:ascii="Times New Roman" w:hAnsi="Times New Roman" w:cs="Times New Roman"/>
          <w:color w:val="auto"/>
          <w:kern w:val="2"/>
          <w:sz w:val="24"/>
          <w:szCs w:val="24"/>
          <w:highlight w:val="none"/>
          <w:lang w:val="en-US" w:eastAsia="zh-CN" w:bidi="ar-SA"/>
        </w:rPr>
        <w:t>、生物除臭剂包装桶、生物菌剂包装桶为一般工业固废，分类暂存于</w:t>
      </w:r>
      <w:r>
        <w:rPr>
          <w:rFonts w:hint="eastAsia" w:cs="Times New Roman"/>
          <w:color w:val="auto"/>
          <w:kern w:val="2"/>
          <w:sz w:val="24"/>
          <w:szCs w:val="24"/>
          <w:highlight w:val="none"/>
          <w:lang w:val="en-US" w:eastAsia="zh-CN" w:bidi="ar-SA"/>
        </w:rPr>
        <w:t>库房</w:t>
      </w:r>
      <w:r>
        <w:rPr>
          <w:rFonts w:hint="default" w:ascii="Times New Roman" w:hAnsi="Times New Roman" w:cs="Times New Roman"/>
          <w:color w:val="auto"/>
          <w:kern w:val="2"/>
          <w:sz w:val="24"/>
          <w:szCs w:val="24"/>
          <w:highlight w:val="none"/>
          <w:lang w:val="en-US" w:eastAsia="zh-CN" w:bidi="ar-SA"/>
        </w:rPr>
        <w:t>内，定期外售回收单位综合利用</w:t>
      </w:r>
      <w:r>
        <w:rPr>
          <w:rFonts w:hint="eastAsia" w:cs="Times New Roman"/>
          <w:color w:val="auto"/>
          <w:kern w:val="2"/>
          <w:sz w:val="24"/>
          <w:szCs w:val="24"/>
          <w:highlight w:val="none"/>
          <w:lang w:val="en-US" w:eastAsia="zh-CN" w:bidi="ar-SA"/>
        </w:rPr>
        <w:t>。</w:t>
      </w:r>
    </w:p>
    <w:p w14:paraId="033D2483">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库房内单独划分50m</w:t>
      </w:r>
      <w:r>
        <w:rPr>
          <w:rFonts w:hint="eastAsia" w:cs="Times New Roman"/>
          <w:color w:val="auto"/>
          <w:kern w:val="2"/>
          <w:sz w:val="24"/>
          <w:szCs w:val="24"/>
          <w:highlight w:val="none"/>
          <w:vertAlign w:val="superscript"/>
          <w:lang w:val="en-US" w:eastAsia="zh-CN" w:bidi="ar-SA"/>
        </w:rPr>
        <w:t>2</w:t>
      </w:r>
      <w:r>
        <w:rPr>
          <w:rFonts w:hint="eastAsia" w:cs="Times New Roman"/>
          <w:color w:val="auto"/>
          <w:kern w:val="2"/>
          <w:sz w:val="24"/>
          <w:szCs w:val="24"/>
          <w:highlight w:val="none"/>
          <w:lang w:val="en-US" w:eastAsia="zh-CN" w:bidi="ar-SA"/>
        </w:rPr>
        <w:t>独立区域作为一般工业固废暂存区，用于分类暂存一般工业固废，库房</w:t>
      </w:r>
      <w:r>
        <w:rPr>
          <w:rFonts w:hint="eastAsia" w:ascii="Times New Roman" w:hAnsi="Times New Roman" w:eastAsia="宋体" w:cs="Times New Roman"/>
          <w:color w:val="000000"/>
          <w:kern w:val="2"/>
          <w:sz w:val="24"/>
          <w:szCs w:val="24"/>
          <w:highlight w:val="none"/>
          <w:lang w:val="en-US" w:eastAsia="zh-CN" w:bidi="ar-SA"/>
        </w:rPr>
        <w:t>进行防渗处理，防渗</w:t>
      </w:r>
      <w:r>
        <w:rPr>
          <w:rFonts w:hint="default" w:ascii="Times New Roman" w:hAnsi="Times New Roman" w:eastAsia="宋体" w:cs="Times New Roman"/>
          <w:color w:val="000000"/>
          <w:kern w:val="2"/>
          <w:sz w:val="24"/>
          <w:szCs w:val="20"/>
          <w:highlight w:val="none"/>
          <w:lang w:val="en-US" w:eastAsia="zh-CN"/>
        </w:rPr>
        <w:t>采用厚度Mb=1.5m，渗透系数K≤10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cm/s防渗等效的20cm厚P4等级混凝土进行防渗。防渗技术要求为：等效黏土防渗层Mb≥1.5m，K≤1×10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，满足《一般工业固体废物贮存和填埋污染控制标准》（GB18599-2020）贮存要求</w:t>
      </w:r>
      <w:r>
        <w:rPr>
          <w:rFonts w:hint="default" w:ascii="Times New Roman" w:hAnsi="Times New Roman" w:cs="Times New Roman"/>
          <w:color w:val="auto"/>
          <w:kern w:val="2"/>
          <w:sz w:val="24"/>
          <w:szCs w:val="24"/>
          <w:highlight w:val="none"/>
          <w:lang w:val="en-US" w:eastAsia="zh-CN" w:bidi="ar-SA"/>
        </w:rPr>
        <w:t>。</w:t>
      </w:r>
    </w:p>
    <w:p w14:paraId="7381743B">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（4）危险废物废包装材料</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规范暂存、委托有资质单位处置</w:t>
      </w:r>
    </w:p>
    <w:p w14:paraId="2DDCD553">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废</w:t>
      </w:r>
      <w:r>
        <w:rPr>
          <w:rFonts w:hint="default" w:ascii="Times New Roman" w:hAnsi="Times New Roman" w:cs="Times New Roman"/>
          <w:color w:val="auto"/>
          <w:kern w:val="2"/>
          <w:sz w:val="24"/>
          <w:szCs w:val="24"/>
          <w:highlight w:val="none"/>
          <w:lang w:val="en-US" w:eastAsia="zh-CN" w:bidi="ar-SA"/>
        </w:rPr>
        <w:t>消毒剂包装</w:t>
      </w:r>
      <w:r>
        <w:rPr>
          <w:rFonts w:hint="eastAsia" w:cs="Times New Roman"/>
          <w:color w:val="auto"/>
          <w:kern w:val="2"/>
          <w:sz w:val="24"/>
          <w:szCs w:val="24"/>
          <w:highlight w:val="none"/>
          <w:lang w:val="en-US" w:eastAsia="zh-CN" w:bidi="ar-SA"/>
        </w:rPr>
        <w:t>材料，</w:t>
      </w:r>
      <w:r>
        <w:rPr>
          <w:rFonts w:hint="default" w:ascii="Times New Roman" w:hAnsi="Times New Roman" w:cs="Times New Roman"/>
          <w:color w:val="auto"/>
          <w:kern w:val="2"/>
          <w:sz w:val="24"/>
          <w:szCs w:val="24"/>
          <w:highlight w:val="none"/>
          <w:lang w:val="en-US" w:eastAsia="zh-CN" w:bidi="ar-SA"/>
        </w:rPr>
        <w:t>因沾染过戊二醛</w:t>
      </w:r>
      <w:r>
        <w:rPr>
          <w:rFonts w:hint="eastAsia" w:cs="Times New Roman"/>
          <w:color w:val="auto"/>
          <w:kern w:val="2"/>
          <w:sz w:val="24"/>
          <w:szCs w:val="24"/>
          <w:highlight w:val="none"/>
          <w:lang w:val="en-US" w:eastAsia="zh-CN" w:bidi="ar-SA"/>
        </w:rPr>
        <w:t>、生石灰</w:t>
      </w:r>
      <w:r>
        <w:rPr>
          <w:rFonts w:hint="default" w:ascii="Times New Roman" w:hAnsi="Times New Roman" w:cs="Times New Roman"/>
          <w:color w:val="auto"/>
          <w:kern w:val="2"/>
          <w:sz w:val="24"/>
          <w:szCs w:val="24"/>
          <w:highlight w:val="none"/>
          <w:lang w:val="en-US" w:eastAsia="zh-CN" w:bidi="ar-SA"/>
        </w:rPr>
        <w:t>等危险化学品，属于危险废物（HW49 900-041-49），暂存于10m²危险废物贮存</w:t>
      </w:r>
      <w:r>
        <w:rPr>
          <w:rFonts w:hint="eastAsia" w:cs="Times New Roman"/>
          <w:color w:val="auto"/>
          <w:kern w:val="2"/>
          <w:sz w:val="24"/>
          <w:szCs w:val="24"/>
          <w:highlight w:val="none"/>
          <w:lang w:val="en-US" w:eastAsia="zh-CN" w:bidi="ar-SA"/>
        </w:rPr>
        <w:t>点</w:t>
      </w:r>
      <w:r>
        <w:rPr>
          <w:rFonts w:hint="default" w:ascii="Times New Roman" w:hAnsi="Times New Roman" w:cs="Times New Roman"/>
          <w:color w:val="auto"/>
          <w:kern w:val="2"/>
          <w:sz w:val="24"/>
          <w:szCs w:val="24"/>
          <w:highlight w:val="none"/>
          <w:lang w:val="en-US" w:eastAsia="zh-CN" w:bidi="ar-SA"/>
        </w:rPr>
        <w:t>，委托有资质单位处置。</w:t>
      </w:r>
    </w:p>
    <w:p w14:paraId="788DA3E1">
      <w:pPr>
        <w:widowControl w:val="0"/>
        <w:spacing w:line="500" w:lineRule="exact"/>
        <w:ind w:firstLine="480" w:firstLineChars="200"/>
        <w:jc w:val="both"/>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本项目建设</w:t>
      </w:r>
      <w:r>
        <w:rPr>
          <w:rFonts w:hint="default" w:ascii="Times New Roman" w:hAnsi="Times New Roman" w:cs="Times New Roman"/>
          <w:color w:val="auto"/>
          <w:kern w:val="2"/>
          <w:sz w:val="24"/>
          <w:szCs w:val="24"/>
          <w:highlight w:val="none"/>
          <w:lang w:val="en-US" w:eastAsia="zh-CN" w:bidi="ar-SA"/>
        </w:rPr>
        <w:t>10m²</w:t>
      </w:r>
      <w:r>
        <w:rPr>
          <w:rFonts w:hint="eastAsia" w:cs="Times New Roman"/>
          <w:color w:val="auto"/>
          <w:kern w:val="2"/>
          <w:sz w:val="24"/>
          <w:szCs w:val="24"/>
          <w:highlight w:val="none"/>
          <w:lang w:val="en-US" w:eastAsia="zh-CN" w:bidi="ar-SA"/>
        </w:rPr>
        <w:t>危险废物贮存点，</w:t>
      </w:r>
      <w:r>
        <w:rPr>
          <w:rFonts w:hint="eastAsia" w:cs="Times New Roman"/>
          <w:color w:val="000000"/>
          <w:kern w:val="2"/>
          <w:sz w:val="24"/>
          <w:szCs w:val="24"/>
          <w:highlight w:val="none"/>
          <w:lang w:val="en-US" w:eastAsia="zh-CN" w:bidi="ar-SA"/>
        </w:rPr>
        <w:t>能够完全容纳两期工程危险废物贮存需求。</w:t>
      </w:r>
      <w:r>
        <w:rPr>
          <w:rFonts w:hint="default" w:ascii="Times New Roman" w:hAnsi="Times New Roman" w:eastAsia="宋体" w:cs="Times New Roman"/>
          <w:color w:val="000000"/>
          <w:kern w:val="0"/>
          <w:sz w:val="24"/>
          <w:szCs w:val="24"/>
          <w:lang w:val="en-US" w:eastAsia="zh-CN" w:bidi="ar-SA"/>
        </w:rPr>
        <w:t>采取防风、防晒、防雨、防漏、防渗、防腐以及其他环境污染防治措施，</w:t>
      </w:r>
      <w:r>
        <w:rPr>
          <w:rFonts w:hint="eastAsia" w:ascii="Times New Roman" w:hAnsi="Times New Roman" w:eastAsia="宋体" w:cs="Times New Roman"/>
          <w:color w:val="000000"/>
          <w:kern w:val="2"/>
          <w:sz w:val="24"/>
          <w:szCs w:val="20"/>
          <w:highlight w:val="none"/>
          <w:lang w:val="en-US" w:eastAsia="zh-CN"/>
        </w:rPr>
        <w:t>防渗方案：黏土夯实+</w:t>
      </w:r>
      <w:r>
        <w:rPr>
          <w:rFonts w:hint="default" w:ascii="Times New Roman" w:hAnsi="Times New Roman" w:eastAsia="宋体" w:cs="Times New Roman"/>
          <w:color w:val="000000"/>
          <w:kern w:val="2"/>
          <w:sz w:val="24"/>
          <w:szCs w:val="20"/>
          <w:highlight w:val="none"/>
          <w:lang w:val="en-US" w:eastAsia="zh-CN"/>
        </w:rPr>
        <w:t>2mm厚高密度聚乙烯膜（HDPE）+水泥地面</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。危险废物贮存库地面满足《危险废物贮存污染控制标准》（GB18597-2023）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highlight w:val="none"/>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w:t>
      </w:r>
      <w:r>
        <w:rPr>
          <w:rFonts w:hint="eastAsia" w:cs="Times New Roman"/>
          <w:color w:val="000000"/>
          <w:kern w:val="2"/>
          <w:sz w:val="24"/>
          <w:szCs w:val="20"/>
          <w:highlight w:val="none"/>
          <w:lang w:val="en-US" w:eastAsia="zh-CN"/>
        </w:rPr>
        <w:t>由于</w:t>
      </w:r>
      <w:r>
        <w:rPr>
          <w:rFonts w:hint="eastAsia" w:cs="Times New Roman"/>
          <w:color w:val="000000"/>
          <w:kern w:val="0"/>
          <w:sz w:val="24"/>
          <w:szCs w:val="24"/>
          <w:lang w:val="en-US" w:eastAsia="zh-CN" w:bidi="ar-SA"/>
        </w:rPr>
        <w:t>废消毒剂包装材料可能</w:t>
      </w:r>
      <w:r>
        <w:rPr>
          <w:rFonts w:hint="eastAsia" w:cs="Times New Roman"/>
          <w:color w:val="000000"/>
          <w:kern w:val="0"/>
          <w:sz w:val="24"/>
          <w:szCs w:val="24"/>
          <w:vertAlign w:val="baseline"/>
          <w:lang w:val="en-US" w:eastAsia="zh-CN" w:bidi="ar-SA"/>
        </w:rPr>
        <w:t>残留的少量消毒液，因此贮存区设置围堰，围堰防渗</w:t>
      </w:r>
      <w:r>
        <w:rPr>
          <w:rFonts w:hint="eastAsia" w:ascii="Times New Roman" w:hAnsi="Times New Roman" w:eastAsia="宋体" w:cs="Times New Roman"/>
          <w:color w:val="000000"/>
          <w:kern w:val="2"/>
          <w:sz w:val="24"/>
          <w:szCs w:val="20"/>
          <w:highlight w:val="none"/>
          <w:lang w:val="en-US" w:eastAsia="zh-CN"/>
        </w:rPr>
        <w:t>满足《危险废物贮存污染控制标准》（GB18597-2023）</w:t>
      </w:r>
      <w:r>
        <w:rPr>
          <w:rFonts w:hint="eastAsia" w:cs="Times New Roman"/>
          <w:color w:val="000000"/>
          <w:kern w:val="2"/>
          <w:sz w:val="24"/>
          <w:szCs w:val="20"/>
          <w:highlight w:val="none"/>
          <w:lang w:val="en-US" w:eastAsia="zh-CN"/>
        </w:rPr>
        <w:t>“</w:t>
      </w:r>
      <w:r>
        <w:rPr>
          <w:rFonts w:hint="default" w:ascii="Times New Roman" w:hAnsi="Times New Roman" w:eastAsia="宋体" w:cs="Times New Roman"/>
          <w:color w:val="auto"/>
          <w:kern w:val="0"/>
          <w:sz w:val="24"/>
          <w:szCs w:val="24"/>
          <w:highlight w:val="none"/>
        </w:rPr>
        <w:t>贮存的危险废物直接接触地面的，还应进行基础防渗，防渗层为至少1m厚黏土层（渗透系数不大于10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7</w:t>
      </w:r>
      <w:r>
        <w:rPr>
          <w:rFonts w:hint="default" w:ascii="Times New Roman" w:hAnsi="Times New Roman" w:eastAsia="宋体" w:cs="Times New Roman"/>
          <w:color w:val="auto"/>
          <w:kern w:val="0"/>
          <w:sz w:val="24"/>
          <w:szCs w:val="24"/>
          <w:highlight w:val="none"/>
        </w:rPr>
        <w:t>cm/s），或至少2mm厚高密度聚乙烯膜等人工防渗材料（渗透系数不大于10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10</w:t>
      </w:r>
      <w:r>
        <w:rPr>
          <w:rFonts w:hint="default" w:ascii="Times New Roman" w:hAnsi="Times New Roman" w:eastAsia="宋体" w:cs="Times New Roman"/>
          <w:color w:val="auto"/>
          <w:kern w:val="0"/>
          <w:sz w:val="24"/>
          <w:szCs w:val="24"/>
          <w:highlight w:val="none"/>
        </w:rPr>
        <w:t>cm/s），或其他防渗性能等效的材料</w:t>
      </w:r>
      <w:r>
        <w:rPr>
          <w:rFonts w:hint="default" w:ascii="Times New Roman" w:hAnsi="Times New Roman" w:eastAsia="宋体" w:cs="Times New Roman"/>
          <w:color w:val="000000"/>
          <w:kern w:val="2"/>
          <w:sz w:val="24"/>
          <w:szCs w:val="20"/>
          <w:highlight w:val="none"/>
          <w:lang w:val="en-US" w:eastAsia="zh-CN"/>
        </w:rPr>
        <w:t>。</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w:t>
      </w:r>
      <w:r>
        <w:rPr>
          <w:rFonts w:hint="eastAsia" w:cs="Times New Roman"/>
          <w:color w:val="000000"/>
          <w:kern w:val="2"/>
          <w:sz w:val="24"/>
          <w:szCs w:val="20"/>
          <w:highlight w:val="none"/>
          <w:lang w:val="en-US" w:eastAsia="zh-CN"/>
        </w:rPr>
        <w:t>委托有资质单位运输处置</w:t>
      </w:r>
      <w:r>
        <w:rPr>
          <w:rFonts w:hint="eastAsia" w:cs="Times New Roman"/>
          <w:color w:val="auto"/>
          <w:kern w:val="2"/>
          <w:sz w:val="24"/>
          <w:szCs w:val="24"/>
          <w:highlight w:val="none"/>
          <w:lang w:val="en-US" w:eastAsia="zh-CN" w:bidi="ar-SA"/>
        </w:rPr>
        <w:t>，符合</w:t>
      </w:r>
      <w:r>
        <w:rPr>
          <w:rFonts w:hint="default" w:cs="Times New Roman"/>
          <w:color w:val="auto"/>
          <w:kern w:val="2"/>
          <w:sz w:val="24"/>
          <w:szCs w:val="24"/>
          <w:highlight w:val="none"/>
          <w:lang w:val="en-US" w:eastAsia="zh-CN" w:bidi="ar-SA"/>
        </w:rPr>
        <w:t>《危险废物贮存污染控制标准》（GB18597-2023）</w:t>
      </w:r>
      <w:r>
        <w:rPr>
          <w:rFonts w:hint="eastAsia" w:cs="Times New Roman"/>
          <w:color w:val="auto"/>
          <w:kern w:val="2"/>
          <w:sz w:val="24"/>
          <w:szCs w:val="24"/>
          <w:highlight w:val="none"/>
          <w:lang w:val="en-US" w:eastAsia="zh-CN" w:bidi="ar-SA"/>
        </w:rPr>
        <w:t>贮存要求</w:t>
      </w:r>
      <w:r>
        <w:rPr>
          <w:rFonts w:hint="default" w:cs="Times New Roman"/>
          <w:color w:val="auto"/>
          <w:kern w:val="2"/>
          <w:sz w:val="24"/>
          <w:szCs w:val="24"/>
          <w:highlight w:val="none"/>
          <w:lang w:val="en-US" w:eastAsia="zh-CN" w:bidi="ar-SA"/>
        </w:rPr>
        <w:t>。</w:t>
      </w:r>
    </w:p>
    <w:p w14:paraId="004ADD78">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5</w:t>
      </w:r>
      <w:r>
        <w:rPr>
          <w:rFonts w:hint="default" w:ascii="Times New Roman" w:hAnsi="Times New Roman" w:cs="Times New Roman"/>
          <w:color w:val="auto"/>
          <w:kern w:val="2"/>
          <w:sz w:val="24"/>
          <w:szCs w:val="24"/>
          <w:highlight w:val="none"/>
          <w:lang w:val="en-US" w:eastAsia="zh-CN" w:bidi="ar-SA"/>
        </w:rPr>
        <w:t>）医疗废物——</w:t>
      </w:r>
      <w:r>
        <w:rPr>
          <w:rFonts w:hint="eastAsia" w:cs="Times New Roman"/>
          <w:color w:val="auto"/>
          <w:kern w:val="2"/>
          <w:sz w:val="24"/>
          <w:szCs w:val="24"/>
          <w:highlight w:val="none"/>
          <w:lang w:val="en-US" w:eastAsia="zh-CN" w:bidi="ar-SA"/>
        </w:rPr>
        <w:t>规范暂存、委托有资质单位处置</w:t>
      </w:r>
    </w:p>
    <w:p w14:paraId="01C38A41">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本项目医疗废物产生量约0.</w:t>
      </w:r>
      <w:r>
        <w:rPr>
          <w:rFonts w:hint="eastAsia" w:cs="Times New Roman"/>
          <w:color w:val="auto"/>
          <w:kern w:val="2"/>
          <w:sz w:val="24"/>
          <w:szCs w:val="24"/>
          <w:highlight w:val="none"/>
          <w:lang w:val="en-US" w:eastAsia="zh-CN" w:bidi="ar-SA"/>
        </w:rPr>
        <w:t>2</w:t>
      </w:r>
      <w:r>
        <w:rPr>
          <w:rFonts w:hint="default" w:ascii="Times New Roman" w:hAnsi="Times New Roman" w:cs="Times New Roman"/>
          <w:color w:val="auto"/>
          <w:kern w:val="2"/>
          <w:sz w:val="24"/>
          <w:szCs w:val="24"/>
          <w:highlight w:val="none"/>
          <w:lang w:val="en-US" w:eastAsia="zh-CN" w:bidi="ar-SA"/>
        </w:rPr>
        <w:t>t/a，属于HW01医疗废物（841-001-01感染性废物），暂存于20m²医疗废物暂存间，委托有资质单位处置。</w:t>
      </w:r>
    </w:p>
    <w:p w14:paraId="0F4231C3">
      <w:pPr>
        <w:spacing w:line="360" w:lineRule="auto"/>
        <w:ind w:firstLine="480" w:firstLineChars="200"/>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本项目建设20</w:t>
      </w:r>
      <w:r>
        <w:rPr>
          <w:rFonts w:hint="default" w:ascii="Times New Roman" w:hAnsi="Times New Roman" w:cs="Times New Roman"/>
          <w:color w:val="auto"/>
          <w:kern w:val="2"/>
          <w:sz w:val="24"/>
          <w:szCs w:val="24"/>
          <w:highlight w:val="none"/>
          <w:lang w:val="en-US" w:eastAsia="zh-CN" w:bidi="ar-SA"/>
        </w:rPr>
        <w:t>m²医疗废物暂存间</w:t>
      </w:r>
      <w:r>
        <w:rPr>
          <w:rFonts w:hint="eastAsia" w:cs="Times New Roman"/>
          <w:color w:val="auto"/>
          <w:kern w:val="2"/>
          <w:sz w:val="24"/>
          <w:szCs w:val="24"/>
          <w:highlight w:val="none"/>
          <w:lang w:val="en-US" w:eastAsia="zh-CN" w:bidi="ar-SA"/>
        </w:rPr>
        <w:t>，暂存间容积</w:t>
      </w:r>
      <w:r>
        <w:rPr>
          <w:rFonts w:hint="eastAsia" w:cs="Times New Roman"/>
          <w:color w:val="000000"/>
          <w:kern w:val="2"/>
          <w:sz w:val="24"/>
          <w:szCs w:val="24"/>
          <w:highlight w:val="none"/>
          <w:lang w:val="en-US" w:eastAsia="zh-CN" w:bidi="ar-SA"/>
        </w:rPr>
        <w:t>能够完全容纳医疗废物贮存需求。</w:t>
      </w:r>
      <w:r>
        <w:rPr>
          <w:rFonts w:hint="default" w:ascii="Times New Roman" w:hAnsi="Times New Roman" w:eastAsia="宋体" w:cs="Times New Roman"/>
          <w:color w:val="000000"/>
          <w:kern w:val="0"/>
          <w:sz w:val="24"/>
          <w:szCs w:val="24"/>
          <w:lang w:val="en-US" w:eastAsia="zh-CN" w:bidi="ar-SA"/>
        </w:rPr>
        <w:t>采取防风、防晒、防雨、防漏、防渗、防腐以及其他环境污染防治措施，</w:t>
      </w:r>
      <w:r>
        <w:rPr>
          <w:rFonts w:hint="eastAsia" w:ascii="Times New Roman" w:hAnsi="Times New Roman" w:eastAsia="宋体" w:cs="Times New Roman"/>
          <w:color w:val="000000"/>
          <w:kern w:val="2"/>
          <w:sz w:val="24"/>
          <w:szCs w:val="20"/>
          <w:highlight w:val="none"/>
          <w:lang w:val="en-US" w:eastAsia="zh-CN"/>
        </w:rPr>
        <w:t>防渗方案：黏土夯实+</w:t>
      </w:r>
      <w:r>
        <w:rPr>
          <w:rFonts w:hint="default" w:ascii="Times New Roman" w:hAnsi="Times New Roman" w:eastAsia="宋体" w:cs="Times New Roman"/>
          <w:color w:val="000000"/>
          <w:kern w:val="2"/>
          <w:sz w:val="24"/>
          <w:szCs w:val="20"/>
          <w:highlight w:val="none"/>
          <w:lang w:val="en-US" w:eastAsia="zh-CN"/>
        </w:rPr>
        <w:t>2mm厚高密度聚乙烯膜（HDPE）+水泥地面</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。危险废物贮存库地面满足《危险废物贮存污染控制标准》（GB18597-2023）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highlight w:val="none"/>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w:t>
      </w:r>
      <w:r>
        <w:rPr>
          <w:rFonts w:hint="eastAsia" w:cs="Times New Roman"/>
          <w:sz w:val="24"/>
          <w:lang w:val="en-US" w:eastAsia="zh-CN"/>
        </w:rPr>
        <w:t>按照《医疗废物专用包装袋、容器和警示标志标准》（HJ 421-2008）收集、包装，设置警示标志；并按照《医疗废物处理处置污染控制标准》（GB39707-2020）要求，感染性、损伤性、病理性废物应盛装于医疗废物周转箱/桶内一并置于贮存设施内暂时贮存。贮存设施应设置通风装置、配套消毒措施。</w:t>
      </w:r>
      <w:r>
        <w:rPr>
          <w:rFonts w:hint="eastAsia" w:ascii="Times New Roman" w:hAnsi="Times New Roman" w:eastAsia="宋体" w:cs="Times New Roman"/>
          <w:sz w:val="24"/>
          <w:lang w:val="en-US" w:eastAsia="zh-CN"/>
        </w:rPr>
        <w:t>应防止医疗废物在暂时贮存库房和专用暂时贮存柜（箱）中腐败散发恶臭，尽量做到日产日清。确实不能做到日产日清，且当地最高气温高于25℃时，应将医疗废物低温暂时贮存，暂时贮存温度应低于20℃，时间最长不超过48小时。</w:t>
      </w:r>
      <w:r>
        <w:rPr>
          <w:rFonts w:hint="eastAsia" w:cs="Times New Roman"/>
          <w:color w:val="000000"/>
          <w:kern w:val="2"/>
          <w:sz w:val="24"/>
          <w:szCs w:val="20"/>
          <w:highlight w:val="none"/>
          <w:lang w:val="en-US" w:eastAsia="zh-CN"/>
        </w:rPr>
        <w:t>委托有资质单位运输处置</w:t>
      </w:r>
      <w:r>
        <w:rPr>
          <w:rFonts w:hint="eastAsia" w:cs="Times New Roman"/>
          <w:color w:val="auto"/>
          <w:kern w:val="2"/>
          <w:sz w:val="24"/>
          <w:szCs w:val="24"/>
          <w:highlight w:val="none"/>
          <w:lang w:val="en-US" w:eastAsia="zh-CN" w:bidi="ar-SA"/>
        </w:rPr>
        <w:t>，符合</w:t>
      </w:r>
      <w:r>
        <w:rPr>
          <w:rFonts w:hint="default" w:cs="Times New Roman"/>
          <w:color w:val="auto"/>
          <w:kern w:val="2"/>
          <w:sz w:val="24"/>
          <w:szCs w:val="24"/>
          <w:highlight w:val="none"/>
          <w:lang w:val="en-US" w:eastAsia="zh-CN" w:bidi="ar-SA"/>
        </w:rPr>
        <w:t>《危险废物贮存污染控制标准》（GB18597-2023）</w:t>
      </w:r>
      <w:r>
        <w:rPr>
          <w:rFonts w:hint="eastAsia"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《医疗废物管理条例》及《医疗废物处理处置污染控制标准》（GB39707-2020）</w:t>
      </w:r>
      <w:r>
        <w:rPr>
          <w:rFonts w:hint="eastAsia" w:cs="Times New Roman"/>
          <w:color w:val="auto"/>
          <w:kern w:val="2"/>
          <w:sz w:val="24"/>
          <w:szCs w:val="24"/>
          <w:highlight w:val="none"/>
          <w:lang w:val="en-US" w:eastAsia="zh-CN" w:bidi="ar-SA"/>
        </w:rPr>
        <w:t>贮存要求</w:t>
      </w:r>
      <w:r>
        <w:rPr>
          <w:rFonts w:hint="default" w:cs="Times New Roman"/>
          <w:color w:val="auto"/>
          <w:kern w:val="2"/>
          <w:sz w:val="24"/>
          <w:szCs w:val="24"/>
          <w:highlight w:val="none"/>
          <w:lang w:val="en-US" w:eastAsia="zh-CN" w:bidi="ar-SA"/>
        </w:rPr>
        <w:t>。</w:t>
      </w:r>
    </w:p>
    <w:p w14:paraId="04CB5A64">
      <w:pPr>
        <w:widowControl w:val="0"/>
        <w:numPr>
          <w:ilvl w:val="0"/>
          <w:numId w:val="0"/>
        </w:numPr>
        <w:spacing w:line="500" w:lineRule="exact"/>
        <w:ind w:firstLine="480" w:firstLineChars="200"/>
        <w:jc w:val="both"/>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（6）</w:t>
      </w:r>
      <w:r>
        <w:rPr>
          <w:rFonts w:hint="default" w:ascii="Times New Roman" w:hAnsi="Times New Roman" w:cs="Times New Roman"/>
          <w:color w:val="auto"/>
          <w:kern w:val="2"/>
          <w:sz w:val="24"/>
          <w:szCs w:val="24"/>
          <w:highlight w:val="none"/>
          <w:lang w:val="en-US" w:eastAsia="zh-CN" w:bidi="ar-SA"/>
        </w:rPr>
        <w:t>除尘灰</w:t>
      </w:r>
      <w:r>
        <w:rPr>
          <w:rFonts w:hint="eastAsia" w:cs="Times New Roman"/>
          <w:color w:val="auto"/>
          <w:kern w:val="2"/>
          <w:sz w:val="24"/>
          <w:szCs w:val="24"/>
          <w:highlight w:val="none"/>
          <w:lang w:val="en-US" w:eastAsia="zh-CN" w:bidi="ar-SA"/>
        </w:rPr>
        <w:t>及废布袋</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回用、原厂回收</w:t>
      </w:r>
    </w:p>
    <w:p w14:paraId="010BCDCC">
      <w:pPr>
        <w:widowControl w:val="0"/>
        <w:spacing w:line="500" w:lineRule="exact"/>
        <w:ind w:firstLine="480" w:firstLineChars="200"/>
        <w:jc w:val="both"/>
        <w:rPr>
          <w:rFonts w:hint="eastAsia"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w:t>
      </w:r>
      <w:r>
        <w:rPr>
          <w:rFonts w:hint="eastAsia" w:ascii="Times New Roman" w:hAnsi="Times New Roman" w:cs="Times New Roman"/>
          <w:color w:val="auto"/>
          <w:kern w:val="2"/>
          <w:sz w:val="24"/>
          <w:szCs w:val="24"/>
          <w:highlight w:val="none"/>
          <w:lang w:val="en-US" w:eastAsia="zh-CN" w:bidi="ar-SA"/>
        </w:rPr>
        <w:t>堆肥间</w:t>
      </w:r>
      <w:r>
        <w:rPr>
          <w:rFonts w:hint="default" w:ascii="Times New Roman" w:hAnsi="Times New Roman" w:cs="Times New Roman"/>
          <w:color w:val="auto"/>
          <w:kern w:val="2"/>
          <w:sz w:val="24"/>
          <w:szCs w:val="24"/>
          <w:highlight w:val="none"/>
          <w:lang w:val="en-US" w:eastAsia="zh-CN" w:bidi="ar-SA"/>
        </w:rPr>
        <w:t>袋式除尘器收集少量粉尘收集后</w:t>
      </w:r>
      <w:r>
        <w:rPr>
          <w:rFonts w:hint="eastAsia" w:cs="Times New Roman"/>
          <w:color w:val="auto"/>
          <w:kern w:val="2"/>
          <w:sz w:val="24"/>
          <w:szCs w:val="24"/>
          <w:highlight w:val="none"/>
          <w:lang w:val="en-US" w:eastAsia="zh-CN" w:bidi="ar-SA"/>
        </w:rPr>
        <w:t>暂存于堆肥间内，</w:t>
      </w:r>
      <w:r>
        <w:rPr>
          <w:rFonts w:hint="eastAsia" w:ascii="Times New Roman" w:hAnsi="Times New Roman" w:cs="Times New Roman"/>
          <w:color w:val="auto"/>
          <w:kern w:val="2"/>
          <w:sz w:val="24"/>
          <w:szCs w:val="24"/>
          <w:highlight w:val="none"/>
          <w:lang w:val="en-US" w:eastAsia="zh-CN" w:bidi="ar-SA"/>
        </w:rPr>
        <w:t>回用于堆肥工段；饲料加工</w:t>
      </w:r>
      <w:r>
        <w:rPr>
          <w:rFonts w:hint="eastAsia" w:cs="Times New Roman"/>
          <w:color w:val="auto"/>
          <w:kern w:val="2"/>
          <w:sz w:val="24"/>
          <w:szCs w:val="24"/>
          <w:highlight w:val="none"/>
          <w:lang w:val="en-US" w:eastAsia="zh-CN" w:bidi="ar-SA"/>
        </w:rPr>
        <w:t>区</w:t>
      </w:r>
      <w:r>
        <w:rPr>
          <w:rFonts w:hint="default" w:ascii="Times New Roman" w:hAnsi="Times New Roman" w:cs="Times New Roman"/>
          <w:color w:val="auto"/>
          <w:kern w:val="2"/>
          <w:sz w:val="24"/>
          <w:szCs w:val="24"/>
          <w:highlight w:val="none"/>
          <w:lang w:val="en-US" w:eastAsia="zh-CN" w:bidi="ar-SA"/>
        </w:rPr>
        <w:t>袋式除尘器收集少量粉尘收集后</w:t>
      </w:r>
      <w:r>
        <w:rPr>
          <w:rFonts w:hint="eastAsia" w:cs="Times New Roman"/>
          <w:color w:val="auto"/>
          <w:kern w:val="2"/>
          <w:sz w:val="24"/>
          <w:szCs w:val="24"/>
          <w:highlight w:val="none"/>
          <w:lang w:val="en-US" w:eastAsia="zh-CN" w:bidi="ar-SA"/>
        </w:rPr>
        <w:t>暂存于库房内，</w:t>
      </w:r>
      <w:r>
        <w:rPr>
          <w:rFonts w:hint="eastAsia" w:ascii="Times New Roman" w:hAnsi="Times New Roman" w:cs="Times New Roman"/>
          <w:color w:val="auto"/>
          <w:kern w:val="2"/>
          <w:sz w:val="24"/>
          <w:szCs w:val="24"/>
          <w:highlight w:val="none"/>
          <w:lang w:val="en-US" w:eastAsia="zh-CN" w:bidi="ar-SA"/>
        </w:rPr>
        <w:t>回用于饲料加工</w:t>
      </w:r>
      <w:r>
        <w:rPr>
          <w:rFonts w:hint="eastAsia"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堆肥间</w:t>
      </w:r>
      <w:r>
        <w:rPr>
          <w:rFonts w:hint="default" w:ascii="Times New Roman" w:hAnsi="Times New Roman" w:cs="Times New Roman"/>
          <w:color w:val="auto"/>
          <w:kern w:val="2"/>
          <w:sz w:val="24"/>
          <w:szCs w:val="24"/>
          <w:highlight w:val="none"/>
          <w:lang w:val="en-US" w:eastAsia="zh-CN" w:bidi="ar-SA"/>
        </w:rPr>
        <w:t>袋式除尘器</w:t>
      </w:r>
      <w:r>
        <w:rPr>
          <w:rFonts w:hint="eastAsia"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饲料加工</w:t>
      </w:r>
      <w:r>
        <w:rPr>
          <w:rFonts w:hint="eastAsia" w:cs="Times New Roman"/>
          <w:color w:val="auto"/>
          <w:kern w:val="2"/>
          <w:sz w:val="24"/>
          <w:szCs w:val="24"/>
          <w:highlight w:val="none"/>
          <w:lang w:val="en-US" w:eastAsia="zh-CN" w:bidi="ar-SA"/>
        </w:rPr>
        <w:t>区</w:t>
      </w:r>
      <w:r>
        <w:rPr>
          <w:rFonts w:hint="default" w:ascii="Times New Roman" w:hAnsi="Times New Roman" w:cs="Times New Roman"/>
          <w:color w:val="auto"/>
          <w:kern w:val="2"/>
          <w:sz w:val="24"/>
          <w:szCs w:val="24"/>
          <w:highlight w:val="none"/>
          <w:lang w:val="en-US" w:eastAsia="zh-CN" w:bidi="ar-SA"/>
        </w:rPr>
        <w:t>袋式除尘器</w:t>
      </w:r>
      <w:r>
        <w:rPr>
          <w:rFonts w:hint="eastAsia" w:cs="Times New Roman"/>
          <w:color w:val="auto"/>
          <w:kern w:val="2"/>
          <w:sz w:val="24"/>
          <w:szCs w:val="24"/>
          <w:highlight w:val="none"/>
          <w:lang w:val="en-US" w:eastAsia="zh-CN" w:bidi="ar-SA"/>
        </w:rPr>
        <w:t>需要定期更换布袋，更换后的废布袋集中收集暂存于堆肥间，由原厂回收。</w:t>
      </w:r>
    </w:p>
    <w:p w14:paraId="07F995F6">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库房内单独划分50m</w:t>
      </w:r>
      <w:r>
        <w:rPr>
          <w:rFonts w:hint="eastAsia" w:cs="Times New Roman"/>
          <w:color w:val="auto"/>
          <w:kern w:val="2"/>
          <w:sz w:val="24"/>
          <w:szCs w:val="24"/>
          <w:highlight w:val="none"/>
          <w:vertAlign w:val="superscript"/>
          <w:lang w:val="en-US" w:eastAsia="zh-CN" w:bidi="ar-SA"/>
        </w:rPr>
        <w:t>2</w:t>
      </w:r>
      <w:r>
        <w:rPr>
          <w:rFonts w:hint="eastAsia" w:cs="Times New Roman"/>
          <w:color w:val="auto"/>
          <w:kern w:val="2"/>
          <w:sz w:val="24"/>
          <w:szCs w:val="24"/>
          <w:highlight w:val="none"/>
          <w:lang w:val="en-US" w:eastAsia="zh-CN" w:bidi="ar-SA"/>
        </w:rPr>
        <w:t>独立区域作为一般工业固废暂存区，用于分类暂存一般工业固废，库房</w:t>
      </w:r>
      <w:r>
        <w:rPr>
          <w:rFonts w:hint="eastAsia" w:ascii="Times New Roman" w:hAnsi="Times New Roman" w:eastAsia="宋体" w:cs="Times New Roman"/>
          <w:color w:val="000000"/>
          <w:kern w:val="2"/>
          <w:sz w:val="24"/>
          <w:szCs w:val="24"/>
          <w:highlight w:val="none"/>
          <w:lang w:val="en-US" w:eastAsia="zh-CN" w:bidi="ar-SA"/>
        </w:rPr>
        <w:t>进行防渗处理，防渗</w:t>
      </w:r>
      <w:r>
        <w:rPr>
          <w:rFonts w:hint="default" w:ascii="Times New Roman" w:hAnsi="Times New Roman" w:eastAsia="宋体" w:cs="Times New Roman"/>
          <w:color w:val="000000"/>
          <w:kern w:val="2"/>
          <w:sz w:val="24"/>
          <w:szCs w:val="20"/>
          <w:highlight w:val="none"/>
          <w:lang w:val="en-US" w:eastAsia="zh-CN"/>
        </w:rPr>
        <w:t>采用厚度Mb=1.5m，渗透系数K≤10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cm/s防渗等效的20cm厚P4等级混凝土进行防渗。防渗技术要求为：等效黏土防渗层Mb≥1.5m，K≤1×10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，满足《一般工业固体废物贮存和填埋污染控制标准》（GB18599-2020）贮存要求</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由于除尘灰为粉状，为了减少贮存粉尘，除尘灰采用封闭式吨箱贮存，集中清理后暂存于封闭式吨箱内，定期回用于饲料加工。</w:t>
      </w:r>
    </w:p>
    <w:p w14:paraId="43806280">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堆肥间单独划分</w:t>
      </w:r>
      <w:r>
        <w:rPr>
          <w:rFonts w:hint="eastAsia" w:cs="Times New Roman"/>
          <w:color w:val="auto"/>
          <w:kern w:val="2"/>
          <w:sz w:val="24"/>
          <w:szCs w:val="24"/>
          <w:highlight w:val="none"/>
          <w:lang w:val="en-US" w:eastAsia="zh-CN" w:bidi="ar-SA"/>
        </w:rPr>
        <w:t>20</w:t>
      </w:r>
      <w:r>
        <w:rPr>
          <w:rFonts w:hint="eastAsia" w:ascii="Times New Roman" w:hAnsi="Times New Roman" w:cs="Times New Roman"/>
          <w:color w:val="auto"/>
          <w:kern w:val="2"/>
          <w:sz w:val="24"/>
          <w:szCs w:val="24"/>
          <w:highlight w:val="none"/>
          <w:lang w:val="en-US" w:eastAsia="zh-CN" w:bidi="ar-SA"/>
        </w:rPr>
        <w:t>m</w:t>
      </w:r>
      <w:r>
        <w:rPr>
          <w:rFonts w:hint="eastAsia" w:ascii="Times New Roman" w:hAnsi="Times New Roman" w:cs="Times New Roman"/>
          <w:color w:val="auto"/>
          <w:kern w:val="2"/>
          <w:sz w:val="24"/>
          <w:szCs w:val="24"/>
          <w:highlight w:val="none"/>
          <w:vertAlign w:val="superscript"/>
          <w:lang w:val="en-US" w:eastAsia="zh-CN" w:bidi="ar-SA"/>
        </w:rPr>
        <w:t>2</w:t>
      </w:r>
      <w:r>
        <w:rPr>
          <w:rFonts w:hint="eastAsia" w:cs="Times New Roman"/>
          <w:color w:val="auto"/>
          <w:kern w:val="2"/>
          <w:sz w:val="24"/>
          <w:szCs w:val="24"/>
          <w:highlight w:val="none"/>
          <w:lang w:val="en-US" w:eastAsia="zh-CN" w:bidi="ar-SA"/>
        </w:rPr>
        <w:t>独立区域作为一般工业固废暂存区，用于分类暂存一般工业固废，堆肥间</w:t>
      </w:r>
      <w:r>
        <w:rPr>
          <w:rFonts w:hint="eastAsia" w:ascii="Times New Roman" w:hAnsi="Times New Roman" w:eastAsia="宋体" w:cs="Times New Roman"/>
          <w:color w:val="000000"/>
          <w:kern w:val="2"/>
          <w:sz w:val="24"/>
          <w:szCs w:val="24"/>
          <w:highlight w:val="none"/>
          <w:lang w:val="en-US" w:eastAsia="zh-CN" w:bidi="ar-SA"/>
        </w:rPr>
        <w:t>进行防渗处理，防渗</w:t>
      </w:r>
      <w:r>
        <w:rPr>
          <w:rFonts w:hint="default" w:ascii="Times New Roman" w:hAnsi="Times New Roman" w:eastAsia="宋体" w:cs="Times New Roman"/>
          <w:color w:val="000000"/>
          <w:kern w:val="2"/>
          <w:sz w:val="24"/>
          <w:szCs w:val="20"/>
          <w:highlight w:val="none"/>
          <w:lang w:val="en-US" w:eastAsia="zh-CN"/>
        </w:rPr>
        <w:t>采用厚度Mb=1.5m，渗透系数K≤10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cm/s防渗等效的20cm厚P4等级混凝土进行防渗。防渗技术要求为：等效黏土防渗层Mb≥1.5m，K≤1×10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，满足《一般工业固体废物贮存和填埋污染控制标准》（GB18599-2020）贮存要求</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由于除尘灰为粉状，为了减少贮存粉尘，除尘灰采用封闭式吨箱贮存，集中清理后暂存于封闭式吨箱内，定期回用于堆肥。</w:t>
      </w:r>
    </w:p>
    <w:p w14:paraId="6E1CADC8">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（8）</w:t>
      </w:r>
      <w:r>
        <w:rPr>
          <w:rFonts w:hint="default" w:ascii="Times New Roman" w:hAnsi="Times New Roman" w:cs="Times New Roman"/>
          <w:color w:val="auto"/>
          <w:kern w:val="2"/>
          <w:sz w:val="24"/>
          <w:szCs w:val="24"/>
          <w:highlight w:val="none"/>
          <w:lang w:val="en-US" w:eastAsia="zh-CN" w:bidi="ar-SA"/>
        </w:rPr>
        <w:t>废填料——资源回收</w:t>
      </w:r>
      <w:r>
        <w:rPr>
          <w:rFonts w:hint="eastAsia" w:cs="Times New Roman"/>
          <w:color w:val="auto"/>
          <w:kern w:val="2"/>
          <w:sz w:val="24"/>
          <w:szCs w:val="24"/>
          <w:highlight w:val="none"/>
          <w:lang w:val="en-US" w:eastAsia="zh-CN" w:bidi="ar-SA"/>
        </w:rPr>
        <w:t>利用</w:t>
      </w:r>
    </w:p>
    <w:p w14:paraId="16FA0077">
      <w:pPr>
        <w:widowControl w:val="0"/>
        <w:spacing w:line="500" w:lineRule="exact"/>
        <w:ind w:firstLine="480" w:firstLineChars="20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堆肥间废填料（0.5t/a）为聚丙烯、陶粒、颗粒活性炭等惰性填料，不含有毒有害物质</w:t>
      </w:r>
      <w:r>
        <w:rPr>
          <w:rFonts w:hint="eastAsia" w:cs="Times New Roman"/>
          <w:color w:val="auto"/>
          <w:kern w:val="2"/>
          <w:sz w:val="24"/>
          <w:szCs w:val="24"/>
          <w:highlight w:val="none"/>
          <w:lang w:val="en-US" w:eastAsia="zh-CN" w:bidi="ar-SA"/>
        </w:rPr>
        <w:t>，更换后暂存于堆肥间内</w:t>
      </w:r>
      <w:r>
        <w:rPr>
          <w:rFonts w:hint="default" w:ascii="Times New Roman" w:hAnsi="Times New Roman" w:cs="Times New Roman"/>
          <w:color w:val="auto"/>
          <w:kern w:val="2"/>
          <w:sz w:val="24"/>
          <w:szCs w:val="24"/>
          <w:highlight w:val="none"/>
          <w:lang w:val="en-US" w:eastAsia="zh-CN" w:bidi="ar-SA"/>
        </w:rPr>
        <w:t>，定期外售回收单位综合利用。</w:t>
      </w:r>
    </w:p>
    <w:p w14:paraId="5485CF67">
      <w:pPr>
        <w:widowControl w:val="0"/>
        <w:spacing w:line="500" w:lineRule="exact"/>
        <w:ind w:firstLine="480" w:firstLineChars="200"/>
        <w:jc w:val="both"/>
        <w:rPr>
          <w:rFonts w:hint="default"/>
          <w:lang w:val="en-US" w:eastAsia="zh-CN"/>
        </w:rPr>
      </w:pPr>
      <w:r>
        <w:rPr>
          <w:rFonts w:hint="eastAsia" w:ascii="Times New Roman" w:hAnsi="Times New Roman" w:cs="Times New Roman"/>
          <w:color w:val="auto"/>
          <w:kern w:val="2"/>
          <w:sz w:val="24"/>
          <w:szCs w:val="24"/>
          <w:highlight w:val="none"/>
          <w:lang w:val="en-US" w:eastAsia="zh-CN" w:bidi="ar-SA"/>
        </w:rPr>
        <w:t>堆肥间单独划分</w:t>
      </w:r>
      <w:r>
        <w:rPr>
          <w:rFonts w:hint="eastAsia" w:cs="Times New Roman"/>
          <w:color w:val="auto"/>
          <w:kern w:val="2"/>
          <w:sz w:val="24"/>
          <w:szCs w:val="24"/>
          <w:highlight w:val="none"/>
          <w:lang w:val="en-US" w:eastAsia="zh-CN" w:bidi="ar-SA"/>
        </w:rPr>
        <w:t>20</w:t>
      </w:r>
      <w:r>
        <w:rPr>
          <w:rFonts w:hint="eastAsia" w:ascii="Times New Roman" w:hAnsi="Times New Roman" w:cs="Times New Roman"/>
          <w:color w:val="auto"/>
          <w:kern w:val="2"/>
          <w:sz w:val="24"/>
          <w:szCs w:val="24"/>
          <w:highlight w:val="none"/>
          <w:lang w:val="en-US" w:eastAsia="zh-CN" w:bidi="ar-SA"/>
        </w:rPr>
        <w:t>m</w:t>
      </w:r>
      <w:r>
        <w:rPr>
          <w:rFonts w:hint="eastAsia" w:ascii="Times New Roman" w:hAnsi="Times New Roman" w:cs="Times New Roman"/>
          <w:color w:val="auto"/>
          <w:kern w:val="2"/>
          <w:sz w:val="24"/>
          <w:szCs w:val="24"/>
          <w:highlight w:val="none"/>
          <w:vertAlign w:val="superscript"/>
          <w:lang w:val="en-US" w:eastAsia="zh-CN" w:bidi="ar-SA"/>
        </w:rPr>
        <w:t>2</w:t>
      </w:r>
      <w:r>
        <w:rPr>
          <w:rFonts w:hint="eastAsia" w:cs="Times New Roman"/>
          <w:color w:val="auto"/>
          <w:kern w:val="2"/>
          <w:sz w:val="24"/>
          <w:szCs w:val="24"/>
          <w:highlight w:val="none"/>
          <w:lang w:val="en-US" w:eastAsia="zh-CN" w:bidi="ar-SA"/>
        </w:rPr>
        <w:t>独立区域作为一般工业固废暂存区，用于分类暂存一般工业固废，堆肥间</w:t>
      </w:r>
      <w:r>
        <w:rPr>
          <w:rFonts w:hint="eastAsia" w:ascii="Times New Roman" w:hAnsi="Times New Roman" w:eastAsia="宋体" w:cs="Times New Roman"/>
          <w:color w:val="000000"/>
          <w:kern w:val="2"/>
          <w:sz w:val="24"/>
          <w:szCs w:val="24"/>
          <w:highlight w:val="none"/>
          <w:lang w:val="en-US" w:eastAsia="zh-CN" w:bidi="ar-SA"/>
        </w:rPr>
        <w:t>进行防渗处理，防渗</w:t>
      </w:r>
      <w:r>
        <w:rPr>
          <w:rFonts w:hint="default" w:ascii="Times New Roman" w:hAnsi="Times New Roman" w:eastAsia="宋体" w:cs="Times New Roman"/>
          <w:color w:val="000000"/>
          <w:kern w:val="2"/>
          <w:sz w:val="24"/>
          <w:szCs w:val="20"/>
          <w:highlight w:val="none"/>
          <w:lang w:val="en-US" w:eastAsia="zh-CN"/>
        </w:rPr>
        <w:t>采用厚度Mb=1.5m，渗透系数K≤10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cm/s防渗等效的20cm厚P4等级混凝土进行防渗。防渗技术要求为：等效黏土防渗层Mb≥1.5m，K≤1×10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，满足《一般工业固体废物贮存和填埋污染控制标准》（GB18599-2020）贮存要求</w:t>
      </w:r>
      <w:r>
        <w:rPr>
          <w:rFonts w:hint="default" w:ascii="Times New Roman" w:hAnsi="Times New Roman" w:cs="Times New Roman"/>
          <w:color w:val="auto"/>
          <w:kern w:val="2"/>
          <w:sz w:val="24"/>
          <w:szCs w:val="24"/>
          <w:highlight w:val="none"/>
          <w:lang w:val="en-US" w:eastAsia="zh-CN" w:bidi="ar-SA"/>
        </w:rPr>
        <w:t>。</w:t>
      </w:r>
    </w:p>
    <w:p w14:paraId="107C9091">
      <w:pPr>
        <w:widowControl w:val="0"/>
        <w:spacing w:line="50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综上所述</w:t>
      </w:r>
      <w:r>
        <w:rPr>
          <w:rFonts w:hint="eastAsia" w:cs="Times New Roman"/>
          <w:color w:val="auto"/>
          <w:kern w:val="2"/>
          <w:sz w:val="24"/>
          <w:szCs w:val="24"/>
          <w:highlight w:val="none"/>
          <w:lang w:val="en-US" w:eastAsia="zh-CN" w:bidi="ar-SA"/>
        </w:rPr>
        <w:t>，本项目</w:t>
      </w:r>
      <w:r>
        <w:rPr>
          <w:rFonts w:ascii="Segoe UI" w:hAnsi="Segoe UI" w:eastAsia="Segoe UI" w:cs="Segoe UI"/>
          <w:i w:val="0"/>
          <w:iCs w:val="0"/>
          <w:caps w:val="0"/>
          <w:color w:val="0F1115"/>
          <w:spacing w:val="0"/>
          <w:sz w:val="24"/>
          <w:szCs w:val="24"/>
          <w:shd w:val="clear" w:fill="FFFFFF"/>
        </w:rPr>
        <w:t>各类废弃物均按照</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减量化、资源化、无害化</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原则制定了合理的处置</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利用方案</w:t>
      </w:r>
      <w:r>
        <w:rPr>
          <w:rFonts w:hint="eastAsia" w:ascii="Segoe UI" w:hAnsi="Segoe UI" w:eastAsia="宋体" w:cs="Segoe UI"/>
          <w:i w:val="0"/>
          <w:iCs w:val="0"/>
          <w:caps w:val="0"/>
          <w:color w:val="0F1115"/>
          <w:spacing w:val="0"/>
          <w:sz w:val="24"/>
          <w:szCs w:val="24"/>
          <w:shd w:val="clear" w:fill="FFFFFF"/>
          <w:lang w:eastAsia="zh-CN"/>
        </w:rPr>
        <w:t>，</w:t>
      </w:r>
      <w:r>
        <w:rPr>
          <w:rFonts w:hint="default" w:ascii="Times New Roman" w:hAnsi="Times New Roman" w:eastAsia="宋体" w:cs="Times New Roman"/>
          <w:color w:val="auto"/>
          <w:kern w:val="2"/>
          <w:sz w:val="24"/>
          <w:szCs w:val="24"/>
          <w:highlight w:val="none"/>
          <w:lang w:val="en-US" w:eastAsia="zh-CN" w:bidi="ar-SA"/>
        </w:rPr>
        <w:t>工程建成投产后，建设单位在加强工业固体废物的管理，妥善处理或处置各类固体废物的情况下，对环境产生影响较小。</w:t>
      </w:r>
    </w:p>
    <w:p w14:paraId="3DFAE257">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3"/>
        <w:rPr>
          <w:rFonts w:hint="default" w:ascii="Times New Roman" w:hAnsi="Times New Roman" w:eastAsia="宋体" w:cs="Times New Roman"/>
          <w:b/>
          <w:kern w:val="0"/>
          <w:sz w:val="24"/>
          <w:szCs w:val="24"/>
          <w:lang w:val="en-US" w:eastAsia="zh-CN" w:bidi="ar-SA"/>
        </w:rPr>
      </w:pPr>
      <w:r>
        <w:rPr>
          <w:rFonts w:hint="default" w:ascii="Times New Roman" w:hAnsi="Times New Roman" w:eastAsia="宋体" w:cs="Times New Roman"/>
          <w:b/>
          <w:kern w:val="0"/>
          <w:sz w:val="24"/>
          <w:szCs w:val="24"/>
          <w:lang w:val="en-US" w:eastAsia="zh-CN" w:bidi="ar-SA"/>
        </w:rPr>
        <w:t>5.</w:t>
      </w:r>
      <w:r>
        <w:rPr>
          <w:rFonts w:hint="eastAsia" w:ascii="Times New Roman" w:hAnsi="Times New Roman" w:eastAsia="宋体" w:cs="Times New Roman"/>
          <w:b/>
          <w:kern w:val="0"/>
          <w:sz w:val="24"/>
          <w:szCs w:val="24"/>
          <w:lang w:val="en-US" w:eastAsia="zh-CN" w:bidi="ar-SA"/>
        </w:rPr>
        <w:t>2</w:t>
      </w:r>
      <w:r>
        <w:rPr>
          <w:rFonts w:hint="default" w:ascii="Times New Roman" w:hAnsi="Times New Roman" w:eastAsia="宋体" w:cs="Times New Roman"/>
          <w:b/>
          <w:kern w:val="0"/>
          <w:sz w:val="24"/>
          <w:szCs w:val="24"/>
          <w:lang w:val="en-US" w:eastAsia="zh-CN" w:bidi="ar-SA"/>
        </w:rPr>
        <w:t>.</w:t>
      </w:r>
      <w:r>
        <w:rPr>
          <w:rFonts w:hint="eastAsia" w:ascii="Times New Roman" w:hAnsi="Times New Roman" w:eastAsia="宋体" w:cs="Times New Roman"/>
          <w:b/>
          <w:kern w:val="0"/>
          <w:sz w:val="24"/>
          <w:szCs w:val="24"/>
          <w:lang w:val="en-US" w:eastAsia="zh-CN" w:bidi="ar-SA"/>
        </w:rPr>
        <w:t>4.</w:t>
      </w:r>
      <w:r>
        <w:rPr>
          <w:rFonts w:hint="eastAsia" w:cs="Times New Roman"/>
          <w:b/>
          <w:kern w:val="0"/>
          <w:sz w:val="24"/>
          <w:szCs w:val="24"/>
          <w:lang w:val="en-US" w:eastAsia="zh-CN" w:bidi="ar-SA"/>
        </w:rPr>
        <w:t>5</w:t>
      </w:r>
      <w:r>
        <w:rPr>
          <w:rFonts w:hint="default" w:ascii="Times New Roman" w:hAnsi="Times New Roman" w:eastAsia="宋体" w:cs="Times New Roman"/>
          <w:b/>
          <w:kern w:val="0"/>
          <w:sz w:val="24"/>
          <w:szCs w:val="24"/>
          <w:lang w:val="en-US" w:eastAsia="zh-CN" w:bidi="ar-SA"/>
        </w:rPr>
        <w:t>小结</w:t>
      </w:r>
    </w:p>
    <w:p w14:paraId="5CE088FF">
      <w:pPr>
        <w:widowControl w:val="0"/>
        <w:spacing w:line="500" w:lineRule="exact"/>
        <w:ind w:firstLine="480" w:firstLineChars="200"/>
        <w:jc w:val="both"/>
        <w:rPr>
          <w:rFonts w:hint="default" w:ascii="Times New Roman" w:hAnsi="Times New Roman" w:eastAsia="宋体" w:cs="华文仿宋"/>
          <w:kern w:val="2"/>
          <w:sz w:val="24"/>
          <w:szCs w:val="24"/>
          <w:lang w:val="en-US" w:eastAsia="zh-CN" w:bidi="ar-SA"/>
        </w:rPr>
      </w:pPr>
      <w:r>
        <w:rPr>
          <w:rFonts w:hint="default" w:ascii="Times New Roman" w:hAnsi="Times New Roman" w:eastAsia="宋体" w:cs="Times New Roman"/>
          <w:color w:val="000000"/>
          <w:kern w:val="2"/>
          <w:sz w:val="24"/>
          <w:szCs w:val="24"/>
          <w:highlight w:val="none"/>
          <w:lang w:val="en-US" w:eastAsia="zh-CN" w:bidi="ar-SA"/>
        </w:rPr>
        <w:t>综上所述，</w:t>
      </w:r>
      <w:r>
        <w:rPr>
          <w:rFonts w:hint="eastAsia" w:ascii="Times New Roman" w:hAnsi="Times New Roman" w:eastAsia="宋体" w:cs="Times New Roman"/>
          <w:color w:val="000000"/>
          <w:kern w:val="2"/>
          <w:sz w:val="24"/>
          <w:szCs w:val="24"/>
          <w:highlight w:val="none"/>
          <w:lang w:val="en-US" w:eastAsia="zh-CN" w:bidi="ar-SA"/>
        </w:rPr>
        <w:t>本项目</w:t>
      </w:r>
      <w:r>
        <w:rPr>
          <w:rFonts w:hint="default" w:ascii="Times New Roman" w:hAnsi="Times New Roman" w:eastAsia="宋体" w:cs="Times New Roman"/>
          <w:color w:val="000000"/>
          <w:kern w:val="2"/>
          <w:sz w:val="24"/>
          <w:szCs w:val="24"/>
          <w:highlight w:val="none"/>
          <w:lang w:val="en-US" w:eastAsia="zh-CN" w:bidi="ar-SA"/>
        </w:rPr>
        <w:t>建成投产后，所有危险废物委托有资质的单位处置，一般固废和生活垃圾都能够得到有效处置，建设单位在加强固体废物的管理，本项目固废均得到妥善处置。在以上措施得到落实的情况下，本项目固体废物的处理和处置，符合</w:t>
      </w:r>
      <w:r>
        <w:rPr>
          <w:rFonts w:hint="eastAsia"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减量化、资源化和无害化</w:t>
      </w:r>
      <w:r>
        <w:rPr>
          <w:rFonts w:hint="eastAsia"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的原则，对环境影响是可接受的。</w:t>
      </w:r>
    </w:p>
    <w:p w14:paraId="662E43AB">
      <w:pPr>
        <w:keepNext w:val="0"/>
        <w:keepLines w:val="0"/>
        <w:widowControl w:val="0"/>
        <w:bidi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bookmarkStart w:id="580" w:name="_Toc38885408"/>
      <w:bookmarkStart w:id="581" w:name="_Toc9859"/>
      <w:bookmarkStart w:id="582" w:name="_Toc2411"/>
      <w:bookmarkStart w:id="583" w:name="_Toc660"/>
      <w:bookmarkStart w:id="584" w:name="_Toc93082890"/>
      <w:bookmarkStart w:id="585" w:name="_Toc98474133"/>
      <w:bookmarkStart w:id="586" w:name="_Toc52004057"/>
      <w:bookmarkStart w:id="587" w:name="_Toc52068207"/>
      <w:bookmarkStart w:id="588" w:name="_Toc56408841"/>
      <w:r>
        <w:rPr>
          <w:rFonts w:hint="default" w:ascii="Times New Roman" w:hAnsi="Times New Roman" w:eastAsia="宋体" w:cs="Times New Roman"/>
          <w:b/>
          <w:bCs/>
          <w:kern w:val="2"/>
          <w:sz w:val="28"/>
          <w:szCs w:val="28"/>
          <w:lang w:val="en-US" w:eastAsia="zh-CN" w:bidi="ar-SA"/>
        </w:rPr>
        <w:t>5.</w:t>
      </w:r>
      <w:bookmarkStart w:id="589" w:name="_Toc299961768"/>
      <w:bookmarkStart w:id="590" w:name="_Toc310503802"/>
      <w:bookmarkStart w:id="591" w:name="_Toc299381542"/>
      <w:bookmarkStart w:id="592" w:name="_Toc321043920"/>
      <w:bookmarkStart w:id="593" w:name="_Toc489948729"/>
      <w:r>
        <w:rPr>
          <w:rFonts w:hint="eastAsia" w:ascii="Times New Roman" w:hAnsi="Times New Roman" w:eastAsia="宋体" w:cs="Times New Roman"/>
          <w:b/>
          <w:bCs/>
          <w:kern w:val="2"/>
          <w:sz w:val="28"/>
          <w:szCs w:val="28"/>
          <w:lang w:val="en-US" w:eastAsia="zh-CN" w:bidi="ar-SA"/>
        </w:rPr>
        <w:t>2.5</w:t>
      </w:r>
      <w:r>
        <w:rPr>
          <w:rFonts w:hint="default" w:ascii="Times New Roman" w:hAnsi="Times New Roman" w:eastAsia="宋体" w:cs="Times New Roman"/>
          <w:b/>
          <w:bCs/>
          <w:kern w:val="2"/>
          <w:sz w:val="28"/>
          <w:szCs w:val="28"/>
          <w:lang w:val="en-US" w:eastAsia="zh-CN" w:bidi="ar-SA"/>
        </w:rPr>
        <w:t>生态环境影响分析</w:t>
      </w:r>
      <w:bookmarkEnd w:id="580"/>
      <w:bookmarkEnd w:id="581"/>
      <w:bookmarkEnd w:id="582"/>
      <w:bookmarkEnd w:id="583"/>
      <w:bookmarkEnd w:id="589"/>
      <w:bookmarkEnd w:id="590"/>
      <w:bookmarkEnd w:id="591"/>
      <w:bookmarkEnd w:id="592"/>
      <w:bookmarkEnd w:id="593"/>
    </w:p>
    <w:p w14:paraId="4AC529A0">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594" w:name="_Toc18690"/>
      <w:bookmarkStart w:id="595" w:name="_Toc31884"/>
      <w:bookmarkStart w:id="596" w:name="_Toc7442"/>
      <w:r>
        <w:rPr>
          <w:rFonts w:hint="default" w:ascii="Times New Roman" w:hAnsi="Times New Roman" w:eastAsia="宋体" w:cs="Times New Roman"/>
          <w:b/>
          <w:kern w:val="2"/>
          <w:sz w:val="24"/>
          <w:szCs w:val="24"/>
          <w:lang w:val="en-US" w:eastAsia="zh-CN" w:bidi="ar-SA"/>
        </w:rPr>
        <w:t>5.</w:t>
      </w:r>
      <w:r>
        <w:rPr>
          <w:rFonts w:hint="eastAsia" w:ascii="Times New Roman" w:hAnsi="Times New Roman" w:eastAsia="宋体" w:cs="Times New Roman"/>
          <w:b/>
          <w:kern w:val="2"/>
          <w:sz w:val="24"/>
          <w:szCs w:val="24"/>
          <w:lang w:val="en-US" w:eastAsia="zh-CN" w:bidi="ar-SA"/>
        </w:rPr>
        <w:t>2.5</w:t>
      </w:r>
      <w:r>
        <w:rPr>
          <w:rFonts w:hint="default" w:ascii="Times New Roman" w:hAnsi="Times New Roman" w:eastAsia="宋体" w:cs="Times New Roman"/>
          <w:b/>
          <w:kern w:val="2"/>
          <w:sz w:val="24"/>
          <w:szCs w:val="24"/>
          <w:lang w:val="en-US" w:eastAsia="zh-CN" w:bidi="ar-SA"/>
        </w:rPr>
        <w:t>.1 对土地的影响分析</w:t>
      </w:r>
      <w:bookmarkEnd w:id="594"/>
      <w:bookmarkEnd w:id="595"/>
    </w:p>
    <w:p w14:paraId="58819090">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bookmarkStart w:id="597" w:name="_Toc202248831"/>
      <w:bookmarkStart w:id="598" w:name="_Toc182022402"/>
      <w:r>
        <w:rPr>
          <w:rFonts w:hint="default" w:ascii="Times New Roman" w:hAnsi="Times New Roman" w:eastAsia="宋体" w:cs="Times New Roman"/>
          <w:kern w:val="2"/>
          <w:sz w:val="24"/>
          <w:szCs w:val="24"/>
          <w:lang w:val="en-US" w:eastAsia="zh-CN" w:bidi="ar-SA"/>
        </w:rPr>
        <w:t>（1）</w:t>
      </w:r>
      <w:bookmarkEnd w:id="597"/>
      <w:bookmarkEnd w:id="598"/>
      <w:r>
        <w:rPr>
          <w:rFonts w:hint="eastAsia" w:cs="Times New Roman"/>
          <w:kern w:val="2"/>
          <w:sz w:val="24"/>
          <w:szCs w:val="24"/>
          <w:lang w:val="en-US" w:eastAsia="zh-CN" w:bidi="ar-SA"/>
        </w:rPr>
        <w:t>还田</w:t>
      </w:r>
      <w:r>
        <w:rPr>
          <w:rFonts w:hint="default" w:ascii="Times New Roman" w:hAnsi="Times New Roman" w:eastAsia="宋体" w:cs="Times New Roman"/>
          <w:kern w:val="2"/>
          <w:sz w:val="24"/>
          <w:szCs w:val="24"/>
          <w:lang w:val="en-US" w:eastAsia="zh-CN" w:bidi="ar-SA"/>
        </w:rPr>
        <w:t>模式对生态环境影响分析</w:t>
      </w:r>
    </w:p>
    <w:p w14:paraId="4AF14026">
      <w:pPr>
        <w:pageBreakBefore w:val="0"/>
        <w:widowControl w:val="0"/>
        <w:wordWrap/>
        <w:topLinePunct w:val="0"/>
        <w:bidi w:val="0"/>
        <w:adjustRightInd/>
        <w:snapToGrid/>
        <w:spacing w:line="360" w:lineRule="auto"/>
        <w:ind w:firstLine="480" w:firstLineChars="200"/>
        <w:jc w:val="both"/>
        <w:rPr>
          <w:rFonts w:hint="default" w:cs="Times New Roman"/>
          <w:kern w:val="2"/>
          <w:sz w:val="24"/>
          <w:szCs w:val="24"/>
          <w:lang w:val="en-US" w:eastAsia="zh-CN" w:bidi="ar-SA"/>
        </w:rPr>
      </w:pPr>
      <w:r>
        <w:rPr>
          <w:rFonts w:hint="eastAsia" w:cs="Times New Roman"/>
          <w:kern w:val="2"/>
          <w:sz w:val="24"/>
          <w:szCs w:val="24"/>
          <w:lang w:val="en-US" w:eastAsia="zh-CN" w:bidi="ar-SA"/>
        </w:rPr>
        <w:t>根据《畜禽养殖业污染物排放标准》（GB 18596-2001）用于直接还田的畜禽粪便，必须进行无害化处理。禁止直接将废渣倾倒入地表水体或其他环境中。畜禽粪便还田时，不能超过当地的最大农田负荷量，避免造成面源污染和地下水污染。</w:t>
      </w:r>
    </w:p>
    <w:p w14:paraId="35F1B75D">
      <w:pPr>
        <w:widowControl w:val="0"/>
        <w:spacing w:line="360" w:lineRule="auto"/>
        <w:ind w:firstLine="480" w:firstLineChars="200"/>
        <w:jc w:val="both"/>
        <w:rPr>
          <w:rFonts w:hint="default" w:ascii="Times New Roman" w:hAnsi="Times New Roman" w:eastAsia="宋体" w:cs="Times New Roman"/>
          <w:kern w:val="2"/>
          <w:sz w:val="24"/>
          <w:szCs w:val="24"/>
          <w:highlight w:val="yellow"/>
          <w:lang w:val="en-US" w:eastAsia="zh-CN" w:bidi="ar-SA"/>
        </w:rPr>
      </w:pPr>
      <w:r>
        <w:rPr>
          <w:rFonts w:hint="default" w:ascii="Times New Roman" w:hAnsi="Times New Roman" w:eastAsia="宋体" w:cs="Times New Roman"/>
          <w:kern w:val="2"/>
          <w:sz w:val="24"/>
          <w:szCs w:val="24"/>
          <w:highlight w:val="none"/>
          <w:lang w:val="en-US" w:eastAsia="zh-CN" w:bidi="ar-SA"/>
        </w:rPr>
        <w:t>本项目</w:t>
      </w:r>
      <w:r>
        <w:rPr>
          <w:rFonts w:hint="eastAsia" w:cs="Times New Roman"/>
          <w:kern w:val="2"/>
          <w:sz w:val="24"/>
          <w:szCs w:val="24"/>
          <w:highlight w:val="none"/>
          <w:lang w:val="en-US" w:eastAsia="zh-CN" w:bidi="ar-SA"/>
        </w:rPr>
        <w:t>养殖粪便以及畜禽尿液经无害化处理后</w:t>
      </w:r>
      <w:r>
        <w:rPr>
          <w:rFonts w:hint="default" w:ascii="Times New Roman" w:hAnsi="Times New Roman" w:eastAsia="宋体"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还田于</w:t>
      </w:r>
      <w:r>
        <w:rPr>
          <w:rFonts w:hint="eastAsia" w:cs="Times New Roman"/>
          <w:kern w:val="2"/>
          <w:sz w:val="24"/>
          <w:szCs w:val="24"/>
          <w:highlight w:val="none"/>
          <w:lang w:val="en-US" w:eastAsia="zh-CN" w:bidi="ar-SA"/>
        </w:rPr>
        <w:t>本项目周边农田，实现粪污资源化利用，本项目配套350公顷棉花地</w:t>
      </w:r>
      <w:r>
        <w:rPr>
          <w:rFonts w:hint="eastAsia" w:eastAsia="宋体" w:cs="Times New Roman"/>
          <w:color w:val="auto"/>
          <w:sz w:val="24"/>
          <w:szCs w:val="24"/>
          <w:highlight w:val="none"/>
          <w:lang w:val="en-US" w:eastAsia="zh-CN" w:bidi="ar-SA"/>
        </w:rPr>
        <w:t>轮作施肥地，设置有一倍以上的土地用于轮作施肥，不长期施肥于同一土地，</w:t>
      </w:r>
      <w:r>
        <w:rPr>
          <w:rFonts w:hint="eastAsia" w:cs="Times New Roman"/>
          <w:kern w:val="2"/>
          <w:sz w:val="24"/>
          <w:szCs w:val="24"/>
          <w:highlight w:val="none"/>
          <w:lang w:val="en-US" w:eastAsia="zh-CN" w:bidi="ar-SA"/>
        </w:rPr>
        <w:t>不超过当地的最大农田负荷量</w:t>
      </w:r>
      <w:r>
        <w:rPr>
          <w:rFonts w:hint="eastAsia" w:eastAsia="宋体" w:cs="Times New Roman"/>
          <w:color w:val="auto"/>
          <w:sz w:val="24"/>
          <w:szCs w:val="24"/>
          <w:highlight w:val="none"/>
          <w:lang w:val="en-US" w:eastAsia="zh-CN" w:bidi="ar-SA"/>
        </w:rPr>
        <w:t>，</w:t>
      </w:r>
      <w:r>
        <w:rPr>
          <w:rFonts w:hint="eastAsia" w:cs="Times New Roman"/>
          <w:kern w:val="2"/>
          <w:sz w:val="24"/>
          <w:szCs w:val="24"/>
          <w:highlight w:val="none"/>
          <w:lang w:val="en-US" w:eastAsia="zh-CN" w:bidi="ar-SA"/>
        </w:rPr>
        <w:t>周边农田</w:t>
      </w:r>
      <w:r>
        <w:rPr>
          <w:rFonts w:hint="eastAsia" w:ascii="Times New Roman" w:hAnsi="Times New Roman" w:eastAsia="宋体" w:cs="Times New Roman"/>
          <w:color w:val="auto"/>
          <w:sz w:val="24"/>
          <w:szCs w:val="24"/>
          <w:highlight w:val="none"/>
          <w:lang w:val="en-US" w:eastAsia="zh-CN" w:bidi="ar-SA"/>
        </w:rPr>
        <w:t>能够完全消纳本项目有机肥，</w:t>
      </w:r>
      <w:r>
        <w:rPr>
          <w:rFonts w:hint="eastAsia" w:eastAsia="宋体" w:cs="Times New Roman"/>
          <w:color w:val="auto"/>
          <w:sz w:val="24"/>
          <w:szCs w:val="24"/>
          <w:highlight w:val="none"/>
          <w:lang w:val="en-US" w:eastAsia="zh-CN" w:bidi="ar-SA"/>
        </w:rPr>
        <w:t>符合当地环境容量的要求</w:t>
      </w:r>
      <w:r>
        <w:rPr>
          <w:rFonts w:hint="eastAsia" w:ascii="Times New Roman" w:hAnsi="Times New Roman" w:eastAsia="宋体" w:cs="Times New Roman"/>
          <w:color w:val="auto"/>
          <w:sz w:val="24"/>
          <w:szCs w:val="24"/>
          <w:highlight w:val="none"/>
          <w:lang w:val="en-US" w:eastAsia="zh-CN" w:bidi="ar-SA"/>
        </w:rPr>
        <w:t>。</w:t>
      </w:r>
      <w:r>
        <w:rPr>
          <w:rFonts w:hint="eastAsia" w:cs="Times New Roman"/>
          <w:kern w:val="2"/>
          <w:sz w:val="24"/>
          <w:szCs w:val="24"/>
          <w:highlight w:val="none"/>
          <w:lang w:val="en-US" w:eastAsia="zh-CN" w:bidi="ar-SA"/>
        </w:rPr>
        <w:t>能够满足《畜禽养殖业污染防治技术规范》（HJ/T81-2001）、《畜禽养殖业污染物排放标准》（GB 18596-2001）相关要求</w:t>
      </w:r>
      <w:r>
        <w:rPr>
          <w:rFonts w:hint="default"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因此还田措施可行。</w:t>
      </w:r>
    </w:p>
    <w:p w14:paraId="047E41F3">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目前，集约化畜禽养殖场多建在大、中城市近郊，是中国畜禽养殖业污染防治存在的主要问题之一。另外大量养殖专业户和专业村导致畜禽粪便量大且集中，而城郊又无充足的土地进行消纳，形成农牧分离，种养严重脱节的不利局面，导致环境的严重污染。另一方面化肥的大量使用，导致有机肥施用量大幅减少， 使畜禽粪便未得到有效利用。</w:t>
      </w:r>
    </w:p>
    <w:p w14:paraId="654BC6BC">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养殖</w:t>
      </w:r>
      <w:r>
        <w:rPr>
          <w:rFonts w:hint="eastAsia" w:cs="Times New Roman"/>
          <w:kern w:val="2"/>
          <w:sz w:val="24"/>
          <w:szCs w:val="24"/>
          <w:lang w:val="en-US" w:eastAsia="zh-CN" w:bidi="ar-SA"/>
        </w:rPr>
        <w:t>粪污</w:t>
      </w:r>
      <w:r>
        <w:rPr>
          <w:rFonts w:hint="default" w:ascii="Times New Roman" w:hAnsi="Times New Roman" w:eastAsia="宋体" w:cs="Times New Roman"/>
          <w:kern w:val="2"/>
          <w:sz w:val="24"/>
          <w:szCs w:val="24"/>
          <w:lang w:val="en-US" w:eastAsia="zh-CN" w:bidi="ar-SA"/>
        </w:rPr>
        <w:t>中含有较多的氮、磷等养分，若合理使用，可有效提高土壤肥力，改良土壤的理化特性，促进农作物生长。养殖</w:t>
      </w:r>
      <w:r>
        <w:rPr>
          <w:rFonts w:hint="eastAsia" w:cs="Times New Roman"/>
          <w:kern w:val="2"/>
          <w:sz w:val="24"/>
          <w:szCs w:val="24"/>
          <w:lang w:val="en-US" w:eastAsia="zh-CN" w:bidi="ar-SA"/>
        </w:rPr>
        <w:t>粪污</w:t>
      </w:r>
      <w:r>
        <w:rPr>
          <w:rFonts w:hint="default" w:ascii="Times New Roman" w:hAnsi="Times New Roman" w:eastAsia="宋体" w:cs="Times New Roman"/>
          <w:kern w:val="2"/>
          <w:sz w:val="24"/>
          <w:szCs w:val="24"/>
          <w:lang w:val="en-US" w:eastAsia="zh-CN" w:bidi="ar-SA"/>
        </w:rPr>
        <w:t>若未经任何处理就直接使用，或者</w:t>
      </w:r>
      <w:r>
        <w:rPr>
          <w:rFonts w:hint="eastAsia" w:ascii="Times New Roman" w:hAnsi="Times New Roman" w:eastAsia="宋体" w:cs="Times New Roman"/>
          <w:kern w:val="2"/>
          <w:sz w:val="24"/>
          <w:szCs w:val="24"/>
          <w:lang w:val="en-US" w:eastAsia="zh-CN" w:bidi="ar-SA"/>
        </w:rPr>
        <w:t>还田</w:t>
      </w:r>
      <w:r>
        <w:rPr>
          <w:rFonts w:hint="default" w:ascii="Times New Roman" w:hAnsi="Times New Roman" w:eastAsia="宋体" w:cs="Times New Roman"/>
          <w:kern w:val="2"/>
          <w:sz w:val="24"/>
          <w:szCs w:val="24"/>
          <w:lang w:val="en-US" w:eastAsia="zh-CN" w:bidi="ar-SA"/>
        </w:rPr>
        <w:t>方式不科学，例如连续、过量使用，则会给土壤和农作物的生长造成不良影响，造成作物徒长、返青、倒伏、降低产量等。</w:t>
      </w:r>
    </w:p>
    <w:p w14:paraId="0AAB65FA">
      <w:pPr>
        <w:pageBreakBefore w:val="0"/>
        <w:widowControl/>
        <w:wordWrap/>
        <w:topLinePunct w:val="0"/>
        <w:bidi w:val="0"/>
        <w:adjustRightInd/>
        <w:snapToGrid/>
        <w:spacing w:line="360" w:lineRule="auto"/>
        <w:ind w:firstLine="482"/>
        <w:rPr>
          <w:rFonts w:hint="default" w:ascii="Times New Roman" w:hAnsi="Times New Roman" w:eastAsia="宋体" w:cs="Times New Roman"/>
          <w:bCs/>
          <w:color w:val="000000"/>
          <w:sz w:val="24"/>
        </w:rPr>
      </w:pPr>
      <w:bookmarkStart w:id="599" w:name="_Toc457381961"/>
      <w:bookmarkStart w:id="600" w:name="_Toc457381875"/>
      <w:r>
        <w:rPr>
          <w:rFonts w:hint="eastAsia" w:cs="Times New Roman"/>
          <w:bCs/>
          <w:color w:val="000000"/>
          <w:sz w:val="24"/>
          <w:lang w:val="en-US" w:eastAsia="zh-CN"/>
        </w:rPr>
        <w:t>发酵床发酵能够有效</w:t>
      </w:r>
      <w:r>
        <w:rPr>
          <w:rFonts w:hint="default" w:ascii="Times New Roman" w:hAnsi="Times New Roman" w:eastAsia="宋体" w:cs="Times New Roman"/>
          <w:bCs/>
          <w:color w:val="000000"/>
          <w:sz w:val="24"/>
        </w:rPr>
        <w:t>杀死畜禽粪便中的病原菌、病毒、虫卵、寄生虫</w:t>
      </w:r>
      <w:r>
        <w:rPr>
          <w:rFonts w:hint="eastAsia" w:cs="Times New Roman"/>
          <w:bCs/>
          <w:color w:val="000000"/>
          <w:sz w:val="24"/>
          <w:lang w:eastAsia="zh-CN"/>
        </w:rPr>
        <w:t>及其他有害</w:t>
      </w:r>
      <w:r>
        <w:rPr>
          <w:rFonts w:hint="default" w:ascii="Times New Roman" w:hAnsi="Times New Roman" w:eastAsia="宋体" w:cs="Times New Roman"/>
          <w:bCs/>
          <w:color w:val="000000"/>
          <w:sz w:val="24"/>
        </w:rPr>
        <w:t>元素，将有机物转变为肥料，由不稳定状态转变为稳定的辅殖质物质。这种处理方法具有省燃料、成本低、发酵产物生物活性强、发酵过程营养损失小，肥效高等优点。</w:t>
      </w:r>
    </w:p>
    <w:p w14:paraId="3DC9F27E">
      <w:pPr>
        <w:pageBreakBefore w:val="0"/>
        <w:widowControl/>
        <w:wordWrap/>
        <w:topLinePunct w:val="0"/>
        <w:bidi w:val="0"/>
        <w:adjustRightInd/>
        <w:snapToGrid/>
        <w:spacing w:line="360" w:lineRule="auto"/>
        <w:ind w:firstLine="482"/>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经无害化处理后</w:t>
      </w:r>
      <w:r>
        <w:rPr>
          <w:rFonts w:hint="eastAsia" w:cs="Times New Roman"/>
          <w:bCs/>
          <w:color w:val="000000"/>
          <w:sz w:val="24"/>
          <w:lang w:val="en-US" w:eastAsia="zh-CN"/>
        </w:rPr>
        <w:t>有机肥</w:t>
      </w:r>
      <w:r>
        <w:rPr>
          <w:rFonts w:hint="default" w:ascii="Times New Roman" w:hAnsi="Times New Roman" w:eastAsia="宋体" w:cs="Times New Roman"/>
          <w:bCs/>
          <w:color w:val="000000"/>
          <w:sz w:val="24"/>
        </w:rPr>
        <w:t>还田利用具体要求及限量应符合《畜禽粪便无害化处理技术规范》（GB/T 36195</w:t>
      </w:r>
      <w:r>
        <w:rPr>
          <w:rFonts w:hint="eastAsia" w:cs="Times New Roman"/>
          <w:bCs/>
          <w:color w:val="000000"/>
          <w:sz w:val="24"/>
          <w:lang w:val="en-US" w:eastAsia="zh-CN"/>
        </w:rPr>
        <w:t>-2018</w:t>
      </w:r>
      <w:r>
        <w:rPr>
          <w:rFonts w:hint="default" w:ascii="Times New Roman" w:hAnsi="Times New Roman" w:eastAsia="宋体" w:cs="Times New Roman"/>
          <w:bCs/>
          <w:color w:val="000000"/>
          <w:sz w:val="24"/>
        </w:rPr>
        <w:t>）和</w:t>
      </w:r>
      <w:r>
        <w:rPr>
          <w:rFonts w:hint="eastAsia" w:cs="Times New Roman"/>
          <w:bCs/>
          <w:color w:val="000000"/>
          <w:sz w:val="24"/>
          <w:lang w:val="en-US" w:eastAsia="zh-CN"/>
        </w:rPr>
        <w:t>《畜禽粪肥还田技术规范》（GB/T25246—2025）</w:t>
      </w:r>
      <w:r>
        <w:rPr>
          <w:rFonts w:hint="default" w:ascii="Times New Roman" w:hAnsi="Times New Roman" w:eastAsia="宋体" w:cs="Times New Roman"/>
          <w:bCs/>
          <w:color w:val="000000"/>
          <w:sz w:val="24"/>
        </w:rPr>
        <w:t>要求的最小面积。严格落实《中华人民共和国固体废物污染环境防治法》《中华人民共和国水污染防治法》《畜禽规模养殖污染防治条例</w:t>
      </w:r>
      <w:r>
        <w:rPr>
          <w:rFonts w:hint="eastAsia" w:cs="Times New Roman"/>
          <w:bCs/>
          <w:color w:val="000000"/>
          <w:sz w:val="24"/>
          <w:lang w:eastAsia="zh-CN"/>
        </w:rPr>
        <w:t>》等</w:t>
      </w:r>
      <w:r>
        <w:rPr>
          <w:rFonts w:hint="default" w:ascii="Times New Roman" w:hAnsi="Times New Roman" w:eastAsia="宋体" w:cs="Times New Roman"/>
          <w:bCs/>
          <w:color w:val="000000"/>
          <w:sz w:val="24"/>
        </w:rPr>
        <w:t>要求，建设粪污无害化处理和资源化利用设施并确保其正常运行，</w:t>
      </w:r>
      <w:r>
        <w:rPr>
          <w:rFonts w:hint="eastAsia" w:cs="Times New Roman"/>
          <w:bCs/>
          <w:color w:val="000000"/>
          <w:sz w:val="24"/>
          <w:lang w:val="en-US" w:eastAsia="zh-CN"/>
        </w:rPr>
        <w:t>禁止</w:t>
      </w:r>
      <w:r>
        <w:rPr>
          <w:rFonts w:hint="default" w:ascii="Times New Roman" w:hAnsi="Times New Roman" w:eastAsia="宋体" w:cs="Times New Roman"/>
          <w:bCs/>
          <w:color w:val="000000"/>
          <w:sz w:val="24"/>
        </w:rPr>
        <w:t>粪污未经无害化处理直接还田或向环境排放。</w:t>
      </w:r>
    </w:p>
    <w:p w14:paraId="608888C1">
      <w:pPr>
        <w:pageBreakBefore w:val="0"/>
        <w:widowControl/>
        <w:wordWrap/>
        <w:topLinePunct w:val="0"/>
        <w:bidi w:val="0"/>
        <w:adjustRightInd/>
        <w:snapToGrid/>
        <w:spacing w:line="360" w:lineRule="auto"/>
        <w:ind w:firstLine="482"/>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根据养殖规模明确配套农田面积、农田类型、种植制度、粪肥使用时间及使用量等制定</w:t>
      </w:r>
      <w:r>
        <w:rPr>
          <w:rFonts w:hint="eastAsia" w:cs="Times New Roman"/>
          <w:bCs/>
          <w:color w:val="000000"/>
          <w:sz w:val="24"/>
          <w:lang w:val="en-US" w:eastAsia="zh-CN"/>
        </w:rPr>
        <w:t>科学的</w:t>
      </w:r>
      <w:r>
        <w:rPr>
          <w:rFonts w:hint="default" w:ascii="Times New Roman" w:hAnsi="Times New Roman" w:eastAsia="宋体" w:cs="Times New Roman"/>
          <w:bCs/>
          <w:color w:val="000000"/>
          <w:sz w:val="24"/>
        </w:rPr>
        <w:t>畜禽粪肥还田利用计划。建立畜禽粪污处理和粪肥利用台账，避免施用超量或时间不合理。加强日常监测，及时掌握粪污养分和有害物质含量，严防还田环境风险。</w:t>
      </w:r>
    </w:p>
    <w:p w14:paraId="5AA2B280">
      <w:pPr>
        <w:pageBreakBefore w:val="0"/>
        <w:widowControl/>
        <w:wordWrap/>
        <w:topLinePunct w:val="0"/>
        <w:bidi w:val="0"/>
        <w:adjustRightInd/>
        <w:snapToGrid/>
        <w:spacing w:line="360" w:lineRule="auto"/>
        <w:ind w:firstLine="482"/>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综上，本项目粪污经科学、</w:t>
      </w:r>
      <w:r>
        <w:rPr>
          <w:rFonts w:hint="eastAsia" w:cs="Times New Roman"/>
          <w:bCs/>
          <w:color w:val="000000"/>
          <w:sz w:val="24"/>
          <w:lang w:eastAsia="zh-CN"/>
        </w:rPr>
        <w:t>合理</w:t>
      </w:r>
      <w:r>
        <w:rPr>
          <w:rFonts w:hint="default" w:ascii="Times New Roman" w:hAnsi="Times New Roman" w:eastAsia="宋体" w:cs="Times New Roman"/>
          <w:bCs/>
          <w:color w:val="000000"/>
          <w:sz w:val="24"/>
        </w:rPr>
        <w:t>处理后，形成有机肥等可资源化利用的产品，从而得到有效</w:t>
      </w:r>
      <w:r>
        <w:rPr>
          <w:rFonts w:hint="eastAsia" w:cs="Times New Roman"/>
          <w:bCs/>
          <w:color w:val="000000"/>
          <w:sz w:val="24"/>
          <w:lang w:val="en-US" w:eastAsia="zh-CN"/>
        </w:rPr>
        <w:t>还田</w:t>
      </w:r>
      <w:r>
        <w:rPr>
          <w:rFonts w:hint="default" w:ascii="Times New Roman" w:hAnsi="Times New Roman" w:eastAsia="宋体" w:cs="Times New Roman"/>
          <w:bCs/>
          <w:color w:val="000000"/>
          <w:sz w:val="24"/>
        </w:rPr>
        <w:t>利用，</w:t>
      </w:r>
      <w:r>
        <w:rPr>
          <w:rFonts w:hint="eastAsia" w:cs="Times New Roman"/>
          <w:bCs/>
          <w:color w:val="000000"/>
          <w:sz w:val="24"/>
          <w:lang w:val="en-US" w:eastAsia="zh-CN"/>
        </w:rPr>
        <w:t>对区域生态环境影响较小</w:t>
      </w:r>
      <w:r>
        <w:rPr>
          <w:rFonts w:hint="default" w:ascii="Times New Roman" w:hAnsi="Times New Roman" w:eastAsia="宋体" w:cs="Times New Roman"/>
          <w:bCs/>
          <w:color w:val="000000"/>
          <w:sz w:val="24"/>
        </w:rPr>
        <w:t>。</w:t>
      </w:r>
    </w:p>
    <w:bookmarkEnd w:id="599"/>
    <w:bookmarkEnd w:id="600"/>
    <w:p w14:paraId="73712B29">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601" w:name="_Toc17171"/>
      <w:bookmarkStart w:id="602" w:name="_Toc16745"/>
      <w:r>
        <w:rPr>
          <w:rFonts w:hint="default" w:ascii="Times New Roman" w:hAnsi="Times New Roman" w:eastAsia="宋体" w:cs="Times New Roman"/>
          <w:b/>
          <w:kern w:val="2"/>
          <w:sz w:val="24"/>
          <w:szCs w:val="24"/>
          <w:lang w:val="en-US" w:eastAsia="zh-CN" w:bidi="ar-SA"/>
        </w:rPr>
        <w:t>5.</w:t>
      </w:r>
      <w:r>
        <w:rPr>
          <w:rFonts w:hint="eastAsia" w:ascii="Times New Roman" w:hAnsi="Times New Roman" w:eastAsia="宋体" w:cs="Times New Roman"/>
          <w:b/>
          <w:kern w:val="2"/>
          <w:sz w:val="24"/>
          <w:szCs w:val="24"/>
          <w:lang w:val="en-US" w:eastAsia="zh-CN" w:bidi="ar-SA"/>
        </w:rPr>
        <w:t>2.5</w:t>
      </w:r>
      <w:r>
        <w:rPr>
          <w:rFonts w:hint="default" w:ascii="Times New Roman" w:hAnsi="Times New Roman" w:eastAsia="宋体" w:cs="Times New Roman"/>
          <w:b/>
          <w:kern w:val="2"/>
          <w:sz w:val="24"/>
          <w:szCs w:val="24"/>
          <w:lang w:val="en-US" w:eastAsia="zh-CN" w:bidi="ar-SA"/>
        </w:rPr>
        <w:t>.2 对动植物的影响分析</w:t>
      </w:r>
      <w:bookmarkEnd w:id="601"/>
      <w:bookmarkEnd w:id="602"/>
    </w:p>
    <w:p w14:paraId="5BDC1CF5">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现状调查，本项目建成后原有土地将被全部占用并转化为</w:t>
      </w:r>
      <w:r>
        <w:rPr>
          <w:rFonts w:hint="eastAsia" w:ascii="Times New Roman" w:hAnsi="Times New Roman" w:eastAsia="宋体" w:cs="Times New Roman"/>
          <w:kern w:val="2"/>
          <w:sz w:val="24"/>
          <w:szCs w:val="24"/>
          <w:lang w:val="en-US" w:eastAsia="zh-CN" w:bidi="ar-SA"/>
        </w:rPr>
        <w:t>设施农用地</w:t>
      </w:r>
      <w:r>
        <w:rPr>
          <w:rFonts w:hint="default" w:ascii="Times New Roman" w:hAnsi="Times New Roman" w:eastAsia="宋体" w:cs="Times New Roman"/>
          <w:kern w:val="2"/>
          <w:sz w:val="24"/>
          <w:szCs w:val="24"/>
          <w:lang w:val="en-US" w:eastAsia="zh-CN" w:bidi="ar-SA"/>
        </w:rPr>
        <w:t>，使自然土地资源量减少，会导致植物初级生产力损失，自然生态功能将有所减弱，但土地的利用价值将升高。</w:t>
      </w:r>
    </w:p>
    <w:p w14:paraId="2DE0CCEB">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项目建成后原有的生态系统被替换为建筑物生态系统，因此项目占地范围内原有部分植物种类将会消失，但由于受破坏的植被类型均为常见类型，且所破坏的植物种类亦为评价区内的常见种类或广布种，无国家重点保护的珍稀濒危植物和野生植物。因此，本项目的建设对植物区系、植被类型的影响不大，不会导致区域内现有种类和植物类型的消失灭绝，随着项目区域绿化建设，引进多种观赏、防护等植物，一定程度上增加了评价区域内植物的多样性，项目占地范围内的植被会得到逐步恢复，将可弥补植物种属多样性的损失。</w:t>
      </w:r>
    </w:p>
    <w:p w14:paraId="59F45E5C">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本项目建成后表面地表硬化，减少了水土流失。而且随着厂区环境绿化工作的开展，种植适合当地的乔木或者灌木绿化厂区，可起到降尘、防噪的作用。本项目绿化面积为</w:t>
      </w:r>
      <w:r>
        <w:rPr>
          <w:rFonts w:hint="eastAsia" w:cs="Times New Roman"/>
          <w:color w:val="auto"/>
          <w:kern w:val="2"/>
          <w:sz w:val="24"/>
          <w:szCs w:val="24"/>
          <w:lang w:val="en-US" w:eastAsia="zh-CN"/>
        </w:rPr>
        <w:t>24000</w:t>
      </w:r>
      <w:r>
        <w:rPr>
          <w:rFonts w:hint="default" w:ascii="Times New Roman" w:hAnsi="Times New Roman" w:eastAsia="宋体" w:cs="Times New Roman"/>
          <w:kern w:val="2"/>
          <w:sz w:val="24"/>
          <w:szCs w:val="24"/>
          <w:lang w:val="en-US" w:eastAsia="zh-CN" w:bidi="ar-SA"/>
        </w:rPr>
        <w:t>m</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，对项目区的生态环境将起到一定的恢复作用，使局部生态环境得到改善，对项目区生态环境产生的影响不大。</w:t>
      </w:r>
    </w:p>
    <w:p w14:paraId="10AD93EC">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本项目评价范围内的植被和动物均为当地常见和广布种，虽然受到营运期人为扰动的影响，但不会使整个区域动植物群落的种类组成发生明显变化，也不会造成某一动植物物种的消失。</w:t>
      </w:r>
    </w:p>
    <w:p w14:paraId="7C092394">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bookmarkStart w:id="603" w:name="_Toc1956"/>
      <w:bookmarkStart w:id="604" w:name="_Toc12592"/>
      <w:r>
        <w:rPr>
          <w:rFonts w:hint="default" w:ascii="Times New Roman" w:hAnsi="Times New Roman" w:eastAsia="宋体" w:cs="Times New Roman"/>
          <w:b/>
          <w:kern w:val="2"/>
          <w:sz w:val="24"/>
          <w:szCs w:val="24"/>
          <w:lang w:val="en-US" w:eastAsia="zh-CN" w:bidi="ar-SA"/>
        </w:rPr>
        <w:t>5.</w:t>
      </w:r>
      <w:r>
        <w:rPr>
          <w:rFonts w:hint="eastAsia" w:ascii="Times New Roman" w:hAnsi="Times New Roman" w:eastAsia="宋体" w:cs="Times New Roman"/>
          <w:b/>
          <w:kern w:val="2"/>
          <w:sz w:val="24"/>
          <w:szCs w:val="24"/>
          <w:lang w:val="en-US" w:eastAsia="zh-CN" w:bidi="ar-SA"/>
        </w:rPr>
        <w:t>2.5</w:t>
      </w:r>
      <w:r>
        <w:rPr>
          <w:rFonts w:hint="default" w:ascii="Times New Roman" w:hAnsi="Times New Roman" w:eastAsia="宋体" w:cs="Times New Roman"/>
          <w:b/>
          <w:kern w:val="2"/>
          <w:sz w:val="24"/>
          <w:szCs w:val="24"/>
          <w:lang w:val="en-US" w:eastAsia="zh-CN" w:bidi="ar-SA"/>
        </w:rPr>
        <w:t>.3 生态影响评价结论</w:t>
      </w:r>
      <w:bookmarkEnd w:id="603"/>
      <w:bookmarkEnd w:id="604"/>
    </w:p>
    <w:p w14:paraId="7BCF39F1">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项目实施后，区域内动植物的种类和数量基本不受影响，生物量的减少程度对区域生态系统稳定性的影响可以承受；项目建成后随着场地地面的硬化、项目区内绿化的完成可有效防止水土流失，运营期不会加重水土流失情况；评价范围内的植被和动物均为当地常见和广布种，虽然受到运营期人为扰动的影响，但不会使整个区域动植物群落的种类组成发生明显变化，也不会造成某一动植物物种的消失。</w:t>
      </w:r>
      <w:bookmarkEnd w:id="584"/>
      <w:bookmarkEnd w:id="585"/>
      <w:bookmarkEnd w:id="586"/>
      <w:bookmarkEnd w:id="587"/>
      <w:bookmarkEnd w:id="588"/>
      <w:bookmarkEnd w:id="596"/>
    </w:p>
    <w:p w14:paraId="44EB3DDF">
      <w:pPr>
        <w:keepNext w:val="0"/>
        <w:keepLines w:val="0"/>
        <w:widowControl w:val="0"/>
        <w:bidi w:val="0"/>
        <w:spacing w:before="0" w:after="0" w:line="360" w:lineRule="auto"/>
        <w:jc w:val="both"/>
        <w:outlineLvl w:val="2"/>
        <w:rPr>
          <w:rFonts w:hint="default"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5.2.6土壤环境影响分析</w:t>
      </w:r>
    </w:p>
    <w:p w14:paraId="2C806014">
      <w:pPr>
        <w:widowControl w:val="0"/>
        <w:bidi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5.2.6.1</w:t>
      </w:r>
      <w:r>
        <w:rPr>
          <w:rFonts w:hint="default" w:ascii="Times New Roman" w:hAnsi="Times New Roman" w:eastAsia="宋体" w:cs="Times New Roman"/>
          <w:b/>
          <w:kern w:val="2"/>
          <w:sz w:val="24"/>
          <w:szCs w:val="24"/>
          <w:lang w:val="en-US" w:eastAsia="zh-CN" w:bidi="ar-SA"/>
        </w:rPr>
        <w:t>土壤环境影响</w:t>
      </w:r>
      <w:r>
        <w:rPr>
          <w:rFonts w:hint="eastAsia" w:ascii="Times New Roman" w:hAnsi="Times New Roman" w:eastAsia="宋体" w:cs="Times New Roman"/>
          <w:b/>
          <w:kern w:val="2"/>
          <w:sz w:val="24"/>
          <w:szCs w:val="24"/>
          <w:lang w:val="en-US" w:eastAsia="zh-CN" w:bidi="ar-SA"/>
        </w:rPr>
        <w:t>类型与途径</w:t>
      </w:r>
      <w:r>
        <w:rPr>
          <w:rFonts w:hint="default" w:ascii="Times New Roman" w:hAnsi="Times New Roman" w:eastAsia="宋体" w:cs="Times New Roman"/>
          <w:b/>
          <w:kern w:val="2"/>
          <w:sz w:val="24"/>
          <w:szCs w:val="24"/>
          <w:lang w:val="en-US" w:eastAsia="zh-CN" w:bidi="ar-SA"/>
        </w:rPr>
        <w:t>识别</w:t>
      </w:r>
    </w:p>
    <w:p w14:paraId="07DF86A8">
      <w:pPr>
        <w:pageBreakBefore w:val="0"/>
        <w:widowControl w:val="0"/>
        <w:wordWrap/>
        <w:topLinePunct w:val="0"/>
        <w:bidi w:val="0"/>
        <w:adjustRightInd/>
        <w:snapToGrid/>
        <w:spacing w:line="360" w:lineRule="auto"/>
        <w:ind w:firstLine="480" w:firstLineChars="200"/>
        <w:jc w:val="both"/>
      </w:pPr>
      <w:r>
        <w:rPr>
          <w:rFonts w:hint="eastAsia" w:ascii="Times New Roman" w:hAnsi="Times New Roman" w:eastAsia="宋体" w:cs="Times New Roman"/>
          <w:kern w:val="2"/>
          <w:sz w:val="24"/>
          <w:szCs w:val="24"/>
          <w:lang w:val="en-US" w:eastAsia="zh-CN" w:bidi="ar-SA"/>
        </w:rPr>
        <w:t>本项目为畜禽养殖项目，原辅材料和三废污染物中均不涉及重金属物质，</w:t>
      </w:r>
      <w:r>
        <w:rPr>
          <w:rFonts w:hint="eastAsia" w:cs="Times New Roman"/>
          <w:kern w:val="2"/>
          <w:sz w:val="24"/>
          <w:szCs w:val="24"/>
          <w:lang w:val="en-US" w:eastAsia="zh-CN" w:bidi="ar-SA"/>
        </w:rPr>
        <w:t>畜禽</w:t>
      </w:r>
      <w:r>
        <w:rPr>
          <w:rFonts w:hint="eastAsia" w:ascii="Times New Roman" w:hAnsi="Times New Roman" w:eastAsia="宋体" w:cs="Times New Roman"/>
          <w:kern w:val="2"/>
          <w:sz w:val="24"/>
          <w:szCs w:val="24"/>
          <w:lang w:val="en-US" w:eastAsia="zh-CN" w:bidi="ar-SA"/>
        </w:rPr>
        <w:t>养殖业对土壤环境质量的影响主要包括两个方面：一是粪便及污水流经土壤时造成的水源性土壤污染，二是恶臭等有害有毒气体降落到地面而引起的大气型土壤污染，其中前者的影响较为突出。</w:t>
      </w:r>
    </w:p>
    <w:p w14:paraId="6F4B924C">
      <w:pPr>
        <w:widowControl w:val="0"/>
        <w:spacing w:line="50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项目土壤环境影响识别见表</w:t>
      </w:r>
      <w:r>
        <w:rPr>
          <w:rFonts w:hint="eastAsia" w:ascii="Times New Roman" w:hAnsi="Times New Roman" w:eastAsia="宋体" w:cs="Times New Roman"/>
          <w:color w:val="000000"/>
          <w:kern w:val="2"/>
          <w:sz w:val="24"/>
          <w:szCs w:val="24"/>
          <w:highlight w:val="none"/>
          <w:lang w:val="en-US" w:eastAsia="zh-CN" w:bidi="ar-SA"/>
        </w:rPr>
        <w:t>5.2-</w:t>
      </w:r>
      <w:r>
        <w:rPr>
          <w:rFonts w:hint="eastAsia" w:cs="Times New Roman"/>
          <w:color w:val="000000"/>
          <w:kern w:val="2"/>
          <w:sz w:val="24"/>
          <w:szCs w:val="24"/>
          <w:highlight w:val="none"/>
          <w:lang w:val="en-US" w:eastAsia="zh-CN" w:bidi="ar-SA"/>
        </w:rPr>
        <w:t>41</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施工期、运营期</w:t>
      </w:r>
      <w:r>
        <w:rPr>
          <w:rFonts w:hint="default" w:ascii="Times New Roman" w:hAnsi="Times New Roman" w:eastAsia="宋体" w:cs="Times New Roman"/>
          <w:color w:val="000000"/>
          <w:kern w:val="2"/>
          <w:sz w:val="24"/>
          <w:szCs w:val="24"/>
          <w:highlight w:val="none"/>
          <w:lang w:val="en-US" w:eastAsia="zh-CN" w:bidi="ar-SA"/>
        </w:rPr>
        <w:t>土壤环境影响源及影响因子识别见表</w:t>
      </w:r>
      <w:r>
        <w:rPr>
          <w:rFonts w:hint="eastAsia" w:ascii="Times New Roman" w:hAnsi="Times New Roman" w:eastAsia="宋体" w:cs="Times New Roman"/>
          <w:color w:val="000000"/>
          <w:kern w:val="2"/>
          <w:sz w:val="24"/>
          <w:szCs w:val="24"/>
          <w:highlight w:val="none"/>
          <w:lang w:val="en-US" w:eastAsia="zh-CN" w:bidi="ar-SA"/>
        </w:rPr>
        <w:t>5.2-</w:t>
      </w:r>
      <w:r>
        <w:rPr>
          <w:rFonts w:hint="eastAsia" w:cs="Times New Roman"/>
          <w:color w:val="000000"/>
          <w:kern w:val="2"/>
          <w:sz w:val="24"/>
          <w:szCs w:val="24"/>
          <w:highlight w:val="none"/>
          <w:lang w:val="en-US" w:eastAsia="zh-CN" w:bidi="ar-SA"/>
        </w:rPr>
        <w:t>42</w:t>
      </w:r>
      <w:r>
        <w:rPr>
          <w:rFonts w:hint="default" w:ascii="Times New Roman" w:hAnsi="Times New Roman" w:eastAsia="宋体" w:cs="Times New Roman"/>
          <w:color w:val="000000"/>
          <w:kern w:val="2"/>
          <w:sz w:val="24"/>
          <w:szCs w:val="24"/>
          <w:highlight w:val="none"/>
          <w:lang w:val="en-US" w:eastAsia="zh-CN" w:bidi="ar-SA"/>
        </w:rPr>
        <w:t>。</w:t>
      </w:r>
    </w:p>
    <w:p w14:paraId="78DC779E">
      <w:pPr>
        <w:keepNext w:val="0"/>
        <w:keepLines w:val="0"/>
        <w:pageBreakBefore w:val="0"/>
        <w:widowControl/>
        <w:kinsoku/>
        <w:wordWrap/>
        <w:overflowPunct/>
        <w:topLinePunct w:val="0"/>
        <w:autoSpaceDE/>
        <w:autoSpaceDN/>
        <w:bidi w:val="0"/>
        <w:adjustRightInd/>
        <w:snapToGrid/>
        <w:spacing w:before="0" w:line="360" w:lineRule="auto"/>
        <w:ind w:rightChars="0"/>
        <w:jc w:val="center"/>
        <w:textAlignment w:val="auto"/>
        <w:rPr>
          <w:rFonts w:hint="default" w:ascii="Times New Roman" w:hAnsi="Times New Roman" w:eastAsia="宋体" w:cs="Times New Roman"/>
          <w:b/>
          <w:snapToGrid w:val="0"/>
          <w:color w:val="000000"/>
          <w:kern w:val="0"/>
          <w:sz w:val="24"/>
          <w:szCs w:val="28"/>
          <w:highlight w:val="none"/>
          <w:lang w:val="en-US" w:eastAsia="zh-CN" w:bidi="ar-SA"/>
        </w:rPr>
      </w:pPr>
      <w:r>
        <w:rPr>
          <w:rFonts w:hint="default" w:ascii="Times New Roman" w:hAnsi="Times New Roman" w:eastAsia="宋体" w:cs="Times New Roman"/>
          <w:b/>
          <w:snapToGrid w:val="0"/>
          <w:color w:val="000000"/>
          <w:kern w:val="0"/>
          <w:sz w:val="24"/>
          <w:szCs w:val="28"/>
          <w:highlight w:val="none"/>
          <w:lang w:val="en-US" w:eastAsia="zh-CN" w:bidi="ar-SA"/>
        </w:rPr>
        <w:t>表5.2-</w:t>
      </w:r>
      <w:r>
        <w:rPr>
          <w:rFonts w:hint="eastAsia" w:ascii="Times New Roman" w:hAnsi="Times New Roman" w:eastAsia="宋体" w:cs="Times New Roman"/>
          <w:b/>
          <w:snapToGrid w:val="0"/>
          <w:color w:val="000000"/>
          <w:kern w:val="0"/>
          <w:sz w:val="24"/>
          <w:szCs w:val="28"/>
          <w:highlight w:val="none"/>
          <w:lang w:val="en-US" w:eastAsia="zh-CN" w:bidi="ar-SA"/>
        </w:rPr>
        <w:t>41</w:t>
      </w:r>
      <w:r>
        <w:rPr>
          <w:rFonts w:hint="default" w:ascii="Times New Roman" w:hAnsi="Times New Roman" w:eastAsia="宋体" w:cs="Times New Roman"/>
          <w:b/>
          <w:snapToGrid w:val="0"/>
          <w:color w:val="000000"/>
          <w:kern w:val="0"/>
          <w:sz w:val="24"/>
          <w:szCs w:val="28"/>
          <w:highlight w:val="none"/>
          <w:lang w:val="en-US" w:eastAsia="zh-CN" w:bidi="ar-SA"/>
        </w:rPr>
        <w:t>土壤环境影响类型和影响途径一览表</w:t>
      </w:r>
    </w:p>
    <w:tbl>
      <w:tblPr>
        <w:tblStyle w:val="20"/>
        <w:tblW w:w="850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848"/>
        <w:gridCol w:w="1848"/>
        <w:gridCol w:w="1848"/>
        <w:gridCol w:w="1848"/>
        <w:gridCol w:w="1113"/>
      </w:tblGrid>
      <w:tr w14:paraId="095905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7CCDAFB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不同时段</w:t>
            </w:r>
          </w:p>
        </w:tc>
        <w:tc>
          <w:tcPr>
            <w:tcW w:w="0" w:type="auto"/>
            <w:gridSpan w:val="4"/>
            <w:noWrap w:val="0"/>
            <w:vAlign w:val="center"/>
          </w:tcPr>
          <w:p w14:paraId="59BD498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污染影响类型及方式</w:t>
            </w:r>
          </w:p>
        </w:tc>
      </w:tr>
      <w:tr w14:paraId="3E67E1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A7546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p>
        </w:tc>
        <w:tc>
          <w:tcPr>
            <w:tcW w:w="0" w:type="auto"/>
            <w:noWrap w:val="0"/>
            <w:vAlign w:val="center"/>
          </w:tcPr>
          <w:p w14:paraId="0F0708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大气沉降</w:t>
            </w:r>
          </w:p>
        </w:tc>
        <w:tc>
          <w:tcPr>
            <w:tcW w:w="0" w:type="auto"/>
            <w:noWrap w:val="0"/>
            <w:vAlign w:val="center"/>
          </w:tcPr>
          <w:p w14:paraId="6E00213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地面漫流</w:t>
            </w:r>
          </w:p>
        </w:tc>
        <w:tc>
          <w:tcPr>
            <w:tcW w:w="0" w:type="auto"/>
            <w:noWrap w:val="0"/>
            <w:vAlign w:val="center"/>
          </w:tcPr>
          <w:p w14:paraId="334E408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垂直入渗</w:t>
            </w:r>
          </w:p>
        </w:tc>
        <w:tc>
          <w:tcPr>
            <w:tcW w:w="0" w:type="auto"/>
            <w:noWrap w:val="0"/>
            <w:vAlign w:val="center"/>
          </w:tcPr>
          <w:p w14:paraId="410C57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其他</w:t>
            </w:r>
          </w:p>
        </w:tc>
      </w:tr>
      <w:tr w14:paraId="087199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noWrap w:val="0"/>
            <w:vAlign w:val="center"/>
          </w:tcPr>
          <w:p w14:paraId="6813F4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建设期</w:t>
            </w:r>
          </w:p>
        </w:tc>
        <w:tc>
          <w:tcPr>
            <w:tcW w:w="0" w:type="auto"/>
            <w:noWrap w:val="0"/>
            <w:vAlign w:val="center"/>
          </w:tcPr>
          <w:p w14:paraId="44B7A2E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c>
          <w:tcPr>
            <w:tcW w:w="0" w:type="auto"/>
            <w:noWrap w:val="0"/>
            <w:vAlign w:val="center"/>
          </w:tcPr>
          <w:p w14:paraId="53AF99F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c>
          <w:tcPr>
            <w:tcW w:w="0" w:type="auto"/>
            <w:noWrap w:val="0"/>
            <w:vAlign w:val="center"/>
          </w:tcPr>
          <w:p w14:paraId="1233353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c>
          <w:tcPr>
            <w:tcW w:w="0" w:type="auto"/>
            <w:noWrap w:val="0"/>
            <w:vAlign w:val="center"/>
          </w:tcPr>
          <w:p w14:paraId="7A6BC44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r>
      <w:tr w14:paraId="5EA3F0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noWrap w:val="0"/>
            <w:vAlign w:val="center"/>
          </w:tcPr>
          <w:p w14:paraId="01E894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运营期</w:t>
            </w:r>
          </w:p>
        </w:tc>
        <w:tc>
          <w:tcPr>
            <w:tcW w:w="0" w:type="auto"/>
            <w:noWrap w:val="0"/>
            <w:vAlign w:val="center"/>
          </w:tcPr>
          <w:p w14:paraId="08E2F61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c>
          <w:tcPr>
            <w:tcW w:w="0" w:type="auto"/>
            <w:noWrap w:val="0"/>
            <w:vAlign w:val="center"/>
          </w:tcPr>
          <w:p w14:paraId="408B18A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c>
          <w:tcPr>
            <w:tcW w:w="0" w:type="auto"/>
            <w:noWrap w:val="0"/>
            <w:vAlign w:val="center"/>
          </w:tcPr>
          <w:p w14:paraId="4648EC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c>
          <w:tcPr>
            <w:tcW w:w="0" w:type="auto"/>
            <w:noWrap w:val="0"/>
            <w:vAlign w:val="center"/>
          </w:tcPr>
          <w:p w14:paraId="564BA3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000000"/>
                <w:kern w:val="0"/>
                <w:sz w:val="21"/>
                <w:szCs w:val="22"/>
                <w:highlight w:val="none"/>
                <w:lang w:val="en-US" w:eastAsia="zh-CN" w:bidi="ar-SA"/>
              </w:rPr>
            </w:pPr>
            <w:r>
              <w:rPr>
                <w:rFonts w:hint="default" w:ascii="Times New Roman" w:hAnsi="Times New Roman" w:eastAsia="宋体" w:cs="Times New Roman"/>
                <w:b w:val="0"/>
                <w:bCs w:val="0"/>
                <w:color w:val="000000"/>
                <w:kern w:val="0"/>
                <w:sz w:val="21"/>
                <w:szCs w:val="22"/>
                <w:highlight w:val="none"/>
                <w:lang w:val="en-US" w:eastAsia="zh-CN" w:bidi="ar-SA"/>
              </w:rPr>
              <w:t>-</w:t>
            </w:r>
          </w:p>
        </w:tc>
      </w:tr>
    </w:tbl>
    <w:p w14:paraId="3C6C7D74">
      <w:pPr>
        <w:keepNext w:val="0"/>
        <w:keepLines w:val="0"/>
        <w:pageBreakBefore w:val="0"/>
        <w:widowControl/>
        <w:kinsoku/>
        <w:wordWrap/>
        <w:overflowPunct/>
        <w:topLinePunct w:val="0"/>
        <w:autoSpaceDE/>
        <w:autoSpaceDN/>
        <w:bidi w:val="0"/>
        <w:adjustRightInd/>
        <w:snapToGrid/>
        <w:spacing w:before="0" w:line="360" w:lineRule="auto"/>
        <w:ind w:rightChars="0"/>
        <w:jc w:val="center"/>
        <w:textAlignment w:val="auto"/>
        <w:rPr>
          <w:rFonts w:hint="default" w:ascii="Times New Roman" w:hAnsi="Times New Roman" w:eastAsia="宋体" w:cs="Times New Roman"/>
          <w:b/>
          <w:snapToGrid w:val="0"/>
          <w:color w:val="000000"/>
          <w:kern w:val="0"/>
          <w:sz w:val="24"/>
          <w:szCs w:val="28"/>
          <w:highlight w:val="none"/>
          <w:lang w:val="en-US" w:eastAsia="zh-CN" w:bidi="ar-SA"/>
        </w:rPr>
      </w:pPr>
      <w:r>
        <w:rPr>
          <w:rFonts w:hint="default" w:ascii="Times New Roman" w:hAnsi="Times New Roman" w:eastAsia="宋体" w:cs="Times New Roman"/>
          <w:b/>
          <w:snapToGrid w:val="0"/>
          <w:color w:val="000000"/>
          <w:kern w:val="0"/>
          <w:sz w:val="24"/>
          <w:szCs w:val="28"/>
          <w:highlight w:val="none"/>
          <w:lang w:val="en-US" w:eastAsia="zh-CN" w:bidi="ar-SA"/>
        </w:rPr>
        <w:t>表</w:t>
      </w:r>
      <w:r>
        <w:rPr>
          <w:rFonts w:hint="eastAsia" w:ascii="Times New Roman" w:hAnsi="Times New Roman" w:eastAsia="宋体" w:cs="Times New Roman"/>
          <w:b/>
          <w:snapToGrid w:val="0"/>
          <w:color w:val="000000"/>
          <w:kern w:val="0"/>
          <w:sz w:val="24"/>
          <w:szCs w:val="28"/>
          <w:highlight w:val="none"/>
          <w:lang w:val="en-US" w:eastAsia="zh-CN" w:bidi="ar-SA"/>
        </w:rPr>
        <w:t>5.2-42</w:t>
      </w:r>
      <w:r>
        <w:rPr>
          <w:rFonts w:hint="default" w:ascii="Times New Roman" w:hAnsi="Times New Roman" w:eastAsia="宋体" w:cs="Times New Roman"/>
          <w:b/>
          <w:snapToGrid w:val="0"/>
          <w:color w:val="000000"/>
          <w:kern w:val="0"/>
          <w:sz w:val="24"/>
          <w:szCs w:val="28"/>
          <w:highlight w:val="none"/>
          <w:lang w:val="en-US" w:eastAsia="zh-CN" w:bidi="ar-SA"/>
        </w:rPr>
        <w:t>项目土壤环境影响源及影响因子识别一览表</w:t>
      </w:r>
    </w:p>
    <w:tbl>
      <w:tblPr>
        <w:tblStyle w:val="20"/>
        <w:tblW w:w="85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62" w:type="dxa"/>
          <w:bottom w:w="0" w:type="dxa"/>
          <w:right w:w="62" w:type="dxa"/>
        </w:tblCellMar>
      </w:tblPr>
      <w:tblGrid>
        <w:gridCol w:w="1032"/>
        <w:gridCol w:w="1227"/>
        <w:gridCol w:w="1724"/>
        <w:gridCol w:w="1155"/>
        <w:gridCol w:w="1679"/>
        <w:gridCol w:w="972"/>
        <w:gridCol w:w="753"/>
      </w:tblGrid>
      <w:tr w14:paraId="7CCD67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2259" w:type="dxa"/>
            <w:gridSpan w:val="2"/>
            <w:noWrap w:val="0"/>
            <w:vAlign w:val="center"/>
          </w:tcPr>
          <w:p w14:paraId="6DFBE8E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污染源</w:t>
            </w:r>
          </w:p>
        </w:tc>
        <w:tc>
          <w:tcPr>
            <w:tcW w:w="1724" w:type="dxa"/>
            <w:noWrap w:val="0"/>
            <w:vAlign w:val="center"/>
          </w:tcPr>
          <w:p w14:paraId="66C7495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工艺流程/节点</w:t>
            </w:r>
          </w:p>
        </w:tc>
        <w:tc>
          <w:tcPr>
            <w:tcW w:w="1155" w:type="dxa"/>
            <w:noWrap w:val="0"/>
            <w:vAlign w:val="center"/>
          </w:tcPr>
          <w:p w14:paraId="2A52947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污染途径</w:t>
            </w:r>
          </w:p>
        </w:tc>
        <w:tc>
          <w:tcPr>
            <w:tcW w:w="1679" w:type="dxa"/>
            <w:noWrap w:val="0"/>
            <w:vAlign w:val="center"/>
          </w:tcPr>
          <w:p w14:paraId="73D49EF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全部污染指标</w:t>
            </w:r>
          </w:p>
        </w:tc>
        <w:tc>
          <w:tcPr>
            <w:tcW w:w="972" w:type="dxa"/>
            <w:noWrap w:val="0"/>
            <w:vAlign w:val="center"/>
          </w:tcPr>
          <w:p w14:paraId="0CBD24E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特征因子</w:t>
            </w:r>
          </w:p>
        </w:tc>
        <w:tc>
          <w:tcPr>
            <w:tcW w:w="753" w:type="dxa"/>
            <w:noWrap w:val="0"/>
            <w:vAlign w:val="center"/>
          </w:tcPr>
          <w:p w14:paraId="2AC9046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备注</w:t>
            </w:r>
          </w:p>
        </w:tc>
      </w:tr>
      <w:tr w14:paraId="2B788D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restart"/>
            <w:noWrap w:val="0"/>
            <w:vAlign w:val="center"/>
          </w:tcPr>
          <w:p w14:paraId="442598C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施工期</w:t>
            </w:r>
          </w:p>
        </w:tc>
        <w:tc>
          <w:tcPr>
            <w:tcW w:w="1227" w:type="dxa"/>
            <w:vMerge w:val="restart"/>
            <w:noWrap w:val="0"/>
            <w:vAlign w:val="center"/>
          </w:tcPr>
          <w:p w14:paraId="6286368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施工废水及生活污水</w:t>
            </w:r>
          </w:p>
        </w:tc>
        <w:tc>
          <w:tcPr>
            <w:tcW w:w="1724" w:type="dxa"/>
            <w:vMerge w:val="restart"/>
            <w:noWrap w:val="0"/>
            <w:vAlign w:val="center"/>
          </w:tcPr>
          <w:p w14:paraId="7300D56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场地平整、基础开挖、设备安装及调试、施工人员生活</w:t>
            </w:r>
          </w:p>
        </w:tc>
        <w:tc>
          <w:tcPr>
            <w:tcW w:w="1155" w:type="dxa"/>
            <w:noWrap w:val="0"/>
            <w:vAlign w:val="center"/>
          </w:tcPr>
          <w:p w14:paraId="6533DB7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大气沉降</w:t>
            </w:r>
          </w:p>
        </w:tc>
        <w:tc>
          <w:tcPr>
            <w:tcW w:w="1679" w:type="dxa"/>
            <w:noWrap w:val="0"/>
            <w:vAlign w:val="center"/>
          </w:tcPr>
          <w:p w14:paraId="1D8BA40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972" w:type="dxa"/>
            <w:noWrap w:val="0"/>
            <w:vAlign w:val="center"/>
          </w:tcPr>
          <w:p w14:paraId="42E5AD1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753" w:type="dxa"/>
            <w:noWrap w:val="0"/>
            <w:vAlign w:val="center"/>
          </w:tcPr>
          <w:p w14:paraId="0CDC696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r>
      <w:tr w14:paraId="0FDDAF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43C0E0F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5ED9A5E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76C762E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549BE1A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地面漫流</w:t>
            </w:r>
          </w:p>
        </w:tc>
        <w:tc>
          <w:tcPr>
            <w:tcW w:w="1679" w:type="dxa"/>
            <w:noWrap w:val="0"/>
            <w:vAlign w:val="center"/>
          </w:tcPr>
          <w:p w14:paraId="6F36EB0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972" w:type="dxa"/>
            <w:noWrap w:val="0"/>
            <w:vAlign w:val="center"/>
          </w:tcPr>
          <w:p w14:paraId="3E09A3D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753" w:type="dxa"/>
            <w:noWrap w:val="0"/>
            <w:vAlign w:val="center"/>
          </w:tcPr>
          <w:p w14:paraId="100F583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r>
      <w:tr w14:paraId="1153FF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67A7DFE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5FC802D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4876450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71E9689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垂直入渗</w:t>
            </w:r>
          </w:p>
        </w:tc>
        <w:tc>
          <w:tcPr>
            <w:tcW w:w="1679" w:type="dxa"/>
            <w:noWrap w:val="0"/>
            <w:vAlign w:val="center"/>
          </w:tcPr>
          <w:p w14:paraId="1CFAB69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cs="Times New Roman"/>
                <w:b w:val="0"/>
                <w:bCs w:val="0"/>
                <w:color w:val="000000"/>
                <w:kern w:val="0"/>
                <w:sz w:val="21"/>
                <w:szCs w:val="21"/>
                <w:highlight w:val="none"/>
                <w:lang w:val="en-US" w:eastAsia="zh-CN" w:bidi="ar-SA"/>
              </w:rPr>
              <w:t>pH、</w:t>
            </w:r>
            <w:r>
              <w:rPr>
                <w:rFonts w:hint="default" w:ascii="Times New Roman" w:hAnsi="Times New Roman" w:eastAsia="宋体" w:cs="Times New Roman"/>
                <w:b w:val="0"/>
                <w:bCs w:val="0"/>
                <w:color w:val="000000"/>
                <w:kern w:val="0"/>
                <w:sz w:val="21"/>
                <w:szCs w:val="21"/>
                <w:highlight w:val="none"/>
                <w:lang w:val="en-US" w:eastAsia="zh-CN" w:bidi="ar-SA"/>
              </w:rPr>
              <w:t>COD、氨氮</w:t>
            </w:r>
            <w:r>
              <w:rPr>
                <w:rFonts w:hint="eastAsia" w:cs="Times New Roman"/>
                <w:b w:val="0"/>
                <w:bCs w:val="0"/>
                <w:color w:val="000000"/>
                <w:kern w:val="0"/>
                <w:sz w:val="21"/>
                <w:szCs w:val="21"/>
                <w:highlight w:val="none"/>
                <w:lang w:val="en-US" w:eastAsia="zh-CN" w:bidi="ar-SA"/>
              </w:rPr>
              <w:t>、BOD、SS</w:t>
            </w:r>
          </w:p>
        </w:tc>
        <w:tc>
          <w:tcPr>
            <w:tcW w:w="972" w:type="dxa"/>
            <w:noWrap w:val="0"/>
            <w:vAlign w:val="center"/>
          </w:tcPr>
          <w:p w14:paraId="0C8200E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COD、氨氮</w:t>
            </w:r>
          </w:p>
        </w:tc>
        <w:tc>
          <w:tcPr>
            <w:tcW w:w="753" w:type="dxa"/>
            <w:noWrap w:val="0"/>
            <w:vAlign w:val="center"/>
          </w:tcPr>
          <w:p w14:paraId="0C27BCD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事故</w:t>
            </w:r>
          </w:p>
          <w:p w14:paraId="060E524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状态</w:t>
            </w:r>
          </w:p>
        </w:tc>
      </w:tr>
      <w:tr w14:paraId="740E6F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189F3D0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51227FE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5D374AB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504B180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其他</w:t>
            </w:r>
          </w:p>
        </w:tc>
        <w:tc>
          <w:tcPr>
            <w:tcW w:w="1679" w:type="dxa"/>
            <w:noWrap w:val="0"/>
            <w:vAlign w:val="center"/>
          </w:tcPr>
          <w:p w14:paraId="1F4D886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972" w:type="dxa"/>
            <w:noWrap w:val="0"/>
            <w:vAlign w:val="center"/>
          </w:tcPr>
          <w:p w14:paraId="37572896">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753" w:type="dxa"/>
            <w:noWrap w:val="0"/>
            <w:vAlign w:val="center"/>
          </w:tcPr>
          <w:p w14:paraId="2237BAD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r>
      <w:tr w14:paraId="695539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restart"/>
            <w:noWrap w:val="0"/>
            <w:vAlign w:val="center"/>
          </w:tcPr>
          <w:p w14:paraId="1186477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运行期</w:t>
            </w:r>
          </w:p>
        </w:tc>
        <w:tc>
          <w:tcPr>
            <w:tcW w:w="1227" w:type="dxa"/>
            <w:vMerge w:val="restart"/>
            <w:noWrap w:val="0"/>
            <w:vAlign w:val="center"/>
          </w:tcPr>
          <w:p w14:paraId="273DC34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cs="Times New Roman"/>
                <w:b w:val="0"/>
                <w:bCs w:val="0"/>
                <w:color w:val="000000"/>
                <w:kern w:val="0"/>
                <w:sz w:val="21"/>
                <w:szCs w:val="21"/>
                <w:highlight w:val="none"/>
                <w:lang w:val="en-US" w:eastAsia="zh-CN" w:bidi="ar-SA"/>
              </w:rPr>
              <w:t>废水</w:t>
            </w:r>
          </w:p>
        </w:tc>
        <w:tc>
          <w:tcPr>
            <w:tcW w:w="1724" w:type="dxa"/>
            <w:vMerge w:val="restart"/>
            <w:noWrap w:val="0"/>
            <w:vAlign w:val="center"/>
          </w:tcPr>
          <w:p w14:paraId="5F344DF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cs="Times New Roman"/>
                <w:b w:val="0"/>
                <w:bCs w:val="0"/>
                <w:color w:val="000000"/>
                <w:kern w:val="0"/>
                <w:sz w:val="21"/>
                <w:szCs w:val="21"/>
                <w:highlight w:val="none"/>
                <w:lang w:val="en-US" w:eastAsia="zh-CN" w:bidi="ar-SA"/>
              </w:rPr>
              <w:t>尿液收集池</w:t>
            </w:r>
            <w:r>
              <w:rPr>
                <w:rFonts w:hint="eastAsia" w:ascii="Times New Roman" w:hAnsi="Times New Roman" w:eastAsia="宋体" w:cs="Times New Roman"/>
                <w:b w:val="0"/>
                <w:bCs w:val="0"/>
                <w:color w:val="000000"/>
                <w:kern w:val="0"/>
                <w:sz w:val="21"/>
                <w:szCs w:val="21"/>
                <w:highlight w:val="none"/>
                <w:lang w:val="en-US" w:eastAsia="zh-CN" w:bidi="ar-SA"/>
              </w:rPr>
              <w:t>、输送管网、防渗化粪池</w:t>
            </w:r>
          </w:p>
        </w:tc>
        <w:tc>
          <w:tcPr>
            <w:tcW w:w="1155" w:type="dxa"/>
            <w:noWrap w:val="0"/>
            <w:vAlign w:val="center"/>
          </w:tcPr>
          <w:p w14:paraId="2B0EE57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大气沉降</w:t>
            </w:r>
          </w:p>
        </w:tc>
        <w:tc>
          <w:tcPr>
            <w:tcW w:w="1679" w:type="dxa"/>
            <w:noWrap w:val="0"/>
            <w:vAlign w:val="center"/>
          </w:tcPr>
          <w:p w14:paraId="74CBF37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ascii="Times New Roman" w:hAnsi="Times New Roman" w:eastAsia="宋体" w:cs="Times New Roman"/>
                <w:b w:val="0"/>
                <w:bCs w:val="0"/>
                <w:color w:val="000000"/>
                <w:kern w:val="0"/>
                <w:sz w:val="21"/>
                <w:szCs w:val="21"/>
                <w:highlight w:val="none"/>
                <w:lang w:val="en-US" w:eastAsia="zh-CN" w:bidi="ar-SA"/>
              </w:rPr>
              <w:t>-</w:t>
            </w:r>
          </w:p>
        </w:tc>
        <w:tc>
          <w:tcPr>
            <w:tcW w:w="972" w:type="dxa"/>
            <w:noWrap w:val="0"/>
            <w:vAlign w:val="center"/>
          </w:tcPr>
          <w:p w14:paraId="7AED82F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753" w:type="dxa"/>
            <w:noWrap w:val="0"/>
            <w:vAlign w:val="center"/>
          </w:tcPr>
          <w:p w14:paraId="08F28AA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事故</w:t>
            </w:r>
          </w:p>
          <w:p w14:paraId="384D942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状态</w:t>
            </w:r>
          </w:p>
        </w:tc>
      </w:tr>
      <w:tr w14:paraId="2362BA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183E7D8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27B173A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144BC6D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7666D62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地面漫流</w:t>
            </w:r>
          </w:p>
        </w:tc>
        <w:tc>
          <w:tcPr>
            <w:tcW w:w="1679" w:type="dxa"/>
            <w:noWrap w:val="0"/>
            <w:vAlign w:val="center"/>
          </w:tcPr>
          <w:p w14:paraId="60E302F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sz w:val="21"/>
                <w:szCs w:val="21"/>
                <w:highlight w:val="none"/>
              </w:rPr>
            </w:pPr>
            <w:r>
              <w:rPr>
                <w:rFonts w:hint="default" w:ascii="Times New Roman" w:hAnsi="Times New Roman" w:eastAsia="宋体" w:cs="Times New Roman"/>
                <w:b w:val="0"/>
                <w:bCs w:val="0"/>
                <w:color w:val="000000"/>
                <w:szCs w:val="22"/>
                <w:highlight w:val="none"/>
              </w:rPr>
              <w:t>-</w:t>
            </w:r>
          </w:p>
        </w:tc>
        <w:tc>
          <w:tcPr>
            <w:tcW w:w="972" w:type="dxa"/>
            <w:noWrap w:val="0"/>
            <w:vAlign w:val="center"/>
          </w:tcPr>
          <w:p w14:paraId="3FDB2A3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sz w:val="21"/>
                <w:szCs w:val="21"/>
                <w:highlight w:val="none"/>
              </w:rPr>
            </w:pPr>
            <w:r>
              <w:rPr>
                <w:rFonts w:hint="default" w:ascii="Times New Roman" w:hAnsi="Times New Roman" w:eastAsia="宋体" w:cs="Times New Roman"/>
                <w:b w:val="0"/>
                <w:bCs w:val="0"/>
                <w:color w:val="000000"/>
                <w:szCs w:val="22"/>
                <w:highlight w:val="none"/>
              </w:rPr>
              <w:t>-</w:t>
            </w:r>
          </w:p>
        </w:tc>
        <w:tc>
          <w:tcPr>
            <w:tcW w:w="753" w:type="dxa"/>
            <w:noWrap w:val="0"/>
            <w:vAlign w:val="center"/>
          </w:tcPr>
          <w:p w14:paraId="5781CD2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sz w:val="21"/>
                <w:szCs w:val="21"/>
                <w:highlight w:val="none"/>
              </w:rPr>
            </w:pPr>
            <w:r>
              <w:rPr>
                <w:rFonts w:hint="default" w:ascii="Times New Roman" w:hAnsi="Times New Roman" w:eastAsia="宋体" w:cs="Times New Roman"/>
                <w:b w:val="0"/>
                <w:bCs w:val="0"/>
                <w:color w:val="000000"/>
                <w:szCs w:val="22"/>
                <w:highlight w:val="none"/>
              </w:rPr>
              <w:t>-</w:t>
            </w:r>
          </w:p>
        </w:tc>
      </w:tr>
      <w:tr w14:paraId="1C6818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0E2FAD3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10C5A5B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5CA74F7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01EE854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垂直入渗</w:t>
            </w:r>
          </w:p>
        </w:tc>
        <w:tc>
          <w:tcPr>
            <w:tcW w:w="1679" w:type="dxa"/>
            <w:noWrap w:val="0"/>
            <w:vAlign w:val="center"/>
          </w:tcPr>
          <w:p w14:paraId="723B763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cs="Times New Roman"/>
                <w:b w:val="0"/>
                <w:bCs w:val="0"/>
                <w:color w:val="000000"/>
                <w:kern w:val="0"/>
                <w:sz w:val="21"/>
                <w:szCs w:val="21"/>
                <w:highlight w:val="none"/>
                <w:lang w:val="en-US" w:eastAsia="zh-CN" w:bidi="ar-SA"/>
              </w:rPr>
              <w:t>pH、</w:t>
            </w:r>
            <w:r>
              <w:rPr>
                <w:rFonts w:hint="default" w:ascii="Times New Roman" w:hAnsi="Times New Roman" w:eastAsia="宋体" w:cs="Times New Roman"/>
                <w:b w:val="0"/>
                <w:bCs w:val="0"/>
                <w:color w:val="000000"/>
                <w:kern w:val="0"/>
                <w:sz w:val="21"/>
                <w:szCs w:val="21"/>
                <w:highlight w:val="none"/>
                <w:lang w:val="en-US" w:eastAsia="zh-CN" w:bidi="ar-SA"/>
              </w:rPr>
              <w:t>COD、氨氮</w:t>
            </w:r>
            <w:r>
              <w:rPr>
                <w:rFonts w:hint="eastAsia" w:cs="Times New Roman"/>
                <w:b w:val="0"/>
                <w:bCs w:val="0"/>
                <w:color w:val="000000"/>
                <w:kern w:val="0"/>
                <w:sz w:val="21"/>
                <w:szCs w:val="21"/>
                <w:highlight w:val="none"/>
                <w:lang w:val="en-US" w:eastAsia="zh-CN" w:bidi="ar-SA"/>
              </w:rPr>
              <w:t>、BOD、SS、TN、TP</w:t>
            </w:r>
          </w:p>
        </w:tc>
        <w:tc>
          <w:tcPr>
            <w:tcW w:w="972" w:type="dxa"/>
            <w:noWrap w:val="0"/>
            <w:vAlign w:val="center"/>
          </w:tcPr>
          <w:p w14:paraId="7503E04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COD、氨氮</w:t>
            </w:r>
          </w:p>
        </w:tc>
        <w:tc>
          <w:tcPr>
            <w:tcW w:w="753" w:type="dxa"/>
            <w:noWrap w:val="0"/>
            <w:vAlign w:val="center"/>
          </w:tcPr>
          <w:p w14:paraId="5F4C3D9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事故</w:t>
            </w:r>
          </w:p>
          <w:p w14:paraId="621CD6C6">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状态</w:t>
            </w:r>
          </w:p>
        </w:tc>
      </w:tr>
      <w:tr w14:paraId="560B5C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45615FB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0ACEC33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4A6DA1F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72CDB71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其他</w:t>
            </w:r>
          </w:p>
        </w:tc>
        <w:tc>
          <w:tcPr>
            <w:tcW w:w="1679" w:type="dxa"/>
            <w:noWrap w:val="0"/>
            <w:vAlign w:val="center"/>
          </w:tcPr>
          <w:p w14:paraId="1A742D6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972" w:type="dxa"/>
            <w:noWrap w:val="0"/>
            <w:vAlign w:val="center"/>
          </w:tcPr>
          <w:p w14:paraId="6F199D5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753" w:type="dxa"/>
            <w:noWrap w:val="0"/>
            <w:vAlign w:val="center"/>
          </w:tcPr>
          <w:p w14:paraId="01C3DBF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r>
      <w:tr w14:paraId="1806F8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6D140FB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restart"/>
            <w:noWrap w:val="0"/>
            <w:vAlign w:val="center"/>
          </w:tcPr>
          <w:p w14:paraId="6FC7389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ascii="Times New Roman" w:hAnsi="Times New Roman" w:eastAsia="宋体" w:cs="Times New Roman"/>
                <w:b w:val="0"/>
                <w:bCs w:val="0"/>
                <w:color w:val="000000"/>
                <w:kern w:val="0"/>
                <w:sz w:val="21"/>
                <w:szCs w:val="21"/>
                <w:highlight w:val="none"/>
                <w:lang w:val="en-US" w:eastAsia="zh-CN" w:bidi="ar-SA"/>
              </w:rPr>
              <w:t>废气</w:t>
            </w:r>
          </w:p>
        </w:tc>
        <w:tc>
          <w:tcPr>
            <w:tcW w:w="1724" w:type="dxa"/>
            <w:vMerge w:val="restart"/>
            <w:noWrap w:val="0"/>
            <w:vAlign w:val="center"/>
          </w:tcPr>
          <w:p w14:paraId="161D38D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cs="Times New Roman"/>
                <w:b w:val="0"/>
                <w:bCs w:val="0"/>
                <w:color w:val="000000"/>
                <w:kern w:val="0"/>
                <w:sz w:val="21"/>
                <w:szCs w:val="21"/>
                <w:highlight w:val="none"/>
                <w:lang w:val="en-US" w:eastAsia="zh-CN" w:bidi="ar-SA"/>
              </w:rPr>
              <w:t>牛圈</w:t>
            </w:r>
            <w:r>
              <w:rPr>
                <w:rFonts w:hint="eastAsia" w:ascii="Times New Roman" w:hAnsi="Times New Roman" w:eastAsia="宋体" w:cs="Times New Roman"/>
                <w:b w:val="0"/>
                <w:bCs w:val="0"/>
                <w:color w:val="000000"/>
                <w:kern w:val="0"/>
                <w:sz w:val="21"/>
                <w:szCs w:val="21"/>
                <w:highlight w:val="none"/>
                <w:lang w:val="en-US" w:eastAsia="zh-CN" w:bidi="ar-SA"/>
              </w:rPr>
              <w:t>、</w:t>
            </w:r>
            <w:r>
              <w:rPr>
                <w:rFonts w:hint="eastAsia" w:cs="Times New Roman"/>
                <w:b w:val="0"/>
                <w:bCs w:val="0"/>
                <w:color w:val="000000"/>
                <w:kern w:val="0"/>
                <w:sz w:val="21"/>
                <w:szCs w:val="21"/>
                <w:highlight w:val="none"/>
                <w:lang w:val="en-US" w:eastAsia="zh-CN" w:bidi="ar-SA"/>
              </w:rPr>
              <w:t>堆肥间、饲料加工车间，还田区</w:t>
            </w:r>
          </w:p>
        </w:tc>
        <w:tc>
          <w:tcPr>
            <w:tcW w:w="1155" w:type="dxa"/>
            <w:noWrap w:val="0"/>
            <w:vAlign w:val="center"/>
          </w:tcPr>
          <w:p w14:paraId="012693F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大气沉降</w:t>
            </w:r>
          </w:p>
        </w:tc>
        <w:tc>
          <w:tcPr>
            <w:tcW w:w="1679" w:type="dxa"/>
            <w:noWrap w:val="0"/>
            <w:vAlign w:val="center"/>
          </w:tcPr>
          <w:p w14:paraId="6D4E498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cs="Times New Roman"/>
                <w:b w:val="0"/>
                <w:bCs w:val="0"/>
                <w:color w:val="000000"/>
                <w:kern w:val="0"/>
                <w:sz w:val="21"/>
                <w:szCs w:val="21"/>
                <w:highlight w:val="none"/>
                <w:lang w:val="en-US" w:eastAsia="zh-CN" w:bidi="ar-SA"/>
              </w:rPr>
              <w:t>颗粒物、</w:t>
            </w:r>
            <w:r>
              <w:rPr>
                <w:rFonts w:hint="eastAsia" w:ascii="Times New Roman" w:hAnsi="Times New Roman" w:eastAsia="宋体" w:cs="Times New Roman"/>
                <w:b w:val="0"/>
                <w:bCs w:val="0"/>
                <w:color w:val="000000"/>
                <w:kern w:val="0"/>
                <w:sz w:val="21"/>
                <w:szCs w:val="21"/>
                <w:highlight w:val="none"/>
                <w:lang w:val="en-US" w:eastAsia="zh-CN" w:bidi="ar-SA"/>
              </w:rPr>
              <w:t>硫化氢、氨</w:t>
            </w:r>
            <w:r>
              <w:rPr>
                <w:rFonts w:hint="eastAsia" w:cs="Times New Roman"/>
                <w:b w:val="0"/>
                <w:bCs w:val="0"/>
                <w:color w:val="000000"/>
                <w:kern w:val="0"/>
                <w:sz w:val="21"/>
                <w:szCs w:val="21"/>
                <w:highlight w:val="none"/>
                <w:lang w:val="en-US" w:eastAsia="zh-CN" w:bidi="ar-SA"/>
              </w:rPr>
              <w:t>、臭气浓度</w:t>
            </w:r>
          </w:p>
        </w:tc>
        <w:tc>
          <w:tcPr>
            <w:tcW w:w="972" w:type="dxa"/>
            <w:noWrap w:val="0"/>
            <w:vAlign w:val="center"/>
          </w:tcPr>
          <w:p w14:paraId="38097DA6">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cs="Times New Roman"/>
                <w:b w:val="0"/>
                <w:bCs w:val="0"/>
                <w:color w:val="000000"/>
                <w:kern w:val="0"/>
                <w:sz w:val="21"/>
                <w:szCs w:val="21"/>
                <w:highlight w:val="none"/>
                <w:lang w:val="en-US" w:eastAsia="zh-CN" w:bidi="ar-SA"/>
              </w:rPr>
              <w:t>颗粒物、</w:t>
            </w:r>
            <w:r>
              <w:rPr>
                <w:rFonts w:hint="eastAsia" w:ascii="Times New Roman" w:hAnsi="Times New Roman" w:eastAsia="宋体" w:cs="Times New Roman"/>
                <w:b w:val="0"/>
                <w:bCs w:val="0"/>
                <w:color w:val="000000"/>
                <w:kern w:val="0"/>
                <w:sz w:val="21"/>
                <w:szCs w:val="21"/>
                <w:highlight w:val="none"/>
                <w:lang w:val="en-US" w:eastAsia="zh-CN" w:bidi="ar-SA"/>
              </w:rPr>
              <w:t>硫化氢、氨</w:t>
            </w:r>
            <w:r>
              <w:rPr>
                <w:rFonts w:hint="eastAsia" w:cs="Times New Roman"/>
                <w:b w:val="0"/>
                <w:bCs w:val="0"/>
                <w:color w:val="000000"/>
                <w:kern w:val="0"/>
                <w:sz w:val="21"/>
                <w:szCs w:val="21"/>
                <w:highlight w:val="none"/>
                <w:lang w:val="en-US" w:eastAsia="zh-CN" w:bidi="ar-SA"/>
              </w:rPr>
              <w:t>、臭气浓度</w:t>
            </w:r>
          </w:p>
        </w:tc>
        <w:tc>
          <w:tcPr>
            <w:tcW w:w="753" w:type="dxa"/>
            <w:noWrap w:val="0"/>
            <w:vAlign w:val="center"/>
          </w:tcPr>
          <w:p w14:paraId="15D1C14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事故</w:t>
            </w:r>
          </w:p>
          <w:p w14:paraId="55C8057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状态</w:t>
            </w:r>
          </w:p>
        </w:tc>
      </w:tr>
      <w:tr w14:paraId="089EB2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0968EEA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7DF50FE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332FB62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1110BE5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地面漫流</w:t>
            </w:r>
          </w:p>
        </w:tc>
        <w:tc>
          <w:tcPr>
            <w:tcW w:w="1679" w:type="dxa"/>
            <w:noWrap w:val="0"/>
            <w:vAlign w:val="center"/>
          </w:tcPr>
          <w:p w14:paraId="5A3BC0C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Cs w:val="22"/>
                <w:highlight w:val="none"/>
              </w:rPr>
              <w:t>-</w:t>
            </w:r>
          </w:p>
        </w:tc>
        <w:tc>
          <w:tcPr>
            <w:tcW w:w="972" w:type="dxa"/>
            <w:noWrap w:val="0"/>
            <w:vAlign w:val="center"/>
          </w:tcPr>
          <w:p w14:paraId="37CB64B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Cs w:val="22"/>
                <w:highlight w:val="none"/>
              </w:rPr>
              <w:t>-</w:t>
            </w:r>
          </w:p>
        </w:tc>
        <w:tc>
          <w:tcPr>
            <w:tcW w:w="753" w:type="dxa"/>
            <w:noWrap w:val="0"/>
            <w:vAlign w:val="center"/>
          </w:tcPr>
          <w:p w14:paraId="6BD078C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Cs w:val="22"/>
                <w:highlight w:val="none"/>
              </w:rPr>
              <w:t>-</w:t>
            </w:r>
          </w:p>
        </w:tc>
      </w:tr>
      <w:tr w14:paraId="18ECE1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0567617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0BF8859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19A2515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3B627F4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垂直入渗</w:t>
            </w:r>
          </w:p>
        </w:tc>
        <w:tc>
          <w:tcPr>
            <w:tcW w:w="1679" w:type="dxa"/>
            <w:noWrap w:val="0"/>
            <w:vAlign w:val="center"/>
          </w:tcPr>
          <w:p w14:paraId="1E001D2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eastAsia" w:ascii="Times New Roman" w:hAnsi="Times New Roman" w:eastAsia="宋体" w:cs="Times New Roman"/>
                <w:b w:val="0"/>
                <w:bCs w:val="0"/>
                <w:color w:val="000000"/>
                <w:kern w:val="0"/>
                <w:sz w:val="21"/>
                <w:szCs w:val="21"/>
                <w:highlight w:val="none"/>
                <w:lang w:val="en-US" w:eastAsia="zh-CN" w:bidi="ar-SA"/>
              </w:rPr>
              <w:t>-</w:t>
            </w:r>
          </w:p>
        </w:tc>
        <w:tc>
          <w:tcPr>
            <w:tcW w:w="972" w:type="dxa"/>
            <w:noWrap w:val="0"/>
            <w:vAlign w:val="center"/>
          </w:tcPr>
          <w:p w14:paraId="052EC0F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753" w:type="dxa"/>
            <w:noWrap w:val="0"/>
            <w:vAlign w:val="center"/>
          </w:tcPr>
          <w:p w14:paraId="473842D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事故</w:t>
            </w:r>
          </w:p>
          <w:p w14:paraId="01019D7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状态</w:t>
            </w:r>
          </w:p>
        </w:tc>
      </w:tr>
      <w:tr w14:paraId="0836B9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62" w:type="dxa"/>
            <w:bottom w:w="0" w:type="dxa"/>
            <w:right w:w="62" w:type="dxa"/>
          </w:tblCellMar>
        </w:tblPrEx>
        <w:trPr>
          <w:trHeight w:val="0" w:hRule="atLeast"/>
          <w:jc w:val="center"/>
        </w:trPr>
        <w:tc>
          <w:tcPr>
            <w:tcW w:w="1032" w:type="dxa"/>
            <w:vMerge w:val="continue"/>
            <w:noWrap w:val="0"/>
            <w:vAlign w:val="center"/>
          </w:tcPr>
          <w:p w14:paraId="65E678E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227" w:type="dxa"/>
            <w:vMerge w:val="continue"/>
            <w:noWrap w:val="0"/>
            <w:vAlign w:val="center"/>
          </w:tcPr>
          <w:p w14:paraId="3BBEF46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724" w:type="dxa"/>
            <w:vMerge w:val="continue"/>
            <w:noWrap w:val="0"/>
            <w:vAlign w:val="center"/>
          </w:tcPr>
          <w:p w14:paraId="63DC974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p>
        </w:tc>
        <w:tc>
          <w:tcPr>
            <w:tcW w:w="1155" w:type="dxa"/>
            <w:noWrap w:val="0"/>
            <w:vAlign w:val="center"/>
          </w:tcPr>
          <w:p w14:paraId="218AEFF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其他</w:t>
            </w:r>
          </w:p>
        </w:tc>
        <w:tc>
          <w:tcPr>
            <w:tcW w:w="1679" w:type="dxa"/>
            <w:noWrap w:val="0"/>
            <w:vAlign w:val="center"/>
          </w:tcPr>
          <w:p w14:paraId="444FD82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972" w:type="dxa"/>
            <w:noWrap w:val="0"/>
            <w:vAlign w:val="center"/>
          </w:tcPr>
          <w:p w14:paraId="4363531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c>
          <w:tcPr>
            <w:tcW w:w="753" w:type="dxa"/>
            <w:noWrap w:val="0"/>
            <w:vAlign w:val="center"/>
          </w:tcPr>
          <w:p w14:paraId="503B904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b w:val="0"/>
                <w:bCs w:val="0"/>
                <w:color w:val="000000"/>
                <w:kern w:val="0"/>
                <w:sz w:val="21"/>
                <w:szCs w:val="21"/>
                <w:highlight w:val="none"/>
                <w:lang w:val="en-US" w:eastAsia="zh-CN" w:bidi="ar-SA"/>
              </w:rPr>
            </w:pPr>
            <w:r>
              <w:rPr>
                <w:rFonts w:hint="default" w:ascii="Times New Roman" w:hAnsi="Times New Roman" w:eastAsia="宋体" w:cs="Times New Roman"/>
                <w:b w:val="0"/>
                <w:bCs w:val="0"/>
                <w:color w:val="000000"/>
                <w:kern w:val="0"/>
                <w:sz w:val="21"/>
                <w:szCs w:val="21"/>
                <w:highlight w:val="none"/>
                <w:lang w:val="en-US" w:eastAsia="zh-CN" w:bidi="ar-SA"/>
              </w:rPr>
              <w:t>-</w:t>
            </w:r>
          </w:p>
        </w:tc>
      </w:tr>
    </w:tbl>
    <w:p w14:paraId="0C2A8FF9">
      <w:pPr>
        <w:widowControl w:val="0"/>
        <w:bidi w:val="0"/>
        <w:spacing w:line="360" w:lineRule="auto"/>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5.2.6.2土地利用类型调查</w:t>
      </w:r>
    </w:p>
    <w:p w14:paraId="08BA3501">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lang w:val="en-US" w:eastAsia="zh-CN"/>
        </w:rPr>
      </w:pPr>
      <w:r>
        <w:rPr>
          <w:rFonts w:hint="eastAsia" w:ascii="Times New Roman" w:hAnsi="Times New Roman" w:eastAsia="宋体" w:cs="Times New Roman"/>
          <w:sz w:val="24"/>
          <w:szCs w:val="22"/>
          <w:lang w:val="en-US" w:eastAsia="zh-CN"/>
        </w:rPr>
        <w:t>（1）调查范围</w:t>
      </w:r>
    </w:p>
    <w:p w14:paraId="7AFADEA7">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lang w:val="en-US" w:eastAsia="zh-CN"/>
        </w:rPr>
      </w:pPr>
      <w:r>
        <w:rPr>
          <w:rFonts w:hint="eastAsia" w:ascii="Times New Roman" w:hAnsi="Times New Roman" w:eastAsia="宋体" w:cs="Times New Roman"/>
          <w:sz w:val="24"/>
          <w:szCs w:val="22"/>
          <w:lang w:val="en-US" w:eastAsia="zh-CN"/>
        </w:rPr>
        <w:t>根据《环境影响评价技术导则土壤环境（试行）》（HJ964-2018），本次评价的土壤现状调查范围为项目边界四至外扩0.05km范围。</w:t>
      </w:r>
    </w:p>
    <w:p w14:paraId="0D61B097">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lang w:val="en-US" w:eastAsia="zh-CN"/>
        </w:rPr>
      </w:pPr>
      <w:r>
        <w:rPr>
          <w:rFonts w:hint="eastAsia" w:ascii="Times New Roman" w:hAnsi="Times New Roman" w:eastAsia="宋体" w:cs="Times New Roman"/>
          <w:sz w:val="24"/>
          <w:szCs w:val="22"/>
          <w:lang w:val="en-US" w:eastAsia="zh-CN"/>
        </w:rPr>
        <w:t>（2）土壤类型调查</w:t>
      </w:r>
    </w:p>
    <w:p w14:paraId="75E0FD92">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lang w:val="en-US" w:eastAsia="zh-CN"/>
        </w:rPr>
      </w:pPr>
      <w:r>
        <w:rPr>
          <w:rFonts w:hint="eastAsia" w:ascii="Times New Roman" w:hAnsi="Times New Roman" w:eastAsia="宋体" w:cs="Times New Roman"/>
          <w:sz w:val="24"/>
          <w:szCs w:val="22"/>
          <w:lang w:val="en-US" w:eastAsia="zh-CN"/>
        </w:rPr>
        <w:t>根据国家土壤信息服务平台发布的中国1公里发生分类土壤图（数据来源，二普调查，2016年），《中国土壤分类与代码》（GB/T17296-2009）</w:t>
      </w:r>
      <w:r>
        <w:rPr>
          <w:rFonts w:hint="default" w:ascii="Times New Roman" w:hAnsi="Times New Roman" w:eastAsia="宋体" w:cs="Times New Roman"/>
          <w:color w:val="auto"/>
          <w:kern w:val="0"/>
          <w:sz w:val="24"/>
          <w:szCs w:val="21"/>
          <w:lang w:val="zh-CN" w:eastAsia="zh-CN" w:bidi="ar-SA"/>
        </w:rPr>
        <w:t>项目厂址土类为</w:t>
      </w:r>
      <w:r>
        <w:rPr>
          <w:rFonts w:hint="eastAsia" w:cs="Times New Roman"/>
          <w:color w:val="auto"/>
          <w:kern w:val="0"/>
          <w:sz w:val="24"/>
          <w:szCs w:val="21"/>
          <w:lang w:val="en-US" w:eastAsia="zh-CN" w:bidi="ar-SA"/>
        </w:rPr>
        <w:t>内陆盐土</w:t>
      </w:r>
      <w:r>
        <w:rPr>
          <w:rFonts w:hint="default" w:ascii="Times New Roman" w:hAnsi="Times New Roman" w:eastAsia="宋体" w:cs="Times New Roman"/>
          <w:color w:val="auto"/>
          <w:kern w:val="0"/>
          <w:sz w:val="24"/>
          <w:szCs w:val="21"/>
          <w:lang w:val="zh-CN" w:eastAsia="zh-CN" w:bidi="ar-SA"/>
        </w:rPr>
        <w:t>，亚类为</w:t>
      </w:r>
      <w:r>
        <w:rPr>
          <w:rFonts w:hint="eastAsia" w:cs="Times New Roman"/>
          <w:color w:val="auto"/>
          <w:kern w:val="0"/>
          <w:sz w:val="24"/>
          <w:szCs w:val="21"/>
          <w:lang w:val="en-US" w:eastAsia="zh-CN" w:bidi="ar-SA"/>
        </w:rPr>
        <w:t>内陆盐土</w:t>
      </w:r>
      <w:r>
        <w:rPr>
          <w:rFonts w:hint="eastAsia" w:ascii="Times New Roman" w:hAnsi="Times New Roman" w:eastAsia="宋体" w:cs="Times New Roman"/>
          <w:sz w:val="24"/>
          <w:szCs w:val="22"/>
          <w:lang w:val="en-US" w:eastAsia="zh-CN"/>
        </w:rPr>
        <w:t>。</w:t>
      </w:r>
    </w:p>
    <w:p w14:paraId="7D03B958">
      <w:pPr>
        <w:widowControl w:val="0"/>
        <w:bidi w:val="0"/>
        <w:spacing w:line="360" w:lineRule="auto"/>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5.2.6.3土壤环境影响分析</w:t>
      </w:r>
    </w:p>
    <w:p w14:paraId="32488529">
      <w:pPr>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根据《环境影响评价技术导则 土壤环境（试行）》（HJ964-2018）评价工作等级为三级的建设项目，可采用定性描述或类比分析法进行预测。本项目采用定性描述分析土壤环境影响。</w:t>
      </w:r>
    </w:p>
    <w:p w14:paraId="74B8DA0D">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2"/>
          <w:highlight w:val="none"/>
          <w:lang w:val="en-US" w:eastAsia="zh-CN" w:bidi="ar-SA"/>
        </w:rPr>
      </w:pPr>
      <w:r>
        <w:rPr>
          <w:rFonts w:hint="eastAsia" w:ascii="Times New Roman" w:hAnsi="Times New Roman" w:eastAsia="宋体" w:cs="Times New Roman"/>
          <w:color w:val="000000"/>
          <w:kern w:val="0"/>
          <w:sz w:val="24"/>
          <w:szCs w:val="22"/>
          <w:highlight w:val="none"/>
          <w:lang w:val="en-US" w:eastAsia="zh-CN" w:bidi="ar-SA"/>
        </w:rPr>
        <w:t>（1）废气对土壤环境的影响分析</w:t>
      </w:r>
    </w:p>
    <w:p w14:paraId="79054013">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2"/>
          <w:highlight w:val="none"/>
          <w:lang w:val="en-US" w:eastAsia="zh-CN" w:bidi="ar-SA"/>
        </w:rPr>
      </w:pPr>
      <w:r>
        <w:rPr>
          <w:rFonts w:hint="default" w:ascii="Times New Roman" w:hAnsi="Times New Roman" w:eastAsia="宋体" w:cs="Times New Roman"/>
          <w:color w:val="000000"/>
          <w:kern w:val="0"/>
          <w:sz w:val="24"/>
          <w:szCs w:val="22"/>
          <w:highlight w:val="none"/>
          <w:lang w:val="en-US" w:eastAsia="zh-CN" w:bidi="ar-SA"/>
        </w:rPr>
        <w:t>根据工程分析，项目建成运行后的废气污染物主要有颗粒物</w:t>
      </w:r>
      <w:r>
        <w:rPr>
          <w:rFonts w:hint="eastAsia" w:ascii="Times New Roman" w:hAnsi="Times New Roman" w:eastAsia="宋体" w:cs="Times New Roman"/>
          <w:color w:val="000000"/>
          <w:kern w:val="0"/>
          <w:sz w:val="24"/>
          <w:szCs w:val="22"/>
          <w:highlight w:val="none"/>
          <w:lang w:val="en-US" w:eastAsia="zh-CN" w:bidi="ar-SA"/>
        </w:rPr>
        <w:t>和恶臭气体硫化氢</w:t>
      </w:r>
      <w:r>
        <w:rPr>
          <w:rFonts w:hint="eastAsia" w:cs="Times New Roman"/>
          <w:color w:val="000000"/>
          <w:kern w:val="0"/>
          <w:sz w:val="24"/>
          <w:szCs w:val="22"/>
          <w:highlight w:val="none"/>
          <w:lang w:val="en-US" w:eastAsia="zh-CN" w:bidi="ar-SA"/>
        </w:rPr>
        <w:t>、</w:t>
      </w:r>
      <w:r>
        <w:rPr>
          <w:rFonts w:hint="eastAsia" w:ascii="Times New Roman" w:hAnsi="Times New Roman" w:eastAsia="宋体" w:cs="Times New Roman"/>
          <w:color w:val="000000"/>
          <w:kern w:val="0"/>
          <w:sz w:val="24"/>
          <w:szCs w:val="22"/>
          <w:highlight w:val="none"/>
          <w:lang w:val="en-US" w:eastAsia="zh-CN" w:bidi="ar-SA"/>
        </w:rPr>
        <w:t>氨</w:t>
      </w:r>
      <w:r>
        <w:rPr>
          <w:rFonts w:hint="eastAsia" w:cs="Times New Roman"/>
          <w:color w:val="000000"/>
          <w:kern w:val="0"/>
          <w:sz w:val="24"/>
          <w:szCs w:val="22"/>
          <w:highlight w:val="none"/>
          <w:lang w:val="en-US" w:eastAsia="zh-CN" w:bidi="ar-SA"/>
        </w:rPr>
        <w:t>、臭气浓度</w:t>
      </w:r>
      <w:r>
        <w:rPr>
          <w:rFonts w:hint="default" w:ascii="Times New Roman" w:hAnsi="Times New Roman" w:eastAsia="宋体" w:cs="Times New Roman"/>
          <w:color w:val="000000"/>
          <w:kern w:val="0"/>
          <w:sz w:val="24"/>
          <w:szCs w:val="22"/>
          <w:highlight w:val="none"/>
          <w:lang w:val="en-US" w:eastAsia="zh-CN" w:bidi="ar-SA"/>
        </w:rPr>
        <w:t>等。正常工况下，项目各</w:t>
      </w:r>
      <w:r>
        <w:rPr>
          <w:rFonts w:hint="eastAsia" w:cs="Times New Roman"/>
          <w:color w:val="000000"/>
          <w:kern w:val="0"/>
          <w:sz w:val="24"/>
          <w:szCs w:val="22"/>
          <w:highlight w:val="none"/>
          <w:lang w:val="en-US" w:eastAsia="zh-CN" w:bidi="ar-SA"/>
        </w:rPr>
        <w:t>区域</w:t>
      </w:r>
      <w:r>
        <w:rPr>
          <w:rFonts w:hint="default" w:ascii="Times New Roman" w:hAnsi="Times New Roman" w:eastAsia="宋体" w:cs="Times New Roman"/>
          <w:color w:val="000000"/>
          <w:kern w:val="0"/>
          <w:sz w:val="24"/>
          <w:szCs w:val="22"/>
          <w:highlight w:val="none"/>
          <w:lang w:val="en-US" w:eastAsia="zh-CN" w:bidi="ar-SA"/>
        </w:rPr>
        <w:t>的生产废气经废气环保处理设施处理后，各大气污染物排放浓度均满足相应的排放标准，周围大气环境质量依然维持现状。</w:t>
      </w:r>
    </w:p>
    <w:p w14:paraId="3EDAA04E">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kern w:val="0"/>
          <w:sz w:val="24"/>
          <w:szCs w:val="22"/>
          <w:highlight w:val="none"/>
          <w:lang w:val="en-US" w:eastAsia="zh-CN" w:bidi="ar-SA"/>
        </w:rPr>
      </w:pPr>
      <w:r>
        <w:rPr>
          <w:rFonts w:hint="default" w:ascii="Times New Roman" w:hAnsi="Times New Roman" w:eastAsia="宋体" w:cs="Times New Roman"/>
          <w:color w:val="000000"/>
          <w:kern w:val="0"/>
          <w:sz w:val="24"/>
          <w:szCs w:val="22"/>
          <w:highlight w:val="none"/>
          <w:lang w:val="en-US" w:eastAsia="zh-CN" w:bidi="ar-SA"/>
        </w:rPr>
        <w:t>因此，在废气环境保护设施正常运行的情况下，废气中的污染物随粉尘、水滴沉降进入土壤环境对土壤环境的影响较小</w:t>
      </w:r>
      <w:r>
        <w:rPr>
          <w:rFonts w:hint="eastAsia" w:ascii="Times New Roman" w:hAnsi="Times New Roman" w:eastAsia="宋体" w:cs="Times New Roman"/>
          <w:color w:val="000000"/>
          <w:kern w:val="0"/>
          <w:sz w:val="24"/>
          <w:szCs w:val="22"/>
          <w:highlight w:val="none"/>
          <w:lang w:val="en-US" w:eastAsia="zh-CN" w:bidi="ar-SA"/>
        </w:rPr>
        <w:t>。</w:t>
      </w:r>
    </w:p>
    <w:p w14:paraId="714FAD41">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2"/>
          <w:highlight w:val="none"/>
          <w:lang w:val="en-US" w:eastAsia="zh-CN" w:bidi="ar-SA"/>
        </w:rPr>
      </w:pPr>
      <w:r>
        <w:rPr>
          <w:rFonts w:hint="eastAsia" w:ascii="Times New Roman" w:hAnsi="Times New Roman" w:eastAsia="宋体" w:cs="Times New Roman"/>
          <w:color w:val="000000"/>
          <w:sz w:val="24"/>
          <w:szCs w:val="22"/>
          <w:lang w:val="en-US" w:eastAsia="zh-CN"/>
        </w:rPr>
        <w:t>（2）</w:t>
      </w:r>
      <w:r>
        <w:rPr>
          <w:rFonts w:hint="eastAsia" w:ascii="Times New Roman" w:hAnsi="Times New Roman" w:eastAsia="宋体" w:cs="Times New Roman"/>
          <w:color w:val="000000"/>
          <w:kern w:val="0"/>
          <w:sz w:val="24"/>
          <w:szCs w:val="22"/>
          <w:highlight w:val="none"/>
          <w:lang w:val="en-US" w:eastAsia="zh-CN" w:bidi="ar-SA"/>
        </w:rPr>
        <w:t>废水对土壤环境的影响分析</w:t>
      </w:r>
    </w:p>
    <w:p w14:paraId="05D3422F">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000000"/>
          <w:sz w:val="24"/>
          <w:szCs w:val="22"/>
          <w:lang w:val="en-US" w:eastAsia="zh-CN"/>
        </w:rPr>
      </w:pPr>
      <w:r>
        <w:rPr>
          <w:rFonts w:hint="eastAsia" w:ascii="Times New Roman" w:hAnsi="Times New Roman" w:eastAsia="宋体" w:cs="Times New Roman"/>
          <w:kern w:val="2"/>
          <w:sz w:val="24"/>
          <w:szCs w:val="24"/>
          <w:lang w:val="en-US" w:eastAsia="zh-CN" w:bidi="ar-SA"/>
        </w:rPr>
        <w:t>项目部分</w:t>
      </w:r>
      <w:r>
        <w:rPr>
          <w:rFonts w:hint="eastAsia" w:cs="Times New Roman"/>
          <w:kern w:val="2"/>
          <w:sz w:val="24"/>
          <w:szCs w:val="24"/>
          <w:lang w:val="en-US" w:eastAsia="zh-CN" w:bidi="ar-SA"/>
        </w:rPr>
        <w:t>牛圈</w:t>
      </w:r>
      <w:r>
        <w:rPr>
          <w:rFonts w:hint="eastAsia" w:ascii="Times New Roman" w:hAnsi="Times New Roman" w:eastAsia="宋体" w:cs="Times New Roman"/>
          <w:kern w:val="2"/>
          <w:sz w:val="24"/>
          <w:szCs w:val="24"/>
          <w:lang w:val="en-US" w:eastAsia="zh-CN" w:bidi="ar-SA"/>
        </w:rPr>
        <w:t>采用发酵床工艺，牛尿直接排到发酵床的垫料上，垫料里富含特殊有益微生物，能够快速被消化分解</w:t>
      </w:r>
      <w:r>
        <w:rPr>
          <w:rFonts w:hint="eastAsia" w:cs="Times New Roman"/>
          <w:kern w:val="2"/>
          <w:sz w:val="24"/>
          <w:szCs w:val="24"/>
          <w:lang w:val="en-US" w:eastAsia="zh-CN" w:bidi="ar-SA"/>
        </w:rPr>
        <w:t>，少量因发酵床管理不善情况，造成牛尿渗滤，经输送管道收集至尿液收集池内，送入堆肥间发酵槽用于板结垫料发酵</w:t>
      </w:r>
      <w:r>
        <w:rPr>
          <w:rFonts w:hint="eastAsia" w:ascii="Times New Roman" w:hAnsi="Times New Roman" w:eastAsia="宋体" w:cs="Times New Roman"/>
          <w:kern w:val="2"/>
          <w:sz w:val="24"/>
          <w:szCs w:val="24"/>
          <w:lang w:val="en-US" w:eastAsia="zh-CN" w:bidi="ar-SA"/>
        </w:rPr>
        <w:t>。牛粪进入垫草垫料中，经牛踩结形成粪床，粪床定期清理，牛粪床通过车辆运至</w:t>
      </w:r>
      <w:r>
        <w:rPr>
          <w:rFonts w:hint="eastAsia" w:cs="Times New Roman"/>
          <w:kern w:val="2"/>
          <w:sz w:val="24"/>
          <w:szCs w:val="24"/>
          <w:lang w:val="en-US" w:eastAsia="zh-CN" w:bidi="ar-SA"/>
        </w:rPr>
        <w:t>堆肥间翻抛还田，少量板结发酵垫料通过再次发酵后还田，堆肥间以及发酵槽均做防渗处理</w:t>
      </w:r>
      <w:r>
        <w:rPr>
          <w:rFonts w:hint="eastAsia" w:ascii="Times New Roman" w:hAnsi="Times New Roman" w:eastAsia="宋体" w:cs="Times New Roman"/>
          <w:kern w:val="2"/>
          <w:sz w:val="24"/>
          <w:szCs w:val="24"/>
          <w:lang w:val="en-US" w:eastAsia="zh-CN" w:bidi="ar-SA"/>
        </w:rPr>
        <w:t>，不会对土壤产生有害影响。</w:t>
      </w:r>
    </w:p>
    <w:p w14:paraId="6661073D">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000000"/>
          <w:sz w:val="24"/>
          <w:szCs w:val="22"/>
          <w:lang w:val="en-US" w:eastAsia="zh-CN"/>
        </w:rPr>
      </w:pPr>
      <w:r>
        <w:rPr>
          <w:rFonts w:hint="eastAsia" w:ascii="Times New Roman" w:hAnsi="Times New Roman" w:eastAsia="宋体" w:cs="Times New Roman"/>
          <w:color w:val="000000"/>
          <w:sz w:val="24"/>
          <w:szCs w:val="22"/>
          <w:lang w:val="en-US" w:eastAsia="zh-CN"/>
        </w:rPr>
        <w:t>根据</w:t>
      </w:r>
      <w:r>
        <w:rPr>
          <w:rFonts w:hint="eastAsia" w:cs="Times New Roman"/>
          <w:color w:val="000000"/>
          <w:sz w:val="24"/>
          <w:szCs w:val="22"/>
          <w:lang w:val="en-US" w:eastAsia="zh-CN"/>
        </w:rPr>
        <w:t>对场址</w:t>
      </w:r>
      <w:r>
        <w:rPr>
          <w:rFonts w:hint="eastAsia" w:ascii="Times New Roman" w:hAnsi="Times New Roman" w:eastAsia="宋体" w:cs="Times New Roman"/>
          <w:color w:val="000000"/>
          <w:sz w:val="24"/>
          <w:szCs w:val="22"/>
          <w:lang w:val="en-US" w:eastAsia="zh-CN"/>
        </w:rPr>
        <w:t>区域土壤的监测，可满足《</w:t>
      </w:r>
      <w:r>
        <w:rPr>
          <w:rFonts w:hint="eastAsia" w:cs="Times New Roman"/>
          <w:color w:val="000000"/>
          <w:sz w:val="24"/>
          <w:szCs w:val="22"/>
          <w:lang w:val="en-US" w:eastAsia="zh-CN"/>
        </w:rPr>
        <w:t>畜禽养殖产地环境评价规范</w:t>
      </w:r>
      <w:r>
        <w:rPr>
          <w:rFonts w:hint="eastAsia" w:ascii="Times New Roman" w:hAnsi="Times New Roman" w:eastAsia="宋体" w:cs="Times New Roman"/>
          <w:color w:val="000000"/>
          <w:sz w:val="24"/>
          <w:szCs w:val="22"/>
          <w:lang w:val="en-US" w:eastAsia="zh-CN"/>
        </w:rPr>
        <w:t>》（HJ568-2010）中的表4养殖场土壤环境质量评价指标和限值。</w:t>
      </w:r>
    </w:p>
    <w:p w14:paraId="72629F6F">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000000"/>
          <w:sz w:val="24"/>
          <w:szCs w:val="22"/>
          <w:lang w:val="en-US" w:eastAsia="zh-CN"/>
        </w:rPr>
      </w:pPr>
      <w:r>
        <w:rPr>
          <w:rFonts w:hint="eastAsia" w:ascii="Times New Roman" w:hAnsi="Times New Roman" w:eastAsia="宋体" w:cs="Times New Roman"/>
          <w:color w:val="000000"/>
          <w:sz w:val="24"/>
          <w:szCs w:val="22"/>
          <w:lang w:val="en-US" w:eastAsia="zh-CN"/>
        </w:rPr>
        <w:t>项目占地区域划分为重点防渗区、一般防渗区和简单防渗区，各分区内不同区域分别根据工程特点采取相应的防渗措施，满足《环境影响评价技术导则 地下水环境》（HJ610-2016）以及《地下水污染源防渗技术指南（试行）》等规范的要求。通过加强输送设施、物料储存区及输送设施的维护和管理，防止废水和液体物料的跑、冒、滴、漏和非正常排放，将污染物泄露的环境风险事故降到最低限度。</w:t>
      </w:r>
    </w:p>
    <w:p w14:paraId="2175F232">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000000"/>
          <w:sz w:val="24"/>
          <w:szCs w:val="22"/>
          <w:lang w:val="en-US" w:eastAsia="zh-CN"/>
        </w:rPr>
      </w:pPr>
      <w:r>
        <w:rPr>
          <w:rFonts w:hint="eastAsia" w:cs="Times New Roman"/>
          <w:color w:val="000000"/>
          <w:sz w:val="24"/>
          <w:szCs w:val="22"/>
          <w:lang w:val="en-US" w:eastAsia="zh-CN"/>
        </w:rPr>
        <w:t>（3）有机肥还田对农田土壤</w:t>
      </w:r>
      <w:r>
        <w:rPr>
          <w:rFonts w:hint="eastAsia" w:ascii="Times New Roman" w:hAnsi="Times New Roman" w:eastAsia="宋体" w:cs="Times New Roman"/>
          <w:color w:val="000000"/>
          <w:kern w:val="0"/>
          <w:sz w:val="24"/>
          <w:szCs w:val="22"/>
          <w:highlight w:val="none"/>
          <w:lang w:val="en-US" w:eastAsia="zh-CN" w:bidi="ar-SA"/>
        </w:rPr>
        <w:t>环境的影响分析</w:t>
      </w:r>
    </w:p>
    <w:p w14:paraId="09AE3357">
      <w:pPr>
        <w:pageBreakBefore w:val="0"/>
        <w:widowControl w:val="0"/>
        <w:wordWrap/>
        <w:topLinePunct w:val="0"/>
        <w:bidi w:val="0"/>
        <w:adjustRightInd/>
        <w:snapToGrid/>
        <w:spacing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禽畜排泄物中含有氮磷钾等养分，适量施肥，能有效提高土壤肥力，改良土壤理化特性，促进农作物生长，但若直接、连续、过量使用，则会对土壤环境质量造成以下不良影响：禽畜粪尿若不经处理，过量施入农田，则土壤中栖居的小动物、昆虫、真菌、放线菌、细菌等生物大量繁殖，导致病虫害的发生，造成农产品微生物污染，直接威胁食品安全。 </w:t>
      </w:r>
    </w:p>
    <w:p w14:paraId="4E7CB2C2">
      <w:pPr>
        <w:overflowPunct w:val="0"/>
        <w:autoSpaceDE w:val="0"/>
        <w:autoSpaceDN w:val="0"/>
        <w:bidi w:val="0"/>
        <w:adjustRightInd w:val="0"/>
        <w:snapToGrid w:val="0"/>
        <w:spacing w:line="500" w:lineRule="exact"/>
        <w:ind w:firstLine="480" w:firstLineChars="200"/>
        <w:rPr>
          <w:rFonts w:hint="eastAsia" w:cs="Times New Roman"/>
          <w:color w:val="000000"/>
          <w:sz w:val="24"/>
          <w:szCs w:val="22"/>
          <w:lang w:val="en-US" w:eastAsia="zh-CN"/>
        </w:rPr>
      </w:pPr>
      <w:r>
        <w:rPr>
          <w:rFonts w:hint="eastAsia" w:cs="Times New Roman"/>
          <w:color w:val="000000"/>
          <w:sz w:val="24"/>
          <w:szCs w:val="22"/>
          <w:lang w:val="en-US" w:eastAsia="zh-CN"/>
        </w:rPr>
        <w:t>根据《有机肥对作物品质、土壤肥力及环境影响的研究进展》</w:t>
      </w:r>
      <w:r>
        <w:rPr>
          <w:rFonts w:hint="eastAsia" w:cs="Times New Roman"/>
          <w:color w:val="000000"/>
          <w:sz w:val="24"/>
          <w:szCs w:val="22"/>
          <w:lang w:val="en-US" w:eastAsia="zh-CN"/>
        </w:rPr>
        <w:fldChar w:fldCharType="begin"/>
      </w:r>
      <w:r>
        <w:rPr>
          <w:rFonts w:hint="eastAsia" w:cs="Times New Roman"/>
          <w:color w:val="000000"/>
          <w:sz w:val="24"/>
          <w:szCs w:val="22"/>
          <w:lang w:val="en-US" w:eastAsia="zh-CN"/>
        </w:rPr>
        <w:instrText xml:space="preserve"> HYPERLINK "http://journals.caass.org.cn/zgnxtb" </w:instrText>
      </w:r>
      <w:r>
        <w:rPr>
          <w:rFonts w:hint="eastAsia" w:cs="Times New Roman"/>
          <w:color w:val="000000"/>
          <w:sz w:val="24"/>
          <w:szCs w:val="22"/>
          <w:lang w:val="en-US" w:eastAsia="zh-CN"/>
        </w:rPr>
        <w:fldChar w:fldCharType="separate"/>
      </w:r>
      <w:r>
        <w:rPr>
          <w:rFonts w:hint="eastAsia" w:cs="Times New Roman"/>
          <w:color w:val="000000"/>
          <w:sz w:val="24"/>
          <w:szCs w:val="22"/>
          <w:lang w:val="en-US" w:eastAsia="zh-CN"/>
        </w:rPr>
        <w:t>中国农学通报</w:t>
      </w:r>
      <w:r>
        <w:rPr>
          <w:rFonts w:hint="eastAsia" w:cs="Times New Roman"/>
          <w:color w:val="000000"/>
          <w:sz w:val="24"/>
          <w:szCs w:val="22"/>
          <w:lang w:val="en-US" w:eastAsia="zh-CN"/>
        </w:rPr>
        <w:fldChar w:fldCharType="end"/>
      </w:r>
      <w:r>
        <w:rPr>
          <w:rFonts w:hint="eastAsia" w:cs="Times New Roman"/>
          <w:color w:val="000000"/>
          <w:sz w:val="24"/>
          <w:szCs w:val="22"/>
          <w:lang w:val="en-US" w:eastAsia="zh-CN"/>
        </w:rPr>
        <w:t>，有机肥施用可以促进土壤有机碳的积累，李文军等在湖南常德国家稻田肥力与肥料效应长期定位试验的研究表明，有机肥配施化肥增强了土壤团聚体中有机碳的积累。有机肥中的腐殖质通过螯合、络合反应固定重金属，可降低重金属对植物的有效性，有机肥养分释放缓慢，可提高土壤阳离子代换量，提高土壤保肥性能，可有效减少氮磷淋失。蔡佳佩等研究发现，化肥减量20%配施有机肥处理较常规施肥处理的总氮、铵态氮与总磷平均值分别降低了6.5%、9.1%和3.1%，降低了氮、磷地表径流产生的农田面源污染风险。同时，有机肥的施用显著降低了土层氮、磷淋出量。</w:t>
      </w:r>
    </w:p>
    <w:p w14:paraId="2C1671EF">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000000"/>
          <w:sz w:val="24"/>
          <w:szCs w:val="22"/>
          <w:lang w:val="en-US" w:eastAsia="zh-CN"/>
        </w:rPr>
      </w:pPr>
      <w:r>
        <w:rPr>
          <w:rFonts w:hint="eastAsia" w:cs="Times New Roman"/>
          <w:color w:val="000000"/>
          <w:sz w:val="24"/>
          <w:szCs w:val="22"/>
          <w:lang w:val="en-US" w:eastAsia="zh-CN"/>
        </w:rPr>
        <w:t>还田时做到</w:t>
      </w:r>
      <w:r>
        <w:rPr>
          <w:rFonts w:hint="eastAsia" w:ascii="Times New Roman" w:hAnsi="Times New Roman" w:eastAsia="宋体" w:cs="Times New Roman"/>
          <w:kern w:val="2"/>
          <w:sz w:val="24"/>
          <w:szCs w:val="24"/>
          <w:lang w:val="en-US" w:eastAsia="zh-CN" w:bidi="ar-SA"/>
        </w:rPr>
        <w:t>适量施肥</w:t>
      </w:r>
      <w:r>
        <w:rPr>
          <w:rFonts w:hint="eastAsia" w:cs="Times New Roman"/>
          <w:kern w:val="2"/>
          <w:sz w:val="24"/>
          <w:szCs w:val="24"/>
          <w:lang w:val="en-US" w:eastAsia="zh-CN" w:bidi="ar-SA"/>
        </w:rPr>
        <w:t>，粪肥利用参照《粪便无害化卫生要求》（GB7959-2012）中的有关规定，施肥期间粪肥用量不能超过作物当年生长所需的养分量。在确定粪肥的最佳施用量时，应对土壤肥力和粪肥肥效进行测试评价，并符合当地环境容量的要求。同时应有一倍以上的土地用于轮作施肥，不得长期施肥于同一土地。</w:t>
      </w:r>
    </w:p>
    <w:p w14:paraId="2D36D54B">
      <w:pPr>
        <w:overflowPunct w:val="0"/>
        <w:autoSpaceDE w:val="0"/>
        <w:autoSpaceDN w:val="0"/>
        <w:bidi w:val="0"/>
        <w:adjustRightInd w:val="0"/>
        <w:snapToGrid w:val="0"/>
        <w:spacing w:line="500" w:lineRule="exact"/>
        <w:rPr>
          <w:rFonts w:hint="eastAsia" w:ascii="Times New Roman" w:hAnsi="Times New Roman" w:eastAsia="宋体" w:cs="Times New Roman"/>
          <w:color w:val="000000"/>
          <w:sz w:val="24"/>
          <w:szCs w:val="22"/>
          <w:lang w:val="en-US" w:eastAsia="zh-CN"/>
        </w:rPr>
      </w:pPr>
      <w:r>
        <w:rPr>
          <w:rFonts w:hint="eastAsia" w:cs="Times New Roman"/>
          <w:kern w:val="2"/>
          <w:sz w:val="24"/>
          <w:szCs w:val="24"/>
          <w:lang w:val="en-US" w:eastAsia="zh-CN" w:bidi="ar-SA"/>
        </w:rPr>
        <w:t>同时，为切实掌握有机肥施用对土壤环境的影响，可在每年轮作结束后对有机肥还田土地进行监测，以避免对还田土壤造成污染。</w:t>
      </w:r>
      <w:r>
        <w:rPr>
          <w:rFonts w:hint="eastAsia" w:ascii="Times New Roman" w:hAnsi="Times New Roman" w:eastAsia="宋体" w:cs="Times New Roman"/>
          <w:color w:val="000000"/>
          <w:sz w:val="24"/>
          <w:szCs w:val="22"/>
          <w:lang w:val="en-US" w:eastAsia="zh-CN"/>
        </w:rPr>
        <w:t>因此本项目在做到</w:t>
      </w:r>
      <w:r>
        <w:rPr>
          <w:rFonts w:hint="eastAsia" w:cs="Times New Roman"/>
          <w:color w:val="000000"/>
          <w:sz w:val="24"/>
          <w:szCs w:val="22"/>
          <w:lang w:val="en-US" w:eastAsia="zh-CN"/>
        </w:rPr>
        <w:t>适量施肥</w:t>
      </w:r>
      <w:r>
        <w:rPr>
          <w:rFonts w:hint="eastAsia" w:ascii="Times New Roman" w:hAnsi="Times New Roman" w:eastAsia="宋体" w:cs="Times New Roman"/>
          <w:color w:val="000000"/>
          <w:sz w:val="24"/>
          <w:szCs w:val="22"/>
          <w:lang w:val="en-US" w:eastAsia="zh-CN"/>
        </w:rPr>
        <w:t>的基础上对</w:t>
      </w:r>
      <w:r>
        <w:rPr>
          <w:rFonts w:hint="eastAsia" w:cs="Times New Roman"/>
          <w:color w:val="000000"/>
          <w:sz w:val="24"/>
          <w:szCs w:val="22"/>
          <w:lang w:val="en-US" w:eastAsia="zh-CN"/>
        </w:rPr>
        <w:t>还田</w:t>
      </w:r>
      <w:r>
        <w:rPr>
          <w:rFonts w:hint="eastAsia" w:ascii="Times New Roman" w:hAnsi="Times New Roman" w:eastAsia="宋体" w:cs="Times New Roman"/>
          <w:color w:val="000000"/>
          <w:sz w:val="24"/>
          <w:szCs w:val="22"/>
          <w:lang w:val="en-US" w:eastAsia="zh-CN"/>
        </w:rPr>
        <w:t>土壤环境的影响在可控制范围内。运营期在正常工况下，采取相应保护措施后，不会对</w:t>
      </w:r>
      <w:r>
        <w:rPr>
          <w:rFonts w:hint="eastAsia" w:cs="Times New Roman"/>
          <w:color w:val="000000"/>
          <w:sz w:val="24"/>
          <w:szCs w:val="22"/>
          <w:lang w:val="en-US" w:eastAsia="zh-CN"/>
        </w:rPr>
        <w:t>还田</w:t>
      </w:r>
      <w:r>
        <w:rPr>
          <w:rFonts w:hint="eastAsia" w:ascii="Times New Roman" w:hAnsi="Times New Roman" w:eastAsia="宋体" w:cs="Times New Roman"/>
          <w:color w:val="000000"/>
          <w:sz w:val="24"/>
          <w:szCs w:val="22"/>
          <w:lang w:val="en-US" w:eastAsia="zh-CN"/>
        </w:rPr>
        <w:t>土壤环境质量造成显著影响。</w:t>
      </w:r>
    </w:p>
    <w:p w14:paraId="743467A8">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000000"/>
          <w:sz w:val="24"/>
          <w:szCs w:val="2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0028A10F">
      <w:pPr>
        <w:pageBreakBefore w:val="0"/>
        <w:widowControl/>
        <w:kinsoku/>
        <w:wordWrap/>
        <w:topLinePunct w:val="0"/>
        <w:autoSpaceDE/>
        <w:autoSpaceDN/>
        <w:bidi w:val="0"/>
        <w:adjustRightInd/>
        <w:snapToGrid/>
        <w:spacing w:line="360" w:lineRule="auto"/>
        <w:jc w:val="both"/>
        <w:outlineLvl w:val="0"/>
        <w:rPr>
          <w:rFonts w:hint="default" w:ascii="Times New Roman" w:hAnsi="Times New Roman" w:eastAsia="宋体" w:cs="Times New Roman"/>
          <w:b/>
          <w:kern w:val="2"/>
          <w:sz w:val="32"/>
          <w:szCs w:val="32"/>
          <w:lang w:val="en-US" w:eastAsia="zh-CN" w:bidi="ar-SA"/>
        </w:rPr>
      </w:pPr>
      <w:bookmarkStart w:id="605" w:name="_Toc12396"/>
      <w:bookmarkStart w:id="606" w:name="_Toc30666"/>
      <w:bookmarkStart w:id="607" w:name="_Toc25981"/>
      <w:bookmarkStart w:id="608" w:name="_Toc27144"/>
      <w:r>
        <w:rPr>
          <w:rFonts w:hint="default" w:ascii="Times New Roman" w:hAnsi="Times New Roman" w:eastAsia="宋体" w:cs="Times New Roman"/>
          <w:b/>
          <w:kern w:val="2"/>
          <w:sz w:val="32"/>
          <w:szCs w:val="32"/>
          <w:lang w:val="en-US" w:eastAsia="zh-CN" w:bidi="ar-SA"/>
        </w:rPr>
        <w:t>6、环境风险评价</w:t>
      </w:r>
      <w:bookmarkEnd w:id="605"/>
      <w:bookmarkEnd w:id="606"/>
      <w:bookmarkEnd w:id="607"/>
      <w:bookmarkEnd w:id="608"/>
    </w:p>
    <w:p w14:paraId="664FE742">
      <w:pPr>
        <w:pageBreakBefore w:val="0"/>
        <w:widowControl w:val="0"/>
        <w:kinsoku/>
        <w:wordWrap/>
        <w:topLinePunct w:val="0"/>
        <w:autoSpaceDE/>
        <w:autoSpaceDN/>
        <w:bidi w:val="0"/>
        <w:adjustRightInd/>
        <w:snapToGrid/>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609" w:name="_Toc2151"/>
      <w:bookmarkStart w:id="610" w:name="_Toc21192"/>
      <w:bookmarkStart w:id="611" w:name="_Toc27952"/>
      <w:bookmarkStart w:id="612" w:name="_Toc9750"/>
      <w:bookmarkStart w:id="613" w:name="_Toc13716"/>
      <w:bookmarkStart w:id="614" w:name="_Toc318901401"/>
      <w:bookmarkStart w:id="615" w:name="_Toc337673477"/>
      <w:bookmarkStart w:id="616" w:name="_Toc28563_WPSOffice_Level3"/>
      <w:bookmarkStart w:id="617" w:name="_Toc472451916"/>
      <w:r>
        <w:rPr>
          <w:rFonts w:hint="default" w:ascii="Times New Roman" w:hAnsi="Times New Roman" w:eastAsia="宋体" w:cs="Times New Roman"/>
          <w:b/>
          <w:bCs/>
          <w:kern w:val="2"/>
          <w:sz w:val="30"/>
          <w:szCs w:val="30"/>
          <w:lang w:val="en-US" w:eastAsia="zh-CN" w:bidi="ar-SA"/>
        </w:rPr>
        <w:t>6.1风险评价目的</w:t>
      </w:r>
      <w:bookmarkEnd w:id="609"/>
      <w:bookmarkEnd w:id="610"/>
      <w:bookmarkEnd w:id="611"/>
      <w:bookmarkEnd w:id="612"/>
      <w:bookmarkEnd w:id="613"/>
      <w:bookmarkEnd w:id="614"/>
      <w:bookmarkEnd w:id="615"/>
      <w:bookmarkEnd w:id="616"/>
      <w:bookmarkEnd w:id="617"/>
    </w:p>
    <w:p w14:paraId="594F8630">
      <w:pPr>
        <w:spacing w:line="360" w:lineRule="auto"/>
        <w:ind w:firstLine="472" w:firstLineChars="200"/>
        <w:rPr>
          <w:rFonts w:ascii="Times New Roman" w:hAnsi="Times New Roman" w:eastAsia="宋体" w:cs="Times New Roman"/>
          <w:color w:val="000000"/>
          <w:spacing w:val="-2"/>
          <w:kern w:val="2"/>
          <w:sz w:val="24"/>
          <w:szCs w:val="22"/>
          <w:highlight w:val="none"/>
        </w:rPr>
      </w:pPr>
      <w:bookmarkStart w:id="618" w:name="_Toc310946034"/>
      <w:bookmarkStart w:id="619" w:name="_Toc450924031"/>
      <w:bookmarkStart w:id="620" w:name="_Toc472451917"/>
      <w:bookmarkStart w:id="621" w:name="_Toc10447_WPSOffice_Level3"/>
      <w:r>
        <w:rPr>
          <w:rFonts w:hint="default" w:ascii="Times New Roman" w:hAnsi="Times New Roman" w:eastAsia="宋体" w:cs="Times New Roman"/>
          <w:color w:val="000000"/>
          <w:spacing w:val="-2"/>
          <w:kern w:val="2"/>
          <w:sz w:val="24"/>
          <w:szCs w:val="22"/>
          <w:highlight w:val="none"/>
        </w:rPr>
        <w:t>环境风险是指突发性事故造成的重大</w:t>
      </w:r>
      <w:r>
        <w:rPr>
          <w:rFonts w:hint="eastAsia" w:ascii="Times New Roman" w:hAnsi="Times New Roman" w:eastAsia="宋体" w:cs="Times New Roman"/>
          <w:color w:val="000000"/>
          <w:spacing w:val="-2"/>
          <w:kern w:val="2"/>
          <w:sz w:val="24"/>
          <w:szCs w:val="22"/>
          <w:highlight w:val="none"/>
          <w:lang w:eastAsia="zh-CN"/>
        </w:rPr>
        <w:t>环境污染</w:t>
      </w:r>
      <w:r>
        <w:rPr>
          <w:rFonts w:hint="default" w:ascii="Times New Roman" w:hAnsi="Times New Roman" w:eastAsia="宋体" w:cs="Times New Roman"/>
          <w:color w:val="000000"/>
          <w:spacing w:val="-2"/>
          <w:kern w:val="2"/>
          <w:sz w:val="24"/>
          <w:szCs w:val="22"/>
          <w:highlight w:val="none"/>
        </w:rPr>
        <w:t>事件，其特点是危害大、影响范围广、发生概率具有很大的不确定性。环境风险评价的目的是分析和预测本项目存在的潜在危险、有害因素</w:t>
      </w:r>
      <w:r>
        <w:rPr>
          <w:rFonts w:hint="eastAsia" w:ascii="Times New Roman" w:hAnsi="Times New Roman" w:eastAsia="宋体" w:cs="Times New Roman"/>
          <w:color w:val="000000"/>
          <w:spacing w:val="-2"/>
          <w:kern w:val="2"/>
          <w:sz w:val="24"/>
          <w:szCs w:val="22"/>
          <w:highlight w:val="none"/>
          <w:lang w:eastAsia="zh-CN"/>
        </w:rPr>
        <w:t>，对</w:t>
      </w:r>
      <w:r>
        <w:rPr>
          <w:rFonts w:hint="default" w:ascii="Times New Roman" w:hAnsi="Times New Roman" w:eastAsia="宋体" w:cs="Times New Roman"/>
          <w:color w:val="000000"/>
          <w:spacing w:val="-2"/>
          <w:kern w:val="2"/>
          <w:sz w:val="24"/>
          <w:szCs w:val="22"/>
          <w:highlight w:val="none"/>
        </w:rPr>
        <w:t>项目建设和运行期间可能发生的突发性事件或事故（一般不包括人为破坏及自然灾害），引起有毒有害和易燃易爆等物质泄漏，所造成的人身安全、环境影响及其损害程度，提出合理可行的防范、应急与减缓措施，以使建设项目事故率、损失和环境影响达到可接受水平。</w:t>
      </w:r>
    </w:p>
    <w:p w14:paraId="6626A206">
      <w:pPr>
        <w:spacing w:line="360" w:lineRule="auto"/>
        <w:ind w:firstLine="472" w:firstLineChars="200"/>
        <w:rPr>
          <w:rFonts w:ascii="Times New Roman" w:hAnsi="Times New Roman" w:eastAsia="宋体" w:cs="Times New Roman"/>
          <w:color w:val="000000"/>
          <w:spacing w:val="-2"/>
          <w:kern w:val="2"/>
          <w:sz w:val="24"/>
          <w:szCs w:val="22"/>
          <w:highlight w:val="none"/>
        </w:rPr>
      </w:pPr>
      <w:r>
        <w:rPr>
          <w:rFonts w:ascii="Times New Roman" w:hAnsi="Times New Roman" w:eastAsia="宋体" w:cs="Times New Roman"/>
          <w:color w:val="000000"/>
          <w:spacing w:val="-2"/>
          <w:kern w:val="2"/>
          <w:sz w:val="24"/>
          <w:szCs w:val="22"/>
          <w:highlight w:val="none"/>
        </w:rPr>
        <w:t>根据《建设项目环境风险评价技术导则》（HJ169-2018）和《关于防范环境风险加强环境影响评价管理的通知》，项目实施后环境风险评价的基本内容包括风险调查、环境风险潜势初判、风险识别、风险事故情形分析、风险预测与评价、环境风险管理等</w:t>
      </w:r>
      <w:r>
        <w:rPr>
          <w:rFonts w:hint="eastAsia" w:ascii="Times New Roman" w:hAnsi="Times New Roman" w:eastAsia="宋体" w:cs="Times New Roman"/>
          <w:color w:val="000000"/>
          <w:spacing w:val="-2"/>
          <w:kern w:val="2"/>
          <w:sz w:val="24"/>
          <w:szCs w:val="22"/>
          <w:highlight w:val="none"/>
          <w:lang w:eastAsia="zh-CN"/>
        </w:rPr>
        <w:t>，</w:t>
      </w:r>
      <w:r>
        <w:rPr>
          <w:rFonts w:ascii="Times New Roman" w:hAnsi="Times New Roman" w:eastAsia="宋体" w:cs="Times New Roman"/>
          <w:color w:val="000000"/>
          <w:spacing w:val="-2"/>
          <w:kern w:val="2"/>
          <w:sz w:val="24"/>
          <w:szCs w:val="22"/>
          <w:highlight w:val="none"/>
        </w:rPr>
        <w:t>具体如下：</w:t>
      </w:r>
    </w:p>
    <w:p w14:paraId="3E2927C0">
      <w:pPr>
        <w:spacing w:line="360" w:lineRule="auto"/>
        <w:ind w:firstLine="472" w:firstLineChars="200"/>
        <w:rPr>
          <w:rFonts w:ascii="Times New Roman" w:hAnsi="Times New Roman" w:eastAsia="宋体" w:cs="Times New Roman"/>
          <w:color w:val="000000"/>
          <w:spacing w:val="-2"/>
          <w:kern w:val="2"/>
          <w:sz w:val="24"/>
          <w:szCs w:val="22"/>
          <w:highlight w:val="none"/>
        </w:rPr>
      </w:pPr>
      <w:r>
        <w:rPr>
          <w:rFonts w:ascii="Times New Roman" w:hAnsi="Times New Roman" w:eastAsia="宋体" w:cs="Times New Roman"/>
          <w:color w:val="000000"/>
          <w:spacing w:val="-2"/>
          <w:kern w:val="2"/>
          <w:sz w:val="24"/>
          <w:szCs w:val="22"/>
          <w:highlight w:val="none"/>
        </w:rPr>
        <w:t>（1）项目风险调查。在分析建设项目物质及工艺系统危险性和环境敏感性的基础下，进行风险潜势的判断，确定风险评价等级。</w:t>
      </w:r>
    </w:p>
    <w:p w14:paraId="7C36F1E9">
      <w:pPr>
        <w:spacing w:line="360" w:lineRule="auto"/>
        <w:ind w:firstLine="472" w:firstLineChars="200"/>
        <w:rPr>
          <w:rFonts w:ascii="Times New Roman" w:hAnsi="Times New Roman" w:eastAsia="宋体" w:cs="Times New Roman"/>
          <w:color w:val="000000"/>
          <w:spacing w:val="-2"/>
          <w:kern w:val="2"/>
          <w:sz w:val="24"/>
          <w:szCs w:val="22"/>
          <w:highlight w:val="none"/>
        </w:rPr>
      </w:pPr>
      <w:r>
        <w:rPr>
          <w:rFonts w:ascii="Times New Roman" w:hAnsi="Times New Roman" w:eastAsia="宋体" w:cs="Times New Roman"/>
          <w:color w:val="000000"/>
          <w:spacing w:val="-2"/>
          <w:kern w:val="2"/>
          <w:sz w:val="24"/>
          <w:szCs w:val="22"/>
          <w:highlight w:val="none"/>
        </w:rPr>
        <w:t>（2）项目风险识别及风险事故情形分析。明确危险物质在生产系统中的主要分布，筛选具有代表性的风险事故情形，合理设定事故源项。</w:t>
      </w:r>
    </w:p>
    <w:p w14:paraId="1E376D58">
      <w:pPr>
        <w:spacing w:line="360" w:lineRule="auto"/>
        <w:ind w:firstLine="472" w:firstLineChars="200"/>
        <w:rPr>
          <w:rFonts w:ascii="Times New Roman" w:hAnsi="Times New Roman" w:eastAsia="宋体" w:cs="Times New Roman"/>
          <w:color w:val="000000"/>
          <w:spacing w:val="-2"/>
          <w:kern w:val="2"/>
          <w:sz w:val="24"/>
          <w:szCs w:val="22"/>
          <w:highlight w:val="none"/>
        </w:rPr>
      </w:pPr>
      <w:r>
        <w:rPr>
          <w:rFonts w:ascii="Times New Roman" w:hAnsi="Times New Roman" w:eastAsia="宋体" w:cs="Times New Roman"/>
          <w:color w:val="000000"/>
          <w:spacing w:val="-2"/>
          <w:kern w:val="2"/>
          <w:sz w:val="24"/>
          <w:szCs w:val="22"/>
          <w:highlight w:val="none"/>
        </w:rPr>
        <w:t>（3）开展预测评价。各环境要素按确定的评价工作等级分别预测评价，并分析说明环境风险危害范围与程度，提出环境风险防范的基本要求。</w:t>
      </w:r>
    </w:p>
    <w:p w14:paraId="2EFB17AF">
      <w:pPr>
        <w:spacing w:line="360" w:lineRule="auto"/>
        <w:ind w:firstLine="472" w:firstLineChars="200"/>
        <w:rPr>
          <w:rFonts w:ascii="Times New Roman" w:hAnsi="Times New Roman" w:eastAsia="宋体" w:cs="Times New Roman"/>
          <w:color w:val="000000"/>
          <w:spacing w:val="-2"/>
          <w:kern w:val="2"/>
          <w:sz w:val="24"/>
          <w:szCs w:val="22"/>
          <w:highlight w:val="none"/>
        </w:rPr>
      </w:pPr>
      <w:r>
        <w:rPr>
          <w:rFonts w:ascii="Times New Roman" w:hAnsi="Times New Roman" w:eastAsia="宋体" w:cs="Times New Roman"/>
          <w:color w:val="000000"/>
          <w:spacing w:val="-2"/>
          <w:kern w:val="2"/>
          <w:sz w:val="24"/>
          <w:szCs w:val="22"/>
          <w:highlight w:val="none"/>
        </w:rPr>
        <w:t>（4）提出环境风险管理对策，明确环境风险防范措施及突发环境事件应急预案编制要求。</w:t>
      </w:r>
    </w:p>
    <w:p w14:paraId="6359D565">
      <w:pPr>
        <w:widowControl w:val="0"/>
        <w:spacing w:line="360" w:lineRule="auto"/>
        <w:ind w:firstLine="472" w:firstLineChars="200"/>
        <w:jc w:val="both"/>
        <w:rPr>
          <w:rFonts w:hint="default" w:ascii="Times New Roman" w:hAnsi="Times New Roman" w:eastAsia="宋体" w:cs="Times New Roman"/>
          <w:color w:val="000000"/>
          <w:sz w:val="24"/>
          <w:szCs w:val="24"/>
        </w:rPr>
      </w:pPr>
      <w:r>
        <w:rPr>
          <w:rFonts w:ascii="Times New Roman" w:hAnsi="Times New Roman" w:eastAsia="宋体" w:cs="Times New Roman"/>
          <w:color w:val="000000"/>
          <w:spacing w:val="-2"/>
          <w:kern w:val="2"/>
          <w:sz w:val="24"/>
          <w:szCs w:val="24"/>
          <w:highlight w:val="none"/>
          <w:lang w:val="en-US" w:eastAsia="zh-CN" w:bidi="ar-SA"/>
        </w:rPr>
        <w:t>（5）综合环境风险评价过程，给出评价结论与建议</w:t>
      </w:r>
      <w:r>
        <w:rPr>
          <w:rFonts w:hint="default" w:ascii="Times New Roman" w:hAnsi="Times New Roman" w:eastAsia="宋体" w:cs="Times New Roman"/>
          <w:color w:val="000000"/>
          <w:sz w:val="24"/>
          <w:szCs w:val="24"/>
        </w:rPr>
        <w:t>。</w:t>
      </w:r>
    </w:p>
    <w:p w14:paraId="7CE0FAFD">
      <w:pPr>
        <w:keepNext w:val="0"/>
        <w:keepLines w:val="0"/>
        <w:widowControl w:val="0"/>
        <w:spacing w:before="0" w:after="0" w:line="360" w:lineRule="auto"/>
        <w:jc w:val="both"/>
        <w:outlineLvl w:val="2"/>
        <w:rPr>
          <w:rFonts w:ascii="Times New Roman" w:hAnsi="Times New Roman" w:eastAsia="宋体" w:cs="Times New Roman"/>
          <w:b/>
          <w:bCs/>
          <w:color w:val="000000"/>
          <w:kern w:val="2"/>
          <w:sz w:val="28"/>
          <w:szCs w:val="28"/>
          <w:highlight w:val="none"/>
          <w:lang w:val="en-US" w:eastAsia="zh-CN" w:bidi="ar-SA"/>
        </w:rPr>
      </w:pPr>
      <w:bookmarkStart w:id="622" w:name="_Toc9071"/>
      <w:bookmarkStart w:id="623" w:name="_Toc810"/>
      <w:bookmarkStart w:id="624" w:name="_Toc19812"/>
      <w:r>
        <w:rPr>
          <w:rFonts w:hint="eastAsia" w:ascii="Times New Roman" w:hAnsi="Times New Roman" w:eastAsia="宋体" w:cs="Times New Roman"/>
          <w:b/>
          <w:bCs/>
          <w:color w:val="000000"/>
          <w:kern w:val="2"/>
          <w:sz w:val="28"/>
          <w:szCs w:val="28"/>
          <w:highlight w:val="none"/>
          <w:lang w:val="en-US" w:eastAsia="zh-CN" w:bidi="ar-SA"/>
        </w:rPr>
        <w:t>6.1</w:t>
      </w:r>
      <w:r>
        <w:rPr>
          <w:rFonts w:ascii="Times New Roman" w:hAnsi="Times New Roman" w:eastAsia="宋体" w:cs="Times New Roman"/>
          <w:b/>
          <w:bCs/>
          <w:color w:val="000000"/>
          <w:kern w:val="2"/>
          <w:sz w:val="28"/>
          <w:szCs w:val="28"/>
          <w:highlight w:val="none"/>
          <w:lang w:val="en-US" w:eastAsia="zh-CN" w:bidi="ar-SA"/>
        </w:rPr>
        <w:t>.1评价原则</w:t>
      </w:r>
    </w:p>
    <w:p w14:paraId="112FF245">
      <w:pPr>
        <w:spacing w:line="360" w:lineRule="auto"/>
        <w:ind w:firstLine="472" w:firstLineChars="200"/>
        <w:rPr>
          <w:rFonts w:ascii="Times New Roman" w:hAnsi="Times New Roman" w:eastAsia="宋体" w:cs="Times New Roman"/>
          <w:color w:val="000000"/>
          <w:spacing w:val="-2"/>
          <w:kern w:val="2"/>
          <w:sz w:val="24"/>
          <w:szCs w:val="22"/>
          <w:highlight w:val="none"/>
        </w:rPr>
      </w:pPr>
      <w:r>
        <w:rPr>
          <w:rFonts w:ascii="Times New Roman" w:hAnsi="Times New Roman" w:eastAsia="宋体" w:cs="Times New Roman"/>
          <w:color w:val="000000"/>
          <w:spacing w:val="-2"/>
          <w:kern w:val="2"/>
          <w:sz w:val="24"/>
          <w:szCs w:val="22"/>
          <w:highlight w:val="none"/>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53520340">
      <w:pPr>
        <w:keepNext w:val="0"/>
        <w:keepLines w:val="0"/>
        <w:widowControl w:val="0"/>
        <w:spacing w:before="0" w:after="0" w:line="360" w:lineRule="auto"/>
        <w:jc w:val="both"/>
        <w:outlineLvl w:val="2"/>
        <w:rPr>
          <w:rFonts w:ascii="Times New Roman" w:hAnsi="Times New Roman" w:eastAsia="宋体" w:cs="Times New Roman"/>
          <w:b/>
          <w:bCs/>
          <w:color w:val="000000"/>
          <w:kern w:val="2"/>
          <w:sz w:val="28"/>
          <w:szCs w:val="28"/>
          <w:highlight w:val="none"/>
          <w:lang w:val="en-US" w:eastAsia="zh-CN" w:bidi="ar-SA"/>
        </w:rPr>
      </w:pPr>
      <w:r>
        <w:rPr>
          <w:rFonts w:hint="eastAsia" w:ascii="Times New Roman" w:hAnsi="Times New Roman" w:eastAsia="宋体" w:cs="Times New Roman"/>
          <w:b/>
          <w:bCs/>
          <w:color w:val="000000"/>
          <w:kern w:val="2"/>
          <w:sz w:val="28"/>
          <w:szCs w:val="28"/>
          <w:highlight w:val="none"/>
          <w:lang w:val="en-US" w:eastAsia="zh-CN" w:bidi="ar-SA"/>
        </w:rPr>
        <w:t>6.</w:t>
      </w:r>
      <w:r>
        <w:rPr>
          <w:rFonts w:ascii="Times New Roman" w:hAnsi="Times New Roman" w:eastAsia="宋体" w:cs="Times New Roman"/>
          <w:b/>
          <w:bCs/>
          <w:color w:val="000000"/>
          <w:kern w:val="2"/>
          <w:sz w:val="28"/>
          <w:szCs w:val="28"/>
          <w:highlight w:val="none"/>
          <w:lang w:val="en-US" w:eastAsia="zh-CN" w:bidi="ar-SA"/>
        </w:rPr>
        <w:t>1.2评价工作程序</w:t>
      </w:r>
    </w:p>
    <w:p w14:paraId="30AADADA">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根据《建设项目环境风险评价技术导则》（HJ169-2018），环境风险评价程序详见下图6.1-1。</w:t>
      </w:r>
    </w:p>
    <w:p w14:paraId="49C3D5E9">
      <w:pPr>
        <w:widowControl w:val="0"/>
        <w:spacing w:line="360" w:lineRule="auto"/>
        <w:ind w:left="0" w:lef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华文仿宋"/>
          <w:color w:val="000000"/>
          <w:kern w:val="2"/>
          <w:sz w:val="24"/>
          <w:szCs w:val="24"/>
          <w:highlight w:val="none"/>
          <w:lang w:val="en-US" w:eastAsia="zh-CN" w:bidi="ar-SA"/>
        </w:rPr>
        <w:drawing>
          <wp:inline distT="0" distB="0" distL="114300" distR="114300">
            <wp:extent cx="4771390" cy="4840605"/>
            <wp:effectExtent l="0" t="0" r="10160" b="17145"/>
            <wp:docPr id="558" name="图片 558"/>
            <wp:cNvGraphicFramePr/>
            <a:graphic xmlns:a="http://schemas.openxmlformats.org/drawingml/2006/main">
              <a:graphicData uri="http://schemas.openxmlformats.org/drawingml/2006/picture">
                <pic:pic xmlns:pic="http://schemas.openxmlformats.org/drawingml/2006/picture">
                  <pic:nvPicPr>
                    <pic:cNvPr id="558" name="图片 558"/>
                    <pic:cNvPicPr/>
                  </pic:nvPicPr>
                  <pic:blipFill>
                    <a:blip r:embed="rId63"/>
                    <a:stretch>
                      <a:fillRect/>
                    </a:stretch>
                  </pic:blipFill>
                  <pic:spPr>
                    <a:xfrm>
                      <a:off x="0" y="0"/>
                      <a:ext cx="4771390" cy="4840605"/>
                    </a:xfrm>
                    <a:prstGeom prst="rect">
                      <a:avLst/>
                    </a:prstGeom>
                    <a:noFill/>
                    <a:ln>
                      <a:noFill/>
                    </a:ln>
                  </pic:spPr>
                </pic:pic>
              </a:graphicData>
            </a:graphic>
          </wp:inline>
        </w:drawing>
      </w:r>
    </w:p>
    <w:p w14:paraId="0907689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000000"/>
          <w:kern w:val="2"/>
          <w:sz w:val="24"/>
          <w:szCs w:val="24"/>
          <w:highlight w:val="none"/>
          <w:lang w:val="en-US" w:eastAsia="zh-CN" w:bidi="ar-SA"/>
        </w:rPr>
        <w:t>图</w:t>
      </w:r>
      <w:r>
        <w:rPr>
          <w:rFonts w:hint="eastAsia" w:ascii="Times New Roman" w:hAnsi="Times New Roman" w:eastAsia="宋体" w:cs="Times New Roman"/>
          <w:b/>
          <w:bCs/>
          <w:color w:val="000000"/>
          <w:kern w:val="2"/>
          <w:sz w:val="24"/>
          <w:szCs w:val="24"/>
          <w:highlight w:val="none"/>
          <w:lang w:val="en-US" w:eastAsia="zh-CN" w:bidi="ar-SA"/>
        </w:rPr>
        <w:t>6.1-1</w:t>
      </w:r>
      <w:r>
        <w:rPr>
          <w:rFonts w:hint="default" w:ascii="Times New Roman" w:hAnsi="Times New Roman" w:eastAsia="宋体" w:cs="Times New Roman"/>
          <w:b/>
          <w:bCs/>
          <w:color w:val="000000"/>
          <w:kern w:val="2"/>
          <w:sz w:val="24"/>
          <w:szCs w:val="24"/>
          <w:highlight w:val="none"/>
          <w:lang w:val="en-US" w:eastAsia="zh-CN" w:bidi="ar-SA"/>
        </w:rPr>
        <w:t>环境风险评价工作程序图</w:t>
      </w:r>
    </w:p>
    <w:p w14:paraId="66050389">
      <w:pPr>
        <w:keepNext w:val="0"/>
        <w:keepLines w:val="0"/>
        <w:widowControl w:val="0"/>
        <w:spacing w:before="0" w:after="0" w:line="360" w:lineRule="auto"/>
        <w:jc w:val="both"/>
        <w:outlineLvl w:val="2"/>
        <w:rPr>
          <w:rFonts w:hint="default" w:ascii="Times New Roman" w:hAnsi="Times New Roman" w:eastAsia="宋体" w:cs="Times New Roman"/>
          <w:b/>
          <w:bCs/>
          <w:color w:val="000000"/>
          <w:kern w:val="2"/>
          <w:sz w:val="28"/>
          <w:szCs w:val="28"/>
          <w:highlight w:val="none"/>
          <w:lang w:val="en-US" w:eastAsia="zh-CN" w:bidi="ar-SA"/>
        </w:rPr>
      </w:pPr>
      <w:r>
        <w:rPr>
          <w:rFonts w:hint="eastAsia" w:ascii="Times New Roman" w:hAnsi="Times New Roman" w:eastAsia="宋体" w:cs="Times New Roman"/>
          <w:b/>
          <w:bCs/>
          <w:color w:val="000000"/>
          <w:kern w:val="2"/>
          <w:sz w:val="28"/>
          <w:szCs w:val="28"/>
          <w:highlight w:val="none"/>
          <w:lang w:val="en-US" w:eastAsia="zh-CN" w:bidi="ar-SA"/>
        </w:rPr>
        <w:t>6.1.3</w:t>
      </w:r>
      <w:bookmarkEnd w:id="622"/>
      <w:bookmarkEnd w:id="623"/>
      <w:bookmarkEnd w:id="624"/>
      <w:r>
        <w:rPr>
          <w:rFonts w:hint="eastAsia" w:ascii="Times New Roman" w:hAnsi="Times New Roman" w:eastAsia="宋体" w:cs="Times New Roman"/>
          <w:b/>
          <w:bCs/>
          <w:color w:val="000000"/>
          <w:kern w:val="2"/>
          <w:sz w:val="28"/>
          <w:szCs w:val="28"/>
          <w:highlight w:val="none"/>
          <w:lang w:val="en-US" w:eastAsia="zh-CN" w:bidi="ar-SA"/>
        </w:rPr>
        <w:t>环境风险潜势初判</w:t>
      </w:r>
    </w:p>
    <w:p w14:paraId="3C4D4292">
      <w:pPr>
        <w:spacing w:line="360" w:lineRule="auto"/>
        <w:outlineLvl w:val="3"/>
        <w:rPr>
          <w:rFonts w:hint="default" w:ascii="Times New Roman" w:hAnsi="Times New Roman" w:eastAsia="宋体" w:cs="Times New Roman"/>
          <w:b/>
          <w:color w:val="000000"/>
          <w:sz w:val="24"/>
          <w:lang w:val="en-US" w:eastAsia="zh-CN"/>
        </w:rPr>
      </w:pPr>
      <w:r>
        <w:rPr>
          <w:rFonts w:hint="eastAsia" w:ascii="Times New Roman" w:hAnsi="Times New Roman" w:eastAsia="宋体" w:cs="Times New Roman"/>
          <w:b/>
          <w:color w:val="000000"/>
          <w:sz w:val="24"/>
          <w:lang w:val="en-US" w:eastAsia="zh-CN"/>
        </w:rPr>
        <w:t>6.1.3.1</w:t>
      </w:r>
      <w:r>
        <w:rPr>
          <w:rFonts w:hint="default" w:ascii="Times New Roman" w:hAnsi="Times New Roman" w:eastAsia="宋体" w:cs="Times New Roman"/>
          <w:b/>
          <w:color w:val="000000"/>
          <w:sz w:val="24"/>
          <w:lang w:val="en-US" w:eastAsia="zh-CN"/>
        </w:rPr>
        <w:t>重大危险源识别</w:t>
      </w:r>
    </w:p>
    <w:p w14:paraId="3BBDC4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val="0"/>
          <w:kern w:val="2"/>
          <w:sz w:val="24"/>
          <w:szCs w:val="24"/>
          <w:lang w:val="en-US" w:eastAsia="zh-CN" w:bidi="ar-SA"/>
        </w:rPr>
      </w:pPr>
      <w:r>
        <w:rPr>
          <w:rFonts w:hint="default" w:ascii="Times New Roman" w:hAnsi="Times New Roman" w:eastAsia="宋体" w:cs="Times New Roman"/>
          <w:bCs w:val="0"/>
          <w:kern w:val="2"/>
          <w:sz w:val="24"/>
          <w:szCs w:val="24"/>
          <w:lang w:val="en-US" w:eastAsia="zh-CN" w:bidi="ar-SA"/>
        </w:rPr>
        <w:t>重大危险源指长期地或临时地生产、加工、运输、使用或贮存危险物质，且危险物质的数量等于或超过临界量的单元。单元指一个（套）生产装置、设施或场所，或同属一个工厂且边缘距离小于500m的几个（套）生产装置、设施或场所。每一个功能单元要有边界和特定的功能，在泄漏事故中</w:t>
      </w:r>
      <w:r>
        <w:rPr>
          <w:rFonts w:hint="eastAsia" w:ascii="Times New Roman" w:hAnsi="Times New Roman" w:eastAsia="宋体" w:cs="Times New Roman"/>
          <w:bCs w:val="0"/>
          <w:kern w:val="2"/>
          <w:sz w:val="24"/>
          <w:szCs w:val="24"/>
          <w:lang w:val="en-US" w:eastAsia="zh-CN" w:bidi="ar-SA"/>
        </w:rPr>
        <w:t>能够</w:t>
      </w:r>
      <w:r>
        <w:rPr>
          <w:rFonts w:hint="default" w:ascii="Times New Roman" w:hAnsi="Times New Roman" w:eastAsia="宋体" w:cs="Times New Roman"/>
          <w:bCs w:val="0"/>
          <w:kern w:val="2"/>
          <w:sz w:val="24"/>
          <w:szCs w:val="24"/>
          <w:lang w:val="en-US" w:eastAsia="zh-CN" w:bidi="ar-SA"/>
        </w:rPr>
        <w:t>与</w:t>
      </w:r>
      <w:r>
        <w:rPr>
          <w:rFonts w:hint="eastAsia" w:ascii="Times New Roman" w:hAnsi="Times New Roman" w:eastAsia="宋体" w:cs="Times New Roman"/>
          <w:bCs w:val="0"/>
          <w:kern w:val="2"/>
          <w:sz w:val="24"/>
          <w:szCs w:val="24"/>
          <w:lang w:val="en-US" w:eastAsia="zh-CN" w:bidi="ar-SA"/>
        </w:rPr>
        <w:t>其他</w:t>
      </w:r>
      <w:r>
        <w:rPr>
          <w:rFonts w:hint="default" w:ascii="Times New Roman" w:hAnsi="Times New Roman" w:eastAsia="宋体" w:cs="Times New Roman"/>
          <w:bCs w:val="0"/>
          <w:kern w:val="2"/>
          <w:sz w:val="24"/>
          <w:szCs w:val="24"/>
          <w:lang w:val="en-US" w:eastAsia="zh-CN" w:bidi="ar-SA"/>
        </w:rPr>
        <w:t>单元分隔开的地方。</w:t>
      </w:r>
    </w:p>
    <w:p w14:paraId="46554D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val="0"/>
          <w:kern w:val="2"/>
          <w:sz w:val="24"/>
          <w:szCs w:val="24"/>
          <w:lang w:val="en-US" w:eastAsia="zh-CN" w:bidi="ar-SA"/>
        </w:rPr>
      </w:pPr>
      <w:r>
        <w:rPr>
          <w:rFonts w:hint="default" w:ascii="Times New Roman" w:hAnsi="Times New Roman" w:eastAsia="宋体" w:cs="Times New Roman"/>
          <w:bCs w:val="0"/>
          <w:kern w:val="2"/>
          <w:sz w:val="24"/>
          <w:szCs w:val="24"/>
          <w:lang w:val="en-US" w:eastAsia="zh-CN" w:bidi="ar-SA"/>
        </w:rPr>
        <w:t>根据GB18218-20</w:t>
      </w:r>
      <w:r>
        <w:rPr>
          <w:rFonts w:hint="eastAsia" w:ascii="Times New Roman" w:hAnsi="Times New Roman" w:eastAsia="宋体" w:cs="Times New Roman"/>
          <w:bCs w:val="0"/>
          <w:kern w:val="2"/>
          <w:sz w:val="24"/>
          <w:szCs w:val="24"/>
          <w:lang w:val="en-US" w:eastAsia="zh-CN" w:bidi="ar-SA"/>
        </w:rPr>
        <w:t>18《</w:t>
      </w:r>
      <w:r>
        <w:rPr>
          <w:rFonts w:hint="default" w:ascii="Times New Roman" w:hAnsi="Times New Roman" w:eastAsia="宋体" w:cs="Times New Roman"/>
          <w:bCs w:val="0"/>
          <w:kern w:val="2"/>
          <w:sz w:val="24"/>
          <w:szCs w:val="24"/>
          <w:lang w:val="en-US" w:eastAsia="zh-CN" w:bidi="ar-SA"/>
        </w:rPr>
        <w:t>危险化学品重大危险源辨识》，功能单元内存在一种以上危险物质时，有下列公式：</w:t>
      </w:r>
    </w:p>
    <w:p w14:paraId="73221C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bCs w:val="0"/>
          <w:kern w:val="2"/>
          <w:sz w:val="24"/>
          <w:szCs w:val="24"/>
          <w:lang w:val="fr-FR" w:eastAsia="zh-CN" w:bidi="ar-SA"/>
        </w:rPr>
      </w:pPr>
      <w:r>
        <w:rPr>
          <w:rFonts w:hint="default" w:ascii="Times New Roman" w:hAnsi="Times New Roman" w:eastAsia="宋体" w:cs="Times New Roman"/>
          <w:bCs w:val="0"/>
          <w:kern w:val="2"/>
          <w:sz w:val="24"/>
          <w:szCs w:val="24"/>
          <w:lang w:val="fr-FR" w:eastAsia="zh-CN" w:bidi="ar-SA"/>
        </w:rPr>
        <w:t>q</w:t>
      </w:r>
      <w:r>
        <w:rPr>
          <w:rFonts w:hint="default" w:ascii="Times New Roman" w:hAnsi="Times New Roman" w:eastAsia="宋体" w:cs="Times New Roman"/>
          <w:bCs w:val="0"/>
          <w:kern w:val="2"/>
          <w:sz w:val="24"/>
          <w:szCs w:val="24"/>
          <w:vertAlign w:val="subscript"/>
          <w:lang w:val="fr-FR" w:eastAsia="zh-CN" w:bidi="ar-SA"/>
        </w:rPr>
        <w:t>1</w:t>
      </w:r>
      <w:r>
        <w:rPr>
          <w:rFonts w:hint="default" w:ascii="Times New Roman" w:hAnsi="Times New Roman" w:eastAsia="宋体" w:cs="Times New Roman"/>
          <w:bCs w:val="0"/>
          <w:kern w:val="2"/>
          <w:sz w:val="24"/>
          <w:szCs w:val="24"/>
          <w:lang w:val="fr-FR" w:eastAsia="zh-CN" w:bidi="ar-SA"/>
        </w:rPr>
        <w:t>/Q</w:t>
      </w:r>
      <w:r>
        <w:rPr>
          <w:rFonts w:hint="default" w:ascii="Times New Roman" w:hAnsi="Times New Roman" w:eastAsia="宋体" w:cs="Times New Roman"/>
          <w:bCs w:val="0"/>
          <w:kern w:val="2"/>
          <w:sz w:val="24"/>
          <w:szCs w:val="24"/>
          <w:vertAlign w:val="subscript"/>
          <w:lang w:val="fr-FR" w:eastAsia="zh-CN" w:bidi="ar-SA"/>
        </w:rPr>
        <w:t>1</w:t>
      </w:r>
      <w:r>
        <w:rPr>
          <w:rFonts w:hint="default" w:ascii="Times New Roman" w:hAnsi="Times New Roman" w:eastAsia="宋体" w:cs="Times New Roman"/>
          <w:bCs w:val="0"/>
          <w:kern w:val="2"/>
          <w:sz w:val="24"/>
          <w:szCs w:val="24"/>
          <w:lang w:val="fr-FR" w:eastAsia="zh-CN" w:bidi="ar-SA"/>
        </w:rPr>
        <w:t>+q</w:t>
      </w:r>
      <w:r>
        <w:rPr>
          <w:rFonts w:hint="default" w:ascii="Times New Roman" w:hAnsi="Times New Roman" w:eastAsia="宋体" w:cs="Times New Roman"/>
          <w:bCs w:val="0"/>
          <w:kern w:val="2"/>
          <w:sz w:val="24"/>
          <w:szCs w:val="24"/>
          <w:vertAlign w:val="subscript"/>
          <w:lang w:val="fr-FR" w:eastAsia="zh-CN" w:bidi="ar-SA"/>
        </w:rPr>
        <w:t>2</w:t>
      </w:r>
      <w:r>
        <w:rPr>
          <w:rFonts w:hint="default" w:ascii="Times New Roman" w:hAnsi="Times New Roman" w:eastAsia="宋体" w:cs="Times New Roman"/>
          <w:bCs w:val="0"/>
          <w:kern w:val="2"/>
          <w:sz w:val="24"/>
          <w:szCs w:val="24"/>
          <w:lang w:val="fr-FR" w:eastAsia="zh-CN" w:bidi="ar-SA"/>
        </w:rPr>
        <w:t>/Q</w:t>
      </w:r>
      <w:r>
        <w:rPr>
          <w:rFonts w:hint="default" w:ascii="Times New Roman" w:hAnsi="Times New Roman" w:eastAsia="宋体" w:cs="Times New Roman"/>
          <w:bCs w:val="0"/>
          <w:kern w:val="2"/>
          <w:sz w:val="24"/>
          <w:szCs w:val="24"/>
          <w:vertAlign w:val="subscript"/>
          <w:lang w:val="fr-FR" w:eastAsia="zh-CN" w:bidi="ar-SA"/>
        </w:rPr>
        <w:t>2</w:t>
      </w:r>
      <w:r>
        <w:rPr>
          <w:rFonts w:hint="default" w:ascii="Times New Roman" w:hAnsi="Times New Roman" w:eastAsia="宋体" w:cs="Times New Roman"/>
          <w:bCs w:val="0"/>
          <w:kern w:val="2"/>
          <w:sz w:val="24"/>
          <w:szCs w:val="24"/>
          <w:lang w:val="fr-FR" w:eastAsia="zh-CN" w:bidi="ar-SA"/>
        </w:rPr>
        <w:t>……+q</w:t>
      </w:r>
      <w:r>
        <w:rPr>
          <w:rFonts w:hint="default" w:ascii="Times New Roman" w:hAnsi="Times New Roman" w:eastAsia="宋体" w:cs="Times New Roman"/>
          <w:bCs w:val="0"/>
          <w:kern w:val="2"/>
          <w:sz w:val="24"/>
          <w:szCs w:val="24"/>
          <w:vertAlign w:val="subscript"/>
          <w:lang w:val="fr-FR" w:eastAsia="zh-CN" w:bidi="ar-SA"/>
        </w:rPr>
        <w:t>n</w:t>
      </w:r>
      <w:r>
        <w:rPr>
          <w:rFonts w:hint="default" w:ascii="Times New Roman" w:hAnsi="Times New Roman" w:eastAsia="宋体" w:cs="Times New Roman"/>
          <w:bCs w:val="0"/>
          <w:kern w:val="2"/>
          <w:sz w:val="24"/>
          <w:szCs w:val="24"/>
          <w:lang w:val="fr-FR" w:eastAsia="zh-CN" w:bidi="ar-SA"/>
        </w:rPr>
        <w:t>/Q</w:t>
      </w:r>
      <w:r>
        <w:rPr>
          <w:rFonts w:hint="default" w:ascii="Times New Roman" w:hAnsi="Times New Roman" w:eastAsia="宋体" w:cs="Times New Roman"/>
          <w:bCs w:val="0"/>
          <w:kern w:val="2"/>
          <w:sz w:val="24"/>
          <w:szCs w:val="24"/>
          <w:vertAlign w:val="subscript"/>
          <w:lang w:val="fr-FR" w:eastAsia="zh-CN" w:bidi="ar-SA"/>
        </w:rPr>
        <w:t>n</w:t>
      </w:r>
      <w:r>
        <w:rPr>
          <w:rFonts w:hint="default" w:ascii="Times New Roman" w:hAnsi="Times New Roman" w:eastAsia="宋体" w:cs="Times New Roman"/>
          <w:bCs w:val="0"/>
          <w:kern w:val="2"/>
          <w:sz w:val="24"/>
          <w:szCs w:val="24"/>
          <w:lang w:val="fr-FR" w:eastAsia="zh-CN" w:bidi="ar-SA"/>
        </w:rPr>
        <w:t>≥1</w:t>
      </w:r>
    </w:p>
    <w:p w14:paraId="53EEB2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val="0"/>
          <w:kern w:val="2"/>
          <w:sz w:val="24"/>
          <w:szCs w:val="24"/>
          <w:lang w:val="en-US" w:eastAsia="zh-CN" w:bidi="ar-SA"/>
        </w:rPr>
      </w:pPr>
      <w:r>
        <w:rPr>
          <w:rFonts w:hint="default" w:ascii="Times New Roman" w:hAnsi="Times New Roman" w:eastAsia="宋体" w:cs="Times New Roman"/>
          <w:bCs w:val="0"/>
          <w:kern w:val="2"/>
          <w:sz w:val="24"/>
          <w:szCs w:val="24"/>
          <w:lang w:val="en-US" w:eastAsia="zh-CN" w:bidi="ar-SA"/>
        </w:rPr>
        <w:t>式中：q</w:t>
      </w:r>
      <w:r>
        <w:rPr>
          <w:rFonts w:hint="default" w:ascii="Times New Roman" w:hAnsi="Times New Roman" w:eastAsia="宋体" w:cs="Times New Roman"/>
          <w:bCs w:val="0"/>
          <w:kern w:val="2"/>
          <w:sz w:val="24"/>
          <w:szCs w:val="24"/>
          <w:vertAlign w:val="subscript"/>
          <w:lang w:val="en-US" w:eastAsia="zh-CN" w:bidi="ar-SA"/>
        </w:rPr>
        <w:t>1</w:t>
      </w:r>
      <w:r>
        <w:rPr>
          <w:rFonts w:hint="default" w:ascii="Times New Roman" w:hAnsi="Times New Roman" w:eastAsia="宋体" w:cs="Times New Roman"/>
          <w:bCs w:val="0"/>
          <w:kern w:val="2"/>
          <w:sz w:val="24"/>
          <w:szCs w:val="24"/>
          <w:lang w:val="en-US" w:eastAsia="zh-CN" w:bidi="ar-SA"/>
        </w:rPr>
        <w:t>、q</w:t>
      </w:r>
      <w:r>
        <w:rPr>
          <w:rFonts w:hint="default" w:ascii="Times New Roman" w:hAnsi="Times New Roman" w:eastAsia="宋体" w:cs="Times New Roman"/>
          <w:bCs w:val="0"/>
          <w:kern w:val="2"/>
          <w:sz w:val="24"/>
          <w:szCs w:val="24"/>
          <w:vertAlign w:val="subscript"/>
          <w:lang w:val="en-US" w:eastAsia="zh-CN" w:bidi="ar-SA"/>
        </w:rPr>
        <w:t>2</w:t>
      </w:r>
      <w:r>
        <w:rPr>
          <w:rFonts w:hint="default" w:ascii="Times New Roman" w:hAnsi="Times New Roman" w:eastAsia="宋体" w:cs="Times New Roman"/>
          <w:bCs w:val="0"/>
          <w:kern w:val="2"/>
          <w:sz w:val="24"/>
          <w:szCs w:val="24"/>
          <w:lang w:val="en-US" w:eastAsia="zh-CN" w:bidi="ar-SA"/>
        </w:rPr>
        <w:t>…q</w:t>
      </w:r>
      <w:r>
        <w:rPr>
          <w:rFonts w:hint="default" w:ascii="Times New Roman" w:hAnsi="Times New Roman" w:eastAsia="宋体" w:cs="Times New Roman"/>
          <w:bCs w:val="0"/>
          <w:kern w:val="2"/>
          <w:sz w:val="24"/>
          <w:szCs w:val="24"/>
          <w:vertAlign w:val="subscript"/>
          <w:lang w:val="en-US" w:eastAsia="zh-CN" w:bidi="ar-SA"/>
        </w:rPr>
        <w:t>n</w:t>
      </w:r>
      <w:r>
        <w:rPr>
          <w:rFonts w:hint="default" w:ascii="Times New Roman" w:hAnsi="Times New Roman" w:eastAsia="宋体" w:cs="Times New Roman"/>
          <w:bCs w:val="0"/>
          <w:kern w:val="2"/>
          <w:sz w:val="24"/>
          <w:szCs w:val="24"/>
          <w:lang w:val="en-US" w:eastAsia="zh-CN" w:bidi="ar-SA"/>
        </w:rPr>
        <w:t>—每种危险物质实际存在量，t；</w:t>
      </w:r>
    </w:p>
    <w:p w14:paraId="6DA6D9C6">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Cs w:val="0"/>
          <w:kern w:val="2"/>
          <w:sz w:val="24"/>
          <w:szCs w:val="24"/>
          <w:lang w:val="en-US" w:eastAsia="zh-CN" w:bidi="ar-SA"/>
        </w:rPr>
      </w:pPr>
      <w:r>
        <w:rPr>
          <w:rFonts w:hint="default" w:ascii="Times New Roman" w:hAnsi="Times New Roman" w:eastAsia="宋体" w:cs="Times New Roman"/>
          <w:bCs w:val="0"/>
          <w:kern w:val="2"/>
          <w:sz w:val="24"/>
          <w:szCs w:val="24"/>
          <w:lang w:val="en-US" w:eastAsia="zh-CN" w:bidi="ar-SA"/>
        </w:rPr>
        <w:t>Q</w:t>
      </w:r>
      <w:r>
        <w:rPr>
          <w:rFonts w:hint="default" w:ascii="Times New Roman" w:hAnsi="Times New Roman" w:eastAsia="宋体" w:cs="Times New Roman"/>
          <w:bCs w:val="0"/>
          <w:kern w:val="2"/>
          <w:sz w:val="24"/>
          <w:szCs w:val="24"/>
          <w:vertAlign w:val="subscript"/>
          <w:lang w:val="en-US" w:eastAsia="zh-CN" w:bidi="ar-SA"/>
        </w:rPr>
        <w:t>1</w:t>
      </w:r>
      <w:r>
        <w:rPr>
          <w:rFonts w:hint="default" w:ascii="Times New Roman" w:hAnsi="Times New Roman" w:eastAsia="宋体" w:cs="Times New Roman"/>
          <w:bCs w:val="0"/>
          <w:kern w:val="2"/>
          <w:sz w:val="24"/>
          <w:szCs w:val="24"/>
          <w:lang w:val="en-US" w:eastAsia="zh-CN" w:bidi="ar-SA"/>
        </w:rPr>
        <w:t>、Q</w:t>
      </w:r>
      <w:r>
        <w:rPr>
          <w:rFonts w:hint="default" w:ascii="Times New Roman" w:hAnsi="Times New Roman" w:eastAsia="宋体" w:cs="Times New Roman"/>
          <w:bCs w:val="0"/>
          <w:kern w:val="2"/>
          <w:sz w:val="24"/>
          <w:szCs w:val="24"/>
          <w:vertAlign w:val="subscript"/>
          <w:lang w:val="en-US" w:eastAsia="zh-CN" w:bidi="ar-SA"/>
        </w:rPr>
        <w:t>2</w:t>
      </w:r>
      <w:r>
        <w:rPr>
          <w:rFonts w:hint="default" w:ascii="Times New Roman" w:hAnsi="Times New Roman" w:eastAsia="宋体" w:cs="Times New Roman"/>
          <w:bCs w:val="0"/>
          <w:kern w:val="2"/>
          <w:sz w:val="24"/>
          <w:szCs w:val="24"/>
          <w:lang w:val="en-US" w:eastAsia="zh-CN" w:bidi="ar-SA"/>
        </w:rPr>
        <w:t>…Q</w:t>
      </w:r>
      <w:r>
        <w:rPr>
          <w:rFonts w:hint="default" w:ascii="Times New Roman" w:hAnsi="Times New Roman" w:eastAsia="宋体" w:cs="Times New Roman"/>
          <w:bCs w:val="0"/>
          <w:kern w:val="2"/>
          <w:sz w:val="24"/>
          <w:szCs w:val="24"/>
          <w:vertAlign w:val="subscript"/>
          <w:lang w:val="en-US" w:eastAsia="zh-CN" w:bidi="ar-SA"/>
        </w:rPr>
        <w:t>n</w:t>
      </w:r>
      <w:r>
        <w:rPr>
          <w:rFonts w:hint="default" w:ascii="Times New Roman" w:hAnsi="Times New Roman" w:eastAsia="宋体" w:cs="Times New Roman"/>
          <w:bCs w:val="0"/>
          <w:kern w:val="2"/>
          <w:sz w:val="24"/>
          <w:szCs w:val="24"/>
          <w:lang w:val="en-US" w:eastAsia="zh-CN" w:bidi="ar-SA"/>
        </w:rPr>
        <w:t>—与各危险物质相对应的临界量，t。</w:t>
      </w:r>
    </w:p>
    <w:p w14:paraId="39592D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val="0"/>
          <w:kern w:val="2"/>
          <w:sz w:val="24"/>
          <w:szCs w:val="24"/>
          <w:lang w:val="en-US" w:eastAsia="zh-CN" w:bidi="ar-SA"/>
        </w:rPr>
      </w:pPr>
      <w:r>
        <w:rPr>
          <w:rFonts w:hint="default" w:ascii="Times New Roman" w:hAnsi="Times New Roman" w:eastAsia="宋体" w:cs="Times New Roman"/>
          <w:bCs w:val="0"/>
          <w:kern w:val="2"/>
          <w:sz w:val="24"/>
          <w:szCs w:val="24"/>
          <w:lang w:val="en-US" w:eastAsia="zh-CN" w:bidi="ar-SA"/>
        </w:rPr>
        <w:t>如果该单元的多种并存危险物质q/Q值大于等于1，则也</w:t>
      </w:r>
      <w:r>
        <w:rPr>
          <w:rFonts w:hint="eastAsia" w:ascii="Times New Roman" w:hAnsi="Times New Roman" w:eastAsia="宋体" w:cs="Times New Roman"/>
          <w:bCs w:val="0"/>
          <w:kern w:val="2"/>
          <w:sz w:val="24"/>
          <w:szCs w:val="24"/>
          <w:lang w:val="en-US" w:eastAsia="zh-CN" w:bidi="ar-SA"/>
        </w:rPr>
        <w:t>属于</w:t>
      </w:r>
      <w:r>
        <w:rPr>
          <w:rFonts w:hint="default" w:ascii="Times New Roman" w:hAnsi="Times New Roman" w:eastAsia="宋体" w:cs="Times New Roman"/>
          <w:bCs w:val="0"/>
          <w:kern w:val="2"/>
          <w:sz w:val="24"/>
          <w:szCs w:val="24"/>
          <w:lang w:val="en-US" w:eastAsia="zh-CN" w:bidi="ar-SA"/>
        </w:rPr>
        <w:t>重大危险源。</w:t>
      </w:r>
    </w:p>
    <w:p w14:paraId="7F8EE5B8">
      <w:pPr>
        <w:widowControl w:val="0"/>
        <w:spacing w:line="500" w:lineRule="exact"/>
        <w:ind w:firstLine="480" w:firstLineChars="200"/>
        <w:jc w:val="both"/>
        <w:rPr>
          <w:rFonts w:hint="default" w:ascii="Times New Roman" w:hAnsi="Times New Roman" w:eastAsia="宋体" w:cs="Times New Roman"/>
          <w:color w:val="auto"/>
          <w:sz w:val="24"/>
          <w:szCs w:val="24"/>
          <w:lang w:val="zh-CN" w:eastAsia="zh-CN" w:bidi="ar-SA"/>
        </w:rPr>
      </w:pPr>
      <w:r>
        <w:rPr>
          <w:rFonts w:hint="default" w:ascii="Times New Roman" w:hAnsi="Times New Roman" w:eastAsia="宋体" w:cs="Times New Roman"/>
          <w:color w:val="auto"/>
          <w:sz w:val="24"/>
          <w:szCs w:val="24"/>
          <w:lang w:val="zh-CN" w:eastAsia="zh-CN" w:bidi="ar-SA"/>
        </w:rPr>
        <w:t>物质危险性识别，包括主要原辅材料、燃料、中间产品、副产品、最终产品、污染物、火灾和爆炸伴生/次生物等。</w:t>
      </w:r>
      <w:r>
        <w:rPr>
          <w:rFonts w:hint="eastAsia" w:ascii="Times New Roman" w:hAnsi="Times New Roman" w:eastAsia="宋体" w:cs="Times New Roman"/>
          <w:color w:val="auto"/>
          <w:sz w:val="24"/>
          <w:szCs w:val="24"/>
          <w:lang w:val="en-US" w:eastAsia="zh-CN" w:bidi="ar-SA"/>
        </w:rPr>
        <w:t>本项目涉及的</w:t>
      </w:r>
      <w:r>
        <w:rPr>
          <w:rFonts w:hint="eastAsia" w:cs="Times New Roman"/>
          <w:color w:val="auto"/>
          <w:sz w:val="24"/>
          <w:szCs w:val="24"/>
          <w:lang w:val="en-US" w:eastAsia="zh-CN" w:bidi="ar-SA"/>
        </w:rPr>
        <w:t>环境风险物质</w:t>
      </w:r>
      <w:r>
        <w:rPr>
          <w:rFonts w:hint="eastAsia" w:ascii="Times New Roman" w:hAnsi="Times New Roman" w:eastAsia="宋体" w:cs="Times New Roman"/>
          <w:color w:val="auto"/>
          <w:sz w:val="24"/>
          <w:szCs w:val="24"/>
          <w:lang w:val="en-US" w:eastAsia="zh-CN" w:bidi="ar-SA"/>
        </w:rPr>
        <w:t>主要有</w:t>
      </w:r>
      <w:r>
        <w:rPr>
          <w:rFonts w:hint="default" w:ascii="Times New Roman" w:hAnsi="Times New Roman" w:eastAsia="宋体" w:cs="Times New Roman"/>
          <w:color w:val="auto"/>
          <w:sz w:val="24"/>
          <w:szCs w:val="24"/>
          <w:lang w:val="zh-CN" w:eastAsia="zh-CN" w:bidi="ar-SA"/>
        </w:rPr>
        <w:t>恶臭气体（主要成分为硫化氢、氨等）</w:t>
      </w:r>
      <w:r>
        <w:rPr>
          <w:rFonts w:hint="eastAsia" w:ascii="Times New Roman" w:hAnsi="Times New Roman" w:eastAsia="宋体" w:cs="Times New Roman"/>
          <w:color w:val="auto"/>
          <w:sz w:val="24"/>
          <w:szCs w:val="24"/>
          <w:lang w:val="zh-CN" w:eastAsia="zh-CN" w:bidi="ar-SA"/>
        </w:rPr>
        <w:t>、</w:t>
      </w:r>
      <w:r>
        <w:rPr>
          <w:rFonts w:hint="eastAsia" w:ascii="Times New Roman" w:hAnsi="Times New Roman" w:eastAsia="宋体" w:cs="Times New Roman"/>
          <w:color w:val="auto"/>
          <w:sz w:val="24"/>
          <w:szCs w:val="24"/>
          <w:lang w:val="en-US" w:eastAsia="zh-CN" w:bidi="ar-SA"/>
        </w:rPr>
        <w:t>复合戊二醛以及氧化钙（生石灰），</w:t>
      </w:r>
      <w:r>
        <w:rPr>
          <w:rFonts w:hint="default" w:ascii="Times New Roman" w:hAnsi="Times New Roman" w:eastAsia="宋体" w:cs="Times New Roman"/>
          <w:color w:val="auto"/>
          <w:sz w:val="24"/>
          <w:szCs w:val="24"/>
          <w:lang w:val="zh-CN" w:eastAsia="zh-CN" w:bidi="ar-SA"/>
        </w:rPr>
        <w:t>对照《建设项目环境风险评价技术导则》（HJ169-2018），本次环评拟选择恶臭气体（主要成分为硫化氢、氨等）等</w:t>
      </w:r>
      <w:r>
        <w:rPr>
          <w:rFonts w:hint="eastAsia" w:ascii="Times New Roman" w:hAnsi="Times New Roman" w:eastAsia="宋体" w:cs="Times New Roman"/>
          <w:color w:val="auto"/>
          <w:sz w:val="24"/>
          <w:szCs w:val="24"/>
          <w:lang w:val="zh-CN" w:eastAsia="zh-CN" w:bidi="ar-SA"/>
        </w:rPr>
        <w:t>作为</w:t>
      </w:r>
      <w:r>
        <w:rPr>
          <w:rFonts w:hint="default" w:ascii="Times New Roman" w:hAnsi="Times New Roman" w:eastAsia="宋体" w:cs="Times New Roman"/>
          <w:color w:val="auto"/>
          <w:sz w:val="24"/>
          <w:szCs w:val="24"/>
          <w:lang w:val="zh-CN" w:eastAsia="zh-CN" w:bidi="ar-SA"/>
        </w:rPr>
        <w:t>环境风险评价因子</w:t>
      </w:r>
      <w:r>
        <w:rPr>
          <w:rFonts w:hint="eastAsia" w:ascii="Times New Roman" w:hAnsi="Times New Roman" w:eastAsia="宋体" w:cs="Times New Roman"/>
          <w:color w:val="auto"/>
          <w:sz w:val="24"/>
          <w:szCs w:val="24"/>
          <w:lang w:val="zh-CN" w:eastAsia="zh-CN" w:bidi="ar-SA"/>
        </w:rPr>
        <w:t>。</w:t>
      </w:r>
      <w:r>
        <w:rPr>
          <w:rFonts w:hint="default" w:ascii="Times New Roman" w:hAnsi="Times New Roman" w:eastAsia="宋体" w:cs="Times New Roman"/>
          <w:color w:val="auto"/>
          <w:sz w:val="24"/>
          <w:szCs w:val="24"/>
          <w:lang w:val="zh-CN" w:eastAsia="zh-CN" w:bidi="ar-SA"/>
        </w:rPr>
        <w:t>本项目存在危险物料见表</w:t>
      </w:r>
      <w:r>
        <w:rPr>
          <w:rFonts w:hint="eastAsia" w:ascii="Times New Roman" w:hAnsi="Times New Roman" w:eastAsia="宋体" w:cs="Times New Roman"/>
          <w:color w:val="auto"/>
          <w:sz w:val="24"/>
          <w:szCs w:val="24"/>
          <w:lang w:val="en-US" w:eastAsia="zh-CN" w:bidi="ar-SA"/>
        </w:rPr>
        <w:t>6.1</w:t>
      </w:r>
      <w:r>
        <w:rPr>
          <w:rFonts w:hint="default" w:ascii="Times New Roman" w:hAnsi="Times New Roman" w:eastAsia="宋体" w:cs="Times New Roman"/>
          <w:color w:val="auto"/>
          <w:sz w:val="24"/>
          <w:szCs w:val="24"/>
          <w:lang w:val="zh-CN" w:eastAsia="zh-CN" w:bidi="ar-SA"/>
        </w:rPr>
        <w:t>-1。</w:t>
      </w:r>
    </w:p>
    <w:p w14:paraId="1E9E3094">
      <w:pPr>
        <w:spacing w:line="320" w:lineRule="exact"/>
        <w:jc w:val="center"/>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rPr>
        <w:t>表</w:t>
      </w:r>
      <w:r>
        <w:rPr>
          <w:rFonts w:hint="eastAsia" w:ascii="Times New Roman" w:hAnsi="Times New Roman" w:eastAsia="宋体" w:cs="Times New Roman"/>
          <w:b/>
          <w:color w:val="auto"/>
          <w:kern w:val="0"/>
          <w:sz w:val="24"/>
          <w:szCs w:val="24"/>
          <w:lang w:val="en-US" w:eastAsia="zh-CN"/>
        </w:rPr>
        <w:t>6.1</w:t>
      </w:r>
      <w:r>
        <w:rPr>
          <w:rFonts w:hint="default" w:ascii="Times New Roman" w:hAnsi="Times New Roman" w:eastAsia="宋体" w:cs="Times New Roman"/>
          <w:b/>
          <w:color w:val="auto"/>
          <w:kern w:val="0"/>
          <w:sz w:val="24"/>
          <w:szCs w:val="24"/>
        </w:rPr>
        <w:t>-1</w:t>
      </w:r>
      <w:r>
        <w:rPr>
          <w:rFonts w:hint="default" w:ascii="Times New Roman" w:hAnsi="Times New Roman" w:eastAsia="宋体" w:cs="Times New Roman"/>
          <w:b/>
          <w:color w:val="auto"/>
          <w:kern w:val="0"/>
          <w:sz w:val="24"/>
          <w:szCs w:val="24"/>
          <w:lang w:val="en-US" w:eastAsia="zh-CN"/>
        </w:rPr>
        <w:t xml:space="preserve">   </w:t>
      </w:r>
      <w:r>
        <w:rPr>
          <w:rFonts w:hint="default" w:ascii="Times New Roman" w:hAnsi="Times New Roman" w:eastAsia="宋体" w:cs="Times New Roman"/>
          <w:b/>
          <w:color w:val="auto"/>
          <w:kern w:val="0"/>
          <w:sz w:val="24"/>
          <w:szCs w:val="24"/>
        </w:rPr>
        <w:t>本项目危险物料一览表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1"/>
        <w:gridCol w:w="4841"/>
        <w:gridCol w:w="2752"/>
      </w:tblGrid>
      <w:tr w14:paraId="6DB96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1" w:type="dxa"/>
            <w:noWrap w:val="0"/>
            <w:vAlign w:val="center"/>
          </w:tcPr>
          <w:p w14:paraId="3B1B420B">
            <w:pPr>
              <w:spacing w:line="320" w:lineRule="exact"/>
              <w:jc w:val="center"/>
              <w:rPr>
                <w:rFonts w:hint="default" w:ascii="Times New Roman" w:hAnsi="Times New Roman" w:eastAsia="宋体" w:cs="Times New Roman"/>
                <w:b/>
                <w:bCs w:val="0"/>
                <w:color w:val="auto"/>
                <w:kern w:val="0"/>
                <w:sz w:val="21"/>
                <w:szCs w:val="21"/>
              </w:rPr>
            </w:pPr>
            <w:r>
              <w:rPr>
                <w:rFonts w:hint="default" w:ascii="Times New Roman" w:hAnsi="Times New Roman" w:eastAsia="宋体" w:cs="Times New Roman"/>
                <w:b/>
                <w:bCs w:val="0"/>
                <w:color w:val="auto"/>
                <w:kern w:val="0"/>
                <w:sz w:val="21"/>
                <w:szCs w:val="21"/>
              </w:rPr>
              <w:t>序号</w:t>
            </w:r>
          </w:p>
        </w:tc>
        <w:tc>
          <w:tcPr>
            <w:tcW w:w="4841" w:type="dxa"/>
            <w:noWrap w:val="0"/>
            <w:vAlign w:val="center"/>
          </w:tcPr>
          <w:p w14:paraId="472F6492">
            <w:pPr>
              <w:spacing w:line="320" w:lineRule="exact"/>
              <w:jc w:val="center"/>
              <w:rPr>
                <w:rFonts w:hint="default" w:ascii="Times New Roman" w:hAnsi="Times New Roman" w:eastAsia="宋体" w:cs="Times New Roman"/>
                <w:b/>
                <w:bCs w:val="0"/>
                <w:color w:val="auto"/>
                <w:kern w:val="0"/>
                <w:sz w:val="21"/>
                <w:szCs w:val="21"/>
              </w:rPr>
            </w:pPr>
            <w:r>
              <w:rPr>
                <w:rFonts w:hint="default" w:ascii="Times New Roman" w:hAnsi="Times New Roman" w:eastAsia="宋体" w:cs="Times New Roman"/>
                <w:b/>
                <w:bCs w:val="0"/>
                <w:color w:val="auto"/>
                <w:kern w:val="0"/>
                <w:sz w:val="21"/>
                <w:szCs w:val="21"/>
              </w:rPr>
              <w:t>装置及单元</w:t>
            </w:r>
          </w:p>
        </w:tc>
        <w:tc>
          <w:tcPr>
            <w:tcW w:w="2752" w:type="dxa"/>
            <w:noWrap w:val="0"/>
            <w:vAlign w:val="center"/>
          </w:tcPr>
          <w:p w14:paraId="11059FD6">
            <w:pPr>
              <w:spacing w:line="320" w:lineRule="exact"/>
              <w:jc w:val="center"/>
              <w:rPr>
                <w:rFonts w:hint="default" w:ascii="Times New Roman" w:hAnsi="Times New Roman" w:eastAsia="宋体" w:cs="Times New Roman"/>
                <w:b/>
                <w:bCs w:val="0"/>
                <w:color w:val="auto"/>
                <w:kern w:val="0"/>
                <w:sz w:val="21"/>
                <w:szCs w:val="21"/>
              </w:rPr>
            </w:pPr>
            <w:r>
              <w:rPr>
                <w:rFonts w:hint="default" w:ascii="Times New Roman" w:hAnsi="Times New Roman" w:eastAsia="宋体" w:cs="Times New Roman"/>
                <w:b/>
                <w:bCs w:val="0"/>
                <w:color w:val="auto"/>
                <w:kern w:val="0"/>
                <w:sz w:val="21"/>
                <w:szCs w:val="21"/>
              </w:rPr>
              <w:t>危险物料</w:t>
            </w:r>
          </w:p>
        </w:tc>
      </w:tr>
      <w:tr w14:paraId="4B667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1" w:type="dxa"/>
            <w:noWrap w:val="0"/>
            <w:vAlign w:val="center"/>
          </w:tcPr>
          <w:p w14:paraId="16CF7560">
            <w:pPr>
              <w:spacing w:line="320" w:lineRule="exact"/>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bCs/>
                <w:color w:val="auto"/>
                <w:kern w:val="0"/>
                <w:sz w:val="21"/>
                <w:szCs w:val="21"/>
              </w:rPr>
              <w:t>1</w:t>
            </w:r>
          </w:p>
        </w:tc>
        <w:tc>
          <w:tcPr>
            <w:tcW w:w="4841" w:type="dxa"/>
            <w:noWrap w:val="0"/>
            <w:vAlign w:val="center"/>
          </w:tcPr>
          <w:p w14:paraId="757F8813">
            <w:pPr>
              <w:spacing w:line="320" w:lineRule="exact"/>
              <w:jc w:val="center"/>
              <w:rPr>
                <w:rFonts w:hint="default" w:ascii="Times New Roman" w:hAnsi="Times New Roman" w:eastAsia="宋体" w:cs="Times New Roman"/>
                <w:bCs/>
                <w:color w:val="auto"/>
                <w:kern w:val="0"/>
                <w:sz w:val="21"/>
                <w:szCs w:val="21"/>
                <w:lang w:val="en-US" w:eastAsia="zh-CN"/>
              </w:rPr>
            </w:pPr>
            <w:r>
              <w:rPr>
                <w:rFonts w:hint="eastAsia" w:ascii="Times New Roman" w:hAnsi="Times New Roman" w:eastAsia="宋体" w:cs="Times New Roman"/>
                <w:bCs/>
                <w:color w:val="auto"/>
                <w:kern w:val="0"/>
                <w:sz w:val="21"/>
                <w:szCs w:val="21"/>
                <w:lang w:val="en-US" w:eastAsia="zh-CN"/>
              </w:rPr>
              <w:t>堆肥间、牛圈</w:t>
            </w:r>
          </w:p>
        </w:tc>
        <w:tc>
          <w:tcPr>
            <w:tcW w:w="2752" w:type="dxa"/>
            <w:noWrap w:val="0"/>
            <w:vAlign w:val="center"/>
          </w:tcPr>
          <w:p w14:paraId="0968C147">
            <w:pPr>
              <w:spacing w:line="320" w:lineRule="exact"/>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bCs/>
                <w:color w:val="auto"/>
                <w:kern w:val="0"/>
                <w:sz w:val="21"/>
                <w:szCs w:val="21"/>
              </w:rPr>
              <w:t>氨、硫化氢</w:t>
            </w:r>
          </w:p>
        </w:tc>
      </w:tr>
    </w:tbl>
    <w:p w14:paraId="4BF92DF2">
      <w:pPr>
        <w:spacing w:line="500" w:lineRule="exact"/>
        <w:ind w:firstLine="480" w:firstLineChars="200"/>
        <w:rPr>
          <w:rFonts w:ascii="Times New Roman" w:hAnsi="Times New Roman" w:eastAsia="宋体" w:cs="Times New Roman"/>
          <w:b/>
          <w:color w:val="auto"/>
          <w:kern w:val="0"/>
          <w:sz w:val="24"/>
          <w:szCs w:val="24"/>
          <w:lang w:bidi="en-US"/>
        </w:rPr>
      </w:pPr>
      <w:r>
        <w:rPr>
          <w:rFonts w:hint="eastAsia" w:ascii="Times New Roman" w:hAnsi="Times New Roman" w:eastAsia="宋体" w:cs="华文仿宋"/>
          <w:color w:val="auto"/>
          <w:kern w:val="2"/>
          <w:sz w:val="24"/>
          <w:szCs w:val="24"/>
        </w:rPr>
        <w:t>依据本项目确定的环境风险评价等级和评价范围，对建设区域5km范围内的环境敏感点的情况统计详见表</w:t>
      </w:r>
      <w:r>
        <w:rPr>
          <w:rFonts w:hint="eastAsia" w:ascii="Times New Roman" w:hAnsi="Times New Roman" w:eastAsia="宋体" w:cs="华文仿宋"/>
          <w:color w:val="auto"/>
          <w:kern w:val="2"/>
          <w:sz w:val="24"/>
          <w:szCs w:val="24"/>
          <w:lang w:val="en-US" w:eastAsia="zh-CN"/>
        </w:rPr>
        <w:t>6.1-2</w:t>
      </w:r>
      <w:r>
        <w:rPr>
          <w:rFonts w:hint="eastAsia" w:ascii="Times New Roman" w:hAnsi="Times New Roman" w:eastAsia="宋体" w:cs="华文仿宋"/>
          <w:color w:val="auto"/>
          <w:kern w:val="2"/>
          <w:sz w:val="24"/>
          <w:szCs w:val="24"/>
        </w:rPr>
        <w:t>。</w:t>
      </w:r>
    </w:p>
    <w:p w14:paraId="1941AD1C">
      <w:pPr>
        <w:widowControl/>
        <w:spacing w:after="200" w:line="400" w:lineRule="exact"/>
        <w:ind w:firstLine="420"/>
        <w:jc w:val="center"/>
        <w:rPr>
          <w:rFonts w:ascii="Times New Roman" w:hAnsi="Times New Roman" w:eastAsia="宋体" w:cs="Times New Roman"/>
          <w:b/>
          <w:color w:val="auto"/>
          <w:kern w:val="0"/>
          <w:sz w:val="24"/>
          <w:szCs w:val="24"/>
          <w:lang w:bidi="en-US"/>
        </w:rPr>
      </w:pPr>
      <w:r>
        <w:rPr>
          <w:rFonts w:hint="eastAsia" w:ascii="Times New Roman" w:hAnsi="Times New Roman" w:eastAsia="宋体" w:cs="Times New Roman"/>
          <w:b/>
          <w:color w:val="auto"/>
          <w:kern w:val="0"/>
          <w:sz w:val="24"/>
          <w:szCs w:val="24"/>
          <w:lang w:bidi="en-US"/>
        </w:rPr>
        <w:t>表</w:t>
      </w:r>
      <w:r>
        <w:rPr>
          <w:rFonts w:hint="eastAsia" w:ascii="Times New Roman" w:hAnsi="Times New Roman" w:eastAsia="宋体" w:cs="Times New Roman"/>
          <w:b/>
          <w:color w:val="auto"/>
          <w:kern w:val="0"/>
          <w:sz w:val="24"/>
          <w:szCs w:val="24"/>
          <w:lang w:val="en-US" w:eastAsia="zh-CN" w:bidi="en-US"/>
        </w:rPr>
        <w:t>6.1</w:t>
      </w:r>
      <w:r>
        <w:rPr>
          <w:rFonts w:hint="eastAsia" w:ascii="Times New Roman" w:hAnsi="Times New Roman" w:eastAsia="宋体" w:cs="Times New Roman"/>
          <w:b/>
          <w:color w:val="auto"/>
          <w:kern w:val="0"/>
          <w:sz w:val="24"/>
          <w:szCs w:val="24"/>
          <w:lang w:bidi="en-US"/>
        </w:rPr>
        <w:t>-</w:t>
      </w:r>
      <w:r>
        <w:rPr>
          <w:rFonts w:hint="eastAsia" w:ascii="Times New Roman" w:hAnsi="Times New Roman" w:eastAsia="宋体" w:cs="Times New Roman"/>
          <w:b/>
          <w:color w:val="auto"/>
          <w:kern w:val="0"/>
          <w:sz w:val="24"/>
          <w:szCs w:val="24"/>
          <w:lang w:val="en-US" w:eastAsia="zh-CN" w:bidi="en-US"/>
        </w:rPr>
        <w:t>2</w:t>
      </w:r>
      <w:r>
        <w:rPr>
          <w:rFonts w:hint="eastAsia" w:ascii="Times New Roman" w:hAnsi="Times New Roman" w:eastAsia="宋体" w:cs="Times New Roman"/>
          <w:b/>
          <w:color w:val="auto"/>
          <w:kern w:val="0"/>
          <w:sz w:val="24"/>
          <w:szCs w:val="24"/>
          <w:lang w:bidi="en-US"/>
        </w:rPr>
        <w:t xml:space="preserve"> 区域社会关注区分布情况统计表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0"/>
        <w:gridCol w:w="1757"/>
        <w:gridCol w:w="902"/>
        <w:gridCol w:w="903"/>
        <w:gridCol w:w="827"/>
        <w:gridCol w:w="978"/>
        <w:gridCol w:w="2877"/>
      </w:tblGrid>
      <w:tr w14:paraId="655D7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60" w:type="dxa"/>
            <w:vMerge w:val="restart"/>
            <w:tcBorders>
              <w:tl2br w:val="nil"/>
              <w:tr2bl w:val="nil"/>
            </w:tcBorders>
            <w:tcMar>
              <w:left w:w="0" w:type="dxa"/>
              <w:right w:w="0" w:type="dxa"/>
            </w:tcMar>
            <w:vAlign w:val="center"/>
          </w:tcPr>
          <w:p w14:paraId="1A27C899">
            <w:pPr>
              <w:spacing w:line="320" w:lineRule="exact"/>
              <w:jc w:val="center"/>
              <w:rPr>
                <w:rFonts w:ascii="Times New Roman" w:hAnsi="Times New Roman" w:eastAsia="宋体" w:cs="Times New Roman"/>
                <w:b/>
                <w:bCs/>
                <w:color w:val="auto"/>
                <w:kern w:val="0"/>
                <w:sz w:val="21"/>
                <w:szCs w:val="24"/>
              </w:rPr>
            </w:pPr>
            <w:r>
              <w:rPr>
                <w:rFonts w:hint="eastAsia" w:ascii="Times New Roman" w:hAnsi="Times New Roman" w:eastAsia="宋体" w:cs="Times New Roman"/>
                <w:b/>
                <w:bCs/>
                <w:color w:val="auto"/>
                <w:kern w:val="0"/>
                <w:sz w:val="21"/>
                <w:szCs w:val="24"/>
              </w:rPr>
              <w:t>序号</w:t>
            </w:r>
          </w:p>
        </w:tc>
        <w:tc>
          <w:tcPr>
            <w:tcW w:w="1757" w:type="dxa"/>
            <w:vMerge w:val="restart"/>
            <w:tcBorders>
              <w:tl2br w:val="nil"/>
              <w:tr2bl w:val="nil"/>
            </w:tcBorders>
            <w:vAlign w:val="center"/>
          </w:tcPr>
          <w:p w14:paraId="2EBD12C2">
            <w:pPr>
              <w:spacing w:line="320" w:lineRule="exact"/>
              <w:jc w:val="center"/>
              <w:rPr>
                <w:rFonts w:ascii="Times New Roman" w:hAnsi="Times New Roman" w:eastAsia="宋体" w:cs="Times New Roman"/>
                <w:b/>
                <w:bCs/>
                <w:color w:val="auto"/>
                <w:kern w:val="0"/>
                <w:sz w:val="21"/>
                <w:szCs w:val="24"/>
              </w:rPr>
            </w:pPr>
            <w:r>
              <w:rPr>
                <w:rFonts w:hint="eastAsia" w:ascii="Times New Roman" w:hAnsi="Times New Roman" w:eastAsia="宋体" w:cs="Times New Roman"/>
                <w:b/>
                <w:bCs/>
                <w:color w:val="auto"/>
                <w:kern w:val="0"/>
                <w:sz w:val="21"/>
                <w:szCs w:val="24"/>
              </w:rPr>
              <w:t>环境关心点名称</w:t>
            </w:r>
          </w:p>
        </w:tc>
        <w:tc>
          <w:tcPr>
            <w:tcW w:w="1805" w:type="dxa"/>
            <w:gridSpan w:val="2"/>
            <w:tcBorders>
              <w:tl2br w:val="nil"/>
              <w:tr2bl w:val="nil"/>
            </w:tcBorders>
            <w:vAlign w:val="center"/>
          </w:tcPr>
          <w:p w14:paraId="28D99C97">
            <w:pPr>
              <w:spacing w:line="320" w:lineRule="exact"/>
              <w:jc w:val="center"/>
              <w:rPr>
                <w:rFonts w:hint="eastAsia" w:ascii="Times New Roman" w:hAnsi="Times New Roman" w:eastAsia="宋体" w:cs="Times New Roman"/>
                <w:b/>
                <w:bCs/>
                <w:color w:val="auto"/>
                <w:kern w:val="0"/>
                <w:sz w:val="21"/>
                <w:szCs w:val="24"/>
                <w:lang w:val="en-US" w:eastAsia="zh-CN"/>
              </w:rPr>
            </w:pPr>
            <w:r>
              <w:rPr>
                <w:rFonts w:hint="eastAsia" w:ascii="Times New Roman" w:hAnsi="Times New Roman" w:eastAsia="宋体" w:cs="Times New Roman"/>
                <w:b/>
                <w:bCs/>
                <w:color w:val="auto"/>
                <w:kern w:val="0"/>
                <w:sz w:val="21"/>
                <w:szCs w:val="24"/>
                <w:lang w:val="en-US" w:eastAsia="zh-CN"/>
              </w:rPr>
              <w:t>保护对象</w:t>
            </w:r>
          </w:p>
        </w:tc>
        <w:tc>
          <w:tcPr>
            <w:tcW w:w="1805" w:type="dxa"/>
            <w:gridSpan w:val="2"/>
            <w:tcBorders>
              <w:tl2br w:val="nil"/>
              <w:tr2bl w:val="nil"/>
            </w:tcBorders>
            <w:vAlign w:val="center"/>
          </w:tcPr>
          <w:p w14:paraId="16AFAC94">
            <w:pPr>
              <w:spacing w:line="320" w:lineRule="exact"/>
              <w:jc w:val="center"/>
              <w:rPr>
                <w:rFonts w:ascii="Times New Roman" w:hAnsi="Times New Roman" w:eastAsia="宋体" w:cs="Times New Roman"/>
                <w:b/>
                <w:bCs/>
                <w:color w:val="auto"/>
                <w:kern w:val="0"/>
                <w:sz w:val="21"/>
                <w:szCs w:val="24"/>
              </w:rPr>
            </w:pPr>
            <w:r>
              <w:rPr>
                <w:rFonts w:hint="eastAsia" w:ascii="Times New Roman" w:hAnsi="Times New Roman" w:eastAsia="宋体" w:cs="Times New Roman"/>
                <w:b/>
                <w:bCs/>
                <w:color w:val="auto"/>
                <w:kern w:val="0"/>
                <w:sz w:val="21"/>
                <w:szCs w:val="24"/>
              </w:rPr>
              <w:t>与项目的相对关系</w:t>
            </w:r>
          </w:p>
        </w:tc>
        <w:tc>
          <w:tcPr>
            <w:tcW w:w="2877" w:type="dxa"/>
            <w:vMerge w:val="restart"/>
            <w:tcBorders>
              <w:tl2br w:val="nil"/>
              <w:tr2bl w:val="nil"/>
            </w:tcBorders>
            <w:vAlign w:val="center"/>
          </w:tcPr>
          <w:p w14:paraId="6FEFF2A5">
            <w:pPr>
              <w:spacing w:line="320" w:lineRule="exact"/>
              <w:jc w:val="center"/>
              <w:rPr>
                <w:rFonts w:ascii="Times New Roman" w:hAnsi="Times New Roman" w:eastAsia="宋体" w:cs="Times New Roman"/>
                <w:b/>
                <w:bCs/>
                <w:color w:val="auto"/>
                <w:kern w:val="0"/>
                <w:sz w:val="21"/>
                <w:szCs w:val="24"/>
              </w:rPr>
            </w:pPr>
            <w:r>
              <w:rPr>
                <w:rFonts w:hint="eastAsia" w:ascii="Times New Roman" w:hAnsi="Times New Roman" w:eastAsia="宋体" w:cs="Times New Roman"/>
                <w:b/>
                <w:bCs/>
                <w:color w:val="auto"/>
                <w:kern w:val="0"/>
                <w:sz w:val="21"/>
                <w:szCs w:val="24"/>
              </w:rPr>
              <w:t>环境风险类型</w:t>
            </w:r>
          </w:p>
        </w:tc>
      </w:tr>
      <w:tr w14:paraId="7CA30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60" w:type="dxa"/>
            <w:vMerge w:val="continue"/>
            <w:tcBorders>
              <w:tl2br w:val="nil"/>
              <w:tr2bl w:val="nil"/>
            </w:tcBorders>
            <w:tcMar>
              <w:left w:w="0" w:type="dxa"/>
              <w:right w:w="0" w:type="dxa"/>
            </w:tcMar>
            <w:vAlign w:val="center"/>
          </w:tcPr>
          <w:p w14:paraId="7371E55C">
            <w:pPr>
              <w:spacing w:line="320" w:lineRule="exact"/>
              <w:jc w:val="center"/>
              <w:rPr>
                <w:rFonts w:ascii="Times New Roman" w:hAnsi="Times New Roman" w:eastAsia="宋体" w:cs="Times New Roman"/>
                <w:b/>
                <w:bCs/>
                <w:color w:val="auto"/>
                <w:kern w:val="0"/>
                <w:sz w:val="21"/>
                <w:szCs w:val="24"/>
              </w:rPr>
            </w:pPr>
          </w:p>
        </w:tc>
        <w:tc>
          <w:tcPr>
            <w:tcW w:w="1757" w:type="dxa"/>
            <w:vMerge w:val="continue"/>
            <w:tcBorders>
              <w:tl2br w:val="nil"/>
              <w:tr2bl w:val="nil"/>
            </w:tcBorders>
            <w:vAlign w:val="center"/>
          </w:tcPr>
          <w:p w14:paraId="547B283F">
            <w:pPr>
              <w:spacing w:line="320" w:lineRule="exact"/>
              <w:jc w:val="center"/>
              <w:rPr>
                <w:rFonts w:ascii="Times New Roman" w:hAnsi="Times New Roman" w:eastAsia="宋体" w:cs="Times New Roman"/>
                <w:b/>
                <w:bCs/>
                <w:color w:val="auto"/>
                <w:kern w:val="0"/>
                <w:sz w:val="21"/>
                <w:szCs w:val="24"/>
              </w:rPr>
            </w:pPr>
          </w:p>
        </w:tc>
        <w:tc>
          <w:tcPr>
            <w:tcW w:w="902" w:type="dxa"/>
            <w:tcBorders>
              <w:tl2br w:val="nil"/>
              <w:tr2bl w:val="nil"/>
            </w:tcBorders>
            <w:vAlign w:val="center"/>
          </w:tcPr>
          <w:p w14:paraId="154A1ADF">
            <w:pPr>
              <w:spacing w:line="320" w:lineRule="exact"/>
              <w:jc w:val="center"/>
              <w:rPr>
                <w:rFonts w:hint="default" w:ascii="Times New Roman" w:hAnsi="Times New Roman" w:eastAsia="宋体" w:cs="Times New Roman"/>
                <w:b/>
                <w:bCs/>
                <w:color w:val="auto"/>
                <w:kern w:val="0"/>
                <w:sz w:val="21"/>
                <w:szCs w:val="24"/>
                <w:lang w:val="en-US" w:eastAsia="zh-CN"/>
              </w:rPr>
            </w:pPr>
            <w:r>
              <w:rPr>
                <w:rFonts w:hint="eastAsia" w:ascii="Times New Roman" w:hAnsi="Times New Roman" w:eastAsia="宋体" w:cs="Times New Roman"/>
                <w:b/>
                <w:bCs/>
                <w:color w:val="auto"/>
                <w:kern w:val="0"/>
                <w:sz w:val="21"/>
                <w:szCs w:val="24"/>
                <w:lang w:val="en-US" w:eastAsia="zh-CN"/>
              </w:rPr>
              <w:t>保护对象</w:t>
            </w:r>
          </w:p>
        </w:tc>
        <w:tc>
          <w:tcPr>
            <w:tcW w:w="903" w:type="dxa"/>
            <w:tcBorders>
              <w:tl2br w:val="nil"/>
              <w:tr2bl w:val="nil"/>
            </w:tcBorders>
            <w:vAlign w:val="center"/>
          </w:tcPr>
          <w:p w14:paraId="4BDA7859">
            <w:pPr>
              <w:spacing w:line="320" w:lineRule="exact"/>
              <w:jc w:val="center"/>
              <w:rPr>
                <w:rFonts w:hint="eastAsia" w:ascii="Times New Roman" w:hAnsi="Times New Roman" w:eastAsia="宋体" w:cs="Times New Roman"/>
                <w:b/>
                <w:bCs/>
                <w:color w:val="auto"/>
                <w:kern w:val="0"/>
                <w:sz w:val="21"/>
                <w:szCs w:val="24"/>
                <w:lang w:val="en-US" w:eastAsia="zh-CN"/>
              </w:rPr>
            </w:pPr>
            <w:r>
              <w:rPr>
                <w:rFonts w:hint="eastAsia" w:ascii="Times New Roman" w:hAnsi="Times New Roman" w:eastAsia="宋体" w:cs="Times New Roman"/>
                <w:b/>
                <w:bCs/>
                <w:color w:val="auto"/>
                <w:kern w:val="0"/>
                <w:sz w:val="21"/>
                <w:szCs w:val="24"/>
                <w:lang w:val="en-US" w:eastAsia="zh-CN"/>
              </w:rPr>
              <w:t>保护内容</w:t>
            </w:r>
          </w:p>
        </w:tc>
        <w:tc>
          <w:tcPr>
            <w:tcW w:w="827" w:type="dxa"/>
            <w:tcBorders>
              <w:tl2br w:val="nil"/>
              <w:tr2bl w:val="nil"/>
            </w:tcBorders>
            <w:vAlign w:val="center"/>
          </w:tcPr>
          <w:p w14:paraId="4E8828CD">
            <w:pPr>
              <w:spacing w:line="320" w:lineRule="exact"/>
              <w:jc w:val="center"/>
              <w:rPr>
                <w:rFonts w:ascii="Times New Roman" w:hAnsi="Times New Roman" w:eastAsia="宋体" w:cs="Times New Roman"/>
                <w:b/>
                <w:bCs/>
                <w:color w:val="auto"/>
                <w:kern w:val="0"/>
                <w:sz w:val="21"/>
                <w:szCs w:val="24"/>
              </w:rPr>
            </w:pPr>
            <w:r>
              <w:rPr>
                <w:rFonts w:hint="eastAsia" w:ascii="Times New Roman" w:hAnsi="Times New Roman" w:eastAsia="宋体" w:cs="Times New Roman"/>
                <w:b/>
                <w:bCs/>
                <w:color w:val="auto"/>
                <w:kern w:val="0"/>
                <w:sz w:val="21"/>
                <w:szCs w:val="24"/>
              </w:rPr>
              <w:t>方位</w:t>
            </w:r>
          </w:p>
        </w:tc>
        <w:tc>
          <w:tcPr>
            <w:tcW w:w="978" w:type="dxa"/>
            <w:tcBorders>
              <w:tl2br w:val="nil"/>
              <w:tr2bl w:val="nil"/>
            </w:tcBorders>
            <w:vAlign w:val="center"/>
          </w:tcPr>
          <w:p w14:paraId="5DF9B8BB">
            <w:pPr>
              <w:spacing w:line="320" w:lineRule="exact"/>
              <w:jc w:val="center"/>
              <w:rPr>
                <w:rFonts w:ascii="Times New Roman" w:hAnsi="Times New Roman" w:eastAsia="宋体" w:cs="Times New Roman"/>
                <w:b/>
                <w:bCs/>
                <w:color w:val="auto"/>
                <w:kern w:val="0"/>
                <w:sz w:val="21"/>
                <w:szCs w:val="24"/>
              </w:rPr>
            </w:pPr>
            <w:r>
              <w:rPr>
                <w:rFonts w:hint="eastAsia" w:ascii="Times New Roman" w:hAnsi="Times New Roman" w:eastAsia="宋体" w:cs="Times New Roman"/>
                <w:b/>
                <w:bCs/>
                <w:color w:val="auto"/>
                <w:kern w:val="0"/>
                <w:sz w:val="21"/>
                <w:szCs w:val="24"/>
              </w:rPr>
              <w:t>距离</w:t>
            </w:r>
            <w:r>
              <w:rPr>
                <w:rFonts w:hint="eastAsia" w:cs="Times New Roman"/>
                <w:b/>
                <w:bCs/>
                <w:color w:val="auto"/>
                <w:kern w:val="0"/>
                <w:sz w:val="21"/>
                <w:szCs w:val="24"/>
                <w:lang w:val="en-US" w:eastAsia="zh-CN"/>
              </w:rPr>
              <w:t>k</w:t>
            </w:r>
            <w:r>
              <w:rPr>
                <w:rFonts w:hint="eastAsia" w:ascii="Times New Roman" w:hAnsi="宋体" w:eastAsia="宋体" w:cs="宋体"/>
                <w:b/>
                <w:bCs/>
                <w:color w:val="auto"/>
                <w:kern w:val="0"/>
                <w:sz w:val="21"/>
                <w:szCs w:val="24"/>
              </w:rPr>
              <w:t>m</w:t>
            </w:r>
          </w:p>
        </w:tc>
        <w:tc>
          <w:tcPr>
            <w:tcW w:w="2877" w:type="dxa"/>
            <w:vMerge w:val="continue"/>
            <w:tcBorders>
              <w:tl2br w:val="nil"/>
              <w:tr2bl w:val="nil"/>
            </w:tcBorders>
            <w:vAlign w:val="center"/>
          </w:tcPr>
          <w:p w14:paraId="0EAE1BD1">
            <w:pPr>
              <w:spacing w:line="320" w:lineRule="exact"/>
              <w:jc w:val="center"/>
              <w:rPr>
                <w:rFonts w:ascii="Times New Roman" w:hAnsi="Times New Roman" w:eastAsia="宋体" w:cs="Times New Roman"/>
                <w:color w:val="auto"/>
                <w:kern w:val="0"/>
                <w:sz w:val="21"/>
                <w:szCs w:val="24"/>
              </w:rPr>
            </w:pPr>
          </w:p>
        </w:tc>
      </w:tr>
      <w:tr w14:paraId="53F7A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60" w:type="dxa"/>
            <w:tcBorders>
              <w:tl2br w:val="nil"/>
              <w:tr2bl w:val="nil"/>
            </w:tcBorders>
            <w:tcMar>
              <w:left w:w="0" w:type="dxa"/>
              <w:right w:w="0" w:type="dxa"/>
            </w:tcMar>
            <w:vAlign w:val="center"/>
          </w:tcPr>
          <w:p w14:paraId="03CF1096">
            <w:pPr>
              <w:spacing w:line="240" w:lineRule="auto"/>
              <w:jc w:val="center"/>
              <w:rPr>
                <w:rFonts w:hint="eastAsia" w:ascii="Times New Roman" w:hAnsi="Times New Roman" w:eastAsia="宋体" w:cs="Times New Roman"/>
                <w:color w:val="000000"/>
                <w:kern w:val="0"/>
                <w:sz w:val="21"/>
                <w:szCs w:val="24"/>
              </w:rPr>
            </w:pPr>
            <w:r>
              <w:rPr>
                <w:rFonts w:hint="eastAsia" w:ascii="Times New Roman" w:hAnsi="Times New Roman" w:eastAsia="宋体" w:cs="Times New Roman"/>
                <w:color w:val="000000"/>
                <w:kern w:val="0"/>
                <w:sz w:val="21"/>
                <w:szCs w:val="24"/>
              </w:rPr>
              <w:t>1</w:t>
            </w:r>
          </w:p>
        </w:tc>
        <w:tc>
          <w:tcPr>
            <w:tcW w:w="1757" w:type="dxa"/>
            <w:tcBorders>
              <w:tl2br w:val="nil"/>
              <w:tr2bl w:val="nil"/>
            </w:tcBorders>
            <w:vAlign w:val="center"/>
          </w:tcPr>
          <w:p w14:paraId="6605EB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4"/>
                <w:lang w:val="en-US"/>
              </w:rPr>
            </w:pPr>
            <w:r>
              <w:rPr>
                <w:rFonts w:hint="eastAsia" w:ascii="Times New Roman" w:hAnsi="Times New Roman" w:eastAsia="宋体" w:cs="Times New Roman"/>
                <w:color w:val="000000"/>
                <w:kern w:val="0"/>
                <w:sz w:val="21"/>
                <w:szCs w:val="24"/>
                <w:lang w:val="en-US" w:eastAsia="zh-CN"/>
              </w:rPr>
              <w:t>125团14连</w:t>
            </w:r>
          </w:p>
        </w:tc>
        <w:tc>
          <w:tcPr>
            <w:tcW w:w="902" w:type="dxa"/>
            <w:tcBorders>
              <w:tl2br w:val="nil"/>
              <w:tr2bl w:val="nil"/>
            </w:tcBorders>
            <w:vAlign w:val="center"/>
          </w:tcPr>
          <w:p w14:paraId="31C1F448">
            <w:pPr>
              <w:spacing w:line="240" w:lineRule="auto"/>
              <w:jc w:val="center"/>
              <w:rPr>
                <w:rFonts w:hint="default"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居民</w:t>
            </w:r>
          </w:p>
        </w:tc>
        <w:tc>
          <w:tcPr>
            <w:tcW w:w="903" w:type="dxa"/>
            <w:tcBorders>
              <w:tl2br w:val="nil"/>
              <w:tr2bl w:val="nil"/>
            </w:tcBorders>
            <w:vAlign w:val="center"/>
          </w:tcPr>
          <w:p w14:paraId="5016F04F">
            <w:pPr>
              <w:spacing w:line="240" w:lineRule="auto"/>
              <w:jc w:val="center"/>
              <w:rPr>
                <w:rFonts w:hint="default"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1000人</w:t>
            </w:r>
          </w:p>
        </w:tc>
        <w:tc>
          <w:tcPr>
            <w:tcW w:w="827" w:type="dxa"/>
            <w:tcBorders>
              <w:tl2br w:val="nil"/>
              <w:tr2bl w:val="nil"/>
            </w:tcBorders>
            <w:vAlign w:val="center"/>
          </w:tcPr>
          <w:p w14:paraId="51B589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1"/>
                <w:lang w:val="en-US" w:eastAsia="zh-CN"/>
              </w:rPr>
              <w:t>N</w:t>
            </w:r>
          </w:p>
        </w:tc>
        <w:tc>
          <w:tcPr>
            <w:tcW w:w="978" w:type="dxa"/>
            <w:tcBorders>
              <w:tl2br w:val="nil"/>
              <w:tr2bl w:val="nil"/>
            </w:tcBorders>
            <w:vAlign w:val="center"/>
          </w:tcPr>
          <w:p w14:paraId="1C4619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4"/>
                <w:highlight w:val="yellow"/>
                <w:lang w:val="en-US" w:eastAsia="zh-CN"/>
              </w:rPr>
            </w:pPr>
            <w:r>
              <w:rPr>
                <w:rFonts w:hint="eastAsia" w:cs="Times New Roman"/>
                <w:color w:val="000000"/>
                <w:kern w:val="0"/>
                <w:sz w:val="21"/>
                <w:szCs w:val="21"/>
                <w:lang w:val="en-US" w:eastAsia="zh-CN"/>
              </w:rPr>
              <w:t>0.52</w:t>
            </w:r>
          </w:p>
        </w:tc>
        <w:tc>
          <w:tcPr>
            <w:tcW w:w="2877" w:type="dxa"/>
            <w:vMerge w:val="restart"/>
            <w:tcBorders>
              <w:tl2br w:val="nil"/>
              <w:tr2bl w:val="nil"/>
            </w:tcBorders>
            <w:vAlign w:val="center"/>
          </w:tcPr>
          <w:p w14:paraId="7135358D">
            <w:pPr>
              <w:spacing w:line="240" w:lineRule="auto"/>
              <w:jc w:val="center"/>
              <w:rPr>
                <w:rFonts w:hint="eastAsia" w:ascii="Times New Roman" w:hAnsi="Times New Roman" w:eastAsia="宋体" w:cs="Times New Roman"/>
                <w:color w:val="000000"/>
                <w:kern w:val="0"/>
                <w:sz w:val="21"/>
                <w:szCs w:val="24"/>
              </w:rPr>
            </w:pPr>
            <w:r>
              <w:rPr>
                <w:rFonts w:hint="eastAsia" w:ascii="Times New Roman" w:hAnsi="Times New Roman" w:eastAsia="宋体" w:cs="Times New Roman"/>
                <w:color w:val="000000"/>
                <w:kern w:val="0"/>
                <w:sz w:val="21"/>
                <w:szCs w:val="24"/>
              </w:rPr>
              <w:t>污染物以火灾、爆炸、泄漏的形式进入环境；事故废水等次生污染物。上述事故可能对环境造成污染，并对人员健康造成损害。</w:t>
            </w:r>
          </w:p>
        </w:tc>
      </w:tr>
      <w:tr w14:paraId="0C04B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60" w:type="dxa"/>
            <w:tcBorders>
              <w:tl2br w:val="nil"/>
              <w:tr2bl w:val="nil"/>
            </w:tcBorders>
            <w:tcMar>
              <w:left w:w="0" w:type="dxa"/>
              <w:right w:w="0" w:type="dxa"/>
            </w:tcMar>
            <w:vAlign w:val="center"/>
          </w:tcPr>
          <w:p w14:paraId="41DB6075">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2</w:t>
            </w:r>
          </w:p>
        </w:tc>
        <w:tc>
          <w:tcPr>
            <w:tcW w:w="1757" w:type="dxa"/>
            <w:tcBorders>
              <w:tl2br w:val="nil"/>
              <w:tr2bl w:val="nil"/>
            </w:tcBorders>
            <w:vAlign w:val="center"/>
          </w:tcPr>
          <w:p w14:paraId="49CAA6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125团1连</w:t>
            </w:r>
          </w:p>
        </w:tc>
        <w:tc>
          <w:tcPr>
            <w:tcW w:w="902" w:type="dxa"/>
            <w:tcBorders>
              <w:tl2br w:val="nil"/>
              <w:tr2bl w:val="nil"/>
            </w:tcBorders>
            <w:vAlign w:val="center"/>
          </w:tcPr>
          <w:p w14:paraId="3938931C">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居民</w:t>
            </w:r>
          </w:p>
        </w:tc>
        <w:tc>
          <w:tcPr>
            <w:tcW w:w="903" w:type="dxa"/>
            <w:tcBorders>
              <w:tl2br w:val="nil"/>
              <w:tr2bl w:val="nil"/>
            </w:tcBorders>
            <w:vAlign w:val="center"/>
          </w:tcPr>
          <w:p w14:paraId="6EA3A582">
            <w:pPr>
              <w:spacing w:line="240" w:lineRule="auto"/>
              <w:jc w:val="center"/>
              <w:rPr>
                <w:rFonts w:hint="default"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500人</w:t>
            </w:r>
          </w:p>
        </w:tc>
        <w:tc>
          <w:tcPr>
            <w:tcW w:w="827" w:type="dxa"/>
            <w:tcBorders>
              <w:tl2br w:val="nil"/>
              <w:tr2bl w:val="nil"/>
            </w:tcBorders>
            <w:vAlign w:val="center"/>
          </w:tcPr>
          <w:p w14:paraId="24EDD2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E</w:t>
            </w:r>
          </w:p>
        </w:tc>
        <w:tc>
          <w:tcPr>
            <w:tcW w:w="978" w:type="dxa"/>
            <w:tcBorders>
              <w:tl2br w:val="nil"/>
              <w:tr2bl w:val="nil"/>
            </w:tcBorders>
            <w:vAlign w:val="center"/>
          </w:tcPr>
          <w:p w14:paraId="740ECB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3.1</w:t>
            </w:r>
          </w:p>
        </w:tc>
        <w:tc>
          <w:tcPr>
            <w:tcW w:w="2877" w:type="dxa"/>
            <w:vMerge w:val="continue"/>
            <w:tcBorders>
              <w:tl2br w:val="nil"/>
              <w:tr2bl w:val="nil"/>
            </w:tcBorders>
            <w:vAlign w:val="center"/>
          </w:tcPr>
          <w:p w14:paraId="3390195A">
            <w:pPr>
              <w:spacing w:line="240" w:lineRule="auto"/>
              <w:jc w:val="center"/>
              <w:rPr>
                <w:rFonts w:hint="eastAsia" w:ascii="Times New Roman" w:hAnsi="Times New Roman" w:eastAsia="宋体" w:cs="Times New Roman"/>
                <w:color w:val="000000"/>
                <w:kern w:val="0"/>
                <w:sz w:val="21"/>
                <w:szCs w:val="24"/>
              </w:rPr>
            </w:pPr>
          </w:p>
        </w:tc>
      </w:tr>
      <w:tr w14:paraId="305D3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60" w:type="dxa"/>
            <w:tcBorders>
              <w:tl2br w:val="nil"/>
              <w:tr2bl w:val="nil"/>
            </w:tcBorders>
            <w:tcMar>
              <w:left w:w="0" w:type="dxa"/>
              <w:right w:w="0" w:type="dxa"/>
            </w:tcMar>
            <w:vAlign w:val="center"/>
          </w:tcPr>
          <w:p w14:paraId="718E3DCB">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3</w:t>
            </w:r>
          </w:p>
        </w:tc>
        <w:tc>
          <w:tcPr>
            <w:tcW w:w="1757" w:type="dxa"/>
            <w:tcBorders>
              <w:tl2br w:val="nil"/>
              <w:tr2bl w:val="nil"/>
            </w:tcBorders>
            <w:vAlign w:val="center"/>
          </w:tcPr>
          <w:p w14:paraId="4B1CF0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125团4连</w:t>
            </w:r>
          </w:p>
        </w:tc>
        <w:tc>
          <w:tcPr>
            <w:tcW w:w="902" w:type="dxa"/>
            <w:tcBorders>
              <w:tl2br w:val="nil"/>
              <w:tr2bl w:val="nil"/>
            </w:tcBorders>
            <w:vAlign w:val="center"/>
          </w:tcPr>
          <w:p w14:paraId="5F742FE0">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居民</w:t>
            </w:r>
          </w:p>
        </w:tc>
        <w:tc>
          <w:tcPr>
            <w:tcW w:w="903" w:type="dxa"/>
            <w:tcBorders>
              <w:tl2br w:val="nil"/>
              <w:tr2bl w:val="nil"/>
            </w:tcBorders>
            <w:vAlign w:val="center"/>
          </w:tcPr>
          <w:p w14:paraId="3211D683">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300人</w:t>
            </w:r>
          </w:p>
        </w:tc>
        <w:tc>
          <w:tcPr>
            <w:tcW w:w="827" w:type="dxa"/>
            <w:tcBorders>
              <w:tl2br w:val="nil"/>
              <w:tr2bl w:val="nil"/>
            </w:tcBorders>
            <w:vAlign w:val="center"/>
          </w:tcPr>
          <w:p w14:paraId="7AAB7B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SE</w:t>
            </w:r>
          </w:p>
        </w:tc>
        <w:tc>
          <w:tcPr>
            <w:tcW w:w="978" w:type="dxa"/>
            <w:tcBorders>
              <w:tl2br w:val="nil"/>
              <w:tr2bl w:val="nil"/>
            </w:tcBorders>
            <w:vAlign w:val="center"/>
          </w:tcPr>
          <w:p w14:paraId="42B5BF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4.7</w:t>
            </w:r>
          </w:p>
        </w:tc>
        <w:tc>
          <w:tcPr>
            <w:tcW w:w="2877" w:type="dxa"/>
            <w:vMerge w:val="continue"/>
            <w:tcBorders>
              <w:tl2br w:val="nil"/>
              <w:tr2bl w:val="nil"/>
            </w:tcBorders>
            <w:vAlign w:val="center"/>
          </w:tcPr>
          <w:p w14:paraId="35721883">
            <w:pPr>
              <w:spacing w:line="240" w:lineRule="auto"/>
              <w:jc w:val="center"/>
              <w:rPr>
                <w:rFonts w:hint="eastAsia" w:ascii="Times New Roman" w:hAnsi="Times New Roman" w:eastAsia="宋体" w:cs="Times New Roman"/>
                <w:color w:val="000000"/>
                <w:kern w:val="0"/>
                <w:sz w:val="21"/>
                <w:szCs w:val="24"/>
              </w:rPr>
            </w:pPr>
          </w:p>
        </w:tc>
      </w:tr>
      <w:tr w14:paraId="1D4BA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60" w:type="dxa"/>
            <w:tcBorders>
              <w:tl2br w:val="nil"/>
              <w:tr2bl w:val="nil"/>
            </w:tcBorders>
            <w:tcMar>
              <w:left w:w="0" w:type="dxa"/>
              <w:right w:w="0" w:type="dxa"/>
            </w:tcMar>
            <w:vAlign w:val="center"/>
          </w:tcPr>
          <w:p w14:paraId="46ADA745">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4</w:t>
            </w:r>
          </w:p>
        </w:tc>
        <w:tc>
          <w:tcPr>
            <w:tcW w:w="1757" w:type="dxa"/>
            <w:tcBorders>
              <w:tl2br w:val="nil"/>
              <w:tr2bl w:val="nil"/>
            </w:tcBorders>
            <w:vAlign w:val="center"/>
          </w:tcPr>
          <w:p w14:paraId="724031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125团1</w:t>
            </w:r>
            <w:r>
              <w:rPr>
                <w:rFonts w:hint="eastAsia" w:cs="Times New Roman"/>
                <w:color w:val="000000"/>
                <w:kern w:val="0"/>
                <w:sz w:val="21"/>
                <w:szCs w:val="24"/>
                <w:lang w:val="en-US" w:eastAsia="zh-CN"/>
              </w:rPr>
              <w:t>2</w:t>
            </w:r>
            <w:r>
              <w:rPr>
                <w:rFonts w:hint="eastAsia" w:ascii="Times New Roman" w:hAnsi="Times New Roman" w:eastAsia="宋体" w:cs="Times New Roman"/>
                <w:color w:val="000000"/>
                <w:kern w:val="0"/>
                <w:sz w:val="21"/>
                <w:szCs w:val="24"/>
                <w:lang w:val="en-US" w:eastAsia="zh-CN"/>
              </w:rPr>
              <w:t>连</w:t>
            </w:r>
          </w:p>
        </w:tc>
        <w:tc>
          <w:tcPr>
            <w:tcW w:w="902" w:type="dxa"/>
            <w:tcBorders>
              <w:tl2br w:val="nil"/>
              <w:tr2bl w:val="nil"/>
            </w:tcBorders>
            <w:vAlign w:val="center"/>
          </w:tcPr>
          <w:p w14:paraId="53CD4BD4">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居民</w:t>
            </w:r>
          </w:p>
        </w:tc>
        <w:tc>
          <w:tcPr>
            <w:tcW w:w="903" w:type="dxa"/>
            <w:tcBorders>
              <w:tl2br w:val="nil"/>
              <w:tr2bl w:val="nil"/>
            </w:tcBorders>
            <w:vAlign w:val="center"/>
          </w:tcPr>
          <w:p w14:paraId="2243A07E">
            <w:pPr>
              <w:spacing w:line="240" w:lineRule="auto"/>
              <w:jc w:val="center"/>
              <w:rPr>
                <w:rFonts w:hint="default"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300人</w:t>
            </w:r>
          </w:p>
        </w:tc>
        <w:tc>
          <w:tcPr>
            <w:tcW w:w="827" w:type="dxa"/>
            <w:tcBorders>
              <w:tl2br w:val="nil"/>
              <w:tr2bl w:val="nil"/>
            </w:tcBorders>
            <w:vAlign w:val="center"/>
          </w:tcPr>
          <w:p w14:paraId="5A04A4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N</w:t>
            </w:r>
          </w:p>
        </w:tc>
        <w:tc>
          <w:tcPr>
            <w:tcW w:w="978" w:type="dxa"/>
            <w:tcBorders>
              <w:tl2br w:val="nil"/>
              <w:tr2bl w:val="nil"/>
            </w:tcBorders>
            <w:vAlign w:val="center"/>
          </w:tcPr>
          <w:p w14:paraId="2A600F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3.0</w:t>
            </w:r>
          </w:p>
        </w:tc>
        <w:tc>
          <w:tcPr>
            <w:tcW w:w="2877" w:type="dxa"/>
            <w:vMerge w:val="continue"/>
            <w:tcBorders>
              <w:tl2br w:val="nil"/>
              <w:tr2bl w:val="nil"/>
            </w:tcBorders>
            <w:vAlign w:val="center"/>
          </w:tcPr>
          <w:p w14:paraId="63681114">
            <w:pPr>
              <w:spacing w:line="240" w:lineRule="auto"/>
              <w:jc w:val="center"/>
              <w:rPr>
                <w:rFonts w:hint="eastAsia" w:ascii="Times New Roman" w:hAnsi="Times New Roman" w:eastAsia="宋体" w:cs="Times New Roman"/>
                <w:color w:val="000000"/>
                <w:kern w:val="0"/>
                <w:sz w:val="21"/>
                <w:szCs w:val="24"/>
              </w:rPr>
            </w:pPr>
          </w:p>
        </w:tc>
      </w:tr>
      <w:tr w14:paraId="33D99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54" w:hRule="atLeast"/>
          <w:jc w:val="center"/>
        </w:trPr>
        <w:tc>
          <w:tcPr>
            <w:tcW w:w="260" w:type="dxa"/>
            <w:tcBorders>
              <w:tl2br w:val="nil"/>
              <w:tr2bl w:val="nil"/>
            </w:tcBorders>
            <w:tcMar>
              <w:left w:w="0" w:type="dxa"/>
              <w:right w:w="0" w:type="dxa"/>
            </w:tcMar>
            <w:vAlign w:val="center"/>
          </w:tcPr>
          <w:p w14:paraId="762A52B2">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8</w:t>
            </w:r>
          </w:p>
        </w:tc>
        <w:tc>
          <w:tcPr>
            <w:tcW w:w="1757" w:type="dxa"/>
            <w:tcBorders>
              <w:tl2br w:val="nil"/>
              <w:tr2bl w:val="nil"/>
            </w:tcBorders>
            <w:vAlign w:val="center"/>
          </w:tcPr>
          <w:p w14:paraId="616011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125团</w:t>
            </w:r>
            <w:r>
              <w:rPr>
                <w:rFonts w:hint="eastAsia" w:cs="Times New Roman"/>
                <w:color w:val="000000"/>
                <w:kern w:val="0"/>
                <w:sz w:val="21"/>
                <w:szCs w:val="24"/>
                <w:lang w:val="en-US" w:eastAsia="zh-CN"/>
              </w:rPr>
              <w:t>团部</w:t>
            </w:r>
          </w:p>
        </w:tc>
        <w:tc>
          <w:tcPr>
            <w:tcW w:w="902" w:type="dxa"/>
            <w:tcBorders>
              <w:tl2br w:val="nil"/>
              <w:tr2bl w:val="nil"/>
            </w:tcBorders>
            <w:vAlign w:val="center"/>
          </w:tcPr>
          <w:p w14:paraId="355E8994">
            <w:pPr>
              <w:spacing w:line="240" w:lineRule="auto"/>
              <w:jc w:val="center"/>
              <w:rPr>
                <w:rFonts w:hint="eastAsia" w:ascii="Times New Roman" w:hAnsi="Times New Roman" w:eastAsia="宋体" w:cs="Times New Roman"/>
                <w:color w:val="000000"/>
                <w:kern w:val="0"/>
                <w:sz w:val="21"/>
                <w:szCs w:val="24"/>
                <w:lang w:val="en-US" w:eastAsia="zh-CN"/>
              </w:rPr>
            </w:pPr>
            <w:r>
              <w:rPr>
                <w:rFonts w:hint="eastAsia" w:ascii="Times New Roman" w:hAnsi="Times New Roman" w:eastAsia="宋体" w:cs="Times New Roman"/>
                <w:color w:val="000000"/>
                <w:kern w:val="0"/>
                <w:sz w:val="21"/>
                <w:szCs w:val="24"/>
                <w:lang w:val="en-US" w:eastAsia="zh-CN"/>
              </w:rPr>
              <w:t>居民</w:t>
            </w:r>
          </w:p>
        </w:tc>
        <w:tc>
          <w:tcPr>
            <w:tcW w:w="903" w:type="dxa"/>
            <w:tcBorders>
              <w:tl2br w:val="nil"/>
              <w:tr2bl w:val="nil"/>
            </w:tcBorders>
            <w:vAlign w:val="center"/>
          </w:tcPr>
          <w:p w14:paraId="74539F76">
            <w:pPr>
              <w:spacing w:line="240" w:lineRule="auto"/>
              <w:jc w:val="center"/>
              <w:rPr>
                <w:rFonts w:hint="default" w:ascii="Times New Roman" w:hAnsi="Times New Roman" w:eastAsia="宋体" w:cs="Times New Roman"/>
                <w:color w:val="000000"/>
                <w:kern w:val="0"/>
                <w:sz w:val="21"/>
                <w:szCs w:val="24"/>
                <w:lang w:val="en-US" w:eastAsia="zh-CN"/>
              </w:rPr>
            </w:pPr>
            <w:r>
              <w:rPr>
                <w:rFonts w:hint="eastAsia" w:cs="Times New Roman"/>
                <w:color w:val="000000"/>
                <w:kern w:val="0"/>
                <w:sz w:val="21"/>
                <w:szCs w:val="24"/>
                <w:lang w:val="en-US" w:eastAsia="zh-CN"/>
              </w:rPr>
              <w:t>2万人</w:t>
            </w:r>
          </w:p>
        </w:tc>
        <w:tc>
          <w:tcPr>
            <w:tcW w:w="827" w:type="dxa"/>
            <w:tcBorders>
              <w:tl2br w:val="nil"/>
              <w:tr2bl w:val="nil"/>
            </w:tcBorders>
            <w:vAlign w:val="center"/>
          </w:tcPr>
          <w:p w14:paraId="03A2F0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NE</w:t>
            </w:r>
          </w:p>
        </w:tc>
        <w:tc>
          <w:tcPr>
            <w:tcW w:w="978" w:type="dxa"/>
            <w:tcBorders>
              <w:tl2br w:val="nil"/>
              <w:tr2bl w:val="nil"/>
            </w:tcBorders>
            <w:vAlign w:val="center"/>
          </w:tcPr>
          <w:p w14:paraId="2BB0E2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0"/>
                <w:sz w:val="21"/>
                <w:szCs w:val="21"/>
                <w:lang w:val="en-US" w:eastAsia="zh-CN"/>
              </w:rPr>
            </w:pPr>
            <w:r>
              <w:rPr>
                <w:rFonts w:hint="eastAsia" w:cs="Times New Roman"/>
                <w:color w:val="000000"/>
                <w:kern w:val="0"/>
                <w:sz w:val="21"/>
                <w:szCs w:val="21"/>
                <w:lang w:val="en-US" w:eastAsia="zh-CN"/>
              </w:rPr>
              <w:t>3.0</w:t>
            </w:r>
          </w:p>
        </w:tc>
        <w:tc>
          <w:tcPr>
            <w:tcW w:w="2877" w:type="dxa"/>
            <w:vMerge w:val="continue"/>
            <w:tcBorders>
              <w:tl2br w:val="nil"/>
              <w:tr2bl w:val="nil"/>
            </w:tcBorders>
            <w:vAlign w:val="center"/>
          </w:tcPr>
          <w:p w14:paraId="231F9C5B">
            <w:pPr>
              <w:spacing w:line="240" w:lineRule="auto"/>
              <w:jc w:val="center"/>
              <w:rPr>
                <w:rFonts w:hint="eastAsia" w:ascii="Times New Roman" w:hAnsi="Times New Roman" w:eastAsia="宋体" w:cs="Times New Roman"/>
                <w:color w:val="000000"/>
                <w:kern w:val="0"/>
                <w:sz w:val="21"/>
                <w:szCs w:val="24"/>
              </w:rPr>
            </w:pPr>
          </w:p>
        </w:tc>
      </w:tr>
    </w:tbl>
    <w:p w14:paraId="41B7B9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val="0"/>
          <w:kern w:val="2"/>
          <w:sz w:val="24"/>
          <w:szCs w:val="24"/>
          <w:lang w:val="en-US" w:eastAsia="zh-CN" w:bidi="ar-SA"/>
        </w:rPr>
      </w:pPr>
      <w:r>
        <w:rPr>
          <w:rFonts w:hint="default" w:ascii="Times New Roman" w:hAnsi="Times New Roman" w:eastAsia="宋体" w:cs="Times New Roman"/>
          <w:bCs w:val="0"/>
          <w:kern w:val="2"/>
          <w:sz w:val="24"/>
          <w:szCs w:val="24"/>
          <w:lang w:val="en-US" w:eastAsia="zh-CN" w:bidi="ar-SA"/>
        </w:rPr>
        <w:t>依据《危险化学品重大危险源辨识》</w:t>
      </w:r>
      <w:r>
        <w:rPr>
          <w:rFonts w:hint="eastAsia" w:ascii="Times New Roman" w:hAnsi="Times New Roman" w:eastAsia="宋体" w:cs="Times New Roman"/>
          <w:bCs w:val="0"/>
          <w:kern w:val="2"/>
          <w:sz w:val="24"/>
          <w:szCs w:val="24"/>
          <w:lang w:val="en-US" w:eastAsia="zh-CN" w:bidi="ar-SA"/>
        </w:rPr>
        <w:t>（</w:t>
      </w:r>
      <w:r>
        <w:rPr>
          <w:rFonts w:hint="default" w:ascii="Times New Roman" w:hAnsi="Times New Roman" w:eastAsia="宋体" w:cs="Times New Roman"/>
          <w:bCs w:val="0"/>
          <w:kern w:val="2"/>
          <w:sz w:val="24"/>
          <w:szCs w:val="24"/>
          <w:lang w:val="en-US" w:eastAsia="zh-CN" w:bidi="ar-SA"/>
        </w:rPr>
        <w:t>GB18218-20</w:t>
      </w:r>
      <w:r>
        <w:rPr>
          <w:rFonts w:hint="eastAsia" w:ascii="Times New Roman" w:hAnsi="Times New Roman" w:eastAsia="宋体" w:cs="Times New Roman"/>
          <w:bCs w:val="0"/>
          <w:kern w:val="2"/>
          <w:sz w:val="24"/>
          <w:szCs w:val="24"/>
          <w:lang w:val="en-US" w:eastAsia="zh-CN" w:bidi="ar-SA"/>
        </w:rPr>
        <w:t>18）</w:t>
      </w:r>
      <w:r>
        <w:rPr>
          <w:rFonts w:hint="default" w:ascii="Times New Roman" w:hAnsi="Times New Roman" w:eastAsia="宋体" w:cs="Times New Roman"/>
          <w:bCs w:val="0"/>
          <w:kern w:val="2"/>
          <w:sz w:val="24"/>
          <w:szCs w:val="24"/>
          <w:lang w:val="en-US" w:eastAsia="zh-CN" w:bidi="ar-SA"/>
        </w:rPr>
        <w:t>表1、表2所列有毒、易燃、爆炸性危险物质名称，本项目涉及的主要危险物质是</w:t>
      </w:r>
      <w:r>
        <w:rPr>
          <w:rFonts w:hint="eastAsia" w:ascii="Times New Roman" w:hAnsi="Times New Roman" w:eastAsia="宋体" w:cs="Times New Roman"/>
          <w:bCs w:val="0"/>
          <w:kern w:val="2"/>
          <w:sz w:val="24"/>
          <w:szCs w:val="24"/>
          <w:lang w:val="en-US" w:eastAsia="zh-CN" w:bidi="ar-SA"/>
        </w:rPr>
        <w:t>氨气</w:t>
      </w:r>
      <w:r>
        <w:rPr>
          <w:rFonts w:hint="eastAsia" w:ascii="Times New Roman" w:hAnsi="Times New Roman" w:eastAsia="宋体" w:cs="Times New Roman"/>
          <w:color w:val="000000"/>
          <w:kern w:val="2"/>
          <w:sz w:val="24"/>
          <w:szCs w:val="24"/>
          <w:lang w:val="en-US" w:eastAsia="zh-CN" w:bidi="ar-SA"/>
        </w:rPr>
        <w:t>、硫化氢、过氧乙酸，对照《建设项目环境风险评价技术导则》（HJ169-2018）附录B，氨气、硫化氢以及过氧乙酸属于环境风险物质，临界量分别为5t、2</w:t>
      </w:r>
      <w:r>
        <w:rPr>
          <w:rFonts w:hint="default" w:ascii="Times New Roman" w:hAnsi="Times New Roman" w:eastAsia="宋体" w:cs="Times New Roman"/>
          <w:color w:val="000000"/>
          <w:kern w:val="2"/>
          <w:sz w:val="24"/>
          <w:szCs w:val="24"/>
          <w:lang w:val="en-US" w:eastAsia="zh-CN" w:bidi="ar-SA"/>
        </w:rPr>
        <w:t>.5</w:t>
      </w:r>
      <w:r>
        <w:rPr>
          <w:rFonts w:hint="eastAsia" w:ascii="Times New Roman" w:hAnsi="Times New Roman" w:eastAsia="宋体" w:cs="Times New Roman"/>
          <w:color w:val="000000"/>
          <w:kern w:val="2"/>
          <w:sz w:val="24"/>
          <w:szCs w:val="24"/>
          <w:lang w:val="en-US" w:eastAsia="zh-CN" w:bidi="ar-SA"/>
        </w:rPr>
        <w:t>t、5t。根据《建设项目环境风险评价技术导则》（HJ169-2018）以及《企业突发环境事件风险分级方法》（HJ941-2018），氢氧化钙均无临界量。</w:t>
      </w:r>
      <w:r>
        <w:rPr>
          <w:rFonts w:hint="default" w:ascii="Times New Roman" w:hAnsi="Times New Roman" w:eastAsia="宋体" w:cs="Times New Roman"/>
          <w:bCs w:val="0"/>
          <w:kern w:val="2"/>
          <w:sz w:val="24"/>
          <w:szCs w:val="24"/>
          <w:lang w:val="en-US" w:eastAsia="zh-CN" w:bidi="ar-SA"/>
        </w:rPr>
        <w:t>危险物质的重大危险源识别结果见表</w:t>
      </w:r>
      <w:r>
        <w:rPr>
          <w:rFonts w:hint="eastAsia" w:ascii="Times New Roman" w:hAnsi="Times New Roman" w:eastAsia="宋体" w:cs="Times New Roman"/>
          <w:bCs w:val="0"/>
          <w:kern w:val="2"/>
          <w:sz w:val="24"/>
          <w:szCs w:val="24"/>
          <w:lang w:val="en-US" w:eastAsia="zh-CN" w:bidi="ar-SA"/>
        </w:rPr>
        <w:t>6.1-3</w:t>
      </w:r>
      <w:r>
        <w:rPr>
          <w:rFonts w:hint="default" w:ascii="Times New Roman" w:hAnsi="Times New Roman" w:eastAsia="宋体" w:cs="Times New Roman"/>
          <w:bCs w:val="0"/>
          <w:kern w:val="2"/>
          <w:sz w:val="24"/>
          <w:szCs w:val="24"/>
          <w:lang w:val="en-US" w:eastAsia="zh-CN" w:bidi="ar-SA"/>
        </w:rPr>
        <w:t>。</w:t>
      </w:r>
    </w:p>
    <w:p w14:paraId="1DEDA4B3">
      <w:pPr>
        <w:spacing w:line="360" w:lineRule="auto"/>
        <w:ind w:firstLine="0" w:firstLineChars="0"/>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表</w:t>
      </w:r>
      <w:r>
        <w:rPr>
          <w:rFonts w:hint="eastAsia" w:ascii="Times New Roman" w:hAnsi="Times New Roman" w:eastAsia="宋体" w:cs="Times New Roman"/>
          <w:b/>
          <w:bCs/>
          <w:sz w:val="24"/>
          <w:szCs w:val="24"/>
          <w:lang w:val="en-US" w:eastAsia="zh-CN"/>
        </w:rPr>
        <w:t xml:space="preserve">6.1-3  </w:t>
      </w:r>
      <w:r>
        <w:rPr>
          <w:rFonts w:hint="default" w:ascii="Times New Roman" w:hAnsi="Times New Roman" w:eastAsia="宋体" w:cs="Times New Roman"/>
          <w:b/>
          <w:bCs/>
          <w:sz w:val="24"/>
          <w:szCs w:val="24"/>
        </w:rPr>
        <w:t>重大危险源识别表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096"/>
        <w:gridCol w:w="2305"/>
        <w:gridCol w:w="1702"/>
        <w:gridCol w:w="1701"/>
      </w:tblGrid>
      <w:tr w14:paraId="124F3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00" w:type="dxa"/>
            <w:tcBorders>
              <w:tl2br w:val="nil"/>
              <w:tr2bl w:val="nil"/>
            </w:tcBorders>
            <w:shd w:val="clear" w:color="auto" w:fill="auto"/>
            <w:noWrap w:val="0"/>
            <w:vAlign w:val="center"/>
          </w:tcPr>
          <w:p w14:paraId="3BFACD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危险物质名称</w:t>
            </w:r>
          </w:p>
        </w:tc>
        <w:tc>
          <w:tcPr>
            <w:tcW w:w="1096" w:type="dxa"/>
            <w:tcBorders>
              <w:tl2br w:val="nil"/>
              <w:tr2bl w:val="nil"/>
            </w:tcBorders>
            <w:shd w:val="clear" w:color="auto" w:fill="auto"/>
            <w:noWrap w:val="0"/>
            <w:vAlign w:val="center"/>
          </w:tcPr>
          <w:p w14:paraId="25C30C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CAS号</w:t>
            </w:r>
          </w:p>
        </w:tc>
        <w:tc>
          <w:tcPr>
            <w:tcW w:w="2305" w:type="dxa"/>
            <w:tcBorders>
              <w:tl2br w:val="nil"/>
              <w:tr2bl w:val="nil"/>
            </w:tcBorders>
            <w:shd w:val="clear" w:color="auto" w:fill="auto"/>
            <w:noWrap w:val="0"/>
            <w:vAlign w:val="center"/>
          </w:tcPr>
          <w:p w14:paraId="2E6785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最大存在总量（</w:t>
            </w:r>
            <w:r>
              <w:rPr>
                <w:rFonts w:hint="eastAsia" w:ascii="Times New Roman" w:hAnsi="Times New Roman" w:eastAsia="宋体" w:cs="Times New Roman"/>
                <w:b/>
                <w:bCs/>
                <w:color w:val="000000"/>
                <w:sz w:val="21"/>
                <w:szCs w:val="21"/>
                <w:lang w:val="en-US" w:eastAsia="zh-CN"/>
              </w:rPr>
              <w:t>q</w:t>
            </w:r>
            <w:r>
              <w:rPr>
                <w:rFonts w:hint="eastAsia" w:ascii="Times New Roman" w:hAnsi="Times New Roman" w:eastAsia="宋体" w:cs="Times New Roman"/>
                <w:b/>
                <w:bCs/>
                <w:color w:val="000000"/>
                <w:sz w:val="21"/>
                <w:szCs w:val="21"/>
                <w:vertAlign w:val="subscript"/>
                <w:lang w:val="en-US" w:eastAsia="zh-CN"/>
              </w:rPr>
              <w:t>1</w:t>
            </w:r>
            <w:r>
              <w:rPr>
                <w:rFonts w:hint="default" w:ascii="Times New Roman" w:hAnsi="Times New Roman" w:eastAsia="宋体" w:cs="Times New Roman"/>
                <w:b/>
                <w:bCs/>
                <w:color w:val="000000"/>
                <w:sz w:val="21"/>
                <w:szCs w:val="21"/>
              </w:rPr>
              <w:t>）</w:t>
            </w:r>
          </w:p>
        </w:tc>
        <w:tc>
          <w:tcPr>
            <w:tcW w:w="1702" w:type="dxa"/>
            <w:tcBorders>
              <w:tl2br w:val="nil"/>
              <w:tr2bl w:val="nil"/>
            </w:tcBorders>
            <w:shd w:val="clear" w:color="auto" w:fill="auto"/>
            <w:noWrap w:val="0"/>
            <w:vAlign w:val="center"/>
          </w:tcPr>
          <w:p w14:paraId="483CBA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临界量（Q</w:t>
            </w:r>
            <w:r>
              <w:rPr>
                <w:rFonts w:hint="default" w:ascii="Times New Roman" w:hAnsi="Times New Roman" w:eastAsia="宋体" w:cs="Times New Roman"/>
                <w:b/>
                <w:bCs/>
                <w:color w:val="000000"/>
                <w:sz w:val="21"/>
                <w:szCs w:val="21"/>
                <w:vertAlign w:val="subscript"/>
              </w:rPr>
              <w:t>1</w:t>
            </w:r>
            <w:r>
              <w:rPr>
                <w:rFonts w:hint="default" w:ascii="Times New Roman" w:hAnsi="Times New Roman" w:eastAsia="宋体" w:cs="Times New Roman"/>
                <w:b/>
                <w:bCs/>
                <w:color w:val="000000"/>
                <w:sz w:val="21"/>
                <w:szCs w:val="21"/>
              </w:rPr>
              <w:t>）</w:t>
            </w:r>
          </w:p>
        </w:tc>
        <w:tc>
          <w:tcPr>
            <w:tcW w:w="1701" w:type="dxa"/>
            <w:tcBorders>
              <w:tl2br w:val="nil"/>
              <w:tr2bl w:val="nil"/>
            </w:tcBorders>
            <w:shd w:val="clear" w:color="auto" w:fill="auto"/>
            <w:noWrap w:val="0"/>
            <w:vAlign w:val="center"/>
          </w:tcPr>
          <w:p w14:paraId="7C4C8D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Q（q</w:t>
            </w:r>
            <w:r>
              <w:rPr>
                <w:rFonts w:hint="default" w:ascii="Times New Roman" w:hAnsi="Times New Roman" w:eastAsia="宋体" w:cs="Times New Roman"/>
                <w:b/>
                <w:bCs/>
                <w:color w:val="000000"/>
                <w:sz w:val="21"/>
                <w:szCs w:val="21"/>
                <w:vertAlign w:val="subscript"/>
              </w:rPr>
              <w:t>l</w:t>
            </w:r>
            <w:r>
              <w:rPr>
                <w:rFonts w:hint="default" w:ascii="Times New Roman" w:hAnsi="Times New Roman" w:eastAsia="宋体" w:cs="Times New Roman"/>
                <w:b/>
                <w:bCs/>
                <w:color w:val="000000"/>
                <w:sz w:val="21"/>
                <w:szCs w:val="21"/>
              </w:rPr>
              <w:t>/Q</w:t>
            </w:r>
            <w:r>
              <w:rPr>
                <w:rFonts w:hint="default" w:ascii="Times New Roman" w:hAnsi="Times New Roman" w:eastAsia="宋体" w:cs="Times New Roman"/>
                <w:b/>
                <w:bCs/>
                <w:color w:val="000000"/>
                <w:sz w:val="21"/>
                <w:szCs w:val="21"/>
                <w:vertAlign w:val="subscript"/>
              </w:rPr>
              <w:t>1</w:t>
            </w:r>
            <w:r>
              <w:rPr>
                <w:rFonts w:hint="default" w:ascii="Times New Roman" w:hAnsi="Times New Roman" w:eastAsia="宋体" w:cs="Times New Roman"/>
                <w:b/>
                <w:bCs/>
                <w:color w:val="000000"/>
                <w:sz w:val="21"/>
                <w:szCs w:val="21"/>
              </w:rPr>
              <w:t>）</w:t>
            </w:r>
          </w:p>
        </w:tc>
      </w:tr>
      <w:tr w14:paraId="26844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00" w:type="dxa"/>
            <w:tcBorders>
              <w:tl2br w:val="nil"/>
              <w:tr2bl w:val="nil"/>
            </w:tcBorders>
            <w:shd w:val="clear" w:color="auto" w:fill="auto"/>
            <w:noWrap w:val="0"/>
            <w:vAlign w:val="center"/>
          </w:tcPr>
          <w:p w14:paraId="6818F0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氨</w:t>
            </w:r>
          </w:p>
        </w:tc>
        <w:tc>
          <w:tcPr>
            <w:tcW w:w="1096" w:type="dxa"/>
            <w:tcBorders>
              <w:tl2br w:val="nil"/>
              <w:tr2bl w:val="nil"/>
            </w:tcBorders>
            <w:shd w:val="clear" w:color="auto" w:fill="auto"/>
            <w:noWrap w:val="0"/>
            <w:vAlign w:val="center"/>
          </w:tcPr>
          <w:p w14:paraId="5078D4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7664-41-7</w:t>
            </w:r>
          </w:p>
        </w:tc>
        <w:tc>
          <w:tcPr>
            <w:tcW w:w="2305" w:type="dxa"/>
            <w:tcBorders>
              <w:tl2br w:val="nil"/>
              <w:tr2bl w:val="nil"/>
            </w:tcBorders>
            <w:shd w:val="clear" w:color="auto" w:fill="auto"/>
            <w:noWrap w:val="0"/>
            <w:vAlign w:val="center"/>
          </w:tcPr>
          <w:p w14:paraId="0F72E0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0.0737</w:t>
            </w:r>
          </w:p>
        </w:tc>
        <w:tc>
          <w:tcPr>
            <w:tcW w:w="1702" w:type="dxa"/>
            <w:tcBorders>
              <w:tl2br w:val="nil"/>
              <w:tr2bl w:val="nil"/>
            </w:tcBorders>
            <w:shd w:val="clear" w:color="auto" w:fill="auto"/>
            <w:noWrap w:val="0"/>
            <w:vAlign w:val="center"/>
          </w:tcPr>
          <w:p w14:paraId="443F6B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5</w:t>
            </w:r>
          </w:p>
        </w:tc>
        <w:tc>
          <w:tcPr>
            <w:tcW w:w="1701" w:type="dxa"/>
            <w:tcBorders>
              <w:tl2br w:val="nil"/>
              <w:tr2bl w:val="nil"/>
            </w:tcBorders>
            <w:shd w:val="clear" w:color="auto" w:fill="auto"/>
            <w:noWrap w:val="0"/>
            <w:vAlign w:val="center"/>
          </w:tcPr>
          <w:p w14:paraId="11A86B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0.01474</w:t>
            </w:r>
          </w:p>
        </w:tc>
      </w:tr>
      <w:tr w14:paraId="3552F8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00" w:type="dxa"/>
            <w:tcBorders>
              <w:tl2br w:val="nil"/>
              <w:tr2bl w:val="nil"/>
            </w:tcBorders>
            <w:shd w:val="clear" w:color="auto" w:fill="auto"/>
            <w:noWrap w:val="0"/>
            <w:vAlign w:val="center"/>
          </w:tcPr>
          <w:p w14:paraId="006526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硫化氢</w:t>
            </w:r>
          </w:p>
        </w:tc>
        <w:tc>
          <w:tcPr>
            <w:tcW w:w="1096" w:type="dxa"/>
            <w:tcBorders>
              <w:tl2br w:val="nil"/>
              <w:tr2bl w:val="nil"/>
            </w:tcBorders>
            <w:shd w:val="clear" w:color="auto" w:fill="auto"/>
            <w:noWrap w:val="0"/>
            <w:vAlign w:val="center"/>
          </w:tcPr>
          <w:p w14:paraId="73AB0F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7783-06-4</w:t>
            </w:r>
          </w:p>
        </w:tc>
        <w:tc>
          <w:tcPr>
            <w:tcW w:w="2305" w:type="dxa"/>
            <w:tcBorders>
              <w:tl2br w:val="nil"/>
              <w:tr2bl w:val="nil"/>
            </w:tcBorders>
            <w:shd w:val="clear" w:color="auto" w:fill="auto"/>
            <w:noWrap w:val="0"/>
            <w:vAlign w:val="center"/>
          </w:tcPr>
          <w:p w14:paraId="05EC2E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0.0015</w:t>
            </w:r>
          </w:p>
        </w:tc>
        <w:tc>
          <w:tcPr>
            <w:tcW w:w="1702" w:type="dxa"/>
            <w:tcBorders>
              <w:tl2br w:val="nil"/>
              <w:tr2bl w:val="nil"/>
            </w:tcBorders>
            <w:shd w:val="clear" w:color="auto" w:fill="auto"/>
            <w:noWrap w:val="0"/>
            <w:vAlign w:val="center"/>
          </w:tcPr>
          <w:p w14:paraId="69EA9D9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2.5</w:t>
            </w:r>
          </w:p>
        </w:tc>
        <w:tc>
          <w:tcPr>
            <w:tcW w:w="1701" w:type="dxa"/>
            <w:tcBorders>
              <w:tl2br w:val="nil"/>
              <w:tr2bl w:val="nil"/>
            </w:tcBorders>
            <w:shd w:val="clear" w:color="auto" w:fill="auto"/>
            <w:noWrap w:val="0"/>
            <w:vAlign w:val="center"/>
          </w:tcPr>
          <w:p w14:paraId="0F09AB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0.0006</w:t>
            </w:r>
          </w:p>
        </w:tc>
      </w:tr>
      <w:tr w14:paraId="26BEB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00" w:type="dxa"/>
            <w:tcBorders>
              <w:tl2br w:val="nil"/>
              <w:tr2bl w:val="nil"/>
            </w:tcBorders>
            <w:shd w:val="clear" w:color="auto" w:fill="auto"/>
            <w:noWrap w:val="0"/>
            <w:vAlign w:val="center"/>
          </w:tcPr>
          <w:p w14:paraId="0F6D9D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COD浓度≥10000mg/L</w:t>
            </w:r>
            <w:r>
              <w:rPr>
                <w:rFonts w:hint="eastAsia" w:ascii="Times New Roman" w:hAnsi="Times New Roman" w:eastAsia="宋体" w:cs="Times New Roman"/>
                <w:color w:val="000000"/>
                <w:sz w:val="21"/>
                <w:szCs w:val="21"/>
                <w:lang w:val="en-US" w:eastAsia="zh-CN"/>
              </w:rPr>
              <w:t>有机废液</w:t>
            </w:r>
          </w:p>
        </w:tc>
        <w:tc>
          <w:tcPr>
            <w:tcW w:w="1096" w:type="dxa"/>
            <w:tcBorders>
              <w:tl2br w:val="nil"/>
              <w:tr2bl w:val="nil"/>
            </w:tcBorders>
            <w:shd w:val="clear" w:color="auto" w:fill="auto"/>
            <w:noWrap w:val="0"/>
            <w:vAlign w:val="center"/>
          </w:tcPr>
          <w:p w14:paraId="21646A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w:t>
            </w:r>
          </w:p>
        </w:tc>
        <w:tc>
          <w:tcPr>
            <w:tcW w:w="2305" w:type="dxa"/>
            <w:tcBorders>
              <w:tl2br w:val="nil"/>
              <w:tr2bl w:val="nil"/>
            </w:tcBorders>
            <w:shd w:val="clear" w:color="auto" w:fill="auto"/>
            <w:noWrap w:val="0"/>
            <w:vAlign w:val="center"/>
          </w:tcPr>
          <w:p w14:paraId="1D1556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w:t>
            </w:r>
          </w:p>
        </w:tc>
        <w:tc>
          <w:tcPr>
            <w:tcW w:w="1702" w:type="dxa"/>
            <w:tcBorders>
              <w:tl2br w:val="nil"/>
              <w:tr2bl w:val="nil"/>
            </w:tcBorders>
            <w:shd w:val="clear" w:color="auto" w:fill="auto"/>
            <w:noWrap w:val="0"/>
            <w:vAlign w:val="center"/>
          </w:tcPr>
          <w:p w14:paraId="29503A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10</w:t>
            </w:r>
          </w:p>
        </w:tc>
        <w:tc>
          <w:tcPr>
            <w:tcW w:w="1701" w:type="dxa"/>
            <w:tcBorders>
              <w:tl2br w:val="nil"/>
              <w:tr2bl w:val="nil"/>
            </w:tcBorders>
            <w:shd w:val="clear" w:color="auto" w:fill="auto"/>
            <w:noWrap w:val="0"/>
            <w:vAlign w:val="center"/>
          </w:tcPr>
          <w:p w14:paraId="03A3D8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w:t>
            </w:r>
          </w:p>
        </w:tc>
      </w:tr>
      <w:tr w14:paraId="03263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803" w:type="dxa"/>
            <w:gridSpan w:val="4"/>
            <w:tcBorders>
              <w:tl2br w:val="nil"/>
              <w:tr2bl w:val="nil"/>
            </w:tcBorders>
            <w:shd w:val="clear" w:color="auto" w:fill="auto"/>
            <w:noWrap w:val="0"/>
            <w:vAlign w:val="center"/>
          </w:tcPr>
          <w:p w14:paraId="707015E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合计</w:t>
            </w:r>
          </w:p>
        </w:tc>
        <w:tc>
          <w:tcPr>
            <w:tcW w:w="1701" w:type="dxa"/>
            <w:tcBorders>
              <w:tl2br w:val="nil"/>
              <w:tr2bl w:val="nil"/>
            </w:tcBorders>
            <w:shd w:val="clear" w:color="auto" w:fill="auto"/>
            <w:noWrap w:val="0"/>
            <w:vAlign w:val="center"/>
          </w:tcPr>
          <w:p w14:paraId="39D3F6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0.01534</w:t>
            </w:r>
          </w:p>
        </w:tc>
      </w:tr>
    </w:tbl>
    <w:p w14:paraId="78BDA9F0">
      <w:pPr>
        <w:keepNext w:val="0"/>
        <w:keepLines w:val="0"/>
        <w:pageBreakBefore w:val="0"/>
        <w:widowControl/>
        <w:wordWrap/>
        <w:topLinePunct w:val="0"/>
        <w:bidi w:val="0"/>
        <w:spacing w:line="360" w:lineRule="auto"/>
        <w:ind w:firstLine="480" w:firstLineChars="200"/>
        <w:jc w:val="left"/>
        <w:rPr>
          <w:rFonts w:hint="default" w:ascii="Times New Roman" w:hAnsi="Times New Roman" w:eastAsia="宋体" w:cs="Times New Roman"/>
          <w:b/>
          <w:bCs/>
          <w:sz w:val="24"/>
          <w:szCs w:val="24"/>
        </w:rPr>
      </w:pPr>
      <w:r>
        <w:rPr>
          <w:rFonts w:hint="eastAsia" w:ascii="Times New Roman" w:hAnsi="Times New Roman" w:eastAsia="宋体" w:cs="宋体"/>
          <w:color w:val="auto"/>
          <w:kern w:val="0"/>
          <w:sz w:val="24"/>
          <w:szCs w:val="24"/>
        </w:rPr>
        <w:t>本项目</w:t>
      </w:r>
      <w:r>
        <w:rPr>
          <w:rFonts w:hint="eastAsia" w:ascii="Times New Roman" w:hAnsi="Times New Roman" w:eastAsia="宋体" w:cs="宋体"/>
          <w:color w:val="auto"/>
          <w:kern w:val="0"/>
          <w:sz w:val="24"/>
          <w:szCs w:val="24"/>
          <w:lang w:val="en-US" w:eastAsia="zh-CN"/>
        </w:rPr>
        <w:t>产生</w:t>
      </w:r>
      <w:r>
        <w:rPr>
          <w:rFonts w:hint="eastAsia" w:ascii="Times New Roman" w:hAnsi="Times New Roman" w:eastAsia="宋体" w:cs="Times New Roman"/>
          <w:color w:val="000000"/>
          <w:kern w:val="2"/>
          <w:sz w:val="24"/>
          <w:szCs w:val="24"/>
          <w:lang w:val="en-US" w:eastAsia="zh-CN" w:bidi="ar-SA"/>
        </w:rPr>
        <w:t>氨气、硫化氢</w:t>
      </w:r>
      <w:r>
        <w:rPr>
          <w:rFonts w:hint="eastAsia" w:ascii="Times New Roman" w:hAnsi="Times New Roman" w:eastAsia="宋体" w:cs="Times New Roman"/>
          <w:b w:val="0"/>
          <w:bCs w:val="0"/>
          <w:color w:val="auto"/>
          <w:sz w:val="24"/>
          <w:szCs w:val="24"/>
          <w:lang w:val="en-US" w:eastAsia="zh-CN"/>
        </w:rPr>
        <w:t>的环节主要是牛圈、堆肥间等，氨气、硫化氢均以无组织形式排入环境空气，不在项目区内贮存，因此最大存在总量以每小时最大排放量计</w:t>
      </w:r>
      <w:r>
        <w:rPr>
          <w:rFonts w:hint="eastAsia" w:ascii="Times New Roman" w:hAnsi="Times New Roman" w:eastAsia="宋体" w:cs="宋体"/>
          <w:color w:val="auto"/>
          <w:kern w:val="0"/>
          <w:sz w:val="24"/>
          <w:szCs w:val="24"/>
          <w:lang w:val="en-US" w:eastAsia="zh-CN"/>
        </w:rPr>
        <w:t>。</w:t>
      </w:r>
      <w:r>
        <w:rPr>
          <w:rFonts w:hint="eastAsia" w:ascii="Times New Roman" w:hAnsi="Times New Roman" w:eastAsia="宋体" w:cs="Times New Roman"/>
          <w:color w:val="auto"/>
          <w:sz w:val="24"/>
          <w:szCs w:val="24"/>
          <w:lang w:val="en-US" w:eastAsia="zh-CN" w:bidi="ar-SA"/>
        </w:rPr>
        <w:t>本项目牛尿COD浓度≥10000mg/L，但是本项目正常工况下牛尿能够完全被发酵垫料吸收，因此存在量为0</w:t>
      </w:r>
      <w:r>
        <w:rPr>
          <w:rFonts w:hint="default" w:ascii="Times New Roman" w:hAnsi="Times New Roman" w:eastAsia="宋体" w:cs="Times New Roman"/>
          <w:color w:val="auto"/>
          <w:sz w:val="24"/>
          <w:szCs w:val="24"/>
          <w:lang w:val="zh-CN" w:eastAsia="zh-CN" w:bidi="ar-SA"/>
        </w:rPr>
        <w:t>。</w:t>
      </w:r>
      <w:r>
        <w:rPr>
          <w:rFonts w:hint="default" w:ascii="Times New Roman" w:hAnsi="Times New Roman" w:eastAsia="宋体" w:cs="Times New Roman"/>
          <w:bCs w:val="0"/>
          <w:sz w:val="24"/>
          <w:szCs w:val="24"/>
        </w:rPr>
        <w:t>由表</w:t>
      </w:r>
      <w:r>
        <w:rPr>
          <w:rFonts w:hint="eastAsia" w:ascii="Times New Roman" w:hAnsi="Times New Roman" w:eastAsia="宋体" w:cs="Times New Roman"/>
          <w:bCs w:val="0"/>
          <w:sz w:val="24"/>
          <w:szCs w:val="24"/>
          <w:lang w:val="en-US" w:eastAsia="zh-CN"/>
        </w:rPr>
        <w:t>6.1-1</w:t>
      </w:r>
      <w:r>
        <w:rPr>
          <w:rFonts w:hint="default" w:ascii="Times New Roman" w:hAnsi="Times New Roman" w:eastAsia="宋体" w:cs="Times New Roman"/>
          <w:bCs w:val="0"/>
          <w:sz w:val="24"/>
          <w:szCs w:val="24"/>
        </w:rPr>
        <w:t>的重大危险源辨识结果看出，项目</w:t>
      </w:r>
      <w:r>
        <w:rPr>
          <w:rFonts w:hint="eastAsia" w:ascii="Times New Roman" w:hAnsi="Times New Roman" w:eastAsia="宋体" w:cs="Times New Roman"/>
          <w:bCs w:val="0"/>
          <w:sz w:val="24"/>
          <w:szCs w:val="24"/>
          <w:lang w:val="en-US" w:eastAsia="zh-CN"/>
        </w:rPr>
        <w:t>场区内Q值0.01534</w:t>
      </w:r>
      <w:r>
        <w:rPr>
          <w:rFonts w:hint="default" w:ascii="Times New Roman" w:hAnsi="Times New Roman" w:eastAsia="宋体" w:cs="Times New Roman"/>
          <w:bCs w:val="0"/>
          <w:sz w:val="24"/>
          <w:szCs w:val="24"/>
        </w:rPr>
        <w:t>小于1</w:t>
      </w:r>
      <w:r>
        <w:rPr>
          <w:rFonts w:hint="eastAsia" w:ascii="Times New Roman" w:hAnsi="Times New Roman" w:eastAsia="宋体" w:cs="Times New Roman"/>
          <w:bCs w:val="0"/>
          <w:sz w:val="24"/>
          <w:szCs w:val="24"/>
          <w:lang w:eastAsia="zh-CN"/>
        </w:rPr>
        <w:t>，风险潜势为</w:t>
      </w:r>
      <w:r>
        <w:rPr>
          <w:rFonts w:hint="default" w:ascii="Times New Roman" w:hAnsi="Times New Roman" w:eastAsia="宋体" w:cs="Times New Roman"/>
          <w:bCs w:val="0"/>
          <w:sz w:val="24"/>
          <w:szCs w:val="24"/>
          <w:lang w:eastAsia="zh-CN"/>
        </w:rPr>
        <w:t>Ⅰ</w:t>
      </w:r>
      <w:r>
        <w:rPr>
          <w:rFonts w:hint="eastAsia" w:ascii="Times New Roman" w:hAnsi="Times New Roman" w:eastAsia="宋体" w:cs="Times New Roman"/>
          <w:bCs w:val="0"/>
          <w:sz w:val="24"/>
          <w:szCs w:val="24"/>
          <w:lang w:eastAsia="zh-CN"/>
        </w:rPr>
        <w:t>，</w:t>
      </w:r>
      <w:r>
        <w:rPr>
          <w:rFonts w:hint="default" w:ascii="Times New Roman" w:hAnsi="Times New Roman" w:eastAsia="宋体" w:cs="Times New Roman"/>
          <w:bCs w:val="0"/>
          <w:sz w:val="24"/>
          <w:szCs w:val="24"/>
        </w:rPr>
        <w:t>不</w:t>
      </w:r>
      <w:r>
        <w:rPr>
          <w:rFonts w:hint="eastAsia" w:ascii="Times New Roman" w:hAnsi="Times New Roman" w:eastAsia="宋体" w:cs="Times New Roman"/>
          <w:bCs w:val="0"/>
          <w:sz w:val="24"/>
          <w:szCs w:val="24"/>
          <w:lang w:eastAsia="zh-CN"/>
        </w:rPr>
        <w:t>存在</w:t>
      </w:r>
      <w:r>
        <w:rPr>
          <w:rFonts w:hint="default" w:ascii="Times New Roman" w:hAnsi="Times New Roman" w:eastAsia="宋体" w:cs="Times New Roman"/>
          <w:bCs w:val="0"/>
          <w:sz w:val="24"/>
          <w:szCs w:val="24"/>
        </w:rPr>
        <w:t>重大危险源。</w:t>
      </w:r>
    </w:p>
    <w:p w14:paraId="2413828E">
      <w:pPr>
        <w:spacing w:line="360" w:lineRule="auto"/>
        <w:outlineLvl w:val="3"/>
        <w:rPr>
          <w:rFonts w:hint="default" w:ascii="Times New Roman" w:hAnsi="Times New Roman" w:eastAsia="宋体" w:cs="Times New Roman"/>
          <w:b/>
          <w:color w:val="000000"/>
          <w:sz w:val="24"/>
          <w:lang w:val="en-US" w:eastAsia="zh-CN"/>
        </w:rPr>
      </w:pPr>
      <w:r>
        <w:rPr>
          <w:rFonts w:hint="eastAsia" w:ascii="Times New Roman" w:hAnsi="Times New Roman" w:eastAsia="宋体" w:cs="Times New Roman"/>
          <w:b/>
          <w:color w:val="000000"/>
          <w:sz w:val="24"/>
          <w:lang w:val="en-US" w:eastAsia="zh-CN"/>
        </w:rPr>
        <w:t>6.1.3.2</w:t>
      </w:r>
      <w:r>
        <w:rPr>
          <w:rFonts w:hint="default" w:ascii="Times New Roman" w:hAnsi="Times New Roman" w:eastAsia="宋体" w:cs="Times New Roman"/>
          <w:b/>
          <w:color w:val="000000"/>
          <w:sz w:val="24"/>
          <w:lang w:val="en-US" w:eastAsia="zh-CN"/>
        </w:rPr>
        <w:t>评价工作等级</w:t>
      </w:r>
    </w:p>
    <w:p w14:paraId="473752D8">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根据《建设项目环境风险评价技术导则》（HJ169-2018），环境风险评价工作等级为简单分析，评价深度以定性说明为主，划分依据见表</w:t>
      </w:r>
      <w:r>
        <w:rPr>
          <w:rFonts w:hint="eastAsia" w:ascii="Times New Roman" w:hAnsi="Times New Roman" w:eastAsia="宋体" w:cs="Times New Roman"/>
          <w:sz w:val="24"/>
          <w:szCs w:val="24"/>
          <w:lang w:val="en-US" w:eastAsia="zh-CN"/>
        </w:rPr>
        <w:t>6.1-4</w:t>
      </w:r>
      <w:r>
        <w:rPr>
          <w:rFonts w:hint="default" w:ascii="Times New Roman" w:hAnsi="Times New Roman" w:eastAsia="宋体" w:cs="Times New Roman"/>
          <w:sz w:val="24"/>
          <w:szCs w:val="24"/>
        </w:rPr>
        <w:t>。</w:t>
      </w:r>
    </w:p>
    <w:p w14:paraId="66889230">
      <w:pPr>
        <w:spacing w:line="360" w:lineRule="auto"/>
        <w:ind w:firstLine="482" w:firstLineChars="200"/>
        <w:jc w:val="center"/>
        <w:rPr>
          <w:rFonts w:hint="default" w:ascii="Times New Roman" w:hAnsi="Times New Roman" w:eastAsia="宋体" w:cs="Times New Roman"/>
          <w:b/>
          <w:bCs/>
          <w:sz w:val="24"/>
          <w:szCs w:val="24"/>
          <w:lang w:val="zh-CN"/>
        </w:rPr>
      </w:pPr>
      <w:r>
        <w:rPr>
          <w:rFonts w:hint="default" w:ascii="Times New Roman" w:hAnsi="Times New Roman" w:eastAsia="宋体" w:cs="Times New Roman"/>
          <w:b/>
          <w:bCs/>
          <w:sz w:val="24"/>
          <w:szCs w:val="24"/>
          <w:lang w:val="zh-CN"/>
        </w:rPr>
        <w:t>表</w:t>
      </w:r>
      <w:r>
        <w:rPr>
          <w:rFonts w:hint="eastAsia" w:ascii="Times New Roman" w:hAnsi="Times New Roman" w:eastAsia="宋体" w:cs="Times New Roman"/>
          <w:b/>
          <w:bCs/>
          <w:sz w:val="24"/>
          <w:szCs w:val="24"/>
          <w:lang w:val="en-US" w:eastAsia="zh-CN"/>
        </w:rPr>
        <w:t xml:space="preserve">6.1-4  </w:t>
      </w:r>
      <w:r>
        <w:rPr>
          <w:rFonts w:hint="default" w:ascii="Times New Roman" w:hAnsi="Times New Roman" w:eastAsia="宋体" w:cs="Times New Roman"/>
          <w:b/>
          <w:bCs/>
          <w:sz w:val="24"/>
          <w:szCs w:val="24"/>
          <w:lang w:val="zh-CN"/>
        </w:rPr>
        <w:t>环境风险评价工作等级划分表</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701"/>
        <w:gridCol w:w="1701"/>
        <w:gridCol w:w="1701"/>
        <w:gridCol w:w="1701"/>
      </w:tblGrid>
      <w:tr w14:paraId="1D163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00" w:type="dxa"/>
            <w:tcBorders>
              <w:tl2br w:val="nil"/>
              <w:tr2bl w:val="nil"/>
            </w:tcBorders>
            <w:vAlign w:val="center"/>
          </w:tcPr>
          <w:p w14:paraId="021D66AD">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环境风险潜势</w:t>
            </w:r>
          </w:p>
        </w:tc>
        <w:tc>
          <w:tcPr>
            <w:tcW w:w="1701" w:type="dxa"/>
            <w:tcBorders>
              <w:tl2br w:val="nil"/>
              <w:tr2bl w:val="nil"/>
            </w:tcBorders>
            <w:vAlign w:val="center"/>
          </w:tcPr>
          <w:p w14:paraId="2CBB1BAA">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zh-CN" w:eastAsia="zh-CN" w:bidi="ar-SA"/>
              </w:rPr>
              <w:t>Ⅳ、Ⅳ</w:t>
            </w:r>
            <w:r>
              <w:rPr>
                <w:rFonts w:hint="default" w:ascii="Times New Roman" w:hAnsi="Times New Roman" w:eastAsia="宋体" w:cs="Times New Roman"/>
                <w:color w:val="000000"/>
                <w:kern w:val="0"/>
                <w:sz w:val="21"/>
                <w:szCs w:val="21"/>
                <w:lang w:val="en-US" w:eastAsia="zh-CN" w:bidi="ar-SA"/>
              </w:rPr>
              <w:t>+</w:t>
            </w:r>
          </w:p>
        </w:tc>
        <w:tc>
          <w:tcPr>
            <w:tcW w:w="1701" w:type="dxa"/>
            <w:tcBorders>
              <w:tl2br w:val="nil"/>
              <w:tr2bl w:val="nil"/>
            </w:tcBorders>
            <w:vAlign w:val="center"/>
          </w:tcPr>
          <w:p w14:paraId="071727F2">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zh-CN" w:eastAsia="zh-CN" w:bidi="ar-SA"/>
              </w:rPr>
            </w:pPr>
            <w:r>
              <w:rPr>
                <w:rFonts w:hint="default" w:ascii="Times New Roman" w:hAnsi="Times New Roman" w:eastAsia="宋体" w:cs="Times New Roman"/>
                <w:color w:val="000000"/>
                <w:kern w:val="0"/>
                <w:sz w:val="21"/>
                <w:szCs w:val="21"/>
                <w:lang w:val="zh-CN" w:eastAsia="zh-CN" w:bidi="ar-SA"/>
              </w:rPr>
              <w:t>Ⅲ</w:t>
            </w:r>
          </w:p>
        </w:tc>
        <w:tc>
          <w:tcPr>
            <w:tcW w:w="1701" w:type="dxa"/>
            <w:tcBorders>
              <w:tl2br w:val="nil"/>
              <w:tr2bl w:val="nil"/>
            </w:tcBorders>
            <w:vAlign w:val="center"/>
          </w:tcPr>
          <w:p w14:paraId="5A7677FB">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zh-CN" w:eastAsia="zh-CN" w:bidi="ar-SA"/>
              </w:rPr>
            </w:pPr>
            <w:r>
              <w:rPr>
                <w:rFonts w:hint="default" w:ascii="Times New Roman" w:hAnsi="Times New Roman" w:eastAsia="宋体" w:cs="Times New Roman"/>
                <w:color w:val="000000"/>
                <w:kern w:val="0"/>
                <w:sz w:val="21"/>
                <w:szCs w:val="21"/>
                <w:lang w:val="zh-CN" w:eastAsia="zh-CN" w:bidi="ar-SA"/>
              </w:rPr>
              <w:t>Ⅱ</w:t>
            </w:r>
          </w:p>
        </w:tc>
        <w:tc>
          <w:tcPr>
            <w:tcW w:w="1701" w:type="dxa"/>
            <w:tcBorders>
              <w:tl2br w:val="nil"/>
              <w:tr2bl w:val="nil"/>
            </w:tcBorders>
            <w:vAlign w:val="center"/>
          </w:tcPr>
          <w:p w14:paraId="6A3416E6">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zh-CN" w:eastAsia="zh-CN" w:bidi="ar-SA"/>
              </w:rPr>
            </w:pPr>
            <w:r>
              <w:rPr>
                <w:rFonts w:hint="default" w:ascii="Times New Roman" w:hAnsi="Times New Roman" w:eastAsia="宋体" w:cs="Times New Roman"/>
                <w:color w:val="000000"/>
                <w:kern w:val="0"/>
                <w:sz w:val="21"/>
                <w:szCs w:val="21"/>
                <w:lang w:val="zh-CN" w:eastAsia="zh-CN" w:bidi="ar-SA"/>
              </w:rPr>
              <w:t>Ⅰ</w:t>
            </w:r>
          </w:p>
        </w:tc>
      </w:tr>
      <w:tr w14:paraId="6C8FB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0" w:type="dxa"/>
            <w:tcBorders>
              <w:tl2br w:val="nil"/>
              <w:tr2bl w:val="nil"/>
            </w:tcBorders>
            <w:vAlign w:val="center"/>
          </w:tcPr>
          <w:p w14:paraId="14F52283">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评价工作等级</w:t>
            </w:r>
          </w:p>
        </w:tc>
        <w:tc>
          <w:tcPr>
            <w:tcW w:w="1701" w:type="dxa"/>
            <w:tcBorders>
              <w:tl2br w:val="nil"/>
              <w:tr2bl w:val="nil"/>
            </w:tcBorders>
            <w:vAlign w:val="center"/>
          </w:tcPr>
          <w:p w14:paraId="5CC6A2DD">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一</w:t>
            </w:r>
          </w:p>
        </w:tc>
        <w:tc>
          <w:tcPr>
            <w:tcW w:w="1701" w:type="dxa"/>
            <w:tcBorders>
              <w:tl2br w:val="nil"/>
              <w:tr2bl w:val="nil"/>
            </w:tcBorders>
            <w:vAlign w:val="center"/>
          </w:tcPr>
          <w:p w14:paraId="1725DD24">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二</w:t>
            </w:r>
          </w:p>
        </w:tc>
        <w:tc>
          <w:tcPr>
            <w:tcW w:w="1701" w:type="dxa"/>
            <w:tcBorders>
              <w:tl2br w:val="nil"/>
              <w:tr2bl w:val="nil"/>
            </w:tcBorders>
            <w:vAlign w:val="center"/>
          </w:tcPr>
          <w:p w14:paraId="18A43C4E">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三</w:t>
            </w:r>
          </w:p>
        </w:tc>
        <w:tc>
          <w:tcPr>
            <w:tcW w:w="1701" w:type="dxa"/>
            <w:tcBorders>
              <w:tl2br w:val="nil"/>
              <w:tr2bl w:val="nil"/>
            </w:tcBorders>
            <w:vAlign w:val="center"/>
          </w:tcPr>
          <w:p w14:paraId="2F47F22C">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简单分析a</w:t>
            </w:r>
          </w:p>
        </w:tc>
      </w:tr>
      <w:tr w14:paraId="1E411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04" w:type="dxa"/>
            <w:gridSpan w:val="5"/>
            <w:tcBorders>
              <w:tl2br w:val="nil"/>
              <w:tr2bl w:val="nil"/>
            </w:tcBorders>
            <w:vAlign w:val="center"/>
          </w:tcPr>
          <w:p w14:paraId="4719B793">
            <w:pPr>
              <w:widowControl w:val="0"/>
              <w:overflowPunct w:val="0"/>
              <w:autoSpaceDE w:val="0"/>
              <w:autoSpaceDN w:val="0"/>
              <w:adjustRightInd w:val="0"/>
              <w:snapToGrid w:val="0"/>
              <w:spacing w:line="400" w:lineRule="exact"/>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a是相对于详细评价工作内容而言，在描述危险物质、环境影响途径、环境危害后果、风险防范措施等方面给出定性的说明。</w:t>
            </w:r>
          </w:p>
        </w:tc>
      </w:tr>
    </w:tbl>
    <w:p w14:paraId="7DF9FB1C">
      <w:pPr>
        <w:pageBreakBefore w:val="0"/>
        <w:widowControl w:val="0"/>
        <w:kinsoku/>
        <w:wordWrap/>
        <w:topLinePunct w:val="0"/>
        <w:autoSpaceDE/>
        <w:autoSpaceDN/>
        <w:bidi w:val="0"/>
        <w:adjustRightInd/>
        <w:snapToGrid/>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625" w:name="_Toc24164"/>
      <w:bookmarkStart w:id="626" w:name="_Toc9818"/>
      <w:bookmarkStart w:id="627" w:name="_Toc25188"/>
      <w:bookmarkStart w:id="628" w:name="_Toc3265"/>
      <w:bookmarkStart w:id="629" w:name="_Toc27171"/>
      <w:r>
        <w:rPr>
          <w:rFonts w:hint="default" w:ascii="Times New Roman" w:hAnsi="Times New Roman" w:eastAsia="宋体" w:cs="Times New Roman"/>
          <w:b/>
          <w:bCs/>
          <w:kern w:val="2"/>
          <w:sz w:val="30"/>
          <w:szCs w:val="30"/>
          <w:lang w:val="en-US" w:eastAsia="zh-CN" w:bidi="ar-SA"/>
        </w:rPr>
        <w:t>6.2风险识别</w:t>
      </w:r>
      <w:bookmarkEnd w:id="618"/>
      <w:bookmarkEnd w:id="619"/>
      <w:r>
        <w:rPr>
          <w:rFonts w:hint="default" w:ascii="Times New Roman" w:hAnsi="Times New Roman" w:eastAsia="宋体" w:cs="Times New Roman"/>
          <w:b/>
          <w:bCs/>
          <w:kern w:val="2"/>
          <w:sz w:val="30"/>
          <w:szCs w:val="30"/>
          <w:lang w:val="en-US" w:eastAsia="zh-CN" w:bidi="ar-SA"/>
        </w:rPr>
        <w:t>及分析</w:t>
      </w:r>
      <w:bookmarkEnd w:id="625"/>
      <w:bookmarkEnd w:id="626"/>
      <w:bookmarkEnd w:id="627"/>
      <w:bookmarkEnd w:id="628"/>
      <w:bookmarkEnd w:id="629"/>
    </w:p>
    <w:p w14:paraId="3E22AA45">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eastAsia" w:ascii="Times New Roman" w:hAnsi="Times New Roman" w:eastAsia="宋体" w:cs="Times New Roman"/>
          <w:b/>
          <w:bCs/>
          <w:kern w:val="2"/>
          <w:sz w:val="28"/>
          <w:szCs w:val="28"/>
          <w:lang w:val="en-US" w:eastAsia="zh-CN" w:bidi="ar-SA"/>
        </w:rPr>
      </w:pPr>
      <w:bookmarkStart w:id="630" w:name="_Toc29028"/>
      <w:bookmarkStart w:id="631" w:name="_Toc20807"/>
      <w:bookmarkStart w:id="632" w:name="_Toc450924032"/>
      <w:r>
        <w:rPr>
          <w:rFonts w:hint="eastAsia" w:ascii="Times New Roman" w:hAnsi="Times New Roman" w:eastAsia="宋体" w:cs="Times New Roman"/>
          <w:b/>
          <w:bCs/>
          <w:kern w:val="2"/>
          <w:sz w:val="28"/>
          <w:szCs w:val="28"/>
          <w:lang w:val="en-US" w:eastAsia="zh-CN" w:bidi="ar-SA"/>
        </w:rPr>
        <w:t>6.2.1物质风险识别</w:t>
      </w:r>
      <w:bookmarkEnd w:id="630"/>
      <w:bookmarkEnd w:id="631"/>
    </w:p>
    <w:p w14:paraId="56B33712">
      <w:pPr>
        <w:spacing w:line="360" w:lineRule="auto"/>
        <w:ind w:firstLine="482"/>
        <w:rPr>
          <w:rFonts w:hint="eastAsia" w:ascii="Times New Roman" w:hAnsi="Times New Roman" w:eastAsia="宋体" w:cs="Times New Roman"/>
          <w:bCs w:val="0"/>
          <w:kern w:val="2"/>
          <w:sz w:val="24"/>
          <w:szCs w:val="24"/>
          <w:lang w:val="en-US" w:eastAsia="zh-CN" w:bidi="ar-SA"/>
        </w:rPr>
      </w:pPr>
      <w:r>
        <w:rPr>
          <w:rFonts w:hint="eastAsia" w:ascii="Times New Roman" w:hAnsi="Times New Roman" w:eastAsia="宋体" w:cs="Times New Roman"/>
          <w:bCs w:val="0"/>
          <w:kern w:val="2"/>
          <w:sz w:val="24"/>
          <w:szCs w:val="24"/>
          <w:lang w:val="en-US" w:eastAsia="zh-CN" w:bidi="ar-SA"/>
        </w:rPr>
        <w:t>根据《建设项目环境风险评价技术导则》（HJ169-2018），物质危险性识别，包括主要原辅材料、燃料、中间产品、副产品、最终产品、污染物、火灾和爆炸伴生、次生物等。经分析，本项目生产过程中涉及的危险物质主要为氨、硫化氢，物化性质和危险特性见表6.2-1、6.2-2、6.2-3。</w:t>
      </w:r>
    </w:p>
    <w:p w14:paraId="5318FB57">
      <w:pPr>
        <w:keepNext w:val="0"/>
        <w:keepLines w:val="0"/>
        <w:pageBreakBefore w:val="0"/>
        <w:widowControl w:val="0"/>
        <w:kinsoku/>
        <w:wordWrap/>
        <w:overflowPunct/>
        <w:topLinePunct w:val="0"/>
        <w:autoSpaceDE/>
        <w:autoSpaceDN/>
        <w:bidi w:val="0"/>
        <w:adjustRightInd/>
        <w:snapToGrid/>
        <w:spacing w:beforeLines="0" w:line="360" w:lineRule="auto"/>
        <w:jc w:val="center"/>
        <w:textAlignment w:val="auto"/>
        <w:rPr>
          <w:rFonts w:hint="default" w:ascii="Times New Roman" w:hAnsi="Times New Roman" w:eastAsia="宋体" w:cs="Times New Roman"/>
          <w:b/>
          <w:bCs/>
          <w:kern w:val="0"/>
          <w:sz w:val="24"/>
          <w:szCs w:val="24"/>
          <w:lang w:val="en-US" w:eastAsia="zh-CN" w:bidi="ar-SA"/>
        </w:rPr>
      </w:pPr>
      <w:r>
        <w:rPr>
          <w:rFonts w:hint="default" w:ascii="Times New Roman" w:hAnsi="Times New Roman" w:eastAsia="宋体" w:cs="Times New Roman"/>
          <w:b/>
          <w:bCs/>
          <w:kern w:val="0"/>
          <w:sz w:val="24"/>
          <w:szCs w:val="24"/>
          <w:lang w:val="en-US" w:eastAsia="zh-CN" w:bidi="ar-SA"/>
        </w:rPr>
        <w:t>表</w:t>
      </w:r>
      <w:r>
        <w:rPr>
          <w:rFonts w:hint="eastAsia" w:ascii="Times New Roman" w:hAnsi="Times New Roman" w:eastAsia="宋体" w:cs="Times New Roman"/>
          <w:b/>
          <w:bCs/>
          <w:kern w:val="0"/>
          <w:sz w:val="24"/>
          <w:szCs w:val="24"/>
          <w:lang w:val="en-US" w:eastAsia="zh-CN" w:bidi="ar-SA"/>
        </w:rPr>
        <w:t xml:space="preserve">6.2-1  </w:t>
      </w:r>
      <w:r>
        <w:rPr>
          <w:rFonts w:hint="default" w:ascii="Times New Roman" w:hAnsi="Times New Roman" w:eastAsia="宋体" w:cs="Times New Roman"/>
          <w:b/>
          <w:bCs/>
          <w:kern w:val="0"/>
          <w:sz w:val="24"/>
          <w:szCs w:val="24"/>
          <w:lang w:val="en-US" w:eastAsia="zh-CN" w:bidi="ar-SA"/>
        </w:rPr>
        <w:t>氨理化性质一览表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533"/>
        <w:gridCol w:w="1261"/>
        <w:gridCol w:w="151"/>
        <w:gridCol w:w="182"/>
        <w:gridCol w:w="966"/>
        <w:gridCol w:w="686"/>
        <w:gridCol w:w="281"/>
        <w:gridCol w:w="386"/>
        <w:gridCol w:w="1116"/>
        <w:gridCol w:w="885"/>
        <w:gridCol w:w="617"/>
      </w:tblGrid>
      <w:tr w14:paraId="36A5C3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restart"/>
            <w:vAlign w:val="center"/>
          </w:tcPr>
          <w:p w14:paraId="7A5F968E">
            <w:pPr>
              <w:widowControl w:val="0"/>
              <w:spacing w:line="300" w:lineRule="exact"/>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标识</w:t>
            </w:r>
          </w:p>
        </w:tc>
        <w:tc>
          <w:tcPr>
            <w:tcW w:w="5417" w:type="dxa"/>
            <w:gridSpan w:val="8"/>
            <w:vAlign w:val="center"/>
          </w:tcPr>
          <w:p w14:paraId="757D6519">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中文名：氨</w:t>
            </w:r>
          </w:p>
        </w:tc>
        <w:tc>
          <w:tcPr>
            <w:tcW w:w="2604" w:type="dxa"/>
            <w:gridSpan w:val="3"/>
            <w:vAlign w:val="center"/>
          </w:tcPr>
          <w:p w14:paraId="38DD8DF1">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危险货物编号：23003</w:t>
            </w:r>
          </w:p>
        </w:tc>
      </w:tr>
      <w:tr w14:paraId="3ECA7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6BB33086">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5417" w:type="dxa"/>
            <w:gridSpan w:val="8"/>
            <w:vAlign w:val="center"/>
          </w:tcPr>
          <w:p w14:paraId="2EDD3259">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英文名：L</w:t>
            </w:r>
            <w:r>
              <w:rPr>
                <w:rFonts w:hint="eastAsia" w:ascii="Times New Roman" w:hAnsi="Times New Roman" w:eastAsia="宋体" w:cs="Times New Roman"/>
                <w:kern w:val="2"/>
                <w:sz w:val="21"/>
                <w:szCs w:val="21"/>
                <w:lang w:val="en-US" w:eastAsia="zh-CN" w:bidi="ar-SA"/>
              </w:rPr>
              <w:t>i</w:t>
            </w:r>
            <w:r>
              <w:rPr>
                <w:rFonts w:hint="default" w:ascii="Times New Roman" w:hAnsi="Times New Roman" w:eastAsia="宋体" w:cs="Times New Roman"/>
                <w:kern w:val="2"/>
                <w:sz w:val="21"/>
                <w:szCs w:val="21"/>
                <w:lang w:val="en-US" w:eastAsia="zh-CN" w:bidi="ar-SA"/>
              </w:rPr>
              <w:t>quid ammonia；ammonia</w:t>
            </w:r>
          </w:p>
        </w:tc>
        <w:tc>
          <w:tcPr>
            <w:tcW w:w="2604" w:type="dxa"/>
            <w:gridSpan w:val="3"/>
            <w:vAlign w:val="center"/>
          </w:tcPr>
          <w:p w14:paraId="4489ED15">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UN编号：1005</w:t>
            </w:r>
          </w:p>
        </w:tc>
      </w:tr>
      <w:tr w14:paraId="61BE21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7BFF30B2">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2779" w:type="dxa"/>
            <w:gridSpan w:val="2"/>
            <w:vAlign w:val="center"/>
          </w:tcPr>
          <w:p w14:paraId="01B64B9B">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分子式：NH</w:t>
            </w:r>
            <w:r>
              <w:rPr>
                <w:rFonts w:hint="default" w:ascii="Times New Roman" w:hAnsi="Times New Roman" w:eastAsia="宋体" w:cs="Times New Roman"/>
                <w:kern w:val="2"/>
                <w:sz w:val="21"/>
                <w:szCs w:val="21"/>
                <w:vertAlign w:val="subscript"/>
                <w:lang w:val="en-US" w:eastAsia="zh-CN" w:bidi="ar-SA"/>
              </w:rPr>
              <w:t>3</w:t>
            </w:r>
          </w:p>
        </w:tc>
        <w:tc>
          <w:tcPr>
            <w:tcW w:w="2638" w:type="dxa"/>
            <w:gridSpan w:val="6"/>
            <w:vAlign w:val="center"/>
          </w:tcPr>
          <w:p w14:paraId="734185DE">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分子量：17.03</w:t>
            </w:r>
          </w:p>
        </w:tc>
        <w:tc>
          <w:tcPr>
            <w:tcW w:w="2604" w:type="dxa"/>
            <w:gridSpan w:val="3"/>
            <w:vAlign w:val="center"/>
          </w:tcPr>
          <w:p w14:paraId="284FEB9E">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CAS号：7664-61-7</w:t>
            </w:r>
          </w:p>
        </w:tc>
      </w:tr>
      <w:tr w14:paraId="0331B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restart"/>
            <w:vAlign w:val="center"/>
          </w:tcPr>
          <w:p w14:paraId="70D77246">
            <w:pPr>
              <w:widowControl w:val="0"/>
              <w:spacing w:line="300" w:lineRule="exact"/>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理化性质</w:t>
            </w:r>
          </w:p>
        </w:tc>
        <w:tc>
          <w:tcPr>
            <w:tcW w:w="1525" w:type="dxa"/>
            <w:vAlign w:val="center"/>
          </w:tcPr>
          <w:p w14:paraId="1FE6B701">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外观与性状</w:t>
            </w:r>
          </w:p>
        </w:tc>
        <w:tc>
          <w:tcPr>
            <w:tcW w:w="6496" w:type="dxa"/>
            <w:gridSpan w:val="10"/>
            <w:vAlign w:val="center"/>
          </w:tcPr>
          <w:p w14:paraId="2BD6EA90">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无色有刺激性恶臭的气体</w:t>
            </w:r>
          </w:p>
        </w:tc>
      </w:tr>
      <w:tr w14:paraId="646F2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08CE9BE6">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321DF059">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熔点（℃）</w:t>
            </w:r>
          </w:p>
        </w:tc>
        <w:tc>
          <w:tcPr>
            <w:tcW w:w="1404" w:type="dxa"/>
            <w:gridSpan w:val="2"/>
            <w:vAlign w:val="center"/>
          </w:tcPr>
          <w:p w14:paraId="0042D1E6">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-77.7</w:t>
            </w:r>
          </w:p>
        </w:tc>
        <w:tc>
          <w:tcPr>
            <w:tcW w:w="1824" w:type="dxa"/>
            <w:gridSpan w:val="3"/>
            <w:vAlign w:val="center"/>
          </w:tcPr>
          <w:p w14:paraId="22193495">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相对密度（水=1）</w:t>
            </w:r>
          </w:p>
        </w:tc>
        <w:tc>
          <w:tcPr>
            <w:tcW w:w="664" w:type="dxa"/>
            <w:gridSpan w:val="2"/>
            <w:vAlign w:val="center"/>
          </w:tcPr>
          <w:p w14:paraId="65999B86">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0.82</w:t>
            </w:r>
          </w:p>
        </w:tc>
        <w:tc>
          <w:tcPr>
            <w:tcW w:w="1990" w:type="dxa"/>
            <w:gridSpan w:val="2"/>
            <w:vAlign w:val="center"/>
          </w:tcPr>
          <w:p w14:paraId="3851C428">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相对密度（空气=1）</w:t>
            </w:r>
          </w:p>
        </w:tc>
        <w:tc>
          <w:tcPr>
            <w:tcW w:w="614" w:type="dxa"/>
            <w:vAlign w:val="center"/>
          </w:tcPr>
          <w:p w14:paraId="4A0A3368">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0.6</w:t>
            </w:r>
          </w:p>
        </w:tc>
      </w:tr>
      <w:tr w14:paraId="7BD1E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634C6BBB">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64614283">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沸点（℃）</w:t>
            </w:r>
          </w:p>
        </w:tc>
        <w:tc>
          <w:tcPr>
            <w:tcW w:w="1404" w:type="dxa"/>
            <w:gridSpan w:val="2"/>
            <w:vAlign w:val="center"/>
          </w:tcPr>
          <w:p w14:paraId="0DAC7C3A">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-33.5</w:t>
            </w:r>
          </w:p>
        </w:tc>
        <w:tc>
          <w:tcPr>
            <w:tcW w:w="2488" w:type="dxa"/>
            <w:gridSpan w:val="5"/>
            <w:vAlign w:val="center"/>
          </w:tcPr>
          <w:p w14:paraId="76A2F664">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饱和蒸汽压</w:t>
            </w:r>
            <w:r>
              <w:rPr>
                <w:rFonts w:hint="default" w:ascii="Times New Roman" w:hAnsi="Times New Roman" w:eastAsia="宋体" w:cs="Times New Roman"/>
                <w:kern w:val="2"/>
                <w:sz w:val="21"/>
                <w:szCs w:val="21"/>
                <w:lang w:val="en-US" w:eastAsia="zh-CN" w:bidi="ar-SA"/>
              </w:rPr>
              <w:t>（kPa）</w:t>
            </w:r>
          </w:p>
        </w:tc>
        <w:tc>
          <w:tcPr>
            <w:tcW w:w="2604" w:type="dxa"/>
            <w:gridSpan w:val="3"/>
            <w:vAlign w:val="center"/>
          </w:tcPr>
          <w:p w14:paraId="542242B5">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506.62/4.7℃</w:t>
            </w:r>
          </w:p>
        </w:tc>
      </w:tr>
      <w:tr w14:paraId="387A2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66D54BF8">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1B56E655">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溶解性</w:t>
            </w:r>
          </w:p>
        </w:tc>
        <w:tc>
          <w:tcPr>
            <w:tcW w:w="6496" w:type="dxa"/>
            <w:gridSpan w:val="10"/>
            <w:vAlign w:val="center"/>
          </w:tcPr>
          <w:p w14:paraId="34C9CB01">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易溶于水、乙醇、乙醚。</w:t>
            </w:r>
          </w:p>
        </w:tc>
      </w:tr>
      <w:tr w14:paraId="2889F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restart"/>
            <w:vAlign w:val="center"/>
          </w:tcPr>
          <w:p w14:paraId="3C248E70">
            <w:pPr>
              <w:widowControl w:val="0"/>
              <w:spacing w:line="300" w:lineRule="exact"/>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毒性及健康危害</w:t>
            </w:r>
          </w:p>
        </w:tc>
        <w:tc>
          <w:tcPr>
            <w:tcW w:w="1525" w:type="dxa"/>
            <w:vAlign w:val="center"/>
          </w:tcPr>
          <w:p w14:paraId="34D9E37F">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侵入途径</w:t>
            </w:r>
          </w:p>
        </w:tc>
        <w:tc>
          <w:tcPr>
            <w:tcW w:w="6496" w:type="dxa"/>
            <w:gridSpan w:val="10"/>
            <w:vAlign w:val="center"/>
          </w:tcPr>
          <w:p w14:paraId="488C54A0">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吸入。</w:t>
            </w:r>
          </w:p>
        </w:tc>
      </w:tr>
      <w:tr w14:paraId="276E7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4CD449B6">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2D94C6F9">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接触限制</w:t>
            </w:r>
          </w:p>
        </w:tc>
        <w:tc>
          <w:tcPr>
            <w:tcW w:w="6496" w:type="dxa"/>
            <w:gridSpan w:val="10"/>
            <w:vAlign w:val="center"/>
          </w:tcPr>
          <w:p w14:paraId="24DDF1A6">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PC-STEL</w:t>
            </w:r>
            <w:r>
              <w:rPr>
                <w:rFonts w:hint="eastAsia" w:ascii="Times New Roman" w:hAnsi="Times New Roman" w:eastAsia="宋体" w:cs="Times New Roman"/>
                <w:kern w:val="2"/>
                <w:sz w:val="21"/>
                <w:szCs w:val="21"/>
                <w:lang w:val="en-US" w:eastAsia="zh-CN" w:bidi="ar-SA"/>
              </w:rPr>
              <w:t>:</w:t>
            </w:r>
            <w:r>
              <w:rPr>
                <w:rFonts w:hint="default" w:ascii="Times New Roman" w:hAnsi="Times New Roman" w:eastAsia="宋体" w:cs="Times New Roman"/>
                <w:kern w:val="2"/>
                <w:sz w:val="21"/>
                <w:szCs w:val="21"/>
                <w:lang w:val="en-US" w:eastAsia="zh-CN" w:bidi="ar-SA"/>
              </w:rPr>
              <w:t>30mg/m</w:t>
            </w:r>
            <w:r>
              <w:rPr>
                <w:rFonts w:hint="default" w:ascii="Times New Roman" w:hAnsi="Times New Roman" w:eastAsia="宋体" w:cs="Times New Roman"/>
                <w:kern w:val="2"/>
                <w:sz w:val="21"/>
                <w:szCs w:val="21"/>
                <w:vertAlign w:val="superscript"/>
                <w:lang w:val="en-US" w:eastAsia="zh-CN" w:bidi="ar-SA"/>
              </w:rPr>
              <w:t>3</w:t>
            </w:r>
          </w:p>
        </w:tc>
      </w:tr>
      <w:tr w14:paraId="61D31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560CB91E">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574D43DA">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毒性</w:t>
            </w:r>
          </w:p>
        </w:tc>
        <w:tc>
          <w:tcPr>
            <w:tcW w:w="6496" w:type="dxa"/>
            <w:gridSpan w:val="10"/>
            <w:vAlign w:val="center"/>
          </w:tcPr>
          <w:p w14:paraId="42FEC963">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LD</w:t>
            </w:r>
            <w:r>
              <w:rPr>
                <w:rFonts w:hint="default" w:ascii="Times New Roman" w:hAnsi="Times New Roman" w:eastAsia="宋体" w:cs="Times New Roman"/>
                <w:kern w:val="2"/>
                <w:sz w:val="21"/>
                <w:szCs w:val="21"/>
                <w:vertAlign w:val="subscript"/>
                <w:lang w:val="en-US" w:eastAsia="zh-CN" w:bidi="ar-SA"/>
              </w:rPr>
              <w:t>50</w:t>
            </w:r>
            <w:r>
              <w:rPr>
                <w:rFonts w:hint="eastAsia" w:ascii="Times New Roman" w:hAnsi="Times New Roman" w:eastAsia="宋体" w:cs="Times New Roman"/>
                <w:kern w:val="2"/>
                <w:sz w:val="21"/>
                <w:szCs w:val="21"/>
                <w:vertAlign w:val="subscript"/>
                <w:lang w:val="en-US" w:eastAsia="zh-CN" w:bidi="ar-SA"/>
              </w:rPr>
              <w:t>:</w:t>
            </w:r>
            <w:r>
              <w:rPr>
                <w:rFonts w:hint="default" w:ascii="Times New Roman" w:hAnsi="Times New Roman" w:eastAsia="宋体" w:cs="Times New Roman"/>
                <w:kern w:val="2"/>
                <w:sz w:val="21"/>
                <w:szCs w:val="21"/>
                <w:lang w:val="en-US" w:eastAsia="zh-CN" w:bidi="ar-SA"/>
              </w:rPr>
              <w:t>300mg/kg（大鼠经口）；LC</w:t>
            </w:r>
            <w:r>
              <w:rPr>
                <w:rFonts w:hint="default" w:ascii="Times New Roman" w:hAnsi="Times New Roman" w:eastAsia="宋体" w:cs="Times New Roman"/>
                <w:kern w:val="2"/>
                <w:sz w:val="21"/>
                <w:szCs w:val="21"/>
                <w:vertAlign w:val="subscript"/>
                <w:lang w:val="en-US" w:eastAsia="zh-CN" w:bidi="ar-SA"/>
              </w:rPr>
              <w:t>50</w:t>
            </w:r>
            <w:r>
              <w:rPr>
                <w:rFonts w:hint="eastAsia" w:ascii="Times New Roman" w:hAnsi="Times New Roman" w:eastAsia="宋体" w:cs="Times New Roman"/>
                <w:kern w:val="2"/>
                <w:sz w:val="21"/>
                <w:szCs w:val="21"/>
                <w:vertAlign w:val="subscript"/>
                <w:lang w:val="en-US" w:eastAsia="zh-CN" w:bidi="ar-SA"/>
              </w:rPr>
              <w:t>:</w:t>
            </w:r>
            <w:r>
              <w:rPr>
                <w:rFonts w:hint="default" w:ascii="Times New Roman" w:hAnsi="Times New Roman" w:eastAsia="宋体" w:cs="Times New Roman"/>
                <w:kern w:val="2"/>
                <w:sz w:val="21"/>
                <w:szCs w:val="21"/>
                <w:lang w:val="en-US" w:eastAsia="zh-CN" w:bidi="ar-SA"/>
              </w:rPr>
              <w:t>1390mg/kg，4小时（大鼠吸入）</w:t>
            </w:r>
          </w:p>
        </w:tc>
      </w:tr>
      <w:tr w14:paraId="11CEEE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47F375A3">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669BD314">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健康危害</w:t>
            </w:r>
          </w:p>
        </w:tc>
        <w:tc>
          <w:tcPr>
            <w:tcW w:w="6496" w:type="dxa"/>
            <w:gridSpan w:val="10"/>
            <w:vAlign w:val="center"/>
          </w:tcPr>
          <w:p w14:paraId="1B070ADD">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低浓度氨对</w:t>
            </w:r>
            <w:r>
              <w:rPr>
                <w:rFonts w:hint="eastAsia" w:ascii="Times New Roman" w:hAnsi="Times New Roman" w:eastAsia="宋体" w:cs="Times New Roman"/>
                <w:kern w:val="2"/>
                <w:sz w:val="21"/>
                <w:szCs w:val="21"/>
                <w:lang w:val="en-US" w:eastAsia="zh-CN" w:bidi="ar-SA"/>
              </w:rPr>
              <w:t>黏膜</w:t>
            </w:r>
            <w:r>
              <w:rPr>
                <w:rFonts w:hint="default" w:ascii="Times New Roman" w:hAnsi="Times New Roman" w:eastAsia="宋体" w:cs="Times New Roman"/>
                <w:kern w:val="2"/>
                <w:sz w:val="21"/>
                <w:szCs w:val="21"/>
                <w:lang w:val="en-US" w:eastAsia="zh-CN" w:bidi="ar-SA"/>
              </w:rPr>
              <w:t>有刺激作用，高浓度可造成组织溶解坏死。急性中毒：轻度者出现流泪、咽痛、声音嘶哑、咳嗽、咯痰等；眼结膜、鼻</w:t>
            </w:r>
            <w:r>
              <w:rPr>
                <w:rFonts w:hint="eastAsia" w:ascii="Times New Roman" w:hAnsi="Times New Roman" w:eastAsia="宋体" w:cs="Times New Roman"/>
                <w:kern w:val="2"/>
                <w:sz w:val="21"/>
                <w:szCs w:val="21"/>
                <w:lang w:val="en-US" w:eastAsia="zh-CN" w:bidi="ar-SA"/>
              </w:rPr>
              <w:t>黏膜</w:t>
            </w:r>
            <w:r>
              <w:rPr>
                <w:rFonts w:hint="default" w:ascii="Times New Roman" w:hAnsi="Times New Roman" w:eastAsia="宋体" w:cs="Times New Roman"/>
                <w:kern w:val="2"/>
                <w:sz w:val="21"/>
                <w:szCs w:val="21"/>
                <w:lang w:val="en-US" w:eastAsia="zh-CN" w:bidi="ar-SA"/>
              </w:rPr>
              <w:t>、咽部充血、水肿；胸部X线征象符合支气管炎或支气管周围炎。中度中毒上述症状加剧，出现呼吸困难、</w:t>
            </w:r>
            <w:r>
              <w:rPr>
                <w:rFonts w:hint="eastAsia" w:ascii="Times New Roman" w:hAnsi="Times New Roman" w:eastAsia="宋体" w:cs="Times New Roman"/>
                <w:kern w:val="2"/>
                <w:sz w:val="21"/>
                <w:szCs w:val="21"/>
                <w:lang w:val="en-US" w:eastAsia="zh-CN" w:bidi="ar-SA"/>
              </w:rPr>
              <w:t>发绀</w:t>
            </w:r>
            <w:r>
              <w:rPr>
                <w:rFonts w:hint="default" w:ascii="Times New Roman" w:hAnsi="Times New Roman" w:eastAsia="宋体" w:cs="Times New Roman"/>
                <w:kern w:val="2"/>
                <w:sz w:val="21"/>
                <w:szCs w:val="21"/>
                <w:lang w:val="en-US" w:eastAsia="zh-CN" w:bidi="ar-SA"/>
              </w:rPr>
              <w:t>；胸部X线征象符合肺炎或间质性肺炎。严重者可发生中毒性肺水肿，或有呼吸窘迫综合征，患者剧烈咳嗽、咯大量</w:t>
            </w:r>
            <w:r>
              <w:rPr>
                <w:rFonts w:hint="eastAsia" w:ascii="Times New Roman" w:hAnsi="Times New Roman" w:eastAsia="宋体" w:cs="Times New Roman"/>
                <w:kern w:val="2"/>
                <w:sz w:val="21"/>
                <w:szCs w:val="21"/>
                <w:lang w:val="en-US" w:eastAsia="zh-CN" w:bidi="ar-SA"/>
              </w:rPr>
              <w:t>粉红色泡沫样痰</w:t>
            </w:r>
            <w:r>
              <w:rPr>
                <w:rFonts w:hint="default" w:ascii="Times New Roman" w:hAnsi="Times New Roman" w:eastAsia="宋体" w:cs="Times New Roman"/>
                <w:kern w:val="2"/>
                <w:sz w:val="21"/>
                <w:szCs w:val="21"/>
                <w:lang w:val="en-US" w:eastAsia="zh-CN" w:bidi="ar-SA"/>
              </w:rPr>
              <w:t>、呼吸窘迫、谵妄、昏迷、休克等。可发生喉头水肿或支气管</w:t>
            </w:r>
            <w:r>
              <w:rPr>
                <w:rFonts w:hint="eastAsia" w:ascii="Times New Roman" w:hAnsi="Times New Roman" w:eastAsia="宋体" w:cs="Times New Roman"/>
                <w:kern w:val="2"/>
                <w:sz w:val="21"/>
                <w:szCs w:val="21"/>
                <w:lang w:val="en-US" w:eastAsia="zh-CN" w:bidi="ar-SA"/>
              </w:rPr>
              <w:t>黏膜</w:t>
            </w:r>
            <w:r>
              <w:rPr>
                <w:rFonts w:hint="default" w:ascii="Times New Roman" w:hAnsi="Times New Roman" w:eastAsia="宋体" w:cs="Times New Roman"/>
                <w:kern w:val="2"/>
                <w:sz w:val="21"/>
                <w:szCs w:val="21"/>
                <w:lang w:val="en-US" w:eastAsia="zh-CN" w:bidi="ar-SA"/>
              </w:rPr>
              <w:t>坏死脱落窒息。高浓度氨可引起反射性呼吸停止。液氨或高浓度氨可致眼灼伤；液氨可致皮肤灼伤。</w:t>
            </w:r>
          </w:p>
        </w:tc>
      </w:tr>
      <w:tr w14:paraId="19A162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44C80FBB">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523EB518">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急救方法</w:t>
            </w:r>
          </w:p>
        </w:tc>
        <w:tc>
          <w:tcPr>
            <w:tcW w:w="6496" w:type="dxa"/>
            <w:gridSpan w:val="10"/>
            <w:vAlign w:val="center"/>
          </w:tcPr>
          <w:p w14:paraId="4498C54A">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皮肤接触：立即脱去被污染的衣着，应用2%硼酸液或大量流动清水彻底冲洗。就医。眼睛接触：立即提起眼睑，用大量流动清水或生理盐水彻底冲洗至少15分钟。就医。吸入：迅速脱离现场至空气新鲜处。保持呼吸道通畅。如呼吸困难，给输氧。如呼吸停止，立即进行人工呼吸。就医。</w:t>
            </w:r>
          </w:p>
        </w:tc>
      </w:tr>
      <w:tr w14:paraId="5776C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restart"/>
            <w:vAlign w:val="center"/>
          </w:tcPr>
          <w:p w14:paraId="6C97F8EB">
            <w:pPr>
              <w:widowControl w:val="0"/>
              <w:spacing w:line="300" w:lineRule="exact"/>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燃烧爆炸危险性</w:t>
            </w:r>
          </w:p>
        </w:tc>
        <w:tc>
          <w:tcPr>
            <w:tcW w:w="1525" w:type="dxa"/>
            <w:vAlign w:val="center"/>
          </w:tcPr>
          <w:p w14:paraId="27F5FD7F">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燃烧性</w:t>
            </w:r>
          </w:p>
        </w:tc>
        <w:tc>
          <w:tcPr>
            <w:tcW w:w="1585" w:type="dxa"/>
            <w:gridSpan w:val="3"/>
            <w:vAlign w:val="center"/>
          </w:tcPr>
          <w:p w14:paraId="464FCE04">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易燃</w:t>
            </w:r>
          </w:p>
        </w:tc>
        <w:tc>
          <w:tcPr>
            <w:tcW w:w="1923" w:type="dxa"/>
            <w:gridSpan w:val="3"/>
            <w:vAlign w:val="center"/>
          </w:tcPr>
          <w:p w14:paraId="3F2979FA">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燃烧分解物</w:t>
            </w:r>
          </w:p>
        </w:tc>
        <w:tc>
          <w:tcPr>
            <w:tcW w:w="2988" w:type="dxa"/>
            <w:gridSpan w:val="4"/>
            <w:vAlign w:val="center"/>
          </w:tcPr>
          <w:p w14:paraId="5FAA9539">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氧化氮、氨。</w:t>
            </w:r>
          </w:p>
        </w:tc>
      </w:tr>
      <w:tr w14:paraId="2522B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17D480F1">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16EA0546">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闪点（℃）</w:t>
            </w:r>
          </w:p>
        </w:tc>
        <w:tc>
          <w:tcPr>
            <w:tcW w:w="1585" w:type="dxa"/>
            <w:gridSpan w:val="3"/>
            <w:vAlign w:val="center"/>
          </w:tcPr>
          <w:p w14:paraId="251DEEF8">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1923" w:type="dxa"/>
            <w:gridSpan w:val="3"/>
            <w:vAlign w:val="center"/>
          </w:tcPr>
          <w:p w14:paraId="4073AAD8">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爆炸上限（v%）</w:t>
            </w:r>
          </w:p>
        </w:tc>
        <w:tc>
          <w:tcPr>
            <w:tcW w:w="2988" w:type="dxa"/>
            <w:gridSpan w:val="4"/>
            <w:vAlign w:val="center"/>
          </w:tcPr>
          <w:p w14:paraId="5DE6EE75">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27.4</w:t>
            </w:r>
          </w:p>
        </w:tc>
      </w:tr>
      <w:tr w14:paraId="2938F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5E5C7442">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18827980">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引燃温度（℃）</w:t>
            </w:r>
          </w:p>
        </w:tc>
        <w:tc>
          <w:tcPr>
            <w:tcW w:w="1585" w:type="dxa"/>
            <w:gridSpan w:val="3"/>
            <w:vAlign w:val="center"/>
          </w:tcPr>
          <w:p w14:paraId="060137EF">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651</w:t>
            </w:r>
          </w:p>
        </w:tc>
        <w:tc>
          <w:tcPr>
            <w:tcW w:w="1923" w:type="dxa"/>
            <w:gridSpan w:val="3"/>
            <w:vAlign w:val="center"/>
          </w:tcPr>
          <w:p w14:paraId="69C26CE6">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爆炸下限（v%）</w:t>
            </w:r>
          </w:p>
        </w:tc>
        <w:tc>
          <w:tcPr>
            <w:tcW w:w="2988" w:type="dxa"/>
            <w:gridSpan w:val="4"/>
            <w:vAlign w:val="center"/>
          </w:tcPr>
          <w:p w14:paraId="7DB1303A">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15.7</w:t>
            </w:r>
          </w:p>
        </w:tc>
      </w:tr>
      <w:tr w14:paraId="1FDBB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415D312E">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050D1491">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建规火险分级</w:t>
            </w:r>
          </w:p>
        </w:tc>
        <w:tc>
          <w:tcPr>
            <w:tcW w:w="1585" w:type="dxa"/>
            <w:gridSpan w:val="3"/>
            <w:vAlign w:val="center"/>
          </w:tcPr>
          <w:p w14:paraId="4265CE36">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乙</w:t>
            </w:r>
          </w:p>
        </w:tc>
        <w:tc>
          <w:tcPr>
            <w:tcW w:w="961" w:type="dxa"/>
            <w:vAlign w:val="center"/>
          </w:tcPr>
          <w:p w14:paraId="626B79EC">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稳定性</w:t>
            </w:r>
          </w:p>
        </w:tc>
        <w:tc>
          <w:tcPr>
            <w:tcW w:w="962" w:type="dxa"/>
            <w:gridSpan w:val="2"/>
            <w:vAlign w:val="center"/>
          </w:tcPr>
          <w:p w14:paraId="729809AD">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稳定</w:t>
            </w:r>
          </w:p>
        </w:tc>
        <w:tc>
          <w:tcPr>
            <w:tcW w:w="1494" w:type="dxa"/>
            <w:gridSpan w:val="2"/>
            <w:vAlign w:val="center"/>
          </w:tcPr>
          <w:p w14:paraId="19ED9230">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聚合危害</w:t>
            </w:r>
          </w:p>
        </w:tc>
        <w:tc>
          <w:tcPr>
            <w:tcW w:w="1494" w:type="dxa"/>
            <w:gridSpan w:val="2"/>
            <w:vAlign w:val="center"/>
          </w:tcPr>
          <w:p w14:paraId="0068062E">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不聚合</w:t>
            </w:r>
          </w:p>
        </w:tc>
      </w:tr>
      <w:tr w14:paraId="511F8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3467AB49">
            <w:pPr>
              <w:widowControl w:val="0"/>
              <w:spacing w:line="300" w:lineRule="exact"/>
              <w:jc w:val="center"/>
              <w:rPr>
                <w:rFonts w:hint="default" w:ascii="Times New Roman" w:hAnsi="Times New Roman" w:eastAsia="宋体" w:cs="Times New Roman"/>
                <w:b/>
                <w:bCs/>
                <w:kern w:val="2"/>
                <w:sz w:val="21"/>
                <w:szCs w:val="21"/>
                <w:lang w:val="en-US" w:eastAsia="zh-CN" w:bidi="ar-SA"/>
              </w:rPr>
            </w:pPr>
          </w:p>
        </w:tc>
        <w:tc>
          <w:tcPr>
            <w:tcW w:w="1525" w:type="dxa"/>
            <w:vAlign w:val="center"/>
          </w:tcPr>
          <w:p w14:paraId="10688045">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禁忌物</w:t>
            </w:r>
          </w:p>
        </w:tc>
        <w:tc>
          <w:tcPr>
            <w:tcW w:w="6496" w:type="dxa"/>
            <w:gridSpan w:val="10"/>
            <w:vAlign w:val="center"/>
          </w:tcPr>
          <w:p w14:paraId="6710EFC9">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强氧化剂、卤素。</w:t>
            </w:r>
          </w:p>
        </w:tc>
      </w:tr>
      <w:tr w14:paraId="45329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28197F95">
            <w:pPr>
              <w:widowControl w:val="0"/>
              <w:spacing w:line="300" w:lineRule="exact"/>
              <w:jc w:val="center"/>
              <w:rPr>
                <w:rFonts w:hint="default" w:ascii="Times New Roman" w:hAnsi="Times New Roman" w:eastAsia="宋体" w:cs="Times New Roman"/>
                <w:kern w:val="2"/>
                <w:sz w:val="21"/>
                <w:szCs w:val="21"/>
                <w:lang w:val="en-US" w:eastAsia="zh-CN" w:bidi="ar-SA"/>
              </w:rPr>
            </w:pPr>
          </w:p>
        </w:tc>
        <w:tc>
          <w:tcPr>
            <w:tcW w:w="1525" w:type="dxa"/>
            <w:vAlign w:val="center"/>
          </w:tcPr>
          <w:p w14:paraId="169A08F1">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危险特性</w:t>
            </w:r>
          </w:p>
        </w:tc>
        <w:tc>
          <w:tcPr>
            <w:tcW w:w="6496" w:type="dxa"/>
            <w:gridSpan w:val="10"/>
            <w:vAlign w:val="center"/>
          </w:tcPr>
          <w:p w14:paraId="72A666BF">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与空气混合能形成爆炸性混合物。遇明火、高热能引起燃烧爆炸。与氟、氯等接触会发生剧烈的化学反应。若遇高热，容器内压增大，有开裂和爆炸的危险。不能与下列物质共存</w:t>
            </w:r>
            <w:r>
              <w:rPr>
                <w:rFonts w:hint="eastAsia" w:ascii="Times New Roman" w:hAnsi="Times New Roman" w:eastAsia="宋体" w:cs="Times New Roman"/>
                <w:kern w:val="2"/>
                <w:sz w:val="21"/>
                <w:szCs w:val="21"/>
                <w:lang w:val="en-US" w:eastAsia="zh-CN" w:bidi="ar-SA"/>
              </w:rPr>
              <w:t>：</w:t>
            </w:r>
            <w:r>
              <w:rPr>
                <w:rFonts w:hint="default" w:ascii="Times New Roman" w:hAnsi="Times New Roman" w:eastAsia="宋体" w:cs="Times New Roman"/>
                <w:kern w:val="2"/>
                <w:sz w:val="21"/>
                <w:szCs w:val="21"/>
                <w:lang w:val="en-US" w:eastAsia="zh-CN" w:bidi="ar-SA"/>
              </w:rPr>
              <w:t>乙醛、丙烯醛、硼、卤素、环氧乙烷、次氯酸、硝酸、汞、氯化银、硫、锑、双氧水等。</w:t>
            </w:r>
          </w:p>
        </w:tc>
      </w:tr>
      <w:tr w14:paraId="2362A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01FFAE3C">
            <w:pPr>
              <w:widowControl w:val="0"/>
              <w:spacing w:line="300" w:lineRule="exact"/>
              <w:jc w:val="center"/>
              <w:rPr>
                <w:rFonts w:hint="default" w:ascii="Times New Roman" w:hAnsi="Times New Roman" w:eastAsia="宋体" w:cs="Times New Roman"/>
                <w:kern w:val="2"/>
                <w:sz w:val="21"/>
                <w:szCs w:val="21"/>
                <w:lang w:val="en-US" w:eastAsia="zh-CN" w:bidi="ar-SA"/>
              </w:rPr>
            </w:pPr>
          </w:p>
        </w:tc>
        <w:tc>
          <w:tcPr>
            <w:tcW w:w="1525" w:type="dxa"/>
            <w:vAlign w:val="center"/>
          </w:tcPr>
          <w:p w14:paraId="0CE5C231">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储运条件</w:t>
            </w:r>
          </w:p>
          <w:p w14:paraId="3A4DA499">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与泄漏处理</w:t>
            </w:r>
          </w:p>
        </w:tc>
        <w:tc>
          <w:tcPr>
            <w:tcW w:w="6496" w:type="dxa"/>
            <w:gridSpan w:val="10"/>
            <w:vAlign w:val="center"/>
          </w:tcPr>
          <w:p w14:paraId="52D88881">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储运条件：储存于阴凉、干燥、通风</w:t>
            </w:r>
            <w:r>
              <w:rPr>
                <w:rFonts w:hint="eastAsia" w:ascii="Times New Roman" w:hAnsi="Times New Roman" w:eastAsia="宋体" w:cs="Times New Roman"/>
                <w:kern w:val="2"/>
                <w:sz w:val="21"/>
                <w:szCs w:val="21"/>
                <w:lang w:val="en-US" w:eastAsia="zh-CN" w:bidi="ar-SA"/>
              </w:rPr>
              <w:t>房间</w:t>
            </w:r>
            <w:r>
              <w:rPr>
                <w:rFonts w:hint="default" w:ascii="Times New Roman" w:hAnsi="Times New Roman" w:eastAsia="宋体" w:cs="Times New Roman"/>
                <w:kern w:val="2"/>
                <w:sz w:val="21"/>
                <w:szCs w:val="21"/>
                <w:lang w:val="en-US" w:eastAsia="zh-CN" w:bidi="ar-SA"/>
              </w:rPr>
              <w:t>内。远离火种、热源。防止阳光直射。应与卤素（氟、氯、溴）、酸类分开存放。搬运时要轻装轻卸，防止钢瓶或附件损坏。平时检查钢瓶漏气情况。搬运时穿戴全身防护服（橡皮手套、围裙、化学面罩）。采用钢瓶运输时必须戴好钢瓶上的安全帽。钢瓶一般平放，并应将瓶口朝同一方向，不可交叉；高度不得超过车辆的防护栏板，并用三角木垫卡牢，防止滚动。泄漏处理：迅速撤离泄漏污染区人员至上风处，并立即进行隔离150</w:t>
            </w:r>
            <w:r>
              <w:rPr>
                <w:rFonts w:hint="eastAsia" w:ascii="Times New Roman" w:hAnsi="Times New Roman" w:eastAsia="宋体" w:cs="Times New Roman"/>
                <w:kern w:val="2"/>
                <w:sz w:val="21"/>
                <w:szCs w:val="21"/>
                <w:lang w:val="en-US" w:eastAsia="zh-CN" w:bidi="ar-SA"/>
              </w:rPr>
              <w:t>m</w:t>
            </w:r>
            <w:r>
              <w:rPr>
                <w:rFonts w:hint="default" w:ascii="Times New Roman" w:hAnsi="Times New Roman" w:eastAsia="宋体" w:cs="Times New Roman"/>
                <w:kern w:val="2"/>
                <w:sz w:val="21"/>
                <w:szCs w:val="21"/>
                <w:lang w:val="en-US" w:eastAsia="zh-CN" w:bidi="ar-SA"/>
              </w:rPr>
              <w:t>，严格限制出入，切断火源。建议应急处理人员戴自给正压式呼吸器，穿防毒服。尽可能切断泄漏源。合理通风，加速扩散。高浓度泄漏区，喷含盐酸的雾状水中和、稀释、溶解。构筑围堤或挖坑收容产生的大量废水。如有可能，将残余气或漏出气用排风机送至水洗塔或与塔相连的通风橱内。漏气容器要妥善处理，修复、检验后再用。</w:t>
            </w:r>
          </w:p>
        </w:tc>
      </w:tr>
      <w:tr w14:paraId="21375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8" w:type="dxa"/>
            <w:vMerge w:val="continue"/>
            <w:vAlign w:val="center"/>
          </w:tcPr>
          <w:p w14:paraId="6E5168B8">
            <w:pPr>
              <w:widowControl w:val="0"/>
              <w:spacing w:line="300" w:lineRule="exact"/>
              <w:jc w:val="center"/>
              <w:rPr>
                <w:rFonts w:hint="default" w:ascii="Times New Roman" w:hAnsi="Times New Roman" w:eastAsia="宋体" w:cs="Times New Roman"/>
                <w:kern w:val="2"/>
                <w:sz w:val="21"/>
                <w:szCs w:val="21"/>
                <w:lang w:val="en-US" w:eastAsia="zh-CN" w:bidi="ar-SA"/>
              </w:rPr>
            </w:pPr>
          </w:p>
        </w:tc>
        <w:tc>
          <w:tcPr>
            <w:tcW w:w="1525" w:type="dxa"/>
            <w:vAlign w:val="center"/>
          </w:tcPr>
          <w:p w14:paraId="502E8CF4">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灭火方法</w:t>
            </w:r>
          </w:p>
        </w:tc>
        <w:tc>
          <w:tcPr>
            <w:tcW w:w="6496" w:type="dxa"/>
            <w:gridSpan w:val="10"/>
            <w:vAlign w:val="center"/>
          </w:tcPr>
          <w:p w14:paraId="7A66E6F6">
            <w:pPr>
              <w:widowControl w:val="0"/>
              <w:spacing w:line="3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消防人员必须穿戴全身防火防毒服。切断气源。若不能立即切断气源，则不允许熄灭正在燃烧的气体。喷水冷却容器，可能的话将容器从火场移至空旷处。灭火剂：雾状水、抗溶性泡沫、二氧化碳、砂土。</w:t>
            </w:r>
          </w:p>
        </w:tc>
      </w:tr>
    </w:tbl>
    <w:p w14:paraId="3BEE10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表</w:t>
      </w:r>
      <w:r>
        <w:rPr>
          <w:rFonts w:hint="eastAsia" w:ascii="Times New Roman" w:hAnsi="Times New Roman" w:eastAsia="宋体" w:cs="Times New Roman"/>
          <w:b/>
          <w:sz w:val="24"/>
          <w:szCs w:val="24"/>
          <w:lang w:val="en-US" w:eastAsia="zh-CN"/>
        </w:rPr>
        <w:t>6.2</w:t>
      </w:r>
      <w:r>
        <w:rPr>
          <w:rFonts w:hint="default" w:ascii="Times New Roman" w:hAnsi="Times New Roman" w:eastAsia="宋体" w:cs="Times New Roman"/>
          <w:b/>
          <w:sz w:val="24"/>
          <w:szCs w:val="24"/>
        </w:rPr>
        <w:t>-</w:t>
      </w:r>
      <w:r>
        <w:rPr>
          <w:rFonts w:hint="eastAsia" w:ascii="Times New Roman" w:hAnsi="Times New Roman" w:eastAsia="宋体" w:cs="Times New Roman"/>
          <w:b/>
          <w:sz w:val="24"/>
          <w:szCs w:val="24"/>
          <w:lang w:val="en-US" w:eastAsia="zh-CN"/>
        </w:rPr>
        <w:t>2</w:t>
      </w:r>
      <w:r>
        <w:rPr>
          <w:rFonts w:hint="default" w:ascii="Times New Roman" w:hAnsi="Times New Roman" w:eastAsia="宋体" w:cs="Times New Roman"/>
          <w:b/>
          <w:sz w:val="24"/>
          <w:szCs w:val="24"/>
        </w:rPr>
        <w:t>硫化氢理化性质及危害因素分析</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6"/>
        <w:gridCol w:w="2292"/>
        <w:gridCol w:w="2418"/>
        <w:gridCol w:w="3418"/>
      </w:tblGrid>
      <w:tr w14:paraId="5E6F1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restart"/>
            <w:tcBorders>
              <w:tl2br w:val="nil"/>
              <w:tr2bl w:val="nil"/>
            </w:tcBorders>
            <w:noWrap w:val="0"/>
            <w:vAlign w:val="center"/>
          </w:tcPr>
          <w:p w14:paraId="25E44B41">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标</w:t>
            </w:r>
          </w:p>
          <w:p w14:paraId="05A444A2">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识</w:t>
            </w:r>
          </w:p>
        </w:tc>
        <w:tc>
          <w:tcPr>
            <w:tcW w:w="4724" w:type="dxa"/>
            <w:gridSpan w:val="2"/>
            <w:tcBorders>
              <w:tl2br w:val="nil"/>
              <w:tr2bl w:val="nil"/>
            </w:tcBorders>
            <w:noWrap w:val="0"/>
            <w:vAlign w:val="top"/>
          </w:tcPr>
          <w:p w14:paraId="79349103">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中文名：硫化氢</w:t>
            </w:r>
          </w:p>
        </w:tc>
        <w:tc>
          <w:tcPr>
            <w:tcW w:w="3428" w:type="dxa"/>
            <w:tcBorders>
              <w:tl2br w:val="nil"/>
              <w:tr2bl w:val="nil"/>
            </w:tcBorders>
            <w:noWrap w:val="0"/>
            <w:vAlign w:val="top"/>
          </w:tcPr>
          <w:p w14:paraId="4ECA6A1B">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危规号：21043</w:t>
            </w:r>
          </w:p>
        </w:tc>
      </w:tr>
      <w:tr w14:paraId="5860B3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center"/>
          </w:tcPr>
          <w:p w14:paraId="2F70F90E">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p>
        </w:tc>
        <w:tc>
          <w:tcPr>
            <w:tcW w:w="2299" w:type="dxa"/>
            <w:tcBorders>
              <w:tl2br w:val="nil"/>
              <w:tr2bl w:val="nil"/>
            </w:tcBorders>
            <w:noWrap w:val="0"/>
            <w:vAlign w:val="top"/>
          </w:tcPr>
          <w:p w14:paraId="5B9FDFB8">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分子式：H</w:t>
            </w:r>
            <w:r>
              <w:rPr>
                <w:rFonts w:hint="default" w:ascii="Times New Roman" w:hAnsi="Times New Roman" w:eastAsia="宋体" w:cs="Times New Roman"/>
                <w:kern w:val="0"/>
                <w:sz w:val="21"/>
                <w:szCs w:val="21"/>
                <w:vertAlign w:val="subscript"/>
              </w:rPr>
              <w:t>2</w:t>
            </w:r>
            <w:r>
              <w:rPr>
                <w:rFonts w:hint="default" w:ascii="Times New Roman" w:hAnsi="Times New Roman" w:eastAsia="宋体" w:cs="Times New Roman"/>
                <w:kern w:val="0"/>
                <w:sz w:val="21"/>
                <w:szCs w:val="21"/>
              </w:rPr>
              <w:t>S</w:t>
            </w:r>
          </w:p>
        </w:tc>
        <w:tc>
          <w:tcPr>
            <w:tcW w:w="2425" w:type="dxa"/>
            <w:tcBorders>
              <w:tl2br w:val="nil"/>
              <w:tr2bl w:val="nil"/>
            </w:tcBorders>
            <w:noWrap w:val="0"/>
            <w:vAlign w:val="top"/>
          </w:tcPr>
          <w:p w14:paraId="5C727DA5">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分子量：34.08</w:t>
            </w:r>
          </w:p>
        </w:tc>
        <w:tc>
          <w:tcPr>
            <w:tcW w:w="3428" w:type="dxa"/>
            <w:tcBorders>
              <w:tl2br w:val="nil"/>
              <w:tr2bl w:val="nil"/>
            </w:tcBorders>
            <w:noWrap w:val="0"/>
            <w:vAlign w:val="top"/>
          </w:tcPr>
          <w:p w14:paraId="10E4F087">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CAS 号：7783-06-4</w:t>
            </w:r>
          </w:p>
        </w:tc>
      </w:tr>
      <w:tr w14:paraId="6EC06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restart"/>
            <w:tcBorders>
              <w:tl2br w:val="nil"/>
              <w:tr2bl w:val="nil"/>
            </w:tcBorders>
            <w:noWrap w:val="0"/>
            <w:vAlign w:val="center"/>
          </w:tcPr>
          <w:p w14:paraId="672971FA">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理</w:t>
            </w:r>
          </w:p>
          <w:p w14:paraId="5514077E">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化</w:t>
            </w:r>
          </w:p>
          <w:p w14:paraId="7573EB08">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性</w:t>
            </w:r>
          </w:p>
          <w:p w14:paraId="695C397B">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质</w:t>
            </w:r>
          </w:p>
        </w:tc>
        <w:tc>
          <w:tcPr>
            <w:tcW w:w="8152" w:type="dxa"/>
            <w:gridSpan w:val="3"/>
            <w:tcBorders>
              <w:tl2br w:val="nil"/>
              <w:tr2bl w:val="nil"/>
            </w:tcBorders>
            <w:noWrap w:val="0"/>
            <w:vAlign w:val="top"/>
          </w:tcPr>
          <w:p w14:paraId="304C01B4">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性状：无色有恶臭气体。</w:t>
            </w:r>
          </w:p>
        </w:tc>
      </w:tr>
      <w:tr w14:paraId="3C9C53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center"/>
          </w:tcPr>
          <w:p w14:paraId="05C27A5B">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p>
        </w:tc>
        <w:tc>
          <w:tcPr>
            <w:tcW w:w="8152" w:type="dxa"/>
            <w:gridSpan w:val="3"/>
            <w:tcBorders>
              <w:tl2br w:val="nil"/>
              <w:tr2bl w:val="nil"/>
            </w:tcBorders>
            <w:noWrap w:val="0"/>
            <w:vAlign w:val="top"/>
          </w:tcPr>
          <w:p w14:paraId="08B1997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溶解性：溶于水、乙醇。</w:t>
            </w:r>
          </w:p>
        </w:tc>
      </w:tr>
      <w:tr w14:paraId="46374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center"/>
          </w:tcPr>
          <w:p w14:paraId="31407AC5">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p>
        </w:tc>
        <w:tc>
          <w:tcPr>
            <w:tcW w:w="2299" w:type="dxa"/>
            <w:tcBorders>
              <w:tl2br w:val="nil"/>
              <w:tr2bl w:val="nil"/>
            </w:tcBorders>
            <w:noWrap w:val="0"/>
            <w:vAlign w:val="top"/>
          </w:tcPr>
          <w:p w14:paraId="00A0B5FB">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熔点（℃）：-85.5</w:t>
            </w:r>
          </w:p>
        </w:tc>
        <w:tc>
          <w:tcPr>
            <w:tcW w:w="2425" w:type="dxa"/>
            <w:tcBorders>
              <w:tl2br w:val="nil"/>
              <w:tr2bl w:val="nil"/>
            </w:tcBorders>
            <w:noWrap w:val="0"/>
            <w:vAlign w:val="top"/>
          </w:tcPr>
          <w:p w14:paraId="6AB908E8">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沸点（℃）：-60.4</w:t>
            </w:r>
          </w:p>
        </w:tc>
        <w:tc>
          <w:tcPr>
            <w:tcW w:w="3428" w:type="dxa"/>
            <w:tcBorders>
              <w:tl2br w:val="nil"/>
              <w:tr2bl w:val="nil"/>
            </w:tcBorders>
            <w:noWrap w:val="0"/>
            <w:vAlign w:val="top"/>
          </w:tcPr>
          <w:p w14:paraId="11B4B318">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相对密度（空气=1）：1.19</w:t>
            </w:r>
          </w:p>
        </w:tc>
      </w:tr>
      <w:tr w14:paraId="0B290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center"/>
          </w:tcPr>
          <w:p w14:paraId="13EB43AF">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p>
        </w:tc>
        <w:tc>
          <w:tcPr>
            <w:tcW w:w="2299" w:type="dxa"/>
            <w:tcBorders>
              <w:tl2br w:val="nil"/>
              <w:tr2bl w:val="nil"/>
            </w:tcBorders>
            <w:noWrap w:val="0"/>
            <w:vAlign w:val="top"/>
          </w:tcPr>
          <w:p w14:paraId="76F9344B">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临界温度（℃）：100.4</w:t>
            </w:r>
          </w:p>
        </w:tc>
        <w:tc>
          <w:tcPr>
            <w:tcW w:w="2425" w:type="dxa"/>
            <w:tcBorders>
              <w:tl2br w:val="nil"/>
              <w:tr2bl w:val="nil"/>
            </w:tcBorders>
            <w:noWrap w:val="0"/>
            <w:vAlign w:val="top"/>
          </w:tcPr>
          <w:p w14:paraId="26CAAB91">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临界压力（MPa）：9.01</w:t>
            </w:r>
          </w:p>
        </w:tc>
        <w:tc>
          <w:tcPr>
            <w:tcW w:w="3428" w:type="dxa"/>
            <w:tcBorders>
              <w:tl2br w:val="nil"/>
              <w:tr2bl w:val="nil"/>
            </w:tcBorders>
            <w:noWrap w:val="0"/>
            <w:vAlign w:val="top"/>
          </w:tcPr>
          <w:p w14:paraId="3558C3CE">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最小点火能（mJ）：0.077</w:t>
            </w:r>
          </w:p>
        </w:tc>
      </w:tr>
      <w:tr w14:paraId="2590B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center"/>
          </w:tcPr>
          <w:p w14:paraId="548F3D6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p>
        </w:tc>
        <w:tc>
          <w:tcPr>
            <w:tcW w:w="8152" w:type="dxa"/>
            <w:gridSpan w:val="3"/>
            <w:tcBorders>
              <w:tl2br w:val="nil"/>
              <w:tr2bl w:val="nil"/>
            </w:tcBorders>
            <w:noWrap w:val="0"/>
            <w:vAlign w:val="top"/>
          </w:tcPr>
          <w:p w14:paraId="7E1964F9">
            <w:pPr>
              <w:keepNext w:val="0"/>
              <w:keepLines w:val="0"/>
              <w:pageBreakBefore w:val="0"/>
              <w:widowControl w:val="0"/>
              <w:kinsoku/>
              <w:wordWrap/>
              <w:overflowPunct/>
              <w:topLinePunct w:val="0"/>
              <w:autoSpaceDE w:val="0"/>
              <w:autoSpaceDN w:val="0"/>
              <w:bidi w:val="0"/>
              <w:adjustRightInd/>
              <w:snapToGrid/>
              <w:spacing w:line="300" w:lineRule="exact"/>
              <w:ind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饱和蒸汽压（KPa）：2026.5（25.5℃）</w:t>
            </w:r>
          </w:p>
        </w:tc>
      </w:tr>
      <w:tr w14:paraId="4E5720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restart"/>
            <w:tcBorders>
              <w:tl2br w:val="nil"/>
              <w:tr2bl w:val="nil"/>
            </w:tcBorders>
            <w:noWrap w:val="0"/>
            <w:vAlign w:val="center"/>
          </w:tcPr>
          <w:p w14:paraId="24109ABA">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燃</w:t>
            </w:r>
          </w:p>
          <w:p w14:paraId="6648D216">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烧</w:t>
            </w:r>
          </w:p>
          <w:p w14:paraId="363878B6">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爆</w:t>
            </w:r>
          </w:p>
          <w:p w14:paraId="63073CD3">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炸</w:t>
            </w:r>
          </w:p>
          <w:p w14:paraId="2B1B06CC">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危</w:t>
            </w:r>
          </w:p>
          <w:p w14:paraId="774B340F">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险</w:t>
            </w:r>
          </w:p>
          <w:p w14:paraId="23CDF526">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性</w:t>
            </w:r>
          </w:p>
        </w:tc>
        <w:tc>
          <w:tcPr>
            <w:tcW w:w="2299" w:type="dxa"/>
            <w:tcBorders>
              <w:tl2br w:val="nil"/>
              <w:tr2bl w:val="nil"/>
            </w:tcBorders>
            <w:noWrap w:val="0"/>
            <w:vAlign w:val="top"/>
          </w:tcPr>
          <w:p w14:paraId="32CC8346">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燃烧性：易燃</w:t>
            </w:r>
          </w:p>
        </w:tc>
        <w:tc>
          <w:tcPr>
            <w:tcW w:w="5853" w:type="dxa"/>
            <w:gridSpan w:val="2"/>
            <w:tcBorders>
              <w:tl2br w:val="nil"/>
              <w:tr2bl w:val="nil"/>
            </w:tcBorders>
            <w:noWrap w:val="0"/>
            <w:vAlign w:val="top"/>
          </w:tcPr>
          <w:p w14:paraId="62FA8B46">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燃烧分解产物：氧化硫。</w:t>
            </w:r>
          </w:p>
        </w:tc>
      </w:tr>
      <w:tr w14:paraId="23859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top"/>
          </w:tcPr>
          <w:p w14:paraId="408FB6EC">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left"/>
              <w:textAlignment w:val="auto"/>
              <w:rPr>
                <w:rFonts w:hint="default" w:ascii="Times New Roman" w:hAnsi="Times New Roman" w:eastAsia="宋体" w:cs="Times New Roman"/>
                <w:b/>
                <w:bCs/>
                <w:kern w:val="0"/>
                <w:sz w:val="21"/>
                <w:szCs w:val="21"/>
              </w:rPr>
            </w:pPr>
          </w:p>
        </w:tc>
        <w:tc>
          <w:tcPr>
            <w:tcW w:w="2299" w:type="dxa"/>
            <w:tcBorders>
              <w:tl2br w:val="nil"/>
              <w:tr2bl w:val="nil"/>
            </w:tcBorders>
            <w:noWrap w:val="0"/>
            <w:vAlign w:val="top"/>
          </w:tcPr>
          <w:p w14:paraId="12C51591">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爆炸下限（％）：4.0</w:t>
            </w:r>
          </w:p>
        </w:tc>
        <w:tc>
          <w:tcPr>
            <w:tcW w:w="2425" w:type="dxa"/>
            <w:tcBorders>
              <w:tl2br w:val="nil"/>
              <w:tr2bl w:val="nil"/>
            </w:tcBorders>
            <w:noWrap w:val="0"/>
            <w:vAlign w:val="top"/>
          </w:tcPr>
          <w:p w14:paraId="64B2FC5F">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爆炸上限（％）：46.0</w:t>
            </w:r>
          </w:p>
        </w:tc>
        <w:tc>
          <w:tcPr>
            <w:tcW w:w="3428" w:type="dxa"/>
            <w:tcBorders>
              <w:tl2br w:val="nil"/>
              <w:tr2bl w:val="nil"/>
            </w:tcBorders>
            <w:noWrap w:val="0"/>
            <w:vAlign w:val="top"/>
          </w:tcPr>
          <w:p w14:paraId="574C544A">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聚合危害：不聚合</w:t>
            </w:r>
          </w:p>
        </w:tc>
      </w:tr>
      <w:tr w14:paraId="2FC49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top"/>
          </w:tcPr>
          <w:p w14:paraId="0C754F7E">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left"/>
              <w:textAlignment w:val="auto"/>
              <w:rPr>
                <w:rFonts w:hint="default" w:ascii="Times New Roman" w:hAnsi="Times New Roman" w:eastAsia="宋体" w:cs="Times New Roman"/>
                <w:b/>
                <w:bCs/>
                <w:kern w:val="0"/>
                <w:sz w:val="21"/>
                <w:szCs w:val="21"/>
              </w:rPr>
            </w:pPr>
          </w:p>
        </w:tc>
        <w:tc>
          <w:tcPr>
            <w:tcW w:w="2299" w:type="dxa"/>
            <w:tcBorders>
              <w:tl2br w:val="nil"/>
              <w:tr2bl w:val="nil"/>
            </w:tcBorders>
            <w:noWrap w:val="0"/>
            <w:vAlign w:val="top"/>
          </w:tcPr>
          <w:p w14:paraId="5A603A44">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稳定性：稳定</w:t>
            </w:r>
          </w:p>
        </w:tc>
        <w:tc>
          <w:tcPr>
            <w:tcW w:w="2425" w:type="dxa"/>
            <w:tcBorders>
              <w:tl2br w:val="nil"/>
              <w:tr2bl w:val="nil"/>
            </w:tcBorders>
            <w:noWrap w:val="0"/>
            <w:vAlign w:val="top"/>
          </w:tcPr>
          <w:p w14:paraId="549A5918">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引燃温度（℃）：651</w:t>
            </w:r>
          </w:p>
        </w:tc>
        <w:tc>
          <w:tcPr>
            <w:tcW w:w="3428" w:type="dxa"/>
            <w:tcBorders>
              <w:tl2br w:val="nil"/>
              <w:tr2bl w:val="nil"/>
            </w:tcBorders>
            <w:noWrap w:val="0"/>
            <w:vAlign w:val="top"/>
          </w:tcPr>
          <w:p w14:paraId="67D5C3B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禁忌物：强氧化剂、碱类。</w:t>
            </w:r>
          </w:p>
        </w:tc>
      </w:tr>
      <w:tr w14:paraId="476872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top"/>
          </w:tcPr>
          <w:p w14:paraId="5AEB0EC2">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left"/>
              <w:textAlignment w:val="auto"/>
              <w:rPr>
                <w:rFonts w:hint="default" w:ascii="Times New Roman" w:hAnsi="Times New Roman" w:eastAsia="宋体" w:cs="Times New Roman"/>
                <w:b/>
                <w:bCs/>
                <w:kern w:val="0"/>
                <w:sz w:val="21"/>
                <w:szCs w:val="21"/>
              </w:rPr>
            </w:pPr>
          </w:p>
        </w:tc>
        <w:tc>
          <w:tcPr>
            <w:tcW w:w="8152" w:type="dxa"/>
            <w:gridSpan w:val="3"/>
            <w:tcBorders>
              <w:tl2br w:val="nil"/>
              <w:tr2bl w:val="nil"/>
            </w:tcBorders>
            <w:noWrap w:val="0"/>
            <w:vAlign w:val="top"/>
          </w:tcPr>
          <w:p w14:paraId="5A4959C6">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危险特性：易燃，与空气混合能形成爆炸性混合物，遇明火、高热能引起燃烧爆炸。与浓硝酸、发烟硝酸或</w:t>
            </w:r>
            <w:r>
              <w:rPr>
                <w:rFonts w:hint="eastAsia" w:ascii="Times New Roman" w:hAnsi="Times New Roman" w:eastAsia="宋体" w:cs="Times New Roman"/>
                <w:kern w:val="0"/>
                <w:sz w:val="21"/>
                <w:szCs w:val="21"/>
                <w:lang w:eastAsia="zh-CN"/>
              </w:rPr>
              <w:t>其他</w:t>
            </w:r>
            <w:r>
              <w:rPr>
                <w:rFonts w:hint="default" w:ascii="Times New Roman" w:hAnsi="Times New Roman" w:eastAsia="宋体" w:cs="Times New Roman"/>
                <w:kern w:val="0"/>
                <w:sz w:val="21"/>
                <w:szCs w:val="21"/>
              </w:rPr>
              <w:t>强氧化剂剧烈反应，发生爆炸。气体比空气重，能在较低处扩散到相当远的地方，遇明火会引起回燃。</w:t>
            </w:r>
          </w:p>
        </w:tc>
      </w:tr>
      <w:tr w14:paraId="403EA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vMerge w:val="continue"/>
            <w:tcBorders>
              <w:tl2br w:val="nil"/>
              <w:tr2bl w:val="nil"/>
            </w:tcBorders>
            <w:noWrap w:val="0"/>
            <w:vAlign w:val="top"/>
          </w:tcPr>
          <w:p w14:paraId="04D3FE6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left"/>
              <w:textAlignment w:val="auto"/>
              <w:rPr>
                <w:rFonts w:hint="default" w:ascii="Times New Roman" w:hAnsi="Times New Roman" w:eastAsia="宋体" w:cs="Times New Roman"/>
                <w:b/>
                <w:bCs/>
                <w:kern w:val="0"/>
                <w:sz w:val="21"/>
                <w:szCs w:val="21"/>
              </w:rPr>
            </w:pPr>
          </w:p>
        </w:tc>
        <w:tc>
          <w:tcPr>
            <w:tcW w:w="8152" w:type="dxa"/>
            <w:gridSpan w:val="3"/>
            <w:tcBorders>
              <w:tl2br w:val="nil"/>
              <w:tr2bl w:val="nil"/>
            </w:tcBorders>
            <w:noWrap w:val="0"/>
            <w:vAlign w:val="top"/>
          </w:tcPr>
          <w:p w14:paraId="5EA5E287">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灭火方法：消防人员必须穿戴全身防火防毒服。切断气源。若不能立即切断气源，则不允许熄灭正在燃烧的气体。喷水冷却容器，可能的话将容器从火场移至空旷处。灭火剂：雾状水、抗溶性泡沫、干粉。</w:t>
            </w:r>
          </w:p>
        </w:tc>
      </w:tr>
      <w:tr w14:paraId="7CC9D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tcBorders>
              <w:tl2br w:val="nil"/>
              <w:tr2bl w:val="nil"/>
            </w:tcBorders>
            <w:noWrap w:val="0"/>
            <w:vAlign w:val="center"/>
          </w:tcPr>
          <w:p w14:paraId="38BD5677">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毒性</w:t>
            </w:r>
          </w:p>
        </w:tc>
        <w:tc>
          <w:tcPr>
            <w:tcW w:w="8152" w:type="dxa"/>
            <w:gridSpan w:val="3"/>
            <w:tcBorders>
              <w:tl2br w:val="nil"/>
              <w:tr2bl w:val="nil"/>
            </w:tcBorders>
            <w:noWrap w:val="0"/>
            <w:vAlign w:val="center"/>
          </w:tcPr>
          <w:p w14:paraId="52609034">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LC</w:t>
            </w:r>
            <w:r>
              <w:rPr>
                <w:rFonts w:hint="default" w:ascii="Times New Roman" w:hAnsi="Times New Roman" w:eastAsia="宋体" w:cs="Times New Roman"/>
                <w:kern w:val="0"/>
                <w:sz w:val="21"/>
                <w:szCs w:val="21"/>
                <w:vertAlign w:val="subscript"/>
              </w:rPr>
              <w:t>50</w:t>
            </w:r>
            <w:r>
              <w:rPr>
                <w:rFonts w:hint="eastAsia" w:ascii="Times New Roman" w:hAnsi="Times New Roman" w:eastAsia="宋体" w:cs="Times New Roman"/>
                <w:kern w:val="0"/>
                <w:sz w:val="21"/>
                <w:szCs w:val="21"/>
                <w:vertAlign w:val="subscript"/>
                <w:lang w:eastAsia="zh-CN"/>
              </w:rPr>
              <w:t>:</w:t>
            </w:r>
            <w:r>
              <w:rPr>
                <w:rFonts w:hint="default" w:ascii="Times New Roman" w:hAnsi="Times New Roman" w:eastAsia="宋体" w:cs="Times New Roman"/>
                <w:kern w:val="0"/>
                <w:sz w:val="21"/>
                <w:szCs w:val="21"/>
              </w:rPr>
              <w:t>6180mg/m</w:t>
            </w:r>
            <w:r>
              <w:rPr>
                <w:rFonts w:hint="default" w:ascii="Times New Roman" w:hAnsi="Times New Roman" w:eastAsia="宋体" w:cs="Times New Roman"/>
                <w:kern w:val="0"/>
                <w:sz w:val="21"/>
                <w:szCs w:val="21"/>
                <w:vertAlign w:val="superscript"/>
              </w:rPr>
              <w:t>3</w:t>
            </w:r>
            <w:r>
              <w:rPr>
                <w:rFonts w:hint="default" w:ascii="Times New Roman" w:hAnsi="Times New Roman" w:eastAsia="宋体" w:cs="Times New Roman"/>
                <w:kern w:val="0"/>
                <w:sz w:val="21"/>
                <w:szCs w:val="21"/>
              </w:rPr>
              <w:t>（大鼠吸入）</w:t>
            </w:r>
          </w:p>
        </w:tc>
      </w:tr>
      <w:tr w14:paraId="3334B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tcBorders>
              <w:tl2br w:val="nil"/>
              <w:tr2bl w:val="nil"/>
            </w:tcBorders>
            <w:noWrap w:val="0"/>
            <w:vAlign w:val="center"/>
          </w:tcPr>
          <w:p w14:paraId="6A134E53">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对</w:t>
            </w:r>
          </w:p>
          <w:p w14:paraId="578D0C93">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人</w:t>
            </w:r>
          </w:p>
          <w:p w14:paraId="0195CBD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体</w:t>
            </w:r>
          </w:p>
          <w:p w14:paraId="0208C121">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危</w:t>
            </w:r>
          </w:p>
          <w:p w14:paraId="44D2D945">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害</w:t>
            </w:r>
          </w:p>
        </w:tc>
        <w:tc>
          <w:tcPr>
            <w:tcW w:w="8152" w:type="dxa"/>
            <w:gridSpan w:val="3"/>
            <w:tcBorders>
              <w:tl2br w:val="nil"/>
              <w:tr2bl w:val="nil"/>
            </w:tcBorders>
            <w:noWrap w:val="0"/>
            <w:vAlign w:val="center"/>
          </w:tcPr>
          <w:p w14:paraId="716A0963">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侵入途径：吸入。</w:t>
            </w:r>
          </w:p>
          <w:p w14:paraId="7F60D7E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健康危害：本品是强烈的神经毒物，对</w:t>
            </w:r>
            <w:r>
              <w:rPr>
                <w:rFonts w:hint="eastAsia" w:ascii="Times New Roman" w:hAnsi="Times New Roman" w:eastAsia="宋体" w:cs="Times New Roman"/>
                <w:kern w:val="0"/>
                <w:sz w:val="21"/>
                <w:szCs w:val="21"/>
                <w:lang w:val="en-US" w:eastAsia="zh-CN"/>
              </w:rPr>
              <w:t>黏膜</w:t>
            </w:r>
            <w:r>
              <w:rPr>
                <w:rFonts w:hint="default" w:ascii="Times New Roman" w:hAnsi="Times New Roman" w:eastAsia="宋体" w:cs="Times New Roman"/>
                <w:kern w:val="0"/>
                <w:sz w:val="21"/>
                <w:szCs w:val="21"/>
              </w:rPr>
              <w:t>有强烈刺激作用。急性中毒：短期内吸入高浓度硫化氢后出现流泪、眼痛、眼内异物感、畏光、视物模糊、流涕、咽喉部灼热感、咳嗽、胸闷、头痛、头晕、乏力、意识模糊等。部分患者可有心肌损害。重者可出现</w:t>
            </w:r>
            <w:r>
              <w:rPr>
                <w:rFonts w:hint="eastAsia" w:ascii="Times New Roman" w:hAnsi="Times New Roman" w:eastAsia="宋体" w:cs="Times New Roman"/>
                <w:kern w:val="0"/>
                <w:sz w:val="21"/>
                <w:szCs w:val="21"/>
                <w:lang w:eastAsia="zh-CN"/>
              </w:rPr>
              <w:t>脑水肿</w:t>
            </w:r>
            <w:r>
              <w:rPr>
                <w:rFonts w:hint="default" w:ascii="Times New Roman" w:hAnsi="Times New Roman" w:eastAsia="宋体" w:cs="Times New Roman"/>
                <w:kern w:val="0"/>
                <w:sz w:val="21"/>
                <w:szCs w:val="21"/>
              </w:rPr>
              <w:t>、肺水肿。极高浓度（1000mg/m</w:t>
            </w:r>
            <w:r>
              <w:rPr>
                <w:rFonts w:hint="default" w:ascii="Times New Roman" w:hAnsi="Times New Roman" w:eastAsia="宋体" w:cs="Times New Roman"/>
                <w:kern w:val="0"/>
                <w:sz w:val="21"/>
                <w:szCs w:val="21"/>
                <w:vertAlign w:val="superscript"/>
              </w:rPr>
              <w:t>3</w:t>
            </w:r>
            <w:r>
              <w:rPr>
                <w:rFonts w:hint="default" w:ascii="Times New Roman" w:hAnsi="Times New Roman" w:eastAsia="宋体" w:cs="Times New Roman"/>
                <w:kern w:val="0"/>
                <w:sz w:val="21"/>
                <w:szCs w:val="21"/>
              </w:rPr>
              <w:t>以上）时可在数秒钟内突然昏迷，呼吸和心跳骤停，发生闪电型死亡。高浓度接触眼结膜发生水肿和结膜溃疡。</w:t>
            </w:r>
          </w:p>
        </w:tc>
      </w:tr>
      <w:tr w14:paraId="0BD9A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tcBorders>
              <w:tl2br w:val="nil"/>
              <w:tr2bl w:val="nil"/>
            </w:tcBorders>
            <w:noWrap w:val="0"/>
            <w:vAlign w:val="center"/>
          </w:tcPr>
          <w:p w14:paraId="0D8E92CE">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急</w:t>
            </w:r>
          </w:p>
          <w:p w14:paraId="6422A7C9">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救</w:t>
            </w:r>
          </w:p>
        </w:tc>
        <w:tc>
          <w:tcPr>
            <w:tcW w:w="8152" w:type="dxa"/>
            <w:gridSpan w:val="3"/>
            <w:tcBorders>
              <w:tl2br w:val="nil"/>
              <w:tr2bl w:val="nil"/>
            </w:tcBorders>
            <w:noWrap w:val="0"/>
            <w:vAlign w:val="top"/>
          </w:tcPr>
          <w:p w14:paraId="775A834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眼睛接触：立即提起眼睑，用大量流动清水或生理盐水彻底冲洗至少15 分钟</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就医。吸入：迅速脱离现场至空气新鲜处，保持呼吸道通畅</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如呼吸困难，给输氧</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如呼吸停止，立即进行人工呼吸</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就医。</w:t>
            </w:r>
          </w:p>
        </w:tc>
      </w:tr>
      <w:tr w14:paraId="4DE0A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tcBorders>
              <w:tl2br w:val="nil"/>
              <w:tr2bl w:val="nil"/>
            </w:tcBorders>
            <w:noWrap w:val="0"/>
            <w:vAlign w:val="center"/>
          </w:tcPr>
          <w:p w14:paraId="14D05528">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防</w:t>
            </w:r>
          </w:p>
          <w:p w14:paraId="0F33D381">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护</w:t>
            </w:r>
          </w:p>
        </w:tc>
        <w:tc>
          <w:tcPr>
            <w:tcW w:w="8152" w:type="dxa"/>
            <w:gridSpan w:val="3"/>
            <w:tcBorders>
              <w:tl2br w:val="nil"/>
              <w:tr2bl w:val="nil"/>
            </w:tcBorders>
            <w:noWrap w:val="0"/>
            <w:vAlign w:val="top"/>
          </w:tcPr>
          <w:p w14:paraId="348638C1">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工程防护：严加密闭，提供充分的局部排风和全面通风。提供安全淋浴和洗眼设备。</w:t>
            </w:r>
          </w:p>
          <w:p w14:paraId="59857043">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呼吸系统防护：空气中浓度超标时，佩戴过滤式防毒面具（全面罩）</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紧急事态抢救或撤离时，建议佩戴氧气呼吸器或空气呼吸器。</w:t>
            </w:r>
          </w:p>
          <w:p w14:paraId="451CB26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眼睛防护：戴化学安全防护眼镜。</w:t>
            </w:r>
          </w:p>
          <w:p w14:paraId="6425688B">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身体防护：穿防静电工作服。</w:t>
            </w:r>
          </w:p>
          <w:p w14:paraId="78EBFD98">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手防护：戴化学品手套。</w:t>
            </w:r>
          </w:p>
          <w:p w14:paraId="4A89701E">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其他</w:t>
            </w:r>
            <w:r>
              <w:rPr>
                <w:rFonts w:hint="default" w:ascii="Times New Roman" w:hAnsi="Times New Roman" w:eastAsia="宋体" w:cs="Times New Roman"/>
                <w:kern w:val="0"/>
                <w:sz w:val="21"/>
                <w:szCs w:val="21"/>
              </w:rPr>
              <w:t>：工作现场严禁吸烟、进食和饮水</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工作毕，淋浴更衣</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及时换洗工作服</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作业人员应学会自救互救</w:t>
            </w: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进入罐、限制性空间或</w:t>
            </w:r>
            <w:r>
              <w:rPr>
                <w:rFonts w:hint="eastAsia" w:ascii="Times New Roman" w:hAnsi="Times New Roman" w:eastAsia="宋体" w:cs="Times New Roman"/>
                <w:kern w:val="0"/>
                <w:sz w:val="21"/>
                <w:szCs w:val="21"/>
                <w:lang w:eastAsia="zh-CN"/>
              </w:rPr>
              <w:t>其他</w:t>
            </w:r>
            <w:r>
              <w:rPr>
                <w:rFonts w:hint="default" w:ascii="Times New Roman" w:hAnsi="Times New Roman" w:eastAsia="宋体" w:cs="Times New Roman"/>
                <w:kern w:val="0"/>
                <w:sz w:val="21"/>
                <w:szCs w:val="21"/>
              </w:rPr>
              <w:t>高浓度区作业，须有人监护。</w:t>
            </w:r>
          </w:p>
        </w:tc>
      </w:tr>
      <w:tr w14:paraId="7B2DE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6" w:type="dxa"/>
            <w:tcBorders>
              <w:tl2br w:val="nil"/>
              <w:tr2bl w:val="nil"/>
            </w:tcBorders>
            <w:noWrap w:val="0"/>
            <w:vAlign w:val="center"/>
          </w:tcPr>
          <w:p w14:paraId="6A7A098A">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泄</w:t>
            </w:r>
          </w:p>
          <w:p w14:paraId="6D30A63C">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漏</w:t>
            </w:r>
          </w:p>
          <w:p w14:paraId="1A3A7640">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处</w:t>
            </w:r>
          </w:p>
          <w:p w14:paraId="16ED956B">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理</w:t>
            </w:r>
          </w:p>
        </w:tc>
        <w:tc>
          <w:tcPr>
            <w:tcW w:w="8152" w:type="dxa"/>
            <w:gridSpan w:val="3"/>
            <w:tcBorders>
              <w:tl2br w:val="nil"/>
              <w:tr2bl w:val="nil"/>
            </w:tcBorders>
            <w:noWrap w:val="0"/>
            <w:vAlign w:val="top"/>
          </w:tcPr>
          <w:p w14:paraId="7F951F5F">
            <w:pPr>
              <w:keepNext w:val="0"/>
              <w:keepLines w:val="0"/>
              <w:pageBreakBefore w:val="0"/>
              <w:widowControl w:val="0"/>
              <w:kinsoku/>
              <w:wordWrap/>
              <w:overflowPunct/>
              <w:topLinePunct w:val="0"/>
              <w:autoSpaceDE w:val="0"/>
              <w:autoSpaceDN w:val="0"/>
              <w:bidi w:val="0"/>
              <w:adjustRightInd/>
              <w:snapToGrid/>
              <w:spacing w:line="300" w:lineRule="exact"/>
              <w:ind w:left="-31" w:leftChars="-15" w:right="0" w:right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迅速撤离泄漏污染区人员至上风处，并进行隔离，小泄漏时隔离150m，大泄漏时隔离300m，严格限制出入。切断火源。建议应急处理人员戴自给正压式呼吸器，穿防毒服。从上风处进入现场。尽可能切断泄漏源。合理通风，加速扩散。喷雾状水稀释、溶解。构筑围堤或挖坑收容产生的大量废水。如有可能，将残余气或漏出气用排风机送至水洗塔或与塔相连的通风橱内。或使其通过三氯化铁水溶液，管路装止回装置以防溶液吸回。漏气容器要妥善处理，修复、检验后再用。</w:t>
            </w:r>
          </w:p>
        </w:tc>
      </w:tr>
    </w:tbl>
    <w:p w14:paraId="080218D6">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eastAsia" w:ascii="Times New Roman" w:hAnsi="Times New Roman" w:eastAsia="宋体" w:cs="Times New Roman"/>
          <w:b/>
          <w:bCs/>
          <w:kern w:val="2"/>
          <w:sz w:val="28"/>
          <w:szCs w:val="28"/>
          <w:lang w:val="en-US" w:eastAsia="zh-CN" w:bidi="ar-SA"/>
        </w:rPr>
      </w:pPr>
      <w:bookmarkStart w:id="633" w:name="_Toc14456"/>
      <w:bookmarkStart w:id="634" w:name="_Toc17313"/>
      <w:r>
        <w:rPr>
          <w:rFonts w:hint="eastAsia" w:ascii="Times New Roman" w:hAnsi="Times New Roman" w:eastAsia="宋体" w:cs="Times New Roman"/>
          <w:b/>
          <w:bCs/>
          <w:kern w:val="2"/>
          <w:sz w:val="28"/>
          <w:szCs w:val="28"/>
          <w:lang w:val="en-US" w:eastAsia="zh-CN" w:bidi="ar-SA"/>
        </w:rPr>
        <w:t>6.2.2生产系统风险识别</w:t>
      </w:r>
      <w:bookmarkEnd w:id="633"/>
      <w:bookmarkEnd w:id="634"/>
    </w:p>
    <w:p w14:paraId="67511FB5">
      <w:pPr>
        <w:spacing w:line="360" w:lineRule="auto"/>
        <w:ind w:firstLine="482"/>
        <w:rPr>
          <w:rFonts w:ascii="Times New Roman" w:hAnsi="Times New Roman" w:eastAsia="宋体" w:cs="Times New Roman"/>
          <w:bCs/>
          <w:sz w:val="24"/>
        </w:rPr>
      </w:pPr>
      <w:r>
        <w:rPr>
          <w:rFonts w:hint="eastAsia" w:ascii="Times New Roman" w:hAnsi="Times New Roman" w:eastAsia="宋体" w:cs="Times New Roman"/>
          <w:bCs/>
          <w:sz w:val="24"/>
        </w:rPr>
        <w:t>生产系统危险性识别，包括主要生产装置、储运设施、公用工程和辅助生产设施，以及环境保护设施等。项目生产过程中的主要环境风险是</w:t>
      </w:r>
      <w:r>
        <w:rPr>
          <w:rFonts w:hint="eastAsia" w:ascii="Times New Roman" w:hAnsi="Times New Roman" w:eastAsia="宋体" w:cs="Times New Roman"/>
          <w:sz w:val="24"/>
          <w:szCs w:val="24"/>
          <w:lang w:eastAsia="zh-CN"/>
        </w:rPr>
        <w:t>疫情风险</w:t>
      </w:r>
      <w:r>
        <w:rPr>
          <w:rFonts w:hint="default" w:ascii="Times New Roman" w:hAnsi="Times New Roman" w:eastAsia="宋体" w:cs="Times New Roman"/>
          <w:sz w:val="24"/>
          <w:szCs w:val="24"/>
        </w:rPr>
        <w:t>、病死</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szCs w:val="24"/>
          <w:lang w:eastAsia="zh-CN"/>
        </w:rPr>
        <w:t>风险、</w:t>
      </w:r>
      <w:r>
        <w:rPr>
          <w:rFonts w:hint="eastAsia" w:ascii="Times New Roman" w:hAnsi="Times New Roman" w:eastAsia="宋体" w:cs="Times New Roman"/>
          <w:sz w:val="24"/>
          <w:szCs w:val="24"/>
          <w:lang w:val="en-US" w:eastAsia="zh-CN"/>
        </w:rPr>
        <w:t>有毒气体毒性危害、污水泄漏风险以及火灾风险</w:t>
      </w:r>
      <w:r>
        <w:rPr>
          <w:rFonts w:hint="eastAsia" w:ascii="Times New Roman" w:hAnsi="Times New Roman" w:eastAsia="宋体" w:cs="Times New Roman"/>
          <w:bCs/>
          <w:sz w:val="24"/>
        </w:rPr>
        <w:t>。</w:t>
      </w:r>
    </w:p>
    <w:bookmarkEnd w:id="632"/>
    <w:p w14:paraId="540DC977">
      <w:pPr>
        <w:pageBreakBefore w:val="0"/>
        <w:widowControl w:val="0"/>
        <w:kinsoku/>
        <w:wordWrap/>
        <w:topLinePunct w:val="0"/>
        <w:autoSpaceDE/>
        <w:autoSpaceDN/>
        <w:bidi w:val="0"/>
        <w:adjustRightInd/>
        <w:snapToGrid/>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635" w:name="_Toc3097"/>
      <w:bookmarkStart w:id="636" w:name="_Toc16755"/>
      <w:bookmarkStart w:id="637" w:name="_Toc16550"/>
      <w:bookmarkStart w:id="638" w:name="_Toc30230"/>
      <w:bookmarkStart w:id="639" w:name="_Toc16373"/>
      <w:r>
        <w:rPr>
          <w:rFonts w:hint="default" w:ascii="Times New Roman" w:hAnsi="Times New Roman" w:eastAsia="宋体" w:cs="Times New Roman"/>
          <w:b/>
          <w:bCs/>
          <w:kern w:val="2"/>
          <w:sz w:val="30"/>
          <w:szCs w:val="30"/>
          <w:lang w:val="en-US" w:eastAsia="zh-CN" w:bidi="ar-SA"/>
        </w:rPr>
        <w:t>6.3社会环境影响分析</w:t>
      </w:r>
      <w:bookmarkEnd w:id="635"/>
      <w:bookmarkEnd w:id="636"/>
      <w:bookmarkEnd w:id="637"/>
      <w:bookmarkEnd w:id="638"/>
      <w:bookmarkEnd w:id="639"/>
    </w:p>
    <w:bookmarkEnd w:id="620"/>
    <w:bookmarkEnd w:id="621"/>
    <w:p w14:paraId="6FE81D8E">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640" w:name="_Toc9421"/>
      <w:bookmarkStart w:id="641" w:name="_Toc15492"/>
      <w:r>
        <w:rPr>
          <w:rFonts w:hint="default" w:ascii="Times New Roman" w:hAnsi="Times New Roman" w:eastAsia="宋体" w:cs="Times New Roman"/>
          <w:b/>
          <w:bCs/>
          <w:kern w:val="2"/>
          <w:sz w:val="28"/>
          <w:szCs w:val="28"/>
          <w:lang w:val="en-US" w:eastAsia="zh-CN" w:bidi="ar-SA"/>
        </w:rPr>
        <w:t>6.3.1</w:t>
      </w:r>
      <w:r>
        <w:rPr>
          <w:rFonts w:hint="eastAsia" w:ascii="Times New Roman" w:hAnsi="Times New Roman" w:eastAsia="宋体" w:cs="Times New Roman"/>
          <w:b/>
          <w:bCs/>
          <w:kern w:val="2"/>
          <w:sz w:val="28"/>
          <w:szCs w:val="28"/>
          <w:lang w:val="en-US" w:eastAsia="zh-CN" w:bidi="ar-SA"/>
        </w:rPr>
        <w:t>疫情</w:t>
      </w:r>
      <w:r>
        <w:rPr>
          <w:rFonts w:hint="default" w:ascii="Times New Roman" w:hAnsi="Times New Roman" w:eastAsia="宋体" w:cs="Times New Roman"/>
          <w:b/>
          <w:bCs/>
          <w:kern w:val="2"/>
          <w:sz w:val="28"/>
          <w:szCs w:val="28"/>
          <w:lang w:val="en-US" w:eastAsia="zh-CN" w:bidi="ar-SA"/>
        </w:rPr>
        <w:t>风险分析</w:t>
      </w:r>
      <w:bookmarkEnd w:id="640"/>
      <w:bookmarkEnd w:id="641"/>
    </w:p>
    <w:p w14:paraId="7B9C9A2A">
      <w:pPr>
        <w:spacing w:line="360" w:lineRule="auto"/>
        <w:ind w:firstLine="482"/>
        <w:rPr>
          <w:rFonts w:hint="eastAsia" w:ascii="Times New Roman" w:hAnsi="Times New Roman" w:eastAsia="宋体" w:cs="Times New Roman"/>
          <w:bCs/>
          <w:sz w:val="24"/>
        </w:rPr>
      </w:pPr>
      <w:r>
        <w:rPr>
          <w:rFonts w:hint="eastAsia" w:ascii="Times New Roman" w:hAnsi="Times New Roman" w:eastAsia="宋体" w:cs="Times New Roman"/>
          <w:bCs/>
          <w:sz w:val="24"/>
        </w:rPr>
        <w:t>集约化</w:t>
      </w:r>
      <w:r>
        <w:rPr>
          <w:rFonts w:hint="eastAsia" w:ascii="Times New Roman" w:hAnsi="Times New Roman" w:eastAsia="宋体" w:cs="Times New Roman"/>
          <w:bCs/>
          <w:sz w:val="24"/>
          <w:lang w:val="en-US" w:eastAsia="zh-CN"/>
        </w:rPr>
        <w:t>育肥牛</w:t>
      </w:r>
      <w:r>
        <w:rPr>
          <w:rFonts w:hint="eastAsia" w:ascii="Times New Roman" w:hAnsi="Times New Roman" w:eastAsia="宋体" w:cs="Times New Roman"/>
          <w:bCs/>
          <w:sz w:val="24"/>
        </w:rPr>
        <w:t>养殖规模大、密度高、传播速度快，疾病威胁严重，一旦发生很难控制，可直接导致牲畜死亡、产品低劣、产量下降，防治费用增加，经济损失巨大。这就要求我们随时具备对</w:t>
      </w:r>
      <w:r>
        <w:rPr>
          <w:rFonts w:hint="eastAsia" w:ascii="Times New Roman" w:hAnsi="Times New Roman" w:eastAsia="宋体" w:cs="Times New Roman"/>
          <w:bCs/>
          <w:sz w:val="24"/>
          <w:lang w:val="en-US" w:eastAsia="zh-CN"/>
        </w:rPr>
        <w:t>牛群</w:t>
      </w:r>
      <w:r>
        <w:rPr>
          <w:rFonts w:hint="eastAsia" w:ascii="Times New Roman" w:hAnsi="Times New Roman" w:eastAsia="宋体" w:cs="Times New Roman"/>
          <w:bCs/>
          <w:sz w:val="24"/>
        </w:rPr>
        <w:t>有群防群控能力。</w:t>
      </w:r>
    </w:p>
    <w:p w14:paraId="55BB6852">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bookmarkStart w:id="642" w:name="_Toc21043"/>
      <w:bookmarkStart w:id="643" w:name="_Toc4607"/>
      <w:bookmarkStart w:id="644" w:name="_Toc472451918"/>
      <w:bookmarkStart w:id="645" w:name="_Toc24615_WPSOffice_Level3"/>
      <w:r>
        <w:rPr>
          <w:rFonts w:hint="eastAsia" w:ascii="Times New Roman" w:hAnsi="Times New Roman" w:eastAsia="宋体" w:cs="Times New Roman"/>
          <w:color w:val="000000"/>
          <w:sz w:val="24"/>
          <w:szCs w:val="24"/>
          <w:lang w:val="en-US" w:eastAsia="zh-CN" w:bidi="ar-SA"/>
        </w:rPr>
        <w:fldChar w:fldCharType="begin"/>
      </w:r>
      <w:r>
        <w:rPr>
          <w:rFonts w:hint="eastAsia" w:ascii="Times New Roman" w:hAnsi="Times New Roman" w:eastAsia="宋体" w:cs="Times New Roman"/>
          <w:color w:val="000000"/>
          <w:sz w:val="24"/>
          <w:szCs w:val="24"/>
          <w:lang w:val="en-US" w:eastAsia="zh-CN" w:bidi="ar-SA"/>
        </w:rPr>
        <w:instrText xml:space="preserve"> = 1 \* GB3 </w:instrText>
      </w:r>
      <w:r>
        <w:rPr>
          <w:rFonts w:hint="eastAsia" w:ascii="Times New Roman" w:hAnsi="Times New Roman" w:eastAsia="宋体" w:cs="Times New Roman"/>
          <w:color w:val="000000"/>
          <w:sz w:val="24"/>
          <w:szCs w:val="24"/>
          <w:lang w:val="en-US" w:eastAsia="zh-CN" w:bidi="ar-SA"/>
        </w:rPr>
        <w:fldChar w:fldCharType="separate"/>
      </w:r>
      <w:r>
        <w:rPr>
          <w:rFonts w:hint="eastAsia" w:ascii="Times New Roman" w:hAnsi="Times New Roman" w:eastAsia="宋体" w:cs="Times New Roman"/>
          <w:color w:val="000000"/>
          <w:sz w:val="24"/>
          <w:szCs w:val="24"/>
          <w:lang w:val="en-US" w:eastAsia="zh-CN" w:bidi="ar-SA"/>
        </w:rPr>
        <w:t>①</w:t>
      </w:r>
      <w:r>
        <w:rPr>
          <w:rFonts w:hint="eastAsia" w:ascii="Times New Roman" w:hAnsi="Times New Roman" w:eastAsia="宋体" w:cs="Times New Roman"/>
          <w:color w:val="000000"/>
          <w:sz w:val="24"/>
          <w:szCs w:val="24"/>
          <w:lang w:val="en-US" w:eastAsia="zh-CN" w:bidi="ar-SA"/>
        </w:rPr>
        <w:fldChar w:fldCharType="end"/>
      </w:r>
      <w:r>
        <w:rPr>
          <w:rFonts w:hint="eastAsia" w:ascii="Times New Roman" w:hAnsi="Times New Roman" w:eastAsia="宋体" w:cs="Times New Roman"/>
          <w:color w:val="000000"/>
          <w:sz w:val="24"/>
          <w:szCs w:val="24"/>
          <w:lang w:val="en-US" w:eastAsia="zh-CN" w:bidi="ar-SA"/>
        </w:rPr>
        <w:t>传染病频发</w:t>
      </w:r>
    </w:p>
    <w:p w14:paraId="0051E0D7">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每年养牛业因传染病造成的损失是导致其经济效益受损最重要的原因。目前困扰养牛业良好发展的传染性疾病包括牛传染性胸膜肺炎、口蹄疫、气肿疽、结核病、牛流行热等。其中，口蹄疫、结核病危害最大；其次是布鲁氏菌病以及巴氏杆菌病。</w:t>
      </w:r>
    </w:p>
    <w:p w14:paraId="47C85156">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炭疽是由炭疽杆菌引起的一种急性、热败血性传染病。本病能传染给人和其他家畜。炭疽杆菌为革兰氏阳性菌，为需氧和兼性需氧菌。菌体对外界理化因素的抵抗力不强，但炭疽杆菌芽孢的抵抗力很强，在干燥状态下可存活40年以上，在土壤中可生存20年以上且具有感染力。如果被感染动物的尸体处理不当或形成大量芽孢并污染土壤、水源、牧地等，则可成为长久的疫源地。本病主要传染源是病畜，经消化道感染。常因采食被污染的饲料、饮水而感染，其次是带有炭疽杆菌的吸血昆虫叮咬，通过皮肤而感染。本病在世界各地均有发生，一般呈散发性，但有时也可呈地方性流行。多发生于炎热多雨的季节。牛群一般为最急性型发病，体温升高，出现昏迷、突然卧倒、呼吸极度困难、可视黏膜呈蓝紫色、口吐白沫、全身战栗、心悸等症状，不久出现虚脱，濒死期天然孔出血，出现症状后数分钟至数小时死亡。</w:t>
      </w:r>
    </w:p>
    <w:p w14:paraId="3608E0DE">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口蹄疫是偶蹄兽的一种急性、发热性高度接触性传染病，其临床特征是在口腔黏膜、蹄部和乳房皮肤发生水疱性疹。病毒主要存在于水疱皮及淋巴液中。病牛是主要的传染源，康复期和潜伏期的病牛亦可带毒排毒，本病主要经呼吸和消化道感染，也能经黏膜和皮肤感染。其传播既有蔓延式又有跳跃式的，它可发生于一年四季。潜伏期平均2～4天，最长可达7天左右，病牛体温升高40～41℃，精神沉郁、食欲下降，闭口、流涎，开口时有吸吮声。1～2天后在唇内面、齿龈、舌面和颊部黏膜发生蚕豆大至核桃大的水疱。此时口角流涎增多，呈白色泡沫状，常挂满嘴边，采食、反刍完全停止。在口腔发生水疱的同时或稍后，趾间及蹄冠的柔软皮肤上也发生水疱，并很快破溃出现糜烂，然后逐渐愈合。若病牛衰弱管理不当或治疗不及时，糜烂部可能继发感染化脓、坏死，甚至蹄匣脱落，乳头皮肤有时也可能出现水疱，而且很快破裂形成烂斑。 本病一般为良性经过，只是口腔发病，约经1周即可治愈，如果蹄部出现病变时，则病期可延至2～3周或更久，死亡率一般不超过1%～3%。但有时当水疱病变逐渐愈合，病牛趋向恢复健康时，病情突然恶化，全身虚弱、肌肉震颤，特别是心跳加快、节律不齐，因心脏停搏而突然倒地死亡，这种病型称为恶性口蹄疫，病死率高达20%～50%，主要是由于病毒侵害心肌所致。犊牛患病时特征性水疱症状不明显，主要表现为出血性肠炎和心肌麻痹，死亡率很高。</w:t>
      </w:r>
    </w:p>
    <w:p w14:paraId="0B73F6D9">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布病是布氏杆菌引起的一种人畜共患传染病，主要侵害生殖器官和关节。母牛临床上主要表现为流产、早产、胎衣停滞，常伴发子宫内膜炎、屡配不孕。对畜牧业发展造成严重危害。布鲁氏菌病的病牛和带菌牛是本病的主要传染源。尤其是妊娠和流产的肉牛，因流产胎儿、胎衣、羊水及流产母牛乳汁、阴道分泌物中含有大量病菌。牛感染后多为隐性感染，不表现临床症状，但通过分泌物和排泄物不断向外界排菌污染环境，排出的病菌有相当强的抵抗力，在胎衣中能存活4个月，在水、土壤中存活3个月，在皮毛上存活1～4个月。妊娠母牛表现为流产，流产多发生于妊娠6～8个月，流产胎儿可能是死胎、弱犊，母牛流产多不表现明显的临床症状。流产后常继发胎衣滞留和化脓性子宫内膜炎，屡配不孕，有的母牛发生关节炎。病公牛睾丸或附睾肿大、发硬，关节炎，局部淋巴结肿大，配种能力降低。传播途径：可以通过黏膜、消化道、呼吸道、皮肤、交配、乳汁等多种途径感染。当人接触患布病肉牛，尤其空手给病牛接产时，布病菌就有可能通过受伤的皮肤侵入人体，或与病牛密切接触后不洗手就吃东西、吸烟、揉眼睛等可能感染发病，另外食用带布病菌未煮熟的奶、肉等也可感染布病。</w:t>
      </w:r>
    </w:p>
    <w:p w14:paraId="224AA8AF">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结核病是由分枝杆菌引起的人畜共患的一种传染病，特征表现为渐进性消瘦、咳嗽，通常在肺脏、消化道、淋巴结、乳腺等实质性器官形成结核结节、肉芽肿或干酪样坏死。牛对本病最易感染，人可感染牛型结核菌，牛也可感染人型结核菌。病牛可通过呼吸道、消化道传播，也可通过交配传播，其中通过呼吸道传染的威胁最大。结核病菌侵害的部位和侵害的组织损伤程度不同，病牛临床表现不尽一致。病牛表现慢性经过，病程较长，进行性消瘦虚弱，产奶量降低。（一）肺结核：最常见，病牛易疲劳，有短促干咳，渐变为脓性湿咳，有时鼻孔流出淡黄色黏稠液，肺有锣音或摩擦音，叩诊呈浊音，患牛贫血消瘦，后期见体温升高，呈弛张热或稽留热。（二）肠结核：表现前胃弛缓和瘤胃臌胀、腹泻、粪便稀粥样，内混有黏液或脓性分泌物。（三）乳房结核：乳腺实质出现大小不等、多少不一的结节，质地坚硬，无热无痛，患区泌乳减少，乳汁稀薄呈灰白色，乳房淋巴结肿大。（四）生殖器官结核：主要表现为母牛流产、久配不孕，公畜睾丸炎，以及性行为异常等。</w:t>
      </w:r>
    </w:p>
    <w:p w14:paraId="58237693">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fldChar w:fldCharType="begin"/>
      </w:r>
      <w:r>
        <w:rPr>
          <w:rFonts w:hint="eastAsia" w:ascii="Times New Roman" w:hAnsi="Times New Roman" w:eastAsia="宋体" w:cs="Times New Roman"/>
          <w:color w:val="000000"/>
          <w:sz w:val="24"/>
          <w:szCs w:val="24"/>
          <w:lang w:val="en-US" w:eastAsia="zh-CN" w:bidi="ar-SA"/>
        </w:rPr>
        <w:instrText xml:space="preserve"> = 2 \* GB3 </w:instrText>
      </w:r>
      <w:r>
        <w:rPr>
          <w:rFonts w:hint="eastAsia" w:ascii="Times New Roman" w:hAnsi="Times New Roman" w:eastAsia="宋体" w:cs="Times New Roman"/>
          <w:color w:val="000000"/>
          <w:sz w:val="24"/>
          <w:szCs w:val="24"/>
          <w:lang w:val="en-US" w:eastAsia="zh-CN" w:bidi="ar-SA"/>
        </w:rPr>
        <w:fldChar w:fldCharType="separate"/>
      </w:r>
      <w:r>
        <w:rPr>
          <w:rFonts w:hint="eastAsia" w:ascii="Times New Roman" w:hAnsi="Times New Roman" w:eastAsia="宋体" w:cs="Times New Roman"/>
          <w:color w:val="000000"/>
          <w:sz w:val="24"/>
          <w:szCs w:val="24"/>
          <w:lang w:val="en-US" w:eastAsia="zh-CN" w:bidi="ar-SA"/>
        </w:rPr>
        <w:t>②</w:t>
      </w:r>
      <w:r>
        <w:rPr>
          <w:rFonts w:hint="eastAsia" w:ascii="Times New Roman" w:hAnsi="Times New Roman" w:eastAsia="宋体" w:cs="Times New Roman"/>
          <w:color w:val="000000"/>
          <w:sz w:val="24"/>
          <w:szCs w:val="24"/>
          <w:lang w:val="en-US" w:eastAsia="zh-CN" w:bidi="ar-SA"/>
        </w:rPr>
        <w:fldChar w:fldCharType="end"/>
      </w:r>
      <w:r>
        <w:rPr>
          <w:rFonts w:hint="eastAsia" w:ascii="Times New Roman" w:hAnsi="Times New Roman" w:eastAsia="宋体" w:cs="Times New Roman"/>
          <w:color w:val="000000"/>
          <w:sz w:val="24"/>
          <w:szCs w:val="24"/>
          <w:lang w:val="en-US" w:eastAsia="zh-CN" w:bidi="ar-SA"/>
        </w:rPr>
        <w:t>寄生虫感染率高、危害日益严重</w:t>
      </w:r>
    </w:p>
    <w:p w14:paraId="204F7649">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由于规模化养牛密度较大，牛寄生虫病成为严重危害养殖业的重要疾病之一，甚至呈现上升趋势。</w:t>
      </w:r>
    </w:p>
    <w:p w14:paraId="4BED56F8">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fldChar w:fldCharType="begin"/>
      </w:r>
      <w:r>
        <w:rPr>
          <w:rFonts w:hint="eastAsia" w:ascii="Times New Roman" w:hAnsi="Times New Roman" w:eastAsia="宋体" w:cs="Times New Roman"/>
          <w:color w:val="000000"/>
          <w:sz w:val="24"/>
          <w:szCs w:val="24"/>
          <w:lang w:val="en-US" w:eastAsia="zh-CN" w:bidi="ar-SA"/>
        </w:rPr>
        <w:instrText xml:space="preserve"> = 3 \* GB3 </w:instrText>
      </w:r>
      <w:r>
        <w:rPr>
          <w:rFonts w:hint="eastAsia" w:ascii="Times New Roman" w:hAnsi="Times New Roman" w:eastAsia="宋体" w:cs="Times New Roman"/>
          <w:color w:val="000000"/>
          <w:sz w:val="24"/>
          <w:szCs w:val="24"/>
          <w:lang w:val="en-US" w:eastAsia="zh-CN" w:bidi="ar-SA"/>
        </w:rPr>
        <w:fldChar w:fldCharType="separate"/>
      </w:r>
      <w:r>
        <w:rPr>
          <w:rFonts w:hint="eastAsia" w:ascii="Times New Roman" w:hAnsi="Times New Roman" w:eastAsia="宋体" w:cs="Times New Roman"/>
          <w:color w:val="000000"/>
          <w:sz w:val="24"/>
          <w:szCs w:val="24"/>
          <w:lang w:val="en-US" w:eastAsia="zh-CN" w:bidi="ar-SA"/>
        </w:rPr>
        <w:t>③</w:t>
      </w:r>
      <w:r>
        <w:rPr>
          <w:rFonts w:hint="eastAsia" w:ascii="Times New Roman" w:hAnsi="Times New Roman" w:eastAsia="宋体" w:cs="Times New Roman"/>
          <w:color w:val="000000"/>
          <w:sz w:val="24"/>
          <w:szCs w:val="24"/>
          <w:lang w:val="en-US" w:eastAsia="zh-CN" w:bidi="ar-SA"/>
        </w:rPr>
        <w:fldChar w:fldCharType="end"/>
      </w:r>
      <w:r>
        <w:rPr>
          <w:rFonts w:hint="eastAsia" w:ascii="Times New Roman" w:hAnsi="Times New Roman" w:eastAsia="宋体" w:cs="Times New Roman"/>
          <w:color w:val="000000"/>
          <w:sz w:val="24"/>
          <w:szCs w:val="24"/>
          <w:lang w:val="en-US" w:eastAsia="zh-CN" w:bidi="ar-SA"/>
        </w:rPr>
        <w:t>普通病有逐渐增多的趋势</w:t>
      </w:r>
    </w:p>
    <w:p w14:paraId="741D19E1">
      <w:pPr>
        <w:widowControl w:val="0"/>
        <w:spacing w:line="500" w:lineRule="exact"/>
        <w:ind w:firstLine="480" w:firstLineChars="200"/>
        <w:jc w:val="both"/>
        <w:rPr>
          <w:rFonts w:hint="eastAsia" w:ascii="Times New Roman" w:hAnsi="Times New Roman" w:eastAsia="宋体" w:cs="Times New Roman"/>
          <w:color w:val="000000"/>
          <w:sz w:val="24"/>
          <w:szCs w:val="24"/>
          <w:lang w:val="en-US" w:eastAsia="zh-CN" w:bidi="ar-SA"/>
        </w:rPr>
      </w:pPr>
      <w:r>
        <w:rPr>
          <w:rFonts w:hint="eastAsia" w:ascii="Times New Roman" w:hAnsi="Times New Roman" w:eastAsia="宋体" w:cs="Times New Roman"/>
          <w:color w:val="000000"/>
          <w:sz w:val="24"/>
          <w:szCs w:val="24"/>
          <w:lang w:val="en-US" w:eastAsia="zh-CN" w:bidi="ar-SA"/>
        </w:rPr>
        <w:t>天气骤变、饥饿寒冷、饲料更换以及不当放牧等原因不可避免地会使牛群发生感冒、肺炎、胃肠炎、瘤胃 膨胀、中毒和营养代谢性疾病，降低其抗病能力，导致 其他传染病的发生，严重影响了养殖业的经济效益。</w:t>
      </w:r>
    </w:p>
    <w:p w14:paraId="507E5F1C">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eastAsia"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kern w:val="2"/>
          <w:sz w:val="28"/>
          <w:szCs w:val="28"/>
          <w:lang w:val="en-US" w:eastAsia="zh-CN" w:bidi="ar-SA"/>
        </w:rPr>
        <w:t>6.3.</w:t>
      </w:r>
      <w:r>
        <w:rPr>
          <w:rFonts w:hint="eastAsia" w:ascii="Times New Roman" w:hAnsi="Times New Roman" w:eastAsia="宋体" w:cs="Times New Roman"/>
          <w:b/>
          <w:bCs/>
          <w:kern w:val="2"/>
          <w:sz w:val="28"/>
          <w:szCs w:val="28"/>
          <w:lang w:val="en-US" w:eastAsia="zh-CN" w:bidi="ar-SA"/>
        </w:rPr>
        <w:t>2</w:t>
      </w:r>
      <w:r>
        <w:rPr>
          <w:rFonts w:hint="default" w:ascii="Times New Roman" w:hAnsi="Times New Roman" w:eastAsia="宋体" w:cs="Times New Roman"/>
          <w:b/>
          <w:bCs/>
          <w:kern w:val="2"/>
          <w:sz w:val="28"/>
          <w:szCs w:val="28"/>
          <w:lang w:val="en-US" w:eastAsia="zh-CN" w:bidi="ar-SA"/>
        </w:rPr>
        <w:t>病死</w:t>
      </w:r>
      <w:r>
        <w:rPr>
          <w:rFonts w:hint="eastAsia" w:ascii="Times New Roman" w:hAnsi="Times New Roman" w:eastAsia="宋体" w:cs="Times New Roman"/>
          <w:b/>
          <w:bCs/>
          <w:kern w:val="2"/>
          <w:sz w:val="28"/>
          <w:szCs w:val="28"/>
          <w:lang w:val="en-US" w:eastAsia="zh-CN" w:bidi="ar-SA"/>
        </w:rPr>
        <w:t>牛风险分析</w:t>
      </w:r>
      <w:bookmarkEnd w:id="642"/>
      <w:bookmarkEnd w:id="643"/>
    </w:p>
    <w:p w14:paraId="0F37C1FA">
      <w:pPr>
        <w:spacing w:line="360" w:lineRule="auto"/>
        <w:ind w:firstLine="482"/>
        <w:rPr>
          <w:rFonts w:ascii="Times New Roman" w:hAnsi="Times New Roman" w:eastAsia="宋体" w:cs="Times New Roman"/>
          <w:bCs/>
          <w:sz w:val="24"/>
        </w:rPr>
      </w:pPr>
      <w:r>
        <w:rPr>
          <w:rFonts w:ascii="Times New Roman" w:hAnsi="Times New Roman" w:eastAsia="宋体" w:cs="Times New Roman"/>
          <w:bCs/>
          <w:sz w:val="24"/>
        </w:rPr>
        <w:t>病死的家畜、家禽多数是因患了某种传染病而死亡的。其中有一些是人畜共患的传染病，如炭疽、结核、禽流感等，如食用这些病死的畜禽肉，人就容易被传染上这些疾病，这对人的身体健康危害极大。有些畜禽虽然不是因为传染病而死，但死亡之后，体内的沙门氏菌、大肠杆菌、变形杆菌等，就会大量繁殖并迅速散播到畜禽的肌肉里，有的细菌还能产生肠毒素，人若吃了这种畜禽的肉，就会发生食物中毒。有些禽畜可能因吃了被污染剧毒农药的</w:t>
      </w:r>
      <w:r>
        <w:rPr>
          <w:rFonts w:hint="eastAsia" w:ascii="Times New Roman" w:hAnsi="Times New Roman" w:eastAsia="宋体" w:cs="Times New Roman"/>
          <w:bCs/>
          <w:sz w:val="24"/>
          <w:lang w:eastAsia="zh-CN"/>
        </w:rPr>
        <w:t>饲料</w:t>
      </w:r>
      <w:r>
        <w:rPr>
          <w:rFonts w:ascii="Times New Roman" w:hAnsi="Times New Roman" w:eastAsia="宋体" w:cs="Times New Roman"/>
          <w:bCs/>
          <w:sz w:val="24"/>
        </w:rPr>
        <w:t>而中毒死亡，人如果吃了这种死畜禽，同样也有可能中毒</w:t>
      </w:r>
      <w:r>
        <w:rPr>
          <w:rFonts w:hint="eastAsia" w:ascii="Times New Roman" w:hAnsi="Times New Roman" w:eastAsia="宋体" w:cs="Times New Roman"/>
          <w:bCs/>
          <w:sz w:val="24"/>
        </w:rPr>
        <w:t>，</w:t>
      </w:r>
      <w:r>
        <w:rPr>
          <w:rFonts w:ascii="Times New Roman" w:hAnsi="Times New Roman" w:eastAsia="宋体" w:cs="Times New Roman"/>
          <w:bCs/>
          <w:sz w:val="24"/>
        </w:rPr>
        <w:t>甚至造成死亡。因此，对于病死或者死因不明的畜禽，必须按照国务院畜牧兽医行政管理部门的有关规定进行无害化处理，不得随意处置。</w:t>
      </w:r>
    </w:p>
    <w:p w14:paraId="2A1DDFE2">
      <w:pPr>
        <w:spacing w:line="360" w:lineRule="auto"/>
        <w:ind w:firstLine="480"/>
        <w:rPr>
          <w:rFonts w:hint="eastAsia" w:ascii="Times New Roman" w:hAnsi="Times New Roman" w:eastAsia="宋体" w:cs="Times New Roman"/>
          <w:bCs/>
          <w:sz w:val="24"/>
        </w:rPr>
      </w:pPr>
      <w:r>
        <w:rPr>
          <w:rFonts w:ascii="Times New Roman" w:hAnsi="Times New Roman" w:eastAsia="宋体" w:cs="Times New Roman"/>
          <w:bCs/>
          <w:sz w:val="24"/>
        </w:rPr>
        <w:t>本项目属于规模化养殖项目，在养殖场内，专门设置有隔离舍，对可疑病</w:t>
      </w:r>
      <w:r>
        <w:rPr>
          <w:rFonts w:hint="eastAsia" w:ascii="Times New Roman" w:hAnsi="Times New Roman" w:eastAsia="宋体" w:cs="Times New Roman"/>
          <w:bCs/>
          <w:sz w:val="24"/>
          <w:lang w:val="en-US" w:eastAsia="zh-CN"/>
        </w:rPr>
        <w:t>牛</w:t>
      </w:r>
      <w:r>
        <w:rPr>
          <w:rFonts w:ascii="Times New Roman" w:hAnsi="Times New Roman" w:eastAsia="宋体" w:cs="Times New Roman"/>
          <w:bCs/>
          <w:sz w:val="24"/>
        </w:rPr>
        <w:t>先在隔离舍进行隔离观察，将病</w:t>
      </w:r>
      <w:r>
        <w:rPr>
          <w:rFonts w:hint="eastAsia" w:ascii="Times New Roman" w:hAnsi="Times New Roman" w:eastAsia="宋体" w:cs="Times New Roman"/>
          <w:bCs/>
          <w:sz w:val="24"/>
          <w:lang w:val="en-US" w:eastAsia="zh-CN"/>
        </w:rPr>
        <w:t>牛</w:t>
      </w:r>
      <w:r>
        <w:rPr>
          <w:rFonts w:ascii="Times New Roman" w:hAnsi="Times New Roman" w:eastAsia="宋体" w:cs="Times New Roman"/>
          <w:bCs/>
          <w:sz w:val="24"/>
        </w:rPr>
        <w:t>和可疑病</w:t>
      </w:r>
      <w:r>
        <w:rPr>
          <w:rFonts w:hint="eastAsia" w:ascii="Times New Roman" w:hAnsi="Times New Roman" w:eastAsia="宋体" w:cs="Times New Roman"/>
          <w:bCs/>
          <w:sz w:val="24"/>
          <w:lang w:val="en-US" w:eastAsia="zh-CN"/>
        </w:rPr>
        <w:t>牛</w:t>
      </w:r>
      <w:r>
        <w:rPr>
          <w:rFonts w:ascii="Times New Roman" w:hAnsi="Times New Roman" w:eastAsia="宋体" w:cs="Times New Roman"/>
          <w:bCs/>
          <w:sz w:val="24"/>
        </w:rPr>
        <w:t>与健康</w:t>
      </w:r>
      <w:r>
        <w:rPr>
          <w:rFonts w:hint="eastAsia" w:ascii="Times New Roman" w:hAnsi="Times New Roman" w:eastAsia="宋体" w:cs="Times New Roman"/>
          <w:bCs/>
          <w:sz w:val="24"/>
          <w:lang w:val="en-US" w:eastAsia="zh-CN"/>
        </w:rPr>
        <w:t>牛</w:t>
      </w:r>
      <w:r>
        <w:rPr>
          <w:rFonts w:ascii="Times New Roman" w:hAnsi="Times New Roman" w:eastAsia="宋体" w:cs="Times New Roman"/>
          <w:bCs/>
          <w:sz w:val="24"/>
        </w:rPr>
        <w:t>隔离开来，将疫情限制在最小范围内，同时启动相应级别疫情应急处置方案。仍然有使用价值的病</w:t>
      </w:r>
      <w:r>
        <w:rPr>
          <w:rFonts w:hint="eastAsia" w:ascii="Times New Roman" w:hAnsi="Times New Roman" w:eastAsia="宋体" w:cs="Times New Roman"/>
          <w:sz w:val="24"/>
          <w:lang w:val="en-US" w:eastAsia="zh-CN"/>
        </w:rPr>
        <w:t>牛</w:t>
      </w:r>
      <w:r>
        <w:rPr>
          <w:rFonts w:ascii="Times New Roman" w:hAnsi="Times New Roman" w:eastAsia="宋体" w:cs="Times New Roman"/>
          <w:bCs/>
          <w:sz w:val="24"/>
        </w:rPr>
        <w:t>应隔离饲养、治疗，彻底治愈后</w:t>
      </w:r>
      <w:r>
        <w:rPr>
          <w:rFonts w:hint="eastAsia" w:ascii="Times New Roman" w:hAnsi="Times New Roman" w:eastAsia="宋体" w:cs="Times New Roman"/>
          <w:bCs/>
          <w:sz w:val="24"/>
        </w:rPr>
        <w:t>，</w:t>
      </w:r>
      <w:r>
        <w:rPr>
          <w:rFonts w:ascii="Times New Roman" w:hAnsi="Times New Roman" w:eastAsia="宋体" w:cs="Times New Roman"/>
          <w:bCs/>
          <w:sz w:val="24"/>
        </w:rPr>
        <w:t>可以归群。</w:t>
      </w:r>
    </w:p>
    <w:p w14:paraId="2462721F">
      <w:pPr>
        <w:spacing w:line="360" w:lineRule="auto"/>
        <w:ind w:firstLine="482"/>
        <w:rPr>
          <w:rFonts w:ascii="Times New Roman" w:hAnsi="Times New Roman" w:eastAsia="宋体" w:cs="Times New Roman"/>
          <w:bCs/>
          <w:sz w:val="24"/>
        </w:rPr>
      </w:pPr>
      <w:r>
        <w:rPr>
          <w:rFonts w:ascii="Times New Roman" w:hAnsi="Times New Roman" w:eastAsia="宋体" w:cs="Times New Roman"/>
          <w:bCs/>
          <w:sz w:val="24"/>
        </w:rPr>
        <w:t>根据《畜禽养殖业污染治理工程技术规范》（HJ 497-2009）中第9章和《</w:t>
      </w:r>
      <w:r>
        <w:rPr>
          <w:rFonts w:hint="eastAsia" w:ascii="Times New Roman" w:hAnsi="Times New Roman" w:eastAsia="宋体" w:cs="Times New Roman"/>
          <w:bCs/>
          <w:sz w:val="24"/>
          <w:lang w:eastAsia="zh-CN"/>
        </w:rPr>
        <w:t>畜禽养殖业污染防治技术规范</w:t>
      </w:r>
      <w:r>
        <w:rPr>
          <w:rFonts w:ascii="Times New Roman" w:hAnsi="Times New Roman" w:eastAsia="宋体" w:cs="Times New Roman"/>
          <w:bCs/>
          <w:sz w:val="24"/>
        </w:rPr>
        <w:t>》（HJ/T 81-2001）中第9章的要求，病死畜禽尸体应及时处理，不得随意丢弃，不得出售或作为饲料再利用。</w:t>
      </w:r>
    </w:p>
    <w:p w14:paraId="2EB71302">
      <w:pPr>
        <w:keepNext w:val="0"/>
        <w:keepLines w:val="0"/>
        <w:widowControl w:val="0"/>
        <w:bidi w:val="0"/>
        <w:spacing w:before="0" w:after="0" w:line="360" w:lineRule="auto"/>
        <w:jc w:val="both"/>
        <w:outlineLvl w:val="2"/>
        <w:rPr>
          <w:rFonts w:hint="eastAsia" w:ascii="Times New Roman" w:hAnsi="Times New Roman" w:eastAsia="宋体" w:cs="Times New Roman"/>
          <w:b/>
          <w:bCs/>
          <w:kern w:val="2"/>
          <w:sz w:val="28"/>
          <w:szCs w:val="28"/>
          <w:lang w:val="zh-CN" w:eastAsia="zh-CN" w:bidi="ar-SA"/>
        </w:rPr>
      </w:pPr>
      <w:bookmarkStart w:id="646" w:name="_Toc25025"/>
      <w:bookmarkStart w:id="647" w:name="_Toc15255"/>
      <w:bookmarkStart w:id="648" w:name="_Toc7761"/>
      <w:bookmarkStart w:id="649" w:name="_Toc12110"/>
      <w:r>
        <w:rPr>
          <w:rFonts w:hint="eastAsia" w:ascii="Times New Roman" w:hAnsi="Times New Roman" w:eastAsia="宋体" w:cs="Times New Roman"/>
          <w:b/>
          <w:bCs/>
          <w:kern w:val="2"/>
          <w:sz w:val="28"/>
          <w:szCs w:val="28"/>
          <w:lang w:val="en-US" w:eastAsia="zh-CN" w:bidi="ar-SA"/>
        </w:rPr>
        <w:t>6.3.3</w:t>
      </w:r>
      <w:bookmarkEnd w:id="646"/>
      <w:bookmarkEnd w:id="647"/>
      <w:r>
        <w:rPr>
          <w:rFonts w:hint="eastAsia" w:ascii="Times New Roman" w:hAnsi="Times New Roman" w:eastAsia="宋体" w:cs="Times New Roman"/>
          <w:b/>
          <w:bCs/>
          <w:kern w:val="2"/>
          <w:sz w:val="28"/>
          <w:szCs w:val="28"/>
          <w:lang w:val="zh-CN" w:eastAsia="zh-CN" w:bidi="ar-SA"/>
        </w:rPr>
        <w:t>有毒气体毒性危害</w:t>
      </w:r>
    </w:p>
    <w:p w14:paraId="47FF5B2F">
      <w:pPr>
        <w:widowControl w:val="0"/>
        <w:spacing w:line="360" w:lineRule="auto"/>
        <w:ind w:firstLine="480" w:firstLineChars="200"/>
        <w:jc w:val="both"/>
        <w:rPr>
          <w:rFonts w:hint="eastAsia" w:ascii="Times New Roman" w:hAnsi="Times New Roman" w:eastAsia="宋体" w:cs="Times New Roman"/>
          <w:color w:val="000000"/>
          <w:sz w:val="24"/>
          <w:szCs w:val="24"/>
          <w:lang w:val="zh-CN" w:eastAsia="zh-CN" w:bidi="ar-SA"/>
        </w:rPr>
      </w:pPr>
      <w:r>
        <w:rPr>
          <w:rFonts w:hint="eastAsia" w:ascii="Times New Roman" w:hAnsi="Times New Roman" w:eastAsia="宋体" w:cs="Times New Roman"/>
          <w:color w:val="000000"/>
          <w:sz w:val="24"/>
          <w:szCs w:val="24"/>
          <w:lang w:val="zh-CN" w:eastAsia="zh-CN" w:bidi="ar-SA"/>
        </w:rPr>
        <w:t>通过对该项目处理工艺进行分析，在</w:t>
      </w:r>
      <w:r>
        <w:rPr>
          <w:rFonts w:hint="eastAsia" w:ascii="Times New Roman" w:hAnsi="Times New Roman" w:eastAsia="宋体" w:cs="Times New Roman"/>
          <w:color w:val="000000"/>
          <w:sz w:val="24"/>
          <w:szCs w:val="24"/>
          <w:lang w:val="en-US" w:eastAsia="zh-CN" w:bidi="ar-SA"/>
        </w:rPr>
        <w:t>牛圈、堆肥间</w:t>
      </w:r>
      <w:r>
        <w:rPr>
          <w:rFonts w:hint="eastAsia" w:ascii="Times New Roman" w:hAnsi="Times New Roman" w:eastAsia="宋体" w:cs="Times New Roman"/>
          <w:color w:val="000000"/>
          <w:sz w:val="24"/>
          <w:szCs w:val="24"/>
          <w:lang w:val="zh-CN" w:eastAsia="zh-CN" w:bidi="ar-SA"/>
        </w:rPr>
        <w:t>会产生一定量的有毒有害气体，包括硫化氢、氨气等。这些气体在正常情况下，通过等无组织排放，对环境和人群产生危害较小。</w:t>
      </w:r>
    </w:p>
    <w:p w14:paraId="35B0A0C3">
      <w:pPr>
        <w:keepNext w:val="0"/>
        <w:keepLines w:val="0"/>
        <w:widowControl w:val="0"/>
        <w:bidi w:val="0"/>
        <w:spacing w:before="0" w:after="0" w:line="360" w:lineRule="auto"/>
        <w:jc w:val="both"/>
        <w:outlineLvl w:val="2"/>
        <w:rPr>
          <w:rFonts w:hint="eastAsia" w:ascii="Times New Roman" w:hAnsi="Times New Roman" w:eastAsia="宋体" w:cs="Times New Roman"/>
          <w:b/>
          <w:bCs/>
          <w:kern w:val="2"/>
          <w:sz w:val="28"/>
          <w:szCs w:val="28"/>
          <w:lang w:val="zh-CN" w:eastAsia="zh-CN" w:bidi="ar-SA"/>
        </w:rPr>
      </w:pPr>
      <w:r>
        <w:rPr>
          <w:rFonts w:hint="eastAsia" w:ascii="Times New Roman" w:hAnsi="Times New Roman" w:eastAsia="宋体" w:cs="Times New Roman"/>
          <w:b/>
          <w:bCs/>
          <w:kern w:val="2"/>
          <w:sz w:val="28"/>
          <w:szCs w:val="28"/>
          <w:lang w:val="en-US" w:eastAsia="zh-CN" w:bidi="ar-SA"/>
        </w:rPr>
        <w:t>6.3.4</w:t>
      </w:r>
      <w:r>
        <w:rPr>
          <w:rFonts w:hint="eastAsia" w:ascii="Times New Roman" w:hAnsi="Times New Roman" w:eastAsia="宋体" w:cs="Times New Roman"/>
          <w:b/>
          <w:bCs/>
          <w:kern w:val="2"/>
          <w:sz w:val="28"/>
          <w:szCs w:val="28"/>
          <w:lang w:val="zh-CN" w:eastAsia="zh-CN" w:bidi="ar-SA"/>
        </w:rPr>
        <w:t>污水泄漏危害</w:t>
      </w:r>
    </w:p>
    <w:p w14:paraId="6BFBC138">
      <w:pPr>
        <w:widowControl w:val="0"/>
        <w:spacing w:line="500" w:lineRule="exact"/>
        <w:ind w:firstLine="480" w:firstLineChars="200"/>
        <w:jc w:val="both"/>
        <w:rPr>
          <w:rFonts w:hint="eastAsia" w:ascii="Times New Roman" w:hAnsi="Times New Roman" w:eastAsia="宋体" w:cs="Times New Roman"/>
          <w:color w:val="000000"/>
          <w:sz w:val="24"/>
          <w:szCs w:val="24"/>
          <w:lang w:val="zh-CN" w:eastAsia="zh-CN" w:bidi="ar-SA"/>
        </w:rPr>
      </w:pPr>
      <w:r>
        <w:rPr>
          <w:rFonts w:hint="eastAsia" w:ascii="Times New Roman" w:hAnsi="Times New Roman" w:eastAsia="宋体" w:cs="Times New Roman"/>
          <w:color w:val="000000"/>
          <w:sz w:val="24"/>
          <w:szCs w:val="24"/>
          <w:lang w:val="zh-CN" w:eastAsia="zh-CN" w:bidi="ar-SA"/>
        </w:rPr>
        <w:t>本项目出现</w:t>
      </w:r>
      <w:r>
        <w:rPr>
          <w:rFonts w:hint="eastAsia" w:ascii="Times New Roman" w:hAnsi="Times New Roman" w:eastAsia="宋体" w:cs="Times New Roman"/>
          <w:color w:val="000000"/>
          <w:sz w:val="24"/>
          <w:szCs w:val="24"/>
          <w:lang w:val="en-US" w:eastAsia="zh-CN" w:bidi="ar-SA"/>
        </w:rPr>
        <w:t>尿液收集池</w:t>
      </w:r>
      <w:r>
        <w:rPr>
          <w:rFonts w:hint="eastAsia" w:ascii="Times New Roman" w:hAnsi="Times New Roman" w:eastAsia="宋体" w:cs="Times New Roman"/>
          <w:color w:val="000000"/>
          <w:sz w:val="24"/>
          <w:szCs w:val="24"/>
          <w:lang w:val="zh-CN" w:eastAsia="zh-CN" w:bidi="ar-SA"/>
        </w:rPr>
        <w:t>破裂或</w:t>
      </w:r>
      <w:r>
        <w:rPr>
          <w:rFonts w:hint="eastAsia" w:ascii="Times New Roman" w:hAnsi="Times New Roman" w:eastAsia="宋体" w:cs="Times New Roman"/>
          <w:color w:val="000000"/>
          <w:sz w:val="24"/>
          <w:szCs w:val="24"/>
          <w:lang w:val="en-US" w:eastAsia="zh-CN" w:bidi="ar-SA"/>
        </w:rPr>
        <w:t>渗滤尿液收集</w:t>
      </w:r>
      <w:r>
        <w:rPr>
          <w:rFonts w:hint="eastAsia" w:ascii="Times New Roman" w:hAnsi="Times New Roman" w:eastAsia="宋体" w:cs="Times New Roman"/>
          <w:color w:val="000000"/>
          <w:sz w:val="24"/>
          <w:szCs w:val="24"/>
          <w:lang w:val="zh-CN" w:eastAsia="zh-CN" w:bidi="ar-SA"/>
        </w:rPr>
        <w:t>管道破裂等事故，且管道防渗不当或防渗层被破坏，</w:t>
      </w:r>
      <w:r>
        <w:rPr>
          <w:rFonts w:hint="eastAsia" w:ascii="Times New Roman" w:hAnsi="Times New Roman" w:eastAsia="宋体" w:cs="Times New Roman"/>
          <w:color w:val="000000"/>
          <w:sz w:val="24"/>
          <w:szCs w:val="24"/>
          <w:lang w:val="en-US" w:eastAsia="zh-CN" w:bidi="ar-SA"/>
        </w:rPr>
        <w:t>正常情况下，牛尿通过发酵垫料完全吸收，在发酵垫料管理不善的情况下</w:t>
      </w:r>
      <w:r>
        <w:rPr>
          <w:rFonts w:hint="eastAsia" w:ascii="Times New Roman" w:hAnsi="Times New Roman" w:eastAsia="宋体" w:cs="Times New Roman"/>
          <w:color w:val="000000"/>
          <w:sz w:val="24"/>
          <w:szCs w:val="24"/>
          <w:lang w:val="zh-CN" w:eastAsia="zh-CN" w:bidi="ar-SA"/>
        </w:rPr>
        <w:t>，</w:t>
      </w:r>
      <w:r>
        <w:rPr>
          <w:rFonts w:hint="eastAsia" w:ascii="Times New Roman" w:hAnsi="Times New Roman" w:eastAsia="宋体" w:cs="Times New Roman"/>
          <w:color w:val="000000"/>
          <w:sz w:val="24"/>
          <w:szCs w:val="24"/>
          <w:lang w:val="en-US" w:eastAsia="zh-CN" w:bidi="ar-SA"/>
        </w:rPr>
        <w:t>少量肉牛尿液</w:t>
      </w:r>
      <w:r>
        <w:rPr>
          <w:rFonts w:hint="eastAsia" w:ascii="Times New Roman" w:hAnsi="Times New Roman" w:eastAsia="宋体" w:cs="Times New Roman"/>
          <w:color w:val="000000"/>
          <w:sz w:val="24"/>
          <w:szCs w:val="24"/>
          <w:lang w:val="zh-CN" w:eastAsia="zh-CN" w:bidi="ar-SA"/>
        </w:rPr>
        <w:t>将会</w:t>
      </w:r>
      <w:r>
        <w:rPr>
          <w:rFonts w:hint="eastAsia" w:ascii="Times New Roman" w:hAnsi="Times New Roman" w:eastAsia="宋体" w:cs="Times New Roman"/>
          <w:color w:val="000000"/>
          <w:sz w:val="24"/>
          <w:szCs w:val="24"/>
          <w:lang w:val="en-US" w:eastAsia="zh-CN" w:bidi="ar-SA"/>
        </w:rPr>
        <w:t>被尿液收集池收集，不会</w:t>
      </w:r>
      <w:r>
        <w:rPr>
          <w:rFonts w:hint="eastAsia" w:ascii="Times New Roman" w:hAnsi="Times New Roman" w:eastAsia="宋体" w:cs="Times New Roman"/>
          <w:color w:val="000000"/>
          <w:sz w:val="24"/>
          <w:szCs w:val="24"/>
          <w:lang w:val="zh-CN" w:eastAsia="zh-CN" w:bidi="ar-SA"/>
        </w:rPr>
        <w:t>下渗污染地下水，对环境产生危害较小。</w:t>
      </w:r>
    </w:p>
    <w:p w14:paraId="43F23631">
      <w:pPr>
        <w:keepNext w:val="0"/>
        <w:keepLines w:val="0"/>
        <w:widowControl w:val="0"/>
        <w:bidi w:val="0"/>
        <w:spacing w:before="0" w:after="0" w:line="360" w:lineRule="auto"/>
        <w:jc w:val="both"/>
        <w:outlineLvl w:val="2"/>
        <w:rPr>
          <w:rFonts w:hint="eastAsia" w:ascii="Times New Roman" w:hAnsi="Times New Roman" w:eastAsia="宋体" w:cs="Times New Roman"/>
          <w:b/>
          <w:bCs/>
          <w:kern w:val="2"/>
          <w:sz w:val="28"/>
          <w:szCs w:val="28"/>
          <w:lang w:val="zh-CN" w:eastAsia="zh-CN" w:bidi="ar-SA"/>
        </w:rPr>
      </w:pPr>
      <w:r>
        <w:rPr>
          <w:rFonts w:hint="eastAsia" w:ascii="Times New Roman" w:hAnsi="Times New Roman" w:eastAsia="宋体" w:cs="Times New Roman"/>
          <w:b/>
          <w:bCs/>
          <w:kern w:val="2"/>
          <w:sz w:val="28"/>
          <w:szCs w:val="28"/>
          <w:lang w:val="en-US" w:eastAsia="zh-CN" w:bidi="ar-SA"/>
        </w:rPr>
        <w:t>6.3.5火灾</w:t>
      </w:r>
      <w:r>
        <w:rPr>
          <w:rFonts w:hint="eastAsia" w:ascii="Times New Roman" w:hAnsi="Times New Roman" w:eastAsia="宋体" w:cs="Times New Roman"/>
          <w:b/>
          <w:bCs/>
          <w:kern w:val="2"/>
          <w:sz w:val="28"/>
          <w:szCs w:val="28"/>
          <w:lang w:val="zh-CN" w:eastAsia="zh-CN" w:bidi="ar-SA"/>
        </w:rPr>
        <w:t>危害</w:t>
      </w:r>
    </w:p>
    <w:p w14:paraId="2C0EAE42">
      <w:pPr>
        <w:widowControl w:val="0"/>
        <w:overflowPunct w:val="0"/>
        <w:autoSpaceDE w:val="0"/>
        <w:autoSpaceDN w:val="0"/>
        <w:bidi w:val="0"/>
        <w:adjustRightInd w:val="0"/>
        <w:snapToGrid w:val="0"/>
        <w:spacing w:line="360" w:lineRule="auto"/>
        <w:ind w:firstLine="480" w:firstLineChars="200"/>
        <w:rPr>
          <w:rFonts w:hint="eastAsia" w:ascii="Times New Roman" w:hAnsi="Times New Roman" w:eastAsia="宋体" w:cs="Times New Roman"/>
          <w:color w:val="000000"/>
          <w:sz w:val="24"/>
          <w:szCs w:val="24"/>
          <w:lang w:val="zh-CN" w:eastAsia="zh-CN" w:bidi="ar-SA"/>
        </w:rPr>
      </w:pPr>
      <w:r>
        <w:rPr>
          <w:rFonts w:hint="eastAsia" w:ascii="Times New Roman" w:hAnsi="Times New Roman" w:eastAsia="宋体" w:cs="Times New Roman"/>
          <w:color w:val="000000"/>
          <w:kern w:val="2"/>
          <w:sz w:val="24"/>
          <w:szCs w:val="22"/>
          <w:highlight w:val="none"/>
          <w:lang w:val="en-US" w:eastAsia="zh-CN" w:bidi="ar-SA"/>
        </w:rPr>
        <w:t>火灾是养殖场面临的重大环境风险之一，养殖场废包装材料保存不善容易引起火灾，燃烧过程释放火灾污染物。同时，灭火过程中产生的大量燃烧衍生物径流也会对土壤和水体造成严重二次污染。烟气中的PM、SO</w:t>
      </w:r>
      <w:r>
        <w:rPr>
          <w:rFonts w:hint="eastAsia" w:ascii="Times New Roman" w:hAnsi="Times New Roman" w:eastAsia="宋体" w:cs="Times New Roman"/>
          <w:color w:val="000000"/>
          <w:kern w:val="2"/>
          <w:sz w:val="24"/>
          <w:szCs w:val="22"/>
          <w:highlight w:val="none"/>
          <w:vertAlign w:val="subscript"/>
          <w:lang w:val="en-US" w:eastAsia="zh-CN" w:bidi="ar-SA"/>
        </w:rPr>
        <w:t>2</w:t>
      </w:r>
      <w:r>
        <w:rPr>
          <w:rFonts w:hint="eastAsia" w:ascii="Times New Roman" w:hAnsi="Times New Roman" w:eastAsia="宋体" w:cs="Times New Roman"/>
          <w:color w:val="000000"/>
          <w:kern w:val="2"/>
          <w:sz w:val="24"/>
          <w:szCs w:val="22"/>
          <w:highlight w:val="none"/>
          <w:lang w:val="en-US" w:eastAsia="zh-CN" w:bidi="ar-SA"/>
        </w:rPr>
        <w:t>、CO等污染物随大气扩散，可在区域尺度上造成环境空气质量恶化，并通过干湿沉降进入土壤和水体，形成跨介质的污染迁移。</w:t>
      </w:r>
    </w:p>
    <w:p w14:paraId="51535AF2">
      <w:pPr>
        <w:pageBreakBefore w:val="0"/>
        <w:widowControl w:val="0"/>
        <w:kinsoku/>
        <w:wordWrap/>
        <w:topLinePunct w:val="0"/>
        <w:autoSpaceDE/>
        <w:autoSpaceDN/>
        <w:bidi w:val="0"/>
        <w:adjustRightInd/>
        <w:snapToGrid/>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650" w:name="_Toc1053"/>
      <w:bookmarkStart w:id="651" w:name="_Toc30862"/>
      <w:bookmarkStart w:id="652" w:name="_Toc15696"/>
      <w:bookmarkStart w:id="653" w:name="_Toc4372"/>
      <w:r>
        <w:rPr>
          <w:rFonts w:hint="default" w:ascii="Times New Roman" w:hAnsi="Times New Roman" w:eastAsia="宋体" w:cs="Times New Roman"/>
          <w:b/>
          <w:bCs/>
          <w:kern w:val="2"/>
          <w:sz w:val="30"/>
          <w:szCs w:val="30"/>
          <w:lang w:val="en-US" w:eastAsia="zh-CN" w:bidi="ar-SA"/>
        </w:rPr>
        <w:t>6.4风险事故防范措施</w:t>
      </w:r>
      <w:bookmarkEnd w:id="648"/>
      <w:bookmarkEnd w:id="649"/>
      <w:bookmarkEnd w:id="650"/>
      <w:bookmarkEnd w:id="651"/>
      <w:bookmarkEnd w:id="652"/>
      <w:bookmarkEnd w:id="653"/>
    </w:p>
    <w:p w14:paraId="6793B45C">
      <w:pPr>
        <w:pageBreakBefore w:val="0"/>
        <w:widowControl w:val="0"/>
        <w:kinsoku/>
        <w:wordWrap/>
        <w:topLinePunct w:val="0"/>
        <w:autoSpaceDE/>
        <w:autoSpaceDN/>
        <w:bidi w:val="0"/>
        <w:adjustRightInd/>
        <w:snapToGrid/>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在养殖场生产中应坚持</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防病重于治病</w:t>
      </w:r>
      <w:r>
        <w:rPr>
          <w:rFonts w:hint="eastAsia"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的方针，防止和消灭疾病，特别是传染病、代谢病，使</w:t>
      </w:r>
      <w:r>
        <w:rPr>
          <w:rFonts w:hint="eastAsia" w:ascii="Times New Roman" w:hAnsi="Times New Roman" w:eastAsia="宋体" w:cs="Times New Roman"/>
          <w:kern w:val="2"/>
          <w:sz w:val="24"/>
          <w:szCs w:val="26"/>
          <w:lang w:val="en-US" w:eastAsia="zh-CN" w:bidi="ar-SA"/>
        </w:rPr>
        <w:t>牛</w:t>
      </w:r>
      <w:r>
        <w:rPr>
          <w:rFonts w:hint="default" w:ascii="Times New Roman" w:hAnsi="Times New Roman" w:eastAsia="宋体" w:cs="Times New Roman"/>
          <w:kern w:val="2"/>
          <w:sz w:val="24"/>
          <w:szCs w:val="24"/>
          <w:lang w:val="en-US" w:eastAsia="zh-CN" w:bidi="ar-SA"/>
        </w:rPr>
        <w:t>更好地发挥生长性能，提高养殖场的经济效益。</w:t>
      </w:r>
    </w:p>
    <w:p w14:paraId="795E8957">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654" w:name="_Toc16574"/>
      <w:bookmarkStart w:id="655" w:name="_Toc18195"/>
      <w:r>
        <w:rPr>
          <w:rFonts w:hint="default" w:ascii="Times New Roman" w:hAnsi="Times New Roman" w:eastAsia="宋体" w:cs="Times New Roman"/>
          <w:b/>
          <w:bCs/>
          <w:kern w:val="2"/>
          <w:sz w:val="28"/>
          <w:szCs w:val="28"/>
          <w:lang w:val="en-US" w:eastAsia="zh-CN" w:bidi="ar-SA"/>
        </w:rPr>
        <w:t>6.4.1疫情风险的防范措施</w:t>
      </w:r>
      <w:bookmarkEnd w:id="654"/>
      <w:bookmarkEnd w:id="655"/>
    </w:p>
    <w:p w14:paraId="021C4E32">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卫生防疫是规模化养殖场成败的关键，必须严格按照《中华人民共和国动物防疫法》的要求，做到</w:t>
      </w:r>
      <w:r>
        <w:rPr>
          <w:rFonts w:hint="eastAsia" w:cs="Times New Roman"/>
          <w:sz w:val="24"/>
          <w:lang w:eastAsia="zh-CN"/>
        </w:rPr>
        <w:t>“</w:t>
      </w:r>
      <w:r>
        <w:rPr>
          <w:rFonts w:hint="default" w:ascii="Times New Roman" w:hAnsi="Times New Roman" w:eastAsia="宋体" w:cs="Times New Roman"/>
          <w:sz w:val="24"/>
        </w:rPr>
        <w:t>以防为主，防治结合，制度健全，责任到人</w:t>
      </w:r>
      <w:r>
        <w:rPr>
          <w:rFonts w:hint="eastAsia" w:cs="Times New Roman"/>
          <w:sz w:val="24"/>
          <w:lang w:eastAsia="zh-CN"/>
        </w:rPr>
        <w:t>”</w:t>
      </w:r>
      <w:r>
        <w:rPr>
          <w:rFonts w:hint="default" w:ascii="Times New Roman" w:hAnsi="Times New Roman" w:eastAsia="宋体" w:cs="Times New Roman"/>
          <w:sz w:val="24"/>
        </w:rPr>
        <w:t>。</w:t>
      </w:r>
    </w:p>
    <w:p w14:paraId="1737CD9C">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（1）消毒制度</w:t>
      </w:r>
    </w:p>
    <w:p w14:paraId="1572BEAB">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凡进入饲养场的人和车辆等都需要经过消毒。凡是进入饲养场的工作人员，一律更换工作服、工作鞋，并经紫外线照射5分钟进行消毒。外来人员必须进入生产区时，也应按照上述方法消毒，在</w:t>
      </w:r>
      <w:r>
        <w:rPr>
          <w:rFonts w:hint="eastAsia" w:ascii="Times New Roman" w:hAnsi="Times New Roman" w:eastAsia="宋体" w:cs="Times New Roman"/>
          <w:sz w:val="24"/>
          <w:lang w:eastAsia="zh-CN"/>
        </w:rPr>
        <w:t>厂区</w:t>
      </w:r>
      <w:r>
        <w:rPr>
          <w:rFonts w:hint="default" w:ascii="Times New Roman" w:hAnsi="Times New Roman" w:eastAsia="宋体" w:cs="Times New Roman"/>
          <w:sz w:val="24"/>
        </w:rPr>
        <w:t>管理人员的带领下，按照指定路线行走。</w:t>
      </w:r>
    </w:p>
    <w:p w14:paraId="24457199">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（2）免疫程序管理</w:t>
      </w:r>
    </w:p>
    <w:p w14:paraId="3009E2D9">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养殖场引进</w:t>
      </w:r>
      <w:r>
        <w:rPr>
          <w:rFonts w:hint="eastAsia" w:ascii="Times New Roman" w:hAnsi="Times New Roman" w:eastAsia="宋体" w:cs="Times New Roman"/>
          <w:sz w:val="24"/>
          <w:lang w:val="en-US" w:eastAsia="zh-CN"/>
        </w:rPr>
        <w:t>犊牛</w:t>
      </w:r>
      <w:r>
        <w:rPr>
          <w:rFonts w:hint="default" w:ascii="Times New Roman" w:hAnsi="Times New Roman" w:eastAsia="宋体" w:cs="Times New Roman"/>
          <w:sz w:val="24"/>
        </w:rPr>
        <w:t>时，严格检疫，运输过</w:t>
      </w:r>
      <w:r>
        <w:rPr>
          <w:rFonts w:hint="eastAsia" w:ascii="Times New Roman" w:hAnsi="Times New Roman" w:eastAsia="宋体" w:cs="Times New Roman"/>
          <w:sz w:val="24"/>
          <w:lang w:eastAsia="zh-CN"/>
        </w:rPr>
        <w:t>程中</w:t>
      </w:r>
      <w:r>
        <w:rPr>
          <w:rFonts w:hint="default" w:ascii="Times New Roman" w:hAnsi="Times New Roman" w:eastAsia="宋体" w:cs="Times New Roman"/>
          <w:sz w:val="24"/>
        </w:rPr>
        <w:t>严格执行畜禽调运检疫的要求，</w:t>
      </w:r>
      <w:r>
        <w:rPr>
          <w:rFonts w:hint="eastAsia" w:ascii="Times New Roman" w:hAnsi="Times New Roman" w:eastAsia="宋体" w:cs="Times New Roman"/>
          <w:sz w:val="24"/>
          <w:lang w:val="en-US" w:eastAsia="zh-CN"/>
        </w:rPr>
        <w:t>犊牛</w:t>
      </w:r>
      <w:r>
        <w:rPr>
          <w:rFonts w:hint="default" w:ascii="Times New Roman" w:hAnsi="Times New Roman" w:eastAsia="宋体" w:cs="Times New Roman"/>
          <w:sz w:val="24"/>
        </w:rPr>
        <w:t>到场后，</w:t>
      </w:r>
      <w:r>
        <w:rPr>
          <w:rFonts w:hint="eastAsia" w:ascii="Times New Roman" w:hAnsi="Times New Roman" w:eastAsia="宋体" w:cs="Times New Roman"/>
          <w:sz w:val="24"/>
          <w:lang w:val="en-US" w:eastAsia="zh-CN"/>
        </w:rPr>
        <w:t>适应</w:t>
      </w:r>
      <w:r>
        <w:rPr>
          <w:rFonts w:hint="default" w:ascii="Times New Roman" w:hAnsi="Times New Roman" w:eastAsia="宋体" w:cs="Times New Roman"/>
          <w:sz w:val="24"/>
        </w:rPr>
        <w:t>观察1</w:t>
      </w:r>
      <w:r>
        <w:rPr>
          <w:rFonts w:hint="eastAsia" w:ascii="Times New Roman" w:hAnsi="Times New Roman" w:eastAsia="宋体" w:cs="Times New Roman"/>
          <w:sz w:val="24"/>
          <w:lang w:val="en-US" w:eastAsia="zh-CN"/>
        </w:rPr>
        <w:t>0</w:t>
      </w:r>
      <w:r>
        <w:rPr>
          <w:rFonts w:hint="default" w:ascii="Times New Roman" w:hAnsi="Times New Roman" w:eastAsia="宋体" w:cs="Times New Roman"/>
          <w:sz w:val="24"/>
        </w:rPr>
        <w:t>d。在隔离观察期内，应</w:t>
      </w:r>
      <w:r>
        <w:rPr>
          <w:rFonts w:hint="eastAsia" w:ascii="Times New Roman" w:hAnsi="Times New Roman" w:eastAsia="宋体" w:cs="Times New Roman"/>
          <w:sz w:val="24"/>
          <w:lang w:eastAsia="zh-CN"/>
        </w:rPr>
        <w:t>做</w:t>
      </w:r>
      <w:r>
        <w:rPr>
          <w:rFonts w:hint="default" w:ascii="Times New Roman" w:hAnsi="Times New Roman" w:eastAsia="宋体" w:cs="Times New Roman"/>
          <w:sz w:val="24"/>
        </w:rPr>
        <w:t>临床检查和实验室检验</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的疫病，如口蹄疫等，经检查确定为健康</w:t>
      </w:r>
      <w:r>
        <w:rPr>
          <w:rFonts w:hint="eastAsia" w:ascii="Times New Roman" w:hAnsi="Times New Roman" w:eastAsia="宋体" w:cs="Times New Roman"/>
          <w:sz w:val="24"/>
          <w:lang w:val="en-US" w:eastAsia="zh-CN"/>
        </w:rPr>
        <w:t>犊牛</w:t>
      </w:r>
      <w:r>
        <w:rPr>
          <w:rFonts w:hint="default" w:ascii="Times New Roman" w:hAnsi="Times New Roman" w:eastAsia="宋体" w:cs="Times New Roman"/>
          <w:sz w:val="24"/>
        </w:rPr>
        <w:t>后，方可供繁殖、生产使用。</w:t>
      </w:r>
    </w:p>
    <w:p w14:paraId="3863A408">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严格执行自治区家畜疫病防治的五个强制（免疫、疫区检疫、封锁、消毒、病畜捕杀）和两个强化（疫病报告、防疫监督）制度，定期防治传染病和寄生虫病。制定一套合理的免疫程序和实验室检测制度，一旦发生疫情，封锁疫点，禁止</w:t>
      </w:r>
      <w:r>
        <w:rPr>
          <w:rFonts w:hint="eastAsia" w:ascii="Times New Roman" w:hAnsi="Times New Roman" w:eastAsia="宋体" w:cs="Times New Roman"/>
          <w:sz w:val="24"/>
          <w:lang w:val="en-US" w:eastAsia="zh-CN"/>
        </w:rPr>
        <w:t>犊牛</w:t>
      </w:r>
      <w:r>
        <w:rPr>
          <w:rFonts w:hint="default" w:ascii="Times New Roman" w:hAnsi="Times New Roman" w:eastAsia="宋体" w:cs="Times New Roman"/>
          <w:sz w:val="24"/>
        </w:rPr>
        <w:t>流动</w:t>
      </w:r>
      <w:r>
        <w:rPr>
          <w:rFonts w:hint="eastAsia" w:ascii="Times New Roman" w:hAnsi="Times New Roman" w:eastAsia="宋体" w:cs="Times New Roman"/>
          <w:sz w:val="24"/>
          <w:lang w:eastAsia="zh-CN"/>
        </w:rPr>
        <w:t>，对</w:t>
      </w:r>
      <w:r>
        <w:rPr>
          <w:rFonts w:hint="default" w:ascii="Times New Roman" w:hAnsi="Times New Roman" w:eastAsia="宋体" w:cs="Times New Roman"/>
          <w:sz w:val="24"/>
        </w:rPr>
        <w:t>病</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及相关物品采取无害化处理。对未发病的</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，用疫苗（剂量可加大2～4倍）进行紧急预防接种，对</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和用具彻底消毒，饲养用具每天消毒一次。</w:t>
      </w:r>
    </w:p>
    <w:p w14:paraId="56650859">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对症施用疫苗，疫苗从出厂到使用全部都要保证冷藏贮运。</w:t>
      </w:r>
    </w:p>
    <w:p w14:paraId="41FFF361">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（3）诊疗程序管理</w:t>
      </w:r>
    </w:p>
    <w:p w14:paraId="686EA1FD">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本项目设有一个值班室，值班室有专职兽医值守，兽医应每天进入各</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观察</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群，发现病情做好记录并向技术部门备案，一旦发现疫情，做到早、严、快，并向上级部门</w:t>
      </w:r>
      <w:r>
        <w:rPr>
          <w:rFonts w:hint="eastAsia" w:ascii="Times New Roman" w:hAnsi="Times New Roman" w:eastAsia="宋体" w:cs="Times New Roman"/>
          <w:sz w:val="24"/>
          <w:lang w:eastAsia="zh-CN"/>
        </w:rPr>
        <w:t>汇报</w:t>
      </w:r>
      <w:r>
        <w:rPr>
          <w:rFonts w:hint="default" w:ascii="Times New Roman" w:hAnsi="Times New Roman" w:eastAsia="宋体" w:cs="Times New Roman"/>
          <w:sz w:val="24"/>
        </w:rPr>
        <w:t>。环评建议疫情报告制度内容如下：</w:t>
      </w:r>
    </w:p>
    <w:p w14:paraId="4FC7666A">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（4）保证良好的卫生环境</w:t>
      </w:r>
    </w:p>
    <w:p w14:paraId="1067B1EB">
      <w:pPr>
        <w:pageBreakBefore w:val="0"/>
        <w:widowControl/>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做到大环境通风和干燥。</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内应勤清扫。水槽、料槽、饲料车、饲料桶等要经常刷洗。要注意灭鼠和灭蚊蝇，应定期定点安全投放灭鼠药，及时收集死鼠和残余鼠药，</w:t>
      </w:r>
      <w:r>
        <w:rPr>
          <w:rFonts w:hint="eastAsia" w:ascii="Times New Roman" w:hAnsi="Times New Roman" w:eastAsia="宋体" w:cs="Times New Roman"/>
          <w:sz w:val="24"/>
          <w:lang w:eastAsia="zh-CN"/>
        </w:rPr>
        <w:t>并</w:t>
      </w:r>
      <w:r>
        <w:rPr>
          <w:rFonts w:hint="default" w:ascii="Times New Roman" w:hAnsi="Times New Roman" w:eastAsia="宋体" w:cs="Times New Roman"/>
          <w:sz w:val="24"/>
        </w:rPr>
        <w:t>做深埋处理。</w:t>
      </w:r>
    </w:p>
    <w:p w14:paraId="0B7B14E6">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（5）疫病的预防措施：</w:t>
      </w:r>
    </w:p>
    <w:p w14:paraId="1546471B">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=1\*GB3</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①</w:t>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加强饲养管理，保持饲料质量的稳定性，并添加提高维生素水平，</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做到大环境通风，</w:t>
      </w:r>
      <w:r>
        <w:rPr>
          <w:rFonts w:hint="eastAsia" w:ascii="Times New Roman" w:hAnsi="Times New Roman" w:eastAsia="宋体" w:cs="Times New Roman"/>
          <w:sz w:val="24"/>
          <w:lang w:val="en-US" w:eastAsia="zh-CN"/>
        </w:rPr>
        <w:t>犊牛</w:t>
      </w:r>
      <w:r>
        <w:rPr>
          <w:rFonts w:hint="default" w:ascii="Times New Roman" w:hAnsi="Times New Roman" w:eastAsia="宋体" w:cs="Times New Roman"/>
          <w:sz w:val="24"/>
        </w:rPr>
        <w:t>要注意保温，减少应激反应。</w:t>
      </w:r>
    </w:p>
    <w:p w14:paraId="2F88D11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=2\*GB3</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②</w:t>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饲料中添加霉菌毒素，毒剂或免疫增强剂，提高</w:t>
      </w:r>
      <w:r>
        <w:rPr>
          <w:rFonts w:hint="eastAsia" w:ascii="Times New Roman" w:hAnsi="Times New Roman" w:eastAsia="宋体" w:cs="Times New Roman"/>
          <w:sz w:val="24"/>
          <w:lang w:val="en-US" w:eastAsia="zh-CN"/>
        </w:rPr>
        <w:t>犊牛</w:t>
      </w:r>
      <w:r>
        <w:rPr>
          <w:rFonts w:hint="default" w:ascii="Times New Roman" w:hAnsi="Times New Roman" w:eastAsia="宋体" w:cs="Times New Roman"/>
          <w:sz w:val="24"/>
        </w:rPr>
        <w:t>抵抗力。</w:t>
      </w:r>
    </w:p>
    <w:p w14:paraId="4AD6F7BE">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=3\*GB3</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③</w:t>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消毒：应选择新型、刺激性较小的酸性消毒剂：如复合醛类消毒剂，每天对</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内外环境进行严格消毒。</w:t>
      </w:r>
    </w:p>
    <w:p w14:paraId="4A32CC5E">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656" w:name="_Toc202"/>
      <w:bookmarkStart w:id="657" w:name="_Toc3945"/>
      <w:r>
        <w:rPr>
          <w:rFonts w:hint="default" w:ascii="Times New Roman" w:hAnsi="Times New Roman" w:eastAsia="宋体" w:cs="Times New Roman"/>
          <w:b/>
          <w:bCs/>
          <w:kern w:val="2"/>
          <w:sz w:val="28"/>
          <w:szCs w:val="28"/>
          <w:lang w:val="en-US" w:eastAsia="zh-CN" w:bidi="ar-SA"/>
        </w:rPr>
        <w:t>6.4.2常发病防治措施</w:t>
      </w:r>
      <w:bookmarkEnd w:id="656"/>
      <w:bookmarkEnd w:id="657"/>
    </w:p>
    <w:p w14:paraId="7E9CDF4B">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（1）口蹄疫防</w:t>
      </w:r>
      <w:r>
        <w:rPr>
          <w:rFonts w:hint="eastAsia" w:cs="Times New Roman"/>
          <w:sz w:val="24"/>
          <w:lang w:eastAsia="zh-CN"/>
        </w:rPr>
        <w:t>治</w:t>
      </w:r>
      <w:r>
        <w:rPr>
          <w:rFonts w:hint="default" w:ascii="Times New Roman" w:hAnsi="Times New Roman" w:eastAsia="宋体" w:cs="Times New Roman"/>
          <w:sz w:val="24"/>
        </w:rPr>
        <w:t>措施：</w:t>
      </w:r>
    </w:p>
    <w:p w14:paraId="5F063EBD">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口蹄疫防控的总原则是首先做好预防，行政措施和防治手段相结合，才能做好防控工作。</w:t>
      </w:r>
    </w:p>
    <w:p w14:paraId="1774A0E1">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要预防口蹄疫的传入，严禁从疫区引入易感动物及其产品。严格卫生检疫制度，在交通要道设置动物检疫站，对来往载畜及畜产品车辆消毒、管理，禁止疫区易感动物进入。对动物进行预防接种，可有效预防口蹄疫的发生。第1次接种后间隔15d，各年龄段</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群加强免疫，在受威胁区周围建立免疫带以防疫情扩散。定期严格使用安多福万金水进行带畜环境消毒和饮水净化消毒，可以</w:t>
      </w:r>
      <w:r>
        <w:rPr>
          <w:rFonts w:hint="eastAsia" w:cs="Times New Roman"/>
          <w:sz w:val="24"/>
          <w:lang w:eastAsia="zh-CN"/>
        </w:rPr>
        <w:t>有效地</w:t>
      </w:r>
      <w:r>
        <w:rPr>
          <w:rFonts w:hint="default" w:ascii="Times New Roman" w:hAnsi="Times New Roman" w:eastAsia="宋体" w:cs="Times New Roman"/>
          <w:sz w:val="24"/>
        </w:rPr>
        <w:t>预防口蹄疫的发生。疫情已扩散时，则采用严格封锁疫区、疫点，扑杀病畜及同群可疑感染牲畜的方法达到扑灭的目的。</w:t>
      </w:r>
    </w:p>
    <w:p w14:paraId="7DE38A3C">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（2）病毒性流行性腹泻防治措施</w:t>
      </w:r>
    </w:p>
    <w:p w14:paraId="03B47DB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病毒性流行性腹泻主要是由于天气炎热、经常阴雨导致环境湿度过大造成发病。加强饲养管理提高机体抵抗力。目前处于季节交替的时期，注意控制好舍内温度，解决好保温和通风的矛盾，避免造成应激。饲喂全价优质饲料，不要饲喂霉变饲料，对看不出霉变的饲料最好也添加质量好的脱霉剂。</w:t>
      </w:r>
    </w:p>
    <w:p w14:paraId="15364A4B">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坚决杜绝异地调</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，切实做好场内外消毒卫生工作。应特别注意入口处的消毒，加强人、物进出场管理，防止疾病传入。舍内喷洒灭蚊药物。</w:t>
      </w:r>
    </w:p>
    <w:p w14:paraId="7330D370">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做好基础免疫。严格按照合理的免疫程序，使用质量过关疫苗把防</w:t>
      </w:r>
      <w:r>
        <w:rPr>
          <w:rFonts w:hint="eastAsia" w:cs="Times New Roman"/>
          <w:sz w:val="24"/>
          <w:lang w:eastAsia="zh-CN"/>
        </w:rPr>
        <w:t>疫工</w:t>
      </w:r>
      <w:r>
        <w:rPr>
          <w:rFonts w:hint="default" w:ascii="Times New Roman" w:hAnsi="Times New Roman" w:eastAsia="宋体" w:cs="Times New Roman"/>
          <w:sz w:val="24"/>
        </w:rPr>
        <w:t>作</w:t>
      </w:r>
      <w:r>
        <w:rPr>
          <w:rFonts w:hint="eastAsia" w:cs="Times New Roman"/>
          <w:sz w:val="24"/>
          <w:lang w:val="en-US" w:eastAsia="zh-CN"/>
        </w:rPr>
        <w:t>做</w:t>
      </w:r>
      <w:r>
        <w:rPr>
          <w:rFonts w:hint="default" w:ascii="Times New Roman" w:hAnsi="Times New Roman" w:eastAsia="宋体" w:cs="Times New Roman"/>
          <w:sz w:val="24"/>
        </w:rPr>
        <w:t>扎实。建议有条件的场户，开展免疫抗体监测工作。及时淘汰病弱</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。做好预防性保健工作。</w:t>
      </w:r>
    </w:p>
    <w:p w14:paraId="26A27795">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根据</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场的实际情况，可以适当加一些含黄芪多糖、大青叶等提高免疫力和抗病毒的中药，对卫生条件差的</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场可适当添加抗生素等控制继发细菌感染。</w:t>
      </w:r>
    </w:p>
    <w:p w14:paraId="343CFC7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当发生疫情时，要早防早治，做到正确诊断，对症用药。经过专家在某些发病</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场的治疗经验，主要是按抗病毒、控制细菌继发感染、降温的方案进行治疗。在发病初期，采用黄芪多糖+头孢有较好的治疗效果，可降低死亡率。当怀疑有</w:t>
      </w:r>
      <w:r>
        <w:rPr>
          <w:rFonts w:hint="eastAsia" w:cs="Times New Roman"/>
          <w:sz w:val="24"/>
          <w:lang w:val="en-US" w:eastAsia="zh-CN"/>
        </w:rPr>
        <w:t>附红细胞体病</w:t>
      </w:r>
      <w:r>
        <w:rPr>
          <w:rFonts w:hint="default" w:ascii="Times New Roman" w:hAnsi="Times New Roman" w:eastAsia="宋体" w:cs="Times New Roman"/>
          <w:sz w:val="24"/>
        </w:rPr>
        <w:t>时，配合相关治疗药物效果明显。加入核糖核酸药物有利于提高疗效。在确诊某病毒之后，采用相应抗血清注射治疗效果较好。</w:t>
      </w:r>
    </w:p>
    <w:p w14:paraId="47A6D542">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布病、结核病防控措施</w:t>
      </w:r>
    </w:p>
    <w:p w14:paraId="66E2363F">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①</w:t>
      </w:r>
      <w:r>
        <w:rPr>
          <w:rFonts w:hint="default" w:ascii="Times New Roman" w:hAnsi="Times New Roman" w:eastAsia="宋体" w:cs="Times New Roman"/>
          <w:sz w:val="24"/>
        </w:rPr>
        <w:t>基础性综合防控措施</w:t>
      </w:r>
    </w:p>
    <w:p w14:paraId="151573FD">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加强日常饲养与巡查：做好圈舍通风、清洁及防寒防暑工作</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"http://www.jygcdc.com/html/col16/content16_7963.html"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。每日巡查牛群，重点关注母畜乳腺炎，公畜睾丸肿大等布病疑似症状</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"http://www.jygcdc.com/html/col16/content16_7963.html"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14:paraId="708055C4">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规范消毒：发现阳性牛后，必须对污染的场所、用具进行彻底消毒。</w:t>
      </w:r>
    </w:p>
    <w:p w14:paraId="0F2D13DC">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做好档案记录：详细记录养殖、免疫、检测、消毒、无害化处理等信息，对家畜实施可追溯管理</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"http://www.jygcdc.com/html/col16/content16_7963.html"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14:paraId="2D53490B">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②</w:t>
      </w:r>
      <w:r>
        <w:rPr>
          <w:rFonts w:hint="default" w:ascii="Times New Roman" w:hAnsi="Times New Roman" w:eastAsia="宋体" w:cs="Times New Roman"/>
          <w:sz w:val="24"/>
        </w:rPr>
        <w:t>布鲁氏菌病（布病）的重点防控措施</w:t>
      </w:r>
    </w:p>
    <w:p w14:paraId="5899D932">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免疫接种（关键防线）：根据国家和当地政策，对牛群进行布病疫苗免疫。目前推荐的疫苗为布鲁氏菌活疫苗（A19株）或其基因缺失活疫苗（A19-ΔVirB12株）</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"http://www.jygcdc.com/html/col16/content16_7963.html"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。通常在犊牛3-8月龄时进行皮下注射免疫</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"http://www.jygcdc.com/html/col16/content16_7963.html"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14:paraId="69FAE9C2">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监测与净化：对非免疫或免疫后的牛群，需定期开展血清学检测。初筛常用虎红平板凝集试验（RBPT），阳性样本需用试管凝集试验（SAT）或ELISA方法复检确认</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"http://nmj.chifeng.gov.cn/zwxx/gzjl/jyjl/202508/t20250805_2635230.html"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14:paraId="7EE6C97C">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阳性牛处理：检出的布病阳性牛，必须立即</w:t>
      </w:r>
      <w:r>
        <w:rPr>
          <w:rFonts w:hint="eastAsia" w:ascii="Times New Roman" w:hAnsi="Times New Roman" w:eastAsia="宋体" w:cs="Times New Roman"/>
          <w:sz w:val="24"/>
          <w:lang w:val="en-US" w:eastAsia="zh-CN"/>
        </w:rPr>
        <w:t>隔离</w:t>
      </w:r>
      <w:r>
        <w:rPr>
          <w:rFonts w:hint="default" w:ascii="Times New Roman" w:hAnsi="Times New Roman" w:eastAsia="宋体" w:cs="Times New Roman"/>
          <w:sz w:val="24"/>
        </w:rPr>
        <w:t>并进行无害化处理</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"https://www.danyang.gov.cn/dynyncj/nyxx/202607/d32d8ef6de0d4bc0962c6787c2b9196d.shtml"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14:paraId="330845E1">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③</w:t>
      </w:r>
      <w:r>
        <w:rPr>
          <w:rFonts w:hint="default" w:ascii="Times New Roman" w:hAnsi="Times New Roman" w:eastAsia="宋体" w:cs="Times New Roman"/>
          <w:sz w:val="24"/>
        </w:rPr>
        <w:t>牛结核病的重点防控措施</w:t>
      </w:r>
    </w:p>
    <w:p w14:paraId="64C690A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监测与诊断：牛结核病目前没有能有效预防的疫苗。主要依靠牛提纯结核菌素皮内变态反应试验（PPD试验）进行检疫</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"https://www.danyang.gov.cn/dynyncj/nyxx/202607/d32d8ef6de0d4bc0962c6787c2b9196d.shtml"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14:paraId="7CF1CFEF">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监测频率：健康牛群每年应进行至少2次全群检疫。污染牛群则需要增加检疫频次，反复多次检测。</w:t>
      </w:r>
    </w:p>
    <w:p w14:paraId="35F72C02">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阳性牛处理：结核病阳性牛必须</w:t>
      </w:r>
      <w:r>
        <w:rPr>
          <w:rFonts w:hint="eastAsia" w:ascii="Times New Roman" w:hAnsi="Times New Roman" w:eastAsia="宋体" w:cs="Times New Roman"/>
          <w:sz w:val="24"/>
          <w:lang w:val="en-US" w:eastAsia="zh-CN"/>
        </w:rPr>
        <w:t>隔离</w:t>
      </w:r>
      <w:r>
        <w:rPr>
          <w:rFonts w:hint="default" w:ascii="Times New Roman" w:hAnsi="Times New Roman" w:eastAsia="宋体" w:cs="Times New Roman"/>
          <w:sz w:val="24"/>
        </w:rPr>
        <w:t>并无害化处理。对阳性牛所在的牛舍和区域，需进行强化消毒。</w:t>
      </w:r>
    </w:p>
    <w:p w14:paraId="168444AB">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④</w:t>
      </w:r>
      <w:r>
        <w:rPr>
          <w:rFonts w:hint="default" w:ascii="Times New Roman" w:hAnsi="Times New Roman" w:eastAsia="宋体" w:cs="Times New Roman"/>
          <w:sz w:val="24"/>
        </w:rPr>
        <w:t>人员防护</w:t>
      </w:r>
    </w:p>
    <w:p w14:paraId="7328E5D5">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布病和结核病均可传染给人，从业人员必须做好个人防护。在采集血样、进行免疫注射等高风险操作时，务必规范穿戴防护服、口罩、手套及护目镜等防护装备</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"http://nmj.chifeng.gov.cn/zwxx/gzjl/jyjl/202508/t20250805_2635230.html"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"https://aqsc.org/xxcm/nyzx/202507/t20250722_462697.htm" \t "https://chat.deepseek.com/a/chat/s/_blank"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14:paraId="6AF81058">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658" w:name="_Toc4260"/>
      <w:bookmarkStart w:id="659" w:name="_Toc26835"/>
      <w:r>
        <w:rPr>
          <w:rFonts w:hint="default" w:ascii="Times New Roman" w:hAnsi="Times New Roman" w:eastAsia="宋体" w:cs="Times New Roman"/>
          <w:b/>
          <w:bCs/>
          <w:kern w:val="2"/>
          <w:sz w:val="28"/>
          <w:szCs w:val="28"/>
          <w:lang w:val="en-US" w:eastAsia="zh-CN" w:bidi="ar-SA"/>
        </w:rPr>
        <w:t>6.4.3日常预防措施</w:t>
      </w:r>
      <w:bookmarkEnd w:id="658"/>
      <w:bookmarkEnd w:id="659"/>
    </w:p>
    <w:p w14:paraId="1C836C64">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（1）养殖场应将生产区与生活区分开。生产区门口应设置消毒</w:t>
      </w:r>
      <w:r>
        <w:rPr>
          <w:rFonts w:hint="eastAsia" w:ascii="Times New Roman" w:hAnsi="Times New Roman" w:eastAsia="宋体" w:cs="Times New Roman"/>
          <w:sz w:val="24"/>
          <w:lang w:val="en-US" w:eastAsia="zh-CN"/>
        </w:rPr>
        <w:t>通道</w:t>
      </w:r>
      <w:r>
        <w:rPr>
          <w:rFonts w:hint="default" w:ascii="Times New Roman" w:hAnsi="Times New Roman" w:eastAsia="宋体" w:cs="Times New Roman"/>
          <w:sz w:val="24"/>
        </w:rPr>
        <w:t>，定期检查</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群健康状况，做到及时发现、及时隔离、及时救治，严格控制疾病大面积传播；若发生重大疫情，必须立即启动应急预案，控制疫病的蔓延扩散，以避免和减轻疫病对环境和人群健康的危害。</w:t>
      </w:r>
    </w:p>
    <w:p w14:paraId="06AD406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（2）严格控制非生产人员进入生产区，必须进入时应</w:t>
      </w:r>
      <w:bookmarkStart w:id="660" w:name="OLE_LINK5"/>
      <w:r>
        <w:rPr>
          <w:rFonts w:hint="default" w:ascii="Times New Roman" w:hAnsi="Times New Roman" w:eastAsia="宋体" w:cs="Times New Roman"/>
          <w:sz w:val="24"/>
        </w:rPr>
        <w:t>更换工作服及鞋帽，</w:t>
      </w:r>
      <w:bookmarkEnd w:id="660"/>
      <w:r>
        <w:rPr>
          <w:rFonts w:hint="default" w:ascii="Times New Roman" w:hAnsi="Times New Roman" w:eastAsia="宋体" w:cs="Times New Roman"/>
          <w:sz w:val="24"/>
        </w:rPr>
        <w:t>经消毒后才能进入。</w:t>
      </w:r>
    </w:p>
    <w:p w14:paraId="732D300E">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（3）注射治疗及任何对</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进行接触操作前，应先将</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有关部位进行消毒擦拭，以降低细菌数，保证</w:t>
      </w:r>
      <w:r>
        <w:rPr>
          <w:rFonts w:hint="eastAsia" w:ascii="Times New Roman" w:hAnsi="Times New Roman" w:eastAsia="宋体" w:cs="Times New Roman"/>
          <w:sz w:val="24"/>
          <w:lang w:val="en-US" w:eastAsia="zh-CN"/>
        </w:rPr>
        <w:t>犊牛</w:t>
      </w:r>
      <w:r>
        <w:rPr>
          <w:rFonts w:hint="default" w:ascii="Times New Roman" w:hAnsi="Times New Roman" w:eastAsia="宋体" w:cs="Times New Roman"/>
          <w:sz w:val="24"/>
        </w:rPr>
        <w:t>健康。</w:t>
      </w:r>
    </w:p>
    <w:p w14:paraId="248C1DE0">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（4）定期（夏季2周，冬季1月）对饲喂用具、料槽和饲料车等进行消毒；日常用具（如兽医用具、助产用具、配种用具等）在使用前后应进行彻底消毒和清洗。</w:t>
      </w:r>
    </w:p>
    <w:p w14:paraId="6688DCA7">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（5）保持</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的清洁、干燥、无污物（如砖块、石头、灰渣、废弃塑料袋等）。</w:t>
      </w:r>
    </w:p>
    <w:p w14:paraId="7C689420">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（6）定期检测各类饲料成分，经常检查、调整、平衡日粮的营养，特别是蹄病发生率达15％以上时。</w:t>
      </w:r>
    </w:p>
    <w:p w14:paraId="7D120075">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（7）饲养人员每年应至少进行一次体格检查，如发现患有危害人、</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的传染病者，应及时调离，以防传染。</w:t>
      </w:r>
    </w:p>
    <w:p w14:paraId="266C490F">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661" w:name="_Toc23664"/>
      <w:bookmarkStart w:id="662" w:name="_Toc25247"/>
      <w:r>
        <w:rPr>
          <w:rFonts w:hint="default" w:ascii="Times New Roman" w:hAnsi="Times New Roman" w:eastAsia="宋体" w:cs="Times New Roman"/>
          <w:b/>
          <w:bCs/>
          <w:kern w:val="2"/>
          <w:sz w:val="28"/>
          <w:szCs w:val="28"/>
          <w:lang w:val="en-US" w:eastAsia="zh-CN" w:bidi="ar-SA"/>
        </w:rPr>
        <w:t>6.4.4养殖场隔离舍建设要求及日常防治措施</w:t>
      </w:r>
      <w:bookmarkEnd w:id="661"/>
      <w:bookmarkEnd w:id="662"/>
    </w:p>
    <w:p w14:paraId="1CAC042C">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环评要求设置隔离</w:t>
      </w:r>
      <w:r>
        <w:rPr>
          <w:rFonts w:hint="eastAsia" w:ascii="Times New Roman" w:hAnsi="Times New Roman" w:eastAsia="宋体" w:cs="Times New Roman"/>
          <w:sz w:val="24"/>
          <w:lang w:val="en-US" w:eastAsia="zh-CN"/>
        </w:rPr>
        <w:t>圈</w:t>
      </w:r>
      <w:r>
        <w:rPr>
          <w:rFonts w:hint="default" w:ascii="Times New Roman" w:hAnsi="Times New Roman" w:eastAsia="宋体" w:cs="Times New Roman"/>
          <w:sz w:val="24"/>
        </w:rPr>
        <w:t>，隔离舍必须在年主导风向的下风向</w:t>
      </w:r>
      <w:r>
        <w:rPr>
          <w:rFonts w:hint="eastAsia" w:ascii="Times New Roman" w:hAnsi="Times New Roman" w:eastAsia="宋体" w:cs="Times New Roman"/>
          <w:sz w:val="24"/>
          <w:lang w:val="en-US" w:eastAsia="zh-CN"/>
        </w:rPr>
        <w:t>或侧风向处</w:t>
      </w:r>
      <w:r>
        <w:rPr>
          <w:rFonts w:hint="default" w:ascii="Times New Roman" w:hAnsi="Times New Roman" w:eastAsia="宋体" w:cs="Times New Roman"/>
          <w:sz w:val="24"/>
        </w:rPr>
        <w:t>，并且不得在地下水径流的上游区，环评推荐将隔离</w:t>
      </w:r>
      <w:r>
        <w:rPr>
          <w:rFonts w:hint="eastAsia" w:ascii="Times New Roman" w:hAnsi="Times New Roman" w:eastAsia="宋体" w:cs="Times New Roman"/>
          <w:sz w:val="24"/>
          <w:lang w:val="en-US" w:eastAsia="zh-CN"/>
        </w:rPr>
        <w:t>圈</w:t>
      </w:r>
      <w:r>
        <w:rPr>
          <w:rFonts w:hint="default" w:ascii="Times New Roman" w:hAnsi="Times New Roman" w:eastAsia="宋体" w:cs="Times New Roman"/>
          <w:sz w:val="24"/>
        </w:rPr>
        <w:t>设置在项目区的</w:t>
      </w:r>
      <w:r>
        <w:rPr>
          <w:rFonts w:hint="eastAsia" w:ascii="Times New Roman" w:hAnsi="Times New Roman" w:eastAsia="宋体" w:cs="Times New Roman"/>
          <w:sz w:val="24"/>
          <w:lang w:val="en-US" w:eastAsia="zh-CN"/>
        </w:rPr>
        <w:t>东南侧</w:t>
      </w:r>
      <w:r>
        <w:rPr>
          <w:rFonts w:hint="default" w:ascii="Times New Roman" w:hAnsi="Times New Roman" w:eastAsia="宋体" w:cs="Times New Roman"/>
          <w:sz w:val="24"/>
        </w:rPr>
        <w:t>。此外隔离区必须与生产区、生活办公区隔开，一般隔离舍区设置在距离生产区、生活办公区50</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100m远处较为合适，环评推荐隔离</w:t>
      </w:r>
      <w:r>
        <w:rPr>
          <w:rFonts w:hint="eastAsia" w:ascii="Times New Roman" w:hAnsi="Times New Roman" w:eastAsia="宋体" w:cs="Times New Roman"/>
          <w:sz w:val="24"/>
          <w:lang w:val="en-US" w:eastAsia="zh-CN"/>
        </w:rPr>
        <w:t>圈</w:t>
      </w:r>
      <w:r>
        <w:rPr>
          <w:rFonts w:hint="default" w:ascii="Times New Roman" w:hAnsi="Times New Roman" w:eastAsia="宋体" w:cs="Times New Roman"/>
          <w:sz w:val="24"/>
        </w:rPr>
        <w:t>距离最近</w:t>
      </w:r>
      <w:r>
        <w:rPr>
          <w:rFonts w:hint="eastAsia" w:ascii="Times New Roman" w:hAnsi="Times New Roman" w:eastAsia="宋体" w:cs="Times New Roman"/>
          <w:sz w:val="24"/>
          <w:lang w:val="en-US" w:eastAsia="zh-CN"/>
        </w:rPr>
        <w:t>牛圈50</w:t>
      </w:r>
      <w:r>
        <w:rPr>
          <w:rFonts w:hint="default" w:ascii="Times New Roman" w:hAnsi="Times New Roman" w:eastAsia="宋体" w:cs="Times New Roman"/>
          <w:sz w:val="24"/>
        </w:rPr>
        <w:t>m处，距离生活区</w:t>
      </w:r>
      <w:r>
        <w:rPr>
          <w:rFonts w:hint="eastAsia" w:cs="Times New Roman"/>
          <w:sz w:val="24"/>
          <w:lang w:val="en-US" w:eastAsia="zh-CN"/>
        </w:rPr>
        <w:t>大于100m</w:t>
      </w:r>
      <w:r>
        <w:rPr>
          <w:rFonts w:hint="default" w:ascii="Times New Roman" w:hAnsi="Times New Roman" w:eastAsia="宋体" w:cs="Times New Roman"/>
          <w:sz w:val="24"/>
        </w:rPr>
        <w:t>处，并且隔离舍周边设置围墙隔离，并设置专用后门。要求隔离舍四周绿化隔离带隔开，并</w:t>
      </w:r>
      <w:r>
        <w:rPr>
          <w:rFonts w:hint="eastAsia" w:ascii="Times New Roman" w:hAnsi="Times New Roman" w:eastAsia="宋体" w:cs="Times New Roman"/>
          <w:sz w:val="24"/>
          <w:lang w:eastAsia="zh-CN"/>
        </w:rPr>
        <w:t>设置</w:t>
      </w:r>
      <w:r>
        <w:rPr>
          <w:rFonts w:hint="default" w:ascii="Times New Roman" w:hAnsi="Times New Roman" w:eastAsia="宋体" w:cs="Times New Roman"/>
          <w:sz w:val="24"/>
        </w:rPr>
        <w:t>专用消毒设施，隔离场的入口处设置警示标志。</w:t>
      </w:r>
    </w:p>
    <w:p w14:paraId="1871383E">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另外隔离舍区要加强管理：要求工作人员无人兽共患传染病；严禁非工作人员进入隔离区；工作人员进出隔离区应该遵循程序，更衣→换鞋→经消毒池→消毒通道进出；隔离舍要定期彻底清洗/</w:t>
      </w:r>
      <w:r>
        <w:rPr>
          <w:rFonts w:hint="eastAsia" w:ascii="Times New Roman" w:hAnsi="Times New Roman" w:eastAsia="宋体" w:cs="Times New Roman"/>
          <w:sz w:val="24"/>
          <w:lang w:eastAsia="zh-CN"/>
        </w:rPr>
        <w:t>隔毒</w:t>
      </w:r>
      <w:r>
        <w:rPr>
          <w:rFonts w:hint="default" w:ascii="Times New Roman" w:hAnsi="Times New Roman" w:eastAsia="宋体" w:cs="Times New Roman"/>
          <w:sz w:val="24"/>
        </w:rPr>
        <w:t>设备（运输车辆等）；工作人员未经管理人员批准随意进出隔离舍；不得携进（出）任何物品。</w:t>
      </w:r>
    </w:p>
    <w:p w14:paraId="71F228BD">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663" w:name="_Toc1288"/>
      <w:bookmarkStart w:id="664" w:name="_Toc19254"/>
      <w:r>
        <w:rPr>
          <w:rFonts w:hint="default" w:ascii="Times New Roman" w:hAnsi="Times New Roman" w:eastAsia="宋体" w:cs="Times New Roman"/>
          <w:b/>
          <w:bCs/>
          <w:kern w:val="2"/>
          <w:sz w:val="28"/>
          <w:szCs w:val="28"/>
          <w:lang w:val="en-US" w:eastAsia="zh-CN" w:bidi="ar-SA"/>
        </w:rPr>
        <w:t>6.4.5对病死尸体的处置措施</w:t>
      </w:r>
      <w:bookmarkEnd w:id="663"/>
      <w:bookmarkEnd w:id="664"/>
    </w:p>
    <w:p w14:paraId="10F2E882">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lang w:val="zh-CN"/>
        </w:rPr>
      </w:pPr>
      <w:r>
        <w:rPr>
          <w:rFonts w:hint="default" w:ascii="Times New Roman" w:hAnsi="Times New Roman" w:eastAsia="宋体" w:cs="Times New Roman"/>
          <w:sz w:val="24"/>
          <w:lang w:val="zh-CN"/>
        </w:rPr>
        <w:t>本项目根据《畜禽养殖业污染治理工程技术规范》（HJ 497-2009）中第9章和《</w:t>
      </w:r>
      <w:r>
        <w:rPr>
          <w:rFonts w:hint="eastAsia" w:ascii="Times New Roman" w:hAnsi="Times New Roman" w:eastAsia="宋体" w:cs="Times New Roman"/>
          <w:sz w:val="24"/>
          <w:lang w:val="zh-CN"/>
        </w:rPr>
        <w:t>畜禽养殖业污染防治技术规范</w:t>
      </w:r>
      <w:r>
        <w:rPr>
          <w:rFonts w:hint="default" w:ascii="Times New Roman" w:hAnsi="Times New Roman" w:eastAsia="宋体" w:cs="Times New Roman"/>
          <w:sz w:val="24"/>
          <w:lang w:val="zh-CN"/>
        </w:rPr>
        <w:t>》（HJ/T 81-2001）中第9章的要求，病死畜禽尸体应及时处理，不得随意丢弃，不得出售或作为饲料再利用。因高致病性禽流感疫情导致禽类死亡，死禽尸体的处理与处置应符合《高致病</w:t>
      </w:r>
      <w:r>
        <w:rPr>
          <w:rFonts w:hint="eastAsia" w:ascii="Times New Roman" w:hAnsi="Times New Roman" w:eastAsia="宋体" w:cs="Times New Roman"/>
          <w:sz w:val="24"/>
          <w:lang w:val="zh-CN"/>
        </w:rPr>
        <w:t>性</w:t>
      </w:r>
      <w:r>
        <w:rPr>
          <w:rFonts w:hint="default" w:ascii="Times New Roman" w:hAnsi="Times New Roman" w:eastAsia="宋体" w:cs="Times New Roman"/>
          <w:sz w:val="24"/>
          <w:lang w:val="zh-CN"/>
        </w:rPr>
        <w:t>禽流感疫情处置技术规范（试行）》的规定。</w:t>
      </w:r>
    </w:p>
    <w:p w14:paraId="5DA9C6C4">
      <w:pPr>
        <w:pageBreakBefore w:val="0"/>
        <w:kinsoku/>
        <w:wordWrap/>
        <w:topLinePunct w:val="0"/>
        <w:autoSpaceDE/>
        <w:autoSpaceDN/>
        <w:bidi w:val="0"/>
        <w:adjustRightInd/>
        <w:snapToGrid/>
        <w:spacing w:beforeAutospacing="0" w:afterAutospacing="0" w:line="360" w:lineRule="auto"/>
        <w:ind w:firstLine="539"/>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sz w:val="24"/>
        </w:rPr>
        <w:t>管理员每日按要求对病</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和当日</w:t>
      </w:r>
      <w:r>
        <w:rPr>
          <w:rFonts w:hint="eastAsia" w:ascii="Times New Roman" w:hAnsi="Times New Roman" w:eastAsia="宋体" w:cs="Times New Roman"/>
          <w:sz w:val="24"/>
          <w:lang w:val="en-US" w:eastAsia="zh-CN"/>
        </w:rPr>
        <w:t>运输出场</w:t>
      </w:r>
      <w:r>
        <w:rPr>
          <w:rFonts w:hint="default" w:ascii="Times New Roman" w:hAnsi="Times New Roman" w:eastAsia="宋体" w:cs="Times New Roman"/>
          <w:sz w:val="24"/>
        </w:rPr>
        <w:t>处理的病死</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种类、原因、只数和体重如实进行登记记录。记录档案保存应不少于两年</w:t>
      </w:r>
      <w:r>
        <w:rPr>
          <w:rFonts w:hint="eastAsia" w:cs="Times New Roman"/>
          <w:sz w:val="24"/>
          <w:lang w:eastAsia="zh-CN"/>
        </w:rPr>
        <w:t>。</w:t>
      </w:r>
    </w:p>
    <w:p w14:paraId="2666247D">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color w:val="auto"/>
          <w:kern w:val="2"/>
          <w:sz w:val="28"/>
          <w:szCs w:val="28"/>
          <w:lang w:val="en-US" w:eastAsia="zh-CN" w:bidi="ar-SA"/>
        </w:rPr>
      </w:pPr>
      <w:r>
        <w:rPr>
          <w:rFonts w:hint="default" w:ascii="Times New Roman" w:hAnsi="Times New Roman" w:eastAsia="宋体" w:cs="Times New Roman"/>
          <w:b/>
          <w:bCs/>
          <w:color w:val="auto"/>
          <w:kern w:val="2"/>
          <w:sz w:val="28"/>
          <w:szCs w:val="28"/>
          <w:lang w:val="en-US" w:eastAsia="zh-CN" w:bidi="ar-SA"/>
        </w:rPr>
        <w:t>6.4.</w:t>
      </w:r>
      <w:r>
        <w:rPr>
          <w:rFonts w:hint="eastAsia" w:cs="Times New Roman"/>
          <w:b/>
          <w:bCs/>
          <w:color w:val="auto"/>
          <w:kern w:val="2"/>
          <w:sz w:val="28"/>
          <w:szCs w:val="28"/>
          <w:lang w:val="en-US" w:eastAsia="zh-CN" w:bidi="ar-SA"/>
        </w:rPr>
        <w:t>6</w:t>
      </w:r>
      <w:r>
        <w:rPr>
          <w:rFonts w:hint="eastAsia" w:ascii="Times New Roman" w:hAnsi="Times New Roman" w:eastAsia="宋体" w:cs="Times New Roman"/>
          <w:b/>
          <w:bCs/>
          <w:color w:val="auto"/>
          <w:kern w:val="2"/>
          <w:sz w:val="28"/>
          <w:szCs w:val="28"/>
          <w:lang w:val="en-US" w:eastAsia="zh-CN" w:bidi="ar-SA"/>
        </w:rPr>
        <w:t>有毒气体泄漏</w:t>
      </w:r>
      <w:r>
        <w:rPr>
          <w:rFonts w:hint="default" w:ascii="Times New Roman" w:hAnsi="Times New Roman" w:eastAsia="宋体" w:cs="Times New Roman"/>
          <w:b/>
          <w:bCs/>
          <w:color w:val="auto"/>
          <w:kern w:val="2"/>
          <w:sz w:val="28"/>
          <w:szCs w:val="28"/>
          <w:lang w:val="en-US" w:eastAsia="zh-CN" w:bidi="ar-SA"/>
        </w:rPr>
        <w:t>风险防治措施</w:t>
      </w:r>
    </w:p>
    <w:p w14:paraId="07DCA6B5">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w:t>
      </w:r>
      <w:r>
        <w:rPr>
          <w:rFonts w:hint="default" w:ascii="Times New Roman" w:hAnsi="Times New Roman" w:eastAsia="宋体" w:cs="Times New Roman"/>
          <w:color w:val="000000"/>
          <w:sz w:val="24"/>
          <w:lang w:val="en-US" w:eastAsia="zh-CN"/>
        </w:rPr>
        <w:t>日常防范：源头控制与设施维护</w:t>
      </w:r>
    </w:p>
    <w:p w14:paraId="3293C1E8">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源头减量：通过优化饲料配方，提高蛋白质利用率，从源头减少粪便中氨气等有害气体的产生</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"http://nmj.bynr.gov.cn/nmyw/yzjs/202602/t20260205_53879.html"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75FEA93B">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加强通风：保持</w:t>
      </w:r>
      <w:r>
        <w:rPr>
          <w:rFonts w:hint="eastAsia" w:ascii="Times New Roman" w:hAnsi="Times New Roman" w:eastAsia="宋体" w:cs="Times New Roman"/>
          <w:color w:val="000000"/>
          <w:sz w:val="24"/>
          <w:lang w:val="en-US" w:eastAsia="zh-CN"/>
        </w:rPr>
        <w:t>牛圈</w:t>
      </w:r>
      <w:r>
        <w:rPr>
          <w:rFonts w:hint="default" w:ascii="Times New Roman" w:hAnsi="Times New Roman" w:eastAsia="宋体" w:cs="Times New Roman"/>
          <w:color w:val="000000"/>
          <w:sz w:val="24"/>
          <w:lang w:val="en-US" w:eastAsia="zh-CN"/>
        </w:rPr>
        <w:t>和粪污处理区域良好的自然或机械通风，及时排出积聚的有害气体</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"http://www.agri.cn//zt/2024/rouya/ryzcxw/ryyzzc/202507/t20250731_8754806.htm"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"http://nynct.gxzf.gov.cn/xwdt/gxlb/wz/t26624301.shtml"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615A0570">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设施维护：定期检查并维护粪污收集、输送、储存</w:t>
      </w:r>
      <w:r>
        <w:rPr>
          <w:rFonts w:hint="eastAsia" w:ascii="Times New Roman" w:hAnsi="Times New Roman" w:eastAsia="宋体" w:cs="Times New Roman"/>
          <w:color w:val="000000"/>
          <w:sz w:val="24"/>
          <w:lang w:val="en-US" w:eastAsia="zh-CN"/>
        </w:rPr>
        <w:t>设施以及配套的环保</w:t>
      </w:r>
      <w:r>
        <w:rPr>
          <w:rFonts w:hint="default" w:ascii="Times New Roman" w:hAnsi="Times New Roman" w:eastAsia="宋体" w:cs="Times New Roman"/>
          <w:color w:val="000000"/>
          <w:sz w:val="24"/>
          <w:lang w:val="en-US" w:eastAsia="zh-CN"/>
        </w:rPr>
        <w:t>设施，及时清理管道淤积</w:t>
      </w:r>
      <w:r>
        <w:rPr>
          <w:rFonts w:hint="eastAsia" w:ascii="Times New Roman" w:hAnsi="Times New Roman" w:eastAsia="宋体" w:cs="Times New Roman"/>
          <w:color w:val="000000"/>
          <w:sz w:val="24"/>
          <w:lang w:val="en-US" w:eastAsia="zh-CN"/>
        </w:rPr>
        <w:t>、更换生物除臭塔填料</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"http://nmj.bynr.gov.cn/nmyw/yzjs/202602/t20260205_53879.html"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。对外露管道、接口、阀门进行防冻保温处理，防止冻裂泄漏</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"http://nmj.bynr.gov.cn/nmyw/yzjs/202602/t20260205_53879.html"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。对老化、破损部件应立即更换</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"http://nmj.bynr.gov.cn/nmyw/yzjs/202602/t20260205_53879.html"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。同时，确保有限空间的盖板、围栏完好，防止人员坠落</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"http://www.agri.cn//zt/2024/rouya/ryzcxw/ryyzzc/202507/t20250731_8754806.htm"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"http://nyncj.gz.gov.cn/zw/zfxxgk/zfxxgkml/zfxxgkml/gzdt/content/post_10796638.html"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0559C818">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（2）</w:t>
      </w:r>
      <w:r>
        <w:rPr>
          <w:rFonts w:hint="default" w:ascii="Times New Roman" w:hAnsi="Times New Roman" w:eastAsia="宋体" w:cs="Times New Roman"/>
          <w:color w:val="000000"/>
          <w:sz w:val="24"/>
          <w:lang w:val="en-US" w:eastAsia="zh-CN"/>
        </w:rPr>
        <w:t>作业规范：严守</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先通风、再检测、后作业</w:t>
      </w:r>
      <w:r>
        <w:rPr>
          <w:rFonts w:hint="eastAsia" w:cs="Times New Roman"/>
          <w:color w:val="000000"/>
          <w:sz w:val="24"/>
          <w:lang w:val="en-US" w:eastAsia="zh-CN"/>
        </w:rPr>
        <w:t>”</w:t>
      </w:r>
      <w:r>
        <w:rPr>
          <w:rFonts w:hint="default" w:ascii="Times New Roman" w:hAnsi="Times New Roman" w:eastAsia="宋体" w:cs="Times New Roman"/>
          <w:color w:val="000000"/>
          <w:sz w:val="24"/>
          <w:lang w:val="en-US" w:eastAsia="zh-CN"/>
        </w:rPr>
        <w:t>铁律</w:t>
      </w:r>
    </w:p>
    <w:p w14:paraId="680A6145">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在进入化粪池、</w:t>
      </w:r>
      <w:r>
        <w:rPr>
          <w:rFonts w:hint="eastAsia" w:ascii="Times New Roman" w:hAnsi="Times New Roman" w:eastAsia="宋体" w:cs="Times New Roman"/>
          <w:color w:val="000000"/>
          <w:sz w:val="24"/>
          <w:lang w:val="en-US" w:eastAsia="zh-CN"/>
        </w:rPr>
        <w:t>尿液收集池</w:t>
      </w:r>
      <w:r>
        <w:rPr>
          <w:rFonts w:hint="default" w:ascii="Times New Roman" w:hAnsi="Times New Roman" w:eastAsia="宋体" w:cs="Times New Roman"/>
          <w:color w:val="000000"/>
          <w:sz w:val="24"/>
          <w:lang w:val="en-US" w:eastAsia="zh-CN"/>
        </w:rPr>
        <w:t>等有限空间作业时（如清池、检修），必须严格遵守以下规程</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"http://nmj.bynr.gov.cn/nmyw/yzjs/202602/t20260205_53879.html"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"http://nyncj.gz.gov.cn/zw/zfxxgk/zfxxgkml/zfxxgkml/gzdt/content/post_10796638.html"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23486999">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作业审批：任何有限空间作业都必须经过审批</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"http://xmzx.taian.gov.cn/art/2026/4/22/art_50919_10288852.html"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37A80CC6">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物资储备：备齐安全帽、安全绳、防爆照明等防护用品，配备便携式气体检测仪</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"http://www.agri.cn//zt/2024/rouya/ryzcxw/ryyzzc/202507/t20250731_8754806.htm"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032E930C">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人员培训：作业人员必须经过专业培训，了解危害、操作规程和急救知识</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"http://www.agri.cn//zt/2024/rouya/ryzcxw/ryyzzc/202507/t20250731_8754806.htm"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"https://society.yunnan.cn/system/2025/05/30/033498840.shtml"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085B0A3E">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充分通风：作业前，必须提前30分钟以上进行强制或自然通风</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"http://nmj.bynr.gov.cn/nmyw/yzjs/202602/t20260205_53879.html"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"http://nyncj.gz.gov.cn/zw/zfxxgk/zfxxgkml/zfxxgkml/gzdt/content/post_10796638.html"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674E1D19">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严格检测：通风后，使用专业设备检测有限空间内的硫化氢、氨气、甲烷和氧气浓度</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"http://nyncj.gz.gov.cn/zw/zfxxgk/zfxxgkml/zfxxgkml/gzdt/content/post_10796638.html"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。只有确认各项指标安全后方可进入</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0F9E6313">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做好防护与监护：作业人员必须正确佩戴正压式空气呼吸器（严禁仅用普通防毒面具）</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、安全绳和安全帽等</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"http://www.agri.cn//zt/2024/rouya/ryzcxw/ryyzzc/202507/t20250731_8754806.htm"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"https://society.yunnan.cn/system/2025/05/30/033498840.shtml"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。现场必须设置至少2名专职监护人员，全程监护并与作业人员保持联络</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"https://society.yunnan.cn/system/2025/05/30/033498840.shtml"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784C9176">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作业区域周边应设置安全隔离和醒目的警示标识</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723B73AA">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（3）</w:t>
      </w:r>
      <w:r>
        <w:rPr>
          <w:rFonts w:hint="default" w:ascii="Times New Roman" w:hAnsi="Times New Roman" w:eastAsia="宋体" w:cs="Times New Roman"/>
          <w:color w:val="000000"/>
          <w:sz w:val="24"/>
          <w:lang w:val="en-US" w:eastAsia="zh-CN"/>
        </w:rPr>
        <w:t>应急管理：预案、演练与科学施救</w:t>
      </w:r>
    </w:p>
    <w:p w14:paraId="3BCFFB4D">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制定预案：制定详细的应急救援预案，明确组织机构、职责、响应流程和物资清单</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65E4A81C">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定期演练：至少每季度组织一次实战演练，提升应急处置能力</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"http://nynct.gxzf.gov.cn/xwdt/gxlb/wz/t26624301.shtml"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04FFD732">
      <w:pPr>
        <w:pageBreakBefore w:val="0"/>
        <w:kinsoku/>
        <w:wordWrap/>
        <w:topLinePunct w:val="0"/>
        <w:autoSpaceDE/>
        <w:autoSpaceDN/>
        <w:bidi w:val="0"/>
        <w:adjustRightInd/>
        <w:snapToGrid/>
        <w:spacing w:line="360" w:lineRule="auto"/>
        <w:ind w:firstLine="480" w:firstLineChars="200"/>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配备物资：作业现场需配备急救箱、有毒气体检测仪、救援三脚架等应急装备</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"http://nynct.gxzf.gov.cn/xwdt/gxlb/wz/t26624301.shtml"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7FAC7439">
      <w:pPr>
        <w:pageBreakBefore w:val="0"/>
        <w:kinsoku/>
        <w:wordWrap/>
        <w:topLinePunct w:val="0"/>
        <w:autoSpaceDE/>
        <w:autoSpaceDN/>
        <w:bidi w:val="0"/>
        <w:adjustRightInd/>
        <w:snapToGrid/>
        <w:spacing w:line="360" w:lineRule="auto"/>
        <w:ind w:firstLine="480" w:firstLineChars="200"/>
        <w:rPr>
          <w:rFonts w:hint="default"/>
        </w:rPr>
      </w:pPr>
      <w:r>
        <w:rPr>
          <w:rFonts w:hint="default" w:ascii="Times New Roman" w:hAnsi="Times New Roman" w:eastAsia="宋体" w:cs="Times New Roman"/>
          <w:color w:val="000000"/>
          <w:sz w:val="24"/>
          <w:lang w:val="en-US" w:eastAsia="zh-CN"/>
        </w:rPr>
        <w:t>科学施救：严禁在无任何防护措施下盲目进入施救</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"http://xmzx.taian.gov.cn/art/2026/4/22/art_50919_10288852.html"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。发生事故后，应立即拨打120和119，由专业救援人员进行处置</w:t>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"https://nync.ln.gov.cn/nync/index/rdzt/cqfwzyhlyzl/2025110715520816622/index.shtml"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fldChar w:fldCharType="begin"/>
      </w:r>
      <w:r>
        <w:rPr>
          <w:rFonts w:hint="default" w:ascii="Times New Roman" w:hAnsi="Times New Roman" w:eastAsia="宋体" w:cs="Times New Roman"/>
          <w:color w:val="000000"/>
          <w:sz w:val="24"/>
          <w:lang w:val="en-US" w:eastAsia="zh-CN"/>
        </w:rPr>
        <w:instrText xml:space="preserve"> HYPERLINK "http://nynct.gxzf.gov.cn/xwdt/gxlb/wz/t26624301.shtml" \t "https://chat.deepseek.com/a/chat/s/_blank" </w:instrText>
      </w:r>
      <w:r>
        <w:rPr>
          <w:rFonts w:hint="default" w:ascii="Times New Roman" w:hAnsi="Times New Roman" w:eastAsia="宋体" w:cs="Times New Roman"/>
          <w:color w:val="000000"/>
          <w:sz w:val="24"/>
          <w:lang w:val="en-US" w:eastAsia="zh-CN"/>
        </w:rPr>
        <w:fldChar w:fldCharType="separate"/>
      </w:r>
      <w:r>
        <w:rPr>
          <w:rFonts w:hint="default" w:ascii="Times New Roman" w:hAnsi="Times New Roman" w:eastAsia="宋体" w:cs="Times New Roman"/>
          <w:color w:val="000000"/>
          <w:sz w:val="24"/>
          <w:lang w:val="en-US" w:eastAsia="zh-CN"/>
        </w:rPr>
        <w:fldChar w:fldCharType="end"/>
      </w:r>
      <w:r>
        <w:rPr>
          <w:rFonts w:hint="default" w:ascii="Times New Roman" w:hAnsi="Times New Roman" w:eastAsia="宋体" w:cs="Times New Roman"/>
          <w:color w:val="000000"/>
          <w:sz w:val="24"/>
          <w:lang w:val="en-US" w:eastAsia="zh-CN"/>
        </w:rPr>
        <w:t>。</w:t>
      </w:r>
    </w:p>
    <w:p w14:paraId="12D4EBD0">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color w:val="auto"/>
          <w:kern w:val="2"/>
          <w:sz w:val="28"/>
          <w:szCs w:val="28"/>
          <w:lang w:val="en-US" w:eastAsia="zh-CN" w:bidi="ar-SA"/>
        </w:rPr>
      </w:pPr>
      <w:bookmarkStart w:id="665" w:name="_Toc3186"/>
      <w:bookmarkStart w:id="666" w:name="_Toc14330"/>
      <w:r>
        <w:rPr>
          <w:rFonts w:hint="default" w:ascii="Times New Roman" w:hAnsi="Times New Roman" w:eastAsia="宋体" w:cs="Times New Roman"/>
          <w:b/>
          <w:bCs/>
          <w:color w:val="auto"/>
          <w:kern w:val="2"/>
          <w:sz w:val="28"/>
          <w:szCs w:val="28"/>
          <w:lang w:val="en-US" w:eastAsia="zh-CN" w:bidi="ar-SA"/>
        </w:rPr>
        <w:t>6.4.</w:t>
      </w:r>
      <w:r>
        <w:rPr>
          <w:rFonts w:hint="eastAsia" w:cs="Times New Roman"/>
          <w:b/>
          <w:bCs/>
          <w:color w:val="auto"/>
          <w:kern w:val="2"/>
          <w:sz w:val="28"/>
          <w:szCs w:val="28"/>
          <w:lang w:val="en-US" w:eastAsia="zh-CN" w:bidi="ar-SA"/>
        </w:rPr>
        <w:t>7</w:t>
      </w:r>
      <w:r>
        <w:rPr>
          <w:rFonts w:hint="default" w:ascii="Times New Roman" w:hAnsi="Times New Roman" w:eastAsia="宋体" w:cs="Times New Roman"/>
          <w:b/>
          <w:bCs/>
          <w:color w:val="auto"/>
          <w:kern w:val="2"/>
          <w:sz w:val="28"/>
          <w:szCs w:val="28"/>
          <w:lang w:val="en-US" w:eastAsia="zh-CN" w:bidi="ar-SA"/>
        </w:rPr>
        <w:t>废水污染地下水风险防治措施</w:t>
      </w:r>
      <w:bookmarkEnd w:id="665"/>
      <w:bookmarkEnd w:id="666"/>
    </w:p>
    <w:p w14:paraId="1B1BB7A6">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项目区</w:t>
      </w:r>
      <w:r>
        <w:rPr>
          <w:rFonts w:hint="default" w:ascii="Times New Roman" w:hAnsi="Times New Roman" w:eastAsia="宋体" w:cs="Times New Roman"/>
          <w:color w:val="000000"/>
          <w:sz w:val="24"/>
        </w:rPr>
        <w:t>废水处理设施发生的事故多为操作运行不当，或污染物浓度突然变化，致使污水处理效果下降。废水事故排放情况下，将对地下水</w:t>
      </w: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土壤</w:t>
      </w:r>
      <w:r>
        <w:rPr>
          <w:rFonts w:hint="default" w:ascii="Times New Roman" w:hAnsi="Times New Roman" w:eastAsia="宋体" w:cs="Times New Roman"/>
          <w:color w:val="000000"/>
          <w:sz w:val="24"/>
        </w:rPr>
        <w:t>造成影响。</w:t>
      </w:r>
    </w:p>
    <w:p w14:paraId="64032E53">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（1）</w:t>
      </w:r>
      <w:r>
        <w:rPr>
          <w:rFonts w:hint="eastAsia" w:ascii="Times New Roman" w:hAnsi="Times New Roman" w:eastAsia="宋体" w:cs="Times New Roman"/>
          <w:color w:val="000000"/>
          <w:sz w:val="24"/>
          <w:lang w:val="en-US" w:eastAsia="zh-CN"/>
        </w:rPr>
        <w:t>尿液收集池</w:t>
      </w:r>
      <w:r>
        <w:rPr>
          <w:rFonts w:hint="default" w:ascii="Times New Roman" w:hAnsi="Times New Roman" w:eastAsia="宋体" w:cs="Times New Roman"/>
          <w:color w:val="000000"/>
          <w:sz w:val="24"/>
          <w:lang w:val="en-US" w:eastAsia="zh-CN"/>
        </w:rPr>
        <w:t>运行故障或泄漏事故</w:t>
      </w:r>
    </w:p>
    <w:p w14:paraId="6D2C9F15">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val="en-US" w:eastAsia="zh-CN"/>
        </w:rPr>
        <w:t>本项目建设有</w:t>
      </w:r>
      <w:r>
        <w:rPr>
          <w:rFonts w:hint="eastAsia" w:cs="Times New Roman"/>
          <w:color w:val="000000"/>
          <w:sz w:val="24"/>
          <w:lang w:val="en-US" w:eastAsia="zh-CN"/>
        </w:rPr>
        <w:t>10</w:t>
      </w:r>
      <w:r>
        <w:rPr>
          <w:rFonts w:hint="default" w:ascii="Times New Roman" w:hAnsi="Times New Roman" w:eastAsia="宋体" w:cs="Times New Roman"/>
          <w:color w:val="000000"/>
          <w:sz w:val="24"/>
          <w:lang w:val="en-US" w:eastAsia="zh-CN"/>
        </w:rPr>
        <w:t>座</w:t>
      </w:r>
      <w:r>
        <w:rPr>
          <w:rFonts w:hint="eastAsia" w:ascii="Times New Roman" w:hAnsi="Times New Roman" w:eastAsia="宋体" w:cs="Times New Roman"/>
          <w:color w:val="000000"/>
          <w:sz w:val="24"/>
          <w:lang w:val="en-US" w:eastAsia="zh-CN"/>
        </w:rPr>
        <w:t>尿液收集池，作为牛圈发酵床管理不善液体收集池，日常基本无水</w:t>
      </w:r>
      <w:r>
        <w:rPr>
          <w:rFonts w:hint="default" w:ascii="Times New Roman" w:hAnsi="Times New Roman" w:eastAsia="宋体" w:cs="Times New Roman"/>
          <w:color w:val="000000"/>
          <w:sz w:val="24"/>
          <w:lang w:val="en-US" w:eastAsia="zh-CN"/>
        </w:rPr>
        <w:t>，由于本项目废水类别来源相对简单，</w:t>
      </w:r>
      <w:r>
        <w:rPr>
          <w:rFonts w:hint="default" w:ascii="Times New Roman" w:hAnsi="Times New Roman" w:eastAsia="宋体" w:cs="Times New Roman"/>
          <w:color w:val="000000"/>
          <w:sz w:val="24"/>
        </w:rPr>
        <w:t>废水事故可及时停机并处理完毕</w:t>
      </w:r>
      <w:r>
        <w:rPr>
          <w:rFonts w:hint="default" w:ascii="Times New Roman" w:hAnsi="Times New Roman" w:eastAsia="宋体" w:cs="Times New Roman"/>
          <w:color w:val="000000"/>
          <w:sz w:val="24"/>
          <w:lang w:eastAsia="zh-CN"/>
        </w:rPr>
        <w:t>。</w:t>
      </w:r>
    </w:p>
    <w:p w14:paraId="481F0E10">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（2）管道破裂</w:t>
      </w:r>
    </w:p>
    <w:p w14:paraId="44E8CEDC">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一旦发生管道破裂造成的废水事故排放时，用沙土采取临时围挡措施，并及时检修，待故障解除后，方可恢复生产。</w:t>
      </w:r>
    </w:p>
    <w:p w14:paraId="171874FF">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lang w:val="en-US" w:eastAsia="zh-CN"/>
        </w:rPr>
        <w:t>定期巡视和检查，发现破损、渗漏的现象及时停用相应设施；定</w:t>
      </w:r>
      <w:r>
        <w:rPr>
          <w:rFonts w:hint="default" w:ascii="Times New Roman" w:hAnsi="Times New Roman" w:eastAsia="宋体" w:cs="Times New Roman"/>
          <w:color w:val="000000"/>
          <w:sz w:val="24"/>
        </w:rPr>
        <w:t>期对设置的地下水观测井进行水质监测，发现水质异常，及时查找原因，处理事故。</w:t>
      </w:r>
    </w:p>
    <w:p w14:paraId="68C20ECB">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项目养殖场</w:t>
      </w:r>
      <w:r>
        <w:rPr>
          <w:rFonts w:hint="eastAsia" w:cs="Times New Roman"/>
          <w:color w:val="000000"/>
          <w:sz w:val="24"/>
          <w:lang w:val="en-US" w:eastAsia="zh-CN"/>
        </w:rPr>
        <w:t>运动场</w:t>
      </w:r>
      <w:r>
        <w:rPr>
          <w:rFonts w:hint="default" w:ascii="Times New Roman" w:hAnsi="Times New Roman" w:eastAsia="宋体" w:cs="Times New Roman"/>
          <w:color w:val="000000"/>
          <w:sz w:val="24"/>
        </w:rPr>
        <w:t>、</w:t>
      </w:r>
      <w:r>
        <w:rPr>
          <w:rFonts w:hint="eastAsia" w:ascii="Times New Roman" w:hAnsi="Times New Roman" w:eastAsia="宋体" w:cs="Times New Roman"/>
          <w:color w:val="000000"/>
          <w:sz w:val="24"/>
          <w:lang w:val="en-US" w:eastAsia="zh-CN"/>
        </w:rPr>
        <w:t>收集池</w:t>
      </w:r>
      <w:r>
        <w:rPr>
          <w:rFonts w:hint="default" w:ascii="Times New Roman" w:hAnsi="Times New Roman" w:eastAsia="宋体" w:cs="Times New Roman"/>
          <w:color w:val="000000"/>
          <w:sz w:val="24"/>
        </w:rPr>
        <w:t>必须做好地面硬化防渗处理</w:t>
      </w:r>
      <w:r>
        <w:rPr>
          <w:rFonts w:hint="eastAsia" w:ascii="Times New Roman" w:hAnsi="Times New Roman" w:eastAsia="宋体" w:cs="Times New Roman"/>
          <w:sz w:val="24"/>
          <w:lang w:eastAsia="zh-CN"/>
        </w:rPr>
        <w:t>和覆膜处理</w:t>
      </w:r>
      <w:r>
        <w:rPr>
          <w:rFonts w:hint="default" w:ascii="Times New Roman" w:hAnsi="Times New Roman" w:eastAsia="宋体" w:cs="Times New Roman"/>
          <w:color w:val="000000"/>
          <w:sz w:val="24"/>
        </w:rPr>
        <w:t>，否则可能造成养殖场废水下渗污染项目区地下水环境。</w:t>
      </w:r>
    </w:p>
    <w:p w14:paraId="14EB8177">
      <w:pPr>
        <w:pageBreakBefore w:val="0"/>
        <w:kinsoku/>
        <w:wordWrap/>
        <w:topLinePunct w:val="0"/>
        <w:autoSpaceDE/>
        <w:autoSpaceDN/>
        <w:bidi w:val="0"/>
        <w:adjustRightInd/>
        <w:snapToGrid/>
        <w:spacing w:line="360" w:lineRule="auto"/>
        <w:ind w:firstLine="480" w:firstLineChars="20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地下水污染防治措施除了严格养殖场饲料进料关，禁止有害饲料、农药及重金属污染饲料、霉烂变质饲料进场外，还要严格控制农田</w:t>
      </w:r>
      <w:r>
        <w:rPr>
          <w:rFonts w:hint="eastAsia" w:ascii="Times New Roman" w:hAnsi="Times New Roman" w:eastAsia="宋体" w:cs="Times New Roman"/>
          <w:color w:val="000000"/>
          <w:sz w:val="24"/>
          <w:lang w:val="en-US" w:eastAsia="zh-CN"/>
        </w:rPr>
        <w:t>消纳</w:t>
      </w:r>
      <w:r>
        <w:rPr>
          <w:rFonts w:hint="default" w:ascii="Times New Roman" w:hAnsi="Times New Roman" w:eastAsia="宋体" w:cs="Times New Roman"/>
          <w:color w:val="000000"/>
          <w:sz w:val="24"/>
        </w:rPr>
        <w:t>定额，避免大水漫灌。另外，严格污水处理设施的防渗设计要求和严格按照规范施工，防止污水渗漏也可以有效防止养殖场废水对地下水的污染。</w:t>
      </w:r>
    </w:p>
    <w:p w14:paraId="2C61747D">
      <w:pPr>
        <w:keepNext w:val="0"/>
        <w:keepLines w:val="0"/>
        <w:pageBreakBefore w:val="0"/>
        <w:widowControl w:val="0"/>
        <w:numPr>
          <w:ilvl w:val="2"/>
          <w:numId w:val="0"/>
        </w:numPr>
        <w:kinsoku/>
        <w:wordWrap/>
        <w:topLinePunct w:val="0"/>
        <w:autoSpaceDE/>
        <w:autoSpaceDN/>
        <w:bidi w:val="0"/>
        <w:adjustRightInd/>
        <w:snapToGrid/>
        <w:spacing w:before="0" w:after="0" w:line="360" w:lineRule="auto"/>
        <w:ind w:leftChars="0"/>
        <w:jc w:val="both"/>
        <w:outlineLvl w:val="2"/>
        <w:rPr>
          <w:rFonts w:hint="default" w:ascii="Times New Roman" w:hAnsi="Times New Roman" w:eastAsia="宋体" w:cs="Times New Roman"/>
          <w:b/>
          <w:bCs/>
          <w:color w:val="auto"/>
          <w:kern w:val="2"/>
          <w:sz w:val="28"/>
          <w:szCs w:val="28"/>
          <w:lang w:val="en-US" w:eastAsia="zh-CN" w:bidi="ar-SA"/>
        </w:rPr>
      </w:pPr>
      <w:bookmarkStart w:id="667" w:name="_Toc4770660"/>
      <w:bookmarkStart w:id="668" w:name="_Toc32355_WPSOffice_Level3"/>
      <w:r>
        <w:rPr>
          <w:rFonts w:hint="eastAsia" w:ascii="Times New Roman" w:hAnsi="Times New Roman" w:eastAsia="宋体" w:cs="Times New Roman"/>
          <w:b/>
          <w:bCs/>
          <w:kern w:val="2"/>
          <w:sz w:val="28"/>
          <w:szCs w:val="28"/>
          <w:lang w:val="en-US" w:eastAsia="zh-CN" w:bidi="ar-SA"/>
        </w:rPr>
        <w:t>6.4.</w:t>
      </w:r>
      <w:bookmarkEnd w:id="667"/>
      <w:bookmarkEnd w:id="668"/>
      <w:bookmarkStart w:id="669" w:name="_Toc16227"/>
      <w:bookmarkStart w:id="670" w:name="_Toc22810"/>
      <w:r>
        <w:rPr>
          <w:rFonts w:hint="eastAsia" w:cs="Times New Roman"/>
          <w:b/>
          <w:bCs/>
          <w:kern w:val="2"/>
          <w:sz w:val="28"/>
          <w:szCs w:val="28"/>
          <w:lang w:val="en-US" w:eastAsia="zh-CN" w:bidi="ar-SA"/>
        </w:rPr>
        <w:t>8</w:t>
      </w:r>
      <w:r>
        <w:rPr>
          <w:rFonts w:hint="default" w:ascii="Times New Roman" w:hAnsi="Times New Roman" w:eastAsia="宋体" w:cs="Times New Roman"/>
          <w:b/>
          <w:bCs/>
          <w:color w:val="auto"/>
          <w:kern w:val="2"/>
          <w:sz w:val="28"/>
          <w:szCs w:val="28"/>
          <w:lang w:val="en-US" w:eastAsia="zh-CN" w:bidi="ar-SA"/>
        </w:rPr>
        <w:t>火灾事故风险防范措施</w:t>
      </w:r>
      <w:bookmarkEnd w:id="669"/>
      <w:bookmarkEnd w:id="670"/>
    </w:p>
    <w:p w14:paraId="3D7BB36F">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项目为</w:t>
      </w:r>
      <w:r>
        <w:rPr>
          <w:rFonts w:hint="eastAsia" w:ascii="Times New Roman" w:hAnsi="Times New Roman" w:eastAsia="宋体" w:cs="Times New Roman"/>
          <w:color w:val="auto"/>
          <w:sz w:val="24"/>
          <w:lang w:val="en-US" w:eastAsia="zh-CN"/>
        </w:rPr>
        <w:t>规模化肉牛</w:t>
      </w:r>
      <w:r>
        <w:rPr>
          <w:rFonts w:hint="default" w:ascii="Times New Roman" w:hAnsi="Times New Roman" w:eastAsia="宋体" w:cs="Times New Roman"/>
          <w:color w:val="auto"/>
          <w:sz w:val="24"/>
        </w:rPr>
        <w:t>养殖，养殖场日常运行和工作人员生活存在发生火灾事故的风险，另外，养殖场内的电线短路也可能引起火灾。</w:t>
      </w:r>
    </w:p>
    <w:p w14:paraId="26A1FCE1">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养殖场管理部门负责做好公司内的消防安全工作。贯彻执行消防法规，规定公司消防管理及场区车辆交通管理制度。</w:t>
      </w:r>
    </w:p>
    <w:p w14:paraId="1C8D5FB0">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本项目为</w:t>
      </w:r>
      <w:r>
        <w:rPr>
          <w:rFonts w:hint="eastAsia" w:ascii="Times New Roman" w:hAnsi="Times New Roman" w:eastAsia="宋体" w:cs="Times New Roman"/>
          <w:color w:val="auto"/>
          <w:sz w:val="24"/>
          <w:lang w:val="en-US" w:eastAsia="zh-CN"/>
        </w:rPr>
        <w:t>规模化肉牛</w:t>
      </w:r>
      <w:r>
        <w:rPr>
          <w:rFonts w:hint="default" w:ascii="Times New Roman" w:hAnsi="Times New Roman" w:eastAsia="宋体" w:cs="Times New Roman"/>
          <w:color w:val="auto"/>
          <w:sz w:val="24"/>
        </w:rPr>
        <w:t>养殖，按防火的相关规定设计消防水池、</w:t>
      </w:r>
      <w:r>
        <w:rPr>
          <w:rFonts w:hint="eastAsia" w:ascii="Times New Roman" w:hAnsi="Times New Roman" w:eastAsia="宋体" w:cs="Times New Roman"/>
          <w:color w:val="auto"/>
          <w:sz w:val="24"/>
          <w:lang w:val="en-US" w:eastAsia="zh-CN"/>
        </w:rPr>
        <w:t>牛圈</w:t>
      </w:r>
      <w:r>
        <w:rPr>
          <w:rFonts w:hint="eastAsia" w:ascii="Times New Roman" w:hAnsi="Times New Roman" w:eastAsia="宋体" w:cs="Times New Roman"/>
          <w:color w:val="auto"/>
          <w:sz w:val="24"/>
          <w:lang w:eastAsia="zh-CN"/>
        </w:rPr>
        <w:t>安放</w:t>
      </w:r>
      <w:r>
        <w:rPr>
          <w:rFonts w:hint="default" w:ascii="Times New Roman" w:hAnsi="Times New Roman" w:eastAsia="宋体" w:cs="Times New Roman"/>
          <w:color w:val="auto"/>
          <w:sz w:val="24"/>
        </w:rPr>
        <w:t>灭火器，定期对饲养管理人员进行消防培训和演练，对生产生活用火场所进行限制。养殖场电路严格按规范要求布设，电工每日对电路进行巡检，领导不定期进行抽检，可以避免电路短路造成的火灾事故。通过以上措施，养殖场火灾事故可避免。</w:t>
      </w:r>
    </w:p>
    <w:p w14:paraId="5DF6C227">
      <w:pPr>
        <w:pageBreakBefore w:val="0"/>
        <w:widowControl w:val="0"/>
        <w:kinsoku/>
        <w:wordWrap/>
        <w:topLinePunct w:val="0"/>
        <w:autoSpaceDE/>
        <w:autoSpaceDN/>
        <w:bidi w:val="0"/>
        <w:adjustRightInd/>
        <w:snapToGrid/>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671" w:name="_Toc26924"/>
      <w:bookmarkStart w:id="672" w:name="_Toc5475"/>
      <w:bookmarkStart w:id="673" w:name="_Toc186353906"/>
      <w:bookmarkStart w:id="674" w:name="_Toc17170"/>
      <w:bookmarkStart w:id="675" w:name="_Toc25343"/>
      <w:bookmarkStart w:id="676" w:name="_Toc6008"/>
      <w:bookmarkStart w:id="677" w:name="_Toc230620817"/>
      <w:bookmarkStart w:id="678" w:name="_Toc283901918"/>
      <w:bookmarkStart w:id="679" w:name="_Toc233464615"/>
      <w:bookmarkStart w:id="680" w:name="_Toc204668148"/>
      <w:bookmarkStart w:id="681" w:name="_Toc19640"/>
      <w:r>
        <w:rPr>
          <w:rFonts w:hint="default" w:ascii="Times New Roman" w:hAnsi="Times New Roman" w:eastAsia="宋体" w:cs="Times New Roman"/>
          <w:b/>
          <w:bCs/>
          <w:kern w:val="2"/>
          <w:sz w:val="30"/>
          <w:szCs w:val="30"/>
          <w:lang w:val="en-US" w:eastAsia="zh-CN" w:bidi="ar-SA"/>
        </w:rPr>
        <w:t>6.5应急预案</w:t>
      </w:r>
      <w:bookmarkEnd w:id="671"/>
      <w:bookmarkEnd w:id="672"/>
      <w:bookmarkEnd w:id="673"/>
      <w:bookmarkEnd w:id="674"/>
      <w:bookmarkEnd w:id="675"/>
      <w:bookmarkEnd w:id="676"/>
      <w:bookmarkEnd w:id="677"/>
      <w:bookmarkEnd w:id="678"/>
      <w:bookmarkEnd w:id="679"/>
      <w:bookmarkEnd w:id="680"/>
      <w:bookmarkEnd w:id="681"/>
    </w:p>
    <w:bookmarkEnd w:id="644"/>
    <w:bookmarkEnd w:id="645"/>
    <w:p w14:paraId="123CD413">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发病率或者死亡率高的动物</w:t>
      </w:r>
      <w:r>
        <w:rPr>
          <w:rFonts w:hint="eastAsia" w:ascii="Times New Roman" w:hAnsi="Times New Roman" w:eastAsia="宋体" w:cs="Times New Roman"/>
          <w:sz w:val="24"/>
          <w:lang w:eastAsia="zh-CN"/>
        </w:rPr>
        <w:t>疫情</w:t>
      </w:r>
      <w:r>
        <w:rPr>
          <w:rFonts w:hint="default" w:ascii="Times New Roman" w:hAnsi="Times New Roman" w:eastAsia="宋体" w:cs="Times New Roman"/>
          <w:sz w:val="24"/>
        </w:rPr>
        <w:t>突然发生，迅速传播，给养殖业生产安全造成严重威胁、危害，以及可能对公众身体健康与生命安全造成危害的重大动物疫情，为了迅速控制、扑灭疫情，保障养殖业生产安全，保护公众身体健康与生命安全，维护正常的社会秩序，根据《中华人民共和国动物防疫法》，应制定重大动物疫情应急预案，建立应急反应体系，重大动物疫情应急工作按照属地管理的原则，实行政府统一领导、部门分工负责，逐级建立责任制。根据《国家突发公共卫生事件应急预案</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突发公共卫生事件应急条例</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新疆维吾尔自治区动物防疫条例</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重大动物疫情应急条例</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农业部门应对</w:t>
      </w:r>
      <w:r>
        <w:rPr>
          <w:rFonts w:hint="eastAsia" w:ascii="Times New Roman" w:hAnsi="Times New Roman" w:eastAsia="宋体" w:cs="Times New Roman"/>
          <w:sz w:val="24"/>
          <w:lang w:eastAsia="zh-CN"/>
        </w:rPr>
        <w:t>人畜</w:t>
      </w:r>
      <w:r>
        <w:rPr>
          <w:rFonts w:hint="default" w:ascii="Times New Roman" w:hAnsi="Times New Roman" w:eastAsia="宋体" w:cs="Times New Roman"/>
          <w:sz w:val="24"/>
        </w:rPr>
        <w:t>发生高致病性禽流感疫情应急预案》等规定。本项目</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群疫情应急处置方案如下：</w:t>
      </w:r>
    </w:p>
    <w:p w14:paraId="04764D08">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（1）任何单位和个人发现疑似病</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，应当及时向当地动物防疫监督机构（疫控中心）报告。动物防疫监督机构接到疫情报告并确认后，按《动物疫情报告管理办法》及有关规定及时上报。</w:t>
      </w:r>
    </w:p>
    <w:p w14:paraId="7F136D1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（2）当发现疑似疫情时，畜主应采取限制动物移动；对疑似患病动物立即进行隔离。</w:t>
      </w:r>
    </w:p>
    <w:p w14:paraId="60BA3CF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（3）动物防疫监督机构（疫控中心）应及时派员到现场进行调查核实，采集样品送实验室诊断。确诊后，当地人民政府组织有关部门按下列要求处理</w:t>
      </w:r>
      <w:r>
        <w:rPr>
          <w:rFonts w:hint="default" w:ascii="Times New Roman" w:hAnsi="Times New Roman" w:eastAsia="宋体" w:cs="Times New Roman"/>
          <w:sz w:val="24"/>
          <w:lang w:eastAsia="zh-CN"/>
        </w:rPr>
        <w:t>。</w:t>
      </w:r>
    </w:p>
    <w:p w14:paraId="47CF61D9">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（4）对患病动物全部进行扑杀。病死</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尸体含大量病原体，只有及时经过无害化处理，才能防止疫病的传播与流行，严禁随意丢弃、出售或作为饲料，根据病症种类的性质不同，按《畜禽病害肉尸</w:t>
      </w:r>
      <w:r>
        <w:rPr>
          <w:rFonts w:hint="eastAsia" w:ascii="Times New Roman" w:hAnsi="Times New Roman" w:eastAsia="宋体" w:cs="Times New Roman"/>
          <w:sz w:val="24"/>
          <w:lang w:eastAsia="zh-CN"/>
        </w:rPr>
        <w:t>与其</w:t>
      </w:r>
      <w:r>
        <w:rPr>
          <w:rFonts w:hint="default" w:ascii="Times New Roman" w:hAnsi="Times New Roman" w:eastAsia="宋体" w:cs="Times New Roman"/>
          <w:sz w:val="24"/>
        </w:rPr>
        <w:t>产品无公害化处理规程》进行无害化处理或销毁。医疗固废及时交由医疗废物集中处置单位监督统一处理。</w:t>
      </w:r>
    </w:p>
    <w:p w14:paraId="16CBAC93">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（5）对疫区内受威胁的畜群（同群畜）实施隔离、观察。</w:t>
      </w:r>
    </w:p>
    <w:p w14:paraId="3F8D616D">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（6）对病死和扑杀的病畜，进行无害化处理。</w:t>
      </w:r>
    </w:p>
    <w:p w14:paraId="6FE15BEF">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（7）开展流行病学调查和疫源追踪；对同群动物进行检测。</w:t>
      </w:r>
    </w:p>
    <w:p w14:paraId="45A49DDE">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8）对病畜和阳性畜污染的场所、用具、物品进行严格消毒。饲养场的金属设施、设备可采取火焰、熏蒸等方式消毒；养畜场的圈舍、场地、车辆等，可选用2%烧碱等有效消毒药消毒；饲养场的饲料、垫料可采取深埋发酵处理或焚烧处理；粪便采取堆积密封发酵方式，以及</w:t>
      </w:r>
      <w:r>
        <w:rPr>
          <w:rFonts w:hint="eastAsia" w:ascii="Times New Roman" w:hAnsi="Times New Roman" w:eastAsia="宋体" w:cs="Times New Roman"/>
          <w:sz w:val="24"/>
          <w:lang w:eastAsia="zh-CN"/>
        </w:rPr>
        <w:t>其他</w:t>
      </w:r>
      <w:r>
        <w:rPr>
          <w:rFonts w:hint="default" w:ascii="Times New Roman" w:hAnsi="Times New Roman" w:eastAsia="宋体" w:cs="Times New Roman"/>
          <w:sz w:val="24"/>
        </w:rPr>
        <w:t>相应的有效消毒方式。</w:t>
      </w:r>
    </w:p>
    <w:p w14:paraId="57D2B814">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（9）发生重大疫情时，当地县级以上人民政府应按照《重大动物疫情应急条例》有关规定，采取相应的疫情扑灭措施。</w:t>
      </w:r>
    </w:p>
    <w:p w14:paraId="6B9B4FA7">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（10）在预防与控制结核病方面应</w:t>
      </w:r>
      <w:r>
        <w:rPr>
          <w:rFonts w:hint="eastAsia" w:ascii="Times New Roman" w:hAnsi="Times New Roman" w:eastAsia="宋体" w:cs="Times New Roman"/>
          <w:sz w:val="24"/>
          <w:lang w:eastAsia="zh-CN"/>
        </w:rPr>
        <w:t>采取</w:t>
      </w:r>
      <w:r>
        <w:rPr>
          <w:rFonts w:hint="eastAsia" w:cs="Times New Roman"/>
          <w:sz w:val="24"/>
          <w:lang w:eastAsia="zh-CN"/>
        </w:rPr>
        <w:t>“</w:t>
      </w:r>
      <w:r>
        <w:rPr>
          <w:rFonts w:hint="default" w:ascii="Times New Roman" w:hAnsi="Times New Roman" w:eastAsia="宋体" w:cs="Times New Roman"/>
          <w:sz w:val="24"/>
        </w:rPr>
        <w:t>监测、检疫、扑杀和消毒</w:t>
      </w:r>
      <w:r>
        <w:rPr>
          <w:rFonts w:hint="eastAsia" w:cs="Times New Roman"/>
          <w:sz w:val="24"/>
          <w:lang w:eastAsia="zh-CN"/>
        </w:rPr>
        <w:t>”</w:t>
      </w:r>
      <w:r>
        <w:rPr>
          <w:rFonts w:hint="default" w:ascii="Times New Roman" w:hAnsi="Times New Roman" w:eastAsia="宋体" w:cs="Times New Roman"/>
          <w:sz w:val="24"/>
        </w:rPr>
        <w:t>相结合的综合性防治措施。</w:t>
      </w:r>
    </w:p>
    <w:p w14:paraId="1512C522">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编制的应急预案主要应包括的内容汇总见下表</w:t>
      </w:r>
      <w:r>
        <w:rPr>
          <w:rFonts w:hint="default" w:ascii="Times New Roman" w:hAnsi="Times New Roman" w:eastAsia="宋体" w:cs="Times New Roman"/>
          <w:sz w:val="24"/>
          <w:lang w:val="en-US" w:eastAsia="zh-CN"/>
        </w:rPr>
        <w:t>6.5-1</w:t>
      </w:r>
      <w:r>
        <w:rPr>
          <w:rFonts w:hint="default" w:ascii="Times New Roman" w:hAnsi="Times New Roman" w:eastAsia="宋体" w:cs="Times New Roman"/>
          <w:sz w:val="24"/>
        </w:rPr>
        <w:t>。</w:t>
      </w:r>
    </w:p>
    <w:p w14:paraId="6DBB92BC">
      <w:pPr>
        <w:pageBreakBefore w:val="0"/>
        <w:widowControl w:val="0"/>
        <w:kinsoku/>
        <w:wordWrap/>
        <w:topLinePunct w:val="0"/>
        <w:autoSpaceDE/>
        <w:autoSpaceDN/>
        <w:bidi w:val="0"/>
        <w:adjustRightInd/>
        <w:snapToGrid/>
        <w:spacing w:beforeAutospacing="0" w:afterAutospacing="0" w:line="360" w:lineRule="auto"/>
        <w:jc w:val="center"/>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表6.5-1本项目环境风险应急预案一览表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48"/>
        <w:gridCol w:w="1961"/>
        <w:gridCol w:w="5995"/>
      </w:tblGrid>
      <w:tr w14:paraId="6A276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745B237A">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b/>
                <w:bCs/>
                <w:snapToGrid w:val="0"/>
                <w:color w:val="auto"/>
                <w:kern w:val="24"/>
                <w:sz w:val="21"/>
                <w:szCs w:val="21"/>
                <w:lang w:val="en-US" w:eastAsia="zh-CN" w:bidi="ar-SA"/>
              </w:rPr>
            </w:pPr>
            <w:r>
              <w:rPr>
                <w:rFonts w:hint="default" w:ascii="Times New Roman" w:hAnsi="Times New Roman" w:eastAsia="宋体" w:cs="Times New Roman"/>
                <w:b/>
                <w:bCs/>
                <w:snapToGrid w:val="0"/>
                <w:color w:val="auto"/>
                <w:kern w:val="24"/>
                <w:sz w:val="21"/>
                <w:szCs w:val="21"/>
                <w:lang w:val="en-US" w:eastAsia="zh-CN" w:bidi="ar-SA"/>
              </w:rPr>
              <w:t>序号</w:t>
            </w:r>
          </w:p>
        </w:tc>
        <w:tc>
          <w:tcPr>
            <w:tcW w:w="1961" w:type="dxa"/>
            <w:tcBorders>
              <w:tl2br w:val="nil"/>
              <w:tr2bl w:val="nil"/>
            </w:tcBorders>
            <w:noWrap w:val="0"/>
            <w:vAlign w:val="center"/>
          </w:tcPr>
          <w:p w14:paraId="092C6E20">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b/>
                <w:bCs/>
                <w:snapToGrid w:val="0"/>
                <w:color w:val="auto"/>
                <w:kern w:val="24"/>
                <w:sz w:val="21"/>
                <w:szCs w:val="21"/>
                <w:lang w:val="en-US" w:eastAsia="zh-CN" w:bidi="ar-SA"/>
              </w:rPr>
            </w:pPr>
            <w:r>
              <w:rPr>
                <w:rFonts w:hint="default" w:ascii="Times New Roman" w:hAnsi="Times New Roman" w:eastAsia="宋体" w:cs="Times New Roman"/>
                <w:b/>
                <w:bCs/>
                <w:snapToGrid w:val="0"/>
                <w:color w:val="auto"/>
                <w:kern w:val="24"/>
                <w:sz w:val="21"/>
                <w:szCs w:val="21"/>
                <w:lang w:val="en-US" w:eastAsia="zh-CN" w:bidi="ar-SA"/>
              </w:rPr>
              <w:t>项目</w:t>
            </w:r>
          </w:p>
        </w:tc>
        <w:tc>
          <w:tcPr>
            <w:tcW w:w="5995" w:type="dxa"/>
            <w:tcBorders>
              <w:tl2br w:val="nil"/>
              <w:tr2bl w:val="nil"/>
            </w:tcBorders>
            <w:noWrap w:val="0"/>
            <w:vAlign w:val="center"/>
          </w:tcPr>
          <w:p w14:paraId="1D1DE055">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b/>
                <w:bCs/>
                <w:snapToGrid w:val="0"/>
                <w:color w:val="auto"/>
                <w:kern w:val="24"/>
                <w:sz w:val="21"/>
                <w:szCs w:val="21"/>
                <w:lang w:val="en-US" w:eastAsia="zh-CN" w:bidi="ar-SA"/>
              </w:rPr>
            </w:pPr>
            <w:r>
              <w:rPr>
                <w:rFonts w:hint="default" w:ascii="Times New Roman" w:hAnsi="Times New Roman" w:eastAsia="宋体" w:cs="Times New Roman"/>
                <w:b/>
                <w:bCs/>
                <w:snapToGrid w:val="0"/>
                <w:color w:val="auto"/>
                <w:kern w:val="24"/>
                <w:sz w:val="21"/>
                <w:szCs w:val="21"/>
                <w:lang w:val="en-US" w:eastAsia="zh-CN" w:bidi="ar-SA"/>
              </w:rPr>
              <w:t>内容及要求</w:t>
            </w:r>
          </w:p>
        </w:tc>
      </w:tr>
      <w:tr w14:paraId="2B354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5FA288ED">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1</w:t>
            </w:r>
          </w:p>
        </w:tc>
        <w:tc>
          <w:tcPr>
            <w:tcW w:w="1961" w:type="dxa"/>
            <w:tcBorders>
              <w:tl2br w:val="nil"/>
              <w:tr2bl w:val="nil"/>
            </w:tcBorders>
            <w:noWrap w:val="0"/>
            <w:vAlign w:val="center"/>
          </w:tcPr>
          <w:p w14:paraId="542E9AF8">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应急计划区</w:t>
            </w:r>
          </w:p>
        </w:tc>
        <w:tc>
          <w:tcPr>
            <w:tcW w:w="5995" w:type="dxa"/>
            <w:tcBorders>
              <w:tl2br w:val="nil"/>
              <w:tr2bl w:val="nil"/>
            </w:tcBorders>
            <w:noWrap w:val="0"/>
            <w:vAlign w:val="center"/>
          </w:tcPr>
          <w:p w14:paraId="4B887421">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危险目标：发生疫情的地区、畜禽养殖场、畜禽舍、个体养殖户。</w:t>
            </w:r>
          </w:p>
          <w:p w14:paraId="439C9504">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环境保护目标：疫情周边的畜禽养殖场、畜禽舍、个体养殖户</w:t>
            </w:r>
          </w:p>
        </w:tc>
      </w:tr>
      <w:tr w14:paraId="09E53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02EA41D2">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2</w:t>
            </w:r>
          </w:p>
        </w:tc>
        <w:tc>
          <w:tcPr>
            <w:tcW w:w="1961" w:type="dxa"/>
            <w:tcBorders>
              <w:tl2br w:val="nil"/>
              <w:tr2bl w:val="nil"/>
            </w:tcBorders>
            <w:noWrap w:val="0"/>
            <w:vAlign w:val="center"/>
          </w:tcPr>
          <w:p w14:paraId="1D00C641">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应急组织机构、人员</w:t>
            </w:r>
          </w:p>
        </w:tc>
        <w:tc>
          <w:tcPr>
            <w:tcW w:w="5995" w:type="dxa"/>
            <w:tcBorders>
              <w:tl2br w:val="nil"/>
              <w:tr2bl w:val="nil"/>
            </w:tcBorders>
            <w:noWrap w:val="0"/>
            <w:vAlign w:val="center"/>
          </w:tcPr>
          <w:p w14:paraId="66198340">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项目应急组织机构、人员；地区应急组织机构、人员</w:t>
            </w:r>
          </w:p>
        </w:tc>
      </w:tr>
      <w:tr w14:paraId="1A033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687CC7C9">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3</w:t>
            </w:r>
          </w:p>
        </w:tc>
        <w:tc>
          <w:tcPr>
            <w:tcW w:w="1961" w:type="dxa"/>
            <w:tcBorders>
              <w:tl2br w:val="nil"/>
              <w:tr2bl w:val="nil"/>
            </w:tcBorders>
            <w:noWrap w:val="0"/>
            <w:vAlign w:val="center"/>
          </w:tcPr>
          <w:p w14:paraId="3F93ED36">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预案分级响应条件</w:t>
            </w:r>
          </w:p>
        </w:tc>
        <w:tc>
          <w:tcPr>
            <w:tcW w:w="5995" w:type="dxa"/>
            <w:tcBorders>
              <w:tl2br w:val="nil"/>
              <w:tr2bl w:val="nil"/>
            </w:tcBorders>
            <w:noWrap w:val="0"/>
            <w:vAlign w:val="center"/>
          </w:tcPr>
          <w:p w14:paraId="00564533">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规定预案级别；分级响应程序</w:t>
            </w:r>
          </w:p>
        </w:tc>
      </w:tr>
      <w:tr w14:paraId="19789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2E24F8FC">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4</w:t>
            </w:r>
          </w:p>
        </w:tc>
        <w:tc>
          <w:tcPr>
            <w:tcW w:w="1961" w:type="dxa"/>
            <w:tcBorders>
              <w:tl2br w:val="nil"/>
              <w:tr2bl w:val="nil"/>
            </w:tcBorders>
            <w:noWrap w:val="0"/>
            <w:vAlign w:val="center"/>
          </w:tcPr>
          <w:p w14:paraId="60B544EE">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应急救援保障</w:t>
            </w:r>
          </w:p>
        </w:tc>
        <w:tc>
          <w:tcPr>
            <w:tcW w:w="5995" w:type="dxa"/>
            <w:tcBorders>
              <w:tl2br w:val="nil"/>
              <w:tr2bl w:val="nil"/>
            </w:tcBorders>
            <w:noWrap w:val="0"/>
            <w:vAlign w:val="center"/>
          </w:tcPr>
          <w:p w14:paraId="47FB6835">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应急设施，设备与器材等</w:t>
            </w:r>
          </w:p>
        </w:tc>
      </w:tr>
      <w:tr w14:paraId="70D8A0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5A5D17B4">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5</w:t>
            </w:r>
          </w:p>
        </w:tc>
        <w:tc>
          <w:tcPr>
            <w:tcW w:w="1961" w:type="dxa"/>
            <w:tcBorders>
              <w:tl2br w:val="nil"/>
              <w:tr2bl w:val="nil"/>
            </w:tcBorders>
            <w:noWrap w:val="0"/>
            <w:vAlign w:val="center"/>
          </w:tcPr>
          <w:p w14:paraId="0C0A8EE5">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报警、通讯联络方式</w:t>
            </w:r>
          </w:p>
        </w:tc>
        <w:tc>
          <w:tcPr>
            <w:tcW w:w="5995" w:type="dxa"/>
            <w:tcBorders>
              <w:tl2br w:val="nil"/>
              <w:tr2bl w:val="nil"/>
            </w:tcBorders>
            <w:noWrap w:val="0"/>
            <w:vAlign w:val="center"/>
          </w:tcPr>
          <w:p w14:paraId="67104F93">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规定应急状态下的</w:t>
            </w:r>
            <w:r>
              <w:rPr>
                <w:rFonts w:hint="eastAsia" w:ascii="Times New Roman" w:hAnsi="Times New Roman" w:eastAsia="宋体" w:cs="Times New Roman"/>
                <w:snapToGrid w:val="0"/>
                <w:color w:val="auto"/>
                <w:kern w:val="24"/>
                <w:sz w:val="21"/>
                <w:szCs w:val="21"/>
                <w:lang w:val="en-US" w:eastAsia="zh-CN" w:bidi="ar-SA"/>
              </w:rPr>
              <w:t>报警通信</w:t>
            </w:r>
            <w:r>
              <w:rPr>
                <w:rFonts w:hint="default" w:ascii="Times New Roman" w:hAnsi="Times New Roman" w:eastAsia="宋体" w:cs="Times New Roman"/>
                <w:snapToGrid w:val="0"/>
                <w:color w:val="auto"/>
                <w:kern w:val="24"/>
                <w:sz w:val="21"/>
                <w:szCs w:val="21"/>
                <w:lang w:val="en-US" w:eastAsia="zh-CN" w:bidi="ar-SA"/>
              </w:rPr>
              <w:t>方式、通知方式和交通保障；管制等相关内容</w:t>
            </w:r>
          </w:p>
        </w:tc>
      </w:tr>
      <w:tr w14:paraId="1F12C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01974458">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6</w:t>
            </w:r>
          </w:p>
        </w:tc>
        <w:tc>
          <w:tcPr>
            <w:tcW w:w="1961" w:type="dxa"/>
            <w:tcBorders>
              <w:tl2br w:val="nil"/>
              <w:tr2bl w:val="nil"/>
            </w:tcBorders>
            <w:noWrap w:val="0"/>
            <w:vAlign w:val="center"/>
          </w:tcPr>
          <w:p w14:paraId="7122BC06">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应急环境监测、抢险、救援及控制措施</w:t>
            </w:r>
          </w:p>
        </w:tc>
        <w:tc>
          <w:tcPr>
            <w:tcW w:w="5995" w:type="dxa"/>
            <w:tcBorders>
              <w:tl2br w:val="nil"/>
              <w:tr2bl w:val="nil"/>
            </w:tcBorders>
            <w:noWrap w:val="0"/>
            <w:vAlign w:val="center"/>
          </w:tcPr>
          <w:p w14:paraId="4378DE16">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由专业队伍负责对事故现场进行侦察监测，对事故性质、参数与后果进行评估，为指挥部门提供决策依据</w:t>
            </w:r>
          </w:p>
        </w:tc>
      </w:tr>
      <w:tr w14:paraId="4DD1E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17985EE1">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7</w:t>
            </w:r>
          </w:p>
        </w:tc>
        <w:tc>
          <w:tcPr>
            <w:tcW w:w="1961" w:type="dxa"/>
            <w:tcBorders>
              <w:tl2br w:val="nil"/>
              <w:tr2bl w:val="nil"/>
            </w:tcBorders>
            <w:noWrap w:val="0"/>
            <w:vAlign w:val="center"/>
          </w:tcPr>
          <w:p w14:paraId="463D65AD">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应急</w:t>
            </w:r>
            <w:r>
              <w:rPr>
                <w:rFonts w:hint="eastAsia" w:ascii="Times New Roman" w:hAnsi="Times New Roman" w:eastAsia="宋体" w:cs="Times New Roman"/>
                <w:snapToGrid w:val="0"/>
                <w:color w:val="auto"/>
                <w:kern w:val="24"/>
                <w:sz w:val="21"/>
                <w:szCs w:val="21"/>
                <w:lang w:val="en-US" w:eastAsia="zh-CN" w:bidi="ar-SA"/>
              </w:rPr>
              <w:t>监测</w:t>
            </w:r>
            <w:r>
              <w:rPr>
                <w:rFonts w:hint="default" w:ascii="Times New Roman" w:hAnsi="Times New Roman" w:eastAsia="宋体" w:cs="Times New Roman"/>
                <w:snapToGrid w:val="0"/>
                <w:color w:val="auto"/>
                <w:kern w:val="24"/>
                <w:sz w:val="21"/>
                <w:szCs w:val="21"/>
                <w:lang w:val="en-US" w:eastAsia="zh-CN" w:bidi="ar-SA"/>
              </w:rPr>
              <w:t>、防护措施、清除泄漏措施和器材</w:t>
            </w:r>
          </w:p>
        </w:tc>
        <w:tc>
          <w:tcPr>
            <w:tcW w:w="5995" w:type="dxa"/>
            <w:tcBorders>
              <w:tl2br w:val="nil"/>
              <w:tr2bl w:val="nil"/>
            </w:tcBorders>
            <w:noWrap w:val="0"/>
            <w:vAlign w:val="center"/>
          </w:tcPr>
          <w:p w14:paraId="4C115FD5">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防毒区域控制：事故现场、邻近区域</w:t>
            </w:r>
          </w:p>
          <w:p w14:paraId="5F42A983">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清除污染措施：事故现场、邻近区域；清除污染设备及配置</w:t>
            </w:r>
          </w:p>
        </w:tc>
      </w:tr>
      <w:tr w14:paraId="3196A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6658A492">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8</w:t>
            </w:r>
          </w:p>
        </w:tc>
        <w:tc>
          <w:tcPr>
            <w:tcW w:w="1961" w:type="dxa"/>
            <w:tcBorders>
              <w:tl2br w:val="nil"/>
              <w:tr2bl w:val="nil"/>
            </w:tcBorders>
            <w:noWrap w:val="0"/>
            <w:vAlign w:val="center"/>
          </w:tcPr>
          <w:p w14:paraId="40E32BCC">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人员紧急撤离、疏散，应急剂量控制、撤离组织计划</w:t>
            </w:r>
          </w:p>
        </w:tc>
        <w:tc>
          <w:tcPr>
            <w:tcW w:w="5995" w:type="dxa"/>
            <w:tcBorders>
              <w:tl2br w:val="nil"/>
              <w:tr2bl w:val="nil"/>
            </w:tcBorders>
            <w:noWrap w:val="0"/>
            <w:vAlign w:val="center"/>
          </w:tcPr>
          <w:p w14:paraId="1EBBC657">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毒物应急剂量控制规定：事故现场、疾控中心、邻近区；撤离组织计划、医疗救护、公众健康</w:t>
            </w:r>
          </w:p>
        </w:tc>
      </w:tr>
      <w:tr w14:paraId="05AD6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770A7955">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9</w:t>
            </w:r>
          </w:p>
        </w:tc>
        <w:tc>
          <w:tcPr>
            <w:tcW w:w="1961" w:type="dxa"/>
            <w:tcBorders>
              <w:tl2br w:val="nil"/>
              <w:tr2bl w:val="nil"/>
            </w:tcBorders>
            <w:noWrap w:val="0"/>
            <w:vAlign w:val="center"/>
          </w:tcPr>
          <w:p w14:paraId="3A929FBD">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事故应急救援关闭程序与恢复措施</w:t>
            </w:r>
          </w:p>
        </w:tc>
        <w:tc>
          <w:tcPr>
            <w:tcW w:w="5995" w:type="dxa"/>
            <w:tcBorders>
              <w:tl2br w:val="nil"/>
              <w:tr2bl w:val="nil"/>
            </w:tcBorders>
            <w:noWrap w:val="0"/>
            <w:vAlign w:val="center"/>
          </w:tcPr>
          <w:p w14:paraId="0205C4CE">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规定应急状态终止程序；事故现场善后处理，恢复措施；邻近区域解除事故警戒及善后恢复措施</w:t>
            </w:r>
          </w:p>
        </w:tc>
      </w:tr>
      <w:tr w14:paraId="76E620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1020694D">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10</w:t>
            </w:r>
          </w:p>
        </w:tc>
        <w:tc>
          <w:tcPr>
            <w:tcW w:w="1961" w:type="dxa"/>
            <w:tcBorders>
              <w:tl2br w:val="nil"/>
              <w:tr2bl w:val="nil"/>
            </w:tcBorders>
            <w:noWrap w:val="0"/>
            <w:vAlign w:val="center"/>
          </w:tcPr>
          <w:p w14:paraId="533B9096">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应急培训计划</w:t>
            </w:r>
          </w:p>
        </w:tc>
        <w:tc>
          <w:tcPr>
            <w:tcW w:w="5995" w:type="dxa"/>
            <w:tcBorders>
              <w:tl2br w:val="nil"/>
              <w:tr2bl w:val="nil"/>
            </w:tcBorders>
            <w:noWrap w:val="0"/>
            <w:vAlign w:val="center"/>
          </w:tcPr>
          <w:p w14:paraId="5C1298FE">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left"/>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人员培训；应急预案演练</w:t>
            </w:r>
          </w:p>
        </w:tc>
      </w:tr>
      <w:tr w14:paraId="1427E2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8" w:type="dxa"/>
            <w:tcBorders>
              <w:tl2br w:val="nil"/>
              <w:tr2bl w:val="nil"/>
            </w:tcBorders>
            <w:noWrap w:val="0"/>
            <w:vAlign w:val="center"/>
          </w:tcPr>
          <w:p w14:paraId="188B4A06">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11</w:t>
            </w:r>
          </w:p>
        </w:tc>
        <w:tc>
          <w:tcPr>
            <w:tcW w:w="1961" w:type="dxa"/>
            <w:tcBorders>
              <w:tl2br w:val="nil"/>
              <w:tr2bl w:val="nil"/>
            </w:tcBorders>
            <w:noWrap w:val="0"/>
            <w:vAlign w:val="center"/>
          </w:tcPr>
          <w:p w14:paraId="7BF671B6">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center"/>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公众教育和信息</w:t>
            </w:r>
          </w:p>
        </w:tc>
        <w:tc>
          <w:tcPr>
            <w:tcW w:w="5995" w:type="dxa"/>
            <w:tcBorders>
              <w:tl2br w:val="nil"/>
              <w:tr2bl w:val="nil"/>
            </w:tcBorders>
            <w:noWrap w:val="0"/>
            <w:vAlign w:val="center"/>
          </w:tcPr>
          <w:p w14:paraId="1501E921">
            <w:pPr>
              <w:keepNext w:val="0"/>
              <w:keepLines w:val="0"/>
              <w:pageBreakBefore w:val="0"/>
              <w:widowControl w:val="0"/>
              <w:kinsoku/>
              <w:wordWrap/>
              <w:overflowPunct w:val="0"/>
              <w:topLinePunct w:val="0"/>
              <w:autoSpaceDE/>
              <w:autoSpaceDN/>
              <w:bidi w:val="0"/>
              <w:adjustRightInd/>
              <w:snapToGrid/>
              <w:spacing w:beforeAutospacing="0" w:afterAutospacing="0" w:line="400" w:lineRule="exact"/>
              <w:ind w:left="0" w:leftChars="0" w:right="0" w:rightChars="0"/>
              <w:jc w:val="both"/>
              <w:textAlignment w:val="baseline"/>
              <w:rPr>
                <w:rFonts w:hint="default" w:ascii="Times New Roman" w:hAnsi="Times New Roman" w:eastAsia="宋体" w:cs="Times New Roman"/>
                <w:snapToGrid w:val="0"/>
                <w:color w:val="auto"/>
                <w:kern w:val="24"/>
                <w:sz w:val="21"/>
                <w:szCs w:val="21"/>
                <w:lang w:val="en-US" w:eastAsia="zh-CN" w:bidi="ar-SA"/>
              </w:rPr>
            </w:pPr>
            <w:r>
              <w:rPr>
                <w:rFonts w:hint="default" w:ascii="Times New Roman" w:hAnsi="Times New Roman" w:eastAsia="宋体" w:cs="Times New Roman"/>
                <w:snapToGrid w:val="0"/>
                <w:color w:val="auto"/>
                <w:kern w:val="24"/>
                <w:sz w:val="21"/>
                <w:szCs w:val="21"/>
                <w:lang w:val="en-US" w:eastAsia="zh-CN" w:bidi="ar-SA"/>
              </w:rPr>
              <w:t>公众教育、信息发布</w:t>
            </w:r>
          </w:p>
        </w:tc>
      </w:tr>
    </w:tbl>
    <w:p w14:paraId="2DA3DC85">
      <w:pPr>
        <w:pageBreakBefore w:val="0"/>
        <w:widowControl w:val="0"/>
        <w:kinsoku/>
        <w:wordWrap/>
        <w:topLinePunct w:val="0"/>
        <w:autoSpaceDE/>
        <w:autoSpaceDN/>
        <w:bidi w:val="0"/>
        <w:adjustRightInd/>
        <w:snapToGrid/>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682" w:name="_Toc19199"/>
      <w:bookmarkStart w:id="683" w:name="_Toc4757"/>
      <w:bookmarkStart w:id="684" w:name="_Toc12900"/>
      <w:bookmarkStart w:id="685" w:name="_Toc318901406"/>
      <w:bookmarkStart w:id="686" w:name="_Toc790"/>
      <w:bookmarkStart w:id="687" w:name="_Toc29084_WPSOffice_Level3"/>
      <w:bookmarkStart w:id="688" w:name="_Toc298855655"/>
      <w:bookmarkStart w:id="689" w:name="_Toc337673483"/>
      <w:bookmarkStart w:id="690" w:name="_Toc472451922"/>
      <w:bookmarkStart w:id="691" w:name="_Toc8699"/>
      <w:r>
        <w:rPr>
          <w:rFonts w:hint="default" w:ascii="Times New Roman" w:hAnsi="Times New Roman" w:eastAsia="宋体" w:cs="Times New Roman"/>
          <w:b/>
          <w:bCs/>
          <w:kern w:val="2"/>
          <w:sz w:val="30"/>
          <w:szCs w:val="30"/>
          <w:lang w:val="en-US" w:eastAsia="zh-CN" w:bidi="ar-SA"/>
        </w:rPr>
        <w:t>6.6风险评价结论</w:t>
      </w:r>
      <w:bookmarkEnd w:id="682"/>
      <w:bookmarkEnd w:id="683"/>
      <w:bookmarkEnd w:id="684"/>
      <w:bookmarkEnd w:id="685"/>
      <w:bookmarkEnd w:id="686"/>
      <w:bookmarkEnd w:id="687"/>
      <w:bookmarkEnd w:id="688"/>
      <w:bookmarkEnd w:id="689"/>
      <w:bookmarkEnd w:id="690"/>
      <w:bookmarkEnd w:id="691"/>
    </w:p>
    <w:p w14:paraId="2B3995BE">
      <w:pPr>
        <w:bidi w:val="0"/>
        <w:spacing w:line="360" w:lineRule="auto"/>
        <w:ind w:firstLine="480" w:firstLineChars="200"/>
        <w:rPr>
          <w:rFonts w:hint="default" w:ascii="Times New Roman" w:hAnsi="Times New Roman" w:eastAsia="宋体" w:cs="Times New Roman"/>
          <w:sz w:val="24"/>
          <w:szCs w:val="24"/>
        </w:rPr>
      </w:pPr>
      <w:bookmarkStart w:id="692" w:name="_Toc16586"/>
      <w:r>
        <w:rPr>
          <w:rFonts w:hint="default" w:ascii="Times New Roman" w:hAnsi="Times New Roman" w:eastAsia="宋体" w:cs="Times New Roman"/>
          <w:sz w:val="24"/>
          <w:szCs w:val="24"/>
        </w:rPr>
        <w:t>（1）疫情风险评价结论</w:t>
      </w:r>
      <w:bookmarkEnd w:id="692"/>
    </w:p>
    <w:p w14:paraId="7373F134">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集约化养殖场</w:t>
      </w:r>
      <w:r>
        <w:rPr>
          <w:rFonts w:hint="eastAsia" w:ascii="Times New Roman" w:hAnsi="Times New Roman" w:eastAsia="宋体" w:cs="Times New Roman"/>
          <w:sz w:val="24"/>
          <w:lang w:eastAsia="zh-CN"/>
        </w:rPr>
        <w:t>疫情</w:t>
      </w:r>
      <w:r>
        <w:rPr>
          <w:rFonts w:hint="default" w:ascii="Times New Roman" w:hAnsi="Times New Roman" w:eastAsia="宋体" w:cs="Times New Roman"/>
          <w:sz w:val="24"/>
        </w:rPr>
        <w:t>发生有自身的特点，只要企业加强日常管理，做好预防工作，经常消毒，并建立疫病监测制度，在</w:t>
      </w:r>
      <w:r>
        <w:rPr>
          <w:rFonts w:hint="eastAsia" w:ascii="Times New Roman" w:hAnsi="Times New Roman" w:eastAsia="宋体" w:cs="Times New Roman"/>
          <w:sz w:val="24"/>
          <w:lang w:eastAsia="zh-CN"/>
        </w:rPr>
        <w:t>疫情</w:t>
      </w:r>
      <w:r>
        <w:rPr>
          <w:rFonts w:hint="default" w:ascii="Times New Roman" w:hAnsi="Times New Roman" w:eastAsia="宋体" w:cs="Times New Roman"/>
          <w:sz w:val="24"/>
        </w:rPr>
        <w:t>发生时能严格按照应急计划执行，评价认为该风险是可以接受的。</w:t>
      </w:r>
    </w:p>
    <w:p w14:paraId="5A76A1EE">
      <w:pPr>
        <w:bidi w:val="0"/>
        <w:spacing w:line="360" w:lineRule="auto"/>
        <w:ind w:firstLine="480" w:firstLineChars="200"/>
        <w:rPr>
          <w:rFonts w:hint="default" w:ascii="Times New Roman" w:hAnsi="Times New Roman" w:eastAsia="宋体" w:cs="Times New Roman"/>
          <w:sz w:val="24"/>
          <w:szCs w:val="24"/>
        </w:rPr>
      </w:pPr>
      <w:bookmarkStart w:id="693" w:name="_Toc26091"/>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CN"/>
        </w:rPr>
        <w:t>常发病危害</w:t>
      </w:r>
      <w:r>
        <w:rPr>
          <w:rFonts w:hint="default" w:ascii="Times New Roman" w:hAnsi="Times New Roman" w:eastAsia="宋体" w:cs="Times New Roman"/>
          <w:sz w:val="24"/>
          <w:szCs w:val="24"/>
        </w:rPr>
        <w:t>风险评价结论</w:t>
      </w:r>
      <w:bookmarkEnd w:id="693"/>
    </w:p>
    <w:p w14:paraId="2FB1D7B4">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在养殖场内专门设置有隔离</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szCs w:val="24"/>
        </w:rPr>
        <w:t>，将疫情限制在最小范围内，同时，启动相应级别疫情应急处置方案。仍然有使用价值的病</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szCs w:val="24"/>
        </w:rPr>
        <w:t>应隔离饲养、治疗，彻底治愈后，可以归群。</w:t>
      </w:r>
    </w:p>
    <w:p w14:paraId="032B13B8">
      <w:pPr>
        <w:bidi w:val="0"/>
        <w:spacing w:line="360" w:lineRule="auto"/>
        <w:ind w:firstLine="480" w:firstLineChars="200"/>
        <w:rPr>
          <w:rFonts w:hint="default" w:ascii="Times New Roman" w:hAnsi="Times New Roman" w:eastAsia="宋体" w:cs="Times New Roman"/>
          <w:sz w:val="24"/>
          <w:szCs w:val="24"/>
        </w:rPr>
      </w:pPr>
      <w:bookmarkStart w:id="694" w:name="_Toc2477"/>
      <w:r>
        <w:rPr>
          <w:rFonts w:hint="default" w:ascii="Times New Roman" w:hAnsi="Times New Roman" w:eastAsia="宋体" w:cs="Times New Roman"/>
          <w:sz w:val="24"/>
          <w:szCs w:val="24"/>
        </w:rPr>
        <w:t>（3）水污染事故风险结论</w:t>
      </w:r>
      <w:bookmarkEnd w:id="694"/>
    </w:p>
    <w:p w14:paraId="63A09987">
      <w:pPr>
        <w:pageBreakBefore w:val="0"/>
        <w:kinsoku/>
        <w:wordWrap/>
        <w:topLinePunct w:val="0"/>
        <w:autoSpaceDE/>
        <w:autoSpaceDN/>
        <w:bidi w:val="0"/>
        <w:adjustRightInd/>
        <w:snapToGrid/>
        <w:spacing w:beforeAutospacing="0" w:afterAutospacing="0"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本项目水污染事故客观上是存在的，但当发生事故以后，不会造成严重的污染危害，且采取相应防渗措施以后，是可以避免的。</w:t>
      </w:r>
    </w:p>
    <w:p w14:paraId="0AB83DB7">
      <w:pPr>
        <w:bidi w:val="0"/>
        <w:spacing w:line="360" w:lineRule="auto"/>
        <w:ind w:firstLine="480" w:firstLineChars="200"/>
        <w:rPr>
          <w:rFonts w:hint="default" w:ascii="Times New Roman" w:hAnsi="Times New Roman" w:eastAsia="宋体" w:cs="Times New Roman"/>
          <w:sz w:val="24"/>
          <w:szCs w:val="24"/>
        </w:rPr>
      </w:pPr>
      <w:bookmarkStart w:id="695" w:name="_Toc31276"/>
      <w:r>
        <w:rPr>
          <w:rFonts w:hint="default" w:ascii="Times New Roman" w:hAnsi="Times New Roman" w:eastAsia="宋体" w:cs="Times New Roman"/>
          <w:sz w:val="24"/>
          <w:szCs w:val="24"/>
        </w:rPr>
        <w:t>（4）火灾事故风险结论</w:t>
      </w:r>
      <w:bookmarkEnd w:id="695"/>
    </w:p>
    <w:p w14:paraId="6580F4F7">
      <w:pPr>
        <w:pageBreakBefore w:val="0"/>
        <w:kinsoku/>
        <w:wordWrap/>
        <w:topLinePunct w:val="0"/>
        <w:autoSpaceDE/>
        <w:autoSpaceDN/>
        <w:bidi w:val="0"/>
        <w:adjustRightInd/>
        <w:snapToGrid/>
        <w:spacing w:beforeAutospacing="0" w:afterAutospacing="0" w:line="360" w:lineRule="auto"/>
        <w:ind w:firstLine="480" w:firstLineChars="200"/>
        <w:rPr>
          <w:rFonts w:ascii="Times New Roman" w:hAnsi="Times New Roman" w:eastAsia="宋体" w:cs="Times New Roman"/>
        </w:rPr>
      </w:pPr>
      <w:r>
        <w:rPr>
          <w:rFonts w:hint="default" w:ascii="Times New Roman" w:hAnsi="Times New Roman" w:eastAsia="宋体" w:cs="Times New Roman"/>
          <w:sz w:val="24"/>
          <w:szCs w:val="24"/>
        </w:rPr>
        <w:t>只要养殖场管理部门认真、负责地做好场区的消防安全工作，</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szCs w:val="24"/>
        </w:rPr>
        <w:t>场发生火灾的事故是可以避免的。</w:t>
      </w:r>
    </w:p>
    <w:p w14:paraId="65FF0C6F">
      <w:pPr>
        <w:widowControl w:val="0"/>
        <w:overflowPunct w:val="0"/>
        <w:autoSpaceDE w:val="0"/>
        <w:autoSpaceDN w:val="0"/>
        <w:bidi w:val="0"/>
        <w:adjustRightInd w:val="0"/>
        <w:snapToGrid w:val="0"/>
        <w:spacing w:line="360" w:lineRule="auto"/>
        <w:ind w:firstLine="0" w:firstLineChars="0"/>
        <w:jc w:val="center"/>
        <w:rPr>
          <w:rFonts w:ascii="Times New Roman" w:hAnsi="Times New Roman" w:eastAsia="宋体" w:cs="Times New Roman"/>
          <w:bCs/>
          <w:color w:val="FF0000"/>
          <w:szCs w:val="24"/>
        </w:rPr>
      </w:pPr>
      <w:r>
        <w:rPr>
          <w:rFonts w:ascii="Times New Roman" w:hAnsi="Times New Roman" w:eastAsia="宋体" w:cs="宋体"/>
          <w:b/>
          <w:color w:val="000000"/>
          <w:kern w:val="0"/>
          <w:sz w:val="24"/>
          <w:szCs w:val="21"/>
          <w:highlight w:val="none"/>
          <w:lang w:val="en-US" w:eastAsia="zh-CN" w:bidi="ar-SA"/>
        </w:rPr>
        <w:t>表</w:t>
      </w:r>
      <w:r>
        <w:rPr>
          <w:rFonts w:hint="eastAsia" w:ascii="Times New Roman" w:hAnsi="Times New Roman" w:eastAsia="宋体" w:cs="宋体"/>
          <w:b/>
          <w:color w:val="000000"/>
          <w:kern w:val="0"/>
          <w:sz w:val="24"/>
          <w:szCs w:val="21"/>
          <w:highlight w:val="none"/>
          <w:lang w:val="en-US" w:eastAsia="zh-CN" w:bidi="ar-SA"/>
        </w:rPr>
        <w:t>6.6-1</w:t>
      </w:r>
      <w:r>
        <w:rPr>
          <w:rFonts w:ascii="Times New Roman" w:hAnsi="Times New Roman" w:eastAsia="宋体" w:cs="宋体"/>
          <w:b/>
          <w:color w:val="000000"/>
          <w:kern w:val="0"/>
          <w:sz w:val="24"/>
          <w:szCs w:val="21"/>
          <w:highlight w:val="none"/>
          <w:lang w:val="en-US" w:eastAsia="zh-CN" w:bidi="ar-SA"/>
        </w:rPr>
        <w:t>建设项目环境风险简单分析内容表</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965"/>
        <w:gridCol w:w="1183"/>
        <w:gridCol w:w="1931"/>
        <w:gridCol w:w="1666"/>
        <w:gridCol w:w="1759"/>
      </w:tblGrid>
      <w:tr w14:paraId="552A4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5" w:type="dxa"/>
            <w:tcBorders>
              <w:tl2br w:val="nil"/>
              <w:tr2bl w:val="nil"/>
            </w:tcBorders>
            <w:noWrap w:val="0"/>
            <w:vAlign w:val="center"/>
          </w:tcPr>
          <w:p w14:paraId="55CE2E89">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建设项目名称</w:t>
            </w:r>
          </w:p>
        </w:tc>
        <w:tc>
          <w:tcPr>
            <w:tcW w:w="6539" w:type="dxa"/>
            <w:gridSpan w:val="4"/>
            <w:tcBorders>
              <w:tl2br w:val="nil"/>
              <w:tr2bl w:val="nil"/>
            </w:tcBorders>
            <w:noWrap w:val="0"/>
            <w:vAlign w:val="center"/>
          </w:tcPr>
          <w:p w14:paraId="181FC697">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both"/>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胡杨河市鑫驰农牧有限责任公司育肥牛养殖改扩建建设项目</w:t>
            </w:r>
          </w:p>
        </w:tc>
      </w:tr>
      <w:tr w14:paraId="49985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1965" w:type="dxa"/>
            <w:tcBorders>
              <w:tl2br w:val="nil"/>
              <w:tr2bl w:val="nil"/>
            </w:tcBorders>
            <w:noWrap w:val="0"/>
            <w:vAlign w:val="center"/>
          </w:tcPr>
          <w:p w14:paraId="3D9E3BEC">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建设地点</w:t>
            </w:r>
          </w:p>
        </w:tc>
        <w:tc>
          <w:tcPr>
            <w:tcW w:w="6539" w:type="dxa"/>
            <w:gridSpan w:val="4"/>
            <w:tcBorders>
              <w:tl2br w:val="nil"/>
              <w:tr2bl w:val="nil"/>
            </w:tcBorders>
            <w:noWrap w:val="0"/>
            <w:vAlign w:val="center"/>
          </w:tcPr>
          <w:p w14:paraId="49DDD2BD">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第七师胡杨河市125团（柳沟镇）14连瓜村西区323号</w:t>
            </w:r>
          </w:p>
        </w:tc>
      </w:tr>
      <w:tr w14:paraId="02D62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5" w:type="dxa"/>
            <w:tcBorders>
              <w:tl2br w:val="nil"/>
              <w:tr2bl w:val="nil"/>
            </w:tcBorders>
            <w:noWrap w:val="0"/>
            <w:vAlign w:val="center"/>
          </w:tcPr>
          <w:p w14:paraId="4555B9D1">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地理坐标</w:t>
            </w:r>
          </w:p>
        </w:tc>
        <w:tc>
          <w:tcPr>
            <w:tcW w:w="1183" w:type="dxa"/>
            <w:tcBorders>
              <w:tl2br w:val="nil"/>
              <w:tr2bl w:val="nil"/>
            </w:tcBorders>
            <w:noWrap w:val="0"/>
            <w:vAlign w:val="center"/>
          </w:tcPr>
          <w:p w14:paraId="64003BA8">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纬度</w:t>
            </w:r>
          </w:p>
        </w:tc>
        <w:tc>
          <w:tcPr>
            <w:tcW w:w="1931" w:type="dxa"/>
            <w:tcBorders>
              <w:tl2br w:val="nil"/>
              <w:tr2bl w:val="nil"/>
            </w:tcBorders>
            <w:noWrap w:val="0"/>
            <w:vAlign w:val="center"/>
          </w:tcPr>
          <w:p w14:paraId="4F9A58F6">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eastAsia="zh-CN"/>
              </w:rPr>
            </w:pPr>
            <w:r>
              <w:rPr>
                <w:rFonts w:hint="default" w:ascii="Times New Roman" w:hAnsi="Times New Roman" w:eastAsia="宋体" w:cs="Times New Roman"/>
                <w:color w:val="auto"/>
                <w:kern w:val="2"/>
                <w:sz w:val="21"/>
                <w:szCs w:val="24"/>
                <w:highlight w:val="none"/>
                <w:lang w:val="en-US" w:eastAsia="zh-CN"/>
              </w:rPr>
              <w:t>44°44′38.982″</w:t>
            </w:r>
          </w:p>
        </w:tc>
        <w:tc>
          <w:tcPr>
            <w:tcW w:w="1666" w:type="dxa"/>
            <w:tcBorders>
              <w:tl2br w:val="nil"/>
              <w:tr2bl w:val="nil"/>
            </w:tcBorders>
            <w:noWrap w:val="0"/>
            <w:vAlign w:val="center"/>
          </w:tcPr>
          <w:p w14:paraId="4BA4698E">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经度</w:t>
            </w:r>
          </w:p>
        </w:tc>
        <w:tc>
          <w:tcPr>
            <w:tcW w:w="1759" w:type="dxa"/>
            <w:tcBorders>
              <w:tl2br w:val="nil"/>
              <w:tr2bl w:val="nil"/>
            </w:tcBorders>
            <w:noWrap w:val="0"/>
            <w:vAlign w:val="center"/>
          </w:tcPr>
          <w:p w14:paraId="7381690C">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84°29′41.203″</w:t>
            </w:r>
          </w:p>
        </w:tc>
      </w:tr>
      <w:tr w14:paraId="49A37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5" w:type="dxa"/>
            <w:tcBorders>
              <w:tl2br w:val="nil"/>
              <w:tr2bl w:val="nil"/>
            </w:tcBorders>
            <w:noWrap w:val="0"/>
            <w:vAlign w:val="center"/>
          </w:tcPr>
          <w:p w14:paraId="7EC787DA">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left"/>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主要危险物质及分布</w:t>
            </w:r>
          </w:p>
        </w:tc>
        <w:tc>
          <w:tcPr>
            <w:tcW w:w="6539" w:type="dxa"/>
            <w:gridSpan w:val="4"/>
            <w:tcBorders>
              <w:tl2br w:val="nil"/>
              <w:tr2bl w:val="nil"/>
            </w:tcBorders>
            <w:noWrap w:val="0"/>
            <w:vAlign w:val="center"/>
          </w:tcPr>
          <w:p w14:paraId="6C1187AE">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left"/>
              <w:textAlignment w:val="auto"/>
              <w:rPr>
                <w:rFonts w:hint="default" w:ascii="Times New Roman" w:hAnsi="Times New Roman" w:eastAsia="宋体" w:cs="Times New Roman"/>
                <w:color w:val="auto"/>
                <w:kern w:val="2"/>
                <w:sz w:val="21"/>
                <w:szCs w:val="24"/>
                <w:highlight w:val="none"/>
                <w:lang w:val="en-US" w:eastAsia="zh-CN"/>
              </w:rPr>
            </w:pPr>
            <w:r>
              <w:rPr>
                <w:rFonts w:hint="eastAsia" w:ascii="Times New Roman" w:hAnsi="Times New Roman" w:eastAsia="宋体" w:cs="Times New Roman"/>
                <w:color w:val="auto"/>
                <w:kern w:val="2"/>
                <w:sz w:val="21"/>
                <w:szCs w:val="24"/>
                <w:highlight w:val="none"/>
                <w:lang w:val="en-US" w:eastAsia="zh-CN"/>
              </w:rPr>
              <w:t>养殖区</w:t>
            </w:r>
            <w:r>
              <w:rPr>
                <w:rFonts w:hint="default" w:ascii="Times New Roman" w:hAnsi="Times New Roman" w:eastAsia="宋体" w:cs="Times New Roman"/>
                <w:color w:val="auto"/>
                <w:kern w:val="2"/>
                <w:sz w:val="21"/>
                <w:szCs w:val="24"/>
                <w:highlight w:val="none"/>
                <w:lang w:val="en-US" w:eastAsia="zh-CN"/>
              </w:rPr>
              <w:t>：氨气、硫化氢</w:t>
            </w:r>
          </w:p>
        </w:tc>
      </w:tr>
      <w:tr w14:paraId="24B92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5" w:type="dxa"/>
            <w:tcBorders>
              <w:tl2br w:val="nil"/>
              <w:tr2bl w:val="nil"/>
            </w:tcBorders>
            <w:noWrap w:val="0"/>
            <w:vAlign w:val="center"/>
          </w:tcPr>
          <w:p w14:paraId="1444E3DC">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环境影响途径及危害后果（大气、地表水和地下水等）</w:t>
            </w:r>
          </w:p>
        </w:tc>
        <w:tc>
          <w:tcPr>
            <w:tcW w:w="6539" w:type="dxa"/>
            <w:gridSpan w:val="4"/>
            <w:tcBorders>
              <w:tl2br w:val="nil"/>
              <w:tr2bl w:val="nil"/>
            </w:tcBorders>
            <w:noWrap w:val="0"/>
            <w:vAlign w:val="center"/>
          </w:tcPr>
          <w:p w14:paraId="24E217C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主要影响途径：</w:t>
            </w:r>
            <w:r>
              <w:rPr>
                <w:rFonts w:hint="eastAsia" w:ascii="Times New Roman" w:hAnsi="Times New Roman" w:eastAsia="宋体" w:cs="Times New Roman"/>
                <w:color w:val="auto"/>
                <w:kern w:val="2"/>
                <w:sz w:val="21"/>
                <w:szCs w:val="24"/>
                <w:highlight w:val="none"/>
                <w:lang w:val="en-US" w:eastAsia="zh-CN"/>
              </w:rPr>
              <w:t>有毒气体泄漏、渗滤尿液泄漏</w:t>
            </w:r>
            <w:r>
              <w:rPr>
                <w:rFonts w:hint="eastAsia" w:cs="Times New Roman"/>
                <w:color w:val="auto"/>
                <w:kern w:val="2"/>
                <w:sz w:val="21"/>
                <w:szCs w:val="24"/>
                <w:highlight w:val="none"/>
                <w:lang w:val="en-US" w:eastAsia="zh-CN"/>
              </w:rPr>
              <w:t>、有毒气体泄露风险</w:t>
            </w:r>
            <w:r>
              <w:rPr>
                <w:rFonts w:hint="eastAsia" w:ascii="Times New Roman" w:hAnsi="Times New Roman" w:eastAsia="宋体" w:cs="Times New Roman"/>
                <w:color w:val="auto"/>
                <w:kern w:val="2"/>
                <w:sz w:val="21"/>
                <w:szCs w:val="24"/>
                <w:highlight w:val="none"/>
                <w:lang w:val="en-US" w:eastAsia="zh-CN"/>
              </w:rPr>
              <w:t>、病死牛风险、疫情风险、火灾风险</w:t>
            </w:r>
            <w:r>
              <w:rPr>
                <w:rFonts w:hint="default" w:ascii="Times New Roman" w:hAnsi="Times New Roman" w:eastAsia="宋体" w:cs="Times New Roman"/>
                <w:color w:val="auto"/>
                <w:kern w:val="2"/>
                <w:sz w:val="21"/>
                <w:szCs w:val="24"/>
                <w:highlight w:val="none"/>
                <w:lang w:val="en-US" w:eastAsia="zh-CN"/>
              </w:rPr>
              <w:t>；</w:t>
            </w:r>
          </w:p>
          <w:p w14:paraId="3F09A5C8">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危害后果：</w:t>
            </w:r>
            <w:r>
              <w:rPr>
                <w:rFonts w:hint="eastAsia" w:ascii="Times New Roman" w:hAnsi="Times New Roman" w:eastAsia="宋体" w:cs="Times New Roman"/>
                <w:color w:val="auto"/>
                <w:kern w:val="2"/>
                <w:sz w:val="21"/>
                <w:szCs w:val="24"/>
                <w:highlight w:val="none"/>
                <w:lang w:val="en-US" w:eastAsia="zh-CN"/>
              </w:rPr>
              <w:t>及时采取应急措施，</w:t>
            </w:r>
            <w:r>
              <w:rPr>
                <w:rFonts w:hint="default" w:ascii="Times New Roman" w:hAnsi="Times New Roman" w:eastAsia="宋体" w:cs="Times New Roman"/>
                <w:color w:val="auto"/>
                <w:kern w:val="2"/>
                <w:sz w:val="21"/>
                <w:szCs w:val="24"/>
                <w:highlight w:val="none"/>
                <w:lang w:val="en-US" w:eastAsia="zh-CN"/>
              </w:rPr>
              <w:t>不会对</w:t>
            </w:r>
            <w:r>
              <w:rPr>
                <w:rFonts w:hint="eastAsia" w:ascii="Times New Roman" w:hAnsi="Times New Roman" w:eastAsia="宋体" w:cs="Times New Roman"/>
                <w:color w:val="auto"/>
                <w:kern w:val="2"/>
                <w:sz w:val="21"/>
                <w:szCs w:val="24"/>
                <w:highlight w:val="none"/>
                <w:lang w:val="en-US" w:eastAsia="zh-CN"/>
              </w:rPr>
              <w:t>环境</w:t>
            </w:r>
            <w:r>
              <w:rPr>
                <w:rFonts w:hint="default" w:ascii="Times New Roman" w:hAnsi="Times New Roman" w:eastAsia="宋体" w:cs="Times New Roman"/>
                <w:color w:val="auto"/>
                <w:kern w:val="2"/>
                <w:sz w:val="21"/>
                <w:szCs w:val="24"/>
                <w:highlight w:val="none"/>
                <w:lang w:val="en-US" w:eastAsia="zh-CN"/>
              </w:rPr>
              <w:t>产生</w:t>
            </w:r>
            <w:r>
              <w:rPr>
                <w:rFonts w:hint="eastAsia" w:ascii="Times New Roman" w:hAnsi="Times New Roman" w:eastAsia="宋体" w:cs="Times New Roman"/>
                <w:color w:val="auto"/>
                <w:kern w:val="2"/>
                <w:sz w:val="21"/>
                <w:szCs w:val="24"/>
                <w:highlight w:val="none"/>
                <w:lang w:val="en-US" w:eastAsia="zh-CN"/>
              </w:rPr>
              <w:t>显著不利</w:t>
            </w:r>
            <w:r>
              <w:rPr>
                <w:rFonts w:hint="default" w:ascii="Times New Roman" w:hAnsi="Times New Roman" w:eastAsia="宋体" w:cs="Times New Roman"/>
                <w:color w:val="auto"/>
                <w:kern w:val="2"/>
                <w:sz w:val="21"/>
                <w:szCs w:val="24"/>
                <w:highlight w:val="none"/>
                <w:lang w:val="en-US" w:eastAsia="zh-CN"/>
              </w:rPr>
              <w:t>影响</w:t>
            </w:r>
          </w:p>
        </w:tc>
      </w:tr>
      <w:tr w14:paraId="447963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5" w:type="dxa"/>
            <w:tcBorders>
              <w:tl2br w:val="nil"/>
              <w:tr2bl w:val="nil"/>
            </w:tcBorders>
            <w:noWrap w:val="0"/>
            <w:vAlign w:val="center"/>
          </w:tcPr>
          <w:p w14:paraId="5595CB8F">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风险防范措施要求</w:t>
            </w:r>
          </w:p>
        </w:tc>
        <w:tc>
          <w:tcPr>
            <w:tcW w:w="6539" w:type="dxa"/>
            <w:gridSpan w:val="4"/>
            <w:tcBorders>
              <w:tl2br w:val="nil"/>
              <w:tr2bl w:val="nil"/>
            </w:tcBorders>
            <w:noWrap w:val="0"/>
            <w:vAlign w:val="center"/>
          </w:tcPr>
          <w:p w14:paraId="151EF4E2">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①</w:t>
            </w:r>
            <w:r>
              <w:rPr>
                <w:rFonts w:hint="eastAsia" w:ascii="Times New Roman" w:hAnsi="Times New Roman" w:eastAsia="宋体" w:cs="Times New Roman"/>
                <w:color w:val="auto"/>
                <w:kern w:val="2"/>
                <w:sz w:val="21"/>
                <w:szCs w:val="24"/>
                <w:highlight w:val="none"/>
                <w:lang w:val="en-US" w:eastAsia="zh-CN"/>
              </w:rPr>
              <w:t>编制</w:t>
            </w:r>
            <w:r>
              <w:rPr>
                <w:rFonts w:hint="default" w:ascii="Times New Roman" w:hAnsi="Times New Roman" w:eastAsia="宋体" w:cs="Times New Roman"/>
                <w:color w:val="auto"/>
                <w:kern w:val="2"/>
                <w:sz w:val="21"/>
                <w:szCs w:val="24"/>
                <w:highlight w:val="none"/>
                <w:lang w:val="en-US" w:eastAsia="zh-CN"/>
              </w:rPr>
              <w:t>突发事件环境应急预案并定期演练；</w:t>
            </w:r>
          </w:p>
          <w:p w14:paraId="1C153197">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eastAsia" w:ascii="Times New Roman" w:hAnsi="Times New Roman" w:eastAsia="宋体" w:cs="Times New Roman"/>
                <w:color w:val="000000"/>
                <w:kern w:val="2"/>
                <w:sz w:val="21"/>
                <w:szCs w:val="20"/>
                <w:highlight w:val="none"/>
                <w:lang w:val="en-US" w:eastAsia="zh-CN" w:bidi="ar-SA"/>
              </w:rPr>
            </w:pPr>
            <w:r>
              <w:rPr>
                <w:rFonts w:hint="default" w:ascii="Times New Roman" w:hAnsi="Times New Roman" w:eastAsia="宋体" w:cs="Times New Roman"/>
                <w:color w:val="auto"/>
                <w:kern w:val="2"/>
                <w:sz w:val="21"/>
                <w:szCs w:val="24"/>
                <w:highlight w:val="none"/>
              </w:rPr>
              <w:t>②</w:t>
            </w:r>
            <w:r>
              <w:rPr>
                <w:rFonts w:hint="eastAsia" w:ascii="Times New Roman" w:hAnsi="Times New Roman" w:eastAsia="宋体" w:cs="Times New Roman"/>
                <w:color w:val="000000"/>
                <w:kern w:val="2"/>
                <w:sz w:val="21"/>
                <w:szCs w:val="20"/>
                <w:highlight w:val="none"/>
                <w:lang w:val="en-US" w:eastAsia="zh-CN" w:bidi="ar-SA"/>
              </w:rPr>
              <w:t>渗滤尿液漏风险防范：养殖区规范设计施工；尿液收集池定期巡查；定期检测地下水水质，当发现地下水质有被污染迹象时，应及时查找原因，发现渗漏位置并采取补救措施，防止污染进一步扩散；</w:t>
            </w:r>
          </w:p>
          <w:p w14:paraId="3F61B35B">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eastAsia" w:ascii="Times New Roman" w:hAnsi="Times New Roman" w:eastAsia="宋体" w:cs="Times New Roman"/>
                <w:color w:val="000000"/>
                <w:kern w:val="2"/>
                <w:sz w:val="21"/>
                <w:szCs w:val="20"/>
                <w:highlight w:val="none"/>
                <w:lang w:val="en-US" w:eastAsia="zh-CN" w:bidi="ar-SA"/>
              </w:rPr>
            </w:pPr>
            <w:r>
              <w:rPr>
                <w:rFonts w:hint="eastAsia" w:ascii="Times New Roman" w:hAnsi="Times New Roman" w:eastAsia="宋体" w:cs="Times New Roman"/>
                <w:color w:val="000000"/>
                <w:kern w:val="2"/>
                <w:sz w:val="21"/>
                <w:szCs w:val="20"/>
                <w:highlight w:val="none"/>
                <w:lang w:val="en-US" w:eastAsia="zh-CN" w:bidi="ar-SA"/>
              </w:rPr>
              <w:t>③病死牛、疫情风险：定期消毒、接种疫苗、日常预防。</w:t>
            </w:r>
          </w:p>
          <w:p w14:paraId="377AC315">
            <w:pPr>
              <w:widowControl w:val="0"/>
              <w:pBdr>
                <w:bottom w:val="single" w:color="auto" w:sz="6" w:space="1"/>
              </w:pBdr>
              <w:tabs>
                <w:tab w:val="center" w:pos="4153"/>
                <w:tab w:val="right" w:pos="8306"/>
              </w:tabs>
              <w:snapToGrid w:val="0"/>
              <w:jc w:val="left"/>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color w:val="000000"/>
                <w:kern w:val="2"/>
                <w:sz w:val="21"/>
                <w:szCs w:val="20"/>
                <w:highlight w:val="none"/>
                <w:lang w:val="en-US" w:eastAsia="zh-CN" w:bidi="ar-SA"/>
              </w:rPr>
              <w:t>④火灾：源头防控，优化布局与防火分区，完善防火设施。 </w:t>
            </w:r>
          </w:p>
        </w:tc>
      </w:tr>
      <w:tr w14:paraId="5D53D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965" w:type="dxa"/>
            <w:tcBorders>
              <w:tl2br w:val="nil"/>
              <w:tr2bl w:val="nil"/>
            </w:tcBorders>
            <w:noWrap w:val="0"/>
            <w:vAlign w:val="center"/>
          </w:tcPr>
          <w:p w14:paraId="7BE3A4DC">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填表说明（列出项目相关信息及评价说明）</w:t>
            </w:r>
          </w:p>
        </w:tc>
        <w:tc>
          <w:tcPr>
            <w:tcW w:w="6539" w:type="dxa"/>
            <w:gridSpan w:val="4"/>
            <w:tcBorders>
              <w:tl2br w:val="nil"/>
              <w:tr2bl w:val="nil"/>
            </w:tcBorders>
            <w:noWrap w:val="0"/>
            <w:vAlign w:val="center"/>
          </w:tcPr>
          <w:p w14:paraId="1C8DD37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both"/>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根据物质危险性识别确定各环境要素环境风险潜势等级均为Ⅰ，根据《建设项目环境风险评价技术导则》（</w:t>
            </w:r>
            <w:r>
              <w:rPr>
                <w:rFonts w:hint="eastAsia" w:ascii="Times New Roman" w:hAnsi="Times New Roman" w:eastAsia="宋体" w:cs="Times New Roman"/>
                <w:color w:val="auto"/>
                <w:kern w:val="2"/>
                <w:sz w:val="21"/>
                <w:szCs w:val="24"/>
                <w:highlight w:val="none"/>
                <w:lang w:val="en-US" w:eastAsia="zh-CN"/>
              </w:rPr>
              <w:t>HJ 169-2018</w:t>
            </w:r>
            <w:r>
              <w:rPr>
                <w:rFonts w:hint="default" w:ascii="Times New Roman" w:hAnsi="Times New Roman" w:eastAsia="宋体" w:cs="Times New Roman"/>
                <w:color w:val="auto"/>
                <w:kern w:val="2"/>
                <w:sz w:val="21"/>
                <w:szCs w:val="24"/>
                <w:highlight w:val="none"/>
                <w:lang w:val="en-US" w:eastAsia="zh-CN"/>
              </w:rPr>
              <w:t>），环境风险评价工作等级为简单分析，评价深度以定性说明为主，环境风险评价对其进行了简要定性分析。最终确定环境风险可控，处于可接受水平。</w:t>
            </w:r>
          </w:p>
        </w:tc>
      </w:tr>
    </w:tbl>
    <w:p w14:paraId="7689E5FC">
      <w:p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658DDEA">
      <w:pPr>
        <w:pageBreakBefore w:val="0"/>
        <w:widowControl/>
        <w:kinsoku/>
        <w:wordWrap/>
        <w:topLinePunct w:val="0"/>
        <w:autoSpaceDE/>
        <w:autoSpaceDN/>
        <w:bidi w:val="0"/>
        <w:adjustRightInd/>
        <w:snapToGrid/>
        <w:spacing w:line="360" w:lineRule="auto"/>
        <w:jc w:val="both"/>
        <w:outlineLvl w:val="0"/>
        <w:rPr>
          <w:rFonts w:hint="default" w:ascii="Times New Roman" w:hAnsi="Times New Roman" w:eastAsia="宋体" w:cs="Times New Roman"/>
          <w:b/>
          <w:kern w:val="2"/>
          <w:sz w:val="32"/>
          <w:szCs w:val="32"/>
          <w:lang w:val="en-US" w:eastAsia="zh-CN" w:bidi="ar-SA"/>
        </w:rPr>
      </w:pPr>
      <w:bookmarkStart w:id="696" w:name="_Toc15964"/>
      <w:bookmarkStart w:id="697" w:name="_Toc22117"/>
      <w:bookmarkStart w:id="698" w:name="_Toc10834"/>
      <w:r>
        <w:rPr>
          <w:rFonts w:hint="default" w:ascii="Times New Roman" w:hAnsi="Times New Roman" w:eastAsia="宋体" w:cs="Times New Roman"/>
          <w:b/>
          <w:kern w:val="2"/>
          <w:sz w:val="32"/>
          <w:szCs w:val="32"/>
          <w:lang w:val="en-US" w:eastAsia="zh-CN" w:bidi="ar-SA"/>
        </w:rPr>
        <w:t>7、环境保护措施及其可行性分析</w:t>
      </w:r>
      <w:bookmarkEnd w:id="696"/>
      <w:bookmarkEnd w:id="697"/>
      <w:bookmarkEnd w:id="698"/>
    </w:p>
    <w:p w14:paraId="6ED59C66">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根据国家有关环保法规要求，该项目必须执行</w:t>
      </w:r>
      <w:r>
        <w:rPr>
          <w:rFonts w:hint="eastAsia"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三同时</w:t>
      </w:r>
      <w:r>
        <w:rPr>
          <w:rFonts w:hint="eastAsia"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项目投产后，其污染物排放必须达到国家和地方规定的标准和符合环境保护有关法规。本章主要对本项目设计采取的各项环境保护措施从技术可行性、可靠性和经济合理性等方面进行分析论证并提出改善意见，以便在项目实施过程中采用经济合理的污染防治工艺和设施，确保项目排污得到有效控制并达到相关要求。</w:t>
      </w:r>
    </w:p>
    <w:p w14:paraId="574BB652">
      <w:pPr>
        <w:keepNext w:val="0"/>
        <w:keepLines w:val="0"/>
        <w:widowControl w:val="0"/>
        <w:bidi w:val="0"/>
        <w:spacing w:before="120" w:after="120" w:line="500" w:lineRule="exact"/>
        <w:jc w:val="both"/>
        <w:outlineLvl w:val="1"/>
        <w:rPr>
          <w:rFonts w:hint="default" w:ascii="Times New Roman" w:hAnsi="Times New Roman" w:eastAsia="宋体" w:cs="Times New Roman"/>
          <w:b/>
          <w:bCs/>
          <w:sz w:val="30"/>
          <w:szCs w:val="30"/>
          <w:lang w:val="en-US" w:eastAsia="zh-CN" w:bidi="ar-SA"/>
        </w:rPr>
      </w:pPr>
      <w:bookmarkStart w:id="699" w:name="_Toc16843"/>
      <w:bookmarkStart w:id="700" w:name="_Toc474770783"/>
      <w:bookmarkStart w:id="701" w:name="_Toc14347"/>
      <w:bookmarkStart w:id="702" w:name="_Toc7729"/>
      <w:bookmarkStart w:id="703" w:name="_Toc11630"/>
      <w:r>
        <w:rPr>
          <w:rFonts w:hint="default" w:ascii="Times New Roman" w:hAnsi="Times New Roman" w:eastAsia="宋体" w:cs="Times New Roman"/>
          <w:b/>
          <w:bCs/>
          <w:sz w:val="30"/>
          <w:szCs w:val="30"/>
          <w:lang w:val="en-US" w:eastAsia="zh-CN" w:bidi="ar-SA"/>
        </w:rPr>
        <w:t>7.1施工期污染防治措施分析</w:t>
      </w:r>
      <w:bookmarkEnd w:id="699"/>
      <w:bookmarkEnd w:id="700"/>
      <w:bookmarkEnd w:id="701"/>
      <w:bookmarkEnd w:id="702"/>
      <w:bookmarkEnd w:id="703"/>
    </w:p>
    <w:p w14:paraId="4B8B2D42">
      <w:pPr>
        <w:keepNext w:val="0"/>
        <w:keepLines w:val="0"/>
        <w:widowControl w:val="0"/>
        <w:bidi w:val="0"/>
        <w:spacing w:before="0" w:after="0" w:line="500" w:lineRule="exact"/>
        <w:jc w:val="both"/>
        <w:outlineLvl w:val="2"/>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7.1.1施工期环境空气污染防治对策</w:t>
      </w:r>
    </w:p>
    <w:p w14:paraId="68354F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（1）</w:t>
      </w:r>
      <w:r>
        <w:rPr>
          <w:rFonts w:hint="default" w:ascii="Times New Roman" w:hAnsi="Times New Roman" w:eastAsia="宋体" w:cs="Times New Roman"/>
          <w:color w:val="000000"/>
          <w:kern w:val="2"/>
          <w:sz w:val="24"/>
          <w:szCs w:val="24"/>
          <w:highlight w:val="none"/>
          <w:lang w:val="en-US" w:eastAsia="zh-CN"/>
        </w:rPr>
        <w:t>施工扬尘</w:t>
      </w:r>
      <w:r>
        <w:rPr>
          <w:rFonts w:hint="eastAsia" w:ascii="Times New Roman" w:hAnsi="Times New Roman" w:eastAsia="宋体" w:cs="Times New Roman"/>
          <w:color w:val="000000"/>
          <w:kern w:val="2"/>
          <w:sz w:val="24"/>
          <w:szCs w:val="24"/>
          <w:highlight w:val="none"/>
          <w:lang w:val="en-US" w:eastAsia="zh-CN"/>
        </w:rPr>
        <w:t>防治措施</w:t>
      </w:r>
    </w:p>
    <w:p w14:paraId="04D887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施工期间扬尘影响范围较小，重污染带位于施工场地内，针对施工阶段的施工安排随机性较强等情况，建设单位采取以下措施以减轻其影响：</w:t>
      </w:r>
    </w:p>
    <w:p w14:paraId="1235C4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①</w:t>
      </w:r>
      <w:r>
        <w:rPr>
          <w:rFonts w:hint="default" w:ascii="Times New Roman" w:hAnsi="Times New Roman" w:eastAsia="宋体" w:cs="Times New Roman"/>
          <w:color w:val="000000"/>
          <w:kern w:val="2"/>
          <w:sz w:val="24"/>
          <w:szCs w:val="24"/>
          <w:highlight w:val="none"/>
          <w:lang w:val="en-US" w:eastAsia="zh-CN"/>
        </w:rPr>
        <w:t>加强施工扬尘监管，积极推进绿色施工，建设工程施工现场应</w:t>
      </w:r>
      <w:r>
        <w:rPr>
          <w:rFonts w:hint="eastAsia" w:ascii="Times New Roman" w:hAnsi="Times New Roman" w:eastAsia="宋体" w:cs="Times New Roman"/>
          <w:color w:val="000000"/>
          <w:kern w:val="2"/>
          <w:sz w:val="24"/>
          <w:szCs w:val="24"/>
          <w:highlight w:val="none"/>
          <w:lang w:val="en-US" w:eastAsia="zh-CN"/>
        </w:rPr>
        <w:t>对分输站</w:t>
      </w:r>
      <w:r>
        <w:rPr>
          <w:rFonts w:hint="default" w:ascii="Times New Roman" w:hAnsi="Times New Roman" w:eastAsia="宋体" w:cs="Times New Roman"/>
          <w:color w:val="000000"/>
          <w:kern w:val="2"/>
          <w:sz w:val="24"/>
          <w:szCs w:val="24"/>
          <w:highlight w:val="none"/>
          <w:lang w:val="en-US" w:eastAsia="zh-CN"/>
        </w:rPr>
        <w:t>设置</w:t>
      </w:r>
      <w:r>
        <w:rPr>
          <w:rFonts w:hint="eastAsia" w:ascii="Times New Roman" w:hAnsi="Times New Roman" w:eastAsia="宋体" w:cs="Times New Roman"/>
          <w:color w:val="000000"/>
          <w:kern w:val="2"/>
          <w:sz w:val="24"/>
          <w:szCs w:val="24"/>
          <w:highlight w:val="none"/>
          <w:lang w:val="en-US" w:eastAsia="zh-CN"/>
        </w:rPr>
        <w:t>全封闭</w:t>
      </w:r>
      <w:r>
        <w:rPr>
          <w:rFonts w:hint="default" w:ascii="Times New Roman" w:hAnsi="Times New Roman" w:eastAsia="宋体" w:cs="Times New Roman"/>
          <w:color w:val="000000"/>
          <w:kern w:val="2"/>
          <w:sz w:val="24"/>
          <w:szCs w:val="24"/>
          <w:highlight w:val="none"/>
          <w:lang w:val="en-US" w:eastAsia="zh-CN"/>
        </w:rPr>
        <w:t>围挡墙，围挡高度不得低于1.8m，严禁敞开式作业，施工现场道路应进行地面硬化。推行道路机械化清扫等低尘作业方式。</w:t>
      </w:r>
    </w:p>
    <w:p w14:paraId="2EECDD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②</w:t>
      </w:r>
      <w:r>
        <w:rPr>
          <w:rFonts w:hint="default" w:ascii="Times New Roman" w:hAnsi="Times New Roman" w:eastAsia="宋体" w:cs="Times New Roman"/>
          <w:color w:val="000000"/>
          <w:kern w:val="2"/>
          <w:sz w:val="24"/>
          <w:szCs w:val="24"/>
          <w:highlight w:val="none"/>
          <w:lang w:val="en-US" w:eastAsia="zh-CN"/>
        </w:rPr>
        <w:t>为防止材料运输中产生道路扬尘，应定时对道路洒水抑尘。施工运输车辆行驶</w:t>
      </w:r>
      <w:r>
        <w:rPr>
          <w:rFonts w:hint="eastAsia" w:ascii="Times New Roman" w:hAnsi="Times New Roman" w:eastAsia="宋体" w:cs="Times New Roman"/>
          <w:color w:val="000000"/>
          <w:kern w:val="2"/>
          <w:sz w:val="24"/>
          <w:szCs w:val="24"/>
          <w:highlight w:val="none"/>
          <w:lang w:val="en-US" w:eastAsia="zh-CN"/>
        </w:rPr>
        <w:t>限制车速</w:t>
      </w:r>
      <w:r>
        <w:rPr>
          <w:rFonts w:hint="default" w:ascii="Times New Roman" w:hAnsi="Times New Roman" w:eastAsia="宋体" w:cs="Times New Roman"/>
          <w:color w:val="000000"/>
          <w:kern w:val="2"/>
          <w:sz w:val="24"/>
          <w:szCs w:val="24"/>
          <w:highlight w:val="none"/>
          <w:lang w:val="en-US" w:eastAsia="zh-CN"/>
        </w:rPr>
        <w:t>，同时有利于施工现场安全。卸料时，应尽量降低高度，采取洒水抑尘措施。</w:t>
      </w:r>
    </w:p>
    <w:p w14:paraId="717FB1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③</w:t>
      </w:r>
      <w:r>
        <w:rPr>
          <w:rFonts w:hint="default" w:ascii="Times New Roman" w:hAnsi="Times New Roman" w:eastAsia="宋体" w:cs="Times New Roman"/>
          <w:color w:val="000000"/>
          <w:kern w:val="2"/>
          <w:sz w:val="24"/>
          <w:szCs w:val="24"/>
          <w:highlight w:val="none"/>
          <w:lang w:val="en-US" w:eastAsia="zh-CN" w:bidi="ar-SA"/>
        </w:rPr>
        <w:t>禁止露天堆放建筑材料，细颗粒散料要在施工场地做临时材料库进行封闭保存，搬运时轻拿轻放，防止包装袋破裂。</w:t>
      </w:r>
      <w:r>
        <w:rPr>
          <w:rFonts w:hint="default" w:ascii="Times New Roman" w:hAnsi="Times New Roman" w:eastAsia="宋体" w:cs="Times New Roman"/>
          <w:color w:val="000000"/>
          <w:kern w:val="2"/>
          <w:sz w:val="24"/>
          <w:szCs w:val="24"/>
          <w:highlight w:val="none"/>
          <w:lang w:val="en-US" w:eastAsia="zh-CN"/>
        </w:rPr>
        <w:t>风速过大时停止施工作业，并对堆放的砂石等建筑材料进行</w:t>
      </w:r>
      <w:r>
        <w:rPr>
          <w:rFonts w:hint="eastAsia" w:ascii="Times New Roman" w:hAnsi="Times New Roman" w:eastAsia="宋体" w:cs="Times New Roman"/>
          <w:color w:val="000000"/>
          <w:kern w:val="2"/>
          <w:sz w:val="24"/>
          <w:szCs w:val="24"/>
          <w:highlight w:val="none"/>
          <w:lang w:val="en-US" w:eastAsia="zh-CN"/>
        </w:rPr>
        <w:t>篷布遮盖</w:t>
      </w:r>
      <w:r>
        <w:rPr>
          <w:rFonts w:hint="default" w:ascii="Times New Roman" w:hAnsi="Times New Roman" w:eastAsia="宋体" w:cs="Times New Roman"/>
          <w:color w:val="000000"/>
          <w:kern w:val="2"/>
          <w:sz w:val="24"/>
          <w:szCs w:val="24"/>
          <w:highlight w:val="none"/>
          <w:lang w:val="en-US" w:eastAsia="zh-CN"/>
        </w:rPr>
        <w:t>处理。</w:t>
      </w:r>
    </w:p>
    <w:p w14:paraId="32F46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rPr>
        <w:t>④</w:t>
      </w:r>
      <w:r>
        <w:rPr>
          <w:rFonts w:hint="default" w:ascii="Times New Roman" w:hAnsi="Times New Roman" w:eastAsia="宋体" w:cs="Times New Roman"/>
          <w:color w:val="000000"/>
          <w:kern w:val="2"/>
          <w:sz w:val="24"/>
          <w:szCs w:val="24"/>
          <w:highlight w:val="none"/>
          <w:lang w:val="en-US" w:eastAsia="zh-CN" w:bidi="ar-SA"/>
        </w:rPr>
        <w:t>施工现场道路经常清扫，干旱季节要洒水。限制进出施工现场运输车辆的行驶速度，而且对运输水泥、土方和施工垃圾等易产生扬尘的车辆要严密遮盖，避免沿途撒落。在运送建筑垃圾出施工现场应对车辆进行必要的清洁处理，以免对周围环境造成二次污染。</w:t>
      </w:r>
    </w:p>
    <w:p w14:paraId="5BB90A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rPr>
        <w:t>⑤</w:t>
      </w:r>
      <w:r>
        <w:rPr>
          <w:rFonts w:hint="default" w:ascii="Times New Roman" w:hAnsi="Times New Roman" w:eastAsia="宋体" w:cs="Times New Roman"/>
          <w:color w:val="000000"/>
          <w:kern w:val="2"/>
          <w:sz w:val="24"/>
          <w:szCs w:val="24"/>
          <w:highlight w:val="none"/>
          <w:lang w:val="en-US" w:eastAsia="zh-CN" w:bidi="ar-SA"/>
        </w:rPr>
        <w:t>合理选择土石方堆场，不宜设置在厂区的上风向；保护施工区的工作环境，做到文明施工。</w:t>
      </w:r>
    </w:p>
    <w:p w14:paraId="4DE5BB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⑥</w:t>
      </w:r>
      <w:r>
        <w:rPr>
          <w:rFonts w:hint="default" w:ascii="Times New Roman" w:hAnsi="Times New Roman" w:eastAsia="宋体" w:cs="Times New Roman"/>
          <w:color w:val="000000"/>
          <w:kern w:val="2"/>
          <w:sz w:val="24"/>
          <w:szCs w:val="24"/>
          <w:highlight w:val="none"/>
          <w:lang w:val="en-US" w:eastAsia="zh-CN"/>
        </w:rPr>
        <w:t>施工现场扬尘防治</w:t>
      </w:r>
      <w:r>
        <w:rPr>
          <w:rFonts w:hint="eastAsia" w:ascii="Times New Roman" w:hAnsi="Times New Roman" w:eastAsia="宋体" w:cs="宋体"/>
          <w:color w:val="000000"/>
          <w:kern w:val="0"/>
          <w:sz w:val="24"/>
          <w:szCs w:val="24"/>
          <w:highlight w:val="none"/>
          <w:lang w:val="en-US" w:eastAsia="zh-CN" w:bidi="ar"/>
        </w:rPr>
        <w:t>做到工地周边围挡、物料堆放覆盖、土方开挖湿法作业、路面硬化、出入车辆清洗、渣土车辆密闭运输</w:t>
      </w:r>
      <w:r>
        <w:rPr>
          <w:rFonts w:hint="eastAsia" w:cs="宋体"/>
          <w:color w:val="000000"/>
          <w:kern w:val="0"/>
          <w:sz w:val="24"/>
          <w:szCs w:val="24"/>
          <w:highlight w:val="none"/>
          <w:lang w:val="en-US" w:eastAsia="zh-CN" w:bidi="ar"/>
        </w:rPr>
        <w:t>“</w:t>
      </w:r>
      <w:r>
        <w:rPr>
          <w:rFonts w:hint="eastAsia" w:ascii="Times New Roman" w:hAnsi="Times New Roman" w:eastAsia="宋体" w:cs="宋体"/>
          <w:color w:val="000000"/>
          <w:kern w:val="0"/>
          <w:sz w:val="24"/>
          <w:szCs w:val="24"/>
          <w:highlight w:val="none"/>
          <w:lang w:val="en-US" w:eastAsia="zh-CN" w:bidi="ar"/>
        </w:rPr>
        <w:t>六个百分百</w:t>
      </w:r>
      <w:r>
        <w:rPr>
          <w:rFonts w:hint="eastAsia" w:cs="宋体"/>
          <w:color w:val="000000"/>
          <w:kern w:val="0"/>
          <w:sz w:val="24"/>
          <w:szCs w:val="24"/>
          <w:highlight w:val="none"/>
          <w:lang w:val="en-US" w:eastAsia="zh-CN" w:bidi="ar"/>
        </w:rPr>
        <w:t>”</w:t>
      </w:r>
      <w:r>
        <w:rPr>
          <w:rFonts w:hint="default" w:ascii="Times New Roman" w:hAnsi="Times New Roman" w:eastAsia="宋体" w:cs="Times New Roman"/>
          <w:color w:val="000000"/>
          <w:kern w:val="2"/>
          <w:sz w:val="24"/>
          <w:szCs w:val="24"/>
          <w:highlight w:val="none"/>
          <w:lang w:val="en-US" w:eastAsia="zh-CN"/>
        </w:rPr>
        <w:t>。</w:t>
      </w:r>
    </w:p>
    <w:p w14:paraId="2035EC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在严格落实以上措施后，施工期产生的扬尘污染将得到有效控制，对施工</w:t>
      </w:r>
      <w:r>
        <w:rPr>
          <w:rFonts w:hint="default" w:ascii="Times New Roman" w:hAnsi="Times New Roman" w:eastAsia="宋体" w:cs="Times New Roman"/>
          <w:color w:val="000000"/>
          <w:spacing w:val="-6"/>
          <w:kern w:val="2"/>
          <w:sz w:val="24"/>
          <w:szCs w:val="24"/>
          <w:highlight w:val="none"/>
          <w:lang w:val="en-US" w:eastAsia="zh-CN"/>
        </w:rPr>
        <w:t>人员以及周边居民的影响基本在人们可接受范围之内，对区域大气环境影响不大。</w:t>
      </w:r>
    </w:p>
    <w:p w14:paraId="72000C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（2）</w:t>
      </w:r>
      <w:r>
        <w:rPr>
          <w:rFonts w:hint="default" w:ascii="Times New Roman" w:hAnsi="Times New Roman" w:eastAsia="宋体" w:cs="Times New Roman"/>
          <w:color w:val="000000"/>
          <w:kern w:val="2"/>
          <w:sz w:val="24"/>
          <w:szCs w:val="24"/>
          <w:highlight w:val="none"/>
          <w:lang w:val="en-US" w:eastAsia="zh-CN"/>
        </w:rPr>
        <w:t>施工机械、车辆尾气</w:t>
      </w:r>
      <w:r>
        <w:rPr>
          <w:rFonts w:hint="eastAsia" w:ascii="Times New Roman" w:hAnsi="Times New Roman" w:eastAsia="宋体" w:cs="Times New Roman"/>
          <w:color w:val="000000"/>
          <w:kern w:val="2"/>
          <w:sz w:val="24"/>
          <w:szCs w:val="24"/>
          <w:highlight w:val="none"/>
          <w:lang w:val="en-US" w:eastAsia="zh-CN"/>
        </w:rPr>
        <w:t>防治措施</w:t>
      </w:r>
    </w:p>
    <w:p w14:paraId="0D0133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施工机械、车辆以柴油为燃料，会产生一定量的废气，主要污染物为CO、NOx</w:t>
      </w:r>
      <w:r>
        <w:rPr>
          <w:rFonts w:hint="eastAsia" w:ascii="Times New Roman" w:hAnsi="Times New Roman" w:eastAsia="宋体" w:cs="Times New Roman"/>
          <w:color w:val="000000"/>
          <w:kern w:val="2"/>
          <w:sz w:val="24"/>
          <w:szCs w:val="24"/>
          <w:highlight w:val="none"/>
          <w:lang w:val="en-US" w:eastAsia="zh-CN"/>
        </w:rPr>
        <w:t>、THC</w:t>
      </w:r>
      <w:r>
        <w:rPr>
          <w:rFonts w:hint="default" w:ascii="Times New Roman" w:hAnsi="Times New Roman" w:eastAsia="宋体" w:cs="Times New Roman"/>
          <w:color w:val="000000"/>
          <w:kern w:val="2"/>
          <w:sz w:val="24"/>
          <w:szCs w:val="24"/>
          <w:highlight w:val="none"/>
          <w:lang w:val="en-US" w:eastAsia="zh-CN"/>
        </w:rPr>
        <w:t>等，建设单位拟采取以下措施，减小尾气对大气环境的影响：使用符合国家标准的工程车辆及施工机械，淘汰老、旧车辆及施工机械，使用符合燃油标号的油料；更新控制排放物装置，使用新型节油净化器和燃油增效剂，达到净化空气作用的同时又节省了燃油；为了保证尾气达标排放，所有燃油机械及运输车辆需安装尾气净化器；定期对施工机械进行维修、保养，始终保持发动机处于良好的状况，降低尾气中有害成分的浓度。</w:t>
      </w:r>
    </w:p>
    <w:p w14:paraId="726128BB">
      <w:pPr>
        <w:keepNext w:val="0"/>
        <w:keepLines w:val="0"/>
        <w:widowControl w:val="0"/>
        <w:bidi w:val="0"/>
        <w:spacing w:before="0" w:after="0" w:line="500" w:lineRule="exact"/>
        <w:jc w:val="both"/>
        <w:outlineLvl w:val="2"/>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7.1.2施工期水污染防治对策</w:t>
      </w:r>
    </w:p>
    <w:p w14:paraId="5AEED58F">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（1）对施工的主要污水排放要进行控制和处理；建设单位和施工单位要重视施工污水排放的管理，杜绝不处理和无组织排放；</w:t>
      </w:r>
    </w:p>
    <w:p w14:paraId="15D07F91">
      <w:pPr>
        <w:widowControl w:val="0"/>
        <w:spacing w:after="0" w:line="52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（2）施工人员生活污水</w:t>
      </w:r>
      <w:r>
        <w:rPr>
          <w:rFonts w:hint="eastAsia" w:ascii="Times New Roman" w:hAnsi="Times New Roman" w:eastAsia="宋体" w:cs="Times New Roman"/>
          <w:color w:val="auto"/>
          <w:kern w:val="2"/>
          <w:sz w:val="24"/>
          <w:szCs w:val="24"/>
          <w:highlight w:val="none"/>
          <w:lang w:val="en-US" w:eastAsia="zh-CN" w:bidi="ar-SA"/>
        </w:rPr>
        <w:t>主要为</w:t>
      </w:r>
      <w:r>
        <w:rPr>
          <w:rFonts w:hint="default" w:ascii="Times New Roman" w:hAnsi="Times New Roman" w:eastAsia="宋体" w:cs="Times New Roman"/>
          <w:color w:val="auto"/>
          <w:kern w:val="2"/>
          <w:sz w:val="24"/>
          <w:szCs w:val="24"/>
          <w:highlight w:val="none"/>
          <w:lang w:val="en-US" w:eastAsia="zh-CN" w:bidi="ar-SA"/>
        </w:rPr>
        <w:t>施工人员洗漱废水，产生的废水排入</w:t>
      </w:r>
      <w:r>
        <w:rPr>
          <w:rFonts w:hint="eastAsia" w:ascii="Times New Roman" w:hAnsi="Times New Roman" w:eastAsia="宋体" w:cs="Times New Roman"/>
          <w:color w:val="auto"/>
          <w:kern w:val="2"/>
          <w:sz w:val="24"/>
          <w:szCs w:val="24"/>
          <w:highlight w:val="none"/>
          <w:lang w:val="en-US" w:eastAsia="zh-CN" w:bidi="ar-SA"/>
        </w:rPr>
        <w:t>临时防渗化粪池，由吸污车定期运至污水处理厂处置</w:t>
      </w:r>
      <w:r>
        <w:rPr>
          <w:rFonts w:hint="default" w:ascii="Times New Roman" w:hAnsi="Times New Roman" w:eastAsia="宋体" w:cs="Times New Roman"/>
          <w:color w:val="auto"/>
          <w:kern w:val="2"/>
          <w:sz w:val="24"/>
          <w:szCs w:val="24"/>
          <w:highlight w:val="none"/>
          <w:lang w:val="en-US" w:eastAsia="zh-CN" w:bidi="ar-SA"/>
        </w:rPr>
        <w:t>；生产废水中含泥沙污水排入沉淀池，经沉淀后回用</w:t>
      </w:r>
      <w:r>
        <w:rPr>
          <w:rFonts w:hint="eastAsia" w:ascii="Times New Roman" w:hAnsi="Times New Roman" w:eastAsia="宋体" w:cs="Times New Roman"/>
          <w:color w:val="auto"/>
          <w:kern w:val="2"/>
          <w:sz w:val="24"/>
          <w:szCs w:val="24"/>
          <w:highlight w:val="none"/>
          <w:lang w:val="en-US" w:eastAsia="zh-CN" w:bidi="ar-SA"/>
        </w:rPr>
        <w:t>于</w:t>
      </w:r>
      <w:r>
        <w:rPr>
          <w:rFonts w:hint="default" w:ascii="Times New Roman" w:hAnsi="Times New Roman" w:eastAsia="宋体" w:cs="Times New Roman"/>
          <w:color w:val="auto"/>
          <w:kern w:val="2"/>
          <w:sz w:val="24"/>
          <w:szCs w:val="24"/>
          <w:highlight w:val="none"/>
          <w:lang w:val="en-US" w:eastAsia="zh-CN" w:bidi="ar-SA"/>
        </w:rPr>
        <w:t>施工现场降尘</w:t>
      </w:r>
      <w:r>
        <w:rPr>
          <w:rFonts w:hint="eastAsia" w:ascii="Times New Roman" w:hAnsi="Times New Roman" w:eastAsia="宋体" w:cs="Times New Roman"/>
          <w:color w:val="auto"/>
          <w:kern w:val="2"/>
          <w:sz w:val="24"/>
          <w:szCs w:val="24"/>
          <w:highlight w:val="none"/>
          <w:lang w:val="en-US" w:eastAsia="zh-CN" w:bidi="ar-SA"/>
        </w:rPr>
        <w:t>，不外排</w:t>
      </w:r>
      <w:r>
        <w:rPr>
          <w:rFonts w:hint="default" w:ascii="Times New Roman" w:hAnsi="Times New Roman" w:eastAsia="宋体" w:cs="Times New Roman"/>
          <w:color w:val="auto"/>
          <w:kern w:val="2"/>
          <w:sz w:val="24"/>
          <w:szCs w:val="24"/>
          <w:highlight w:val="none"/>
          <w:lang w:val="en-US" w:eastAsia="zh-CN" w:bidi="ar-SA"/>
        </w:rPr>
        <w:t>。</w:t>
      </w:r>
    </w:p>
    <w:p w14:paraId="14A90D4E">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（3）加强对施工人员的环保宣传教育。</w:t>
      </w:r>
    </w:p>
    <w:p w14:paraId="24D658A8">
      <w:pPr>
        <w:keepNext w:val="0"/>
        <w:keepLines w:val="0"/>
        <w:widowControl w:val="0"/>
        <w:bidi w:val="0"/>
        <w:spacing w:before="0" w:after="0" w:line="500" w:lineRule="exact"/>
        <w:jc w:val="both"/>
        <w:outlineLvl w:val="2"/>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7.1.3施工期噪声污染防治对策</w:t>
      </w:r>
    </w:p>
    <w:p w14:paraId="65C1F936">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本项目施工中噪声污染防治应从施工机械、运输工具、施工方法及对施工人员采取保护为原则，噪声控制要严格按《</w:t>
      </w:r>
      <w:r>
        <w:rPr>
          <w:rFonts w:hint="eastAsia" w:ascii="Times New Roman" w:hAnsi="Times New Roman" w:eastAsia="宋体" w:cs="Times New Roman"/>
          <w:color w:val="000000"/>
          <w:kern w:val="2"/>
          <w:sz w:val="24"/>
          <w:szCs w:val="24"/>
          <w:highlight w:val="none"/>
          <w:lang w:val="en-US" w:eastAsia="zh-CN" w:bidi="ar-SA"/>
        </w:rPr>
        <w:t>建筑施工噪声排放标准</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（GB 12523-2025）</w:t>
      </w:r>
      <w:r>
        <w:rPr>
          <w:rFonts w:hint="default" w:ascii="Times New Roman" w:hAnsi="Times New Roman" w:eastAsia="宋体" w:cs="Times New Roman"/>
          <w:color w:val="000000"/>
          <w:kern w:val="2"/>
          <w:sz w:val="24"/>
          <w:szCs w:val="24"/>
          <w:highlight w:val="none"/>
          <w:lang w:val="en-US" w:eastAsia="zh-CN" w:bidi="ar-SA"/>
        </w:rPr>
        <w:t>执行，减少施工噪声对施工人员及周围环境的影响。</w:t>
      </w:r>
    </w:p>
    <w:p w14:paraId="4342908B">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（1）</w:t>
      </w:r>
      <w:r>
        <w:rPr>
          <w:rFonts w:hint="default" w:ascii="Times New Roman" w:hAnsi="Times New Roman" w:eastAsia="宋体" w:cs="Times New Roman"/>
          <w:color w:val="000000"/>
          <w:kern w:val="2"/>
          <w:sz w:val="24"/>
          <w:szCs w:val="24"/>
          <w:highlight w:val="none"/>
          <w:lang w:val="en-US" w:eastAsia="zh-CN" w:bidi="ar-SA"/>
        </w:rPr>
        <w:t>合理安排施工机械的使用，减少或限制高噪声设备的使用时间，加强各种施工机械的维修保养，噪声较大的作业安排在白天进行。</w:t>
      </w:r>
    </w:p>
    <w:p w14:paraId="6A49943D">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）针对具体机械设备采取多种措施降噪：</w:t>
      </w:r>
    </w:p>
    <w:p w14:paraId="2D795AD0">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①固定机械设备与挖土、运土机械，如挖土机、推土机等，对于位置固定的这些机械设备，如不能在操作间工作的，可适当建立临时单面声屏障；</w:t>
      </w:r>
    </w:p>
    <w:p w14:paraId="7B6655B0">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②通过</w:t>
      </w:r>
      <w:r>
        <w:rPr>
          <w:rFonts w:hint="eastAsia" w:ascii="Times New Roman" w:hAnsi="Times New Roman" w:eastAsia="宋体" w:cs="Times New Roman"/>
          <w:color w:val="000000"/>
          <w:kern w:val="2"/>
          <w:sz w:val="24"/>
          <w:szCs w:val="24"/>
          <w:highlight w:val="none"/>
          <w:lang w:val="en-US" w:eastAsia="zh-CN" w:bidi="ar-SA"/>
        </w:rPr>
        <w:t>消声器</w:t>
      </w:r>
      <w:r>
        <w:rPr>
          <w:rFonts w:hint="default" w:ascii="Times New Roman" w:hAnsi="Times New Roman" w:eastAsia="宋体" w:cs="Times New Roman"/>
          <w:color w:val="000000"/>
          <w:kern w:val="2"/>
          <w:sz w:val="24"/>
          <w:szCs w:val="24"/>
          <w:highlight w:val="none"/>
          <w:lang w:val="en-US" w:eastAsia="zh-CN" w:bidi="ar-SA"/>
        </w:rPr>
        <w:t>和隔离发动机振动部件的方法降低噪声；空压机、发电机等高噪声设备，采用固定式或活动式隔声罩或隔声屏障进行局部遮挡；</w:t>
      </w:r>
    </w:p>
    <w:p w14:paraId="026240B1">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③加强对设备的维护、养护，闲置设备应立即关闭；</w:t>
      </w:r>
    </w:p>
    <w:p w14:paraId="381B55F2">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④加强施工管理，降低人为噪声影响加强施工期间的车辆、人员调度和管理，按操作规范操作机械设备避免操作过程中减少碰撞噪声，并对工人进行环保方面的教育。在</w:t>
      </w:r>
      <w:r>
        <w:rPr>
          <w:rFonts w:hint="eastAsia" w:ascii="Times New Roman" w:hAnsi="Times New Roman" w:eastAsia="宋体" w:cs="Times New Roman"/>
          <w:color w:val="000000"/>
          <w:kern w:val="2"/>
          <w:sz w:val="24"/>
          <w:szCs w:val="24"/>
          <w:highlight w:val="none"/>
          <w:lang w:val="en-US" w:eastAsia="zh-CN" w:bidi="ar-SA"/>
        </w:rPr>
        <w:t>装卸过程</w:t>
      </w:r>
      <w:r>
        <w:rPr>
          <w:rFonts w:hint="default" w:ascii="Times New Roman" w:hAnsi="Times New Roman" w:eastAsia="宋体" w:cs="Times New Roman"/>
          <w:color w:val="000000"/>
          <w:kern w:val="2"/>
          <w:sz w:val="24"/>
          <w:szCs w:val="24"/>
          <w:highlight w:val="none"/>
          <w:lang w:val="en-US" w:eastAsia="zh-CN" w:bidi="ar-SA"/>
        </w:rPr>
        <w:t>中，禁止野蛮作业，减少作业噪声；</w:t>
      </w:r>
    </w:p>
    <w:p w14:paraId="2F57BE35">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（3）合理安排运输车辆的路线和行驶速度。运输车辆的进出应确定固定运输路线，夜间</w:t>
      </w:r>
      <w:r>
        <w:rPr>
          <w:rFonts w:hint="eastAsia" w:ascii="Times New Roman" w:hAnsi="Times New Roman" w:eastAsia="宋体" w:cs="Times New Roman"/>
          <w:color w:val="000000"/>
          <w:kern w:val="2"/>
          <w:sz w:val="24"/>
          <w:szCs w:val="24"/>
          <w:highlight w:val="none"/>
          <w:lang w:val="en-US" w:eastAsia="zh-CN" w:bidi="ar-SA"/>
        </w:rPr>
        <w:t>停止</w:t>
      </w:r>
      <w:r>
        <w:rPr>
          <w:rFonts w:hint="default" w:ascii="Times New Roman" w:hAnsi="Times New Roman" w:eastAsia="宋体" w:cs="Times New Roman"/>
          <w:color w:val="000000"/>
          <w:kern w:val="2"/>
          <w:sz w:val="24"/>
          <w:szCs w:val="24"/>
          <w:highlight w:val="none"/>
          <w:lang w:val="en-US" w:eastAsia="zh-CN" w:bidi="ar-SA"/>
        </w:rPr>
        <w:t>运输，经过</w:t>
      </w:r>
      <w:r>
        <w:rPr>
          <w:rFonts w:hint="eastAsia" w:ascii="Times New Roman" w:hAnsi="Times New Roman" w:eastAsia="宋体" w:cs="Times New Roman"/>
          <w:color w:val="000000"/>
          <w:kern w:val="2"/>
          <w:sz w:val="24"/>
          <w:szCs w:val="24"/>
          <w:highlight w:val="none"/>
          <w:lang w:val="en-US" w:eastAsia="zh-CN" w:bidi="ar-SA"/>
        </w:rPr>
        <w:t>村庄</w:t>
      </w:r>
      <w:r>
        <w:rPr>
          <w:rFonts w:hint="default" w:ascii="Times New Roman" w:hAnsi="Times New Roman" w:eastAsia="宋体" w:cs="Times New Roman"/>
          <w:color w:val="000000"/>
          <w:kern w:val="2"/>
          <w:sz w:val="24"/>
          <w:szCs w:val="24"/>
          <w:highlight w:val="none"/>
          <w:lang w:val="en-US" w:eastAsia="zh-CN" w:bidi="ar-SA"/>
        </w:rPr>
        <w:t>路段时减少或杜绝鸣笛；适当限制大型载重车的车速，尤其进入噪声敏感区时应限速。</w:t>
      </w:r>
    </w:p>
    <w:p w14:paraId="12637C55">
      <w:pPr>
        <w:keepNext w:val="0"/>
        <w:keepLines w:val="0"/>
        <w:widowControl w:val="0"/>
        <w:bidi w:val="0"/>
        <w:spacing w:before="0" w:after="0" w:line="500" w:lineRule="exact"/>
        <w:jc w:val="both"/>
        <w:outlineLvl w:val="2"/>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7.1.4施工期固体废物处置措施</w:t>
      </w:r>
    </w:p>
    <w:p w14:paraId="61C174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施工期固体废弃物主要为</w:t>
      </w:r>
      <w:r>
        <w:rPr>
          <w:rFonts w:hint="eastAsia" w:ascii="Times New Roman" w:hAnsi="Times New Roman" w:eastAsia="宋体" w:cs="Times New Roman"/>
          <w:color w:val="000000"/>
          <w:kern w:val="0"/>
          <w:sz w:val="24"/>
          <w:szCs w:val="24"/>
          <w:highlight w:val="none"/>
          <w:lang w:val="en-US" w:eastAsia="zh-CN"/>
        </w:rPr>
        <w:t>土石方</w:t>
      </w:r>
      <w:r>
        <w:rPr>
          <w:rFonts w:hint="default" w:ascii="Times New Roman" w:hAnsi="Times New Roman" w:eastAsia="宋体" w:cs="Times New Roman"/>
          <w:color w:val="000000"/>
          <w:kern w:val="0"/>
          <w:sz w:val="24"/>
          <w:szCs w:val="24"/>
          <w:highlight w:val="none"/>
          <w:lang w:val="en-US" w:eastAsia="zh-CN"/>
        </w:rPr>
        <w:t>、</w:t>
      </w:r>
      <w:r>
        <w:rPr>
          <w:rFonts w:hint="eastAsia" w:ascii="Times New Roman" w:hAnsi="Times New Roman" w:eastAsia="宋体" w:cs="Times New Roman"/>
          <w:color w:val="000000"/>
          <w:kern w:val="0"/>
          <w:sz w:val="24"/>
          <w:szCs w:val="24"/>
          <w:highlight w:val="none"/>
          <w:lang w:val="en-US" w:eastAsia="zh-CN"/>
        </w:rPr>
        <w:t>建筑垃圾</w:t>
      </w:r>
      <w:r>
        <w:rPr>
          <w:rFonts w:hint="default" w:ascii="Times New Roman" w:hAnsi="Times New Roman" w:eastAsia="宋体" w:cs="Times New Roman"/>
          <w:color w:val="000000"/>
          <w:kern w:val="0"/>
          <w:sz w:val="24"/>
          <w:szCs w:val="24"/>
          <w:highlight w:val="none"/>
          <w:lang w:val="en-US" w:eastAsia="zh-CN"/>
        </w:rPr>
        <w:t>、施工人员产生的生活垃圾等。施工过程中的</w:t>
      </w:r>
      <w:r>
        <w:rPr>
          <w:rFonts w:hint="eastAsia" w:ascii="Times New Roman" w:hAnsi="Times New Roman" w:eastAsia="宋体" w:cs="Times New Roman"/>
          <w:color w:val="000000"/>
          <w:kern w:val="0"/>
          <w:sz w:val="24"/>
          <w:szCs w:val="24"/>
          <w:highlight w:val="none"/>
          <w:lang w:val="en-US" w:eastAsia="zh-CN"/>
        </w:rPr>
        <w:t>挖方</w:t>
      </w:r>
      <w:r>
        <w:rPr>
          <w:rFonts w:hint="default" w:ascii="Times New Roman" w:hAnsi="Times New Roman" w:eastAsia="宋体" w:cs="Times New Roman"/>
          <w:color w:val="000000"/>
          <w:kern w:val="0"/>
          <w:sz w:val="24"/>
          <w:szCs w:val="24"/>
          <w:highlight w:val="none"/>
          <w:lang w:val="en-US" w:eastAsia="zh-CN"/>
        </w:rPr>
        <w:t>，若遇大风天气易产生风蚀扬尘污染周围大气环境；在雨季易随降水产生地面径流，造成水土流失；施工人员的生活垃圾若不及时清运处理，则会腐烂变质、滋生苍蝇蚊虫、产生恶臭、传染疾病，从而给周围环境和作业人员健康带来不利影响。</w:t>
      </w:r>
    </w:p>
    <w:p w14:paraId="495246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为了减少固体废物对环境产生不良影响，评价要求项目在施工期应严格采取如下污染控制措施：</w:t>
      </w:r>
    </w:p>
    <w:p w14:paraId="0A99A0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（1）施工期产生的</w:t>
      </w:r>
      <w:r>
        <w:rPr>
          <w:rFonts w:hint="eastAsia" w:ascii="Times New Roman" w:hAnsi="Times New Roman" w:eastAsia="宋体" w:cs="Times New Roman"/>
          <w:color w:val="000000"/>
          <w:kern w:val="0"/>
          <w:sz w:val="24"/>
          <w:szCs w:val="24"/>
          <w:highlight w:val="none"/>
          <w:lang w:val="en-US" w:eastAsia="zh-CN"/>
        </w:rPr>
        <w:t>挖方</w:t>
      </w:r>
      <w:r>
        <w:rPr>
          <w:rFonts w:hint="default" w:ascii="Times New Roman" w:hAnsi="Times New Roman" w:eastAsia="宋体" w:cs="Times New Roman"/>
          <w:color w:val="000000"/>
          <w:kern w:val="0"/>
          <w:sz w:val="24"/>
          <w:szCs w:val="24"/>
          <w:highlight w:val="none"/>
          <w:lang w:val="en-US" w:eastAsia="zh-CN"/>
        </w:rPr>
        <w:t>用于道路铺垫，</w:t>
      </w:r>
      <w:r>
        <w:rPr>
          <w:rFonts w:hint="eastAsia" w:ascii="Times New Roman" w:hAnsi="Times New Roman" w:eastAsia="宋体" w:cs="Times New Roman"/>
          <w:color w:val="000000"/>
          <w:kern w:val="0"/>
          <w:sz w:val="24"/>
          <w:szCs w:val="24"/>
          <w:highlight w:val="none"/>
          <w:lang w:val="en-US" w:eastAsia="zh-CN"/>
        </w:rPr>
        <w:t>施工作业带</w:t>
      </w:r>
      <w:r>
        <w:rPr>
          <w:rFonts w:hint="default" w:ascii="Times New Roman" w:hAnsi="Times New Roman" w:eastAsia="宋体" w:cs="Times New Roman"/>
          <w:color w:val="000000"/>
          <w:kern w:val="0"/>
          <w:sz w:val="24"/>
          <w:szCs w:val="24"/>
          <w:highlight w:val="none"/>
          <w:lang w:val="en-US" w:eastAsia="zh-CN"/>
        </w:rPr>
        <w:t>平整。</w:t>
      </w:r>
      <w:r>
        <w:rPr>
          <w:rFonts w:hint="eastAsia" w:ascii="Times New Roman" w:hAnsi="Times New Roman" w:eastAsia="宋体" w:cs="Times New Roman"/>
          <w:color w:val="000000"/>
          <w:kern w:val="0"/>
          <w:sz w:val="24"/>
          <w:szCs w:val="24"/>
          <w:highlight w:val="none"/>
          <w:lang w:val="en-US" w:eastAsia="zh-CN"/>
        </w:rPr>
        <w:t>挖方未回填之前进行堆放时应</w:t>
      </w:r>
      <w:r>
        <w:rPr>
          <w:rFonts w:hint="default" w:ascii="Times New Roman" w:hAnsi="Times New Roman" w:eastAsia="宋体" w:cs="Times New Roman"/>
          <w:color w:val="000000"/>
          <w:kern w:val="0"/>
          <w:sz w:val="24"/>
          <w:szCs w:val="24"/>
          <w:highlight w:val="none"/>
          <w:lang w:val="en-US" w:eastAsia="zh-CN"/>
        </w:rPr>
        <w:t>加盖防尘网，做到及时清理以减缓对区域环境空气的影响。</w:t>
      </w:r>
    </w:p>
    <w:p w14:paraId="36C5B5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（2）施工期生活垃圾集中收集，日产日清，严禁随处堆放</w:t>
      </w:r>
      <w:r>
        <w:rPr>
          <w:rFonts w:hint="eastAsia" w:ascii="Times New Roman" w:hAnsi="Times New Roman" w:eastAsia="宋体" w:cs="Times New Roman"/>
          <w:color w:val="000000"/>
          <w:kern w:val="0"/>
          <w:sz w:val="24"/>
          <w:szCs w:val="24"/>
          <w:highlight w:val="none"/>
          <w:lang w:val="en-US" w:eastAsia="zh-CN"/>
        </w:rPr>
        <w:t>，委托环卫部门定期清运</w:t>
      </w:r>
      <w:r>
        <w:rPr>
          <w:rFonts w:hint="default" w:ascii="Times New Roman" w:hAnsi="Times New Roman" w:eastAsia="宋体" w:cs="Times New Roman"/>
          <w:color w:val="000000"/>
          <w:kern w:val="0"/>
          <w:sz w:val="24"/>
          <w:szCs w:val="24"/>
          <w:highlight w:val="none"/>
          <w:lang w:val="en-US" w:eastAsia="zh-CN"/>
        </w:rPr>
        <w:t>。</w:t>
      </w:r>
    </w:p>
    <w:p w14:paraId="503C0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rPr>
        <w:t>（3）加强施工管理，合理安排施工进度，建筑垃圾由建设单位</w:t>
      </w:r>
      <w:r>
        <w:rPr>
          <w:rFonts w:hint="eastAsia" w:ascii="Times New Roman" w:hAnsi="Times New Roman" w:eastAsia="宋体" w:cs="Times New Roman"/>
          <w:color w:val="000000"/>
          <w:kern w:val="0"/>
          <w:sz w:val="24"/>
          <w:szCs w:val="24"/>
          <w:highlight w:val="none"/>
          <w:lang w:val="en-US" w:eastAsia="zh-CN"/>
        </w:rPr>
        <w:t>拉</w:t>
      </w:r>
      <w:r>
        <w:rPr>
          <w:rFonts w:hint="default" w:ascii="Times New Roman" w:hAnsi="Times New Roman" w:eastAsia="宋体" w:cs="Times New Roman"/>
          <w:color w:val="000000"/>
          <w:kern w:val="0"/>
          <w:sz w:val="24"/>
          <w:szCs w:val="24"/>
          <w:highlight w:val="none"/>
          <w:lang w:val="en-US" w:eastAsia="zh-CN"/>
        </w:rPr>
        <w:t>运至</w:t>
      </w:r>
      <w:r>
        <w:rPr>
          <w:rFonts w:hint="eastAsia" w:ascii="Times New Roman" w:hAnsi="Times New Roman" w:eastAsia="宋体" w:cs="Times New Roman"/>
          <w:color w:val="000000"/>
          <w:kern w:val="0"/>
          <w:sz w:val="24"/>
          <w:szCs w:val="24"/>
          <w:highlight w:val="none"/>
          <w:lang w:val="en-US" w:eastAsia="zh-CN"/>
        </w:rPr>
        <w:t>指定的建筑垃圾堆放场所，</w:t>
      </w:r>
      <w:r>
        <w:rPr>
          <w:rFonts w:hint="eastAsia" w:ascii="Times New Roman" w:hAnsi="Times New Roman" w:eastAsia="宋体" w:cs="Times New Roman"/>
          <w:color w:val="000000"/>
          <w:kern w:val="2"/>
          <w:sz w:val="24"/>
          <w:szCs w:val="20"/>
          <w:highlight w:val="none"/>
          <w:lang w:val="en-US" w:eastAsia="zh-CN"/>
        </w:rPr>
        <w:t>部分废塑料、废弃钢筋和钢板等可回收固废，分类收集后外售回收单位处置</w:t>
      </w:r>
      <w:r>
        <w:rPr>
          <w:rFonts w:hint="default" w:ascii="Times New Roman" w:hAnsi="Times New Roman" w:eastAsia="宋体" w:cs="Times New Roman"/>
          <w:color w:val="000000"/>
          <w:kern w:val="0"/>
          <w:sz w:val="24"/>
          <w:szCs w:val="24"/>
          <w:highlight w:val="none"/>
          <w:lang w:val="en-US" w:eastAsia="zh-CN"/>
        </w:rPr>
        <w:t>。</w:t>
      </w:r>
    </w:p>
    <w:p w14:paraId="09B88A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rPr>
        <w:t>采取上述措施后，施工期固体废物均可得到妥善处置，因此不会对周围环境产生明显影响。</w:t>
      </w:r>
    </w:p>
    <w:p w14:paraId="4D73B93A">
      <w:pPr>
        <w:keepNext w:val="0"/>
        <w:keepLines w:val="0"/>
        <w:widowControl w:val="0"/>
        <w:bidi w:val="0"/>
        <w:spacing w:before="0" w:after="0" w:line="500" w:lineRule="exact"/>
        <w:jc w:val="both"/>
        <w:outlineLvl w:val="2"/>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7.1.5施工期生态环境保护措施</w:t>
      </w:r>
    </w:p>
    <w:p w14:paraId="057925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施工期对当地生态环境的破坏主要表现在土建施工时对土地扰动作用，造成植被的破坏、短期内使水土流失加剧，对局部生态环境有不利影响。</w:t>
      </w:r>
    </w:p>
    <w:p w14:paraId="449D9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（1）</w:t>
      </w:r>
      <w:r>
        <w:rPr>
          <w:rFonts w:hint="default" w:ascii="Times New Roman" w:hAnsi="Times New Roman" w:eastAsia="宋体" w:cs="Times New Roman"/>
          <w:color w:val="000000"/>
          <w:kern w:val="2"/>
          <w:sz w:val="24"/>
          <w:szCs w:val="24"/>
          <w:highlight w:val="none"/>
          <w:lang w:val="en-US" w:eastAsia="zh-CN"/>
        </w:rPr>
        <w:t>植被的保护与恢复措施</w:t>
      </w:r>
    </w:p>
    <w:p w14:paraId="5338F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施工期土方等严禁就地倾倒覆压植被，同时采取护坡、挡土墙等防护措施。严格划定施工范围和人员、车辆的行走路线，避免对施工范围之外的区域的植被造成碾压和破坏。</w:t>
      </w:r>
    </w:p>
    <w:p w14:paraId="2C135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对施工范围内的地表植被，施工前应先剥离移地养护保存，以便施工中或施工后恢复利用。在</w:t>
      </w:r>
      <w:r>
        <w:rPr>
          <w:rFonts w:hint="eastAsia" w:cs="Times New Roman"/>
          <w:color w:val="000000"/>
          <w:kern w:val="2"/>
          <w:sz w:val="24"/>
          <w:szCs w:val="24"/>
          <w:highlight w:val="none"/>
          <w:lang w:val="en-US" w:eastAsia="zh-CN"/>
        </w:rPr>
        <w:t>“</w:t>
      </w:r>
      <w:r>
        <w:rPr>
          <w:rFonts w:hint="default" w:ascii="Times New Roman" w:hAnsi="Times New Roman" w:eastAsia="宋体" w:cs="Times New Roman"/>
          <w:color w:val="000000"/>
          <w:kern w:val="2"/>
          <w:sz w:val="24"/>
          <w:szCs w:val="24"/>
          <w:highlight w:val="none"/>
          <w:lang w:val="en-US" w:eastAsia="zh-CN"/>
        </w:rPr>
        <w:t>适地适树、适地适草</w:t>
      </w:r>
      <w:r>
        <w:rPr>
          <w:rFonts w:hint="eastAsia" w:cs="Times New Roman"/>
          <w:color w:val="000000"/>
          <w:kern w:val="2"/>
          <w:sz w:val="24"/>
          <w:szCs w:val="24"/>
          <w:highlight w:val="none"/>
          <w:lang w:val="en-US" w:eastAsia="zh-CN"/>
        </w:rPr>
        <w:t>”</w:t>
      </w:r>
      <w:r>
        <w:rPr>
          <w:rFonts w:hint="default" w:ascii="Times New Roman" w:hAnsi="Times New Roman" w:eastAsia="宋体" w:cs="Times New Roman"/>
          <w:color w:val="000000"/>
          <w:kern w:val="2"/>
          <w:sz w:val="24"/>
          <w:szCs w:val="24"/>
          <w:highlight w:val="none"/>
          <w:lang w:val="en-US" w:eastAsia="zh-CN"/>
        </w:rPr>
        <w:t>的原则下，树种、草种应以选择当地优良的乡土树种</w:t>
      </w:r>
      <w:r>
        <w:rPr>
          <w:rFonts w:hint="eastAsia" w:ascii="Times New Roman" w:hAnsi="Times New Roman" w:eastAsia="宋体" w:cs="Times New Roman"/>
          <w:color w:val="000000"/>
          <w:kern w:val="2"/>
          <w:sz w:val="24"/>
          <w:szCs w:val="24"/>
          <w:highlight w:val="none"/>
          <w:lang w:val="en-US" w:eastAsia="zh-CN"/>
        </w:rPr>
        <w:t>、</w:t>
      </w:r>
      <w:r>
        <w:rPr>
          <w:rFonts w:hint="default" w:ascii="Times New Roman" w:hAnsi="Times New Roman" w:eastAsia="宋体" w:cs="Times New Roman"/>
          <w:color w:val="000000"/>
          <w:kern w:val="2"/>
          <w:sz w:val="24"/>
          <w:szCs w:val="24"/>
          <w:highlight w:val="none"/>
          <w:lang w:val="en-US" w:eastAsia="zh-CN"/>
        </w:rPr>
        <w:t>草种为主，保证绿化栽植的成活率，并通过建立外来物种环境影响评价制度和加强外来物种引进的监管工作等来防止外来物种的入侵，保护本地物种。</w:t>
      </w:r>
    </w:p>
    <w:p w14:paraId="40D313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（2）动物的保护措施</w:t>
      </w:r>
    </w:p>
    <w:p w14:paraId="03F0A3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做好保护野生动物的宣传工作，</w:t>
      </w:r>
      <w:r>
        <w:rPr>
          <w:rFonts w:hint="eastAsia" w:ascii="Times New Roman" w:hAnsi="Times New Roman" w:eastAsia="宋体" w:cs="Times New Roman"/>
          <w:color w:val="000000"/>
          <w:kern w:val="2"/>
          <w:sz w:val="24"/>
          <w:szCs w:val="24"/>
          <w:highlight w:val="none"/>
          <w:lang w:val="en-US" w:eastAsia="zh-CN"/>
        </w:rPr>
        <w:t>增强</w:t>
      </w:r>
      <w:r>
        <w:rPr>
          <w:rFonts w:hint="default" w:ascii="Times New Roman" w:hAnsi="Times New Roman" w:eastAsia="宋体" w:cs="Times New Roman"/>
          <w:color w:val="000000"/>
          <w:kern w:val="2"/>
          <w:sz w:val="24"/>
          <w:szCs w:val="24"/>
          <w:highlight w:val="none"/>
          <w:lang w:val="en-US" w:eastAsia="zh-CN"/>
        </w:rPr>
        <w:t>施工人员的保护意识，严格遵守《中华人民共和国野生动物保护法》，严禁在施工</w:t>
      </w:r>
      <w:r>
        <w:rPr>
          <w:rFonts w:hint="eastAsia" w:ascii="Times New Roman" w:hAnsi="Times New Roman" w:eastAsia="宋体" w:cs="Times New Roman"/>
          <w:color w:val="000000"/>
          <w:kern w:val="2"/>
          <w:sz w:val="24"/>
          <w:szCs w:val="24"/>
          <w:highlight w:val="none"/>
          <w:lang w:val="en-US" w:eastAsia="zh-CN"/>
        </w:rPr>
        <w:t>期间</w:t>
      </w:r>
      <w:r>
        <w:rPr>
          <w:rFonts w:hint="default" w:ascii="Times New Roman" w:hAnsi="Times New Roman" w:eastAsia="宋体" w:cs="Times New Roman"/>
          <w:color w:val="000000"/>
          <w:kern w:val="2"/>
          <w:sz w:val="24"/>
          <w:szCs w:val="24"/>
          <w:highlight w:val="none"/>
          <w:lang w:val="en-US" w:eastAsia="zh-CN"/>
        </w:rPr>
        <w:t>捕猎野生动物尤其是国家级野生保护动物及列入</w:t>
      </w:r>
      <w:r>
        <w:rPr>
          <w:rFonts w:hint="eastAsia" w:ascii="Times New Roman" w:hAnsi="Times New Roman" w:eastAsia="宋体" w:cs="Times New Roman"/>
          <w:color w:val="000000"/>
          <w:kern w:val="2"/>
          <w:sz w:val="24"/>
          <w:szCs w:val="24"/>
          <w:highlight w:val="none"/>
          <w:lang w:val="en-US" w:eastAsia="zh-CN"/>
        </w:rPr>
        <w:t>自治区</w:t>
      </w:r>
      <w:r>
        <w:rPr>
          <w:rFonts w:hint="default" w:ascii="Times New Roman" w:hAnsi="Times New Roman" w:eastAsia="宋体" w:cs="Times New Roman"/>
          <w:color w:val="000000"/>
          <w:kern w:val="2"/>
          <w:sz w:val="24"/>
          <w:szCs w:val="24"/>
          <w:highlight w:val="none"/>
          <w:lang w:val="en-US" w:eastAsia="zh-CN"/>
        </w:rPr>
        <w:t>的野生保护动物，严禁捕杀鸟类。</w:t>
      </w:r>
    </w:p>
    <w:p w14:paraId="0AF628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优选施工时间，在不影响工程进度的前提下，尽量避开野生动物活动的高峰时段。施工期间加强堆料场防护，加强施工人员的各类卫生管理，避免生活垃圾、生活污水的直接排放，减少污染，最大限度保护动物生境。</w:t>
      </w:r>
    </w:p>
    <w:p w14:paraId="3EC53C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（3）</w:t>
      </w:r>
      <w:r>
        <w:rPr>
          <w:rFonts w:hint="default" w:ascii="Times New Roman" w:hAnsi="Times New Roman" w:eastAsia="宋体" w:cs="Times New Roman"/>
          <w:color w:val="000000"/>
          <w:kern w:val="2"/>
          <w:sz w:val="24"/>
          <w:szCs w:val="24"/>
          <w:highlight w:val="none"/>
          <w:lang w:val="en-US" w:eastAsia="zh-CN"/>
        </w:rPr>
        <w:t>水土流失的防治对策措施</w:t>
      </w:r>
    </w:p>
    <w:p w14:paraId="53E52E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在地面施工过程中，应避免在大风季节以及暴雨时节作业。对施工破坏区，施工完毕，要及时平整土地，并种植适宜的植物，以防止发生新的水土流失。</w:t>
      </w:r>
    </w:p>
    <w:p w14:paraId="47CF10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施工结束后，施工</w:t>
      </w:r>
      <w:r>
        <w:rPr>
          <w:rFonts w:hint="eastAsia" w:ascii="宋体" w:hAnsi="宋体" w:eastAsia="宋体" w:cs="Times New Roman"/>
          <w:color w:val="000000"/>
          <w:kern w:val="2"/>
          <w:sz w:val="24"/>
          <w:szCs w:val="24"/>
          <w:highlight w:val="none"/>
          <w:lang w:val="en-US" w:eastAsia="zh-CN"/>
        </w:rPr>
        <w:t>作业带</w:t>
      </w:r>
      <w:r>
        <w:rPr>
          <w:rFonts w:hint="default" w:ascii="Times New Roman" w:hAnsi="Times New Roman" w:eastAsia="宋体" w:cs="Times New Roman"/>
          <w:color w:val="000000"/>
          <w:kern w:val="2"/>
          <w:sz w:val="24"/>
          <w:szCs w:val="24"/>
          <w:highlight w:val="none"/>
          <w:lang w:val="en-US" w:eastAsia="zh-CN"/>
        </w:rPr>
        <w:t>等应及时进行水土保持工作。及时在开挖面和存放地的裸露土地上恢复植被，恢复土地的使用条件，及时归还当地恢复利用。对于的确需要在坡度大于15°的地区施工区域，施工时应及时在坡脚处设置草袋挡土墙挡护或坡面种植草本植物等防护措施加以防护，以减少水土流失现象发生。</w:t>
      </w:r>
    </w:p>
    <w:p w14:paraId="2C570C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default" w:ascii="Times New Roman" w:hAnsi="Times New Roman" w:eastAsia="宋体" w:cs="Times New Roman"/>
          <w:color w:val="000000"/>
          <w:kern w:val="2"/>
          <w:sz w:val="24"/>
          <w:szCs w:val="24"/>
          <w:highlight w:val="none"/>
          <w:lang w:val="en-US" w:eastAsia="zh-CN"/>
        </w:rPr>
        <w:t>禁止在工程征地范围外、植被良好的地区进行取土石活动，以减少水土流失损坏面积。</w:t>
      </w:r>
    </w:p>
    <w:p w14:paraId="2016FE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（4）防沙治沙</w:t>
      </w:r>
    </w:p>
    <w:p w14:paraId="49636AE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根据《中华人民共和国防沙治沙法</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国务院关于进一步加强防沙治沙工作的决定》和《关于加强沙区建设项目环境影响评价工作的通知》（新环环评发</w:t>
      </w:r>
      <w:r>
        <w:rPr>
          <w:rFonts w:hint="eastAsia" w:ascii="Times New Roman" w:hAnsi="Times New Roman" w:eastAsia="宋体" w:cs="Times New Roman"/>
          <w:sz w:val="24"/>
          <w:lang w:eastAsia="zh-CN"/>
        </w:rPr>
        <w:t>〔2020〕138号</w:t>
      </w:r>
      <w:r>
        <w:rPr>
          <w:rFonts w:hint="default" w:ascii="Times New Roman" w:hAnsi="Times New Roman" w:eastAsia="宋体" w:cs="Times New Roman"/>
          <w:sz w:val="24"/>
        </w:rPr>
        <w:t>），沙区开发建设项目环评中对防沙治沙评价内容。</w:t>
      </w:r>
    </w:p>
    <w:p w14:paraId="26303E4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严格执行《中华人民共和国防沙治沙法》，并根据第二十一条规定，进行防沙治沙生态保护工作。</w:t>
      </w:r>
    </w:p>
    <w:p w14:paraId="6A13D1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color w:val="000000"/>
          <w:kern w:val="2"/>
          <w:sz w:val="24"/>
          <w:szCs w:val="24"/>
          <w:highlight w:val="none"/>
          <w:lang w:val="en-US" w:eastAsia="zh-CN"/>
        </w:rPr>
        <w:t>本工程在防沙、治沙方面，坚持</w:t>
      </w:r>
      <w:r>
        <w:rPr>
          <w:rFonts w:hint="eastAsia" w:cs="Times New Roman"/>
          <w:color w:val="000000"/>
          <w:kern w:val="2"/>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rPr>
        <w:t>因地制宜、因害设防、保护优先、综合治理</w:t>
      </w:r>
      <w:r>
        <w:rPr>
          <w:rFonts w:hint="eastAsia" w:cs="Times New Roman"/>
          <w:color w:val="000000"/>
          <w:kern w:val="2"/>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rPr>
        <w:t>的原则，坚持宜乔则乔、宜灌则灌、宜草则草，采取以林草植被建设为主的综合措施，加强地表覆盖，减少尘源。具体措施有</w:t>
      </w:r>
      <w:r>
        <w:rPr>
          <w:rFonts w:hint="default" w:ascii="Times New Roman" w:hAnsi="Times New Roman" w:eastAsia="宋体" w:cs="Times New Roman"/>
          <w:sz w:val="24"/>
        </w:rPr>
        <w:t>：</w:t>
      </w:r>
    </w:p>
    <w:p w14:paraId="0C645C28">
      <w:pPr>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①</w:t>
      </w:r>
      <w:r>
        <w:rPr>
          <w:rFonts w:hint="default" w:ascii="Times New Roman" w:hAnsi="Times New Roman" w:eastAsia="宋体" w:cs="Times New Roman"/>
          <w:sz w:val="24"/>
        </w:rPr>
        <w:t>施工</w:t>
      </w:r>
      <w:r>
        <w:rPr>
          <w:rFonts w:hint="eastAsia" w:ascii="Times New Roman" w:hAnsi="Times New Roman" w:eastAsia="宋体" w:cs="Times New Roman"/>
          <w:sz w:val="24"/>
          <w:lang w:eastAsia="zh-CN"/>
        </w:rPr>
        <w:t>期间</w:t>
      </w:r>
      <w:r>
        <w:rPr>
          <w:rFonts w:hint="default" w:ascii="Times New Roman" w:hAnsi="Times New Roman" w:eastAsia="宋体" w:cs="Times New Roman"/>
          <w:sz w:val="24"/>
        </w:rPr>
        <w:t>应减少对地表植被的破坏，可就地规划为绿地的就地利用，需要移栽的进行移栽，本项目区现状为空地，无树木，仅有少量荒草，项目施工对现场保护植被要求不高。</w:t>
      </w:r>
    </w:p>
    <w:p w14:paraId="145CC3FB">
      <w:pPr>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②</w:t>
      </w:r>
      <w:r>
        <w:rPr>
          <w:rFonts w:hint="default" w:ascii="Times New Roman" w:hAnsi="Times New Roman" w:eastAsia="宋体" w:cs="Times New Roman"/>
          <w:sz w:val="24"/>
        </w:rPr>
        <w:t>施工后及时清理现场，尽可能恢复原状地貌，做到</w:t>
      </w:r>
      <w:r>
        <w:rPr>
          <w:rFonts w:hint="eastAsia" w:cs="Times New Roman"/>
          <w:sz w:val="24"/>
          <w:lang w:eastAsia="zh-CN"/>
        </w:rPr>
        <w:t>“</w:t>
      </w:r>
      <w:r>
        <w:rPr>
          <w:rFonts w:hint="default" w:ascii="Times New Roman" w:hAnsi="Times New Roman" w:eastAsia="宋体" w:cs="Times New Roman"/>
          <w:sz w:val="24"/>
        </w:rPr>
        <w:t>工完、料尽、场清、整洁</w:t>
      </w:r>
      <w:r>
        <w:rPr>
          <w:rFonts w:hint="eastAsia" w:cs="Times New Roman"/>
          <w:sz w:val="24"/>
          <w:lang w:eastAsia="zh-CN"/>
        </w:rPr>
        <w:t>”</w:t>
      </w:r>
      <w:r>
        <w:rPr>
          <w:rFonts w:hint="default" w:ascii="Times New Roman" w:hAnsi="Times New Roman" w:eastAsia="宋体" w:cs="Times New Roman"/>
          <w:sz w:val="24"/>
        </w:rPr>
        <w:t>，恢复原有生态。</w:t>
      </w:r>
    </w:p>
    <w:p w14:paraId="06A1141B">
      <w:pPr>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③</w:t>
      </w:r>
      <w:r>
        <w:rPr>
          <w:rFonts w:hint="default" w:ascii="Times New Roman" w:hAnsi="Times New Roman" w:eastAsia="宋体" w:cs="Times New Roman"/>
          <w:sz w:val="24"/>
        </w:rPr>
        <w:t>做好施工扰动区的恢复治理工作，施工结束后，施工单位或建设单位应负责清理现场。凡受到施工车辆、机械破坏的地方都要及时修整，恢复原貌。</w:t>
      </w:r>
    </w:p>
    <w:p w14:paraId="6972D196">
      <w:pPr>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④</w:t>
      </w:r>
      <w:r>
        <w:rPr>
          <w:rFonts w:hint="default" w:ascii="Times New Roman" w:hAnsi="Times New Roman" w:eastAsia="宋体" w:cs="Times New Roman"/>
          <w:sz w:val="24"/>
        </w:rPr>
        <w:t>项目建设及运营过程中，对于已经遭受破坏的植被，应及时通过工程措施来进行保护，使其在工程施工结束后尽快实现自然恢复。在工程施工前应严格限制施工范围，并将表层植被等收集保存，待施工结束后回铺。</w:t>
      </w:r>
    </w:p>
    <w:p w14:paraId="381CAF08">
      <w:pPr>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⑤</w:t>
      </w:r>
      <w:r>
        <w:rPr>
          <w:rFonts w:hint="default" w:ascii="Times New Roman" w:hAnsi="Times New Roman" w:eastAsia="宋体" w:cs="Times New Roman"/>
          <w:sz w:val="24"/>
        </w:rPr>
        <w:t>合理规划临时工程的位置，尽可能减小扰动范围；临时施工占地在施工结束后及时清理施工垃圾，对施工场地进行平整、压实</w:t>
      </w:r>
      <w:r>
        <w:rPr>
          <w:rFonts w:hint="eastAsia" w:ascii="Times New Roman" w:hAnsi="Times New Roman" w:eastAsia="宋体" w:cs="Times New Roman"/>
          <w:sz w:val="24"/>
          <w:lang w:eastAsia="zh-CN"/>
        </w:rPr>
        <w:t>，对</w:t>
      </w:r>
      <w:r>
        <w:rPr>
          <w:rFonts w:hint="default" w:ascii="Times New Roman" w:hAnsi="Times New Roman" w:eastAsia="宋体" w:cs="Times New Roman"/>
          <w:sz w:val="24"/>
        </w:rPr>
        <w:t>临时堆土场和临时施工道路进行绿化。</w:t>
      </w:r>
    </w:p>
    <w:p w14:paraId="5FFBAD2C">
      <w:pPr>
        <w:spacing w:line="360" w:lineRule="auto"/>
        <w:ind w:firstLine="480" w:firstLineChars="200"/>
        <w:rPr>
          <w:rFonts w:hint="default"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sz w:val="24"/>
          <w:lang w:val="en-US" w:eastAsia="zh-CN"/>
        </w:rPr>
        <w:t>⑥</w:t>
      </w:r>
      <w:r>
        <w:rPr>
          <w:rFonts w:hint="default" w:ascii="Times New Roman" w:hAnsi="Times New Roman" w:eastAsia="宋体" w:cs="Times New Roman"/>
          <w:sz w:val="24"/>
        </w:rPr>
        <w:t>该区域工程施工结束后及时对扰动区域进行平整、压实，严禁对该区域重复扰动。</w:t>
      </w:r>
      <w:r>
        <w:rPr>
          <w:rFonts w:hint="eastAsia" w:ascii="Times New Roman" w:hAnsi="Times New Roman" w:eastAsia="宋体" w:cs="Times New Roman"/>
          <w:color w:val="000000"/>
          <w:kern w:val="2"/>
          <w:sz w:val="24"/>
          <w:szCs w:val="24"/>
          <w:highlight w:val="none"/>
          <w:lang w:val="en-US" w:eastAsia="zh-CN"/>
        </w:rPr>
        <w:t xml:space="preserve"> </w:t>
      </w:r>
    </w:p>
    <w:p w14:paraId="41243784">
      <w:pPr>
        <w:widowControl w:val="0"/>
        <w:spacing w:after="0" w:line="520" w:lineRule="exact"/>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rPr>
        <w:t>本工程需严格按照《中华人民共和国防沙治沙法》有关规定，落实防沙治沙措施，控制土地沙漠化的扩展，对于自然恢复条件不好且易发生沙化的地段，根据实际情况对地表进行人工固沙处理，最大限度减少对植物和野生动物生存环境的践踏破坏。本工程防沙治沙措施实施后，预计区域植被覆盖度能维持现状，避免区域土地沙化</w:t>
      </w:r>
      <w:r>
        <w:rPr>
          <w:rFonts w:hint="default" w:ascii="Times New Roman" w:hAnsi="Times New Roman" w:eastAsia="宋体" w:cs="Times New Roman"/>
          <w:color w:val="000000"/>
          <w:kern w:val="2"/>
          <w:sz w:val="24"/>
          <w:szCs w:val="24"/>
          <w:highlight w:val="none"/>
          <w:lang w:val="en-US" w:eastAsia="zh-CN" w:bidi="ar-SA"/>
        </w:rPr>
        <w:t>。</w:t>
      </w:r>
    </w:p>
    <w:p w14:paraId="2E1F3A82">
      <w:pPr>
        <w:widowControl w:val="0"/>
        <w:spacing w:before="0" w:after="0" w:line="360" w:lineRule="auto"/>
        <w:jc w:val="both"/>
        <w:outlineLvl w:val="1"/>
        <w:rPr>
          <w:rFonts w:hint="default" w:ascii="Times New Roman" w:hAnsi="Times New Roman" w:eastAsia="宋体" w:cs="Times New Roman"/>
          <w:b/>
          <w:bCs/>
          <w:kern w:val="2"/>
          <w:sz w:val="30"/>
          <w:szCs w:val="30"/>
          <w:lang w:val="en-US" w:eastAsia="zh-CN" w:bidi="ar-SA"/>
        </w:rPr>
      </w:pPr>
      <w:bookmarkStart w:id="704" w:name="_Toc229909584"/>
      <w:bookmarkStart w:id="705" w:name="_Toc472451914"/>
      <w:bookmarkStart w:id="706" w:name="_Toc13576"/>
      <w:bookmarkStart w:id="707" w:name="_Toc15128"/>
      <w:bookmarkStart w:id="708" w:name="_Toc337673492"/>
      <w:bookmarkStart w:id="709" w:name="_Toc13584"/>
      <w:bookmarkStart w:id="710" w:name="_Toc7011"/>
      <w:bookmarkStart w:id="711" w:name="_Toc15877"/>
      <w:bookmarkStart w:id="712" w:name="_Toc196218616"/>
      <w:bookmarkStart w:id="713" w:name="_Toc107575304"/>
      <w:bookmarkStart w:id="714" w:name="_Toc183085732"/>
      <w:bookmarkStart w:id="715" w:name="_Toc183085458"/>
      <w:r>
        <w:rPr>
          <w:rFonts w:hint="eastAsia" w:ascii="Times New Roman" w:hAnsi="Times New Roman" w:eastAsia="宋体" w:cs="Times New Roman"/>
          <w:b/>
          <w:bCs/>
          <w:kern w:val="2"/>
          <w:sz w:val="30"/>
          <w:szCs w:val="30"/>
          <w:lang w:val="en-US" w:eastAsia="zh-CN" w:bidi="ar-SA"/>
        </w:rPr>
        <w:t>7</w:t>
      </w:r>
      <w:r>
        <w:rPr>
          <w:rFonts w:hint="default" w:ascii="Times New Roman" w:hAnsi="Times New Roman" w:eastAsia="宋体" w:cs="Times New Roman"/>
          <w:b/>
          <w:bCs/>
          <w:kern w:val="2"/>
          <w:sz w:val="30"/>
          <w:szCs w:val="30"/>
          <w:lang w:val="en-US" w:eastAsia="zh-CN" w:bidi="ar-SA"/>
        </w:rPr>
        <w:t>.2运营期的环境保护措施</w:t>
      </w:r>
      <w:bookmarkEnd w:id="704"/>
      <w:bookmarkEnd w:id="705"/>
      <w:bookmarkEnd w:id="706"/>
      <w:bookmarkEnd w:id="707"/>
      <w:bookmarkEnd w:id="708"/>
      <w:bookmarkEnd w:id="709"/>
      <w:bookmarkEnd w:id="710"/>
      <w:bookmarkEnd w:id="711"/>
    </w:p>
    <w:p w14:paraId="6502E42D">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716" w:name="_Toc8404"/>
      <w:bookmarkStart w:id="717" w:name="_Toc25505"/>
      <w:bookmarkStart w:id="718" w:name="_Toc229909585"/>
      <w:r>
        <w:rPr>
          <w:rFonts w:hint="eastAsia" w:ascii="Times New Roman" w:hAnsi="Times New Roman" w:eastAsia="宋体" w:cs="Times New Roman"/>
          <w:b/>
          <w:bCs/>
          <w:kern w:val="2"/>
          <w:sz w:val="28"/>
          <w:szCs w:val="28"/>
          <w:lang w:val="en-US" w:eastAsia="zh-CN" w:bidi="ar-SA"/>
        </w:rPr>
        <w:t>7</w:t>
      </w:r>
      <w:r>
        <w:rPr>
          <w:rFonts w:hint="default" w:ascii="Times New Roman" w:hAnsi="Times New Roman" w:eastAsia="宋体" w:cs="Times New Roman"/>
          <w:b/>
          <w:bCs/>
          <w:kern w:val="2"/>
          <w:sz w:val="28"/>
          <w:szCs w:val="28"/>
          <w:lang w:val="en-US" w:eastAsia="zh-CN" w:bidi="ar-SA"/>
        </w:rPr>
        <w:t>.2.1大气污染防治对策和措施</w:t>
      </w:r>
      <w:bookmarkEnd w:id="712"/>
      <w:bookmarkEnd w:id="713"/>
      <w:bookmarkEnd w:id="714"/>
      <w:bookmarkEnd w:id="715"/>
      <w:bookmarkEnd w:id="716"/>
      <w:bookmarkEnd w:id="717"/>
      <w:bookmarkEnd w:id="718"/>
    </w:p>
    <w:p w14:paraId="1BE59829">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w:t>
      </w:r>
      <w:r>
        <w:rPr>
          <w:rFonts w:hint="default" w:ascii="Times New Roman" w:hAnsi="Times New Roman" w:eastAsia="宋体" w:cs="Times New Roman"/>
          <w:b/>
          <w:kern w:val="2"/>
          <w:sz w:val="24"/>
          <w:szCs w:val="24"/>
          <w:lang w:val="en-US" w:eastAsia="zh-CN" w:bidi="ar-SA"/>
        </w:rPr>
        <w:t>.2.1.</w:t>
      </w:r>
      <w:r>
        <w:rPr>
          <w:rFonts w:hint="eastAsia" w:ascii="Times New Roman" w:hAnsi="Times New Roman" w:eastAsia="宋体" w:cs="Times New Roman"/>
          <w:b/>
          <w:kern w:val="2"/>
          <w:sz w:val="24"/>
          <w:szCs w:val="24"/>
          <w:lang w:val="en-US" w:eastAsia="zh-CN" w:bidi="ar-SA"/>
        </w:rPr>
        <w:t>1有</w:t>
      </w:r>
      <w:r>
        <w:rPr>
          <w:rFonts w:hint="default" w:ascii="Times New Roman" w:hAnsi="Times New Roman" w:eastAsia="宋体" w:cs="Times New Roman"/>
          <w:b/>
          <w:kern w:val="2"/>
          <w:sz w:val="24"/>
          <w:szCs w:val="24"/>
          <w:lang w:val="en-US" w:eastAsia="zh-CN" w:bidi="ar-SA"/>
        </w:rPr>
        <w:t>组织污染防治措施</w:t>
      </w:r>
    </w:p>
    <w:p w14:paraId="5D53BCE3">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宋体"/>
          <w:color w:val="auto"/>
          <w:kern w:val="0"/>
          <w:sz w:val="24"/>
          <w:szCs w:val="22"/>
          <w:lang w:val="en-US" w:eastAsia="zh-CN"/>
        </w:rPr>
      </w:pPr>
      <w:bookmarkStart w:id="719" w:name="_Toc229909586"/>
      <w:bookmarkStart w:id="720" w:name="_Toc196218617"/>
      <w:bookmarkStart w:id="721" w:name="_Toc183085733"/>
      <w:bookmarkStart w:id="722" w:name="_Toc183085459"/>
      <w:r>
        <w:rPr>
          <w:rFonts w:hint="eastAsia" w:ascii="Times New Roman" w:hAnsi="Times New Roman" w:eastAsia="宋体" w:cs="宋体"/>
          <w:color w:val="auto"/>
          <w:kern w:val="0"/>
          <w:sz w:val="24"/>
          <w:szCs w:val="22"/>
          <w:lang w:val="en-US" w:eastAsia="zh-CN"/>
        </w:rPr>
        <w:t>（1）有组织污染防治措施可行性分析</w:t>
      </w:r>
    </w:p>
    <w:p w14:paraId="36694533">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宋体"/>
          <w:color w:val="auto"/>
          <w:kern w:val="0"/>
          <w:sz w:val="24"/>
          <w:szCs w:val="22"/>
          <w:lang w:val="en-US" w:eastAsia="zh-CN"/>
        </w:rPr>
      </w:pPr>
      <w:r>
        <w:rPr>
          <w:rFonts w:hint="default" w:ascii="Times New Roman" w:hAnsi="Times New Roman" w:eastAsia="宋体" w:cs="宋体"/>
          <w:color w:val="auto"/>
          <w:kern w:val="0"/>
          <w:sz w:val="24"/>
          <w:szCs w:val="22"/>
          <w:lang w:val="en-US" w:eastAsia="zh-CN"/>
        </w:rPr>
        <w:t>本项目有组织排放废气主要有：</w:t>
      </w:r>
    </w:p>
    <w:p w14:paraId="379F1C64">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堆肥间</w:t>
      </w:r>
      <w:r>
        <w:rPr>
          <w:rFonts w:hint="default" w:ascii="Times New Roman" w:hAnsi="Times New Roman" w:eastAsia="宋体" w:cs="宋体"/>
          <w:color w:val="auto"/>
          <w:kern w:val="0"/>
          <w:sz w:val="24"/>
          <w:szCs w:val="22"/>
          <w:lang w:val="en-US" w:eastAsia="zh-CN"/>
        </w:rPr>
        <w:t>颗粒物、氨、硫化氢</w:t>
      </w:r>
      <w:r>
        <w:rPr>
          <w:rFonts w:hint="eastAsia" w:ascii="Times New Roman" w:hAnsi="Times New Roman" w:eastAsia="宋体" w:cs="宋体"/>
          <w:color w:val="auto"/>
          <w:kern w:val="0"/>
          <w:sz w:val="24"/>
          <w:szCs w:val="22"/>
          <w:lang w:val="en-US" w:eastAsia="zh-CN"/>
        </w:rPr>
        <w:t>、臭气浓度</w:t>
      </w:r>
      <w:r>
        <w:rPr>
          <w:rFonts w:hint="default" w:ascii="Times New Roman" w:hAnsi="Times New Roman" w:eastAsia="宋体" w:cs="宋体"/>
          <w:color w:val="auto"/>
          <w:kern w:val="0"/>
          <w:sz w:val="24"/>
          <w:szCs w:val="22"/>
          <w:lang w:val="en-US" w:eastAsia="zh-CN"/>
        </w:rPr>
        <w:t>设置袋式除尘+生物除臭（滴滤法）处理后，有组织颗粒物满足《大气污染物综合排放标准》（GB16297-1996）表2 新污染源大气污染物排放限值（120mg/m</w:t>
      </w:r>
      <w:r>
        <w:rPr>
          <w:rFonts w:hint="default" w:ascii="Times New Roman" w:hAnsi="Times New Roman" w:eastAsia="宋体" w:cs="宋体"/>
          <w:color w:val="auto"/>
          <w:kern w:val="0"/>
          <w:sz w:val="24"/>
          <w:szCs w:val="22"/>
          <w:vertAlign w:val="superscript"/>
          <w:lang w:val="en-US" w:eastAsia="zh-CN"/>
        </w:rPr>
        <w:t>3</w:t>
      </w:r>
      <w:r>
        <w:rPr>
          <w:rFonts w:hint="default" w:ascii="Times New Roman" w:hAnsi="Times New Roman" w:eastAsia="宋体" w:cs="宋体"/>
          <w:color w:val="auto"/>
          <w:kern w:val="0"/>
          <w:sz w:val="24"/>
          <w:szCs w:val="22"/>
          <w:lang w:val="en-US" w:eastAsia="zh-CN"/>
        </w:rPr>
        <w:t>），有组织氨</w:t>
      </w:r>
      <w:r>
        <w:rPr>
          <w:rFonts w:hint="eastAsia" w:ascii="Times New Roman" w:hAnsi="Times New Roman" w:eastAsia="宋体"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硫化氢</w:t>
      </w:r>
      <w:r>
        <w:rPr>
          <w:rFonts w:hint="eastAsia" w:ascii="Times New Roman" w:hAnsi="Times New Roman" w:eastAsia="宋体" w:cs="宋体"/>
          <w:color w:val="auto"/>
          <w:kern w:val="0"/>
          <w:sz w:val="24"/>
          <w:szCs w:val="22"/>
          <w:lang w:val="en-US" w:eastAsia="zh-CN"/>
        </w:rPr>
        <w:t>和臭气浓度</w:t>
      </w:r>
      <w:r>
        <w:rPr>
          <w:rFonts w:hint="default" w:ascii="Times New Roman" w:hAnsi="Times New Roman" w:eastAsia="宋体" w:cs="宋体"/>
          <w:color w:val="auto"/>
          <w:kern w:val="0"/>
          <w:sz w:val="24"/>
          <w:szCs w:val="22"/>
          <w:lang w:val="en-US" w:eastAsia="zh-CN"/>
        </w:rPr>
        <w:t>满足《恶臭污染物排放标准》（GB 14554-93）表1 恶臭污染物厂界标准值（氨4.9kg/h、硫化氢0.33kg/h</w:t>
      </w:r>
      <w:r>
        <w:rPr>
          <w:rFonts w:hint="eastAsia" w:ascii="Times New Roman" w:hAnsi="Times New Roman" w:eastAsia="宋体" w:cs="宋体"/>
          <w:color w:val="auto"/>
          <w:kern w:val="0"/>
          <w:sz w:val="24"/>
          <w:szCs w:val="22"/>
          <w:lang w:val="en-US" w:eastAsia="zh-CN"/>
        </w:rPr>
        <w:t>、臭气浓度2000无量纲</w:t>
      </w:r>
      <w:r>
        <w:rPr>
          <w:rFonts w:hint="default" w:ascii="Times New Roman" w:hAnsi="Times New Roman" w:eastAsia="宋体"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由15m排气筒排放</w:t>
      </w:r>
      <w:r>
        <w:rPr>
          <w:rFonts w:hint="eastAsia" w:ascii="Times New Roman" w:hAnsi="Times New Roman" w:eastAsia="宋体" w:cs="宋体"/>
          <w:color w:val="auto"/>
          <w:kern w:val="0"/>
          <w:sz w:val="24"/>
          <w:szCs w:val="22"/>
          <w:lang w:val="en-US" w:eastAsia="zh-CN"/>
        </w:rPr>
        <w:t>。</w:t>
      </w:r>
    </w:p>
    <w:p w14:paraId="03D77269">
      <w:pPr>
        <w:overflowPunct w:val="0"/>
        <w:autoSpaceDE w:val="0"/>
        <w:autoSpaceDN w:val="0"/>
        <w:bidi w:val="0"/>
        <w:adjustRightInd w:val="0"/>
        <w:snapToGrid w:val="0"/>
        <w:spacing w:before="0" w:after="0" w:line="360" w:lineRule="auto"/>
        <w:ind w:left="0" w:right="0" w:firstLine="480" w:firstLineChars="200"/>
        <w:jc w:val="left"/>
        <w:rPr>
          <w:rFonts w:hint="eastAsia"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参考</w:t>
      </w:r>
      <w:r>
        <w:rPr>
          <w:rFonts w:hint="eastAsia" w:ascii="Times New Roman" w:hAnsi="Times New Roman" w:eastAsia="宋体" w:cs="宋体"/>
          <w:color w:val="auto"/>
          <w:kern w:val="0"/>
          <w:sz w:val="24"/>
          <w:szCs w:val="22"/>
          <w:lang w:val="en-US" w:eastAsia="zh-CN"/>
        </w:rPr>
        <w:t>《排污许可证申请与核发技术规范 磷肥、钾肥、复混肥料、有机肥料和微生物肥料工业》（HJ 864.2-2018）有机肥料备料、破碎、筛分颗粒物可行技术为袋式除尘；本项目堆肥间设置一套袋式除尘，粉尘经袋式除尘处理后满足</w:t>
      </w:r>
      <w:r>
        <w:rPr>
          <w:rFonts w:hint="default" w:ascii="Times New Roman" w:hAnsi="Times New Roman" w:eastAsia="宋体" w:cs="宋体"/>
          <w:color w:val="auto"/>
          <w:kern w:val="0"/>
          <w:sz w:val="24"/>
          <w:szCs w:val="22"/>
          <w:lang w:val="en-US" w:eastAsia="zh-CN"/>
        </w:rPr>
        <w:t>《大气污染物综合排放标准》（GB16297-1996）表2 新污染源大气污染物排放限值</w:t>
      </w:r>
      <w:r>
        <w:rPr>
          <w:rFonts w:hint="eastAsia" w:ascii="Times New Roman" w:hAnsi="Times New Roman" w:eastAsia="宋体" w:cs="宋体"/>
          <w:color w:val="auto"/>
          <w:kern w:val="0"/>
          <w:sz w:val="24"/>
          <w:szCs w:val="22"/>
          <w:lang w:val="en-US" w:eastAsia="zh-CN"/>
        </w:rPr>
        <w:t>，有组织污染防治措施可行。</w:t>
      </w:r>
    </w:p>
    <w:p w14:paraId="234D5BB5">
      <w:pPr>
        <w:widowControl w:val="0"/>
        <w:numPr>
          <w:ilvl w:val="0"/>
          <w:numId w:val="0"/>
        </w:numPr>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rPr>
      </w:pPr>
      <w:r>
        <w:rPr>
          <w:rFonts w:hint="eastAsia" w:cs="宋体"/>
          <w:color w:val="auto"/>
          <w:kern w:val="0"/>
          <w:sz w:val="24"/>
          <w:szCs w:val="22"/>
          <w:lang w:val="en-US" w:eastAsia="zh-CN"/>
        </w:rPr>
        <w:t>参考</w:t>
      </w:r>
      <w:r>
        <w:rPr>
          <w:rFonts w:hint="eastAsia" w:ascii="Times New Roman" w:hAnsi="Times New Roman" w:eastAsia="宋体" w:cs="Times New Roman"/>
          <w:color w:val="000000"/>
          <w:kern w:val="2"/>
          <w:sz w:val="24"/>
          <w:szCs w:val="24"/>
          <w:highlight w:val="none"/>
          <w:lang w:val="en-US" w:eastAsia="zh-CN"/>
        </w:rPr>
        <w:t>《排污许可证申请与核发技术规范 磷肥、钾肥、复混肥料、有机肥料和微生物肥料工业》（HJ 864.2-2018）备料氨、硫化氢可行技术为生物除臭（滴滤法、过滤法），本项目堆肥间采用生物除臭（滴滤法）进行控制，满足《恶臭污染物排放标准》（GB14554-93）表2 恶臭污染物排放标准值，有组织污染防治措施可行。</w:t>
      </w:r>
    </w:p>
    <w:p w14:paraId="545710EA">
      <w:pPr>
        <w:widowControl w:val="0"/>
        <w:numPr>
          <w:ilvl w:val="0"/>
          <w:numId w:val="0"/>
        </w:numPr>
        <w:spacing w:after="0" w:line="360" w:lineRule="auto"/>
        <w:ind w:firstLine="480" w:firstLineChars="200"/>
        <w:jc w:val="both"/>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Times New Roman"/>
          <w:color w:val="000000"/>
          <w:kern w:val="2"/>
          <w:sz w:val="24"/>
          <w:szCs w:val="24"/>
          <w:highlight w:val="none"/>
          <w:lang w:val="en-US" w:eastAsia="zh-CN"/>
        </w:rPr>
        <w:t>饲料加工区颗粒物设置袋式除尘处理后，有组织颗粒物满足</w:t>
      </w:r>
      <w:r>
        <w:rPr>
          <w:rFonts w:hint="default" w:ascii="Times New Roman" w:hAnsi="Times New Roman" w:eastAsia="宋体" w:cs="宋体"/>
          <w:color w:val="auto"/>
          <w:kern w:val="0"/>
          <w:sz w:val="24"/>
          <w:szCs w:val="22"/>
          <w:lang w:val="en-US" w:eastAsia="zh-CN"/>
        </w:rPr>
        <w:t>《大气污染物综合排放标准》（GB16297-1996）表2 新污染源大气污染物排放限值（120mg/m</w:t>
      </w:r>
      <w:r>
        <w:rPr>
          <w:rFonts w:hint="default" w:ascii="Times New Roman" w:hAnsi="Times New Roman" w:eastAsia="宋体" w:cs="宋体"/>
          <w:color w:val="auto"/>
          <w:kern w:val="0"/>
          <w:sz w:val="24"/>
          <w:szCs w:val="22"/>
          <w:vertAlign w:val="superscript"/>
          <w:lang w:val="en-US" w:eastAsia="zh-CN"/>
        </w:rPr>
        <w:t>3</w:t>
      </w:r>
      <w:r>
        <w:rPr>
          <w:rFonts w:hint="default" w:ascii="Times New Roman" w:hAnsi="Times New Roman" w:eastAsia="宋体" w:cs="宋体"/>
          <w:color w:val="auto"/>
          <w:kern w:val="0"/>
          <w:sz w:val="24"/>
          <w:szCs w:val="22"/>
          <w:lang w:val="en-US" w:eastAsia="zh-CN"/>
        </w:rPr>
        <w:t>）</w:t>
      </w:r>
      <w:r>
        <w:rPr>
          <w:rFonts w:hint="eastAsia" w:ascii="Times New Roman" w:hAnsi="Times New Roman" w:eastAsia="宋体" w:cs="宋体"/>
          <w:color w:val="auto"/>
          <w:kern w:val="0"/>
          <w:sz w:val="24"/>
          <w:szCs w:val="22"/>
          <w:lang w:val="en-US" w:eastAsia="zh-CN"/>
        </w:rPr>
        <w:t>，</w:t>
      </w:r>
      <w:r>
        <w:rPr>
          <w:rFonts w:hint="default" w:ascii="Times New Roman" w:hAnsi="Times New Roman" w:eastAsia="宋体" w:cs="宋体"/>
          <w:color w:val="auto"/>
          <w:kern w:val="0"/>
          <w:sz w:val="24"/>
          <w:szCs w:val="22"/>
          <w:lang w:val="en-US" w:eastAsia="zh-CN"/>
        </w:rPr>
        <w:t>由15m排气筒排放</w:t>
      </w:r>
      <w:r>
        <w:rPr>
          <w:rFonts w:hint="eastAsia" w:ascii="Times New Roman" w:hAnsi="Times New Roman" w:eastAsia="宋体" w:cs="宋体"/>
          <w:color w:val="auto"/>
          <w:kern w:val="0"/>
          <w:sz w:val="24"/>
          <w:szCs w:val="22"/>
          <w:lang w:val="en-US" w:eastAsia="zh-CN"/>
        </w:rPr>
        <w:t>。</w:t>
      </w:r>
    </w:p>
    <w:p w14:paraId="2575D8EC">
      <w:pPr>
        <w:widowControl w:val="0"/>
        <w:numPr>
          <w:ilvl w:val="0"/>
          <w:numId w:val="0"/>
        </w:numPr>
        <w:spacing w:after="0" w:line="360" w:lineRule="auto"/>
        <w:ind w:firstLine="480" w:firstLineChars="200"/>
        <w:jc w:val="both"/>
        <w:rPr>
          <w:rFonts w:hint="default"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参考</w:t>
      </w:r>
      <w:r>
        <w:rPr>
          <w:rFonts w:hint="eastAsia" w:ascii="Times New Roman" w:hAnsi="Times New Roman" w:eastAsia="宋体" w:cs="Times New Roman"/>
          <w:color w:val="auto"/>
          <w:kern w:val="2"/>
          <w:sz w:val="24"/>
          <w:szCs w:val="24"/>
          <w:lang w:val="en-US" w:eastAsia="zh-CN" w:bidi="ar-SA"/>
        </w:rPr>
        <w:t>《排污许可证申请与核发技术规范农副食品加工工业—饲料加工、植物油加工工业》（HJ1110-2020）</w:t>
      </w:r>
      <w:r>
        <w:rPr>
          <w:rFonts w:hint="eastAsia" w:ascii="Times New Roman" w:hAnsi="Times New Roman" w:cs="Times New Roman"/>
          <w:color w:val="auto"/>
          <w:kern w:val="2"/>
          <w:sz w:val="24"/>
          <w:szCs w:val="24"/>
          <w:lang w:val="en-US" w:eastAsia="zh-CN" w:bidi="ar-SA"/>
        </w:rPr>
        <w:t>饲料加工粉碎、混料颗粒物可行技术为旋风除尘；电除尘；袋式除尘；除尘组合工艺；其他；本项目设置一套袋式除尘</w:t>
      </w:r>
      <w:r>
        <w:rPr>
          <w:rFonts w:hint="eastAsia" w:ascii="Times New Roman" w:hAnsi="Times New Roman" w:eastAsia="宋体" w:cs="宋体"/>
          <w:color w:val="auto"/>
          <w:kern w:val="0"/>
          <w:sz w:val="24"/>
          <w:szCs w:val="22"/>
          <w:lang w:val="en-US" w:eastAsia="zh-CN"/>
        </w:rPr>
        <w:t>，粉尘经袋式除尘处理后满足</w:t>
      </w:r>
      <w:r>
        <w:rPr>
          <w:rFonts w:hint="default" w:ascii="Times New Roman" w:hAnsi="Times New Roman" w:eastAsia="宋体" w:cs="宋体"/>
          <w:color w:val="auto"/>
          <w:kern w:val="0"/>
          <w:sz w:val="24"/>
          <w:szCs w:val="22"/>
          <w:lang w:val="en-US" w:eastAsia="zh-CN"/>
        </w:rPr>
        <w:t>《大气污染物综合排放标准》（GB16297-1996）表2 新污染源大气污染物排放限值</w:t>
      </w:r>
      <w:r>
        <w:rPr>
          <w:rFonts w:hint="eastAsia" w:ascii="Times New Roman" w:hAnsi="Times New Roman" w:eastAsia="宋体" w:cs="宋体"/>
          <w:color w:val="auto"/>
          <w:kern w:val="0"/>
          <w:sz w:val="24"/>
          <w:szCs w:val="22"/>
          <w:lang w:val="en-US" w:eastAsia="zh-CN"/>
        </w:rPr>
        <w:t>，有组织污染防治措施可行。</w:t>
      </w:r>
    </w:p>
    <w:p w14:paraId="7ABB8BA5">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（2）排气筒高度合理性分析</w:t>
      </w:r>
    </w:p>
    <w:p w14:paraId="29D29365">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根据《大气污染物综合排放标准》（GB16297-1996），排气筒高度除须遵守表列排放速率标准值外，还应高出周围200米半径范围的建筑5米以上，不能达到该要求的排气筒，应按其高度对应的表列排放速率标准值严格50%执行。</w:t>
      </w:r>
    </w:p>
    <w:p w14:paraId="663EB65E">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本项目200m范围内最高建筑不超过10m，本项目排气筒为15m，高出200m距离内最高建筑5m以上要求，满足《大气污染物综合排放标准》（GB16297-1996）要求。</w:t>
      </w:r>
    </w:p>
    <w:p w14:paraId="342DF163">
      <w:pPr>
        <w:widowControl w:val="0"/>
        <w:numPr>
          <w:ilvl w:val="0"/>
          <w:numId w:val="0"/>
        </w:numPr>
        <w:autoSpaceDE/>
        <w:autoSpaceDN/>
        <w:adjustRightInd/>
        <w:spacing w:after="120" w:line="360" w:lineRule="auto"/>
        <w:ind w:left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（3）生物滴滤塔</w:t>
      </w:r>
    </w:p>
    <w:p w14:paraId="2C4B5DD8">
      <w:pPr>
        <w:widowControl w:val="0"/>
        <w:numPr>
          <w:ilvl w:val="0"/>
          <w:numId w:val="0"/>
        </w:numPr>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rPr>
      </w:pPr>
      <w:r>
        <w:rPr>
          <w:rFonts w:hint="eastAsia" w:ascii="Times New Roman" w:hAnsi="Times New Roman" w:eastAsia="宋体" w:cs="Times New Roman"/>
          <w:color w:val="000000"/>
          <w:kern w:val="2"/>
          <w:sz w:val="24"/>
          <w:szCs w:val="24"/>
          <w:highlight w:val="none"/>
          <w:lang w:val="en-US" w:eastAsia="zh-CN"/>
        </w:rPr>
        <w:t>生物滴滤技术中的滴滤塔内设置了诸多可为特殊微生物提供良好生长繁殖条件的填料，主要为聚丙烯小球、陶瓷、颗粒活性炭等不能提供营养物质的惰性材料作为滤料，使除臭微生物附着在上面，这些除臭微生物能够转移并且大量生长，进而对恶臭气体进行脱除的生物反应过程。当生物滴滤技术开始运作时，气体将由塔底流入其内，而在流动过程中，存在于塔内的接种挂膜生物滤料将会不断净化流过的气体，直到气流完全净化干净并从塔顶排出。相对于其他生物过滤法，生物滴滤技术的湿度及pH值等反应条件更易于控制，同时，比起一般的生物过滤法，生物滴滤技术特有的生物滴滤塔能够将含氮、硫等微生物在降解过程中形成酸性代谢污染物滤除干净。考虑到新疆冬季工作温度低，滴滤塔配套外保温措施以及电加热系统，冬季设备运行温度稳定维持在10℃左右，能够保障生物滴滤设备稳定运行。</w:t>
      </w:r>
    </w:p>
    <w:p w14:paraId="45FBCCB0">
      <w:pPr>
        <w:overflowPunct w:val="0"/>
        <w:autoSpaceDE w:val="0"/>
        <w:autoSpaceDN w:val="0"/>
        <w:bidi w:val="0"/>
        <w:adjustRightInd w:val="0"/>
        <w:snapToGrid w:val="0"/>
        <w:spacing w:before="0" w:after="0" w:line="360" w:lineRule="auto"/>
        <w:ind w:left="0" w:right="0" w:firstLine="480" w:firstLineChars="200"/>
        <w:jc w:val="left"/>
        <w:rPr>
          <w:rFonts w:hint="eastAsia" w:cs="宋体"/>
          <w:color w:val="auto"/>
          <w:kern w:val="0"/>
          <w:sz w:val="24"/>
          <w:szCs w:val="22"/>
          <w:lang w:val="en-US" w:eastAsia="zh-CN"/>
        </w:rPr>
      </w:pPr>
      <w:r>
        <w:rPr>
          <w:rFonts w:hint="eastAsia" w:cs="宋体"/>
          <w:color w:val="auto"/>
          <w:kern w:val="0"/>
          <w:sz w:val="24"/>
          <w:szCs w:val="22"/>
          <w:lang w:val="en-US" w:eastAsia="zh-CN"/>
        </w:rPr>
        <w:t>气体停留时间&gt;15 s； 填料层高：2.0—5.0m； 填料材质：惰性材料，主要为聚丙烯、陶粒、颗粒活性炭等。填料比表面积&gt;350 m</w:t>
      </w:r>
      <w:r>
        <w:rPr>
          <w:rFonts w:hint="eastAsia" w:cs="宋体"/>
          <w:color w:val="auto"/>
          <w:kern w:val="0"/>
          <w:sz w:val="24"/>
          <w:szCs w:val="22"/>
          <w:vertAlign w:val="superscript"/>
          <w:lang w:val="en-US" w:eastAsia="zh-CN"/>
        </w:rPr>
        <w:t>2</w:t>
      </w:r>
      <w:r>
        <w:rPr>
          <w:rFonts w:hint="eastAsia" w:cs="宋体"/>
          <w:color w:val="auto"/>
          <w:kern w:val="0"/>
          <w:sz w:val="24"/>
          <w:szCs w:val="22"/>
          <w:lang w:val="en-US" w:eastAsia="zh-CN"/>
        </w:rPr>
        <w:t>/m</w:t>
      </w:r>
      <w:r>
        <w:rPr>
          <w:rFonts w:hint="eastAsia" w:cs="宋体"/>
          <w:color w:val="auto"/>
          <w:kern w:val="0"/>
          <w:sz w:val="24"/>
          <w:szCs w:val="22"/>
          <w:vertAlign w:val="superscript"/>
          <w:lang w:val="en-US" w:eastAsia="zh-CN"/>
        </w:rPr>
        <w:t>3</w:t>
      </w:r>
      <w:r>
        <w:rPr>
          <w:rFonts w:hint="eastAsia" w:cs="宋体"/>
          <w:color w:val="auto"/>
          <w:kern w:val="0"/>
          <w:sz w:val="24"/>
          <w:szCs w:val="22"/>
          <w:lang w:val="en-US" w:eastAsia="zh-CN"/>
        </w:rPr>
        <w:t>。</w:t>
      </w:r>
    </w:p>
    <w:p w14:paraId="3F90E881">
      <w:pPr>
        <w:keepNext w:val="0"/>
        <w:keepLines w:val="0"/>
        <w:widowControl/>
        <w:suppressLineNumbers w:val="0"/>
        <w:spacing w:before="0" w:beforeAutospacing="1" w:after="0" w:afterAutospacing="1"/>
        <w:ind w:left="0" w:right="0"/>
        <w:jc w:val="center"/>
        <w:rPr>
          <w:rFonts w:hint="eastAsia" w:ascii="Times New Roman" w:hAnsi="Times New Roman" w:eastAsia="宋体" w:cs="宋体"/>
          <w:color w:val="auto"/>
          <w:kern w:val="0"/>
          <w:sz w:val="24"/>
          <w:szCs w:val="22"/>
          <w:lang w:val="en-US" w:eastAsia="zh-CN" w:bidi="ar"/>
        </w:rPr>
      </w:pPr>
      <w:r>
        <w:rPr>
          <w:rFonts w:ascii="Times New Roman" w:hAnsi="Times New Roman" w:eastAsia="宋体" w:cs="Times New Roman"/>
          <w:kern w:val="0"/>
          <w:sz w:val="24"/>
          <w:szCs w:val="24"/>
          <w:lang w:val="en-US" w:eastAsia="zh-CN" w:bidi="ar"/>
        </w:rPr>
        <w:drawing>
          <wp:inline distT="0" distB="0" distL="114300" distR="114300">
            <wp:extent cx="3000375" cy="2019300"/>
            <wp:effectExtent l="0" t="0" r="9525" b="0"/>
            <wp:docPr id="126"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8" descr="IMG_256"/>
                    <pic:cNvPicPr>
                      <a:picLocks noChangeAspect="1"/>
                    </pic:cNvPicPr>
                  </pic:nvPicPr>
                  <pic:blipFill>
                    <a:blip r:embed="rId64"/>
                    <a:stretch>
                      <a:fillRect/>
                    </a:stretch>
                  </pic:blipFill>
                  <pic:spPr>
                    <a:xfrm>
                      <a:off x="0" y="0"/>
                      <a:ext cx="3000375" cy="2019300"/>
                    </a:xfrm>
                    <a:prstGeom prst="rect">
                      <a:avLst/>
                    </a:prstGeom>
                    <a:noFill/>
                    <a:ln w="9525">
                      <a:noFill/>
                    </a:ln>
                  </pic:spPr>
                </pic:pic>
              </a:graphicData>
            </a:graphic>
          </wp:inline>
        </w:drawing>
      </w:r>
    </w:p>
    <w:p w14:paraId="3880D478">
      <w:pPr>
        <w:overflowPunct w:val="0"/>
        <w:autoSpaceDE w:val="0"/>
        <w:autoSpaceDN w:val="0"/>
        <w:bidi w:val="0"/>
        <w:adjustRightInd w:val="0"/>
        <w:snapToGrid w:val="0"/>
        <w:spacing w:before="0" w:after="0" w:line="360" w:lineRule="auto"/>
        <w:ind w:right="0"/>
        <w:jc w:val="center"/>
        <w:rPr>
          <w:rFonts w:hint="eastAsia" w:ascii="Times New Roman" w:hAnsi="Times New Roman" w:eastAsia="宋体" w:cs="宋体"/>
          <w:b/>
          <w:bCs/>
          <w:color w:val="auto"/>
          <w:kern w:val="0"/>
          <w:sz w:val="24"/>
          <w:szCs w:val="22"/>
          <w:highlight w:val="none"/>
          <w:lang w:val="en-US" w:eastAsia="zh-CN"/>
        </w:rPr>
      </w:pPr>
      <w:r>
        <w:rPr>
          <w:rFonts w:hint="eastAsia" w:ascii="Times New Roman" w:hAnsi="Times New Roman" w:eastAsia="宋体" w:cs="宋体"/>
          <w:b/>
          <w:bCs/>
          <w:color w:val="auto"/>
          <w:kern w:val="0"/>
          <w:sz w:val="24"/>
          <w:szCs w:val="22"/>
          <w:highlight w:val="none"/>
          <w:lang w:val="en-US" w:eastAsia="zh-CN"/>
        </w:rPr>
        <w:t>图7.2-</w:t>
      </w:r>
      <w:r>
        <w:rPr>
          <w:rFonts w:hint="eastAsia" w:eastAsia="宋体" w:cs="宋体"/>
          <w:b/>
          <w:bCs/>
          <w:color w:val="auto"/>
          <w:kern w:val="0"/>
          <w:sz w:val="24"/>
          <w:szCs w:val="22"/>
          <w:highlight w:val="none"/>
          <w:lang w:val="en-US" w:eastAsia="zh-CN"/>
        </w:rPr>
        <w:t>1</w:t>
      </w:r>
      <w:r>
        <w:rPr>
          <w:rFonts w:hint="eastAsia" w:ascii="Times New Roman" w:hAnsi="Times New Roman" w:eastAsia="宋体" w:cs="宋体"/>
          <w:b/>
          <w:bCs/>
          <w:color w:val="auto"/>
          <w:kern w:val="0"/>
          <w:sz w:val="24"/>
          <w:szCs w:val="22"/>
          <w:highlight w:val="none"/>
          <w:lang w:val="en-US" w:eastAsia="zh-CN"/>
        </w:rPr>
        <w:t>滴滤法工艺流程</w:t>
      </w:r>
    </w:p>
    <w:p w14:paraId="4B82B802">
      <w:pPr>
        <w:overflowPunct w:val="0"/>
        <w:autoSpaceDE w:val="0"/>
        <w:autoSpaceDN w:val="0"/>
        <w:bidi w:val="0"/>
        <w:adjustRightInd w:val="0"/>
        <w:snapToGrid w:val="0"/>
        <w:spacing w:before="0" w:after="0" w:line="360" w:lineRule="auto"/>
        <w:ind w:right="0"/>
        <w:jc w:val="center"/>
        <w:rPr>
          <w:rFonts w:hint="default" w:ascii="Times New Roman" w:hAnsi="Times New Roman" w:eastAsia="宋体" w:cs="宋体"/>
          <w:b/>
          <w:bCs/>
          <w:color w:val="auto"/>
          <w:kern w:val="0"/>
          <w:sz w:val="24"/>
          <w:szCs w:val="22"/>
          <w:highlight w:val="none"/>
          <w:lang w:val="en-US" w:eastAsia="zh-CN"/>
        </w:rPr>
      </w:pPr>
      <w:r>
        <w:rPr>
          <w:rFonts w:hint="eastAsia" w:cs="宋体"/>
          <w:b/>
          <w:bCs/>
          <w:color w:val="auto"/>
          <w:kern w:val="0"/>
          <w:sz w:val="24"/>
          <w:szCs w:val="22"/>
          <w:highlight w:val="none"/>
          <w:lang w:val="en-US" w:eastAsia="zh-CN"/>
        </w:rPr>
        <w:t>表7.2-1  生物滴滤塔技术参数</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257"/>
        <w:gridCol w:w="2423"/>
        <w:gridCol w:w="1961"/>
        <w:gridCol w:w="2863"/>
      </w:tblGrid>
      <w:tr w14:paraId="1B100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tcBorders>
              <w:tl2br w:val="nil"/>
              <w:tr2bl w:val="nil"/>
            </w:tcBorders>
            <w:shd w:val="clear" w:color="auto" w:fill="FFFFFF"/>
            <w:tcMar>
              <w:top w:w="150" w:type="dxa"/>
              <w:left w:w="0" w:type="dxa"/>
              <w:bottom w:w="150" w:type="dxa"/>
              <w:right w:w="240" w:type="dxa"/>
            </w:tcMar>
            <w:vAlign w:val="center"/>
          </w:tcPr>
          <w:p w14:paraId="57597C02">
            <w:pPr>
              <w:bidi w:val="0"/>
              <w:jc w:val="center"/>
              <w:rPr>
                <w:rFonts w:hint="default" w:ascii="Times New Roman" w:hAnsi="Times New Roman" w:eastAsia="宋体" w:cs="Times New Roman"/>
                <w:b/>
                <w:bCs/>
              </w:rPr>
            </w:pPr>
            <w:r>
              <w:rPr>
                <w:rFonts w:hint="default" w:ascii="Times New Roman" w:hAnsi="Times New Roman" w:eastAsia="宋体" w:cs="Times New Roman"/>
                <w:b/>
                <w:bCs/>
                <w:lang w:val="en-US" w:eastAsia="zh-CN"/>
              </w:rPr>
              <w:t>参数类别</w:t>
            </w:r>
          </w:p>
        </w:tc>
        <w:tc>
          <w:tcPr>
            <w:tcW w:w="0" w:type="auto"/>
            <w:tcBorders>
              <w:tl2br w:val="nil"/>
              <w:tr2bl w:val="nil"/>
            </w:tcBorders>
            <w:shd w:val="clear" w:color="auto" w:fill="FFFFFF"/>
            <w:tcMar>
              <w:top w:w="150" w:type="dxa"/>
              <w:left w:w="240" w:type="dxa"/>
              <w:bottom w:w="150" w:type="dxa"/>
              <w:right w:w="240" w:type="dxa"/>
            </w:tcMar>
            <w:vAlign w:val="center"/>
          </w:tcPr>
          <w:p w14:paraId="2FFFC6A9">
            <w:pPr>
              <w:bidi w:val="0"/>
              <w:jc w:val="center"/>
              <w:rPr>
                <w:rFonts w:hint="default" w:ascii="Times New Roman" w:hAnsi="Times New Roman" w:eastAsia="宋体" w:cs="Times New Roman"/>
                <w:b/>
                <w:bCs/>
              </w:rPr>
            </w:pPr>
            <w:r>
              <w:rPr>
                <w:rFonts w:hint="default" w:ascii="Times New Roman" w:hAnsi="Times New Roman" w:eastAsia="宋体" w:cs="Times New Roman"/>
                <w:b/>
                <w:bCs/>
                <w:lang w:val="en-US" w:eastAsia="zh-CN"/>
              </w:rPr>
              <w:t>参数名称</w:t>
            </w:r>
          </w:p>
        </w:tc>
        <w:tc>
          <w:tcPr>
            <w:tcW w:w="1961" w:type="dxa"/>
            <w:tcBorders>
              <w:tl2br w:val="nil"/>
              <w:tr2bl w:val="nil"/>
            </w:tcBorders>
            <w:shd w:val="clear" w:color="auto" w:fill="FFFFFF"/>
            <w:tcMar>
              <w:top w:w="150" w:type="dxa"/>
              <w:left w:w="240" w:type="dxa"/>
              <w:bottom w:w="150" w:type="dxa"/>
              <w:right w:w="240" w:type="dxa"/>
            </w:tcMar>
            <w:vAlign w:val="center"/>
          </w:tcPr>
          <w:p w14:paraId="2D8B1376">
            <w:pPr>
              <w:bidi w:val="0"/>
              <w:jc w:val="center"/>
              <w:rPr>
                <w:rFonts w:hint="default" w:ascii="Times New Roman" w:hAnsi="Times New Roman" w:eastAsia="宋体" w:cs="Times New Roman"/>
                <w:b/>
                <w:bCs/>
              </w:rPr>
            </w:pPr>
            <w:r>
              <w:rPr>
                <w:rFonts w:hint="default" w:ascii="Times New Roman" w:hAnsi="Times New Roman" w:eastAsia="宋体" w:cs="Times New Roman"/>
                <w:b/>
                <w:bCs/>
                <w:lang w:val="en-US" w:eastAsia="zh-CN"/>
              </w:rPr>
              <w:t>参考数值范围</w:t>
            </w:r>
          </w:p>
        </w:tc>
        <w:tc>
          <w:tcPr>
            <w:tcW w:w="2863" w:type="dxa"/>
            <w:tcBorders>
              <w:tl2br w:val="nil"/>
              <w:tr2bl w:val="nil"/>
            </w:tcBorders>
            <w:shd w:val="clear" w:color="auto" w:fill="FFFFFF"/>
            <w:tcMar>
              <w:top w:w="150" w:type="dxa"/>
              <w:left w:w="240" w:type="dxa"/>
              <w:bottom w:w="150" w:type="dxa"/>
              <w:right w:w="240" w:type="dxa"/>
            </w:tcMar>
            <w:vAlign w:val="center"/>
          </w:tcPr>
          <w:p w14:paraId="120D3AA5">
            <w:pPr>
              <w:bidi w:val="0"/>
              <w:jc w:val="center"/>
              <w:rPr>
                <w:rFonts w:hint="default" w:ascii="Times New Roman" w:hAnsi="Times New Roman" w:eastAsia="宋体" w:cs="Times New Roman"/>
                <w:b/>
                <w:bCs/>
              </w:rPr>
            </w:pPr>
            <w:r>
              <w:rPr>
                <w:rFonts w:hint="default" w:ascii="Times New Roman" w:hAnsi="Times New Roman" w:eastAsia="宋体" w:cs="Times New Roman"/>
                <w:b/>
                <w:bCs/>
                <w:lang w:val="en-US" w:eastAsia="zh-CN"/>
              </w:rPr>
              <w:t>说明</w:t>
            </w:r>
          </w:p>
        </w:tc>
      </w:tr>
      <w:tr w14:paraId="15C5A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223" w:hRule="atLeast"/>
          <w:jc w:val="center"/>
        </w:trPr>
        <w:tc>
          <w:tcPr>
            <w:tcW w:w="0" w:type="auto"/>
            <w:tcBorders>
              <w:tl2br w:val="nil"/>
              <w:tr2bl w:val="nil"/>
            </w:tcBorders>
            <w:shd w:val="clear" w:color="auto" w:fill="FFFFFF"/>
            <w:tcMar>
              <w:top w:w="150" w:type="dxa"/>
              <w:left w:w="0" w:type="dxa"/>
              <w:bottom w:w="150" w:type="dxa"/>
              <w:right w:w="240" w:type="dxa"/>
            </w:tcMar>
            <w:vAlign w:val="center"/>
          </w:tcPr>
          <w:p w14:paraId="70350321">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停留时间</w:t>
            </w:r>
          </w:p>
        </w:tc>
        <w:tc>
          <w:tcPr>
            <w:tcW w:w="0" w:type="auto"/>
            <w:tcBorders>
              <w:tl2br w:val="nil"/>
              <w:tr2bl w:val="nil"/>
            </w:tcBorders>
            <w:shd w:val="clear" w:color="auto" w:fill="FFFFFF"/>
            <w:tcMar>
              <w:top w:w="150" w:type="dxa"/>
              <w:left w:w="240" w:type="dxa"/>
              <w:bottom w:w="150" w:type="dxa"/>
              <w:right w:w="240" w:type="dxa"/>
            </w:tcMar>
            <w:vAlign w:val="center"/>
          </w:tcPr>
          <w:p w14:paraId="0DF626CA">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 xml:space="preserve">空床停留时间 </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EBRT</w:t>
            </w:r>
            <w:r>
              <w:rPr>
                <w:rFonts w:hint="eastAsia" w:ascii="Times New Roman" w:hAnsi="Times New Roman" w:eastAsia="宋体" w:cs="Times New Roman"/>
                <w:lang w:val="en-US" w:eastAsia="zh-CN"/>
              </w:rPr>
              <w:t>）</w:t>
            </w:r>
          </w:p>
        </w:tc>
        <w:tc>
          <w:tcPr>
            <w:tcW w:w="1961" w:type="dxa"/>
            <w:tcBorders>
              <w:tl2br w:val="nil"/>
              <w:tr2bl w:val="nil"/>
            </w:tcBorders>
            <w:shd w:val="clear" w:color="auto" w:fill="FFFFFF"/>
            <w:tcMar>
              <w:top w:w="150" w:type="dxa"/>
              <w:left w:w="240" w:type="dxa"/>
              <w:bottom w:w="150" w:type="dxa"/>
              <w:right w:w="240" w:type="dxa"/>
            </w:tcMar>
            <w:vAlign w:val="center"/>
          </w:tcPr>
          <w:p w14:paraId="531E77AD">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 1</w:t>
            </w:r>
            <w:r>
              <w:rPr>
                <w:rFonts w:hint="eastAsia" w:cs="Times New Roman"/>
                <w:lang w:val="en-US" w:eastAsia="zh-CN"/>
              </w:rPr>
              <w:t>5</w:t>
            </w:r>
            <w:r>
              <w:rPr>
                <w:rFonts w:hint="default" w:ascii="Times New Roman" w:hAnsi="Times New Roman" w:eastAsia="宋体" w:cs="Times New Roman"/>
                <w:lang w:val="en-US" w:eastAsia="zh-CN"/>
              </w:rPr>
              <w:t>秒</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"https://www.antpedia.com/standard/2076493780-10.html"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5B094A1D">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废气与填料上生物膜接触反应的时间，越长处理效果越好</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工程中常见设计为28</w:t>
            </w:r>
            <w:r>
              <w:rPr>
                <w:rFonts w:hint="eastAsia" w:cs="Times New Roman"/>
                <w:lang w:val="en-US" w:eastAsia="zh-CN"/>
              </w:rPr>
              <w:t>～</w:t>
            </w:r>
            <w:r>
              <w:rPr>
                <w:rFonts w:hint="default" w:ascii="Times New Roman" w:hAnsi="Times New Roman" w:eastAsia="宋体" w:cs="Times New Roman"/>
                <w:lang w:val="en-US" w:eastAsia="zh-CN"/>
              </w:rPr>
              <w:t>35秒</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"https://huanbao.bjx.com.cn/news/20160624/745364-2.shtml"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r>
      <w:tr w14:paraId="4118E1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Borders>
              <w:tl2br w:val="nil"/>
              <w:tr2bl w:val="nil"/>
            </w:tcBorders>
            <w:shd w:val="clear" w:color="auto" w:fill="FFFFFF"/>
            <w:tcMar>
              <w:top w:w="150" w:type="dxa"/>
              <w:left w:w="0" w:type="dxa"/>
              <w:bottom w:w="150" w:type="dxa"/>
              <w:right w:w="240" w:type="dxa"/>
            </w:tcMar>
            <w:vAlign w:val="center"/>
          </w:tcPr>
          <w:p w14:paraId="5EA69088">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气体流速</w:t>
            </w:r>
          </w:p>
        </w:tc>
        <w:tc>
          <w:tcPr>
            <w:tcW w:w="0" w:type="auto"/>
            <w:tcBorders>
              <w:tl2br w:val="nil"/>
              <w:tr2bl w:val="nil"/>
            </w:tcBorders>
            <w:shd w:val="clear" w:color="auto" w:fill="FFFFFF"/>
            <w:tcMar>
              <w:top w:w="150" w:type="dxa"/>
              <w:left w:w="240" w:type="dxa"/>
              <w:bottom w:w="150" w:type="dxa"/>
              <w:right w:w="240" w:type="dxa"/>
            </w:tcMar>
            <w:vAlign w:val="center"/>
          </w:tcPr>
          <w:p w14:paraId="13C28A83">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表观气速</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空塔气速</w:t>
            </w:r>
            <w:r>
              <w:rPr>
                <w:rFonts w:hint="eastAsia" w:ascii="Times New Roman" w:hAnsi="Times New Roman" w:eastAsia="宋体" w:cs="Times New Roman"/>
                <w:lang w:val="en-US" w:eastAsia="zh-CN"/>
              </w:rPr>
              <w:t>）</w:t>
            </w:r>
          </w:p>
        </w:tc>
        <w:tc>
          <w:tcPr>
            <w:tcW w:w="1961" w:type="dxa"/>
            <w:tcBorders>
              <w:tl2br w:val="nil"/>
              <w:tr2bl w:val="nil"/>
            </w:tcBorders>
            <w:shd w:val="clear" w:color="auto" w:fill="FFFFFF"/>
            <w:tcMar>
              <w:top w:w="150" w:type="dxa"/>
              <w:left w:w="240" w:type="dxa"/>
              <w:bottom w:w="150" w:type="dxa"/>
              <w:right w:w="240" w:type="dxa"/>
            </w:tcMar>
            <w:vAlign w:val="center"/>
          </w:tcPr>
          <w:p w14:paraId="141A409B">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0.05</w:t>
            </w:r>
            <w:r>
              <w:rPr>
                <w:rFonts w:hint="eastAsia" w:cs="Times New Roman"/>
                <w:lang w:val="en-US" w:eastAsia="zh-CN"/>
              </w:rPr>
              <w:t>—</w:t>
            </w:r>
            <w:r>
              <w:rPr>
                <w:rFonts w:hint="default" w:ascii="Times New Roman" w:hAnsi="Times New Roman" w:eastAsia="宋体" w:cs="Times New Roman"/>
                <w:lang w:val="en-US" w:eastAsia="zh-CN"/>
              </w:rPr>
              <w:t>0.5m/s</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"https://www.antpedia.com/standard/2076493780-10.html"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53DA25B9">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即空塔气速，常见设计范围为0.01</w:t>
            </w:r>
            <w:r>
              <w:rPr>
                <w:rFonts w:hint="eastAsia" w:cs="Times New Roman"/>
                <w:lang w:val="en-US" w:eastAsia="zh-CN"/>
              </w:rPr>
              <w:t>—</w:t>
            </w:r>
            <w:r>
              <w:rPr>
                <w:rFonts w:hint="default" w:ascii="Times New Roman" w:hAnsi="Times New Roman" w:eastAsia="宋体" w:cs="Times New Roman"/>
                <w:lang w:val="en-US" w:eastAsia="zh-CN"/>
              </w:rPr>
              <w:t>0.06m/s</w:t>
            </w:r>
          </w:p>
        </w:tc>
      </w:tr>
      <w:tr w14:paraId="429C0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44" w:hRule="atLeast"/>
          <w:jc w:val="center"/>
        </w:trPr>
        <w:tc>
          <w:tcPr>
            <w:tcW w:w="1257" w:type="dxa"/>
            <w:vMerge w:val="restart"/>
            <w:tcBorders>
              <w:tl2br w:val="nil"/>
              <w:tr2bl w:val="nil"/>
            </w:tcBorders>
            <w:shd w:val="clear" w:color="auto" w:fill="FFFFFF"/>
            <w:tcMar>
              <w:top w:w="150" w:type="dxa"/>
              <w:left w:w="0" w:type="dxa"/>
              <w:bottom w:w="150" w:type="dxa"/>
              <w:right w:w="240" w:type="dxa"/>
            </w:tcMar>
            <w:vAlign w:val="center"/>
          </w:tcPr>
          <w:p w14:paraId="57444A10">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填料参数</w:t>
            </w:r>
          </w:p>
        </w:tc>
        <w:tc>
          <w:tcPr>
            <w:tcW w:w="0" w:type="auto"/>
            <w:tcBorders>
              <w:tl2br w:val="nil"/>
              <w:tr2bl w:val="nil"/>
            </w:tcBorders>
            <w:shd w:val="clear" w:color="auto" w:fill="FFFFFF"/>
            <w:tcMar>
              <w:top w:w="150" w:type="dxa"/>
              <w:left w:w="240" w:type="dxa"/>
              <w:bottom w:w="150" w:type="dxa"/>
              <w:right w:w="240" w:type="dxa"/>
            </w:tcMar>
            <w:vAlign w:val="center"/>
          </w:tcPr>
          <w:p w14:paraId="38ACF494">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填料层高度</w:t>
            </w:r>
          </w:p>
        </w:tc>
        <w:tc>
          <w:tcPr>
            <w:tcW w:w="1961" w:type="dxa"/>
            <w:tcBorders>
              <w:tl2br w:val="nil"/>
              <w:tr2bl w:val="nil"/>
            </w:tcBorders>
            <w:shd w:val="clear" w:color="auto" w:fill="FFFFFF"/>
            <w:tcMar>
              <w:top w:w="150" w:type="dxa"/>
              <w:left w:w="240" w:type="dxa"/>
              <w:bottom w:w="150" w:type="dxa"/>
              <w:right w:w="240" w:type="dxa"/>
            </w:tcMar>
            <w:vAlign w:val="center"/>
          </w:tcPr>
          <w:p w14:paraId="59F8ACB6">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2.0</w:t>
            </w:r>
            <w:r>
              <w:rPr>
                <w:rFonts w:hint="eastAsia" w:cs="Times New Roman"/>
                <w:lang w:val="en-US" w:eastAsia="zh-CN"/>
              </w:rPr>
              <w:t>—</w:t>
            </w:r>
            <w:r>
              <w:rPr>
                <w:rFonts w:hint="default" w:ascii="Times New Roman" w:hAnsi="Times New Roman" w:eastAsia="宋体" w:cs="Times New Roman"/>
                <w:lang w:val="en-US" w:eastAsia="zh-CN"/>
              </w:rPr>
              <w:t>5.0m</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"https://www.antpedia.com/standard/2076493780-10.html"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471BAD11">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确保足够的接触面积和反应时间</w:t>
            </w:r>
          </w:p>
        </w:tc>
      </w:tr>
      <w:tr w14:paraId="75852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57" w:type="dxa"/>
            <w:vMerge w:val="continue"/>
            <w:tcBorders>
              <w:tl2br w:val="nil"/>
              <w:tr2bl w:val="nil"/>
            </w:tcBorders>
            <w:shd w:val="clear" w:color="auto" w:fill="FFFFFF"/>
            <w:tcMar>
              <w:top w:w="150" w:type="dxa"/>
              <w:left w:w="0" w:type="dxa"/>
              <w:bottom w:w="150" w:type="dxa"/>
              <w:right w:w="240" w:type="dxa"/>
            </w:tcMar>
            <w:vAlign w:val="center"/>
          </w:tcPr>
          <w:p w14:paraId="5FC878E4">
            <w:pPr>
              <w:bidi w:val="0"/>
              <w:jc w:val="center"/>
              <w:rPr>
                <w:rFonts w:hint="default" w:ascii="Times New Roman" w:hAnsi="Times New Roman" w:eastAsia="宋体" w:cs="Times New Roman"/>
              </w:rPr>
            </w:pPr>
          </w:p>
        </w:tc>
        <w:tc>
          <w:tcPr>
            <w:tcW w:w="0" w:type="auto"/>
            <w:tcBorders>
              <w:tl2br w:val="nil"/>
              <w:tr2bl w:val="nil"/>
            </w:tcBorders>
            <w:shd w:val="clear" w:color="auto" w:fill="FFFFFF"/>
            <w:tcMar>
              <w:top w:w="150" w:type="dxa"/>
              <w:left w:w="240" w:type="dxa"/>
              <w:bottom w:w="150" w:type="dxa"/>
              <w:right w:w="240" w:type="dxa"/>
            </w:tcMar>
            <w:vAlign w:val="center"/>
          </w:tcPr>
          <w:p w14:paraId="6E603946">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填料比表面积</w:t>
            </w:r>
          </w:p>
        </w:tc>
        <w:tc>
          <w:tcPr>
            <w:tcW w:w="1961" w:type="dxa"/>
            <w:tcBorders>
              <w:tl2br w:val="nil"/>
              <w:tr2bl w:val="nil"/>
            </w:tcBorders>
            <w:shd w:val="clear" w:color="auto" w:fill="FFFFFF"/>
            <w:tcMar>
              <w:top w:w="150" w:type="dxa"/>
              <w:left w:w="240" w:type="dxa"/>
              <w:bottom w:w="150" w:type="dxa"/>
              <w:right w:w="240" w:type="dxa"/>
            </w:tcMar>
            <w:vAlign w:val="center"/>
          </w:tcPr>
          <w:p w14:paraId="613F6864">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 300m</w:t>
            </w:r>
            <w:r>
              <w:rPr>
                <w:rFonts w:hint="eastAsia" w:ascii="Times New Roman" w:hAnsi="Times New Roman" w:eastAsia="宋体" w:cs="Times New Roman"/>
                <w:vertAlign w:val="superscript"/>
                <w:lang w:val="en-US" w:eastAsia="zh-CN"/>
              </w:rPr>
              <w:t>2</w:t>
            </w:r>
            <w:r>
              <w:rPr>
                <w:rFonts w:hint="default" w:ascii="Times New Roman" w:hAnsi="Times New Roman" w:eastAsia="宋体" w:cs="Times New Roman"/>
                <w:lang w:val="en-US" w:eastAsia="zh-CN"/>
              </w:rPr>
              <w:t>/m</w:t>
            </w:r>
            <w:r>
              <w:rPr>
                <w:rFonts w:hint="eastAsia"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"https://www.antpedia.com/standard/2076493780-10.html"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0C022955">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比表面积越大，微生物附着量越多，处理效率越高。</w:t>
            </w:r>
          </w:p>
        </w:tc>
      </w:tr>
      <w:tr w14:paraId="3FA337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57" w:type="dxa"/>
            <w:vMerge w:val="continue"/>
            <w:tcBorders>
              <w:tl2br w:val="nil"/>
              <w:tr2bl w:val="nil"/>
            </w:tcBorders>
            <w:shd w:val="clear" w:color="auto" w:fill="FFFFFF"/>
            <w:tcMar>
              <w:top w:w="150" w:type="dxa"/>
              <w:left w:w="0" w:type="dxa"/>
              <w:bottom w:w="150" w:type="dxa"/>
              <w:right w:w="240" w:type="dxa"/>
            </w:tcMar>
            <w:vAlign w:val="center"/>
          </w:tcPr>
          <w:p w14:paraId="5E071D8D">
            <w:pPr>
              <w:bidi w:val="0"/>
              <w:jc w:val="center"/>
              <w:rPr>
                <w:rFonts w:hint="default" w:ascii="Times New Roman" w:hAnsi="Times New Roman" w:eastAsia="宋体" w:cs="Times New Roman"/>
              </w:rPr>
            </w:pPr>
          </w:p>
        </w:tc>
        <w:tc>
          <w:tcPr>
            <w:tcW w:w="0" w:type="auto"/>
            <w:tcBorders>
              <w:tl2br w:val="nil"/>
              <w:tr2bl w:val="nil"/>
            </w:tcBorders>
            <w:shd w:val="clear" w:color="auto" w:fill="FFFFFF"/>
            <w:tcMar>
              <w:top w:w="150" w:type="dxa"/>
              <w:left w:w="240" w:type="dxa"/>
              <w:bottom w:w="150" w:type="dxa"/>
              <w:right w:w="240" w:type="dxa"/>
            </w:tcMar>
            <w:vAlign w:val="center"/>
          </w:tcPr>
          <w:p w14:paraId="3EB9D248">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填料孔隙率</w:t>
            </w:r>
          </w:p>
        </w:tc>
        <w:tc>
          <w:tcPr>
            <w:tcW w:w="1961" w:type="dxa"/>
            <w:tcBorders>
              <w:tl2br w:val="nil"/>
              <w:tr2bl w:val="nil"/>
            </w:tcBorders>
            <w:shd w:val="clear" w:color="auto" w:fill="FFFFFF"/>
            <w:tcMar>
              <w:top w:w="150" w:type="dxa"/>
              <w:left w:w="240" w:type="dxa"/>
              <w:bottom w:w="150" w:type="dxa"/>
              <w:right w:w="240" w:type="dxa"/>
            </w:tcMar>
            <w:vAlign w:val="center"/>
          </w:tcPr>
          <w:p w14:paraId="4B117957">
            <w:pPr>
              <w:bidi w:val="0"/>
              <w:jc w:val="center"/>
              <w:rPr>
                <w:rFonts w:hint="default" w:ascii="Times New Roman" w:hAnsi="Times New Roman" w:eastAsia="宋体" w:cs="Times New Roman"/>
              </w:rPr>
            </w:pPr>
            <w:r>
              <w:rPr>
                <w:rFonts w:hint="eastAsia" w:cs="Times New Roman"/>
                <w:lang w:val="en-US" w:eastAsia="zh-CN"/>
              </w:rPr>
              <w:t>&gt;</w:t>
            </w:r>
            <w:r>
              <w:rPr>
                <w:rFonts w:hint="default" w:ascii="Times New Roman" w:hAnsi="Times New Roman" w:eastAsia="宋体" w:cs="Times New Roman"/>
                <w:lang w:val="en-US" w:eastAsia="zh-CN"/>
              </w:rPr>
              <w:t>40%</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"https://www.antpedia.com/standard/2076493780-10.html"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708647DB">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保证气体流通顺畅，防止堵塞。</w:t>
            </w:r>
          </w:p>
        </w:tc>
      </w:tr>
      <w:tr w14:paraId="0252A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tcBorders>
              <w:tl2br w:val="nil"/>
              <w:tr2bl w:val="nil"/>
            </w:tcBorders>
            <w:shd w:val="clear" w:color="auto" w:fill="FFFFFF"/>
            <w:tcMar>
              <w:top w:w="150" w:type="dxa"/>
              <w:left w:w="0" w:type="dxa"/>
              <w:bottom w:w="150" w:type="dxa"/>
              <w:right w:w="240" w:type="dxa"/>
            </w:tcMar>
            <w:vAlign w:val="center"/>
          </w:tcPr>
          <w:p w14:paraId="4D9586CD">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尺寸比例</w:t>
            </w:r>
          </w:p>
        </w:tc>
        <w:tc>
          <w:tcPr>
            <w:tcW w:w="0" w:type="auto"/>
            <w:tcBorders>
              <w:tl2br w:val="nil"/>
              <w:tr2bl w:val="nil"/>
            </w:tcBorders>
            <w:shd w:val="clear" w:color="auto" w:fill="FFFFFF"/>
            <w:tcMar>
              <w:top w:w="150" w:type="dxa"/>
              <w:left w:w="240" w:type="dxa"/>
              <w:bottom w:w="150" w:type="dxa"/>
              <w:right w:w="240" w:type="dxa"/>
            </w:tcMar>
            <w:vAlign w:val="center"/>
          </w:tcPr>
          <w:p w14:paraId="2F45F7B2">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塔体高径比</w:t>
            </w:r>
          </w:p>
        </w:tc>
        <w:tc>
          <w:tcPr>
            <w:tcW w:w="1961" w:type="dxa"/>
            <w:tcBorders>
              <w:tl2br w:val="nil"/>
              <w:tr2bl w:val="nil"/>
            </w:tcBorders>
            <w:shd w:val="clear" w:color="auto" w:fill="FFFFFF"/>
            <w:tcMar>
              <w:top w:w="150" w:type="dxa"/>
              <w:left w:w="240" w:type="dxa"/>
              <w:bottom w:w="150" w:type="dxa"/>
              <w:right w:w="240" w:type="dxa"/>
            </w:tcMar>
            <w:vAlign w:val="center"/>
          </w:tcPr>
          <w:p w14:paraId="6ACF329D">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6</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8</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1</w:t>
            </w:r>
          </w:p>
        </w:tc>
        <w:tc>
          <w:tcPr>
            <w:tcW w:w="2863" w:type="dxa"/>
            <w:tcBorders>
              <w:tl2br w:val="nil"/>
              <w:tr2bl w:val="nil"/>
            </w:tcBorders>
            <w:shd w:val="clear" w:color="auto" w:fill="FFFFFF"/>
            <w:tcMar>
              <w:top w:w="150" w:type="dxa"/>
              <w:left w:w="240" w:type="dxa"/>
              <w:bottom w:w="150" w:type="dxa"/>
              <w:right w:w="0" w:type="dxa"/>
            </w:tcMar>
            <w:vAlign w:val="center"/>
          </w:tcPr>
          <w:p w14:paraId="095BECC9">
            <w:pPr>
              <w:bidi w:val="0"/>
              <w:jc w:val="center"/>
              <w:rPr>
                <w:rFonts w:hint="default" w:ascii="Times New Roman" w:hAnsi="Times New Roman" w:eastAsia="宋体" w:cs="Times New Roman"/>
              </w:rPr>
            </w:pPr>
            <w:r>
              <w:rPr>
                <w:rFonts w:hint="default" w:ascii="Times New Roman" w:hAnsi="Times New Roman" w:eastAsia="宋体" w:cs="Times New Roman"/>
                <w:lang w:val="en-US" w:eastAsia="zh-CN"/>
              </w:rPr>
              <w:t>塔式生物滤池的设计参考比例。</w:t>
            </w:r>
          </w:p>
        </w:tc>
      </w:tr>
      <w:tr w14:paraId="4430E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57" w:type="dxa"/>
            <w:tcBorders>
              <w:tl2br w:val="nil"/>
              <w:tr2bl w:val="nil"/>
            </w:tcBorders>
            <w:shd w:val="clear" w:color="auto" w:fill="FFFFFF"/>
            <w:tcMar>
              <w:top w:w="150" w:type="dxa"/>
              <w:left w:w="0" w:type="dxa"/>
              <w:bottom w:w="150" w:type="dxa"/>
              <w:right w:w="240" w:type="dxa"/>
            </w:tcMar>
            <w:vAlign w:val="center"/>
          </w:tcPr>
          <w:p w14:paraId="2AD01414">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温度控制</w:t>
            </w:r>
          </w:p>
        </w:tc>
        <w:tc>
          <w:tcPr>
            <w:tcW w:w="2423" w:type="dxa"/>
            <w:tcBorders>
              <w:tl2br w:val="nil"/>
              <w:tr2bl w:val="nil"/>
            </w:tcBorders>
            <w:shd w:val="clear" w:color="auto" w:fill="FFFFFF"/>
            <w:tcMar>
              <w:top w:w="150" w:type="dxa"/>
              <w:left w:w="240" w:type="dxa"/>
              <w:bottom w:w="150" w:type="dxa"/>
              <w:right w:w="240" w:type="dxa"/>
            </w:tcMar>
            <w:vAlign w:val="center"/>
          </w:tcPr>
          <w:p w14:paraId="6B8DA95A">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适宜温度</w:t>
            </w:r>
          </w:p>
        </w:tc>
        <w:tc>
          <w:tcPr>
            <w:tcW w:w="1961" w:type="dxa"/>
            <w:tcBorders>
              <w:tl2br w:val="nil"/>
              <w:tr2bl w:val="nil"/>
            </w:tcBorders>
            <w:shd w:val="clear" w:color="auto" w:fill="FFFFFF"/>
            <w:tcMar>
              <w:top w:w="150" w:type="dxa"/>
              <w:left w:w="240" w:type="dxa"/>
              <w:bottom w:w="150" w:type="dxa"/>
              <w:right w:w="240" w:type="dxa"/>
            </w:tcMar>
            <w:vAlign w:val="center"/>
          </w:tcPr>
          <w:p w14:paraId="1AF91561">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15</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45℃</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"https://huanbao.bjx.com.cn/news/20160624/745364-2.shtml"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7143FB5B">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微生物活性最佳温度区间，冬季需注意保温。低于10℃时需降负荷运行</w:t>
            </w:r>
            <w:r>
              <w:rPr>
                <w:rFonts w:hint="eastAsia" w:ascii="Times New Roman" w:hAnsi="Times New Roman" w:eastAsia="宋体" w:cs="Times New Roman"/>
                <w:lang w:val="en-US" w:eastAsia="zh-CN"/>
              </w:rPr>
              <w:t>，本项目冬季不运行</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"https://www.antpedia.com/standard/2076493780-10.html"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r>
              <w:rPr>
                <w:rFonts w:hint="default" w:ascii="Times New Roman" w:hAnsi="Times New Roman" w:eastAsia="宋体" w:cs="Times New Roman"/>
                <w:lang w:val="en-US" w:eastAsia="zh-CN"/>
              </w:rPr>
              <w:t>。</w:t>
            </w:r>
          </w:p>
        </w:tc>
      </w:tr>
      <w:tr w14:paraId="53E37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57" w:type="dxa"/>
            <w:tcBorders>
              <w:tl2br w:val="nil"/>
              <w:tr2bl w:val="nil"/>
            </w:tcBorders>
            <w:shd w:val="clear" w:color="auto" w:fill="FFFFFF"/>
            <w:tcMar>
              <w:top w:w="150" w:type="dxa"/>
              <w:left w:w="0" w:type="dxa"/>
              <w:bottom w:w="150" w:type="dxa"/>
              <w:right w:w="240" w:type="dxa"/>
            </w:tcMar>
            <w:vAlign w:val="center"/>
          </w:tcPr>
          <w:p w14:paraId="41B0A6B3">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酸碱度</w:t>
            </w:r>
            <w:r>
              <w:rPr>
                <w:rFonts w:hint="eastAsia" w:cs="Times New Roman"/>
                <w:lang w:val="en-US" w:eastAsia="zh-CN"/>
              </w:rPr>
              <w:t>（</w:t>
            </w:r>
            <w:r>
              <w:rPr>
                <w:rFonts w:hint="default" w:ascii="Times New Roman" w:hAnsi="Times New Roman" w:eastAsia="宋体" w:cs="Times New Roman"/>
                <w:lang w:val="en-US" w:eastAsia="zh-CN"/>
              </w:rPr>
              <w:t>pH</w:t>
            </w:r>
            <w:r>
              <w:rPr>
                <w:rFonts w:hint="eastAsia" w:cs="Times New Roman"/>
                <w:lang w:val="en-US" w:eastAsia="zh-CN"/>
              </w:rPr>
              <w:t>）</w:t>
            </w:r>
          </w:p>
        </w:tc>
        <w:tc>
          <w:tcPr>
            <w:tcW w:w="2423" w:type="dxa"/>
            <w:tcBorders>
              <w:tl2br w:val="nil"/>
              <w:tr2bl w:val="nil"/>
            </w:tcBorders>
            <w:shd w:val="clear" w:color="auto" w:fill="FFFFFF"/>
            <w:tcMar>
              <w:top w:w="150" w:type="dxa"/>
              <w:left w:w="240" w:type="dxa"/>
              <w:bottom w:w="150" w:type="dxa"/>
              <w:right w:w="240" w:type="dxa"/>
            </w:tcMar>
            <w:vAlign w:val="center"/>
          </w:tcPr>
          <w:p w14:paraId="6EC4C91B">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循环液pH值</w:t>
            </w:r>
          </w:p>
        </w:tc>
        <w:tc>
          <w:tcPr>
            <w:tcW w:w="1961" w:type="dxa"/>
            <w:tcBorders>
              <w:tl2br w:val="nil"/>
              <w:tr2bl w:val="nil"/>
            </w:tcBorders>
            <w:shd w:val="clear" w:color="auto" w:fill="FFFFFF"/>
            <w:tcMar>
              <w:top w:w="150" w:type="dxa"/>
              <w:left w:w="240" w:type="dxa"/>
              <w:bottom w:w="150" w:type="dxa"/>
              <w:right w:w="240" w:type="dxa"/>
            </w:tcMar>
            <w:vAlign w:val="center"/>
          </w:tcPr>
          <w:p w14:paraId="757F9AB0">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6.0 - 7.0（处理H</w:t>
            </w:r>
            <w:r>
              <w:rPr>
                <w:rFonts w:hint="eastAsia" w:ascii="Times New Roman" w:hAnsi="Times New Roman" w:eastAsia="宋体" w:cs="Times New Roman"/>
                <w:vertAlign w:val="subscript"/>
                <w:lang w:val="en-US" w:eastAsia="zh-CN"/>
              </w:rPr>
              <w:t>2</w:t>
            </w:r>
            <w:r>
              <w:rPr>
                <w:rFonts w:hint="default" w:ascii="Times New Roman" w:hAnsi="Times New Roman" w:eastAsia="宋体" w:cs="Times New Roman"/>
                <w:lang w:val="en-US" w:eastAsia="zh-CN"/>
              </w:rPr>
              <w:t>S时）</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"http://dianda.cqvip.com/Qikan/Article/Detail?id=27971788&amp;from=Qikan_Article_Detail"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0C24F17F">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t>
            </w:r>
          </w:p>
        </w:tc>
      </w:tr>
      <w:tr w14:paraId="2EF5F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57" w:type="dxa"/>
            <w:tcBorders>
              <w:tl2br w:val="nil"/>
              <w:tr2bl w:val="nil"/>
            </w:tcBorders>
            <w:shd w:val="clear" w:color="auto" w:fill="FFFFFF"/>
            <w:tcMar>
              <w:top w:w="150" w:type="dxa"/>
              <w:left w:w="0" w:type="dxa"/>
              <w:bottom w:w="150" w:type="dxa"/>
              <w:right w:w="240" w:type="dxa"/>
            </w:tcMar>
            <w:vAlign w:val="center"/>
          </w:tcPr>
          <w:p w14:paraId="00DA505B">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喷淋系统</w:t>
            </w:r>
          </w:p>
        </w:tc>
        <w:tc>
          <w:tcPr>
            <w:tcW w:w="2423" w:type="dxa"/>
            <w:tcBorders>
              <w:tl2br w:val="nil"/>
              <w:tr2bl w:val="nil"/>
            </w:tcBorders>
            <w:shd w:val="clear" w:color="auto" w:fill="FFFFFF"/>
            <w:tcMar>
              <w:top w:w="150" w:type="dxa"/>
              <w:left w:w="240" w:type="dxa"/>
              <w:bottom w:w="150" w:type="dxa"/>
              <w:right w:w="240" w:type="dxa"/>
            </w:tcMar>
            <w:vAlign w:val="center"/>
          </w:tcPr>
          <w:p w14:paraId="05D400E5">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喷淋量/速率</w:t>
            </w:r>
          </w:p>
        </w:tc>
        <w:tc>
          <w:tcPr>
            <w:tcW w:w="1961" w:type="dxa"/>
            <w:tcBorders>
              <w:tl2br w:val="nil"/>
              <w:tr2bl w:val="nil"/>
            </w:tcBorders>
            <w:shd w:val="clear" w:color="auto" w:fill="FFFFFF"/>
            <w:tcMar>
              <w:top w:w="150" w:type="dxa"/>
              <w:left w:w="240" w:type="dxa"/>
              <w:bottom w:w="150" w:type="dxa"/>
              <w:right w:w="240" w:type="dxa"/>
            </w:tcMar>
            <w:vAlign w:val="center"/>
          </w:tcPr>
          <w:p w14:paraId="3B09E81E">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营养盐喷淋量8.0L/h</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"http://dianda.cqvip.com/Qikan/Article/Detail?id=27971788&amp;from=Qikan_Article_Detail"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287FE3B8">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为微生物提供水分和营养，维持其活性。喷淋速率建议为0.1</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1m</w:t>
            </w:r>
            <w:r>
              <w:rPr>
                <w:rFonts w:hint="eastAsia"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m</w:t>
            </w:r>
            <w:r>
              <w:rPr>
                <w:rFonts w:hint="eastAsia" w:ascii="Times New Roman" w:hAnsi="Times New Roman" w:eastAsia="宋体" w:cs="Times New Roman"/>
                <w:vertAlign w:val="superscript"/>
                <w:lang w:val="en-US" w:eastAsia="zh-CN"/>
              </w:rPr>
              <w:t>2</w:t>
            </w:r>
            <w:r>
              <w:rPr>
                <w:rFonts w:hint="default" w:ascii="Times New Roman" w:hAnsi="Times New Roman" w:eastAsia="宋体" w:cs="Times New Roman"/>
                <w:lang w:val="en-US" w:eastAsia="zh-CN"/>
              </w:rPr>
              <w:t>·h</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"https://www.antpedia.com/standard/2076493780-10.html"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r>
              <w:rPr>
                <w:rFonts w:hint="default" w:ascii="Times New Roman" w:hAnsi="Times New Roman" w:eastAsia="宋体" w:cs="Times New Roman"/>
                <w:lang w:val="en-US" w:eastAsia="zh-CN"/>
              </w:rPr>
              <w:t>。</w:t>
            </w:r>
          </w:p>
        </w:tc>
      </w:tr>
      <w:tr w14:paraId="02F76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257" w:type="dxa"/>
            <w:tcBorders>
              <w:tl2br w:val="nil"/>
              <w:tr2bl w:val="nil"/>
            </w:tcBorders>
            <w:shd w:val="clear" w:color="auto" w:fill="FFFFFF"/>
            <w:tcMar>
              <w:top w:w="150" w:type="dxa"/>
              <w:left w:w="0" w:type="dxa"/>
              <w:bottom w:w="150" w:type="dxa"/>
              <w:right w:w="240" w:type="dxa"/>
            </w:tcMar>
            <w:vAlign w:val="center"/>
          </w:tcPr>
          <w:p w14:paraId="71C0CFF3">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压降</w:t>
            </w:r>
          </w:p>
        </w:tc>
        <w:tc>
          <w:tcPr>
            <w:tcW w:w="2423" w:type="dxa"/>
            <w:tcBorders>
              <w:tl2br w:val="nil"/>
              <w:tr2bl w:val="nil"/>
            </w:tcBorders>
            <w:shd w:val="clear" w:color="auto" w:fill="FFFFFF"/>
            <w:tcMar>
              <w:top w:w="150" w:type="dxa"/>
              <w:left w:w="240" w:type="dxa"/>
              <w:bottom w:w="150" w:type="dxa"/>
              <w:right w:w="240" w:type="dxa"/>
            </w:tcMar>
            <w:vAlign w:val="center"/>
          </w:tcPr>
          <w:p w14:paraId="2DADB5BC">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床层总压降</w:t>
            </w:r>
          </w:p>
        </w:tc>
        <w:tc>
          <w:tcPr>
            <w:tcW w:w="1961" w:type="dxa"/>
            <w:tcBorders>
              <w:tl2br w:val="nil"/>
              <w:tr2bl w:val="nil"/>
            </w:tcBorders>
            <w:shd w:val="clear" w:color="auto" w:fill="FFFFFF"/>
            <w:tcMar>
              <w:top w:w="150" w:type="dxa"/>
              <w:left w:w="240" w:type="dxa"/>
              <w:bottom w:w="150" w:type="dxa"/>
              <w:right w:w="240" w:type="dxa"/>
            </w:tcMar>
            <w:vAlign w:val="center"/>
          </w:tcPr>
          <w:p w14:paraId="67F7AC3C">
            <w:pPr>
              <w:bidi w:val="0"/>
              <w:jc w:val="center"/>
              <w:rPr>
                <w:rFonts w:hint="default" w:ascii="Times New Roman" w:hAnsi="Times New Roman" w:eastAsia="宋体" w:cs="Times New Roman"/>
                <w:lang w:val="en-US" w:eastAsia="zh-CN"/>
              </w:rPr>
            </w:pPr>
            <w:r>
              <w:rPr>
                <w:rFonts w:hint="eastAsia" w:cs="Times New Roman"/>
                <w:lang w:val="en-US" w:eastAsia="zh-CN"/>
              </w:rPr>
              <w:t>&lt;</w:t>
            </w:r>
            <w:r>
              <w:rPr>
                <w:rFonts w:hint="default" w:ascii="Times New Roman" w:hAnsi="Times New Roman" w:eastAsia="宋体" w:cs="Times New Roman"/>
                <w:lang w:val="en-US" w:eastAsia="zh-CN"/>
              </w:rPr>
              <w:t>800Pa</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"https://huanbao.bjx.com.cn/news/20160624/745364-2.shtml" \t "https://chat.deepseek.com/a/chat/s/_blank"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fldChar w:fldCharType="end"/>
            </w:r>
          </w:p>
        </w:tc>
        <w:tc>
          <w:tcPr>
            <w:tcW w:w="2863" w:type="dxa"/>
            <w:tcBorders>
              <w:tl2br w:val="nil"/>
              <w:tr2bl w:val="nil"/>
            </w:tcBorders>
            <w:shd w:val="clear" w:color="auto" w:fill="FFFFFF"/>
            <w:tcMar>
              <w:top w:w="150" w:type="dxa"/>
              <w:left w:w="240" w:type="dxa"/>
              <w:bottom w:w="150" w:type="dxa"/>
              <w:right w:w="0" w:type="dxa"/>
            </w:tcMar>
            <w:vAlign w:val="center"/>
          </w:tcPr>
          <w:p w14:paraId="5B5F12D4">
            <w:pPr>
              <w:bidi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压降小，风机能耗低，运行费用省。</w:t>
            </w:r>
          </w:p>
        </w:tc>
      </w:tr>
    </w:tbl>
    <w:p w14:paraId="12B8BBF8">
      <w:pPr>
        <w:overflowPunct/>
        <w:adjustRightInd/>
        <w:snapToGrid/>
        <w:spacing w:line="360" w:lineRule="auto"/>
        <w:ind w:firstLine="480" w:firstLineChars="200"/>
        <w:jc w:val="left"/>
        <w:rPr>
          <w:rFonts w:hint="default" w:ascii="Times New Roman" w:hAnsi="Times New Roman" w:eastAsia="宋体" w:cs="Times New Roman"/>
          <w:snapToGrid w:val="0"/>
          <w:color w:val="000000"/>
          <w:kern w:val="2"/>
          <w:sz w:val="24"/>
          <w:szCs w:val="24"/>
          <w:highlight w:val="none"/>
          <w:lang w:val="en-US" w:eastAsia="zh-CN" w:bidi="ar-SA"/>
        </w:rPr>
      </w:pPr>
      <w:r>
        <w:rPr>
          <w:rFonts w:hint="eastAsia" w:cs="Times New Roman"/>
          <w:snapToGrid w:val="0"/>
          <w:color w:val="000000"/>
          <w:kern w:val="2"/>
          <w:sz w:val="24"/>
          <w:szCs w:val="24"/>
          <w:highlight w:val="none"/>
          <w:lang w:val="en-US" w:eastAsia="zh-CN" w:bidi="ar-SA"/>
        </w:rPr>
        <w:t>类比同类企业，新疆福源鼎盛繁育畜牧有限公司种牛场建设项目于2024年8月编制《新疆福源鼎盛繁育畜牧有限公司种牛场建设项目环境影响报告书》；2024年9月9日，第十师生态环境局出具《关于新疆福源鼎盛繁育畜牧有限公司种牛场建设项目环境影响报告书告知承诺行政许可决定》（十师环审〔2024〕32号）；2025年6月24日，在全国排污许可证管理信息平台申报登记管理，取得固定污染源排污登记回执，登记编号：91659005MABKXAJP80001W；2026年2月，通过竣工环境保护验收，该项目为育肥牛养殖项目，建成后合并新疆牧种种植农民专业合作社育成牛舍建设项目存栏量共计3000头育肥牛，建设一座堆肥间占地面积900m</w:t>
      </w:r>
      <w:r>
        <w:rPr>
          <w:rFonts w:hint="eastAsia" w:cs="Times New Roman"/>
          <w:snapToGrid w:val="0"/>
          <w:color w:val="000000"/>
          <w:kern w:val="2"/>
          <w:sz w:val="24"/>
          <w:szCs w:val="24"/>
          <w:highlight w:val="none"/>
          <w:vertAlign w:val="superscript"/>
          <w:lang w:val="en-US" w:eastAsia="zh-CN" w:bidi="ar-SA"/>
        </w:rPr>
        <w:t>2</w:t>
      </w:r>
      <w:r>
        <w:rPr>
          <w:rFonts w:hint="eastAsia" w:cs="Times New Roman"/>
          <w:snapToGrid w:val="0"/>
          <w:color w:val="000000"/>
          <w:kern w:val="2"/>
          <w:sz w:val="24"/>
          <w:szCs w:val="24"/>
          <w:highlight w:val="none"/>
          <w:lang w:val="en-US" w:eastAsia="zh-CN" w:bidi="ar-SA"/>
        </w:rPr>
        <w:t>，堆肥间设置袋式除尘+生物除臭（滴滤法）+15m排气筒控制堆肥产生的颗粒物、氨、硫化氢以及臭气浓度，</w:t>
      </w:r>
      <w:r>
        <w:rPr>
          <w:rFonts w:hint="default" w:ascii="Times New Roman" w:hAnsi="Times New Roman" w:eastAsia="宋体" w:cs="Times New Roman"/>
          <w:snapToGrid w:val="0"/>
          <w:color w:val="000000"/>
          <w:kern w:val="2"/>
          <w:sz w:val="24"/>
          <w:szCs w:val="24"/>
          <w:highlight w:val="none"/>
          <w:lang w:val="en-US" w:eastAsia="zh-CN" w:bidi="ar-SA"/>
        </w:rPr>
        <w:t>根据</w:t>
      </w:r>
      <w:r>
        <w:rPr>
          <w:rFonts w:hint="eastAsia" w:ascii="Times New Roman" w:hAnsi="Times New Roman" w:eastAsia="宋体" w:cs="Times New Roman"/>
          <w:snapToGrid w:val="0"/>
          <w:color w:val="000000"/>
          <w:kern w:val="2"/>
          <w:sz w:val="24"/>
          <w:szCs w:val="24"/>
          <w:highlight w:val="none"/>
          <w:lang w:val="en-US" w:eastAsia="zh-CN" w:bidi="ar-SA"/>
        </w:rPr>
        <w:t>《新疆福源鼎盛繁育畜牧有限公司种牛场建设项目竣工环境保护验收监测报告》，验收监测期间</w:t>
      </w:r>
      <w:r>
        <w:rPr>
          <w:rFonts w:hint="default" w:ascii="Times New Roman" w:hAnsi="Times New Roman" w:eastAsia="宋体" w:cs="Times New Roman"/>
          <w:kern w:val="0"/>
          <w:sz w:val="24"/>
          <w:szCs w:val="24"/>
          <w:highlight w:val="none"/>
          <w:lang w:val="en-US" w:eastAsia="zh-CN"/>
        </w:rPr>
        <w:t>DA001堆肥间排放口有组织颗粒物</w:t>
      </w:r>
      <w:r>
        <w:rPr>
          <w:rFonts w:hint="default" w:ascii="Times New Roman" w:hAnsi="Times New Roman" w:eastAsia="宋体" w:cs="Times New Roman"/>
          <w:kern w:val="0"/>
          <w:sz w:val="24"/>
          <w:szCs w:val="24"/>
          <w:highlight w:val="none"/>
        </w:rPr>
        <w:t>最大排放浓度为</w:t>
      </w:r>
      <w:r>
        <w:rPr>
          <w:rFonts w:hint="default" w:ascii="Times New Roman" w:hAnsi="Times New Roman" w:eastAsia="宋体" w:cs="Times New Roman"/>
          <w:kern w:val="0"/>
          <w:sz w:val="24"/>
          <w:szCs w:val="24"/>
          <w:highlight w:val="none"/>
          <w:lang w:val="en-US" w:eastAsia="zh-CN"/>
        </w:rPr>
        <w:t>45.7</w:t>
      </w:r>
      <w:r>
        <w:rPr>
          <w:rFonts w:hint="default" w:ascii="Times New Roman" w:hAnsi="Times New Roman" w:eastAsia="宋体" w:cs="Times New Roman"/>
          <w:kern w:val="0"/>
          <w:sz w:val="24"/>
          <w:szCs w:val="24"/>
          <w:highlight w:val="none"/>
        </w:rPr>
        <w:t>mg/m</w:t>
      </w:r>
      <w:r>
        <w:rPr>
          <w:rFonts w:hint="default" w:ascii="Times New Roman" w:hAnsi="Times New Roman" w:eastAsia="宋体" w:cs="Times New Roman"/>
          <w:kern w:val="0"/>
          <w:sz w:val="24"/>
          <w:szCs w:val="24"/>
          <w:highlight w:val="none"/>
          <w:vertAlign w:val="superscript"/>
        </w:rPr>
        <w:t>3</w:t>
      </w:r>
      <w:r>
        <w:rPr>
          <w:rFonts w:hint="default" w:ascii="Times New Roman" w:hAnsi="Times New Roman" w:eastAsia="宋体" w:cs="Times New Roman"/>
          <w:kern w:val="0"/>
          <w:sz w:val="24"/>
          <w:szCs w:val="24"/>
          <w:vertAlign w:val="baseline"/>
          <w:lang w:eastAsia="zh-CN"/>
        </w:rPr>
        <w:t>，</w:t>
      </w:r>
      <w:r>
        <w:rPr>
          <w:rFonts w:hint="default" w:ascii="Times New Roman" w:hAnsi="Times New Roman" w:eastAsia="宋体" w:cs="Times New Roman"/>
          <w:kern w:val="0"/>
          <w:sz w:val="24"/>
          <w:szCs w:val="24"/>
          <w:vertAlign w:val="baseline"/>
          <w:lang w:val="en-US" w:eastAsia="zh-CN"/>
        </w:rPr>
        <w:t>最大排放速率</w:t>
      </w:r>
      <w:r>
        <w:rPr>
          <w:rFonts w:hint="default" w:ascii="Times New Roman" w:hAnsi="Times New Roman" w:eastAsia="宋体" w:cs="Times New Roman"/>
          <w:kern w:val="0"/>
          <w:sz w:val="24"/>
          <w:szCs w:val="24"/>
          <w:lang w:val="en-US" w:eastAsia="zh-CN"/>
        </w:rPr>
        <w:t>0.132</w:t>
      </w:r>
      <w:r>
        <w:rPr>
          <w:rFonts w:hint="default" w:ascii="Times New Roman" w:hAnsi="Times New Roman" w:eastAsia="宋体" w:cs="Times New Roman"/>
          <w:snapToGrid w:val="0"/>
          <w:kern w:val="2"/>
          <w:sz w:val="24"/>
          <w:szCs w:val="24"/>
          <w:lang w:val="en-US" w:eastAsia="zh-CN"/>
        </w:rPr>
        <w:t>kg/h</w:t>
      </w:r>
      <w:r>
        <w:rPr>
          <w:rFonts w:hint="default" w:ascii="Times New Roman" w:hAnsi="Times New Roman" w:eastAsia="宋体" w:cs="Times New Roman"/>
          <w:kern w:val="0"/>
          <w:sz w:val="24"/>
          <w:szCs w:val="24"/>
          <w:highlight w:val="none"/>
          <w:lang w:eastAsia="zh-CN"/>
        </w:rPr>
        <w:t>，</w:t>
      </w:r>
      <w:r>
        <w:rPr>
          <w:rFonts w:hint="default" w:ascii="Times New Roman" w:hAnsi="Times New Roman" w:eastAsia="宋体" w:cs="Times New Roman"/>
          <w:kern w:val="0"/>
          <w:sz w:val="24"/>
          <w:szCs w:val="24"/>
          <w:highlight w:val="none"/>
          <w:lang w:val="en-US" w:eastAsia="zh-CN"/>
        </w:rPr>
        <w:t>满足</w:t>
      </w:r>
      <w:r>
        <w:rPr>
          <w:rFonts w:hint="default" w:ascii="Times New Roman" w:hAnsi="Times New Roman" w:eastAsia="宋体" w:cs="Times New Roman"/>
          <w:color w:val="auto"/>
          <w:kern w:val="0"/>
          <w:sz w:val="24"/>
          <w:szCs w:val="24"/>
          <w:lang w:val="en-US" w:eastAsia="zh-CN" w:bidi="ar-SA"/>
        </w:rPr>
        <w:t>《大气污染物综合排放标准》（GB16297-1996）表2 新污染源大气污染物排放限值</w:t>
      </w:r>
      <w:r>
        <w:rPr>
          <w:rFonts w:hint="default" w:ascii="Times New Roman" w:hAnsi="Times New Roman" w:eastAsia="宋体" w:cs="Times New Roman"/>
          <w:kern w:val="2"/>
          <w:sz w:val="24"/>
          <w:szCs w:val="24"/>
        </w:rPr>
        <w:t>（</w:t>
      </w:r>
      <w:r>
        <w:rPr>
          <w:rFonts w:hint="default" w:ascii="Times New Roman" w:hAnsi="Times New Roman" w:eastAsia="宋体" w:cs="Times New Roman"/>
          <w:snapToGrid w:val="0"/>
          <w:kern w:val="2"/>
          <w:sz w:val="24"/>
          <w:szCs w:val="24"/>
          <w:lang w:val="en-US" w:eastAsia="zh-CN"/>
        </w:rPr>
        <w:t>颗粒物120</w:t>
      </w:r>
      <w:r>
        <w:rPr>
          <w:rFonts w:hint="default" w:ascii="Times New Roman" w:hAnsi="Times New Roman" w:eastAsia="宋体" w:cs="Times New Roman"/>
          <w:snapToGrid w:val="0"/>
          <w:kern w:val="2"/>
          <w:sz w:val="24"/>
          <w:szCs w:val="24"/>
        </w:rPr>
        <w:t>mg/m</w:t>
      </w:r>
      <w:r>
        <w:rPr>
          <w:rFonts w:hint="default" w:ascii="Times New Roman" w:hAnsi="Times New Roman" w:eastAsia="宋体" w:cs="Times New Roman"/>
          <w:snapToGrid w:val="0"/>
          <w:kern w:val="2"/>
          <w:sz w:val="24"/>
          <w:szCs w:val="24"/>
          <w:vertAlign w:val="superscript"/>
        </w:rPr>
        <w:t>3</w:t>
      </w:r>
      <w:r>
        <w:rPr>
          <w:rFonts w:hint="default" w:ascii="Times New Roman" w:hAnsi="Times New Roman" w:eastAsia="宋体" w:cs="Times New Roman"/>
          <w:kern w:val="2"/>
          <w:sz w:val="24"/>
          <w:szCs w:val="24"/>
          <w:lang w:eastAsia="zh-CN"/>
        </w:rPr>
        <w:t>；</w:t>
      </w:r>
      <w:r>
        <w:rPr>
          <w:rFonts w:hint="default" w:ascii="Times New Roman" w:hAnsi="Times New Roman" w:eastAsia="宋体" w:cs="Times New Roman"/>
          <w:snapToGrid w:val="0"/>
          <w:kern w:val="2"/>
          <w:sz w:val="24"/>
          <w:szCs w:val="24"/>
          <w:lang w:val="en-US" w:eastAsia="zh-CN"/>
        </w:rPr>
        <w:t>3.5kg/h</w:t>
      </w:r>
      <w:r>
        <w:rPr>
          <w:rFonts w:hint="default" w:ascii="Times New Roman" w:hAnsi="Times New Roman" w:eastAsia="宋体" w:cs="Times New Roman"/>
          <w:kern w:val="2"/>
          <w:sz w:val="24"/>
          <w:szCs w:val="24"/>
        </w:rPr>
        <w:t>）</w:t>
      </w:r>
      <w:r>
        <w:rPr>
          <w:rFonts w:hint="default" w:ascii="Times New Roman" w:hAnsi="Times New Roman" w:eastAsia="宋体" w:cs="Times New Roman"/>
          <w:sz w:val="24"/>
          <w:szCs w:val="24"/>
          <w:lang w:val="en-US" w:eastAsia="zh-CN"/>
        </w:rPr>
        <w:t>，硫化氢</w:t>
      </w:r>
      <w:r>
        <w:rPr>
          <w:rFonts w:hint="default" w:ascii="Times New Roman" w:hAnsi="Times New Roman" w:eastAsia="宋体" w:cs="Times New Roman"/>
          <w:kern w:val="0"/>
          <w:sz w:val="24"/>
          <w:szCs w:val="24"/>
        </w:rPr>
        <w:t>最大排放浓度为</w:t>
      </w:r>
      <w:r>
        <w:rPr>
          <w:rFonts w:hint="default" w:ascii="Times New Roman" w:hAnsi="Times New Roman" w:eastAsia="宋体" w:cs="Times New Roman"/>
          <w:kern w:val="0"/>
          <w:sz w:val="24"/>
          <w:szCs w:val="24"/>
          <w:lang w:val="en-US" w:eastAsia="zh-CN"/>
        </w:rPr>
        <w:t>5.4</w:t>
      </w:r>
      <w:r>
        <w:rPr>
          <w:rFonts w:hint="default" w:ascii="Times New Roman" w:hAnsi="Times New Roman" w:eastAsia="宋体" w:cs="Times New Roman"/>
          <w:kern w:val="0"/>
          <w:sz w:val="24"/>
          <w:szCs w:val="24"/>
        </w:rPr>
        <w:t>mg/m</w:t>
      </w:r>
      <w:r>
        <w:rPr>
          <w:rFonts w:hint="default" w:ascii="Times New Roman" w:hAnsi="Times New Roman" w:eastAsia="宋体" w:cs="Times New Roman"/>
          <w:kern w:val="0"/>
          <w:sz w:val="24"/>
          <w:szCs w:val="24"/>
          <w:vertAlign w:val="superscript"/>
        </w:rPr>
        <w:t>3</w:t>
      </w:r>
      <w:r>
        <w:rPr>
          <w:rFonts w:hint="default" w:ascii="Times New Roman" w:hAnsi="Times New Roman" w:eastAsia="宋体" w:cs="Times New Roman"/>
          <w:kern w:val="0"/>
          <w:sz w:val="24"/>
          <w:szCs w:val="24"/>
          <w:vertAlign w:val="baseline"/>
          <w:lang w:eastAsia="zh-CN"/>
        </w:rPr>
        <w:t>，</w:t>
      </w:r>
      <w:r>
        <w:rPr>
          <w:rFonts w:hint="default" w:ascii="Times New Roman" w:hAnsi="Times New Roman" w:eastAsia="宋体" w:cs="Times New Roman"/>
          <w:kern w:val="0"/>
          <w:sz w:val="24"/>
          <w:szCs w:val="24"/>
          <w:vertAlign w:val="baseline"/>
          <w:lang w:val="en-US" w:eastAsia="zh-CN"/>
        </w:rPr>
        <w:t>最大排放速率1.47×10</w:t>
      </w:r>
      <w:r>
        <w:rPr>
          <w:rFonts w:hint="default" w:ascii="Times New Roman" w:hAnsi="Times New Roman" w:eastAsia="宋体" w:cs="Times New Roman"/>
          <w:kern w:val="0"/>
          <w:sz w:val="24"/>
          <w:szCs w:val="24"/>
          <w:vertAlign w:val="superscript"/>
          <w:lang w:val="en-US" w:eastAsia="zh-CN"/>
        </w:rPr>
        <w:t>-2</w:t>
      </w:r>
      <w:r>
        <w:rPr>
          <w:rFonts w:hint="default" w:ascii="Times New Roman" w:hAnsi="Times New Roman" w:eastAsia="宋体" w:cs="Times New Roman"/>
          <w:kern w:val="0"/>
          <w:sz w:val="24"/>
          <w:szCs w:val="24"/>
          <w:vertAlign w:val="baseline"/>
          <w:lang w:val="en-US" w:eastAsia="zh-CN"/>
        </w:rPr>
        <w:t>kg/h</w:t>
      </w:r>
      <w:r>
        <w:rPr>
          <w:rFonts w:hint="default" w:ascii="Times New Roman" w:hAnsi="Times New Roman" w:eastAsia="宋体" w:cs="Times New Roman"/>
          <w:sz w:val="24"/>
          <w:szCs w:val="24"/>
          <w:lang w:val="en-US" w:eastAsia="zh-CN"/>
        </w:rPr>
        <w:t>、氨</w:t>
      </w:r>
      <w:r>
        <w:rPr>
          <w:rFonts w:hint="default" w:ascii="Times New Roman" w:hAnsi="Times New Roman" w:eastAsia="宋体" w:cs="Times New Roman"/>
          <w:kern w:val="0"/>
          <w:sz w:val="24"/>
          <w:szCs w:val="24"/>
        </w:rPr>
        <w:t>最大排放浓度为</w:t>
      </w:r>
      <w:r>
        <w:rPr>
          <w:rFonts w:hint="default" w:ascii="Times New Roman" w:hAnsi="Times New Roman" w:eastAsia="宋体" w:cs="Times New Roman"/>
          <w:kern w:val="0"/>
          <w:sz w:val="24"/>
          <w:szCs w:val="24"/>
          <w:lang w:val="en-US" w:eastAsia="zh-CN"/>
        </w:rPr>
        <w:t>1.96</w:t>
      </w:r>
      <w:r>
        <w:rPr>
          <w:rFonts w:hint="default" w:ascii="Times New Roman" w:hAnsi="Times New Roman" w:eastAsia="宋体" w:cs="Times New Roman"/>
          <w:kern w:val="0"/>
          <w:sz w:val="24"/>
          <w:szCs w:val="24"/>
        </w:rPr>
        <w:t>mg/m</w:t>
      </w:r>
      <w:r>
        <w:rPr>
          <w:rFonts w:hint="default" w:ascii="Times New Roman" w:hAnsi="Times New Roman" w:eastAsia="宋体" w:cs="Times New Roman"/>
          <w:kern w:val="0"/>
          <w:sz w:val="24"/>
          <w:szCs w:val="24"/>
          <w:vertAlign w:val="superscript"/>
        </w:rPr>
        <w:t>3</w:t>
      </w:r>
      <w:r>
        <w:rPr>
          <w:rFonts w:hint="default" w:ascii="Times New Roman" w:hAnsi="Times New Roman" w:eastAsia="宋体" w:cs="Times New Roman"/>
          <w:kern w:val="0"/>
          <w:sz w:val="24"/>
          <w:szCs w:val="24"/>
          <w:vertAlign w:val="baseline"/>
          <w:lang w:eastAsia="zh-CN"/>
        </w:rPr>
        <w:t>，</w:t>
      </w:r>
      <w:r>
        <w:rPr>
          <w:rFonts w:hint="default" w:ascii="Times New Roman" w:hAnsi="Times New Roman" w:eastAsia="宋体" w:cs="Times New Roman"/>
          <w:kern w:val="0"/>
          <w:sz w:val="24"/>
          <w:szCs w:val="24"/>
          <w:vertAlign w:val="baseline"/>
          <w:lang w:val="en-US" w:eastAsia="zh-CN"/>
        </w:rPr>
        <w:t>最大排放速率</w:t>
      </w:r>
      <w:r>
        <w:rPr>
          <w:rFonts w:hint="default" w:ascii="Times New Roman" w:hAnsi="Times New Roman" w:eastAsia="宋体" w:cs="Times New Roman"/>
          <w:kern w:val="0"/>
          <w:sz w:val="24"/>
          <w:szCs w:val="24"/>
          <w:lang w:val="en-US" w:eastAsia="zh-CN"/>
        </w:rPr>
        <w:t>5.56</w:t>
      </w:r>
      <w:r>
        <w:rPr>
          <w:rFonts w:hint="default" w:ascii="Times New Roman" w:hAnsi="Times New Roman" w:eastAsia="宋体" w:cs="Times New Roman"/>
          <w:color w:val="auto"/>
          <w:kern w:val="2"/>
          <w:sz w:val="24"/>
          <w:szCs w:val="24"/>
          <w:lang w:val="en-US" w:eastAsia="zh-CN" w:bidi="ar-SA"/>
        </w:rPr>
        <w:t>×10</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kern w:val="0"/>
          <w:sz w:val="24"/>
          <w:szCs w:val="24"/>
          <w:vertAlign w:val="baseline"/>
          <w:lang w:val="en-US" w:eastAsia="zh-CN"/>
        </w:rPr>
        <w:t>kg/h</w:t>
      </w:r>
      <w:r>
        <w:rPr>
          <w:rFonts w:hint="default" w:ascii="Times New Roman" w:hAnsi="Times New Roman" w:eastAsia="宋体" w:cs="Times New Roman"/>
          <w:sz w:val="24"/>
          <w:szCs w:val="24"/>
          <w:lang w:val="en-US" w:eastAsia="zh-CN"/>
        </w:rPr>
        <w:t>、臭气浓度</w:t>
      </w:r>
      <w:r>
        <w:rPr>
          <w:rFonts w:hint="default" w:ascii="Times New Roman" w:hAnsi="Times New Roman" w:eastAsia="宋体" w:cs="Times New Roman"/>
          <w:kern w:val="0"/>
          <w:sz w:val="24"/>
          <w:szCs w:val="24"/>
        </w:rPr>
        <w:t>最大排放浓度为</w:t>
      </w:r>
      <w:r>
        <w:rPr>
          <w:rFonts w:hint="default" w:ascii="Times New Roman" w:hAnsi="Times New Roman" w:eastAsia="宋体" w:cs="Times New Roman"/>
          <w:kern w:val="0"/>
          <w:sz w:val="24"/>
          <w:szCs w:val="24"/>
          <w:lang w:val="en-US" w:eastAsia="zh-CN"/>
        </w:rPr>
        <w:t>1513（无量纲）</w:t>
      </w:r>
      <w:r>
        <w:rPr>
          <w:rFonts w:hint="default" w:ascii="Times New Roman" w:hAnsi="Times New Roman" w:eastAsia="宋体" w:cs="Times New Roman"/>
          <w:kern w:val="0"/>
          <w:sz w:val="24"/>
          <w:szCs w:val="24"/>
          <w:vertAlign w:val="baseline"/>
          <w:lang w:eastAsia="zh-CN"/>
        </w:rPr>
        <w:t>，</w:t>
      </w:r>
      <w:r>
        <w:rPr>
          <w:rFonts w:hint="default" w:ascii="Times New Roman" w:hAnsi="Times New Roman" w:eastAsia="宋体" w:cs="Times New Roman"/>
          <w:kern w:val="0"/>
          <w:sz w:val="24"/>
          <w:szCs w:val="24"/>
          <w:vertAlign w:val="baseline"/>
          <w:lang w:val="en-US" w:eastAsia="zh-CN"/>
        </w:rPr>
        <w:t>均能</w:t>
      </w:r>
      <w:r>
        <w:rPr>
          <w:rFonts w:hint="default" w:ascii="Times New Roman" w:hAnsi="Times New Roman" w:eastAsia="宋体" w:cs="Times New Roman"/>
          <w:sz w:val="24"/>
          <w:szCs w:val="24"/>
          <w:lang w:val="en-US" w:eastAsia="zh-CN"/>
        </w:rPr>
        <w:t>满足</w:t>
      </w:r>
      <w:r>
        <w:rPr>
          <w:rFonts w:hint="default" w:ascii="Times New Roman" w:hAnsi="Times New Roman" w:eastAsia="宋体" w:cs="Times New Roman"/>
          <w:color w:val="auto"/>
          <w:kern w:val="0"/>
          <w:sz w:val="24"/>
          <w:szCs w:val="24"/>
          <w:lang w:val="en-US" w:eastAsia="zh-CN" w:bidi="ar-SA"/>
        </w:rPr>
        <w:t>《恶臭污染物排放标准》（GB 14554-93）表2 恶臭污染物排放标准值</w:t>
      </w:r>
      <w:r>
        <w:rPr>
          <w:rFonts w:hint="default" w:ascii="Times New Roman" w:hAnsi="Times New Roman" w:eastAsia="宋体" w:cs="Times New Roman"/>
          <w:kern w:val="2"/>
          <w:sz w:val="24"/>
          <w:szCs w:val="24"/>
        </w:rPr>
        <w:t>（</w:t>
      </w:r>
      <w:r>
        <w:rPr>
          <w:rFonts w:hint="default" w:ascii="Times New Roman" w:hAnsi="Times New Roman" w:eastAsia="宋体" w:cs="Times New Roman"/>
          <w:snapToGrid w:val="0"/>
          <w:kern w:val="2"/>
          <w:sz w:val="24"/>
          <w:szCs w:val="24"/>
          <w:lang w:val="en-US" w:eastAsia="zh-CN"/>
        </w:rPr>
        <w:t>氨</w:t>
      </w:r>
      <w:r>
        <w:rPr>
          <w:rFonts w:hint="default" w:ascii="Times New Roman" w:hAnsi="Times New Roman" w:eastAsia="宋体" w:cs="Times New Roman"/>
          <w:snapToGrid w:val="0"/>
          <w:kern w:val="2"/>
          <w:sz w:val="24"/>
          <w:szCs w:val="24"/>
        </w:rPr>
        <w:t>：</w:t>
      </w:r>
      <w:r>
        <w:rPr>
          <w:rFonts w:hint="default" w:ascii="Times New Roman" w:hAnsi="Times New Roman" w:eastAsia="宋体" w:cs="Times New Roman"/>
          <w:snapToGrid w:val="0"/>
          <w:kern w:val="2"/>
          <w:sz w:val="24"/>
          <w:szCs w:val="24"/>
          <w:lang w:val="en-US" w:eastAsia="zh-CN"/>
        </w:rPr>
        <w:t>4.9kg/h</w:t>
      </w:r>
      <w:r>
        <w:rPr>
          <w:rFonts w:hint="default" w:ascii="Times New Roman" w:hAnsi="Times New Roman" w:eastAsia="宋体" w:cs="Times New Roman"/>
          <w:kern w:val="2"/>
          <w:sz w:val="24"/>
          <w:szCs w:val="24"/>
          <w:lang w:eastAsia="zh-CN"/>
        </w:rPr>
        <w:t>；</w:t>
      </w:r>
      <w:r>
        <w:rPr>
          <w:rFonts w:hint="default" w:ascii="Times New Roman" w:hAnsi="Times New Roman" w:eastAsia="宋体" w:cs="Times New Roman"/>
          <w:snapToGrid w:val="0"/>
          <w:kern w:val="2"/>
          <w:sz w:val="24"/>
          <w:szCs w:val="24"/>
          <w:lang w:val="en-US" w:eastAsia="zh-CN"/>
        </w:rPr>
        <w:t>硫化氢</w:t>
      </w:r>
      <w:r>
        <w:rPr>
          <w:rFonts w:hint="default" w:ascii="Times New Roman" w:hAnsi="Times New Roman" w:eastAsia="宋体" w:cs="Times New Roman"/>
          <w:snapToGrid w:val="0"/>
          <w:kern w:val="2"/>
          <w:sz w:val="24"/>
          <w:szCs w:val="24"/>
        </w:rPr>
        <w:t>：</w:t>
      </w:r>
      <w:r>
        <w:rPr>
          <w:rFonts w:hint="default" w:ascii="Times New Roman" w:hAnsi="Times New Roman" w:eastAsia="宋体" w:cs="Times New Roman"/>
          <w:snapToGrid w:val="0"/>
          <w:kern w:val="2"/>
          <w:sz w:val="24"/>
          <w:szCs w:val="24"/>
          <w:lang w:val="en-US" w:eastAsia="zh-CN"/>
        </w:rPr>
        <w:t>0.33kg/h</w:t>
      </w:r>
      <w:r>
        <w:rPr>
          <w:rFonts w:hint="default" w:ascii="Times New Roman" w:hAnsi="Times New Roman" w:eastAsia="宋体" w:cs="Times New Roman"/>
          <w:snapToGrid w:val="0"/>
          <w:kern w:val="2"/>
          <w:sz w:val="24"/>
          <w:szCs w:val="24"/>
        </w:rPr>
        <w:t>、</w:t>
      </w:r>
      <w:r>
        <w:rPr>
          <w:rFonts w:hint="default" w:ascii="Times New Roman" w:hAnsi="Times New Roman" w:eastAsia="宋体" w:cs="Times New Roman"/>
          <w:snapToGrid w:val="0"/>
          <w:kern w:val="2"/>
          <w:sz w:val="24"/>
          <w:szCs w:val="24"/>
          <w:lang w:val="en-US" w:eastAsia="zh-CN"/>
        </w:rPr>
        <w:t>臭气浓度：2000无量纲</w:t>
      </w:r>
      <w:r>
        <w:rPr>
          <w:rFonts w:hint="default" w:ascii="Times New Roman" w:hAnsi="Times New Roman" w:eastAsia="宋体" w:cs="Times New Roman"/>
          <w:kern w:val="2"/>
          <w:sz w:val="24"/>
          <w:szCs w:val="24"/>
        </w:rPr>
        <w:t>）</w:t>
      </w:r>
      <w:r>
        <w:rPr>
          <w:rFonts w:hint="default"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kern w:val="0"/>
          <w:sz w:val="24"/>
          <w:szCs w:val="24"/>
        </w:rPr>
        <w:t>厂界无组织</w:t>
      </w:r>
      <w:r>
        <w:rPr>
          <w:rFonts w:hint="default" w:ascii="Times New Roman" w:hAnsi="Times New Roman" w:eastAsia="宋体" w:cs="Times New Roman"/>
          <w:kern w:val="0"/>
          <w:sz w:val="24"/>
          <w:szCs w:val="24"/>
          <w:lang w:val="en-US" w:eastAsia="zh-CN"/>
        </w:rPr>
        <w:t>臭气浓度均小于10、硫化氢最大浓度0.010</w:t>
      </w:r>
      <w:r>
        <w:rPr>
          <w:rFonts w:hint="default" w:ascii="Times New Roman" w:hAnsi="Times New Roman" w:eastAsia="宋体" w:cs="Times New Roman"/>
          <w:kern w:val="0"/>
          <w:sz w:val="24"/>
          <w:szCs w:val="24"/>
        </w:rPr>
        <w:t>mg/m</w:t>
      </w:r>
      <w:r>
        <w:rPr>
          <w:rFonts w:hint="default" w:ascii="Times New Roman" w:hAnsi="Times New Roman" w:eastAsia="宋体" w:cs="Times New Roman"/>
          <w:kern w:val="0"/>
          <w:sz w:val="24"/>
          <w:szCs w:val="24"/>
          <w:vertAlign w:val="superscript"/>
        </w:rPr>
        <w:t>3</w:t>
      </w:r>
      <w:r>
        <w:rPr>
          <w:rFonts w:hint="default" w:ascii="Times New Roman" w:hAnsi="Times New Roman" w:eastAsia="宋体" w:cs="Times New Roman"/>
          <w:kern w:val="0"/>
          <w:sz w:val="24"/>
          <w:szCs w:val="24"/>
          <w:vertAlign w:val="baseline"/>
          <w:lang w:eastAsia="zh-CN"/>
        </w:rPr>
        <w:t>、</w:t>
      </w:r>
      <w:r>
        <w:rPr>
          <w:rFonts w:hint="default" w:ascii="Times New Roman" w:hAnsi="Times New Roman" w:eastAsia="宋体" w:cs="Times New Roman"/>
          <w:kern w:val="0"/>
          <w:sz w:val="24"/>
          <w:szCs w:val="24"/>
          <w:lang w:val="en-US" w:eastAsia="zh-CN"/>
        </w:rPr>
        <w:t>氨为0.10</w:t>
      </w:r>
      <w:r>
        <w:rPr>
          <w:rFonts w:hint="default" w:ascii="Times New Roman" w:hAnsi="Times New Roman" w:eastAsia="宋体" w:cs="Times New Roman"/>
          <w:kern w:val="0"/>
          <w:sz w:val="24"/>
          <w:szCs w:val="24"/>
        </w:rPr>
        <w:t>mg/m</w:t>
      </w:r>
      <w:r>
        <w:rPr>
          <w:rFonts w:hint="default" w:ascii="Times New Roman" w:hAnsi="Times New Roman" w:eastAsia="宋体" w:cs="Times New Roman"/>
          <w:kern w:val="0"/>
          <w:sz w:val="24"/>
          <w:szCs w:val="24"/>
          <w:vertAlign w:val="superscript"/>
        </w:rPr>
        <w:t>3</w:t>
      </w:r>
      <w:r>
        <w:rPr>
          <w:rFonts w:hint="default" w:ascii="Times New Roman" w:hAnsi="Times New Roman" w:eastAsia="宋体" w:cs="Times New Roman"/>
          <w:kern w:val="0"/>
          <w:sz w:val="24"/>
          <w:szCs w:val="24"/>
          <w:vertAlign w:val="baseline"/>
          <w:lang w:eastAsia="zh-CN"/>
        </w:rPr>
        <w:t>、</w:t>
      </w:r>
      <w:r>
        <w:rPr>
          <w:rFonts w:hint="default" w:ascii="Times New Roman" w:hAnsi="Times New Roman" w:eastAsia="宋体" w:cs="Times New Roman"/>
          <w:kern w:val="0"/>
          <w:sz w:val="24"/>
          <w:szCs w:val="24"/>
          <w:vertAlign w:val="baseline"/>
          <w:lang w:val="en-US" w:eastAsia="zh-CN"/>
        </w:rPr>
        <w:t>颗粒物为0.145</w:t>
      </w:r>
      <w:r>
        <w:rPr>
          <w:rFonts w:hint="default" w:ascii="Times New Roman" w:hAnsi="Times New Roman" w:eastAsia="宋体" w:cs="Times New Roman"/>
          <w:kern w:val="0"/>
          <w:sz w:val="24"/>
          <w:szCs w:val="24"/>
        </w:rPr>
        <w:t>mg/m</w:t>
      </w:r>
      <w:r>
        <w:rPr>
          <w:rFonts w:hint="default" w:ascii="Times New Roman" w:hAnsi="Times New Roman" w:eastAsia="宋体" w:cs="Times New Roman"/>
          <w:kern w:val="0"/>
          <w:sz w:val="24"/>
          <w:szCs w:val="24"/>
          <w:vertAlign w:val="superscript"/>
        </w:rPr>
        <w:t>3</w:t>
      </w:r>
      <w:r>
        <w:rPr>
          <w:rFonts w:hint="default" w:ascii="Times New Roman" w:hAnsi="Times New Roman" w:eastAsia="宋体" w:cs="Times New Roman"/>
          <w:kern w:val="0"/>
          <w:sz w:val="24"/>
          <w:szCs w:val="24"/>
        </w:rPr>
        <w:t>，</w:t>
      </w:r>
      <w:r>
        <w:rPr>
          <w:rFonts w:hint="default" w:ascii="Times New Roman" w:hAnsi="Times New Roman" w:eastAsia="宋体" w:cs="Times New Roman"/>
          <w:sz w:val="24"/>
          <w:szCs w:val="24"/>
        </w:rPr>
        <w:t>厂界无组织排放</w:t>
      </w:r>
      <w:r>
        <w:rPr>
          <w:rFonts w:hint="default" w:ascii="Times New Roman" w:hAnsi="Times New Roman" w:eastAsia="宋体" w:cs="Times New Roman"/>
          <w:sz w:val="24"/>
          <w:szCs w:val="24"/>
          <w:lang w:val="en-US" w:eastAsia="zh-CN"/>
        </w:rPr>
        <w:t>臭气浓度</w:t>
      </w:r>
      <w:r>
        <w:rPr>
          <w:rFonts w:hint="default" w:ascii="Times New Roman" w:hAnsi="Times New Roman" w:eastAsia="宋体" w:cs="Times New Roman"/>
          <w:sz w:val="24"/>
          <w:szCs w:val="24"/>
        </w:rPr>
        <w:t>排放浓度满足《</w:t>
      </w:r>
      <w:r>
        <w:rPr>
          <w:rFonts w:hint="default" w:ascii="Times New Roman" w:hAnsi="Times New Roman" w:eastAsia="宋体" w:cs="Times New Roman"/>
          <w:sz w:val="24"/>
          <w:szCs w:val="24"/>
          <w:lang w:val="en-US" w:eastAsia="zh-CN"/>
        </w:rPr>
        <w:t>畜禽养殖业污染物排放标准</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GB18596-2001</w:t>
      </w:r>
      <w:r>
        <w:rPr>
          <w:rFonts w:hint="default" w:ascii="Times New Roman" w:hAnsi="Times New Roman" w:eastAsia="宋体" w:cs="Times New Roman"/>
          <w:sz w:val="24"/>
          <w:szCs w:val="24"/>
        </w:rPr>
        <w:t>）表</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排放限值</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氨和硫化氢排放浓度满足《恶臭污染物排放标准》（GB14554-93）二级新扩改建项目浓度限值，颗粒物满足《大气污染物综合排放标准》（GB 16297-1996）表2 新污染源大气污染物排放限值</w:t>
      </w:r>
      <w:r>
        <w:rPr>
          <w:rFonts w:hint="default" w:ascii="Times New Roman" w:hAnsi="Times New Roman" w:eastAsia="宋体" w:cs="Times New Roman"/>
          <w:snapToGrid w:val="0"/>
          <w:color w:val="000000"/>
          <w:kern w:val="2"/>
          <w:sz w:val="24"/>
          <w:szCs w:val="24"/>
          <w:highlight w:val="none"/>
          <w:lang w:val="en-US" w:eastAsia="zh-CN" w:bidi="ar-SA"/>
        </w:rPr>
        <w:t>。</w:t>
      </w:r>
      <w:r>
        <w:rPr>
          <w:rFonts w:hint="eastAsia" w:ascii="Times New Roman" w:hAnsi="Times New Roman" w:eastAsia="宋体" w:cs="Times New Roman"/>
          <w:snapToGrid w:val="0"/>
          <w:color w:val="000000"/>
          <w:kern w:val="2"/>
          <w:sz w:val="24"/>
          <w:szCs w:val="24"/>
          <w:highlight w:val="none"/>
          <w:lang w:val="en-US" w:eastAsia="zh-CN" w:bidi="ar-SA"/>
        </w:rPr>
        <w:t>因此本项目堆肥间设置</w:t>
      </w:r>
      <w:r>
        <w:rPr>
          <w:rFonts w:hint="eastAsia" w:cs="Times New Roman"/>
          <w:snapToGrid w:val="0"/>
          <w:color w:val="000000"/>
          <w:kern w:val="2"/>
          <w:sz w:val="24"/>
          <w:szCs w:val="24"/>
          <w:highlight w:val="none"/>
          <w:lang w:val="en-US" w:eastAsia="zh-CN" w:bidi="ar-SA"/>
        </w:rPr>
        <w:t>袋式除尘+生物除臭（滴滤法）+15m排气筒措施可行。</w:t>
      </w:r>
    </w:p>
    <w:tbl>
      <w:tblPr>
        <w:tblStyle w:val="21"/>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0"/>
        <w:gridCol w:w="4162"/>
      </w:tblGrid>
      <w:tr w14:paraId="0B947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3" w:hRule="atLeast"/>
          <w:jc w:val="center"/>
        </w:trPr>
        <w:tc>
          <w:tcPr>
            <w:tcW w:w="4360" w:type="dxa"/>
            <w:tcBorders>
              <w:tl2br w:val="nil"/>
              <w:tr2bl w:val="nil"/>
            </w:tcBorders>
            <w:vAlign w:val="center"/>
          </w:tcPr>
          <w:p w14:paraId="575E819C">
            <w:pPr>
              <w:overflowPunct/>
              <w:autoSpaceDE/>
              <w:autoSpaceDN/>
              <w:spacing w:line="240" w:lineRule="auto"/>
              <w:ind w:firstLine="0" w:firstLineChars="0"/>
              <w:jc w:val="center"/>
              <w:rPr>
                <w:rFonts w:hint="default" w:ascii="Times New Roman" w:hAnsi="Times New Roman" w:eastAsia="宋体" w:cs="Times New Roman"/>
                <w:bCs/>
                <w:kern w:val="1"/>
                <w:sz w:val="28"/>
                <w:szCs w:val="28"/>
                <w:lang w:eastAsia="zh-CN"/>
              </w:rPr>
            </w:pPr>
            <w:r>
              <w:drawing>
                <wp:inline distT="0" distB="0" distL="114300" distR="114300">
                  <wp:extent cx="2880995" cy="2160270"/>
                  <wp:effectExtent l="0" t="0" r="14605" b="11430"/>
                  <wp:docPr id="1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4"/>
                          <pic:cNvPicPr>
                            <a:picLocks noChangeAspect="1"/>
                          </pic:cNvPicPr>
                        </pic:nvPicPr>
                        <pic:blipFill>
                          <a:blip r:embed="rId65"/>
                          <a:stretch>
                            <a:fillRect/>
                          </a:stretch>
                        </pic:blipFill>
                        <pic:spPr>
                          <a:xfrm>
                            <a:off x="0" y="0"/>
                            <a:ext cx="2880995" cy="2160270"/>
                          </a:xfrm>
                          <a:prstGeom prst="rect">
                            <a:avLst/>
                          </a:prstGeom>
                          <a:noFill/>
                          <a:ln>
                            <a:noFill/>
                          </a:ln>
                        </pic:spPr>
                      </pic:pic>
                    </a:graphicData>
                  </a:graphic>
                </wp:inline>
              </w:drawing>
            </w:r>
          </w:p>
        </w:tc>
        <w:tc>
          <w:tcPr>
            <w:tcW w:w="4162" w:type="dxa"/>
            <w:tcBorders>
              <w:tl2br w:val="nil"/>
              <w:tr2bl w:val="nil"/>
            </w:tcBorders>
            <w:vAlign w:val="center"/>
          </w:tcPr>
          <w:p w14:paraId="5E5D659E">
            <w:pPr>
              <w:overflowPunct/>
              <w:autoSpaceDE/>
              <w:autoSpaceDN/>
              <w:spacing w:line="240" w:lineRule="auto"/>
              <w:ind w:firstLine="0" w:firstLineChars="0"/>
              <w:jc w:val="center"/>
              <w:rPr>
                <w:rFonts w:hint="default" w:ascii="Times New Roman" w:hAnsi="Times New Roman" w:eastAsia="宋体" w:cs="Times New Roman"/>
                <w:bCs/>
                <w:kern w:val="1"/>
                <w:sz w:val="28"/>
                <w:szCs w:val="28"/>
                <w:lang w:eastAsia="zh-CN"/>
              </w:rPr>
            </w:pPr>
            <w:r>
              <w:drawing>
                <wp:inline distT="0" distB="0" distL="114300" distR="114300">
                  <wp:extent cx="2881630" cy="2160270"/>
                  <wp:effectExtent l="0" t="0" r="13970" b="11430"/>
                  <wp:docPr id="1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
                          <pic:cNvPicPr>
                            <a:picLocks noChangeAspect="1"/>
                          </pic:cNvPicPr>
                        </pic:nvPicPr>
                        <pic:blipFill>
                          <a:blip r:embed="rId66"/>
                          <a:stretch>
                            <a:fillRect/>
                          </a:stretch>
                        </pic:blipFill>
                        <pic:spPr>
                          <a:xfrm>
                            <a:off x="0" y="0"/>
                            <a:ext cx="2881630" cy="2160270"/>
                          </a:xfrm>
                          <a:prstGeom prst="rect">
                            <a:avLst/>
                          </a:prstGeom>
                          <a:noFill/>
                          <a:ln>
                            <a:noFill/>
                          </a:ln>
                        </pic:spPr>
                      </pic:pic>
                    </a:graphicData>
                  </a:graphic>
                </wp:inline>
              </w:drawing>
            </w:r>
          </w:p>
        </w:tc>
      </w:tr>
      <w:tr w14:paraId="001E8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60" w:type="dxa"/>
            <w:tcBorders>
              <w:tl2br w:val="nil"/>
              <w:tr2bl w:val="nil"/>
            </w:tcBorders>
            <w:vAlign w:val="center"/>
          </w:tcPr>
          <w:p w14:paraId="07710F8A">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Cs/>
                <w:kern w:val="1"/>
                <w:sz w:val="28"/>
                <w:szCs w:val="28"/>
                <w:lang w:val="en-US" w:eastAsia="zh-CN"/>
              </w:rPr>
            </w:pPr>
            <w:r>
              <w:rPr>
                <w:rFonts w:hint="eastAsia" w:cs="Times New Roman"/>
                <w:bCs/>
                <w:kern w:val="1"/>
                <w:sz w:val="28"/>
                <w:szCs w:val="28"/>
                <w:lang w:val="en-US" w:eastAsia="zh-CN"/>
              </w:rPr>
              <w:t>类比企业堆肥间袋式除尘</w:t>
            </w:r>
          </w:p>
        </w:tc>
        <w:tc>
          <w:tcPr>
            <w:tcW w:w="4162" w:type="dxa"/>
            <w:tcBorders>
              <w:tl2br w:val="nil"/>
              <w:tr2bl w:val="nil"/>
            </w:tcBorders>
            <w:vAlign w:val="center"/>
          </w:tcPr>
          <w:p w14:paraId="0FAB43E4">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Cs/>
                <w:kern w:val="1"/>
                <w:sz w:val="28"/>
                <w:szCs w:val="28"/>
                <w:lang w:val="en-US" w:eastAsia="zh-CN"/>
              </w:rPr>
            </w:pPr>
            <w:r>
              <w:rPr>
                <w:rFonts w:hint="eastAsia" w:cs="Times New Roman"/>
                <w:bCs/>
                <w:kern w:val="1"/>
                <w:sz w:val="28"/>
                <w:szCs w:val="28"/>
                <w:lang w:val="en-US" w:eastAsia="zh-CN"/>
              </w:rPr>
              <w:t>类比企业</w:t>
            </w:r>
            <w:r>
              <w:rPr>
                <w:rFonts w:hint="default" w:cs="Times New Roman"/>
                <w:bCs/>
                <w:kern w:val="1"/>
                <w:sz w:val="28"/>
                <w:szCs w:val="28"/>
                <w:lang w:val="en-US" w:eastAsia="zh-CN"/>
              </w:rPr>
              <w:t>堆肥间</w:t>
            </w:r>
            <w:r>
              <w:rPr>
                <w:rFonts w:hint="eastAsia" w:cs="Times New Roman"/>
                <w:bCs/>
                <w:kern w:val="1"/>
                <w:sz w:val="28"/>
                <w:szCs w:val="28"/>
                <w:lang w:val="en-US" w:eastAsia="zh-CN"/>
              </w:rPr>
              <w:t>生物除臭</w:t>
            </w:r>
          </w:p>
        </w:tc>
      </w:tr>
    </w:tbl>
    <w:p w14:paraId="307D3A73">
      <w:pPr>
        <w:widowControl w:val="0"/>
        <w:spacing w:after="0" w:line="360" w:lineRule="auto"/>
        <w:ind w:firstLine="480" w:firstLineChars="200"/>
        <w:jc w:val="both"/>
        <w:rPr>
          <w:rFonts w:hint="default" w:ascii="Times New Roman" w:hAnsi="Times New Roman" w:eastAsia="宋体" w:cs="Times New Roman"/>
          <w:snapToGrid w:val="0"/>
          <w:color w:val="000000"/>
          <w:kern w:val="2"/>
          <w:sz w:val="24"/>
          <w:szCs w:val="24"/>
          <w:highlight w:val="none"/>
          <w:lang w:val="en-US" w:eastAsia="zh-CN" w:bidi="ar-SA"/>
        </w:rPr>
      </w:pPr>
      <w:r>
        <w:rPr>
          <w:rFonts w:hint="eastAsia" w:ascii="Times New Roman" w:hAnsi="Times New Roman" w:eastAsia="宋体" w:cs="Times New Roman"/>
          <w:snapToGrid w:val="0"/>
          <w:color w:val="000000"/>
          <w:kern w:val="2"/>
          <w:sz w:val="24"/>
          <w:szCs w:val="24"/>
          <w:highlight w:val="none"/>
          <w:lang w:val="en-US" w:eastAsia="zh-CN" w:bidi="ar-SA"/>
        </w:rPr>
        <w:t>（4）袋式除尘</w:t>
      </w:r>
    </w:p>
    <w:p w14:paraId="51475A4F">
      <w:pPr>
        <w:widowControl w:val="0"/>
        <w:spacing w:after="0" w:line="360" w:lineRule="auto"/>
        <w:ind w:firstLine="480" w:firstLineChars="200"/>
        <w:jc w:val="both"/>
        <w:rPr>
          <w:rFonts w:hint="eastAsia" w:ascii="Times New Roman" w:hAnsi="Times New Roman" w:eastAsia="宋体" w:cs="Times New Roman"/>
          <w:snapToGrid w:val="0"/>
          <w:color w:val="000000"/>
          <w:kern w:val="2"/>
          <w:sz w:val="24"/>
          <w:szCs w:val="24"/>
          <w:highlight w:val="none"/>
          <w:lang w:val="en-US" w:eastAsia="zh-CN" w:bidi="ar-SA"/>
        </w:rPr>
      </w:pPr>
      <w:r>
        <w:rPr>
          <w:rFonts w:hint="eastAsia" w:ascii="Times New Roman" w:hAnsi="Times New Roman" w:eastAsia="宋体" w:cs="Times New Roman"/>
          <w:snapToGrid w:val="0"/>
          <w:color w:val="000000"/>
          <w:kern w:val="2"/>
          <w:sz w:val="24"/>
          <w:szCs w:val="24"/>
          <w:highlight w:val="none"/>
          <w:lang w:val="en-US" w:eastAsia="zh-CN" w:bidi="ar-SA"/>
        </w:rPr>
        <w:t>袋式除尘器是一种干式高效除尘器，它是利用纤维编织物制作的袋式过滤元件来捕集含尘气体中固体颗粒物的除尘装置。其作用原理是尘粒在绕过滤布纤维时因惯性力作用与纤维碰撞而被拦截。细微的尘粒（粒径为1微米或更小）则受气体分子冲击（布朗运动）不断改变着运动方向，由于纤维间的空隙小于气体分子布朗运动的自由路径，尘粒便与纤维碰撞接触而被分离出来。</w:t>
      </w:r>
    </w:p>
    <w:p w14:paraId="720D286A">
      <w:pPr>
        <w:widowControl w:val="0"/>
        <w:spacing w:after="0" w:line="360" w:lineRule="auto"/>
        <w:ind w:firstLine="480" w:firstLineChars="200"/>
        <w:jc w:val="both"/>
        <w:rPr>
          <w:rFonts w:hint="eastAsia" w:ascii="Times New Roman" w:hAnsi="Times New Roman" w:eastAsia="宋体" w:cs="Times New Roman"/>
          <w:snapToGrid w:val="0"/>
          <w:color w:val="000000"/>
          <w:kern w:val="2"/>
          <w:sz w:val="24"/>
          <w:szCs w:val="24"/>
          <w:highlight w:val="none"/>
          <w:lang w:val="en-US" w:eastAsia="zh-CN" w:bidi="ar-SA"/>
        </w:rPr>
      </w:pPr>
      <w:r>
        <w:rPr>
          <w:rFonts w:hint="eastAsia" w:ascii="Times New Roman" w:hAnsi="Times New Roman" w:eastAsia="宋体" w:cs="Times New Roman"/>
          <w:snapToGrid w:val="0"/>
          <w:color w:val="000000"/>
          <w:kern w:val="2"/>
          <w:sz w:val="24"/>
          <w:szCs w:val="24"/>
          <w:highlight w:val="none"/>
          <w:lang w:val="en-US" w:eastAsia="zh-CN" w:bidi="ar-SA"/>
        </w:rPr>
        <w:t>袋式除尘器按其清灰方式的不同可分为：振动式、气环反吹式、脉冲式、声波式及复合式等五种类型。其中脉冲反吹式根据反吹空气压力的不同又可分为：高压脉冲反吹和低压脉冲反吹两种。脉冲清灰脉冲袋式除尘器由于其脉冲喷吹强度和频率可进行调节，清灰效果好，是目前应用最为广泛的除尘装置，本项目采用脉冲清灰袋式除尘器。除尘原理：含尘气体从脉冲袋式除尘器入口进入后，通过烟气分配装置均匀分配进入滤袋，当含尘气体穿过滤袋时，粉尘即被吸附在滤料上，而被净化的气体则从滤袋内排出。当吸附在滤料上的粉尘达到一定厚度时，电磁阀开启，喷吹空气从滤袋出口处自上而下与气体排出的相反方向进入滤袋，将吸附在滤袋外表面的粉尘清落至下面的灰斗中。</w:t>
      </w:r>
    </w:p>
    <w:p w14:paraId="58468AA8">
      <w:pPr>
        <w:widowControl w:val="0"/>
        <w:autoSpaceDE w:val="0"/>
        <w:autoSpaceDN w:val="0"/>
        <w:adjustRightInd w:val="0"/>
        <w:snapToGrid w:val="0"/>
        <w:spacing w:line="240" w:lineRule="auto"/>
        <w:ind w:firstLine="0" w:firstLineChars="0"/>
        <w:jc w:val="center"/>
        <w:rPr>
          <w:rFonts w:ascii="宋体" w:hAnsi="Calibri" w:eastAsia="宋体" w:cs="宋体"/>
          <w:b/>
          <w:color w:val="000000"/>
          <w:sz w:val="24"/>
          <w:szCs w:val="24"/>
          <w:lang w:val="en-US" w:eastAsia="zh-CN" w:bidi="ar-SA"/>
        </w:rPr>
      </w:pPr>
      <w:r>
        <w:rPr>
          <w:rFonts w:ascii="宋体" w:hAnsi="Calibri" w:eastAsia="宋体" w:cs="宋体"/>
          <w:b/>
          <w:color w:val="000000"/>
          <w:sz w:val="24"/>
          <w:szCs w:val="24"/>
          <w:lang w:val="en-US" w:eastAsia="zh-CN" w:bidi="ar-SA"/>
        </w:rPr>
        <w:drawing>
          <wp:inline distT="0" distB="0" distL="114300" distR="114300">
            <wp:extent cx="2838450" cy="1990725"/>
            <wp:effectExtent l="0" t="0" r="0" b="9525"/>
            <wp:docPr id="2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6"/>
                    <pic:cNvPicPr>
                      <a:picLocks noChangeAspect="1"/>
                    </pic:cNvPicPr>
                  </pic:nvPicPr>
                  <pic:blipFill>
                    <a:blip r:embed="rId67"/>
                    <a:stretch>
                      <a:fillRect/>
                    </a:stretch>
                  </pic:blipFill>
                  <pic:spPr>
                    <a:xfrm>
                      <a:off x="0" y="0"/>
                      <a:ext cx="2838450" cy="1990725"/>
                    </a:xfrm>
                    <a:prstGeom prst="rect">
                      <a:avLst/>
                    </a:prstGeom>
                    <a:noFill/>
                    <a:ln>
                      <a:noFill/>
                    </a:ln>
                  </pic:spPr>
                </pic:pic>
              </a:graphicData>
            </a:graphic>
          </wp:inline>
        </w:drawing>
      </w:r>
    </w:p>
    <w:p w14:paraId="5F358B8B">
      <w:pPr>
        <w:overflowPunct w:val="0"/>
        <w:autoSpaceDE w:val="0"/>
        <w:autoSpaceDN w:val="0"/>
        <w:bidi w:val="0"/>
        <w:adjustRightInd w:val="0"/>
        <w:snapToGrid w:val="0"/>
        <w:spacing w:before="0" w:after="0" w:line="360" w:lineRule="auto"/>
        <w:ind w:right="0"/>
        <w:jc w:val="center"/>
        <w:rPr>
          <w:rFonts w:hint="eastAsia" w:ascii="Times New Roman" w:hAnsi="Times New Roman" w:eastAsia="宋体" w:cs="宋体"/>
          <w:b/>
          <w:bCs/>
          <w:color w:val="auto"/>
          <w:kern w:val="0"/>
          <w:sz w:val="24"/>
          <w:szCs w:val="22"/>
          <w:highlight w:val="none"/>
          <w:lang w:val="en-US" w:eastAsia="zh-CN"/>
        </w:rPr>
      </w:pPr>
      <w:r>
        <w:rPr>
          <w:rFonts w:hint="eastAsia" w:ascii="Times New Roman" w:hAnsi="Times New Roman" w:eastAsia="宋体" w:cs="宋体"/>
          <w:b/>
          <w:bCs/>
          <w:color w:val="auto"/>
          <w:kern w:val="0"/>
          <w:sz w:val="24"/>
          <w:szCs w:val="22"/>
          <w:highlight w:val="none"/>
          <w:lang w:val="en-US" w:eastAsia="zh-CN"/>
        </w:rPr>
        <w:t>图7.2-2袋式除尘工艺流程</w:t>
      </w:r>
    </w:p>
    <w:p w14:paraId="5CB6BB41">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000000"/>
          <w:kern w:val="0"/>
          <w:sz w:val="24"/>
          <w:szCs w:val="22"/>
          <w:lang w:val="en-US" w:eastAsia="zh-CN"/>
        </w:rPr>
        <w:t>袋式除尘器具有除尘效率高（</w:t>
      </w:r>
      <w:r>
        <w:rPr>
          <w:rFonts w:hint="default" w:ascii="Times New Roman" w:hAnsi="Times New Roman" w:eastAsia="宋体" w:cs="宋体"/>
          <w:color w:val="000000"/>
          <w:kern w:val="0"/>
          <w:sz w:val="24"/>
          <w:szCs w:val="22"/>
          <w:lang w:val="en-US" w:eastAsia="zh-CN"/>
        </w:rPr>
        <w:t>9</w:t>
      </w:r>
      <w:r>
        <w:rPr>
          <w:rFonts w:hint="eastAsia" w:ascii="Times New Roman" w:hAnsi="Times New Roman" w:eastAsia="宋体" w:cs="宋体"/>
          <w:color w:val="000000"/>
          <w:kern w:val="0"/>
          <w:sz w:val="24"/>
          <w:szCs w:val="22"/>
          <w:lang w:val="en-US" w:eastAsia="zh-CN"/>
        </w:rPr>
        <w:t>8</w:t>
      </w:r>
      <w:r>
        <w:rPr>
          <w:rFonts w:hint="default" w:ascii="Times New Roman" w:hAnsi="Times New Roman" w:eastAsia="宋体" w:cs="宋体"/>
          <w:color w:val="000000"/>
          <w:kern w:val="0"/>
          <w:sz w:val="24"/>
          <w:szCs w:val="22"/>
          <w:lang w:val="en-US" w:eastAsia="zh-CN"/>
        </w:rPr>
        <w:t>%</w:t>
      </w:r>
      <w:r>
        <w:rPr>
          <w:rFonts w:hint="eastAsia" w:ascii="Times New Roman" w:hAnsi="Times New Roman" w:eastAsia="宋体" w:cs="宋体"/>
          <w:color w:val="000000"/>
          <w:kern w:val="0"/>
          <w:sz w:val="24"/>
          <w:szCs w:val="22"/>
          <w:lang w:val="en-US" w:eastAsia="zh-CN"/>
        </w:rPr>
        <w:t>以上）、性能稳定可靠、对负荷变化适应性好、运行管理简便等优点，已在国内外得到广泛应用。</w:t>
      </w:r>
    </w:p>
    <w:p w14:paraId="1DC0C05D">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w:t>
      </w:r>
      <w:r>
        <w:rPr>
          <w:rFonts w:hint="default" w:ascii="Times New Roman" w:hAnsi="Times New Roman" w:eastAsia="宋体" w:cs="Times New Roman"/>
          <w:b/>
          <w:kern w:val="2"/>
          <w:sz w:val="24"/>
          <w:szCs w:val="24"/>
          <w:lang w:val="en-US" w:eastAsia="zh-CN" w:bidi="ar-SA"/>
        </w:rPr>
        <w:t>.2.1.</w:t>
      </w:r>
      <w:r>
        <w:rPr>
          <w:rFonts w:hint="eastAsia" w:ascii="Times New Roman" w:hAnsi="Times New Roman" w:eastAsia="宋体" w:cs="Times New Roman"/>
          <w:b/>
          <w:kern w:val="2"/>
          <w:sz w:val="24"/>
          <w:szCs w:val="24"/>
          <w:lang w:val="en-US" w:eastAsia="zh-CN" w:bidi="ar-SA"/>
        </w:rPr>
        <w:t>2有</w:t>
      </w:r>
      <w:r>
        <w:rPr>
          <w:rFonts w:hint="default" w:ascii="Times New Roman" w:hAnsi="Times New Roman" w:eastAsia="宋体" w:cs="Times New Roman"/>
          <w:b/>
          <w:kern w:val="2"/>
          <w:sz w:val="24"/>
          <w:szCs w:val="24"/>
          <w:lang w:val="en-US" w:eastAsia="zh-CN" w:bidi="ar-SA"/>
        </w:rPr>
        <w:t>组织排放控制要求及运行管理要求</w:t>
      </w:r>
    </w:p>
    <w:p w14:paraId="1FE6E42B">
      <w:pPr>
        <w:widowControl w:val="0"/>
        <w:spacing w:after="0" w:line="360" w:lineRule="auto"/>
        <w:ind w:firstLine="480" w:firstLineChars="200"/>
        <w:jc w:val="both"/>
        <w:rPr>
          <w:rFonts w:hint="eastAsia" w:ascii="Times New Roman" w:hAnsi="Times New Roman" w:eastAsia="宋体" w:cs="宋体"/>
          <w:color w:val="auto"/>
          <w:kern w:val="0"/>
          <w:sz w:val="24"/>
          <w:szCs w:val="22"/>
          <w:lang w:val="en-US" w:eastAsia="zh-CN"/>
        </w:rPr>
      </w:pPr>
      <w:r>
        <w:rPr>
          <w:rFonts w:hint="eastAsia" w:cs="Times New Roman"/>
          <w:color w:val="auto"/>
          <w:kern w:val="2"/>
          <w:sz w:val="24"/>
          <w:szCs w:val="24"/>
          <w:lang w:val="en-US" w:eastAsia="zh-CN" w:bidi="ar-SA"/>
        </w:rPr>
        <w:t>参照</w:t>
      </w:r>
      <w:r>
        <w:rPr>
          <w:rFonts w:hint="eastAsia" w:ascii="Times New Roman" w:hAnsi="Times New Roman" w:eastAsia="宋体" w:cs="宋体"/>
          <w:color w:val="auto"/>
          <w:kern w:val="0"/>
          <w:sz w:val="24"/>
          <w:szCs w:val="22"/>
          <w:lang w:val="en-US" w:eastAsia="zh-CN"/>
        </w:rPr>
        <w:t xml:space="preserve">《排污许可证申请与核发技术规范 磷肥、钾肥、复混肥料、有机肥料和微生物肥料工业》（HJ 864.2-2018），有组织排放要求主要针对废气处理系统的安装、运行、维护等过程。 </w:t>
      </w:r>
    </w:p>
    <w:p w14:paraId="6C4808BB">
      <w:pPr>
        <w:overflowPunct w:val="0"/>
        <w:autoSpaceDE w:val="0"/>
        <w:autoSpaceDN w:val="0"/>
        <w:bidi w:val="0"/>
        <w:adjustRightInd w:val="0"/>
        <w:snapToGrid w:val="0"/>
        <w:spacing w:before="0" w:after="0" w:line="360" w:lineRule="auto"/>
        <w:ind w:left="0" w:right="0" w:firstLine="480" w:firstLineChars="200"/>
        <w:jc w:val="left"/>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 xml:space="preserve">a）污染治理设施应与产生废气的生产工艺设备同步运行。由于事故或设备维修等原因造成治理设施停止运行时，应立即报告当地环境主管部门。 </w:t>
      </w:r>
    </w:p>
    <w:p w14:paraId="60625B83">
      <w:pPr>
        <w:overflowPunct w:val="0"/>
        <w:autoSpaceDE w:val="0"/>
        <w:autoSpaceDN w:val="0"/>
        <w:bidi w:val="0"/>
        <w:adjustRightInd w:val="0"/>
        <w:snapToGrid w:val="0"/>
        <w:spacing w:before="0" w:after="0" w:line="360" w:lineRule="auto"/>
        <w:ind w:left="0" w:right="0" w:firstLine="480" w:firstLineChars="200"/>
        <w:jc w:val="left"/>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 xml:space="preserve">b）污染治理设施运行应在满足设计工况的条件下进行，并根据工艺要求，定期对设备、电气、自控仪表及构筑物进行检查维护，确保污染治理设施可靠运行。 </w:t>
      </w:r>
    </w:p>
    <w:p w14:paraId="505002D3">
      <w:pPr>
        <w:overflowPunct w:val="0"/>
        <w:autoSpaceDE w:val="0"/>
        <w:autoSpaceDN w:val="0"/>
        <w:bidi w:val="0"/>
        <w:adjustRightInd w:val="0"/>
        <w:snapToGrid w:val="0"/>
        <w:spacing w:before="0" w:after="0" w:line="360" w:lineRule="auto"/>
        <w:ind w:left="0" w:right="0" w:firstLine="480" w:firstLineChars="200"/>
        <w:jc w:val="left"/>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 xml:space="preserve">c）污染防治设施检修期间，排污单位相应排污设施应停止运行，并向生态环境主管部门提交污染治理设施检维修计划，检修计划应至少包括检维修的起始时间、情形描述、预计结束时间、拟采取的应对措施等内容。 </w:t>
      </w:r>
    </w:p>
    <w:p w14:paraId="1397E1BD">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有组织排放污染防治措施：</w:t>
      </w:r>
    </w:p>
    <w:p w14:paraId="2900134B">
      <w:pPr>
        <w:overflowPunct w:val="0"/>
        <w:autoSpaceDE w:val="0"/>
        <w:autoSpaceDN w:val="0"/>
        <w:bidi w:val="0"/>
        <w:adjustRightInd w:val="0"/>
        <w:snapToGrid w:val="0"/>
        <w:spacing w:before="0" w:after="0" w:line="360" w:lineRule="auto"/>
        <w:ind w:left="0" w:right="0" w:firstLine="480" w:firstLineChars="200"/>
        <w:jc w:val="left"/>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a）污染防治设施应与其对应的生产工艺设备同步运转，保证在生产工艺设备运行波动情况下仍能正常运转，实现达标排放。</w:t>
      </w:r>
    </w:p>
    <w:p w14:paraId="33098BBE">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b）加强除尘设备巡检，消除设备隐患，保证设备正常运行，废气处理装置定期维护检查，保证设备完整无破损。</w:t>
      </w:r>
    </w:p>
    <w:p w14:paraId="7C8FF71A">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 管理及维护</w:t>
      </w:r>
    </w:p>
    <w:p w14:paraId="581F83BC">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① 制定全面的生产管理、安全生产、环保管理等规章制度，严格生产管理，按制度落实生产设施巡查、巡检，定期对设备、管道、阀门、法兰、输送泵等进行维护，发现问题第一时间进行处理。 </w:t>
      </w:r>
    </w:p>
    <w:p w14:paraId="52F3A5DF">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② 加强岗位培训，落实安全生产责任制。公司领导把安全生产、防范事故工作放在第一位，严格安全生产管理，经常检查安全生产措施，发现问题及时解决，消除事故隐患；强化生产操作人员的安全培训教育，增强全体职工的责任感；生产操作人员必须严格执行操作规程，熟悉发生非正常排放时应急处理措施。</w:t>
      </w:r>
    </w:p>
    <w:p w14:paraId="5B865A32">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③ 加强设备管理，消除非正常排放隐患</w:t>
      </w:r>
    </w:p>
    <w:p w14:paraId="04EB914E">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加强管理和维护工作，确保生产系统、环保设施正常运行，易损件在使用寿命期限内提前进行更换，充分估计非正常排放发生的可能性，制定应急处理措施。</w:t>
      </w:r>
    </w:p>
    <w:p w14:paraId="560590F6">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GB" w:eastAsia="zh-CN" w:bidi="ar-SA"/>
        </w:rPr>
      </w:pPr>
      <w:r>
        <w:rPr>
          <w:rFonts w:hint="default" w:ascii="Times New Roman" w:hAnsi="Times New Roman" w:eastAsia="宋体" w:cs="Times New Roman"/>
          <w:color w:val="auto"/>
          <w:kern w:val="2"/>
          <w:sz w:val="24"/>
          <w:szCs w:val="24"/>
          <w:lang w:val="en-US" w:eastAsia="zh-CN" w:bidi="ar-SA"/>
        </w:rPr>
        <w:t>④在污染治理设施</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三同时</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未落实前主体工程不允许投入生产</w:t>
      </w:r>
      <w:r>
        <w:rPr>
          <w:rFonts w:hint="default" w:ascii="Times New Roman" w:hAnsi="Times New Roman" w:eastAsia="宋体" w:cs="Times New Roman"/>
          <w:color w:val="auto"/>
          <w:kern w:val="2"/>
          <w:sz w:val="24"/>
          <w:szCs w:val="24"/>
          <w:lang w:val="en-GB" w:eastAsia="zh-CN" w:bidi="ar-SA"/>
        </w:rPr>
        <w:t>。</w:t>
      </w:r>
    </w:p>
    <w:p w14:paraId="357E641F">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根据《排污许可证申请与核发技术规范农副食品加工工业—饲料加工、植物油加工工业》（HJ1110-2020）</w:t>
      </w:r>
      <w:r>
        <w:rPr>
          <w:rFonts w:hint="eastAsia" w:ascii="Times New Roman" w:hAnsi="Times New Roman" w:cs="Times New Roman"/>
          <w:color w:val="auto"/>
          <w:kern w:val="2"/>
          <w:sz w:val="24"/>
          <w:szCs w:val="24"/>
          <w:lang w:val="en-US" w:eastAsia="zh-CN" w:bidi="ar-SA"/>
        </w:rPr>
        <w:t>有组织控制措施如下：</w:t>
      </w:r>
    </w:p>
    <w:p w14:paraId="4092E20D">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w:t>
      </w:r>
      <w:r>
        <w:rPr>
          <w:rFonts w:hint="default" w:ascii="Times New Roman" w:hAnsi="Times New Roman" w:eastAsia="宋体" w:cs="Times New Roman"/>
          <w:color w:val="auto"/>
          <w:kern w:val="2"/>
          <w:sz w:val="24"/>
          <w:szCs w:val="24"/>
          <w:lang w:val="en-US" w:eastAsia="zh-CN" w:bidi="ar-SA"/>
        </w:rPr>
        <w:t>运行管理要求</w:t>
      </w:r>
    </w:p>
    <w:p w14:paraId="3FD57272">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饲料加工工业排污单位应当按照相关法律法规、标准和技术规范等要求运行大气污染防治设施并进行维护和管理，保证设施运行正常，处理、排放大气污染物符合相关国家或地方污染物排放标准的规定。</w:t>
      </w:r>
    </w:p>
    <w:p w14:paraId="1F3065C2">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w:t>
      </w:r>
      <w:r>
        <w:rPr>
          <w:rFonts w:hint="default" w:ascii="Times New Roman" w:hAnsi="Times New Roman" w:eastAsia="宋体" w:cs="Times New Roman"/>
          <w:color w:val="auto"/>
          <w:kern w:val="2"/>
          <w:sz w:val="24"/>
          <w:szCs w:val="24"/>
          <w:lang w:val="en-US" w:eastAsia="zh-CN" w:bidi="ar-SA"/>
        </w:rPr>
        <w:t>有组织排放控制要求</w:t>
      </w:r>
    </w:p>
    <w:p w14:paraId="6414787D">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a）污染防治设施应与其对应的生产工艺设备同步运转，保证在生产工艺设备运行波动情况下仍能正常运转，实现达标排放。</w:t>
      </w:r>
    </w:p>
    <w:p w14:paraId="221C44D0">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b）加强除尘设备巡检，消除设备隐患，保证正常运行。旋风除尘器应定期检查设备和管线的气密性。布袋除尘器应定期更换滤袋，保证滤袋完整无破损。电除尘器应定期检修维护极板、极丝、振打清灰装置。</w:t>
      </w:r>
    </w:p>
    <w:p w14:paraId="4943575B">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w:t>
      </w:r>
      <w:r>
        <w:rPr>
          <w:rFonts w:hint="default" w:ascii="Times New Roman" w:hAnsi="Times New Roman" w:eastAsia="宋体" w:cs="Times New Roman"/>
          <w:b/>
          <w:kern w:val="2"/>
          <w:sz w:val="24"/>
          <w:szCs w:val="24"/>
          <w:lang w:val="en-US" w:eastAsia="zh-CN" w:bidi="ar-SA"/>
        </w:rPr>
        <w:t>.2.1.</w:t>
      </w:r>
      <w:r>
        <w:rPr>
          <w:rFonts w:hint="eastAsia" w:ascii="Times New Roman" w:hAnsi="Times New Roman" w:eastAsia="宋体" w:cs="Times New Roman"/>
          <w:b/>
          <w:kern w:val="2"/>
          <w:sz w:val="24"/>
          <w:szCs w:val="24"/>
          <w:lang w:val="en-US" w:eastAsia="zh-CN" w:bidi="ar-SA"/>
        </w:rPr>
        <w:t>3</w:t>
      </w:r>
      <w:r>
        <w:rPr>
          <w:rFonts w:hint="default" w:ascii="Times New Roman" w:hAnsi="Times New Roman" w:eastAsia="宋体" w:cs="Times New Roman"/>
          <w:b/>
          <w:kern w:val="2"/>
          <w:sz w:val="24"/>
          <w:szCs w:val="24"/>
          <w:lang w:val="en-US" w:eastAsia="zh-CN" w:bidi="ar-SA"/>
        </w:rPr>
        <w:t>无组织污染防治措施</w:t>
      </w:r>
    </w:p>
    <w:p w14:paraId="3341A99D">
      <w:pPr>
        <w:snapToGrid w:val="0"/>
        <w:spacing w:line="360" w:lineRule="auto"/>
        <w:ind w:firstLine="480" w:firstLineChars="200"/>
        <w:rPr>
          <w:rFonts w:hint="default" w:ascii="Times New Roman" w:hAnsi="Times New Roman" w:eastAsia="宋体" w:cs="Times New Roman"/>
          <w:sz w:val="24"/>
          <w:lang w:val="en-GB"/>
        </w:rPr>
      </w:pPr>
      <w:r>
        <w:rPr>
          <w:rFonts w:hint="default" w:ascii="Times New Roman" w:hAnsi="Times New Roman" w:eastAsia="宋体" w:cs="Times New Roman"/>
          <w:sz w:val="24"/>
          <w:lang w:val="en-GB"/>
        </w:rPr>
        <w:t>（1）</w:t>
      </w:r>
      <w:r>
        <w:rPr>
          <w:rFonts w:hint="eastAsia" w:ascii="Times New Roman" w:hAnsi="Times New Roman" w:eastAsia="宋体" w:cs="Times New Roman"/>
          <w:sz w:val="24"/>
          <w:lang w:val="en-US" w:eastAsia="zh-CN"/>
        </w:rPr>
        <w:t>养殖区</w:t>
      </w:r>
      <w:r>
        <w:rPr>
          <w:rFonts w:hint="default" w:ascii="Times New Roman" w:hAnsi="Times New Roman" w:eastAsia="宋体" w:cs="Times New Roman"/>
          <w:sz w:val="24"/>
          <w:lang w:val="en-GB"/>
        </w:rPr>
        <w:t>恶臭气体控制分析</w:t>
      </w:r>
    </w:p>
    <w:p w14:paraId="6BFF5924">
      <w:pPr>
        <w:snapToGrid w:val="0"/>
        <w:spacing w:line="360" w:lineRule="auto"/>
        <w:ind w:firstLine="480" w:firstLineChars="200"/>
        <w:rPr>
          <w:rFonts w:hint="default" w:ascii="Times New Roman" w:hAnsi="Times New Roman" w:eastAsia="宋体" w:cs="Times New Roman"/>
          <w:sz w:val="24"/>
          <w:lang w:val="en-GB"/>
        </w:rPr>
      </w:pPr>
      <w:r>
        <w:rPr>
          <w:rFonts w:hint="default" w:ascii="Times New Roman" w:hAnsi="Times New Roman" w:eastAsia="宋体" w:cs="Times New Roman"/>
          <w:sz w:val="24"/>
          <w:lang w:val="en-GB"/>
        </w:rPr>
        <w:t>养殖项目恶臭来自</w:t>
      </w:r>
      <w:r>
        <w:rPr>
          <w:rFonts w:hint="eastAsia" w:ascii="Times New Roman" w:hAnsi="Times New Roman" w:eastAsia="宋体" w:cs="Times New Roman"/>
          <w:sz w:val="24"/>
          <w:lang w:val="en-US" w:eastAsia="zh-CN"/>
        </w:rPr>
        <w:t>栏舍、存储环节</w:t>
      </w:r>
      <w:r>
        <w:rPr>
          <w:rFonts w:hint="default" w:ascii="Times New Roman" w:hAnsi="Times New Roman" w:eastAsia="宋体" w:cs="Times New Roman"/>
          <w:sz w:val="24"/>
          <w:lang w:val="en-GB"/>
        </w:rPr>
        <w:t>。</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lang w:val="en-GB"/>
        </w:rPr>
        <w:t>的新鲜粪便、消化道排</w:t>
      </w:r>
      <w:r>
        <w:rPr>
          <w:rFonts w:hint="eastAsia" w:ascii="Times New Roman" w:hAnsi="Times New Roman" w:eastAsia="宋体" w:cs="Times New Roman"/>
          <w:sz w:val="24"/>
          <w:lang w:val="en-GB" w:eastAsia="zh-CN"/>
        </w:rPr>
        <w:t>出的</w:t>
      </w:r>
      <w:r>
        <w:rPr>
          <w:rFonts w:hint="default" w:ascii="Times New Roman" w:hAnsi="Times New Roman" w:eastAsia="宋体" w:cs="Times New Roman"/>
          <w:sz w:val="24"/>
          <w:lang w:val="en-GB"/>
        </w:rPr>
        <w:t>气体、皮脂腺和汗腺的分泌物、</w:t>
      </w:r>
      <w:r>
        <w:rPr>
          <w:rFonts w:hint="eastAsia" w:ascii="Times New Roman" w:hAnsi="Times New Roman" w:eastAsia="宋体" w:cs="Times New Roman"/>
          <w:sz w:val="24"/>
          <w:lang w:val="en-GB" w:eastAsia="zh-CN"/>
        </w:rPr>
        <w:t>黏附</w:t>
      </w:r>
      <w:r>
        <w:rPr>
          <w:rFonts w:hint="default" w:ascii="Times New Roman" w:hAnsi="Times New Roman" w:eastAsia="宋体" w:cs="Times New Roman"/>
          <w:sz w:val="24"/>
          <w:lang w:val="en-GB"/>
        </w:rPr>
        <w:t>在体表的污物、畜体外激素等也会散发出特有的难闻气味，该气体往往呈现无组织排放，主要含</w:t>
      </w:r>
      <w:r>
        <w:rPr>
          <w:rFonts w:hint="default" w:ascii="Times New Roman" w:hAnsi="Times New Roman" w:eastAsia="宋体" w:cs="Times New Roman"/>
          <w:sz w:val="24"/>
          <w:lang w:val="en-GB" w:eastAsia="zh-CN"/>
        </w:rPr>
        <w:t>硫化氢</w:t>
      </w:r>
      <w:r>
        <w:rPr>
          <w:rFonts w:hint="default" w:ascii="Times New Roman" w:hAnsi="Times New Roman" w:eastAsia="宋体" w:cs="Times New Roman"/>
          <w:sz w:val="24"/>
          <w:lang w:val="en-GB"/>
        </w:rPr>
        <w:t>及氨等恶臭物质。按照《畜禽规模养殖污染防治条例</w:t>
      </w:r>
      <w:r>
        <w:rPr>
          <w:rFonts w:hint="eastAsia" w:ascii="Times New Roman" w:hAnsi="Times New Roman" w:eastAsia="宋体" w:cs="Times New Roman"/>
          <w:sz w:val="24"/>
          <w:lang w:val="en-GB" w:eastAsia="zh-CN"/>
        </w:rPr>
        <w:t>》和《</w:t>
      </w:r>
      <w:r>
        <w:rPr>
          <w:rFonts w:hint="default" w:ascii="Times New Roman" w:hAnsi="Times New Roman" w:eastAsia="宋体" w:cs="Times New Roman"/>
          <w:sz w:val="24"/>
          <w:lang w:val="en-GB"/>
        </w:rPr>
        <w:t>畜禽养殖业污染治理工程技术规范》（HJ497-2009）的规定，本项目采取以下措施来控制恶臭的排放。</w:t>
      </w:r>
    </w:p>
    <w:p w14:paraId="687D2053">
      <w:pPr>
        <w:snapToGrid w:val="0"/>
        <w:spacing w:line="360" w:lineRule="auto"/>
        <w:ind w:firstLine="480" w:firstLineChars="200"/>
        <w:rPr>
          <w:rFonts w:hint="default" w:ascii="Times New Roman" w:hAnsi="Times New Roman" w:eastAsia="宋体" w:cs="Times New Roman"/>
          <w:sz w:val="24"/>
          <w:lang w:val="en-GB"/>
        </w:rPr>
      </w:pPr>
      <w:r>
        <w:rPr>
          <w:rFonts w:hint="default" w:ascii="Times New Roman" w:hAnsi="Times New Roman" w:eastAsia="宋体" w:cs="Times New Roman"/>
          <w:sz w:val="24"/>
          <w:lang w:val="en-GB"/>
        </w:rPr>
        <w:t>①及时清理打扫，保持场内卫生</w:t>
      </w:r>
    </w:p>
    <w:p w14:paraId="652D2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rPr>
      </w:pPr>
      <w:r>
        <w:rPr>
          <w:rFonts w:hint="default" w:ascii="Times New Roman" w:hAnsi="Times New Roman" w:eastAsia="宋体" w:cs="Times New Roman"/>
          <w:sz w:val="24"/>
          <w:highlight w:val="none"/>
          <w:lang w:val="en-GB"/>
        </w:rPr>
        <w:t>本项目</w:t>
      </w:r>
      <w:r>
        <w:rPr>
          <w:rFonts w:hint="eastAsia" w:ascii="Times New Roman" w:hAnsi="Times New Roman" w:eastAsia="宋体" w:cs="Times New Roman"/>
          <w:sz w:val="24"/>
          <w:highlight w:val="none"/>
          <w:lang w:val="en-US" w:eastAsia="zh-CN"/>
        </w:rPr>
        <w:t>栏舍等</w:t>
      </w:r>
      <w:r>
        <w:rPr>
          <w:rFonts w:hint="default" w:ascii="Times New Roman" w:hAnsi="Times New Roman" w:eastAsia="宋体" w:cs="Times New Roman"/>
          <w:sz w:val="24"/>
          <w:highlight w:val="none"/>
          <w:lang w:val="en-GB"/>
        </w:rPr>
        <w:t>产生的臭气（含</w:t>
      </w:r>
      <w:r>
        <w:rPr>
          <w:rFonts w:hint="eastAsia" w:ascii="Times New Roman" w:hAnsi="Times New Roman" w:eastAsia="宋体" w:cs="Times New Roman"/>
          <w:sz w:val="24"/>
          <w:highlight w:val="none"/>
          <w:lang w:val="en-US" w:eastAsia="zh-CN"/>
        </w:rPr>
        <w:t>硫化氢</w:t>
      </w:r>
      <w:r>
        <w:rPr>
          <w:rFonts w:hint="default" w:ascii="Times New Roman" w:hAnsi="Times New Roman" w:eastAsia="宋体" w:cs="Times New Roman"/>
          <w:sz w:val="24"/>
          <w:highlight w:val="none"/>
          <w:lang w:val="en-GB"/>
        </w:rPr>
        <w:t>及氨）为无组织排放，</w:t>
      </w:r>
      <w:r>
        <w:rPr>
          <w:rFonts w:hint="default" w:ascii="Times New Roman" w:hAnsi="Times New Roman" w:eastAsia="宋体" w:cs="Times New Roman"/>
          <w:sz w:val="24"/>
          <w:lang w:val="en-GB"/>
        </w:rPr>
        <w:t>保持厂区内道路清洁，杜绝</w:t>
      </w:r>
      <w:r>
        <w:rPr>
          <w:rFonts w:hint="eastAsia" w:ascii="Times New Roman" w:hAnsi="Times New Roman" w:eastAsia="宋体" w:cs="Times New Roman"/>
          <w:sz w:val="24"/>
          <w:lang w:val="en-US" w:eastAsia="zh-CN"/>
        </w:rPr>
        <w:t>牛粪</w:t>
      </w:r>
      <w:r>
        <w:rPr>
          <w:rFonts w:hint="default" w:ascii="Times New Roman" w:hAnsi="Times New Roman" w:eastAsia="宋体" w:cs="Times New Roman"/>
          <w:sz w:val="24"/>
          <w:lang w:val="en-GB"/>
        </w:rPr>
        <w:t>随意散落</w:t>
      </w:r>
      <w:r>
        <w:rPr>
          <w:rFonts w:hint="eastAsia" w:ascii="Times New Roman" w:hAnsi="Times New Roman" w:eastAsia="宋体" w:cs="Times New Roman"/>
          <w:sz w:val="24"/>
          <w:lang w:val="en-GB" w:eastAsia="zh-CN"/>
        </w:rPr>
        <w:t>；</w:t>
      </w:r>
      <w:r>
        <w:rPr>
          <w:rFonts w:hint="eastAsia" w:ascii="Times New Roman" w:hAnsi="Times New Roman" w:eastAsia="宋体" w:cs="Times New Roman"/>
          <w:sz w:val="24"/>
          <w:lang w:val="en-US" w:eastAsia="zh-CN"/>
        </w:rPr>
        <w:t xml:space="preserve">发酵床垫料中混入生物菌，可使垫料表层恒温（22-26℃），这样可抑制粪便中恶臭产生和散发，还能起到分解粪便的效果，降低圈舍空气中恶臭含量。 </w:t>
      </w:r>
    </w:p>
    <w:p w14:paraId="70E688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GB"/>
        </w:rPr>
      </w:pP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lang w:val="en-GB"/>
        </w:rPr>
        <w:t>须经常打扫</w:t>
      </w:r>
      <w:r>
        <w:rPr>
          <w:rFonts w:hint="eastAsia" w:ascii="Times New Roman" w:hAnsi="Times New Roman" w:eastAsia="宋体" w:cs="Times New Roman"/>
          <w:sz w:val="24"/>
          <w:lang w:val="en-GB" w:eastAsia="zh-CN"/>
        </w:rPr>
        <w:t>，</w:t>
      </w:r>
      <w:r>
        <w:rPr>
          <w:rFonts w:hint="eastAsia" w:ascii="Times New Roman" w:hAnsi="Times New Roman" w:eastAsia="宋体" w:cs="Times New Roman"/>
          <w:sz w:val="24"/>
          <w:lang w:val="en-US" w:eastAsia="zh-CN"/>
        </w:rPr>
        <w:t>垫料定期翻堆，避免板结</w:t>
      </w:r>
      <w:r>
        <w:rPr>
          <w:rFonts w:hint="default" w:ascii="Times New Roman" w:hAnsi="Times New Roman" w:eastAsia="宋体" w:cs="Times New Roman"/>
          <w:sz w:val="24"/>
          <w:lang w:val="en-GB"/>
        </w:rPr>
        <w:t>，并经常喷洒消毒液</w:t>
      </w:r>
      <w:r>
        <w:rPr>
          <w:rFonts w:hint="eastAsia" w:ascii="Times New Roman" w:hAnsi="Times New Roman" w:eastAsia="宋体" w:cs="Times New Roman"/>
          <w:sz w:val="24"/>
          <w:lang w:val="en-GB" w:eastAsia="zh-CN"/>
        </w:rPr>
        <w:t>，在</w:t>
      </w:r>
      <w:r>
        <w:rPr>
          <w:rFonts w:hint="default" w:ascii="Times New Roman" w:hAnsi="Times New Roman" w:eastAsia="宋体" w:cs="Times New Roman"/>
          <w:sz w:val="24"/>
          <w:lang w:val="en-GB"/>
        </w:rPr>
        <w:t>蚊蝇滋长季节喷洒虫卵消毒液，杜绝蚊蝇的生长。避免或减少对附近居民的影响。</w:t>
      </w:r>
    </w:p>
    <w:p w14:paraId="72A660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本项目通过缩短</w:t>
      </w:r>
      <w:r>
        <w:rPr>
          <w:rFonts w:hint="eastAsia" w:ascii="Times New Roman" w:hAnsi="Times New Roman" w:eastAsia="宋体" w:cs="Times New Roman"/>
          <w:kern w:val="2"/>
          <w:sz w:val="24"/>
          <w:szCs w:val="24"/>
          <w:lang w:val="en-US" w:eastAsia="zh-CN" w:bidi="ar-SA"/>
        </w:rPr>
        <w:t>牛粪</w:t>
      </w:r>
      <w:r>
        <w:rPr>
          <w:rFonts w:hint="default" w:ascii="Times New Roman" w:hAnsi="Times New Roman" w:eastAsia="宋体" w:cs="Times New Roman"/>
          <w:kern w:val="2"/>
          <w:sz w:val="24"/>
          <w:szCs w:val="24"/>
          <w:lang w:val="en-GB" w:eastAsia="zh-CN" w:bidi="ar-SA"/>
        </w:rPr>
        <w:t>滞留时间，同时对</w:t>
      </w:r>
      <w:r>
        <w:rPr>
          <w:rFonts w:hint="eastAsia" w:ascii="Times New Roman" w:hAnsi="Times New Roman" w:eastAsia="宋体" w:cs="Times New Roman"/>
          <w:kern w:val="2"/>
          <w:sz w:val="24"/>
          <w:szCs w:val="24"/>
          <w:lang w:val="en-US" w:eastAsia="zh-CN" w:bidi="ar-SA"/>
        </w:rPr>
        <w:t>牛圈</w:t>
      </w:r>
      <w:r>
        <w:rPr>
          <w:rFonts w:hint="default" w:ascii="Times New Roman" w:hAnsi="Times New Roman" w:eastAsia="宋体" w:cs="Times New Roman"/>
          <w:kern w:val="2"/>
          <w:sz w:val="24"/>
          <w:szCs w:val="24"/>
          <w:lang w:val="en-GB" w:eastAsia="zh-CN" w:bidi="ar-SA"/>
        </w:rPr>
        <w:t>进行通风设计，这样可有效控制恶臭污染物的浓度；对粪便暂存场应适当喷洒除臭剂和覆盖表土，以减少恶臭污染物产生量；将粪便处置区设置于场区的</w:t>
      </w:r>
      <w:r>
        <w:rPr>
          <w:rFonts w:hint="eastAsia" w:ascii="Times New Roman" w:hAnsi="Times New Roman" w:eastAsia="宋体" w:cs="Times New Roman"/>
          <w:kern w:val="2"/>
          <w:sz w:val="24"/>
          <w:szCs w:val="24"/>
          <w:lang w:val="en-US" w:eastAsia="zh-CN" w:bidi="ar-SA"/>
        </w:rPr>
        <w:t>侧风向</w:t>
      </w:r>
      <w:r>
        <w:rPr>
          <w:rFonts w:hint="default" w:ascii="Times New Roman" w:hAnsi="Times New Roman" w:eastAsia="宋体" w:cs="Times New Roman"/>
          <w:kern w:val="2"/>
          <w:sz w:val="24"/>
          <w:szCs w:val="24"/>
          <w:lang w:val="en-GB" w:eastAsia="zh-CN" w:bidi="ar-SA"/>
        </w:rPr>
        <w:t>，也有利于污染物的扩散。减轻恶臭污染物对周围环境影响。</w:t>
      </w:r>
    </w:p>
    <w:p w14:paraId="6F8D6312">
      <w:pPr>
        <w:widowControl w:val="0"/>
        <w:spacing w:line="360" w:lineRule="auto"/>
        <w:ind w:left="432" w:firstLine="0" w:firstLineChars="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②优化饲料与喂养</w:t>
      </w:r>
    </w:p>
    <w:p w14:paraId="578AAA86">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建议本项目养殖饲料在采用发料机饲喂的同时，还应采用理想蛋白质体系配方，以提高蛋白质</w:t>
      </w:r>
      <w:r>
        <w:rPr>
          <w:rFonts w:hint="eastAsia" w:ascii="Times New Roman" w:hAnsi="Times New Roman" w:eastAsia="宋体" w:cs="Times New Roman"/>
          <w:kern w:val="2"/>
          <w:sz w:val="24"/>
          <w:szCs w:val="24"/>
          <w:lang w:val="en-GB" w:eastAsia="zh-CN" w:bidi="ar-SA"/>
        </w:rPr>
        <w:t>及其他</w:t>
      </w:r>
      <w:r>
        <w:rPr>
          <w:rFonts w:hint="default" w:ascii="Times New Roman" w:hAnsi="Times New Roman" w:eastAsia="宋体" w:cs="Times New Roman"/>
          <w:kern w:val="2"/>
          <w:sz w:val="24"/>
          <w:szCs w:val="24"/>
          <w:lang w:val="en-GB" w:eastAsia="zh-CN" w:bidi="ar-SA"/>
        </w:rPr>
        <w:t>营养的吸收效率，减少氮的排放量和粪的生产量。提倡使用微生物制剂、酶制剂和植物提取液等活性物质，减少污染物排放和恶臭气体的产生。这些微生物进入家畜体内后，能使肠内的有益细菌增殖，使肠的活动能力增强，从而达到抑制粪尿恶臭的目的。在选用饲料时，一是要注意消化率高、营养变异小，二是要注意选择有毒有害成分低、安全性高的饲料。在饲料中补充合成氨基酸，如赖氨酸、蛋氨酸、苏氨酸等，一方面可提高蛋白质利用率，同时又降低了动物排泄物中的氨气（NH</w:t>
      </w:r>
      <w:r>
        <w:rPr>
          <w:rFonts w:hint="default" w:ascii="Times New Roman" w:hAnsi="Times New Roman" w:eastAsia="宋体" w:cs="Times New Roman"/>
          <w:kern w:val="2"/>
          <w:sz w:val="24"/>
          <w:szCs w:val="24"/>
          <w:vertAlign w:val="subscript"/>
          <w:lang w:val="en-GB" w:eastAsia="zh-CN" w:bidi="ar-SA"/>
        </w:rPr>
        <w:t>3</w:t>
      </w:r>
      <w:r>
        <w:rPr>
          <w:rFonts w:hint="default" w:ascii="Times New Roman" w:hAnsi="Times New Roman" w:eastAsia="宋体" w:cs="Times New Roman"/>
          <w:kern w:val="2"/>
          <w:sz w:val="24"/>
          <w:szCs w:val="24"/>
          <w:lang w:val="en-GB" w:eastAsia="zh-CN" w:bidi="ar-SA"/>
        </w:rPr>
        <w:t>）产生量，减少臭气的产生。利用生物方法，将EM有效微生物菌剂加入饲料中，可以</w:t>
      </w:r>
      <w:r>
        <w:rPr>
          <w:rFonts w:hint="eastAsia" w:ascii="Times New Roman" w:hAnsi="Times New Roman" w:eastAsia="宋体" w:cs="Times New Roman"/>
          <w:kern w:val="2"/>
          <w:sz w:val="24"/>
          <w:szCs w:val="24"/>
          <w:lang w:val="en-GB" w:eastAsia="zh-CN" w:bidi="ar-SA"/>
        </w:rPr>
        <w:t>促进</w:t>
      </w:r>
      <w:r>
        <w:rPr>
          <w:rFonts w:hint="default" w:ascii="Times New Roman" w:hAnsi="Times New Roman" w:eastAsia="宋体" w:cs="Times New Roman"/>
          <w:kern w:val="2"/>
          <w:sz w:val="24"/>
          <w:szCs w:val="24"/>
          <w:lang w:val="en-GB" w:eastAsia="zh-CN" w:bidi="ar-SA"/>
        </w:rPr>
        <w:t>畜禽生长并降低粪便的臭味。可将</w:t>
      </w:r>
      <w:r>
        <w:rPr>
          <w:rFonts w:hint="eastAsia" w:ascii="Times New Roman" w:hAnsi="Times New Roman" w:eastAsia="宋体" w:cs="Times New Roman"/>
          <w:kern w:val="2"/>
          <w:sz w:val="24"/>
          <w:szCs w:val="24"/>
          <w:lang w:val="en-US" w:eastAsia="zh-CN" w:bidi="ar-SA"/>
        </w:rPr>
        <w:t>畜禽</w:t>
      </w:r>
      <w:r>
        <w:rPr>
          <w:rFonts w:hint="default" w:ascii="Times New Roman" w:hAnsi="Times New Roman" w:eastAsia="宋体" w:cs="Times New Roman"/>
          <w:kern w:val="2"/>
          <w:sz w:val="24"/>
          <w:szCs w:val="24"/>
          <w:lang w:val="en-GB" w:eastAsia="zh-CN" w:bidi="ar-SA"/>
        </w:rPr>
        <w:t>体内的</w:t>
      </w:r>
      <w:r>
        <w:rPr>
          <w:rFonts w:hint="eastAsia" w:ascii="Times New Roman" w:hAnsi="Times New Roman" w:eastAsia="宋体" w:cs="Times New Roman"/>
          <w:kern w:val="2"/>
          <w:sz w:val="24"/>
          <w:szCs w:val="24"/>
          <w:lang w:val="en-US" w:eastAsia="zh-CN" w:bidi="ar-SA"/>
        </w:rPr>
        <w:t>氨（</w:t>
      </w:r>
      <w:r>
        <w:rPr>
          <w:rFonts w:hint="default" w:ascii="Times New Roman" w:hAnsi="Times New Roman" w:eastAsia="宋体" w:cs="Times New Roman"/>
          <w:kern w:val="2"/>
          <w:sz w:val="24"/>
          <w:szCs w:val="24"/>
          <w:lang w:val="en-GB" w:eastAsia="zh-CN" w:bidi="ar-SA"/>
        </w:rPr>
        <w:t>NH</w:t>
      </w:r>
      <w:r>
        <w:rPr>
          <w:rFonts w:hint="default" w:ascii="Times New Roman" w:hAnsi="Times New Roman" w:eastAsia="宋体" w:cs="Times New Roman"/>
          <w:kern w:val="2"/>
          <w:sz w:val="24"/>
          <w:szCs w:val="24"/>
          <w:vertAlign w:val="subscript"/>
          <w:lang w:val="en-GB" w:eastAsia="zh-CN" w:bidi="ar-SA"/>
        </w:rPr>
        <w:t>3</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GB" w:eastAsia="zh-CN" w:bidi="ar-SA"/>
        </w:rPr>
        <w:t>、硫化氢（H</w:t>
      </w:r>
      <w:r>
        <w:rPr>
          <w:rFonts w:hint="default" w:ascii="Times New Roman" w:hAnsi="Times New Roman" w:eastAsia="宋体" w:cs="Times New Roman"/>
          <w:kern w:val="2"/>
          <w:sz w:val="24"/>
          <w:szCs w:val="24"/>
          <w:vertAlign w:val="subscript"/>
          <w:lang w:val="en-GB" w:eastAsia="zh-CN" w:bidi="ar-SA"/>
        </w:rPr>
        <w:t>2</w:t>
      </w:r>
      <w:r>
        <w:rPr>
          <w:rFonts w:hint="default" w:ascii="Times New Roman" w:hAnsi="Times New Roman" w:eastAsia="宋体" w:cs="Times New Roman"/>
          <w:kern w:val="2"/>
          <w:sz w:val="24"/>
          <w:szCs w:val="24"/>
          <w:lang w:val="en-GB" w:eastAsia="zh-CN" w:bidi="ar-SA"/>
        </w:rPr>
        <w:t>S）、甲烷（CH</w:t>
      </w:r>
      <w:r>
        <w:rPr>
          <w:rFonts w:hint="default" w:ascii="Times New Roman" w:hAnsi="Times New Roman" w:eastAsia="宋体" w:cs="Times New Roman"/>
          <w:kern w:val="2"/>
          <w:sz w:val="24"/>
          <w:szCs w:val="24"/>
          <w:vertAlign w:val="subscript"/>
          <w:lang w:val="en-GB" w:eastAsia="zh-CN" w:bidi="ar-SA"/>
        </w:rPr>
        <w:t>4</w:t>
      </w:r>
      <w:r>
        <w:rPr>
          <w:rFonts w:hint="default" w:ascii="Times New Roman" w:hAnsi="Times New Roman" w:eastAsia="宋体" w:cs="Times New Roman"/>
          <w:kern w:val="2"/>
          <w:sz w:val="24"/>
          <w:szCs w:val="24"/>
          <w:lang w:val="en-GB" w:eastAsia="zh-CN" w:bidi="ar-SA"/>
        </w:rPr>
        <w:t>）等转化为可供畜体吸收的化合态氮和其他物质，可使排泄物中的营养成分和有害成分都明显降低，从而提高饲料消化利用率，并减少臭气的产生。但值得注意的是：使用添加剂时，应选择微生物、低聚糖等无公害饲料添加剂，以保证畜产品安全和无公害。另外，分阶段饲喂，即用不同养分组成的日粮来</w:t>
      </w:r>
      <w:r>
        <w:rPr>
          <w:rFonts w:hint="eastAsia" w:ascii="Times New Roman" w:hAnsi="Times New Roman" w:eastAsia="宋体" w:cs="Times New Roman"/>
          <w:kern w:val="2"/>
          <w:sz w:val="24"/>
          <w:szCs w:val="24"/>
          <w:lang w:val="en-GB" w:eastAsia="zh-CN" w:bidi="ar-SA"/>
        </w:rPr>
        <w:t>饲喂</w:t>
      </w:r>
      <w:r>
        <w:rPr>
          <w:rFonts w:hint="default" w:ascii="Times New Roman" w:hAnsi="Times New Roman" w:eastAsia="宋体" w:cs="Times New Roman"/>
          <w:kern w:val="2"/>
          <w:sz w:val="24"/>
          <w:szCs w:val="24"/>
          <w:lang w:val="en-GB" w:eastAsia="zh-CN" w:bidi="ar-SA"/>
        </w:rPr>
        <w:t>不同生长发育阶段的畜禽，使日粮养分更接近畜禽的需要，可避免养分的浪费和对环境的污染。</w:t>
      </w:r>
    </w:p>
    <w:p w14:paraId="09DDC799">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③喷洒除臭剂</w:t>
      </w:r>
    </w:p>
    <w:p w14:paraId="29D2FF1D">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在各</w:t>
      </w:r>
      <w:r>
        <w:rPr>
          <w:rFonts w:hint="eastAsia" w:ascii="Times New Roman" w:hAnsi="Times New Roman" w:eastAsia="宋体" w:cs="Times New Roman"/>
          <w:kern w:val="2"/>
          <w:sz w:val="24"/>
          <w:szCs w:val="24"/>
          <w:lang w:val="en-US" w:eastAsia="zh-CN" w:bidi="ar-SA"/>
        </w:rPr>
        <w:t>牛圈</w:t>
      </w:r>
      <w:r>
        <w:rPr>
          <w:rFonts w:hint="default" w:ascii="Times New Roman" w:hAnsi="Times New Roman" w:eastAsia="宋体" w:cs="Times New Roman"/>
          <w:kern w:val="2"/>
          <w:sz w:val="24"/>
          <w:szCs w:val="24"/>
          <w:lang w:val="en-GB" w:eastAsia="zh-CN" w:bidi="ar-SA"/>
        </w:rPr>
        <w:t>安装除臭剂，用一种较强烈、能散发令人愉快的芳香气味去掩盖令人不快的臭味，可达到除臭的目的，具体的有喷洒除臭剂、放置除臭丸和烧香等，该除臭方法目前使用比较广泛。</w:t>
      </w:r>
    </w:p>
    <w:p w14:paraId="32DFFECE">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对于本项目可采用向</w:t>
      </w:r>
      <w:r>
        <w:rPr>
          <w:rFonts w:hint="eastAsia" w:ascii="Times New Roman" w:hAnsi="Times New Roman" w:eastAsia="宋体" w:cs="Times New Roman"/>
          <w:kern w:val="2"/>
          <w:sz w:val="24"/>
          <w:szCs w:val="24"/>
          <w:lang w:val="en-US" w:eastAsia="zh-CN" w:bidi="ar-SA"/>
        </w:rPr>
        <w:t>牛圈</w:t>
      </w:r>
      <w:r>
        <w:rPr>
          <w:rFonts w:hint="default" w:ascii="Times New Roman" w:hAnsi="Times New Roman" w:eastAsia="宋体" w:cs="Times New Roman"/>
          <w:kern w:val="2"/>
          <w:sz w:val="24"/>
          <w:szCs w:val="24"/>
          <w:lang w:val="en-GB" w:eastAsia="zh-CN" w:bidi="ar-SA"/>
        </w:rPr>
        <w:t>以及档口地面喷洒除臭剂方法，将场区产生令人不愉快的气味掩盖住，达到除臭的效果。这种方法投资较小，简便易行，具有较好的效果。但采用的除臭剂必须是无毒、无害，在环境中不会蓄积的。</w:t>
      </w:r>
    </w:p>
    <w:p w14:paraId="547DDD9D">
      <w:pPr>
        <w:widowControl w:val="0"/>
        <w:spacing w:line="360" w:lineRule="auto"/>
        <w:ind w:left="432" w:firstLine="0" w:firstLineChars="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④加强绿化</w:t>
      </w:r>
    </w:p>
    <w:p w14:paraId="62E74239">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在</w:t>
      </w:r>
      <w:r>
        <w:rPr>
          <w:rFonts w:hint="eastAsia" w:ascii="Times New Roman" w:hAnsi="Times New Roman" w:eastAsia="宋体" w:cs="Times New Roman"/>
          <w:kern w:val="2"/>
          <w:sz w:val="24"/>
          <w:szCs w:val="24"/>
          <w:lang w:val="en-US" w:eastAsia="zh-CN" w:bidi="ar-SA"/>
        </w:rPr>
        <w:t>养殖区</w:t>
      </w:r>
      <w:r>
        <w:rPr>
          <w:rFonts w:hint="default" w:ascii="Times New Roman" w:hAnsi="Times New Roman" w:eastAsia="宋体" w:cs="Times New Roman"/>
          <w:kern w:val="2"/>
          <w:sz w:val="24"/>
          <w:szCs w:val="24"/>
          <w:lang w:val="en-GB" w:eastAsia="zh-CN" w:bidi="ar-SA"/>
        </w:rPr>
        <w:t>、</w:t>
      </w:r>
      <w:r>
        <w:rPr>
          <w:rFonts w:hint="eastAsia" w:ascii="Times New Roman" w:hAnsi="Times New Roman" w:eastAsia="宋体" w:cs="Times New Roman"/>
          <w:kern w:val="2"/>
          <w:sz w:val="24"/>
          <w:szCs w:val="24"/>
          <w:lang w:val="en-US" w:eastAsia="zh-CN" w:bidi="ar-SA"/>
        </w:rPr>
        <w:t>堆肥间</w:t>
      </w:r>
      <w:r>
        <w:rPr>
          <w:rFonts w:hint="default" w:ascii="Times New Roman" w:hAnsi="Times New Roman" w:eastAsia="宋体" w:cs="Times New Roman"/>
          <w:kern w:val="2"/>
          <w:sz w:val="24"/>
          <w:szCs w:val="24"/>
          <w:lang w:val="en-GB" w:eastAsia="zh-CN" w:bidi="ar-SA"/>
        </w:rPr>
        <w:t>以及周围种植绿色植物是为了防止气味扩散，降低场区温度和</w:t>
      </w:r>
      <w:r>
        <w:rPr>
          <w:rFonts w:hint="eastAsia" w:ascii="Times New Roman" w:hAnsi="Times New Roman" w:eastAsia="宋体" w:cs="Times New Roman"/>
          <w:kern w:val="2"/>
          <w:sz w:val="24"/>
          <w:szCs w:val="24"/>
          <w:lang w:val="en-GB" w:eastAsia="zh-CN" w:bidi="ar-SA"/>
        </w:rPr>
        <w:t>噪声</w:t>
      </w:r>
      <w:r>
        <w:rPr>
          <w:rFonts w:hint="default" w:ascii="Times New Roman" w:hAnsi="Times New Roman" w:eastAsia="宋体" w:cs="Times New Roman"/>
          <w:kern w:val="2"/>
          <w:sz w:val="24"/>
          <w:szCs w:val="24"/>
          <w:lang w:val="en-GB" w:eastAsia="zh-CN" w:bidi="ar-SA"/>
        </w:rPr>
        <w:t>、提高环境质量最有效的手段。种植绿色植物首先可以降低风速，防止气味传播到更远的距离，减少气味的污染范围。根据国内的研究资料表明，在场区上风向种植防风林可使场区风速降低75</w:t>
      </w:r>
      <w:r>
        <w:rPr>
          <w:rFonts w:hint="eastAsia" w:ascii="Times New Roman" w:hAnsi="Times New Roman" w:eastAsia="宋体" w:cs="Times New Roman"/>
          <w:kern w:val="2"/>
          <w:sz w:val="24"/>
          <w:szCs w:val="24"/>
          <w:lang w:val="en-GB" w:eastAsia="zh-CN" w:bidi="ar-SA"/>
        </w:rPr>
        <w:t>%～</w:t>
      </w:r>
      <w:r>
        <w:rPr>
          <w:rFonts w:hint="default" w:ascii="Times New Roman" w:hAnsi="Times New Roman" w:eastAsia="宋体" w:cs="Times New Roman"/>
          <w:kern w:val="2"/>
          <w:sz w:val="24"/>
          <w:szCs w:val="24"/>
          <w:lang w:val="en-GB" w:eastAsia="zh-CN" w:bidi="ar-SA"/>
        </w:rPr>
        <w:t>80</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GB" w:eastAsia="zh-CN" w:bidi="ar-SA"/>
        </w:rPr>
        <w:t>，有效范围可达树高的10倍。同时绿色植物还可通过控制温度改善局部环境。树叶还可以直接吸收、过滤含有气味的气体和尘粒，从而减少空气中的气味。树木通过光合作用吸收空气中的二氧化碳、释放氧气，可使动物呼出的二氧化碳减少60</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GB" w:eastAsia="zh-CN" w:bidi="ar-SA"/>
        </w:rPr>
        <w:t>，改善空气质量。在场区及其周围种植高大树木，还能净化、澄清大气中的粉尘，据测定可减少35</w:t>
      </w:r>
      <w:r>
        <w:rPr>
          <w:rFonts w:hint="eastAsia" w:ascii="Times New Roman" w:hAnsi="Times New Roman" w:eastAsia="宋体" w:cs="Times New Roman"/>
          <w:kern w:val="2"/>
          <w:sz w:val="24"/>
          <w:szCs w:val="24"/>
          <w:lang w:val="en-GB" w:eastAsia="zh-CN" w:bidi="ar-SA"/>
        </w:rPr>
        <w:t>%～</w:t>
      </w:r>
      <w:r>
        <w:rPr>
          <w:rFonts w:hint="default" w:ascii="Times New Roman" w:hAnsi="Times New Roman" w:eastAsia="宋体" w:cs="Times New Roman"/>
          <w:kern w:val="2"/>
          <w:sz w:val="24"/>
          <w:szCs w:val="24"/>
          <w:lang w:val="en-GB" w:eastAsia="zh-CN" w:bidi="ar-SA"/>
        </w:rPr>
        <w:t>67</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GB" w:eastAsia="zh-CN" w:bidi="ar-SA"/>
        </w:rPr>
        <w:t>；与此同时，减少了空气中的微生物，细菌总数可减少22</w:t>
      </w:r>
      <w:r>
        <w:rPr>
          <w:rFonts w:hint="eastAsia" w:ascii="Times New Roman" w:hAnsi="Times New Roman" w:eastAsia="宋体" w:cs="Times New Roman"/>
          <w:kern w:val="2"/>
          <w:sz w:val="24"/>
          <w:szCs w:val="24"/>
          <w:lang w:val="en-GB" w:eastAsia="zh-CN" w:bidi="ar-SA"/>
        </w:rPr>
        <w:t>%～</w:t>
      </w:r>
      <w:r>
        <w:rPr>
          <w:rFonts w:hint="default" w:ascii="Times New Roman" w:hAnsi="Times New Roman" w:eastAsia="宋体" w:cs="Times New Roman"/>
          <w:kern w:val="2"/>
          <w:sz w:val="24"/>
          <w:szCs w:val="24"/>
          <w:lang w:val="en-GB" w:eastAsia="zh-CN" w:bidi="ar-SA"/>
        </w:rPr>
        <w:t>79</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GB" w:eastAsia="zh-CN" w:bidi="ar-SA"/>
        </w:rPr>
        <w:t>，甚至某些树木</w:t>
      </w:r>
      <w:r>
        <w:rPr>
          <w:rFonts w:hint="eastAsia" w:ascii="Times New Roman" w:hAnsi="Times New Roman" w:eastAsia="宋体" w:cs="Times New Roman"/>
          <w:kern w:val="2"/>
          <w:sz w:val="24"/>
          <w:szCs w:val="24"/>
          <w:lang w:val="en-GB" w:eastAsia="zh-CN" w:bidi="ar-SA"/>
        </w:rPr>
        <w:t>的</w:t>
      </w:r>
      <w:r>
        <w:rPr>
          <w:rFonts w:hint="default" w:ascii="Times New Roman" w:hAnsi="Times New Roman" w:eastAsia="宋体" w:cs="Times New Roman"/>
          <w:kern w:val="2"/>
          <w:sz w:val="24"/>
          <w:szCs w:val="24"/>
          <w:lang w:val="en-GB" w:eastAsia="zh-CN" w:bidi="ar-SA"/>
        </w:rPr>
        <w:t>花、叶能分泌杀菌物质，可杀死细菌、真菌等。</w:t>
      </w:r>
    </w:p>
    <w:p w14:paraId="29BC85F9">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构筑防护树木时需要考虑的因素有：</w:t>
      </w:r>
    </w:p>
    <w:p w14:paraId="14ECBE57">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GB" w:eastAsia="zh-CN" w:bidi="ar-SA"/>
        </w:rPr>
        <w:t>树木的种类、树木的栽植方法、位置、栽植密度、林带的大小和形状等。研究发现，树的高度、树叶的大小与处理效果成正比，四季常青的树木有利于一年四季的气味的控制；松树的除臭效果比山毛榉高4倍，比橡树高2倍。</w:t>
      </w:r>
    </w:p>
    <w:p w14:paraId="3E800770">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除此之外，有效绿化治理恶臭还应做到：</w:t>
      </w:r>
    </w:p>
    <w:p w14:paraId="516AD232">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在养殖场内及场界外加强绿化。植物能吸收氨、硫化氢等产生恶臭的气体，降低其在空气中的浓度，降低恶臭强度；植物还可以减少空气中的细菌。在养殖区、污水处理区及其他恶臭源四周种植能吸收恶臭气体的树种，还可种植散发香味的灌木。在</w:t>
      </w:r>
      <w:r>
        <w:rPr>
          <w:rFonts w:hint="eastAsia" w:ascii="Times New Roman" w:hAnsi="Times New Roman" w:eastAsia="宋体" w:cs="Times New Roman"/>
          <w:kern w:val="2"/>
          <w:sz w:val="24"/>
          <w:szCs w:val="24"/>
          <w:lang w:val="en-US" w:eastAsia="zh-CN" w:bidi="ar-SA"/>
        </w:rPr>
        <w:t>养殖场</w:t>
      </w:r>
      <w:r>
        <w:rPr>
          <w:rFonts w:hint="default" w:ascii="Times New Roman" w:hAnsi="Times New Roman" w:eastAsia="宋体" w:cs="Times New Roman"/>
          <w:kern w:val="2"/>
          <w:sz w:val="24"/>
          <w:szCs w:val="24"/>
          <w:lang w:val="en-GB" w:eastAsia="zh-CN" w:bidi="ar-SA"/>
        </w:rPr>
        <w:t>四周种植卫生防护林带，防护带应乔灌结合，针阔叶混交。高乔木在林带中间，矮乔木栽两侧，灌木栽种最外侧。为加强防护功能，可以适当密植，以阻</w:t>
      </w:r>
      <w:r>
        <w:rPr>
          <w:rFonts w:hint="eastAsia" w:ascii="Times New Roman" w:hAnsi="Times New Roman" w:eastAsia="宋体" w:cs="Times New Roman"/>
          <w:kern w:val="2"/>
          <w:sz w:val="24"/>
          <w:szCs w:val="24"/>
          <w:lang w:val="en-GB" w:eastAsia="zh-CN" w:bidi="ar-SA"/>
        </w:rPr>
        <w:t>挡</w:t>
      </w:r>
      <w:r>
        <w:rPr>
          <w:rFonts w:hint="default" w:ascii="Times New Roman" w:hAnsi="Times New Roman" w:eastAsia="宋体" w:cs="Times New Roman"/>
          <w:kern w:val="2"/>
          <w:sz w:val="24"/>
          <w:szCs w:val="24"/>
          <w:lang w:val="en-GB" w:eastAsia="zh-CN" w:bidi="ar-SA"/>
        </w:rPr>
        <w:t>气味扩散。</w:t>
      </w:r>
    </w:p>
    <w:p w14:paraId="02E04918">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绿化植物应具备以下几个特点：</w:t>
      </w:r>
    </w:p>
    <w:p w14:paraId="41F8C0BD">
      <w:pPr>
        <w:widowControl w:val="0"/>
        <w:spacing w:line="360" w:lineRule="auto"/>
        <w:ind w:firstLine="480" w:firstLineChars="200"/>
        <w:jc w:val="both"/>
        <w:rPr>
          <w:rFonts w:hint="default" w:ascii="Times New Roman" w:hAnsi="Times New Roman" w:eastAsia="宋体" w:cs="Times New Roman"/>
          <w:kern w:val="2"/>
          <w:sz w:val="24"/>
          <w:szCs w:val="24"/>
          <w:lang w:val="en-GB" w:eastAsia="zh-CN" w:bidi="ar-SA"/>
        </w:rPr>
      </w:pPr>
      <w:r>
        <w:rPr>
          <w:rFonts w:hint="default" w:ascii="Times New Roman" w:hAnsi="Times New Roman" w:eastAsia="宋体" w:cs="Times New Roman"/>
          <w:kern w:val="2"/>
          <w:sz w:val="24"/>
          <w:szCs w:val="24"/>
          <w:lang w:val="en-GB" w:eastAsia="zh-CN" w:bidi="ar-SA"/>
        </w:rPr>
        <w:t>抗污能力强，具有净化空气能力，适应能力强，具有良好的绿化美化效果，容易栽培管理，不妨碍环境卫生，尽量选用乡土树种植物，注意防止外来有害生物的侵入。</w:t>
      </w:r>
    </w:p>
    <w:p w14:paraId="5F40BF85">
      <w:pPr>
        <w:widowControl w:val="0"/>
        <w:spacing w:line="360" w:lineRule="auto"/>
        <w:ind w:firstLine="480" w:firstLineChars="200"/>
        <w:jc w:val="both"/>
        <w:rPr>
          <w:rFonts w:hint="default" w:ascii="Times New Roman" w:hAnsi="Times New Roman" w:eastAsia="宋体" w:cs="Times New Roman"/>
          <w:color w:val="auto"/>
          <w:kern w:val="2"/>
          <w:sz w:val="24"/>
          <w:szCs w:val="24"/>
          <w:lang w:val="en-GB" w:eastAsia="zh-CN" w:bidi="ar-SA"/>
        </w:rPr>
      </w:pPr>
      <w:r>
        <w:rPr>
          <w:rFonts w:hint="default" w:ascii="Times New Roman" w:hAnsi="Times New Roman" w:eastAsia="宋体" w:cs="Times New Roman"/>
          <w:color w:val="auto"/>
          <w:kern w:val="2"/>
          <w:sz w:val="24"/>
          <w:szCs w:val="24"/>
          <w:lang w:val="en-GB" w:eastAsia="zh-CN" w:bidi="ar-SA"/>
        </w:rPr>
        <w:t>采取以上措施后，</w:t>
      </w:r>
      <w:r>
        <w:rPr>
          <w:rFonts w:hint="eastAsia" w:ascii="Times New Roman" w:hAnsi="Times New Roman" w:eastAsia="宋体" w:cs="Times New Roman"/>
          <w:color w:val="auto"/>
          <w:kern w:val="2"/>
          <w:sz w:val="24"/>
          <w:szCs w:val="24"/>
          <w:lang w:val="en-US" w:eastAsia="zh-CN" w:bidi="ar-SA"/>
        </w:rPr>
        <w:t>养殖区</w:t>
      </w:r>
      <w:r>
        <w:rPr>
          <w:rFonts w:hint="default" w:ascii="Times New Roman" w:hAnsi="Times New Roman" w:eastAsia="宋体" w:cs="Times New Roman"/>
          <w:color w:val="auto"/>
          <w:kern w:val="2"/>
          <w:sz w:val="24"/>
          <w:szCs w:val="24"/>
          <w:lang w:val="en-GB" w:eastAsia="zh-CN" w:bidi="ar-SA"/>
        </w:rPr>
        <w:t>恶臭可得到</w:t>
      </w:r>
      <w:r>
        <w:rPr>
          <w:rFonts w:hint="eastAsia" w:ascii="Times New Roman" w:hAnsi="Times New Roman" w:eastAsia="宋体" w:cs="Times New Roman"/>
          <w:color w:val="auto"/>
          <w:kern w:val="2"/>
          <w:sz w:val="24"/>
          <w:szCs w:val="24"/>
          <w:lang w:val="en-GB" w:eastAsia="zh-CN" w:bidi="ar-SA"/>
        </w:rPr>
        <w:t>有效控制</w:t>
      </w:r>
      <w:r>
        <w:rPr>
          <w:rFonts w:hint="default" w:ascii="Times New Roman" w:hAnsi="Times New Roman" w:eastAsia="宋体" w:cs="Times New Roman"/>
          <w:color w:val="auto"/>
          <w:kern w:val="2"/>
          <w:sz w:val="24"/>
          <w:szCs w:val="24"/>
          <w:lang w:val="en-GB" w:eastAsia="zh-CN" w:bidi="ar-SA"/>
        </w:rPr>
        <w:t>，能够满足《畜禽养殖业污染物排放标准》（GB18596-2001）中的要求，恶臭因子H</w:t>
      </w:r>
      <w:r>
        <w:rPr>
          <w:rFonts w:hint="default" w:ascii="Times New Roman" w:hAnsi="Times New Roman" w:eastAsia="宋体" w:cs="Times New Roman"/>
          <w:color w:val="auto"/>
          <w:kern w:val="2"/>
          <w:sz w:val="24"/>
          <w:szCs w:val="24"/>
          <w:vertAlign w:val="subscript"/>
          <w:lang w:val="en-GB" w:eastAsia="zh-CN" w:bidi="ar-SA"/>
        </w:rPr>
        <w:t>2</w:t>
      </w:r>
      <w:r>
        <w:rPr>
          <w:rFonts w:hint="default" w:ascii="Times New Roman" w:hAnsi="Times New Roman" w:eastAsia="宋体" w:cs="Times New Roman"/>
          <w:color w:val="auto"/>
          <w:kern w:val="2"/>
          <w:sz w:val="24"/>
          <w:szCs w:val="24"/>
          <w:lang w:val="en-GB" w:eastAsia="zh-CN" w:bidi="ar-SA"/>
        </w:rPr>
        <w:t>S、NH</w:t>
      </w:r>
      <w:r>
        <w:rPr>
          <w:rFonts w:hint="default" w:ascii="Times New Roman" w:hAnsi="Times New Roman" w:eastAsia="宋体" w:cs="Times New Roman"/>
          <w:color w:val="auto"/>
          <w:kern w:val="2"/>
          <w:sz w:val="24"/>
          <w:szCs w:val="24"/>
          <w:vertAlign w:val="subscript"/>
          <w:lang w:val="en-GB" w:eastAsia="zh-CN" w:bidi="ar-SA"/>
        </w:rPr>
        <w:t>3</w:t>
      </w:r>
      <w:r>
        <w:rPr>
          <w:rFonts w:hint="default" w:ascii="Times New Roman" w:hAnsi="Times New Roman" w:eastAsia="宋体" w:cs="Times New Roman"/>
          <w:color w:val="auto"/>
          <w:kern w:val="2"/>
          <w:sz w:val="24"/>
          <w:szCs w:val="24"/>
          <w:lang w:val="en-GB" w:eastAsia="zh-CN" w:bidi="ar-SA"/>
        </w:rPr>
        <w:t>均符合《恶臭污染物排放标准》（GB14554-93）表1中新扩建的二级标准要求，无超标现象。</w:t>
      </w:r>
    </w:p>
    <w:p w14:paraId="59C65C08">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GB" w:eastAsia="zh-CN" w:bidi="ar-SA"/>
        </w:rPr>
        <w:t>（</w:t>
      </w:r>
      <w:r>
        <w:rPr>
          <w:rFonts w:hint="eastAsia"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kern w:val="2"/>
          <w:sz w:val="24"/>
          <w:szCs w:val="24"/>
          <w:lang w:val="en-GB" w:eastAsia="zh-CN" w:bidi="ar-SA"/>
        </w:rPr>
        <w:t>）</w:t>
      </w:r>
      <w:r>
        <w:rPr>
          <w:rFonts w:hint="eastAsia" w:ascii="Times New Roman" w:hAnsi="Times New Roman" w:eastAsia="宋体" w:cs="Times New Roman"/>
          <w:color w:val="auto"/>
          <w:kern w:val="2"/>
          <w:sz w:val="24"/>
          <w:szCs w:val="24"/>
          <w:lang w:val="en-US" w:eastAsia="zh-CN" w:bidi="ar-SA"/>
        </w:rPr>
        <w:t>养殖区饲料</w:t>
      </w:r>
      <w:r>
        <w:rPr>
          <w:rFonts w:hint="eastAsia" w:cs="Times New Roman"/>
          <w:color w:val="auto"/>
          <w:kern w:val="2"/>
          <w:sz w:val="24"/>
          <w:szCs w:val="24"/>
          <w:lang w:val="en-US" w:eastAsia="zh-CN" w:bidi="ar-SA"/>
        </w:rPr>
        <w:t>撒料</w:t>
      </w:r>
      <w:r>
        <w:rPr>
          <w:rFonts w:hint="eastAsia" w:ascii="Times New Roman" w:hAnsi="Times New Roman" w:eastAsia="宋体" w:cs="Times New Roman"/>
          <w:color w:val="auto"/>
          <w:kern w:val="2"/>
          <w:sz w:val="24"/>
          <w:szCs w:val="24"/>
          <w:lang w:val="en-US" w:eastAsia="zh-CN" w:bidi="ar-SA"/>
        </w:rPr>
        <w:t>粉尘分析</w:t>
      </w:r>
    </w:p>
    <w:p w14:paraId="0ED45261">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参考</w:t>
      </w:r>
      <w:r>
        <w:rPr>
          <w:rFonts w:hint="eastAsia" w:ascii="Times New Roman" w:hAnsi="Times New Roman" w:eastAsia="宋体" w:cs="Times New Roman"/>
          <w:color w:val="auto"/>
          <w:kern w:val="2"/>
          <w:sz w:val="24"/>
          <w:szCs w:val="24"/>
          <w:lang w:val="en-US" w:eastAsia="zh-CN" w:bidi="ar-SA"/>
        </w:rPr>
        <w:t>《排污许可证申请与核发技术规范农副食品加工工业—饲料加工、植物油加工工业》清理筛、风选机、破碎机、粉碎机、混合机、调质器、制粒机、碎粒机、分级筛、包装机颗粒物控制可行技术为旋风除尘；电除尘；袋式除尘；除尘组合工艺。</w:t>
      </w:r>
    </w:p>
    <w:p w14:paraId="3A438B83">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auto"/>
          <w:kern w:val="2"/>
          <w:sz w:val="24"/>
          <w:szCs w:val="24"/>
          <w:lang w:val="en-US" w:eastAsia="zh-CN" w:bidi="ar-SA"/>
        </w:rPr>
        <w:t>由于本项目采用移动式</w:t>
      </w:r>
      <w:r>
        <w:rPr>
          <w:rFonts w:hint="eastAsia" w:cs="Times New Roman"/>
          <w:color w:val="auto"/>
          <w:kern w:val="2"/>
          <w:sz w:val="24"/>
          <w:szCs w:val="24"/>
          <w:lang w:val="en-US" w:eastAsia="zh-CN" w:bidi="ar-SA"/>
        </w:rPr>
        <w:t>撒料机</w:t>
      </w: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撒料机</w:t>
      </w:r>
      <w:r>
        <w:rPr>
          <w:rFonts w:hint="eastAsia" w:ascii="Times New Roman" w:hAnsi="Times New Roman" w:eastAsia="宋体" w:cs="Times New Roman"/>
          <w:color w:val="auto"/>
          <w:kern w:val="2"/>
          <w:sz w:val="24"/>
          <w:szCs w:val="24"/>
          <w:lang w:val="en-US" w:eastAsia="zh-CN" w:bidi="ar-SA"/>
        </w:rPr>
        <w:t>在各</w:t>
      </w:r>
      <w:r>
        <w:rPr>
          <w:rFonts w:hint="eastAsia" w:cs="Times New Roman"/>
          <w:color w:val="auto"/>
          <w:kern w:val="2"/>
          <w:sz w:val="24"/>
          <w:szCs w:val="24"/>
          <w:lang w:val="en-US" w:eastAsia="zh-CN" w:bidi="ar-SA"/>
        </w:rPr>
        <w:t>牛舍、饲喂凉棚、牛圈</w:t>
      </w:r>
      <w:r>
        <w:rPr>
          <w:rFonts w:hint="eastAsia" w:ascii="Times New Roman" w:hAnsi="Times New Roman" w:eastAsia="宋体" w:cs="Times New Roman"/>
          <w:color w:val="auto"/>
          <w:kern w:val="2"/>
          <w:sz w:val="24"/>
          <w:szCs w:val="24"/>
          <w:lang w:val="en-US" w:eastAsia="zh-CN" w:bidi="ar-SA"/>
        </w:rPr>
        <w:t>之间流动</w:t>
      </w:r>
      <w:r>
        <w:rPr>
          <w:rFonts w:hint="eastAsia" w:cs="Times New Roman"/>
          <w:color w:val="auto"/>
          <w:kern w:val="2"/>
          <w:sz w:val="24"/>
          <w:szCs w:val="24"/>
          <w:lang w:val="en-US" w:eastAsia="zh-CN" w:bidi="ar-SA"/>
        </w:rPr>
        <w:t>撒料</w:t>
      </w:r>
      <w:r>
        <w:rPr>
          <w:rFonts w:hint="eastAsia" w:ascii="Times New Roman" w:hAnsi="Times New Roman" w:eastAsia="宋体" w:cs="Times New Roman"/>
          <w:color w:val="auto"/>
          <w:kern w:val="2"/>
          <w:sz w:val="24"/>
          <w:szCs w:val="24"/>
          <w:lang w:val="en-US" w:eastAsia="zh-CN" w:bidi="ar-SA"/>
        </w:rPr>
        <w:t>，同时本项目TMR搅拌箱为封闭式搅拌箱，同时根据饲料配比需求，采用饲料润湿搅拌工艺，添加</w:t>
      </w:r>
      <w:r>
        <w:rPr>
          <w:rFonts w:ascii="Times New Roman" w:hAnsi="Times New Roman" w:eastAsia="宋体" w:cs="宋体"/>
          <w:b w:val="0"/>
          <w:spacing w:val="0"/>
          <w:w w:val="100"/>
          <w:position w:val="0"/>
          <w:sz w:val="24"/>
          <w:szCs w:val="24"/>
        </w:rPr>
        <w:t>10</w:t>
      </w:r>
      <w:r>
        <w:rPr>
          <w:rFonts w:hint="eastAsia" w:ascii="Times New Roman" w:hAnsi="Times New Roman" w:eastAsia="宋体" w:cs="宋体"/>
          <w:b w:val="0"/>
          <w:spacing w:val="0"/>
          <w:w w:val="100"/>
          <w:position w:val="0"/>
          <w:sz w:val="24"/>
          <w:szCs w:val="24"/>
          <w:lang w:val="en-US" w:eastAsia="zh-CN"/>
        </w:rPr>
        <w:t>%～</w:t>
      </w:r>
      <w:r>
        <w:rPr>
          <w:rFonts w:ascii="Times New Roman" w:hAnsi="Times New Roman" w:eastAsia="宋体" w:cs="宋体"/>
          <w:b w:val="0"/>
          <w:spacing w:val="0"/>
          <w:w w:val="100"/>
          <w:position w:val="0"/>
          <w:sz w:val="24"/>
          <w:szCs w:val="24"/>
        </w:rPr>
        <w:t>20%水分，</w:t>
      </w:r>
      <w:r>
        <w:rPr>
          <w:rFonts w:hint="eastAsia" w:ascii="Times New Roman" w:hAnsi="Times New Roman" w:eastAsia="宋体" w:cs="宋体"/>
          <w:b w:val="0"/>
          <w:spacing w:val="0"/>
          <w:w w:val="100"/>
          <w:position w:val="0"/>
          <w:sz w:val="24"/>
          <w:szCs w:val="24"/>
          <w:lang w:val="en-US" w:eastAsia="zh-CN"/>
        </w:rPr>
        <w:t>使饲料表面充分润湿，因此本项目可不设置除尘设施，采用封闭式作业+润湿搅拌工艺控制后，根据环境空气</w:t>
      </w:r>
      <w:r>
        <w:rPr>
          <w:rFonts w:hint="eastAsia" w:ascii="Times New Roman" w:hAnsi="Times New Roman" w:eastAsia="宋体" w:cs="Times New Roman"/>
          <w:color w:val="000000"/>
          <w:kern w:val="0"/>
          <w:sz w:val="24"/>
          <w:szCs w:val="24"/>
          <w:lang w:val="en-US" w:eastAsia="zh-CN" w:bidi="ar"/>
        </w:rPr>
        <w:t>估算结果，</w:t>
      </w:r>
      <w:r>
        <w:rPr>
          <w:rFonts w:hint="eastAsia" w:ascii="Times New Roman" w:hAnsi="Times New Roman" w:eastAsia="宋体" w:cs="Times New Roman"/>
          <w:b w:val="0"/>
          <w:bCs w:val="0"/>
          <w:i w:val="0"/>
          <w:iCs w:val="0"/>
          <w:color w:val="000000"/>
          <w:kern w:val="0"/>
          <w:sz w:val="24"/>
          <w:szCs w:val="24"/>
          <w:highlight w:val="none"/>
          <w:lang w:val="en-US" w:eastAsia="zh-CN" w:bidi="ar"/>
        </w:rPr>
        <w:t>本项目厂界</w:t>
      </w:r>
      <w:r>
        <w:rPr>
          <w:rFonts w:hint="eastAsia" w:ascii="Times New Roman" w:hAnsi="Times New Roman" w:eastAsia="宋体" w:cs="Times New Roman"/>
          <w:color w:val="000000"/>
          <w:kern w:val="0"/>
          <w:sz w:val="24"/>
          <w:szCs w:val="24"/>
          <w:highlight w:val="none"/>
          <w:lang w:val="en-US" w:eastAsia="zh-CN" w:bidi="ar"/>
        </w:rPr>
        <w:t>逸散粉尘无组织</w:t>
      </w:r>
      <w:r>
        <w:rPr>
          <w:rFonts w:hint="eastAsia" w:ascii="Times New Roman" w:hAnsi="Times New Roman" w:eastAsia="宋体" w:cs="Times New Roman"/>
          <w:color w:val="000000"/>
          <w:kern w:val="0"/>
          <w:sz w:val="24"/>
          <w:szCs w:val="24"/>
          <w:lang w:val="en-US" w:eastAsia="zh-CN" w:bidi="ar"/>
        </w:rPr>
        <w:t>满足《大气污染物综合排放标准》（GB16297-1996）限值要求，因此无组织控制措施可行。</w:t>
      </w:r>
    </w:p>
    <w:p w14:paraId="2790BD45">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GB" w:eastAsia="zh-CN" w:bidi="ar-SA"/>
        </w:rPr>
        <w:t>（</w:t>
      </w:r>
      <w:r>
        <w:rPr>
          <w:rFonts w:hint="eastAsia"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kern w:val="2"/>
          <w:sz w:val="24"/>
          <w:szCs w:val="24"/>
          <w:lang w:val="en-GB" w:eastAsia="zh-CN" w:bidi="ar-SA"/>
        </w:rPr>
        <w:t>）</w:t>
      </w:r>
      <w:r>
        <w:rPr>
          <w:rFonts w:hint="eastAsia" w:ascii="Times New Roman" w:hAnsi="Times New Roman" w:eastAsia="宋体" w:cs="Times New Roman"/>
          <w:color w:val="auto"/>
          <w:kern w:val="2"/>
          <w:sz w:val="24"/>
          <w:szCs w:val="24"/>
          <w:lang w:val="en-US" w:eastAsia="zh-CN" w:bidi="ar-SA"/>
        </w:rPr>
        <w:t>饲料加工</w:t>
      </w:r>
      <w:r>
        <w:rPr>
          <w:rFonts w:hint="eastAsia" w:cs="Times New Roman"/>
          <w:color w:val="auto"/>
          <w:kern w:val="2"/>
          <w:sz w:val="24"/>
          <w:szCs w:val="24"/>
          <w:lang w:val="en-US" w:eastAsia="zh-CN" w:bidi="ar-SA"/>
        </w:rPr>
        <w:t>区</w:t>
      </w:r>
      <w:r>
        <w:rPr>
          <w:rFonts w:hint="eastAsia" w:ascii="Times New Roman" w:hAnsi="Times New Roman" w:eastAsia="宋体" w:cs="Times New Roman"/>
          <w:color w:val="auto"/>
          <w:kern w:val="2"/>
          <w:sz w:val="24"/>
          <w:szCs w:val="24"/>
          <w:lang w:val="en-US" w:eastAsia="zh-CN" w:bidi="ar-SA"/>
        </w:rPr>
        <w:t>饲料粉碎</w:t>
      </w:r>
      <w:r>
        <w:rPr>
          <w:rFonts w:hint="eastAsia" w:cs="Times New Roman"/>
          <w:color w:val="auto"/>
          <w:kern w:val="2"/>
          <w:sz w:val="24"/>
          <w:szCs w:val="24"/>
          <w:lang w:val="en-US" w:eastAsia="zh-CN" w:bidi="ar-SA"/>
        </w:rPr>
        <w:t>、搅拌</w:t>
      </w:r>
      <w:r>
        <w:rPr>
          <w:rFonts w:hint="eastAsia" w:ascii="Times New Roman" w:hAnsi="Times New Roman" w:eastAsia="宋体" w:cs="Times New Roman"/>
          <w:color w:val="auto"/>
          <w:kern w:val="2"/>
          <w:sz w:val="24"/>
          <w:szCs w:val="24"/>
          <w:lang w:val="en-US" w:eastAsia="zh-CN" w:bidi="ar-SA"/>
        </w:rPr>
        <w:t>粉尘分析</w:t>
      </w:r>
    </w:p>
    <w:p w14:paraId="06D758D2">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饲料加工过程中会产生粉尘，根据《排污许可证申请与核发技术规范农副食品加工工业—饲料加工、植物油加工工业》清理筛、风选机、破碎机、粉碎机、混合机、调质器、制粒机、碎粒机、分级筛、包装机颗粒物控制可行技术为旋风除尘；电除尘；袋式除尘；除尘组合工艺。</w:t>
      </w:r>
    </w:p>
    <w:p w14:paraId="26259531">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宋体"/>
          <w:b w:val="0"/>
          <w:spacing w:val="0"/>
          <w:w w:val="100"/>
          <w:position w:val="0"/>
          <w:sz w:val="24"/>
          <w:szCs w:val="24"/>
          <w:lang w:val="en-US" w:eastAsia="zh-CN"/>
        </w:rPr>
        <w:t>本项目饲料粉碎机</w:t>
      </w:r>
      <w:r>
        <w:rPr>
          <w:rFonts w:hint="eastAsia" w:cs="宋体"/>
          <w:b w:val="0"/>
          <w:spacing w:val="0"/>
          <w:w w:val="100"/>
          <w:position w:val="0"/>
          <w:sz w:val="24"/>
          <w:szCs w:val="24"/>
          <w:lang w:val="en-US" w:eastAsia="zh-CN"/>
        </w:rPr>
        <w:t>、固定式TMR</w:t>
      </w:r>
      <w:r>
        <w:rPr>
          <w:rFonts w:hint="eastAsia" w:ascii="Times New Roman" w:hAnsi="Times New Roman" w:eastAsia="宋体" w:cs="宋体"/>
          <w:b w:val="0"/>
          <w:spacing w:val="0"/>
          <w:w w:val="100"/>
          <w:position w:val="0"/>
          <w:sz w:val="24"/>
          <w:szCs w:val="24"/>
          <w:lang w:val="en-US" w:eastAsia="zh-CN"/>
        </w:rPr>
        <w:t>末端设置袋式除尘，</w:t>
      </w:r>
      <w:r>
        <w:rPr>
          <w:rFonts w:hint="eastAsia" w:ascii="Times New Roman" w:hAnsi="Times New Roman" w:eastAsia="宋体" w:cs="Times New Roman"/>
          <w:color w:val="000000"/>
          <w:kern w:val="0"/>
          <w:sz w:val="24"/>
          <w:szCs w:val="24"/>
          <w:lang w:val="en-US" w:eastAsia="zh-CN" w:bidi="ar"/>
        </w:rPr>
        <w:t>满足《大气污染物综合排放标准》（GB16297-1996）限值要求，因此无组织控制措施可行。</w:t>
      </w:r>
    </w:p>
    <w:p w14:paraId="54FB9222">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 xml:space="preserve">（4）堆肥颗粒物、恶臭污染物无组织污染防治措施 </w:t>
      </w:r>
    </w:p>
    <w:p w14:paraId="6B1F19A7">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宋体"/>
          <w:color w:val="auto"/>
          <w:kern w:val="0"/>
          <w:sz w:val="24"/>
          <w:szCs w:val="22"/>
          <w:lang w:val="en-US" w:eastAsia="zh-CN"/>
        </w:rPr>
      </w:pPr>
      <w:r>
        <w:rPr>
          <w:rFonts w:hint="eastAsia" w:cs="宋体"/>
          <w:color w:val="auto"/>
          <w:kern w:val="0"/>
          <w:sz w:val="24"/>
          <w:szCs w:val="22"/>
          <w:lang w:val="en-US" w:eastAsia="zh-CN"/>
        </w:rPr>
        <w:t>还田期，</w:t>
      </w:r>
      <w:r>
        <w:rPr>
          <w:rFonts w:hint="eastAsia" w:ascii="Times New Roman" w:hAnsi="Times New Roman" w:eastAsia="宋体" w:cs="宋体"/>
          <w:color w:val="auto"/>
          <w:kern w:val="0"/>
          <w:sz w:val="24"/>
          <w:szCs w:val="22"/>
          <w:lang w:val="en-US" w:eastAsia="zh-CN"/>
        </w:rPr>
        <w:t>本项目牛粪每日清运不进行储存，直接进行翻抛，生产环节保持封闭式作业，在卸料、翻抛以及发酵工段收集后由一套袋式除尘+生物除臭（滴滤法）处理，少量无组织粉尘通过加强封闭式作业进行控制，厂界颗粒物满足</w:t>
      </w:r>
      <w:r>
        <w:rPr>
          <w:rFonts w:hint="default" w:ascii="Times New Roman" w:hAnsi="Times New Roman" w:eastAsia="宋体" w:cs="Times New Roman"/>
          <w:snapToGrid w:val="0"/>
          <w:color w:val="000000"/>
          <w:kern w:val="0"/>
          <w:sz w:val="24"/>
          <w:szCs w:val="24"/>
          <w:highlight w:val="none"/>
          <w:lang w:val="en-US" w:eastAsia="zh-CN" w:bidi="ar-SA"/>
        </w:rPr>
        <w:t>《大气污染物综合排放标准》（GB16297-1996）</w:t>
      </w:r>
      <w:r>
        <w:rPr>
          <w:rFonts w:hint="default" w:ascii="Times New Roman" w:hAnsi="Times New Roman" w:eastAsia="宋体" w:cs="Times New Roman"/>
          <w:color w:val="auto"/>
          <w:kern w:val="0"/>
          <w:sz w:val="24"/>
          <w:szCs w:val="24"/>
        </w:rPr>
        <w:t>表2 新污染源大气污染物排放限值</w:t>
      </w: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恶臭污染物氨、硫化氢满足《恶臭污染物排放标准》（GB14554-93）表1 恶臭污染物厂界标准值中二级标准限值，臭气浓度满足《畜禽养殖业污染物排放标准》（GB18596-2001）表 7 集约化畜禽养殖业恶臭污染物排放标准</w:t>
      </w:r>
      <w:r>
        <w:rPr>
          <w:rFonts w:hint="eastAsia" w:ascii="Times New Roman" w:hAnsi="Times New Roman" w:eastAsia="宋体" w:cs="宋体"/>
          <w:color w:val="auto"/>
          <w:kern w:val="0"/>
          <w:sz w:val="24"/>
          <w:szCs w:val="22"/>
          <w:lang w:val="en-US" w:eastAsia="zh-CN"/>
        </w:rPr>
        <w:t xml:space="preserve">。 </w:t>
      </w:r>
    </w:p>
    <w:p w14:paraId="5AE938CE">
      <w:pPr>
        <w:numPr>
          <w:ilvl w:val="0"/>
          <w:numId w:val="0"/>
        </w:numPr>
        <w:overflowPunct w:val="0"/>
        <w:autoSpaceDE w:val="0"/>
        <w:autoSpaceDN w:val="0"/>
        <w:bidi w:val="0"/>
        <w:adjustRightInd w:val="0"/>
        <w:snapToGrid w:val="0"/>
        <w:spacing w:before="0" w:after="0" w:line="360" w:lineRule="auto"/>
        <w:ind w:leftChars="200" w:right="0" w:rightChars="0"/>
        <w:jc w:val="both"/>
        <w:rPr>
          <w:rFonts w:hint="eastAsia"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（5）还田区恶臭无组织污染防治措施</w:t>
      </w:r>
    </w:p>
    <w:p w14:paraId="57F2E2C9">
      <w:pPr>
        <w:numPr>
          <w:ilvl w:val="0"/>
          <w:numId w:val="0"/>
        </w:numPr>
        <w:spacing w:line="360" w:lineRule="auto"/>
        <w:ind w:left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①还田限量</w:t>
      </w:r>
    </w:p>
    <w:p w14:paraId="02367850">
      <w:pPr>
        <w:numPr>
          <w:ilvl w:val="0"/>
          <w:numId w:val="0"/>
        </w:num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以生产需要为基础，以地定产、以产定肥。根据土壤肥力，确定作物预期产量（能达到的目标产量），计算作物单位产量的养分吸收量。结合畜禽粪便中营养元素的含量、作物当年或当季的利用率，计算基施或追施应投加的畜禽粪便的量，避免过度施肥。</w:t>
      </w:r>
    </w:p>
    <w:p w14:paraId="39EC4985">
      <w:pPr>
        <w:numPr>
          <w:ilvl w:val="0"/>
          <w:numId w:val="0"/>
        </w:numPr>
        <w:spacing w:line="360" w:lineRule="auto"/>
        <w:ind w:firstLine="480" w:firstLineChars="20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②土地轮作</w:t>
      </w:r>
    </w:p>
    <w:p w14:paraId="57941AB1">
      <w:pPr>
        <w:numPr>
          <w:ilvl w:val="0"/>
          <w:numId w:val="0"/>
        </w:num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经无害化处理后进行还田综合利用的，粪肥用量不能超过作物当年生长所需的养分量。在确定粪肥的最佳施用量时，应对土壤肥力和粪肥肥效进行测试评价，并符合当地环境容量的要求。同时应有一倍以上的土地用于轮作施肥，不得长期施肥于同一土地。</w:t>
      </w:r>
    </w:p>
    <w:p w14:paraId="3AD7E08D">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宋体"/>
          <w:color w:val="auto"/>
          <w:kern w:val="0"/>
          <w:sz w:val="24"/>
          <w:szCs w:val="22"/>
          <w:lang w:val="en-US" w:eastAsia="zh-CN"/>
        </w:rPr>
      </w:pPr>
      <w:r>
        <w:rPr>
          <w:rFonts w:hint="eastAsia" w:ascii="Times New Roman" w:hAnsi="Times New Roman" w:eastAsia="宋体" w:cs="宋体"/>
          <w:color w:val="auto"/>
          <w:kern w:val="0"/>
          <w:sz w:val="24"/>
          <w:szCs w:val="22"/>
          <w:lang w:val="en-US" w:eastAsia="zh-CN"/>
        </w:rPr>
        <w:t>（4）</w:t>
      </w:r>
      <w:r>
        <w:rPr>
          <w:rFonts w:hint="eastAsia" w:ascii="Times New Roman" w:hAnsi="Times New Roman" w:cs="宋体"/>
          <w:color w:val="auto"/>
          <w:kern w:val="0"/>
          <w:sz w:val="24"/>
          <w:szCs w:val="22"/>
          <w:lang w:val="en-US" w:eastAsia="zh-CN"/>
        </w:rPr>
        <w:t>堆肥区</w:t>
      </w:r>
      <w:r>
        <w:rPr>
          <w:rFonts w:hint="default" w:ascii="Times New Roman" w:hAnsi="Times New Roman" w:eastAsia="宋体" w:cs="Times New Roman"/>
          <w:color w:val="auto"/>
          <w:kern w:val="0"/>
          <w:sz w:val="24"/>
          <w:szCs w:val="22"/>
          <w:lang w:val="en-US" w:eastAsia="zh-CN"/>
        </w:rPr>
        <w:t>堆场</w:t>
      </w:r>
      <w:r>
        <w:rPr>
          <w:rFonts w:hint="eastAsia" w:ascii="Times New Roman" w:hAnsi="Times New Roman" w:eastAsia="宋体" w:cs="Times New Roman"/>
          <w:color w:val="auto"/>
          <w:kern w:val="0"/>
          <w:sz w:val="24"/>
          <w:szCs w:val="22"/>
          <w:lang w:val="en-US" w:eastAsia="zh-CN"/>
        </w:rPr>
        <w:t>分析</w:t>
      </w:r>
    </w:p>
    <w:p w14:paraId="6AC7DD55">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宋体"/>
          <w:color w:val="000000"/>
          <w:kern w:val="0"/>
          <w:sz w:val="24"/>
          <w:szCs w:val="24"/>
          <w:highlight w:val="none"/>
          <w:lang w:val="en-US" w:eastAsia="zh-CN" w:bidi="ar"/>
        </w:rPr>
      </w:pPr>
      <w:r>
        <w:rPr>
          <w:rFonts w:hint="eastAsia" w:ascii="Times New Roman" w:hAnsi="Times New Roman" w:eastAsia="宋体" w:cs="宋体"/>
          <w:color w:val="auto"/>
          <w:kern w:val="0"/>
          <w:sz w:val="24"/>
          <w:szCs w:val="22"/>
          <w:lang w:val="en-US" w:eastAsia="zh-CN"/>
        </w:rPr>
        <w:t>《工业料堆场扬尘整治规范》（DB 65/T 4061-2017）根据</w:t>
      </w:r>
      <w:r>
        <w:rPr>
          <w:rFonts w:hint="default" w:ascii="Times New Roman" w:hAnsi="Times New Roman" w:eastAsia="宋体" w:cs="Times New Roman"/>
          <w:color w:val="auto"/>
          <w:kern w:val="0"/>
          <w:sz w:val="24"/>
          <w:szCs w:val="22"/>
          <w:lang w:val="en-US" w:eastAsia="zh-CN"/>
        </w:rPr>
        <w:t>工业料堆场所在地环境敏感程度、堆场规模、当地年平均风速、物料粒度将工业料堆场划分为Ⅰ、Ⅱ和Ⅲ三个类型</w:t>
      </w:r>
      <w:r>
        <w:rPr>
          <w:rFonts w:hint="eastAsia" w:ascii="Times New Roman" w:hAnsi="Times New Roman" w:eastAsia="宋体" w:cs="Times New Roman"/>
          <w:color w:val="auto"/>
          <w:kern w:val="0"/>
          <w:sz w:val="24"/>
          <w:szCs w:val="22"/>
          <w:lang w:val="en-US" w:eastAsia="zh-CN"/>
        </w:rPr>
        <w:t>，本项目位于一般控制区，</w:t>
      </w:r>
      <w:r>
        <w:rPr>
          <w:rFonts w:hint="eastAsia" w:ascii="Times New Roman" w:hAnsi="Times New Roman" w:cs="Times New Roman"/>
          <w:color w:val="auto"/>
          <w:kern w:val="0"/>
          <w:sz w:val="24"/>
          <w:szCs w:val="22"/>
          <w:lang w:val="en-US" w:eastAsia="zh-CN"/>
        </w:rPr>
        <w:t>堆肥区</w:t>
      </w:r>
      <w:r>
        <w:rPr>
          <w:rFonts w:hint="eastAsia" w:ascii="Times New Roman" w:hAnsi="Times New Roman" w:cs="Times New Roman"/>
          <w:color w:val="auto"/>
          <w:kern w:val="0"/>
          <w:sz w:val="24"/>
          <w:szCs w:val="22"/>
          <w:highlight w:val="none"/>
          <w:lang w:val="en-US" w:eastAsia="zh-CN"/>
        </w:rPr>
        <w:t>占地面积</w:t>
      </w:r>
      <w:r>
        <w:rPr>
          <w:rFonts w:hint="eastAsia" w:cs="Times New Roman"/>
          <w:color w:val="auto"/>
          <w:kern w:val="0"/>
          <w:sz w:val="24"/>
          <w:szCs w:val="22"/>
          <w:highlight w:val="none"/>
          <w:lang w:val="en-US" w:eastAsia="zh-CN"/>
        </w:rPr>
        <w:t>32</w:t>
      </w:r>
      <w:r>
        <w:rPr>
          <w:rFonts w:hint="eastAsia" w:ascii="Times New Roman" w:hAnsi="Times New Roman" w:cs="Times New Roman"/>
          <w:color w:val="auto"/>
          <w:kern w:val="0"/>
          <w:sz w:val="24"/>
          <w:szCs w:val="22"/>
          <w:highlight w:val="none"/>
          <w:lang w:val="en-US" w:eastAsia="zh-CN"/>
        </w:rPr>
        <w:t>00</w:t>
      </w:r>
      <w:r>
        <w:rPr>
          <w:rFonts w:hint="eastAsia" w:ascii="Times New Roman" w:hAnsi="Times New Roman" w:eastAsia="宋体" w:cs="Times New Roman"/>
          <w:color w:val="auto"/>
          <w:kern w:val="0"/>
          <w:sz w:val="24"/>
          <w:szCs w:val="22"/>
          <w:highlight w:val="none"/>
          <w:lang w:val="en-US" w:eastAsia="zh-CN"/>
        </w:rPr>
        <w:t>m</w:t>
      </w:r>
      <w:r>
        <w:rPr>
          <w:rFonts w:hint="eastAsia" w:ascii="Times New Roman" w:hAnsi="Times New Roman" w:eastAsia="宋体" w:cs="Times New Roman"/>
          <w:color w:val="auto"/>
          <w:kern w:val="0"/>
          <w:sz w:val="24"/>
          <w:szCs w:val="22"/>
          <w:highlight w:val="none"/>
          <w:vertAlign w:val="superscript"/>
          <w:lang w:val="en-US" w:eastAsia="zh-CN"/>
        </w:rPr>
        <w:t>2</w:t>
      </w:r>
      <w:r>
        <w:rPr>
          <w:rFonts w:hint="eastAsia" w:ascii="Times New Roman" w:hAnsi="Times New Roman" w:eastAsia="宋体" w:cs="Times New Roman"/>
          <w:color w:val="auto"/>
          <w:kern w:val="0"/>
          <w:sz w:val="24"/>
          <w:szCs w:val="22"/>
          <w:highlight w:val="none"/>
          <w:vertAlign w:val="baseline"/>
          <w:lang w:val="en-US" w:eastAsia="zh-CN"/>
        </w:rPr>
        <w:t>，</w:t>
      </w:r>
      <w:r>
        <w:rPr>
          <w:rFonts w:hint="eastAsia" w:ascii="Times New Roman" w:hAnsi="Times New Roman" w:eastAsia="宋体" w:cs="Times New Roman"/>
          <w:color w:val="auto"/>
          <w:kern w:val="0"/>
          <w:sz w:val="24"/>
          <w:szCs w:val="22"/>
          <w:highlight w:val="none"/>
          <w:lang w:val="en-US" w:eastAsia="zh-CN"/>
        </w:rPr>
        <w:t>成品堆放区面积</w:t>
      </w:r>
      <w:r>
        <w:rPr>
          <w:rFonts w:hint="eastAsia" w:ascii="Times New Roman" w:hAnsi="Times New Roman" w:cs="Times New Roman"/>
          <w:color w:val="auto"/>
          <w:kern w:val="0"/>
          <w:sz w:val="24"/>
          <w:szCs w:val="22"/>
          <w:highlight w:val="none"/>
          <w:lang w:val="en-US" w:eastAsia="zh-CN"/>
        </w:rPr>
        <w:t>200</w:t>
      </w:r>
      <w:r>
        <w:rPr>
          <w:rFonts w:hint="eastAsia" w:ascii="Times New Roman" w:hAnsi="Times New Roman" w:eastAsia="宋体" w:cs="Times New Roman"/>
          <w:color w:val="auto"/>
          <w:kern w:val="0"/>
          <w:sz w:val="24"/>
          <w:szCs w:val="22"/>
          <w:highlight w:val="none"/>
          <w:lang w:val="en-US" w:eastAsia="zh-CN"/>
        </w:rPr>
        <w:t>m</w:t>
      </w:r>
      <w:r>
        <w:rPr>
          <w:rFonts w:hint="eastAsia" w:ascii="Times New Roman" w:hAnsi="Times New Roman" w:eastAsia="宋体" w:cs="Times New Roman"/>
          <w:color w:val="auto"/>
          <w:kern w:val="0"/>
          <w:sz w:val="24"/>
          <w:szCs w:val="22"/>
          <w:highlight w:val="none"/>
          <w:vertAlign w:val="superscript"/>
          <w:lang w:val="en-US" w:eastAsia="zh-CN"/>
        </w:rPr>
        <w:t>2</w:t>
      </w:r>
      <w:r>
        <w:rPr>
          <w:rFonts w:hint="eastAsia" w:ascii="Times New Roman" w:hAnsi="Times New Roman" w:eastAsia="宋体" w:cs="Times New Roman"/>
          <w:color w:val="auto"/>
          <w:kern w:val="0"/>
          <w:sz w:val="24"/>
          <w:szCs w:val="22"/>
          <w:highlight w:val="none"/>
          <w:lang w:val="en-US" w:eastAsia="zh-CN"/>
        </w:rPr>
        <w:t>，</w:t>
      </w:r>
      <w:r>
        <w:rPr>
          <w:rFonts w:hint="eastAsia" w:cs="Times New Roman"/>
          <w:color w:val="auto"/>
          <w:kern w:val="0"/>
          <w:sz w:val="24"/>
          <w:szCs w:val="22"/>
          <w:vertAlign w:val="baseline"/>
          <w:lang w:val="en-US" w:eastAsia="zh-CN"/>
        </w:rPr>
        <w:t>一般工业固废分类</w:t>
      </w:r>
      <w:r>
        <w:rPr>
          <w:rFonts w:hint="eastAsia" w:ascii="Times New Roman" w:hAnsi="Times New Roman" w:eastAsia="宋体" w:cs="Times New Roman"/>
          <w:color w:val="auto"/>
          <w:kern w:val="0"/>
          <w:sz w:val="24"/>
          <w:szCs w:val="22"/>
          <w:vertAlign w:val="baseline"/>
          <w:lang w:val="en-US" w:eastAsia="zh-CN"/>
        </w:rPr>
        <w:t>暂存于</w:t>
      </w:r>
      <w:r>
        <w:rPr>
          <w:rFonts w:hint="eastAsia" w:cs="Times New Roman"/>
          <w:color w:val="auto"/>
          <w:kern w:val="0"/>
          <w:sz w:val="24"/>
          <w:szCs w:val="22"/>
          <w:vertAlign w:val="baseline"/>
          <w:lang w:val="en-US" w:eastAsia="zh-CN"/>
        </w:rPr>
        <w:t>库房、堆肥间</w:t>
      </w:r>
      <w:r>
        <w:rPr>
          <w:rFonts w:hint="eastAsia" w:ascii="Times New Roman" w:hAnsi="Times New Roman" w:eastAsia="宋体" w:cs="Times New Roman"/>
          <w:color w:val="auto"/>
          <w:kern w:val="0"/>
          <w:sz w:val="24"/>
          <w:szCs w:val="22"/>
          <w:vertAlign w:val="baseline"/>
          <w:lang w:val="en-US" w:eastAsia="zh-CN"/>
        </w:rPr>
        <w:t>内，存放面积</w:t>
      </w:r>
      <w:r>
        <w:rPr>
          <w:rFonts w:hint="eastAsia" w:cs="Times New Roman"/>
          <w:color w:val="auto"/>
          <w:kern w:val="0"/>
          <w:sz w:val="24"/>
          <w:szCs w:val="22"/>
          <w:vertAlign w:val="baseline"/>
          <w:lang w:val="en-US" w:eastAsia="zh-CN"/>
        </w:rPr>
        <w:t>分别为50</w:t>
      </w:r>
      <w:r>
        <w:rPr>
          <w:rFonts w:hint="eastAsia" w:ascii="Times New Roman" w:hAnsi="Times New Roman" w:eastAsia="宋体" w:cs="Times New Roman"/>
          <w:color w:val="auto"/>
          <w:kern w:val="0"/>
          <w:sz w:val="24"/>
          <w:szCs w:val="22"/>
          <w:vertAlign w:val="baseline"/>
          <w:lang w:val="en-US" w:eastAsia="zh-CN"/>
        </w:rPr>
        <w:t>m</w:t>
      </w:r>
      <w:r>
        <w:rPr>
          <w:rFonts w:hint="eastAsia" w:ascii="Times New Roman" w:hAnsi="Times New Roman" w:eastAsia="宋体" w:cs="Times New Roman"/>
          <w:color w:val="auto"/>
          <w:kern w:val="0"/>
          <w:sz w:val="24"/>
          <w:szCs w:val="22"/>
          <w:vertAlign w:val="superscript"/>
          <w:lang w:val="en-US" w:eastAsia="zh-CN"/>
        </w:rPr>
        <w:t>2</w:t>
      </w:r>
      <w:r>
        <w:rPr>
          <w:rFonts w:hint="eastAsia" w:cs="Times New Roman"/>
          <w:color w:val="auto"/>
          <w:kern w:val="0"/>
          <w:sz w:val="24"/>
          <w:szCs w:val="22"/>
          <w:vertAlign w:val="baseline"/>
          <w:lang w:val="en-US" w:eastAsia="zh-CN"/>
        </w:rPr>
        <w:t>、20</w:t>
      </w:r>
      <w:r>
        <w:rPr>
          <w:rFonts w:hint="eastAsia" w:ascii="Times New Roman" w:hAnsi="Times New Roman" w:eastAsia="宋体" w:cs="Times New Roman"/>
          <w:color w:val="auto"/>
          <w:kern w:val="0"/>
          <w:sz w:val="24"/>
          <w:szCs w:val="22"/>
          <w:vertAlign w:val="baseline"/>
          <w:lang w:val="en-US" w:eastAsia="zh-CN"/>
        </w:rPr>
        <w:t>m</w:t>
      </w:r>
      <w:r>
        <w:rPr>
          <w:rFonts w:hint="eastAsia" w:ascii="Times New Roman" w:hAnsi="Times New Roman" w:eastAsia="宋体" w:cs="Times New Roman"/>
          <w:color w:val="auto"/>
          <w:kern w:val="0"/>
          <w:sz w:val="24"/>
          <w:szCs w:val="22"/>
          <w:vertAlign w:val="superscript"/>
          <w:lang w:val="en-US" w:eastAsia="zh-CN"/>
        </w:rPr>
        <w:t>2</w:t>
      </w:r>
      <w:r>
        <w:rPr>
          <w:rFonts w:hint="eastAsia" w:ascii="Times New Roman" w:hAnsi="Times New Roman" w:eastAsia="宋体" w:cs="Times New Roman"/>
          <w:color w:val="auto"/>
          <w:kern w:val="0"/>
          <w:sz w:val="24"/>
          <w:szCs w:val="22"/>
          <w:vertAlign w:val="baseline"/>
          <w:lang w:val="en-US" w:eastAsia="zh-CN"/>
        </w:rPr>
        <w:t>，年平均风速为</w:t>
      </w:r>
      <w:r>
        <w:rPr>
          <w:rFonts w:hint="eastAsia" w:ascii="Times New Roman" w:hAnsi="Times New Roman" w:cs="Times New Roman"/>
          <w:color w:val="auto"/>
          <w:kern w:val="0"/>
          <w:sz w:val="24"/>
          <w:szCs w:val="22"/>
          <w:vertAlign w:val="baseline"/>
          <w:lang w:val="en-US" w:eastAsia="zh-CN"/>
        </w:rPr>
        <w:t>3.2</w:t>
      </w:r>
      <w:r>
        <w:rPr>
          <w:rFonts w:hint="eastAsia" w:ascii="Times New Roman" w:hAnsi="Times New Roman" w:eastAsia="宋体" w:cs="Times New Roman"/>
          <w:color w:val="auto"/>
          <w:kern w:val="0"/>
          <w:sz w:val="24"/>
          <w:szCs w:val="22"/>
          <w:vertAlign w:val="baseline"/>
          <w:lang w:val="en-US" w:eastAsia="zh-CN"/>
        </w:rPr>
        <w:t>m/s，因此本项目堆场为</w:t>
      </w:r>
      <w:r>
        <w:rPr>
          <w:rFonts w:hint="default" w:ascii="Times New Roman" w:hAnsi="Times New Roman" w:eastAsia="宋体" w:cs="Times New Roman"/>
          <w:color w:val="auto"/>
          <w:kern w:val="0"/>
          <w:sz w:val="24"/>
          <w:szCs w:val="22"/>
          <w:lang w:val="en-US" w:eastAsia="zh-CN"/>
        </w:rPr>
        <w:t>Ⅱ工业料堆场。根据《工业料堆场扬尘整治规范》（DB 65/T 4061-2017）对于Ⅱ类料堆场</w:t>
      </w:r>
      <w:r>
        <w:rPr>
          <w:rFonts w:hint="eastAsia" w:ascii="Times New Roman" w:hAnsi="Times New Roman" w:eastAsia="宋体" w:cs="宋体"/>
          <w:color w:val="auto"/>
          <w:kern w:val="0"/>
          <w:sz w:val="24"/>
          <w:szCs w:val="22"/>
          <w:lang w:val="en-US" w:eastAsia="zh-CN"/>
        </w:rPr>
        <w:t>，可用</w:t>
      </w:r>
      <w:r>
        <w:rPr>
          <w:rFonts w:hint="default" w:ascii="Times New Roman" w:hAnsi="Times New Roman" w:eastAsia="宋体" w:cs="Times New Roman"/>
          <w:color w:val="auto"/>
          <w:kern w:val="0"/>
          <w:sz w:val="24"/>
          <w:szCs w:val="22"/>
          <w:lang w:val="en-US" w:eastAsia="zh-CN"/>
        </w:rPr>
        <w:t>Ⅰ</w:t>
      </w:r>
      <w:r>
        <w:rPr>
          <w:rFonts w:hint="eastAsia" w:ascii="Times New Roman" w:hAnsi="Times New Roman" w:eastAsia="宋体" w:cs="宋体"/>
          <w:color w:val="auto"/>
          <w:kern w:val="0"/>
          <w:sz w:val="24"/>
          <w:szCs w:val="22"/>
          <w:lang w:val="en-US" w:eastAsia="zh-CN"/>
        </w:rPr>
        <w:t>类料堆场防治方案、半封闭仓库、防风抑尘网（墙）。本项目成品肥</w:t>
      </w:r>
      <w:r>
        <w:rPr>
          <w:rFonts w:hint="eastAsia" w:cs="宋体"/>
          <w:color w:val="auto"/>
          <w:kern w:val="0"/>
          <w:sz w:val="24"/>
          <w:szCs w:val="22"/>
          <w:lang w:val="en-US" w:eastAsia="zh-CN"/>
        </w:rPr>
        <w:t>、一般工业固废</w:t>
      </w:r>
      <w:r>
        <w:rPr>
          <w:rFonts w:hint="eastAsia" w:ascii="Times New Roman" w:hAnsi="Times New Roman" w:eastAsia="宋体" w:cs="宋体"/>
          <w:color w:val="auto"/>
          <w:kern w:val="0"/>
          <w:sz w:val="24"/>
          <w:szCs w:val="22"/>
          <w:lang w:val="en-US" w:eastAsia="zh-CN"/>
        </w:rPr>
        <w:t>均为封闭式车间</w:t>
      </w:r>
      <w:r>
        <w:rPr>
          <w:rFonts w:hint="eastAsia" w:cs="宋体"/>
          <w:color w:val="auto"/>
          <w:kern w:val="0"/>
          <w:sz w:val="24"/>
          <w:szCs w:val="22"/>
          <w:lang w:val="en-US" w:eastAsia="zh-CN"/>
        </w:rPr>
        <w:t>、库房</w:t>
      </w:r>
      <w:r>
        <w:rPr>
          <w:rFonts w:hint="eastAsia" w:ascii="Times New Roman" w:hAnsi="Times New Roman" w:eastAsia="宋体" w:cs="宋体"/>
          <w:color w:val="auto"/>
          <w:kern w:val="0"/>
          <w:sz w:val="24"/>
          <w:szCs w:val="22"/>
          <w:lang w:val="en-US" w:eastAsia="zh-CN"/>
        </w:rPr>
        <w:t>内堆存</w:t>
      </w:r>
      <w:r>
        <w:rPr>
          <w:rFonts w:hint="eastAsia" w:ascii="Times New Roman" w:hAnsi="Times New Roman" w:cs="宋体"/>
          <w:color w:val="auto"/>
          <w:kern w:val="0"/>
          <w:sz w:val="24"/>
          <w:szCs w:val="22"/>
          <w:lang w:val="en-US" w:eastAsia="zh-CN"/>
        </w:rPr>
        <w:t>，</w:t>
      </w:r>
      <w:r>
        <w:rPr>
          <w:rFonts w:hint="eastAsia" w:cs="宋体"/>
          <w:color w:val="auto"/>
          <w:kern w:val="0"/>
          <w:sz w:val="24"/>
          <w:szCs w:val="22"/>
          <w:lang w:val="en-US" w:eastAsia="zh-CN"/>
        </w:rPr>
        <w:t>堆肥区设置为三面围挡并设置挡雨顶棚，牛粪及发酵垫料清理至堆肥区后，采用编织覆盖、洒水降尘措施</w:t>
      </w:r>
      <w:r>
        <w:rPr>
          <w:rFonts w:hint="eastAsia" w:ascii="Times New Roman" w:hAnsi="Times New Roman" w:eastAsia="宋体" w:cs="宋体"/>
          <w:color w:val="auto"/>
          <w:kern w:val="0"/>
          <w:sz w:val="24"/>
          <w:szCs w:val="22"/>
          <w:lang w:val="en-US" w:eastAsia="zh-CN"/>
        </w:rPr>
        <w:t>，因此符合《工业料堆场扬尘整治规范》（DB 65/T 4061-2017）要求，</w:t>
      </w:r>
      <w:r>
        <w:rPr>
          <w:rFonts w:hint="eastAsia" w:ascii="Times New Roman" w:hAnsi="Times New Roman" w:eastAsia="宋体" w:cs="宋体"/>
          <w:color w:val="000000"/>
          <w:kern w:val="0"/>
          <w:sz w:val="24"/>
          <w:szCs w:val="24"/>
          <w:highlight w:val="none"/>
          <w:lang w:val="en-US" w:eastAsia="zh-CN" w:bidi="ar"/>
        </w:rPr>
        <w:t>污染防治措施可行。工业料堆场类型划分表以及工业料堆场扬尘防治方案选择参考表见附表</w:t>
      </w:r>
      <w:r>
        <w:rPr>
          <w:rFonts w:hint="eastAsia" w:ascii="Times New Roman" w:hAnsi="Times New Roman" w:eastAsia="宋体" w:cs="Times New Roman"/>
          <w:color w:val="000000"/>
          <w:kern w:val="2"/>
          <w:sz w:val="24"/>
          <w:szCs w:val="24"/>
          <w:highlight w:val="none"/>
          <w:lang w:val="en-US" w:eastAsia="zh-CN" w:bidi="ar-SA"/>
        </w:rPr>
        <w:t>7.2-</w:t>
      </w:r>
      <w:r>
        <w:rPr>
          <w:rFonts w:hint="eastAsia" w:cs="Times New Roman"/>
          <w:color w:val="000000"/>
          <w:kern w:val="2"/>
          <w:sz w:val="24"/>
          <w:szCs w:val="24"/>
          <w:highlight w:val="none"/>
          <w:lang w:val="en-US" w:eastAsia="zh-CN" w:bidi="ar-SA"/>
        </w:rPr>
        <w:t>2</w:t>
      </w:r>
      <w:r>
        <w:rPr>
          <w:rFonts w:hint="eastAsia" w:ascii="Times New Roman" w:hAnsi="Times New Roman" w:eastAsia="宋体" w:cs="Times New Roman"/>
          <w:color w:val="000000"/>
          <w:kern w:val="2"/>
          <w:sz w:val="24"/>
          <w:szCs w:val="24"/>
          <w:highlight w:val="none"/>
          <w:lang w:val="en-US" w:eastAsia="zh-CN" w:bidi="ar-SA"/>
        </w:rPr>
        <w:t>和7.2-</w:t>
      </w:r>
      <w:r>
        <w:rPr>
          <w:rFonts w:hint="eastAsia" w:cs="Times New Roman"/>
          <w:color w:val="000000"/>
          <w:kern w:val="2"/>
          <w:sz w:val="24"/>
          <w:szCs w:val="24"/>
          <w:highlight w:val="none"/>
          <w:lang w:val="en-US" w:eastAsia="zh-CN" w:bidi="ar-SA"/>
        </w:rPr>
        <w:t>3</w:t>
      </w:r>
      <w:r>
        <w:rPr>
          <w:rFonts w:hint="eastAsia" w:ascii="Times New Roman" w:hAnsi="Times New Roman" w:eastAsia="宋体" w:cs="Times New Roman"/>
          <w:color w:val="000000"/>
          <w:kern w:val="2"/>
          <w:sz w:val="24"/>
          <w:szCs w:val="24"/>
          <w:highlight w:val="none"/>
          <w:lang w:val="en-US" w:eastAsia="zh-CN" w:bidi="ar-SA"/>
        </w:rPr>
        <w:t>。</w:t>
      </w:r>
    </w:p>
    <w:p w14:paraId="7C2FEFCE">
      <w:pPr>
        <w:widowControl w:val="0"/>
        <w:overflowPunct w:val="0"/>
        <w:autoSpaceDE w:val="0"/>
        <w:autoSpaceDN w:val="0"/>
        <w:adjustRightInd w:val="0"/>
        <w:snapToGrid w:val="0"/>
        <w:spacing w:before="0" w:after="0" w:line="360" w:lineRule="auto"/>
        <w:ind w:left="0" w:right="0" w:firstLine="480" w:firstLineChars="200"/>
        <w:jc w:val="center"/>
        <w:rPr>
          <w:rFonts w:hint="default" w:ascii="Times New Roman" w:hAnsi="Times New Roman" w:eastAsia="宋体" w:cs="Times New Roman"/>
          <w:b/>
          <w:color w:val="000000"/>
          <w:kern w:val="2"/>
          <w:sz w:val="24"/>
          <w:szCs w:val="24"/>
          <w:highlight w:val="none"/>
          <w:lang w:val="en-US" w:eastAsia="zh-CN" w:bidi="ar-SA"/>
        </w:rPr>
      </w:pPr>
      <w:r>
        <w:rPr>
          <w:rFonts w:hint="default" w:ascii="Times New Roman" w:hAnsi="Times New Roman" w:eastAsia="宋体" w:cs="Times New Roman"/>
          <w:b/>
          <w:color w:val="000000"/>
          <w:kern w:val="2"/>
          <w:sz w:val="24"/>
          <w:szCs w:val="24"/>
          <w:highlight w:val="none"/>
          <w:lang w:val="en-US" w:eastAsia="zh-CN" w:bidi="ar-SA"/>
        </w:rPr>
        <w:t>表</w:t>
      </w:r>
      <w:r>
        <w:rPr>
          <w:rFonts w:hint="eastAsia" w:ascii="Times New Roman" w:hAnsi="Times New Roman" w:eastAsia="宋体" w:cs="Times New Roman"/>
          <w:b/>
          <w:color w:val="000000"/>
          <w:kern w:val="2"/>
          <w:sz w:val="24"/>
          <w:szCs w:val="24"/>
          <w:highlight w:val="none"/>
          <w:lang w:val="en-US" w:eastAsia="zh-CN" w:bidi="ar-SA"/>
        </w:rPr>
        <w:t>7.2-</w:t>
      </w:r>
      <w:r>
        <w:rPr>
          <w:rFonts w:hint="eastAsia" w:cs="Times New Roman"/>
          <w:b/>
          <w:color w:val="000000"/>
          <w:kern w:val="2"/>
          <w:sz w:val="24"/>
          <w:szCs w:val="24"/>
          <w:highlight w:val="none"/>
          <w:lang w:val="en-US" w:eastAsia="zh-CN" w:bidi="ar-SA"/>
        </w:rPr>
        <w:t>2</w:t>
      </w:r>
      <w:r>
        <w:rPr>
          <w:rFonts w:hint="eastAsia" w:ascii="Times New Roman" w:hAnsi="Times New Roman" w:eastAsia="宋体" w:cs="Times New Roman"/>
          <w:b/>
          <w:color w:val="000000"/>
          <w:kern w:val="2"/>
          <w:sz w:val="24"/>
          <w:szCs w:val="24"/>
          <w:highlight w:val="none"/>
          <w:lang w:val="en-US" w:eastAsia="zh-CN" w:bidi="ar-SA"/>
        </w:rPr>
        <w:t>工业料堆场类型划分表</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78"/>
        <w:gridCol w:w="1489"/>
        <w:gridCol w:w="1346"/>
        <w:gridCol w:w="1056"/>
        <w:gridCol w:w="1057"/>
      </w:tblGrid>
      <w:tr w14:paraId="7FFB94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restart"/>
            <w:tcBorders>
              <w:tl2br w:val="nil"/>
              <w:tr2bl w:val="nil"/>
            </w:tcBorders>
            <w:noWrap w:val="0"/>
            <w:vAlign w:val="center"/>
          </w:tcPr>
          <w:p w14:paraId="239D1065">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b/>
                <w:bCs/>
                <w:color w:val="000000"/>
                <w:kern w:val="2"/>
                <w:sz w:val="21"/>
                <w:szCs w:val="21"/>
                <w:highlight w:val="none"/>
                <w:lang w:eastAsia="zh-CN"/>
              </w:rPr>
            </w:pPr>
            <w:r>
              <w:rPr>
                <w:rFonts w:hint="eastAsia" w:ascii="Times New Roman" w:hAnsi="Times New Roman" w:eastAsia="宋体" w:cs="Times New Roman"/>
                <w:b/>
                <w:bCs/>
                <w:color w:val="000000"/>
                <w:kern w:val="2"/>
                <w:sz w:val="21"/>
                <w:szCs w:val="21"/>
                <w:highlight w:val="none"/>
                <w:lang w:val="en-US" w:eastAsia="zh-CN"/>
              </w:rPr>
              <w:t>环境控制区</w:t>
            </w:r>
          </w:p>
        </w:tc>
        <w:tc>
          <w:tcPr>
            <w:tcW w:w="1778" w:type="dxa"/>
            <w:vMerge w:val="restart"/>
            <w:tcBorders>
              <w:tl2br w:val="nil"/>
              <w:tr2bl w:val="nil"/>
            </w:tcBorders>
            <w:noWrap w:val="0"/>
            <w:vAlign w:val="center"/>
          </w:tcPr>
          <w:p w14:paraId="0290311A">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highlight w:val="none"/>
                <w:lang w:val="en-US" w:eastAsia="zh-CN"/>
              </w:rPr>
            </w:pPr>
            <w:r>
              <w:rPr>
                <w:rFonts w:hint="eastAsia" w:ascii="Times New Roman" w:hAnsi="Times New Roman" w:eastAsia="宋体" w:cs="Times New Roman"/>
                <w:b/>
                <w:bCs/>
                <w:color w:val="000000"/>
                <w:kern w:val="2"/>
                <w:sz w:val="21"/>
                <w:szCs w:val="21"/>
                <w:highlight w:val="none"/>
                <w:lang w:val="en-US" w:eastAsia="zh-CN"/>
              </w:rPr>
              <w:t>规模m</w:t>
            </w:r>
            <w:r>
              <w:rPr>
                <w:rFonts w:hint="eastAsia" w:ascii="Times New Roman" w:hAnsi="Times New Roman" w:eastAsia="宋体" w:cs="Times New Roman"/>
                <w:b/>
                <w:bCs/>
                <w:color w:val="000000"/>
                <w:kern w:val="2"/>
                <w:sz w:val="21"/>
                <w:szCs w:val="21"/>
                <w:highlight w:val="none"/>
                <w:vertAlign w:val="superscript"/>
                <w:lang w:val="en-US" w:eastAsia="zh-CN"/>
              </w:rPr>
              <w:t>3</w:t>
            </w:r>
          </w:p>
        </w:tc>
        <w:tc>
          <w:tcPr>
            <w:tcW w:w="1489" w:type="dxa"/>
            <w:vMerge w:val="restart"/>
            <w:tcBorders>
              <w:tl2br w:val="nil"/>
              <w:tr2bl w:val="nil"/>
            </w:tcBorders>
            <w:noWrap w:val="0"/>
            <w:vAlign w:val="center"/>
          </w:tcPr>
          <w:p w14:paraId="0526087A">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highlight w:val="none"/>
                <w:lang w:val="en-US" w:eastAsia="zh-CN"/>
              </w:rPr>
            </w:pPr>
            <w:r>
              <w:rPr>
                <w:rFonts w:hint="eastAsia" w:ascii="Times New Roman" w:hAnsi="Times New Roman" w:eastAsia="宋体" w:cs="Times New Roman"/>
                <w:b/>
                <w:bCs/>
                <w:color w:val="000000"/>
                <w:kern w:val="2"/>
                <w:sz w:val="21"/>
                <w:szCs w:val="21"/>
                <w:highlight w:val="none"/>
                <w:lang w:val="en-US" w:eastAsia="zh-CN"/>
              </w:rPr>
              <w:t>风速m/s</w:t>
            </w:r>
          </w:p>
        </w:tc>
        <w:tc>
          <w:tcPr>
            <w:tcW w:w="3459" w:type="dxa"/>
            <w:gridSpan w:val="3"/>
            <w:tcBorders>
              <w:tl2br w:val="nil"/>
              <w:tr2bl w:val="nil"/>
            </w:tcBorders>
            <w:noWrap w:val="0"/>
            <w:vAlign w:val="center"/>
          </w:tcPr>
          <w:p w14:paraId="531F65FF">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highlight w:val="none"/>
                <w:lang w:val="en-US" w:eastAsia="zh-CN"/>
              </w:rPr>
            </w:pPr>
            <w:r>
              <w:rPr>
                <w:rFonts w:hint="eastAsia" w:ascii="Times New Roman" w:hAnsi="Times New Roman" w:eastAsia="宋体" w:cs="Times New Roman"/>
                <w:b/>
                <w:bCs/>
                <w:color w:val="000000"/>
                <w:kern w:val="2"/>
                <w:sz w:val="21"/>
                <w:szCs w:val="21"/>
                <w:highlight w:val="none"/>
                <w:lang w:val="en-US" w:eastAsia="zh-CN"/>
              </w:rPr>
              <w:t>粒度mm</w:t>
            </w:r>
          </w:p>
        </w:tc>
      </w:tr>
      <w:tr w14:paraId="6B3C8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tcBorders>
              <w:tl2br w:val="nil"/>
              <w:tr2bl w:val="nil"/>
            </w:tcBorders>
            <w:noWrap w:val="0"/>
            <w:vAlign w:val="center"/>
          </w:tcPr>
          <w:p w14:paraId="1D94E064">
            <w:pPr>
              <w:overflowPunct/>
              <w:autoSpaceDE/>
              <w:autoSpaceDN/>
              <w:adjustRightInd/>
              <w:snapToGrid/>
              <w:spacing w:before="0" w:after="0" w:line="240" w:lineRule="auto"/>
              <w:ind w:left="0" w:right="0" w:firstLine="0" w:firstLineChars="0"/>
              <w:jc w:val="center"/>
              <w:rPr>
                <w:rFonts w:ascii="Times New Roman" w:hAnsi="Times New Roman" w:eastAsia="宋体" w:cs="宋体"/>
                <w:b/>
                <w:bCs/>
                <w:color w:val="auto"/>
                <w:kern w:val="0"/>
                <w:sz w:val="24"/>
                <w:szCs w:val="22"/>
                <w:highlight w:val="none"/>
              </w:rPr>
            </w:pPr>
          </w:p>
        </w:tc>
        <w:tc>
          <w:tcPr>
            <w:tcW w:w="1778" w:type="dxa"/>
            <w:vMerge w:val="continue"/>
            <w:tcBorders>
              <w:tl2br w:val="nil"/>
              <w:tr2bl w:val="nil"/>
            </w:tcBorders>
            <w:noWrap w:val="0"/>
            <w:vAlign w:val="center"/>
          </w:tcPr>
          <w:p w14:paraId="55C780D0">
            <w:pPr>
              <w:overflowPunct/>
              <w:autoSpaceDE/>
              <w:autoSpaceDN/>
              <w:adjustRightInd/>
              <w:snapToGrid/>
              <w:spacing w:before="0" w:after="0" w:line="240" w:lineRule="auto"/>
              <w:ind w:left="0" w:right="0" w:firstLine="0" w:firstLineChars="0"/>
              <w:jc w:val="center"/>
              <w:rPr>
                <w:rFonts w:ascii="Times New Roman" w:hAnsi="Times New Roman" w:eastAsia="宋体" w:cs="宋体"/>
                <w:b/>
                <w:bCs/>
                <w:color w:val="auto"/>
                <w:kern w:val="0"/>
                <w:sz w:val="24"/>
                <w:szCs w:val="22"/>
                <w:highlight w:val="none"/>
              </w:rPr>
            </w:pPr>
          </w:p>
        </w:tc>
        <w:tc>
          <w:tcPr>
            <w:tcW w:w="1489" w:type="dxa"/>
            <w:vMerge w:val="continue"/>
            <w:tcBorders>
              <w:tl2br w:val="nil"/>
              <w:tr2bl w:val="nil"/>
            </w:tcBorders>
            <w:noWrap w:val="0"/>
            <w:vAlign w:val="center"/>
          </w:tcPr>
          <w:p w14:paraId="04BE9AE1">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highlight w:val="none"/>
              </w:rPr>
            </w:pPr>
          </w:p>
        </w:tc>
        <w:tc>
          <w:tcPr>
            <w:tcW w:w="1346" w:type="dxa"/>
            <w:tcBorders>
              <w:tl2br w:val="nil"/>
              <w:tr2bl w:val="nil"/>
            </w:tcBorders>
            <w:noWrap w:val="0"/>
            <w:vAlign w:val="center"/>
          </w:tcPr>
          <w:p w14:paraId="2933D7F4">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highlight w:val="none"/>
                <w:lang w:val="en-US" w:eastAsia="zh-CN"/>
              </w:rPr>
            </w:pPr>
            <w:r>
              <w:rPr>
                <w:rFonts w:hint="eastAsia" w:ascii="Times New Roman" w:hAnsi="Times New Roman" w:eastAsia="宋体" w:cs="Times New Roman"/>
                <w:b/>
                <w:bCs/>
                <w:color w:val="000000"/>
                <w:kern w:val="2"/>
                <w:sz w:val="21"/>
                <w:szCs w:val="21"/>
                <w:highlight w:val="none"/>
                <w:lang w:val="en-US" w:eastAsia="zh-CN"/>
              </w:rPr>
              <w:t>粉体：</w:t>
            </w:r>
            <w:r>
              <w:rPr>
                <w:rFonts w:hint="default" w:ascii="Times New Roman" w:hAnsi="Times New Roman" w:eastAsia="宋体" w:cs="Times New Roman"/>
                <w:b/>
                <w:bCs/>
                <w:color w:val="000000"/>
                <w:kern w:val="2"/>
                <w:sz w:val="21"/>
                <w:szCs w:val="21"/>
                <w:highlight w:val="none"/>
                <w:lang w:val="en-US" w:eastAsia="zh-CN"/>
              </w:rPr>
              <w:t>≤</w:t>
            </w:r>
            <w:r>
              <w:rPr>
                <w:rFonts w:hint="eastAsia" w:ascii="Times New Roman" w:hAnsi="Times New Roman" w:eastAsia="宋体" w:cs="Times New Roman"/>
                <w:b/>
                <w:bCs/>
                <w:color w:val="000000"/>
                <w:kern w:val="2"/>
                <w:sz w:val="21"/>
                <w:szCs w:val="21"/>
                <w:highlight w:val="none"/>
                <w:lang w:val="en-US" w:eastAsia="zh-CN"/>
              </w:rPr>
              <w:t>0.5</w:t>
            </w:r>
          </w:p>
        </w:tc>
        <w:tc>
          <w:tcPr>
            <w:tcW w:w="1056" w:type="dxa"/>
            <w:tcBorders>
              <w:tl2br w:val="nil"/>
              <w:tr2bl w:val="nil"/>
            </w:tcBorders>
            <w:noWrap w:val="0"/>
            <w:vAlign w:val="center"/>
          </w:tcPr>
          <w:p w14:paraId="3FA304D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highlight w:val="none"/>
                <w:lang w:val="en-US" w:eastAsia="zh-CN"/>
              </w:rPr>
            </w:pPr>
            <w:r>
              <w:rPr>
                <w:rFonts w:hint="eastAsia" w:ascii="Times New Roman" w:hAnsi="Times New Roman" w:eastAsia="宋体" w:cs="Times New Roman"/>
                <w:b/>
                <w:bCs/>
                <w:color w:val="000000"/>
                <w:kern w:val="2"/>
                <w:sz w:val="21"/>
                <w:szCs w:val="21"/>
                <w:highlight w:val="none"/>
                <w:lang w:val="en-US" w:eastAsia="zh-CN"/>
              </w:rPr>
              <w:t>颗粒0.5-1.3</w:t>
            </w:r>
          </w:p>
        </w:tc>
        <w:tc>
          <w:tcPr>
            <w:tcW w:w="1057" w:type="dxa"/>
            <w:tcBorders>
              <w:tl2br w:val="nil"/>
              <w:tr2bl w:val="nil"/>
            </w:tcBorders>
            <w:noWrap w:val="0"/>
            <w:vAlign w:val="center"/>
          </w:tcPr>
          <w:p w14:paraId="75242CD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bCs/>
                <w:color w:val="000000"/>
                <w:kern w:val="2"/>
                <w:sz w:val="21"/>
                <w:szCs w:val="21"/>
                <w:highlight w:val="none"/>
                <w:lang w:val="en-US" w:eastAsia="zh-CN"/>
              </w:rPr>
            </w:pPr>
            <w:r>
              <w:rPr>
                <w:rFonts w:hint="default" w:ascii="Times New Roman" w:hAnsi="Times New Roman" w:eastAsia="宋体" w:cs="Times New Roman"/>
                <w:b/>
                <w:bCs/>
                <w:color w:val="000000"/>
                <w:kern w:val="2"/>
                <w:sz w:val="21"/>
                <w:szCs w:val="21"/>
                <w:highlight w:val="none"/>
                <w:lang w:val="en-US" w:eastAsia="zh-CN"/>
              </w:rPr>
              <w:t>块体：≥1.3</w:t>
            </w:r>
          </w:p>
        </w:tc>
      </w:tr>
      <w:tr w14:paraId="17756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restart"/>
            <w:tcBorders>
              <w:tl2br w:val="nil"/>
              <w:tr2bl w:val="nil"/>
            </w:tcBorders>
            <w:noWrap w:val="0"/>
            <w:vAlign w:val="center"/>
          </w:tcPr>
          <w:p w14:paraId="19A65E3C">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重点控制区</w:t>
            </w:r>
          </w:p>
        </w:tc>
        <w:tc>
          <w:tcPr>
            <w:tcW w:w="1778" w:type="dxa"/>
            <w:vMerge w:val="restart"/>
            <w:tcBorders>
              <w:tl2br w:val="nil"/>
              <w:tr2bl w:val="nil"/>
            </w:tcBorders>
            <w:noWrap w:val="0"/>
            <w:vAlign w:val="center"/>
          </w:tcPr>
          <w:p w14:paraId="1E03EFB9">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right="0" w:firstLine="0" w:firstLineChars="0"/>
              <w:jc w:val="center"/>
              <w:textAlignment w:val="center"/>
              <w:rPr>
                <w:rFonts w:hint="default" w:ascii="宋体" w:hAnsi="宋体" w:eastAsia="宋体" w:cs="Times New Roman"/>
                <w:bCs/>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10000</w:t>
            </w:r>
          </w:p>
        </w:tc>
        <w:tc>
          <w:tcPr>
            <w:tcW w:w="1489" w:type="dxa"/>
            <w:tcBorders>
              <w:tl2br w:val="nil"/>
              <w:tr2bl w:val="nil"/>
            </w:tcBorders>
            <w:noWrap w:val="0"/>
            <w:vAlign w:val="center"/>
          </w:tcPr>
          <w:p w14:paraId="0694A1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4</w:t>
            </w:r>
          </w:p>
        </w:tc>
        <w:tc>
          <w:tcPr>
            <w:tcW w:w="1346" w:type="dxa"/>
            <w:tcBorders>
              <w:tl2br w:val="nil"/>
              <w:tr2bl w:val="nil"/>
            </w:tcBorders>
            <w:noWrap w:val="0"/>
            <w:vAlign w:val="center"/>
          </w:tcPr>
          <w:p w14:paraId="264958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63381F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43DBBA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4CB70D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791FAD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778" w:type="dxa"/>
            <w:vMerge w:val="continue"/>
            <w:tcBorders>
              <w:tl2br w:val="nil"/>
              <w:tr2bl w:val="nil"/>
            </w:tcBorders>
            <w:noWrap w:val="0"/>
            <w:vAlign w:val="center"/>
          </w:tcPr>
          <w:p w14:paraId="6211B5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489" w:type="dxa"/>
            <w:tcBorders>
              <w:tl2br w:val="nil"/>
              <w:tr2bl w:val="nil"/>
            </w:tcBorders>
            <w:noWrap w:val="0"/>
            <w:vAlign w:val="center"/>
          </w:tcPr>
          <w:p w14:paraId="336A1F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2BEF81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5D1879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69AAFA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482B81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0939AA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462FF0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0FDAAF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2</w:t>
            </w:r>
          </w:p>
        </w:tc>
        <w:tc>
          <w:tcPr>
            <w:tcW w:w="1346" w:type="dxa"/>
            <w:tcBorders>
              <w:tl2br w:val="nil"/>
              <w:tr2bl w:val="nil"/>
            </w:tcBorders>
            <w:noWrap w:val="0"/>
            <w:vAlign w:val="center"/>
          </w:tcPr>
          <w:p w14:paraId="653246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67670A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345CD3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3A2D5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5DDA6EA4">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p>
        </w:tc>
        <w:tc>
          <w:tcPr>
            <w:tcW w:w="1778" w:type="dxa"/>
            <w:vMerge w:val="restart"/>
            <w:tcBorders>
              <w:tl2br w:val="nil"/>
              <w:tr2bl w:val="nil"/>
            </w:tcBorders>
            <w:noWrap w:val="0"/>
            <w:vAlign w:val="center"/>
          </w:tcPr>
          <w:p w14:paraId="176A9190">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default" w:ascii="宋体" w:hAnsi="宋体" w:eastAsia="宋体" w:cs="Times New Roman"/>
                <w:bCs/>
                <w:color w:val="000000"/>
                <w:kern w:val="2"/>
                <w:sz w:val="21"/>
                <w:szCs w:val="21"/>
                <w:highlight w:val="none"/>
                <w:lang w:val="en-US" w:eastAsia="zh-CN" w:bidi="ar-SA"/>
              </w:rPr>
            </w:pPr>
            <w:r>
              <w:rPr>
                <w:rFonts w:hint="eastAsia" w:ascii="Times New Roman" w:hAnsi="Times New Roman" w:eastAsia="宋体" w:cs="Times New Roman"/>
                <w:bCs w:val="0"/>
                <w:color w:val="000000"/>
                <w:spacing w:val="0"/>
                <w:kern w:val="2"/>
                <w:sz w:val="21"/>
                <w:szCs w:val="21"/>
                <w:lang w:val="en-US" w:eastAsia="zh-CN"/>
              </w:rPr>
              <w:t>300-10000</w:t>
            </w:r>
          </w:p>
        </w:tc>
        <w:tc>
          <w:tcPr>
            <w:tcW w:w="1489" w:type="dxa"/>
            <w:tcBorders>
              <w:tl2br w:val="nil"/>
              <w:tr2bl w:val="nil"/>
            </w:tcBorders>
            <w:noWrap w:val="0"/>
            <w:vAlign w:val="center"/>
          </w:tcPr>
          <w:p w14:paraId="005CB6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4</w:t>
            </w:r>
          </w:p>
        </w:tc>
        <w:tc>
          <w:tcPr>
            <w:tcW w:w="1346" w:type="dxa"/>
            <w:tcBorders>
              <w:tl2br w:val="nil"/>
              <w:tr2bl w:val="nil"/>
            </w:tcBorders>
            <w:noWrap w:val="0"/>
            <w:vAlign w:val="center"/>
          </w:tcPr>
          <w:p w14:paraId="20F27A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38D4D3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675E6B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7A621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00DDF8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778" w:type="dxa"/>
            <w:vMerge w:val="continue"/>
            <w:tcBorders>
              <w:tl2br w:val="nil"/>
              <w:tr2bl w:val="nil"/>
            </w:tcBorders>
            <w:noWrap w:val="0"/>
            <w:vAlign w:val="center"/>
          </w:tcPr>
          <w:p w14:paraId="7A7790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489" w:type="dxa"/>
            <w:tcBorders>
              <w:tl2br w:val="nil"/>
              <w:tr2bl w:val="nil"/>
            </w:tcBorders>
            <w:noWrap w:val="0"/>
            <w:vAlign w:val="center"/>
          </w:tcPr>
          <w:p w14:paraId="15559D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6C906A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2BF426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582EE5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38962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32A6C2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3CF446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729843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2</w:t>
            </w:r>
          </w:p>
        </w:tc>
        <w:tc>
          <w:tcPr>
            <w:tcW w:w="1346" w:type="dxa"/>
            <w:tcBorders>
              <w:tl2br w:val="nil"/>
              <w:tr2bl w:val="nil"/>
            </w:tcBorders>
            <w:noWrap w:val="0"/>
            <w:vAlign w:val="center"/>
          </w:tcPr>
          <w:p w14:paraId="22A494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785F3A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428D13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3779B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427CB6A0">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p>
        </w:tc>
        <w:tc>
          <w:tcPr>
            <w:tcW w:w="1778" w:type="dxa"/>
            <w:vMerge w:val="restart"/>
            <w:tcBorders>
              <w:tl2br w:val="nil"/>
              <w:tr2bl w:val="nil"/>
            </w:tcBorders>
            <w:noWrap w:val="0"/>
            <w:vAlign w:val="center"/>
          </w:tcPr>
          <w:p w14:paraId="4F0AD663">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default" w:ascii="Times New Roman" w:hAnsi="Times New Roman" w:eastAsia="宋体" w:cs="Times New Roman"/>
                <w:bCs w:val="0"/>
                <w:color w:val="000000"/>
                <w:spacing w:val="0"/>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300</w:t>
            </w:r>
          </w:p>
        </w:tc>
        <w:tc>
          <w:tcPr>
            <w:tcW w:w="1489" w:type="dxa"/>
            <w:tcBorders>
              <w:tl2br w:val="nil"/>
              <w:tr2bl w:val="nil"/>
            </w:tcBorders>
            <w:noWrap w:val="0"/>
            <w:vAlign w:val="center"/>
          </w:tcPr>
          <w:p w14:paraId="01841F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4</w:t>
            </w:r>
          </w:p>
        </w:tc>
        <w:tc>
          <w:tcPr>
            <w:tcW w:w="1346" w:type="dxa"/>
            <w:tcBorders>
              <w:tl2br w:val="nil"/>
              <w:tr2bl w:val="nil"/>
            </w:tcBorders>
            <w:noWrap w:val="0"/>
            <w:vAlign w:val="center"/>
          </w:tcPr>
          <w:p w14:paraId="144720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325C9E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77244C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1CF34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5B45D6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778" w:type="dxa"/>
            <w:vMerge w:val="continue"/>
            <w:tcBorders>
              <w:tl2br w:val="nil"/>
              <w:tr2bl w:val="nil"/>
            </w:tcBorders>
            <w:noWrap w:val="0"/>
            <w:vAlign w:val="center"/>
          </w:tcPr>
          <w:p w14:paraId="193C8C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489" w:type="dxa"/>
            <w:tcBorders>
              <w:tl2br w:val="nil"/>
              <w:tr2bl w:val="nil"/>
            </w:tcBorders>
            <w:noWrap w:val="0"/>
            <w:vAlign w:val="center"/>
          </w:tcPr>
          <w:p w14:paraId="04A0EF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0B7E1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304929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c>
          <w:tcPr>
            <w:tcW w:w="1057" w:type="dxa"/>
            <w:tcBorders>
              <w:tl2br w:val="nil"/>
              <w:tr2bl w:val="nil"/>
            </w:tcBorders>
            <w:noWrap w:val="0"/>
            <w:vAlign w:val="center"/>
          </w:tcPr>
          <w:p w14:paraId="1AC2C7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770D3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3FEC0C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222F17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63598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2</w:t>
            </w:r>
          </w:p>
        </w:tc>
        <w:tc>
          <w:tcPr>
            <w:tcW w:w="1346" w:type="dxa"/>
            <w:tcBorders>
              <w:tl2br w:val="nil"/>
              <w:tr2bl w:val="nil"/>
            </w:tcBorders>
            <w:noWrap w:val="0"/>
            <w:vAlign w:val="center"/>
          </w:tcPr>
          <w:p w14:paraId="21310E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4477F6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c>
          <w:tcPr>
            <w:tcW w:w="1057" w:type="dxa"/>
            <w:tcBorders>
              <w:tl2br w:val="nil"/>
              <w:tr2bl w:val="nil"/>
            </w:tcBorders>
            <w:noWrap w:val="0"/>
            <w:vAlign w:val="center"/>
          </w:tcPr>
          <w:p w14:paraId="4381E8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00870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restart"/>
            <w:tcBorders>
              <w:tl2br w:val="nil"/>
              <w:tr2bl w:val="nil"/>
            </w:tcBorders>
            <w:noWrap w:val="0"/>
            <w:vAlign w:val="center"/>
          </w:tcPr>
          <w:p w14:paraId="4DDB2A25">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一般控制区</w:t>
            </w:r>
          </w:p>
        </w:tc>
        <w:tc>
          <w:tcPr>
            <w:tcW w:w="1778" w:type="dxa"/>
            <w:vMerge w:val="restart"/>
            <w:tcBorders>
              <w:tl2br w:val="nil"/>
              <w:tr2bl w:val="nil"/>
            </w:tcBorders>
            <w:noWrap w:val="0"/>
            <w:vAlign w:val="center"/>
          </w:tcPr>
          <w:p w14:paraId="1FE6EA72">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eastAsia" w:ascii="Times New Roman" w:hAnsi="Times New Roman" w:eastAsia="宋体" w:cs="Times New Roman"/>
                <w:bCs w:val="0"/>
                <w:color w:val="000000"/>
                <w:spacing w:val="0"/>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10000</w:t>
            </w:r>
          </w:p>
        </w:tc>
        <w:tc>
          <w:tcPr>
            <w:tcW w:w="1489" w:type="dxa"/>
            <w:tcBorders>
              <w:tl2br w:val="nil"/>
              <w:tr2bl w:val="nil"/>
            </w:tcBorders>
            <w:noWrap w:val="0"/>
            <w:vAlign w:val="center"/>
          </w:tcPr>
          <w:p w14:paraId="6D08C5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4</w:t>
            </w:r>
          </w:p>
        </w:tc>
        <w:tc>
          <w:tcPr>
            <w:tcW w:w="1346" w:type="dxa"/>
            <w:tcBorders>
              <w:tl2br w:val="nil"/>
              <w:tr2bl w:val="nil"/>
            </w:tcBorders>
            <w:noWrap w:val="0"/>
            <w:vAlign w:val="center"/>
          </w:tcPr>
          <w:p w14:paraId="21245F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6CAA8B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046C0F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7A321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44AA5F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778" w:type="dxa"/>
            <w:vMerge w:val="continue"/>
            <w:tcBorders>
              <w:tl2br w:val="nil"/>
              <w:tr2bl w:val="nil"/>
            </w:tcBorders>
            <w:noWrap w:val="0"/>
            <w:vAlign w:val="center"/>
          </w:tcPr>
          <w:p w14:paraId="5D3EE6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489" w:type="dxa"/>
            <w:tcBorders>
              <w:tl2br w:val="nil"/>
              <w:tr2bl w:val="nil"/>
            </w:tcBorders>
            <w:noWrap w:val="0"/>
            <w:vAlign w:val="center"/>
          </w:tcPr>
          <w:p w14:paraId="7F8B38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6A4D58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6B6A9A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4C95FC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391F7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7AE20F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730082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4E09C2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2</w:t>
            </w:r>
          </w:p>
        </w:tc>
        <w:tc>
          <w:tcPr>
            <w:tcW w:w="1346" w:type="dxa"/>
            <w:tcBorders>
              <w:tl2br w:val="nil"/>
              <w:tr2bl w:val="nil"/>
            </w:tcBorders>
            <w:noWrap w:val="0"/>
            <w:vAlign w:val="center"/>
          </w:tcPr>
          <w:p w14:paraId="089466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599E12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62637D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02782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1ED0E523">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p>
        </w:tc>
        <w:tc>
          <w:tcPr>
            <w:tcW w:w="1778" w:type="dxa"/>
            <w:vMerge w:val="restart"/>
            <w:tcBorders>
              <w:tl2br w:val="nil"/>
              <w:tr2bl w:val="nil"/>
            </w:tcBorders>
            <w:noWrap w:val="0"/>
            <w:vAlign w:val="center"/>
          </w:tcPr>
          <w:p w14:paraId="65A751D9">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eastAsia"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300-10000</w:t>
            </w:r>
          </w:p>
        </w:tc>
        <w:tc>
          <w:tcPr>
            <w:tcW w:w="1489" w:type="dxa"/>
            <w:tcBorders>
              <w:tl2br w:val="nil"/>
              <w:tr2bl w:val="nil"/>
            </w:tcBorders>
            <w:noWrap w:val="0"/>
            <w:vAlign w:val="center"/>
          </w:tcPr>
          <w:p w14:paraId="7254E7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4</w:t>
            </w:r>
          </w:p>
        </w:tc>
        <w:tc>
          <w:tcPr>
            <w:tcW w:w="1346" w:type="dxa"/>
            <w:tcBorders>
              <w:tl2br w:val="nil"/>
              <w:tr2bl w:val="nil"/>
            </w:tcBorders>
            <w:noWrap w:val="0"/>
            <w:vAlign w:val="center"/>
          </w:tcPr>
          <w:p w14:paraId="17A3DB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1B6A45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7" w:type="dxa"/>
            <w:tcBorders>
              <w:tl2br w:val="nil"/>
              <w:tr2bl w:val="nil"/>
            </w:tcBorders>
            <w:noWrap w:val="0"/>
            <w:vAlign w:val="center"/>
          </w:tcPr>
          <w:p w14:paraId="4208ED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6C737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37220F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778" w:type="dxa"/>
            <w:vMerge w:val="continue"/>
            <w:tcBorders>
              <w:tl2br w:val="nil"/>
              <w:tr2bl w:val="nil"/>
            </w:tcBorders>
            <w:noWrap w:val="0"/>
            <w:vAlign w:val="center"/>
          </w:tcPr>
          <w:p w14:paraId="611D81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489" w:type="dxa"/>
            <w:tcBorders>
              <w:tl2br w:val="nil"/>
              <w:tr2bl w:val="nil"/>
            </w:tcBorders>
            <w:noWrap w:val="0"/>
            <w:vAlign w:val="center"/>
          </w:tcPr>
          <w:p w14:paraId="1C4F25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5E1137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50BA6E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c>
          <w:tcPr>
            <w:tcW w:w="1057" w:type="dxa"/>
            <w:tcBorders>
              <w:tl2br w:val="nil"/>
              <w:tr2bl w:val="nil"/>
            </w:tcBorders>
            <w:noWrap w:val="0"/>
            <w:vAlign w:val="center"/>
          </w:tcPr>
          <w:p w14:paraId="692E95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r>
      <w:tr w14:paraId="72247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284715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105569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4E959B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2</w:t>
            </w:r>
          </w:p>
        </w:tc>
        <w:tc>
          <w:tcPr>
            <w:tcW w:w="1346" w:type="dxa"/>
            <w:tcBorders>
              <w:tl2br w:val="nil"/>
              <w:tr2bl w:val="nil"/>
            </w:tcBorders>
            <w:noWrap w:val="0"/>
            <w:vAlign w:val="center"/>
          </w:tcPr>
          <w:p w14:paraId="1972CC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772006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c>
          <w:tcPr>
            <w:tcW w:w="1057" w:type="dxa"/>
            <w:tcBorders>
              <w:tl2br w:val="nil"/>
              <w:tr2bl w:val="nil"/>
            </w:tcBorders>
            <w:noWrap w:val="0"/>
            <w:vAlign w:val="center"/>
          </w:tcPr>
          <w:p w14:paraId="64AD48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Ⅲ</w:t>
            </w:r>
          </w:p>
        </w:tc>
      </w:tr>
      <w:tr w14:paraId="11FA4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778" w:type="dxa"/>
            <w:vMerge w:val="continue"/>
            <w:tcBorders>
              <w:tl2br w:val="nil"/>
              <w:tr2bl w:val="nil"/>
            </w:tcBorders>
            <w:noWrap w:val="0"/>
            <w:vAlign w:val="center"/>
          </w:tcPr>
          <w:p w14:paraId="601DAF85">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p>
        </w:tc>
        <w:tc>
          <w:tcPr>
            <w:tcW w:w="1778" w:type="dxa"/>
            <w:vMerge w:val="restart"/>
            <w:tcBorders>
              <w:tl2br w:val="nil"/>
              <w:tr2bl w:val="nil"/>
            </w:tcBorders>
            <w:noWrap w:val="0"/>
            <w:vAlign w:val="center"/>
          </w:tcPr>
          <w:p w14:paraId="3E1C68EA">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eastAsia" w:ascii="Times New Roman" w:hAnsi="Times New Roman" w:eastAsia="宋体" w:cs="Times New Roman"/>
                <w:bCs w:val="0"/>
                <w:color w:val="000000"/>
                <w:spacing w:val="0"/>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300</w:t>
            </w:r>
          </w:p>
        </w:tc>
        <w:tc>
          <w:tcPr>
            <w:tcW w:w="1489" w:type="dxa"/>
            <w:tcBorders>
              <w:tl2br w:val="nil"/>
              <w:tr2bl w:val="nil"/>
            </w:tcBorders>
            <w:noWrap w:val="0"/>
            <w:vAlign w:val="center"/>
          </w:tcPr>
          <w:p w14:paraId="184C68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4</w:t>
            </w:r>
          </w:p>
        </w:tc>
        <w:tc>
          <w:tcPr>
            <w:tcW w:w="1346" w:type="dxa"/>
            <w:tcBorders>
              <w:tl2br w:val="nil"/>
              <w:tr2bl w:val="nil"/>
            </w:tcBorders>
            <w:noWrap w:val="0"/>
            <w:vAlign w:val="center"/>
          </w:tcPr>
          <w:p w14:paraId="021730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1709B5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c>
          <w:tcPr>
            <w:tcW w:w="1057" w:type="dxa"/>
            <w:tcBorders>
              <w:tl2br w:val="nil"/>
              <w:tr2bl w:val="nil"/>
            </w:tcBorders>
            <w:noWrap w:val="0"/>
            <w:vAlign w:val="center"/>
          </w:tcPr>
          <w:p w14:paraId="07901D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Ⅲ</w:t>
            </w:r>
          </w:p>
        </w:tc>
      </w:tr>
      <w:tr w14:paraId="6F6A5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778" w:type="dxa"/>
            <w:vMerge w:val="continue"/>
            <w:tcBorders>
              <w:tl2br w:val="nil"/>
              <w:tr2bl w:val="nil"/>
            </w:tcBorders>
            <w:noWrap w:val="0"/>
            <w:vAlign w:val="center"/>
          </w:tcPr>
          <w:p w14:paraId="1F984F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778" w:type="dxa"/>
            <w:vMerge w:val="continue"/>
            <w:tcBorders>
              <w:tl2br w:val="nil"/>
              <w:tr2bl w:val="nil"/>
            </w:tcBorders>
            <w:noWrap w:val="0"/>
            <w:vAlign w:val="center"/>
          </w:tcPr>
          <w:p w14:paraId="014993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宋体" w:cs="宋体"/>
                <w:color w:val="auto"/>
                <w:kern w:val="0"/>
                <w:sz w:val="24"/>
                <w:szCs w:val="22"/>
              </w:rPr>
            </w:pPr>
          </w:p>
        </w:tc>
        <w:tc>
          <w:tcPr>
            <w:tcW w:w="1489" w:type="dxa"/>
            <w:tcBorders>
              <w:tl2br w:val="nil"/>
              <w:tr2bl w:val="nil"/>
            </w:tcBorders>
            <w:noWrap w:val="0"/>
            <w:vAlign w:val="center"/>
          </w:tcPr>
          <w:p w14:paraId="7339A2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0E5E53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69AFBA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c>
          <w:tcPr>
            <w:tcW w:w="1057" w:type="dxa"/>
            <w:tcBorders>
              <w:tl2br w:val="nil"/>
              <w:tr2bl w:val="nil"/>
            </w:tcBorders>
            <w:noWrap w:val="0"/>
            <w:vAlign w:val="center"/>
          </w:tcPr>
          <w:p w14:paraId="7E4551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Ⅲ</w:t>
            </w:r>
          </w:p>
        </w:tc>
      </w:tr>
      <w:tr w14:paraId="01C5A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778" w:type="dxa"/>
            <w:vMerge w:val="continue"/>
            <w:tcBorders>
              <w:tl2br w:val="nil"/>
              <w:tr2bl w:val="nil"/>
            </w:tcBorders>
            <w:noWrap w:val="0"/>
            <w:vAlign w:val="center"/>
          </w:tcPr>
          <w:p w14:paraId="5E0E33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5D53FA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75DF91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00"/>
                <w:kern w:val="2"/>
                <w:sz w:val="21"/>
                <w:szCs w:val="21"/>
                <w:lang w:val="en-US" w:eastAsia="zh-CN"/>
              </w:rPr>
              <w:t>≤</w:t>
            </w:r>
            <w:r>
              <w:rPr>
                <w:rFonts w:hint="eastAsia" w:ascii="Times New Roman" w:hAnsi="Times New Roman" w:eastAsia="宋体" w:cs="Times New Roman"/>
                <w:color w:val="000000"/>
                <w:kern w:val="2"/>
                <w:sz w:val="21"/>
                <w:szCs w:val="21"/>
                <w:lang w:val="en-US" w:eastAsia="zh-CN"/>
              </w:rPr>
              <w:t>2</w:t>
            </w:r>
          </w:p>
        </w:tc>
        <w:tc>
          <w:tcPr>
            <w:tcW w:w="1346" w:type="dxa"/>
            <w:tcBorders>
              <w:tl2br w:val="nil"/>
              <w:tr2bl w:val="nil"/>
            </w:tcBorders>
            <w:noWrap w:val="0"/>
            <w:vAlign w:val="center"/>
          </w:tcPr>
          <w:p w14:paraId="525CE7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p>
        </w:tc>
        <w:tc>
          <w:tcPr>
            <w:tcW w:w="1056" w:type="dxa"/>
            <w:tcBorders>
              <w:tl2br w:val="nil"/>
              <w:tr2bl w:val="nil"/>
            </w:tcBorders>
            <w:noWrap w:val="0"/>
            <w:vAlign w:val="center"/>
          </w:tcPr>
          <w:p w14:paraId="50A26E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p>
        </w:tc>
        <w:tc>
          <w:tcPr>
            <w:tcW w:w="1057" w:type="dxa"/>
            <w:tcBorders>
              <w:tl2br w:val="nil"/>
              <w:tr2bl w:val="nil"/>
            </w:tcBorders>
            <w:noWrap w:val="0"/>
            <w:vAlign w:val="center"/>
          </w:tcPr>
          <w:p w14:paraId="078E66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0"/>
                <w:sz w:val="21"/>
                <w:szCs w:val="21"/>
                <w:lang w:val="en-US" w:eastAsia="zh-CN"/>
              </w:rPr>
              <w:t>Ⅲ</w:t>
            </w:r>
          </w:p>
        </w:tc>
      </w:tr>
    </w:tbl>
    <w:p w14:paraId="21BFDF3D">
      <w:pPr>
        <w:widowControl w:val="0"/>
        <w:overflowPunct w:val="0"/>
        <w:autoSpaceDE w:val="0"/>
        <w:autoSpaceDN w:val="0"/>
        <w:adjustRightInd w:val="0"/>
        <w:snapToGrid w:val="0"/>
        <w:spacing w:before="0" w:after="0" w:line="360" w:lineRule="auto"/>
        <w:ind w:left="0" w:right="0" w:firstLine="480" w:firstLineChars="200"/>
        <w:jc w:val="center"/>
        <w:rPr>
          <w:rFonts w:hint="default" w:ascii="Times New Roman" w:hAnsi="Times New Roman" w:eastAsia="宋体" w:cs="Times New Roman"/>
          <w:b/>
          <w:color w:val="000000"/>
          <w:kern w:val="2"/>
          <w:sz w:val="24"/>
          <w:szCs w:val="24"/>
          <w:highlight w:val="none"/>
          <w:lang w:val="en-US" w:eastAsia="zh-CN" w:bidi="ar-SA"/>
        </w:rPr>
      </w:pPr>
      <w:r>
        <w:rPr>
          <w:rFonts w:hint="default" w:ascii="Times New Roman" w:hAnsi="Times New Roman" w:eastAsia="宋体" w:cs="Times New Roman"/>
          <w:b/>
          <w:color w:val="000000"/>
          <w:kern w:val="2"/>
          <w:sz w:val="24"/>
          <w:szCs w:val="24"/>
          <w:highlight w:val="none"/>
          <w:lang w:val="en-US" w:eastAsia="zh-CN" w:bidi="ar-SA"/>
        </w:rPr>
        <w:t>表</w:t>
      </w:r>
      <w:r>
        <w:rPr>
          <w:rFonts w:hint="eastAsia" w:ascii="Times New Roman" w:hAnsi="Times New Roman" w:eastAsia="宋体" w:cs="Times New Roman"/>
          <w:b/>
          <w:color w:val="000000"/>
          <w:kern w:val="2"/>
          <w:sz w:val="24"/>
          <w:szCs w:val="24"/>
          <w:highlight w:val="none"/>
          <w:lang w:val="en-US" w:eastAsia="zh-CN" w:bidi="ar-SA"/>
        </w:rPr>
        <w:t>7.2-</w:t>
      </w:r>
      <w:r>
        <w:rPr>
          <w:rFonts w:hint="eastAsia" w:cs="Times New Roman"/>
          <w:b/>
          <w:color w:val="000000"/>
          <w:kern w:val="2"/>
          <w:sz w:val="24"/>
          <w:szCs w:val="24"/>
          <w:highlight w:val="none"/>
          <w:lang w:val="en-US" w:eastAsia="zh-CN" w:bidi="ar-SA"/>
        </w:rPr>
        <w:t>3</w:t>
      </w:r>
      <w:r>
        <w:rPr>
          <w:rFonts w:hint="eastAsia" w:ascii="Times New Roman" w:hAnsi="Times New Roman" w:eastAsia="宋体" w:cs="Times New Roman"/>
          <w:b/>
          <w:color w:val="000000"/>
          <w:kern w:val="2"/>
          <w:sz w:val="24"/>
          <w:szCs w:val="24"/>
          <w:highlight w:val="none"/>
          <w:lang w:val="en-US" w:eastAsia="zh-CN" w:bidi="ar-SA"/>
        </w:rPr>
        <w:t>工业料堆场扬尘防治方案选择参考表</w:t>
      </w:r>
    </w:p>
    <w:tbl>
      <w:tblPr>
        <w:tblStyle w:val="20"/>
        <w:tblW w:w="8504"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344"/>
        <w:gridCol w:w="3246"/>
        <w:gridCol w:w="2914"/>
      </w:tblGrid>
      <w:tr w14:paraId="6CAA4C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0A5D019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rPr>
            </w:pPr>
            <w:r>
              <w:rPr>
                <w:rFonts w:hint="default" w:ascii="Times New Roman" w:hAnsi="Times New Roman" w:eastAsia="宋体" w:cs="Times New Roman"/>
                <w:color w:val="000000"/>
                <w:kern w:val="2"/>
                <w:sz w:val="21"/>
                <w:szCs w:val="21"/>
                <w:lang w:val="en-US" w:eastAsia="zh-CN"/>
              </w:rPr>
              <w:t>工业料堆场</w:t>
            </w:r>
            <w:r>
              <w:rPr>
                <w:rFonts w:hint="eastAsia" w:ascii="Times New Roman" w:hAnsi="Times New Roman" w:eastAsia="宋体" w:cs="Times New Roman"/>
                <w:color w:val="000000"/>
                <w:kern w:val="2"/>
                <w:sz w:val="21"/>
                <w:szCs w:val="21"/>
                <w:lang w:val="en-US" w:eastAsia="zh-CN"/>
              </w:rPr>
              <w:t>类型</w:t>
            </w:r>
          </w:p>
        </w:tc>
        <w:tc>
          <w:tcPr>
            <w:tcW w:w="6160" w:type="dxa"/>
            <w:gridSpan w:val="2"/>
            <w:tcBorders>
              <w:right w:val="single" w:color="000000" w:sz="12" w:space="0"/>
            </w:tcBorders>
            <w:noWrap w:val="0"/>
            <w:vAlign w:val="center"/>
          </w:tcPr>
          <w:p w14:paraId="6EC6E755">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eastAsia="zh-CN"/>
              </w:rPr>
            </w:pPr>
            <w:r>
              <w:rPr>
                <w:rFonts w:hint="eastAsia" w:ascii="Times New Roman" w:hAnsi="Times New Roman" w:eastAsia="宋体" w:cs="Times New Roman"/>
                <w:color w:val="000000"/>
                <w:kern w:val="2"/>
                <w:sz w:val="21"/>
                <w:szCs w:val="21"/>
                <w:lang w:val="en-US" w:eastAsia="zh-CN"/>
              </w:rPr>
              <w:t>方案</w:t>
            </w:r>
          </w:p>
        </w:tc>
      </w:tr>
      <w:tr w14:paraId="7C0865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restart"/>
            <w:tcBorders>
              <w:left w:val="single" w:color="000000" w:sz="12" w:space="0"/>
            </w:tcBorders>
            <w:noWrap w:val="0"/>
            <w:vAlign w:val="center"/>
          </w:tcPr>
          <w:p w14:paraId="0524850E">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auto"/>
                <w:kern w:val="0"/>
                <w:sz w:val="21"/>
                <w:szCs w:val="21"/>
                <w:lang w:val="en-US" w:eastAsia="zh-CN"/>
              </w:rPr>
              <w:t>Ⅰ</w:t>
            </w:r>
            <w:r>
              <w:rPr>
                <w:rFonts w:hint="eastAsia" w:ascii="Times New Roman" w:hAnsi="Times New Roman" w:eastAsia="宋体" w:cs="Times New Roman"/>
                <w:color w:val="auto"/>
                <w:kern w:val="0"/>
                <w:sz w:val="21"/>
                <w:szCs w:val="21"/>
                <w:lang w:val="en-US" w:eastAsia="zh-CN"/>
              </w:rPr>
              <w:t>类料堆场</w:t>
            </w:r>
          </w:p>
        </w:tc>
        <w:tc>
          <w:tcPr>
            <w:tcW w:w="6160" w:type="dxa"/>
            <w:gridSpan w:val="2"/>
            <w:tcBorders>
              <w:right w:val="single" w:color="000000" w:sz="12" w:space="0"/>
            </w:tcBorders>
            <w:noWrap w:val="0"/>
            <w:vAlign w:val="center"/>
          </w:tcPr>
          <w:p w14:paraId="7B62A7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（1）筒仓</w:t>
            </w:r>
          </w:p>
        </w:tc>
      </w:tr>
      <w:tr w14:paraId="1BC50E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10AFE096">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00"/>
                <w:kern w:val="2"/>
                <w:sz w:val="21"/>
                <w:szCs w:val="21"/>
                <w:lang w:val="en-US" w:eastAsia="zh-CN"/>
              </w:rPr>
            </w:pPr>
          </w:p>
        </w:tc>
        <w:tc>
          <w:tcPr>
            <w:tcW w:w="6160" w:type="dxa"/>
            <w:gridSpan w:val="2"/>
            <w:tcBorders>
              <w:right w:val="single" w:color="000000" w:sz="12" w:space="0"/>
            </w:tcBorders>
            <w:noWrap w:val="0"/>
            <w:vAlign w:val="center"/>
          </w:tcPr>
          <w:p w14:paraId="64D95E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（2）圆形料仓</w:t>
            </w:r>
          </w:p>
        </w:tc>
      </w:tr>
      <w:tr w14:paraId="64951F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207B56E4">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p>
        </w:tc>
        <w:tc>
          <w:tcPr>
            <w:tcW w:w="6160" w:type="dxa"/>
            <w:gridSpan w:val="2"/>
            <w:tcBorders>
              <w:right w:val="single" w:color="000000" w:sz="12" w:space="0"/>
            </w:tcBorders>
            <w:noWrap w:val="0"/>
            <w:vAlign w:val="center"/>
          </w:tcPr>
          <w:p w14:paraId="48AB8D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（3）其他全封闭型仓库</w:t>
            </w:r>
          </w:p>
        </w:tc>
      </w:tr>
      <w:tr w14:paraId="047340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restart"/>
            <w:tcBorders>
              <w:left w:val="single" w:color="000000" w:sz="12" w:space="0"/>
            </w:tcBorders>
            <w:noWrap w:val="0"/>
            <w:vAlign w:val="center"/>
          </w:tcPr>
          <w:p w14:paraId="399C1009">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auto"/>
                <w:kern w:val="0"/>
                <w:sz w:val="21"/>
                <w:szCs w:val="21"/>
                <w:lang w:val="en-US" w:eastAsia="zh-CN"/>
              </w:rPr>
              <w:t>Ⅱ</w:t>
            </w:r>
            <w:r>
              <w:rPr>
                <w:rFonts w:hint="eastAsia" w:ascii="Times New Roman" w:hAnsi="Times New Roman" w:eastAsia="宋体" w:cs="Times New Roman"/>
                <w:color w:val="auto"/>
                <w:kern w:val="0"/>
                <w:sz w:val="21"/>
                <w:szCs w:val="21"/>
                <w:lang w:val="en-US" w:eastAsia="zh-CN"/>
              </w:rPr>
              <w:t>类料堆场</w:t>
            </w:r>
          </w:p>
        </w:tc>
        <w:tc>
          <w:tcPr>
            <w:tcW w:w="6160" w:type="dxa"/>
            <w:gridSpan w:val="2"/>
            <w:tcBorders>
              <w:right w:val="single" w:color="000000" w:sz="12" w:space="0"/>
            </w:tcBorders>
            <w:noWrap w:val="0"/>
            <w:vAlign w:val="center"/>
          </w:tcPr>
          <w:p w14:paraId="10202D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（4）可用Ⅰ类料堆场防治方案</w:t>
            </w:r>
          </w:p>
        </w:tc>
      </w:tr>
      <w:tr w14:paraId="6E1CC4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63DB31C2">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p>
        </w:tc>
        <w:tc>
          <w:tcPr>
            <w:tcW w:w="3246" w:type="dxa"/>
            <w:noWrap w:val="0"/>
            <w:vAlign w:val="center"/>
          </w:tcPr>
          <w:p w14:paraId="12CE8167">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center"/>
              <w:rPr>
                <w:rFonts w:hint="default"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（5）半封闭仓库+</w:t>
            </w:r>
          </w:p>
        </w:tc>
        <w:tc>
          <w:tcPr>
            <w:tcW w:w="2914" w:type="dxa"/>
            <w:vMerge w:val="restart"/>
            <w:tcBorders>
              <w:right w:val="single" w:color="000000" w:sz="12" w:space="0"/>
            </w:tcBorders>
            <w:noWrap w:val="0"/>
            <w:vAlign w:val="center"/>
          </w:tcPr>
          <w:p w14:paraId="216B712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 xml:space="preserve">a）喷洒水 </w:t>
            </w:r>
          </w:p>
          <w:p w14:paraId="470B1C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 xml:space="preserve">b）覆盖 </w:t>
            </w:r>
          </w:p>
          <w:p w14:paraId="0EF284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 xml:space="preserve">c）喷洒抑尘剂 </w:t>
            </w:r>
          </w:p>
          <w:p w14:paraId="4D8DB6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d）干雾抑尘</w:t>
            </w:r>
          </w:p>
        </w:tc>
      </w:tr>
      <w:tr w14:paraId="55E957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355689D8">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p>
        </w:tc>
        <w:tc>
          <w:tcPr>
            <w:tcW w:w="3246" w:type="dxa"/>
            <w:noWrap w:val="0"/>
            <w:vAlign w:val="center"/>
          </w:tcPr>
          <w:p w14:paraId="42F11AAE">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center"/>
              <w:rPr>
                <w:rFonts w:hint="eastAsia"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（6）防风抑尘网（墙）+</w:t>
            </w:r>
          </w:p>
        </w:tc>
        <w:tc>
          <w:tcPr>
            <w:tcW w:w="2914" w:type="dxa"/>
            <w:vMerge w:val="continue"/>
            <w:tcBorders>
              <w:right w:val="single" w:color="000000" w:sz="12" w:space="0"/>
            </w:tcBorders>
            <w:noWrap w:val="0"/>
            <w:vAlign w:val="center"/>
          </w:tcPr>
          <w:p w14:paraId="2E3BB1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Cs/>
                <w:color w:val="auto"/>
                <w:kern w:val="2"/>
                <w:sz w:val="21"/>
                <w:szCs w:val="21"/>
                <w:lang w:val="en-US" w:eastAsia="zh-CN"/>
              </w:rPr>
            </w:pPr>
          </w:p>
        </w:tc>
      </w:tr>
      <w:tr w14:paraId="28DB2A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restart"/>
            <w:tcBorders>
              <w:left w:val="single" w:color="000000" w:sz="12" w:space="0"/>
            </w:tcBorders>
            <w:noWrap w:val="0"/>
            <w:vAlign w:val="center"/>
          </w:tcPr>
          <w:p w14:paraId="0C3EFEB7">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r>
              <w:rPr>
                <w:rFonts w:hint="default" w:ascii="Times New Roman" w:hAnsi="Times New Roman" w:eastAsia="宋体" w:cs="Times New Roman"/>
                <w:color w:val="auto"/>
                <w:kern w:val="0"/>
                <w:sz w:val="21"/>
                <w:szCs w:val="21"/>
                <w:lang w:val="en-US" w:eastAsia="zh-CN"/>
              </w:rPr>
              <w:t>Ⅲ</w:t>
            </w:r>
            <w:r>
              <w:rPr>
                <w:rFonts w:hint="eastAsia" w:ascii="Times New Roman" w:hAnsi="Times New Roman" w:eastAsia="宋体" w:cs="Times New Roman"/>
                <w:color w:val="auto"/>
                <w:kern w:val="0"/>
                <w:sz w:val="21"/>
                <w:szCs w:val="21"/>
                <w:lang w:val="en-US" w:eastAsia="zh-CN"/>
              </w:rPr>
              <w:t>类料堆场</w:t>
            </w:r>
          </w:p>
        </w:tc>
        <w:tc>
          <w:tcPr>
            <w:tcW w:w="6160" w:type="dxa"/>
            <w:gridSpan w:val="2"/>
            <w:tcBorders>
              <w:right w:val="single" w:color="000000" w:sz="12" w:space="0"/>
            </w:tcBorders>
            <w:noWrap w:val="0"/>
            <w:vAlign w:val="center"/>
          </w:tcPr>
          <w:p w14:paraId="6FB413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w:t>
            </w:r>
            <w:r>
              <w:rPr>
                <w:rFonts w:hint="eastAsia" w:ascii="Times New Roman" w:hAnsi="Times New Roman" w:eastAsia="宋体" w:cs="Times New Roman"/>
                <w:bCs/>
                <w:color w:val="auto"/>
                <w:kern w:val="2"/>
                <w:sz w:val="21"/>
                <w:szCs w:val="21"/>
                <w:lang w:val="en-US" w:eastAsia="zh-CN"/>
              </w:rPr>
              <w:t>7</w:t>
            </w:r>
            <w:r>
              <w:rPr>
                <w:rFonts w:hint="default" w:ascii="Times New Roman" w:hAnsi="Times New Roman" w:eastAsia="宋体" w:cs="Times New Roman"/>
                <w:bCs/>
                <w:color w:val="auto"/>
                <w:kern w:val="2"/>
                <w:sz w:val="21"/>
                <w:szCs w:val="21"/>
                <w:lang w:val="en-US" w:eastAsia="zh-CN"/>
              </w:rPr>
              <w:t>）可用Ⅰ</w:t>
            </w:r>
            <w:r>
              <w:rPr>
                <w:rFonts w:hint="eastAsia" w:ascii="Times New Roman" w:hAnsi="Times New Roman" w:eastAsia="宋体" w:cs="Times New Roman"/>
                <w:bCs/>
                <w:color w:val="auto"/>
                <w:kern w:val="2"/>
                <w:sz w:val="21"/>
                <w:szCs w:val="21"/>
                <w:lang w:val="en-US" w:eastAsia="zh-CN"/>
              </w:rPr>
              <w:t>和</w:t>
            </w:r>
            <w:r>
              <w:rPr>
                <w:rFonts w:hint="default" w:ascii="Times New Roman" w:hAnsi="Times New Roman" w:eastAsia="宋体" w:cs="Times New Roman"/>
                <w:color w:val="auto"/>
                <w:kern w:val="0"/>
                <w:sz w:val="21"/>
                <w:szCs w:val="21"/>
                <w:lang w:val="en-US" w:eastAsia="zh-CN"/>
              </w:rPr>
              <w:t>Ⅱ</w:t>
            </w:r>
            <w:r>
              <w:rPr>
                <w:rFonts w:hint="default" w:ascii="Times New Roman" w:hAnsi="Times New Roman" w:eastAsia="宋体" w:cs="Times New Roman"/>
                <w:bCs/>
                <w:color w:val="auto"/>
                <w:kern w:val="2"/>
                <w:sz w:val="21"/>
                <w:szCs w:val="21"/>
                <w:lang w:val="en-US" w:eastAsia="zh-CN"/>
              </w:rPr>
              <w:t>类料堆场防治方案</w:t>
            </w:r>
          </w:p>
        </w:tc>
      </w:tr>
      <w:tr w14:paraId="225730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111AFF89">
            <w:pPr>
              <w:overflowPunct/>
              <w:autoSpaceDE/>
              <w:autoSpaceDN/>
              <w:adjustRightInd/>
              <w:snapToGrid/>
              <w:spacing w:before="0" w:after="0" w:line="240" w:lineRule="auto"/>
              <w:ind w:left="0" w:right="0" w:firstLine="0" w:firstLineChars="0"/>
              <w:jc w:val="center"/>
              <w:rPr>
                <w:rFonts w:hint="eastAsia" w:ascii="Times New Roman" w:hAnsi="Times New Roman" w:eastAsia="宋体" w:cs="Times New Roman"/>
                <w:color w:val="000000"/>
                <w:kern w:val="2"/>
                <w:sz w:val="21"/>
                <w:szCs w:val="21"/>
                <w:lang w:val="en-US" w:eastAsia="zh-CN"/>
              </w:rPr>
            </w:pPr>
          </w:p>
        </w:tc>
        <w:tc>
          <w:tcPr>
            <w:tcW w:w="3246" w:type="dxa"/>
            <w:noWrap w:val="0"/>
            <w:vAlign w:val="center"/>
          </w:tcPr>
          <w:p w14:paraId="7DD32898">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center"/>
              <w:rPr>
                <w:rFonts w:hint="default" w:ascii="Times New Roman" w:hAnsi="Times New Roman" w:eastAsia="宋体" w:cs="Times New Roman"/>
                <w:bCs w:val="0"/>
                <w:color w:val="000000"/>
                <w:spacing w:val="0"/>
                <w:kern w:val="2"/>
                <w:sz w:val="21"/>
                <w:szCs w:val="21"/>
                <w:lang w:val="en-US" w:eastAsia="zh-CN"/>
              </w:rPr>
            </w:pPr>
            <w:r>
              <w:rPr>
                <w:rFonts w:hint="eastAsia" w:ascii="Times New Roman" w:hAnsi="Times New Roman" w:eastAsia="宋体" w:cs="Times New Roman"/>
                <w:bCs w:val="0"/>
                <w:color w:val="000000"/>
                <w:spacing w:val="0"/>
                <w:kern w:val="2"/>
                <w:sz w:val="21"/>
                <w:szCs w:val="21"/>
                <w:lang w:val="en-US" w:eastAsia="zh-CN"/>
              </w:rPr>
              <w:t>（8）覆盖+</w:t>
            </w:r>
          </w:p>
        </w:tc>
        <w:tc>
          <w:tcPr>
            <w:tcW w:w="2914" w:type="dxa"/>
            <w:tcBorders>
              <w:right w:val="single" w:color="000000" w:sz="12" w:space="0"/>
            </w:tcBorders>
            <w:noWrap w:val="0"/>
            <w:vAlign w:val="center"/>
          </w:tcPr>
          <w:p w14:paraId="5B13A3A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 xml:space="preserve">a）喷洒水 </w:t>
            </w:r>
          </w:p>
          <w:p w14:paraId="1F4902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lang w:val="en-US" w:eastAsia="zh-CN"/>
              </w:rPr>
              <w:t>b）喷洒抑尘剂</w:t>
            </w:r>
          </w:p>
        </w:tc>
      </w:tr>
    </w:tbl>
    <w:p w14:paraId="6FF9683C">
      <w:pPr>
        <w:widowControl w:val="0"/>
        <w:spacing w:line="360" w:lineRule="auto"/>
        <w:jc w:val="both"/>
        <w:outlineLvl w:val="3"/>
        <w:rPr>
          <w:rFonts w:hint="default"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w:t>
      </w:r>
      <w:r>
        <w:rPr>
          <w:rFonts w:hint="default" w:ascii="Times New Roman" w:hAnsi="Times New Roman" w:eastAsia="宋体" w:cs="Times New Roman"/>
          <w:b/>
          <w:kern w:val="2"/>
          <w:sz w:val="24"/>
          <w:szCs w:val="24"/>
          <w:lang w:val="en-US" w:eastAsia="zh-CN" w:bidi="ar-SA"/>
        </w:rPr>
        <w:t>.2.1.</w:t>
      </w:r>
      <w:r>
        <w:rPr>
          <w:rFonts w:hint="eastAsia" w:ascii="Times New Roman" w:hAnsi="Times New Roman" w:eastAsia="宋体" w:cs="Times New Roman"/>
          <w:b/>
          <w:kern w:val="2"/>
          <w:sz w:val="24"/>
          <w:szCs w:val="24"/>
          <w:lang w:val="en-US" w:eastAsia="zh-CN" w:bidi="ar-SA"/>
        </w:rPr>
        <w:t>4</w:t>
      </w:r>
      <w:r>
        <w:rPr>
          <w:rFonts w:hint="default" w:ascii="Times New Roman" w:hAnsi="Times New Roman" w:eastAsia="宋体" w:cs="Times New Roman"/>
          <w:b/>
          <w:kern w:val="2"/>
          <w:sz w:val="24"/>
          <w:szCs w:val="24"/>
          <w:lang w:val="en-US" w:eastAsia="zh-CN" w:bidi="ar-SA"/>
        </w:rPr>
        <w:t>无组织排放控制要求及运行管理要求</w:t>
      </w:r>
    </w:p>
    <w:p w14:paraId="776711FE">
      <w:pPr>
        <w:numPr>
          <w:ilvl w:val="0"/>
          <w:numId w:val="0"/>
        </w:numPr>
        <w:spacing w:line="360" w:lineRule="auto"/>
        <w:ind w:left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eastAsia="zh-CN"/>
        </w:rPr>
        <w:t>）排放控制要求</w:t>
      </w:r>
    </w:p>
    <w:p w14:paraId="5F9C55DE">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①</w:t>
      </w:r>
      <w:r>
        <w:rPr>
          <w:rFonts w:hint="default" w:ascii="Times New Roman" w:hAnsi="Times New Roman" w:eastAsia="宋体" w:cs="Times New Roman"/>
          <w:sz w:val="24"/>
          <w:szCs w:val="24"/>
        </w:rPr>
        <w:t>养殖栏舍</w:t>
      </w:r>
    </w:p>
    <w:p w14:paraId="020DD2A9">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a.</w:t>
      </w:r>
      <w:r>
        <w:rPr>
          <w:rFonts w:hint="default" w:ascii="Times New Roman" w:hAnsi="Times New Roman" w:eastAsia="宋体" w:cs="Times New Roman"/>
          <w:sz w:val="24"/>
          <w:szCs w:val="24"/>
        </w:rPr>
        <w:t>选用益生菌配方饲料；</w:t>
      </w:r>
    </w:p>
    <w:p w14:paraId="262594BC">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b.</w:t>
      </w:r>
      <w:r>
        <w:rPr>
          <w:rFonts w:hint="default" w:ascii="Times New Roman" w:hAnsi="Times New Roman" w:eastAsia="宋体" w:cs="Times New Roman"/>
          <w:sz w:val="24"/>
          <w:szCs w:val="24"/>
        </w:rPr>
        <w:t>及时清运粪污；</w:t>
      </w:r>
    </w:p>
    <w:p w14:paraId="6AF25E1E">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c.</w:t>
      </w:r>
      <w:r>
        <w:rPr>
          <w:rFonts w:hint="default" w:ascii="Times New Roman" w:hAnsi="Times New Roman" w:eastAsia="宋体" w:cs="Times New Roman"/>
          <w:sz w:val="24"/>
          <w:szCs w:val="24"/>
        </w:rPr>
        <w:t>向粪便或舍内投（铺）放吸附剂减少臭气的散发；</w:t>
      </w:r>
    </w:p>
    <w:p w14:paraId="2DD4B22B">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d.</w:t>
      </w:r>
      <w:r>
        <w:rPr>
          <w:rFonts w:hint="default" w:ascii="Times New Roman" w:hAnsi="Times New Roman" w:eastAsia="宋体" w:cs="Times New Roman"/>
          <w:sz w:val="24"/>
          <w:szCs w:val="24"/>
        </w:rPr>
        <w:t>投加或喷洒除臭剂；</w:t>
      </w:r>
    </w:p>
    <w:p w14:paraId="7A97EDE3">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②</w:t>
      </w:r>
      <w:r>
        <w:rPr>
          <w:rFonts w:hint="default" w:ascii="Times New Roman" w:hAnsi="Times New Roman" w:eastAsia="宋体" w:cs="Times New Roman"/>
          <w:sz w:val="24"/>
          <w:szCs w:val="24"/>
        </w:rPr>
        <w:t>固体粪污处理工程</w:t>
      </w:r>
    </w:p>
    <w:p w14:paraId="223402DA">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a.</w:t>
      </w:r>
      <w:r>
        <w:rPr>
          <w:rFonts w:hint="default" w:ascii="Times New Roman" w:hAnsi="Times New Roman" w:eastAsia="宋体" w:cs="Times New Roman"/>
          <w:sz w:val="24"/>
          <w:szCs w:val="24"/>
        </w:rPr>
        <w:t>定期喷洒除臭剂；</w:t>
      </w:r>
    </w:p>
    <w:p w14:paraId="1BDC77B2">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b.</w:t>
      </w:r>
      <w:r>
        <w:rPr>
          <w:rFonts w:hint="default" w:ascii="Times New Roman" w:hAnsi="Times New Roman" w:eastAsia="宋体" w:cs="Times New Roman"/>
          <w:sz w:val="24"/>
          <w:szCs w:val="24"/>
        </w:rPr>
        <w:t>及时清运固体粪污；</w:t>
      </w:r>
    </w:p>
    <w:p w14:paraId="01B30836">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c.</w:t>
      </w:r>
      <w:r>
        <w:rPr>
          <w:rFonts w:hint="default" w:ascii="Times New Roman" w:hAnsi="Times New Roman" w:eastAsia="宋体" w:cs="Times New Roman"/>
          <w:sz w:val="24"/>
          <w:szCs w:val="24"/>
        </w:rPr>
        <w:t>采用厌氧或好氧堆肥方式；</w:t>
      </w:r>
    </w:p>
    <w:p w14:paraId="4381AFE9">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③</w:t>
      </w:r>
      <w:r>
        <w:rPr>
          <w:rFonts w:hint="default" w:ascii="Times New Roman" w:hAnsi="Times New Roman" w:eastAsia="宋体" w:cs="Times New Roman"/>
          <w:sz w:val="24"/>
          <w:szCs w:val="24"/>
        </w:rPr>
        <w:t>废水处理工程</w:t>
      </w:r>
    </w:p>
    <w:p w14:paraId="0F1BAF9A">
      <w:pPr>
        <w:numPr>
          <w:ilvl w:val="0"/>
          <w:numId w:val="22"/>
        </w:num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定期喷洒除臭剂；</w:t>
      </w:r>
    </w:p>
    <w:p w14:paraId="56BFC522">
      <w:pPr>
        <w:numPr>
          <w:ilvl w:val="0"/>
          <w:numId w:val="22"/>
        </w:num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废水处理设施加盖或加罩；</w:t>
      </w:r>
    </w:p>
    <w:p w14:paraId="10954B4F">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④</w:t>
      </w:r>
      <w:r>
        <w:rPr>
          <w:rFonts w:hint="default" w:ascii="Times New Roman" w:hAnsi="Times New Roman" w:eastAsia="宋体" w:cs="Times New Roman"/>
          <w:sz w:val="24"/>
          <w:szCs w:val="24"/>
        </w:rPr>
        <w:t>全场</w:t>
      </w:r>
    </w:p>
    <w:p w14:paraId="5479E81D">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a.</w:t>
      </w:r>
      <w:r>
        <w:rPr>
          <w:rFonts w:hint="default" w:ascii="Times New Roman" w:hAnsi="Times New Roman" w:eastAsia="宋体" w:cs="Times New Roman"/>
          <w:sz w:val="24"/>
          <w:szCs w:val="24"/>
        </w:rPr>
        <w:t>固体粪污规范还田利用；</w:t>
      </w:r>
    </w:p>
    <w:p w14:paraId="1F44F7B6">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b.</w:t>
      </w:r>
      <w:r>
        <w:rPr>
          <w:rFonts w:hint="default" w:ascii="Times New Roman" w:hAnsi="Times New Roman" w:eastAsia="宋体" w:cs="Times New Roman"/>
          <w:sz w:val="24"/>
          <w:szCs w:val="24"/>
        </w:rPr>
        <w:t>场区运输道路全硬化、及时清扫、无积灰扬尘、定期洒水抑尘；</w:t>
      </w:r>
    </w:p>
    <w:p w14:paraId="7342F9FA">
      <w:pPr>
        <w:spacing w:line="360" w:lineRule="auto"/>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c.</w:t>
      </w:r>
      <w:r>
        <w:rPr>
          <w:rFonts w:hint="default" w:ascii="Times New Roman" w:hAnsi="Times New Roman" w:eastAsia="宋体" w:cs="Times New Roman"/>
          <w:sz w:val="24"/>
          <w:szCs w:val="24"/>
        </w:rPr>
        <w:t>加强场区绿化。</w:t>
      </w:r>
    </w:p>
    <w:p w14:paraId="32D005C8">
      <w:pPr>
        <w:numPr>
          <w:ilvl w:val="0"/>
          <w:numId w:val="0"/>
        </w:numPr>
        <w:spacing w:line="360" w:lineRule="auto"/>
        <w:ind w:left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eastAsia="zh-CN"/>
        </w:rPr>
        <w:t>）运行管理要求</w:t>
      </w:r>
    </w:p>
    <w:p w14:paraId="2AE80F7C">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根据《排污许可证申请与核发技术规范 畜禽养殖行业》（HJ 1029-2019）</w:t>
      </w:r>
      <w:r>
        <w:rPr>
          <w:rFonts w:hint="default" w:ascii="Times New Roman" w:hAnsi="Times New Roman" w:eastAsia="宋体" w:cs="Times New Roman"/>
          <w:color w:val="auto"/>
          <w:kern w:val="2"/>
          <w:sz w:val="24"/>
          <w:szCs w:val="24"/>
          <w:lang w:val="en-GB" w:eastAsia="zh-CN" w:bidi="ar-SA"/>
        </w:rPr>
        <w:t>无组织排放控制要求</w:t>
      </w:r>
      <w:r>
        <w:rPr>
          <w:rFonts w:hint="eastAsia" w:ascii="Times New Roman" w:hAnsi="Times New Roman" w:eastAsia="宋体" w:cs="Times New Roman"/>
          <w:color w:val="auto"/>
          <w:kern w:val="2"/>
          <w:sz w:val="24"/>
          <w:szCs w:val="24"/>
          <w:lang w:val="en-US" w:eastAsia="zh-CN" w:bidi="ar-SA"/>
        </w:rPr>
        <w:t>如下：</w:t>
      </w:r>
    </w:p>
    <w:p w14:paraId="65620312">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GB" w:eastAsia="zh-CN" w:bidi="ar-SA"/>
        </w:rPr>
        <w:t>a）</w:t>
      </w:r>
      <w:r>
        <w:rPr>
          <w:rFonts w:hint="eastAsia" w:ascii="Times New Roman" w:hAnsi="Times New Roman" w:eastAsia="宋体" w:cs="Times New Roman"/>
          <w:color w:val="auto"/>
          <w:kern w:val="2"/>
          <w:sz w:val="24"/>
          <w:szCs w:val="24"/>
          <w:lang w:val="en-US" w:eastAsia="zh-CN" w:bidi="ar-SA"/>
        </w:rPr>
        <w:t xml:space="preserve">养殖栏舍：选用益生菌配方饲料；及时清运粪污；向粪便或舍内投（铺）放吸附剂减少臭气的散发；投加或喷洒除臭剂； </w:t>
      </w:r>
    </w:p>
    <w:p w14:paraId="11CC52D0">
      <w:pPr>
        <w:widowControl w:val="0"/>
        <w:spacing w:line="360" w:lineRule="auto"/>
        <w:ind w:firstLine="480" w:firstLineChars="200"/>
        <w:jc w:val="both"/>
        <w:rPr>
          <w:rFonts w:hint="default" w:ascii="Times New Roman" w:hAnsi="Times New Roman" w:eastAsia="宋体" w:cs="Times New Roman"/>
          <w:color w:val="auto"/>
          <w:kern w:val="2"/>
          <w:sz w:val="24"/>
          <w:szCs w:val="24"/>
          <w:lang w:val="en-GB" w:eastAsia="zh-CN" w:bidi="ar-SA"/>
        </w:rPr>
      </w:pPr>
      <w:r>
        <w:rPr>
          <w:rFonts w:hint="default" w:ascii="Times New Roman" w:hAnsi="Times New Roman" w:eastAsia="宋体" w:cs="Times New Roman"/>
          <w:color w:val="000000"/>
          <w:kern w:val="2"/>
          <w:sz w:val="24"/>
          <w:szCs w:val="24"/>
          <w:highlight w:val="none"/>
          <w:lang w:val="en-GB" w:eastAsia="zh-CN" w:bidi="ar-SA"/>
        </w:rPr>
        <w:t>b</w:t>
      </w:r>
      <w:r>
        <w:rPr>
          <w:rFonts w:hint="default" w:ascii="Times New Roman" w:hAnsi="Times New Roman" w:eastAsia="宋体" w:cs="Times New Roman"/>
          <w:color w:val="auto"/>
          <w:kern w:val="2"/>
          <w:sz w:val="24"/>
          <w:szCs w:val="24"/>
          <w:lang w:val="en-GB" w:eastAsia="zh-CN" w:bidi="ar-SA"/>
        </w:rPr>
        <w:t>）固体粪污处理工程</w:t>
      </w:r>
      <w:r>
        <w:rPr>
          <w:rFonts w:hint="eastAsia" w:ascii="Times New Roman" w:hAnsi="Times New Roman" w:eastAsia="宋体" w:cs="Times New Roman"/>
          <w:color w:val="auto"/>
          <w:kern w:val="2"/>
          <w:sz w:val="24"/>
          <w:szCs w:val="24"/>
          <w:lang w:val="en-GB" w:eastAsia="zh-CN" w:bidi="ar-SA"/>
        </w:rPr>
        <w:t xml:space="preserve">：定期喷洒除臭剂；及时清运固体粪污；采用厌氧或好氧堆肥方式； </w:t>
      </w:r>
    </w:p>
    <w:p w14:paraId="35A7799A">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c）废水处理工程：定期喷洒除臭剂；废水处理设施加盖或加罩；</w:t>
      </w:r>
    </w:p>
    <w:p w14:paraId="342E7393">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d）全场：</w:t>
      </w:r>
      <w:r>
        <w:rPr>
          <w:rFonts w:hint="default" w:ascii="Times New Roman" w:hAnsi="Times New Roman" w:eastAsia="宋体" w:cs="Times New Roman"/>
          <w:color w:val="000000"/>
          <w:kern w:val="2"/>
          <w:sz w:val="24"/>
          <w:szCs w:val="24"/>
          <w:highlight w:val="none"/>
          <w:lang w:val="en-US" w:eastAsia="zh-CN" w:bidi="ar-SA"/>
        </w:rPr>
        <w:t>固体粪污规范还田利用；场区运输道路全硬化、及时清扫、无积灰扬尘、定期洒水抑尘；加强场区绿化。</w:t>
      </w:r>
    </w:p>
    <w:p w14:paraId="68825D24">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参考</w:t>
      </w:r>
      <w:r>
        <w:rPr>
          <w:rFonts w:hint="eastAsia" w:ascii="Times New Roman" w:hAnsi="Times New Roman" w:eastAsia="宋体" w:cs="Times New Roman"/>
          <w:color w:val="auto"/>
          <w:kern w:val="2"/>
          <w:sz w:val="24"/>
          <w:szCs w:val="24"/>
          <w:lang w:val="en-US" w:eastAsia="zh-CN" w:bidi="ar-SA"/>
        </w:rPr>
        <w:t>《排污许可证申请与核发技术规范农副食品加工工业—饲料加工、植物油加工工业》（HJ1110-2020）</w:t>
      </w:r>
      <w:r>
        <w:rPr>
          <w:rFonts w:hint="default" w:ascii="Times New Roman" w:hAnsi="Times New Roman" w:eastAsia="宋体" w:cs="Times New Roman"/>
          <w:color w:val="auto"/>
          <w:kern w:val="2"/>
          <w:sz w:val="24"/>
          <w:szCs w:val="24"/>
          <w:lang w:val="en-GB" w:eastAsia="zh-CN" w:bidi="ar-SA"/>
        </w:rPr>
        <w:t>无组织排放控制要求</w:t>
      </w:r>
      <w:r>
        <w:rPr>
          <w:rFonts w:hint="eastAsia" w:ascii="Times New Roman" w:hAnsi="Times New Roman" w:eastAsia="宋体" w:cs="Times New Roman"/>
          <w:color w:val="auto"/>
          <w:kern w:val="2"/>
          <w:sz w:val="24"/>
          <w:szCs w:val="24"/>
          <w:lang w:val="en-US" w:eastAsia="zh-CN" w:bidi="ar-SA"/>
        </w:rPr>
        <w:t>如下：</w:t>
      </w:r>
    </w:p>
    <w:p w14:paraId="7298E762">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kern w:val="2"/>
          <w:sz w:val="24"/>
          <w:szCs w:val="24"/>
          <w:lang w:val="en-GB" w:eastAsia="zh-CN" w:bidi="ar-SA"/>
        </w:rPr>
        <w:t>加强装卸料、</w:t>
      </w:r>
      <w:r>
        <w:rPr>
          <w:rFonts w:hint="eastAsia" w:ascii="Times New Roman" w:hAnsi="Times New Roman" w:eastAsia="宋体" w:cs="Times New Roman"/>
          <w:color w:val="auto"/>
          <w:kern w:val="2"/>
          <w:sz w:val="24"/>
          <w:szCs w:val="24"/>
          <w:lang w:val="en-GB" w:eastAsia="zh-CN" w:bidi="ar-SA"/>
        </w:rPr>
        <w:t>运输</w:t>
      </w:r>
      <w:r>
        <w:rPr>
          <w:rFonts w:hint="default" w:ascii="Times New Roman" w:hAnsi="Times New Roman" w:eastAsia="宋体" w:cs="Times New Roman"/>
          <w:color w:val="auto"/>
          <w:kern w:val="2"/>
          <w:sz w:val="24"/>
          <w:szCs w:val="24"/>
          <w:lang w:val="en-GB" w:eastAsia="zh-CN" w:bidi="ar-SA"/>
        </w:rPr>
        <w:t>设备的密封或密闭，或者收集送除尘装置处理后排放</w:t>
      </w:r>
      <w:r>
        <w:rPr>
          <w:rFonts w:hint="default" w:ascii="Times New Roman" w:hAnsi="Times New Roman" w:eastAsia="宋体" w:cs="Times New Roman"/>
          <w:color w:val="000000"/>
          <w:kern w:val="2"/>
          <w:sz w:val="24"/>
          <w:szCs w:val="24"/>
          <w:highlight w:val="none"/>
          <w:lang w:val="en-GB" w:eastAsia="zh-CN" w:bidi="ar-SA"/>
        </w:rPr>
        <w:t>。</w:t>
      </w:r>
    </w:p>
    <w:p w14:paraId="735B8CD8">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bookmarkStart w:id="723" w:name="_Toc21863"/>
      <w:bookmarkStart w:id="724" w:name="_Toc32513"/>
      <w:r>
        <w:rPr>
          <w:rFonts w:hint="eastAsia" w:cs="Times New Roman"/>
          <w:color w:val="000000"/>
          <w:kern w:val="2"/>
          <w:sz w:val="24"/>
          <w:szCs w:val="24"/>
          <w:highlight w:val="none"/>
          <w:lang w:val="en-US" w:eastAsia="zh-CN" w:bidi="ar-SA"/>
        </w:rPr>
        <w:t>参考</w:t>
      </w:r>
      <w:r>
        <w:rPr>
          <w:rFonts w:hint="eastAsia" w:ascii="Times New Roman" w:hAnsi="Times New Roman" w:eastAsia="宋体" w:cs="Times New Roman"/>
          <w:color w:val="000000"/>
          <w:kern w:val="2"/>
          <w:sz w:val="24"/>
          <w:szCs w:val="24"/>
          <w:highlight w:val="none"/>
          <w:lang w:val="en-US" w:eastAsia="zh-CN" w:bidi="ar-SA"/>
        </w:rPr>
        <w:t xml:space="preserve">《排污许可证申请与核发技术规范 磷肥、钾肥、复混肥料、有机肥料和微生物肥料工业》（HJ 864.2-2018）无组织排放控制要求： </w:t>
      </w:r>
    </w:p>
    <w:p w14:paraId="4AA74CEC">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无组织排放的运行管理要求按照GB14554、GB16297中的要求执行，待化肥工业的大气污染物排放标准发布后，从其规定。 </w:t>
      </w:r>
    </w:p>
    <w:p w14:paraId="4CEEFB41">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kern w:val="2"/>
          <w:sz w:val="24"/>
          <w:szCs w:val="24"/>
          <w:lang w:val="en-GB" w:eastAsia="zh-CN" w:bidi="ar-SA"/>
        </w:rPr>
        <w:t>a）</w:t>
      </w:r>
      <w:r>
        <w:rPr>
          <w:rFonts w:hint="eastAsia" w:ascii="Times New Roman" w:hAnsi="Times New Roman" w:eastAsia="宋体" w:cs="Times New Roman"/>
          <w:color w:val="000000"/>
          <w:kern w:val="2"/>
          <w:sz w:val="24"/>
          <w:szCs w:val="24"/>
          <w:highlight w:val="none"/>
          <w:lang w:val="en-US" w:eastAsia="zh-CN" w:bidi="ar-SA"/>
        </w:rPr>
        <w:t>露天堆放物料要实现封闭储存或建设防风抑尘措施。</w:t>
      </w:r>
    </w:p>
    <w:p w14:paraId="79936A12">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GB" w:eastAsia="zh-CN" w:bidi="ar-SA"/>
        </w:rPr>
        <w:t>b）</w:t>
      </w:r>
      <w:r>
        <w:rPr>
          <w:rFonts w:hint="eastAsia" w:ascii="Times New Roman" w:hAnsi="Times New Roman" w:eastAsia="宋体" w:cs="Times New Roman"/>
          <w:color w:val="000000"/>
          <w:kern w:val="2"/>
          <w:sz w:val="24"/>
          <w:szCs w:val="24"/>
          <w:highlight w:val="none"/>
          <w:lang w:val="en-US" w:eastAsia="zh-CN" w:bidi="ar-SA"/>
        </w:rPr>
        <w:t>做好开停工及检维修期间的环境因素识别和环境影响评估，合理安排开停车和检维修的时间及次序，做好开停车及检维修期间的污染物控制措施，最大程度地回收、处理污染物，避免直接排入环境。</w:t>
      </w:r>
    </w:p>
    <w:p w14:paraId="6D8D295B">
      <w:pPr>
        <w:widowControl w:val="0"/>
        <w:numPr>
          <w:ilvl w:val="0"/>
          <w:numId w:val="0"/>
        </w:numPr>
        <w:spacing w:line="360" w:lineRule="auto"/>
        <w:ind w:leftChars="200"/>
        <w:jc w:val="both"/>
        <w:outlineLvl w:val="3"/>
        <w:rPr>
          <w:rFonts w:hint="default" w:ascii="Times New Roman" w:hAnsi="Times New Roman" w:eastAsia="宋体" w:cs="Times New Roman"/>
          <w:b/>
          <w:kern w:val="2"/>
          <w:sz w:val="24"/>
          <w:szCs w:val="24"/>
          <w:lang w:val="en-US" w:eastAsia="zh-CN" w:bidi="ar-SA"/>
        </w:rPr>
      </w:pPr>
      <w:r>
        <w:rPr>
          <w:rFonts w:hint="default" w:ascii="Times New Roman" w:hAnsi="Times New Roman" w:eastAsia="宋体" w:cs="Times New Roman"/>
          <w:b/>
          <w:kern w:val="2"/>
          <w:sz w:val="24"/>
          <w:szCs w:val="24"/>
          <w:lang w:val="en-US" w:eastAsia="zh-CN" w:bidi="ar-SA"/>
        </w:rPr>
        <w:t>7.2.</w:t>
      </w:r>
      <w:r>
        <w:rPr>
          <w:rFonts w:hint="eastAsia" w:ascii="Times New Roman" w:hAnsi="Times New Roman" w:eastAsia="宋体" w:cs="Times New Roman"/>
          <w:b/>
          <w:kern w:val="2"/>
          <w:sz w:val="24"/>
          <w:szCs w:val="24"/>
          <w:lang w:val="en-US" w:eastAsia="zh-CN" w:bidi="ar-SA"/>
        </w:rPr>
        <w:t>1.5</w:t>
      </w:r>
      <w:r>
        <w:rPr>
          <w:rFonts w:hint="default" w:ascii="Times New Roman" w:hAnsi="Times New Roman" w:eastAsia="宋体" w:cs="Times New Roman"/>
          <w:b/>
          <w:kern w:val="2"/>
          <w:sz w:val="24"/>
          <w:szCs w:val="24"/>
          <w:lang w:val="en-US" w:eastAsia="zh-CN" w:bidi="ar-SA"/>
        </w:rPr>
        <w:t>非正常工况措施</w:t>
      </w:r>
    </w:p>
    <w:p w14:paraId="77FCC2E1">
      <w:pPr>
        <w:widowControl w:val="0"/>
        <w:spacing w:after="0"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非正常排放时</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因停电等原因，造成</w:t>
      </w:r>
      <w:r>
        <w:rPr>
          <w:rFonts w:hint="eastAsia" w:ascii="Times New Roman" w:hAnsi="Times New Roman" w:eastAsia="宋体" w:cs="Times New Roman"/>
          <w:color w:val="000000"/>
          <w:kern w:val="2"/>
          <w:sz w:val="24"/>
          <w:szCs w:val="24"/>
          <w:highlight w:val="none"/>
          <w:lang w:val="en-US" w:eastAsia="zh-CN" w:bidi="ar-SA"/>
        </w:rPr>
        <w:t>除尘设备等</w:t>
      </w:r>
      <w:r>
        <w:rPr>
          <w:rFonts w:hint="default" w:ascii="Times New Roman" w:hAnsi="Times New Roman" w:eastAsia="宋体" w:cs="Times New Roman"/>
          <w:color w:val="000000"/>
          <w:kern w:val="2"/>
          <w:sz w:val="24"/>
          <w:szCs w:val="24"/>
          <w:highlight w:val="none"/>
          <w:lang w:val="en-US" w:eastAsia="zh-CN" w:bidi="ar-SA"/>
        </w:rPr>
        <w:t>发生故障，废气发生短时间</w:t>
      </w:r>
      <w:r>
        <w:rPr>
          <w:rFonts w:hint="eastAsia" w:ascii="Times New Roman" w:hAnsi="Times New Roman" w:eastAsia="宋体" w:cs="Times New Roman"/>
          <w:color w:val="000000"/>
          <w:kern w:val="2"/>
          <w:sz w:val="24"/>
          <w:szCs w:val="24"/>
          <w:highlight w:val="none"/>
          <w:lang w:val="en-US" w:eastAsia="zh-CN" w:bidi="ar-SA"/>
        </w:rPr>
        <w:t>内</w:t>
      </w:r>
      <w:r>
        <w:rPr>
          <w:rFonts w:hint="default" w:ascii="Times New Roman" w:hAnsi="Times New Roman" w:eastAsia="宋体" w:cs="Times New Roman"/>
          <w:color w:val="000000"/>
          <w:kern w:val="2"/>
          <w:sz w:val="24"/>
          <w:szCs w:val="24"/>
          <w:highlight w:val="none"/>
          <w:lang w:val="en-US" w:eastAsia="zh-CN" w:bidi="ar-SA"/>
        </w:rPr>
        <w:t>直接排放或发现排气中污染物超标的事态。短时间内排出的废气污染物较正常排放时有较大幅度增加。</w:t>
      </w:r>
    </w:p>
    <w:p w14:paraId="3C1029BA">
      <w:pPr>
        <w:widowControl w:val="0"/>
        <w:spacing w:after="0"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对非正常</w:t>
      </w:r>
      <w:r>
        <w:rPr>
          <w:rFonts w:hint="eastAsia" w:ascii="Times New Roman" w:hAnsi="Times New Roman" w:eastAsia="宋体" w:cs="Times New Roman"/>
          <w:color w:val="000000"/>
          <w:kern w:val="2"/>
          <w:sz w:val="24"/>
          <w:szCs w:val="24"/>
          <w:highlight w:val="none"/>
          <w:lang w:val="en-US" w:eastAsia="zh-CN" w:bidi="ar-SA"/>
        </w:rPr>
        <w:t>排放</w:t>
      </w:r>
      <w:r>
        <w:rPr>
          <w:rFonts w:hint="default" w:ascii="Times New Roman" w:hAnsi="Times New Roman" w:eastAsia="宋体" w:cs="Times New Roman"/>
          <w:color w:val="000000"/>
          <w:kern w:val="2"/>
          <w:sz w:val="24"/>
          <w:szCs w:val="24"/>
          <w:highlight w:val="none"/>
          <w:lang w:val="en-US" w:eastAsia="zh-CN" w:bidi="ar-SA"/>
        </w:rPr>
        <w:t>的废气应通过生产线配套的废气处理设施处理达标后排放。企业应设置备用电源，并做好废气处理效率的检测工作，处理效率下降废气污染物无法达标排放时，应停止生产，直至其处理效率恢复。项目非正常排放时的污染防治措施可行。</w:t>
      </w:r>
    </w:p>
    <w:p w14:paraId="7C60B204">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7</w:t>
      </w:r>
      <w:r>
        <w:rPr>
          <w:rFonts w:hint="default" w:ascii="Times New Roman" w:hAnsi="Times New Roman" w:eastAsia="宋体" w:cs="Times New Roman"/>
          <w:b/>
          <w:bCs/>
          <w:color w:val="auto"/>
          <w:kern w:val="2"/>
          <w:sz w:val="28"/>
          <w:szCs w:val="28"/>
          <w:lang w:val="en-US" w:eastAsia="zh-CN" w:bidi="ar-SA"/>
        </w:rPr>
        <w:t>.2.2水污染防治对策和措施</w:t>
      </w:r>
      <w:bookmarkEnd w:id="719"/>
      <w:bookmarkEnd w:id="720"/>
      <w:bookmarkEnd w:id="721"/>
      <w:bookmarkEnd w:id="722"/>
      <w:bookmarkEnd w:id="723"/>
      <w:bookmarkEnd w:id="724"/>
    </w:p>
    <w:p w14:paraId="5A4D885C">
      <w:pPr>
        <w:widowControl w:val="0"/>
        <w:spacing w:line="360" w:lineRule="auto"/>
        <w:jc w:val="both"/>
        <w:outlineLvl w:val="3"/>
        <w:rPr>
          <w:rFonts w:hint="default" w:ascii="Times New Roman" w:hAnsi="Times New Roman" w:eastAsia="宋体" w:cs="Times New Roman"/>
          <w:b/>
          <w:kern w:val="2"/>
          <w:sz w:val="21"/>
          <w:szCs w:val="24"/>
          <w:lang w:val="en-US" w:eastAsia="zh-CN" w:bidi="ar-SA"/>
        </w:rPr>
      </w:pPr>
      <w:r>
        <w:rPr>
          <w:rFonts w:hint="eastAsia" w:ascii="Times New Roman" w:hAnsi="Times New Roman" w:eastAsia="宋体" w:cs="Times New Roman"/>
          <w:b/>
          <w:kern w:val="2"/>
          <w:sz w:val="24"/>
          <w:szCs w:val="24"/>
          <w:lang w:val="en-US" w:eastAsia="zh-CN" w:bidi="ar-SA"/>
        </w:rPr>
        <w:t>7</w:t>
      </w:r>
      <w:r>
        <w:rPr>
          <w:rFonts w:hint="default" w:ascii="Times New Roman" w:hAnsi="Times New Roman" w:eastAsia="宋体" w:cs="Times New Roman"/>
          <w:b/>
          <w:kern w:val="2"/>
          <w:sz w:val="24"/>
          <w:szCs w:val="24"/>
          <w:lang w:val="en-US" w:eastAsia="zh-CN" w:bidi="ar-SA"/>
        </w:rPr>
        <w:t>.2.2.1水污染防治措施</w:t>
      </w:r>
    </w:p>
    <w:p w14:paraId="26D84183">
      <w:pPr>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b w:val="0"/>
          <w:bCs w:val="0"/>
          <w:color w:val="auto"/>
          <w:sz w:val="24"/>
          <w:szCs w:val="22"/>
          <w:lang w:val="en-US" w:eastAsia="zh-CN"/>
        </w:rPr>
        <w:t>生活污水分别由20m</w:t>
      </w:r>
      <w:r>
        <w:rPr>
          <w:rFonts w:hint="eastAsia" w:ascii="Times New Roman" w:hAnsi="Times New Roman" w:eastAsia="宋体" w:cs="Times New Roman"/>
          <w:b w:val="0"/>
          <w:bCs w:val="0"/>
          <w:color w:val="auto"/>
          <w:sz w:val="24"/>
          <w:szCs w:val="22"/>
          <w:vertAlign w:val="superscript"/>
          <w:lang w:val="en-US" w:eastAsia="zh-CN"/>
        </w:rPr>
        <w:t>3</w:t>
      </w:r>
      <w:r>
        <w:rPr>
          <w:rFonts w:hint="eastAsia" w:ascii="Times New Roman" w:hAnsi="Times New Roman" w:eastAsia="宋体" w:cs="Times New Roman"/>
          <w:b w:val="0"/>
          <w:bCs w:val="0"/>
          <w:color w:val="auto"/>
          <w:sz w:val="24"/>
          <w:szCs w:val="22"/>
          <w:lang w:val="en-US" w:eastAsia="zh-CN"/>
        </w:rPr>
        <w:t>防渗化粪池集中收集，定期由吸污车拉运至污水处理厂处理</w:t>
      </w:r>
      <w:r>
        <w:rPr>
          <w:rFonts w:hint="eastAsia" w:ascii="Times New Roman" w:hAnsi="Times New Roman" w:eastAsia="宋体" w:cs="Times New Roman"/>
          <w:sz w:val="24"/>
          <w:szCs w:val="24"/>
          <w:lang w:val="en-US" w:eastAsia="zh-CN"/>
        </w:rPr>
        <w:t>。</w:t>
      </w:r>
    </w:p>
    <w:p w14:paraId="5B34879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①</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内应尽可能减少冲舍用水量，降低畜粪水分，以利于清粪和处理，也利于</w:t>
      </w:r>
      <w:r>
        <w:rPr>
          <w:rFonts w:hint="eastAsia" w:ascii="Times New Roman" w:hAnsi="Times New Roman" w:eastAsia="宋体" w:cs="Times New Roman"/>
          <w:sz w:val="24"/>
          <w:lang w:val="en-US" w:eastAsia="zh-CN"/>
        </w:rPr>
        <w:t>牛群</w:t>
      </w:r>
      <w:r>
        <w:rPr>
          <w:rFonts w:hint="default" w:ascii="Times New Roman" w:hAnsi="Times New Roman" w:eastAsia="宋体" w:cs="Times New Roman"/>
          <w:sz w:val="24"/>
        </w:rPr>
        <w:t>的健康育肥，同时</w:t>
      </w:r>
      <w:r>
        <w:rPr>
          <w:rFonts w:hint="eastAsia" w:ascii="Times New Roman" w:hAnsi="Times New Roman" w:eastAsia="宋体" w:cs="Times New Roman"/>
          <w:sz w:val="24"/>
          <w:lang w:val="en-US" w:eastAsia="zh-CN"/>
        </w:rPr>
        <w:t>牛粪</w:t>
      </w:r>
      <w:r>
        <w:rPr>
          <w:rFonts w:hint="default" w:ascii="Times New Roman" w:hAnsi="Times New Roman" w:eastAsia="宋体" w:cs="Times New Roman"/>
          <w:sz w:val="24"/>
        </w:rPr>
        <w:t>的运输应妥善安排，防止散落。</w:t>
      </w:r>
    </w:p>
    <w:p w14:paraId="5407468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②合理安排设置管网，</w:t>
      </w:r>
      <w:r>
        <w:rPr>
          <w:rFonts w:hint="eastAsia" w:ascii="Times New Roman" w:hAnsi="Times New Roman" w:eastAsia="宋体" w:cs="Times New Roman"/>
          <w:sz w:val="24"/>
          <w:lang w:val="en-US" w:eastAsia="zh-CN"/>
        </w:rPr>
        <w:t>发酵垫料管理不善产生少量渗滤尿液</w:t>
      </w:r>
      <w:r>
        <w:rPr>
          <w:rFonts w:hint="default" w:ascii="Times New Roman" w:hAnsi="Times New Roman" w:eastAsia="宋体" w:cs="Times New Roman"/>
          <w:sz w:val="24"/>
        </w:rPr>
        <w:t>通过管网排放进入</w:t>
      </w:r>
      <w:r>
        <w:rPr>
          <w:rFonts w:hint="eastAsia" w:ascii="Times New Roman" w:hAnsi="Times New Roman" w:eastAsia="宋体" w:cs="Times New Roman"/>
          <w:sz w:val="24"/>
          <w:lang w:val="en-US" w:eastAsia="zh-CN"/>
        </w:rPr>
        <w:t>尿液收集池</w:t>
      </w:r>
      <w:r>
        <w:rPr>
          <w:rFonts w:hint="default" w:ascii="Times New Roman" w:hAnsi="Times New Roman" w:eastAsia="宋体" w:cs="Times New Roman"/>
          <w:sz w:val="24"/>
        </w:rPr>
        <w:t>中，以合理收集项目产生废水。</w:t>
      </w:r>
    </w:p>
    <w:p w14:paraId="38BC41D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③根据污水产生量估算，建设污水储存池，储存</w:t>
      </w:r>
      <w:r>
        <w:rPr>
          <w:rFonts w:hint="default" w:ascii="Times New Roman" w:hAnsi="Times New Roman" w:eastAsia="宋体" w:cs="Times New Roman"/>
          <w:sz w:val="24"/>
          <w:szCs w:val="24"/>
        </w:rPr>
        <w:t>非</w:t>
      </w:r>
      <w:r>
        <w:rPr>
          <w:rFonts w:hint="eastAsia" w:ascii="Times New Roman" w:hAnsi="Times New Roman" w:eastAsia="宋体" w:cs="Times New Roman"/>
          <w:sz w:val="24"/>
          <w:szCs w:val="24"/>
          <w:lang w:val="en-US" w:eastAsia="zh-CN"/>
        </w:rPr>
        <w:t>农作物生长</w:t>
      </w:r>
      <w:r>
        <w:rPr>
          <w:rFonts w:hint="default" w:ascii="Times New Roman" w:hAnsi="Times New Roman" w:eastAsia="宋体" w:cs="Times New Roman"/>
          <w:sz w:val="24"/>
        </w:rPr>
        <w:t>季节的污水。储水池要做好防渗处理，防止二次污染。</w:t>
      </w:r>
    </w:p>
    <w:p w14:paraId="3672B89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④污水处理设备要</w:t>
      </w:r>
      <w:r>
        <w:rPr>
          <w:rFonts w:hint="eastAsia" w:ascii="Times New Roman" w:hAnsi="Times New Roman" w:eastAsia="宋体" w:cs="Times New Roman"/>
          <w:sz w:val="24"/>
          <w:lang w:eastAsia="zh-CN"/>
        </w:rPr>
        <w:t>做好</w:t>
      </w:r>
      <w:r>
        <w:rPr>
          <w:rFonts w:hint="default" w:ascii="Times New Roman" w:hAnsi="Times New Roman" w:eastAsia="宋体" w:cs="Times New Roman"/>
          <w:sz w:val="24"/>
        </w:rPr>
        <w:t>防渗处理。</w:t>
      </w:r>
    </w:p>
    <w:p w14:paraId="47B46731">
      <w:pPr>
        <w:widowControl w:val="0"/>
        <w:spacing w:line="360" w:lineRule="auto"/>
        <w:jc w:val="both"/>
        <w:outlineLvl w:val="3"/>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w:t>
      </w:r>
      <w:r>
        <w:rPr>
          <w:rFonts w:hint="default" w:ascii="Times New Roman" w:hAnsi="Times New Roman" w:eastAsia="宋体" w:cs="Times New Roman"/>
          <w:b/>
          <w:kern w:val="2"/>
          <w:sz w:val="24"/>
          <w:szCs w:val="24"/>
          <w:lang w:val="en-US" w:eastAsia="zh-CN" w:bidi="ar-SA"/>
        </w:rPr>
        <w:t>.2.2.2</w:t>
      </w:r>
      <w:bookmarkStart w:id="725" w:name="_Toc229909587"/>
      <w:bookmarkStart w:id="726" w:name="_Toc196218618"/>
      <w:bookmarkStart w:id="727" w:name="_Toc183085460"/>
      <w:bookmarkStart w:id="728" w:name="_Toc183085734"/>
      <w:r>
        <w:rPr>
          <w:rFonts w:hint="default" w:ascii="Times New Roman" w:hAnsi="Times New Roman" w:eastAsia="宋体" w:cs="Times New Roman"/>
          <w:b/>
          <w:color w:val="auto"/>
          <w:kern w:val="2"/>
          <w:sz w:val="24"/>
          <w:szCs w:val="24"/>
          <w:lang w:val="en-US" w:eastAsia="zh-CN" w:bidi="ar-SA"/>
        </w:rPr>
        <w:t>地下水防控措施</w:t>
      </w:r>
    </w:p>
    <w:p w14:paraId="6F3B709B">
      <w:pPr>
        <w:widowControl/>
        <w:spacing w:before="0" w:beforeAutospacing="0" w:after="0" w:afterAutospacing="0" w:line="360" w:lineRule="auto"/>
        <w:ind w:firstLine="480"/>
        <w:jc w:val="left"/>
        <w:rPr>
          <w:rFonts w:hint="default" w:ascii="Times New Roman" w:hAnsi="Times New Roman" w:eastAsia="宋体" w:cs="Times New Roman"/>
          <w:color w:val="000000"/>
          <w:kern w:val="0"/>
          <w:sz w:val="24"/>
          <w:szCs w:val="24"/>
          <w:highlight w:val="none"/>
          <w:lang w:val="en-US" w:eastAsia="zh-CN" w:bidi="en-US"/>
        </w:rPr>
      </w:pPr>
      <w:r>
        <w:rPr>
          <w:rFonts w:hint="eastAsia" w:ascii="Times New Roman" w:hAnsi="Times New Roman" w:eastAsia="宋体" w:cs="Times New Roman"/>
          <w:color w:val="000000"/>
          <w:kern w:val="0"/>
          <w:sz w:val="24"/>
          <w:szCs w:val="24"/>
          <w:highlight w:val="none"/>
          <w:lang w:val="en-US" w:eastAsia="zh-CN" w:bidi="en-US"/>
        </w:rPr>
        <w:t>（1）防控原则</w:t>
      </w:r>
    </w:p>
    <w:p w14:paraId="6739482B">
      <w:pPr>
        <w:widowControl/>
        <w:spacing w:before="0" w:beforeAutospacing="0" w:after="0" w:afterAutospacing="0" w:line="360" w:lineRule="auto"/>
        <w:ind w:firstLine="480"/>
        <w:jc w:val="left"/>
        <w:rPr>
          <w:rFonts w:ascii="Times New Roman" w:hAnsi="Times New Roman" w:eastAsia="宋体" w:cs="Times New Roman"/>
          <w:color w:val="000000"/>
          <w:kern w:val="0"/>
          <w:sz w:val="24"/>
          <w:szCs w:val="24"/>
          <w:highlight w:val="none"/>
          <w:lang w:val="en-US" w:eastAsia="zh-CN" w:bidi="en-US"/>
        </w:rPr>
      </w:pPr>
      <w:r>
        <w:rPr>
          <w:rFonts w:ascii="Times New Roman" w:hAnsi="Times New Roman" w:eastAsia="宋体" w:cs="Times New Roman"/>
          <w:color w:val="000000"/>
          <w:kern w:val="0"/>
          <w:sz w:val="24"/>
          <w:szCs w:val="24"/>
          <w:highlight w:val="none"/>
          <w:lang w:val="en-US" w:eastAsia="zh-CN" w:bidi="en-US"/>
        </w:rPr>
        <w:t>根据工程所处区域的地质及水文地质状况</w:t>
      </w:r>
      <w:r>
        <w:rPr>
          <w:rFonts w:hint="eastAsia" w:ascii="Times New Roman" w:hAnsi="Times New Roman" w:eastAsia="宋体" w:cs="Times New Roman"/>
          <w:color w:val="000000"/>
          <w:kern w:val="0"/>
          <w:sz w:val="24"/>
          <w:szCs w:val="24"/>
          <w:highlight w:val="none"/>
          <w:lang w:val="en-US" w:eastAsia="zh-CN" w:bidi="en-US"/>
        </w:rPr>
        <w:t>确定</w:t>
      </w:r>
      <w:r>
        <w:rPr>
          <w:rFonts w:ascii="Times New Roman" w:hAnsi="Times New Roman" w:eastAsia="宋体" w:cs="Times New Roman"/>
          <w:color w:val="000000"/>
          <w:kern w:val="0"/>
          <w:sz w:val="24"/>
          <w:szCs w:val="24"/>
          <w:highlight w:val="none"/>
          <w:lang w:val="en-US" w:eastAsia="zh-CN" w:bidi="en-US"/>
        </w:rPr>
        <w:t>，本项目可能对地下水造成的污染途径主要</w:t>
      </w:r>
      <w:r>
        <w:rPr>
          <w:rFonts w:hint="eastAsia" w:ascii="Times New Roman" w:hAnsi="Times New Roman" w:eastAsia="宋体" w:cs="Times New Roman"/>
          <w:color w:val="000000"/>
          <w:kern w:val="0"/>
          <w:sz w:val="24"/>
          <w:szCs w:val="24"/>
          <w:highlight w:val="none"/>
          <w:lang w:val="en-US" w:eastAsia="zh-CN" w:bidi="en-US"/>
        </w:rPr>
        <w:t>有</w:t>
      </w:r>
      <w:r>
        <w:rPr>
          <w:rFonts w:ascii="Times New Roman" w:hAnsi="Times New Roman" w:eastAsia="宋体" w:cs="Times New Roman"/>
          <w:color w:val="000000"/>
          <w:kern w:val="0"/>
          <w:sz w:val="24"/>
          <w:szCs w:val="24"/>
          <w:highlight w:val="none"/>
          <w:lang w:val="en-US" w:eastAsia="zh-CN" w:bidi="en-US"/>
        </w:rPr>
        <w:t>以下几种：</w:t>
      </w:r>
    </w:p>
    <w:p w14:paraId="09B7FA4C">
      <w:pPr>
        <w:widowControl/>
        <w:spacing w:before="0" w:beforeAutospacing="0" w:after="0" w:afterAutospacing="0" w:line="360" w:lineRule="auto"/>
        <w:ind w:firstLine="480"/>
        <w:jc w:val="left"/>
        <w:rPr>
          <w:rFonts w:ascii="Times New Roman" w:hAnsi="Times New Roman" w:eastAsia="宋体" w:cs="Times New Roman"/>
          <w:color w:val="000000"/>
          <w:kern w:val="0"/>
          <w:sz w:val="24"/>
          <w:szCs w:val="24"/>
          <w:highlight w:val="none"/>
          <w:lang w:val="en-US" w:eastAsia="zh-CN" w:bidi="en-US"/>
        </w:rPr>
      </w:pPr>
      <w:r>
        <w:rPr>
          <w:rFonts w:ascii="Times New Roman" w:hAnsi="Times New Roman" w:eastAsia="宋体" w:cs="Times New Roman"/>
          <w:color w:val="000000"/>
          <w:kern w:val="0"/>
          <w:sz w:val="24"/>
          <w:szCs w:val="24"/>
          <w:highlight w:val="none"/>
          <w:lang w:val="en-US" w:eastAsia="zh-CN" w:bidi="en-US"/>
        </w:rPr>
        <w:t>①</w:t>
      </w:r>
      <w:r>
        <w:rPr>
          <w:rFonts w:hint="eastAsia" w:ascii="Times New Roman" w:hAnsi="Times New Roman" w:eastAsia="宋体" w:cs="Times New Roman"/>
          <w:color w:val="000000"/>
          <w:kern w:val="0"/>
          <w:sz w:val="24"/>
          <w:szCs w:val="24"/>
          <w:highlight w:val="none"/>
          <w:lang w:val="en-US" w:eastAsia="zh-CN" w:bidi="en-US"/>
        </w:rPr>
        <w:t>养殖区</w:t>
      </w:r>
      <w:r>
        <w:rPr>
          <w:rFonts w:ascii="Times New Roman" w:hAnsi="Times New Roman" w:eastAsia="宋体" w:cs="Times New Roman"/>
          <w:color w:val="000000"/>
          <w:kern w:val="0"/>
          <w:sz w:val="24"/>
          <w:szCs w:val="24"/>
          <w:highlight w:val="none"/>
          <w:lang w:val="en-US" w:eastAsia="zh-CN" w:bidi="en-US"/>
        </w:rPr>
        <w:t>防渗措施达不到要求，泄漏或滴落的污染物有可能渐渐下渗影响浅层地下水</w:t>
      </w:r>
      <w:r>
        <w:rPr>
          <w:rFonts w:hint="eastAsia" w:ascii="Times New Roman" w:hAnsi="Times New Roman" w:eastAsia="宋体" w:cs="Times New Roman"/>
          <w:color w:val="000000"/>
          <w:kern w:val="0"/>
          <w:sz w:val="24"/>
          <w:szCs w:val="24"/>
          <w:highlight w:val="none"/>
          <w:lang w:val="en-US" w:eastAsia="zh-CN" w:bidi="en-US"/>
        </w:rPr>
        <w:t>；</w:t>
      </w:r>
    </w:p>
    <w:p w14:paraId="579FEF51">
      <w:pPr>
        <w:widowControl/>
        <w:spacing w:before="0" w:beforeAutospacing="0" w:after="0" w:afterAutospacing="0" w:line="360" w:lineRule="auto"/>
        <w:ind w:firstLine="480"/>
        <w:jc w:val="left"/>
        <w:rPr>
          <w:rFonts w:ascii="Times New Roman" w:hAnsi="Times New Roman" w:eastAsia="宋体" w:cs="Times New Roman"/>
          <w:color w:val="000000"/>
          <w:kern w:val="0"/>
          <w:sz w:val="24"/>
          <w:szCs w:val="24"/>
          <w:highlight w:val="none"/>
          <w:lang w:val="en-US" w:eastAsia="zh-CN" w:bidi="en-US"/>
        </w:rPr>
      </w:pPr>
      <w:r>
        <w:rPr>
          <w:rFonts w:ascii="Times New Roman" w:hAnsi="Times New Roman" w:eastAsia="宋体" w:cs="Times New Roman"/>
          <w:color w:val="000000"/>
          <w:kern w:val="0"/>
          <w:sz w:val="24"/>
          <w:szCs w:val="24"/>
          <w:highlight w:val="none"/>
          <w:lang w:val="en-US" w:eastAsia="zh-CN" w:bidi="en-US"/>
        </w:rPr>
        <w:t>②</w:t>
      </w:r>
      <w:r>
        <w:rPr>
          <w:rFonts w:hint="eastAsia" w:ascii="Times New Roman" w:hAnsi="Times New Roman" w:eastAsia="宋体" w:cs="Times New Roman"/>
          <w:color w:val="000000"/>
          <w:kern w:val="0"/>
          <w:sz w:val="24"/>
          <w:szCs w:val="24"/>
          <w:highlight w:val="none"/>
          <w:lang w:val="en-US" w:eastAsia="zh-CN" w:bidi="en-US"/>
        </w:rPr>
        <w:t>废水管网、尿液收集池</w:t>
      </w:r>
      <w:r>
        <w:rPr>
          <w:rFonts w:ascii="Times New Roman" w:hAnsi="Times New Roman" w:eastAsia="宋体" w:cs="Times New Roman"/>
          <w:color w:val="000000"/>
          <w:kern w:val="0"/>
          <w:sz w:val="24"/>
          <w:szCs w:val="24"/>
          <w:highlight w:val="none"/>
          <w:lang w:val="en-US" w:eastAsia="zh-CN" w:bidi="en-US"/>
        </w:rPr>
        <w:t>等构筑物如防渗措施不到位，污染物较高的废水会下渗污染地下水</w:t>
      </w:r>
      <w:r>
        <w:rPr>
          <w:rFonts w:hint="eastAsia" w:ascii="Times New Roman" w:hAnsi="Times New Roman" w:eastAsia="宋体" w:cs="Times New Roman"/>
          <w:color w:val="000000"/>
          <w:kern w:val="0"/>
          <w:sz w:val="24"/>
          <w:szCs w:val="24"/>
          <w:highlight w:val="none"/>
          <w:lang w:val="en-US" w:eastAsia="zh-CN" w:bidi="en-US"/>
        </w:rPr>
        <w:t>；</w:t>
      </w:r>
    </w:p>
    <w:p w14:paraId="1AAC53C9">
      <w:pPr>
        <w:widowControl/>
        <w:spacing w:before="0" w:beforeAutospacing="0" w:after="0" w:afterAutospacing="0" w:line="360" w:lineRule="auto"/>
        <w:ind w:firstLine="480"/>
        <w:jc w:val="left"/>
        <w:rPr>
          <w:rFonts w:ascii="Times New Roman" w:hAnsi="Times New Roman" w:eastAsia="宋体" w:cs="Times New Roman"/>
          <w:color w:val="000000"/>
          <w:kern w:val="0"/>
          <w:sz w:val="24"/>
          <w:szCs w:val="24"/>
          <w:highlight w:val="none"/>
          <w:lang w:val="en-US" w:eastAsia="zh-CN" w:bidi="en-US"/>
        </w:rPr>
      </w:pPr>
      <w:r>
        <w:rPr>
          <w:rFonts w:ascii="Times New Roman" w:hAnsi="Times New Roman" w:eastAsia="宋体" w:cs="Times New Roman"/>
          <w:color w:val="000000"/>
          <w:kern w:val="0"/>
          <w:sz w:val="24"/>
          <w:szCs w:val="24"/>
          <w:highlight w:val="none"/>
          <w:lang w:val="en-US" w:eastAsia="zh-CN" w:bidi="en-US"/>
        </w:rPr>
        <w:t>③事故状态下废水外溢对地下水的影响。</w:t>
      </w:r>
    </w:p>
    <w:p w14:paraId="52407FE4">
      <w:pPr>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为针对项目可能发生的地下水污染，</w:t>
      </w:r>
      <w:r>
        <w:rPr>
          <w:rFonts w:hint="eastAsia" w:ascii="Times New Roman" w:hAnsi="Times New Roman" w:eastAsia="宋体" w:cs="Times New Roman"/>
          <w:color w:val="auto"/>
          <w:kern w:val="0"/>
          <w:sz w:val="24"/>
        </w:rPr>
        <w:t>根据《</w:t>
      </w:r>
      <w:r>
        <w:rPr>
          <w:rFonts w:hint="eastAsia" w:ascii="Times New Roman" w:hAnsi="Times New Roman" w:eastAsia="宋体" w:cs="Times New Roman"/>
          <w:color w:val="auto"/>
          <w:kern w:val="0"/>
          <w:sz w:val="24"/>
          <w:lang w:eastAsia="zh-CN"/>
        </w:rPr>
        <w:t>环境影响评价技术导则 地下水环境</w:t>
      </w:r>
      <w:r>
        <w:rPr>
          <w:rFonts w:hint="eastAsia" w:ascii="Times New Roman" w:hAnsi="Times New Roman" w:eastAsia="宋体" w:cs="Times New Roman"/>
          <w:color w:val="auto"/>
          <w:kern w:val="0"/>
          <w:sz w:val="24"/>
        </w:rPr>
        <w:t>》（HJ610-2016），地下水环境保护措施与对策应符合《中华人民共和国水污染防治法》和《中华人民共和国环境影响评价法》的相关规定，按照</w:t>
      </w:r>
      <w:r>
        <w:rPr>
          <w:rFonts w:hint="eastAsia" w:cs="Times New Roman"/>
          <w:color w:val="auto"/>
          <w:kern w:val="0"/>
          <w:sz w:val="24"/>
          <w:lang w:eastAsia="zh-CN"/>
        </w:rPr>
        <w:t>“</w:t>
      </w:r>
      <w:r>
        <w:rPr>
          <w:rFonts w:hint="eastAsia" w:ascii="Times New Roman" w:hAnsi="Times New Roman" w:eastAsia="宋体" w:cs="Times New Roman"/>
          <w:color w:val="auto"/>
          <w:kern w:val="0"/>
          <w:sz w:val="24"/>
        </w:rPr>
        <w:t>源头控制、分区防控、污染监控、应急响应</w:t>
      </w:r>
      <w:r>
        <w:rPr>
          <w:rFonts w:hint="eastAsia" w:cs="Times New Roman"/>
          <w:color w:val="auto"/>
          <w:kern w:val="0"/>
          <w:sz w:val="24"/>
          <w:lang w:eastAsia="zh-CN"/>
        </w:rPr>
        <w:t>”</w:t>
      </w:r>
      <w:r>
        <w:rPr>
          <w:rFonts w:hint="eastAsia" w:ascii="Times New Roman" w:hAnsi="Times New Roman" w:eastAsia="宋体" w:cs="Times New Roman"/>
          <w:color w:val="auto"/>
          <w:kern w:val="0"/>
          <w:sz w:val="24"/>
        </w:rPr>
        <w:t>的原则确定</w:t>
      </w:r>
      <w:r>
        <w:rPr>
          <w:rFonts w:ascii="Times New Roman" w:hAnsi="Times New Roman" w:eastAsia="宋体" w:cs="Times New Roman"/>
          <w:color w:val="000000"/>
          <w:kern w:val="2"/>
          <w:sz w:val="24"/>
          <w:szCs w:val="24"/>
          <w:highlight w:val="none"/>
          <w:lang w:val="en-US" w:eastAsia="zh-CN" w:bidi="ar-SA"/>
        </w:rPr>
        <w:t>，从污染物的产生、入渗、扩散、应急响应全方位进行控制</w:t>
      </w:r>
      <w:r>
        <w:rPr>
          <w:rFonts w:hint="eastAsia" w:ascii="Times New Roman" w:hAnsi="Times New Roman" w:eastAsia="宋体" w:cs="Times New Roman"/>
          <w:color w:val="000000"/>
          <w:kern w:val="2"/>
          <w:sz w:val="24"/>
          <w:szCs w:val="24"/>
          <w:highlight w:val="none"/>
          <w:lang w:val="en-US" w:eastAsia="zh-CN" w:bidi="ar-SA"/>
        </w:rPr>
        <w:t>。</w:t>
      </w:r>
    </w:p>
    <w:p w14:paraId="35379E40">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源头控制：主要包括在工艺、管道、设备、污水储存及处理构筑物采取相应措施，防止和降低污染物跑、冒、滴、漏，将污染物泄漏的环境风险事故降到最低程度；管线敷设尽量采用</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可视化</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原则，即管道尽可能地上敷设，做到污染物</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早发现、早处理</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，减少由于埋地管道泄漏而造成的地下水污染。</w:t>
      </w:r>
    </w:p>
    <w:p w14:paraId="5A8D2C7C">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分区防治：结合</w:t>
      </w:r>
      <w:r>
        <w:rPr>
          <w:rFonts w:hint="eastAsia" w:ascii="Times New Roman" w:hAnsi="Times New Roman" w:eastAsia="宋体" w:cs="Times New Roman"/>
          <w:color w:val="000000"/>
          <w:kern w:val="2"/>
          <w:sz w:val="24"/>
          <w:szCs w:val="24"/>
          <w:highlight w:val="none"/>
          <w:lang w:val="en-US" w:eastAsia="zh-CN" w:bidi="ar-SA"/>
        </w:rPr>
        <w:t>场区</w:t>
      </w:r>
      <w:r>
        <w:rPr>
          <w:rFonts w:ascii="Times New Roman" w:hAnsi="Times New Roman" w:eastAsia="宋体" w:cs="Times New Roman"/>
          <w:color w:val="000000"/>
          <w:kern w:val="2"/>
          <w:sz w:val="24"/>
          <w:szCs w:val="24"/>
          <w:highlight w:val="none"/>
          <w:lang w:val="en-US" w:eastAsia="zh-CN" w:bidi="ar-SA"/>
        </w:rPr>
        <w:t>生产设备、管道、污染物储存等布局，实行重点污染防治区、一般污染防治区和非污染区</w:t>
      </w:r>
      <w:r>
        <w:rPr>
          <w:rFonts w:hint="eastAsia" w:ascii="Times New Roman" w:hAnsi="Times New Roman" w:eastAsia="宋体"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有区别</w:t>
      </w:r>
      <w:r>
        <w:rPr>
          <w:rFonts w:hint="eastAsia" w:ascii="Times New Roman" w:hAnsi="Times New Roman" w:eastAsia="宋体" w:cs="Times New Roman"/>
          <w:color w:val="000000"/>
          <w:kern w:val="2"/>
          <w:sz w:val="24"/>
          <w:szCs w:val="24"/>
          <w:highlight w:val="none"/>
          <w:lang w:val="en-US" w:eastAsia="zh-CN" w:bidi="ar-SA"/>
        </w:rPr>
        <w:t>地采取</w:t>
      </w:r>
      <w:r>
        <w:rPr>
          <w:rFonts w:ascii="Times New Roman" w:hAnsi="Times New Roman" w:eastAsia="宋体" w:cs="Times New Roman"/>
          <w:color w:val="000000"/>
          <w:kern w:val="2"/>
          <w:sz w:val="24"/>
          <w:szCs w:val="24"/>
          <w:highlight w:val="none"/>
          <w:lang w:val="en-US" w:eastAsia="zh-CN" w:bidi="ar-SA"/>
        </w:rPr>
        <w:t>防渗措施。主要包括</w:t>
      </w:r>
      <w:r>
        <w:rPr>
          <w:rFonts w:hint="eastAsia" w:ascii="Times New Roman" w:hAnsi="Times New Roman" w:eastAsia="宋体" w:cs="Times New Roman"/>
          <w:color w:val="000000"/>
          <w:kern w:val="2"/>
          <w:sz w:val="24"/>
          <w:szCs w:val="24"/>
          <w:highlight w:val="none"/>
          <w:lang w:val="en-US" w:eastAsia="zh-CN" w:bidi="ar-SA"/>
        </w:rPr>
        <w:t>场区</w:t>
      </w:r>
      <w:r>
        <w:rPr>
          <w:rFonts w:ascii="Times New Roman" w:hAnsi="Times New Roman" w:eastAsia="宋体" w:cs="Times New Roman"/>
          <w:color w:val="000000"/>
          <w:kern w:val="2"/>
          <w:sz w:val="24"/>
          <w:szCs w:val="24"/>
          <w:highlight w:val="none"/>
          <w:lang w:val="en-US" w:eastAsia="zh-CN" w:bidi="ar-SA"/>
        </w:rPr>
        <w:t>内污染区地面的防渗措施和泄漏、渗漏污染物收集措施，即在污染区地面进行防渗处理，防止洒落地面的污染物渗入地下，并把滞留在地面的污染物收集起来，送至</w:t>
      </w:r>
      <w:r>
        <w:rPr>
          <w:rFonts w:hint="eastAsia" w:ascii="Times New Roman" w:hAnsi="Times New Roman" w:eastAsia="宋体" w:cs="Times New Roman"/>
          <w:color w:val="000000"/>
          <w:kern w:val="2"/>
          <w:sz w:val="24"/>
          <w:szCs w:val="24"/>
          <w:highlight w:val="none"/>
          <w:lang w:val="en-US" w:eastAsia="zh-CN" w:bidi="ar-SA"/>
        </w:rPr>
        <w:t>场区</w:t>
      </w:r>
      <w:r>
        <w:rPr>
          <w:rFonts w:ascii="Times New Roman" w:hAnsi="Times New Roman" w:eastAsia="宋体" w:cs="Times New Roman"/>
          <w:color w:val="000000"/>
          <w:kern w:val="2"/>
          <w:sz w:val="24"/>
          <w:szCs w:val="24"/>
          <w:highlight w:val="none"/>
          <w:lang w:val="en-US" w:eastAsia="zh-CN" w:bidi="ar-SA"/>
        </w:rPr>
        <w:t>内的</w:t>
      </w:r>
      <w:r>
        <w:rPr>
          <w:rFonts w:hint="eastAsia" w:ascii="Times New Roman" w:hAnsi="Times New Roman" w:eastAsia="宋体" w:cs="Times New Roman"/>
          <w:color w:val="000000"/>
          <w:kern w:val="2"/>
          <w:sz w:val="24"/>
          <w:szCs w:val="24"/>
          <w:highlight w:val="none"/>
          <w:lang w:val="en-US" w:eastAsia="zh-CN" w:bidi="ar-SA"/>
        </w:rPr>
        <w:t>奶噢耶</w:t>
      </w:r>
      <w:r>
        <w:rPr>
          <w:rFonts w:ascii="Times New Roman" w:hAnsi="Times New Roman" w:eastAsia="宋体" w:cs="Times New Roman"/>
          <w:color w:val="000000"/>
          <w:kern w:val="2"/>
          <w:sz w:val="24"/>
          <w:szCs w:val="24"/>
          <w:highlight w:val="none"/>
          <w:lang w:val="en-US" w:eastAsia="zh-CN" w:bidi="ar-SA"/>
        </w:rPr>
        <w:t>收集池；</w:t>
      </w:r>
    </w:p>
    <w:p w14:paraId="3A9E5DB0">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污染监控体系：实施覆盖生产区的地下水污染监控系统，包括建立完善的监测制度、配备先进的检测仪器和设备</w:t>
      </w:r>
      <w:r>
        <w:rPr>
          <w:rFonts w:hint="eastAsia" w:ascii="Times New Roman" w:hAnsi="Times New Roman" w:eastAsia="宋体"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科学、合理设置地下水污染监控井，及时发现污染、及时控制；</w:t>
      </w:r>
    </w:p>
    <w:p w14:paraId="053C474A">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应急响应：包括一旦发现地下水污染事故，立即启动应急预案、采取应急措施控制地下水污染，并使污染得到治理。</w:t>
      </w:r>
      <w:bookmarkStart w:id="729" w:name="_Toc298158669"/>
      <w:bookmarkStart w:id="730" w:name="_Toc312679104"/>
      <w:bookmarkStart w:id="731" w:name="_Toc305232454"/>
    </w:p>
    <w:bookmarkEnd w:id="729"/>
    <w:bookmarkEnd w:id="730"/>
    <w:bookmarkEnd w:id="731"/>
    <w:p w14:paraId="2B122132">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bookmarkStart w:id="732" w:name="_Toc418678869"/>
      <w:r>
        <w:rPr>
          <w:rFonts w:ascii="Times New Roman" w:hAnsi="Times New Roman" w:eastAsia="宋体" w:cs="Times New Roman"/>
          <w:color w:val="000000"/>
          <w:kern w:val="2"/>
          <w:sz w:val="24"/>
          <w:szCs w:val="24"/>
          <w:highlight w:val="none"/>
          <w:lang w:val="en-US" w:eastAsia="zh-CN" w:bidi="ar-SA"/>
        </w:rPr>
        <w:t>（2）防渗系统</w:t>
      </w:r>
      <w:bookmarkEnd w:id="732"/>
    </w:p>
    <w:p w14:paraId="28B81A1C">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地面防渗措施，即末端控制措施，主要包括</w:t>
      </w:r>
      <w:r>
        <w:rPr>
          <w:rFonts w:hint="eastAsia" w:ascii="Times New Roman" w:hAnsi="Times New Roman" w:eastAsia="宋体" w:cs="Times New Roman"/>
          <w:color w:val="000000"/>
          <w:kern w:val="2"/>
          <w:sz w:val="24"/>
          <w:szCs w:val="24"/>
          <w:highlight w:val="none"/>
          <w:lang w:val="en-US" w:eastAsia="zh-CN" w:bidi="ar-SA"/>
        </w:rPr>
        <w:t>厂区内</w:t>
      </w:r>
      <w:r>
        <w:rPr>
          <w:rFonts w:ascii="Times New Roman" w:hAnsi="Times New Roman" w:eastAsia="宋体" w:cs="Times New Roman"/>
          <w:color w:val="000000"/>
          <w:kern w:val="2"/>
          <w:sz w:val="24"/>
          <w:szCs w:val="24"/>
          <w:highlight w:val="none"/>
          <w:lang w:val="en-US" w:eastAsia="zh-CN" w:bidi="ar-SA"/>
        </w:rPr>
        <w:t>污水管网处及污染区地面的防渗措施和泄漏、渗漏污染物收集措施。通过在污染区地面进行防渗处理，防止洒落地面的污染物渗入地下，并把滞留在地面的污染物收集起来，集中送至</w:t>
      </w:r>
      <w:r>
        <w:rPr>
          <w:rFonts w:hint="eastAsia" w:ascii="Times New Roman" w:hAnsi="Times New Roman" w:eastAsia="宋体" w:cs="Times New Roman"/>
          <w:color w:val="000000"/>
          <w:kern w:val="2"/>
          <w:sz w:val="24"/>
          <w:szCs w:val="24"/>
          <w:highlight w:val="none"/>
          <w:lang w:val="en-US" w:eastAsia="zh-CN" w:bidi="ar-SA"/>
        </w:rPr>
        <w:t>污水处理设施</w:t>
      </w:r>
      <w:r>
        <w:rPr>
          <w:rFonts w:ascii="Times New Roman" w:hAnsi="Times New Roman" w:eastAsia="宋体" w:cs="Times New Roman"/>
          <w:color w:val="000000"/>
          <w:kern w:val="2"/>
          <w:sz w:val="24"/>
          <w:szCs w:val="24"/>
          <w:highlight w:val="none"/>
          <w:lang w:val="en-US" w:eastAsia="zh-CN" w:bidi="ar-SA"/>
        </w:rPr>
        <w:t>。</w:t>
      </w:r>
    </w:p>
    <w:p w14:paraId="2A104525">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bookmarkStart w:id="733" w:name="_Toc260953225"/>
      <w:r>
        <w:rPr>
          <w:rFonts w:ascii="Times New Roman" w:hAnsi="Times New Roman" w:eastAsia="宋体" w:cs="Times New Roman"/>
          <w:color w:val="000000"/>
          <w:kern w:val="2"/>
          <w:sz w:val="24"/>
          <w:szCs w:val="24"/>
          <w:highlight w:val="none"/>
          <w:lang w:val="en-US" w:eastAsia="zh-CN" w:bidi="ar-SA"/>
        </w:rPr>
        <w:t>地面防渗工程设计原则</w:t>
      </w:r>
      <w:bookmarkEnd w:id="733"/>
      <w:r>
        <w:rPr>
          <w:rFonts w:ascii="Times New Roman" w:hAnsi="Times New Roman" w:eastAsia="宋体" w:cs="Times New Roman"/>
          <w:color w:val="000000"/>
          <w:kern w:val="2"/>
          <w:sz w:val="24"/>
          <w:szCs w:val="24"/>
          <w:highlight w:val="none"/>
          <w:lang w:val="en-US" w:eastAsia="zh-CN" w:bidi="ar-SA"/>
        </w:rPr>
        <w:t>：</w:t>
      </w:r>
    </w:p>
    <w:p w14:paraId="5230F724">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①采用国际国内先进的防渗材料、技术和实施手段，确保工程建设对区域内地下水影响较小，地下水现有水体功能不发生明显改变。</w:t>
      </w:r>
    </w:p>
    <w:p w14:paraId="046D4C6A">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②坚持分区管理和控制原则，根据场址所在地的工程地质、水文地质条件和全厂可能发生泄漏的物料性质、排放量，参照相应标准要求有针对性</w:t>
      </w:r>
      <w:r>
        <w:rPr>
          <w:rFonts w:hint="eastAsia" w:ascii="Times New Roman" w:hAnsi="Times New Roman" w:eastAsia="宋体" w:cs="Times New Roman"/>
          <w:color w:val="000000"/>
          <w:kern w:val="2"/>
          <w:sz w:val="24"/>
          <w:szCs w:val="24"/>
          <w:highlight w:val="none"/>
          <w:lang w:val="en-US" w:eastAsia="zh-CN" w:bidi="ar-SA"/>
        </w:rPr>
        <w:t>地</w:t>
      </w:r>
      <w:r>
        <w:rPr>
          <w:rFonts w:ascii="Times New Roman" w:hAnsi="Times New Roman" w:eastAsia="宋体" w:cs="Times New Roman"/>
          <w:color w:val="000000"/>
          <w:kern w:val="2"/>
          <w:sz w:val="24"/>
          <w:szCs w:val="24"/>
          <w:highlight w:val="none"/>
          <w:lang w:val="en-US" w:eastAsia="zh-CN" w:bidi="ar-SA"/>
        </w:rPr>
        <w:t>分区，并分别设计地面防渗层结构。</w:t>
      </w:r>
    </w:p>
    <w:p w14:paraId="43BE4FF5">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③坚持</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可视化</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原则，在满足工程和防渗层结构标准要求的前提下，尽量在地表面实施防渗措施，便于泄漏物质的收集和及时发现破损的防渗层。</w:t>
      </w:r>
    </w:p>
    <w:p w14:paraId="2467383D">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④实施防渗的区域均设置检漏装置，其中可能泄漏危险废物的重点污染防治区防渗设置自动检漏装置。</w:t>
      </w:r>
    </w:p>
    <w:p w14:paraId="23B73306">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⑤防渗层上渗漏污染物和防渗层内渗漏污染物收集系统与全厂</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三废</w:t>
      </w:r>
      <w:r>
        <w:rPr>
          <w:rFonts w:hint="eastAsia"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处理措施统筹考虑，统一处理。</w:t>
      </w:r>
    </w:p>
    <w:p w14:paraId="23EA07B5">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（3）</w:t>
      </w:r>
      <w:r>
        <w:rPr>
          <w:rFonts w:ascii="Times New Roman" w:hAnsi="Times New Roman" w:eastAsia="宋体" w:cs="Times New Roman"/>
          <w:color w:val="000000"/>
          <w:kern w:val="2"/>
          <w:sz w:val="24"/>
          <w:szCs w:val="24"/>
          <w:highlight w:val="none"/>
          <w:lang w:val="en-US" w:eastAsia="zh-CN" w:bidi="ar-SA"/>
        </w:rPr>
        <w:t>分区防治措施</w:t>
      </w:r>
    </w:p>
    <w:p w14:paraId="64F5CCCC">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根据</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环境影响评价技术导则 地下水环境</w:t>
      </w:r>
      <w:r>
        <w:rPr>
          <w:rFonts w:hint="default" w:ascii="Times New Roman" w:hAnsi="Times New Roman" w:eastAsia="宋体" w:cs="Times New Roman"/>
          <w:color w:val="000000"/>
          <w:kern w:val="2"/>
          <w:sz w:val="24"/>
          <w:szCs w:val="24"/>
          <w:highlight w:val="none"/>
          <w:lang w:val="en-US" w:eastAsia="zh-CN" w:bidi="ar-SA"/>
        </w:rPr>
        <w:t>》（HJ610-2016）</w:t>
      </w:r>
      <w:r>
        <w:rPr>
          <w:rFonts w:hint="eastAsia" w:ascii="Times New Roman" w:hAnsi="Times New Roman" w:eastAsia="宋体" w:cs="Times New Roman"/>
          <w:color w:val="000000"/>
          <w:kern w:val="2"/>
          <w:sz w:val="24"/>
          <w:szCs w:val="24"/>
          <w:highlight w:val="none"/>
          <w:lang w:val="en-US" w:eastAsia="zh-CN" w:bidi="ar-SA"/>
        </w:rPr>
        <w:t>对污染控制难易程度、天然包气带防污性能以及污染物种类，并结合本项目</w:t>
      </w:r>
      <w:r>
        <w:rPr>
          <w:rFonts w:ascii="Times New Roman" w:hAnsi="Times New Roman" w:eastAsia="宋体" w:cs="Times New Roman"/>
          <w:color w:val="000000"/>
          <w:kern w:val="2"/>
          <w:sz w:val="24"/>
          <w:szCs w:val="24"/>
          <w:highlight w:val="none"/>
          <w:lang w:val="en-US" w:eastAsia="zh-CN" w:bidi="ar-SA"/>
        </w:rPr>
        <w:t>生产装置的性质和防渗要求，以及拟采取的防渗处理方案，将厂区防渗措施分为三个级别，并对应三个防治区，即</w:t>
      </w:r>
      <w:r>
        <w:rPr>
          <w:rFonts w:hint="eastAsia" w:ascii="Times New Roman" w:hAnsi="Times New Roman" w:eastAsia="宋体" w:cs="Times New Roman"/>
          <w:color w:val="000000"/>
          <w:kern w:val="2"/>
          <w:sz w:val="24"/>
          <w:szCs w:val="24"/>
          <w:highlight w:val="none"/>
          <w:lang w:val="en-US" w:eastAsia="zh-CN" w:bidi="ar-SA"/>
        </w:rPr>
        <w:t>简单防渗区</w:t>
      </w:r>
      <w:r>
        <w:rPr>
          <w:rFonts w:ascii="Times New Roman" w:hAnsi="Times New Roman" w:eastAsia="宋体" w:cs="Times New Roman"/>
          <w:color w:val="000000"/>
          <w:kern w:val="2"/>
          <w:sz w:val="24"/>
          <w:szCs w:val="24"/>
          <w:highlight w:val="none"/>
          <w:lang w:val="en-US" w:eastAsia="zh-CN" w:bidi="ar-SA"/>
        </w:rPr>
        <w:t>、一般</w:t>
      </w:r>
      <w:r>
        <w:rPr>
          <w:rFonts w:hint="eastAsia" w:ascii="Times New Roman" w:hAnsi="Times New Roman" w:eastAsia="宋体" w:cs="Times New Roman"/>
          <w:color w:val="000000"/>
          <w:kern w:val="2"/>
          <w:sz w:val="24"/>
          <w:szCs w:val="24"/>
          <w:highlight w:val="none"/>
          <w:lang w:val="en-US" w:eastAsia="zh-CN" w:bidi="ar-SA"/>
        </w:rPr>
        <w:t>防渗区</w:t>
      </w:r>
      <w:r>
        <w:rPr>
          <w:rFonts w:ascii="Times New Roman" w:hAnsi="Times New Roman" w:eastAsia="宋体" w:cs="Times New Roman"/>
          <w:color w:val="000000"/>
          <w:kern w:val="2"/>
          <w:sz w:val="24"/>
          <w:szCs w:val="24"/>
          <w:highlight w:val="none"/>
          <w:lang w:val="en-US" w:eastAsia="zh-CN" w:bidi="ar-SA"/>
        </w:rPr>
        <w:t>和重点</w:t>
      </w:r>
      <w:r>
        <w:rPr>
          <w:rFonts w:hint="eastAsia" w:ascii="Times New Roman" w:hAnsi="Times New Roman" w:eastAsia="宋体" w:cs="Times New Roman"/>
          <w:color w:val="000000"/>
          <w:kern w:val="2"/>
          <w:sz w:val="24"/>
          <w:szCs w:val="24"/>
          <w:highlight w:val="none"/>
          <w:lang w:val="en-US" w:eastAsia="zh-CN" w:bidi="ar-SA"/>
        </w:rPr>
        <w:t>防渗区</w:t>
      </w:r>
      <w:r>
        <w:rPr>
          <w:rFonts w:ascii="Times New Roman" w:hAnsi="Times New Roman" w:eastAsia="宋体" w:cs="Times New Roman"/>
          <w:color w:val="000000"/>
          <w:kern w:val="2"/>
          <w:sz w:val="24"/>
          <w:szCs w:val="24"/>
          <w:highlight w:val="none"/>
          <w:lang w:val="en-US" w:eastAsia="zh-CN" w:bidi="ar-SA"/>
        </w:rPr>
        <w:t>。</w:t>
      </w:r>
    </w:p>
    <w:p w14:paraId="698BA45D">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yellow"/>
          <w:lang w:val="en-US" w:eastAsia="zh-CN" w:bidi="ar-SA"/>
        </w:rPr>
      </w:pPr>
      <w:r>
        <w:rPr>
          <w:rFonts w:ascii="Times New Roman" w:hAnsi="Times New Roman" w:eastAsia="宋体" w:cs="Times New Roman"/>
          <w:color w:val="000000"/>
          <w:kern w:val="2"/>
          <w:sz w:val="24"/>
          <w:szCs w:val="24"/>
          <w:highlight w:val="none"/>
          <w:lang w:val="en-US" w:eastAsia="zh-CN" w:bidi="ar-SA"/>
        </w:rPr>
        <w:t>①</w:t>
      </w:r>
      <w:r>
        <w:rPr>
          <w:rFonts w:hint="eastAsia" w:ascii="Times New Roman" w:hAnsi="Times New Roman" w:eastAsia="宋体" w:cs="Times New Roman"/>
          <w:color w:val="000000"/>
          <w:kern w:val="2"/>
          <w:sz w:val="24"/>
          <w:szCs w:val="24"/>
          <w:highlight w:val="none"/>
          <w:lang w:val="en-US" w:eastAsia="zh-CN" w:bidi="ar-SA"/>
        </w:rPr>
        <w:t>简单防渗区</w:t>
      </w:r>
    </w:p>
    <w:p w14:paraId="5EC7771E">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简单防渗区</w:t>
      </w:r>
      <w:r>
        <w:rPr>
          <w:rFonts w:ascii="Times New Roman" w:hAnsi="Times New Roman" w:eastAsia="宋体" w:cs="Times New Roman"/>
          <w:color w:val="000000"/>
          <w:kern w:val="2"/>
          <w:sz w:val="24"/>
          <w:szCs w:val="24"/>
          <w:highlight w:val="none"/>
          <w:lang w:val="en-US" w:eastAsia="zh-CN" w:bidi="ar-SA"/>
        </w:rPr>
        <w:t>主要是指没有物料或污染物泄漏，不会对地下水环境造成污染的区域或部位。主要包括</w:t>
      </w:r>
      <w:r>
        <w:rPr>
          <w:rFonts w:hint="eastAsia" w:ascii="Times New Roman" w:hAnsi="Times New Roman" w:eastAsia="宋体" w:cs="Times New Roman"/>
          <w:color w:val="000000"/>
          <w:kern w:val="2"/>
          <w:sz w:val="24"/>
          <w:szCs w:val="24"/>
          <w:highlight w:val="none"/>
          <w:lang w:val="en-US" w:eastAsia="zh-CN" w:bidi="ar-SA"/>
        </w:rPr>
        <w:t>厂区内道路</w:t>
      </w:r>
      <w:r>
        <w:rPr>
          <w:rFonts w:hint="eastAsia" w:cs="Times New Roman"/>
          <w:color w:val="000000"/>
          <w:kern w:val="2"/>
          <w:sz w:val="24"/>
          <w:szCs w:val="24"/>
          <w:highlight w:val="none"/>
          <w:lang w:val="en-US" w:eastAsia="zh-CN" w:bidi="ar-SA"/>
        </w:rPr>
        <w:t>、饲喂通道、饲草堆放区</w:t>
      </w:r>
      <w:r>
        <w:rPr>
          <w:rFonts w:hint="eastAsia" w:ascii="Times New Roman" w:hAnsi="Times New Roman" w:eastAsia="宋体" w:cs="Times New Roman"/>
          <w:color w:val="000000"/>
          <w:kern w:val="2"/>
          <w:sz w:val="24"/>
          <w:szCs w:val="24"/>
          <w:highlight w:val="none"/>
          <w:lang w:val="en-US" w:eastAsia="zh-CN" w:bidi="ar-SA"/>
        </w:rPr>
        <w:t>、办公生活区</w:t>
      </w:r>
      <w:r>
        <w:rPr>
          <w:rFonts w:ascii="Times New Roman" w:hAnsi="Times New Roman" w:eastAsia="宋体" w:cs="Times New Roman"/>
          <w:color w:val="000000"/>
          <w:kern w:val="2"/>
          <w:sz w:val="24"/>
          <w:szCs w:val="24"/>
          <w:highlight w:val="none"/>
          <w:lang w:val="en-US" w:eastAsia="zh-CN" w:bidi="ar-SA"/>
        </w:rPr>
        <w:t>等，采取普通混凝土地坪，地基按民用建筑加固处理。</w:t>
      </w:r>
    </w:p>
    <w:p w14:paraId="1732FEE9">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②一般</w:t>
      </w:r>
      <w:r>
        <w:rPr>
          <w:rFonts w:hint="eastAsia" w:ascii="Times New Roman" w:hAnsi="Times New Roman" w:eastAsia="宋体" w:cs="Times New Roman"/>
          <w:color w:val="000000"/>
          <w:kern w:val="2"/>
          <w:sz w:val="24"/>
          <w:szCs w:val="24"/>
          <w:highlight w:val="none"/>
          <w:lang w:val="en-US" w:eastAsia="zh-CN" w:bidi="ar-SA"/>
        </w:rPr>
        <w:t>防渗区</w:t>
      </w:r>
    </w:p>
    <w:p w14:paraId="5B63D0C2">
      <w:pPr>
        <w:widowControl w:val="0"/>
        <w:spacing w:after="0" w:line="360" w:lineRule="auto"/>
        <w:ind w:firstLine="480" w:firstLineChars="200"/>
        <w:jc w:val="both"/>
        <w:rPr>
          <w:rFonts w:ascii="Times New Roman" w:hAnsi="Times New Roman" w:eastAsia="宋体" w:cs="Times New Roman"/>
          <w:color w:val="000000"/>
          <w:kern w:val="2"/>
          <w:sz w:val="24"/>
          <w:szCs w:val="24"/>
          <w:highlight w:val="yellow"/>
          <w:lang w:val="en-US" w:eastAsia="zh-CN" w:bidi="ar-SA"/>
        </w:rPr>
      </w:pPr>
      <w:r>
        <w:rPr>
          <w:rFonts w:ascii="Times New Roman" w:hAnsi="Times New Roman" w:eastAsia="宋体" w:cs="Times New Roman"/>
          <w:color w:val="000000"/>
          <w:kern w:val="2"/>
          <w:sz w:val="24"/>
          <w:szCs w:val="24"/>
          <w:highlight w:val="none"/>
          <w:lang w:val="en-US" w:eastAsia="zh-CN" w:bidi="ar-SA"/>
        </w:rPr>
        <w:t>一般</w:t>
      </w:r>
      <w:r>
        <w:rPr>
          <w:rFonts w:hint="eastAsia" w:ascii="Times New Roman" w:hAnsi="Times New Roman" w:eastAsia="宋体" w:cs="Times New Roman"/>
          <w:color w:val="000000"/>
          <w:kern w:val="2"/>
          <w:sz w:val="24"/>
          <w:szCs w:val="24"/>
          <w:highlight w:val="none"/>
          <w:lang w:val="en-US" w:eastAsia="zh-CN" w:bidi="ar-SA"/>
        </w:rPr>
        <w:t>防渗区</w:t>
      </w:r>
      <w:r>
        <w:rPr>
          <w:rFonts w:ascii="Times New Roman" w:hAnsi="Times New Roman" w:eastAsia="宋体" w:cs="Times New Roman"/>
          <w:color w:val="000000"/>
          <w:kern w:val="2"/>
          <w:sz w:val="24"/>
          <w:szCs w:val="24"/>
          <w:highlight w:val="none"/>
          <w:lang w:val="en-US" w:eastAsia="zh-CN" w:bidi="ar-SA"/>
        </w:rPr>
        <w:t>主要是指位于地面以上的生产功能单元，污染地下水环境的物料或污染物泄漏后，可及时发现和处理的区域或部位。</w:t>
      </w:r>
      <w:r>
        <w:rPr>
          <w:rFonts w:hint="eastAsia" w:ascii="Times New Roman" w:hAnsi="Times New Roman" w:eastAsia="宋体" w:cs="Times New Roman"/>
          <w:color w:val="000000"/>
          <w:kern w:val="2"/>
          <w:sz w:val="24"/>
          <w:szCs w:val="24"/>
          <w:highlight w:val="none"/>
          <w:lang w:val="en-US" w:eastAsia="zh-CN" w:bidi="ar-SA"/>
        </w:rPr>
        <w:t>本项目主要为牛舍、饲喂凉棚、</w:t>
      </w:r>
      <w:r>
        <w:rPr>
          <w:rFonts w:hint="eastAsia" w:ascii="Times New Roman" w:hAnsi="Times New Roman" w:eastAsia="宋体" w:cs="Times New Roman"/>
          <w:color w:val="auto"/>
          <w:kern w:val="0"/>
          <w:sz w:val="24"/>
          <w:lang w:val="en-US" w:eastAsia="zh-CN"/>
        </w:rPr>
        <w:t>堆肥区、饲料加工区、兽医室、原料储存库房</w:t>
      </w:r>
      <w:r>
        <w:rPr>
          <w:rFonts w:hint="eastAsia" w:ascii="Times New Roman" w:hAnsi="Times New Roman" w:eastAsia="宋体" w:cs="Times New Roman"/>
          <w:color w:val="000000"/>
          <w:kern w:val="2"/>
          <w:sz w:val="24"/>
          <w:szCs w:val="24"/>
          <w:highlight w:val="none"/>
          <w:lang w:val="en-US" w:eastAsia="zh-CN" w:bidi="ar-SA"/>
        </w:rPr>
        <w:t>等。</w:t>
      </w:r>
    </w:p>
    <w:p w14:paraId="1A07DE5C">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③重点</w:t>
      </w:r>
      <w:r>
        <w:rPr>
          <w:rFonts w:hint="eastAsia" w:ascii="Times New Roman" w:hAnsi="Times New Roman" w:eastAsia="宋体" w:cs="Times New Roman"/>
          <w:color w:val="000000"/>
          <w:kern w:val="2"/>
          <w:sz w:val="24"/>
          <w:szCs w:val="24"/>
          <w:highlight w:val="none"/>
          <w:lang w:val="en-US" w:eastAsia="zh-CN" w:bidi="ar-SA"/>
        </w:rPr>
        <w:t>防渗区</w:t>
      </w:r>
    </w:p>
    <w:p w14:paraId="5D8BEE4E">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重点污染防治区指对地下水环境污染物泄漏并且其污染地下水环境的风险 较大的区域或者部位；或对地下水环境有污染的物料或污染物泄漏后，不易及时发现和处理的区域或部位。主要包括运动场、</w:t>
      </w:r>
      <w:r>
        <w:rPr>
          <w:rFonts w:hint="eastAsia" w:ascii="Times New Roman" w:hAnsi="Times New Roman" w:eastAsia="宋体" w:cs="Times New Roman"/>
          <w:color w:val="auto"/>
          <w:kern w:val="0"/>
          <w:sz w:val="24"/>
          <w:lang w:val="en-US" w:eastAsia="zh-CN"/>
        </w:rPr>
        <w:t>尿液收集池</w:t>
      </w:r>
      <w:r>
        <w:rPr>
          <w:rFonts w:hint="eastAsia" w:ascii="Times New Roman" w:hAnsi="Times New Roman" w:eastAsia="宋体" w:cs="Times New Roman"/>
          <w:color w:val="auto"/>
          <w:kern w:val="0"/>
          <w:sz w:val="24"/>
        </w:rPr>
        <w:t>、</w:t>
      </w:r>
      <w:r>
        <w:rPr>
          <w:rFonts w:hint="eastAsia" w:ascii="Times New Roman" w:hAnsi="Times New Roman" w:eastAsia="宋体" w:cs="Times New Roman"/>
          <w:color w:val="auto"/>
          <w:kern w:val="0"/>
          <w:sz w:val="24"/>
          <w:lang w:val="en-US" w:eastAsia="zh-CN"/>
        </w:rPr>
        <w:t>发酵槽</w:t>
      </w:r>
      <w:r>
        <w:rPr>
          <w:rFonts w:hint="eastAsia" w:ascii="Times New Roman" w:hAnsi="Times New Roman" w:eastAsia="宋体" w:cs="Times New Roman"/>
          <w:color w:val="auto"/>
          <w:kern w:val="0"/>
          <w:sz w:val="24"/>
        </w:rPr>
        <w:t>、</w:t>
      </w:r>
      <w:r>
        <w:rPr>
          <w:rFonts w:hint="eastAsia" w:ascii="Times New Roman" w:hAnsi="Times New Roman" w:eastAsia="宋体" w:cs="Times New Roman"/>
          <w:color w:val="auto"/>
          <w:kern w:val="0"/>
          <w:sz w:val="24"/>
          <w:lang w:val="en-US" w:eastAsia="zh-CN"/>
        </w:rPr>
        <w:t>医疗废物暂存间、隔离圈、病死牛暂存间、危险废物贮存点</w:t>
      </w:r>
      <w:r>
        <w:rPr>
          <w:rFonts w:hint="eastAsia" w:ascii="Times New Roman" w:hAnsi="Times New Roman" w:eastAsia="宋体" w:cs="Times New Roman"/>
          <w:color w:val="auto"/>
          <w:kern w:val="0"/>
          <w:sz w:val="24"/>
        </w:rPr>
        <w:t>等</w:t>
      </w:r>
      <w:r>
        <w:rPr>
          <w:rFonts w:hint="eastAsia" w:ascii="Times New Roman" w:hAnsi="Times New Roman" w:eastAsia="宋体" w:cs="Times New Roman"/>
          <w:color w:val="000000"/>
          <w:kern w:val="2"/>
          <w:sz w:val="24"/>
          <w:szCs w:val="24"/>
          <w:highlight w:val="none"/>
          <w:lang w:val="en-US" w:eastAsia="zh-CN" w:bidi="ar-SA"/>
        </w:rPr>
        <w:t xml:space="preserve">。 </w:t>
      </w:r>
    </w:p>
    <w:p w14:paraId="5408F28F">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本项目污染防治分区要求图7.3-</w:t>
      </w:r>
      <w:r>
        <w:rPr>
          <w:rFonts w:hint="eastAsia" w:ascii="Times New Roman" w:hAnsi="Times New Roman" w:eastAsia="宋体" w:cs="Times New Roman"/>
          <w:color w:val="000000"/>
          <w:kern w:val="2"/>
          <w:sz w:val="24"/>
          <w:szCs w:val="24"/>
          <w:highlight w:val="none"/>
          <w:lang w:val="en-US" w:eastAsia="zh-CN" w:bidi="ar-SA"/>
        </w:rPr>
        <w:t>2</w:t>
      </w:r>
      <w:r>
        <w:rPr>
          <w:rFonts w:ascii="Times New Roman" w:hAnsi="Times New Roman" w:eastAsia="宋体" w:cs="Times New Roman"/>
          <w:color w:val="000000"/>
          <w:kern w:val="2"/>
          <w:sz w:val="24"/>
          <w:szCs w:val="24"/>
          <w:highlight w:val="none"/>
          <w:lang w:val="en-US" w:eastAsia="zh-CN" w:bidi="ar-SA"/>
        </w:rPr>
        <w:t>。</w:t>
      </w:r>
    </w:p>
    <w:p w14:paraId="5BA0C97F">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00"/>
          <w:kern w:val="2"/>
          <w:sz w:val="24"/>
          <w:szCs w:val="20"/>
          <w:highlight w:val="none"/>
          <w:lang w:val="en-US" w:eastAsia="zh-CN"/>
        </w:rPr>
      </w:pPr>
      <w:r>
        <w:rPr>
          <w:rFonts w:hint="eastAsia" w:ascii="Times New Roman" w:hAnsi="Times New Roman" w:eastAsia="宋体" w:cs="Times New Roman"/>
          <w:color w:val="000000"/>
          <w:kern w:val="2"/>
          <w:sz w:val="24"/>
          <w:szCs w:val="20"/>
          <w:highlight w:val="none"/>
          <w:lang w:val="en-US" w:eastAsia="zh-CN"/>
        </w:rPr>
        <w:t>④</w:t>
      </w:r>
      <w:r>
        <w:rPr>
          <w:rFonts w:hint="default" w:ascii="Times New Roman" w:hAnsi="Times New Roman" w:eastAsia="宋体" w:cs="Times New Roman"/>
          <w:color w:val="000000"/>
          <w:kern w:val="2"/>
          <w:sz w:val="24"/>
          <w:szCs w:val="20"/>
          <w:highlight w:val="none"/>
          <w:lang w:val="en-US" w:eastAsia="zh-CN"/>
        </w:rPr>
        <w:t>分区防渗处理</w:t>
      </w:r>
    </w:p>
    <w:p w14:paraId="0B9657AA">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eastAsia" w:ascii="Times New Roman" w:hAnsi="Times New Roman" w:eastAsia="宋体" w:cs="Times New Roman"/>
          <w:color w:val="000000"/>
          <w:kern w:val="2"/>
          <w:sz w:val="24"/>
          <w:szCs w:val="20"/>
          <w:highlight w:val="none"/>
          <w:lang w:val="en-US" w:eastAsia="zh-CN"/>
        </w:rPr>
      </w:pPr>
      <w:r>
        <w:rPr>
          <w:rFonts w:hint="default" w:ascii="Times New Roman" w:hAnsi="Times New Roman" w:eastAsia="宋体" w:cs="Times New Roman"/>
          <w:color w:val="000000"/>
          <w:kern w:val="2"/>
          <w:sz w:val="24"/>
          <w:szCs w:val="20"/>
          <w:highlight w:val="none"/>
          <w:lang w:val="en-US" w:eastAsia="zh-CN"/>
        </w:rPr>
        <w:t>重点防渗区：</w:t>
      </w:r>
      <w:r>
        <w:rPr>
          <w:rFonts w:hint="eastAsia" w:ascii="Times New Roman" w:hAnsi="Times New Roman" w:eastAsia="宋体" w:cs="Times New Roman"/>
          <w:color w:val="auto"/>
          <w:kern w:val="0"/>
          <w:sz w:val="24"/>
          <w:lang w:val="en-US" w:eastAsia="zh-CN"/>
        </w:rPr>
        <w:t>尿液收集池</w:t>
      </w:r>
      <w:r>
        <w:rPr>
          <w:rFonts w:hint="eastAsia" w:ascii="Times New Roman" w:hAnsi="Times New Roman" w:eastAsia="宋体" w:cs="Times New Roman"/>
          <w:color w:val="auto"/>
          <w:kern w:val="0"/>
          <w:sz w:val="24"/>
        </w:rPr>
        <w:t>、</w:t>
      </w:r>
      <w:r>
        <w:rPr>
          <w:rFonts w:hint="eastAsia" w:ascii="Times New Roman" w:hAnsi="Times New Roman" w:eastAsia="宋体" w:cs="Times New Roman"/>
          <w:color w:val="auto"/>
          <w:kern w:val="0"/>
          <w:sz w:val="24"/>
          <w:lang w:val="en-US" w:eastAsia="zh-CN"/>
        </w:rPr>
        <w:t>发酵槽</w:t>
      </w:r>
      <w:r>
        <w:rPr>
          <w:rFonts w:hint="eastAsia" w:ascii="Times New Roman" w:hAnsi="Times New Roman" w:eastAsia="宋体" w:cs="Times New Roman"/>
          <w:color w:val="auto"/>
          <w:kern w:val="0"/>
          <w:sz w:val="24"/>
        </w:rPr>
        <w:t>、</w:t>
      </w:r>
      <w:r>
        <w:rPr>
          <w:rFonts w:hint="eastAsia" w:ascii="Times New Roman" w:hAnsi="Times New Roman" w:eastAsia="宋体" w:cs="Times New Roman"/>
          <w:color w:val="auto"/>
          <w:kern w:val="0"/>
          <w:sz w:val="24"/>
          <w:lang w:val="en-US" w:eastAsia="zh-CN"/>
        </w:rPr>
        <w:t>医疗废物暂存间、隔离圈、病死牛暂存间、危险废物贮存点</w:t>
      </w:r>
      <w:r>
        <w:rPr>
          <w:rFonts w:hint="eastAsia" w:ascii="Times New Roman" w:hAnsi="Times New Roman" w:eastAsia="宋体" w:cs="Times New Roman"/>
          <w:color w:val="auto"/>
          <w:kern w:val="0"/>
          <w:sz w:val="24"/>
        </w:rPr>
        <w:t>等</w:t>
      </w:r>
      <w:r>
        <w:rPr>
          <w:rFonts w:hint="eastAsia" w:ascii="Times New Roman" w:hAnsi="Times New Roman" w:eastAsia="宋体" w:cs="Times New Roman"/>
          <w:color w:val="000000"/>
          <w:kern w:val="2"/>
          <w:sz w:val="24"/>
          <w:szCs w:val="20"/>
          <w:highlight w:val="none"/>
          <w:lang w:val="en-US" w:eastAsia="zh-CN"/>
        </w:rPr>
        <w:t>防渗方案</w:t>
      </w:r>
      <w:r>
        <w:rPr>
          <w:rFonts w:hint="default" w:ascii="Times New Roman" w:hAnsi="Times New Roman" w:eastAsia="宋体" w:cs="Times New Roman"/>
          <w:color w:val="000000"/>
          <w:kern w:val="2"/>
          <w:sz w:val="24"/>
          <w:szCs w:val="20"/>
          <w:highlight w:val="none"/>
          <w:lang w:val="en-US" w:eastAsia="zh-CN"/>
        </w:rPr>
        <w:t>黏土夯实+2mm厚高密度聚乙烯膜（HDPE）+外保护（20mm水泥）</w:t>
      </w:r>
      <w:r>
        <w:rPr>
          <w:rFonts w:hint="eastAsia" w:ascii="Times New Roman" w:hAnsi="Times New Roman" w:eastAsia="宋体" w:cs="Times New Roman"/>
          <w:color w:val="000000"/>
          <w:kern w:val="2"/>
          <w:sz w:val="24"/>
          <w:szCs w:val="20"/>
          <w:highlight w:val="none"/>
          <w:lang w:val="en-US" w:eastAsia="zh-CN"/>
        </w:rPr>
        <w:t>，其中运动场</w:t>
      </w:r>
      <w:r>
        <w:rPr>
          <w:rFonts w:hint="eastAsia" w:cs="Times New Roman"/>
          <w:color w:val="000000"/>
          <w:kern w:val="2"/>
          <w:sz w:val="24"/>
          <w:szCs w:val="20"/>
          <w:highlight w:val="none"/>
          <w:lang w:val="en-US" w:eastAsia="zh-CN"/>
        </w:rPr>
        <w:t>防渗方案为：原土</w:t>
      </w:r>
      <w:r>
        <w:rPr>
          <w:rFonts w:hint="default" w:ascii="Times New Roman" w:hAnsi="Times New Roman" w:eastAsia="宋体" w:cs="Times New Roman"/>
          <w:color w:val="000000"/>
          <w:kern w:val="2"/>
          <w:sz w:val="24"/>
          <w:szCs w:val="20"/>
          <w:highlight w:val="none"/>
          <w:lang w:val="en-US" w:eastAsia="zh-CN"/>
        </w:rPr>
        <w:t>夯实+</w:t>
      </w:r>
      <w:r>
        <w:rPr>
          <w:rFonts w:hint="eastAsia" w:ascii="Times New Roman" w:hAnsi="Times New Roman" w:eastAsia="宋体" w:cs="Times New Roman"/>
          <w:color w:val="000000"/>
          <w:kern w:val="2"/>
          <w:sz w:val="24"/>
          <w:szCs w:val="20"/>
          <w:highlight w:val="none"/>
          <w:lang w:val="en-US" w:eastAsia="zh-CN"/>
        </w:rPr>
        <w:t>3</w:t>
      </w:r>
      <w:r>
        <w:rPr>
          <w:rFonts w:hint="default" w:ascii="Times New Roman" w:hAnsi="Times New Roman" w:eastAsia="宋体" w:cs="Times New Roman"/>
          <w:color w:val="000000"/>
          <w:kern w:val="2"/>
          <w:sz w:val="24"/>
          <w:szCs w:val="20"/>
          <w:highlight w:val="none"/>
          <w:lang w:val="en-US" w:eastAsia="zh-CN"/>
        </w:rPr>
        <w:t>mm厚高密度聚乙烯膜（HDPE）</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w:t>
      </w:r>
    </w:p>
    <w:p w14:paraId="7697CC60">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00"/>
          <w:kern w:val="2"/>
          <w:sz w:val="24"/>
          <w:szCs w:val="20"/>
          <w:highlight w:val="none"/>
          <w:lang w:val="en-US" w:eastAsia="zh-CN"/>
        </w:rPr>
      </w:pPr>
      <w:r>
        <w:rPr>
          <w:rFonts w:hint="eastAsia" w:ascii="Times New Roman" w:hAnsi="Times New Roman" w:eastAsia="宋体" w:cs="Times New Roman"/>
          <w:color w:val="000000"/>
          <w:kern w:val="2"/>
          <w:sz w:val="24"/>
          <w:szCs w:val="20"/>
          <w:highlight w:val="none"/>
          <w:lang w:val="en-US" w:eastAsia="zh-CN"/>
        </w:rPr>
        <w:t>其中发酵槽设置导流槽连接至尿液收集池，收集的泄漏物按照相关物料处置规范进行处置。根据《环境影响评价技术导则 地下水环境》（HJ 610-2016）</w:t>
      </w:r>
      <w:r>
        <w:rPr>
          <w:rFonts w:hint="default" w:ascii="Times New Roman" w:hAnsi="Times New Roman" w:eastAsia="宋体" w:cs="Times New Roman"/>
          <w:color w:val="000000"/>
          <w:kern w:val="2"/>
          <w:sz w:val="24"/>
          <w:szCs w:val="20"/>
          <w:highlight w:val="none"/>
          <w:lang w:val="en-US" w:eastAsia="zh-CN"/>
        </w:rPr>
        <w:t>要求防渗技术要求为：等效黏土防渗层Mb≥</w:t>
      </w:r>
      <w:r>
        <w:rPr>
          <w:rFonts w:hint="eastAsia" w:ascii="Times New Roman" w:hAnsi="Times New Roman" w:eastAsia="宋体" w:cs="Times New Roman"/>
          <w:color w:val="000000"/>
          <w:kern w:val="2"/>
          <w:sz w:val="24"/>
          <w:szCs w:val="20"/>
          <w:highlight w:val="none"/>
          <w:lang w:val="en-US" w:eastAsia="zh-CN"/>
        </w:rPr>
        <w:t>6.0</w:t>
      </w:r>
      <w:r>
        <w:rPr>
          <w:rFonts w:hint="default" w:ascii="Times New Roman" w:hAnsi="Times New Roman" w:eastAsia="宋体" w:cs="Times New Roman"/>
          <w:color w:val="000000"/>
          <w:kern w:val="2"/>
          <w:sz w:val="24"/>
          <w:szCs w:val="20"/>
          <w:highlight w:val="none"/>
          <w:lang w:val="en-US" w:eastAsia="zh-CN"/>
        </w:rPr>
        <w:t>m，K≤1×10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p>
    <w:p w14:paraId="20D06205">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eastAsia" w:ascii="Times New Roman" w:hAnsi="Times New Roman" w:eastAsia="宋体" w:cs="Times New Roman"/>
          <w:color w:val="000000"/>
          <w:kern w:val="2"/>
          <w:sz w:val="24"/>
          <w:szCs w:val="20"/>
          <w:highlight w:val="none"/>
          <w:lang w:val="en-US" w:eastAsia="zh-CN"/>
        </w:rPr>
      </w:pPr>
      <w:r>
        <w:rPr>
          <w:rFonts w:hint="eastAsia" w:ascii="Times New Roman" w:hAnsi="Times New Roman" w:eastAsia="宋体" w:cs="Times New Roman"/>
          <w:color w:val="000000"/>
          <w:kern w:val="2"/>
          <w:sz w:val="24"/>
          <w:szCs w:val="20"/>
          <w:highlight w:val="none"/>
          <w:lang w:val="en-US" w:eastAsia="zh-CN"/>
        </w:rPr>
        <w:t>医疗废物暂存间地面满足《医疗废物管理条例》</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医疗废物的暂时贮存设施、设备，应当远离医疗区、食品加工区和人员活动区以及生活垃圾存放场所，并设置明显的警示标识和防渗漏、防鼠、防蚊蝇、防蟑螂、防盗以及预防儿童接触等安全措施。</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w:t>
      </w:r>
    </w:p>
    <w:p w14:paraId="779EA412">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00"/>
          <w:kern w:val="2"/>
          <w:sz w:val="24"/>
          <w:szCs w:val="20"/>
          <w:highlight w:val="none"/>
          <w:lang w:val="en-US" w:eastAsia="zh-CN"/>
        </w:rPr>
      </w:pPr>
      <w:r>
        <w:rPr>
          <w:rFonts w:hint="eastAsia" w:ascii="Times New Roman" w:hAnsi="Times New Roman" w:eastAsia="宋体" w:cs="Times New Roman"/>
          <w:color w:val="000000"/>
          <w:kern w:val="2"/>
          <w:sz w:val="24"/>
          <w:szCs w:val="20"/>
          <w:highlight w:val="none"/>
          <w:lang w:val="en-US" w:eastAsia="zh-CN"/>
        </w:rPr>
        <w:t>危险废物贮存点地面满足《危险废物贮存污染控制标准》（GB18597-2023）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highlight w:val="none"/>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相关要求；危险废物贮存点集液池满足《危险废物贮存污染控制标准》（GB18597-2023）</w:t>
      </w:r>
      <w:r>
        <w:rPr>
          <w:rFonts w:hint="eastAsia" w:cs="Times New Roman"/>
          <w:color w:val="000000"/>
          <w:kern w:val="2"/>
          <w:sz w:val="24"/>
          <w:szCs w:val="20"/>
          <w:highlight w:val="none"/>
          <w:lang w:val="en-US" w:eastAsia="zh-CN"/>
        </w:rPr>
        <w:t>“</w:t>
      </w:r>
      <w:r>
        <w:rPr>
          <w:rFonts w:hint="default" w:ascii="Times New Roman" w:hAnsi="Times New Roman" w:eastAsia="宋体" w:cs="Times New Roman"/>
          <w:color w:val="auto"/>
          <w:kern w:val="0"/>
          <w:sz w:val="24"/>
          <w:szCs w:val="24"/>
          <w:highlight w:val="none"/>
        </w:rPr>
        <w:t>贮存的危险废物直接接触地面的，还应进行基础防渗，防渗层为至少1m厚黏土层（渗透系数不大于10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7</w:t>
      </w:r>
      <w:r>
        <w:rPr>
          <w:rFonts w:hint="default" w:ascii="Times New Roman" w:hAnsi="Times New Roman" w:eastAsia="宋体" w:cs="Times New Roman"/>
          <w:color w:val="auto"/>
          <w:kern w:val="0"/>
          <w:sz w:val="24"/>
          <w:szCs w:val="24"/>
          <w:highlight w:val="none"/>
        </w:rPr>
        <w:t>cm/s），或至少2mm厚高密度聚乙烯膜等人工防渗材料（渗透系数不大于10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10</w:t>
      </w:r>
      <w:r>
        <w:rPr>
          <w:rFonts w:hint="default" w:ascii="Times New Roman" w:hAnsi="Times New Roman" w:eastAsia="宋体" w:cs="Times New Roman"/>
          <w:color w:val="auto"/>
          <w:kern w:val="0"/>
          <w:sz w:val="24"/>
          <w:szCs w:val="24"/>
          <w:highlight w:val="none"/>
        </w:rPr>
        <w:t>cm/s），或其他防渗性能等效的材料</w:t>
      </w:r>
      <w:r>
        <w:rPr>
          <w:rFonts w:hint="default" w:ascii="Times New Roman" w:hAnsi="Times New Roman" w:eastAsia="宋体" w:cs="Times New Roman"/>
          <w:color w:val="000000"/>
          <w:kern w:val="2"/>
          <w:sz w:val="24"/>
          <w:szCs w:val="20"/>
          <w:highlight w:val="none"/>
          <w:lang w:val="en-US" w:eastAsia="zh-CN"/>
        </w:rPr>
        <w:t>。</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w:t>
      </w:r>
    </w:p>
    <w:p w14:paraId="6B3A449A">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00"/>
          <w:kern w:val="2"/>
          <w:sz w:val="24"/>
          <w:szCs w:val="20"/>
          <w:highlight w:val="none"/>
          <w:lang w:val="en-US" w:eastAsia="zh-CN"/>
        </w:rPr>
      </w:pPr>
      <w:r>
        <w:rPr>
          <w:rFonts w:hint="default" w:ascii="Times New Roman" w:hAnsi="Times New Roman" w:eastAsia="宋体" w:cs="Times New Roman"/>
          <w:color w:val="000000"/>
          <w:kern w:val="2"/>
          <w:sz w:val="24"/>
          <w:szCs w:val="20"/>
          <w:highlight w:val="none"/>
          <w:lang w:val="en-US" w:eastAsia="zh-CN"/>
        </w:rPr>
        <w:t>一般防渗区：采用厚度Mb=1.5m，渗透系数K≤10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cm/s防渗等效的20cm厚P4等级混凝土进行防渗。防渗技术要求为：等效黏土防渗层Mb≥1.5m，K≤1×10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cm/s；或参照GB16889执行</w:t>
      </w:r>
      <w:r>
        <w:rPr>
          <w:rFonts w:hint="eastAsia" w:ascii="Times New Roman" w:hAnsi="Times New Roman" w:eastAsia="宋体" w:cs="Times New Roman"/>
          <w:color w:val="000000"/>
          <w:kern w:val="2"/>
          <w:sz w:val="24"/>
          <w:szCs w:val="20"/>
          <w:highlight w:val="none"/>
          <w:lang w:val="en-US" w:eastAsia="zh-CN"/>
        </w:rPr>
        <w:t>。</w:t>
      </w:r>
    </w:p>
    <w:p w14:paraId="3D50E253">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eastAsia" w:ascii="Times New Roman" w:hAnsi="Times New Roman" w:eastAsia="宋体" w:cs="Times New Roman"/>
          <w:color w:val="000000"/>
          <w:kern w:val="2"/>
          <w:sz w:val="24"/>
          <w:szCs w:val="20"/>
          <w:highlight w:val="none"/>
          <w:lang w:val="en-US" w:eastAsia="zh-CN"/>
        </w:rPr>
      </w:pPr>
      <w:r>
        <w:rPr>
          <w:rFonts w:hint="eastAsia" w:ascii="Times New Roman" w:hAnsi="Times New Roman" w:eastAsia="宋体" w:cs="Times New Roman"/>
          <w:color w:val="000000"/>
          <w:kern w:val="2"/>
          <w:sz w:val="24"/>
          <w:szCs w:val="20"/>
          <w:highlight w:val="none"/>
          <w:lang w:val="en-US" w:eastAsia="zh-CN"/>
        </w:rPr>
        <w:t>简单</w:t>
      </w:r>
      <w:r>
        <w:rPr>
          <w:rFonts w:hint="default" w:ascii="Times New Roman" w:hAnsi="Times New Roman" w:eastAsia="宋体" w:cs="Times New Roman"/>
          <w:color w:val="000000"/>
          <w:kern w:val="2"/>
          <w:sz w:val="24"/>
          <w:szCs w:val="20"/>
          <w:highlight w:val="none"/>
          <w:lang w:val="en-US" w:eastAsia="zh-CN"/>
        </w:rPr>
        <w:t>污染防治区：</w:t>
      </w:r>
      <w:r>
        <w:rPr>
          <w:rFonts w:hint="eastAsia" w:ascii="Times New Roman" w:hAnsi="Times New Roman" w:eastAsia="宋体" w:cs="Times New Roman"/>
          <w:color w:val="000000"/>
          <w:kern w:val="2"/>
          <w:sz w:val="24"/>
          <w:szCs w:val="20"/>
          <w:highlight w:val="none"/>
          <w:lang w:val="en-US" w:eastAsia="zh-CN"/>
        </w:rPr>
        <w:t>硬化地面。</w:t>
      </w:r>
    </w:p>
    <w:p w14:paraId="7D796E50">
      <w:pPr>
        <w:spacing w:line="360" w:lineRule="auto"/>
        <w:jc w:val="center"/>
        <w:rPr>
          <w:rFonts w:ascii="Times New Roman" w:hAnsi="Times New Roman" w:eastAsia="宋体" w:cs="Times New Roman"/>
          <w:b/>
          <w:bCs/>
          <w:color w:val="auto"/>
          <w:kern w:val="2"/>
          <w:sz w:val="24"/>
          <w:szCs w:val="24"/>
          <w:highlight w:val="none"/>
        </w:rPr>
      </w:pPr>
      <w:r>
        <w:rPr>
          <w:rFonts w:hint="eastAsia" w:ascii="Times New Roman" w:hAnsi="Times New Roman" w:eastAsia="宋体" w:cs="Times New Roman"/>
          <w:b/>
          <w:bCs/>
          <w:color w:val="auto"/>
          <w:kern w:val="2"/>
          <w:sz w:val="24"/>
          <w:szCs w:val="24"/>
          <w:highlight w:val="none"/>
        </w:rPr>
        <w:t>表</w:t>
      </w:r>
      <w:r>
        <w:rPr>
          <w:rFonts w:hint="eastAsia" w:ascii="Times New Roman" w:hAnsi="Times New Roman" w:eastAsia="宋体" w:cs="Times New Roman"/>
          <w:b/>
          <w:bCs/>
          <w:color w:val="auto"/>
          <w:kern w:val="2"/>
          <w:sz w:val="24"/>
          <w:szCs w:val="24"/>
          <w:highlight w:val="none"/>
          <w:lang w:val="en-US" w:eastAsia="zh-CN"/>
        </w:rPr>
        <w:t>7.2-</w:t>
      </w:r>
      <w:r>
        <w:rPr>
          <w:rFonts w:hint="eastAsia" w:cs="Times New Roman"/>
          <w:b/>
          <w:bCs/>
          <w:color w:val="auto"/>
          <w:kern w:val="2"/>
          <w:sz w:val="24"/>
          <w:szCs w:val="24"/>
          <w:highlight w:val="none"/>
          <w:lang w:val="en-US" w:eastAsia="zh-CN"/>
        </w:rPr>
        <w:t>4</w:t>
      </w:r>
      <w:r>
        <w:rPr>
          <w:rFonts w:hint="eastAsia" w:ascii="Times New Roman" w:hAnsi="Times New Roman" w:eastAsia="宋体" w:cs="Times New Roman"/>
          <w:b/>
          <w:bCs/>
          <w:color w:val="auto"/>
          <w:kern w:val="2"/>
          <w:sz w:val="24"/>
          <w:szCs w:val="24"/>
          <w:highlight w:val="none"/>
        </w:rPr>
        <w:t>各污染区防渗措施</w:t>
      </w:r>
    </w:p>
    <w:tbl>
      <w:tblPr>
        <w:tblStyle w:val="21"/>
        <w:tblW w:w="505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77"/>
        <w:gridCol w:w="1051"/>
        <w:gridCol w:w="1111"/>
        <w:gridCol w:w="1351"/>
        <w:gridCol w:w="946"/>
        <w:gridCol w:w="1587"/>
      </w:tblGrid>
      <w:tr w14:paraId="69EF4A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4" w:type="pct"/>
            <w:tcBorders>
              <w:tl2br w:val="nil"/>
              <w:tr2bl w:val="nil"/>
            </w:tcBorders>
            <w:vAlign w:val="center"/>
          </w:tcPr>
          <w:p w14:paraId="706FB27D">
            <w:pPr>
              <w:spacing w:line="240" w:lineRule="auto"/>
              <w:jc w:val="center"/>
              <w:rPr>
                <w:rFonts w:ascii="Times New Roman" w:hAnsi="Times New Roman" w:eastAsia="宋体" w:cs="Times New Roman"/>
                <w:b/>
                <w:bCs/>
                <w:color w:val="auto"/>
                <w:kern w:val="0"/>
                <w:sz w:val="21"/>
                <w:szCs w:val="24"/>
                <w:highlight w:val="none"/>
              </w:rPr>
            </w:pPr>
            <w:r>
              <w:rPr>
                <w:rFonts w:hint="eastAsia" w:ascii="Times New Roman" w:hAnsi="Times New Roman" w:eastAsia="宋体" w:cs="Times New Roman"/>
                <w:b/>
                <w:bCs/>
                <w:color w:val="000000"/>
                <w:kern w:val="0"/>
                <w:sz w:val="21"/>
                <w:szCs w:val="21"/>
                <w:highlight w:val="none"/>
                <w:lang w:val="zh-TW" w:eastAsia="zh-TW"/>
              </w:rPr>
              <w:t>场区内建筑物</w:t>
            </w:r>
          </w:p>
        </w:tc>
        <w:tc>
          <w:tcPr>
            <w:tcW w:w="609" w:type="pct"/>
            <w:tcBorders>
              <w:tl2br w:val="nil"/>
              <w:tr2bl w:val="nil"/>
            </w:tcBorders>
            <w:vAlign w:val="center"/>
          </w:tcPr>
          <w:p w14:paraId="39DD8248">
            <w:pPr>
              <w:spacing w:line="240" w:lineRule="auto"/>
              <w:jc w:val="center"/>
              <w:rPr>
                <w:rFonts w:ascii="Times New Roman" w:hAnsi="Times New Roman" w:eastAsia="宋体" w:cs="Times New Roman"/>
                <w:b/>
                <w:bCs/>
                <w:color w:val="auto"/>
                <w:kern w:val="0"/>
                <w:sz w:val="21"/>
                <w:szCs w:val="24"/>
                <w:highlight w:val="none"/>
              </w:rPr>
            </w:pPr>
            <w:r>
              <w:rPr>
                <w:rFonts w:hint="eastAsia" w:ascii="Times New Roman" w:hAnsi="Times New Roman" w:eastAsia="宋体" w:cs="Times New Roman"/>
                <w:b/>
                <w:bCs/>
                <w:color w:val="000000"/>
                <w:kern w:val="0"/>
                <w:sz w:val="21"/>
                <w:szCs w:val="21"/>
                <w:highlight w:val="none"/>
                <w:lang w:val="zh-TW" w:eastAsia="zh-TW"/>
              </w:rPr>
              <w:t>包气带防污性能</w:t>
            </w:r>
          </w:p>
        </w:tc>
        <w:tc>
          <w:tcPr>
            <w:tcW w:w="644" w:type="pct"/>
            <w:tcBorders>
              <w:tl2br w:val="nil"/>
              <w:tr2bl w:val="nil"/>
            </w:tcBorders>
            <w:vAlign w:val="center"/>
          </w:tcPr>
          <w:p w14:paraId="23B20CEE">
            <w:pPr>
              <w:spacing w:line="240" w:lineRule="auto"/>
              <w:jc w:val="center"/>
              <w:rPr>
                <w:rFonts w:ascii="Times New Roman" w:hAnsi="Times New Roman" w:eastAsia="宋体" w:cs="Times New Roman"/>
                <w:b/>
                <w:bCs/>
                <w:color w:val="auto"/>
                <w:kern w:val="0"/>
                <w:sz w:val="21"/>
                <w:szCs w:val="24"/>
                <w:highlight w:val="none"/>
              </w:rPr>
            </w:pPr>
            <w:r>
              <w:rPr>
                <w:rFonts w:hint="eastAsia" w:ascii="Times New Roman" w:hAnsi="Times New Roman" w:eastAsia="宋体" w:cs="Times New Roman"/>
                <w:b/>
                <w:bCs/>
                <w:color w:val="000000"/>
                <w:kern w:val="0"/>
                <w:sz w:val="21"/>
                <w:szCs w:val="21"/>
                <w:highlight w:val="none"/>
                <w:lang w:val="zh-TW" w:eastAsia="zh-TW"/>
              </w:rPr>
              <w:t>污染控制难易程度</w:t>
            </w:r>
          </w:p>
        </w:tc>
        <w:tc>
          <w:tcPr>
            <w:tcW w:w="783" w:type="pct"/>
            <w:tcBorders>
              <w:tl2br w:val="nil"/>
              <w:tr2bl w:val="nil"/>
            </w:tcBorders>
            <w:vAlign w:val="center"/>
          </w:tcPr>
          <w:p w14:paraId="28B1FD80">
            <w:pPr>
              <w:spacing w:line="240" w:lineRule="auto"/>
              <w:jc w:val="center"/>
              <w:rPr>
                <w:rFonts w:ascii="Times New Roman" w:hAnsi="Times New Roman" w:eastAsia="宋体" w:cs="Times New Roman"/>
                <w:b/>
                <w:bCs/>
                <w:color w:val="000000"/>
                <w:kern w:val="0"/>
                <w:sz w:val="21"/>
                <w:szCs w:val="21"/>
                <w:highlight w:val="none"/>
                <w:lang w:val="zh-TW" w:eastAsia="zh-TW"/>
              </w:rPr>
            </w:pPr>
            <w:r>
              <w:rPr>
                <w:rFonts w:hint="eastAsia" w:ascii="Times New Roman" w:hAnsi="Times New Roman" w:eastAsia="宋体" w:cs="Times New Roman"/>
                <w:b/>
                <w:bCs/>
                <w:color w:val="000000"/>
                <w:kern w:val="0"/>
                <w:sz w:val="21"/>
                <w:szCs w:val="21"/>
                <w:highlight w:val="none"/>
                <w:lang w:val="zh-TW" w:eastAsia="zh-TW"/>
              </w:rPr>
              <w:t>污染物类型</w:t>
            </w:r>
          </w:p>
        </w:tc>
        <w:tc>
          <w:tcPr>
            <w:tcW w:w="548" w:type="pct"/>
            <w:tcBorders>
              <w:tl2br w:val="nil"/>
              <w:tr2bl w:val="nil"/>
            </w:tcBorders>
            <w:vAlign w:val="center"/>
          </w:tcPr>
          <w:p w14:paraId="56AB582A">
            <w:pPr>
              <w:spacing w:line="240" w:lineRule="auto"/>
              <w:jc w:val="center"/>
              <w:rPr>
                <w:rFonts w:ascii="Times New Roman" w:hAnsi="Times New Roman" w:eastAsia="宋体" w:cs="Times New Roman"/>
                <w:b/>
                <w:bCs/>
                <w:color w:val="auto"/>
                <w:kern w:val="0"/>
                <w:sz w:val="21"/>
                <w:szCs w:val="24"/>
                <w:highlight w:val="none"/>
              </w:rPr>
            </w:pPr>
            <w:r>
              <w:rPr>
                <w:rFonts w:hint="eastAsia" w:ascii="Times New Roman" w:hAnsi="Times New Roman" w:eastAsia="宋体" w:cs="Times New Roman"/>
                <w:b/>
                <w:bCs/>
                <w:color w:val="000000"/>
                <w:kern w:val="0"/>
                <w:sz w:val="21"/>
                <w:szCs w:val="21"/>
                <w:highlight w:val="none"/>
                <w:lang w:val="zh-TW" w:eastAsia="zh-TW"/>
              </w:rPr>
              <w:t>防渗分区</w:t>
            </w:r>
          </w:p>
        </w:tc>
        <w:tc>
          <w:tcPr>
            <w:tcW w:w="920" w:type="pct"/>
            <w:tcBorders>
              <w:tl2br w:val="nil"/>
              <w:tr2bl w:val="nil"/>
            </w:tcBorders>
            <w:vAlign w:val="center"/>
          </w:tcPr>
          <w:p w14:paraId="6ED78D86">
            <w:pPr>
              <w:widowControl/>
              <w:spacing w:line="240" w:lineRule="auto"/>
              <w:jc w:val="center"/>
              <w:rPr>
                <w:rFonts w:ascii="Calibri" w:hAnsi="Calibri" w:eastAsia="宋体" w:cs="Times New Roman"/>
                <w:b/>
                <w:bCs/>
                <w:color w:val="auto"/>
                <w:kern w:val="0"/>
                <w:sz w:val="21"/>
                <w:szCs w:val="24"/>
                <w:highlight w:val="none"/>
              </w:rPr>
            </w:pPr>
            <w:r>
              <w:rPr>
                <w:rFonts w:hint="eastAsia" w:ascii="宋体" w:hAnsi="宋体" w:eastAsia="宋体" w:cs="宋体"/>
                <w:b/>
                <w:bCs/>
                <w:color w:val="000000"/>
                <w:kern w:val="0"/>
                <w:sz w:val="21"/>
                <w:szCs w:val="21"/>
                <w:highlight w:val="none"/>
                <w:lang w:bidi="ar"/>
              </w:rPr>
              <w:t>防渗处理措施</w:t>
            </w:r>
          </w:p>
        </w:tc>
      </w:tr>
      <w:tr w14:paraId="1B77B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4" w:type="pct"/>
            <w:tcBorders>
              <w:tl2br w:val="nil"/>
              <w:tr2bl w:val="nil"/>
            </w:tcBorders>
            <w:vAlign w:val="center"/>
          </w:tcPr>
          <w:p w14:paraId="056915B2">
            <w:pPr>
              <w:spacing w:line="240" w:lineRule="auto"/>
              <w:jc w:val="center"/>
              <w:rPr>
                <w:rFonts w:hint="default" w:ascii="Times New Roman" w:hAnsi="Times New Roman" w:eastAsia="宋体" w:cs="Times New Roman"/>
                <w:b w:val="0"/>
                <w:bCs w:val="0"/>
                <w:color w:val="auto"/>
                <w:kern w:val="0"/>
                <w:sz w:val="21"/>
                <w:szCs w:val="24"/>
                <w:highlight w:val="none"/>
                <w:lang w:val="en-US" w:eastAsia="zh-CN"/>
              </w:rPr>
            </w:pPr>
            <w:r>
              <w:rPr>
                <w:rFonts w:hint="eastAsia" w:ascii="Times New Roman" w:hAnsi="Times New Roman" w:eastAsia="宋体" w:cs="Times New Roman"/>
                <w:b w:val="0"/>
                <w:bCs w:val="0"/>
                <w:color w:val="auto"/>
                <w:kern w:val="0"/>
                <w:sz w:val="21"/>
                <w:szCs w:val="24"/>
                <w:highlight w:val="none"/>
                <w:lang w:val="en-US" w:eastAsia="zh-CN"/>
              </w:rPr>
              <w:t>运动场、尿液收集池</w:t>
            </w:r>
            <w:r>
              <w:rPr>
                <w:rFonts w:hint="default" w:ascii="Times New Roman" w:hAnsi="Times New Roman" w:eastAsia="宋体" w:cs="Times New Roman"/>
                <w:b w:val="0"/>
                <w:bCs w:val="0"/>
                <w:color w:val="auto"/>
                <w:kern w:val="0"/>
                <w:sz w:val="21"/>
                <w:szCs w:val="24"/>
                <w:highlight w:val="none"/>
                <w:lang w:val="en-US" w:eastAsia="zh-CN"/>
              </w:rPr>
              <w:t>、发酵槽、医疗废物暂存间、隔离圈</w:t>
            </w:r>
            <w:r>
              <w:rPr>
                <w:rFonts w:hint="eastAsia" w:ascii="Times New Roman" w:hAnsi="Times New Roman" w:eastAsia="宋体" w:cs="Times New Roman"/>
                <w:b w:val="0"/>
                <w:bCs w:val="0"/>
                <w:color w:val="auto"/>
                <w:kern w:val="0"/>
                <w:sz w:val="21"/>
                <w:szCs w:val="24"/>
                <w:highlight w:val="none"/>
                <w:lang w:val="en-US" w:eastAsia="zh-CN"/>
              </w:rPr>
              <w:t>、病死牛暂存间、危险废物贮存点</w:t>
            </w:r>
          </w:p>
        </w:tc>
        <w:tc>
          <w:tcPr>
            <w:tcW w:w="609" w:type="pct"/>
            <w:tcBorders>
              <w:tl2br w:val="nil"/>
              <w:tr2bl w:val="nil"/>
            </w:tcBorders>
            <w:vAlign w:val="center"/>
          </w:tcPr>
          <w:p w14:paraId="6C1DE5DC">
            <w:pPr>
              <w:spacing w:line="240" w:lineRule="auto"/>
              <w:jc w:val="center"/>
              <w:rPr>
                <w:rFonts w:hint="eastAsia" w:ascii="Times New Roman" w:hAnsi="Times New Roman" w:eastAsia="宋体" w:cs="Times New Roman"/>
                <w:b w:val="0"/>
                <w:bCs w:val="0"/>
                <w:color w:val="auto"/>
                <w:kern w:val="0"/>
                <w:sz w:val="21"/>
                <w:szCs w:val="24"/>
                <w:highlight w:val="none"/>
                <w:lang w:eastAsia="zh-CN"/>
              </w:rPr>
            </w:pPr>
            <w:r>
              <w:rPr>
                <w:rFonts w:hint="eastAsia" w:ascii="Times New Roman" w:hAnsi="Times New Roman" w:eastAsia="宋体" w:cs="Times New Roman"/>
                <w:b w:val="0"/>
                <w:bCs w:val="0"/>
                <w:color w:val="000000"/>
                <w:kern w:val="0"/>
                <w:sz w:val="21"/>
                <w:szCs w:val="21"/>
                <w:highlight w:val="none"/>
                <w:lang w:val="en-US" w:eastAsia="zh-CN"/>
              </w:rPr>
              <w:t>弱</w:t>
            </w:r>
          </w:p>
        </w:tc>
        <w:tc>
          <w:tcPr>
            <w:tcW w:w="644" w:type="pct"/>
            <w:tcBorders>
              <w:tl2br w:val="nil"/>
              <w:tr2bl w:val="nil"/>
            </w:tcBorders>
            <w:vAlign w:val="center"/>
          </w:tcPr>
          <w:p w14:paraId="45AFCA13">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000000"/>
                <w:kern w:val="0"/>
                <w:sz w:val="21"/>
                <w:szCs w:val="21"/>
                <w:highlight w:val="none"/>
                <w:lang w:val="zh-TW" w:eastAsia="zh-TW"/>
              </w:rPr>
              <w:t>难</w:t>
            </w:r>
          </w:p>
        </w:tc>
        <w:tc>
          <w:tcPr>
            <w:tcW w:w="783" w:type="pct"/>
            <w:tcBorders>
              <w:tl2br w:val="nil"/>
              <w:tr2bl w:val="nil"/>
            </w:tcBorders>
            <w:vAlign w:val="center"/>
          </w:tcPr>
          <w:p w14:paraId="62BA1994">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eastAsia" w:ascii="Times New Roman" w:hAnsi="Times New Roman" w:eastAsia="宋体" w:cs="Times New Roman"/>
                <w:b w:val="0"/>
                <w:bCs w:val="0"/>
                <w:color w:val="000000"/>
                <w:kern w:val="0"/>
                <w:sz w:val="21"/>
                <w:szCs w:val="21"/>
                <w:highlight w:val="none"/>
                <w:lang w:val="en-US" w:eastAsia="zh-CN"/>
              </w:rPr>
              <w:t>非</w:t>
            </w:r>
            <w:r>
              <w:rPr>
                <w:rFonts w:hint="eastAsia" w:ascii="Times New Roman" w:hAnsi="Times New Roman" w:eastAsia="宋体" w:cs="Times New Roman"/>
                <w:b w:val="0"/>
                <w:bCs w:val="0"/>
                <w:color w:val="000000"/>
                <w:kern w:val="0"/>
                <w:sz w:val="21"/>
                <w:szCs w:val="21"/>
                <w:highlight w:val="none"/>
                <w:lang w:val="zh-TW" w:eastAsia="zh-TW"/>
              </w:rPr>
              <w:t>重金属、持久性有机物污染物</w:t>
            </w:r>
            <w:r>
              <w:rPr>
                <w:rFonts w:hint="eastAsia" w:ascii="Times New Roman" w:hAnsi="Times New Roman" w:eastAsia="宋体" w:cs="Times New Roman"/>
                <w:b w:val="0"/>
                <w:bCs w:val="0"/>
                <w:color w:val="000000"/>
                <w:kern w:val="0"/>
                <w:sz w:val="21"/>
                <w:szCs w:val="21"/>
                <w:highlight w:val="none"/>
                <w:lang w:val="en-US" w:eastAsia="zh-CN"/>
              </w:rPr>
              <w:t>的</w:t>
            </w:r>
            <w:r>
              <w:rPr>
                <w:rFonts w:hint="eastAsia" w:ascii="Times New Roman" w:hAnsi="Times New Roman" w:eastAsia="宋体" w:cs="Times New Roman"/>
                <w:b w:val="0"/>
                <w:bCs w:val="0"/>
                <w:color w:val="000000"/>
                <w:kern w:val="0"/>
                <w:sz w:val="21"/>
                <w:szCs w:val="21"/>
                <w:highlight w:val="none"/>
                <w:lang w:val="zh-TW" w:eastAsia="zh-TW"/>
              </w:rPr>
              <w:t>其他类型</w:t>
            </w:r>
          </w:p>
        </w:tc>
        <w:tc>
          <w:tcPr>
            <w:tcW w:w="548" w:type="pct"/>
            <w:tcBorders>
              <w:tl2br w:val="nil"/>
              <w:tr2bl w:val="nil"/>
            </w:tcBorders>
            <w:vAlign w:val="center"/>
          </w:tcPr>
          <w:p w14:paraId="1E4C8331">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auto"/>
                <w:kern w:val="0"/>
                <w:sz w:val="21"/>
                <w:szCs w:val="24"/>
                <w:highlight w:val="none"/>
              </w:rPr>
              <w:t>重点防渗</w:t>
            </w:r>
          </w:p>
        </w:tc>
        <w:tc>
          <w:tcPr>
            <w:tcW w:w="920" w:type="pct"/>
            <w:tcBorders>
              <w:tl2br w:val="nil"/>
              <w:tr2bl w:val="nil"/>
            </w:tcBorders>
            <w:vAlign w:val="center"/>
          </w:tcPr>
          <w:p w14:paraId="2FD5C3E2">
            <w:pPr>
              <w:spacing w:line="240" w:lineRule="auto"/>
              <w:jc w:val="center"/>
              <w:rPr>
                <w:rFonts w:ascii="Times New Roman" w:hAnsi="Times New Roman" w:eastAsia="宋体" w:cs="Times New Roman"/>
                <w:b w:val="0"/>
                <w:bCs w:val="0"/>
                <w:color w:val="auto"/>
                <w:kern w:val="0"/>
                <w:sz w:val="21"/>
                <w:szCs w:val="24"/>
                <w:highlight w:val="none"/>
              </w:rPr>
            </w:pPr>
            <w:r>
              <w:rPr>
                <w:rFonts w:ascii="Times New Roman" w:hAnsi="Times New Roman" w:eastAsia="宋体" w:cs="Times New Roman"/>
                <w:b w:val="0"/>
                <w:bCs w:val="0"/>
                <w:color w:val="auto"/>
                <w:kern w:val="0"/>
                <w:sz w:val="21"/>
                <w:szCs w:val="24"/>
                <w:highlight w:val="none"/>
              </w:rPr>
              <w:t>等效黏土防渗层Mb≥6.0m，K≤1.0×10</w:t>
            </w:r>
            <w:r>
              <w:rPr>
                <w:rFonts w:hint="eastAsia" w:ascii="Times New Roman" w:hAnsi="Times New Roman" w:eastAsia="宋体" w:cs="Times New Roman"/>
                <w:b w:val="0"/>
                <w:bCs w:val="0"/>
                <w:color w:val="auto"/>
                <w:kern w:val="0"/>
                <w:sz w:val="21"/>
                <w:szCs w:val="24"/>
                <w:highlight w:val="none"/>
                <w:vertAlign w:val="superscript"/>
                <w:lang w:val="en-US" w:eastAsia="zh-CN"/>
              </w:rPr>
              <w:t>-7</w:t>
            </w:r>
            <w:r>
              <w:rPr>
                <w:rFonts w:ascii="Times New Roman" w:hAnsi="Times New Roman" w:eastAsia="宋体" w:cs="Times New Roman"/>
                <w:b w:val="0"/>
                <w:bCs w:val="0"/>
                <w:color w:val="auto"/>
                <w:kern w:val="0"/>
                <w:sz w:val="21"/>
                <w:szCs w:val="24"/>
                <w:highlight w:val="none"/>
              </w:rPr>
              <w:t>cm/s</w:t>
            </w:r>
          </w:p>
        </w:tc>
      </w:tr>
      <w:tr w14:paraId="419AE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4" w:type="pct"/>
            <w:tcBorders>
              <w:tl2br w:val="nil"/>
              <w:tr2bl w:val="nil"/>
            </w:tcBorders>
            <w:vAlign w:val="center"/>
          </w:tcPr>
          <w:p w14:paraId="7744AC48">
            <w:pPr>
              <w:spacing w:line="240" w:lineRule="auto"/>
              <w:jc w:val="center"/>
              <w:rPr>
                <w:rFonts w:hint="default" w:ascii="Times New Roman" w:hAnsi="Times New Roman" w:eastAsia="宋体" w:cs="Times New Roman"/>
                <w:b w:val="0"/>
                <w:bCs w:val="0"/>
                <w:color w:val="auto"/>
                <w:kern w:val="0"/>
                <w:sz w:val="21"/>
                <w:szCs w:val="24"/>
                <w:highlight w:val="none"/>
                <w:lang w:val="en-US" w:eastAsia="zh-CN"/>
              </w:rPr>
            </w:pPr>
            <w:r>
              <w:rPr>
                <w:rFonts w:hint="eastAsia" w:ascii="Times New Roman" w:hAnsi="Times New Roman" w:eastAsia="宋体" w:cs="Times New Roman"/>
                <w:b w:val="0"/>
                <w:bCs w:val="0"/>
                <w:color w:val="auto"/>
                <w:kern w:val="0"/>
                <w:sz w:val="21"/>
                <w:szCs w:val="24"/>
                <w:highlight w:val="none"/>
                <w:lang w:val="en-US" w:eastAsia="zh-CN"/>
              </w:rPr>
              <w:t>牛舍、饲喂</w:t>
            </w:r>
            <w:r>
              <w:rPr>
                <w:rFonts w:hint="eastAsia" w:cs="Times New Roman"/>
                <w:b w:val="0"/>
                <w:bCs w:val="0"/>
                <w:color w:val="auto"/>
                <w:kern w:val="0"/>
                <w:sz w:val="21"/>
                <w:szCs w:val="24"/>
                <w:highlight w:val="none"/>
                <w:lang w:val="en-US" w:eastAsia="zh-CN"/>
              </w:rPr>
              <w:t>凉棚</w:t>
            </w:r>
            <w:r>
              <w:rPr>
                <w:rFonts w:hint="eastAsia" w:ascii="Times New Roman" w:hAnsi="Times New Roman" w:eastAsia="宋体" w:cs="Times New Roman"/>
                <w:b w:val="0"/>
                <w:bCs w:val="0"/>
                <w:color w:val="auto"/>
                <w:kern w:val="0"/>
                <w:sz w:val="21"/>
                <w:szCs w:val="24"/>
                <w:highlight w:val="none"/>
                <w:lang w:val="en-US" w:eastAsia="zh-CN"/>
              </w:rPr>
              <w:t>、</w:t>
            </w:r>
            <w:r>
              <w:rPr>
                <w:rFonts w:hint="default" w:ascii="Times New Roman" w:hAnsi="Times New Roman" w:eastAsia="宋体" w:cs="Times New Roman"/>
                <w:b w:val="0"/>
                <w:bCs w:val="0"/>
                <w:color w:val="auto"/>
                <w:kern w:val="0"/>
                <w:sz w:val="21"/>
                <w:szCs w:val="24"/>
                <w:highlight w:val="none"/>
                <w:lang w:val="en-US" w:eastAsia="zh-CN"/>
              </w:rPr>
              <w:t>堆肥</w:t>
            </w:r>
            <w:r>
              <w:rPr>
                <w:rFonts w:hint="eastAsia" w:ascii="Times New Roman" w:hAnsi="Times New Roman" w:eastAsia="宋体" w:cs="Times New Roman"/>
                <w:b w:val="0"/>
                <w:bCs w:val="0"/>
                <w:color w:val="auto"/>
                <w:kern w:val="0"/>
                <w:sz w:val="21"/>
                <w:szCs w:val="24"/>
                <w:highlight w:val="none"/>
                <w:lang w:val="en-US" w:eastAsia="zh-CN"/>
              </w:rPr>
              <w:t>区</w:t>
            </w:r>
            <w:r>
              <w:rPr>
                <w:rFonts w:hint="default" w:ascii="Times New Roman" w:hAnsi="Times New Roman" w:eastAsia="宋体" w:cs="Times New Roman"/>
                <w:b w:val="0"/>
                <w:bCs w:val="0"/>
                <w:color w:val="auto"/>
                <w:kern w:val="0"/>
                <w:sz w:val="21"/>
                <w:szCs w:val="24"/>
                <w:highlight w:val="none"/>
                <w:lang w:val="en-US" w:eastAsia="zh-CN"/>
              </w:rPr>
              <w:t>、饲料加工</w:t>
            </w:r>
            <w:r>
              <w:rPr>
                <w:rFonts w:hint="eastAsia" w:ascii="Times New Roman" w:hAnsi="Times New Roman" w:eastAsia="宋体" w:cs="Times New Roman"/>
                <w:b w:val="0"/>
                <w:bCs w:val="0"/>
                <w:color w:val="auto"/>
                <w:kern w:val="0"/>
                <w:sz w:val="21"/>
                <w:szCs w:val="24"/>
                <w:highlight w:val="none"/>
                <w:lang w:val="en-US" w:eastAsia="zh-CN"/>
              </w:rPr>
              <w:t>区</w:t>
            </w:r>
            <w:r>
              <w:rPr>
                <w:rFonts w:hint="default" w:ascii="Times New Roman" w:hAnsi="Times New Roman" w:eastAsia="宋体" w:cs="Times New Roman"/>
                <w:b w:val="0"/>
                <w:bCs w:val="0"/>
                <w:color w:val="auto"/>
                <w:kern w:val="0"/>
                <w:sz w:val="21"/>
                <w:szCs w:val="24"/>
                <w:highlight w:val="none"/>
                <w:lang w:val="en-US" w:eastAsia="zh-CN"/>
              </w:rPr>
              <w:t>、兽医室、原料储存库房</w:t>
            </w:r>
          </w:p>
        </w:tc>
        <w:tc>
          <w:tcPr>
            <w:tcW w:w="609" w:type="pct"/>
            <w:tcBorders>
              <w:tl2br w:val="nil"/>
              <w:tr2bl w:val="nil"/>
            </w:tcBorders>
            <w:vAlign w:val="center"/>
          </w:tcPr>
          <w:p w14:paraId="3B38BF0E">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000000"/>
                <w:kern w:val="0"/>
                <w:sz w:val="21"/>
                <w:szCs w:val="21"/>
                <w:highlight w:val="none"/>
                <w:lang w:val="en-US" w:eastAsia="zh-CN"/>
              </w:rPr>
              <w:t>弱</w:t>
            </w:r>
          </w:p>
        </w:tc>
        <w:tc>
          <w:tcPr>
            <w:tcW w:w="644" w:type="pct"/>
            <w:tcBorders>
              <w:tl2br w:val="nil"/>
              <w:tr2bl w:val="nil"/>
            </w:tcBorders>
            <w:vAlign w:val="center"/>
          </w:tcPr>
          <w:p w14:paraId="38E98392">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auto"/>
                <w:kern w:val="0"/>
                <w:sz w:val="21"/>
                <w:szCs w:val="24"/>
                <w:highlight w:val="none"/>
              </w:rPr>
              <w:t>易</w:t>
            </w:r>
            <w:r>
              <w:rPr>
                <w:rFonts w:hint="eastAsia" w:ascii="Times New Roman" w:hAnsi="Times New Roman" w:eastAsia="宋体" w:cs="Times New Roman"/>
                <w:b w:val="0"/>
                <w:bCs w:val="0"/>
                <w:color w:val="auto"/>
                <w:kern w:val="0"/>
                <w:sz w:val="21"/>
                <w:szCs w:val="24"/>
                <w:highlight w:val="none"/>
                <w:lang w:eastAsia="zh-CN"/>
              </w:rPr>
              <w:t>—</w:t>
            </w:r>
            <w:r>
              <w:rPr>
                <w:rFonts w:hint="eastAsia" w:ascii="Times New Roman" w:hAnsi="Times New Roman" w:eastAsia="宋体" w:cs="Times New Roman"/>
                <w:b w:val="0"/>
                <w:bCs w:val="0"/>
                <w:color w:val="000000"/>
                <w:kern w:val="0"/>
                <w:sz w:val="21"/>
                <w:szCs w:val="21"/>
                <w:highlight w:val="none"/>
                <w:lang w:val="zh-TW" w:eastAsia="zh-TW"/>
              </w:rPr>
              <w:t>难</w:t>
            </w:r>
          </w:p>
        </w:tc>
        <w:tc>
          <w:tcPr>
            <w:tcW w:w="783" w:type="pct"/>
            <w:tcBorders>
              <w:tl2br w:val="nil"/>
              <w:tr2bl w:val="nil"/>
            </w:tcBorders>
            <w:vAlign w:val="center"/>
          </w:tcPr>
          <w:p w14:paraId="6ABDF276">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eastAsia" w:ascii="Times New Roman" w:hAnsi="Times New Roman" w:eastAsia="宋体" w:cs="Times New Roman"/>
                <w:b w:val="0"/>
                <w:bCs w:val="0"/>
                <w:color w:val="000000"/>
                <w:kern w:val="0"/>
                <w:sz w:val="21"/>
                <w:szCs w:val="21"/>
                <w:highlight w:val="none"/>
                <w:lang w:val="en-US" w:eastAsia="zh-CN"/>
              </w:rPr>
              <w:t>非</w:t>
            </w:r>
            <w:r>
              <w:rPr>
                <w:rFonts w:hint="eastAsia" w:ascii="Times New Roman" w:hAnsi="Times New Roman" w:eastAsia="宋体" w:cs="Times New Roman"/>
                <w:b w:val="0"/>
                <w:bCs w:val="0"/>
                <w:color w:val="000000"/>
                <w:kern w:val="0"/>
                <w:sz w:val="21"/>
                <w:szCs w:val="21"/>
                <w:highlight w:val="none"/>
                <w:lang w:val="zh-TW" w:eastAsia="zh-TW"/>
              </w:rPr>
              <w:t>重金属、持久性有机物</w:t>
            </w:r>
          </w:p>
        </w:tc>
        <w:tc>
          <w:tcPr>
            <w:tcW w:w="548" w:type="pct"/>
            <w:tcBorders>
              <w:tl2br w:val="nil"/>
              <w:tr2bl w:val="nil"/>
            </w:tcBorders>
            <w:vAlign w:val="center"/>
          </w:tcPr>
          <w:p w14:paraId="4276D4F3">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auto"/>
                <w:kern w:val="0"/>
                <w:sz w:val="21"/>
                <w:szCs w:val="24"/>
                <w:highlight w:val="none"/>
              </w:rPr>
              <w:t>一般防渗</w:t>
            </w:r>
          </w:p>
        </w:tc>
        <w:tc>
          <w:tcPr>
            <w:tcW w:w="920" w:type="pct"/>
            <w:tcBorders>
              <w:tl2br w:val="nil"/>
              <w:tr2bl w:val="nil"/>
            </w:tcBorders>
            <w:vAlign w:val="center"/>
          </w:tcPr>
          <w:p w14:paraId="71D90119">
            <w:pPr>
              <w:spacing w:line="240" w:lineRule="auto"/>
              <w:jc w:val="center"/>
              <w:rPr>
                <w:rFonts w:ascii="Times New Roman" w:hAnsi="Times New Roman" w:eastAsia="宋体" w:cs="Times New Roman"/>
                <w:b w:val="0"/>
                <w:bCs w:val="0"/>
                <w:color w:val="auto"/>
                <w:kern w:val="0"/>
                <w:sz w:val="21"/>
                <w:szCs w:val="24"/>
                <w:highlight w:val="none"/>
              </w:rPr>
            </w:pPr>
            <w:r>
              <w:rPr>
                <w:rFonts w:ascii="Times New Roman" w:hAnsi="Times New Roman" w:eastAsia="宋体" w:cs="Times New Roman"/>
                <w:b w:val="0"/>
                <w:bCs w:val="0"/>
                <w:color w:val="auto"/>
                <w:kern w:val="0"/>
                <w:sz w:val="21"/>
                <w:szCs w:val="24"/>
                <w:highlight w:val="none"/>
              </w:rPr>
              <w:t>等效黏土防渗层Mb≥1.5m，K≤1.0×10</w:t>
            </w:r>
            <w:r>
              <w:rPr>
                <w:rFonts w:ascii="Times New Roman" w:hAnsi="Times New Roman" w:eastAsia="宋体" w:cs="Times New Roman"/>
                <w:b w:val="0"/>
                <w:bCs w:val="0"/>
                <w:color w:val="auto"/>
                <w:kern w:val="0"/>
                <w:sz w:val="21"/>
                <w:szCs w:val="24"/>
                <w:highlight w:val="none"/>
                <w:vertAlign w:val="superscript"/>
              </w:rPr>
              <w:t>-7</w:t>
            </w:r>
            <w:r>
              <w:rPr>
                <w:rFonts w:ascii="Times New Roman" w:hAnsi="Times New Roman" w:eastAsia="宋体" w:cs="Times New Roman"/>
                <w:b w:val="0"/>
                <w:bCs w:val="0"/>
                <w:color w:val="auto"/>
                <w:kern w:val="0"/>
                <w:sz w:val="21"/>
                <w:szCs w:val="24"/>
                <w:highlight w:val="none"/>
              </w:rPr>
              <w:t>cm/s</w:t>
            </w:r>
          </w:p>
        </w:tc>
      </w:tr>
      <w:tr w14:paraId="48468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494" w:type="pct"/>
            <w:tcBorders>
              <w:tl2br w:val="nil"/>
              <w:tr2bl w:val="nil"/>
            </w:tcBorders>
            <w:vAlign w:val="center"/>
          </w:tcPr>
          <w:p w14:paraId="367E4E67">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auto"/>
                <w:kern w:val="0"/>
                <w:sz w:val="21"/>
                <w:szCs w:val="24"/>
                <w:highlight w:val="none"/>
                <w:lang w:val="en-US" w:eastAsia="zh-CN"/>
              </w:rPr>
              <w:t>道路、饲喂通道、饲草堆放区、办公生活区</w:t>
            </w:r>
          </w:p>
        </w:tc>
        <w:tc>
          <w:tcPr>
            <w:tcW w:w="609" w:type="pct"/>
            <w:tcBorders>
              <w:tl2br w:val="nil"/>
              <w:tr2bl w:val="nil"/>
            </w:tcBorders>
            <w:vAlign w:val="center"/>
          </w:tcPr>
          <w:p w14:paraId="44FFD8EF">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000000"/>
                <w:kern w:val="0"/>
                <w:sz w:val="21"/>
                <w:szCs w:val="21"/>
                <w:highlight w:val="none"/>
                <w:lang w:val="en-US" w:eastAsia="zh-CN"/>
              </w:rPr>
              <w:t>弱</w:t>
            </w:r>
          </w:p>
        </w:tc>
        <w:tc>
          <w:tcPr>
            <w:tcW w:w="644" w:type="pct"/>
            <w:tcBorders>
              <w:tl2br w:val="nil"/>
              <w:tr2bl w:val="nil"/>
            </w:tcBorders>
            <w:vAlign w:val="center"/>
          </w:tcPr>
          <w:p w14:paraId="42C55A8F">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auto"/>
                <w:kern w:val="0"/>
                <w:sz w:val="21"/>
                <w:szCs w:val="24"/>
                <w:highlight w:val="none"/>
              </w:rPr>
              <w:t>易</w:t>
            </w:r>
          </w:p>
        </w:tc>
        <w:tc>
          <w:tcPr>
            <w:tcW w:w="783" w:type="pct"/>
            <w:tcBorders>
              <w:tl2br w:val="nil"/>
              <w:tr2bl w:val="nil"/>
            </w:tcBorders>
            <w:vAlign w:val="center"/>
          </w:tcPr>
          <w:p w14:paraId="7070BF2F">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000000"/>
                <w:kern w:val="0"/>
                <w:sz w:val="21"/>
                <w:szCs w:val="21"/>
                <w:highlight w:val="none"/>
                <w:lang w:val="zh-TW" w:eastAsia="zh-TW"/>
              </w:rPr>
              <w:t>污染物</w:t>
            </w:r>
            <w:r>
              <w:rPr>
                <w:rFonts w:hint="eastAsia" w:ascii="Times New Roman" w:hAnsi="Times New Roman" w:eastAsia="宋体" w:cs="Times New Roman"/>
                <w:b w:val="0"/>
                <w:bCs w:val="0"/>
                <w:color w:val="000000"/>
                <w:kern w:val="0"/>
                <w:sz w:val="21"/>
                <w:szCs w:val="21"/>
                <w:highlight w:val="none"/>
                <w:lang w:val="en-US" w:eastAsia="zh-CN"/>
              </w:rPr>
              <w:t>的</w:t>
            </w:r>
            <w:r>
              <w:rPr>
                <w:rFonts w:hint="eastAsia" w:ascii="Times New Roman" w:hAnsi="Times New Roman" w:eastAsia="宋体" w:cs="Times New Roman"/>
                <w:b w:val="0"/>
                <w:bCs w:val="0"/>
                <w:color w:val="000000"/>
                <w:kern w:val="0"/>
                <w:sz w:val="21"/>
                <w:szCs w:val="21"/>
                <w:highlight w:val="none"/>
                <w:lang w:val="zh-TW" w:eastAsia="zh-TW"/>
              </w:rPr>
              <w:t>其他类型</w:t>
            </w:r>
          </w:p>
        </w:tc>
        <w:tc>
          <w:tcPr>
            <w:tcW w:w="548" w:type="pct"/>
            <w:tcBorders>
              <w:tl2br w:val="nil"/>
              <w:tr2bl w:val="nil"/>
            </w:tcBorders>
            <w:vAlign w:val="center"/>
          </w:tcPr>
          <w:p w14:paraId="540330EA">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auto"/>
                <w:kern w:val="0"/>
                <w:sz w:val="21"/>
                <w:szCs w:val="24"/>
                <w:highlight w:val="none"/>
              </w:rPr>
              <w:t>简单防渗</w:t>
            </w:r>
          </w:p>
        </w:tc>
        <w:tc>
          <w:tcPr>
            <w:tcW w:w="920" w:type="pct"/>
            <w:tcBorders>
              <w:tl2br w:val="nil"/>
              <w:tr2bl w:val="nil"/>
            </w:tcBorders>
            <w:vAlign w:val="center"/>
          </w:tcPr>
          <w:p w14:paraId="39007FDE">
            <w:pPr>
              <w:spacing w:line="240" w:lineRule="auto"/>
              <w:jc w:val="center"/>
              <w:rPr>
                <w:rFonts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000000"/>
                <w:kern w:val="0"/>
                <w:sz w:val="21"/>
                <w:szCs w:val="21"/>
                <w:highlight w:val="none"/>
                <w:lang w:val="zh-TW" w:eastAsia="zh-TW"/>
              </w:rPr>
              <w:t>一般地面硬化</w:t>
            </w:r>
          </w:p>
        </w:tc>
      </w:tr>
    </w:tbl>
    <w:p w14:paraId="0EA89909">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各建筑防渗方法和防渗材料选用要经过专业设计，并符合本次环评的分区类别，所有建筑物防渗的设计使用年限不低于其主体的设计使用年限。</w:t>
      </w:r>
      <w:bookmarkStart w:id="734" w:name="_Toc418678870"/>
    </w:p>
    <w:p w14:paraId="416434E0">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4</w:t>
      </w:r>
      <w:r>
        <w:rPr>
          <w:rFonts w:ascii="Times New Roman" w:hAnsi="Times New Roman" w:eastAsia="宋体" w:cs="Times New Roman"/>
          <w:color w:val="000000"/>
          <w:kern w:val="2"/>
          <w:sz w:val="24"/>
          <w:szCs w:val="24"/>
          <w:highlight w:val="none"/>
          <w:lang w:val="en-US" w:eastAsia="zh-CN" w:bidi="ar-SA"/>
        </w:rPr>
        <w:t>）污水管网</w:t>
      </w:r>
      <w:bookmarkEnd w:id="734"/>
    </w:p>
    <w:p w14:paraId="177B4F05">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各工艺的生产废水以及三废处理工段的污水管线等以重力水形式存在的污水存在的区域，应按照设计要求严格施工；施工过程中对管道、阀门严格检查，采用优质产品，有质量问题及时更换。</w:t>
      </w:r>
    </w:p>
    <w:p w14:paraId="48055697">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对工艺要求必须地下走管的管道、阀门设专用防渗管沟，管沟上设活动观察顶盖，以便出现渗漏问题及时观察、解决，管沟与</w:t>
      </w:r>
      <w:r>
        <w:rPr>
          <w:rFonts w:hint="eastAsia" w:ascii="Times New Roman" w:hAnsi="Times New Roman" w:eastAsia="宋体" w:cs="Times New Roman"/>
          <w:color w:val="000000"/>
          <w:kern w:val="2"/>
          <w:sz w:val="24"/>
          <w:szCs w:val="24"/>
          <w:highlight w:val="none"/>
          <w:lang w:val="en-US" w:eastAsia="zh-CN" w:bidi="ar-SA"/>
        </w:rPr>
        <w:t>尿液收集池</w:t>
      </w:r>
      <w:r>
        <w:rPr>
          <w:rFonts w:ascii="Times New Roman" w:hAnsi="Times New Roman" w:eastAsia="宋体" w:cs="Times New Roman"/>
          <w:color w:val="000000"/>
          <w:kern w:val="2"/>
          <w:sz w:val="24"/>
          <w:szCs w:val="24"/>
          <w:highlight w:val="none"/>
          <w:lang w:val="en-US" w:eastAsia="zh-CN" w:bidi="ar-SA"/>
        </w:rPr>
        <w:t>相连，并设计合理的排水坡度，便于废水排至</w:t>
      </w:r>
      <w:r>
        <w:rPr>
          <w:rFonts w:hint="eastAsia" w:ascii="Times New Roman" w:hAnsi="Times New Roman" w:eastAsia="宋体" w:cs="Times New Roman"/>
          <w:color w:val="000000"/>
          <w:kern w:val="2"/>
          <w:sz w:val="24"/>
          <w:szCs w:val="24"/>
          <w:highlight w:val="none"/>
          <w:lang w:val="en-US" w:eastAsia="zh-CN" w:bidi="ar-SA"/>
        </w:rPr>
        <w:t>尿液收集池</w:t>
      </w:r>
      <w:r>
        <w:rPr>
          <w:rFonts w:ascii="Times New Roman" w:hAnsi="Times New Roman" w:eastAsia="宋体" w:cs="Times New Roman"/>
          <w:color w:val="000000"/>
          <w:kern w:val="2"/>
          <w:sz w:val="24"/>
          <w:szCs w:val="24"/>
          <w:highlight w:val="none"/>
          <w:lang w:val="en-US" w:eastAsia="zh-CN" w:bidi="ar-SA"/>
        </w:rPr>
        <w:t>。</w:t>
      </w:r>
    </w:p>
    <w:p w14:paraId="5B1820D7">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bookmarkStart w:id="735" w:name="_Toc322355668"/>
      <w:bookmarkStart w:id="736" w:name="_Toc418678872"/>
      <w:bookmarkStart w:id="737" w:name="_Toc2441"/>
      <w:r>
        <w:rPr>
          <w:rFonts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5</w:t>
      </w:r>
      <w:r>
        <w:rPr>
          <w:rFonts w:ascii="Times New Roman" w:hAnsi="Times New Roman" w:eastAsia="宋体" w:cs="Times New Roman"/>
          <w:color w:val="000000"/>
          <w:kern w:val="2"/>
          <w:sz w:val="24"/>
          <w:szCs w:val="24"/>
          <w:highlight w:val="none"/>
          <w:lang w:val="en-US" w:eastAsia="zh-CN" w:bidi="ar-SA"/>
        </w:rPr>
        <w:t>）地下水应急预案及处理</w:t>
      </w:r>
      <w:bookmarkEnd w:id="735"/>
      <w:bookmarkEnd w:id="736"/>
      <w:bookmarkEnd w:id="737"/>
    </w:p>
    <w:p w14:paraId="6DD34AD1">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bookmarkStart w:id="738" w:name="_Toc322355669"/>
      <w:r>
        <w:rPr>
          <w:rFonts w:ascii="Times New Roman" w:hAnsi="Times New Roman" w:eastAsia="宋体" w:cs="Times New Roman"/>
          <w:color w:val="000000"/>
          <w:kern w:val="2"/>
          <w:sz w:val="24"/>
          <w:szCs w:val="24"/>
          <w:highlight w:val="none"/>
          <w:lang w:val="en-US" w:eastAsia="zh-CN" w:bidi="ar-SA"/>
        </w:rPr>
        <w:t>①应急预案</w:t>
      </w:r>
      <w:bookmarkEnd w:id="738"/>
    </w:p>
    <w:p w14:paraId="31377532">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1）在制定安全管理体制的基础上，</w:t>
      </w:r>
      <w:r>
        <w:rPr>
          <w:rFonts w:hint="eastAsia" w:ascii="Times New Roman" w:hAnsi="Times New Roman" w:eastAsia="宋体" w:cs="Times New Roman"/>
          <w:color w:val="000000"/>
          <w:kern w:val="2"/>
          <w:sz w:val="24"/>
          <w:szCs w:val="24"/>
          <w:highlight w:val="none"/>
          <w:lang w:val="en-US" w:eastAsia="zh-CN" w:bidi="ar-SA"/>
        </w:rPr>
        <w:t>制定</w:t>
      </w:r>
      <w:r>
        <w:rPr>
          <w:rFonts w:ascii="Times New Roman" w:hAnsi="Times New Roman" w:eastAsia="宋体" w:cs="Times New Roman"/>
          <w:color w:val="000000"/>
          <w:kern w:val="2"/>
          <w:sz w:val="24"/>
          <w:szCs w:val="24"/>
          <w:highlight w:val="none"/>
          <w:lang w:val="en-US" w:eastAsia="zh-CN" w:bidi="ar-SA"/>
        </w:rPr>
        <w:t>专门的地下水污染事故的应急措施。</w:t>
      </w:r>
    </w:p>
    <w:p w14:paraId="1E3582AF">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2）地下水应急预案应包括以下内容：</w:t>
      </w:r>
    </w:p>
    <w:p w14:paraId="1B2925F5">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（a）应急预案的日常协调和指挥机构；</w:t>
      </w:r>
    </w:p>
    <w:p w14:paraId="33F56A90">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（b）相关部门在应急预案中的职责和分工；</w:t>
      </w:r>
    </w:p>
    <w:p w14:paraId="108A85A5">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（c）地下水环境保护目标的确定</w:t>
      </w:r>
      <w:r>
        <w:rPr>
          <w:rFonts w:hint="eastAsia" w:ascii="Times New Roman" w:hAnsi="Times New Roman" w:eastAsia="宋体" w:cs="Times New Roman"/>
          <w:color w:val="000000"/>
          <w:kern w:val="2"/>
          <w:sz w:val="24"/>
          <w:szCs w:val="24"/>
          <w:highlight w:val="none"/>
          <w:lang w:val="en-US" w:eastAsia="zh-CN" w:bidi="ar-SA"/>
        </w:rPr>
        <w:t>，</w:t>
      </w:r>
      <w:r>
        <w:rPr>
          <w:rFonts w:ascii="Times New Roman" w:hAnsi="Times New Roman" w:eastAsia="宋体" w:cs="Times New Roman"/>
          <w:color w:val="000000"/>
          <w:kern w:val="2"/>
          <w:sz w:val="24"/>
          <w:szCs w:val="24"/>
          <w:highlight w:val="none"/>
          <w:lang w:val="en-US" w:eastAsia="zh-CN" w:bidi="ar-SA"/>
        </w:rPr>
        <w:t>采取的紧急处置措施和潜在污染可能性评估；</w:t>
      </w:r>
    </w:p>
    <w:p w14:paraId="2B9583CF">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（d）特大事故应急救援组织状况和人员、装备情况，平常的训练和演习；</w:t>
      </w:r>
    </w:p>
    <w:p w14:paraId="34D2BB74">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（e）特大事故的社会支持和援助，应急救援的经费保障。地下水应急预案详见表</w:t>
      </w:r>
      <w:r>
        <w:rPr>
          <w:rFonts w:hint="eastAsia" w:ascii="Times New Roman" w:hAnsi="Times New Roman" w:eastAsia="宋体" w:cs="Times New Roman"/>
          <w:color w:val="000000"/>
          <w:kern w:val="2"/>
          <w:sz w:val="24"/>
          <w:szCs w:val="24"/>
          <w:highlight w:val="none"/>
          <w:lang w:val="en-US" w:eastAsia="zh-CN" w:bidi="ar-SA"/>
        </w:rPr>
        <w:t>7.2-</w:t>
      </w:r>
      <w:r>
        <w:rPr>
          <w:rFonts w:hint="eastAsia" w:cs="Times New Roman"/>
          <w:color w:val="000000"/>
          <w:kern w:val="2"/>
          <w:sz w:val="24"/>
          <w:szCs w:val="24"/>
          <w:highlight w:val="none"/>
          <w:lang w:val="en-US" w:eastAsia="zh-CN" w:bidi="ar-SA"/>
        </w:rPr>
        <w:t>5</w:t>
      </w:r>
      <w:r>
        <w:rPr>
          <w:rFonts w:ascii="Times New Roman" w:hAnsi="Times New Roman" w:eastAsia="宋体" w:cs="Times New Roman"/>
          <w:color w:val="000000"/>
          <w:kern w:val="2"/>
          <w:sz w:val="24"/>
          <w:szCs w:val="24"/>
          <w:highlight w:val="none"/>
          <w:lang w:val="en-US" w:eastAsia="zh-CN" w:bidi="ar-SA"/>
        </w:rPr>
        <w:t>。</w:t>
      </w:r>
    </w:p>
    <w:p w14:paraId="23DA3647">
      <w:pPr>
        <w:widowControl/>
        <w:spacing w:after="80" w:line="360" w:lineRule="auto"/>
        <w:ind w:firstLine="0"/>
        <w:jc w:val="center"/>
        <w:rPr>
          <w:rFonts w:ascii="Times New Roman" w:hAnsi="Times New Roman" w:eastAsia="宋体" w:cs="Times New Roman"/>
          <w:b/>
          <w:color w:val="000000"/>
          <w:kern w:val="0"/>
          <w:sz w:val="24"/>
          <w:szCs w:val="24"/>
          <w:highlight w:val="none"/>
          <w:lang w:val="en-US" w:eastAsia="zh-CN" w:bidi="en-US"/>
        </w:rPr>
      </w:pPr>
      <w:bookmarkStart w:id="739" w:name="_Toc322355670"/>
      <w:r>
        <w:rPr>
          <w:rFonts w:ascii="Times New Roman" w:hAnsi="Times New Roman" w:eastAsia="宋体" w:cs="Times New Roman"/>
          <w:b/>
          <w:color w:val="000000"/>
          <w:kern w:val="0"/>
          <w:sz w:val="24"/>
          <w:szCs w:val="24"/>
          <w:highlight w:val="none"/>
          <w:lang w:val="en-US" w:eastAsia="zh-CN" w:bidi="en-US"/>
        </w:rPr>
        <w:t>表</w:t>
      </w:r>
      <w:r>
        <w:rPr>
          <w:rFonts w:hint="eastAsia" w:ascii="Times New Roman" w:hAnsi="Times New Roman" w:eastAsia="宋体" w:cs="Times New Roman"/>
          <w:b/>
          <w:color w:val="000000"/>
          <w:kern w:val="0"/>
          <w:sz w:val="24"/>
          <w:szCs w:val="24"/>
          <w:highlight w:val="none"/>
          <w:lang w:val="en-US" w:eastAsia="zh-CN" w:bidi="en-US"/>
        </w:rPr>
        <w:t>7.2-</w:t>
      </w:r>
      <w:r>
        <w:rPr>
          <w:rFonts w:hint="eastAsia" w:cs="Times New Roman"/>
          <w:b/>
          <w:color w:val="000000"/>
          <w:kern w:val="0"/>
          <w:sz w:val="24"/>
          <w:szCs w:val="24"/>
          <w:highlight w:val="none"/>
          <w:lang w:val="en-US" w:eastAsia="zh-CN" w:bidi="en-US"/>
        </w:rPr>
        <w:t>5</w:t>
      </w:r>
      <w:r>
        <w:rPr>
          <w:rFonts w:ascii="Times New Roman" w:hAnsi="Times New Roman" w:eastAsia="宋体" w:cs="Times New Roman"/>
          <w:b/>
          <w:color w:val="000000"/>
          <w:kern w:val="0"/>
          <w:sz w:val="24"/>
          <w:szCs w:val="24"/>
          <w:highlight w:val="none"/>
          <w:lang w:val="en-US" w:eastAsia="zh-CN" w:bidi="en-US"/>
        </w:rPr>
        <w:t>地下水污染应急预案内容</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1"/>
        <w:gridCol w:w="2072"/>
        <w:gridCol w:w="5851"/>
      </w:tblGrid>
      <w:tr w14:paraId="6F001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582" w:type="dxa"/>
            <w:noWrap w:val="0"/>
            <w:vAlign w:val="center"/>
          </w:tcPr>
          <w:p w14:paraId="24FECB02">
            <w:pPr>
              <w:widowControl w:val="0"/>
              <w:spacing w:line="240" w:lineRule="auto"/>
              <w:jc w:val="center"/>
              <w:rPr>
                <w:rFonts w:ascii="Times New Roman" w:hAnsi="Times New Roman" w:eastAsia="宋体" w:cs="Times New Roman"/>
                <w:b/>
                <w:bCs/>
                <w:color w:val="000000"/>
                <w:kern w:val="0"/>
                <w:sz w:val="21"/>
                <w:szCs w:val="21"/>
                <w:highlight w:val="none"/>
                <w:lang w:val="en-US" w:eastAsia="zh-CN" w:bidi="ar-SA"/>
              </w:rPr>
            </w:pPr>
            <w:r>
              <w:rPr>
                <w:rFonts w:ascii="Times New Roman" w:hAnsi="Times New Roman" w:eastAsia="宋体" w:cs="Times New Roman"/>
                <w:b/>
                <w:bCs/>
                <w:color w:val="000000"/>
                <w:kern w:val="0"/>
                <w:sz w:val="21"/>
                <w:szCs w:val="21"/>
                <w:highlight w:val="none"/>
                <w:lang w:val="en-US" w:eastAsia="zh-CN" w:bidi="ar-SA"/>
              </w:rPr>
              <w:t>序号</w:t>
            </w:r>
          </w:p>
        </w:tc>
        <w:tc>
          <w:tcPr>
            <w:tcW w:w="2078" w:type="dxa"/>
            <w:noWrap w:val="0"/>
            <w:vAlign w:val="center"/>
          </w:tcPr>
          <w:p w14:paraId="6A74C67E">
            <w:pPr>
              <w:widowControl w:val="0"/>
              <w:spacing w:line="240" w:lineRule="auto"/>
              <w:jc w:val="center"/>
              <w:rPr>
                <w:rFonts w:ascii="Times New Roman" w:hAnsi="Times New Roman" w:eastAsia="宋体" w:cs="Times New Roman"/>
                <w:b/>
                <w:bCs/>
                <w:color w:val="000000"/>
                <w:kern w:val="0"/>
                <w:sz w:val="21"/>
                <w:szCs w:val="21"/>
                <w:highlight w:val="none"/>
                <w:lang w:val="en-US" w:eastAsia="zh-CN" w:bidi="ar-SA"/>
              </w:rPr>
            </w:pPr>
            <w:r>
              <w:rPr>
                <w:rFonts w:ascii="Times New Roman" w:hAnsi="Times New Roman" w:eastAsia="宋体" w:cs="Times New Roman"/>
                <w:b/>
                <w:bCs/>
                <w:color w:val="000000"/>
                <w:kern w:val="0"/>
                <w:sz w:val="21"/>
                <w:szCs w:val="21"/>
                <w:highlight w:val="none"/>
                <w:lang w:val="en-US" w:eastAsia="zh-CN" w:bidi="ar-SA"/>
              </w:rPr>
              <w:t>项目</w:t>
            </w:r>
          </w:p>
        </w:tc>
        <w:tc>
          <w:tcPr>
            <w:tcW w:w="5868" w:type="dxa"/>
            <w:noWrap w:val="0"/>
            <w:vAlign w:val="center"/>
          </w:tcPr>
          <w:p w14:paraId="53410E95">
            <w:pPr>
              <w:widowControl w:val="0"/>
              <w:spacing w:line="240" w:lineRule="auto"/>
              <w:jc w:val="center"/>
              <w:rPr>
                <w:rFonts w:ascii="Times New Roman" w:hAnsi="Times New Roman" w:eastAsia="宋体" w:cs="Times New Roman"/>
                <w:b/>
                <w:bCs/>
                <w:color w:val="000000"/>
                <w:kern w:val="0"/>
                <w:sz w:val="21"/>
                <w:szCs w:val="21"/>
                <w:highlight w:val="none"/>
                <w:lang w:val="en-US" w:eastAsia="zh-CN" w:bidi="ar-SA"/>
              </w:rPr>
            </w:pPr>
            <w:r>
              <w:rPr>
                <w:rFonts w:ascii="Times New Roman" w:hAnsi="Times New Roman" w:eastAsia="宋体" w:cs="Times New Roman"/>
                <w:b/>
                <w:bCs/>
                <w:color w:val="000000"/>
                <w:kern w:val="0"/>
                <w:sz w:val="21"/>
                <w:szCs w:val="21"/>
                <w:highlight w:val="none"/>
                <w:lang w:val="en-US" w:eastAsia="zh-CN" w:bidi="ar-SA"/>
              </w:rPr>
              <w:t>内容及要求</w:t>
            </w:r>
          </w:p>
        </w:tc>
      </w:tr>
      <w:tr w14:paraId="5637B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018D212F">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1</w:t>
            </w:r>
          </w:p>
        </w:tc>
        <w:tc>
          <w:tcPr>
            <w:tcW w:w="2078" w:type="dxa"/>
            <w:noWrap w:val="0"/>
            <w:vAlign w:val="center"/>
          </w:tcPr>
          <w:p w14:paraId="4A9B6EAA">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污染源概况</w:t>
            </w:r>
          </w:p>
        </w:tc>
        <w:tc>
          <w:tcPr>
            <w:tcW w:w="5868" w:type="dxa"/>
            <w:noWrap w:val="0"/>
            <w:vAlign w:val="center"/>
          </w:tcPr>
          <w:p w14:paraId="1FB542E4">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详述污染源类型、数量及其分布，包括生产装置、辅助设施、公用工程</w:t>
            </w:r>
          </w:p>
        </w:tc>
      </w:tr>
      <w:tr w14:paraId="3F900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017D76D2">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2</w:t>
            </w:r>
          </w:p>
        </w:tc>
        <w:tc>
          <w:tcPr>
            <w:tcW w:w="2078" w:type="dxa"/>
            <w:noWrap w:val="0"/>
            <w:vAlign w:val="center"/>
          </w:tcPr>
          <w:p w14:paraId="4FBF9E52">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应急计划区</w:t>
            </w:r>
          </w:p>
        </w:tc>
        <w:tc>
          <w:tcPr>
            <w:tcW w:w="5868" w:type="dxa"/>
            <w:noWrap w:val="0"/>
            <w:vAlign w:val="center"/>
          </w:tcPr>
          <w:p w14:paraId="0D75EFD6">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列出危险目标：生产装置区、辅助设施、公用工程区、环境保护目标，在厂区总图中标明位置</w:t>
            </w:r>
          </w:p>
        </w:tc>
      </w:tr>
      <w:tr w14:paraId="748A3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159B45D7">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3</w:t>
            </w:r>
          </w:p>
        </w:tc>
        <w:tc>
          <w:tcPr>
            <w:tcW w:w="2078" w:type="dxa"/>
            <w:noWrap w:val="0"/>
            <w:vAlign w:val="center"/>
          </w:tcPr>
          <w:p w14:paraId="1E120E54">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应急组织</w:t>
            </w:r>
          </w:p>
        </w:tc>
        <w:tc>
          <w:tcPr>
            <w:tcW w:w="5868" w:type="dxa"/>
            <w:noWrap w:val="0"/>
            <w:vAlign w:val="center"/>
          </w:tcPr>
          <w:p w14:paraId="17203DA3">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应急指挥部—负责现场全面指挥；专业救援队伍—负责事故控制、救援、善后处理；专业监测队伍负责对厂监测站的支援；有资质</w:t>
            </w:r>
            <w:r>
              <w:rPr>
                <w:rFonts w:hint="eastAsia" w:ascii="Times New Roman" w:hAnsi="Times New Roman" w:eastAsia="宋体" w:cs="Times New Roman"/>
                <w:color w:val="000000"/>
                <w:kern w:val="0"/>
                <w:sz w:val="21"/>
                <w:szCs w:val="21"/>
                <w:highlight w:val="none"/>
                <w:lang w:val="en-US" w:eastAsia="zh-CN" w:bidi="ar-SA"/>
              </w:rPr>
              <w:t>勘察单位</w:t>
            </w:r>
            <w:r>
              <w:rPr>
                <w:rFonts w:ascii="Times New Roman" w:hAnsi="Times New Roman" w:eastAsia="宋体" w:cs="Times New Roman"/>
                <w:color w:val="000000"/>
                <w:kern w:val="0"/>
                <w:sz w:val="21"/>
                <w:szCs w:val="21"/>
                <w:highlight w:val="none"/>
                <w:lang w:val="en-US" w:eastAsia="zh-CN" w:bidi="ar-SA"/>
              </w:rPr>
              <w:t>进行地下水污染勘查。</w:t>
            </w:r>
          </w:p>
        </w:tc>
      </w:tr>
      <w:tr w14:paraId="31C9B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37B1470C">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4</w:t>
            </w:r>
          </w:p>
        </w:tc>
        <w:tc>
          <w:tcPr>
            <w:tcW w:w="2078" w:type="dxa"/>
            <w:noWrap w:val="0"/>
            <w:vAlign w:val="center"/>
          </w:tcPr>
          <w:p w14:paraId="0A697731">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应急状态分类及应急响应程序</w:t>
            </w:r>
          </w:p>
        </w:tc>
        <w:tc>
          <w:tcPr>
            <w:tcW w:w="5868" w:type="dxa"/>
            <w:noWrap w:val="0"/>
            <w:vAlign w:val="center"/>
          </w:tcPr>
          <w:p w14:paraId="2CA9BA9A">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规定地下水污染事故的级别及相应的应急分类响应程序。按照突发环境事件严重性和紧急程度，该预案将突发环境事件分为特别重大环境事件（Ⅰ级）、重大环境事件（Ⅱ级）、较大环境事件（Ⅲ级）和一般环境事件（Ⅳ级）四级。</w:t>
            </w:r>
          </w:p>
        </w:tc>
      </w:tr>
      <w:tr w14:paraId="43D9B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72C332A9">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5</w:t>
            </w:r>
          </w:p>
        </w:tc>
        <w:tc>
          <w:tcPr>
            <w:tcW w:w="2078" w:type="dxa"/>
            <w:noWrap w:val="0"/>
            <w:vAlign w:val="center"/>
          </w:tcPr>
          <w:p w14:paraId="5EE05A7D">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应急设施、设备与材料</w:t>
            </w:r>
          </w:p>
        </w:tc>
        <w:tc>
          <w:tcPr>
            <w:tcW w:w="5868" w:type="dxa"/>
            <w:noWrap w:val="0"/>
            <w:vAlign w:val="center"/>
          </w:tcPr>
          <w:p w14:paraId="333506E1">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防止液体</w:t>
            </w:r>
            <w:r>
              <w:rPr>
                <w:rFonts w:ascii="Times New Roman" w:hAnsi="Times New Roman" w:eastAsia="宋体" w:cs="Times New Roman"/>
                <w:color w:val="000000"/>
                <w:kern w:val="0"/>
                <w:sz w:val="21"/>
                <w:szCs w:val="21"/>
                <w:highlight w:val="none"/>
                <w:lang w:val="en-US" w:eastAsia="zh-CN" w:bidi="ar-SA"/>
              </w:rPr>
              <w:t>物质外溢、扩散的应急设施、设备与材料。</w:t>
            </w:r>
          </w:p>
        </w:tc>
      </w:tr>
      <w:tr w14:paraId="4B462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0414D4E7">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6</w:t>
            </w:r>
          </w:p>
        </w:tc>
        <w:tc>
          <w:tcPr>
            <w:tcW w:w="2078" w:type="dxa"/>
            <w:noWrap w:val="0"/>
            <w:vAlign w:val="center"/>
          </w:tcPr>
          <w:p w14:paraId="3187433B">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w:t>
            </w:r>
            <w:r>
              <w:rPr>
                <w:rFonts w:hint="eastAsia" w:ascii="Times New Roman" w:hAnsi="Times New Roman" w:eastAsia="宋体" w:cs="Times New Roman"/>
                <w:color w:val="000000"/>
                <w:kern w:val="0"/>
                <w:sz w:val="21"/>
                <w:szCs w:val="21"/>
                <w:highlight w:val="none"/>
                <w:lang w:val="en-US" w:eastAsia="zh-CN" w:bidi="ar-SA"/>
              </w:rPr>
              <w:t>通信</w:t>
            </w:r>
            <w:r>
              <w:rPr>
                <w:rFonts w:ascii="Times New Roman" w:hAnsi="Times New Roman" w:eastAsia="宋体" w:cs="Times New Roman"/>
                <w:color w:val="000000"/>
                <w:kern w:val="0"/>
                <w:sz w:val="21"/>
                <w:szCs w:val="21"/>
                <w:highlight w:val="none"/>
                <w:lang w:val="en-US" w:eastAsia="zh-CN" w:bidi="ar-SA"/>
              </w:rPr>
              <w:t>和交通</w:t>
            </w:r>
          </w:p>
        </w:tc>
        <w:tc>
          <w:tcPr>
            <w:tcW w:w="5868" w:type="dxa"/>
            <w:noWrap w:val="0"/>
            <w:vAlign w:val="center"/>
          </w:tcPr>
          <w:p w14:paraId="09818E51">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规定应急状态下的通讯方式、通知方式和交通保障、管制。</w:t>
            </w:r>
          </w:p>
        </w:tc>
      </w:tr>
      <w:tr w14:paraId="23270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49F97EEB">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7</w:t>
            </w:r>
          </w:p>
        </w:tc>
        <w:tc>
          <w:tcPr>
            <w:tcW w:w="2078" w:type="dxa"/>
            <w:noWrap w:val="0"/>
            <w:vAlign w:val="center"/>
          </w:tcPr>
          <w:p w14:paraId="2C6B10AA">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应急环境监测</w:t>
            </w:r>
          </w:p>
          <w:p w14:paraId="6AB1B3EC">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及事故后评估</w:t>
            </w:r>
          </w:p>
        </w:tc>
        <w:tc>
          <w:tcPr>
            <w:tcW w:w="5868" w:type="dxa"/>
            <w:noWrap w:val="0"/>
            <w:vAlign w:val="center"/>
          </w:tcPr>
          <w:p w14:paraId="2F0A58D6">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由厂区环境监测站</w:t>
            </w:r>
            <w:r>
              <w:rPr>
                <w:rFonts w:hint="eastAsia" w:ascii="Times New Roman" w:hAnsi="Times New Roman" w:eastAsia="宋体" w:cs="Times New Roman"/>
                <w:color w:val="000000"/>
                <w:kern w:val="0"/>
                <w:sz w:val="21"/>
                <w:szCs w:val="21"/>
                <w:highlight w:val="none"/>
                <w:lang w:val="en-US" w:eastAsia="zh-CN" w:bidi="ar-SA"/>
              </w:rPr>
              <w:t>对</w:t>
            </w:r>
            <w:r>
              <w:rPr>
                <w:rFonts w:ascii="Times New Roman" w:hAnsi="Times New Roman" w:eastAsia="宋体" w:cs="Times New Roman"/>
                <w:color w:val="000000"/>
                <w:kern w:val="0"/>
                <w:sz w:val="21"/>
                <w:szCs w:val="21"/>
                <w:highlight w:val="none"/>
                <w:lang w:val="en-US" w:eastAsia="zh-CN" w:bidi="ar-SA"/>
              </w:rPr>
              <w:t>现场地下水环境进行监测。</w:t>
            </w:r>
          </w:p>
          <w:p w14:paraId="3F4EA035">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对事故性质与后果进行评估，为指挥部门提供决策依据。</w:t>
            </w:r>
          </w:p>
        </w:tc>
      </w:tr>
      <w:tr w14:paraId="2947E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02B45A98">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8</w:t>
            </w:r>
          </w:p>
        </w:tc>
        <w:tc>
          <w:tcPr>
            <w:tcW w:w="2078" w:type="dxa"/>
            <w:noWrap w:val="0"/>
            <w:vAlign w:val="center"/>
          </w:tcPr>
          <w:p w14:paraId="1148F4D9">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应急防护措施、清除泄漏措施方法和器材</w:t>
            </w:r>
          </w:p>
        </w:tc>
        <w:tc>
          <w:tcPr>
            <w:tcW w:w="5868" w:type="dxa"/>
            <w:noWrap w:val="0"/>
            <w:vAlign w:val="center"/>
          </w:tcPr>
          <w:p w14:paraId="28512736">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事故现场：控制事故、防止扩大、蔓延及</w:t>
            </w:r>
            <w:r>
              <w:rPr>
                <w:rFonts w:hint="eastAsia" w:ascii="Times New Roman" w:hAnsi="Times New Roman" w:eastAsia="宋体" w:cs="Times New Roman"/>
                <w:color w:val="000000"/>
                <w:kern w:val="0"/>
                <w:sz w:val="21"/>
                <w:szCs w:val="21"/>
                <w:highlight w:val="none"/>
                <w:lang w:val="en-US" w:eastAsia="zh-CN" w:bidi="ar-SA"/>
              </w:rPr>
              <w:t>连锁反应</w:t>
            </w:r>
            <w:r>
              <w:rPr>
                <w:rFonts w:ascii="Times New Roman" w:hAnsi="Times New Roman" w:eastAsia="宋体" w:cs="Times New Roman"/>
                <w:color w:val="000000"/>
                <w:kern w:val="0"/>
                <w:sz w:val="21"/>
                <w:szCs w:val="21"/>
                <w:highlight w:val="none"/>
                <w:lang w:val="en-US" w:eastAsia="zh-CN" w:bidi="ar-SA"/>
              </w:rPr>
              <w:t>。清除现场泄漏物，降低危害，相应的设施器材配备。邻近区域：控制污染区域，控制和清除污染措施及相应设备配备。</w:t>
            </w:r>
          </w:p>
        </w:tc>
      </w:tr>
      <w:tr w14:paraId="4BB5D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290CEA91">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9</w:t>
            </w:r>
          </w:p>
        </w:tc>
        <w:tc>
          <w:tcPr>
            <w:tcW w:w="2078" w:type="dxa"/>
            <w:noWrap w:val="0"/>
            <w:vAlign w:val="center"/>
          </w:tcPr>
          <w:p w14:paraId="2E31685C">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应急浓度、排放量控制、撤离组织计划、医疗救护与公众健康</w:t>
            </w:r>
          </w:p>
        </w:tc>
        <w:tc>
          <w:tcPr>
            <w:tcW w:w="5868" w:type="dxa"/>
            <w:noWrap w:val="0"/>
            <w:vAlign w:val="center"/>
          </w:tcPr>
          <w:p w14:paraId="6AB5C941">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事故现场：事故处理人员制定污染物的应急控制浓度、排放量，现场及邻近装置人员撤离组织计划及救护。</w:t>
            </w:r>
          </w:p>
          <w:p w14:paraId="7FAFE0EF">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环境敏感目标：受事故影响的邻近区域人员及公众对污染物应急控制浓度、排放量规定，撤离组织计划及救护。</w:t>
            </w:r>
          </w:p>
        </w:tc>
      </w:tr>
      <w:tr w14:paraId="35E9D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254AA8B8">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10</w:t>
            </w:r>
          </w:p>
        </w:tc>
        <w:tc>
          <w:tcPr>
            <w:tcW w:w="2078" w:type="dxa"/>
            <w:noWrap w:val="0"/>
            <w:vAlign w:val="center"/>
          </w:tcPr>
          <w:p w14:paraId="583C3B87">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应急状态终止</w:t>
            </w:r>
          </w:p>
          <w:p w14:paraId="12BCD15D">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与恢复措施</w:t>
            </w:r>
          </w:p>
        </w:tc>
        <w:tc>
          <w:tcPr>
            <w:tcW w:w="5868" w:type="dxa"/>
            <w:noWrap w:val="0"/>
            <w:vAlign w:val="center"/>
          </w:tcPr>
          <w:p w14:paraId="57E74BFC">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规定应急状态终止程序。事故现场善后处理，恢复措施。邻近区域解除事故警戒及善后恢复措施。建立重大环境事故责任追究、奖惩制度。</w:t>
            </w:r>
          </w:p>
        </w:tc>
      </w:tr>
      <w:tr w14:paraId="6FA31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23385154">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11</w:t>
            </w:r>
          </w:p>
        </w:tc>
        <w:tc>
          <w:tcPr>
            <w:tcW w:w="2078" w:type="dxa"/>
            <w:noWrap w:val="0"/>
            <w:vAlign w:val="center"/>
          </w:tcPr>
          <w:p w14:paraId="3AFDC01E">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人员培训与演练</w:t>
            </w:r>
          </w:p>
        </w:tc>
        <w:tc>
          <w:tcPr>
            <w:tcW w:w="5868" w:type="dxa"/>
            <w:noWrap w:val="0"/>
            <w:vAlign w:val="center"/>
          </w:tcPr>
          <w:p w14:paraId="031A99A9">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应急计划制定后，平时安排人员培训与演练。</w:t>
            </w:r>
          </w:p>
        </w:tc>
      </w:tr>
      <w:tr w14:paraId="2B846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69DDC7B1">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12</w:t>
            </w:r>
          </w:p>
        </w:tc>
        <w:tc>
          <w:tcPr>
            <w:tcW w:w="2078" w:type="dxa"/>
            <w:noWrap w:val="0"/>
            <w:vAlign w:val="center"/>
          </w:tcPr>
          <w:p w14:paraId="2EB1747A">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公众教育和信息</w:t>
            </w:r>
          </w:p>
        </w:tc>
        <w:tc>
          <w:tcPr>
            <w:tcW w:w="5868" w:type="dxa"/>
            <w:noWrap w:val="0"/>
            <w:vAlign w:val="center"/>
          </w:tcPr>
          <w:p w14:paraId="4E76033F">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对邻近地区开展公众教育、培训和发布有关信息。</w:t>
            </w:r>
          </w:p>
        </w:tc>
      </w:tr>
      <w:tr w14:paraId="71ED9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22FB9944">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13</w:t>
            </w:r>
          </w:p>
        </w:tc>
        <w:tc>
          <w:tcPr>
            <w:tcW w:w="2078" w:type="dxa"/>
            <w:noWrap w:val="0"/>
            <w:vAlign w:val="center"/>
          </w:tcPr>
          <w:p w14:paraId="362EF175">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记录和报告</w:t>
            </w:r>
          </w:p>
        </w:tc>
        <w:tc>
          <w:tcPr>
            <w:tcW w:w="5868" w:type="dxa"/>
            <w:noWrap w:val="0"/>
            <w:vAlign w:val="center"/>
          </w:tcPr>
          <w:p w14:paraId="1409089A">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设置应急事故专门记录，</w:t>
            </w:r>
            <w:r>
              <w:rPr>
                <w:rFonts w:hint="eastAsia" w:ascii="Times New Roman" w:hAnsi="Times New Roman" w:eastAsia="宋体" w:cs="Times New Roman"/>
                <w:color w:val="000000"/>
                <w:kern w:val="0"/>
                <w:sz w:val="21"/>
                <w:szCs w:val="21"/>
                <w:highlight w:val="none"/>
                <w:lang w:val="en-US" w:eastAsia="zh-CN" w:bidi="ar-SA"/>
              </w:rPr>
              <w:t>建立</w:t>
            </w:r>
            <w:r>
              <w:rPr>
                <w:rFonts w:ascii="Times New Roman" w:hAnsi="Times New Roman" w:eastAsia="宋体" w:cs="Times New Roman"/>
                <w:color w:val="000000"/>
                <w:kern w:val="0"/>
                <w:sz w:val="21"/>
                <w:szCs w:val="21"/>
                <w:highlight w:val="none"/>
                <w:lang w:val="en-US" w:eastAsia="zh-CN" w:bidi="ar-SA"/>
              </w:rPr>
              <w:t>档案</w:t>
            </w:r>
            <w:r>
              <w:rPr>
                <w:rFonts w:hint="eastAsia" w:ascii="Times New Roman" w:hAnsi="Times New Roman" w:eastAsia="宋体" w:cs="Times New Roman"/>
                <w:color w:val="000000"/>
                <w:kern w:val="0"/>
                <w:sz w:val="21"/>
                <w:szCs w:val="21"/>
                <w:highlight w:val="none"/>
                <w:lang w:val="en-US" w:eastAsia="zh-CN" w:bidi="ar-SA"/>
              </w:rPr>
              <w:t>和专门报告制度，设立</w:t>
            </w:r>
            <w:r>
              <w:rPr>
                <w:rFonts w:ascii="Times New Roman" w:hAnsi="Times New Roman" w:eastAsia="宋体" w:cs="Times New Roman"/>
                <w:color w:val="000000"/>
                <w:kern w:val="0"/>
                <w:sz w:val="21"/>
                <w:szCs w:val="21"/>
                <w:highlight w:val="none"/>
                <w:lang w:val="en-US" w:eastAsia="zh-CN" w:bidi="ar-SA"/>
              </w:rPr>
              <w:t>专门</w:t>
            </w:r>
            <w:r>
              <w:rPr>
                <w:rFonts w:hint="eastAsia" w:ascii="Times New Roman" w:hAnsi="Times New Roman" w:eastAsia="宋体" w:cs="Times New Roman"/>
                <w:color w:val="000000"/>
                <w:kern w:val="0"/>
                <w:sz w:val="21"/>
                <w:szCs w:val="21"/>
                <w:highlight w:val="none"/>
                <w:lang w:val="en-US" w:eastAsia="zh-CN" w:bidi="ar-SA"/>
              </w:rPr>
              <w:t>部门</w:t>
            </w:r>
            <w:r>
              <w:rPr>
                <w:rFonts w:ascii="Times New Roman" w:hAnsi="Times New Roman" w:eastAsia="宋体" w:cs="Times New Roman"/>
                <w:color w:val="000000"/>
                <w:kern w:val="0"/>
                <w:sz w:val="21"/>
                <w:szCs w:val="21"/>
                <w:highlight w:val="none"/>
                <w:lang w:val="en-US" w:eastAsia="zh-CN" w:bidi="ar-SA"/>
              </w:rPr>
              <w:t>负责管理。</w:t>
            </w:r>
          </w:p>
        </w:tc>
      </w:tr>
      <w:tr w14:paraId="71370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82" w:type="dxa"/>
            <w:noWrap w:val="0"/>
            <w:vAlign w:val="center"/>
          </w:tcPr>
          <w:p w14:paraId="3D4F065F">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14</w:t>
            </w:r>
          </w:p>
        </w:tc>
        <w:tc>
          <w:tcPr>
            <w:tcW w:w="2078" w:type="dxa"/>
            <w:noWrap w:val="0"/>
            <w:vAlign w:val="center"/>
          </w:tcPr>
          <w:p w14:paraId="70FFE655">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附件</w:t>
            </w:r>
          </w:p>
        </w:tc>
        <w:tc>
          <w:tcPr>
            <w:tcW w:w="5868" w:type="dxa"/>
            <w:noWrap w:val="0"/>
            <w:vAlign w:val="center"/>
          </w:tcPr>
          <w:p w14:paraId="663F7101">
            <w:pPr>
              <w:widowControl w:val="0"/>
              <w:spacing w:line="240" w:lineRule="auto"/>
              <w:jc w:val="center"/>
              <w:rPr>
                <w:rFonts w:ascii="Times New Roman" w:hAnsi="Times New Roman" w:eastAsia="宋体" w:cs="Times New Roman"/>
                <w:color w:val="000000"/>
                <w:kern w:val="0"/>
                <w:sz w:val="21"/>
                <w:szCs w:val="21"/>
                <w:highlight w:val="none"/>
                <w:lang w:val="en-US" w:eastAsia="zh-CN" w:bidi="ar-SA"/>
              </w:rPr>
            </w:pPr>
            <w:r>
              <w:rPr>
                <w:rFonts w:ascii="Times New Roman" w:hAnsi="Times New Roman" w:eastAsia="宋体" w:cs="Times New Roman"/>
                <w:color w:val="000000"/>
                <w:kern w:val="0"/>
                <w:sz w:val="21"/>
                <w:szCs w:val="21"/>
                <w:highlight w:val="none"/>
                <w:lang w:val="en-US" w:eastAsia="zh-CN" w:bidi="ar-SA"/>
              </w:rPr>
              <w:t>与应急事故有关的多种附件材料的准备和形成。</w:t>
            </w:r>
          </w:p>
        </w:tc>
      </w:tr>
    </w:tbl>
    <w:p w14:paraId="41255932">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②应急处理</w:t>
      </w:r>
      <w:bookmarkEnd w:id="739"/>
    </w:p>
    <w:p w14:paraId="6527C7DE">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一旦发现地下水发生异常情况，必须按照应急预案马上采取紧急措施：</w:t>
      </w:r>
    </w:p>
    <w:p w14:paraId="3935DB97">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1）当确定发生地下水异常情况时，按照</w:t>
      </w:r>
      <w:r>
        <w:rPr>
          <w:rFonts w:hint="eastAsia" w:ascii="Times New Roman" w:hAnsi="Times New Roman" w:eastAsia="宋体" w:cs="Times New Roman"/>
          <w:color w:val="000000"/>
          <w:kern w:val="2"/>
          <w:sz w:val="24"/>
          <w:szCs w:val="24"/>
          <w:highlight w:val="none"/>
          <w:lang w:val="en-US" w:eastAsia="zh-CN" w:bidi="ar-SA"/>
        </w:rPr>
        <w:t>制定</w:t>
      </w:r>
      <w:r>
        <w:rPr>
          <w:rFonts w:ascii="Times New Roman" w:hAnsi="Times New Roman" w:eastAsia="宋体" w:cs="Times New Roman"/>
          <w:color w:val="000000"/>
          <w:kern w:val="2"/>
          <w:sz w:val="24"/>
          <w:szCs w:val="24"/>
          <w:highlight w:val="none"/>
          <w:lang w:val="en-US" w:eastAsia="zh-CN" w:bidi="ar-SA"/>
        </w:rPr>
        <w:t>的地下水应急预案，在第一时间内尽快上报主管领导，通知当地</w:t>
      </w:r>
      <w:r>
        <w:rPr>
          <w:rFonts w:hint="eastAsia" w:ascii="Times New Roman" w:hAnsi="Times New Roman" w:eastAsia="宋体" w:cs="Times New Roman"/>
          <w:color w:val="000000"/>
          <w:kern w:val="2"/>
          <w:sz w:val="24"/>
          <w:szCs w:val="24"/>
          <w:highlight w:val="none"/>
          <w:lang w:val="en-US" w:eastAsia="zh-CN" w:bidi="ar-SA"/>
        </w:rPr>
        <w:t>生态环境局</w:t>
      </w:r>
      <w:r>
        <w:rPr>
          <w:rFonts w:ascii="Times New Roman" w:hAnsi="Times New Roman" w:eastAsia="宋体" w:cs="Times New Roman"/>
          <w:color w:val="000000"/>
          <w:kern w:val="2"/>
          <w:sz w:val="24"/>
          <w:szCs w:val="24"/>
          <w:highlight w:val="none"/>
          <w:lang w:val="en-US" w:eastAsia="zh-CN" w:bidi="ar-SA"/>
        </w:rPr>
        <w:t>、附近居民等地下水用户，密切关注地下水水质变化情况。</w:t>
      </w:r>
    </w:p>
    <w:p w14:paraId="3AE18BCA">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2）组织有相应资质单位对事故现场进行调查、监测，查找环境事故发生地点、分析事故原因，尽量将紧急事件局部化，如可能应予以消除，采取包括切断生产装置或设施等措施，防止事故的扩散、蔓延及连锁反应，尽量缩小地下水污染事故对人和财产的影响。</w:t>
      </w:r>
    </w:p>
    <w:p w14:paraId="420B2363">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3）对事故后果进行评估，并制定防止类似事件发生的措施。</w:t>
      </w:r>
    </w:p>
    <w:p w14:paraId="1B1D63B4">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4）如果自身力量无法应对污染事故，应立即请求社会应急力量协助处理。</w:t>
      </w:r>
    </w:p>
    <w:p w14:paraId="49F01879">
      <w:pPr>
        <w:autoSpaceDE w:val="0"/>
        <w:autoSpaceDN w:val="0"/>
        <w:adjustRightInd w:val="0"/>
        <w:spacing w:line="360" w:lineRule="auto"/>
        <w:ind w:firstLine="480" w:firstLineChars="200"/>
        <w:rPr>
          <w:rFonts w:ascii="Times New Roman" w:hAnsi="Times New Roman" w:eastAsia="宋体" w:cs="Times New Roman"/>
          <w:color w:val="000000"/>
          <w:kern w:val="0"/>
          <w:sz w:val="24"/>
          <w:szCs w:val="20"/>
          <w:highlight w:val="none"/>
        </w:rPr>
      </w:pPr>
      <w:r>
        <w:rPr>
          <w:rFonts w:ascii="Times New Roman" w:hAnsi="Times New Roman" w:eastAsia="宋体" w:cs="Times New Roman"/>
          <w:color w:val="000000"/>
          <w:kern w:val="2"/>
          <w:sz w:val="24"/>
          <w:szCs w:val="24"/>
          <w:highlight w:val="none"/>
          <w:lang w:val="en-US" w:eastAsia="zh-CN" w:bidi="ar-SA"/>
        </w:rPr>
        <w:t>（5）</w:t>
      </w:r>
      <w:r>
        <w:rPr>
          <w:rFonts w:ascii="Times New Roman" w:hAnsi="Times New Roman" w:eastAsia="宋体" w:cs="Times New Roman"/>
          <w:color w:val="000000"/>
          <w:kern w:val="0"/>
          <w:sz w:val="24"/>
          <w:szCs w:val="20"/>
          <w:highlight w:val="none"/>
        </w:rPr>
        <w:t>地下水监控管理要求</w:t>
      </w:r>
    </w:p>
    <w:p w14:paraId="01B8284E">
      <w:pPr>
        <w:autoSpaceDE w:val="0"/>
        <w:autoSpaceDN w:val="0"/>
        <w:adjustRightInd w:val="0"/>
        <w:spacing w:line="360" w:lineRule="auto"/>
        <w:ind w:firstLine="480" w:firstLineChars="200"/>
        <w:rPr>
          <w:rFonts w:ascii="Times New Roman" w:hAnsi="Times New Roman" w:eastAsia="宋体" w:cs="Times New Roman"/>
          <w:color w:val="000000"/>
          <w:kern w:val="0"/>
          <w:sz w:val="24"/>
          <w:szCs w:val="20"/>
          <w:highlight w:val="none"/>
        </w:rPr>
      </w:pPr>
      <w:r>
        <w:rPr>
          <w:rFonts w:ascii="Times New Roman" w:hAnsi="Times New Roman" w:eastAsia="宋体" w:cs="Times New Roman"/>
          <w:color w:val="000000"/>
          <w:kern w:val="0"/>
          <w:sz w:val="24"/>
          <w:szCs w:val="20"/>
          <w:highlight w:val="none"/>
        </w:rPr>
        <w:t>①监测井布设</w:t>
      </w:r>
    </w:p>
    <w:p w14:paraId="4ED98EFA">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lang w:val="en-US" w:eastAsia="zh-CN"/>
        </w:rPr>
      </w:pPr>
      <w:r>
        <w:rPr>
          <w:rFonts w:ascii="Times New Roman" w:hAnsi="Times New Roman" w:eastAsia="宋体" w:cs="Times New Roman"/>
          <w:color w:val="000000"/>
          <w:kern w:val="0"/>
          <w:sz w:val="24"/>
          <w:szCs w:val="20"/>
          <w:highlight w:val="none"/>
        </w:rPr>
        <w:t>根据《</w:t>
      </w:r>
      <w:r>
        <w:rPr>
          <w:rFonts w:hint="eastAsia" w:ascii="Times New Roman" w:hAnsi="Times New Roman" w:eastAsia="宋体" w:cs="Times New Roman"/>
          <w:color w:val="000000"/>
          <w:kern w:val="0"/>
          <w:sz w:val="24"/>
          <w:szCs w:val="20"/>
          <w:highlight w:val="none"/>
          <w:lang w:eastAsia="zh-CN"/>
        </w:rPr>
        <w:t>环境影响评价技术导则 地下水环境</w:t>
      </w:r>
      <w:r>
        <w:rPr>
          <w:rFonts w:ascii="Times New Roman" w:hAnsi="Times New Roman" w:eastAsia="宋体" w:cs="Times New Roman"/>
          <w:color w:val="000000"/>
          <w:kern w:val="0"/>
          <w:sz w:val="24"/>
          <w:szCs w:val="20"/>
          <w:highlight w:val="none"/>
        </w:rPr>
        <w:t>》（HJ610-2016）的要求，</w:t>
      </w:r>
      <w:r>
        <w:rPr>
          <w:rFonts w:hint="eastAsia"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三级评价的建设项目，一般不少于1个，应至少在建设项目场地下游布置1个。</w:t>
      </w:r>
      <w:r>
        <w:rPr>
          <w:rFonts w:hint="eastAsia" w:cs="Times New Roman"/>
          <w:color w:val="000000"/>
          <w:kern w:val="0"/>
          <w:sz w:val="24"/>
          <w:szCs w:val="20"/>
          <w:highlight w:val="none"/>
          <w:lang w:val="en-US" w:eastAsia="zh-CN"/>
        </w:rPr>
        <w:t>”</w:t>
      </w:r>
      <w:r>
        <w:rPr>
          <w:rFonts w:ascii="Times New Roman" w:hAnsi="Times New Roman" w:eastAsia="宋体" w:cs="Times New Roman"/>
          <w:color w:val="000000"/>
          <w:kern w:val="0"/>
          <w:sz w:val="24"/>
          <w:szCs w:val="20"/>
          <w:highlight w:val="none"/>
        </w:rPr>
        <w:t>，</w:t>
      </w:r>
      <w:r>
        <w:rPr>
          <w:rFonts w:hint="eastAsia" w:ascii="Times New Roman" w:hAnsi="Times New Roman" w:eastAsia="宋体" w:cs="Times New Roman"/>
          <w:color w:val="000000"/>
          <w:kern w:val="0"/>
          <w:sz w:val="24"/>
          <w:szCs w:val="20"/>
          <w:highlight w:val="none"/>
          <w:lang w:val="en-US" w:eastAsia="zh-CN"/>
        </w:rPr>
        <w:t>本项目地下水评价等级为三级评价，在项目场地下游布设1个地下水跟踪监测井，污染源周边地下水监测以浅层地下水为主，监测井应布设在污染物运移路径的下游方向。</w:t>
      </w:r>
    </w:p>
    <w:p w14:paraId="52D9DCD7">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安全环保部门设立地下水动态监测小组，专人负责监测，监测井不宜变动，尽量保证地下水监测数据的连续性。</w:t>
      </w:r>
    </w:p>
    <w:p w14:paraId="4CEFA723">
      <w:pPr>
        <w:spacing w:line="360" w:lineRule="auto"/>
        <w:jc w:val="center"/>
        <w:rPr>
          <w:rFonts w:ascii="Times New Roman" w:hAnsi="Times New Roman" w:eastAsia="宋体" w:cs="Times New Roman"/>
          <w:b/>
          <w:bCs/>
          <w:color w:val="auto"/>
          <w:kern w:val="2"/>
          <w:sz w:val="24"/>
          <w:szCs w:val="24"/>
          <w:highlight w:val="none"/>
        </w:rPr>
      </w:pPr>
      <w:r>
        <w:rPr>
          <w:rFonts w:hint="eastAsia" w:ascii="Times New Roman" w:hAnsi="Times New Roman" w:eastAsia="宋体" w:cs="Times New Roman"/>
          <w:b/>
          <w:bCs/>
          <w:color w:val="auto"/>
          <w:kern w:val="2"/>
          <w:sz w:val="24"/>
          <w:szCs w:val="24"/>
          <w:highlight w:val="none"/>
        </w:rPr>
        <w:t>表</w:t>
      </w:r>
      <w:r>
        <w:rPr>
          <w:rFonts w:hint="eastAsia" w:ascii="Times New Roman" w:hAnsi="Times New Roman" w:eastAsia="宋体" w:cs="Times New Roman"/>
          <w:b/>
          <w:bCs/>
          <w:color w:val="auto"/>
          <w:kern w:val="2"/>
          <w:sz w:val="24"/>
          <w:szCs w:val="24"/>
          <w:highlight w:val="none"/>
          <w:lang w:val="en-US" w:eastAsia="zh-CN"/>
        </w:rPr>
        <w:t>7.2-</w:t>
      </w:r>
      <w:r>
        <w:rPr>
          <w:rFonts w:hint="eastAsia" w:cs="Times New Roman"/>
          <w:b/>
          <w:bCs/>
          <w:color w:val="auto"/>
          <w:kern w:val="2"/>
          <w:sz w:val="24"/>
          <w:szCs w:val="24"/>
          <w:highlight w:val="none"/>
          <w:lang w:val="en-US" w:eastAsia="zh-CN"/>
        </w:rPr>
        <w:t>6</w:t>
      </w:r>
      <w:r>
        <w:rPr>
          <w:rFonts w:hint="eastAsia" w:ascii="Times New Roman" w:hAnsi="Times New Roman" w:eastAsia="宋体" w:cs="Times New Roman"/>
          <w:b/>
          <w:bCs/>
          <w:color w:val="auto"/>
          <w:kern w:val="2"/>
          <w:sz w:val="24"/>
          <w:szCs w:val="24"/>
          <w:highlight w:val="none"/>
        </w:rPr>
        <w:t>各污染区防渗措施</w:t>
      </w:r>
    </w:p>
    <w:tbl>
      <w:tblPr>
        <w:tblStyle w:val="21"/>
        <w:tblW w:w="49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3"/>
        <w:gridCol w:w="961"/>
        <w:gridCol w:w="510"/>
        <w:gridCol w:w="1066"/>
        <w:gridCol w:w="795"/>
        <w:gridCol w:w="2175"/>
        <w:gridCol w:w="1110"/>
        <w:gridCol w:w="1000"/>
      </w:tblGrid>
      <w:tr w14:paraId="7A0EAC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4" w:hRule="atLeast"/>
          <w:jc w:val="center"/>
        </w:trPr>
        <w:tc>
          <w:tcPr>
            <w:tcW w:w="524" w:type="pct"/>
            <w:tcBorders>
              <w:tl2br w:val="nil"/>
              <w:tr2bl w:val="nil"/>
            </w:tcBorders>
            <w:vAlign w:val="center"/>
          </w:tcPr>
          <w:p w14:paraId="78AF129B">
            <w:pPr>
              <w:spacing w:line="240" w:lineRule="auto"/>
              <w:jc w:val="center"/>
              <w:rPr>
                <w:rFonts w:hint="default" w:ascii="Times New Roman" w:hAnsi="Times New Roman" w:eastAsia="宋体" w:cs="Times New Roman"/>
                <w:b/>
                <w:bCs/>
                <w:color w:val="auto"/>
                <w:kern w:val="0"/>
                <w:sz w:val="21"/>
                <w:szCs w:val="24"/>
                <w:highlight w:val="none"/>
                <w:lang w:val="en-US" w:eastAsia="zh-CN"/>
              </w:rPr>
            </w:pPr>
            <w:r>
              <w:rPr>
                <w:rFonts w:hint="eastAsia" w:ascii="Times New Roman" w:hAnsi="Times New Roman" w:eastAsia="宋体" w:cs="Times New Roman"/>
                <w:b/>
                <w:bCs/>
                <w:color w:val="000000"/>
                <w:kern w:val="0"/>
                <w:sz w:val="21"/>
                <w:szCs w:val="21"/>
                <w:highlight w:val="none"/>
                <w:lang w:val="en-US" w:eastAsia="zh-CN"/>
              </w:rPr>
              <w:t>监测点点位</w:t>
            </w:r>
          </w:p>
        </w:tc>
        <w:tc>
          <w:tcPr>
            <w:tcW w:w="564" w:type="pct"/>
            <w:tcBorders>
              <w:tl2br w:val="nil"/>
              <w:tr2bl w:val="nil"/>
            </w:tcBorders>
            <w:vAlign w:val="center"/>
          </w:tcPr>
          <w:p w14:paraId="43D75EDF">
            <w:pPr>
              <w:spacing w:line="240" w:lineRule="auto"/>
              <w:jc w:val="center"/>
              <w:rPr>
                <w:rFonts w:hint="eastAsia" w:ascii="Times New Roman" w:hAnsi="Times New Roman" w:eastAsia="宋体" w:cs="Times New Roman"/>
                <w:b/>
                <w:bCs/>
                <w:color w:val="auto"/>
                <w:kern w:val="0"/>
                <w:sz w:val="21"/>
                <w:szCs w:val="24"/>
                <w:highlight w:val="none"/>
                <w:lang w:eastAsia="zh-CN"/>
              </w:rPr>
            </w:pPr>
            <w:r>
              <w:rPr>
                <w:rFonts w:hint="eastAsia" w:ascii="Times New Roman" w:hAnsi="Times New Roman" w:eastAsia="宋体" w:cs="Times New Roman"/>
                <w:b/>
                <w:bCs/>
                <w:color w:val="000000"/>
                <w:kern w:val="0"/>
                <w:sz w:val="21"/>
                <w:szCs w:val="21"/>
                <w:highlight w:val="none"/>
                <w:lang w:val="en-US" w:eastAsia="zh-CN"/>
              </w:rPr>
              <w:t>坐标</w:t>
            </w:r>
          </w:p>
        </w:tc>
        <w:tc>
          <w:tcPr>
            <w:tcW w:w="299" w:type="pct"/>
            <w:tcBorders>
              <w:tl2br w:val="nil"/>
              <w:tr2bl w:val="nil"/>
            </w:tcBorders>
            <w:vAlign w:val="center"/>
          </w:tcPr>
          <w:p w14:paraId="1D8BA08A">
            <w:pPr>
              <w:spacing w:line="240" w:lineRule="auto"/>
              <w:jc w:val="center"/>
              <w:rPr>
                <w:rFonts w:hint="default" w:ascii="Times New Roman" w:hAnsi="Times New Roman" w:eastAsia="宋体" w:cs="Times New Roman"/>
                <w:b/>
                <w:bCs/>
                <w:color w:val="auto"/>
                <w:kern w:val="0"/>
                <w:sz w:val="21"/>
                <w:szCs w:val="24"/>
                <w:highlight w:val="none"/>
                <w:lang w:val="en-US" w:eastAsia="zh-CN"/>
              </w:rPr>
            </w:pPr>
            <w:r>
              <w:rPr>
                <w:rFonts w:hint="eastAsia" w:ascii="Times New Roman" w:hAnsi="Times New Roman" w:eastAsia="宋体" w:cs="Times New Roman"/>
                <w:b/>
                <w:bCs/>
                <w:color w:val="auto"/>
                <w:kern w:val="0"/>
                <w:sz w:val="21"/>
                <w:szCs w:val="24"/>
                <w:highlight w:val="none"/>
                <w:lang w:val="en-US" w:eastAsia="zh-CN"/>
              </w:rPr>
              <w:t>井深</w:t>
            </w:r>
          </w:p>
        </w:tc>
        <w:tc>
          <w:tcPr>
            <w:tcW w:w="626" w:type="pct"/>
            <w:tcBorders>
              <w:tl2br w:val="nil"/>
              <w:tr2bl w:val="nil"/>
            </w:tcBorders>
            <w:vAlign w:val="center"/>
          </w:tcPr>
          <w:p w14:paraId="71B7F9DD">
            <w:pPr>
              <w:spacing w:line="240" w:lineRule="auto"/>
              <w:jc w:val="center"/>
              <w:rPr>
                <w:rFonts w:hint="default" w:ascii="Times New Roman" w:hAnsi="Times New Roman" w:eastAsia="宋体" w:cs="Times New Roman"/>
                <w:b/>
                <w:bCs/>
                <w:color w:val="000000"/>
                <w:kern w:val="0"/>
                <w:sz w:val="21"/>
                <w:szCs w:val="21"/>
                <w:highlight w:val="none"/>
                <w:lang w:val="en-US" w:eastAsia="zh-CN"/>
              </w:rPr>
            </w:pPr>
            <w:r>
              <w:rPr>
                <w:rFonts w:hint="eastAsia" w:ascii="Times New Roman" w:hAnsi="Times New Roman" w:eastAsia="宋体" w:cs="Times New Roman"/>
                <w:b/>
                <w:bCs/>
                <w:color w:val="000000"/>
                <w:kern w:val="0"/>
                <w:sz w:val="21"/>
                <w:szCs w:val="21"/>
                <w:highlight w:val="none"/>
                <w:lang w:val="en-US" w:eastAsia="zh-CN"/>
              </w:rPr>
              <w:t>井结构</w:t>
            </w:r>
          </w:p>
        </w:tc>
        <w:tc>
          <w:tcPr>
            <w:tcW w:w="467" w:type="pct"/>
            <w:tcBorders>
              <w:tl2br w:val="nil"/>
              <w:tr2bl w:val="nil"/>
            </w:tcBorders>
            <w:vAlign w:val="center"/>
          </w:tcPr>
          <w:p w14:paraId="474CF600">
            <w:pPr>
              <w:spacing w:line="240" w:lineRule="auto"/>
              <w:jc w:val="center"/>
              <w:rPr>
                <w:rFonts w:hint="default" w:ascii="Times New Roman" w:hAnsi="Times New Roman" w:eastAsia="宋体" w:cs="Times New Roman"/>
                <w:b/>
                <w:bCs/>
                <w:color w:val="auto"/>
                <w:kern w:val="0"/>
                <w:sz w:val="21"/>
                <w:szCs w:val="24"/>
                <w:highlight w:val="none"/>
                <w:lang w:val="en-US" w:eastAsia="zh-CN"/>
              </w:rPr>
            </w:pPr>
            <w:r>
              <w:rPr>
                <w:rFonts w:hint="eastAsia" w:ascii="Times New Roman" w:hAnsi="Times New Roman" w:eastAsia="宋体" w:cs="Times New Roman"/>
                <w:b/>
                <w:bCs/>
                <w:color w:val="000000"/>
                <w:kern w:val="0"/>
                <w:sz w:val="21"/>
                <w:szCs w:val="21"/>
                <w:highlight w:val="none"/>
                <w:lang w:val="en-US" w:eastAsia="zh-CN"/>
              </w:rPr>
              <w:t>监测层位</w:t>
            </w:r>
          </w:p>
        </w:tc>
        <w:tc>
          <w:tcPr>
            <w:tcW w:w="1277" w:type="pct"/>
            <w:tcBorders>
              <w:tl2br w:val="nil"/>
              <w:tr2bl w:val="nil"/>
            </w:tcBorders>
            <w:vAlign w:val="center"/>
          </w:tcPr>
          <w:p w14:paraId="02D4A848">
            <w:pPr>
              <w:widowControl/>
              <w:spacing w:line="240" w:lineRule="auto"/>
              <w:jc w:val="center"/>
              <w:rPr>
                <w:rFonts w:hint="default" w:ascii="Calibri" w:hAnsi="Calibri" w:eastAsia="宋体" w:cs="Times New Roman"/>
                <w:b/>
                <w:bCs/>
                <w:color w:val="auto"/>
                <w:kern w:val="0"/>
                <w:sz w:val="21"/>
                <w:szCs w:val="24"/>
                <w:highlight w:val="none"/>
                <w:lang w:val="en-US" w:eastAsia="zh-CN"/>
              </w:rPr>
            </w:pPr>
            <w:r>
              <w:rPr>
                <w:rFonts w:hint="eastAsia" w:ascii="宋体" w:hAnsi="宋体" w:eastAsia="宋体" w:cs="宋体"/>
                <w:b/>
                <w:bCs/>
                <w:color w:val="000000"/>
                <w:kern w:val="0"/>
                <w:sz w:val="21"/>
                <w:szCs w:val="21"/>
                <w:highlight w:val="none"/>
                <w:lang w:val="en-US" w:eastAsia="zh-CN" w:bidi="ar"/>
              </w:rPr>
              <w:t>监测因子</w:t>
            </w:r>
          </w:p>
        </w:tc>
        <w:tc>
          <w:tcPr>
            <w:tcW w:w="652" w:type="pct"/>
            <w:tcBorders>
              <w:tl2br w:val="nil"/>
              <w:tr2bl w:val="nil"/>
            </w:tcBorders>
            <w:vAlign w:val="center"/>
          </w:tcPr>
          <w:p w14:paraId="66450A68">
            <w:pPr>
              <w:widowControl/>
              <w:spacing w:line="240" w:lineRule="auto"/>
              <w:jc w:val="center"/>
              <w:rPr>
                <w:rFonts w:hint="default"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监测频率</w:t>
            </w:r>
          </w:p>
        </w:tc>
        <w:tc>
          <w:tcPr>
            <w:tcW w:w="587" w:type="pct"/>
            <w:tcBorders>
              <w:tl2br w:val="nil"/>
              <w:tr2bl w:val="nil"/>
            </w:tcBorders>
            <w:vAlign w:val="center"/>
          </w:tcPr>
          <w:p w14:paraId="275007DB">
            <w:pPr>
              <w:widowControl/>
              <w:spacing w:line="240" w:lineRule="auto"/>
              <w:jc w:val="center"/>
              <w:rPr>
                <w:rFonts w:hint="default"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功能</w:t>
            </w:r>
          </w:p>
        </w:tc>
      </w:tr>
      <w:tr w14:paraId="53406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524" w:type="pct"/>
            <w:tcBorders>
              <w:tl2br w:val="nil"/>
              <w:tr2bl w:val="nil"/>
            </w:tcBorders>
            <w:vAlign w:val="center"/>
          </w:tcPr>
          <w:p w14:paraId="39FDDAC5">
            <w:pPr>
              <w:spacing w:line="240" w:lineRule="auto"/>
              <w:jc w:val="center"/>
              <w:rPr>
                <w:rFonts w:hint="default" w:ascii="Times New Roman" w:hAnsi="Times New Roman" w:eastAsia="宋体" w:cs="Times New Roman"/>
                <w:b w:val="0"/>
                <w:bCs w:val="0"/>
                <w:color w:val="auto"/>
                <w:kern w:val="0"/>
                <w:sz w:val="21"/>
                <w:szCs w:val="24"/>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下游D1</w:t>
            </w:r>
          </w:p>
        </w:tc>
        <w:tc>
          <w:tcPr>
            <w:tcW w:w="564" w:type="pct"/>
            <w:tcBorders>
              <w:tl2br w:val="nil"/>
              <w:tr2bl w:val="nil"/>
            </w:tcBorders>
            <w:vAlign w:val="center"/>
          </w:tcPr>
          <w:p w14:paraId="078EC321">
            <w:pPr>
              <w:spacing w:line="240" w:lineRule="auto"/>
              <w:jc w:val="center"/>
              <w:rPr>
                <w:rFonts w:hint="eastAsia" w:ascii="Times New Roman" w:hAnsi="Times New Roman" w:eastAsia="宋体" w:cs="Times New Roman"/>
                <w:b w:val="0"/>
                <w:bCs w:val="0"/>
                <w:color w:val="auto"/>
                <w:kern w:val="0"/>
                <w:sz w:val="21"/>
                <w:szCs w:val="24"/>
                <w:highlight w:val="none"/>
                <w:lang w:eastAsia="zh-CN"/>
              </w:rPr>
            </w:pPr>
            <w:r>
              <w:rPr>
                <w:rFonts w:hint="default" w:ascii="Times New Roman" w:hAnsi="Times New Roman" w:eastAsia="宋体" w:cs="Times New Roman"/>
                <w:color w:val="auto"/>
                <w:spacing w:val="-6"/>
                <w:kern w:val="2"/>
                <w:sz w:val="21"/>
                <w:szCs w:val="21"/>
                <w:highlight w:val="none"/>
                <w:lang w:val="en-US" w:eastAsia="zh-CN"/>
              </w:rPr>
              <w:t>E84°29′53″</w:t>
            </w:r>
            <w:r>
              <w:rPr>
                <w:rFonts w:hint="eastAsia" w:cs="Times New Roman"/>
                <w:color w:val="auto"/>
                <w:spacing w:val="-6"/>
                <w:kern w:val="2"/>
                <w:sz w:val="21"/>
                <w:szCs w:val="21"/>
                <w:highlight w:val="none"/>
                <w:lang w:val="en-US" w:eastAsia="zh-CN"/>
              </w:rPr>
              <w:t>，</w:t>
            </w:r>
            <w:r>
              <w:rPr>
                <w:rFonts w:hint="default" w:ascii="Times New Roman" w:hAnsi="Times New Roman" w:eastAsia="宋体" w:cs="Times New Roman"/>
                <w:color w:val="auto"/>
                <w:spacing w:val="-6"/>
                <w:kern w:val="2"/>
                <w:sz w:val="21"/>
                <w:szCs w:val="21"/>
                <w:highlight w:val="none"/>
                <w:lang w:val="en-US" w:eastAsia="zh-CN"/>
              </w:rPr>
              <w:t>N44°44′58″</w:t>
            </w:r>
          </w:p>
        </w:tc>
        <w:tc>
          <w:tcPr>
            <w:tcW w:w="299" w:type="pct"/>
            <w:tcBorders>
              <w:tl2br w:val="nil"/>
              <w:tr2bl w:val="nil"/>
            </w:tcBorders>
            <w:vAlign w:val="center"/>
          </w:tcPr>
          <w:p w14:paraId="5F9950E7">
            <w:pPr>
              <w:spacing w:line="240" w:lineRule="auto"/>
              <w:jc w:val="center"/>
              <w:rPr>
                <w:rFonts w:hint="default" w:ascii="Times New Roman" w:hAnsi="Times New Roman" w:eastAsia="宋体" w:cs="Times New Roman"/>
                <w:b w:val="0"/>
                <w:bCs w:val="0"/>
                <w:color w:val="auto"/>
                <w:kern w:val="0"/>
                <w:sz w:val="21"/>
                <w:szCs w:val="24"/>
                <w:highlight w:val="none"/>
                <w:lang w:val="en-US" w:eastAsia="zh-CN"/>
              </w:rPr>
            </w:pPr>
            <w:r>
              <w:rPr>
                <w:rFonts w:hint="eastAsia" w:cs="Times New Roman"/>
                <w:b w:val="0"/>
                <w:bCs w:val="0"/>
                <w:color w:val="auto"/>
                <w:kern w:val="0"/>
                <w:sz w:val="21"/>
                <w:szCs w:val="24"/>
                <w:highlight w:val="none"/>
                <w:lang w:val="en-US" w:eastAsia="zh-CN"/>
              </w:rPr>
              <w:t>130</w:t>
            </w:r>
            <w:r>
              <w:rPr>
                <w:rFonts w:hint="eastAsia" w:ascii="Times New Roman" w:hAnsi="Times New Roman" w:eastAsia="宋体" w:cs="Times New Roman"/>
                <w:b w:val="0"/>
                <w:bCs w:val="0"/>
                <w:color w:val="auto"/>
                <w:kern w:val="0"/>
                <w:sz w:val="21"/>
                <w:szCs w:val="24"/>
                <w:highlight w:val="none"/>
                <w:lang w:val="en-US" w:eastAsia="zh-CN"/>
              </w:rPr>
              <w:t>m</w:t>
            </w:r>
          </w:p>
        </w:tc>
        <w:tc>
          <w:tcPr>
            <w:tcW w:w="626" w:type="pct"/>
            <w:tcBorders>
              <w:tl2br w:val="nil"/>
              <w:tr2bl w:val="nil"/>
            </w:tcBorders>
            <w:vAlign w:val="center"/>
          </w:tcPr>
          <w:p w14:paraId="3FEE0AF5">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eastAsia" w:ascii="Times New Roman" w:hAnsi="Times New Roman" w:eastAsia="宋体" w:cs="Times New Roman"/>
                <w:b w:val="0"/>
                <w:bCs w:val="0"/>
                <w:color w:val="000000"/>
                <w:kern w:val="0"/>
                <w:sz w:val="21"/>
                <w:szCs w:val="21"/>
                <w:highlight w:val="none"/>
                <w:lang w:val="zh-TW" w:eastAsia="zh-TW"/>
              </w:rPr>
              <w:t>孔径</w:t>
            </w:r>
            <w:r>
              <w:rPr>
                <w:rFonts w:hint="default" w:ascii="Times New Roman" w:hAnsi="Times New Roman" w:eastAsia="宋体" w:cs="Times New Roman"/>
                <w:b w:val="0"/>
                <w:bCs w:val="0"/>
                <w:color w:val="000000"/>
                <w:kern w:val="0"/>
                <w:sz w:val="21"/>
                <w:szCs w:val="21"/>
                <w:highlight w:val="none"/>
                <w:lang w:val="zh-TW" w:eastAsia="zh-TW"/>
              </w:rPr>
              <w:t>≥260mm</w:t>
            </w:r>
            <w:r>
              <w:rPr>
                <w:rFonts w:hint="eastAsia" w:ascii="Times New Roman" w:hAnsi="Times New Roman" w:eastAsia="宋体" w:cs="Times New Roman"/>
                <w:b w:val="0"/>
                <w:bCs w:val="0"/>
                <w:color w:val="000000"/>
                <w:kern w:val="0"/>
                <w:sz w:val="21"/>
                <w:szCs w:val="21"/>
                <w:highlight w:val="none"/>
                <w:lang w:val="zh-TW" w:eastAsia="zh-TW"/>
              </w:rPr>
              <w:t xml:space="preserve">，管 </w:t>
            </w:r>
          </w:p>
          <w:p w14:paraId="0FDA4A70">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eastAsia" w:ascii="Times New Roman" w:hAnsi="Times New Roman" w:eastAsia="宋体" w:cs="Times New Roman"/>
                <w:b w:val="0"/>
                <w:bCs w:val="0"/>
                <w:color w:val="000000"/>
                <w:kern w:val="0"/>
                <w:sz w:val="21"/>
                <w:szCs w:val="21"/>
                <w:highlight w:val="none"/>
                <w:lang w:val="zh-TW" w:eastAsia="zh-TW"/>
              </w:rPr>
              <w:t>径</w:t>
            </w:r>
            <w:r>
              <w:rPr>
                <w:rFonts w:hint="default" w:ascii="Times New Roman" w:hAnsi="Times New Roman" w:eastAsia="宋体" w:cs="Times New Roman"/>
                <w:b w:val="0"/>
                <w:bCs w:val="0"/>
                <w:color w:val="000000"/>
                <w:kern w:val="0"/>
                <w:sz w:val="21"/>
                <w:szCs w:val="21"/>
                <w:highlight w:val="none"/>
                <w:lang w:val="zh-TW" w:eastAsia="zh-TW"/>
              </w:rPr>
              <w:t>160mm</w:t>
            </w:r>
            <w:r>
              <w:rPr>
                <w:rFonts w:hint="eastAsia" w:ascii="Times New Roman" w:hAnsi="Times New Roman" w:eastAsia="宋体" w:cs="Times New Roman"/>
                <w:b w:val="0"/>
                <w:bCs w:val="0"/>
                <w:color w:val="000000"/>
                <w:kern w:val="0"/>
                <w:sz w:val="21"/>
                <w:szCs w:val="21"/>
                <w:highlight w:val="none"/>
                <w:lang w:val="zh-TW" w:eastAsia="zh-TW"/>
              </w:rPr>
              <w:t xml:space="preserve">，上部 </w:t>
            </w:r>
          </w:p>
          <w:p w14:paraId="626C1CC9">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default" w:ascii="Times New Roman" w:hAnsi="Times New Roman" w:eastAsia="宋体" w:cs="Times New Roman"/>
                <w:b w:val="0"/>
                <w:bCs w:val="0"/>
                <w:color w:val="000000"/>
                <w:kern w:val="0"/>
                <w:sz w:val="21"/>
                <w:szCs w:val="21"/>
                <w:highlight w:val="none"/>
                <w:lang w:val="zh-TW" w:eastAsia="zh-TW"/>
              </w:rPr>
              <w:t xml:space="preserve">5m </w:t>
            </w:r>
            <w:r>
              <w:rPr>
                <w:rFonts w:hint="eastAsia" w:ascii="Times New Roman" w:hAnsi="Times New Roman" w:eastAsia="宋体" w:cs="Times New Roman"/>
                <w:b w:val="0"/>
                <w:bCs w:val="0"/>
                <w:color w:val="000000"/>
                <w:kern w:val="0"/>
                <w:sz w:val="21"/>
                <w:szCs w:val="21"/>
                <w:highlight w:val="none"/>
                <w:lang w:val="zh-TW" w:eastAsia="zh-TW"/>
              </w:rPr>
              <w:t xml:space="preserve">井管，中部 </w:t>
            </w:r>
          </w:p>
          <w:p w14:paraId="088CCCF7">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eastAsia" w:ascii="Times New Roman" w:hAnsi="Times New Roman" w:eastAsia="宋体" w:cs="Times New Roman"/>
                <w:b w:val="0"/>
                <w:bCs w:val="0"/>
                <w:color w:val="000000"/>
                <w:kern w:val="0"/>
                <w:sz w:val="21"/>
                <w:szCs w:val="21"/>
                <w:highlight w:val="none"/>
                <w:lang w:val="zh-TW" w:eastAsia="zh-TW"/>
              </w:rPr>
              <w:t xml:space="preserve">滤水管，底部 </w:t>
            </w:r>
          </w:p>
          <w:p w14:paraId="56A57E16">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default" w:ascii="Times New Roman" w:hAnsi="Times New Roman" w:eastAsia="宋体" w:cs="Times New Roman"/>
                <w:b w:val="0"/>
                <w:bCs w:val="0"/>
                <w:color w:val="000000"/>
                <w:kern w:val="0"/>
                <w:sz w:val="21"/>
                <w:szCs w:val="21"/>
                <w:highlight w:val="none"/>
                <w:lang w:val="zh-TW" w:eastAsia="zh-TW"/>
              </w:rPr>
              <w:t xml:space="preserve">2.0m </w:t>
            </w:r>
            <w:r>
              <w:rPr>
                <w:rFonts w:hint="eastAsia" w:ascii="Times New Roman" w:hAnsi="Times New Roman" w:eastAsia="宋体" w:cs="Times New Roman"/>
                <w:b w:val="0"/>
                <w:bCs w:val="0"/>
                <w:color w:val="000000"/>
                <w:kern w:val="0"/>
                <w:sz w:val="21"/>
                <w:szCs w:val="21"/>
                <w:highlight w:val="none"/>
                <w:lang w:val="zh-TW" w:eastAsia="zh-TW"/>
              </w:rPr>
              <w:t xml:space="preserve">设计沉砂 </w:t>
            </w:r>
          </w:p>
          <w:p w14:paraId="59A4C10C">
            <w:pPr>
              <w:spacing w:line="240" w:lineRule="auto"/>
              <w:jc w:val="center"/>
              <w:rPr>
                <w:rFonts w:ascii="Times New Roman" w:hAnsi="Times New Roman" w:eastAsia="宋体" w:cs="Times New Roman"/>
                <w:b w:val="0"/>
                <w:bCs w:val="0"/>
                <w:color w:val="000000"/>
                <w:kern w:val="0"/>
                <w:sz w:val="21"/>
                <w:szCs w:val="21"/>
                <w:highlight w:val="none"/>
                <w:lang w:val="zh-TW" w:eastAsia="zh-TW"/>
              </w:rPr>
            </w:pPr>
            <w:r>
              <w:rPr>
                <w:rFonts w:hint="eastAsia" w:ascii="Times New Roman" w:hAnsi="Times New Roman" w:eastAsia="宋体" w:cs="Times New Roman"/>
                <w:b w:val="0"/>
                <w:bCs w:val="0"/>
                <w:color w:val="000000"/>
                <w:kern w:val="0"/>
                <w:sz w:val="21"/>
                <w:szCs w:val="21"/>
                <w:highlight w:val="none"/>
                <w:lang w:val="zh-TW" w:eastAsia="zh-TW"/>
              </w:rPr>
              <w:t>管</w:t>
            </w:r>
          </w:p>
        </w:tc>
        <w:tc>
          <w:tcPr>
            <w:tcW w:w="467" w:type="pct"/>
            <w:tcBorders>
              <w:tl2br w:val="nil"/>
              <w:tr2bl w:val="nil"/>
            </w:tcBorders>
            <w:vAlign w:val="center"/>
          </w:tcPr>
          <w:p w14:paraId="116ADC91">
            <w:pPr>
              <w:spacing w:line="240" w:lineRule="auto"/>
              <w:jc w:val="center"/>
              <w:rPr>
                <w:rFonts w:hint="default" w:ascii="Times New Roman" w:hAnsi="Times New Roman" w:eastAsia="宋体" w:cs="Times New Roman"/>
                <w:b w:val="0"/>
                <w:bCs w:val="0"/>
                <w:color w:val="auto"/>
                <w:kern w:val="0"/>
                <w:sz w:val="21"/>
                <w:szCs w:val="24"/>
                <w:highlight w:val="none"/>
                <w:lang w:val="en-US"/>
              </w:rPr>
            </w:pPr>
            <w:r>
              <w:rPr>
                <w:rFonts w:hint="eastAsia" w:cs="Times New Roman"/>
                <w:b w:val="0"/>
                <w:bCs w:val="0"/>
                <w:color w:val="auto"/>
                <w:kern w:val="0"/>
                <w:sz w:val="21"/>
                <w:szCs w:val="24"/>
                <w:highlight w:val="none"/>
                <w:lang w:val="en-US" w:eastAsia="zh-CN"/>
              </w:rPr>
              <w:t>潜水地下水</w:t>
            </w:r>
          </w:p>
        </w:tc>
        <w:tc>
          <w:tcPr>
            <w:tcW w:w="1277" w:type="pct"/>
            <w:tcBorders>
              <w:tl2br w:val="nil"/>
              <w:tr2bl w:val="nil"/>
            </w:tcBorders>
            <w:vAlign w:val="center"/>
          </w:tcPr>
          <w:p w14:paraId="796A45BD">
            <w:pPr>
              <w:spacing w:line="240" w:lineRule="auto"/>
              <w:jc w:val="center"/>
              <w:rPr>
                <w:rFonts w:hint="eastAsia" w:ascii="Times New Roman" w:hAnsi="Times New Roman" w:eastAsia="宋体" w:cs="Times New Roman"/>
                <w:b w:val="0"/>
                <w:bCs w:val="0"/>
                <w:color w:val="auto"/>
                <w:kern w:val="0"/>
                <w:sz w:val="21"/>
                <w:szCs w:val="24"/>
                <w:highlight w:val="none"/>
              </w:rPr>
            </w:pPr>
            <w:r>
              <w:rPr>
                <w:rFonts w:hint="eastAsia" w:ascii="Times New Roman" w:hAnsi="Times New Roman" w:eastAsia="宋体" w:cs="Times New Roman"/>
                <w:b w:val="0"/>
                <w:bCs w:val="0"/>
                <w:color w:val="auto"/>
                <w:kern w:val="0"/>
                <w:sz w:val="21"/>
                <w:szCs w:val="24"/>
                <w:highlight w:val="none"/>
              </w:rPr>
              <w:t>气温、地下水水位、水温、pH、溶解氧、电导率、氧化还原电位、嗅和味、浑浊度、肉眼可见物</w:t>
            </w:r>
          </w:p>
          <w:p w14:paraId="4E25C26A">
            <w:pPr>
              <w:spacing w:line="240" w:lineRule="auto"/>
              <w:jc w:val="center"/>
              <w:rPr>
                <w:rFonts w:hint="default" w:ascii="Times New Roman" w:hAnsi="Times New Roman" w:eastAsia="宋体" w:cs="Times New Roman"/>
                <w:b w:val="0"/>
                <w:bCs w:val="0"/>
                <w:color w:val="auto"/>
                <w:kern w:val="0"/>
                <w:sz w:val="21"/>
                <w:szCs w:val="24"/>
                <w:highlight w:val="none"/>
                <w:lang w:val="en-US" w:eastAsia="zh-CN"/>
              </w:rPr>
            </w:pPr>
            <w:r>
              <w:rPr>
                <w:rFonts w:hint="eastAsia" w:ascii="Times New Roman" w:hAnsi="Times New Roman" w:eastAsia="宋体" w:cs="Times New Roman"/>
                <w:b w:val="0"/>
                <w:bCs w:val="0"/>
                <w:color w:val="auto"/>
                <w:kern w:val="0"/>
                <w:sz w:val="21"/>
                <w:szCs w:val="24"/>
                <w:highlight w:val="none"/>
              </w:rPr>
              <w:t>pH、耗氧量、溶解性总固体、挥发性酚类、阴离子表面活性剂、氯化物、硫化物、石油类、汞、镉、砷、六价铬、铅、总大肠菌群、菌落总数</w:t>
            </w:r>
            <w:r>
              <w:rPr>
                <w:rFonts w:hint="eastAsia" w:ascii="Times New Roman" w:hAnsi="Times New Roman" w:eastAsia="宋体" w:cs="Times New Roman"/>
                <w:b w:val="0"/>
                <w:bCs w:val="0"/>
                <w:color w:val="auto"/>
                <w:kern w:val="0"/>
                <w:sz w:val="21"/>
                <w:szCs w:val="24"/>
                <w:highlight w:val="none"/>
                <w:lang w:eastAsia="zh-CN"/>
              </w:rPr>
              <w:t>、</w:t>
            </w:r>
            <w:r>
              <w:rPr>
                <w:rFonts w:hint="eastAsia" w:ascii="Times New Roman" w:hAnsi="Times New Roman" w:eastAsia="宋体" w:cs="Times New Roman"/>
                <w:b w:val="0"/>
                <w:bCs w:val="0"/>
                <w:color w:val="auto"/>
                <w:kern w:val="0"/>
                <w:sz w:val="21"/>
                <w:szCs w:val="24"/>
                <w:highlight w:val="none"/>
                <w:lang w:val="en-US" w:eastAsia="zh-CN"/>
              </w:rPr>
              <w:t>化学需氧量、氨氮、总磷、总氮</w:t>
            </w:r>
          </w:p>
        </w:tc>
        <w:tc>
          <w:tcPr>
            <w:tcW w:w="652" w:type="pct"/>
            <w:tcBorders>
              <w:tl2br w:val="nil"/>
              <w:tr2bl w:val="nil"/>
            </w:tcBorders>
            <w:vAlign w:val="center"/>
          </w:tcPr>
          <w:p w14:paraId="2C88C019">
            <w:pPr>
              <w:spacing w:line="240" w:lineRule="auto"/>
              <w:jc w:val="center"/>
              <w:rPr>
                <w:rFonts w:hint="eastAsia" w:ascii="Times New Roman" w:hAnsi="Times New Roman" w:eastAsia="宋体" w:cs="Times New Roman"/>
                <w:b w:val="0"/>
                <w:bCs w:val="0"/>
                <w:color w:val="000000"/>
                <w:kern w:val="0"/>
                <w:sz w:val="21"/>
                <w:szCs w:val="21"/>
                <w:highlight w:val="none"/>
                <w:lang w:val="zh-TW" w:eastAsia="zh-TW"/>
              </w:rPr>
            </w:pPr>
            <w:r>
              <w:rPr>
                <w:rFonts w:hint="eastAsia" w:ascii="Times New Roman" w:hAnsi="Times New Roman" w:eastAsia="宋体" w:cs="Times New Roman"/>
                <w:b w:val="0"/>
                <w:bCs w:val="0"/>
                <w:color w:val="000000"/>
                <w:kern w:val="0"/>
                <w:sz w:val="21"/>
                <w:szCs w:val="21"/>
                <w:highlight w:val="none"/>
                <w:lang w:val="en-US" w:eastAsia="zh-CN"/>
              </w:rPr>
              <w:t>采样频次宜不少于每年2次，发现有地下水污染现象时需增加采样频次。</w:t>
            </w:r>
          </w:p>
        </w:tc>
        <w:tc>
          <w:tcPr>
            <w:tcW w:w="587" w:type="pct"/>
            <w:tcBorders>
              <w:tl2br w:val="nil"/>
              <w:tr2bl w:val="nil"/>
            </w:tcBorders>
            <w:vAlign w:val="center"/>
          </w:tcPr>
          <w:p w14:paraId="188C6B5C">
            <w:pPr>
              <w:spacing w:line="240" w:lineRule="auto"/>
              <w:jc w:val="center"/>
              <w:rPr>
                <w:rFonts w:hint="eastAsia" w:ascii="Times New Roman" w:hAnsi="Times New Roman" w:eastAsia="宋体" w:cs="Times New Roman"/>
                <w:b w:val="0"/>
                <w:bCs w:val="0"/>
                <w:color w:val="000000"/>
                <w:kern w:val="0"/>
                <w:sz w:val="21"/>
                <w:szCs w:val="21"/>
                <w:highlight w:val="none"/>
                <w:lang w:val="en-US" w:eastAsia="zh-CN"/>
              </w:rPr>
            </w:pPr>
            <w:r>
              <w:rPr>
                <w:rFonts w:hint="eastAsia" w:ascii="Times New Roman" w:hAnsi="Times New Roman" w:eastAsia="宋体" w:cs="Times New Roman"/>
                <w:b w:val="0"/>
                <w:bCs w:val="0"/>
                <w:color w:val="000000"/>
                <w:kern w:val="0"/>
                <w:sz w:val="21"/>
                <w:szCs w:val="21"/>
                <w:highlight w:val="none"/>
                <w:lang w:val="en-US" w:eastAsia="zh-CN"/>
              </w:rPr>
              <w:t>地下水环境影响跟踪监测点</w:t>
            </w:r>
          </w:p>
        </w:tc>
      </w:tr>
    </w:tbl>
    <w:p w14:paraId="29662F88">
      <w:pPr>
        <w:autoSpaceDE w:val="0"/>
        <w:autoSpaceDN w:val="0"/>
        <w:adjustRightInd w:val="0"/>
        <w:spacing w:line="360" w:lineRule="auto"/>
        <w:ind w:firstLine="480" w:firstLineChars="200"/>
        <w:rPr>
          <w:rFonts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lang w:val="en-US" w:eastAsia="zh-CN"/>
        </w:rPr>
        <w:t>②</w:t>
      </w:r>
      <w:r>
        <w:rPr>
          <w:rFonts w:ascii="Times New Roman" w:hAnsi="Times New Roman" w:eastAsia="宋体" w:cs="Times New Roman"/>
          <w:color w:val="000000"/>
          <w:kern w:val="0"/>
          <w:sz w:val="24"/>
          <w:szCs w:val="20"/>
          <w:highlight w:val="none"/>
        </w:rPr>
        <w:t>监测因子</w:t>
      </w:r>
    </w:p>
    <w:p w14:paraId="7FB86227">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lang w:eastAsia="zh-CN"/>
        </w:rPr>
      </w:pPr>
      <w:r>
        <w:rPr>
          <w:rFonts w:hint="eastAsia" w:ascii="Times New Roman" w:hAnsi="Times New Roman" w:eastAsia="宋体" w:cs="Times New Roman"/>
          <w:color w:val="000000"/>
          <w:kern w:val="0"/>
          <w:sz w:val="24"/>
          <w:szCs w:val="20"/>
          <w:highlight w:val="none"/>
          <w:lang w:val="en-US" w:eastAsia="zh-CN"/>
        </w:rPr>
        <w:t>根据《地下水环境监测技术规范》（HJ164-2020）污染源的地下水监测项目以污染源特征项目为主，同时根据污染源的特征项目的种类，适当增加或删减有关监测项目。不同行业的特征项目可根据附录F确定，但不仅限于附录F表所列监测项目</w:t>
      </w:r>
      <w:r>
        <w:rPr>
          <w:rFonts w:hint="eastAsia" w:ascii="Times New Roman" w:hAnsi="Times New Roman" w:eastAsia="宋体" w:cs="Times New Roman"/>
          <w:color w:val="000000"/>
          <w:kern w:val="0"/>
          <w:sz w:val="24"/>
          <w:szCs w:val="20"/>
          <w:highlight w:val="none"/>
          <w:lang w:eastAsia="zh-CN"/>
        </w:rPr>
        <w:t>。</w:t>
      </w:r>
    </w:p>
    <w:p w14:paraId="0CD45C06">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地下水环境监测时的气温、地下水水位、水温、pH、溶解氧、电导率、氧化还原电位、臭味、浑浊度、肉眼可见物等监测项目为每次监测的现场必测项目。</w:t>
      </w:r>
    </w:p>
    <w:p w14:paraId="10F39603">
      <w:pPr>
        <w:autoSpaceDE w:val="0"/>
        <w:autoSpaceDN w:val="0"/>
        <w:adjustRightInd w:val="0"/>
        <w:spacing w:line="360" w:lineRule="auto"/>
        <w:ind w:firstLine="480" w:firstLineChars="200"/>
        <w:rPr>
          <w:rFonts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lang w:val="en-US" w:eastAsia="zh-CN"/>
        </w:rPr>
        <w:t>③</w:t>
      </w:r>
      <w:r>
        <w:rPr>
          <w:rFonts w:ascii="Times New Roman" w:hAnsi="Times New Roman" w:eastAsia="宋体" w:cs="Times New Roman"/>
          <w:color w:val="000000"/>
          <w:kern w:val="0"/>
          <w:sz w:val="24"/>
          <w:szCs w:val="20"/>
          <w:highlight w:val="none"/>
        </w:rPr>
        <w:t>地下水监测频率</w:t>
      </w:r>
    </w:p>
    <w:p w14:paraId="409EB2CA">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lang w:eastAsia="zh-CN"/>
        </w:rPr>
        <w:t>对地下水监控井</w:t>
      </w:r>
      <w:r>
        <w:rPr>
          <w:rFonts w:hint="eastAsia" w:ascii="Times New Roman" w:hAnsi="Times New Roman" w:eastAsia="宋体" w:cs="Times New Roman"/>
          <w:color w:val="000000"/>
          <w:kern w:val="0"/>
          <w:sz w:val="24"/>
          <w:szCs w:val="20"/>
          <w:highlight w:val="none"/>
        </w:rPr>
        <w:t>应定期进行地下水水质监测，以保留本底水质资料，项目运营期间应按照《地下水环境监测技术规范》（HJ164-2020）进行确定，具体确定原则如下：</w:t>
      </w:r>
    </w:p>
    <w:p w14:paraId="7D7ED30E">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lang w:val="en-US" w:eastAsia="zh-CN"/>
        </w:rPr>
        <w:t>a.</w:t>
      </w:r>
      <w:r>
        <w:rPr>
          <w:rFonts w:hint="eastAsia" w:ascii="Times New Roman" w:hAnsi="Times New Roman" w:eastAsia="宋体" w:cs="Times New Roman"/>
          <w:color w:val="000000"/>
          <w:kern w:val="0"/>
          <w:sz w:val="24"/>
          <w:szCs w:val="20"/>
          <w:highlight w:val="none"/>
        </w:rPr>
        <w:t>其他监测点采样频次宜不少于每年2次；</w:t>
      </w:r>
    </w:p>
    <w:p w14:paraId="18AA5639">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lang w:eastAsia="zh-CN"/>
        </w:rPr>
      </w:pPr>
      <w:r>
        <w:rPr>
          <w:rFonts w:hint="eastAsia" w:ascii="Times New Roman" w:hAnsi="Times New Roman" w:eastAsia="宋体" w:cs="Times New Roman"/>
          <w:color w:val="000000"/>
          <w:kern w:val="0"/>
          <w:sz w:val="24"/>
          <w:szCs w:val="20"/>
          <w:highlight w:val="none"/>
          <w:lang w:val="en-US" w:eastAsia="zh-CN"/>
        </w:rPr>
        <w:t>b.</w:t>
      </w:r>
      <w:r>
        <w:rPr>
          <w:rFonts w:hint="eastAsia" w:ascii="Times New Roman" w:hAnsi="Times New Roman" w:eastAsia="宋体" w:cs="Times New Roman"/>
          <w:color w:val="000000"/>
          <w:kern w:val="0"/>
          <w:sz w:val="24"/>
          <w:szCs w:val="20"/>
          <w:highlight w:val="none"/>
        </w:rPr>
        <w:t>发现有地下水污染现象时需增加采样频次，并及时采取污染治理措施。</w:t>
      </w:r>
    </w:p>
    <w:p w14:paraId="641FC7EA">
      <w:pPr>
        <w:autoSpaceDE w:val="0"/>
        <w:autoSpaceDN w:val="0"/>
        <w:adjustRightInd w:val="0"/>
        <w:spacing w:line="360" w:lineRule="auto"/>
        <w:ind w:firstLine="480" w:firstLineChars="200"/>
        <w:rPr>
          <w:rFonts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rPr>
        <w:t>应选取每年中相对固定的时间段采样。地下水流向可能发生季节性变化的区域应选取每年中地下水流向不同的时间段分别采样。</w:t>
      </w:r>
      <w:r>
        <w:rPr>
          <w:rFonts w:ascii="Times New Roman" w:hAnsi="Times New Roman" w:eastAsia="宋体" w:cs="Times New Roman"/>
          <w:color w:val="000000"/>
          <w:kern w:val="0"/>
          <w:sz w:val="24"/>
          <w:szCs w:val="20"/>
          <w:highlight w:val="none"/>
        </w:rPr>
        <w:t>当厂区发生液体物料泄漏事故或发现地下水污染现象时，应加大取样频率，并根据实际情况增加监测项目。</w:t>
      </w:r>
    </w:p>
    <w:p w14:paraId="7688337A">
      <w:pPr>
        <w:autoSpaceDE w:val="0"/>
        <w:autoSpaceDN w:val="0"/>
        <w:adjustRightInd w:val="0"/>
        <w:spacing w:line="360" w:lineRule="auto"/>
        <w:ind w:firstLine="480" w:firstLineChars="200"/>
        <w:rPr>
          <w:rFonts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lang w:val="en-US" w:eastAsia="zh-CN"/>
        </w:rPr>
        <w:t>④</w:t>
      </w:r>
      <w:r>
        <w:rPr>
          <w:rFonts w:ascii="Times New Roman" w:hAnsi="Times New Roman" w:eastAsia="宋体" w:cs="Times New Roman"/>
          <w:color w:val="000000"/>
          <w:kern w:val="0"/>
          <w:sz w:val="24"/>
          <w:szCs w:val="20"/>
          <w:highlight w:val="none"/>
        </w:rPr>
        <w:t xml:space="preserve">监测数据管理 </w:t>
      </w:r>
    </w:p>
    <w:p w14:paraId="2B1B881A">
      <w:pPr>
        <w:autoSpaceDE w:val="0"/>
        <w:autoSpaceDN w:val="0"/>
        <w:adjustRightInd w:val="0"/>
        <w:spacing w:line="360" w:lineRule="auto"/>
        <w:ind w:firstLine="480" w:firstLineChars="200"/>
        <w:rPr>
          <w:rFonts w:ascii="Times New Roman" w:hAnsi="Times New Roman" w:eastAsia="宋体" w:cs="Times New Roman"/>
          <w:color w:val="000000"/>
          <w:kern w:val="0"/>
          <w:sz w:val="24"/>
          <w:szCs w:val="20"/>
          <w:highlight w:val="none"/>
        </w:rPr>
      </w:pPr>
      <w:r>
        <w:rPr>
          <w:rFonts w:ascii="Times New Roman" w:hAnsi="Times New Roman" w:eastAsia="宋体" w:cs="Times New Roman"/>
          <w:color w:val="000000"/>
          <w:kern w:val="0"/>
          <w:sz w:val="24"/>
          <w:szCs w:val="20"/>
          <w:highlight w:val="none"/>
        </w:rPr>
        <w:t>上述监测结果应按项目有关规定及时建立档案，并定期向</w:t>
      </w:r>
      <w:r>
        <w:rPr>
          <w:rFonts w:hint="eastAsia" w:ascii="Times New Roman" w:hAnsi="Times New Roman" w:eastAsia="宋体" w:cs="Times New Roman"/>
          <w:color w:val="000000"/>
          <w:kern w:val="0"/>
          <w:sz w:val="24"/>
          <w:szCs w:val="20"/>
          <w:highlight w:val="none"/>
          <w:lang w:val="en-US" w:eastAsia="zh-CN"/>
        </w:rPr>
        <w:t>场区</w:t>
      </w:r>
      <w:r>
        <w:rPr>
          <w:rFonts w:ascii="Times New Roman" w:hAnsi="Times New Roman" w:eastAsia="宋体" w:cs="Times New Roman"/>
          <w:color w:val="000000"/>
          <w:kern w:val="0"/>
          <w:sz w:val="24"/>
          <w:szCs w:val="20"/>
          <w:highlight w:val="none"/>
        </w:rPr>
        <w:t>安全环保管理部门汇报，对于常规监测数据应该进行公开，满足法律中关于知情权的要求。如发现异常或发生事故，加密监测频次，改为每天监测一次，并分析污染原因，确定泄漏污染源，</w:t>
      </w:r>
      <w:r>
        <w:rPr>
          <w:rFonts w:hint="eastAsia" w:ascii="Times New Roman" w:hAnsi="Times New Roman" w:eastAsia="宋体" w:cs="Times New Roman"/>
          <w:color w:val="000000"/>
          <w:kern w:val="0"/>
          <w:sz w:val="24"/>
          <w:szCs w:val="20"/>
          <w:highlight w:val="none"/>
          <w:lang w:eastAsia="zh-CN"/>
        </w:rPr>
        <w:t>及时</w:t>
      </w:r>
      <w:r>
        <w:rPr>
          <w:rFonts w:ascii="Times New Roman" w:hAnsi="Times New Roman" w:eastAsia="宋体" w:cs="Times New Roman"/>
          <w:color w:val="000000"/>
          <w:kern w:val="0"/>
          <w:sz w:val="24"/>
          <w:szCs w:val="20"/>
          <w:highlight w:val="none"/>
        </w:rPr>
        <w:t>采取应急措施。</w:t>
      </w:r>
    </w:p>
    <w:p w14:paraId="3C8FFC6C">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lang w:eastAsia="zh-CN"/>
        </w:rPr>
        <w:t>（</w:t>
      </w:r>
      <w:r>
        <w:rPr>
          <w:rFonts w:hint="eastAsia" w:ascii="Times New Roman" w:hAnsi="Times New Roman" w:eastAsia="宋体" w:cs="Times New Roman"/>
          <w:color w:val="000000"/>
          <w:kern w:val="0"/>
          <w:sz w:val="24"/>
          <w:szCs w:val="20"/>
          <w:highlight w:val="none"/>
          <w:lang w:val="en-US" w:eastAsia="zh-CN"/>
        </w:rPr>
        <w:t>7</w:t>
      </w:r>
      <w:r>
        <w:rPr>
          <w:rFonts w:hint="eastAsia" w:ascii="Times New Roman" w:hAnsi="Times New Roman" w:eastAsia="宋体" w:cs="Times New Roman"/>
          <w:color w:val="000000"/>
          <w:kern w:val="0"/>
          <w:sz w:val="24"/>
          <w:szCs w:val="20"/>
          <w:highlight w:val="none"/>
          <w:lang w:eastAsia="zh-CN"/>
        </w:rPr>
        <w:t>）</w:t>
      </w:r>
      <w:r>
        <w:rPr>
          <w:rFonts w:hint="eastAsia" w:ascii="Times New Roman" w:hAnsi="Times New Roman" w:eastAsia="宋体" w:cs="Times New Roman"/>
          <w:color w:val="000000"/>
          <w:kern w:val="0"/>
          <w:sz w:val="24"/>
          <w:szCs w:val="20"/>
          <w:highlight w:val="none"/>
        </w:rPr>
        <w:t xml:space="preserve">制定地下水环境跟踪监测与信息公开计划 </w:t>
      </w:r>
    </w:p>
    <w:p w14:paraId="66BC5571">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rPr>
        <w:t xml:space="preserve">落实跟踪监测报告编制的责任主体，明确地下水环境跟踪监测报告的内容，一般应包括： </w:t>
      </w:r>
    </w:p>
    <w:p w14:paraId="59D9E663">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rPr>
      </w:pPr>
      <w:r>
        <w:rPr>
          <w:rFonts w:hint="eastAsia" w:ascii="Times New Roman" w:hAnsi="Times New Roman" w:eastAsia="宋体" w:cs="Times New Roman"/>
          <w:color w:val="000000"/>
          <w:kern w:val="0"/>
          <w:sz w:val="24"/>
          <w:szCs w:val="20"/>
          <w:highlight w:val="none"/>
        </w:rPr>
        <w:t xml:space="preserve">a）建设项目所在场地及其影响区地下水环境跟踪监测数据，排放污染物的种类、数量、浓度。 </w:t>
      </w:r>
    </w:p>
    <w:p w14:paraId="7200A7C2">
      <w:pPr>
        <w:autoSpaceDE w:val="0"/>
        <w:autoSpaceDN w:val="0"/>
        <w:adjustRightInd w:val="0"/>
        <w:spacing w:line="360" w:lineRule="auto"/>
        <w:ind w:firstLine="480" w:firstLineChars="200"/>
        <w:rPr>
          <w:rFonts w:hint="eastAsia" w:ascii="Times New Roman" w:hAnsi="Times New Roman" w:eastAsia="宋体" w:cs="Times New Roman"/>
          <w:color w:val="000000"/>
          <w:kern w:val="0"/>
          <w:sz w:val="24"/>
          <w:szCs w:val="20"/>
          <w:highlight w:val="none"/>
          <w:lang w:eastAsia="zh-CN"/>
        </w:rPr>
      </w:pPr>
      <w:r>
        <w:rPr>
          <w:rFonts w:hint="eastAsia" w:ascii="Times New Roman" w:hAnsi="Times New Roman" w:eastAsia="宋体" w:cs="Times New Roman"/>
          <w:color w:val="000000"/>
          <w:kern w:val="0"/>
          <w:sz w:val="24"/>
          <w:szCs w:val="20"/>
          <w:highlight w:val="none"/>
        </w:rPr>
        <w:t>b）生产设备、管廊或管线、贮存与运输装置、污染物贮存与处理装置、事故应急装置等设施的运行状况、跑冒滴漏记录、维护记录</w:t>
      </w:r>
      <w:r>
        <w:rPr>
          <w:rFonts w:hint="eastAsia" w:ascii="Times New Roman" w:hAnsi="Times New Roman" w:eastAsia="宋体" w:cs="Times New Roman"/>
          <w:color w:val="000000"/>
          <w:kern w:val="0"/>
          <w:sz w:val="24"/>
          <w:szCs w:val="20"/>
          <w:highlight w:val="none"/>
          <w:lang w:eastAsia="zh-CN"/>
        </w:rPr>
        <w:t>。</w:t>
      </w:r>
    </w:p>
    <w:p w14:paraId="7D4155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rPr>
        <w:t>信息公开计划应至少包括建设项目特征因子的地下水环境监测值</w:t>
      </w:r>
      <w:r>
        <w:rPr>
          <w:rFonts w:ascii="Times New Roman" w:hAnsi="Times New Roman" w:eastAsia="宋体" w:cs="Times New Roman"/>
          <w:color w:val="000000"/>
          <w:kern w:val="0"/>
          <w:sz w:val="24"/>
          <w:szCs w:val="20"/>
          <w:highlight w:val="none"/>
        </w:rPr>
        <w:t>。</w:t>
      </w:r>
      <w:r>
        <w:rPr>
          <w:rFonts w:hint="eastAsia" w:ascii="Times New Roman" w:hAnsi="Times New Roman" w:eastAsia="宋体" w:cs="Times New Roman"/>
          <w:color w:val="000000"/>
          <w:kern w:val="0"/>
          <w:sz w:val="24"/>
          <w:szCs w:val="20"/>
          <w:highlight w:val="none"/>
          <w:lang w:val="en-US" w:eastAsia="zh-CN"/>
        </w:rPr>
        <w:t xml:space="preserve">  </w:t>
      </w:r>
    </w:p>
    <w:p w14:paraId="5DFD11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Times New Roman" w:hAnsi="Times New Roman" w:eastAsia="宋体" w:cs="Times New Roman"/>
        </w:rPr>
      </w:pPr>
      <w:r>
        <w:rPr>
          <w:rFonts w:hint="eastAsia" w:ascii="Times New Roman" w:hAnsi="Times New Roman" w:eastAsia="宋体" w:cs="Times New Roman"/>
          <w:b w:val="0"/>
          <w:bCs w:val="0"/>
          <w:color w:val="auto"/>
          <w:kern w:val="2"/>
          <w:sz w:val="24"/>
          <w:szCs w:val="32"/>
          <w:lang w:val="en-US" w:eastAsia="zh-CN" w:bidi="ar-SA"/>
        </w:rPr>
        <w:t>通过采取以上措施，本项目对可能产生地下水影响的各项途径均进行有效的预防，确保各项防渗措施得以落实。并加强维护，在厂区环境管理的前提下，可以有效地控制厂区内污染物的下渗现象，避免污染地下水。因此，该项目不会对区域地下水环境产生明显影响。</w:t>
      </w:r>
    </w:p>
    <w:p w14:paraId="6E541253">
      <w:pPr>
        <w:widowControl w:val="0"/>
        <w:spacing w:line="360" w:lineRule="auto"/>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7.2.2.6</w:t>
      </w:r>
      <w:r>
        <w:rPr>
          <w:rFonts w:hint="default" w:ascii="Times New Roman" w:hAnsi="Times New Roman" w:eastAsia="宋体" w:cs="Times New Roman"/>
          <w:b/>
          <w:kern w:val="2"/>
          <w:sz w:val="24"/>
          <w:szCs w:val="24"/>
          <w:lang w:val="en-US" w:eastAsia="zh-CN" w:bidi="ar-SA"/>
        </w:rPr>
        <w:t>运行管理要求</w:t>
      </w:r>
    </w:p>
    <w:p w14:paraId="5D1DD052">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畜禽养殖行业排污单位应根据养殖品种、养殖量、养殖方式等合理确定废水处理工艺及设施参数，应当按照相关法律法规、标准和技术规范等要求运行废水处理设施，并进行维护和管理，保证设施正常运行。</w:t>
      </w:r>
    </w:p>
    <w:p w14:paraId="6BBD069F">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畜禽养殖行业排污单位必须实行严格的雨污分流措施。</w:t>
      </w:r>
    </w:p>
    <w:p w14:paraId="5311EF8C">
      <w:pPr>
        <w:spacing w:line="360" w:lineRule="auto"/>
        <w:ind w:firstLine="480" w:firstLineChars="200"/>
        <w:rPr>
          <w:rFonts w:hint="default" w:ascii="Times New Roman" w:hAnsi="Times New Roman" w:eastAsia="宋体" w:cs="Times New Roman"/>
          <w:lang w:val="en-US" w:eastAsia="zh-CN"/>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畜禽养殖行业排污单位应加强生产节水管理，提高废水的循环利用率，减少污水排放量。采用水冲粪、水泡粪清粪工艺的规模化养殖场（小区），宜逐步改为干清粪工艺。</w:t>
      </w:r>
    </w:p>
    <w:p w14:paraId="0BE4EC93">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bookmarkStart w:id="740" w:name="_Toc6451"/>
      <w:bookmarkStart w:id="741" w:name="_Toc24637"/>
      <w:r>
        <w:rPr>
          <w:rFonts w:hint="eastAsia" w:ascii="Times New Roman" w:hAnsi="Times New Roman" w:eastAsia="宋体" w:cs="Times New Roman"/>
          <w:b/>
          <w:bCs/>
          <w:kern w:val="2"/>
          <w:sz w:val="28"/>
          <w:szCs w:val="28"/>
          <w:lang w:val="en-US" w:eastAsia="zh-CN" w:bidi="ar-SA"/>
        </w:rPr>
        <w:t>7</w:t>
      </w:r>
      <w:r>
        <w:rPr>
          <w:rFonts w:hint="default" w:ascii="Times New Roman" w:hAnsi="Times New Roman" w:eastAsia="宋体" w:cs="Times New Roman"/>
          <w:b/>
          <w:bCs/>
          <w:kern w:val="2"/>
          <w:sz w:val="28"/>
          <w:szCs w:val="28"/>
          <w:lang w:val="en-US" w:eastAsia="zh-CN" w:bidi="ar-SA"/>
        </w:rPr>
        <w:t>.2.3噪声污染防治对策和措施</w:t>
      </w:r>
      <w:bookmarkEnd w:id="725"/>
      <w:bookmarkEnd w:id="726"/>
      <w:bookmarkEnd w:id="727"/>
      <w:bookmarkEnd w:id="728"/>
      <w:bookmarkEnd w:id="740"/>
      <w:bookmarkEnd w:id="741"/>
    </w:p>
    <w:p w14:paraId="717EF6DF">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bookmarkStart w:id="742" w:name="_Toc32677"/>
      <w:bookmarkStart w:id="743" w:name="_Toc26806"/>
      <w:r>
        <w:rPr>
          <w:rFonts w:ascii="Times New Roman" w:hAnsi="Times New Roman" w:eastAsia="宋体" w:cs="Times New Roman"/>
          <w:color w:val="000000"/>
          <w:kern w:val="2"/>
          <w:sz w:val="24"/>
          <w:szCs w:val="24"/>
          <w:highlight w:val="none"/>
          <w:lang w:val="en-US" w:eastAsia="zh-CN" w:bidi="ar-SA"/>
        </w:rPr>
        <w:t>本项目工程噪声源强70dB（A）及以上产噪设备为</w:t>
      </w:r>
      <w:r>
        <w:rPr>
          <w:rFonts w:ascii="Times New Roman" w:hAnsi="Times New Roman" w:eastAsia="宋体" w:cs="Times New Roman"/>
          <w:bCs/>
          <w:color w:val="000000"/>
          <w:kern w:val="2"/>
          <w:sz w:val="24"/>
          <w:szCs w:val="24"/>
          <w:highlight w:val="none"/>
          <w:lang w:val="en-US" w:eastAsia="zh-CN" w:bidi="ar-SA"/>
        </w:rPr>
        <w:t>风机和泵类</w:t>
      </w:r>
      <w:r>
        <w:rPr>
          <w:rFonts w:ascii="Times New Roman" w:hAnsi="Times New Roman" w:eastAsia="宋体" w:cs="Times New Roman"/>
          <w:color w:val="000000"/>
          <w:kern w:val="2"/>
          <w:sz w:val="24"/>
          <w:szCs w:val="24"/>
          <w:highlight w:val="none"/>
          <w:lang w:val="en-US" w:eastAsia="zh-CN" w:bidi="ar-SA"/>
        </w:rPr>
        <w:t>等</w:t>
      </w:r>
      <w:r>
        <w:rPr>
          <w:rFonts w:ascii="Times New Roman" w:hAnsi="Times New Roman" w:eastAsia="宋体" w:cs="Times New Roman"/>
          <w:bCs/>
          <w:color w:val="000000"/>
          <w:kern w:val="2"/>
          <w:sz w:val="24"/>
          <w:szCs w:val="24"/>
          <w:highlight w:val="none"/>
          <w:lang w:val="en-US" w:eastAsia="zh-CN" w:bidi="ar-SA"/>
        </w:rPr>
        <w:t>机械设备</w:t>
      </w:r>
      <w:r>
        <w:rPr>
          <w:rFonts w:ascii="Times New Roman" w:hAnsi="Times New Roman" w:eastAsia="宋体" w:cs="Times New Roman"/>
          <w:color w:val="000000"/>
          <w:kern w:val="2"/>
          <w:sz w:val="24"/>
          <w:szCs w:val="24"/>
          <w:highlight w:val="none"/>
          <w:lang w:val="en-US" w:eastAsia="zh-CN" w:bidi="ar-SA"/>
        </w:rPr>
        <w:t>。工程设计中，采取三种途径控制噪声的传播途径：其一是降低声源噪声；其二是在传播途径中降低噪声；其三是对</w:t>
      </w:r>
      <w:r>
        <w:rPr>
          <w:rFonts w:hint="eastAsia" w:ascii="Times New Roman" w:hAnsi="Times New Roman" w:eastAsia="宋体" w:cs="Times New Roman"/>
          <w:color w:val="000000"/>
          <w:kern w:val="2"/>
          <w:sz w:val="24"/>
          <w:szCs w:val="24"/>
          <w:highlight w:val="none"/>
          <w:lang w:val="en-US" w:eastAsia="zh-CN" w:bidi="ar-SA"/>
        </w:rPr>
        <w:t>接收者</w:t>
      </w:r>
      <w:r>
        <w:rPr>
          <w:rFonts w:ascii="Times New Roman" w:hAnsi="Times New Roman" w:eastAsia="宋体" w:cs="Times New Roman"/>
          <w:color w:val="000000"/>
          <w:kern w:val="2"/>
          <w:sz w:val="24"/>
          <w:szCs w:val="24"/>
          <w:highlight w:val="none"/>
          <w:lang w:val="en-US" w:eastAsia="zh-CN" w:bidi="ar-SA"/>
        </w:rPr>
        <w:t>加强防护。具体防治措施如下：</w:t>
      </w:r>
    </w:p>
    <w:p w14:paraId="6FBD3D91">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（1）在满足生产要求的前提下，选用低噪声设备，从根本上降低噪声源强；</w:t>
      </w:r>
    </w:p>
    <w:p w14:paraId="74D01322">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（2）风机、</w:t>
      </w:r>
      <w:r>
        <w:rPr>
          <w:rFonts w:hint="eastAsia" w:ascii="Times New Roman" w:hAnsi="Times New Roman" w:eastAsia="宋体" w:cs="Times New Roman"/>
          <w:color w:val="000000"/>
          <w:kern w:val="2"/>
          <w:sz w:val="24"/>
          <w:szCs w:val="24"/>
          <w:highlight w:val="none"/>
          <w:lang w:val="en-US" w:eastAsia="zh-CN" w:bidi="ar-SA"/>
        </w:rPr>
        <w:t>泵类</w:t>
      </w:r>
      <w:r>
        <w:rPr>
          <w:rFonts w:ascii="Times New Roman" w:hAnsi="Times New Roman" w:eastAsia="宋体" w:cs="Times New Roman"/>
          <w:color w:val="000000"/>
          <w:kern w:val="2"/>
          <w:sz w:val="24"/>
          <w:szCs w:val="24"/>
          <w:highlight w:val="none"/>
          <w:lang w:val="en-US" w:eastAsia="zh-CN" w:bidi="ar-SA"/>
        </w:rPr>
        <w:t>等强噪声设备利用减振等措施，有效地控制噪声对环境的影响。减振措施包括：</w:t>
      </w:r>
    </w:p>
    <w:p w14:paraId="421CFCF5">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提高零部件的装配精度，对各连接部位安装弹性钢垫或橡胶衬垫，以减少传动装置间的振动。</w:t>
      </w:r>
    </w:p>
    <w:p w14:paraId="2CBD280F">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为了减小风机噪声和振动对环境的影响，风机前后均采用石棉布软接头连接，在风机安装时采用下垫减振橡胶减振。</w:t>
      </w:r>
    </w:p>
    <w:p w14:paraId="6D6D93DB">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（3）在噪声源集中的地方设隔音操作室，另外种植绿化带起到一定的隔声降噪作用。</w:t>
      </w:r>
    </w:p>
    <w:p w14:paraId="34012FE7">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（4）对个别在超标条件下工作的工人，配备耳塞等劳保用品。</w:t>
      </w:r>
    </w:p>
    <w:p w14:paraId="14C6F36B">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（5）运输车辆应配备低音喇叭，在厂区门前做到不鸣或少鸣笛，以减轻交通噪声对厂区周围地区的影响。</w:t>
      </w:r>
    </w:p>
    <w:p w14:paraId="53652A19">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采取上述措施后，本项目厂界噪声能够满足《工业企业厂界环境噪声排放标准》（GB12348-2008）</w:t>
      </w:r>
      <w:r>
        <w:rPr>
          <w:rFonts w:hint="eastAsia" w:ascii="Times New Roman" w:hAnsi="Times New Roman" w:eastAsia="宋体" w:cs="Times New Roman"/>
          <w:color w:val="000000"/>
          <w:kern w:val="2"/>
          <w:sz w:val="24"/>
          <w:szCs w:val="24"/>
          <w:highlight w:val="none"/>
          <w:lang w:val="en-US" w:eastAsia="zh-CN" w:bidi="ar-SA"/>
        </w:rPr>
        <w:t>2</w:t>
      </w:r>
      <w:r>
        <w:rPr>
          <w:rFonts w:ascii="Times New Roman" w:hAnsi="Times New Roman" w:eastAsia="宋体" w:cs="Times New Roman"/>
          <w:color w:val="000000"/>
          <w:kern w:val="2"/>
          <w:sz w:val="24"/>
          <w:szCs w:val="24"/>
          <w:highlight w:val="none"/>
          <w:lang w:val="en-US" w:eastAsia="zh-CN" w:bidi="ar-SA"/>
        </w:rPr>
        <w:t>类区域标准要求。上述噪声控制措施其技术是成熟可靠的，经济上也是合理的，实践证明可达到设计指标。</w:t>
      </w:r>
    </w:p>
    <w:p w14:paraId="016F6C77">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7</w:t>
      </w:r>
      <w:r>
        <w:rPr>
          <w:rFonts w:hint="default" w:ascii="Times New Roman" w:hAnsi="Times New Roman" w:eastAsia="宋体" w:cs="Times New Roman"/>
          <w:b/>
          <w:bCs/>
          <w:kern w:val="2"/>
          <w:sz w:val="28"/>
          <w:szCs w:val="28"/>
          <w:lang w:val="en-US" w:eastAsia="zh-CN" w:bidi="ar-SA"/>
        </w:rPr>
        <w:t>.2.4固废污染防治对策和措施</w:t>
      </w:r>
      <w:bookmarkEnd w:id="742"/>
      <w:bookmarkEnd w:id="743"/>
    </w:p>
    <w:p w14:paraId="43A84433">
      <w:pPr>
        <w:widowControl w:val="0"/>
        <w:spacing w:after="0"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本项目运营后产生的固体废物包括一般工业固废、危险废物及生活垃圾。固体废物处置遵循分类、减量化、资源化、无公害化与集中处置相结合的原则，对本项目产生的固体废物根据其种类不同、污染性质不同，按类别进行回收或综合利用、送有资质单位处置等，最终实现无固体废物直接排入环境的目标。最大限度地降低对环境的不利影响。 </w:t>
      </w:r>
    </w:p>
    <w:p w14:paraId="354AC9B4">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sz w:val="24"/>
        </w:rPr>
        <w:t>（1）</w:t>
      </w:r>
      <w:r>
        <w:rPr>
          <w:rFonts w:hint="eastAsia" w:ascii="Times New Roman" w:hAnsi="Times New Roman" w:eastAsia="宋体" w:cs="Times New Roman"/>
          <w:color w:val="auto"/>
          <w:sz w:val="24"/>
          <w:szCs w:val="24"/>
          <w:lang w:val="en-US" w:eastAsia="zh-CN"/>
        </w:rPr>
        <w:t>牛粪及废发酵垫</w:t>
      </w:r>
    </w:p>
    <w:p w14:paraId="7C67DFBA">
      <w:pPr>
        <w:keepNext w:val="0"/>
        <w:keepLines w:val="0"/>
        <w:pageBreakBefore w:val="0"/>
        <w:wordWrap/>
        <w:topLinePunct w:val="0"/>
        <w:bidi w:val="0"/>
        <w:adjustRightInd/>
        <w:snapToGrid/>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szCs w:val="24"/>
          <w:lang w:val="en-US" w:eastAsia="zh-CN"/>
        </w:rPr>
        <w:t>牛粪</w:t>
      </w:r>
      <w:r>
        <w:rPr>
          <w:rFonts w:hint="eastAsia" w:ascii="Times New Roman" w:hAnsi="Times New Roman" w:eastAsia="宋体" w:cs="Times New Roman"/>
          <w:color w:val="auto"/>
          <w:sz w:val="24"/>
          <w:lang w:val="en-US" w:eastAsia="zh-CN"/>
        </w:rPr>
        <w:t>产生量为11913.6t/a</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垫料每年集中清理一次，更换量为</w:t>
      </w:r>
      <w:r>
        <w:rPr>
          <w:rFonts w:hint="eastAsia" w:cs="Times New Roman"/>
          <w:color w:val="auto"/>
          <w:sz w:val="24"/>
          <w:szCs w:val="24"/>
          <w:lang w:val="en-US" w:eastAsia="zh-CN"/>
        </w:rPr>
        <w:t>220</w:t>
      </w:r>
      <w:r>
        <w:rPr>
          <w:rFonts w:hint="eastAsia" w:ascii="Times New Roman" w:hAnsi="Times New Roman" w:eastAsia="宋体" w:cs="Times New Roman"/>
          <w:color w:val="auto"/>
          <w:sz w:val="24"/>
          <w:szCs w:val="24"/>
          <w:lang w:val="en-US" w:eastAsia="zh-CN"/>
        </w:rPr>
        <w:t>t/a；定期更换的废发酵垫料与牛粪一同送入堆肥间翻抛后还田，全过程按照无害化，资源化进行处理处置。</w:t>
      </w:r>
    </w:p>
    <w:p w14:paraId="2C9FB8F7">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病死</w:t>
      </w:r>
      <w:r>
        <w:rPr>
          <w:rFonts w:hint="eastAsia" w:ascii="Times New Roman" w:hAnsi="Times New Roman" w:eastAsia="宋体" w:cs="Times New Roman"/>
          <w:color w:val="auto"/>
          <w:sz w:val="24"/>
          <w:szCs w:val="24"/>
          <w:lang w:val="en-US" w:eastAsia="zh-CN"/>
        </w:rPr>
        <w:t>牛</w:t>
      </w:r>
    </w:p>
    <w:p w14:paraId="4AB110CF">
      <w:pPr>
        <w:keepNext w:val="0"/>
        <w:keepLines w:val="0"/>
        <w:pageBreakBefore w:val="0"/>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本项目</w:t>
      </w:r>
      <w:r>
        <w:rPr>
          <w:rFonts w:hint="eastAsia" w:ascii="Times New Roman" w:hAnsi="Times New Roman" w:eastAsia="宋体" w:cs="Times New Roman"/>
          <w:color w:val="auto"/>
          <w:sz w:val="24"/>
          <w:szCs w:val="24"/>
          <w:lang w:val="en-US" w:eastAsia="zh-CN"/>
        </w:rPr>
        <w:t>病死牛</w:t>
      </w:r>
      <w:r>
        <w:rPr>
          <w:rFonts w:hint="default" w:ascii="Times New Roman" w:hAnsi="Times New Roman" w:eastAsia="宋体" w:cs="Times New Roman"/>
          <w:color w:val="auto"/>
          <w:sz w:val="24"/>
          <w:szCs w:val="24"/>
        </w:rPr>
        <w:t>产生量约</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头/年</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0.9t/a，本项目委托病死畜禽无害化处置单位处理本项目病死牛，由病死畜禽无害化处置单位配套的病死畜禽专用运输车辆运输。本项目产生病死牛后，立刻通知病死畜禽无害化处置单位运输，一般不超过</w:t>
      </w:r>
      <w:r>
        <w:rPr>
          <w:rFonts w:hint="eastAsia" w:cs="Times New Roman"/>
          <w:color w:val="auto"/>
          <w:sz w:val="24"/>
          <w:szCs w:val="24"/>
          <w:lang w:val="en-US" w:eastAsia="zh-CN"/>
        </w:rPr>
        <w:t>24</w:t>
      </w:r>
      <w:r>
        <w:rPr>
          <w:rFonts w:hint="eastAsia" w:ascii="Times New Roman" w:hAnsi="Times New Roman" w:eastAsia="宋体" w:cs="Times New Roman"/>
          <w:color w:val="auto"/>
          <w:sz w:val="24"/>
          <w:szCs w:val="24"/>
          <w:lang w:val="en-US" w:eastAsia="zh-CN"/>
        </w:rPr>
        <w:t>小时到项目区，因此在产生病死牛后，先暂存于医疗废物暂存间内，由病死畜禽无害化处置单位当日完成运输，运输能满足</w:t>
      </w:r>
      <w:r>
        <w:rPr>
          <w:rFonts w:hint="eastAsia" w:ascii="Times New Roman" w:hAnsi="Times New Roman" w:eastAsia="宋体" w:cs="Times New Roman"/>
          <w:kern w:val="2"/>
          <w:sz w:val="24"/>
          <w:szCs w:val="24"/>
          <w:lang w:val="en-US" w:eastAsia="zh-CN" w:bidi="ar-SA"/>
        </w:rPr>
        <w:t>《病死畜禽和病害畜禽产品无害化处理管理办法》（中华人民共和国农业农村部令2022年第3号）相关要求</w:t>
      </w:r>
      <w:r>
        <w:rPr>
          <w:rFonts w:hint="eastAsia" w:ascii="Times New Roman" w:hAnsi="Times New Roman" w:eastAsia="宋体" w:cs="Times New Roman"/>
          <w:color w:val="auto"/>
          <w:sz w:val="24"/>
          <w:szCs w:val="24"/>
          <w:lang w:val="en-US" w:eastAsia="zh-CN"/>
        </w:rPr>
        <w:t>。</w:t>
      </w:r>
    </w:p>
    <w:p w14:paraId="502F1A1F">
      <w:pPr>
        <w:widowControl w:val="0"/>
        <w:spacing w:after="120" w:line="360" w:lineRule="auto"/>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   </w:t>
      </w:r>
      <w:r>
        <w:rPr>
          <w:rFonts w:hint="eastAsia" w:ascii="Times New Roman" w:hAnsi="Times New Roman" w:eastAsia="宋体" w:cs="Times New Roman"/>
          <w:kern w:val="2"/>
          <w:sz w:val="24"/>
          <w:szCs w:val="24"/>
          <w:lang w:val="en-US" w:eastAsia="zh-CN" w:bidi="ar-SA"/>
        </w:rPr>
        <w:t xml:space="preserve"> 根据《病死畜禽和病害畜禽产品无害化处理管理办法》（中华人民共和国农业农村部令2022年第3号），本项目畜禽养殖场、屠宰厂（场）、隔离场委托病死畜禽无害化处理场处理的，应当符合以下要求：</w:t>
      </w:r>
    </w:p>
    <w:p w14:paraId="1940D38E">
      <w:pPr>
        <w:widowControl w:val="0"/>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①采取必要的冷藏冷冻、清洗消毒等措施；</w:t>
      </w:r>
    </w:p>
    <w:p w14:paraId="1BDB570A">
      <w:pPr>
        <w:widowControl w:val="0"/>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②具有病死畜禽和病害畜禽产品输出通道；</w:t>
      </w:r>
    </w:p>
    <w:p w14:paraId="13358B94">
      <w:pPr>
        <w:widowControl w:val="0"/>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③及时通知病死畜禽无害化处理场进行收集，或自行送至指定地点。</w:t>
      </w:r>
    </w:p>
    <w:p w14:paraId="42B5C4AB">
      <w:pPr>
        <w:widowControl w:val="0"/>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病死畜禽暂存点应当具备下列条件：</w:t>
      </w:r>
    </w:p>
    <w:p w14:paraId="3BA142DB">
      <w:pPr>
        <w:widowControl w:val="0"/>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①有独立封闭的贮存区域，并且防渗、防漏、防鼠、防盗，易于清洗消毒；</w:t>
      </w:r>
    </w:p>
    <w:p w14:paraId="5C91C887">
      <w:pPr>
        <w:widowControl w:val="0"/>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②有冷藏冷冻、清洗消毒等设施设备；</w:t>
      </w:r>
    </w:p>
    <w:p w14:paraId="1AF88B07">
      <w:pPr>
        <w:widowControl w:val="0"/>
        <w:spacing w:after="120"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③设置显著警示标识；</w:t>
      </w:r>
    </w:p>
    <w:p w14:paraId="64E6655C">
      <w:pPr>
        <w:widowControl w:val="0"/>
        <w:spacing w:after="120"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④有符合动物防疫需要的其他设施设备。</w:t>
      </w:r>
    </w:p>
    <w:p w14:paraId="1AFC7979">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本项目设置20m</w:t>
      </w:r>
      <w:r>
        <w:rPr>
          <w:rFonts w:hint="eastAsia" w:ascii="Times New Roman" w:hAnsi="Times New Roman" w:eastAsia="宋体" w:cs="Times New Roman"/>
          <w:sz w:val="24"/>
          <w:vertAlign w:val="superscript"/>
          <w:lang w:val="en-US" w:eastAsia="zh-CN"/>
        </w:rPr>
        <w:t>2</w:t>
      </w:r>
      <w:r>
        <w:rPr>
          <w:rFonts w:hint="eastAsia" w:ascii="Times New Roman" w:hAnsi="Times New Roman" w:eastAsia="宋体" w:cs="Times New Roman"/>
          <w:sz w:val="24"/>
          <w:lang w:val="en-US" w:eastAsia="zh-CN"/>
        </w:rPr>
        <w:t>单独的封闭的病死牛暂存间，配套冷藏冷冻措施以及消毒措施。在暂存间设置警示标识，</w:t>
      </w:r>
    </w:p>
    <w:p w14:paraId="17E774D1">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rPr>
        <w:t>）兽用医疗固废</w:t>
      </w:r>
    </w:p>
    <w:p w14:paraId="5F752F60">
      <w:pPr>
        <w:spacing w:line="360" w:lineRule="auto"/>
        <w:ind w:firstLine="480" w:firstLineChars="200"/>
        <w:rPr>
          <w:rFonts w:hint="eastAsia" w:ascii="Times New Roman" w:hAnsi="Times New Roman" w:eastAsia="宋体" w:cs="Times New Roman"/>
          <w:sz w:val="24"/>
        </w:rPr>
      </w:pPr>
      <w:r>
        <w:rPr>
          <w:rFonts w:hint="eastAsia" w:ascii="Times New Roman" w:hAnsi="Times New Roman" w:eastAsia="宋体" w:cs="Times New Roman"/>
          <w:sz w:val="24"/>
        </w:rPr>
        <w:t>按照《</w:t>
      </w:r>
      <w:r>
        <w:rPr>
          <w:rFonts w:hint="default" w:ascii="Times New Roman" w:hAnsi="Times New Roman" w:eastAsia="宋体" w:cs="Times New Roman"/>
          <w:sz w:val="24"/>
        </w:rPr>
        <w:t>医疗废物集中处置技术规范（试行）</w:t>
      </w:r>
      <w:r>
        <w:rPr>
          <w:rFonts w:hint="eastAsia" w:ascii="Times New Roman" w:hAnsi="Times New Roman" w:eastAsia="宋体" w:cs="Times New Roman"/>
          <w:sz w:val="24"/>
        </w:rPr>
        <w:t>》规定，项目应设置</w:t>
      </w:r>
      <w:r>
        <w:rPr>
          <w:rFonts w:hint="default" w:ascii="Times New Roman" w:hAnsi="Times New Roman" w:eastAsia="宋体" w:cs="Times New Roman"/>
          <w:sz w:val="24"/>
        </w:rPr>
        <w:t>医疗废物暂时贮存库房，</w:t>
      </w:r>
      <w:r>
        <w:rPr>
          <w:rFonts w:hint="eastAsia" w:ascii="Times New Roman" w:hAnsi="Times New Roman" w:eastAsia="宋体" w:cs="Times New Roman"/>
          <w:sz w:val="24"/>
        </w:rPr>
        <w:t>对医疗废弃物进行分类暂存，</w:t>
      </w:r>
      <w:r>
        <w:rPr>
          <w:rFonts w:hint="default" w:ascii="Times New Roman" w:hAnsi="Times New Roman" w:eastAsia="宋体" w:cs="Times New Roman"/>
          <w:sz w:val="24"/>
        </w:rPr>
        <w:t>本项目</w:t>
      </w:r>
      <w:r>
        <w:rPr>
          <w:rFonts w:hint="eastAsia" w:ascii="Times New Roman" w:hAnsi="Times New Roman" w:eastAsia="宋体" w:cs="Times New Roman"/>
          <w:sz w:val="24"/>
          <w:lang w:val="en-US" w:eastAsia="zh-CN"/>
        </w:rPr>
        <w:t>新增20</w:t>
      </w:r>
      <w:r>
        <w:rPr>
          <w:rFonts w:hint="default" w:ascii="Times New Roman" w:hAnsi="Times New Roman" w:eastAsia="宋体" w:cs="Times New Roman"/>
          <w:color w:val="000000"/>
          <w:sz w:val="24"/>
        </w:rPr>
        <w:t>m</w:t>
      </w:r>
      <w:r>
        <w:rPr>
          <w:rFonts w:hint="eastAsia" w:ascii="Times New Roman" w:hAnsi="Times New Roman" w:eastAsia="宋体" w:cs="Times New Roman"/>
          <w:color w:val="000000"/>
          <w:sz w:val="24"/>
          <w:vertAlign w:val="superscript"/>
          <w:lang w:val="en-US" w:eastAsia="zh-CN"/>
        </w:rPr>
        <w:t>2</w:t>
      </w:r>
      <w:r>
        <w:rPr>
          <w:rFonts w:hint="eastAsia" w:ascii="Times New Roman" w:hAnsi="Times New Roman" w:eastAsia="宋体" w:cs="Times New Roman"/>
          <w:sz w:val="24"/>
        </w:rPr>
        <w:t>医疗</w:t>
      </w:r>
      <w:r>
        <w:rPr>
          <w:rFonts w:hint="default" w:ascii="Times New Roman" w:hAnsi="Times New Roman" w:eastAsia="宋体" w:cs="Times New Roman"/>
          <w:sz w:val="24"/>
        </w:rPr>
        <w:t>废物</w:t>
      </w:r>
      <w:r>
        <w:rPr>
          <w:rFonts w:hint="eastAsia" w:ascii="Times New Roman" w:hAnsi="Times New Roman" w:eastAsia="宋体" w:cs="Times New Roman"/>
          <w:sz w:val="24"/>
        </w:rPr>
        <w:t>暂存间。医疗废物最终交</w:t>
      </w:r>
      <w:r>
        <w:rPr>
          <w:rFonts w:hint="default" w:ascii="Times New Roman" w:hAnsi="Times New Roman" w:eastAsia="宋体" w:cs="Times New Roman"/>
          <w:sz w:val="24"/>
        </w:rPr>
        <w:t>由</w:t>
      </w:r>
      <w:r>
        <w:rPr>
          <w:rFonts w:hint="eastAsia" w:ascii="Times New Roman" w:hAnsi="Times New Roman" w:eastAsia="宋体" w:cs="Times New Roman"/>
          <w:sz w:val="24"/>
        </w:rPr>
        <w:t>有资质</w:t>
      </w:r>
      <w:r>
        <w:rPr>
          <w:rFonts w:hint="default" w:ascii="Times New Roman" w:hAnsi="Times New Roman" w:eastAsia="宋体" w:cs="Times New Roman"/>
          <w:sz w:val="24"/>
        </w:rPr>
        <w:t>单位</w:t>
      </w:r>
      <w:r>
        <w:rPr>
          <w:rFonts w:hint="eastAsia" w:ascii="Times New Roman" w:hAnsi="Times New Roman" w:eastAsia="宋体" w:cs="Times New Roman"/>
          <w:sz w:val="24"/>
        </w:rPr>
        <w:t>处置。</w:t>
      </w:r>
    </w:p>
    <w:p w14:paraId="720CB497">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按照《医疗废物专用包装袋、容器和警示标志标准》（HJ 421-2008）收集、包装，设置警示标志；并按照《医疗废物处理处置污染控制标准》（GB39707-2020）要求，感染性、损伤性、病理性废物应盛装于医疗废物周转箱/桶内一并置于贮存设施内暂时贮存。贮存设施应设置通风装置、配套消毒措施。</w:t>
      </w:r>
    </w:p>
    <w:p w14:paraId="5AFA36F0">
      <w:pPr>
        <w:spacing w:line="360" w:lineRule="auto"/>
        <w:ind w:firstLine="480" w:firstLineChars="200"/>
        <w:rPr>
          <w:rFonts w:hint="default" w:ascii="Times New Roman" w:hAnsi="Times New Roman" w:eastAsia="宋体" w:cs="Times New Roman"/>
          <w:sz w:val="24"/>
          <w:highlight w:val="yellow"/>
          <w:lang w:val="en-US" w:eastAsia="zh-CN"/>
        </w:rPr>
      </w:pPr>
      <w:r>
        <w:rPr>
          <w:rFonts w:hint="eastAsia" w:ascii="Times New Roman" w:hAnsi="Times New Roman" w:eastAsia="宋体" w:cs="Times New Roman"/>
          <w:sz w:val="24"/>
        </w:rPr>
        <w:t>按照《</w:t>
      </w:r>
      <w:r>
        <w:rPr>
          <w:rFonts w:hint="default" w:ascii="Times New Roman" w:hAnsi="Times New Roman" w:eastAsia="宋体" w:cs="Times New Roman"/>
          <w:sz w:val="24"/>
        </w:rPr>
        <w:t>医疗废物集中处置技术规范（试行）</w:t>
      </w:r>
      <w:r>
        <w:rPr>
          <w:rFonts w:hint="eastAsia" w:ascii="Times New Roman" w:hAnsi="Times New Roman" w:eastAsia="宋体" w:cs="Times New Roman"/>
          <w:sz w:val="24"/>
        </w:rPr>
        <w:t>》</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设计要求如下：</w:t>
      </w:r>
    </w:p>
    <w:p w14:paraId="4C4FD552">
      <w:pPr>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val="en-US" w:eastAsia="zh-CN"/>
        </w:rPr>
        <w:t>库房</w:t>
      </w:r>
      <w:r>
        <w:rPr>
          <w:rFonts w:hint="default" w:ascii="Times New Roman" w:hAnsi="Times New Roman" w:eastAsia="宋体" w:cs="Times New Roman"/>
          <w:sz w:val="24"/>
          <w:highlight w:val="none"/>
        </w:rPr>
        <w:t>：</w:t>
      </w:r>
    </w:p>
    <w:p w14:paraId="7AD0DB12">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必须与生活垃圾存放地分开，有防雨淋的装置，地基高度应确保设施内不受雨洪冲击或浸泡；</w:t>
      </w:r>
    </w:p>
    <w:p w14:paraId="0813950E">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必须与医疗区、食品加工区和人员活动密集区隔开，方便医疗废物的装卸、装卸人员及运送车辆的出入；</w:t>
      </w:r>
    </w:p>
    <w:p w14:paraId="3B8BE56A">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应有严密的封闭措施，设专人管理，避免非工作人员进出，以及防鼠、防蚊蝇、防蟑螂、防盗以及预防儿童接触等安全措施；</w:t>
      </w:r>
    </w:p>
    <w:p w14:paraId="1602A8C0">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地面和1.0米高的墙裙须进行防渗处理，地面有良好的排水性能，易于清洁和消毒，产生的废水应采用管道直接排入医疗卫生机构内的医疗废水消毒、处理系统，禁止将产生的废水直接排入外环境；</w:t>
      </w:r>
    </w:p>
    <w:p w14:paraId="0AA34F01">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库房外宜设有供水龙头，以供暂时贮存库房的清洗用；</w:t>
      </w:r>
    </w:p>
    <w:p w14:paraId="42772978">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避免阳光直射库内，应有良好的照明设备和通风条件；</w:t>
      </w:r>
    </w:p>
    <w:p w14:paraId="3CCA5775">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库房内应张贴</w:t>
      </w:r>
      <w:r>
        <w:rPr>
          <w:rFonts w:hint="eastAsia" w:cs="Times New Roman"/>
          <w:sz w:val="24"/>
          <w:lang w:val="en-US" w:eastAsia="zh-CN"/>
        </w:rPr>
        <w:t>“</w:t>
      </w:r>
      <w:r>
        <w:rPr>
          <w:rFonts w:hint="eastAsia" w:ascii="Times New Roman" w:hAnsi="Times New Roman" w:eastAsia="宋体" w:cs="Times New Roman"/>
          <w:sz w:val="24"/>
          <w:lang w:val="en-US" w:eastAsia="zh-CN"/>
        </w:rPr>
        <w:t>禁止吸烟、饮食</w:t>
      </w:r>
      <w:r>
        <w:rPr>
          <w:rFonts w:hint="eastAsia" w:cs="Times New Roman"/>
          <w:sz w:val="24"/>
          <w:lang w:val="en-US" w:eastAsia="zh-CN"/>
        </w:rPr>
        <w:t>”</w:t>
      </w:r>
      <w:r>
        <w:rPr>
          <w:rFonts w:hint="eastAsia" w:ascii="Times New Roman" w:hAnsi="Times New Roman" w:eastAsia="宋体" w:cs="Times New Roman"/>
          <w:sz w:val="24"/>
          <w:lang w:val="en-US" w:eastAsia="zh-CN"/>
        </w:rPr>
        <w:t>的警示标识；</w:t>
      </w:r>
    </w:p>
    <w:p w14:paraId="60942E5C">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应按GB15562.2和卫生、环保部门制定的专用医疗废物警示标识要求，在库房外的明显处同时设置危险废物和医疗废物的警示标识；</w:t>
      </w:r>
    </w:p>
    <w:p w14:paraId="7971A082">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2）卫生要求</w:t>
      </w:r>
    </w:p>
    <w:p w14:paraId="759BE3EA">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医疗废物暂时贮存库房每天应在废物清运之后消毒一次。</w:t>
      </w:r>
    </w:p>
    <w:p w14:paraId="617DD58F">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3）暂时贮存时间</w:t>
      </w:r>
    </w:p>
    <w:p w14:paraId="71A896B6">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应防止医疗废物在暂时贮存库房和专用暂时贮存柜（箱）中腐败散发恶臭，尽量做到日产日清。</w:t>
      </w:r>
    </w:p>
    <w:p w14:paraId="04956A5C">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确实不能做到日产日清，且当地最高气温高于25℃时，应将医疗废物低温暂时贮存，暂时贮存温度应低于20℃，时间最长不超过48小时。</w:t>
      </w:r>
    </w:p>
    <w:p w14:paraId="601EBE73">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4）管理制度</w:t>
      </w:r>
    </w:p>
    <w:p w14:paraId="2E0718FB">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医疗卫生机构应制定医疗废物暂时贮存管理的有关规章制度、工作程序及应急处理措施。</w:t>
      </w:r>
    </w:p>
    <w:p w14:paraId="518DD476">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医疗卫生机构的暂时贮存库房和医疗废物专用暂时贮存柜（箱）存放地，应当接受当地环保和卫生主管部门的监督检查。</w:t>
      </w:r>
    </w:p>
    <w:p w14:paraId="27901204">
      <w:pPr>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本项目医疗废物</w:t>
      </w:r>
      <w:r>
        <w:rPr>
          <w:rFonts w:hint="default" w:ascii="Times New Roman" w:hAnsi="Times New Roman" w:eastAsia="宋体" w:cs="Times New Roman"/>
          <w:sz w:val="24"/>
        </w:rPr>
        <w:t>的</w:t>
      </w:r>
      <w:r>
        <w:rPr>
          <w:rFonts w:hint="eastAsia" w:ascii="Times New Roman" w:hAnsi="Times New Roman" w:eastAsia="宋体" w:cs="Times New Roman"/>
          <w:sz w:val="24"/>
        </w:rPr>
        <w:t>暂存</w:t>
      </w:r>
      <w:r>
        <w:rPr>
          <w:rFonts w:hint="default" w:ascii="Times New Roman" w:hAnsi="Times New Roman" w:eastAsia="宋体" w:cs="Times New Roman"/>
          <w:sz w:val="24"/>
        </w:rPr>
        <w:t>、转运</w:t>
      </w:r>
      <w:r>
        <w:rPr>
          <w:rFonts w:hint="eastAsia" w:ascii="Times New Roman" w:hAnsi="Times New Roman" w:eastAsia="宋体" w:cs="Times New Roman"/>
          <w:sz w:val="24"/>
        </w:rPr>
        <w:t>管理</w:t>
      </w:r>
      <w:r>
        <w:rPr>
          <w:rFonts w:hint="default" w:ascii="Times New Roman" w:hAnsi="Times New Roman" w:eastAsia="宋体" w:cs="Times New Roman"/>
          <w:sz w:val="24"/>
        </w:rPr>
        <w:t>要求</w:t>
      </w:r>
      <w:r>
        <w:rPr>
          <w:rFonts w:hint="eastAsia" w:ascii="Times New Roman" w:hAnsi="Times New Roman" w:eastAsia="宋体" w:cs="Times New Roman"/>
          <w:sz w:val="24"/>
        </w:rPr>
        <w:t>如下</w:t>
      </w:r>
      <w:r>
        <w:rPr>
          <w:rFonts w:hint="default" w:ascii="Times New Roman" w:hAnsi="Times New Roman" w:eastAsia="宋体" w:cs="Times New Roman"/>
          <w:sz w:val="24"/>
        </w:rPr>
        <w:t>：</w:t>
      </w:r>
    </w:p>
    <w:p w14:paraId="3B809CC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运送路线：尽量避开人口密集区域和交通拥堵道路。</w:t>
      </w:r>
    </w:p>
    <w:p w14:paraId="5D4BA6C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经包装的医疗废物应盛放于可重复使用的专用周转箱（桶）或一次性专用包装容器内。专用周转箱（桶）或一次性专用包装容器应符合《医疗废物专用包装物、容器标准和警示标识规定》。</w:t>
      </w:r>
    </w:p>
    <w:p w14:paraId="3ADFB66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医疗废物</w:t>
      </w:r>
      <w:r>
        <w:rPr>
          <w:rFonts w:hint="eastAsia" w:ascii="Times New Roman" w:hAnsi="Times New Roman" w:eastAsia="宋体" w:cs="Times New Roman"/>
          <w:sz w:val="24"/>
          <w:lang w:val="en-US" w:eastAsia="zh-CN"/>
        </w:rPr>
        <w:t>装卸</w:t>
      </w:r>
      <w:r>
        <w:rPr>
          <w:rFonts w:hint="default" w:ascii="Times New Roman" w:hAnsi="Times New Roman" w:eastAsia="宋体" w:cs="Times New Roman"/>
          <w:sz w:val="24"/>
          <w:lang w:val="en-US" w:eastAsia="zh-CN"/>
        </w:rPr>
        <w:t>尽可能采用机械作业，将周转箱整齐地装入车内，尽量减少人工操作；如需手工操作应做好人员防护。</w:t>
      </w:r>
    </w:p>
    <w:p w14:paraId="5E0A695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医疗废物运送前，处置单位必须对每辆运送车的车况进行检查，确保车况良好后方可出车。运送车辆负责人应对每辆运送车是否配备本规范4.1.2所要求的辅助物品进行检查，确保完备。</w:t>
      </w:r>
    </w:p>
    <w:p w14:paraId="6F33D18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医疗废物运送车辆不得搭乘其他无关人员，不得装载或混装其他货物和动植物。</w:t>
      </w:r>
    </w:p>
    <w:p w14:paraId="05374F7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车辆行驶时应锁闭车厢门，确保安全，不得丢失、遗撒和打开包装取出医疗废物。</w:t>
      </w:r>
    </w:p>
    <w:p w14:paraId="72B241B7">
      <w:pPr>
        <w:spacing w:line="360" w:lineRule="auto"/>
        <w:ind w:firstLine="480" w:firstLineChars="200"/>
        <w:rPr>
          <w:rFonts w:hint="default" w:ascii="Times New Roman" w:hAnsi="Times New Roman" w:eastAsia="宋体" w:cs="Times New Roman"/>
          <w:sz w:val="24"/>
          <w:highlight w:val="yellow"/>
          <w:lang w:val="en-US" w:eastAsia="zh-CN"/>
        </w:rPr>
      </w:pPr>
      <w:r>
        <w:rPr>
          <w:rFonts w:hint="eastAsia" w:ascii="Times New Roman" w:hAnsi="Times New Roman" w:eastAsia="宋体" w:cs="Times New Roman"/>
          <w:sz w:val="24"/>
        </w:rPr>
        <w:t>按照</w:t>
      </w:r>
      <w:r>
        <w:rPr>
          <w:rFonts w:hint="eastAsia" w:ascii="Times New Roman" w:hAnsi="Times New Roman" w:eastAsia="宋体" w:cs="Times New Roman"/>
          <w:sz w:val="24"/>
          <w:lang w:val="en-US" w:eastAsia="zh-CN"/>
        </w:rPr>
        <w:t>《医疗废物处理处置污染控制标准》（GB39707-2020）</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设计要求如下：</w:t>
      </w:r>
    </w:p>
    <w:p w14:paraId="25010994">
      <w:pPr>
        <w:keepNext w:val="0"/>
        <w:keepLines w:val="0"/>
        <w:pageBreakBefore w:val="0"/>
        <w:widowControl w:val="0"/>
        <w:numPr>
          <w:ilvl w:val="0"/>
          <w:numId w:val="23"/>
        </w:numPr>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选址要求：</w:t>
      </w:r>
    </w:p>
    <w:p w14:paraId="1CB53822">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医疗废物处理处置设施选址应符合生态环境保护法律法规及相关法定规划要求，并应综合考虑设施服务区域、交通运输、地质环境等基本要素，确保设施处于长期相对稳定的环境。 </w:t>
      </w:r>
    </w:p>
    <w:p w14:paraId="3D2E7FFE">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处理处置设施选址不应位于国务院和国务院有关主管部门及省、自治区、直辖市人民政府划定的生态保护红线区域、永久基本农田集中区域和其他需要特别保护的区域内。 </w:t>
      </w:r>
    </w:p>
    <w:p w14:paraId="0A37EE87">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处理处置设施厂址应与敏感目标之间设置一定的防护距离，防护距离应根据厂址条件、处理处置技术工艺、污染物排放特征及其扩散因素等综合确定，并应满足环境影响评价文件及审批意见要求。 </w:t>
      </w:r>
    </w:p>
    <w:p w14:paraId="32A9B2F7">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zh-CN"/>
        </w:rPr>
      </w:pPr>
      <w:r>
        <w:rPr>
          <w:rFonts w:hint="eastAsia" w:ascii="Times New Roman" w:hAnsi="Times New Roman" w:eastAsia="宋体" w:cs="Times New Roman"/>
          <w:sz w:val="24"/>
          <w:lang w:val="en-US" w:eastAsia="zh-CN"/>
        </w:rPr>
        <w:t>2）</w:t>
      </w:r>
      <w:r>
        <w:rPr>
          <w:rFonts w:hint="eastAsia" w:ascii="Times New Roman" w:hAnsi="Times New Roman" w:eastAsia="宋体" w:cs="Times New Roman"/>
          <w:sz w:val="24"/>
          <w:lang w:val="zh-CN"/>
        </w:rPr>
        <w:t xml:space="preserve">收集 </w:t>
      </w:r>
    </w:p>
    <w:p w14:paraId="7A962B02">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zh-CN"/>
        </w:rPr>
      </w:pPr>
      <w:r>
        <w:rPr>
          <w:rFonts w:hint="eastAsia" w:ascii="Times New Roman" w:hAnsi="Times New Roman" w:eastAsia="宋体" w:cs="Times New Roman"/>
          <w:sz w:val="24"/>
          <w:lang w:val="zh-CN"/>
        </w:rPr>
        <w:t xml:space="preserve">医疗废物处理处置单位收集的医疗废物包装应符合HJ 421的要求。 </w:t>
      </w:r>
    </w:p>
    <w:p w14:paraId="1EBA393F">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zh-CN"/>
        </w:rPr>
      </w:pPr>
      <w:r>
        <w:rPr>
          <w:rFonts w:hint="eastAsia" w:ascii="Times New Roman" w:hAnsi="Times New Roman" w:eastAsia="宋体" w:cs="Times New Roman"/>
          <w:sz w:val="24"/>
          <w:lang w:val="zh-CN"/>
        </w:rPr>
        <w:t>处理处置单位应采用周转箱/桶收集、转移医疗废物，并应执行危险废物转移联单管理制度。</w:t>
      </w:r>
    </w:p>
    <w:p w14:paraId="575B2F59">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3）贮存 </w:t>
      </w:r>
    </w:p>
    <w:p w14:paraId="592BA9FA">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医疗废物处理处置单位应设置感染性、损伤性、病理性废物的贮存设施；若收集化学性、药物性废物还应设置专用贮存设施。贮存设施内应设置不同类别医疗废物的贮存区。 </w:t>
      </w:r>
    </w:p>
    <w:p w14:paraId="37071DA6">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贮存设施地面防渗应满足国家和地方有关重点污染源防渗要求。墙面应做防渗处理，感染性、损伤性、病理性废物贮存设施的地面、墙面材料应易于清洗和消毒。 </w:t>
      </w:r>
    </w:p>
    <w:p w14:paraId="76CD623C">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感染性、损伤性、病理性废物贮存设施应设置微负压及通风装置、制冷系统和设备，排风口应设置废气净化装置。 </w:t>
      </w:r>
    </w:p>
    <w:p w14:paraId="2ED9467C">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医疗废物不能及时处理处置时，应置于贮存设施内贮存。感染性、损伤性、病理性废物应盛装于医疗废物周转箱/桶内一并置于贮存设施内暂时贮存。 </w:t>
      </w:r>
    </w:p>
    <w:p w14:paraId="20FF2DB3">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处理处置单位对感染性、损伤性、病理性废物的贮存应符合以下要求： </w:t>
      </w:r>
    </w:p>
    <w:p w14:paraId="3C33BF7F">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a）贮存温度≥5℃，贮存时间不得超过24小时； </w:t>
      </w:r>
    </w:p>
    <w:p w14:paraId="0648A857">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b）贮存温度＜5℃，贮存时间不得超过72小时； </w:t>
      </w:r>
    </w:p>
    <w:p w14:paraId="00C4EEFE">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c）偏远地区贮存温度＜5℃，并采取消毒措施时，可适当延长贮存时间，但不得超过168小时。  </w:t>
      </w:r>
    </w:p>
    <w:p w14:paraId="2BB185EF">
      <w:pPr>
        <w:overflowPunct w:val="0"/>
        <w:autoSpaceDE w:val="0"/>
        <w:autoSpaceDN w:val="0"/>
        <w:bidi w:val="0"/>
        <w:adjustRightInd w:val="0"/>
        <w:snapToGrid w:val="0"/>
        <w:spacing w:before="0" w:after="0" w:line="360" w:lineRule="auto"/>
        <w:ind w:left="0" w:right="0" w:firstLine="480" w:firstLineChars="200"/>
        <w:jc w:val="both"/>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化学性、药物性废物贮存应符合GB 18597的要求。</w:t>
      </w:r>
    </w:p>
    <w:p w14:paraId="26ECC517">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sz w:val="24"/>
        </w:rPr>
        <w:t>对于存在传染性的医疗固废，</w:t>
      </w:r>
      <w:r>
        <w:rPr>
          <w:rFonts w:hint="eastAsia" w:ascii="Times New Roman" w:hAnsi="Times New Roman" w:eastAsia="宋体" w:cs="Times New Roman"/>
          <w:sz w:val="24"/>
          <w:lang w:val="en-US" w:eastAsia="zh-CN"/>
        </w:rPr>
        <w:t>还需</w:t>
      </w:r>
      <w:r>
        <w:rPr>
          <w:rFonts w:hint="eastAsia" w:ascii="Times New Roman" w:hAnsi="Times New Roman" w:eastAsia="宋体" w:cs="Times New Roman"/>
          <w:sz w:val="24"/>
        </w:rPr>
        <w:t>按照</w:t>
      </w:r>
      <w:r>
        <w:rPr>
          <w:rFonts w:hint="eastAsia" w:ascii="Times New Roman" w:hAnsi="Times New Roman" w:eastAsia="宋体" w:cs="Times New Roman"/>
          <w:color w:val="000000"/>
          <w:kern w:val="2"/>
          <w:sz w:val="24"/>
          <w:szCs w:val="24"/>
          <w:highlight w:val="none"/>
          <w:lang w:val="en-US" w:eastAsia="zh-CN" w:bidi="ar-SA"/>
        </w:rPr>
        <w:t>《危险废物贮存污染控制标准》（GB 18597-2023）以及《危险废物收集 贮存 运输技术规范》（HJ2025-2012）要求，委托有资质的单位进行处置。</w:t>
      </w:r>
    </w:p>
    <w:p w14:paraId="082E4E67">
      <w:pPr>
        <w:keepNext w:val="0"/>
        <w:keepLines w:val="0"/>
        <w:pageBreakBefore w:val="0"/>
        <w:widowControl w:val="0"/>
        <w:numPr>
          <w:ilvl w:val="0"/>
          <w:numId w:val="24"/>
        </w:numPr>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危险废物</w:t>
      </w:r>
    </w:p>
    <w:p w14:paraId="309CC2D6">
      <w:pPr>
        <w:keepNext w:val="0"/>
        <w:keepLines w:val="0"/>
        <w:pageBreakBefore w:val="0"/>
        <w:numPr>
          <w:ilvl w:val="0"/>
          <w:numId w:val="0"/>
        </w:numPr>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本项目消毒剂包装桶，</w:t>
      </w:r>
      <w:r>
        <w:rPr>
          <w:rFonts w:hint="eastAsia" w:ascii="Times New Roman" w:hAnsi="Times New Roman" w:eastAsia="宋体" w:cs="Times New Roman"/>
          <w:color w:val="auto"/>
          <w:sz w:val="24"/>
          <w:szCs w:val="24"/>
          <w:highlight w:val="none"/>
          <w:lang w:val="en-US" w:eastAsia="zh-CN"/>
        </w:rPr>
        <w:t>共0.</w:t>
      </w:r>
      <w:r>
        <w:rPr>
          <w:rFonts w:hint="eastAsia" w:cs="Times New Roman"/>
          <w:color w:val="auto"/>
          <w:sz w:val="24"/>
          <w:szCs w:val="24"/>
          <w:highlight w:val="none"/>
          <w:lang w:val="en-US" w:eastAsia="zh-CN"/>
        </w:rPr>
        <w:t>09</w:t>
      </w:r>
      <w:r>
        <w:rPr>
          <w:rFonts w:hint="eastAsia" w:ascii="Times New Roman" w:hAnsi="Times New Roman" w:eastAsia="宋体" w:cs="Times New Roman"/>
          <w:color w:val="auto"/>
          <w:sz w:val="24"/>
          <w:szCs w:val="24"/>
          <w:highlight w:val="none"/>
          <w:lang w:val="en-US" w:eastAsia="zh-CN"/>
        </w:rPr>
        <w:t>t/a。本项目消毒剂戊二醛、生石灰等均属于危险化学品，</w:t>
      </w:r>
      <w:r>
        <w:rPr>
          <w:rFonts w:hint="eastAsia" w:ascii="Times New Roman" w:hAnsi="Times New Roman" w:eastAsia="宋体" w:cs="Times New Roman"/>
          <w:color w:val="auto"/>
          <w:sz w:val="24"/>
          <w:szCs w:val="24"/>
          <w:lang w:val="en-US" w:eastAsia="zh-CN"/>
        </w:rPr>
        <w:t>包装物沾染毒性，属于危险废物，根据</w:t>
      </w:r>
      <w:r>
        <w:rPr>
          <w:rFonts w:hint="default" w:ascii="Times New Roman" w:hAnsi="Times New Roman" w:eastAsia="宋体" w:cs="Times New Roman"/>
          <w:color w:val="auto"/>
          <w:sz w:val="24"/>
          <w:szCs w:val="24"/>
        </w:rPr>
        <w:t>《国家危险废物名录（</w:t>
      </w:r>
      <w:r>
        <w:rPr>
          <w:rFonts w:hint="eastAsia" w:ascii="Times New Roman" w:hAnsi="Times New Roman" w:eastAsia="宋体" w:cs="Times New Roman"/>
          <w:color w:val="auto"/>
          <w:sz w:val="24"/>
          <w:szCs w:val="24"/>
          <w:lang w:val="en-US" w:eastAsia="zh-CN"/>
        </w:rPr>
        <w:t>2025</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版</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属于HW49 其他废物900-041-49 含有或沾染毒性、感染性危险废物的废弃包装物、容器、过滤吸附介质，集中收集后设置10m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危险废物贮存点暂存，委托有资质的单位运输处置</w:t>
      </w:r>
      <w:r>
        <w:rPr>
          <w:rFonts w:hint="eastAsia" w:ascii="Times New Roman" w:hAnsi="Times New Roman" w:eastAsia="宋体" w:cs="Times New Roman"/>
          <w:color w:val="000000"/>
          <w:kern w:val="2"/>
          <w:sz w:val="24"/>
          <w:szCs w:val="24"/>
          <w:highlight w:val="none"/>
          <w:lang w:val="en-US" w:eastAsia="zh-CN" w:bidi="ar-SA"/>
        </w:rPr>
        <w:t>。</w:t>
      </w:r>
    </w:p>
    <w:p w14:paraId="518626F1">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危险废物管理包括危险废物贮存措施、危险废物转运措施、危险废物安全处置措施等环节。本次环评要求严格按照《危险废物贮存污染控制标准》（GB 18597-2023）、《危险废物收集 贮存 运输技术规范》（HJ2025-2012）和《危险废物转移管理办法》（生态环境部 公安部 交通运输部 部令第23号）相关要求对其进行贮存、转移及制度性管理。根据国家产生危险废物的单位应当以控制危险废物的环境风险为目标，企业应制定危险废物管理计划和应急预案并报所在地县级以上地方环保部门备案。</w:t>
      </w:r>
    </w:p>
    <w:p w14:paraId="20B498B3">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一、危险废物贮存点要求</w:t>
      </w:r>
    </w:p>
    <w:p w14:paraId="78B2D4BF">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Times New Roman"/>
          <w:color w:val="000000"/>
          <w:kern w:val="0"/>
          <w:sz w:val="24"/>
          <w:szCs w:val="24"/>
          <w:lang w:val="en-US" w:eastAsia="zh-CN" w:bidi="ar-SA"/>
        </w:rPr>
      </w:pPr>
      <w:r>
        <w:rPr>
          <w:rFonts w:hint="default" w:ascii="Times New Roman" w:hAnsi="Times New Roman" w:cs="Times New Roman"/>
          <w:color w:val="000000"/>
          <w:kern w:val="2"/>
          <w:sz w:val="24"/>
          <w:szCs w:val="24"/>
          <w:highlight w:val="none"/>
          <w:lang w:val="en-US" w:eastAsia="zh-CN" w:bidi="ar-SA"/>
        </w:rPr>
        <w:t>本项目</w:t>
      </w:r>
      <w:r>
        <w:rPr>
          <w:rFonts w:hint="eastAsia" w:ascii="Times New Roman" w:hAnsi="Times New Roman" w:cs="Times New Roman"/>
          <w:color w:val="000000"/>
          <w:kern w:val="2"/>
          <w:sz w:val="24"/>
          <w:szCs w:val="24"/>
          <w:highlight w:val="none"/>
          <w:lang w:val="en-US" w:eastAsia="zh-CN" w:bidi="ar-SA"/>
        </w:rPr>
        <w:t>建设10</w:t>
      </w:r>
      <w:r>
        <w:rPr>
          <w:rFonts w:hint="default" w:ascii="Times New Roman" w:hAnsi="Times New Roman" w:cs="Times New Roman"/>
          <w:color w:val="000000"/>
          <w:kern w:val="2"/>
          <w:sz w:val="24"/>
          <w:szCs w:val="24"/>
          <w:highlight w:val="none"/>
          <w:lang w:val="en-US" w:eastAsia="zh-CN" w:bidi="ar-SA"/>
        </w:rPr>
        <w:t>m</w:t>
      </w:r>
      <w:r>
        <w:rPr>
          <w:rFonts w:hint="default" w:ascii="Times New Roman" w:hAnsi="Times New Roman" w:cs="Times New Roman"/>
          <w:color w:val="000000"/>
          <w:kern w:val="2"/>
          <w:sz w:val="24"/>
          <w:szCs w:val="24"/>
          <w:highlight w:val="none"/>
          <w:vertAlign w:val="superscript"/>
          <w:lang w:val="en-US" w:eastAsia="zh-CN" w:bidi="ar-SA"/>
        </w:rPr>
        <w:t>2</w:t>
      </w:r>
      <w:r>
        <w:rPr>
          <w:rFonts w:hint="default" w:ascii="Times New Roman" w:hAnsi="Times New Roman" w:cs="Times New Roman"/>
          <w:color w:val="000000"/>
          <w:kern w:val="2"/>
          <w:sz w:val="24"/>
          <w:szCs w:val="24"/>
          <w:highlight w:val="none"/>
          <w:lang w:val="en-US" w:eastAsia="zh-CN" w:bidi="ar-SA"/>
        </w:rPr>
        <w:t>危险废物贮存</w:t>
      </w:r>
      <w:r>
        <w:rPr>
          <w:rFonts w:hint="eastAsia" w:cs="Times New Roman"/>
          <w:color w:val="000000"/>
          <w:kern w:val="2"/>
          <w:sz w:val="24"/>
          <w:szCs w:val="24"/>
          <w:highlight w:val="none"/>
          <w:lang w:val="en-US" w:eastAsia="zh-CN" w:bidi="ar-SA"/>
        </w:rPr>
        <w:t>点</w:t>
      </w:r>
      <w:r>
        <w:rPr>
          <w:rFonts w:hint="default" w:ascii="Times New Roman" w:hAnsi="Times New Roman" w:eastAsia="宋体" w:cs="Times New Roman"/>
          <w:color w:val="000000"/>
          <w:kern w:val="2"/>
          <w:sz w:val="24"/>
          <w:szCs w:val="24"/>
          <w:highlight w:val="none"/>
          <w:lang w:val="en-US" w:eastAsia="zh-CN" w:bidi="ar-SA"/>
        </w:rPr>
        <w:t>一座</w:t>
      </w:r>
      <w:r>
        <w:rPr>
          <w:rFonts w:hint="eastAsia"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0"/>
          <w:sz w:val="24"/>
          <w:szCs w:val="24"/>
          <w:lang w:val="en-US" w:eastAsia="zh-CN" w:bidi="ar-SA"/>
        </w:rPr>
        <w:t>采取防风、防晒、防雨、防漏、防渗、防腐以及其他环境污染防治措施</w:t>
      </w:r>
      <w:r>
        <w:rPr>
          <w:rFonts w:hint="eastAsia" w:cs="Times New Roman"/>
          <w:color w:val="000000"/>
          <w:kern w:val="0"/>
          <w:sz w:val="24"/>
          <w:szCs w:val="24"/>
          <w:lang w:val="en-US" w:eastAsia="zh-CN" w:bidi="ar-SA"/>
        </w:rPr>
        <w:t>，</w:t>
      </w:r>
      <w:r>
        <w:rPr>
          <w:rFonts w:hint="eastAsia" w:ascii="Times New Roman" w:hAnsi="Times New Roman" w:eastAsia="宋体" w:cs="Times New Roman"/>
          <w:color w:val="000000"/>
          <w:kern w:val="2"/>
          <w:sz w:val="24"/>
          <w:szCs w:val="20"/>
          <w:highlight w:val="none"/>
          <w:lang w:val="en-US" w:eastAsia="zh-CN"/>
        </w:rPr>
        <w:t>防渗方案</w:t>
      </w:r>
      <w:r>
        <w:rPr>
          <w:rFonts w:hint="eastAsia" w:eastAsia="宋体" w:cs="Times New Roman"/>
          <w:color w:val="000000"/>
          <w:kern w:val="2"/>
          <w:sz w:val="24"/>
          <w:szCs w:val="20"/>
          <w:highlight w:val="none"/>
          <w:lang w:val="en-US" w:eastAsia="zh-CN"/>
        </w:rPr>
        <w:t>：</w:t>
      </w:r>
      <w:r>
        <w:rPr>
          <w:rFonts w:hint="default" w:ascii="Times New Roman" w:hAnsi="Times New Roman" w:eastAsia="宋体" w:cs="Times New Roman"/>
          <w:color w:val="000000"/>
          <w:kern w:val="2"/>
          <w:sz w:val="24"/>
          <w:szCs w:val="20"/>
          <w:highlight w:val="none"/>
          <w:lang w:val="en-US" w:eastAsia="zh-CN"/>
        </w:rPr>
        <w:t>黏土夯实+2mm厚高密度聚乙烯膜（HDPE）+外保护（20mm水泥）</w:t>
      </w:r>
      <w:r>
        <w:rPr>
          <w:rFonts w:hint="eastAsia" w:eastAsia="宋体"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。危险废物贮存库地面满足《危险废物贮存污染控制标准》（GB18597-2023）</w:t>
      </w:r>
      <w:r>
        <w:rPr>
          <w:rFonts w:hint="eastAsia" w:cs="Times New Roman"/>
          <w:color w:val="000000"/>
          <w:kern w:val="2"/>
          <w:sz w:val="24"/>
          <w:szCs w:val="20"/>
          <w:highlight w:val="none"/>
          <w:lang w:val="en-US" w:eastAsia="zh-CN"/>
        </w:rPr>
        <w:t>“</w:t>
      </w:r>
      <w:r>
        <w:rPr>
          <w:rFonts w:ascii="宋体" w:hAnsi="宋体" w:eastAsia="宋体" w:cs="宋体"/>
          <w:color w:val="auto"/>
          <w:kern w:val="0"/>
          <w:sz w:val="24"/>
          <w:szCs w:val="24"/>
          <w:highlight w:val="none"/>
        </w:rPr>
        <w:t>贮存设施地面与裙脚应采取表面防渗措施；表面防渗材料应与所接触的物料或污染物相容，可采用抗渗混凝土、高密度聚乙烯膜、钠基膨润土防水毯或其他防渗性能等效的材料。</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相关要求；危险废物贮存库围堰满足《危险废物贮存污染控制标准》（GB18597-2023）</w:t>
      </w:r>
      <w:r>
        <w:rPr>
          <w:rFonts w:hint="eastAsia" w:cs="Times New Roman"/>
          <w:color w:val="000000"/>
          <w:kern w:val="2"/>
          <w:sz w:val="24"/>
          <w:szCs w:val="20"/>
          <w:highlight w:val="none"/>
          <w:lang w:val="en-US" w:eastAsia="zh-CN"/>
        </w:rPr>
        <w:t>“</w:t>
      </w:r>
      <w:r>
        <w:rPr>
          <w:rFonts w:hint="default" w:ascii="Times New Roman" w:hAnsi="Times New Roman" w:eastAsia="宋体" w:cs="Times New Roman"/>
          <w:color w:val="auto"/>
          <w:kern w:val="0"/>
          <w:sz w:val="24"/>
          <w:szCs w:val="24"/>
          <w:highlight w:val="none"/>
        </w:rPr>
        <w:t>贮存的危险废物直接接触地面的，还应进行基础防渗，防渗层为至少1m厚黏土层（渗透系数不大于10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7</w:t>
      </w:r>
      <w:r>
        <w:rPr>
          <w:rFonts w:hint="default" w:ascii="Times New Roman" w:hAnsi="Times New Roman" w:eastAsia="宋体" w:cs="Times New Roman"/>
          <w:color w:val="auto"/>
          <w:kern w:val="0"/>
          <w:sz w:val="24"/>
          <w:szCs w:val="24"/>
          <w:highlight w:val="none"/>
        </w:rPr>
        <w:t>cm/s），或至少2mm厚高密度聚乙烯膜等人工防渗材料（渗透系数不大于10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auto"/>
          <w:kern w:val="0"/>
          <w:sz w:val="24"/>
          <w:szCs w:val="24"/>
          <w:highlight w:val="none"/>
          <w:vertAlign w:val="superscript"/>
        </w:rPr>
        <w:t>10</w:t>
      </w:r>
      <w:r>
        <w:rPr>
          <w:rFonts w:hint="default" w:ascii="Times New Roman" w:hAnsi="Times New Roman" w:eastAsia="宋体" w:cs="Times New Roman"/>
          <w:color w:val="auto"/>
          <w:kern w:val="0"/>
          <w:sz w:val="24"/>
          <w:szCs w:val="24"/>
          <w:highlight w:val="none"/>
        </w:rPr>
        <w:t>cm/s），或其他防渗性能等效的材料</w:t>
      </w:r>
      <w:r>
        <w:rPr>
          <w:rFonts w:hint="default" w:ascii="Times New Roman" w:hAnsi="Times New Roman" w:eastAsia="宋体" w:cs="Times New Roman"/>
          <w:color w:val="000000"/>
          <w:kern w:val="2"/>
          <w:sz w:val="24"/>
          <w:szCs w:val="20"/>
          <w:highlight w:val="none"/>
          <w:lang w:val="en-US" w:eastAsia="zh-CN"/>
        </w:rPr>
        <w:t>。</w:t>
      </w:r>
      <w:r>
        <w:rPr>
          <w:rFonts w:hint="eastAsia" w:cs="Times New Roman"/>
          <w:color w:val="000000"/>
          <w:kern w:val="2"/>
          <w:sz w:val="24"/>
          <w:szCs w:val="20"/>
          <w:highlight w:val="none"/>
          <w:lang w:val="en-US" w:eastAsia="zh-CN"/>
        </w:rPr>
        <w:t>”</w:t>
      </w:r>
      <w:r>
        <w:rPr>
          <w:rFonts w:hint="eastAsia" w:ascii="Times New Roman" w:hAnsi="Times New Roman" w:eastAsia="宋体" w:cs="Times New Roman"/>
          <w:color w:val="000000"/>
          <w:kern w:val="2"/>
          <w:sz w:val="24"/>
          <w:szCs w:val="20"/>
          <w:highlight w:val="none"/>
          <w:lang w:val="en-US" w:eastAsia="zh-CN"/>
        </w:rPr>
        <w:t>。</w:t>
      </w:r>
    </w:p>
    <w:p w14:paraId="44EDABE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000000"/>
          <w:kern w:val="0"/>
          <w:sz w:val="24"/>
          <w:szCs w:val="24"/>
          <w:lang w:val="en-US" w:eastAsia="zh-CN" w:bidi="ar-SA"/>
        </w:rPr>
      </w:pPr>
      <w:r>
        <w:rPr>
          <w:rFonts w:hint="eastAsia" w:cs="Times New Roman"/>
          <w:color w:val="000000"/>
          <w:kern w:val="0"/>
          <w:sz w:val="24"/>
          <w:szCs w:val="24"/>
          <w:lang w:val="en-US" w:eastAsia="zh-CN" w:bidi="ar-SA"/>
        </w:rPr>
        <w:t>本项目仅暂存废消毒剂包装材料，废消毒剂包装材料采用密封的吨桶贮存，本项目不使用含氯消毒剂，因此本项目不涉及</w:t>
      </w:r>
      <w:r>
        <w:rPr>
          <w:rFonts w:hint="default" w:ascii="Times New Roman" w:hAnsi="Times New Roman" w:eastAsia="宋体" w:cs="Times New Roman"/>
          <w:color w:val="000000"/>
          <w:kern w:val="0"/>
          <w:sz w:val="24"/>
          <w:szCs w:val="24"/>
          <w:lang w:val="en-US" w:eastAsia="zh-CN" w:bidi="ar-SA"/>
        </w:rPr>
        <w:t>粉尘、VOCs、酸雾、有毒有害大气污染物</w:t>
      </w:r>
      <w:r>
        <w:rPr>
          <w:rFonts w:hint="eastAsia" w:cs="Times New Roman"/>
          <w:color w:val="000000"/>
          <w:kern w:val="0"/>
          <w:sz w:val="24"/>
          <w:szCs w:val="24"/>
          <w:lang w:val="en-US" w:eastAsia="zh-CN" w:bidi="ar-SA"/>
        </w:rPr>
        <w:t>，本项目废消毒剂包装材料均采用密封的吨桶包装，</w:t>
      </w:r>
      <w:r>
        <w:rPr>
          <w:rFonts w:hint="eastAsia" w:cs="Times New Roman"/>
          <w:color w:val="000000"/>
          <w:kern w:val="0"/>
          <w:sz w:val="24"/>
          <w:szCs w:val="24"/>
          <w:highlight w:val="none"/>
          <w:lang w:val="en-US" w:eastAsia="zh-CN" w:bidi="ar-SA"/>
        </w:rPr>
        <w:t>危险废物贮存期间盛装容器加盖、封口，保持密闭，因此不设置</w:t>
      </w:r>
      <w:r>
        <w:rPr>
          <w:rFonts w:hint="default" w:ascii="Times New Roman" w:hAnsi="Times New Roman" w:eastAsia="宋体" w:cs="Times New Roman"/>
          <w:color w:val="000000"/>
          <w:kern w:val="0"/>
          <w:sz w:val="24"/>
          <w:szCs w:val="24"/>
          <w:lang w:val="en-US" w:eastAsia="zh-CN" w:bidi="ar-SA"/>
        </w:rPr>
        <w:t>气体收集装置和气体净化设施</w:t>
      </w:r>
      <w:r>
        <w:rPr>
          <w:rFonts w:hint="eastAsia" w:ascii="Times New Roman" w:hAnsi="Times New Roman" w:eastAsia="宋体" w:cs="Times New Roman"/>
          <w:color w:val="000000"/>
          <w:kern w:val="0"/>
          <w:sz w:val="24"/>
          <w:szCs w:val="24"/>
          <w:lang w:val="en-US" w:eastAsia="zh-CN" w:bidi="ar-SA"/>
        </w:rPr>
        <w:t>。</w:t>
      </w:r>
      <w:r>
        <w:rPr>
          <w:rFonts w:hint="eastAsia" w:cs="Times New Roman"/>
          <w:color w:val="000000"/>
          <w:kern w:val="0"/>
          <w:sz w:val="24"/>
          <w:szCs w:val="24"/>
          <w:lang w:val="en-US" w:eastAsia="zh-CN" w:bidi="ar-SA"/>
        </w:rPr>
        <w:t>废消毒剂包装材料贮存区设置围堰，围堰容积均大于1m</w:t>
      </w:r>
      <w:r>
        <w:rPr>
          <w:rFonts w:hint="eastAsia" w:cs="Times New Roman"/>
          <w:color w:val="000000"/>
          <w:kern w:val="0"/>
          <w:sz w:val="24"/>
          <w:szCs w:val="24"/>
          <w:vertAlign w:val="superscript"/>
          <w:lang w:val="en-US" w:eastAsia="zh-CN" w:bidi="ar-SA"/>
        </w:rPr>
        <w:t>3</w:t>
      </w:r>
      <w:r>
        <w:rPr>
          <w:rFonts w:hint="eastAsia" w:cs="Times New Roman"/>
          <w:color w:val="000000"/>
          <w:kern w:val="0"/>
          <w:sz w:val="24"/>
          <w:szCs w:val="24"/>
          <w:vertAlign w:val="baseline"/>
          <w:lang w:val="en-US" w:eastAsia="zh-CN" w:bidi="ar-SA"/>
        </w:rPr>
        <w:t>，能够有效容纳</w:t>
      </w:r>
      <w:r>
        <w:rPr>
          <w:rFonts w:hint="eastAsia" w:cs="Times New Roman"/>
          <w:color w:val="000000"/>
          <w:kern w:val="0"/>
          <w:sz w:val="24"/>
          <w:szCs w:val="24"/>
          <w:lang w:val="en-US" w:eastAsia="zh-CN" w:bidi="ar-SA"/>
        </w:rPr>
        <w:t>废消毒剂包装材料</w:t>
      </w:r>
      <w:r>
        <w:rPr>
          <w:rFonts w:hint="eastAsia" w:cs="Times New Roman"/>
          <w:color w:val="000000"/>
          <w:kern w:val="0"/>
          <w:sz w:val="24"/>
          <w:szCs w:val="24"/>
          <w:vertAlign w:val="baseline"/>
          <w:lang w:val="en-US" w:eastAsia="zh-CN" w:bidi="ar-SA"/>
        </w:rPr>
        <w:t>残留的少量消毒液</w:t>
      </w:r>
      <w:r>
        <w:rPr>
          <w:rFonts w:hint="eastAsia" w:cs="Times New Roman"/>
          <w:color w:val="000000"/>
          <w:kern w:val="0"/>
          <w:sz w:val="24"/>
          <w:szCs w:val="24"/>
          <w:lang w:val="en-US" w:eastAsia="zh-CN" w:bidi="ar-SA"/>
        </w:rPr>
        <w:t>。</w:t>
      </w:r>
      <w:r>
        <w:rPr>
          <w:rFonts w:hint="default" w:ascii="Times New Roman" w:hAnsi="Times New Roman" w:eastAsia="宋体" w:cs="Times New Roman"/>
          <w:color w:val="000000"/>
          <w:kern w:val="0"/>
          <w:sz w:val="24"/>
          <w:szCs w:val="24"/>
          <w:lang w:val="en-US" w:eastAsia="zh-CN" w:bidi="ar-SA"/>
        </w:rPr>
        <w:t>地面、墙面裙脚、堵截泄漏的围堰、接触危险废物的隔板和墙体等应采用坚固的材料建造，表面无裂缝。地面与裙脚应采取表面防渗措施；表面防渗材料应与所接触的物料或污染物相容，采用高密度聚乙烯膜</w:t>
      </w:r>
      <w:r>
        <w:rPr>
          <w:rFonts w:hint="eastAsia" w:cs="Times New Roman"/>
          <w:color w:val="000000"/>
          <w:kern w:val="0"/>
          <w:sz w:val="24"/>
          <w:szCs w:val="24"/>
          <w:lang w:val="en-US" w:eastAsia="zh-CN" w:bidi="ar-SA"/>
        </w:rPr>
        <w:t>防渗</w:t>
      </w:r>
      <w:r>
        <w:rPr>
          <w:rFonts w:hint="default" w:ascii="Times New Roman" w:hAnsi="Times New Roman" w:eastAsia="宋体" w:cs="Times New Roman"/>
          <w:color w:val="000000"/>
          <w:kern w:val="0"/>
          <w:sz w:val="24"/>
          <w:szCs w:val="24"/>
          <w:lang w:val="en-US" w:eastAsia="zh-CN" w:bidi="ar-SA"/>
        </w:rPr>
        <w:t>。</w:t>
      </w:r>
      <w:r>
        <w:rPr>
          <w:rFonts w:hint="default" w:ascii="Times New Roman" w:hAnsi="Times New Roman" w:cs="Times New Roman"/>
          <w:color w:val="000000"/>
          <w:kern w:val="2"/>
          <w:sz w:val="24"/>
          <w:szCs w:val="24"/>
          <w:highlight w:val="none"/>
          <w:lang w:val="en-US" w:eastAsia="zh-CN" w:bidi="ar-SA"/>
        </w:rPr>
        <w:t>贮存设计满足</w:t>
      </w:r>
      <w:r>
        <w:rPr>
          <w:rFonts w:hint="default" w:ascii="Times New Roman" w:hAnsi="Times New Roman" w:eastAsia="宋体" w:cs="Times New Roman"/>
          <w:color w:val="000000"/>
          <w:kern w:val="2"/>
          <w:sz w:val="24"/>
          <w:szCs w:val="24"/>
          <w:highlight w:val="none"/>
          <w:lang w:val="en-US" w:eastAsia="zh-CN" w:bidi="ar-SA"/>
        </w:rPr>
        <w:t>《危险废物贮存污染控制标准》（GB 18597-</w:t>
      </w:r>
      <w:r>
        <w:rPr>
          <w:rFonts w:hint="default" w:ascii="Times New Roman" w:hAnsi="Times New Roman" w:cs="Times New Roman"/>
          <w:color w:val="000000"/>
          <w:kern w:val="2"/>
          <w:sz w:val="24"/>
          <w:szCs w:val="24"/>
          <w:highlight w:val="none"/>
          <w:lang w:val="en-US" w:eastAsia="zh-CN" w:bidi="ar-SA"/>
        </w:rPr>
        <w:t>2023</w:t>
      </w:r>
      <w:r>
        <w:rPr>
          <w:rFonts w:hint="default"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cs="Times New Roman"/>
          <w:color w:val="000000"/>
          <w:kern w:val="2"/>
          <w:sz w:val="24"/>
          <w:szCs w:val="24"/>
          <w:highlight w:val="none"/>
          <w:lang w:val="en-US" w:eastAsia="zh-CN" w:bidi="ar-SA"/>
        </w:rPr>
        <w:t>以及</w:t>
      </w:r>
      <w:r>
        <w:rPr>
          <w:rFonts w:hint="default" w:ascii="Times New Roman" w:hAnsi="Times New Roman" w:eastAsia="宋体" w:cs="Times New Roman"/>
          <w:color w:val="000000"/>
          <w:kern w:val="2"/>
          <w:sz w:val="24"/>
          <w:szCs w:val="24"/>
          <w:highlight w:val="none"/>
          <w:lang w:val="en-US" w:eastAsia="zh-CN" w:bidi="ar-SA"/>
        </w:rPr>
        <w:t>《危险废物收集 贮存 运输技术规范》（HJ2025-2012）</w:t>
      </w:r>
      <w:r>
        <w:rPr>
          <w:rFonts w:hint="default" w:ascii="Times New Roman" w:hAnsi="Times New Roman" w:cs="Times New Roman"/>
          <w:color w:val="000000"/>
          <w:kern w:val="2"/>
          <w:sz w:val="24"/>
          <w:szCs w:val="24"/>
          <w:highlight w:val="none"/>
          <w:lang w:val="en-US" w:eastAsia="zh-CN" w:bidi="ar-SA"/>
        </w:rPr>
        <w:t>要求，</w:t>
      </w:r>
      <w:r>
        <w:rPr>
          <w:rFonts w:hint="default" w:ascii="Times New Roman" w:hAnsi="Times New Roman" w:eastAsia="宋体" w:cs="Times New Roman"/>
          <w:color w:val="000000"/>
          <w:kern w:val="2"/>
          <w:sz w:val="24"/>
          <w:szCs w:val="24"/>
          <w:highlight w:val="none"/>
          <w:lang w:val="en-US" w:eastAsia="zh-CN" w:bidi="ar-SA"/>
        </w:rPr>
        <w:t>委托有资质的单位</w:t>
      </w:r>
      <w:r>
        <w:rPr>
          <w:rFonts w:hint="default" w:ascii="Times New Roman" w:hAnsi="Times New Roman" w:cs="Times New Roman"/>
          <w:color w:val="000000"/>
          <w:kern w:val="2"/>
          <w:sz w:val="24"/>
          <w:szCs w:val="24"/>
          <w:highlight w:val="none"/>
          <w:lang w:val="en-US" w:eastAsia="zh-CN" w:bidi="ar-SA"/>
        </w:rPr>
        <w:t>定期运输、</w:t>
      </w:r>
      <w:r>
        <w:rPr>
          <w:rFonts w:hint="default" w:ascii="Times New Roman" w:hAnsi="Times New Roman" w:eastAsia="宋体" w:cs="Times New Roman"/>
          <w:color w:val="000000"/>
          <w:kern w:val="2"/>
          <w:sz w:val="24"/>
          <w:szCs w:val="24"/>
          <w:highlight w:val="none"/>
          <w:lang w:val="en-US" w:eastAsia="zh-CN" w:bidi="ar-SA"/>
        </w:rPr>
        <w:t>处置。</w:t>
      </w:r>
    </w:p>
    <w:p w14:paraId="5611C846">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lang w:val="en-US" w:eastAsia="zh-CN"/>
        </w:rPr>
      </w:pPr>
      <w:r>
        <w:rPr>
          <w:rFonts w:hint="eastAsia" w:cs="Times New Roman"/>
          <w:b w:val="0"/>
          <w:bCs w:val="0"/>
          <w:color w:val="000000"/>
          <w:kern w:val="2"/>
          <w:sz w:val="24"/>
          <w:szCs w:val="20"/>
          <w:highlight w:val="none"/>
          <w:lang w:val="en-US" w:eastAsia="zh-CN"/>
        </w:rPr>
        <w:t>根据《关于发布〈建设项目危险废物环境影响评价指南〉的公告》 （环境保护部公告 公告2017年第43号），工程分析中危险废物汇总表见表7.2-7。</w:t>
      </w:r>
    </w:p>
    <w:p w14:paraId="5EBE9B34">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Times New Roman" w:hAnsi="Times New Roman" w:eastAsia="宋体" w:cs="Times New Roman"/>
          <w:b/>
          <w:bCs/>
          <w:color w:val="000000"/>
          <w:kern w:val="2"/>
          <w:sz w:val="24"/>
          <w:szCs w:val="20"/>
          <w:highlight w:val="none"/>
          <w:vertAlign w:val="baseline"/>
          <w:lang w:val="en-US" w:eastAsia="zh-CN"/>
        </w:rPr>
      </w:pPr>
      <w:r>
        <w:rPr>
          <w:rFonts w:hint="eastAsia" w:ascii="Times New Roman" w:hAnsi="Times New Roman" w:eastAsia="宋体" w:cs="Times New Roman"/>
          <w:b/>
          <w:bCs/>
          <w:color w:val="000000"/>
          <w:kern w:val="2"/>
          <w:sz w:val="24"/>
          <w:szCs w:val="20"/>
          <w:highlight w:val="none"/>
          <w:vertAlign w:val="baseline"/>
          <w:lang w:val="en-US" w:eastAsia="zh-CN"/>
        </w:rPr>
        <w:t>表</w:t>
      </w:r>
      <w:r>
        <w:rPr>
          <w:rFonts w:hint="eastAsia" w:eastAsia="宋体" w:cs="Times New Roman"/>
          <w:b/>
          <w:bCs/>
          <w:color w:val="000000"/>
          <w:kern w:val="2"/>
          <w:sz w:val="24"/>
          <w:szCs w:val="20"/>
          <w:highlight w:val="none"/>
          <w:vertAlign w:val="baseline"/>
          <w:lang w:val="en-US" w:eastAsia="zh-CN"/>
        </w:rPr>
        <w:t>7.2-</w:t>
      </w:r>
      <w:r>
        <w:rPr>
          <w:rFonts w:hint="eastAsia" w:cs="Times New Roman"/>
          <w:b/>
          <w:bCs/>
          <w:color w:val="000000"/>
          <w:kern w:val="2"/>
          <w:sz w:val="24"/>
          <w:szCs w:val="20"/>
          <w:highlight w:val="none"/>
          <w:vertAlign w:val="baseline"/>
          <w:lang w:val="en-US" w:eastAsia="zh-CN"/>
        </w:rPr>
        <w:t>7</w:t>
      </w:r>
      <w:r>
        <w:rPr>
          <w:rFonts w:hint="eastAsia" w:ascii="Times New Roman" w:hAnsi="Times New Roman" w:eastAsia="宋体" w:cs="Times New Roman"/>
          <w:b/>
          <w:bCs/>
          <w:color w:val="000000"/>
          <w:kern w:val="2"/>
          <w:sz w:val="24"/>
          <w:szCs w:val="20"/>
          <w:highlight w:val="none"/>
          <w:vertAlign w:val="baseline"/>
          <w:lang w:val="en-US" w:eastAsia="zh-CN"/>
        </w:rPr>
        <w:t>工程分析中危险废物汇总表</w:t>
      </w:r>
    </w:p>
    <w:tbl>
      <w:tblPr>
        <w:tblStyle w:val="20"/>
        <w:tblW w:w="528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37"/>
        <w:gridCol w:w="583"/>
        <w:gridCol w:w="1023"/>
        <w:gridCol w:w="681"/>
        <w:gridCol w:w="845"/>
        <w:gridCol w:w="879"/>
        <w:gridCol w:w="550"/>
        <w:gridCol w:w="829"/>
        <w:gridCol w:w="1159"/>
        <w:gridCol w:w="593"/>
        <w:gridCol w:w="497"/>
        <w:gridCol w:w="846"/>
      </w:tblGrid>
      <w:tr w14:paraId="24CE5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91" w:type="pct"/>
            <w:tcBorders>
              <w:tl2br w:val="nil"/>
              <w:tr2bl w:val="nil"/>
            </w:tcBorders>
            <w:noWrap w:val="0"/>
            <w:vAlign w:val="center"/>
          </w:tcPr>
          <w:p w14:paraId="07A493BA">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ascii="Times New Roman" w:hAnsi="Times New Roman" w:eastAsia="宋体"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bidi="ar"/>
              </w:rPr>
              <w:t>序号</w:t>
            </w:r>
          </w:p>
        </w:tc>
        <w:tc>
          <w:tcPr>
            <w:tcW w:w="330" w:type="pct"/>
            <w:tcBorders>
              <w:tl2br w:val="nil"/>
              <w:tr2bl w:val="nil"/>
            </w:tcBorders>
            <w:noWrap w:val="0"/>
            <w:vAlign w:val="center"/>
          </w:tcPr>
          <w:p w14:paraId="325DB0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危险废物名称</w:t>
            </w:r>
          </w:p>
        </w:tc>
        <w:tc>
          <w:tcPr>
            <w:tcW w:w="579" w:type="pct"/>
            <w:tcBorders>
              <w:tl2br w:val="nil"/>
              <w:tr2bl w:val="nil"/>
            </w:tcBorders>
            <w:noWrap w:val="0"/>
            <w:vAlign w:val="center"/>
          </w:tcPr>
          <w:p w14:paraId="6D939FED">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危险废物类别</w:t>
            </w:r>
          </w:p>
        </w:tc>
        <w:tc>
          <w:tcPr>
            <w:tcW w:w="386" w:type="pct"/>
            <w:tcBorders>
              <w:tl2br w:val="nil"/>
              <w:tr2bl w:val="nil"/>
            </w:tcBorders>
            <w:noWrap w:val="0"/>
            <w:vAlign w:val="center"/>
          </w:tcPr>
          <w:p w14:paraId="09D903E8">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危险废物代码</w:t>
            </w:r>
          </w:p>
        </w:tc>
        <w:tc>
          <w:tcPr>
            <w:tcW w:w="478" w:type="pct"/>
            <w:tcBorders>
              <w:tl2br w:val="nil"/>
              <w:tr2bl w:val="nil"/>
            </w:tcBorders>
            <w:noWrap w:val="0"/>
            <w:vAlign w:val="center"/>
          </w:tcPr>
          <w:p w14:paraId="05916818">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产生量（吨/年）</w:t>
            </w:r>
          </w:p>
        </w:tc>
        <w:tc>
          <w:tcPr>
            <w:tcW w:w="498" w:type="pct"/>
            <w:tcBorders>
              <w:tl2br w:val="nil"/>
              <w:tr2bl w:val="nil"/>
            </w:tcBorders>
            <w:noWrap w:val="0"/>
            <w:vAlign w:val="center"/>
          </w:tcPr>
          <w:p w14:paraId="413CF825">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产生工序及装置</w:t>
            </w:r>
          </w:p>
        </w:tc>
        <w:tc>
          <w:tcPr>
            <w:tcW w:w="311" w:type="pct"/>
            <w:tcBorders>
              <w:tl2br w:val="nil"/>
              <w:tr2bl w:val="nil"/>
            </w:tcBorders>
            <w:noWrap w:val="0"/>
            <w:vAlign w:val="center"/>
          </w:tcPr>
          <w:p w14:paraId="21468D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形态</w:t>
            </w:r>
          </w:p>
        </w:tc>
        <w:tc>
          <w:tcPr>
            <w:tcW w:w="469" w:type="pct"/>
            <w:tcBorders>
              <w:tl2br w:val="nil"/>
              <w:tr2bl w:val="nil"/>
            </w:tcBorders>
            <w:noWrap w:val="0"/>
            <w:vAlign w:val="center"/>
          </w:tcPr>
          <w:p w14:paraId="2E57B977">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主要</w:t>
            </w:r>
          </w:p>
          <w:p w14:paraId="3BAA610C">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成分</w:t>
            </w:r>
          </w:p>
        </w:tc>
        <w:tc>
          <w:tcPr>
            <w:tcW w:w="656" w:type="pct"/>
            <w:tcBorders>
              <w:tl2br w:val="nil"/>
              <w:tr2bl w:val="nil"/>
            </w:tcBorders>
            <w:noWrap w:val="0"/>
            <w:vAlign w:val="center"/>
          </w:tcPr>
          <w:p w14:paraId="06E5E86B">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有害成分</w:t>
            </w:r>
          </w:p>
        </w:tc>
        <w:tc>
          <w:tcPr>
            <w:tcW w:w="336" w:type="pct"/>
            <w:tcBorders>
              <w:tl2br w:val="nil"/>
              <w:tr2bl w:val="nil"/>
            </w:tcBorders>
            <w:noWrap w:val="0"/>
            <w:vAlign w:val="center"/>
          </w:tcPr>
          <w:p w14:paraId="599C7FA2">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产废周期</w:t>
            </w:r>
          </w:p>
        </w:tc>
        <w:tc>
          <w:tcPr>
            <w:tcW w:w="281" w:type="pct"/>
            <w:tcBorders>
              <w:tl2br w:val="nil"/>
              <w:tr2bl w:val="nil"/>
            </w:tcBorders>
            <w:noWrap w:val="0"/>
            <w:vAlign w:val="center"/>
          </w:tcPr>
          <w:p w14:paraId="5CA2C249">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危险特性</w:t>
            </w:r>
          </w:p>
        </w:tc>
        <w:tc>
          <w:tcPr>
            <w:tcW w:w="479" w:type="pct"/>
            <w:tcBorders>
              <w:tl2br w:val="nil"/>
              <w:tr2bl w:val="nil"/>
            </w:tcBorders>
            <w:noWrap w:val="0"/>
            <w:vAlign w:val="center"/>
          </w:tcPr>
          <w:p w14:paraId="21CC81E6">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污染</w:t>
            </w:r>
          </w:p>
          <w:p w14:paraId="429B95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防治</w:t>
            </w:r>
          </w:p>
          <w:p w14:paraId="643C7D1B">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措施</w:t>
            </w:r>
          </w:p>
        </w:tc>
      </w:tr>
      <w:tr w14:paraId="03F31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4" w:hRule="atLeast"/>
          <w:jc w:val="center"/>
        </w:trPr>
        <w:tc>
          <w:tcPr>
            <w:tcW w:w="191" w:type="pct"/>
            <w:tcBorders>
              <w:tl2br w:val="nil"/>
              <w:tr2bl w:val="nil"/>
            </w:tcBorders>
            <w:noWrap w:val="0"/>
            <w:vAlign w:val="center"/>
          </w:tcPr>
          <w:p w14:paraId="4403D45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p>
        </w:tc>
        <w:tc>
          <w:tcPr>
            <w:tcW w:w="330" w:type="pct"/>
            <w:tcBorders>
              <w:tl2br w:val="nil"/>
              <w:tr2bl w:val="nil"/>
            </w:tcBorders>
            <w:noWrap w:val="0"/>
            <w:vAlign w:val="center"/>
          </w:tcPr>
          <w:p w14:paraId="6C9C567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废消毒剂包装材料</w:t>
            </w:r>
          </w:p>
        </w:tc>
        <w:tc>
          <w:tcPr>
            <w:tcW w:w="579" w:type="pct"/>
            <w:tcBorders>
              <w:tl2br w:val="nil"/>
              <w:tr2bl w:val="nil"/>
            </w:tcBorders>
            <w:noWrap w:val="0"/>
            <w:vAlign w:val="center"/>
          </w:tcPr>
          <w:p w14:paraId="15762528">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危险废物/HW49</w:t>
            </w:r>
          </w:p>
        </w:tc>
        <w:tc>
          <w:tcPr>
            <w:tcW w:w="386" w:type="pct"/>
            <w:tcBorders>
              <w:tl2br w:val="nil"/>
              <w:tr2bl w:val="nil"/>
            </w:tcBorders>
            <w:shd w:val="clear" w:color="auto" w:fill="auto"/>
            <w:noWrap w:val="0"/>
            <w:vAlign w:val="center"/>
          </w:tcPr>
          <w:p w14:paraId="4C1B222A">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900-041-49</w:t>
            </w:r>
          </w:p>
        </w:tc>
        <w:tc>
          <w:tcPr>
            <w:tcW w:w="478" w:type="pct"/>
            <w:tcBorders>
              <w:tl2br w:val="nil"/>
              <w:tr2bl w:val="nil"/>
            </w:tcBorders>
            <w:noWrap w:val="0"/>
            <w:vAlign w:val="center"/>
          </w:tcPr>
          <w:p w14:paraId="08693577">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0.09</w:t>
            </w:r>
          </w:p>
        </w:tc>
        <w:tc>
          <w:tcPr>
            <w:tcW w:w="498" w:type="pct"/>
            <w:tcBorders>
              <w:tl2br w:val="nil"/>
              <w:tr2bl w:val="nil"/>
            </w:tcBorders>
            <w:noWrap w:val="0"/>
            <w:vAlign w:val="center"/>
          </w:tcPr>
          <w:p w14:paraId="2513252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消毒室</w:t>
            </w:r>
          </w:p>
        </w:tc>
        <w:tc>
          <w:tcPr>
            <w:tcW w:w="311" w:type="pct"/>
            <w:tcBorders>
              <w:tl2br w:val="nil"/>
              <w:tr2bl w:val="nil"/>
            </w:tcBorders>
            <w:noWrap w:val="0"/>
            <w:vAlign w:val="center"/>
          </w:tcPr>
          <w:p w14:paraId="5C5AD64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固态</w:t>
            </w:r>
          </w:p>
        </w:tc>
        <w:tc>
          <w:tcPr>
            <w:tcW w:w="469" w:type="pct"/>
            <w:tcBorders>
              <w:tl2br w:val="nil"/>
              <w:tr2bl w:val="nil"/>
            </w:tcBorders>
            <w:noWrap w:val="0"/>
            <w:vAlign w:val="center"/>
          </w:tcPr>
          <w:p w14:paraId="2751B33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塑料</w:t>
            </w:r>
            <w:r>
              <w:rPr>
                <w:rFonts w:hint="eastAsia" w:ascii="Times New Roman" w:hAnsi="Times New Roman" w:eastAsia="宋体" w:cs="Times New Roman"/>
                <w:color w:val="000000"/>
                <w:kern w:val="0"/>
                <w:sz w:val="21"/>
                <w:szCs w:val="21"/>
                <w:highlight w:val="none"/>
                <w:lang w:val="en-US" w:eastAsia="zh-CN" w:bidi="ar"/>
              </w:rPr>
              <w:t>包装</w:t>
            </w:r>
            <w:r>
              <w:rPr>
                <w:rFonts w:hint="default" w:ascii="Times New Roman" w:hAnsi="Times New Roman" w:eastAsia="宋体" w:cs="Times New Roman"/>
                <w:color w:val="000000"/>
                <w:kern w:val="0"/>
                <w:sz w:val="21"/>
                <w:szCs w:val="21"/>
                <w:highlight w:val="none"/>
                <w:lang w:val="en-US" w:eastAsia="zh-CN" w:bidi="ar"/>
              </w:rPr>
              <w:t>（PE）、少量残留消毒剂</w:t>
            </w:r>
            <w:r>
              <w:rPr>
                <w:rFonts w:hint="eastAsia" w:ascii="Times New Roman" w:hAnsi="Times New Roman" w:eastAsia="宋体" w:cs="Times New Roman"/>
                <w:color w:val="000000"/>
                <w:kern w:val="0"/>
                <w:sz w:val="21"/>
                <w:szCs w:val="21"/>
                <w:highlight w:val="none"/>
                <w:lang w:val="en-US" w:eastAsia="zh-CN" w:bidi="ar"/>
              </w:rPr>
              <w:t>（戊二醛、新洁尔灭、</w:t>
            </w:r>
            <w:r>
              <w:rPr>
                <w:rFonts w:hint="eastAsia" w:cs="Times New Roman"/>
                <w:color w:val="000000"/>
                <w:kern w:val="0"/>
                <w:sz w:val="21"/>
                <w:szCs w:val="21"/>
                <w:highlight w:val="none"/>
                <w:lang w:val="en-US" w:eastAsia="zh-CN" w:bidi="ar"/>
              </w:rPr>
              <w:t>生石灰</w:t>
            </w:r>
            <w:r>
              <w:rPr>
                <w:rFonts w:hint="eastAsia" w:ascii="Times New Roman" w:hAnsi="Times New Roman" w:eastAsia="宋体" w:cs="Times New Roman"/>
                <w:color w:val="000000"/>
                <w:kern w:val="0"/>
                <w:sz w:val="21"/>
                <w:szCs w:val="21"/>
                <w:highlight w:val="none"/>
                <w:lang w:val="en-US" w:eastAsia="zh-CN" w:bidi="ar"/>
              </w:rPr>
              <w:t>等）</w:t>
            </w:r>
          </w:p>
        </w:tc>
        <w:tc>
          <w:tcPr>
            <w:tcW w:w="656" w:type="pct"/>
            <w:tcBorders>
              <w:tl2br w:val="nil"/>
              <w:tr2bl w:val="nil"/>
            </w:tcBorders>
            <w:noWrap w:val="0"/>
            <w:vAlign w:val="center"/>
          </w:tcPr>
          <w:p w14:paraId="1327105C">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戊二醛（具有毒性、腐蚀性、致敏性，挥发气体刺激呼吸道，渗漏污染水体）</w:t>
            </w:r>
            <w:r>
              <w:rPr>
                <w:rFonts w:hint="eastAsia" w:cs="Times New Roman"/>
                <w:color w:val="000000"/>
                <w:kern w:val="0"/>
                <w:sz w:val="21"/>
                <w:szCs w:val="21"/>
                <w:highlight w:val="none"/>
                <w:lang w:val="en-US" w:eastAsia="zh-CN" w:bidi="ar"/>
              </w:rPr>
              <w:t>、氧化钙（强碱具刺激和腐蚀性）</w:t>
            </w:r>
          </w:p>
        </w:tc>
        <w:tc>
          <w:tcPr>
            <w:tcW w:w="336" w:type="pct"/>
            <w:tcBorders>
              <w:tl2br w:val="nil"/>
              <w:tr2bl w:val="nil"/>
            </w:tcBorders>
            <w:noWrap w:val="0"/>
            <w:vAlign w:val="center"/>
          </w:tcPr>
          <w:p w14:paraId="4DCE943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全年连续间歇性产生</w:t>
            </w:r>
          </w:p>
        </w:tc>
        <w:tc>
          <w:tcPr>
            <w:tcW w:w="281" w:type="pct"/>
            <w:tcBorders>
              <w:tl2br w:val="nil"/>
              <w:tr2bl w:val="nil"/>
            </w:tcBorders>
            <w:noWrap w:val="0"/>
            <w:vAlign w:val="center"/>
          </w:tcPr>
          <w:p w14:paraId="4BE6BF2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T/In</w:t>
            </w:r>
          </w:p>
        </w:tc>
        <w:tc>
          <w:tcPr>
            <w:tcW w:w="479" w:type="pct"/>
            <w:tcBorders>
              <w:tl2br w:val="nil"/>
              <w:tr2bl w:val="nil"/>
            </w:tcBorders>
            <w:noWrap w:val="0"/>
            <w:vAlign w:val="center"/>
          </w:tcPr>
          <w:p w14:paraId="2CAD554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危险废物贮存库暂存，不同消毒剂包装袋分类贮存于封闭式吨桶内，委托有资质单位定期运输处置</w:t>
            </w:r>
          </w:p>
        </w:tc>
      </w:tr>
    </w:tbl>
    <w:p w14:paraId="759DA345">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b w:val="0"/>
          <w:bCs w:val="0"/>
          <w:color w:val="000000"/>
          <w:kern w:val="2"/>
          <w:sz w:val="24"/>
          <w:szCs w:val="20"/>
          <w:highlight w:val="none"/>
          <w:lang w:val="en-US" w:eastAsia="zh-CN"/>
        </w:rPr>
      </w:pPr>
      <w:r>
        <w:rPr>
          <w:rFonts w:hint="eastAsia" w:cs="Times New Roman"/>
          <w:b w:val="0"/>
          <w:bCs w:val="0"/>
          <w:color w:val="000000"/>
          <w:kern w:val="2"/>
          <w:sz w:val="24"/>
          <w:szCs w:val="20"/>
          <w:highlight w:val="none"/>
          <w:lang w:val="en-US" w:eastAsia="zh-CN"/>
        </w:rPr>
        <w:t>本项目危险废物贮存场所（设施）的名称、位置、占地面积、贮存方式、贮存容积、贮存周期等列表见表7.2-8。</w:t>
      </w:r>
    </w:p>
    <w:p w14:paraId="702A5E3E">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Times New Roman" w:hAnsi="Times New Roman" w:eastAsia="宋体" w:cs="Times New Roman"/>
          <w:b/>
          <w:bCs/>
          <w:color w:val="000000"/>
          <w:kern w:val="2"/>
          <w:sz w:val="24"/>
          <w:szCs w:val="20"/>
          <w:highlight w:val="none"/>
          <w:vertAlign w:val="baseline"/>
          <w:lang w:val="en-US" w:eastAsia="zh-CN"/>
        </w:rPr>
      </w:pPr>
      <w:r>
        <w:rPr>
          <w:rFonts w:hint="eastAsia" w:ascii="Times New Roman" w:hAnsi="Times New Roman" w:eastAsia="宋体" w:cs="Times New Roman"/>
          <w:b/>
          <w:bCs/>
          <w:color w:val="000000"/>
          <w:kern w:val="2"/>
          <w:sz w:val="24"/>
          <w:szCs w:val="20"/>
          <w:highlight w:val="none"/>
          <w:vertAlign w:val="baseline"/>
          <w:lang w:val="en-US" w:eastAsia="zh-CN"/>
        </w:rPr>
        <w:t>表</w:t>
      </w:r>
      <w:r>
        <w:rPr>
          <w:rFonts w:hint="eastAsia" w:eastAsia="宋体" w:cs="Times New Roman"/>
          <w:b/>
          <w:bCs/>
          <w:color w:val="000000"/>
          <w:kern w:val="2"/>
          <w:sz w:val="24"/>
          <w:szCs w:val="20"/>
          <w:highlight w:val="none"/>
          <w:vertAlign w:val="baseline"/>
          <w:lang w:val="en-US" w:eastAsia="zh-CN"/>
        </w:rPr>
        <w:t>7.2-</w:t>
      </w:r>
      <w:r>
        <w:rPr>
          <w:rFonts w:hint="eastAsia" w:cs="Times New Roman"/>
          <w:b/>
          <w:bCs/>
          <w:color w:val="000000"/>
          <w:kern w:val="2"/>
          <w:sz w:val="24"/>
          <w:szCs w:val="20"/>
          <w:highlight w:val="none"/>
          <w:vertAlign w:val="baseline"/>
          <w:lang w:val="en-US" w:eastAsia="zh-CN"/>
        </w:rPr>
        <w:t>8</w:t>
      </w:r>
      <w:r>
        <w:rPr>
          <w:rFonts w:hint="eastAsia" w:ascii="Times New Roman" w:hAnsi="Times New Roman" w:eastAsia="宋体" w:cs="Times New Roman"/>
          <w:b/>
          <w:bCs/>
          <w:color w:val="000000"/>
          <w:kern w:val="2"/>
          <w:sz w:val="24"/>
          <w:szCs w:val="20"/>
          <w:highlight w:val="none"/>
          <w:vertAlign w:val="baseline"/>
          <w:lang w:val="en-US" w:eastAsia="zh-CN"/>
        </w:rPr>
        <w:t>建设项目危险废物贮存场所（设施）基本情况表</w:t>
      </w:r>
    </w:p>
    <w:tbl>
      <w:tblPr>
        <w:tblStyle w:val="20"/>
        <w:tblW w:w="508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91"/>
        <w:gridCol w:w="668"/>
        <w:gridCol w:w="671"/>
        <w:gridCol w:w="1172"/>
        <w:gridCol w:w="1172"/>
        <w:gridCol w:w="1074"/>
        <w:gridCol w:w="987"/>
        <w:gridCol w:w="749"/>
        <w:gridCol w:w="828"/>
        <w:gridCol w:w="771"/>
      </w:tblGrid>
      <w:tr w14:paraId="1A285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30" w:type="pct"/>
            <w:tcBorders>
              <w:tl2br w:val="nil"/>
              <w:tr2bl w:val="nil"/>
            </w:tcBorders>
            <w:noWrap w:val="0"/>
            <w:vAlign w:val="center"/>
          </w:tcPr>
          <w:p w14:paraId="032C9254">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ascii="Times New Roman" w:hAnsi="Times New Roman" w:eastAsia="宋体"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bidi="ar"/>
              </w:rPr>
              <w:t>序号</w:t>
            </w:r>
          </w:p>
        </w:tc>
        <w:tc>
          <w:tcPr>
            <w:tcW w:w="393" w:type="pct"/>
            <w:tcBorders>
              <w:tl2br w:val="nil"/>
              <w:tr2bl w:val="nil"/>
            </w:tcBorders>
            <w:noWrap w:val="0"/>
            <w:vAlign w:val="center"/>
          </w:tcPr>
          <w:p w14:paraId="19B4ECC0">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贮存场所</w:t>
            </w:r>
          </w:p>
          <w:p w14:paraId="5D68F2FD">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 xml:space="preserve">（设施） </w:t>
            </w:r>
          </w:p>
          <w:p w14:paraId="77EFC6F3">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名称</w:t>
            </w:r>
          </w:p>
        </w:tc>
        <w:tc>
          <w:tcPr>
            <w:tcW w:w="395" w:type="pct"/>
            <w:tcBorders>
              <w:tl2br w:val="nil"/>
              <w:tr2bl w:val="nil"/>
            </w:tcBorders>
            <w:noWrap w:val="0"/>
            <w:vAlign w:val="center"/>
          </w:tcPr>
          <w:p w14:paraId="6C90592F">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危险废物名称</w:t>
            </w:r>
          </w:p>
        </w:tc>
        <w:tc>
          <w:tcPr>
            <w:tcW w:w="690" w:type="pct"/>
            <w:tcBorders>
              <w:tl2br w:val="nil"/>
              <w:tr2bl w:val="nil"/>
            </w:tcBorders>
            <w:noWrap w:val="0"/>
            <w:vAlign w:val="center"/>
          </w:tcPr>
          <w:p w14:paraId="46C6AFA3">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危险废物类别</w:t>
            </w:r>
          </w:p>
        </w:tc>
        <w:tc>
          <w:tcPr>
            <w:tcW w:w="690" w:type="pct"/>
            <w:tcBorders>
              <w:tl2br w:val="nil"/>
              <w:tr2bl w:val="nil"/>
            </w:tcBorders>
            <w:noWrap w:val="0"/>
            <w:vAlign w:val="center"/>
          </w:tcPr>
          <w:p w14:paraId="7711F3A7">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危险废物代码</w:t>
            </w:r>
          </w:p>
        </w:tc>
        <w:tc>
          <w:tcPr>
            <w:tcW w:w="632" w:type="pct"/>
            <w:tcBorders>
              <w:tl2br w:val="nil"/>
              <w:tr2bl w:val="nil"/>
            </w:tcBorders>
            <w:noWrap w:val="0"/>
            <w:vAlign w:val="center"/>
          </w:tcPr>
          <w:p w14:paraId="7DA0B2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位置</w:t>
            </w:r>
          </w:p>
        </w:tc>
        <w:tc>
          <w:tcPr>
            <w:tcW w:w="581" w:type="pct"/>
            <w:tcBorders>
              <w:tl2br w:val="nil"/>
              <w:tr2bl w:val="nil"/>
            </w:tcBorders>
            <w:noWrap w:val="0"/>
            <w:vAlign w:val="center"/>
          </w:tcPr>
          <w:p w14:paraId="14E63C43">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占地面积</w:t>
            </w:r>
          </w:p>
        </w:tc>
        <w:tc>
          <w:tcPr>
            <w:tcW w:w="441" w:type="pct"/>
            <w:tcBorders>
              <w:tl2br w:val="nil"/>
              <w:tr2bl w:val="nil"/>
            </w:tcBorders>
            <w:noWrap w:val="0"/>
            <w:vAlign w:val="center"/>
          </w:tcPr>
          <w:p w14:paraId="270ACE6F">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贮存方式</w:t>
            </w:r>
          </w:p>
        </w:tc>
        <w:tc>
          <w:tcPr>
            <w:tcW w:w="487" w:type="pct"/>
            <w:tcBorders>
              <w:tl2br w:val="nil"/>
              <w:tr2bl w:val="nil"/>
            </w:tcBorders>
            <w:noWrap w:val="0"/>
            <w:vAlign w:val="center"/>
          </w:tcPr>
          <w:p w14:paraId="140510A6">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贮存能力</w:t>
            </w:r>
          </w:p>
        </w:tc>
        <w:tc>
          <w:tcPr>
            <w:tcW w:w="454" w:type="pct"/>
            <w:tcBorders>
              <w:tl2br w:val="nil"/>
              <w:tr2bl w:val="nil"/>
            </w:tcBorders>
            <w:noWrap w:val="0"/>
            <w:vAlign w:val="center"/>
          </w:tcPr>
          <w:p w14:paraId="530224DC">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贮存周期</w:t>
            </w:r>
          </w:p>
        </w:tc>
      </w:tr>
      <w:tr w14:paraId="00FDDA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4" w:hRule="atLeast"/>
          <w:jc w:val="center"/>
        </w:trPr>
        <w:tc>
          <w:tcPr>
            <w:tcW w:w="230" w:type="pct"/>
            <w:tcBorders>
              <w:tl2br w:val="nil"/>
              <w:tr2bl w:val="nil"/>
            </w:tcBorders>
            <w:noWrap w:val="0"/>
            <w:vAlign w:val="center"/>
          </w:tcPr>
          <w:p w14:paraId="73B0CA6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p>
        </w:tc>
        <w:tc>
          <w:tcPr>
            <w:tcW w:w="393" w:type="pct"/>
            <w:tcBorders>
              <w:tl2br w:val="nil"/>
              <w:tr2bl w:val="nil"/>
            </w:tcBorders>
            <w:noWrap w:val="0"/>
            <w:vAlign w:val="center"/>
          </w:tcPr>
          <w:p w14:paraId="1211E9F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危险废物贮存点</w:t>
            </w:r>
          </w:p>
        </w:tc>
        <w:tc>
          <w:tcPr>
            <w:tcW w:w="395" w:type="pct"/>
            <w:tcBorders>
              <w:tl2br w:val="nil"/>
              <w:tr2bl w:val="nil"/>
            </w:tcBorders>
            <w:noWrap w:val="0"/>
            <w:vAlign w:val="center"/>
          </w:tcPr>
          <w:p w14:paraId="7FED6D6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废消毒剂包装材料</w:t>
            </w:r>
          </w:p>
        </w:tc>
        <w:tc>
          <w:tcPr>
            <w:tcW w:w="690" w:type="pct"/>
            <w:tcBorders>
              <w:tl2br w:val="nil"/>
              <w:tr2bl w:val="nil"/>
            </w:tcBorders>
            <w:noWrap w:val="0"/>
            <w:vAlign w:val="center"/>
          </w:tcPr>
          <w:p w14:paraId="6FE79DD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危险废物/HW</w:t>
            </w:r>
            <w:r>
              <w:rPr>
                <w:rFonts w:hint="eastAsia" w:eastAsia="宋体" w:cs="Times New Roman"/>
                <w:color w:val="000000"/>
                <w:kern w:val="0"/>
                <w:sz w:val="21"/>
                <w:szCs w:val="21"/>
                <w:highlight w:val="none"/>
                <w:lang w:val="en-US" w:eastAsia="zh-CN" w:bidi="ar"/>
              </w:rPr>
              <w:t>49</w:t>
            </w:r>
          </w:p>
        </w:tc>
        <w:tc>
          <w:tcPr>
            <w:tcW w:w="690" w:type="pct"/>
            <w:tcBorders>
              <w:tl2br w:val="nil"/>
              <w:tr2bl w:val="nil"/>
            </w:tcBorders>
            <w:noWrap w:val="0"/>
            <w:vAlign w:val="center"/>
          </w:tcPr>
          <w:p w14:paraId="3493B69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900-041-49</w:t>
            </w:r>
          </w:p>
        </w:tc>
        <w:tc>
          <w:tcPr>
            <w:tcW w:w="632" w:type="pct"/>
            <w:tcBorders>
              <w:tl2br w:val="nil"/>
              <w:tr2bl w:val="nil"/>
            </w:tcBorders>
            <w:noWrap w:val="0"/>
            <w:vAlign w:val="center"/>
          </w:tcPr>
          <w:p w14:paraId="0014D0D8">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危险废物贮存点</w:t>
            </w:r>
            <w:r>
              <w:rPr>
                <w:rFonts w:hint="eastAsia" w:eastAsia="宋体" w:cs="Times New Roman"/>
                <w:color w:val="000000"/>
                <w:kern w:val="0"/>
                <w:sz w:val="21"/>
                <w:szCs w:val="21"/>
                <w:highlight w:val="none"/>
                <w:lang w:val="en-US" w:eastAsia="zh-CN" w:bidi="ar"/>
              </w:rPr>
              <w:t>中部</w:t>
            </w:r>
          </w:p>
        </w:tc>
        <w:tc>
          <w:tcPr>
            <w:tcW w:w="581" w:type="pct"/>
            <w:tcBorders>
              <w:tl2br w:val="nil"/>
              <w:tr2bl w:val="nil"/>
            </w:tcBorders>
            <w:noWrap w:val="0"/>
            <w:vAlign w:val="center"/>
          </w:tcPr>
          <w:p w14:paraId="0F8D64C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8</w:t>
            </w:r>
            <w:r>
              <w:rPr>
                <w:rFonts w:hint="eastAsia" w:ascii="Times New Roman" w:hAnsi="Times New Roman" w:eastAsia="宋体" w:cs="Times New Roman"/>
                <w:color w:val="000000"/>
                <w:kern w:val="0"/>
                <w:sz w:val="21"/>
                <w:szCs w:val="21"/>
                <w:highlight w:val="none"/>
                <w:lang w:val="en-US" w:eastAsia="zh-CN" w:bidi="ar"/>
              </w:rPr>
              <w:t>m</w:t>
            </w:r>
            <w:r>
              <w:rPr>
                <w:rFonts w:hint="eastAsia" w:ascii="Times New Roman" w:hAnsi="Times New Roman" w:eastAsia="宋体" w:cs="Times New Roman"/>
                <w:color w:val="000000"/>
                <w:kern w:val="0"/>
                <w:sz w:val="21"/>
                <w:szCs w:val="21"/>
                <w:highlight w:val="none"/>
                <w:vertAlign w:val="superscript"/>
                <w:lang w:val="en-US" w:eastAsia="zh-CN" w:bidi="ar"/>
              </w:rPr>
              <w:t>2</w:t>
            </w:r>
          </w:p>
        </w:tc>
        <w:tc>
          <w:tcPr>
            <w:tcW w:w="441" w:type="pct"/>
            <w:tcBorders>
              <w:tl2br w:val="nil"/>
              <w:tr2bl w:val="nil"/>
            </w:tcBorders>
            <w:noWrap w:val="0"/>
            <w:vAlign w:val="center"/>
          </w:tcPr>
          <w:p w14:paraId="487E97E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桶装</w:t>
            </w:r>
          </w:p>
        </w:tc>
        <w:tc>
          <w:tcPr>
            <w:tcW w:w="487" w:type="pct"/>
            <w:tcBorders>
              <w:tl2br w:val="nil"/>
              <w:tr2bl w:val="nil"/>
            </w:tcBorders>
            <w:noWrap w:val="0"/>
            <w:vAlign w:val="center"/>
          </w:tcPr>
          <w:p w14:paraId="0F8C6668">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4</w:t>
            </w:r>
            <w:r>
              <w:rPr>
                <w:rFonts w:hint="eastAsia" w:ascii="Times New Roman" w:hAnsi="Times New Roman" w:eastAsia="宋体" w:cs="Times New Roman"/>
                <w:color w:val="000000"/>
                <w:kern w:val="0"/>
                <w:sz w:val="21"/>
                <w:szCs w:val="21"/>
                <w:highlight w:val="none"/>
                <w:lang w:val="en-US" w:eastAsia="zh-CN" w:bidi="ar"/>
              </w:rPr>
              <w:t>个</w:t>
            </w:r>
            <w:r>
              <w:rPr>
                <w:rFonts w:hint="eastAsia" w:eastAsia="宋体" w:cs="Times New Roman"/>
                <w:color w:val="000000"/>
                <w:kern w:val="0"/>
                <w:sz w:val="21"/>
                <w:szCs w:val="21"/>
                <w:highlight w:val="none"/>
                <w:lang w:val="en-US" w:eastAsia="zh-CN" w:bidi="ar"/>
              </w:rPr>
              <w:t>吨</w:t>
            </w:r>
            <w:r>
              <w:rPr>
                <w:rFonts w:hint="eastAsia" w:ascii="Times New Roman" w:hAnsi="Times New Roman" w:eastAsia="宋体" w:cs="Times New Roman"/>
                <w:color w:val="000000"/>
                <w:kern w:val="0"/>
                <w:sz w:val="21"/>
                <w:szCs w:val="21"/>
                <w:highlight w:val="none"/>
                <w:lang w:val="en-US" w:eastAsia="zh-CN" w:bidi="ar"/>
              </w:rPr>
              <w:t>桶</w:t>
            </w:r>
          </w:p>
        </w:tc>
        <w:tc>
          <w:tcPr>
            <w:tcW w:w="454" w:type="pct"/>
            <w:tcBorders>
              <w:tl2br w:val="nil"/>
              <w:tr2bl w:val="nil"/>
            </w:tcBorders>
            <w:noWrap w:val="0"/>
            <w:vAlign w:val="center"/>
          </w:tcPr>
          <w:p w14:paraId="52F7655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9</w:t>
            </w:r>
            <w:r>
              <w:rPr>
                <w:rFonts w:hint="eastAsia" w:ascii="Times New Roman" w:hAnsi="Times New Roman" w:eastAsia="宋体" w:cs="Times New Roman"/>
                <w:color w:val="auto"/>
                <w:kern w:val="0"/>
                <w:sz w:val="21"/>
                <w:szCs w:val="21"/>
                <w:highlight w:val="none"/>
                <w:lang w:val="en-US" w:eastAsia="zh-CN" w:bidi="ar"/>
              </w:rPr>
              <w:t>个月</w:t>
            </w:r>
          </w:p>
        </w:tc>
      </w:tr>
    </w:tbl>
    <w:p w14:paraId="162CC7C5">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本项目危险废物在收集</w:t>
      </w:r>
      <w:r>
        <w:rPr>
          <w:rFonts w:hint="eastAsia" w:ascii="Times New Roman" w:hAnsi="Times New Roman" w:cs="Times New Roman"/>
          <w:color w:val="000000"/>
          <w:kern w:val="2"/>
          <w:sz w:val="24"/>
          <w:szCs w:val="24"/>
          <w:highlight w:val="none"/>
          <w:lang w:val="en-US" w:eastAsia="zh-CN" w:bidi="ar-SA"/>
        </w:rPr>
        <w:t>、贮存</w:t>
      </w:r>
      <w:r>
        <w:rPr>
          <w:rFonts w:hint="default" w:ascii="Times New Roman" w:hAnsi="Times New Roman" w:eastAsia="宋体" w:cs="Times New Roman"/>
          <w:color w:val="000000"/>
          <w:kern w:val="2"/>
          <w:sz w:val="24"/>
          <w:szCs w:val="24"/>
          <w:highlight w:val="none"/>
          <w:lang w:val="en-US" w:eastAsia="zh-CN" w:bidi="ar-SA"/>
        </w:rPr>
        <w:t>、转运时需满足以下要求：</w:t>
      </w:r>
    </w:p>
    <w:p w14:paraId="1F8E8C50">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①危险废物的收集 </w:t>
      </w:r>
    </w:p>
    <w:p w14:paraId="4CE9475E">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a.危险废物产生单位进行的危险废物收集包括两个方面，一是在危险废物产生节点将危险废物集中到适当的包装容器中或运输车辆上的活动；二是将已包装或装到运输车辆上的危险废物集中到危险废物产生单位内部临时贮存设施的内部转运。 </w:t>
      </w:r>
    </w:p>
    <w:p w14:paraId="0DB186AC">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b.危险废物的收集应根据危险废物产生的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 </w:t>
      </w:r>
    </w:p>
    <w:p w14:paraId="721A0BE6">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c.危险废物的收集应制定详细的操作规程，内容至少应包括适用范围、操作程序和方法、专用设备和工具、转移和交接、安全保障和应急防护等。 </w:t>
      </w:r>
    </w:p>
    <w:p w14:paraId="26EBFA5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d.危险废物收集和转运作业人员应根据工作需要配备必要的个人防护装备，如手套、防护镜、防护服、防毒面具或口罩等。 </w:t>
      </w:r>
    </w:p>
    <w:p w14:paraId="51A459AC">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e.在危险废物的收集和转运过程中，应采取相应的安全防护和污染防治措施，包括防爆、防火、防中毒、防感染、防</w:t>
      </w:r>
      <w:r>
        <w:rPr>
          <w:rFonts w:hint="eastAsia" w:ascii="Times New Roman" w:hAnsi="Times New Roman" w:eastAsia="宋体" w:cs="Times New Roman"/>
          <w:color w:val="auto"/>
          <w:kern w:val="0"/>
          <w:sz w:val="24"/>
          <w:szCs w:val="24"/>
          <w:lang w:val="en-US" w:eastAsia="zh-CN" w:bidi="ar-SA"/>
        </w:rPr>
        <w:t>泄漏</w:t>
      </w:r>
      <w:r>
        <w:rPr>
          <w:rFonts w:hint="default" w:ascii="Times New Roman" w:hAnsi="Times New Roman" w:eastAsia="宋体" w:cs="Times New Roman"/>
          <w:color w:val="auto"/>
          <w:kern w:val="0"/>
          <w:sz w:val="24"/>
          <w:szCs w:val="24"/>
          <w:lang w:val="en-US" w:eastAsia="zh-CN" w:bidi="ar-SA"/>
        </w:rPr>
        <w:t>、防飞扬、防雨或</w:t>
      </w:r>
      <w:r>
        <w:rPr>
          <w:rFonts w:hint="eastAsia" w:ascii="Times New Roman" w:hAnsi="Times New Roman" w:eastAsia="宋体" w:cs="Times New Roman"/>
          <w:color w:val="auto"/>
          <w:kern w:val="0"/>
          <w:sz w:val="24"/>
          <w:szCs w:val="24"/>
          <w:lang w:val="en-US" w:eastAsia="zh-CN" w:bidi="ar-SA"/>
        </w:rPr>
        <w:t>其他</w:t>
      </w:r>
      <w:r>
        <w:rPr>
          <w:rFonts w:hint="default" w:ascii="Times New Roman" w:hAnsi="Times New Roman" w:eastAsia="宋体" w:cs="Times New Roman"/>
          <w:color w:val="auto"/>
          <w:kern w:val="0"/>
          <w:sz w:val="24"/>
          <w:szCs w:val="24"/>
          <w:lang w:val="en-US" w:eastAsia="zh-CN" w:bidi="ar-SA"/>
        </w:rPr>
        <w:t xml:space="preserve">防止污染环境的措施。 </w:t>
      </w:r>
    </w:p>
    <w:p w14:paraId="2A752718">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f.危险废物收集时应根据危险废物的种类、数量、危险特性、物理形态、运输要求等因素确定包装形式，具体包装应符合如下要求： </w:t>
      </w:r>
    </w:p>
    <w:p w14:paraId="23D3F062">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1</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 xml:space="preserve">包装材质要与危险废物相容，可根据废物特性选择钢、铝、塑料等材质。 </w:t>
      </w:r>
    </w:p>
    <w:p w14:paraId="00BD96AF">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2</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 xml:space="preserve">性质类似的废物可收集到同一容器中，性质不相容的危险废物不应混合包装。 </w:t>
      </w:r>
    </w:p>
    <w:p w14:paraId="43FD4E9B">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3</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 xml:space="preserve">危险废物包装应能有效隔断危险废物迁移扩散途径，并达到防渗、防漏要求。 </w:t>
      </w:r>
    </w:p>
    <w:p w14:paraId="64432104">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4</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包装好的危险废物应设置相应的标签，标签信息应填写完整</w:t>
      </w:r>
      <w:r>
        <w:rPr>
          <w:rFonts w:hint="eastAsia" w:ascii="Times New Roman" w:hAnsi="Times New Roman" w:eastAsia="宋体" w:cs="Times New Roman"/>
          <w:color w:val="auto"/>
          <w:kern w:val="0"/>
          <w:sz w:val="24"/>
          <w:szCs w:val="24"/>
          <w:lang w:val="en-US" w:eastAsia="zh-CN" w:bidi="ar-SA"/>
        </w:rPr>
        <w:t>翔实</w:t>
      </w:r>
      <w:r>
        <w:rPr>
          <w:rFonts w:hint="default" w:ascii="Times New Roman" w:hAnsi="Times New Roman" w:eastAsia="宋体" w:cs="Times New Roman"/>
          <w:color w:val="auto"/>
          <w:kern w:val="0"/>
          <w:sz w:val="24"/>
          <w:szCs w:val="24"/>
          <w:lang w:val="en-US" w:eastAsia="zh-CN" w:bidi="ar-SA"/>
        </w:rPr>
        <w:t xml:space="preserve">。 </w:t>
      </w:r>
    </w:p>
    <w:p w14:paraId="48EE02BC">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盛装过危险废物的包装袋或包装容器破损后应按危险废物进行管理和处置。 </w:t>
      </w:r>
    </w:p>
    <w:p w14:paraId="4BD90D54">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6</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危险废物还应根据GB12463的有关要求进行运输包装。 </w:t>
      </w:r>
    </w:p>
    <w:p w14:paraId="61231234">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g.危险废物的收集作业应满足如下要求： </w:t>
      </w:r>
    </w:p>
    <w:p w14:paraId="1E0063BA">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应根据收集设备、转运车辆以及现场人员等实际情况确定相应作业区域，同时要设置作业界限标志和警示牌。 </w:t>
      </w:r>
    </w:p>
    <w:p w14:paraId="4383C09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作业区域内应设置危险废物收集专用通道和人员避险通道。 </w:t>
      </w:r>
    </w:p>
    <w:p w14:paraId="7C94427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收集时应配备必要的收集工具和包装物以及必要的应急监测设备及应急装备。 </w:t>
      </w:r>
    </w:p>
    <w:p w14:paraId="6A465511">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4</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危险废物收集应参照本标准附录A填写记录表，并将记录表作为危险废物管理的重要档案妥善保存。 </w:t>
      </w:r>
    </w:p>
    <w:p w14:paraId="0019E1F0">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收集结束后应清理和恢复收集作业区域，确保作业区域环境整洁安全。 </w:t>
      </w:r>
    </w:p>
    <w:p w14:paraId="5707408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6</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收集过危险废物的容器、设备、设施、场所及其</w:t>
      </w:r>
      <w:r>
        <w:rPr>
          <w:rFonts w:hint="eastAsia" w:ascii="Times New Roman" w:hAnsi="Times New Roman" w:eastAsia="宋体" w:cs="Times New Roman"/>
          <w:color w:val="auto"/>
          <w:kern w:val="2"/>
          <w:sz w:val="24"/>
          <w:szCs w:val="24"/>
          <w:lang w:val="en-US" w:eastAsia="zh-CN" w:bidi="ar-SA"/>
        </w:rPr>
        <w:t>他物品</w:t>
      </w:r>
      <w:r>
        <w:rPr>
          <w:rFonts w:hint="default" w:ascii="Times New Roman" w:hAnsi="Times New Roman" w:eastAsia="宋体" w:cs="Times New Roman"/>
          <w:color w:val="auto"/>
          <w:kern w:val="2"/>
          <w:sz w:val="24"/>
          <w:szCs w:val="24"/>
          <w:lang w:val="en-US" w:eastAsia="zh-CN" w:bidi="ar-SA"/>
        </w:rPr>
        <w:t>转作</w:t>
      </w:r>
      <w:r>
        <w:rPr>
          <w:rFonts w:hint="eastAsia" w:ascii="Times New Roman" w:hAnsi="Times New Roman" w:eastAsia="宋体" w:cs="Times New Roman"/>
          <w:color w:val="auto"/>
          <w:kern w:val="2"/>
          <w:sz w:val="24"/>
          <w:szCs w:val="24"/>
          <w:lang w:val="en-US" w:eastAsia="zh-CN" w:bidi="ar-SA"/>
        </w:rPr>
        <w:t>他</w:t>
      </w:r>
      <w:r>
        <w:rPr>
          <w:rFonts w:hint="default" w:ascii="Times New Roman" w:hAnsi="Times New Roman" w:eastAsia="宋体" w:cs="Times New Roman"/>
          <w:color w:val="auto"/>
          <w:kern w:val="2"/>
          <w:sz w:val="24"/>
          <w:szCs w:val="24"/>
          <w:lang w:val="en-US" w:eastAsia="zh-CN" w:bidi="ar-SA"/>
        </w:rPr>
        <w:t xml:space="preserve">用时，应消除污染，确保其使用安全。 </w:t>
      </w:r>
    </w:p>
    <w:p w14:paraId="29219975">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h.危险废物内部转运作业应满足如下要求：</w:t>
      </w:r>
    </w:p>
    <w:p w14:paraId="7221F0E5">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危险废物内部转运应综合考虑厂区的实际情况确定转运路线，尽量避开办公区和生活区。 </w:t>
      </w:r>
    </w:p>
    <w:p w14:paraId="4EA6B1A0">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危险废物内部转运作业应采用专用的工具，危险废物内部转运应填写《危险废物厂内转运记录表》。 </w:t>
      </w:r>
    </w:p>
    <w:p w14:paraId="4B8C617F">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 xml:space="preserve">危险废物内部转运结束后，应对转运路线进行检查和清理，确保无危险废物遗失在转运路线上，并对转运工具进行清洗。 </w:t>
      </w:r>
    </w:p>
    <w:p w14:paraId="45C2A4A2">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i.收集不具备运输包装条件的危险废物时，且危险特性不会对环境和操作人员造成重大危害，可在临时包装后进行暂时贮存，但正式运输前应按本标准要求进行包装。 </w:t>
      </w:r>
    </w:p>
    <w:p w14:paraId="5DD007E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②危险废物的转运</w:t>
      </w:r>
    </w:p>
    <w:p w14:paraId="2F7B8CF3">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危险废物应按照国家有关规定向当地环境保护行政主管部门申报登记，接受当地环境保护行政主管部门监督管理。同时，根据《危险化学品安全管理条例</w:t>
      </w:r>
      <w:r>
        <w:rPr>
          <w:rFonts w:hint="eastAsia" w:ascii="Times New Roman" w:hAnsi="Times New Roman" w:eastAsia="宋体" w:cs="Times New Roman"/>
          <w:color w:val="auto"/>
          <w:sz w:val="24"/>
          <w:szCs w:val="24"/>
          <w:highlight w:val="none"/>
          <w:lang w:val="en-US" w:eastAsia="zh-CN" w:bidi="ar-SA"/>
        </w:rPr>
        <w:t>》和《</w:t>
      </w:r>
      <w:r>
        <w:rPr>
          <w:rFonts w:hint="default" w:ascii="Times New Roman" w:hAnsi="Times New Roman" w:eastAsia="宋体" w:cs="Times New Roman"/>
          <w:color w:val="auto"/>
          <w:sz w:val="24"/>
          <w:szCs w:val="24"/>
          <w:highlight w:val="none"/>
          <w:lang w:val="en-US" w:eastAsia="zh-CN" w:bidi="ar-SA"/>
        </w:rPr>
        <w:t>危险废物收集 贮存 运输技术规范》（HJ2025-2012）的有关规定，在危险废物外运至处置单位时必须严格遵守以下要求：</w:t>
      </w:r>
    </w:p>
    <w:p w14:paraId="792D2E11">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 xml:space="preserve">a.危险废物运输应由持有危险废物经营许可证的单位按照其许可证的经营范围组织实施，承担危险废物运输的单位应获得交通运输部门颁发的危险货物运输资质；危险废物公路运输应按照《道路危险货物运输管理规定》、JT617以及 JT618执行；废弃危险化学品的运输应执行《危险化学品安全管理条例》有关运输的规定；运输单位承运危险废物时，应在危险废物包装上按照GB18597附录A设置标志；危险废物公路运输时，运输车辆应按GB13392设置车辆标志；危险废物运输时的中转、装卸过程应遵守如下技术要求： </w:t>
      </w:r>
    </w:p>
    <w:p w14:paraId="322FE229">
      <w:pPr>
        <w:widowControl w:val="0"/>
        <w:wordWrap/>
        <w:overflowPunct w:val="0"/>
        <w:autoSpaceDE w:val="0"/>
        <w:autoSpaceDN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1</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 xml:space="preserve">卸载区的工作人员应熟悉废物的危险特性，并配备适当的个人防护装备，装卸剧毒废物应配备特殊的防护装备。 </w:t>
      </w:r>
    </w:p>
    <w:p w14:paraId="736E518A">
      <w:pPr>
        <w:widowControl w:val="0"/>
        <w:wordWrap/>
        <w:overflowPunct w:val="0"/>
        <w:autoSpaceDE w:val="0"/>
        <w:autoSpaceDN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2</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 xml:space="preserve">卸载区应配备必要的消防设备和设施，并设置明显的指示标志。 </w:t>
      </w:r>
    </w:p>
    <w:p w14:paraId="3E2CE3B8">
      <w:pPr>
        <w:widowControl w:val="0"/>
        <w:wordWrap/>
        <w:overflowPunct w:val="0"/>
        <w:autoSpaceDE w:val="0"/>
        <w:autoSpaceDN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3</w:t>
      </w:r>
      <w:r>
        <w:rPr>
          <w:rFonts w:hint="eastAsia" w:ascii="Times New Roman" w:hAnsi="Times New Roman" w:eastAsia="宋体"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 xml:space="preserve">危险废物装卸区应设置隔离设施，液态废物卸载区应设置收集槽和缓冲罐。 </w:t>
      </w:r>
    </w:p>
    <w:p w14:paraId="45F1D31B">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b.对承运人或者</w:t>
      </w:r>
      <w:r>
        <w:rPr>
          <w:rFonts w:hint="eastAsia" w:ascii="Times New Roman" w:hAnsi="Times New Roman" w:eastAsia="宋体" w:cs="Times New Roman"/>
          <w:color w:val="auto"/>
          <w:sz w:val="24"/>
          <w:szCs w:val="24"/>
          <w:highlight w:val="none"/>
          <w:lang w:val="en-US" w:eastAsia="zh-CN" w:bidi="ar-SA"/>
        </w:rPr>
        <w:t>接收</w:t>
      </w:r>
      <w:r>
        <w:rPr>
          <w:rFonts w:hint="default" w:ascii="Times New Roman" w:hAnsi="Times New Roman" w:eastAsia="宋体" w:cs="Times New Roman"/>
          <w:color w:val="auto"/>
          <w:sz w:val="24"/>
          <w:szCs w:val="24"/>
          <w:highlight w:val="none"/>
          <w:lang w:val="en-US" w:eastAsia="zh-CN" w:bidi="ar-SA"/>
        </w:rPr>
        <w:t>人的主体资格和技术能力进行核实，依法签订书面合同，并在合同中约定运输、贮存、利用、处置危险废物的污染防治要求及相关责任；</w:t>
      </w:r>
    </w:p>
    <w:p w14:paraId="13556743">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c.</w:t>
      </w:r>
      <w:r>
        <w:rPr>
          <w:rFonts w:hint="default" w:ascii="Times New Roman" w:hAnsi="Times New Roman" w:eastAsia="宋体" w:cs="Times New Roman"/>
          <w:color w:val="auto"/>
          <w:sz w:val="24"/>
          <w:szCs w:val="24"/>
          <w:highlight w:val="none"/>
          <w:lang w:val="en-US" w:eastAsia="zh-CN" w:bidi="ar-SA"/>
        </w:rPr>
        <w:t>制定危险废物管理计划，明确拟转移危险废物的种类、重量（数量）和流向等信息；</w:t>
      </w:r>
    </w:p>
    <w:p w14:paraId="5B82B1D0">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d.</w:t>
      </w:r>
      <w:r>
        <w:rPr>
          <w:rFonts w:hint="default" w:ascii="Times New Roman" w:hAnsi="Times New Roman" w:eastAsia="宋体" w:cs="Times New Roman"/>
          <w:color w:val="auto"/>
          <w:sz w:val="24"/>
          <w:szCs w:val="24"/>
          <w:highlight w:val="none"/>
          <w:lang w:val="en-US" w:eastAsia="zh-CN" w:bidi="ar-SA"/>
        </w:rPr>
        <w:t>建立危险废物管理台账，对转移的危险废物进行计量称重，如实记录、妥善保管转移危险废物的种类、重量（数量）和</w:t>
      </w:r>
      <w:r>
        <w:rPr>
          <w:rFonts w:hint="eastAsia" w:ascii="Times New Roman" w:hAnsi="Times New Roman" w:eastAsia="宋体" w:cs="Times New Roman"/>
          <w:color w:val="auto"/>
          <w:sz w:val="24"/>
          <w:szCs w:val="24"/>
          <w:highlight w:val="none"/>
          <w:lang w:val="en-US" w:eastAsia="zh-CN" w:bidi="ar-SA"/>
        </w:rPr>
        <w:t>接收</w:t>
      </w:r>
      <w:r>
        <w:rPr>
          <w:rFonts w:hint="default" w:ascii="Times New Roman" w:hAnsi="Times New Roman" w:eastAsia="宋体" w:cs="Times New Roman"/>
          <w:color w:val="auto"/>
          <w:sz w:val="24"/>
          <w:szCs w:val="24"/>
          <w:highlight w:val="none"/>
          <w:lang w:val="en-US" w:eastAsia="zh-CN" w:bidi="ar-SA"/>
        </w:rPr>
        <w:t>人等相关信息；</w:t>
      </w:r>
    </w:p>
    <w:p w14:paraId="7192BC8B">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e.</w:t>
      </w:r>
      <w:r>
        <w:rPr>
          <w:rFonts w:hint="default" w:ascii="Times New Roman" w:hAnsi="Times New Roman" w:eastAsia="宋体" w:cs="Times New Roman"/>
          <w:color w:val="auto"/>
          <w:sz w:val="24"/>
          <w:szCs w:val="24"/>
          <w:highlight w:val="none"/>
          <w:lang w:val="en-US" w:eastAsia="zh-CN" w:bidi="ar-SA"/>
        </w:rPr>
        <w:t>填写、运行危险废物转移联单，在危险废物转移联单中如实填写移出人、承运人、</w:t>
      </w:r>
      <w:r>
        <w:rPr>
          <w:rFonts w:hint="eastAsia" w:ascii="Times New Roman" w:hAnsi="Times New Roman" w:eastAsia="宋体" w:cs="Times New Roman"/>
          <w:color w:val="auto"/>
          <w:sz w:val="24"/>
          <w:szCs w:val="24"/>
          <w:highlight w:val="none"/>
          <w:lang w:val="en-US" w:eastAsia="zh-CN" w:bidi="ar-SA"/>
        </w:rPr>
        <w:t>接收</w:t>
      </w:r>
      <w:r>
        <w:rPr>
          <w:rFonts w:hint="default" w:ascii="Times New Roman" w:hAnsi="Times New Roman" w:eastAsia="宋体" w:cs="Times New Roman"/>
          <w:color w:val="auto"/>
          <w:sz w:val="24"/>
          <w:szCs w:val="24"/>
          <w:highlight w:val="none"/>
          <w:lang w:val="en-US" w:eastAsia="zh-CN" w:bidi="ar-SA"/>
        </w:rPr>
        <w:t>人信息，转移危险废物的种类、重量（数量）、危险特性等信息以及突发环境事件的防范措施等；</w:t>
      </w:r>
    </w:p>
    <w:p w14:paraId="2ECA2FF6">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f.</w:t>
      </w:r>
      <w:r>
        <w:rPr>
          <w:rFonts w:hint="default" w:ascii="Times New Roman" w:hAnsi="Times New Roman" w:eastAsia="宋体" w:cs="Times New Roman"/>
          <w:color w:val="auto"/>
          <w:sz w:val="24"/>
          <w:szCs w:val="24"/>
          <w:highlight w:val="none"/>
          <w:lang w:val="en-US" w:eastAsia="zh-CN" w:bidi="ar-SA"/>
        </w:rPr>
        <w:t>及时核实</w:t>
      </w:r>
      <w:r>
        <w:rPr>
          <w:rFonts w:hint="eastAsia" w:ascii="Times New Roman" w:hAnsi="Times New Roman" w:eastAsia="宋体" w:cs="Times New Roman"/>
          <w:color w:val="auto"/>
          <w:sz w:val="24"/>
          <w:szCs w:val="24"/>
          <w:highlight w:val="none"/>
          <w:lang w:val="en-US" w:eastAsia="zh-CN" w:bidi="ar-SA"/>
        </w:rPr>
        <w:t>接收</w:t>
      </w:r>
      <w:r>
        <w:rPr>
          <w:rFonts w:hint="default" w:ascii="Times New Roman" w:hAnsi="Times New Roman" w:eastAsia="宋体" w:cs="Times New Roman"/>
          <w:color w:val="auto"/>
          <w:sz w:val="24"/>
          <w:szCs w:val="24"/>
          <w:highlight w:val="none"/>
          <w:lang w:val="en-US" w:eastAsia="zh-CN" w:bidi="ar-SA"/>
        </w:rPr>
        <w:t>人贮存、利用或者处置相关危险废物情况；</w:t>
      </w:r>
    </w:p>
    <w:p w14:paraId="3125D167">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yellow"/>
          <w:lang w:val="en-US" w:eastAsia="zh-CN" w:bidi="ar-SA"/>
        </w:rPr>
      </w:pPr>
      <w:r>
        <w:rPr>
          <w:rFonts w:hint="eastAsia" w:ascii="Times New Roman" w:hAnsi="Times New Roman" w:eastAsia="宋体" w:cs="Times New Roman"/>
          <w:color w:val="auto"/>
          <w:sz w:val="24"/>
          <w:szCs w:val="24"/>
          <w:highlight w:val="none"/>
          <w:lang w:val="en-US" w:eastAsia="zh-CN" w:bidi="ar-SA"/>
        </w:rPr>
        <w:t>g.</w:t>
      </w:r>
      <w:r>
        <w:rPr>
          <w:rFonts w:hint="default" w:ascii="Times New Roman" w:hAnsi="Times New Roman" w:eastAsia="宋体" w:cs="Times New Roman"/>
          <w:color w:val="auto"/>
          <w:sz w:val="24"/>
          <w:szCs w:val="24"/>
          <w:highlight w:val="none"/>
          <w:lang w:val="en-US" w:eastAsia="zh-CN" w:bidi="ar-SA"/>
        </w:rPr>
        <w:t>移出人应当按照国家有关要求开展危险废物鉴别。禁止将危险废物以副产品等名义提供或者委托给无危险废物经营许可证的单位或者其他生产经营者从事收集、贮存、利用、处置活动。</w:t>
      </w:r>
    </w:p>
    <w:p w14:paraId="7B4A9C0C">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yellow"/>
          <w:lang w:val="en-US" w:eastAsia="zh-CN" w:bidi="ar-SA"/>
        </w:rPr>
      </w:pPr>
      <w:r>
        <w:rPr>
          <w:rFonts w:hint="default" w:ascii="Times New Roman" w:hAnsi="Times New Roman" w:eastAsia="宋体" w:cs="Times New Roman"/>
          <w:color w:val="auto"/>
          <w:sz w:val="24"/>
          <w:szCs w:val="24"/>
          <w:highlight w:val="none"/>
          <w:lang w:val="en-US" w:eastAsia="zh-CN" w:bidi="ar-SA"/>
        </w:rPr>
        <w:t>③危险废物贮存</w:t>
      </w:r>
    </w:p>
    <w:p w14:paraId="4391FB6D">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a.贮存设施应根据危险废物的形态、物理化学性质、包装形式和污染物迁移途径，采取必要的防风、防晒、防雨、防漏、防渗、防腐以及其他环境污染防治措施，不应露天堆放危险废物。</w:t>
      </w:r>
    </w:p>
    <w:p w14:paraId="10D9978A">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b.贮存设施应根据危险废物的类别、数量、形态、物理化学性质和污染防治等要求设置必要的贮存分区，避免不相容的危险废物接触、混合。</w:t>
      </w:r>
    </w:p>
    <w:p w14:paraId="03C49BEF">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c.贮存设施或贮存分区内地面、墙面</w:t>
      </w:r>
      <w:r>
        <w:rPr>
          <w:rFonts w:hint="eastAsia" w:ascii="Times New Roman" w:hAnsi="Times New Roman" w:eastAsia="宋体" w:cs="Times New Roman"/>
          <w:color w:val="000000"/>
          <w:kern w:val="0"/>
          <w:sz w:val="24"/>
          <w:szCs w:val="24"/>
          <w:lang w:val="en-US" w:eastAsia="zh-CN" w:bidi="ar-SA"/>
        </w:rPr>
        <w:t>裙角</w:t>
      </w:r>
      <w:r>
        <w:rPr>
          <w:rFonts w:hint="default" w:ascii="Times New Roman" w:hAnsi="Times New Roman" w:eastAsia="宋体" w:cs="Times New Roman"/>
          <w:color w:val="000000"/>
          <w:kern w:val="0"/>
          <w:sz w:val="24"/>
          <w:szCs w:val="24"/>
          <w:lang w:val="en-US" w:eastAsia="zh-CN" w:bidi="ar-SA"/>
        </w:rPr>
        <w:t>、堵截泄漏的围堰、接触危险废物的隔板和墙体等应采用坚固的材料建造，表面无裂缝。</w:t>
      </w:r>
    </w:p>
    <w:p w14:paraId="01FD0267">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d.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m厚黏土层（渗透系数不大于10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000000"/>
          <w:kern w:val="0"/>
          <w:sz w:val="24"/>
          <w:szCs w:val="24"/>
          <w:vertAlign w:val="superscript"/>
          <w:lang w:val="en-US" w:eastAsia="zh-CN" w:bidi="ar-SA"/>
        </w:rPr>
        <w:t>7</w:t>
      </w:r>
      <w:r>
        <w:rPr>
          <w:rFonts w:hint="default" w:ascii="Times New Roman" w:hAnsi="Times New Roman" w:eastAsia="宋体" w:cs="Times New Roman"/>
          <w:color w:val="000000"/>
          <w:kern w:val="0"/>
          <w:sz w:val="24"/>
          <w:szCs w:val="24"/>
          <w:lang w:val="en-US" w:eastAsia="zh-CN" w:bidi="ar-SA"/>
        </w:rPr>
        <w:t>cm/s），或至少2 mm厚高密度聚乙烯膜等人工防渗材料（渗透系数不大于10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000000"/>
          <w:kern w:val="0"/>
          <w:sz w:val="24"/>
          <w:szCs w:val="24"/>
          <w:vertAlign w:val="superscript"/>
          <w:lang w:val="en-US" w:eastAsia="zh-CN" w:bidi="ar-SA"/>
        </w:rPr>
        <w:t>10</w:t>
      </w:r>
      <w:r>
        <w:rPr>
          <w:rFonts w:hint="default" w:ascii="Times New Roman" w:hAnsi="Times New Roman" w:eastAsia="宋体" w:cs="Times New Roman"/>
          <w:color w:val="000000"/>
          <w:kern w:val="0"/>
          <w:sz w:val="24"/>
          <w:szCs w:val="24"/>
          <w:lang w:val="en-US" w:eastAsia="zh-CN" w:bidi="ar-SA"/>
        </w:rPr>
        <w:t>cm/s），或其他防渗性能等效的材料。</w:t>
      </w:r>
    </w:p>
    <w:p w14:paraId="12060C81">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 xml:space="preserve">e.同一贮存设施宜采用相同的防渗、防腐工艺（包括防渗、防腐结构或材料），防渗、防腐材料应覆盖所有可能与废物及其渗滤液、渗漏液等接触的构筑物表面；采用不同防渗、防腐工艺应分别建设贮存分区。 </w:t>
      </w:r>
    </w:p>
    <w:p w14:paraId="012B7266">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f.贮存设施应采取技术和管理措施防止无关人员进入。</w:t>
      </w:r>
    </w:p>
    <w:p w14:paraId="4CA9F5A4">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SA"/>
        </w:rPr>
        <w:t>1）</w:t>
      </w:r>
      <w:r>
        <w:rPr>
          <w:rFonts w:hint="default" w:ascii="Times New Roman" w:hAnsi="Times New Roman" w:eastAsia="宋体" w:cs="Times New Roman"/>
          <w:color w:val="000000"/>
          <w:kern w:val="0"/>
          <w:sz w:val="24"/>
          <w:szCs w:val="24"/>
          <w:lang w:val="en-US" w:eastAsia="zh-CN" w:bidi="ar-SA"/>
        </w:rPr>
        <w:t>贮存点环境管理要求</w:t>
      </w:r>
    </w:p>
    <w:p w14:paraId="6A073930">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贮存点应具有固定的区域边界，并应采取与其他区域进行隔离的措施。</w:t>
      </w:r>
    </w:p>
    <w:p w14:paraId="175AB59C">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贮存点应采取防风、防雨、防晒和防止危险废物流失、扬散等措施。</w:t>
      </w:r>
    </w:p>
    <w:p w14:paraId="170389F0">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贮存点贮存的危险废物应置于容器或包装物中，不应直接散堆。</w:t>
      </w:r>
    </w:p>
    <w:p w14:paraId="1BC3EF15">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贮存点应根据危险废物的形态、物理化学性质、包装形式等，采取防渗、防漏等污染防治措施或采用具有相应功能的装置。</w:t>
      </w:r>
    </w:p>
    <w:p w14:paraId="0645DFD4">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贮存点应及时清运贮存的危险废物，实时贮存量不应超过3吨</w:t>
      </w:r>
      <w:r>
        <w:rPr>
          <w:rFonts w:hint="eastAsia" w:ascii="Times New Roman" w:hAnsi="Times New Roman" w:eastAsia="宋体" w:cs="Times New Roman"/>
          <w:color w:val="000000"/>
          <w:kern w:val="0"/>
          <w:sz w:val="24"/>
          <w:szCs w:val="24"/>
          <w:lang w:val="en-US" w:eastAsia="zh-CN" w:bidi="ar-SA"/>
        </w:rPr>
        <w:t>。</w:t>
      </w:r>
    </w:p>
    <w:p w14:paraId="376D87ED">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2</w:t>
      </w:r>
      <w:r>
        <w:rPr>
          <w:rFonts w:hint="eastAsia" w:ascii="Times New Roman" w:hAnsi="Times New Roman" w:eastAsia="宋体" w:cs="Times New Roman"/>
          <w:color w:val="000000"/>
          <w:kern w:val="0"/>
          <w:sz w:val="24"/>
          <w:szCs w:val="24"/>
          <w:lang w:val="en-US" w:eastAsia="zh-CN" w:bidi="ar-SA"/>
        </w:rPr>
        <w:t>）</w:t>
      </w:r>
      <w:r>
        <w:rPr>
          <w:rFonts w:hint="default" w:ascii="Times New Roman" w:hAnsi="Times New Roman" w:eastAsia="宋体" w:cs="Times New Roman"/>
          <w:color w:val="000000"/>
          <w:kern w:val="0"/>
          <w:sz w:val="24"/>
          <w:szCs w:val="24"/>
          <w:lang w:val="en-US" w:eastAsia="zh-CN" w:bidi="ar-SA"/>
        </w:rPr>
        <w:t>危险废物贮存容器</w:t>
      </w:r>
    </w:p>
    <w:p w14:paraId="7ADDD569">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 xml:space="preserve">a.容器和包装物材质、内衬应与盛装的危险废物相容。 </w:t>
      </w:r>
    </w:p>
    <w:p w14:paraId="2C303AAD">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b.针对不同类别、形态、物理化学性质的危险废物，其容器和包装物应满足相应的防渗、防漏、防腐和强度等要求。</w:t>
      </w:r>
    </w:p>
    <w:p w14:paraId="210E9F0C">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 xml:space="preserve">c.硬质容器和包装物及其支护结构堆叠码放时不应有明显变形，无破损泄漏。 </w:t>
      </w:r>
    </w:p>
    <w:p w14:paraId="5FB2CC8E">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 xml:space="preserve">d.柔性容器和包装物堆叠码放时应封口严密，无破损泄漏。 </w:t>
      </w:r>
    </w:p>
    <w:p w14:paraId="5AC68FA4">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 xml:space="preserve">e.使用容器盛装液态、半固态危险废物时，容器内部应留有适当的空间，以适应因温度变化等可能引发的收缩和膨胀，防止其导致容器渗漏或永久变形。 </w:t>
      </w:r>
    </w:p>
    <w:p w14:paraId="45273C65">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SA"/>
        </w:rPr>
        <w:t>f.</w:t>
      </w:r>
      <w:r>
        <w:rPr>
          <w:rFonts w:hint="default" w:ascii="Times New Roman" w:hAnsi="Times New Roman" w:eastAsia="宋体" w:cs="Times New Roman"/>
          <w:color w:val="000000"/>
          <w:kern w:val="0"/>
          <w:sz w:val="24"/>
          <w:szCs w:val="24"/>
          <w:lang w:val="en-US" w:eastAsia="zh-CN" w:bidi="ar-SA"/>
        </w:rPr>
        <w:t>容器和包装物外表面应保持清洁。</w:t>
      </w:r>
    </w:p>
    <w:p w14:paraId="075C5FB4">
      <w:pPr>
        <w:widowControl/>
        <w:numPr>
          <w:ilvl w:val="0"/>
          <w:numId w:val="0"/>
        </w:numPr>
        <w:spacing w:line="360" w:lineRule="auto"/>
        <w:ind w:firstLine="480" w:firstLineChars="200"/>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3）选址与设计原则</w:t>
      </w:r>
    </w:p>
    <w:p w14:paraId="64157823">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贮存设施选址应满足生态环境保护法律法规、规划和</w:t>
      </w:r>
      <w:r>
        <w:rPr>
          <w:rFonts w:hint="eastAsia"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三线一单</w:t>
      </w:r>
      <w:r>
        <w:rPr>
          <w:rFonts w:hint="eastAsia"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 xml:space="preserve">生态环境分区管控的要求，建设项目应依法进行环境影响评价。 </w:t>
      </w:r>
    </w:p>
    <w:p w14:paraId="3F0F10AB">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 xml:space="preserve">集中贮存设施不应选在生态保护红线区域、永久基本农田和其他需要特别保护的区域内，不应建在溶洞区或易遭受洪水、滑坡、泥石流、潮汐等严重自然灾害影响的地区。 </w:t>
      </w:r>
    </w:p>
    <w:p w14:paraId="08FF3E63">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 xml:space="preserve">贮存设施不应选在江河、湖泊、运河、渠道、水库及其最高水位线以下的滩地和岸坡以及法律法规规定禁止贮存危险废物的其他地点。 </w:t>
      </w:r>
    </w:p>
    <w:p w14:paraId="29181A5A">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贮存设施场址的位置与周围环境敏感目标的距离应依据环境影响评价文件确定。</w:t>
      </w:r>
    </w:p>
    <w:p w14:paraId="6238AFC7">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④监督与实施 </w:t>
      </w:r>
    </w:p>
    <w:p w14:paraId="1BAA19CF">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a.地方环境保护行政部门可根据本标准所提出的危险废物收集、贮存、运输要求对管辖区域内的危险废物收集、贮存、运输行为进行监管，确保危险废物收集、贮存、运输过程的环境安全。 </w:t>
      </w:r>
    </w:p>
    <w:p w14:paraId="6C752E3C">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b.地方环境保护行政主管部门可根据本标准</w:t>
      </w:r>
      <w:r>
        <w:rPr>
          <w:rFonts w:hint="eastAsia" w:ascii="Times New Roman" w:hAnsi="Times New Roman" w:eastAsia="宋体" w:cs="Times New Roman"/>
          <w:color w:val="auto"/>
          <w:kern w:val="0"/>
          <w:sz w:val="24"/>
          <w:szCs w:val="24"/>
          <w:lang w:val="en-US" w:eastAsia="zh-CN"/>
        </w:rPr>
        <w:t>及其他有关</w:t>
      </w:r>
      <w:r>
        <w:rPr>
          <w:rFonts w:hint="default" w:ascii="Times New Roman" w:hAnsi="Times New Roman" w:eastAsia="宋体" w:cs="Times New Roman"/>
          <w:color w:val="auto"/>
          <w:kern w:val="0"/>
          <w:sz w:val="24"/>
          <w:szCs w:val="24"/>
          <w:lang w:val="en-US" w:eastAsia="zh-CN"/>
        </w:rPr>
        <w:t>管理要求建立地方危险废物收集、贮存、运输管理制度和管理档案。</w:t>
      </w:r>
    </w:p>
    <w:p w14:paraId="20432107">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根据</w:t>
      </w:r>
      <w:r>
        <w:rPr>
          <w:rFonts w:hint="default"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危险废物管理计划和管理台账制定技术导则</w:t>
      </w:r>
      <w:r>
        <w:rPr>
          <w:rFonts w:hint="default" w:ascii="Times New Roman" w:hAnsi="Times New Roman" w:eastAsia="宋体" w:cs="Times New Roman"/>
          <w:color w:val="auto"/>
          <w:kern w:val="0"/>
          <w:sz w:val="24"/>
          <w:szCs w:val="24"/>
          <w:lang w:val="en-US" w:eastAsia="zh-CN"/>
        </w:rPr>
        <w:t>》（HJ 1259-2022）</w:t>
      </w:r>
      <w:r>
        <w:rPr>
          <w:rFonts w:hint="eastAsia" w:ascii="Times New Roman" w:hAnsi="Times New Roman" w:eastAsia="宋体" w:cs="Times New Roman"/>
          <w:color w:val="auto"/>
          <w:kern w:val="0"/>
          <w:sz w:val="24"/>
          <w:szCs w:val="24"/>
          <w:lang w:val="en-US" w:eastAsia="zh-CN"/>
        </w:rPr>
        <w:t>，本项目属于</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同一生产经营场所危险废物年产生量10t以下且未纳入危险废物环境重点监管单位的单位。</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，属于危险废物登记管理单位，危险废物管理计划制定如下：</w:t>
      </w:r>
    </w:p>
    <w:p w14:paraId="28BB3F4F">
      <w:pPr>
        <w:widowControl w:val="0"/>
        <w:numPr>
          <w:ilvl w:val="0"/>
          <w:numId w:val="0"/>
        </w:numPr>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a.</w:t>
      </w:r>
      <w:r>
        <w:rPr>
          <w:rFonts w:hint="eastAsia" w:ascii="Times New Roman" w:hAnsi="Times New Roman" w:eastAsia="宋体" w:cs="Times New Roman"/>
          <w:color w:val="auto"/>
          <w:kern w:val="0"/>
          <w:sz w:val="24"/>
          <w:szCs w:val="24"/>
          <w:lang w:val="en-US" w:eastAsia="zh-CN"/>
        </w:rPr>
        <w:t xml:space="preserve">制定单位：同一法人单位或者其他组织所属但位于不同生产经营场所的单位，应当以每个生产经营场所为单位，分别制定危险废物管理计划，并通过国家危险废物信息管理系统向生产经营场所所在地生态环境主管部门备案。 </w:t>
      </w:r>
    </w:p>
    <w:p w14:paraId="2F837B6E">
      <w:pPr>
        <w:widowControl w:val="0"/>
        <w:numPr>
          <w:ilvl w:val="0"/>
          <w:numId w:val="0"/>
        </w:numPr>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b.制定形式及时限要求</w:t>
      </w:r>
      <w:r>
        <w:rPr>
          <w:rFonts w:hint="eastAsia" w:ascii="Times New Roman" w:hAnsi="Times New Roman" w:eastAsia="宋体" w:cs="Times New Roman"/>
          <w:color w:val="auto"/>
          <w:kern w:val="0"/>
          <w:sz w:val="24"/>
          <w:szCs w:val="24"/>
          <w:lang w:val="en-US" w:eastAsia="zh-CN"/>
        </w:rPr>
        <w:t>：产生危险废物的单位应当按年度制定危险废物管理计划。产生危险废物的单位应当于每年3月31日前通过国家危险废物信息管理系统在线填写并提交当年度的危险废物管理计划，由国家危险废物信息管理系统自动生成备案编号和回执，完成备案。 危险废物管理计划备案内容需要调整的，产生危险废物的单位应当及时变更。</w:t>
      </w:r>
    </w:p>
    <w:p w14:paraId="276125B2">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c. 一般原则：危险废物登记管理单位的管理计划制定内容应包括单位基本信息、危险废物产生情况信息、危险废物转移情况信息</w:t>
      </w:r>
      <w:r>
        <w:rPr>
          <w:rFonts w:hint="default" w:ascii="Times New Roman" w:hAnsi="Times New Roman" w:eastAsia="宋体" w:cs="Times New Roman"/>
          <w:color w:val="auto"/>
          <w:kern w:val="0"/>
          <w:sz w:val="24"/>
          <w:szCs w:val="24"/>
          <w:lang w:val="en-US" w:eastAsia="zh-CN"/>
        </w:rPr>
        <w:t>。</w:t>
      </w:r>
    </w:p>
    <w:p w14:paraId="44311310">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根据</w:t>
      </w:r>
      <w:r>
        <w:rPr>
          <w:rFonts w:hint="default"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危险废物管理计划和管理台账制定技术导则</w:t>
      </w:r>
      <w:r>
        <w:rPr>
          <w:rFonts w:hint="default" w:ascii="Times New Roman" w:hAnsi="Times New Roman" w:eastAsia="宋体" w:cs="Times New Roman"/>
          <w:color w:val="auto"/>
          <w:kern w:val="0"/>
          <w:sz w:val="24"/>
          <w:szCs w:val="24"/>
          <w:lang w:val="en-US" w:eastAsia="zh-CN"/>
        </w:rPr>
        <w:t>》（HJ 1259-2022）</w:t>
      </w:r>
      <w:r>
        <w:rPr>
          <w:rFonts w:hint="eastAsia" w:ascii="Times New Roman" w:hAnsi="Times New Roman" w:eastAsia="宋体" w:cs="Times New Roman"/>
          <w:color w:val="auto"/>
          <w:kern w:val="0"/>
          <w:sz w:val="24"/>
          <w:szCs w:val="24"/>
          <w:lang w:val="en-US" w:eastAsia="zh-CN"/>
        </w:rPr>
        <w:t>，本项目属于</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同一生产经营场所危险废物年产生量10t以下且未纳入危险废物环境重点监管单位的单位。</w:t>
      </w:r>
      <w:r>
        <w:rPr>
          <w:rFonts w:hint="eastAsia"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，属于危险废物登记管理单位，危险废物管理计划制定如下：</w:t>
      </w:r>
    </w:p>
    <w:p w14:paraId="1822235F">
      <w:pPr>
        <w:widowControl w:val="0"/>
        <w:numPr>
          <w:ilvl w:val="0"/>
          <w:numId w:val="0"/>
        </w:numPr>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a.</w:t>
      </w:r>
      <w:r>
        <w:rPr>
          <w:rFonts w:hint="eastAsia" w:ascii="Times New Roman" w:hAnsi="Times New Roman" w:eastAsia="宋体" w:cs="Times New Roman"/>
          <w:color w:val="auto"/>
          <w:kern w:val="0"/>
          <w:sz w:val="24"/>
          <w:szCs w:val="24"/>
          <w:lang w:val="en-US" w:eastAsia="zh-CN"/>
        </w:rPr>
        <w:t xml:space="preserve">制定单位：同一法人单位或者其他组织所属但位于不同生产经营场所的单位，应当以每个生产经营场所为单位，分别制定危险废物管理计划，并通过国家危险废物信息管理系统向生产经营场所所在地生态环境主管部门备案。 </w:t>
      </w:r>
    </w:p>
    <w:p w14:paraId="2CFAA1D5">
      <w:pPr>
        <w:widowControl w:val="0"/>
        <w:numPr>
          <w:ilvl w:val="0"/>
          <w:numId w:val="0"/>
        </w:numPr>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b.制定形式及时限要求</w:t>
      </w:r>
      <w:r>
        <w:rPr>
          <w:rFonts w:hint="eastAsia" w:ascii="Times New Roman" w:hAnsi="Times New Roman" w:eastAsia="宋体" w:cs="Times New Roman"/>
          <w:color w:val="auto"/>
          <w:kern w:val="0"/>
          <w:sz w:val="24"/>
          <w:szCs w:val="24"/>
          <w:lang w:val="en-US" w:eastAsia="zh-CN"/>
        </w:rPr>
        <w:t>：产生危险废物的单位应当按年度制定危险废物管理计划。产生危险废物的单位应当于每年3月31日前通过国家危险废物信息管理系统在线填写并提交当年度的危险废物管理计划，由国家危险废物信息管理系统自动生成备案编号和回执，完成备案。 危险废物管理计划备案内容需要调整的，产生危险废物的单位应当及时变更。</w:t>
      </w:r>
    </w:p>
    <w:p w14:paraId="6045DE9E">
      <w:pPr>
        <w:widowControl w:val="0"/>
        <w:wordWrap/>
        <w:adjustRightInd/>
        <w:snapToGrid/>
        <w:spacing w:line="360" w:lineRule="auto"/>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color w:val="auto"/>
          <w:kern w:val="0"/>
          <w:sz w:val="24"/>
          <w:szCs w:val="24"/>
          <w:lang w:val="en-US" w:eastAsia="zh-CN"/>
        </w:rPr>
        <w:t>c. 一般原则：危险废物登记管理单位的管理计划制定内容应包括单位基本信息、危险废物产生情况信息、危险废物转移情况信息。</w:t>
      </w:r>
    </w:p>
    <w:p w14:paraId="24E4E5C0">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lang w:val="en-US" w:eastAsia="zh-CN"/>
        </w:rPr>
      </w:pPr>
      <w:r>
        <w:rPr>
          <w:rFonts w:hint="eastAsia" w:ascii="Times New Roman" w:hAnsi="Times New Roman" w:eastAsia="宋体" w:cs="宋体"/>
          <w:color w:val="auto"/>
          <w:sz w:val="24"/>
          <w:szCs w:val="22"/>
          <w:lang w:val="en-US" w:eastAsia="zh-CN"/>
        </w:rPr>
        <w:t>根据《危险废物管理计划和管理台账制定技术导则》（HJ1259-2022）管理要求如表</w:t>
      </w:r>
      <w:r>
        <w:rPr>
          <w:rFonts w:hint="eastAsia" w:ascii="Times New Roman" w:hAnsi="Times New Roman" w:eastAsia="宋体" w:cs="Times New Roman"/>
          <w:color w:val="auto"/>
          <w:sz w:val="24"/>
          <w:szCs w:val="22"/>
          <w:lang w:val="en-US" w:eastAsia="zh-CN"/>
        </w:rPr>
        <w:t>7.2-</w:t>
      </w:r>
      <w:r>
        <w:rPr>
          <w:rFonts w:hint="eastAsia" w:cs="Times New Roman"/>
          <w:color w:val="auto"/>
          <w:sz w:val="24"/>
          <w:szCs w:val="22"/>
          <w:lang w:val="en-US" w:eastAsia="zh-CN"/>
        </w:rPr>
        <w:t>9</w:t>
      </w:r>
      <w:r>
        <w:rPr>
          <w:rFonts w:hint="eastAsia" w:ascii="Times New Roman" w:hAnsi="Times New Roman" w:eastAsia="宋体" w:cs="Times New Roman"/>
          <w:color w:val="auto"/>
          <w:sz w:val="24"/>
          <w:szCs w:val="22"/>
          <w:lang w:val="en-US" w:eastAsia="zh-CN"/>
        </w:rPr>
        <w:t>。</w:t>
      </w:r>
    </w:p>
    <w:p w14:paraId="4DEF5C42">
      <w:pPr>
        <w:widowControl w:val="0"/>
        <w:overflowPunct w:val="0"/>
        <w:autoSpaceDE w:val="0"/>
        <w:autoSpaceDN w:val="0"/>
        <w:bidi w:val="0"/>
        <w:adjustRightInd w:val="0"/>
        <w:snapToGrid w:val="0"/>
        <w:spacing w:line="400" w:lineRule="exact"/>
        <w:ind w:firstLine="480" w:firstLineChars="200"/>
        <w:jc w:val="center"/>
        <w:rPr>
          <w:rFonts w:hint="default" w:ascii="Times New Roman" w:hAnsi="Times New Roman" w:eastAsia="宋体" w:cs="楷体_GB2312"/>
          <w:b/>
          <w:color w:val="auto"/>
          <w:kern w:val="2"/>
          <w:sz w:val="24"/>
          <w:szCs w:val="24"/>
          <w:lang w:val="en-US" w:eastAsia="zh-CN" w:bidi="ar-SA"/>
        </w:rPr>
      </w:pPr>
      <w:r>
        <w:rPr>
          <w:rFonts w:hint="eastAsia" w:ascii="Times New Roman" w:hAnsi="Times New Roman" w:eastAsia="宋体" w:cs="楷体_GB2312"/>
          <w:b/>
          <w:color w:val="auto"/>
          <w:kern w:val="2"/>
          <w:sz w:val="24"/>
          <w:szCs w:val="24"/>
          <w:lang w:val="en-US" w:eastAsia="zh-CN" w:bidi="ar-SA"/>
        </w:rPr>
        <w:t>表7.2-</w:t>
      </w:r>
      <w:r>
        <w:rPr>
          <w:rFonts w:hint="eastAsia" w:cs="楷体_GB2312"/>
          <w:b/>
          <w:color w:val="auto"/>
          <w:kern w:val="2"/>
          <w:sz w:val="24"/>
          <w:szCs w:val="24"/>
          <w:lang w:val="en-US" w:eastAsia="zh-CN" w:bidi="ar-SA"/>
        </w:rPr>
        <w:t>9</w:t>
      </w:r>
      <w:r>
        <w:rPr>
          <w:rFonts w:hint="eastAsia" w:ascii="Times New Roman" w:hAnsi="Times New Roman" w:eastAsia="宋体" w:cs="楷体_GB2312"/>
          <w:b/>
          <w:color w:val="auto"/>
          <w:kern w:val="2"/>
          <w:sz w:val="24"/>
          <w:szCs w:val="24"/>
          <w:lang w:val="en-US" w:eastAsia="zh-CN" w:bidi="ar-SA"/>
        </w:rPr>
        <w:t>《危险废物管理计划和管理台账制定技术导则》相关要求</w:t>
      </w:r>
    </w:p>
    <w:tbl>
      <w:tblPr>
        <w:tblStyle w:val="21"/>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560"/>
        <w:gridCol w:w="7420"/>
      </w:tblGrid>
      <w:tr w14:paraId="52EF3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tcBorders>
              <w:tl2br w:val="nil"/>
              <w:tr2bl w:val="nil"/>
            </w:tcBorders>
            <w:noWrap w:val="0"/>
            <w:vAlign w:val="center"/>
          </w:tcPr>
          <w:p w14:paraId="42BDA11C">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序号</w:t>
            </w:r>
          </w:p>
        </w:tc>
        <w:tc>
          <w:tcPr>
            <w:tcW w:w="329" w:type="pct"/>
            <w:tcBorders>
              <w:tl2br w:val="nil"/>
              <w:tr2bl w:val="nil"/>
            </w:tcBorders>
            <w:noWrap w:val="0"/>
            <w:vAlign w:val="center"/>
          </w:tcPr>
          <w:p w14:paraId="6C789381">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分类</w:t>
            </w:r>
          </w:p>
        </w:tc>
        <w:tc>
          <w:tcPr>
            <w:tcW w:w="4361" w:type="pct"/>
            <w:tcBorders>
              <w:tl2br w:val="nil"/>
              <w:tr2bl w:val="nil"/>
            </w:tcBorders>
            <w:noWrap w:val="0"/>
            <w:vAlign w:val="center"/>
          </w:tcPr>
          <w:p w14:paraId="1DEE6CA8">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导则内容</w:t>
            </w:r>
          </w:p>
        </w:tc>
      </w:tr>
      <w:tr w14:paraId="663C5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restart"/>
            <w:tcBorders>
              <w:tl2br w:val="nil"/>
              <w:tr2bl w:val="nil"/>
            </w:tcBorders>
            <w:noWrap w:val="0"/>
            <w:vAlign w:val="center"/>
          </w:tcPr>
          <w:p w14:paraId="6030A8E6">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4总体要求</w:t>
            </w:r>
          </w:p>
        </w:tc>
        <w:tc>
          <w:tcPr>
            <w:tcW w:w="329" w:type="pct"/>
            <w:vMerge w:val="restart"/>
            <w:tcBorders>
              <w:tl2br w:val="nil"/>
              <w:tr2bl w:val="nil"/>
            </w:tcBorders>
            <w:noWrap w:val="0"/>
            <w:vAlign w:val="center"/>
          </w:tcPr>
          <w:p w14:paraId="6C6E6F8B">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4.1基本原则</w:t>
            </w:r>
          </w:p>
        </w:tc>
        <w:tc>
          <w:tcPr>
            <w:tcW w:w="4361" w:type="pct"/>
            <w:tcBorders>
              <w:tl2br w:val="nil"/>
              <w:tr2bl w:val="nil"/>
            </w:tcBorders>
            <w:noWrap w:val="0"/>
            <w:vAlign w:val="center"/>
          </w:tcPr>
          <w:p w14:paraId="4F78A416">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4.1.1产生危险废物的单位，应当按照本标准的分类管理要求，制定危险废物管理计划，内容应当包括减少危险废物产生量和降低危险废物危害性的措施以及危险废物贮存、利用、处置措施；建立危险废物管理台账，如实记录危险废物的种类、产生量、流向、贮存、利用、处置等有关信息；通过国家危险废物信息管理系统向所在地生态环境主管部门备案危险废物管理计划，申报危险废物有关资料；</w:t>
            </w:r>
          </w:p>
        </w:tc>
      </w:tr>
      <w:tr w14:paraId="77FED9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 w:type="pct"/>
            <w:vMerge w:val="continue"/>
            <w:tcBorders>
              <w:tl2br w:val="nil"/>
              <w:tr2bl w:val="nil"/>
            </w:tcBorders>
            <w:noWrap w:val="0"/>
            <w:vAlign w:val="center"/>
          </w:tcPr>
          <w:p w14:paraId="4A8A329E">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4D7DB058">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09EF4767">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4.1.2产生危险废物的单位应当按照实际情况填写记录有关内容，并对内容的真实性、准确性和完整性负责；</w:t>
            </w:r>
          </w:p>
        </w:tc>
      </w:tr>
      <w:tr w14:paraId="08B00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continue"/>
            <w:tcBorders>
              <w:tl2br w:val="nil"/>
              <w:tr2bl w:val="nil"/>
            </w:tcBorders>
            <w:noWrap w:val="0"/>
            <w:vAlign w:val="center"/>
          </w:tcPr>
          <w:p w14:paraId="2B8E7CCA">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restart"/>
            <w:tcBorders>
              <w:tl2br w:val="nil"/>
              <w:tr2bl w:val="nil"/>
            </w:tcBorders>
            <w:noWrap w:val="0"/>
            <w:vAlign w:val="center"/>
          </w:tcPr>
          <w:p w14:paraId="3906BF0A">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4.3分类管理要求</w:t>
            </w:r>
          </w:p>
        </w:tc>
        <w:tc>
          <w:tcPr>
            <w:tcW w:w="4361" w:type="pct"/>
            <w:tcBorders>
              <w:tl2br w:val="nil"/>
              <w:tr2bl w:val="nil"/>
            </w:tcBorders>
            <w:noWrap w:val="0"/>
            <w:vAlign w:val="center"/>
          </w:tcPr>
          <w:p w14:paraId="25AA8007">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4.3.1危险废物管理计划制定内容应根据产生危险废物的单位的管理类别确定。</w:t>
            </w:r>
          </w:p>
        </w:tc>
      </w:tr>
      <w:tr w14:paraId="4E27C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continue"/>
            <w:tcBorders>
              <w:tl2br w:val="nil"/>
              <w:tr2bl w:val="nil"/>
            </w:tcBorders>
            <w:noWrap w:val="0"/>
            <w:vAlign w:val="center"/>
          </w:tcPr>
          <w:p w14:paraId="7B0606EB">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432193B1">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35E135BC">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4.3.2危险废物的种类、产生量、流向、贮存、利用、处置等有关资料的申报周期应根据产生危险废物的单位的管理类别确定。</w:t>
            </w:r>
          </w:p>
        </w:tc>
      </w:tr>
      <w:tr w14:paraId="6D574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continue"/>
            <w:tcBorders>
              <w:tl2br w:val="nil"/>
              <w:tr2bl w:val="nil"/>
            </w:tcBorders>
            <w:noWrap w:val="0"/>
            <w:vAlign w:val="center"/>
          </w:tcPr>
          <w:p w14:paraId="26FB016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10A01F2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08439416">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4.3.3鼓励有条件的地区在危险废物环境重点监管单位推行电子地磅、视频监控、电子标签等集成智 能监控手段，如实记录危险废物有关信息，有条件的可与国家危险废物信息管理系统联网。</w:t>
            </w:r>
          </w:p>
        </w:tc>
      </w:tr>
      <w:tr w14:paraId="5A288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restart"/>
            <w:tcBorders>
              <w:tl2br w:val="nil"/>
              <w:tr2bl w:val="nil"/>
            </w:tcBorders>
            <w:noWrap w:val="0"/>
            <w:vAlign w:val="center"/>
          </w:tcPr>
          <w:p w14:paraId="7382AB5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5危险废物管理计划制定要求</w:t>
            </w:r>
          </w:p>
        </w:tc>
        <w:tc>
          <w:tcPr>
            <w:tcW w:w="329" w:type="pct"/>
            <w:tcBorders>
              <w:tl2br w:val="nil"/>
              <w:tr2bl w:val="nil"/>
            </w:tcBorders>
            <w:noWrap w:val="0"/>
            <w:vAlign w:val="center"/>
          </w:tcPr>
          <w:p w14:paraId="7E5729EA">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5.1制定单位</w:t>
            </w:r>
          </w:p>
        </w:tc>
        <w:tc>
          <w:tcPr>
            <w:tcW w:w="4361" w:type="pct"/>
            <w:tcBorders>
              <w:tl2br w:val="nil"/>
              <w:tr2bl w:val="nil"/>
            </w:tcBorders>
            <w:noWrap w:val="0"/>
            <w:vAlign w:val="center"/>
          </w:tcPr>
          <w:p w14:paraId="661C2219">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同一法人单位或者其他组织所属但位于不同生产经营场所的单位，应当以每个生产经营场所为单位， 分别制定危险废物管理计划，并通过国家危险废物信息管理系统向生产经营场所所在地生态环境主管部门备案。</w:t>
            </w:r>
          </w:p>
        </w:tc>
      </w:tr>
      <w:tr w14:paraId="37797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continue"/>
            <w:tcBorders>
              <w:tl2br w:val="nil"/>
              <w:tr2bl w:val="nil"/>
            </w:tcBorders>
            <w:noWrap w:val="0"/>
            <w:vAlign w:val="center"/>
          </w:tcPr>
          <w:p w14:paraId="7172281E">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restart"/>
            <w:tcBorders>
              <w:tl2br w:val="nil"/>
              <w:tr2bl w:val="nil"/>
            </w:tcBorders>
            <w:noWrap w:val="0"/>
            <w:vAlign w:val="center"/>
          </w:tcPr>
          <w:p w14:paraId="3445786B">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5.2制定形式及时限要求</w:t>
            </w:r>
          </w:p>
        </w:tc>
        <w:tc>
          <w:tcPr>
            <w:tcW w:w="4361" w:type="pct"/>
            <w:tcBorders>
              <w:tl2br w:val="nil"/>
              <w:tr2bl w:val="nil"/>
            </w:tcBorders>
            <w:noWrap w:val="0"/>
            <w:vAlign w:val="center"/>
          </w:tcPr>
          <w:p w14:paraId="5284DAEF">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5.2.1产生危险废物的单位应当按年度制定危险废物管理计划。</w:t>
            </w:r>
          </w:p>
        </w:tc>
      </w:tr>
      <w:tr w14:paraId="3D3C8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continue"/>
            <w:tcBorders>
              <w:tl2br w:val="nil"/>
              <w:tr2bl w:val="nil"/>
            </w:tcBorders>
            <w:noWrap w:val="0"/>
            <w:vAlign w:val="center"/>
          </w:tcPr>
          <w:p w14:paraId="48D0F2B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23DAEFBE">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35AA00AC">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5.2.2产生危险废物的单位应当于每年3月31日前通过国家危险废物信息管理系统在线填写并提交当年度的危险废物管理计划，由国家危险废物信息管理系统自动生成备案编号和回执，完成备案。</w:t>
            </w:r>
          </w:p>
        </w:tc>
      </w:tr>
      <w:tr w14:paraId="5D0EB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continue"/>
            <w:tcBorders>
              <w:tl2br w:val="nil"/>
              <w:tr2bl w:val="nil"/>
            </w:tcBorders>
            <w:noWrap w:val="0"/>
            <w:vAlign w:val="center"/>
          </w:tcPr>
          <w:p w14:paraId="50A6F20E">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185A4908">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53546973">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5.2.3危险废物管理计划备案内容需要调整的，产生危险废物的单位应当及时变更。</w:t>
            </w:r>
          </w:p>
        </w:tc>
      </w:tr>
      <w:tr w14:paraId="5EC3D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continue"/>
            <w:tcBorders>
              <w:tl2br w:val="nil"/>
              <w:tr2bl w:val="nil"/>
            </w:tcBorders>
            <w:noWrap w:val="0"/>
            <w:vAlign w:val="center"/>
          </w:tcPr>
          <w:p w14:paraId="61FEDCC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restart"/>
            <w:tcBorders>
              <w:tl2br w:val="nil"/>
              <w:tr2bl w:val="nil"/>
            </w:tcBorders>
            <w:noWrap w:val="0"/>
            <w:vAlign w:val="center"/>
          </w:tcPr>
          <w:p w14:paraId="0A1D714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5.5危险废物基本情况填写要求</w:t>
            </w:r>
          </w:p>
        </w:tc>
        <w:tc>
          <w:tcPr>
            <w:tcW w:w="4361" w:type="pct"/>
            <w:tcBorders>
              <w:tl2br w:val="nil"/>
              <w:tr2bl w:val="nil"/>
            </w:tcBorders>
            <w:noWrap w:val="0"/>
            <w:vAlign w:val="center"/>
          </w:tcPr>
          <w:p w14:paraId="5F641AF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5.5.2.1危险废物贮存情况填写内容参见附录A.4，填写应满足以下要求。</w:t>
            </w:r>
          </w:p>
          <w:p w14:paraId="22B4C274">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a</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危险废物名称、类别、代码、有害成分名称、形态、危险特性</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依据本标准第5.5.1部分填写的相关信息填写，可由国家危险废物信息管理系统自动生成。</w:t>
            </w:r>
          </w:p>
          <w:p w14:paraId="57E77CF4">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b</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贮存设施编码</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依据本标准第5.4.2部分填写的污染防治设施编码填写，可由国家危险废物信息管理系统自动生成。</w:t>
            </w:r>
          </w:p>
          <w:p w14:paraId="60365B08">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c）贮存设施类型</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根据GB18597中贮存设施类型填写。d包装形式</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包括包装容器、材质、规格等。</w:t>
            </w:r>
          </w:p>
          <w:p w14:paraId="1D407B1E">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e）本年度预计剩余贮存量</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预计截至本年底贮存设施内危险废物的库存量。</w:t>
            </w:r>
          </w:p>
          <w:p w14:paraId="09456C0C">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f</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计量单位</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填写吨。以升、立方米等体积计量的，应折算成重量吨</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以个数作为计量单位的，除填写个数外，还应折算成重量吨。</w:t>
            </w:r>
          </w:p>
          <w:p w14:paraId="6E788425">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5.5.2.2危险废物贮存能力应与排污许可证副本中载明的保持一致，或根据产生危险废物的单位环境影响评价文件及审批意见确定。</w:t>
            </w:r>
          </w:p>
        </w:tc>
      </w:tr>
      <w:tr w14:paraId="3140E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8" w:type="pct"/>
            <w:vMerge w:val="continue"/>
            <w:tcBorders>
              <w:tl2br w:val="nil"/>
              <w:tr2bl w:val="nil"/>
            </w:tcBorders>
            <w:noWrap w:val="0"/>
            <w:vAlign w:val="center"/>
          </w:tcPr>
          <w:p w14:paraId="41FE49F7">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50EBD96B">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584A02F6">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5.5.5危险废物转移情况填写内容参见附录A.7，填写应满足以下要求。</w:t>
            </w:r>
          </w:p>
          <w:p w14:paraId="6CEFCC0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a）转移类型</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指省内转移、跨省转移和境外转移。</w:t>
            </w:r>
          </w:p>
          <w:p w14:paraId="069334C2">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b</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危险废物名称、类别、代码、有害成分名称、形态、危险特性</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依据本标准第5.5.1部分填写的相关信息填写，可由国家危险废物信息管理系统自动生成。</w:t>
            </w:r>
          </w:p>
          <w:p w14:paraId="68F13536">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本年度预计转移量</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本年度预计转移的危险废物量。</w:t>
            </w:r>
          </w:p>
          <w:p w14:paraId="636CA3AA">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d</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计量单位</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填写吨。以升、立方米等体积计量的，应折算成重量吨</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以个数作为计量单位的，除填写个数外，还应折算成重量吨。</w:t>
            </w:r>
          </w:p>
          <w:p w14:paraId="3800B3C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e</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利用/处置方式代码</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根据HJ 1033附录F填写。</w:t>
            </w:r>
          </w:p>
          <w:p w14:paraId="68A82058">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f</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拟接收单位类型</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危险废物经营许可证持有单位、危险废物利用处置环节豁免管理单位、中华人民共和国境外的危险废物利用处置单位等。</w:t>
            </w:r>
          </w:p>
          <w:p w14:paraId="5EA3A379">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g</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拟接收危险废物经营许可证持有单位名称、经营许可证编号</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应当与国家危险废物信息管理系统中登记的危险废物经营许可证持有单位相关信息关联并一致</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可由国家危险废物信息管理系统自动生成。</w:t>
            </w:r>
          </w:p>
          <w:p w14:paraId="4A0331BB">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h</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危险废物利用处置环节豁免管理单位的相关信息应在国家危险废物信息管理系统中登记。</w:t>
            </w:r>
          </w:p>
          <w:p w14:paraId="1107DE15">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i</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危险废物出口至境外的，应在国家危险废物信息管理系统中填写中华人民共和国境外的危险废物利用处置单位信息。</w:t>
            </w:r>
          </w:p>
        </w:tc>
      </w:tr>
      <w:tr w14:paraId="33704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8" w:type="pct"/>
            <w:vMerge w:val="restart"/>
            <w:tcBorders>
              <w:tl2br w:val="nil"/>
              <w:tr2bl w:val="nil"/>
            </w:tcBorders>
            <w:noWrap w:val="0"/>
            <w:vAlign w:val="center"/>
          </w:tcPr>
          <w:p w14:paraId="541FB4A9">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6危险废物管理台账制定要求</w:t>
            </w:r>
          </w:p>
        </w:tc>
        <w:tc>
          <w:tcPr>
            <w:tcW w:w="329" w:type="pct"/>
            <w:vMerge w:val="restart"/>
            <w:tcBorders>
              <w:tl2br w:val="nil"/>
              <w:tr2bl w:val="nil"/>
            </w:tcBorders>
            <w:noWrap w:val="0"/>
            <w:vAlign w:val="center"/>
          </w:tcPr>
          <w:p w14:paraId="5E3955EF">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6.1一般原则</w:t>
            </w:r>
          </w:p>
        </w:tc>
        <w:tc>
          <w:tcPr>
            <w:tcW w:w="4361" w:type="pct"/>
            <w:tcBorders>
              <w:tl2br w:val="nil"/>
              <w:tr2bl w:val="nil"/>
            </w:tcBorders>
            <w:noWrap w:val="0"/>
            <w:vAlign w:val="center"/>
          </w:tcPr>
          <w:p w14:paraId="2F938604">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6.1.1产生危险废物的单位应建立危险废物管理台账，落实危险废物管理台账记录的责任人，明确工作职责，并对危险废物管理台账的真实性、准确性和完整性负法律责任。</w:t>
            </w:r>
          </w:p>
        </w:tc>
      </w:tr>
      <w:tr w14:paraId="350A51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308" w:type="pct"/>
            <w:vMerge w:val="continue"/>
            <w:tcBorders>
              <w:tl2br w:val="nil"/>
              <w:tr2bl w:val="nil"/>
            </w:tcBorders>
            <w:noWrap w:val="0"/>
            <w:vAlign w:val="center"/>
          </w:tcPr>
          <w:p w14:paraId="6272F492">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6D435EBA">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2C775401">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6.1.2产生危险废物的单位应根据危险废物产生、贮存、利用、处置等环节的动态流向，如实建立各 环节的危险废物管理台账。</w:t>
            </w:r>
          </w:p>
        </w:tc>
      </w:tr>
      <w:tr w14:paraId="65F9F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08" w:type="pct"/>
            <w:vMerge w:val="continue"/>
            <w:tcBorders>
              <w:tl2br w:val="nil"/>
              <w:tr2bl w:val="nil"/>
            </w:tcBorders>
            <w:noWrap w:val="0"/>
            <w:vAlign w:val="center"/>
          </w:tcPr>
          <w:p w14:paraId="2846A0DA">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2184D05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2075A5E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6.1.3危险废物管理台账分为电子管理台账和纸质管理台账两种形式。产生危险废物的单位可通过国家危险废物信息管理系统、企业自建信息管理系统或第三方平台等方式记录电子管理台账。</w:t>
            </w:r>
          </w:p>
        </w:tc>
      </w:tr>
      <w:tr w14:paraId="66EDA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308" w:type="pct"/>
            <w:vMerge w:val="continue"/>
            <w:tcBorders>
              <w:tl2br w:val="nil"/>
              <w:tr2bl w:val="nil"/>
            </w:tcBorders>
            <w:noWrap w:val="0"/>
            <w:vAlign w:val="center"/>
          </w:tcPr>
          <w:p w14:paraId="23E221E6">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tcBorders>
              <w:tl2br w:val="nil"/>
              <w:tr2bl w:val="nil"/>
            </w:tcBorders>
            <w:noWrap w:val="0"/>
            <w:vAlign w:val="center"/>
          </w:tcPr>
          <w:p w14:paraId="55880E15">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6.2频次要求</w:t>
            </w:r>
          </w:p>
        </w:tc>
        <w:tc>
          <w:tcPr>
            <w:tcW w:w="4361" w:type="pct"/>
            <w:tcBorders>
              <w:tl2br w:val="nil"/>
              <w:tr2bl w:val="nil"/>
            </w:tcBorders>
            <w:noWrap w:val="0"/>
            <w:vAlign w:val="center"/>
          </w:tcPr>
          <w:p w14:paraId="7CDCF67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产生后盛放至容器和包装物的，应按每个容器和包装物进行记录；产生后采用管道等方式输送至贮存场所的，按日记录；其他特殊情形的，根据危险废物产生规律确定记录频次。</w:t>
            </w:r>
          </w:p>
        </w:tc>
      </w:tr>
      <w:tr w14:paraId="6C1DE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308" w:type="pct"/>
            <w:vMerge w:val="continue"/>
            <w:tcBorders>
              <w:tl2br w:val="nil"/>
              <w:tr2bl w:val="nil"/>
            </w:tcBorders>
            <w:noWrap w:val="0"/>
            <w:vAlign w:val="center"/>
          </w:tcPr>
          <w:p w14:paraId="2E34BBCD">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restart"/>
            <w:tcBorders>
              <w:tl2br w:val="nil"/>
              <w:tr2bl w:val="nil"/>
            </w:tcBorders>
            <w:noWrap w:val="0"/>
            <w:vAlign w:val="center"/>
          </w:tcPr>
          <w:p w14:paraId="5AC9C539">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6.3记录要求</w:t>
            </w:r>
          </w:p>
        </w:tc>
        <w:tc>
          <w:tcPr>
            <w:tcW w:w="4361" w:type="pct"/>
            <w:tcBorders>
              <w:tl2br w:val="nil"/>
              <w:tr2bl w:val="nil"/>
            </w:tcBorders>
            <w:noWrap w:val="0"/>
            <w:vAlign w:val="center"/>
          </w:tcPr>
          <w:p w14:paraId="1C06EE5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6.3.1危险废物产生环节，应记录产生批次编码、产生时间、危险废物名称、危险废物类别、危险废物代码、产生量、计量单位、容器/包装编码、容器/包装类型、容器/包装数量、产生危险废物设施编码、产生部门经办人、去向等。</w:t>
            </w:r>
          </w:p>
        </w:tc>
      </w:tr>
      <w:tr w14:paraId="65894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308" w:type="pct"/>
            <w:vMerge w:val="continue"/>
            <w:tcBorders>
              <w:tl2br w:val="nil"/>
              <w:tr2bl w:val="nil"/>
            </w:tcBorders>
            <w:noWrap w:val="0"/>
            <w:vAlign w:val="center"/>
          </w:tcPr>
          <w:p w14:paraId="360324B2">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5E8FF38E">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007C2C38">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6.3.2危险废物入库环节，应记录入库批次编码、入库时间、容器/包装编码、容器/包装类型、容器/包装数量、危险废物名称、危险废物类别、危险废物代码、入库量、计量单位、贮存设施编码、贮存设施类型、运送部门经办人、贮存部门经办人、产生批次编码等。</w:t>
            </w:r>
          </w:p>
        </w:tc>
      </w:tr>
      <w:tr w14:paraId="424C0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308" w:type="pct"/>
            <w:vMerge w:val="continue"/>
            <w:tcBorders>
              <w:tl2br w:val="nil"/>
              <w:tr2bl w:val="nil"/>
            </w:tcBorders>
            <w:noWrap w:val="0"/>
            <w:vAlign w:val="center"/>
          </w:tcPr>
          <w:p w14:paraId="1CCA4104">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1D5F1843">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229FF89F">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6.3.3危险废物出库环节，应记录出库批次编码、出库时间、容器/包装编码、容器/包装类型、容器/包装数量、危险废物名称、危险废物类别、危险废物代码、出库量、计量单位、贮存设施编码、贮存设施类型、出库部门经办人、运送部门经办人、入库批次编码、去向等。</w:t>
            </w:r>
          </w:p>
        </w:tc>
      </w:tr>
      <w:tr w14:paraId="21357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308" w:type="pct"/>
            <w:vMerge w:val="continue"/>
            <w:tcBorders>
              <w:tl2br w:val="nil"/>
              <w:tr2bl w:val="nil"/>
            </w:tcBorders>
            <w:noWrap w:val="0"/>
            <w:vAlign w:val="center"/>
          </w:tcPr>
          <w:p w14:paraId="4006EF8C">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1329F698">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240A64A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6.3.4危险废物自行利用/处置环节，应记录自行利用/处置批次编码、自行利用/处置时间、容器/包装编码、容器/包装类型、容器/包装数量、危险废物名称、危险废物类别、危险废物代码、自行利用/处置量、计量单位、自行利用/处置设施编码、自行利用/处置方式、自行利用/处置完毕时间、自行利用/处置部门经办人、产生批次编码/出库批次编码等。</w:t>
            </w:r>
          </w:p>
        </w:tc>
      </w:tr>
      <w:tr w14:paraId="2F509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08" w:type="pct"/>
            <w:vMerge w:val="continue"/>
            <w:tcBorders>
              <w:tl2br w:val="nil"/>
              <w:tr2bl w:val="nil"/>
            </w:tcBorders>
            <w:noWrap w:val="0"/>
            <w:vAlign w:val="center"/>
          </w:tcPr>
          <w:p w14:paraId="2A3171CB">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329" w:type="pct"/>
            <w:vMerge w:val="continue"/>
            <w:tcBorders>
              <w:tl2br w:val="nil"/>
              <w:tr2bl w:val="nil"/>
            </w:tcBorders>
            <w:noWrap w:val="0"/>
            <w:vAlign w:val="center"/>
          </w:tcPr>
          <w:p w14:paraId="28B04082">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361" w:type="pct"/>
            <w:tcBorders>
              <w:tl2br w:val="nil"/>
              <w:tr2bl w:val="nil"/>
            </w:tcBorders>
            <w:noWrap w:val="0"/>
            <w:vAlign w:val="center"/>
          </w:tcPr>
          <w:p w14:paraId="780E8975">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6.3.5危险废物委外利用/处置环节，应记录委外利用/处置批次编码、出厂时间、容器/包装编码、容器/包装类型、容器/包装数量、危险废物名称、危险废物类别、危险废物代码、委外利用/处置量、计量单位、利用/处置方式、接收单位类型、利用/处置单位名称、许可证编码/出口核准通知单编号、</w:t>
            </w:r>
            <w:r>
              <w:rPr>
                <w:rFonts w:hint="eastAsia" w:ascii="Times New Roman" w:hAnsi="Times New Roman" w:eastAsia="宋体" w:cs="Times New Roman"/>
                <w:color w:val="auto"/>
                <w:kern w:val="2"/>
                <w:sz w:val="21"/>
                <w:szCs w:val="21"/>
                <w:lang w:val="en-US" w:eastAsia="zh-CN" w:bidi="ar-SA"/>
              </w:rPr>
              <w:t>生产</w:t>
            </w:r>
            <w:r>
              <w:rPr>
                <w:rFonts w:hint="default" w:ascii="Times New Roman" w:hAnsi="Times New Roman" w:eastAsia="宋体" w:cs="Times New Roman"/>
                <w:color w:val="auto"/>
                <w:kern w:val="2"/>
                <w:sz w:val="21"/>
                <w:szCs w:val="21"/>
                <w:lang w:val="en-US" w:eastAsia="zh-CN" w:bidi="ar-SA"/>
              </w:rPr>
              <w:t>批次编码/出库批次编码等。</w:t>
            </w:r>
          </w:p>
        </w:tc>
      </w:tr>
    </w:tbl>
    <w:p w14:paraId="725F9E3A">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rPr>
        <w:t>）生活垃圾</w:t>
      </w:r>
    </w:p>
    <w:p w14:paraId="043AF298">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sz w:val="24"/>
        </w:rPr>
        <w:t>项目生活垃圾经垃圾箱（桶）集中收集后，</w:t>
      </w:r>
      <w:r>
        <w:rPr>
          <w:rFonts w:hint="eastAsia" w:ascii="Times New Roman" w:hAnsi="Times New Roman" w:eastAsia="宋体" w:cs="Times New Roman"/>
          <w:sz w:val="24"/>
          <w:lang w:val="en-US" w:eastAsia="zh-CN"/>
        </w:rPr>
        <w:t>委托环卫部门定期清运</w:t>
      </w:r>
      <w:r>
        <w:rPr>
          <w:rFonts w:hint="default" w:ascii="Times New Roman" w:hAnsi="Times New Roman" w:eastAsia="宋体" w:cs="Times New Roman"/>
          <w:color w:val="auto"/>
          <w:sz w:val="24"/>
        </w:rPr>
        <w:t>。</w:t>
      </w:r>
    </w:p>
    <w:p w14:paraId="5BC1EC31">
      <w:pPr>
        <w:keepNext w:val="0"/>
        <w:keepLines w:val="0"/>
        <w:pageBreakBefore w:val="0"/>
        <w:numPr>
          <w:ilvl w:val="0"/>
          <w:numId w:val="0"/>
        </w:numPr>
        <w:wordWrap/>
        <w:topLinePunct w:val="0"/>
        <w:bidi w:val="0"/>
        <w:adjustRightInd/>
        <w:snapToGrid/>
        <w:spacing w:line="360" w:lineRule="auto"/>
        <w:ind w:left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（5）废包装材料（一般固废）</w:t>
      </w:r>
    </w:p>
    <w:p w14:paraId="61B3635A">
      <w:pPr>
        <w:keepNext w:val="0"/>
        <w:keepLines w:val="0"/>
        <w:pageBreakBefore w:val="0"/>
        <w:numPr>
          <w:ilvl w:val="0"/>
          <w:numId w:val="0"/>
        </w:numPr>
        <w:wordWrap/>
        <w:topLinePunct w:val="0"/>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养殖区废包装物主要为精饲料袋、生物除臭剂包装桶、生物菌剂包装桶。共11.04t/a，精饲料袋、生物除臭剂包装桶、生物菌剂包装桶属于一般工业固废，分类暂存于饲料加工车间内，</w:t>
      </w:r>
      <w:r>
        <w:rPr>
          <w:rFonts w:hint="eastAsia" w:ascii="Times New Roman" w:hAnsi="Times New Roman" w:eastAsia="宋体" w:cs="Times New Roman"/>
          <w:color w:val="000000"/>
          <w:kern w:val="2"/>
          <w:sz w:val="24"/>
          <w:szCs w:val="24"/>
          <w:highlight w:val="none"/>
          <w:lang w:val="en-US" w:eastAsia="zh-CN" w:bidi="ar-SA"/>
        </w:rPr>
        <w:t>定期外售回收单位综合利用。</w:t>
      </w:r>
    </w:p>
    <w:p w14:paraId="3172EA63">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（6）除尘灰</w:t>
      </w:r>
    </w:p>
    <w:p w14:paraId="3840F2D6">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w:t>
      </w:r>
      <w:r>
        <w:rPr>
          <w:rFonts w:hint="eastAsia" w:ascii="Times New Roman" w:hAnsi="Times New Roman" w:eastAsia="宋体" w:cs="Times New Roman"/>
          <w:snapToGrid w:val="0"/>
          <w:color w:val="000000"/>
          <w:sz w:val="24"/>
          <w:szCs w:val="24"/>
          <w:highlight w:val="none"/>
          <w:lang w:val="en-US" w:eastAsia="zh-CN" w:bidi="ar-SA"/>
        </w:rPr>
        <w:t>堆肥间</w:t>
      </w:r>
      <w:r>
        <w:rPr>
          <w:rFonts w:hint="eastAsia" w:ascii="Times New Roman" w:hAnsi="Times New Roman" w:eastAsia="宋体" w:cs="Times New Roman"/>
          <w:color w:val="000000"/>
          <w:kern w:val="2"/>
          <w:sz w:val="24"/>
          <w:szCs w:val="24"/>
          <w:highlight w:val="none"/>
          <w:lang w:val="en-US" w:eastAsia="zh-CN" w:bidi="ar-SA"/>
        </w:rPr>
        <w:t>除尘器收集粉尘产生量共为</w:t>
      </w:r>
      <w:r>
        <w:rPr>
          <w:rFonts w:hint="eastAsia" w:cs="Times New Roman"/>
          <w:color w:val="000000"/>
          <w:kern w:val="2"/>
          <w:sz w:val="24"/>
          <w:szCs w:val="24"/>
          <w:highlight w:val="none"/>
          <w:lang w:val="en-US" w:eastAsia="zh-CN" w:bidi="ar-SA"/>
        </w:rPr>
        <w:t>1.65</w:t>
      </w:r>
      <w:r>
        <w:rPr>
          <w:rFonts w:hint="eastAsia" w:ascii="Times New Roman" w:hAnsi="Times New Roman" w:eastAsia="宋体" w:cs="Times New Roman"/>
          <w:color w:val="000000"/>
          <w:kern w:val="2"/>
          <w:sz w:val="24"/>
          <w:szCs w:val="24"/>
          <w:highlight w:val="none"/>
          <w:lang w:val="en-US" w:eastAsia="zh-CN" w:bidi="ar-SA"/>
        </w:rPr>
        <w:t>t/a，属于一般固废，经收集后回用于</w:t>
      </w:r>
      <w:r>
        <w:rPr>
          <w:rFonts w:hint="eastAsia" w:ascii="Times New Roman" w:hAnsi="Times New Roman" w:eastAsia="宋体" w:cs="Times New Roman"/>
          <w:color w:val="000000"/>
          <w:sz w:val="24"/>
          <w:lang w:val="en-US" w:eastAsia="zh-CN"/>
        </w:rPr>
        <w:t>堆肥工段</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000000"/>
          <w:kern w:val="2"/>
          <w:sz w:val="24"/>
          <w:szCs w:val="24"/>
          <w:highlight w:val="none"/>
          <w:lang w:val="en-US" w:eastAsia="zh-CN" w:bidi="ar-SA"/>
        </w:rPr>
        <w:t>本项目</w:t>
      </w:r>
      <w:r>
        <w:rPr>
          <w:rFonts w:hint="eastAsia" w:cs="Times New Roman"/>
          <w:color w:val="000000"/>
          <w:kern w:val="2"/>
          <w:sz w:val="24"/>
          <w:szCs w:val="24"/>
          <w:highlight w:val="none"/>
          <w:lang w:val="en-US" w:eastAsia="zh-CN" w:bidi="ar-SA"/>
        </w:rPr>
        <w:t>饲料加工区</w:t>
      </w:r>
      <w:r>
        <w:rPr>
          <w:rFonts w:hint="eastAsia" w:ascii="Times New Roman" w:hAnsi="Times New Roman" w:eastAsia="宋体" w:cs="Times New Roman"/>
          <w:color w:val="000000"/>
          <w:kern w:val="2"/>
          <w:sz w:val="24"/>
          <w:szCs w:val="24"/>
          <w:highlight w:val="none"/>
          <w:lang w:val="en-US" w:eastAsia="zh-CN" w:bidi="ar-SA"/>
        </w:rPr>
        <w:t>除尘器收集粉尘产生量约为</w:t>
      </w:r>
      <w:r>
        <w:rPr>
          <w:rFonts w:hint="eastAsia" w:cs="Times New Roman"/>
          <w:color w:val="000000"/>
          <w:kern w:val="2"/>
          <w:sz w:val="24"/>
          <w:szCs w:val="24"/>
          <w:highlight w:val="none"/>
          <w:lang w:val="en-US" w:eastAsia="zh-CN" w:bidi="ar-SA"/>
        </w:rPr>
        <w:t>0.46</w:t>
      </w:r>
      <w:r>
        <w:rPr>
          <w:rFonts w:hint="eastAsia" w:ascii="Times New Roman" w:hAnsi="Times New Roman" w:eastAsia="宋体" w:cs="Times New Roman"/>
          <w:color w:val="000000"/>
          <w:kern w:val="2"/>
          <w:sz w:val="24"/>
          <w:szCs w:val="24"/>
          <w:highlight w:val="none"/>
          <w:lang w:val="en-US" w:eastAsia="zh-CN" w:bidi="ar-SA"/>
        </w:rPr>
        <w:t>t/a，属于一般固废，经收集后回用于</w:t>
      </w:r>
      <w:r>
        <w:rPr>
          <w:rFonts w:hint="eastAsia" w:cs="Times New Roman"/>
          <w:color w:val="000000"/>
          <w:kern w:val="2"/>
          <w:sz w:val="24"/>
          <w:szCs w:val="24"/>
          <w:highlight w:val="none"/>
          <w:lang w:val="en-US" w:eastAsia="zh-CN" w:bidi="ar-SA"/>
        </w:rPr>
        <w:t>饲料加工</w:t>
      </w:r>
      <w:r>
        <w:rPr>
          <w:rFonts w:hint="eastAsia" w:ascii="Times New Roman" w:hAnsi="Times New Roman" w:eastAsia="宋体" w:cs="Times New Roman"/>
          <w:color w:val="000000"/>
          <w:kern w:val="2"/>
          <w:sz w:val="24"/>
          <w:szCs w:val="24"/>
          <w:highlight w:val="none"/>
          <w:lang w:val="en-US" w:eastAsia="zh-CN" w:bidi="ar-SA"/>
        </w:rPr>
        <w:t>。</w:t>
      </w:r>
    </w:p>
    <w:p w14:paraId="2359C35C">
      <w:pPr>
        <w:pageBreakBefore w:val="0"/>
        <w:widowControl w:val="0"/>
        <w:numPr>
          <w:ilvl w:val="0"/>
          <w:numId w:val="0"/>
        </w:numPr>
        <w:kinsoku/>
        <w:wordWrap/>
        <w:overflowPunct/>
        <w:topLinePunct w:val="0"/>
        <w:autoSpaceDE/>
        <w:autoSpaceDN/>
        <w:bidi w:val="0"/>
        <w:adjustRightInd/>
        <w:snapToGrid/>
        <w:spacing w:before="0" w:after="0" w:line="480" w:lineRule="exact"/>
        <w:ind w:leftChars="200" w:right="0" w:rightChars="0"/>
        <w:jc w:val="both"/>
        <w:textAlignment w:val="auto"/>
        <w:rPr>
          <w:rFonts w:hint="eastAsia" w:cs="Times New Roman"/>
          <w:snapToGrid w:val="0"/>
          <w:color w:val="000000"/>
          <w:sz w:val="24"/>
          <w:szCs w:val="24"/>
          <w:highlight w:val="none"/>
          <w:lang w:val="en-US" w:eastAsia="zh-CN" w:bidi="ar-SA"/>
        </w:rPr>
      </w:pPr>
      <w:r>
        <w:rPr>
          <w:rFonts w:hint="eastAsia" w:cs="Times New Roman"/>
          <w:snapToGrid w:val="0"/>
          <w:color w:val="000000"/>
          <w:sz w:val="24"/>
          <w:szCs w:val="24"/>
          <w:highlight w:val="none"/>
          <w:lang w:val="en-US" w:eastAsia="zh-CN" w:bidi="ar-SA"/>
        </w:rPr>
        <w:t>（7）废布袋</w:t>
      </w:r>
    </w:p>
    <w:p w14:paraId="7DF9E95C">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堆肥间</w:t>
      </w:r>
      <w:r>
        <w:rPr>
          <w:rFonts w:hint="default" w:ascii="Times New Roman" w:hAnsi="Times New Roman" w:eastAsia="宋体" w:cs="Times New Roman"/>
          <w:color w:val="000000"/>
          <w:kern w:val="2"/>
          <w:sz w:val="24"/>
          <w:szCs w:val="24"/>
          <w:highlight w:val="none"/>
          <w:lang w:val="en-US" w:eastAsia="zh-CN" w:bidi="ar-SA"/>
        </w:rPr>
        <w:t>袋式除尘器</w:t>
      </w:r>
      <w:r>
        <w:rPr>
          <w:rFonts w:hint="eastAsia" w:ascii="Times New Roman" w:hAnsi="Times New Roman" w:eastAsia="宋体" w:cs="Times New Roman"/>
          <w:color w:val="000000"/>
          <w:kern w:val="2"/>
          <w:sz w:val="24"/>
          <w:szCs w:val="24"/>
          <w:highlight w:val="none"/>
          <w:lang w:val="en-US" w:eastAsia="zh-CN" w:bidi="ar-SA"/>
        </w:rPr>
        <w:t>、饲料加工</w:t>
      </w:r>
      <w:r>
        <w:rPr>
          <w:rFonts w:hint="eastAsia" w:cs="Times New Roman"/>
          <w:color w:val="000000"/>
          <w:kern w:val="2"/>
          <w:sz w:val="24"/>
          <w:szCs w:val="24"/>
          <w:highlight w:val="none"/>
          <w:lang w:val="en-US" w:eastAsia="zh-CN" w:bidi="ar-SA"/>
        </w:rPr>
        <w:t>区</w:t>
      </w:r>
      <w:r>
        <w:rPr>
          <w:rFonts w:hint="default" w:ascii="Times New Roman" w:hAnsi="Times New Roman" w:eastAsia="宋体" w:cs="Times New Roman"/>
          <w:color w:val="000000"/>
          <w:kern w:val="2"/>
          <w:sz w:val="24"/>
          <w:szCs w:val="24"/>
          <w:highlight w:val="none"/>
          <w:lang w:val="en-US" w:eastAsia="zh-CN" w:bidi="ar-SA"/>
        </w:rPr>
        <w:t>袋式除尘器</w:t>
      </w:r>
      <w:r>
        <w:rPr>
          <w:rFonts w:hint="eastAsia" w:ascii="Times New Roman" w:hAnsi="Times New Roman" w:eastAsia="宋体" w:cs="Times New Roman"/>
          <w:color w:val="000000"/>
          <w:kern w:val="2"/>
          <w:sz w:val="24"/>
          <w:szCs w:val="24"/>
          <w:highlight w:val="none"/>
          <w:lang w:val="en-US" w:eastAsia="zh-CN" w:bidi="ar-SA"/>
        </w:rPr>
        <w:t>需要定期更换布袋，共计0.</w:t>
      </w:r>
      <w:r>
        <w:rPr>
          <w:rFonts w:hint="eastAsia" w:cs="Times New Roman"/>
          <w:color w:val="000000"/>
          <w:kern w:val="2"/>
          <w:sz w:val="24"/>
          <w:szCs w:val="24"/>
          <w:highlight w:val="none"/>
          <w:lang w:val="en-US" w:eastAsia="zh-CN" w:bidi="ar-SA"/>
        </w:rPr>
        <w:t>4</w:t>
      </w:r>
      <w:r>
        <w:rPr>
          <w:rFonts w:hint="eastAsia" w:ascii="Times New Roman" w:hAnsi="Times New Roman" w:eastAsia="宋体" w:cs="Times New Roman"/>
          <w:color w:val="000000"/>
          <w:kern w:val="2"/>
          <w:sz w:val="24"/>
          <w:szCs w:val="24"/>
          <w:highlight w:val="none"/>
          <w:lang w:val="en-US" w:eastAsia="zh-CN" w:bidi="ar-SA"/>
        </w:rPr>
        <w:t>t/a，</w:t>
      </w:r>
      <w:r>
        <w:rPr>
          <w:rFonts w:hint="eastAsia" w:ascii="Times New Roman" w:hAnsi="Times New Roman" w:eastAsia="宋体" w:cs="Times New Roman"/>
          <w:snapToGrid w:val="0"/>
          <w:color w:val="000000"/>
          <w:sz w:val="24"/>
          <w:szCs w:val="24"/>
          <w:highlight w:val="none"/>
          <w:lang w:val="en-US" w:eastAsia="zh-CN" w:bidi="ar-SA"/>
        </w:rPr>
        <w:t>属于一般</w:t>
      </w:r>
      <w:r>
        <w:rPr>
          <w:rFonts w:hint="eastAsia" w:cs="Times New Roman"/>
          <w:snapToGrid w:val="0"/>
          <w:color w:val="000000"/>
          <w:sz w:val="24"/>
          <w:szCs w:val="24"/>
          <w:highlight w:val="none"/>
          <w:lang w:val="en-US" w:eastAsia="zh-CN" w:bidi="ar-SA"/>
        </w:rPr>
        <w:t>工业</w:t>
      </w:r>
      <w:r>
        <w:rPr>
          <w:rFonts w:hint="eastAsia" w:ascii="Times New Roman" w:hAnsi="Times New Roman" w:eastAsia="宋体" w:cs="Times New Roman"/>
          <w:snapToGrid w:val="0"/>
          <w:color w:val="000000"/>
          <w:sz w:val="24"/>
          <w:szCs w:val="24"/>
          <w:highlight w:val="none"/>
          <w:lang w:val="en-US" w:eastAsia="zh-CN" w:bidi="ar-SA"/>
        </w:rPr>
        <w:t>固废，</w:t>
      </w:r>
      <w:r>
        <w:rPr>
          <w:rFonts w:hint="eastAsia" w:ascii="Times New Roman" w:hAnsi="Times New Roman" w:eastAsia="宋体" w:cs="Times New Roman"/>
          <w:color w:val="000000"/>
          <w:kern w:val="2"/>
          <w:sz w:val="24"/>
          <w:szCs w:val="24"/>
          <w:highlight w:val="none"/>
          <w:lang w:val="en-US" w:eastAsia="zh-CN" w:bidi="ar-SA"/>
        </w:rPr>
        <w:t>更换后的废布袋集中收集暂存于堆肥间，由原厂回收。</w:t>
      </w:r>
    </w:p>
    <w:p w14:paraId="5BFA3FB2">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w:t>
      </w:r>
      <w:r>
        <w:rPr>
          <w:rFonts w:hint="eastAsia" w:cs="Times New Roman"/>
          <w:snapToGrid w:val="0"/>
          <w:color w:val="000000"/>
          <w:sz w:val="24"/>
          <w:szCs w:val="24"/>
          <w:highlight w:val="none"/>
          <w:lang w:val="en-US" w:eastAsia="zh-CN" w:bidi="ar-SA"/>
        </w:rPr>
        <w:t>8</w:t>
      </w:r>
      <w:r>
        <w:rPr>
          <w:rFonts w:hint="eastAsia" w:ascii="Times New Roman" w:hAnsi="Times New Roman" w:eastAsia="宋体" w:cs="Times New Roman"/>
          <w:snapToGrid w:val="0"/>
          <w:color w:val="000000"/>
          <w:sz w:val="24"/>
          <w:szCs w:val="24"/>
          <w:highlight w:val="none"/>
          <w:lang w:val="en-US" w:eastAsia="zh-CN" w:bidi="ar-SA"/>
        </w:rPr>
        <w:t>）废填料</w:t>
      </w:r>
    </w:p>
    <w:p w14:paraId="5CEC9C5F">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ascii="Times New Roman" w:hAnsi="Times New Roman" w:eastAsia="宋体"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本项目堆肥间生物除臭填料需定期更换，填料主要为聚丙烯、陶粒、颗粒活性炭等惰性填料，属于一般固废，产生量约为0.5t/a，集中收集后暂存于堆肥间内，定期外售回收单位综合利用。</w:t>
      </w:r>
    </w:p>
    <w:p w14:paraId="09CAD30F">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ascii="Times New Roman" w:hAnsi="Times New Roman" w:eastAsia="宋体" w:cs="Times New Roman"/>
          <w:snapToGrid w:val="0"/>
          <w:color w:val="000000"/>
          <w:sz w:val="24"/>
          <w:szCs w:val="24"/>
          <w:highlight w:val="none"/>
          <w:lang w:val="en-US" w:eastAsia="zh-CN" w:bidi="ar-SA"/>
        </w:rPr>
      </w:pPr>
      <w:r>
        <w:rPr>
          <w:rFonts w:hint="eastAsia" w:ascii="Times New Roman" w:hAnsi="Times New Roman" w:eastAsia="宋体" w:cs="Times New Roman"/>
          <w:snapToGrid w:val="0"/>
          <w:color w:val="000000"/>
          <w:sz w:val="24"/>
          <w:szCs w:val="24"/>
          <w:highlight w:val="none"/>
          <w:lang w:val="en-US" w:eastAsia="zh-CN" w:bidi="ar-SA"/>
        </w:rPr>
        <w:t>（</w:t>
      </w:r>
      <w:r>
        <w:rPr>
          <w:rFonts w:hint="eastAsia" w:cs="Times New Roman"/>
          <w:snapToGrid w:val="0"/>
          <w:color w:val="000000"/>
          <w:sz w:val="24"/>
          <w:szCs w:val="24"/>
          <w:highlight w:val="none"/>
          <w:lang w:val="en-US" w:eastAsia="zh-CN" w:bidi="ar-SA"/>
        </w:rPr>
        <w:t>9</w:t>
      </w:r>
      <w:r>
        <w:rPr>
          <w:rFonts w:hint="eastAsia" w:ascii="Times New Roman" w:hAnsi="Times New Roman" w:eastAsia="宋体" w:cs="Times New Roman"/>
          <w:snapToGrid w:val="0"/>
          <w:color w:val="000000"/>
          <w:sz w:val="24"/>
          <w:szCs w:val="24"/>
          <w:highlight w:val="none"/>
          <w:lang w:val="en-US" w:eastAsia="zh-CN" w:bidi="ar-SA"/>
        </w:rPr>
        <w:t>）一般工业固体废物处置管理建议</w:t>
      </w:r>
    </w:p>
    <w:p w14:paraId="72DDAEE8">
      <w:pPr>
        <w:widowControl w:val="0"/>
        <w:spacing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固体废物污染防治法规定</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建设项目的环境影响评价文件确定需要配套建设的固体废物污染环境防治设施，必须与主体工程同时设计、同时施工、同时投入使用。固体废物污染环境防治设施必须经原审批环境影响评价文件的环境保护行政主管部门验收合格后，该建设项目方可投入生产或者使用。对固体废物污染环境防治设施的验收应当与对主体工程的验收同时进行</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。根据这些规定，本项目固体废物污染环境防治设施必须做到</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三同时</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w:t>
      </w:r>
    </w:p>
    <w:p w14:paraId="31F274A2">
      <w:pPr>
        <w:widowControl w:val="0"/>
        <w:spacing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为了进一步降低固体废物的影响，建议建设单位在实践中逐步确定新的废物管理模式，对所有固体废物进行监控管理。</w:t>
      </w:r>
    </w:p>
    <w:p w14:paraId="73E861F8">
      <w:pPr>
        <w:widowControl w:val="0"/>
        <w:spacing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①全过程管理</w:t>
      </w:r>
    </w:p>
    <w:p w14:paraId="6135A749">
      <w:pPr>
        <w:widowControl w:val="0"/>
        <w:spacing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即对废物从</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出生</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那一时刻起对废物的产生、收集、运输、贮存、再循环、再利用、加工处理直至最终处置实行全过程管理，以实现废物减量化、资源化和无害化。</w:t>
      </w:r>
    </w:p>
    <w:p w14:paraId="28B7D415">
      <w:pPr>
        <w:widowControl w:val="0"/>
        <w:spacing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②对排放废物进行审计</w:t>
      </w:r>
    </w:p>
    <w:p w14:paraId="1DC4405F">
      <w:pPr>
        <w:bidi w:val="0"/>
        <w:spacing w:line="360" w:lineRule="auto"/>
        <w:ind w:firstLine="480" w:firstLineChars="200"/>
        <w:rPr>
          <w:rFonts w:hint="default" w:ascii="Times New Roman" w:hAnsi="Times New Roman" w:eastAsia="宋体" w:cs="Times New Roman"/>
        </w:rPr>
      </w:pPr>
      <w:r>
        <w:rPr>
          <w:rFonts w:hint="default" w:ascii="Times New Roman" w:hAnsi="Times New Roman" w:eastAsia="宋体" w:cs="Times New Roman"/>
          <w:sz w:val="24"/>
          <w:szCs w:val="24"/>
          <w:lang w:val="en-US" w:eastAsia="zh-CN"/>
        </w:rPr>
        <w:t>废物审计制度是对废物从产生、处理到处置排放实行全过程监督的有效手段。其主要内容有：①废物合理的产生量；②废物流向和分配及监测记录；③废物处理和转化；④废物有效排放和废物总量衡算；⑤废物从产生到处理的全过程评估。</w:t>
      </w:r>
    </w:p>
    <w:p w14:paraId="3222A2AB">
      <w:pPr>
        <w:widowControl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bookmarkStart w:id="744" w:name="_Toc229909590"/>
      <w:bookmarkStart w:id="745" w:name="_Toc32569"/>
      <w:bookmarkStart w:id="746" w:name="_Toc11381"/>
      <w:r>
        <w:rPr>
          <w:rFonts w:hint="eastAsia" w:ascii="Times New Roman" w:hAnsi="Times New Roman" w:eastAsia="宋体" w:cs="Times New Roman"/>
          <w:color w:val="000000"/>
          <w:kern w:val="2"/>
          <w:sz w:val="24"/>
          <w:szCs w:val="24"/>
          <w:highlight w:val="none"/>
          <w:lang w:val="en-US" w:eastAsia="zh-CN" w:bidi="ar-SA"/>
        </w:rPr>
        <w:t>根据《一般工业固体废物贮存和填埋污染控制标准》（GB 18599-2020）：</w:t>
      </w:r>
    </w:p>
    <w:p w14:paraId="664EC1BE">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（1）贮存场选址要求 </w:t>
      </w:r>
    </w:p>
    <w:p w14:paraId="238936EA">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①一般工业固体废物贮存场的选址应符合环境保护法律法规及相关法定规划要求。  </w:t>
      </w:r>
    </w:p>
    <w:p w14:paraId="55311CB6">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②贮存场的位置与周围居民区的距离应依据环境影响评价文件及审批意见确定。  </w:t>
      </w:r>
    </w:p>
    <w:p w14:paraId="04C2D8C0">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③贮存场不得选在生态保护红线区域、永久基本农田集中区域和其他需要特别保护的区域内。 </w:t>
      </w:r>
    </w:p>
    <w:p w14:paraId="02998B7C">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④贮存场、填埋场应避开活动断层、溶洞区、天然滑坡或泥石流影响区以及湿地等区域。  </w:t>
      </w:r>
    </w:p>
    <w:p w14:paraId="1CB13D3B">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⑤贮存场、填埋场不得选在江河、湖泊、运河、渠道、水库最高水位线以下的滩地和岸坡以及国家和地方长远规划中的水库等人工蓄水设施的淹没区和保护区之内。 </w:t>
      </w:r>
    </w:p>
    <w:p w14:paraId="0069DE04">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⑥上述选址规定不适用于一般工业固体废物的充填和回填。</w:t>
      </w:r>
    </w:p>
    <w:p w14:paraId="43977F61">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（2）贮存场技术要求 </w:t>
      </w:r>
    </w:p>
    <w:p w14:paraId="24D53077">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①一般规定 </w:t>
      </w:r>
    </w:p>
    <w:p w14:paraId="183D4EDC">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贮存场的防洪标准应按重现期不小于50年一遇的洪水位设计，国家已有标准提出更高要求的除外。 </w:t>
      </w:r>
    </w:p>
    <w:p w14:paraId="4C5ED3B7">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3）贮存场一般应包括以下单元： </w:t>
      </w:r>
    </w:p>
    <w:p w14:paraId="4B31DB80">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a）防渗系统、渗滤液收集和导排系统； </w:t>
      </w:r>
    </w:p>
    <w:p w14:paraId="572001C9">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b）雨污分流系统； </w:t>
      </w:r>
    </w:p>
    <w:p w14:paraId="090BB42D">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c）分析化验与环境监测系统； </w:t>
      </w:r>
    </w:p>
    <w:p w14:paraId="6E92B609">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d）公用工程和配套设施； </w:t>
      </w:r>
    </w:p>
    <w:p w14:paraId="3E5888E1">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e）地下水导排系统和废水处理系统（根据具体情况选择设置） 。 </w:t>
      </w:r>
    </w:p>
    <w:p w14:paraId="2A5158FD">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4）贮存场施工方案中应包括施工质量保证和施工质量控制内容，明确环保条款和责任，作为项目竣工环境保护验收的依据，同时可作为建设环境监理的主要内容。 </w:t>
      </w:r>
    </w:p>
    <w:p w14:paraId="53340F62">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5）贮存场在施工完毕后应保存施工报告、全套竣工图、所有材料的现场及实验室检测报告。采用高密度聚乙烯膜作为人工合成材料衬层的贮存场还应提交人工防渗衬层完整性检测报告。上述材料连同施工质量保证书作为竣工环境保护验收的依据。 </w:t>
      </w:r>
    </w:p>
    <w:p w14:paraId="2032FEA1">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6）贮存场渗滤液调节池的防渗要求应不低于对应贮存场的防渗要求。 </w:t>
      </w:r>
    </w:p>
    <w:p w14:paraId="01E14D90">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7）贮存场除应符合本标准规定的污染控制技术要求之外，其设计、施工、运行、封场等还应符合相关行政法规规定、国家及行业标准要求。 </w:t>
      </w:r>
    </w:p>
    <w:p w14:paraId="2092770A">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②I类场技术要求 </w:t>
      </w:r>
    </w:p>
    <w:p w14:paraId="73E589E8">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1）当天然基础层饱和渗透系数不大于1.0×10</w:t>
      </w:r>
      <w:r>
        <w:rPr>
          <w:rFonts w:hint="eastAsia" w:ascii="Times New Roman" w:hAnsi="Times New Roman" w:eastAsia="宋体" w:cs="Times New Roman"/>
          <w:color w:val="auto"/>
          <w:kern w:val="0"/>
          <w:sz w:val="24"/>
          <w:szCs w:val="24"/>
          <w:vertAlign w:val="superscript"/>
          <w:lang w:val="en-US" w:eastAsia="zh-CN"/>
        </w:rPr>
        <w:t>-5</w:t>
      </w:r>
      <w:r>
        <w:rPr>
          <w:rFonts w:hint="eastAsia" w:ascii="Times New Roman" w:hAnsi="Times New Roman" w:eastAsia="宋体" w:cs="Times New Roman"/>
          <w:color w:val="auto"/>
          <w:kern w:val="0"/>
          <w:sz w:val="24"/>
          <w:szCs w:val="24"/>
          <w:lang w:val="en-US" w:eastAsia="zh-CN"/>
        </w:rPr>
        <w:t xml:space="preserve"> cm/s，且厚度不小于0.75 m时，可以采用天然基础层作为防渗衬层。 </w:t>
      </w:r>
    </w:p>
    <w:p w14:paraId="00B23349">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2）当天然基础层不能满足1）条防渗要求时，可采用改性压实粘土类衬层或具有同等以上隔水效力的其他材料防渗衬层，其防渗性能应至少相当于渗透系数为1.0×10</w:t>
      </w:r>
      <w:r>
        <w:rPr>
          <w:rFonts w:hint="eastAsia" w:ascii="Times New Roman" w:hAnsi="Times New Roman" w:eastAsia="宋体" w:cs="Times New Roman"/>
          <w:color w:val="auto"/>
          <w:kern w:val="0"/>
          <w:sz w:val="24"/>
          <w:szCs w:val="24"/>
          <w:vertAlign w:val="superscript"/>
          <w:lang w:val="en-US" w:eastAsia="zh-CN"/>
        </w:rPr>
        <w:t>-5</w:t>
      </w:r>
      <w:r>
        <w:rPr>
          <w:rFonts w:hint="eastAsia" w:ascii="Times New Roman" w:hAnsi="Times New Roman" w:eastAsia="宋体" w:cs="Times New Roman"/>
          <w:color w:val="auto"/>
          <w:kern w:val="0"/>
          <w:sz w:val="24"/>
          <w:szCs w:val="24"/>
          <w:lang w:val="en-US" w:eastAsia="zh-CN"/>
        </w:rPr>
        <w:t xml:space="preserve"> cm/s且厚度为0.75 m的天然基础层。 </w:t>
      </w:r>
    </w:p>
    <w:p w14:paraId="5BBB08ED">
      <w:pPr>
        <w:widowControl w:val="0"/>
        <w:wordWrap/>
        <w:adjustRightInd/>
        <w:snapToGrid/>
        <w:spacing w:line="360" w:lineRule="auto"/>
        <w:ind w:firstLine="480" w:firstLineChars="200"/>
        <w:textAlignment w:val="auto"/>
        <w:rPr>
          <w:rFonts w:hint="default" w:ascii="Times New Roman" w:hAnsi="Times New Roman" w:eastAsia="宋体" w:cs="Times New Roman"/>
          <w:b/>
          <w:bCs/>
          <w:color w:val="000000"/>
          <w:kern w:val="0"/>
          <w:sz w:val="30"/>
          <w:szCs w:val="30"/>
          <w:highlight w:val="none"/>
          <w:lang w:val="en-US" w:eastAsia="zh-CN" w:bidi="ar-SA"/>
        </w:rPr>
      </w:pPr>
      <w:r>
        <w:rPr>
          <w:rFonts w:hint="eastAsia" w:ascii="Times New Roman" w:hAnsi="Times New Roman" w:eastAsia="宋体" w:cs="Times New Roman"/>
          <w:color w:val="auto"/>
          <w:kern w:val="0"/>
          <w:sz w:val="24"/>
          <w:szCs w:val="24"/>
          <w:lang w:val="en-US" w:eastAsia="zh-CN"/>
        </w:rPr>
        <w:t>本项目堆肥间、</w:t>
      </w:r>
      <w:r>
        <w:rPr>
          <w:rFonts w:hint="eastAsia" w:cs="Times New Roman"/>
          <w:color w:val="auto"/>
          <w:kern w:val="0"/>
          <w:sz w:val="24"/>
          <w:szCs w:val="24"/>
          <w:lang w:val="en-US" w:eastAsia="zh-CN"/>
        </w:rPr>
        <w:t>库房</w:t>
      </w:r>
      <w:r>
        <w:rPr>
          <w:rFonts w:hint="eastAsia" w:ascii="Times New Roman" w:hAnsi="Times New Roman" w:eastAsia="宋体" w:cs="Times New Roman"/>
          <w:color w:val="auto"/>
          <w:kern w:val="0"/>
          <w:sz w:val="24"/>
          <w:szCs w:val="24"/>
          <w:lang w:val="en-US" w:eastAsia="zh-CN"/>
        </w:rPr>
        <w:t>设置</w:t>
      </w:r>
      <w:r>
        <w:rPr>
          <w:rFonts w:hint="default" w:ascii="Times New Roman" w:hAnsi="Times New Roman" w:eastAsia="宋体" w:cs="Times New Roman"/>
          <w:color w:val="000000"/>
          <w:kern w:val="2"/>
          <w:sz w:val="24"/>
          <w:szCs w:val="20"/>
          <w:highlight w:val="none"/>
          <w:lang w:val="en-US" w:eastAsia="zh-CN"/>
        </w:rPr>
        <w:t>采用厚度Mb=1.5m，渗透系数K≤10</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cm/s防渗等效的20cm厚P4等级混凝土进行防渗。防渗技术要求为：等效黏土防渗层Mb≥1.5m，K≤1×10</w:t>
      </w:r>
      <w:r>
        <w:rPr>
          <w:rFonts w:hint="eastAsia" w:ascii="Times New Roman" w:hAnsi="Times New Roman" w:eastAsia="宋体" w:cs="Times New Roman"/>
          <w:color w:val="000000"/>
          <w:kern w:val="2"/>
          <w:sz w:val="24"/>
          <w:szCs w:val="20"/>
          <w:highlight w:val="none"/>
          <w:vertAlign w:val="superscript"/>
          <w:lang w:val="en-US" w:eastAsia="zh-CN"/>
        </w:rPr>
        <w:t>-</w:t>
      </w:r>
      <w:r>
        <w:rPr>
          <w:rFonts w:hint="default"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，满足贮存要求。</w:t>
      </w:r>
    </w:p>
    <w:p w14:paraId="388AC41B">
      <w:pPr>
        <w:keepNext w:val="0"/>
        <w:keepLines w:val="0"/>
        <w:widowControl w:val="0"/>
        <w:numPr>
          <w:ilvl w:val="2"/>
          <w:numId w:val="0"/>
        </w:numPr>
        <w:spacing w:before="0" w:after="0" w:line="360" w:lineRule="auto"/>
        <w:ind w:leftChars="0"/>
        <w:jc w:val="both"/>
        <w:outlineLvl w:val="2"/>
        <w:rPr>
          <w:rFonts w:hint="default"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7</w:t>
      </w:r>
      <w:r>
        <w:rPr>
          <w:rFonts w:hint="default" w:ascii="Times New Roman" w:hAnsi="Times New Roman" w:eastAsia="宋体" w:cs="Times New Roman"/>
          <w:b/>
          <w:bCs/>
          <w:kern w:val="2"/>
          <w:sz w:val="28"/>
          <w:szCs w:val="28"/>
          <w:lang w:val="en-US" w:eastAsia="zh-CN" w:bidi="ar-SA"/>
        </w:rPr>
        <w:t>.2.5生态环境保护措施</w:t>
      </w:r>
      <w:bookmarkEnd w:id="744"/>
      <w:bookmarkEnd w:id="745"/>
      <w:bookmarkEnd w:id="746"/>
    </w:p>
    <w:p w14:paraId="0711A116">
      <w:pPr>
        <w:widowControl w:val="0"/>
        <w:spacing w:line="360" w:lineRule="auto"/>
        <w:ind w:firstLine="480" w:firstLineChars="200"/>
        <w:jc w:val="both"/>
        <w:rPr>
          <w:rFonts w:ascii="Times New Roman" w:hAnsi="Times New Roman" w:eastAsia="宋体" w:cs="Times New Roman"/>
          <w:color w:val="000000"/>
          <w:kern w:val="2"/>
          <w:sz w:val="24"/>
          <w:szCs w:val="24"/>
          <w:highlight w:val="none"/>
          <w:lang w:val="en-US" w:eastAsia="zh-CN" w:bidi="ar-SA"/>
        </w:rPr>
      </w:pPr>
      <w:r>
        <w:rPr>
          <w:rFonts w:ascii="Times New Roman" w:hAnsi="Times New Roman" w:eastAsia="宋体" w:cs="Times New Roman"/>
          <w:color w:val="000000"/>
          <w:kern w:val="2"/>
          <w:sz w:val="24"/>
          <w:szCs w:val="24"/>
          <w:highlight w:val="none"/>
          <w:lang w:val="en-US" w:eastAsia="zh-CN" w:bidi="ar-SA"/>
        </w:rPr>
        <w:t>绿化环境对净化空气、减弱噪声、调节生态平衡、改善小气候，促进人的身心健康起着特殊重要的作用，搞好绿化是企业环保工作的重要部分，起着特殊重要的作用，是企业现代化清洁文明生产的重要标志。</w:t>
      </w:r>
    </w:p>
    <w:p w14:paraId="46E27E3F">
      <w:pPr>
        <w:widowControl w:val="0"/>
        <w:spacing w:line="360" w:lineRule="auto"/>
        <w:ind w:firstLine="480" w:firstLineChars="200"/>
        <w:jc w:val="both"/>
        <w:rPr>
          <w:rFonts w:hint="default" w:ascii="Times New Roman" w:hAnsi="Times New Roman" w:eastAsia="宋体" w:cs="Times New Roman"/>
          <w:sz w:val="24"/>
        </w:rPr>
      </w:pPr>
      <w:r>
        <w:rPr>
          <w:rFonts w:hint="eastAsia" w:ascii="Times New Roman" w:hAnsi="Times New Roman" w:eastAsia="宋体" w:cs="Times New Roman"/>
          <w:color w:val="000000"/>
          <w:kern w:val="2"/>
          <w:sz w:val="24"/>
          <w:szCs w:val="24"/>
          <w:highlight w:val="none"/>
          <w:lang w:val="en-US" w:eastAsia="zh-CN" w:bidi="ar-SA"/>
        </w:rPr>
        <w:t xml:space="preserve">拟建项目宜在不影响安全和生产的前提下，为改善生产环境，提高绿化覆盖面积，在厂界和生产区之间的空地上等可绿化之处种植草坪和树木进行绿化。 </w:t>
      </w:r>
      <w:r>
        <w:rPr>
          <w:rFonts w:ascii="Times New Roman" w:hAnsi="Times New Roman" w:eastAsia="宋体" w:cs="Times New Roman"/>
          <w:color w:val="000000"/>
          <w:kern w:val="2"/>
          <w:sz w:val="24"/>
          <w:szCs w:val="24"/>
          <w:highlight w:val="none"/>
          <w:lang w:val="en-US" w:eastAsia="zh-CN" w:bidi="ar-SA"/>
        </w:rPr>
        <w:t>本项目绿化布置采用点、线、面结合的方式，充分利用不宜建筑的边角隙地，对不规则用地进行规则处理，取得别开生面的环境美化效果，重点在</w:t>
      </w:r>
      <w:r>
        <w:rPr>
          <w:rFonts w:hint="eastAsia" w:ascii="Times New Roman" w:hAnsi="Times New Roman" w:eastAsia="宋体" w:cs="Times New Roman"/>
          <w:color w:val="000000"/>
          <w:kern w:val="2"/>
          <w:sz w:val="24"/>
          <w:szCs w:val="24"/>
          <w:highlight w:val="none"/>
          <w:lang w:val="en-US" w:eastAsia="zh-CN" w:bidi="ar-SA"/>
        </w:rPr>
        <w:t>场区</w:t>
      </w:r>
      <w:r>
        <w:rPr>
          <w:rFonts w:ascii="Times New Roman" w:hAnsi="Times New Roman" w:eastAsia="宋体" w:cs="Times New Roman"/>
          <w:color w:val="000000"/>
          <w:kern w:val="2"/>
          <w:sz w:val="24"/>
          <w:szCs w:val="24"/>
          <w:highlight w:val="none"/>
          <w:lang w:val="en-US" w:eastAsia="zh-CN" w:bidi="ar-SA"/>
        </w:rPr>
        <w:t>绿化，做到绿化层次分明。主要道路两侧利用乔木、灌木及草本植物组成绿化带，充分发挥对道路两侧</w:t>
      </w:r>
      <w:r>
        <w:rPr>
          <w:rFonts w:hint="eastAsia" w:ascii="Times New Roman" w:hAnsi="Times New Roman" w:eastAsia="宋体" w:cs="Times New Roman"/>
          <w:color w:val="000000"/>
          <w:kern w:val="2"/>
          <w:sz w:val="24"/>
          <w:szCs w:val="24"/>
          <w:highlight w:val="none"/>
          <w:lang w:val="en-US" w:eastAsia="zh-CN" w:bidi="ar-SA"/>
        </w:rPr>
        <w:t>建筑</w:t>
      </w:r>
      <w:r>
        <w:rPr>
          <w:rFonts w:ascii="Times New Roman" w:hAnsi="Times New Roman" w:eastAsia="宋体" w:cs="Times New Roman"/>
          <w:color w:val="000000"/>
          <w:kern w:val="2"/>
          <w:sz w:val="24"/>
          <w:szCs w:val="24"/>
          <w:highlight w:val="none"/>
          <w:lang w:val="en-US" w:eastAsia="zh-CN" w:bidi="ar-SA"/>
        </w:rPr>
        <w:t>的</w:t>
      </w:r>
      <w:r>
        <w:rPr>
          <w:rFonts w:hint="eastAsia" w:ascii="Times New Roman" w:hAnsi="Times New Roman" w:eastAsia="宋体" w:cs="Times New Roman"/>
          <w:color w:val="000000"/>
          <w:kern w:val="2"/>
          <w:sz w:val="24"/>
          <w:szCs w:val="24"/>
          <w:highlight w:val="none"/>
          <w:lang w:val="en-US" w:eastAsia="zh-CN" w:bidi="ar-SA"/>
        </w:rPr>
        <w:t>遮荫</w:t>
      </w:r>
      <w:r>
        <w:rPr>
          <w:rFonts w:ascii="Times New Roman" w:hAnsi="Times New Roman" w:eastAsia="宋体" w:cs="Times New Roman"/>
          <w:color w:val="000000"/>
          <w:kern w:val="2"/>
          <w:sz w:val="24"/>
          <w:szCs w:val="24"/>
          <w:highlight w:val="none"/>
          <w:lang w:val="en-US" w:eastAsia="zh-CN" w:bidi="ar-SA"/>
        </w:rPr>
        <w:t>、美化等方面的作用。</w:t>
      </w:r>
      <w:r>
        <w:rPr>
          <w:rFonts w:hint="eastAsia" w:ascii="Times New Roman" w:hAnsi="Times New Roman" w:eastAsia="宋体" w:cs="Times New Roman"/>
          <w:color w:val="000000"/>
          <w:kern w:val="2"/>
          <w:sz w:val="24"/>
          <w:szCs w:val="24"/>
          <w:highlight w:val="none"/>
          <w:lang w:val="en-US" w:eastAsia="zh-CN" w:bidi="ar-SA"/>
        </w:rPr>
        <w:t>本项目绿化面积将不小于20</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。绿化设计将根据当地自然条件、植物生态习性与防污功能，结合生产特点和总平面布置图的要求，配合厂区竖向设计和管线综合设计进行</w:t>
      </w:r>
      <w:r>
        <w:rPr>
          <w:rFonts w:ascii="Times New Roman" w:hAnsi="Times New Roman" w:eastAsia="宋体" w:cs="Times New Roman"/>
          <w:color w:val="000000"/>
          <w:kern w:val="2"/>
          <w:sz w:val="24"/>
          <w:szCs w:val="24"/>
          <w:highlight w:val="none"/>
          <w:lang w:val="en-US" w:eastAsia="zh-CN" w:bidi="ar-SA"/>
        </w:rPr>
        <w:t>，使整个</w:t>
      </w:r>
      <w:r>
        <w:rPr>
          <w:rFonts w:hint="eastAsia" w:ascii="Times New Roman" w:hAnsi="Times New Roman" w:eastAsia="宋体" w:cs="Times New Roman"/>
          <w:color w:val="000000"/>
          <w:kern w:val="2"/>
          <w:sz w:val="24"/>
          <w:szCs w:val="24"/>
          <w:highlight w:val="none"/>
          <w:lang w:val="en-US" w:eastAsia="zh-CN" w:bidi="ar-SA"/>
        </w:rPr>
        <w:t>场区</w:t>
      </w:r>
      <w:r>
        <w:rPr>
          <w:rFonts w:ascii="Times New Roman" w:hAnsi="Times New Roman" w:eastAsia="宋体" w:cs="Times New Roman"/>
          <w:color w:val="000000"/>
          <w:kern w:val="2"/>
          <w:sz w:val="24"/>
          <w:szCs w:val="24"/>
          <w:highlight w:val="none"/>
          <w:lang w:val="en-US" w:eastAsia="zh-CN" w:bidi="ar-SA"/>
        </w:rPr>
        <w:t>构成一个优美的空间环境。</w:t>
      </w:r>
    </w:p>
    <w:p w14:paraId="06A4542C">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具体方案为：</w:t>
      </w:r>
    </w:p>
    <w:p w14:paraId="1C141BA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（1）养殖场场区绿化面积</w:t>
      </w:r>
      <w:r>
        <w:rPr>
          <w:rFonts w:hint="eastAsia" w:ascii="Times New Roman" w:hAnsi="Times New Roman" w:eastAsia="宋体" w:cs="Times New Roman"/>
          <w:sz w:val="24"/>
          <w:lang w:val="en-US" w:eastAsia="zh-CN"/>
        </w:rPr>
        <w:t>达到24000</w:t>
      </w:r>
      <w:r>
        <w:rPr>
          <w:rFonts w:hint="default" w:ascii="Times New Roman" w:hAnsi="Times New Roman" w:eastAsia="宋体" w:cs="Times New Roman"/>
          <w:sz w:val="24"/>
          <w:highlight w:val="none"/>
        </w:rPr>
        <w:t>m</w:t>
      </w:r>
      <w:r>
        <w:rPr>
          <w:rFonts w:hint="default" w:ascii="Times New Roman" w:hAnsi="Times New Roman" w:eastAsia="宋体" w:cs="Times New Roman"/>
          <w:sz w:val="24"/>
          <w:highlight w:val="none"/>
          <w:vertAlign w:val="superscript"/>
        </w:rPr>
        <w:t>2</w:t>
      </w:r>
      <w:r>
        <w:rPr>
          <w:rFonts w:hint="eastAsia" w:ascii="Times New Roman" w:hAnsi="Times New Roman" w:eastAsia="宋体" w:cs="Times New Roman"/>
          <w:sz w:val="24"/>
          <w:vertAlign w:val="baseline"/>
          <w:lang w:eastAsia="zh-CN"/>
        </w:rPr>
        <w:t>，</w:t>
      </w:r>
      <w:r>
        <w:rPr>
          <w:rFonts w:hint="eastAsia" w:ascii="Times New Roman" w:hAnsi="Times New Roman" w:eastAsia="宋体" w:cs="Times New Roman"/>
          <w:sz w:val="24"/>
          <w:vertAlign w:val="baseline"/>
          <w:lang w:val="en-US" w:eastAsia="zh-CN"/>
        </w:rPr>
        <w:t>在畜禽场周围和场区空闲地种植环保型树、花，绿化环境、净化空气，改善畜禽舍小气候，加强防疫，家畜养殖场场区绿化覆盖率达到20%，并在场外缓冲区建立绿化隔离带</w:t>
      </w:r>
      <w:r>
        <w:rPr>
          <w:rFonts w:hint="default" w:ascii="Times New Roman" w:hAnsi="Times New Roman" w:eastAsia="宋体" w:cs="Times New Roman"/>
          <w:sz w:val="24"/>
        </w:rPr>
        <w:t>。</w:t>
      </w:r>
    </w:p>
    <w:p w14:paraId="27ADAF4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（2）树种选择：</w:t>
      </w:r>
      <w:r>
        <w:rPr>
          <w:rFonts w:hint="eastAsia" w:ascii="Times New Roman" w:hAnsi="Times New Roman" w:eastAsia="宋体" w:cs="Times New Roman"/>
          <w:color w:val="000000"/>
          <w:kern w:val="2"/>
          <w:sz w:val="24"/>
          <w:szCs w:val="24"/>
          <w:highlight w:val="none"/>
          <w:lang w:val="en-US" w:eastAsia="zh-CN" w:bidi="ar-SA"/>
        </w:rPr>
        <w:t>按</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适地适树、适地适草</w:t>
      </w:r>
      <w:r>
        <w:rPr>
          <w:rFonts w:hint="eastAsia"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的原则，选择植物树种遵循耐旱、耐瘠薄、抗逆性及防风固沙能力强、易栽培管理并具有良好的景观效果；草种需耐寒、耐瘠薄、抗逆性强、根系发达、繁殖力强、生长快易形成生态绿地的品种。</w:t>
      </w:r>
      <w:r>
        <w:rPr>
          <w:rFonts w:hint="default" w:ascii="Times New Roman" w:hAnsi="Times New Roman" w:eastAsia="宋体" w:cs="Times New Roman"/>
          <w:sz w:val="24"/>
        </w:rPr>
        <w:t>建议以</w:t>
      </w:r>
      <w:r>
        <w:rPr>
          <w:rFonts w:hint="eastAsia" w:ascii="Times New Roman" w:hAnsi="Times New Roman" w:eastAsia="宋体" w:cs="Times New Roman"/>
          <w:sz w:val="24"/>
          <w:lang w:eastAsia="zh-CN"/>
        </w:rPr>
        <w:t>抗旱</w:t>
      </w:r>
      <w:r>
        <w:rPr>
          <w:rFonts w:hint="default" w:ascii="Times New Roman" w:hAnsi="Times New Roman" w:eastAsia="宋体" w:cs="Times New Roman"/>
          <w:sz w:val="24"/>
        </w:rPr>
        <w:t>性</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抗寒性</w:t>
      </w:r>
      <w:r>
        <w:rPr>
          <w:rFonts w:hint="default" w:ascii="Times New Roman" w:hAnsi="Times New Roman" w:eastAsia="宋体" w:cs="Times New Roman"/>
          <w:sz w:val="24"/>
        </w:rPr>
        <w:t>较强的树种为主，如榆树</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松树等</w:t>
      </w:r>
      <w:r>
        <w:rPr>
          <w:rFonts w:hint="default" w:ascii="Times New Roman" w:hAnsi="Times New Roman" w:eastAsia="宋体" w:cs="Times New Roman"/>
          <w:sz w:val="24"/>
        </w:rPr>
        <w:t>。</w:t>
      </w:r>
    </w:p>
    <w:p w14:paraId="49F818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rPr>
      </w:pPr>
      <w:r>
        <w:rPr>
          <w:rFonts w:hint="default" w:ascii="Times New Roman" w:hAnsi="Times New Roman" w:eastAsia="宋体" w:cs="Times New Roman"/>
          <w:sz w:val="24"/>
        </w:rPr>
        <w:t>（3）在养殖场</w:t>
      </w:r>
      <w:r>
        <w:rPr>
          <w:rFonts w:hint="eastAsia" w:ascii="Times New Roman" w:hAnsi="Times New Roman" w:eastAsia="宋体" w:cs="Times New Roman"/>
          <w:sz w:val="24"/>
          <w:lang w:val="en-US" w:eastAsia="zh-CN"/>
        </w:rPr>
        <w:t>堆肥间</w:t>
      </w:r>
      <w:r>
        <w:rPr>
          <w:rFonts w:hint="default" w:ascii="Times New Roman" w:hAnsi="Times New Roman" w:eastAsia="宋体" w:cs="Times New Roman"/>
          <w:sz w:val="24"/>
        </w:rPr>
        <w:t>、污水处理设施周围应加大绿化力度，减少臭气对周围环境的影响；在泵房以及道路两侧加强树种的种植以减少噪声对</w:t>
      </w:r>
      <w:r>
        <w:rPr>
          <w:rFonts w:hint="eastAsia" w:ascii="Times New Roman" w:hAnsi="Times New Roman" w:eastAsia="宋体" w:cs="Times New Roman"/>
          <w:sz w:val="24"/>
          <w:lang w:val="en-US" w:eastAsia="zh-CN"/>
        </w:rPr>
        <w:t>牛</w:t>
      </w:r>
      <w:r>
        <w:rPr>
          <w:rFonts w:hint="default" w:ascii="Times New Roman" w:hAnsi="Times New Roman" w:eastAsia="宋体" w:cs="Times New Roman"/>
          <w:sz w:val="24"/>
        </w:rPr>
        <w:t>产生影响，同时可以减少道路扬尘对周围环境的影响。</w:t>
      </w:r>
    </w:p>
    <w:p w14:paraId="7E12B376">
      <w:pPr>
        <w:keepNext w:val="0"/>
        <w:keepLines w:val="0"/>
        <w:pageBreakBefore w:val="0"/>
        <w:widowControl w:val="0"/>
        <w:numPr>
          <w:ilvl w:val="2"/>
          <w:numId w:val="0"/>
        </w:numPr>
        <w:kinsoku/>
        <w:wordWrap/>
        <w:overflowPunct/>
        <w:topLinePunct w:val="0"/>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kern w:val="2"/>
          <w:sz w:val="28"/>
          <w:szCs w:val="28"/>
          <w:lang w:val="en-US" w:eastAsia="zh-CN" w:bidi="ar-SA"/>
        </w:rPr>
      </w:pPr>
      <w:bookmarkStart w:id="747" w:name="_Toc20080"/>
      <w:bookmarkStart w:id="748" w:name="_Toc25769"/>
      <w:r>
        <w:rPr>
          <w:rFonts w:hint="eastAsia" w:ascii="Times New Roman" w:hAnsi="Times New Roman" w:eastAsia="宋体" w:cs="Times New Roman"/>
          <w:b/>
          <w:bCs/>
          <w:kern w:val="2"/>
          <w:sz w:val="28"/>
          <w:szCs w:val="28"/>
          <w:lang w:val="en-US" w:eastAsia="zh-CN" w:bidi="ar-SA"/>
        </w:rPr>
        <w:t>7</w:t>
      </w:r>
      <w:r>
        <w:rPr>
          <w:rFonts w:hint="default" w:ascii="Times New Roman" w:hAnsi="Times New Roman" w:eastAsia="宋体" w:cs="Times New Roman"/>
          <w:b/>
          <w:bCs/>
          <w:kern w:val="2"/>
          <w:sz w:val="28"/>
          <w:szCs w:val="28"/>
          <w:lang w:val="en-US" w:eastAsia="zh-CN" w:bidi="ar-SA"/>
        </w:rPr>
        <w:t>.2.6</w:t>
      </w:r>
      <w:r>
        <w:rPr>
          <w:rFonts w:hint="eastAsia" w:ascii="Times New Roman" w:hAnsi="Times New Roman" w:eastAsia="宋体" w:cs="Times New Roman"/>
          <w:b/>
          <w:bCs/>
          <w:kern w:val="2"/>
          <w:sz w:val="28"/>
          <w:szCs w:val="28"/>
          <w:lang w:val="en-US" w:eastAsia="zh-CN" w:bidi="ar-SA"/>
        </w:rPr>
        <w:t>土壤污染</w:t>
      </w:r>
      <w:r>
        <w:rPr>
          <w:rFonts w:hint="default" w:ascii="Times New Roman" w:hAnsi="Times New Roman" w:eastAsia="宋体" w:cs="Times New Roman"/>
          <w:b/>
          <w:bCs/>
          <w:kern w:val="2"/>
          <w:sz w:val="28"/>
          <w:szCs w:val="28"/>
          <w:lang w:val="en-US" w:eastAsia="zh-CN" w:bidi="ar-SA"/>
        </w:rPr>
        <w:t>防治措施</w:t>
      </w:r>
      <w:bookmarkEnd w:id="747"/>
      <w:bookmarkEnd w:id="748"/>
    </w:p>
    <w:p w14:paraId="668ED2AA">
      <w:pPr>
        <w:widowControl w:val="0"/>
        <w:spacing w:line="360" w:lineRule="auto"/>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7.2.6.1保护对象及目标</w:t>
      </w:r>
    </w:p>
    <w:p w14:paraId="7E879B02">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本项目保护对象为厂界外</w:t>
      </w:r>
      <w:r>
        <w:rPr>
          <w:rFonts w:hint="eastAsia" w:ascii="Times New Roman" w:hAnsi="Times New Roman" w:eastAsia="宋体" w:cs="Times New Roman"/>
          <w:color w:val="000000"/>
          <w:sz w:val="24"/>
          <w:szCs w:val="22"/>
          <w:highlight w:val="none"/>
          <w:lang w:val="en-US" w:eastAsia="zh-CN"/>
        </w:rPr>
        <w:t>5</w:t>
      </w:r>
      <w:r>
        <w:rPr>
          <w:rFonts w:ascii="Times New Roman" w:hAnsi="Times New Roman" w:eastAsia="宋体" w:cs="Times New Roman"/>
          <w:color w:val="000000"/>
          <w:sz w:val="24"/>
          <w:szCs w:val="22"/>
          <w:highlight w:val="none"/>
        </w:rPr>
        <w:t>0m范围内的用地。项目施工运营期间，</w:t>
      </w:r>
      <w:r>
        <w:rPr>
          <w:rFonts w:hint="eastAsia" w:ascii="Times New Roman" w:hAnsi="Times New Roman" w:eastAsia="宋体" w:cs="Times New Roman"/>
          <w:color w:val="000000"/>
          <w:sz w:val="24"/>
          <w:szCs w:val="22"/>
          <w:highlight w:val="none"/>
          <w:lang w:val="en-US" w:eastAsia="zh-CN"/>
        </w:rPr>
        <w:t>项目</w:t>
      </w:r>
      <w:r>
        <w:rPr>
          <w:rFonts w:ascii="Times New Roman" w:hAnsi="Times New Roman" w:eastAsia="宋体" w:cs="Times New Roman"/>
          <w:color w:val="000000"/>
          <w:sz w:val="24"/>
          <w:szCs w:val="22"/>
          <w:highlight w:val="none"/>
        </w:rPr>
        <w:t>用地满足</w:t>
      </w:r>
      <w:r>
        <w:rPr>
          <w:rFonts w:hint="default" w:ascii="Times New Roman" w:hAnsi="Times New Roman" w:eastAsia="宋体" w:cs="Times New Roman"/>
          <w:color w:val="000000"/>
          <w:sz w:val="24"/>
          <w:szCs w:val="22"/>
          <w:highlight w:val="none"/>
        </w:rPr>
        <w:t>《</w:t>
      </w:r>
      <w:r>
        <w:rPr>
          <w:rFonts w:hint="eastAsia" w:ascii="Times New Roman" w:hAnsi="Times New Roman" w:eastAsia="宋体" w:cs="Times New Roman"/>
          <w:color w:val="000000"/>
          <w:sz w:val="24"/>
          <w:szCs w:val="22"/>
          <w:highlight w:val="none"/>
          <w:lang w:eastAsia="zh-CN"/>
        </w:rPr>
        <w:t>畜禽养殖产地环境评价规范</w:t>
      </w:r>
      <w:r>
        <w:rPr>
          <w:rFonts w:hint="default" w:ascii="Times New Roman" w:hAnsi="Times New Roman" w:eastAsia="宋体" w:cs="Times New Roman"/>
          <w:color w:val="000000"/>
          <w:sz w:val="24"/>
          <w:szCs w:val="22"/>
          <w:highlight w:val="none"/>
        </w:rPr>
        <w:t>》（HJ568-2010）中的表4养殖场土壤环境质量评价指标和限值</w:t>
      </w:r>
      <w:r>
        <w:rPr>
          <w:rFonts w:ascii="Times New Roman" w:hAnsi="Times New Roman" w:eastAsia="宋体" w:cs="Times New Roman"/>
          <w:color w:val="000000"/>
          <w:sz w:val="24"/>
          <w:szCs w:val="22"/>
          <w:highlight w:val="none"/>
        </w:rPr>
        <w:t>。</w:t>
      </w:r>
    </w:p>
    <w:p w14:paraId="1B3D8B1C">
      <w:pPr>
        <w:widowControl w:val="0"/>
        <w:spacing w:line="360" w:lineRule="auto"/>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7.2.6.2源头控制措施</w:t>
      </w:r>
    </w:p>
    <w:p w14:paraId="23032419">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项目建设运营过程中，对土壤污染的主要途径为水污染物垂直入渗进入土壤环境。故本项目对产生的废水应进行合理的治理和综合利用，尽可能从源头上减少可能污染物产生；严格按照国家相关规范要求，对该厂区采取相应的措施，以防止和降低可能污染物的跑、冒、滴、漏，将水污染物泄漏的环境风险事故降低到最低程度。</w:t>
      </w:r>
    </w:p>
    <w:p w14:paraId="2E859E18">
      <w:pPr>
        <w:widowControl w:val="0"/>
        <w:spacing w:line="360" w:lineRule="auto"/>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7.2.6.3过程控制措施</w:t>
      </w:r>
    </w:p>
    <w:p w14:paraId="21A8161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00"/>
          <w:sz w:val="24"/>
          <w:szCs w:val="22"/>
          <w:highlight w:val="none"/>
          <w:lang w:val="en-US" w:eastAsia="zh-CN"/>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1</w:t>
      </w: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防渗措施</w:t>
      </w:r>
    </w:p>
    <w:p w14:paraId="451564FF">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000000"/>
          <w:kern w:val="2"/>
          <w:sz w:val="24"/>
          <w:szCs w:val="20"/>
          <w:highlight w:val="none"/>
          <w:lang w:val="en-US" w:eastAsia="zh-CN"/>
        </w:rPr>
      </w:pPr>
      <w:r>
        <w:rPr>
          <w:rFonts w:ascii="Times New Roman" w:hAnsi="Times New Roman" w:eastAsia="宋体" w:cs="Times New Roman"/>
          <w:color w:val="000000"/>
          <w:sz w:val="24"/>
          <w:szCs w:val="22"/>
          <w:highlight w:val="none"/>
        </w:rPr>
        <w:t>根据工序特点采取了相应的防腐防渗措施：</w:t>
      </w:r>
      <w:r>
        <w:rPr>
          <w:rFonts w:hint="eastAsia" w:ascii="Times New Roman" w:hAnsi="Times New Roman" w:eastAsia="宋体" w:cs="Times New Roman"/>
          <w:color w:val="000000"/>
          <w:sz w:val="24"/>
          <w:szCs w:val="22"/>
          <w:highlight w:val="none"/>
          <w:lang w:val="en-US" w:eastAsia="zh-CN"/>
        </w:rPr>
        <w:t>尿液收集池</w:t>
      </w:r>
      <w:r>
        <w:rPr>
          <w:rFonts w:hint="default" w:ascii="Times New Roman" w:hAnsi="Times New Roman" w:eastAsia="宋体" w:cs="Times New Roman"/>
          <w:color w:val="000000"/>
          <w:sz w:val="24"/>
          <w:szCs w:val="22"/>
          <w:highlight w:val="none"/>
          <w:lang w:val="en-US" w:eastAsia="zh-CN"/>
        </w:rPr>
        <w:t>等污水处理设施、发酵槽、医疗废物暂存间、隔离圈</w:t>
      </w:r>
      <w:r>
        <w:rPr>
          <w:rFonts w:hint="eastAsia" w:ascii="Times New Roman" w:hAnsi="Times New Roman" w:eastAsia="宋体" w:cs="Times New Roman"/>
          <w:color w:val="000000"/>
          <w:sz w:val="24"/>
          <w:szCs w:val="22"/>
          <w:highlight w:val="none"/>
          <w:lang w:val="en-US" w:eastAsia="zh-CN"/>
        </w:rPr>
        <w:t>、病死牛暂存间、危险废物贮存点</w:t>
      </w:r>
      <w:r>
        <w:rPr>
          <w:rFonts w:hint="eastAsia" w:ascii="Times New Roman" w:hAnsi="Times New Roman" w:eastAsia="宋体" w:cs="Times New Roman"/>
          <w:color w:val="auto"/>
          <w:kern w:val="0"/>
          <w:sz w:val="24"/>
        </w:rPr>
        <w:t>等</w:t>
      </w:r>
      <w:r>
        <w:rPr>
          <w:rFonts w:hint="default" w:ascii="Times New Roman" w:hAnsi="Times New Roman" w:eastAsia="宋体" w:cs="Times New Roman"/>
          <w:color w:val="000000"/>
          <w:kern w:val="2"/>
          <w:sz w:val="24"/>
          <w:szCs w:val="20"/>
          <w:highlight w:val="none"/>
          <w:lang w:val="en-US" w:eastAsia="zh-CN"/>
        </w:rPr>
        <w:t>重点防渗区</w:t>
      </w:r>
      <w:r>
        <w:rPr>
          <w:rFonts w:hint="eastAsia" w:ascii="Times New Roman" w:hAnsi="Times New Roman" w:eastAsia="宋体" w:cs="Times New Roman"/>
          <w:color w:val="000000"/>
          <w:kern w:val="2"/>
          <w:sz w:val="24"/>
          <w:szCs w:val="20"/>
          <w:highlight w:val="none"/>
          <w:lang w:val="en-US" w:eastAsia="zh-CN"/>
        </w:rPr>
        <w:t>防渗方案采用</w:t>
      </w:r>
      <w:r>
        <w:rPr>
          <w:rFonts w:hint="default" w:ascii="Times New Roman" w:hAnsi="Times New Roman" w:eastAsia="宋体" w:cs="Times New Roman"/>
          <w:color w:val="000000"/>
          <w:kern w:val="2"/>
          <w:sz w:val="24"/>
          <w:szCs w:val="20"/>
          <w:highlight w:val="none"/>
          <w:lang w:val="en-US" w:eastAsia="zh-CN"/>
        </w:rPr>
        <w:t>黏土夯实+2mm厚高密度聚乙烯膜（HDPE）+外保护（20mm水泥）</w:t>
      </w:r>
      <w:r>
        <w:rPr>
          <w:rFonts w:hint="eastAsia" w:ascii="Times New Roman" w:hAnsi="Times New Roman" w:eastAsia="宋体" w:cs="Times New Roman"/>
          <w:color w:val="000000"/>
          <w:kern w:val="2"/>
          <w:sz w:val="24"/>
          <w:szCs w:val="20"/>
          <w:highlight w:val="none"/>
          <w:lang w:val="en-US" w:eastAsia="zh-CN"/>
        </w:rPr>
        <w:t>，</w:t>
      </w:r>
      <w:r>
        <w:rPr>
          <w:rFonts w:hint="eastAsia" w:ascii="Times New Roman" w:hAnsi="Times New Roman" w:eastAsia="宋体" w:cs="Times New Roman"/>
          <w:color w:val="000000"/>
          <w:sz w:val="24"/>
          <w:szCs w:val="22"/>
          <w:highlight w:val="none"/>
          <w:lang w:val="en-US" w:eastAsia="zh-CN"/>
        </w:rPr>
        <w:t>牛圈、运动场设置</w:t>
      </w:r>
      <w:r>
        <w:rPr>
          <w:rFonts w:hint="default" w:ascii="Times New Roman" w:hAnsi="Times New Roman" w:eastAsia="宋体" w:cs="Times New Roman"/>
          <w:color w:val="000000"/>
          <w:kern w:val="2"/>
          <w:sz w:val="24"/>
          <w:szCs w:val="20"/>
          <w:highlight w:val="none"/>
          <w:lang w:val="en-US" w:eastAsia="zh-CN"/>
        </w:rPr>
        <w:t>黏土夯实+</w:t>
      </w:r>
      <w:r>
        <w:rPr>
          <w:rFonts w:hint="eastAsia" w:ascii="Times New Roman" w:hAnsi="Times New Roman" w:eastAsia="宋体" w:cs="Times New Roman"/>
          <w:color w:val="000000"/>
          <w:kern w:val="2"/>
          <w:sz w:val="24"/>
          <w:szCs w:val="20"/>
          <w:highlight w:val="none"/>
          <w:lang w:val="en-US" w:eastAsia="zh-CN"/>
        </w:rPr>
        <w:t>3</w:t>
      </w:r>
      <w:r>
        <w:rPr>
          <w:rFonts w:hint="default" w:ascii="Times New Roman" w:hAnsi="Times New Roman" w:eastAsia="宋体" w:cs="Times New Roman"/>
          <w:color w:val="000000"/>
          <w:kern w:val="2"/>
          <w:sz w:val="24"/>
          <w:szCs w:val="20"/>
          <w:highlight w:val="none"/>
          <w:lang w:val="en-US" w:eastAsia="zh-CN"/>
        </w:rPr>
        <w:t>mm厚高密度聚乙烯膜（HDPE）</w:t>
      </w:r>
      <w:r>
        <w:rPr>
          <w:rFonts w:hint="eastAsia" w:ascii="Times New Roman" w:hAnsi="Times New Roman" w:eastAsia="宋体" w:cs="Times New Roman"/>
          <w:color w:val="000000"/>
          <w:kern w:val="2"/>
          <w:sz w:val="24"/>
          <w:szCs w:val="20"/>
          <w:highlight w:val="none"/>
          <w:lang w:val="en-US" w:eastAsia="zh-CN"/>
        </w:rPr>
        <w:t>，设计满足《环境影响评价技术导则 地下水环境》（HJ 610-2016）要求</w:t>
      </w:r>
      <w:r>
        <w:rPr>
          <w:rFonts w:hint="default" w:ascii="Times New Roman" w:hAnsi="Times New Roman" w:eastAsia="宋体" w:cs="Times New Roman"/>
          <w:color w:val="000000"/>
          <w:kern w:val="2"/>
          <w:sz w:val="24"/>
          <w:szCs w:val="20"/>
          <w:highlight w:val="none"/>
          <w:lang w:val="en-US" w:eastAsia="zh-CN"/>
        </w:rPr>
        <w:t>：等效黏土防渗层Mb≥6.0m，K≤1×10</w:t>
      </w:r>
      <w:r>
        <w:rPr>
          <w:rFonts w:hint="eastAsia" w:ascii="Times New Roman" w:hAnsi="Times New Roman" w:eastAsia="宋体" w:cs="Times New Roman"/>
          <w:color w:val="000000"/>
          <w:kern w:val="2"/>
          <w:sz w:val="24"/>
          <w:szCs w:val="20"/>
          <w:highlight w:val="none"/>
          <w:vertAlign w:val="superscript"/>
          <w:lang w:val="en-US" w:eastAsia="zh-CN"/>
        </w:rPr>
        <w:t>-7</w:t>
      </w:r>
      <w:r>
        <w:rPr>
          <w:rFonts w:hint="default" w:ascii="Times New Roman" w:hAnsi="Times New Roman" w:eastAsia="宋体" w:cs="Times New Roman"/>
          <w:color w:val="000000"/>
          <w:kern w:val="2"/>
          <w:sz w:val="24"/>
          <w:szCs w:val="20"/>
          <w:highlight w:val="none"/>
          <w:lang w:val="en-US" w:eastAsia="zh-CN"/>
        </w:rPr>
        <w:t>cm/s</w:t>
      </w:r>
      <w:r>
        <w:rPr>
          <w:rFonts w:hint="eastAsia" w:ascii="Times New Roman" w:hAnsi="Times New Roman" w:eastAsia="宋体" w:cs="Times New Roman"/>
          <w:color w:val="000000"/>
          <w:kern w:val="2"/>
          <w:sz w:val="24"/>
          <w:szCs w:val="20"/>
          <w:highlight w:val="none"/>
          <w:lang w:val="en-US" w:eastAsia="zh-CN"/>
        </w:rPr>
        <w:t>。</w:t>
      </w:r>
    </w:p>
    <w:p w14:paraId="373423EF">
      <w:pPr>
        <w:overflowPunct w:val="0"/>
        <w:autoSpaceDE w:val="0"/>
        <w:autoSpaceDN w:val="0"/>
        <w:bidi w:val="0"/>
        <w:adjustRightInd w:val="0"/>
        <w:snapToGrid w:val="0"/>
        <w:spacing w:line="360" w:lineRule="auto"/>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当</w:t>
      </w:r>
      <w:r>
        <w:rPr>
          <w:rFonts w:hint="eastAsia" w:ascii="Times New Roman" w:hAnsi="Times New Roman" w:eastAsia="宋体" w:cs="Times New Roman"/>
          <w:color w:val="000000"/>
          <w:sz w:val="24"/>
          <w:szCs w:val="22"/>
          <w:highlight w:val="none"/>
          <w:lang w:val="en-US" w:eastAsia="zh-CN"/>
        </w:rPr>
        <w:t>危险废物包装破裂泄漏后，</w:t>
      </w:r>
      <w:r>
        <w:rPr>
          <w:rFonts w:ascii="Times New Roman" w:hAnsi="Times New Roman" w:eastAsia="宋体" w:cs="Times New Roman"/>
          <w:color w:val="000000"/>
          <w:sz w:val="24"/>
          <w:szCs w:val="22"/>
          <w:highlight w:val="none"/>
        </w:rPr>
        <w:t>污染物</w:t>
      </w:r>
      <w:r>
        <w:rPr>
          <w:rFonts w:hint="eastAsia" w:ascii="Times New Roman" w:hAnsi="Times New Roman" w:eastAsia="宋体" w:cs="Times New Roman"/>
          <w:color w:val="000000"/>
          <w:sz w:val="24"/>
          <w:szCs w:val="22"/>
          <w:highlight w:val="none"/>
          <w:lang w:val="en-US" w:eastAsia="zh-CN"/>
        </w:rPr>
        <w:t>和危险废物</w:t>
      </w:r>
      <w:r>
        <w:rPr>
          <w:rFonts w:ascii="Times New Roman" w:hAnsi="Times New Roman" w:eastAsia="宋体" w:cs="Times New Roman"/>
          <w:color w:val="000000"/>
          <w:sz w:val="24"/>
          <w:szCs w:val="22"/>
          <w:highlight w:val="none"/>
        </w:rPr>
        <w:t>会进入土壤环境造成一定影响</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因此，企业应该加</w:t>
      </w:r>
      <w:r>
        <w:rPr>
          <w:rFonts w:hint="eastAsia" w:ascii="Times New Roman" w:hAnsi="Times New Roman" w:eastAsia="宋体" w:cs="Times New Roman"/>
          <w:color w:val="000000"/>
          <w:sz w:val="24"/>
          <w:szCs w:val="22"/>
          <w:highlight w:val="none"/>
          <w:lang w:eastAsia="zh-CN"/>
        </w:rPr>
        <w:t>强对</w:t>
      </w:r>
      <w:r>
        <w:rPr>
          <w:rFonts w:ascii="Times New Roman" w:hAnsi="Times New Roman" w:eastAsia="宋体" w:cs="Times New Roman"/>
          <w:color w:val="000000"/>
          <w:sz w:val="24"/>
          <w:szCs w:val="22"/>
          <w:highlight w:val="none"/>
        </w:rPr>
        <w:t>厂区重点部位防腐防渗措施的检查，发现防渗层开裂、破损、腐蚀等情况应及时修缮，确保防渗效果。</w:t>
      </w:r>
    </w:p>
    <w:p w14:paraId="6E39AC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（2）还田措施</w:t>
      </w:r>
    </w:p>
    <w:p w14:paraId="6C832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本项目</w:t>
      </w:r>
      <w:r>
        <w:rPr>
          <w:rFonts w:hint="eastAsia" w:ascii="Times New Roman" w:hAnsi="Times New Roman" w:eastAsia="宋体" w:cs="Times New Roman"/>
          <w:sz w:val="24"/>
          <w:lang w:val="en-US" w:eastAsia="zh-CN"/>
        </w:rPr>
        <w:t>固态有机肥还田于本项目周边农田</w:t>
      </w:r>
      <w:r>
        <w:rPr>
          <w:rFonts w:hint="default" w:ascii="Times New Roman" w:hAnsi="Times New Roman" w:eastAsia="宋体" w:cs="Times New Roman"/>
          <w:sz w:val="24"/>
        </w:rPr>
        <w:t>。本项目</w:t>
      </w:r>
      <w:r>
        <w:rPr>
          <w:rFonts w:hint="eastAsia" w:ascii="Times New Roman" w:hAnsi="Times New Roman" w:eastAsia="宋体" w:cs="Times New Roman"/>
          <w:sz w:val="24"/>
          <w:lang w:eastAsia="zh-CN"/>
        </w:rPr>
        <w:t>周边农田</w:t>
      </w:r>
      <w:r>
        <w:rPr>
          <w:rFonts w:hint="default" w:ascii="Times New Roman" w:hAnsi="Times New Roman" w:eastAsia="宋体" w:cs="Times New Roman"/>
          <w:sz w:val="24"/>
        </w:rPr>
        <w:t>面积广阔，可完全资源化利用本项目</w:t>
      </w:r>
      <w:r>
        <w:rPr>
          <w:rFonts w:hint="eastAsia" w:ascii="Times New Roman" w:hAnsi="Times New Roman" w:eastAsia="宋体" w:cs="Times New Roman"/>
          <w:sz w:val="24"/>
        </w:rPr>
        <w:t>产生</w:t>
      </w:r>
      <w:r>
        <w:rPr>
          <w:rFonts w:hint="default" w:ascii="Times New Roman" w:hAnsi="Times New Roman" w:eastAsia="宋体" w:cs="Times New Roman"/>
          <w:sz w:val="24"/>
        </w:rPr>
        <w:t>的</w:t>
      </w:r>
      <w:r>
        <w:rPr>
          <w:rFonts w:hint="eastAsia" w:ascii="Times New Roman" w:hAnsi="Times New Roman" w:eastAsia="宋体" w:cs="Times New Roman"/>
          <w:sz w:val="24"/>
          <w:lang w:val="en-US" w:eastAsia="zh-CN"/>
        </w:rPr>
        <w:t>固态肥</w:t>
      </w:r>
      <w:r>
        <w:rPr>
          <w:rFonts w:hint="default" w:ascii="Times New Roman" w:hAnsi="Times New Roman" w:eastAsia="宋体" w:cs="Times New Roman"/>
          <w:sz w:val="24"/>
        </w:rPr>
        <w:t>。</w:t>
      </w:r>
    </w:p>
    <w:p w14:paraId="3BE8F528">
      <w:pPr>
        <w:overflowPunct w:val="0"/>
        <w:autoSpaceDE w:val="0"/>
        <w:autoSpaceDN w:val="0"/>
        <w:bidi w:val="0"/>
        <w:adjustRightInd w:val="0"/>
        <w:snapToGrid w:val="0"/>
        <w:spacing w:line="360" w:lineRule="auto"/>
        <w:ind w:firstLine="480" w:firstLineChars="200"/>
        <w:rPr>
          <w:rFonts w:ascii="Times New Roman" w:hAnsi="Times New Roman" w:eastAsia="宋体" w:cs="Times New Roman"/>
          <w:color w:val="000000"/>
          <w:sz w:val="24"/>
          <w:szCs w:val="22"/>
          <w:highlight w:val="none"/>
        </w:rPr>
      </w:pPr>
      <w:r>
        <w:rPr>
          <w:rFonts w:hint="default" w:ascii="Times New Roman" w:hAnsi="Times New Roman" w:eastAsia="宋体" w:cs="Times New Roman"/>
          <w:color w:val="000000"/>
          <w:sz w:val="24"/>
          <w:szCs w:val="22"/>
          <w:highlight w:val="none"/>
        </w:rPr>
        <w:t>为了更好地保护农田生态环境，促进农业生产可持续发展，采用本项目</w:t>
      </w:r>
      <w:r>
        <w:rPr>
          <w:rFonts w:hint="eastAsia" w:ascii="Times New Roman" w:hAnsi="Times New Roman" w:eastAsia="宋体" w:cs="Times New Roman"/>
          <w:color w:val="000000"/>
          <w:sz w:val="24"/>
          <w:szCs w:val="22"/>
          <w:highlight w:val="none"/>
          <w:lang w:val="en-US" w:eastAsia="zh-CN"/>
        </w:rPr>
        <w:t>固肥还田</w:t>
      </w:r>
      <w:r>
        <w:rPr>
          <w:rFonts w:hint="default" w:ascii="Times New Roman" w:hAnsi="Times New Roman" w:eastAsia="宋体" w:cs="Times New Roman"/>
          <w:color w:val="000000"/>
          <w:sz w:val="24"/>
          <w:szCs w:val="22"/>
          <w:highlight w:val="none"/>
        </w:rPr>
        <w:t>时，应注意以下几点：</w:t>
      </w:r>
      <w:r>
        <w:rPr>
          <w:rFonts w:hint="eastAsia" w:ascii="Times New Roman" w:hAnsi="Times New Roman" w:eastAsia="宋体" w:cs="Times New Roman"/>
          <w:color w:val="000000"/>
          <w:sz w:val="24"/>
          <w:szCs w:val="22"/>
          <w:highlight w:val="none"/>
        </w:rPr>
        <w:t>严格控制</w:t>
      </w:r>
      <w:r>
        <w:rPr>
          <w:rFonts w:hint="default" w:ascii="Times New Roman" w:hAnsi="Times New Roman" w:eastAsia="宋体" w:cs="Times New Roman"/>
          <w:color w:val="000000"/>
          <w:sz w:val="24"/>
          <w:szCs w:val="22"/>
          <w:highlight w:val="none"/>
        </w:rPr>
        <w:t>有机肥</w:t>
      </w:r>
      <w:r>
        <w:rPr>
          <w:rFonts w:hint="eastAsia" w:ascii="Times New Roman" w:hAnsi="Times New Roman" w:eastAsia="宋体" w:cs="Times New Roman"/>
          <w:color w:val="000000"/>
          <w:sz w:val="24"/>
          <w:szCs w:val="22"/>
          <w:highlight w:val="none"/>
        </w:rPr>
        <w:t>施用比例，按农作物种类，避免</w:t>
      </w:r>
      <w:r>
        <w:rPr>
          <w:rFonts w:hint="eastAsia" w:ascii="Times New Roman" w:hAnsi="Times New Roman" w:eastAsia="宋体" w:cs="Times New Roman"/>
          <w:color w:val="000000"/>
          <w:sz w:val="24"/>
          <w:szCs w:val="22"/>
          <w:highlight w:val="none"/>
          <w:lang w:val="en-US" w:eastAsia="zh-CN"/>
        </w:rPr>
        <w:t>施用过多</w:t>
      </w:r>
      <w:r>
        <w:rPr>
          <w:rFonts w:hint="eastAsia" w:ascii="Times New Roman" w:hAnsi="Times New Roman" w:eastAsia="宋体" w:cs="Times New Roman"/>
          <w:color w:val="000000"/>
          <w:sz w:val="24"/>
          <w:szCs w:val="22"/>
          <w:highlight w:val="none"/>
        </w:rPr>
        <w:t>造成污染、农作物减产。</w:t>
      </w:r>
    </w:p>
    <w:p w14:paraId="02DA2EEB">
      <w:pPr>
        <w:widowControl w:val="0"/>
        <w:spacing w:line="360" w:lineRule="auto"/>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7.2.6.4跟踪监测措施</w:t>
      </w:r>
    </w:p>
    <w:p w14:paraId="085BF684">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为了及时准确地掌握厂区土壤环境质量状况和土壤污染物的动态变化，应根据《土壤环境监测技术规范》以及</w:t>
      </w:r>
      <w:r>
        <w:rPr>
          <w:rFonts w:hint="eastAsia" w:ascii="Times New Roman" w:hAnsi="Times New Roman" w:eastAsia="宋体" w:cs="Times New Roman"/>
          <w:color w:val="000000"/>
          <w:kern w:val="0"/>
          <w:sz w:val="24"/>
          <w:szCs w:val="20"/>
          <w:highlight w:val="none"/>
          <w:lang w:eastAsia="zh-CN"/>
        </w:rPr>
        <w:t>《</w:t>
      </w:r>
      <w:r>
        <w:rPr>
          <w:rFonts w:hint="eastAsia" w:ascii="Times New Roman" w:hAnsi="Times New Roman" w:eastAsia="宋体" w:cs="Times New Roman"/>
          <w:color w:val="000000"/>
          <w:kern w:val="0"/>
          <w:sz w:val="24"/>
          <w:szCs w:val="20"/>
          <w:highlight w:val="none"/>
        </w:rPr>
        <w:t>工业企业土壤和地下水自行监测技术指南（试行）</w:t>
      </w:r>
      <w:r>
        <w:rPr>
          <w:rFonts w:hint="eastAsia" w:ascii="Times New Roman" w:hAnsi="Times New Roman" w:eastAsia="宋体" w:cs="Times New Roman"/>
          <w:color w:val="000000"/>
          <w:kern w:val="0"/>
          <w:sz w:val="24"/>
          <w:szCs w:val="20"/>
          <w:highlight w:val="none"/>
          <w:lang w:eastAsia="zh-CN"/>
        </w:rPr>
        <w:t>》（HJ 1209</w:t>
      </w:r>
      <w:r>
        <w:rPr>
          <w:rFonts w:hint="eastAsia" w:ascii="Times New Roman" w:hAnsi="Times New Roman" w:eastAsia="宋体"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eastAsia="zh-CN"/>
        </w:rPr>
        <w:t>2021）</w:t>
      </w:r>
      <w:r>
        <w:rPr>
          <w:rFonts w:hint="eastAsia" w:ascii="Times New Roman" w:hAnsi="Times New Roman" w:eastAsia="宋体" w:cs="Times New Roman"/>
          <w:color w:val="auto"/>
          <w:kern w:val="0"/>
          <w:sz w:val="24"/>
          <w:szCs w:val="24"/>
          <w:lang w:val="en-US" w:eastAsia="zh-CN"/>
        </w:rPr>
        <w:t>等技术规范要求，对项目区土壤环境跟踪监测。采取有效的污染物监测和调查手段、技术装备和设施，及时发现和处理可能泄漏的土壤污染物质。</w:t>
      </w:r>
    </w:p>
    <w:p w14:paraId="68867B1E">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（1）跟踪监测点布置</w:t>
      </w:r>
    </w:p>
    <w:p w14:paraId="604AF7A7">
      <w:pPr>
        <w:widowControl w:val="0"/>
        <w:autoSpaceDE/>
        <w:autoSpaceDN/>
        <w:adjustRightInd/>
        <w:spacing w:after="120" w:line="360" w:lineRule="auto"/>
        <w:ind w:left="0" w:leftChars="0" w:firstLine="480" w:firstLineChars="200"/>
        <w:jc w:val="both"/>
        <w:textAlignment w:val="auto"/>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根据《工业企业土壤和地下水自行监测技术指南（试行）》（HJ 1209-2021），</w:t>
      </w:r>
      <w:r>
        <w:rPr>
          <w:rFonts w:hint="eastAsia" w:ascii="Times New Roman" w:hAnsi="Times New Roman" w:eastAsia="宋体" w:cs="Times New Roman"/>
          <w:color w:val="auto"/>
          <w:kern w:val="0"/>
          <w:sz w:val="24"/>
          <w:szCs w:val="24"/>
          <w:lang w:val="en-US" w:eastAsia="zh-CN" w:bidi="ar-SA"/>
        </w:rPr>
        <w:t>点位布设原则：</w:t>
      </w:r>
    </w:p>
    <w:p w14:paraId="6F516C01">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监测点位的布设应遵循不影响企业正常生产且不造成安全隐患与二次污染的原则。点位应尽量接近重点单元内存在土壤污染隐患的重点场所或重点设施设备，重点场所或重点设施设备占地面积较大时，应尽量接近该场所或设施设备内最有可能受到污染物渗漏、流失、扬散等途径影响的隐患点。 </w:t>
      </w:r>
    </w:p>
    <w:p w14:paraId="6588E74E">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一类单元涉及的每个隐蔽性重点设施设备周边原则上均应布设至少1个深层土壤监测点，单元内部或周边还应布设至少1个表层土壤监测点。单元内部及周边20 m范围内地面已全部采取无缝硬化或其他有效防渗措施，无裸露土壤的，可不布设表层土壤监测点，但应在监测报告中提供相应的影像记录并予以说明。  </w:t>
      </w:r>
    </w:p>
    <w:p w14:paraId="48443CBC">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下游50m范围内设有地下水监测井并按照本标准要求开展地下水监测的单元可不布设深层土壤监测点。</w:t>
      </w:r>
    </w:p>
    <w:p w14:paraId="17E411D7">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每个二类单元内部或周边原则上均应布设至少1个表层土壤监测点，具体位置及数量可根据单元大小或单元内重点场所或重点设施设备的数量及分布等实际情况适当调整。监测点原则上应布设在土壤裸露处，并兼顾考虑设置在雨水易于汇流和积聚的区域，污染途径包含扬散的单元还应结合污染物主要沉降位置确定点位。 </w:t>
      </w:r>
    </w:p>
    <w:p w14:paraId="5759C090">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w:t>
      </w:r>
      <w:r>
        <w:rPr>
          <w:rFonts w:hint="eastAsia" w:cs="Times New Roman"/>
          <w:color w:val="auto"/>
          <w:kern w:val="0"/>
          <w:sz w:val="24"/>
          <w:szCs w:val="24"/>
          <w:lang w:val="en-US" w:eastAsia="zh-CN"/>
        </w:rPr>
        <w:t>尿液收集池、堆肥间发酵槽、运动场</w:t>
      </w:r>
      <w:r>
        <w:rPr>
          <w:rFonts w:hint="eastAsia" w:ascii="Times New Roman" w:hAnsi="Times New Roman" w:eastAsia="宋体" w:cs="Times New Roman"/>
          <w:color w:val="auto"/>
          <w:kern w:val="0"/>
          <w:sz w:val="24"/>
          <w:szCs w:val="24"/>
          <w:lang w:val="en-US" w:eastAsia="zh-CN"/>
        </w:rPr>
        <w:t>涉及地下、半地下或接地的池体、管道等隐蔽类设施，</w:t>
      </w:r>
      <w:r>
        <w:rPr>
          <w:rFonts w:hint="eastAsia" w:ascii="Times New Roman" w:hAnsi="Times New Roman" w:eastAsia="宋体" w:cs="Times New Roman"/>
          <w:color w:val="000000"/>
          <w:kern w:val="0"/>
          <w:sz w:val="24"/>
          <w:szCs w:val="20"/>
          <w:highlight w:val="none"/>
          <w:lang w:val="en-US" w:eastAsia="zh-CN"/>
        </w:rPr>
        <w:t>为一类单元，</w:t>
      </w:r>
      <w:r>
        <w:rPr>
          <w:rFonts w:hint="eastAsia" w:cs="Times New Roman"/>
          <w:color w:val="000000"/>
          <w:kern w:val="0"/>
          <w:sz w:val="24"/>
          <w:szCs w:val="20"/>
          <w:highlight w:val="none"/>
          <w:lang w:val="en-US" w:eastAsia="zh-CN"/>
        </w:rPr>
        <w:t>由于</w:t>
      </w:r>
      <w:r>
        <w:rPr>
          <w:rFonts w:hint="eastAsia" w:cs="Times New Roman"/>
          <w:color w:val="auto"/>
          <w:kern w:val="0"/>
          <w:sz w:val="24"/>
          <w:szCs w:val="24"/>
          <w:lang w:val="en-US" w:eastAsia="zh-CN"/>
        </w:rPr>
        <w:t>尿液收集池、运动场发酵槽临近，</w:t>
      </w:r>
      <w:r>
        <w:rPr>
          <w:rFonts w:hint="eastAsia" w:ascii="Times New Roman" w:hAnsi="Times New Roman" w:eastAsia="宋体" w:cs="Times New Roman"/>
          <w:color w:val="auto"/>
          <w:kern w:val="0"/>
          <w:sz w:val="24"/>
          <w:szCs w:val="24"/>
          <w:lang w:val="en-US" w:eastAsia="zh-CN"/>
        </w:rPr>
        <w:t>因此在</w:t>
      </w:r>
      <w:r>
        <w:rPr>
          <w:rFonts w:hint="eastAsia" w:cs="Times New Roman"/>
          <w:color w:val="auto"/>
          <w:kern w:val="0"/>
          <w:sz w:val="24"/>
          <w:szCs w:val="24"/>
          <w:lang w:val="en-US" w:eastAsia="zh-CN"/>
        </w:rPr>
        <w:t>尿液收集池、运动场</w:t>
      </w:r>
      <w:r>
        <w:rPr>
          <w:rFonts w:hint="eastAsia" w:ascii="Times New Roman" w:hAnsi="Times New Roman" w:eastAsia="宋体" w:cs="Times New Roman"/>
          <w:color w:val="auto"/>
          <w:kern w:val="0"/>
          <w:sz w:val="24"/>
          <w:szCs w:val="24"/>
          <w:lang w:val="en-US" w:eastAsia="zh-CN"/>
        </w:rPr>
        <w:t>区域周边尽量接近重点单元内存在土壤污染隐患的重点场所或重点设施设备处</w:t>
      </w:r>
      <w:r>
        <w:rPr>
          <w:rFonts w:hint="eastAsia" w:cs="Times New Roman"/>
          <w:color w:val="auto"/>
          <w:kern w:val="0"/>
          <w:sz w:val="24"/>
          <w:szCs w:val="24"/>
          <w:lang w:val="en-US" w:eastAsia="zh-CN"/>
        </w:rPr>
        <w:t>共同</w:t>
      </w:r>
      <w:r>
        <w:rPr>
          <w:rFonts w:hint="eastAsia" w:ascii="Times New Roman" w:hAnsi="Times New Roman" w:eastAsia="宋体" w:cs="Times New Roman"/>
          <w:color w:val="auto"/>
          <w:kern w:val="0"/>
          <w:sz w:val="24"/>
          <w:szCs w:val="24"/>
          <w:lang w:val="en-US" w:eastAsia="zh-CN"/>
        </w:rPr>
        <w:t>设置1个深层土壤监测点</w:t>
      </w:r>
      <w:r>
        <w:rPr>
          <w:rFonts w:hint="eastAsia" w:cs="Times New Roman"/>
          <w:color w:val="auto"/>
          <w:kern w:val="0"/>
          <w:sz w:val="24"/>
          <w:szCs w:val="24"/>
          <w:lang w:val="en-US" w:eastAsia="zh-CN"/>
        </w:rPr>
        <w:t>，发酵槽设置1个</w:t>
      </w:r>
      <w:r>
        <w:rPr>
          <w:rFonts w:hint="eastAsia" w:ascii="Times New Roman" w:hAnsi="Times New Roman" w:eastAsia="宋体" w:cs="Times New Roman"/>
          <w:color w:val="auto"/>
          <w:kern w:val="0"/>
          <w:sz w:val="24"/>
          <w:szCs w:val="24"/>
          <w:lang w:val="en-US" w:eastAsia="zh-CN"/>
        </w:rPr>
        <w:t>深层土壤监测点</w:t>
      </w:r>
      <w:r>
        <w:rPr>
          <w:rFonts w:hint="eastAsia" w:cs="Times New Roman"/>
          <w:color w:val="auto"/>
          <w:kern w:val="0"/>
          <w:sz w:val="24"/>
          <w:szCs w:val="24"/>
          <w:lang w:val="en-US" w:eastAsia="zh-CN"/>
        </w:rPr>
        <w:t>，周边分别设置</w:t>
      </w:r>
      <w:r>
        <w:rPr>
          <w:rFonts w:hint="eastAsia" w:ascii="Times New Roman" w:hAnsi="Times New Roman" w:eastAsia="宋体" w:cs="Times New Roman"/>
          <w:color w:val="auto"/>
          <w:kern w:val="0"/>
          <w:sz w:val="24"/>
          <w:szCs w:val="24"/>
          <w:lang w:val="en-US" w:eastAsia="zh-CN"/>
        </w:rPr>
        <w:t>1个表层土壤监测点。</w:t>
      </w:r>
    </w:p>
    <w:p w14:paraId="5B994F44">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本项目还田区为二类单元，因此在还田区分别布设1个表层土壤监测点，点位根据每年养殖情况、还田区域变化情况进行调整。</w:t>
      </w:r>
    </w:p>
    <w:p w14:paraId="166D4DDE">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（2）</w:t>
      </w:r>
      <w:r>
        <w:rPr>
          <w:rFonts w:hint="eastAsia" w:ascii="Times New Roman" w:hAnsi="Times New Roman" w:eastAsia="宋体" w:cs="Times New Roman"/>
          <w:color w:val="auto"/>
          <w:kern w:val="0"/>
          <w:sz w:val="24"/>
          <w:szCs w:val="24"/>
          <w:lang w:val="en-US" w:eastAsia="zh-CN"/>
        </w:rPr>
        <w:t>监测频次</w:t>
      </w:r>
    </w:p>
    <w:p w14:paraId="2895D0B4">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ascii="Times New Roman" w:hAnsi="Times New Roman" w:eastAsia="宋体" w:cs="Times New Roman"/>
          <w:color w:val="000000"/>
          <w:sz w:val="24"/>
          <w:szCs w:val="22"/>
          <w:highlight w:val="none"/>
        </w:rPr>
        <w:t>依据《环境影响评价技术导则</w:t>
      </w:r>
      <w:r>
        <w:rPr>
          <w:rFonts w:ascii="Times New Roman" w:hAnsi="Times New Roman" w:eastAsia="宋体" w:cs="Times New Roman"/>
          <w:color w:val="000000"/>
          <w:sz w:val="24"/>
          <w:szCs w:val="22"/>
          <w:highlight w:val="none"/>
        </w:rPr>
        <w:tab/>
      </w:r>
      <w:r>
        <w:rPr>
          <w:rFonts w:ascii="Times New Roman" w:hAnsi="Times New Roman" w:eastAsia="宋体" w:cs="Times New Roman"/>
          <w:color w:val="000000"/>
          <w:sz w:val="24"/>
          <w:szCs w:val="22"/>
          <w:highlight w:val="none"/>
        </w:rPr>
        <w:t>土壤环境（试行）》（HJ964-2018）的要求</w:t>
      </w:r>
      <w:r>
        <w:rPr>
          <w:rFonts w:hint="eastAsia" w:cs="Times New Roman"/>
          <w:color w:val="000000"/>
          <w:sz w:val="24"/>
          <w:szCs w:val="22"/>
          <w:highlight w:val="none"/>
          <w:lang w:eastAsia="zh-CN"/>
        </w:rPr>
        <w:t>，三级的必要时可开展跟踪监测。</w:t>
      </w:r>
      <w:r>
        <w:rPr>
          <w:rFonts w:hint="eastAsia" w:ascii="Times New Roman" w:hAnsi="Times New Roman" w:eastAsia="宋体" w:cs="Times New Roman"/>
          <w:color w:val="auto"/>
          <w:kern w:val="0"/>
          <w:sz w:val="24"/>
          <w:szCs w:val="24"/>
          <w:lang w:val="en-US" w:eastAsia="zh-CN"/>
        </w:rPr>
        <w:t>运营期间</w:t>
      </w:r>
      <w:r>
        <w:rPr>
          <w:rFonts w:hint="eastAsia" w:cs="Times New Roman"/>
          <w:color w:val="auto"/>
          <w:kern w:val="0"/>
          <w:sz w:val="24"/>
          <w:szCs w:val="24"/>
          <w:lang w:val="en-US" w:eastAsia="zh-CN"/>
        </w:rPr>
        <w:t>必要时</w:t>
      </w:r>
      <w:r>
        <w:rPr>
          <w:rFonts w:hint="eastAsia" w:ascii="Times New Roman" w:hAnsi="Times New Roman" w:eastAsia="宋体" w:cs="Times New Roman"/>
          <w:color w:val="auto"/>
          <w:kern w:val="0"/>
          <w:sz w:val="24"/>
          <w:szCs w:val="24"/>
          <w:lang w:val="en-US" w:eastAsia="zh-CN"/>
        </w:rPr>
        <w:t>应按照</w:t>
      </w:r>
      <w:r>
        <w:rPr>
          <w:rFonts w:hint="eastAsia" w:ascii="Times New Roman" w:hAnsi="Times New Roman" w:eastAsia="宋体" w:cs="Times New Roman"/>
          <w:color w:val="000000"/>
          <w:kern w:val="0"/>
          <w:sz w:val="24"/>
          <w:szCs w:val="20"/>
          <w:highlight w:val="none"/>
          <w:lang w:eastAsia="zh-CN"/>
        </w:rPr>
        <w:t>《</w:t>
      </w:r>
      <w:r>
        <w:rPr>
          <w:rFonts w:hint="eastAsia" w:ascii="Times New Roman" w:hAnsi="Times New Roman" w:eastAsia="宋体" w:cs="Times New Roman"/>
          <w:color w:val="000000"/>
          <w:kern w:val="0"/>
          <w:sz w:val="24"/>
          <w:szCs w:val="20"/>
          <w:highlight w:val="none"/>
        </w:rPr>
        <w:t>工业企业土壤和地下水自行监测技术指南（试行）</w:t>
      </w:r>
      <w:r>
        <w:rPr>
          <w:rFonts w:hint="eastAsia" w:ascii="Times New Roman" w:hAnsi="Times New Roman" w:eastAsia="宋体" w:cs="Times New Roman"/>
          <w:color w:val="000000"/>
          <w:kern w:val="0"/>
          <w:sz w:val="24"/>
          <w:szCs w:val="20"/>
          <w:highlight w:val="none"/>
          <w:lang w:eastAsia="zh-CN"/>
        </w:rPr>
        <w:t>》（HJ 1209</w:t>
      </w:r>
      <w:r>
        <w:rPr>
          <w:rFonts w:hint="eastAsia" w:ascii="Times New Roman" w:hAnsi="Times New Roman" w:eastAsia="宋体"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eastAsia="zh-CN"/>
        </w:rPr>
        <w:t>2021）</w:t>
      </w:r>
      <w:r>
        <w:rPr>
          <w:rFonts w:hint="eastAsia" w:ascii="Times New Roman" w:hAnsi="Times New Roman" w:eastAsia="宋体" w:cs="Times New Roman"/>
          <w:color w:val="000000"/>
          <w:kern w:val="2"/>
          <w:sz w:val="24"/>
          <w:szCs w:val="20"/>
          <w:highlight w:val="none"/>
          <w:lang w:val="en-US" w:eastAsia="zh-CN"/>
        </w:rPr>
        <w:t>，本项目表层土壤</w:t>
      </w:r>
      <w:r>
        <w:rPr>
          <w:rFonts w:hint="eastAsia" w:ascii="Times New Roman" w:hAnsi="Times New Roman" w:eastAsia="宋体" w:cs="Times New Roman"/>
          <w:color w:val="auto"/>
          <w:kern w:val="0"/>
          <w:sz w:val="24"/>
          <w:szCs w:val="24"/>
          <w:lang w:val="en-US" w:eastAsia="zh-CN"/>
        </w:rPr>
        <w:t>每1年委托有资质的第三方检测机构开展一次监测，深层土壤每3年监测一次，以掌握土壤污染情况。</w:t>
      </w:r>
    </w:p>
    <w:p w14:paraId="3BEDE697">
      <w:pPr>
        <w:widowControl w:val="0"/>
        <w:wordWrap/>
        <w:adjustRightInd/>
        <w:snapToGrid/>
        <w:spacing w:line="360" w:lineRule="auto"/>
        <w:ind w:firstLine="480" w:firstLineChars="200"/>
        <w:textAlignment w:val="auto"/>
        <w:rPr>
          <w:rFonts w:ascii="Times New Roman" w:hAnsi="Times New Roman" w:eastAsia="宋体" w:cs="Times New Roman"/>
          <w:color w:val="000000"/>
          <w:sz w:val="24"/>
          <w:szCs w:val="22"/>
          <w:highlight w:val="none"/>
        </w:rPr>
      </w:pPr>
      <w:r>
        <w:rPr>
          <w:rFonts w:hint="eastAsia" w:cs="Times New Roman"/>
          <w:color w:val="auto"/>
          <w:kern w:val="0"/>
          <w:sz w:val="24"/>
          <w:szCs w:val="24"/>
          <w:lang w:val="en-US" w:eastAsia="zh-CN"/>
        </w:rPr>
        <w:t>（3）土壤监测因子</w:t>
      </w:r>
    </w:p>
    <w:p w14:paraId="6516A725">
      <w:pPr>
        <w:widowControl w:val="0"/>
        <w:wordWrap/>
        <w:adjustRightInd/>
        <w:snapToGrid/>
        <w:spacing w:line="360" w:lineRule="auto"/>
        <w:ind w:firstLine="480" w:firstLineChars="200"/>
        <w:textAlignment w:val="auto"/>
        <w:rPr>
          <w:rFonts w:hint="eastAsia" w:cs="Times New Roman"/>
          <w:color w:val="auto"/>
          <w:kern w:val="0"/>
          <w:sz w:val="24"/>
          <w:szCs w:val="24"/>
          <w:lang w:val="en-US" w:eastAsia="zh-CN"/>
        </w:rPr>
      </w:pPr>
      <w:r>
        <w:rPr>
          <w:rFonts w:hint="eastAsia" w:cs="Times New Roman"/>
          <w:color w:val="auto"/>
          <w:kern w:val="0"/>
          <w:sz w:val="24"/>
          <w:szCs w:val="24"/>
          <w:lang w:val="en-US" w:eastAsia="zh-CN"/>
        </w:rPr>
        <w:t>监测因子：本项目为畜禽养殖项目，项目区选择</w:t>
      </w:r>
      <w:r>
        <w:rPr>
          <w:rFonts w:hint="default" w:ascii="Times New Roman" w:hAnsi="Times New Roman" w:eastAsia="宋体" w:cs="Times New Roman"/>
          <w:sz w:val="24"/>
          <w:szCs w:val="24"/>
        </w:rPr>
        <w:t>《</w:t>
      </w:r>
      <w:r>
        <w:rPr>
          <w:rFonts w:hint="eastAsia" w:ascii="Times New Roman" w:hAnsi="Times New Roman" w:cs="Times New Roman"/>
          <w:sz w:val="24"/>
          <w:szCs w:val="24"/>
          <w:lang w:eastAsia="zh-CN"/>
        </w:rPr>
        <w:t>畜禽养殖产地环境评价规范</w:t>
      </w:r>
      <w:r>
        <w:rPr>
          <w:rFonts w:hint="default" w:ascii="Times New Roman" w:hAnsi="Times New Roman" w:eastAsia="宋体" w:cs="Times New Roman"/>
          <w:sz w:val="24"/>
          <w:szCs w:val="24"/>
        </w:rPr>
        <w:t>》（HJ568-2010）中的表4养殖场土壤环境质量评价指标</w:t>
      </w:r>
      <w:r>
        <w:rPr>
          <w:rFonts w:hint="eastAsia" w:cs="Times New Roman"/>
          <w:sz w:val="24"/>
          <w:szCs w:val="24"/>
          <w:lang w:eastAsia="zh-CN"/>
        </w:rPr>
        <w:t>；</w:t>
      </w:r>
      <w:r>
        <w:rPr>
          <w:rFonts w:hint="eastAsia" w:cs="Times New Roman"/>
          <w:sz w:val="24"/>
          <w:szCs w:val="24"/>
          <w:lang w:val="en-US" w:eastAsia="zh-CN"/>
        </w:rPr>
        <w:t>由于还田区用地为耕地，因此还田区选择《土壤环境质量 农用地土壤污染风险管控标准</w:t>
      </w:r>
      <w:r>
        <w:rPr>
          <w:rFonts w:hint="eastAsia" w:cs="Times New Roman"/>
          <w:color w:val="auto"/>
          <w:sz w:val="24"/>
          <w:szCs w:val="24"/>
          <w:lang w:val="en-US" w:eastAsia="zh-CN"/>
        </w:rPr>
        <w:t>（试行）</w:t>
      </w:r>
      <w:r>
        <w:rPr>
          <w:rFonts w:hint="eastAsia" w:cs="Times New Roman"/>
          <w:sz w:val="24"/>
          <w:szCs w:val="24"/>
          <w:lang w:val="en-US" w:eastAsia="zh-CN"/>
        </w:rPr>
        <w:t>》（GB 15618-2018）表 1 农用地土壤污染风险筛选值（基本项目）以及表 2 农用地土壤污染风险筛选值（其他项目）中的六六六、滴滴涕总量</w:t>
      </w:r>
      <w:r>
        <w:rPr>
          <w:rFonts w:hint="eastAsia" w:cs="Times New Roman"/>
          <w:color w:val="auto"/>
          <w:kern w:val="0"/>
          <w:sz w:val="24"/>
          <w:szCs w:val="24"/>
          <w:lang w:val="en-US" w:eastAsia="zh-CN"/>
        </w:rPr>
        <w:t xml:space="preserve">。 </w:t>
      </w:r>
    </w:p>
    <w:p w14:paraId="42A7A8BB">
      <w:pPr>
        <w:widowControl w:val="0"/>
        <w:overflowPunct w:val="0"/>
        <w:autoSpaceDE w:val="0"/>
        <w:autoSpaceDN w:val="0"/>
        <w:bidi w:val="0"/>
        <w:adjustRightInd w:val="0"/>
        <w:snapToGrid w:val="0"/>
        <w:spacing w:line="400" w:lineRule="exact"/>
        <w:ind w:firstLine="480" w:firstLineChars="200"/>
        <w:jc w:val="center"/>
        <w:rPr>
          <w:rFonts w:hint="eastAsia" w:ascii="Times New Roman" w:hAnsi="Times New Roman" w:eastAsia="宋体" w:cs="楷体_GB2312"/>
          <w:b/>
          <w:color w:val="000000"/>
          <w:kern w:val="2"/>
          <w:sz w:val="24"/>
          <w:szCs w:val="24"/>
          <w:highlight w:val="none"/>
          <w:lang w:val="en-US" w:eastAsia="zh-CN" w:bidi="ar-SA"/>
        </w:rPr>
      </w:pPr>
      <w:r>
        <w:rPr>
          <w:rFonts w:hint="eastAsia" w:ascii="Times New Roman" w:hAnsi="Times New Roman" w:eastAsia="宋体" w:cs="楷体_GB2312"/>
          <w:b/>
          <w:color w:val="000000"/>
          <w:kern w:val="2"/>
          <w:sz w:val="24"/>
          <w:szCs w:val="24"/>
          <w:highlight w:val="none"/>
          <w:lang w:val="en-US" w:eastAsia="zh-CN" w:bidi="ar-SA"/>
        </w:rPr>
        <w:t>表7.2-7土壤环境监测计划</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199"/>
        <w:gridCol w:w="2046"/>
        <w:gridCol w:w="1091"/>
        <w:gridCol w:w="2182"/>
        <w:gridCol w:w="1986"/>
      </w:tblGrid>
      <w:tr w14:paraId="0B242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99" w:type="dxa"/>
            <w:tcBorders>
              <w:tl2br w:val="nil"/>
              <w:tr2bl w:val="nil"/>
            </w:tcBorders>
            <w:noWrap w:val="0"/>
            <w:vAlign w:val="center"/>
          </w:tcPr>
          <w:p w14:paraId="37FE8C30">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b/>
                <w:bCs/>
                <w:color w:val="000000"/>
                <w:sz w:val="21"/>
                <w:highlight w:val="none"/>
                <w:lang w:val="en-US" w:eastAsia="zh-CN" w:bidi="ar-SA"/>
              </w:rPr>
            </w:pPr>
            <w:r>
              <w:rPr>
                <w:rFonts w:hint="eastAsia" w:ascii="Times New Roman" w:hAnsi="Times New Roman" w:eastAsia="宋体" w:cs="Times New Roman"/>
                <w:b/>
                <w:bCs/>
                <w:color w:val="000000"/>
                <w:sz w:val="21"/>
                <w:highlight w:val="none"/>
                <w:lang w:val="en-US" w:eastAsia="zh-CN" w:bidi="ar-SA"/>
              </w:rPr>
              <w:t>监测点号</w:t>
            </w:r>
          </w:p>
        </w:tc>
        <w:tc>
          <w:tcPr>
            <w:tcW w:w="2046" w:type="dxa"/>
            <w:tcBorders>
              <w:tl2br w:val="nil"/>
              <w:tr2bl w:val="nil"/>
            </w:tcBorders>
            <w:noWrap w:val="0"/>
            <w:vAlign w:val="center"/>
          </w:tcPr>
          <w:p w14:paraId="4A6501DB">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b/>
                <w:bCs/>
                <w:color w:val="000000"/>
                <w:sz w:val="21"/>
                <w:highlight w:val="none"/>
                <w:lang w:val="en-US" w:eastAsia="zh-CN" w:bidi="ar-SA"/>
              </w:rPr>
            </w:pPr>
            <w:r>
              <w:rPr>
                <w:rFonts w:hint="eastAsia" w:ascii="Times New Roman" w:hAnsi="Times New Roman" w:eastAsia="宋体" w:cs="Times New Roman"/>
                <w:b/>
                <w:bCs/>
                <w:color w:val="000000"/>
                <w:sz w:val="21"/>
                <w:highlight w:val="none"/>
                <w:lang w:val="en-US" w:eastAsia="zh-CN" w:bidi="ar-SA"/>
              </w:rPr>
              <w:t>监测点位置</w:t>
            </w:r>
          </w:p>
        </w:tc>
        <w:tc>
          <w:tcPr>
            <w:tcW w:w="1091" w:type="dxa"/>
            <w:tcBorders>
              <w:tl2br w:val="nil"/>
              <w:tr2bl w:val="nil"/>
            </w:tcBorders>
            <w:noWrap w:val="0"/>
            <w:vAlign w:val="center"/>
          </w:tcPr>
          <w:p w14:paraId="5764179B">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b/>
                <w:bCs/>
                <w:color w:val="000000"/>
                <w:sz w:val="21"/>
                <w:highlight w:val="none"/>
                <w:lang w:val="en-US" w:eastAsia="zh-CN" w:bidi="ar-SA"/>
              </w:rPr>
            </w:pPr>
            <w:r>
              <w:rPr>
                <w:rFonts w:hint="eastAsia" w:ascii="Times New Roman" w:hAnsi="Times New Roman" w:eastAsia="宋体" w:cs="Times New Roman"/>
                <w:b/>
                <w:bCs/>
                <w:color w:val="000000"/>
                <w:sz w:val="21"/>
                <w:highlight w:val="none"/>
                <w:lang w:val="en-US" w:eastAsia="zh-CN" w:bidi="ar-SA"/>
              </w:rPr>
              <w:t>样品类型</w:t>
            </w:r>
          </w:p>
        </w:tc>
        <w:tc>
          <w:tcPr>
            <w:tcW w:w="2182" w:type="dxa"/>
            <w:tcBorders>
              <w:tl2br w:val="nil"/>
              <w:tr2bl w:val="nil"/>
            </w:tcBorders>
            <w:noWrap w:val="0"/>
            <w:vAlign w:val="center"/>
          </w:tcPr>
          <w:p w14:paraId="73724D22">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b/>
                <w:bCs/>
                <w:color w:val="000000"/>
                <w:sz w:val="21"/>
                <w:highlight w:val="none"/>
                <w:lang w:val="en-US" w:eastAsia="zh-CN" w:bidi="ar-SA"/>
              </w:rPr>
            </w:pPr>
            <w:r>
              <w:rPr>
                <w:rFonts w:hint="eastAsia" w:ascii="Times New Roman" w:hAnsi="Times New Roman" w:eastAsia="宋体" w:cs="Times New Roman"/>
                <w:b/>
                <w:bCs/>
                <w:color w:val="000000"/>
                <w:sz w:val="21"/>
                <w:highlight w:val="none"/>
                <w:lang w:val="en-US" w:eastAsia="zh-CN" w:bidi="ar-SA"/>
              </w:rPr>
              <w:t>监测频率</w:t>
            </w:r>
          </w:p>
        </w:tc>
        <w:tc>
          <w:tcPr>
            <w:tcW w:w="1986" w:type="dxa"/>
            <w:tcBorders>
              <w:tl2br w:val="nil"/>
              <w:tr2bl w:val="nil"/>
            </w:tcBorders>
            <w:noWrap w:val="0"/>
            <w:vAlign w:val="center"/>
          </w:tcPr>
          <w:p w14:paraId="3AAFB201">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b/>
                <w:bCs/>
                <w:color w:val="000000"/>
                <w:sz w:val="21"/>
                <w:highlight w:val="none"/>
                <w:lang w:val="en-US" w:eastAsia="zh-CN" w:bidi="ar-SA"/>
              </w:rPr>
            </w:pPr>
            <w:r>
              <w:rPr>
                <w:rFonts w:hint="eastAsia" w:ascii="Times New Roman" w:hAnsi="Times New Roman" w:eastAsia="宋体" w:cs="Times New Roman"/>
                <w:b/>
                <w:bCs/>
                <w:color w:val="000000"/>
                <w:sz w:val="21"/>
                <w:highlight w:val="none"/>
                <w:lang w:val="en-US" w:eastAsia="zh-CN" w:bidi="ar-SA"/>
              </w:rPr>
              <w:t>监测因子</w:t>
            </w:r>
          </w:p>
        </w:tc>
      </w:tr>
      <w:tr w14:paraId="2CDDD4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99" w:type="dxa"/>
            <w:tcBorders>
              <w:tl2br w:val="nil"/>
              <w:tr2bl w:val="nil"/>
            </w:tcBorders>
            <w:noWrap w:val="0"/>
            <w:vAlign w:val="center"/>
          </w:tcPr>
          <w:p w14:paraId="6374D043">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T1#</w:t>
            </w:r>
          </w:p>
        </w:tc>
        <w:tc>
          <w:tcPr>
            <w:tcW w:w="2046" w:type="dxa"/>
            <w:tcBorders>
              <w:tl2br w:val="nil"/>
              <w:tr2bl w:val="nil"/>
            </w:tcBorders>
            <w:noWrap w:val="0"/>
            <w:vAlign w:val="center"/>
          </w:tcPr>
          <w:p w14:paraId="08A15E0E">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尿液收集池</w:t>
            </w:r>
            <w:r>
              <w:rPr>
                <w:rFonts w:hint="eastAsia" w:cs="Times New Roman"/>
                <w:color w:val="000000"/>
                <w:sz w:val="21"/>
                <w:highlight w:val="none"/>
                <w:lang w:val="en-US" w:eastAsia="zh-CN" w:bidi="ar-SA"/>
              </w:rPr>
              <w:t>、运动场</w:t>
            </w:r>
            <w:r>
              <w:rPr>
                <w:rFonts w:hint="eastAsia" w:ascii="Times New Roman" w:hAnsi="Times New Roman" w:eastAsia="宋体" w:cs="Times New Roman"/>
                <w:color w:val="000000"/>
                <w:sz w:val="21"/>
                <w:highlight w:val="none"/>
                <w:lang w:val="en-US" w:eastAsia="zh-CN" w:bidi="ar-SA"/>
              </w:rPr>
              <w:t>周围</w:t>
            </w:r>
          </w:p>
        </w:tc>
        <w:tc>
          <w:tcPr>
            <w:tcW w:w="1091" w:type="dxa"/>
            <w:tcBorders>
              <w:tl2br w:val="nil"/>
              <w:tr2bl w:val="nil"/>
            </w:tcBorders>
            <w:noWrap w:val="0"/>
            <w:vAlign w:val="center"/>
          </w:tcPr>
          <w:p w14:paraId="7EB50216">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柱状样品</w:t>
            </w:r>
          </w:p>
        </w:tc>
        <w:tc>
          <w:tcPr>
            <w:tcW w:w="2182" w:type="dxa"/>
            <w:vMerge w:val="restart"/>
            <w:tcBorders>
              <w:tl2br w:val="nil"/>
              <w:tr2bl w:val="nil"/>
            </w:tcBorders>
            <w:noWrap w:val="0"/>
            <w:vAlign w:val="center"/>
          </w:tcPr>
          <w:p w14:paraId="7950F66B">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三级必要时可开展跟踪监测</w:t>
            </w:r>
          </w:p>
        </w:tc>
        <w:tc>
          <w:tcPr>
            <w:tcW w:w="1986" w:type="dxa"/>
            <w:vMerge w:val="restart"/>
            <w:tcBorders>
              <w:tl2br w:val="nil"/>
              <w:tr2bl w:val="nil"/>
            </w:tcBorders>
            <w:noWrap w:val="0"/>
            <w:vAlign w:val="center"/>
          </w:tcPr>
          <w:p w14:paraId="2DC9E6EF">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pH、镉、汞、砷、铜、铅、铬、锌、镍、六六六、滴滴涕</w:t>
            </w:r>
          </w:p>
        </w:tc>
      </w:tr>
      <w:tr w14:paraId="4CDB2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99" w:type="dxa"/>
            <w:tcBorders>
              <w:tl2br w:val="nil"/>
              <w:tr2bl w:val="nil"/>
            </w:tcBorders>
            <w:noWrap w:val="0"/>
            <w:vAlign w:val="center"/>
          </w:tcPr>
          <w:p w14:paraId="7578CEB9">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T2#</w:t>
            </w:r>
          </w:p>
        </w:tc>
        <w:tc>
          <w:tcPr>
            <w:tcW w:w="2046" w:type="dxa"/>
            <w:tcBorders>
              <w:tl2br w:val="nil"/>
              <w:tr2bl w:val="nil"/>
            </w:tcBorders>
            <w:noWrap w:val="0"/>
            <w:vAlign w:val="center"/>
          </w:tcPr>
          <w:p w14:paraId="11309B20">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r>
              <w:rPr>
                <w:rFonts w:hint="eastAsia" w:cs="Times New Roman"/>
                <w:color w:val="000000"/>
                <w:sz w:val="21"/>
                <w:highlight w:val="none"/>
                <w:lang w:val="en-US" w:eastAsia="zh-CN" w:bidi="ar-SA"/>
              </w:rPr>
              <w:t>堆肥间发酵槽周围</w:t>
            </w:r>
          </w:p>
        </w:tc>
        <w:tc>
          <w:tcPr>
            <w:tcW w:w="1091" w:type="dxa"/>
            <w:tcBorders>
              <w:tl2br w:val="nil"/>
              <w:tr2bl w:val="nil"/>
            </w:tcBorders>
            <w:noWrap w:val="0"/>
            <w:vAlign w:val="center"/>
          </w:tcPr>
          <w:p w14:paraId="47BB155D">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柱状样品</w:t>
            </w:r>
          </w:p>
        </w:tc>
        <w:tc>
          <w:tcPr>
            <w:tcW w:w="2182" w:type="dxa"/>
            <w:vMerge w:val="continue"/>
            <w:tcBorders>
              <w:tl2br w:val="nil"/>
              <w:tr2bl w:val="nil"/>
            </w:tcBorders>
            <w:noWrap w:val="0"/>
            <w:vAlign w:val="center"/>
          </w:tcPr>
          <w:p w14:paraId="22801CA4">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p>
        </w:tc>
        <w:tc>
          <w:tcPr>
            <w:tcW w:w="1986" w:type="dxa"/>
            <w:vMerge w:val="continue"/>
            <w:tcBorders>
              <w:tl2br w:val="nil"/>
              <w:tr2bl w:val="nil"/>
            </w:tcBorders>
            <w:noWrap w:val="0"/>
            <w:vAlign w:val="center"/>
          </w:tcPr>
          <w:p w14:paraId="2AC05E16">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p>
        </w:tc>
      </w:tr>
      <w:tr w14:paraId="767DE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99" w:type="dxa"/>
            <w:tcBorders>
              <w:tl2br w:val="nil"/>
              <w:tr2bl w:val="nil"/>
            </w:tcBorders>
            <w:noWrap w:val="0"/>
            <w:vAlign w:val="center"/>
          </w:tcPr>
          <w:p w14:paraId="153E8227">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T</w:t>
            </w:r>
            <w:r>
              <w:rPr>
                <w:rFonts w:hint="eastAsia" w:cs="Times New Roman"/>
                <w:color w:val="000000"/>
                <w:sz w:val="21"/>
                <w:highlight w:val="none"/>
                <w:lang w:val="en-US" w:eastAsia="zh-CN" w:bidi="ar-SA"/>
              </w:rPr>
              <w:t>3</w:t>
            </w:r>
            <w:r>
              <w:rPr>
                <w:rFonts w:hint="eastAsia" w:ascii="Times New Roman" w:hAnsi="Times New Roman" w:eastAsia="宋体" w:cs="Times New Roman"/>
                <w:color w:val="000000"/>
                <w:sz w:val="21"/>
                <w:highlight w:val="none"/>
                <w:lang w:val="en-US" w:eastAsia="zh-CN" w:bidi="ar-SA"/>
              </w:rPr>
              <w:t>#</w:t>
            </w:r>
          </w:p>
        </w:tc>
        <w:tc>
          <w:tcPr>
            <w:tcW w:w="2046" w:type="dxa"/>
            <w:tcBorders>
              <w:tl2br w:val="nil"/>
              <w:tr2bl w:val="nil"/>
            </w:tcBorders>
            <w:noWrap w:val="0"/>
            <w:vAlign w:val="center"/>
          </w:tcPr>
          <w:p w14:paraId="04FD613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还田区</w:t>
            </w:r>
          </w:p>
        </w:tc>
        <w:tc>
          <w:tcPr>
            <w:tcW w:w="1091" w:type="dxa"/>
            <w:tcBorders>
              <w:tl2br w:val="nil"/>
              <w:tr2bl w:val="nil"/>
            </w:tcBorders>
            <w:noWrap w:val="0"/>
            <w:vAlign w:val="center"/>
          </w:tcPr>
          <w:p w14:paraId="283915B6">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r>
              <w:rPr>
                <w:rFonts w:hint="eastAsia" w:ascii="Times New Roman" w:hAnsi="Times New Roman" w:eastAsia="宋体" w:cs="Times New Roman"/>
                <w:color w:val="000000"/>
                <w:sz w:val="21"/>
                <w:highlight w:val="none"/>
                <w:lang w:val="en-US" w:eastAsia="zh-CN" w:bidi="ar-SA"/>
              </w:rPr>
              <w:t>柱状样品</w:t>
            </w:r>
          </w:p>
        </w:tc>
        <w:tc>
          <w:tcPr>
            <w:tcW w:w="2182" w:type="dxa"/>
            <w:tcBorders>
              <w:tl2br w:val="nil"/>
              <w:tr2bl w:val="nil"/>
            </w:tcBorders>
            <w:noWrap w:val="0"/>
            <w:vAlign w:val="center"/>
          </w:tcPr>
          <w:p w14:paraId="2F82DF8E">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sz w:val="21"/>
                <w:highlight w:val="none"/>
                <w:lang w:val="en-US" w:eastAsia="zh-CN" w:bidi="ar-SA"/>
              </w:rPr>
            </w:pPr>
            <w:r>
              <w:rPr>
                <w:rFonts w:hint="default" w:ascii="Times New Roman" w:hAnsi="Times New Roman" w:eastAsia="宋体" w:cs="Times New Roman"/>
                <w:color w:val="000000"/>
                <w:sz w:val="21"/>
                <w:highlight w:val="none"/>
                <w:lang w:val="en-US" w:eastAsia="zh-CN" w:bidi="ar-SA"/>
              </w:rPr>
              <w:t>每年轮作结束后监测</w:t>
            </w:r>
          </w:p>
        </w:tc>
        <w:tc>
          <w:tcPr>
            <w:tcW w:w="1986" w:type="dxa"/>
            <w:vMerge w:val="continue"/>
            <w:tcBorders>
              <w:tl2br w:val="nil"/>
              <w:tr2bl w:val="nil"/>
            </w:tcBorders>
            <w:noWrap w:val="0"/>
            <w:vAlign w:val="center"/>
          </w:tcPr>
          <w:p w14:paraId="1D197DDD">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color w:val="000000"/>
                <w:sz w:val="21"/>
                <w:highlight w:val="none"/>
                <w:lang w:val="en-US" w:eastAsia="zh-CN" w:bidi="ar-SA"/>
              </w:rPr>
            </w:pPr>
          </w:p>
        </w:tc>
      </w:tr>
    </w:tbl>
    <w:p w14:paraId="6F880DAD">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（4）</w:t>
      </w:r>
      <w:r>
        <w:rPr>
          <w:rFonts w:hint="eastAsia" w:ascii="Times New Roman" w:hAnsi="Times New Roman" w:eastAsia="宋体" w:cs="Times New Roman"/>
          <w:color w:val="auto"/>
          <w:kern w:val="0"/>
          <w:sz w:val="24"/>
          <w:szCs w:val="24"/>
          <w:lang w:val="en-US" w:eastAsia="zh-CN"/>
        </w:rPr>
        <w:t xml:space="preserve">采样深度 </w:t>
      </w:r>
    </w:p>
    <w:p w14:paraId="05A0B244">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1）深层土壤 </w:t>
      </w:r>
    </w:p>
    <w:p w14:paraId="2D6319BB">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深层土壤监测点采样深度应略低于其对应的隐蔽性重点设施设备底部与土壤接触面。 </w:t>
      </w:r>
    </w:p>
    <w:p w14:paraId="0623C4B6">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2）表层土壤 </w:t>
      </w:r>
    </w:p>
    <w:p w14:paraId="73D82B7D">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 xml:space="preserve">表层土壤监测点采样深度应为0～0.5 m。 </w:t>
      </w:r>
    </w:p>
    <w:p w14:paraId="211AD54A">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⑤监测数据管理</w:t>
      </w:r>
    </w:p>
    <w:p w14:paraId="073ADBA6">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监测结果应形成跟踪监测报告，明确跟踪监测报告编制的责任主体。跟踪监测报告内容一般包括：建设项目所在场地及其影响区土壤环境跟踪监测数据，排放污染物的种类、数量、浓度；生产设备、管廊或管线、贮存与运输装置、污染物贮存与处理装置、事故应急装置等设施的运行状况、跑冒滴漏记录、维护记录。</w:t>
      </w:r>
    </w:p>
    <w:p w14:paraId="6E6E598E">
      <w:pPr>
        <w:widowControl w:val="0"/>
        <w:wordWrap/>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监测结果应按项目有关规定及时建立档案，并定期向当地环保部门汇报，所有监测因子监测数据应进行公开，满足法律中关于知情权的要求。发现污染和土壤恶化时，要及时进行修复，开展系统调查，并上报有关部门。</w:t>
      </w:r>
    </w:p>
    <w:p w14:paraId="0394E353">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w:t>
      </w:r>
      <w:r>
        <w:rPr>
          <w:rFonts w:hint="eastAsia" w:cs="Times New Roman"/>
          <w:color w:val="000000"/>
          <w:sz w:val="24"/>
          <w:szCs w:val="22"/>
          <w:highlight w:val="none"/>
          <w:lang w:val="en-US" w:eastAsia="zh-CN"/>
        </w:rPr>
        <w:t>5</w:t>
      </w:r>
      <w:r>
        <w:rPr>
          <w:rFonts w:ascii="Times New Roman" w:hAnsi="Times New Roman" w:eastAsia="宋体" w:cs="Times New Roman"/>
          <w:color w:val="000000"/>
          <w:sz w:val="24"/>
          <w:szCs w:val="22"/>
          <w:highlight w:val="none"/>
        </w:rPr>
        <w:t>）监测数据管理</w:t>
      </w:r>
    </w:p>
    <w:p w14:paraId="6DFC6819">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上述监测结果应按项目有关规定及时建立档案，并定期向场安全环保部门汇报，对于常规监测数据应该进行公开。如发现异常或发生事故，加密监测频次，改为每年监测一次，并分析污染原因，确定泄漏污染源，及时采取应急措施。</w:t>
      </w:r>
    </w:p>
    <w:p w14:paraId="08079B25">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FF0000"/>
          <w:sz w:val="24"/>
          <w:szCs w:val="22"/>
          <w:highlight w:val="none"/>
          <w:lang w:val="en-US" w:eastAsia="zh-CN"/>
        </w:rPr>
      </w:pPr>
      <w:r>
        <w:rPr>
          <w:rFonts w:ascii="Times New Roman" w:hAnsi="Times New Roman" w:eastAsia="宋体" w:cs="Times New Roman"/>
          <w:color w:val="000000"/>
          <w:sz w:val="24"/>
          <w:szCs w:val="22"/>
          <w:highlight w:val="none"/>
        </w:rPr>
        <w:t>进行质量体系认证，实现</w:t>
      </w:r>
      <w:r>
        <w:rPr>
          <w:rFonts w:hint="eastAsia" w:cs="Times New Roman"/>
          <w:color w:val="000000"/>
          <w:sz w:val="24"/>
          <w:szCs w:val="22"/>
          <w:highlight w:val="none"/>
          <w:lang w:eastAsia="zh-CN"/>
        </w:rPr>
        <w:t>“</w:t>
      </w:r>
      <w:r>
        <w:rPr>
          <w:rFonts w:ascii="Times New Roman" w:hAnsi="Times New Roman" w:eastAsia="宋体" w:cs="Times New Roman"/>
          <w:color w:val="000000"/>
          <w:sz w:val="24"/>
          <w:szCs w:val="22"/>
          <w:highlight w:val="none"/>
        </w:rPr>
        <w:t>质量、安全、环境</w:t>
      </w:r>
      <w:r>
        <w:rPr>
          <w:rFonts w:hint="eastAsia" w:cs="Times New Roman"/>
          <w:color w:val="000000"/>
          <w:sz w:val="24"/>
          <w:szCs w:val="22"/>
          <w:highlight w:val="none"/>
          <w:lang w:eastAsia="zh-CN"/>
        </w:rPr>
        <w:t>”</w:t>
      </w:r>
      <w:r>
        <w:rPr>
          <w:rFonts w:ascii="Times New Roman" w:hAnsi="Times New Roman" w:eastAsia="宋体" w:cs="Times New Roman"/>
          <w:color w:val="000000"/>
          <w:sz w:val="24"/>
          <w:szCs w:val="22"/>
          <w:highlight w:val="none"/>
        </w:rPr>
        <w:t>三位一体的全面质量管理目标。设立土壤动态监测小组，</w:t>
      </w:r>
      <w:r>
        <w:rPr>
          <w:rFonts w:hint="eastAsia" w:ascii="Times New Roman" w:hAnsi="Times New Roman" w:eastAsia="宋体" w:cs="Times New Roman"/>
          <w:color w:val="000000"/>
          <w:sz w:val="24"/>
          <w:szCs w:val="22"/>
          <w:highlight w:val="none"/>
          <w:lang w:eastAsia="zh-CN"/>
        </w:rPr>
        <w:t>负责</w:t>
      </w:r>
      <w:r>
        <w:rPr>
          <w:rFonts w:ascii="Times New Roman" w:hAnsi="Times New Roman" w:eastAsia="宋体" w:cs="Times New Roman"/>
          <w:color w:val="000000"/>
          <w:sz w:val="24"/>
          <w:szCs w:val="22"/>
          <w:highlight w:val="none"/>
        </w:rPr>
        <w:t>土壤环境监测和管理，或者委托专业的机构完成。建立有关规章制度和岗位责任制。制定风险预警方案，设立应急设施减少环境污染影响。</w:t>
      </w:r>
    </w:p>
    <w:p w14:paraId="086DA933">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①管理措施</w:t>
      </w:r>
    </w:p>
    <w:p w14:paraId="53073D3E">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A</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防止土壤污染管理的职责属于环境保护管理部门的职责之一。环境保护管理部门指派专人负责防治土壤污染管理工作。</w:t>
      </w:r>
    </w:p>
    <w:p w14:paraId="623AEDBE">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B</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环境保护管理部门应委托具有监测资质的单位负责土壤环境质量监测工作，按要求及时分析整理原始资料、监测报告的编写工作。</w:t>
      </w:r>
    </w:p>
    <w:p w14:paraId="6A8B1BB0">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C</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建立土壤监测数据信息管理系统，与环境管理系统相联系。</w:t>
      </w:r>
    </w:p>
    <w:p w14:paraId="285CEDF8">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D</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根据实际情况，按事故的性质、类型、影响范围、严重后果</w:t>
      </w:r>
      <w:r>
        <w:rPr>
          <w:rFonts w:hint="eastAsia" w:ascii="Times New Roman" w:hAnsi="Times New Roman" w:eastAsia="宋体" w:cs="Times New Roman"/>
          <w:color w:val="000000"/>
          <w:sz w:val="24"/>
          <w:szCs w:val="22"/>
          <w:highlight w:val="none"/>
          <w:lang w:eastAsia="zh-CN"/>
        </w:rPr>
        <w:t>分等级制定</w:t>
      </w:r>
      <w:r>
        <w:rPr>
          <w:rFonts w:ascii="Times New Roman" w:hAnsi="Times New Roman" w:eastAsia="宋体" w:cs="Times New Roman"/>
          <w:color w:val="000000"/>
          <w:sz w:val="24"/>
          <w:szCs w:val="22"/>
          <w:highlight w:val="none"/>
        </w:rPr>
        <w:t>相应的预案。在制定预案时要根据本场环境污染事故潜在威胁的情况，认真细致地考虑各项影响因素，适当的时候组织有关部门、人员进行演练，不断补充完善。</w:t>
      </w:r>
    </w:p>
    <w:p w14:paraId="06CFBD92">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②技术措施</w:t>
      </w:r>
    </w:p>
    <w:p w14:paraId="12D93E1F">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按照要求，及时上报监测数据和有关表格。</w:t>
      </w:r>
    </w:p>
    <w:p w14:paraId="536961C6">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在日常例行监测中，一旦发现土壤环境监测数据异常，应尽快核查数据， 确保数据的正确性。并将核查过的监测数据通告场安全环保部门，由专人负责对数据进行分析、核实，并密切关注生产设施的运行情况，为防止土壤污染采取措施提供正确的依据。应采取的措施如下：</w:t>
      </w:r>
    </w:p>
    <w:p w14:paraId="7B5F64FF">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a）了解</w:t>
      </w:r>
      <w:r>
        <w:rPr>
          <w:rFonts w:hint="eastAsia" w:ascii="Times New Roman" w:hAnsi="Times New Roman" w:eastAsia="宋体" w:cs="Times New Roman"/>
          <w:color w:val="000000"/>
          <w:sz w:val="24"/>
          <w:szCs w:val="22"/>
          <w:highlight w:val="none"/>
          <w:lang w:eastAsia="zh-CN"/>
        </w:rPr>
        <w:t>全厂</w:t>
      </w:r>
      <w:r>
        <w:rPr>
          <w:rFonts w:ascii="Times New Roman" w:hAnsi="Times New Roman" w:eastAsia="宋体" w:cs="Times New Roman"/>
          <w:color w:val="000000"/>
          <w:sz w:val="24"/>
          <w:szCs w:val="22"/>
          <w:highlight w:val="none"/>
        </w:rPr>
        <w:t>生产是否出现异常情况，出现异常情况的装置、原因。加大监测密度，如监测频率由每五年一次临时加密为每年一次或更多，连续多月，分析变化动向；b）周期性地编写土壤动态监测报告；c）定期对污染区的生产装置进行检查。</w:t>
      </w:r>
    </w:p>
    <w:p w14:paraId="454ED278">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w:t>
      </w:r>
      <w:r>
        <w:rPr>
          <w:rFonts w:hint="eastAsia" w:cs="Times New Roman"/>
          <w:color w:val="000000"/>
          <w:sz w:val="24"/>
          <w:szCs w:val="22"/>
          <w:highlight w:val="none"/>
          <w:lang w:val="en-US" w:eastAsia="zh-CN"/>
        </w:rPr>
        <w:t>6</w:t>
      </w:r>
      <w:r>
        <w:rPr>
          <w:rFonts w:ascii="Times New Roman" w:hAnsi="Times New Roman" w:eastAsia="宋体" w:cs="Times New Roman"/>
          <w:color w:val="000000"/>
          <w:sz w:val="24"/>
          <w:szCs w:val="22"/>
          <w:highlight w:val="none"/>
        </w:rPr>
        <w:t>）土壤环境质量信息公开计划</w:t>
      </w:r>
    </w:p>
    <w:p w14:paraId="6668D006">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①土壤环境跟踪监测报告</w:t>
      </w:r>
    </w:p>
    <w:p w14:paraId="6E657CCF">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应以建设单位为项目跟踪监测的责任主体，进行项目营运期的土壤跟踪监测工作，并按照要求进行土壤跟踪监测报告的编制工作。土壤环境跟踪监测报告的内容，一般应包括：</w:t>
      </w:r>
    </w:p>
    <w:p w14:paraId="212C38FF">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A</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建设项目所在场地及其影响区土壤环境跟踪监测数据，排放污染物的种类、数量、浓度。</w:t>
      </w:r>
    </w:p>
    <w:p w14:paraId="330FC877">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B</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生产设备、管廊或管线、贮存与运输装置、污染物贮存与处理装置、事故应急装置等设施的运行状况、跑冒滴漏记录、维护记录。</w:t>
      </w:r>
    </w:p>
    <w:p w14:paraId="75692A9C">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②土壤环境跟踪监测信息公开</w:t>
      </w:r>
    </w:p>
    <w:p w14:paraId="60AE28D4">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根据土壤导则要求，项目应制定土壤环境跟踪监测的信息公开计划，定期公开土壤环境质量现状，公布内容应包括建设项目特征因子的土壤环境监测值。</w:t>
      </w:r>
    </w:p>
    <w:p w14:paraId="4768BEEE">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本次土壤环境跟踪监测信息公开计划的内容根据2015</w:t>
      </w:r>
      <w:r>
        <w:rPr>
          <w:rFonts w:hint="eastAsia" w:ascii="Times New Roman" w:hAnsi="Times New Roman" w:eastAsia="宋体" w:cs="Times New Roman"/>
          <w:color w:val="000000"/>
          <w:sz w:val="24"/>
          <w:szCs w:val="22"/>
          <w:highlight w:val="none"/>
          <w:lang w:eastAsia="zh-CN"/>
        </w:rPr>
        <w:t>年1月1日起施行</w:t>
      </w:r>
      <w:r>
        <w:rPr>
          <w:rFonts w:ascii="Times New Roman" w:hAnsi="Times New Roman" w:eastAsia="宋体" w:cs="Times New Roman"/>
          <w:color w:val="000000"/>
          <w:sz w:val="24"/>
          <w:szCs w:val="22"/>
          <w:highlight w:val="none"/>
        </w:rPr>
        <w:t>《企业事业单位环境信息公开办法》（环境保护部令第31号）的相关要求及规定进行要求。</w:t>
      </w:r>
    </w:p>
    <w:p w14:paraId="2865927C">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A</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土壤跟踪监测信息公开的内容</w:t>
      </w:r>
    </w:p>
    <w:p w14:paraId="737EE8A4">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建设项目可单独公开土壤跟踪监测信息或随项目其他环境公开信息一同公开发布，公开的主要内容应包括以下方面：</w:t>
      </w:r>
    </w:p>
    <w:p w14:paraId="26FE1C23">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1</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基础信息，包括单位名称、组织机构代码、法定代表人、生产地址、联系方式，以及生产经营和管理服务的主要内容、产品及规模；</w:t>
      </w:r>
    </w:p>
    <w:p w14:paraId="050EBCD9">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2</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排污信息，包括主要污染物及特征污染物的名称、排放方式、排放口数量和分布情况、排放浓度和总量、超标情况，以及执行的污染物排放标准、核定的排放总量；</w:t>
      </w:r>
    </w:p>
    <w:p w14:paraId="068803E2">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3</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防治污染设施的建设和运行情况；</w:t>
      </w:r>
    </w:p>
    <w:p w14:paraId="747113ED">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4</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建设项目环境影响评价及其他环境保护行政许可情况；</w:t>
      </w:r>
    </w:p>
    <w:p w14:paraId="3EE51729">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5</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突发环境事件应急预案；</w:t>
      </w:r>
    </w:p>
    <w:p w14:paraId="0BFCDBBD">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6</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其他应当公开的环境信息。</w:t>
      </w:r>
    </w:p>
    <w:p w14:paraId="43CC9294">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B</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土壤跟踪监测信息公开方式</w:t>
      </w:r>
    </w:p>
    <w:p w14:paraId="74C12F43">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可通过其网站、企业事业单位环境信息公开平台或者当地报刊等便于公众知晓的方式公开环境信息，采取以下一种或者几种方式予以公开：</w:t>
      </w:r>
    </w:p>
    <w:p w14:paraId="5CF4BFD7">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1</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公告或者公开发行的信息专刊；</w:t>
      </w:r>
    </w:p>
    <w:p w14:paraId="79F1477D">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2</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广播、电视等新闻媒体；</w:t>
      </w:r>
    </w:p>
    <w:p w14:paraId="65A3CF77">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3</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信息公开服务、监督热线电话；</w:t>
      </w:r>
    </w:p>
    <w:p w14:paraId="1E248A5C">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4</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本单位的资料索取点、信息公开栏、信息亭、电子屏幕、电子触摸屏等场所或者设施；</w:t>
      </w:r>
    </w:p>
    <w:p w14:paraId="308A0645">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hint="eastAsia" w:ascii="Times New Roman" w:hAnsi="Times New Roman" w:eastAsia="宋体" w:cs="Times New Roman"/>
          <w:color w:val="000000"/>
          <w:sz w:val="24"/>
          <w:szCs w:val="22"/>
          <w:highlight w:val="none"/>
          <w:lang w:eastAsia="zh-CN"/>
        </w:rPr>
        <w:t>（</w:t>
      </w:r>
      <w:r>
        <w:rPr>
          <w:rFonts w:hint="eastAsia" w:ascii="Times New Roman" w:hAnsi="Times New Roman" w:eastAsia="宋体" w:cs="Times New Roman"/>
          <w:color w:val="000000"/>
          <w:sz w:val="24"/>
          <w:szCs w:val="22"/>
          <w:highlight w:val="none"/>
          <w:lang w:val="en-US" w:eastAsia="zh-CN"/>
        </w:rPr>
        <w:t>5</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其他便于公众及时、准确获得信息的方式。</w:t>
      </w:r>
    </w:p>
    <w:p w14:paraId="3A238775">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C</w:t>
      </w:r>
      <w:r>
        <w:rPr>
          <w:rFonts w:hint="eastAsia" w:ascii="Times New Roman" w:hAnsi="Times New Roman" w:eastAsia="宋体" w:cs="Times New Roman"/>
          <w:color w:val="000000"/>
          <w:sz w:val="24"/>
          <w:szCs w:val="22"/>
          <w:highlight w:val="none"/>
          <w:lang w:eastAsia="zh-CN"/>
        </w:rPr>
        <w:t>.</w:t>
      </w:r>
      <w:r>
        <w:rPr>
          <w:rFonts w:ascii="Times New Roman" w:hAnsi="Times New Roman" w:eastAsia="宋体" w:cs="Times New Roman"/>
          <w:color w:val="000000"/>
          <w:sz w:val="24"/>
          <w:szCs w:val="22"/>
          <w:highlight w:val="none"/>
        </w:rPr>
        <w:t>土壤跟踪监测信息公开时间</w:t>
      </w:r>
    </w:p>
    <w:p w14:paraId="382D39B1">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如项目纳入为市重点排污单位企业，需在环境保护主管部门公布重点排污单位名录后90日内公开其环境信息。环境信息有新生成或者发生变更的，重点排污</w:t>
      </w:r>
    </w:p>
    <w:p w14:paraId="6A071C6E">
      <w:pPr>
        <w:overflowPunct w:val="0"/>
        <w:autoSpaceDE w:val="0"/>
        <w:autoSpaceDN w:val="0"/>
        <w:bidi w:val="0"/>
        <w:adjustRightInd w:val="0"/>
        <w:snapToGrid w:val="0"/>
        <w:spacing w:line="500" w:lineRule="exact"/>
        <w:ind w:firstLine="480" w:firstLineChars="200"/>
        <w:rPr>
          <w:rFonts w:ascii="Times New Roman" w:hAnsi="Times New Roman" w:eastAsia="宋体" w:cs="Times New Roman"/>
          <w:color w:val="000000"/>
          <w:sz w:val="24"/>
          <w:szCs w:val="22"/>
          <w:highlight w:val="none"/>
        </w:rPr>
      </w:pPr>
      <w:r>
        <w:rPr>
          <w:rFonts w:ascii="Times New Roman" w:hAnsi="Times New Roman" w:eastAsia="宋体" w:cs="Times New Roman"/>
          <w:color w:val="000000"/>
          <w:sz w:val="24"/>
          <w:szCs w:val="22"/>
          <w:highlight w:val="none"/>
        </w:rPr>
        <w:t>单位应当自环境信息生成或者变更之日起30日内予以公开。</w:t>
      </w:r>
    </w:p>
    <w:p w14:paraId="43062F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p>
    <w:p w14:paraId="10F6D7F8">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outlineLvl w:val="0"/>
        <w:rPr>
          <w:rFonts w:hint="eastAsia" w:ascii="Times New Roman" w:hAnsi="Times New Roman" w:eastAsia="宋体" w:cs="Times New Roman"/>
          <w:b/>
          <w:kern w:val="44"/>
          <w:sz w:val="32"/>
          <w:szCs w:val="32"/>
          <w:lang w:val="en-US" w:eastAsia="zh-CN" w:bidi="ar-SA"/>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bookmarkStart w:id="749" w:name="_Toc263850735"/>
      <w:bookmarkStart w:id="750" w:name="_Toc337673504"/>
      <w:bookmarkStart w:id="751" w:name="_Toc8087"/>
      <w:bookmarkStart w:id="752" w:name="_Toc10515"/>
      <w:bookmarkStart w:id="753" w:name="_Toc30520"/>
      <w:bookmarkStart w:id="754" w:name="_Toc472451941"/>
      <w:bookmarkStart w:id="755" w:name="_Toc7081"/>
    </w:p>
    <w:p w14:paraId="2070FB19">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宋体" w:cs="Times New Roman"/>
          <w:b/>
          <w:kern w:val="44"/>
          <w:sz w:val="32"/>
          <w:szCs w:val="32"/>
          <w:lang w:val="en-US" w:eastAsia="zh-CN" w:bidi="ar-SA"/>
        </w:rPr>
      </w:pPr>
      <w:bookmarkStart w:id="756" w:name="_Toc11066"/>
      <w:r>
        <w:rPr>
          <w:rFonts w:hint="eastAsia" w:ascii="Times New Roman" w:hAnsi="Times New Roman" w:eastAsia="宋体" w:cs="Times New Roman"/>
          <w:b/>
          <w:kern w:val="44"/>
          <w:sz w:val="32"/>
          <w:szCs w:val="32"/>
          <w:lang w:val="en-US" w:eastAsia="zh-CN" w:bidi="ar-SA"/>
        </w:rPr>
        <w:t>8</w:t>
      </w:r>
      <w:r>
        <w:rPr>
          <w:rFonts w:hint="default" w:ascii="Times New Roman" w:hAnsi="Times New Roman" w:eastAsia="宋体" w:cs="Times New Roman"/>
          <w:b/>
          <w:kern w:val="44"/>
          <w:sz w:val="32"/>
          <w:szCs w:val="32"/>
          <w:lang w:val="en-US" w:eastAsia="zh-CN" w:bidi="ar-SA"/>
        </w:rPr>
        <w:t>、环境</w:t>
      </w:r>
      <w:r>
        <w:rPr>
          <w:rFonts w:hint="eastAsia" w:ascii="Times New Roman" w:hAnsi="Times New Roman" w:eastAsia="宋体" w:cs="Times New Roman"/>
          <w:b/>
          <w:kern w:val="44"/>
          <w:sz w:val="32"/>
          <w:szCs w:val="32"/>
          <w:lang w:val="en-US" w:eastAsia="zh-CN" w:bidi="ar-SA"/>
        </w:rPr>
        <w:t>影响</w:t>
      </w:r>
      <w:r>
        <w:rPr>
          <w:rFonts w:hint="default" w:ascii="Times New Roman" w:hAnsi="Times New Roman" w:eastAsia="宋体" w:cs="Times New Roman"/>
          <w:b/>
          <w:kern w:val="44"/>
          <w:sz w:val="32"/>
          <w:szCs w:val="32"/>
          <w:lang w:val="en-US" w:eastAsia="zh-CN" w:bidi="ar-SA"/>
        </w:rPr>
        <w:t>经济损益分析</w:t>
      </w:r>
      <w:bookmarkEnd w:id="756"/>
    </w:p>
    <w:p w14:paraId="06D3BFD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环境影响经济损益分析是针对建设项目的性质和当地的具体情况，确定环境影响因子，从而对项目环境影响范围内的环境影响总体</w:t>
      </w:r>
      <w:r>
        <w:rPr>
          <w:rFonts w:hint="eastAsia" w:ascii="Times New Roman" w:hAnsi="Times New Roman" w:eastAsia="宋体" w:cs="Times New Roman"/>
          <w:sz w:val="24"/>
          <w:lang w:eastAsia="zh-CN"/>
        </w:rPr>
        <w:t>作出</w:t>
      </w:r>
      <w:r>
        <w:rPr>
          <w:rFonts w:hint="default" w:ascii="Times New Roman" w:hAnsi="Times New Roman" w:eastAsia="宋体" w:cs="Times New Roman"/>
          <w:sz w:val="24"/>
        </w:rPr>
        <w:t>经济评价。</w:t>
      </w:r>
    </w:p>
    <w:p w14:paraId="5A77211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rPr>
      </w:pPr>
      <w:r>
        <w:rPr>
          <w:rFonts w:hint="eastAsia" w:ascii="Times New Roman" w:hAnsi="Times New Roman" w:eastAsia="宋体" w:cs="Times New Roman"/>
          <w:sz w:val="24"/>
        </w:rPr>
        <w:t>本项目的</w:t>
      </w:r>
      <w:r>
        <w:rPr>
          <w:rFonts w:hint="default" w:ascii="Times New Roman" w:hAnsi="Times New Roman" w:eastAsia="宋体" w:cs="Times New Roman"/>
          <w:sz w:val="24"/>
        </w:rPr>
        <w:t>建设，注重采用清洁生产</w:t>
      </w:r>
      <w:r>
        <w:rPr>
          <w:rFonts w:hint="eastAsia" w:ascii="Times New Roman" w:hAnsi="Times New Roman" w:eastAsia="宋体" w:cs="Times New Roman"/>
          <w:sz w:val="24"/>
        </w:rPr>
        <w:t>技术</w:t>
      </w:r>
      <w:r>
        <w:rPr>
          <w:rFonts w:hint="default" w:ascii="Times New Roman" w:hAnsi="Times New Roman" w:eastAsia="宋体" w:cs="Times New Roman"/>
          <w:sz w:val="24"/>
        </w:rPr>
        <w:t>，注重保护环境，</w:t>
      </w:r>
      <w:r>
        <w:rPr>
          <w:rFonts w:hint="eastAsia" w:ascii="Times New Roman" w:hAnsi="Times New Roman" w:eastAsia="宋体" w:cs="Times New Roman"/>
          <w:sz w:val="24"/>
        </w:rPr>
        <w:t>最大限度地减少对环境的污染，使工程建设取得较好的经济效益、社会效益和环境效益。</w:t>
      </w:r>
    </w:p>
    <w:p w14:paraId="18128716">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eastAsia" w:ascii="Times New Roman" w:hAnsi="Times New Roman" w:eastAsia="宋体" w:cs="Times New Roman"/>
          <w:b/>
          <w:bCs/>
          <w:kern w:val="2"/>
          <w:sz w:val="30"/>
          <w:szCs w:val="30"/>
          <w:lang w:val="en-US" w:eastAsia="zh-CN" w:bidi="ar-SA"/>
        </w:rPr>
      </w:pPr>
      <w:bookmarkStart w:id="757" w:name="_Toc23333"/>
      <w:r>
        <w:rPr>
          <w:rFonts w:hint="eastAsia" w:ascii="Times New Roman" w:hAnsi="Times New Roman" w:eastAsia="宋体" w:cs="Times New Roman"/>
          <w:b/>
          <w:bCs/>
          <w:kern w:val="2"/>
          <w:sz w:val="30"/>
          <w:szCs w:val="30"/>
          <w:lang w:val="en-US" w:eastAsia="zh-CN" w:bidi="ar-SA"/>
        </w:rPr>
        <w:t>8.1分析方法</w:t>
      </w:r>
      <w:bookmarkEnd w:id="757"/>
    </w:p>
    <w:p w14:paraId="7084477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费用</w:t>
      </w:r>
      <w:r>
        <w:rPr>
          <w:rFonts w:hint="eastAsia" w:ascii="Times New Roman" w:hAnsi="Times New Roman" w:eastAsia="宋体" w:cs="Times New Roman"/>
          <w:sz w:val="24"/>
        </w:rPr>
        <w:t>—</w:t>
      </w:r>
      <w:r>
        <w:rPr>
          <w:rFonts w:hint="default" w:ascii="Times New Roman" w:hAnsi="Times New Roman" w:eastAsia="宋体" w:cs="Times New Roman"/>
          <w:sz w:val="24"/>
        </w:rPr>
        <w:t>效益分析是最常用的建设项目环境经济损益分析方法和政策方法。利用该方法对建设项目进行分析将有利于正确分析项目的可行性。费用是总投资的一部分，而效益包括经济效益、社会效益和环境效益，即：</w:t>
      </w:r>
    </w:p>
    <w:p w14:paraId="1575ED3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费用=生产成本+社会代价+环境损害；</w:t>
      </w:r>
    </w:p>
    <w:p w14:paraId="0471C6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效益=经济效益+社会效益+环境效益。</w:t>
      </w:r>
    </w:p>
    <w:p w14:paraId="0A162BE5">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eastAsia" w:ascii="Times New Roman" w:hAnsi="Times New Roman" w:eastAsia="宋体" w:cs="Times New Roman"/>
          <w:b/>
          <w:bCs/>
          <w:kern w:val="2"/>
          <w:sz w:val="30"/>
          <w:szCs w:val="30"/>
          <w:lang w:val="en-US" w:eastAsia="zh-CN" w:bidi="ar-SA"/>
        </w:rPr>
      </w:pPr>
      <w:bookmarkStart w:id="758" w:name="_Toc10077"/>
      <w:r>
        <w:rPr>
          <w:rFonts w:hint="eastAsia" w:ascii="Times New Roman" w:hAnsi="Times New Roman" w:eastAsia="宋体" w:cs="Times New Roman"/>
          <w:b/>
          <w:bCs/>
          <w:kern w:val="2"/>
          <w:sz w:val="30"/>
          <w:szCs w:val="30"/>
          <w:lang w:val="en-US" w:eastAsia="zh-CN" w:bidi="ar-SA"/>
        </w:rPr>
        <w:t>8</w:t>
      </w:r>
      <w:r>
        <w:rPr>
          <w:rFonts w:hint="default" w:ascii="Times New Roman" w:hAnsi="Times New Roman" w:eastAsia="宋体" w:cs="Times New Roman"/>
          <w:b/>
          <w:bCs/>
          <w:kern w:val="2"/>
          <w:sz w:val="30"/>
          <w:szCs w:val="30"/>
          <w:lang w:val="en-US" w:eastAsia="zh-CN" w:bidi="ar-SA"/>
        </w:rPr>
        <w:t>.</w:t>
      </w:r>
      <w:r>
        <w:rPr>
          <w:rFonts w:hint="eastAsia" w:ascii="Times New Roman" w:hAnsi="Times New Roman" w:eastAsia="宋体" w:cs="Times New Roman"/>
          <w:b/>
          <w:bCs/>
          <w:kern w:val="2"/>
          <w:sz w:val="30"/>
          <w:szCs w:val="30"/>
          <w:lang w:val="en-US" w:eastAsia="zh-CN" w:bidi="ar-SA"/>
        </w:rPr>
        <w:t>2经济效益分析</w:t>
      </w:r>
      <w:bookmarkEnd w:id="758"/>
    </w:p>
    <w:p w14:paraId="566C06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本项目的实施，能够提高公司商品</w:t>
      </w:r>
      <w:r>
        <w:rPr>
          <w:rFonts w:hint="eastAsia" w:ascii="Times New Roman" w:hAnsi="Times New Roman" w:eastAsia="宋体" w:cs="Times New Roman"/>
          <w:sz w:val="24"/>
          <w:lang w:val="en-US" w:eastAsia="zh-CN"/>
        </w:rPr>
        <w:t>肉牛</w:t>
      </w:r>
      <w:r>
        <w:rPr>
          <w:rFonts w:hint="eastAsia" w:ascii="Times New Roman" w:hAnsi="Times New Roman" w:eastAsia="宋体" w:cs="Times New Roman"/>
          <w:sz w:val="24"/>
        </w:rPr>
        <w:t>质量和生产性能，显著增加企业收入。应用优良商品</w:t>
      </w:r>
      <w:r>
        <w:rPr>
          <w:rFonts w:hint="eastAsia" w:ascii="Times New Roman" w:hAnsi="Times New Roman" w:eastAsia="宋体" w:cs="Times New Roman"/>
          <w:sz w:val="24"/>
          <w:lang w:val="en-US" w:eastAsia="zh-CN"/>
        </w:rPr>
        <w:t>犊牛</w:t>
      </w:r>
      <w:r>
        <w:rPr>
          <w:rFonts w:hint="eastAsia" w:ascii="Times New Roman" w:hAnsi="Times New Roman" w:eastAsia="宋体" w:cs="Times New Roman"/>
          <w:sz w:val="24"/>
        </w:rPr>
        <w:t>，能够提高商品</w:t>
      </w:r>
      <w:r>
        <w:rPr>
          <w:rFonts w:hint="eastAsia" w:ascii="Times New Roman" w:hAnsi="Times New Roman" w:eastAsia="宋体" w:cs="Times New Roman"/>
          <w:sz w:val="24"/>
          <w:lang w:val="en-US" w:eastAsia="zh-CN"/>
        </w:rPr>
        <w:t>肉牛</w:t>
      </w:r>
      <w:r>
        <w:rPr>
          <w:rFonts w:hint="eastAsia" w:ascii="Times New Roman" w:hAnsi="Times New Roman" w:eastAsia="宋体" w:cs="Times New Roman"/>
          <w:sz w:val="24"/>
        </w:rPr>
        <w:t>的日增重、饲料报酬，降低生产成本，综合经济效益可提高</w:t>
      </w:r>
      <w:r>
        <w:rPr>
          <w:rFonts w:hint="default" w:ascii="Times New Roman" w:hAnsi="Times New Roman" w:eastAsia="宋体" w:cs="Times New Roman"/>
          <w:sz w:val="24"/>
        </w:rPr>
        <w:t>20%。</w:t>
      </w:r>
    </w:p>
    <w:p w14:paraId="34979F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rPr>
      </w:pPr>
      <w:r>
        <w:rPr>
          <w:rFonts w:hint="default" w:ascii="Times New Roman" w:hAnsi="Times New Roman" w:eastAsia="宋体" w:cs="Times New Roman"/>
          <w:sz w:val="24"/>
        </w:rPr>
        <w:t>根据建设单位提供的资料，</w:t>
      </w:r>
      <w:r>
        <w:rPr>
          <w:rFonts w:hint="eastAsia" w:ascii="Times New Roman" w:hAnsi="Times New Roman" w:eastAsia="宋体" w:cs="Times New Roman"/>
          <w:sz w:val="24"/>
          <w:lang w:val="en-US" w:eastAsia="zh-CN"/>
        </w:rPr>
        <w:t>项目总投资共655.8</w:t>
      </w:r>
      <w:r>
        <w:rPr>
          <w:rFonts w:hint="eastAsia" w:ascii="Times New Roman" w:hAnsi="Times New Roman" w:eastAsia="宋体" w:cs="Times New Roman"/>
          <w:snapToGrid w:val="0"/>
          <w:color w:val="auto"/>
          <w:kern w:val="2"/>
          <w:sz w:val="24"/>
          <w:szCs w:val="24"/>
          <w:lang w:val="en-US" w:eastAsia="zh-CN" w:bidi="ar-SA"/>
        </w:rPr>
        <w:t>万元</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rPr>
        <w:t>投资回收期为</w:t>
      </w:r>
      <w:r>
        <w:rPr>
          <w:rFonts w:hint="eastAsia" w:ascii="Times New Roman" w:hAnsi="Times New Roman" w:eastAsia="宋体" w:cs="Times New Roman"/>
          <w:sz w:val="24"/>
          <w:lang w:val="en-US" w:eastAsia="zh-CN"/>
        </w:rPr>
        <w:t>2</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lang w:eastAsia="zh-CN"/>
        </w:rPr>
        <w:t>年</w:t>
      </w:r>
      <w:r>
        <w:rPr>
          <w:rFonts w:hint="default" w:ascii="Times New Roman" w:hAnsi="Times New Roman" w:eastAsia="宋体" w:cs="Times New Roman"/>
          <w:sz w:val="24"/>
        </w:rPr>
        <w:t>。该项目经济效益较好，且具有一定的抗风险能力，在经济上是可行的。</w:t>
      </w:r>
      <w:r>
        <w:rPr>
          <w:rFonts w:hint="eastAsia" w:ascii="Times New Roman" w:hAnsi="Times New Roman" w:eastAsia="宋体" w:cs="Times New Roman"/>
          <w:sz w:val="24"/>
        </w:rPr>
        <w:t>根据项目经营特点，按照《建设项目经济评价方法与参数》</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第三版</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部分行业建设项目财务基准收益率测算与协调中畜牧行业融资前税前专家调查结果指标作为判据参考参数，本项目投资财务基准收益率确定为IC=</w:t>
      </w: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rPr>
        <w:t>0%。从财务评价的角度，</w:t>
      </w:r>
      <w:r>
        <w:rPr>
          <w:rFonts w:hint="eastAsia" w:ascii="Times New Roman" w:hAnsi="Times New Roman" w:eastAsia="宋体" w:cs="Times New Roman"/>
          <w:sz w:val="24"/>
        </w:rPr>
        <w:t>本</w:t>
      </w:r>
      <w:r>
        <w:rPr>
          <w:rFonts w:hint="default" w:ascii="Times New Roman" w:hAnsi="Times New Roman" w:eastAsia="宋体" w:cs="Times New Roman"/>
          <w:sz w:val="24"/>
        </w:rPr>
        <w:t>项目的收益率大于基准收益率</w:t>
      </w:r>
      <w:r>
        <w:rPr>
          <w:rFonts w:hint="eastAsia" w:ascii="Times New Roman" w:hAnsi="Times New Roman" w:eastAsia="宋体" w:cs="Times New Roman"/>
          <w:sz w:val="24"/>
        </w:rPr>
        <w:t>，</w:t>
      </w:r>
      <w:r>
        <w:rPr>
          <w:rFonts w:hint="default" w:ascii="Times New Roman" w:hAnsi="Times New Roman" w:eastAsia="宋体" w:cs="Times New Roman"/>
          <w:sz w:val="24"/>
        </w:rPr>
        <w:t>直接经济效益显著，投资是可行的。投资方在取得投资</w:t>
      </w:r>
      <w:r>
        <w:rPr>
          <w:rFonts w:hint="eastAsia" w:ascii="Times New Roman" w:hAnsi="Times New Roman" w:eastAsia="宋体" w:cs="Times New Roman"/>
          <w:sz w:val="24"/>
        </w:rPr>
        <w:t>回报</w:t>
      </w:r>
      <w:r>
        <w:rPr>
          <w:rFonts w:hint="default" w:ascii="Times New Roman" w:hAnsi="Times New Roman" w:eastAsia="宋体" w:cs="Times New Roman"/>
          <w:sz w:val="24"/>
        </w:rPr>
        <w:t>的同时，也为国民经济提供了可观的税收收入。</w:t>
      </w:r>
    </w:p>
    <w:p w14:paraId="5B2FD30B">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eastAsia" w:ascii="Times New Roman" w:hAnsi="Times New Roman" w:eastAsia="宋体" w:cs="Times New Roman"/>
          <w:b/>
          <w:bCs/>
          <w:kern w:val="2"/>
          <w:sz w:val="30"/>
          <w:szCs w:val="30"/>
          <w:lang w:val="en-US" w:eastAsia="zh-CN" w:bidi="ar-SA"/>
        </w:rPr>
      </w:pPr>
      <w:bookmarkStart w:id="759" w:name="_Toc22522"/>
      <w:r>
        <w:rPr>
          <w:rFonts w:hint="eastAsia" w:ascii="Times New Roman" w:hAnsi="Times New Roman" w:eastAsia="宋体" w:cs="Times New Roman"/>
          <w:b/>
          <w:bCs/>
          <w:kern w:val="2"/>
          <w:sz w:val="30"/>
          <w:szCs w:val="30"/>
          <w:lang w:val="en-US" w:eastAsia="zh-CN" w:bidi="ar-SA"/>
        </w:rPr>
        <w:t>8.3社会效益分析</w:t>
      </w:r>
      <w:bookmarkEnd w:id="759"/>
    </w:p>
    <w:p w14:paraId="27A7C05C">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r>
        <w:rPr>
          <w:rFonts w:hint="eastAsia" w:ascii="Times New Roman" w:hAnsi="Times New Roman" w:eastAsia="宋体" w:cs="Times New Roman"/>
          <w:b/>
          <w:bCs/>
          <w:snapToGrid w:val="0"/>
          <w:kern w:val="2"/>
          <w:sz w:val="28"/>
          <w:szCs w:val="28"/>
          <w:lang w:val="en-US" w:eastAsia="zh-CN" w:bidi="ar-SA"/>
        </w:rPr>
        <w:t>8.3.1推动区域经济发展</w:t>
      </w:r>
    </w:p>
    <w:p w14:paraId="4D293B2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通过本项目示范推广，可有效促进</w:t>
      </w:r>
      <w:r>
        <w:rPr>
          <w:rFonts w:hint="eastAsia" w:ascii="Times New Roman" w:hAnsi="Times New Roman" w:eastAsia="宋体" w:cs="Times New Roman"/>
          <w:sz w:val="24"/>
          <w:lang w:val="en-US" w:eastAsia="zh-CN"/>
        </w:rPr>
        <w:t>第七师胡杨河市养殖业</w:t>
      </w:r>
      <w:r>
        <w:rPr>
          <w:rFonts w:hint="eastAsia" w:ascii="Times New Roman" w:hAnsi="Times New Roman" w:eastAsia="宋体" w:cs="Times New Roman"/>
          <w:sz w:val="24"/>
        </w:rPr>
        <w:t>产业大发展，并推动区域经济和社会的快速发展。同时，通过加强科学管理和经营意识，不断提高和扩大自身的规模和实力，形成带动地方经济发展的支柱产业。养</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rPr>
        <w:t>业的发展</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促进粮食及其副产品的转化，增加了它们的附加值。</w:t>
      </w:r>
    </w:p>
    <w:p w14:paraId="2D1D248D">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r>
        <w:rPr>
          <w:rFonts w:hint="eastAsia" w:ascii="Times New Roman" w:hAnsi="Times New Roman" w:eastAsia="宋体" w:cs="Times New Roman"/>
          <w:b/>
          <w:bCs/>
          <w:snapToGrid w:val="0"/>
          <w:kern w:val="2"/>
          <w:sz w:val="28"/>
          <w:szCs w:val="28"/>
          <w:lang w:val="en-US" w:eastAsia="zh-CN" w:bidi="ar-SA"/>
        </w:rPr>
        <w:t>8.3.2提供更多就业机会</w:t>
      </w:r>
    </w:p>
    <w:p w14:paraId="7FE48A1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建设项目施工过程中需要大量的施工人员，大部分建筑施工人员将从本地招聘，可为当地提供直接就业机会，对于缓解就业问题做出一定贡献。</w:t>
      </w:r>
    </w:p>
    <w:p w14:paraId="32D02B2D">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通过本项目，可以带动新疆养殖场、养殖户发展标准化规模养殖，扩大优良</w:t>
      </w:r>
      <w:r>
        <w:rPr>
          <w:rFonts w:hint="eastAsia" w:ascii="Times New Roman" w:hAnsi="Times New Roman" w:eastAsia="宋体" w:cs="Times New Roman"/>
          <w:sz w:val="24"/>
          <w:lang w:val="en-US" w:eastAsia="zh-CN"/>
        </w:rPr>
        <w:t>肉牛</w:t>
      </w:r>
      <w:r>
        <w:rPr>
          <w:rFonts w:hint="eastAsia" w:ascii="Times New Roman" w:hAnsi="Times New Roman" w:eastAsia="宋体" w:cs="Times New Roman"/>
          <w:sz w:val="24"/>
        </w:rPr>
        <w:t>利用效率，提高项目辐射区养</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rPr>
        <w:t>生产水平和经济效益。养殖场的建成需要相应工作人员，为当地待业人口增加就业机会。</w:t>
      </w:r>
    </w:p>
    <w:p w14:paraId="5394B005">
      <w:pPr>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eastAsia" w:ascii="Times New Roman" w:hAnsi="Times New Roman" w:eastAsia="宋体" w:cs="Times New Roman"/>
          <w:b/>
          <w:bCs/>
          <w:kern w:val="2"/>
          <w:sz w:val="30"/>
          <w:szCs w:val="30"/>
          <w:lang w:val="en-US" w:eastAsia="zh-CN" w:bidi="ar-SA"/>
        </w:rPr>
      </w:pPr>
      <w:bookmarkStart w:id="760" w:name="_Toc19137"/>
      <w:r>
        <w:rPr>
          <w:rFonts w:hint="eastAsia" w:ascii="Times New Roman" w:hAnsi="Times New Roman" w:eastAsia="宋体" w:cs="Times New Roman"/>
          <w:b/>
          <w:bCs/>
          <w:kern w:val="2"/>
          <w:sz w:val="30"/>
          <w:szCs w:val="30"/>
          <w:lang w:val="en-US" w:eastAsia="zh-CN" w:bidi="ar-SA"/>
        </w:rPr>
        <w:t>8.4环境经济损益分析</w:t>
      </w:r>
      <w:bookmarkEnd w:id="760"/>
    </w:p>
    <w:p w14:paraId="35DE248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根据《</w:t>
      </w:r>
      <w:r>
        <w:rPr>
          <w:rFonts w:hint="eastAsia" w:ascii="Times New Roman" w:hAnsi="Times New Roman" w:eastAsia="宋体" w:cs="Times New Roman"/>
          <w:sz w:val="24"/>
          <w:lang w:eastAsia="zh-CN"/>
        </w:rPr>
        <w:t>建设项目环境影响评价技术导则 总纲</w:t>
      </w:r>
      <w:r>
        <w:rPr>
          <w:rFonts w:hint="eastAsia" w:ascii="Times New Roman" w:hAnsi="Times New Roman" w:eastAsia="宋体" w:cs="Times New Roman"/>
          <w:sz w:val="24"/>
        </w:rPr>
        <w:t>》（</w:t>
      </w:r>
      <w:r>
        <w:rPr>
          <w:rFonts w:hint="eastAsia" w:ascii="Times New Roman" w:hAnsi="Times New Roman" w:eastAsia="宋体" w:cs="Times New Roman"/>
          <w:sz w:val="24"/>
          <w:lang w:eastAsia="zh-CN"/>
        </w:rPr>
        <w:t>HJ 2.1-2016</w:t>
      </w:r>
      <w:r>
        <w:rPr>
          <w:rFonts w:hint="eastAsia" w:ascii="Times New Roman" w:hAnsi="Times New Roman" w:eastAsia="宋体" w:cs="Times New Roman"/>
          <w:sz w:val="24"/>
        </w:rPr>
        <w:t>）的要求，建设项目环境影响评价应评价建设项目产生的正负两方面的环境影响。</w:t>
      </w:r>
    </w:p>
    <w:p w14:paraId="17024E2B">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r>
        <w:rPr>
          <w:rFonts w:hint="eastAsia" w:ascii="Times New Roman" w:hAnsi="Times New Roman" w:eastAsia="宋体" w:cs="Times New Roman"/>
          <w:b/>
          <w:bCs/>
          <w:snapToGrid w:val="0"/>
          <w:kern w:val="2"/>
          <w:sz w:val="28"/>
          <w:szCs w:val="28"/>
          <w:lang w:val="en-US" w:eastAsia="zh-CN" w:bidi="ar-SA"/>
        </w:rPr>
        <w:t>8.4.1环保正效应</w:t>
      </w:r>
    </w:p>
    <w:p w14:paraId="449F515A">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本项目</w:t>
      </w:r>
      <w:r>
        <w:rPr>
          <w:rFonts w:hint="eastAsia" w:ascii="Times New Roman" w:hAnsi="Times New Roman" w:eastAsia="宋体" w:cs="Times New Roman"/>
          <w:sz w:val="24"/>
          <w:lang w:val="en-US" w:eastAsia="zh-CN"/>
        </w:rPr>
        <w:t>位于第七师胡杨河市125团</w:t>
      </w:r>
      <w:r>
        <w:rPr>
          <w:rFonts w:hint="eastAsia" w:ascii="Times New Roman" w:hAnsi="Times New Roman" w:eastAsia="宋体" w:cs="Times New Roman"/>
          <w:sz w:val="24"/>
        </w:rPr>
        <w:t>，将建立一种新型现代规模化商品</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rPr>
        <w:t>生产模式，建成投产后，通过标准化、产业化运作模式的建立，建立稳定的高质量商品</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rPr>
        <w:t>供给基地，从而促进</w:t>
      </w:r>
      <w:r>
        <w:rPr>
          <w:rFonts w:hint="eastAsia" w:cs="Times New Roman"/>
          <w:sz w:val="24"/>
          <w:lang w:val="en-US" w:eastAsia="zh-CN"/>
        </w:rPr>
        <w:t>兵团</w:t>
      </w:r>
      <w:r>
        <w:rPr>
          <w:rFonts w:hint="eastAsia" w:ascii="Times New Roman" w:hAnsi="Times New Roman" w:eastAsia="宋体" w:cs="Times New Roman"/>
          <w:sz w:val="24"/>
        </w:rPr>
        <w:t>的</w:t>
      </w:r>
      <w:r>
        <w:rPr>
          <w:rFonts w:hint="eastAsia" w:ascii="Times New Roman" w:hAnsi="Times New Roman" w:eastAsia="宋体" w:cs="Times New Roman"/>
          <w:sz w:val="24"/>
          <w:lang w:val="en-US" w:eastAsia="zh-CN"/>
        </w:rPr>
        <w:t>肉牛</w:t>
      </w:r>
      <w:r>
        <w:rPr>
          <w:rFonts w:hint="eastAsia" w:ascii="Times New Roman" w:hAnsi="Times New Roman" w:eastAsia="宋体" w:cs="Times New Roman"/>
          <w:sz w:val="24"/>
        </w:rPr>
        <w:t>产业发展，进一步满足逐渐增长的市场需求，推动农村经济快速发展和农民增收，促进农业生产结构优化与升级，具有较大的社会效益。本项目先进的生产和管理集成技术将会在养殖企业应用，辐射到</w:t>
      </w:r>
      <w:r>
        <w:rPr>
          <w:rFonts w:hint="eastAsia" w:cs="Times New Roman"/>
          <w:sz w:val="24"/>
          <w:lang w:val="en-US" w:eastAsia="zh-CN"/>
        </w:rPr>
        <w:t>兵团</w:t>
      </w:r>
      <w:r>
        <w:rPr>
          <w:rFonts w:hint="eastAsia" w:ascii="Times New Roman" w:hAnsi="Times New Roman" w:eastAsia="宋体" w:cs="Times New Roman"/>
          <w:sz w:val="24"/>
        </w:rPr>
        <w:t>各地，从而带动</w:t>
      </w:r>
      <w:r>
        <w:rPr>
          <w:rFonts w:hint="eastAsia" w:cs="Times New Roman"/>
          <w:sz w:val="24"/>
          <w:lang w:val="en-US" w:eastAsia="zh-CN"/>
        </w:rPr>
        <w:t>兵团</w:t>
      </w:r>
      <w:r>
        <w:rPr>
          <w:rFonts w:hint="eastAsia" w:ascii="Times New Roman" w:hAnsi="Times New Roman" w:eastAsia="宋体" w:cs="Times New Roman"/>
          <w:sz w:val="24"/>
          <w:lang w:val="en-US" w:eastAsia="zh-CN"/>
        </w:rPr>
        <w:t>养殖</w:t>
      </w:r>
      <w:r>
        <w:rPr>
          <w:rFonts w:hint="eastAsia" w:ascii="Times New Roman" w:hAnsi="Times New Roman" w:eastAsia="宋体" w:cs="Times New Roman"/>
          <w:sz w:val="24"/>
        </w:rPr>
        <w:t>产业稳步、健康发展，并推动区域经济和社会的快速发展，因而项目的建设具有较好的社会效益。</w:t>
      </w:r>
    </w:p>
    <w:p w14:paraId="7CE032FA">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r>
        <w:rPr>
          <w:rFonts w:hint="eastAsia" w:ascii="Times New Roman" w:hAnsi="Times New Roman" w:eastAsia="宋体" w:cs="Times New Roman"/>
          <w:b/>
          <w:bCs/>
          <w:snapToGrid w:val="0"/>
          <w:kern w:val="2"/>
          <w:sz w:val="28"/>
          <w:szCs w:val="28"/>
          <w:lang w:val="en-US" w:eastAsia="zh-CN" w:bidi="ar-SA"/>
        </w:rPr>
        <w:t>8.4.2环保负效应及其相应的环保投资估算</w:t>
      </w:r>
    </w:p>
    <w:p w14:paraId="17EC8725">
      <w:pPr>
        <w:widowControl w:val="0"/>
        <w:spacing w:line="500" w:lineRule="exact"/>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8.4.2.1环保负效应</w:t>
      </w:r>
    </w:p>
    <w:p w14:paraId="4D4848EA">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本项目为畜禽养殖类项目，由工程分析及类比调查，可以确定建设项目可能造成的环境负效应主要有：</w:t>
      </w:r>
    </w:p>
    <w:p w14:paraId="555D8EF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（1）来自</w:t>
      </w:r>
      <w:r>
        <w:rPr>
          <w:rFonts w:hint="eastAsia" w:ascii="Times New Roman" w:hAnsi="Times New Roman" w:eastAsia="宋体" w:cs="Times New Roman"/>
          <w:sz w:val="24"/>
          <w:lang w:val="en-US" w:eastAsia="zh-CN"/>
        </w:rPr>
        <w:t>养殖</w:t>
      </w:r>
      <w:r>
        <w:rPr>
          <w:rFonts w:hint="eastAsia" w:ascii="Times New Roman" w:hAnsi="Times New Roman" w:eastAsia="宋体" w:cs="Times New Roman"/>
          <w:sz w:val="24"/>
        </w:rPr>
        <w:t>粪便、</w:t>
      </w:r>
      <w:r>
        <w:rPr>
          <w:rFonts w:hint="eastAsia" w:ascii="Times New Roman" w:hAnsi="Times New Roman" w:eastAsia="宋体" w:cs="Times New Roman"/>
          <w:sz w:val="24"/>
          <w:lang w:val="en-US" w:eastAsia="zh-CN"/>
        </w:rPr>
        <w:t>堆肥间</w:t>
      </w:r>
      <w:r>
        <w:rPr>
          <w:rFonts w:hint="eastAsia" w:ascii="Times New Roman" w:hAnsi="Times New Roman" w:eastAsia="宋体" w:cs="Times New Roman"/>
          <w:sz w:val="24"/>
        </w:rPr>
        <w:t>臭气造成的大气环境影响；</w:t>
      </w:r>
    </w:p>
    <w:p w14:paraId="00EA5A3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（2）</w:t>
      </w:r>
      <w:r>
        <w:rPr>
          <w:rFonts w:hint="eastAsia" w:ascii="Times New Roman" w:hAnsi="Times New Roman" w:eastAsia="宋体" w:cs="Times New Roman"/>
          <w:sz w:val="24"/>
          <w:lang w:val="en-US" w:eastAsia="zh-CN"/>
        </w:rPr>
        <w:t>牛尿</w:t>
      </w:r>
      <w:r>
        <w:rPr>
          <w:rFonts w:hint="eastAsia" w:ascii="Times New Roman" w:hAnsi="Times New Roman" w:eastAsia="宋体" w:cs="Times New Roman"/>
          <w:sz w:val="24"/>
        </w:rPr>
        <w:t>以及生活</w:t>
      </w:r>
      <w:r>
        <w:rPr>
          <w:rFonts w:hint="eastAsia" w:ascii="Times New Roman" w:hAnsi="Times New Roman" w:eastAsia="宋体" w:cs="Times New Roman"/>
          <w:sz w:val="24"/>
          <w:lang w:val="en-US" w:eastAsia="zh-CN"/>
        </w:rPr>
        <w:t>污水</w:t>
      </w:r>
      <w:r>
        <w:rPr>
          <w:rFonts w:hint="eastAsia" w:ascii="Times New Roman" w:hAnsi="Times New Roman" w:eastAsia="宋体" w:cs="Times New Roman"/>
          <w:sz w:val="24"/>
        </w:rPr>
        <w:t>对厂区周边水环境质量的影响；</w:t>
      </w:r>
    </w:p>
    <w:p w14:paraId="1020E708">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（3）粪便、病死</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rPr>
        <w:t>尸、医疗废物</w:t>
      </w:r>
      <w:r>
        <w:rPr>
          <w:rFonts w:hint="eastAsia" w:ascii="Times New Roman" w:hAnsi="Times New Roman" w:eastAsia="宋体" w:cs="Times New Roman"/>
          <w:sz w:val="24"/>
          <w:lang w:val="en-US" w:eastAsia="zh-CN"/>
        </w:rPr>
        <w:t>以及其他工业固体废物</w:t>
      </w:r>
      <w:r>
        <w:rPr>
          <w:rFonts w:hint="eastAsia" w:ascii="Times New Roman" w:hAnsi="Times New Roman" w:eastAsia="宋体" w:cs="Times New Roman"/>
          <w:sz w:val="24"/>
        </w:rPr>
        <w:t>的堆存对周围环境的影响；</w:t>
      </w:r>
    </w:p>
    <w:p w14:paraId="208DD6C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（4）水泵</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风机</w:t>
      </w:r>
      <w:r>
        <w:rPr>
          <w:rFonts w:hint="eastAsia" w:ascii="Times New Roman" w:hAnsi="Times New Roman" w:eastAsia="宋体" w:cs="Times New Roman"/>
          <w:sz w:val="24"/>
        </w:rPr>
        <w:t>等</w:t>
      </w:r>
      <w:r>
        <w:rPr>
          <w:rFonts w:hint="eastAsia" w:ascii="Times New Roman" w:hAnsi="Times New Roman" w:eastAsia="宋体" w:cs="Times New Roman"/>
          <w:sz w:val="24"/>
          <w:lang w:eastAsia="zh-CN"/>
        </w:rPr>
        <w:t>机械设备</w:t>
      </w:r>
      <w:r>
        <w:rPr>
          <w:rFonts w:hint="eastAsia" w:ascii="Times New Roman" w:hAnsi="Times New Roman" w:eastAsia="宋体" w:cs="Times New Roman"/>
          <w:sz w:val="24"/>
        </w:rPr>
        <w:t>产生的噪声。</w:t>
      </w:r>
    </w:p>
    <w:p w14:paraId="07FA249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水体污染经济损失表现在，废水处理需要一定的费用。</w:t>
      </w:r>
    </w:p>
    <w:p w14:paraId="1A332AF8">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大气污染经济损失主要表现在项目废气的排放可能引起周围空气的质量略有下降。但只要加强管理落实环保措施，做到达标排放，则影响不大。</w:t>
      </w:r>
    </w:p>
    <w:p w14:paraId="3FDC5EBD">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噪声影响经济损失表现在噪声可能使人们听力或健康受到损伤，降低人们的工作效率。但项目主要噪声源离敏感点较远，因此影响不大。</w:t>
      </w:r>
    </w:p>
    <w:p w14:paraId="08344FB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总的来说，环境经济损失比较小。</w:t>
      </w:r>
    </w:p>
    <w:p w14:paraId="75AE49EA">
      <w:pPr>
        <w:widowControl w:val="0"/>
        <w:spacing w:line="500" w:lineRule="exact"/>
        <w:jc w:val="both"/>
        <w:outlineLvl w:val="3"/>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8.4.2.2环保投资</w:t>
      </w:r>
    </w:p>
    <w:p w14:paraId="3A98ADD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环保投资是与治理预防污染有关的基建工程投资。它既包括治理污染保护环境的设施费用，又包括既为生产所需又为治理污染服务，但主要目的是为改善环境质量的设施费用。</w:t>
      </w:r>
    </w:p>
    <w:p w14:paraId="24A981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rPr>
      </w:pPr>
      <w:r>
        <w:rPr>
          <w:rFonts w:hint="default" w:ascii="Times New Roman" w:hAnsi="Times New Roman" w:eastAsia="宋体" w:cs="Times New Roman"/>
          <w:sz w:val="24"/>
        </w:rPr>
        <w:t>本项目环保投资包括污水处理站、固废处置、绿化、环境监测等费用。环保投资估算见表</w:t>
      </w:r>
      <w:r>
        <w:rPr>
          <w:rFonts w:hint="eastAsia" w:ascii="Times New Roman" w:hAnsi="Times New Roman" w:eastAsia="宋体" w:cs="Times New Roman"/>
          <w:sz w:val="24"/>
          <w:lang w:val="en-US" w:eastAsia="zh-CN"/>
        </w:rPr>
        <w:t>8</w:t>
      </w: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rPr>
        <w:t>-1。</w:t>
      </w:r>
    </w:p>
    <w:p w14:paraId="1E350E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表</w:t>
      </w:r>
      <w:r>
        <w:rPr>
          <w:rFonts w:hint="eastAsia" w:ascii="Times New Roman" w:hAnsi="Times New Roman" w:eastAsia="宋体" w:cs="Times New Roman"/>
          <w:b/>
          <w:bCs/>
          <w:kern w:val="2"/>
          <w:sz w:val="24"/>
          <w:szCs w:val="24"/>
          <w:lang w:val="en-US" w:eastAsia="zh-CN" w:bidi="ar-SA"/>
        </w:rPr>
        <w:t>8</w:t>
      </w:r>
      <w:r>
        <w:rPr>
          <w:rFonts w:hint="default" w:ascii="Times New Roman" w:hAnsi="Times New Roman" w:eastAsia="宋体" w:cs="Times New Roman"/>
          <w:b/>
          <w:bCs/>
          <w:kern w:val="2"/>
          <w:sz w:val="24"/>
          <w:szCs w:val="24"/>
          <w:lang w:val="en-US" w:eastAsia="zh-CN" w:bidi="ar-SA"/>
        </w:rPr>
        <w:t>.</w:t>
      </w:r>
      <w:r>
        <w:rPr>
          <w:rFonts w:hint="eastAsia" w:ascii="Times New Roman" w:hAnsi="Times New Roman" w:eastAsia="宋体" w:cs="Times New Roman"/>
          <w:b/>
          <w:bCs/>
          <w:kern w:val="2"/>
          <w:sz w:val="24"/>
          <w:szCs w:val="24"/>
          <w:lang w:val="en-US" w:eastAsia="zh-CN" w:bidi="ar-SA"/>
        </w:rPr>
        <w:t>4</w:t>
      </w:r>
      <w:r>
        <w:rPr>
          <w:rFonts w:hint="default" w:ascii="Times New Roman" w:hAnsi="Times New Roman" w:eastAsia="宋体" w:cs="Times New Roman"/>
          <w:b/>
          <w:bCs/>
          <w:kern w:val="2"/>
          <w:sz w:val="24"/>
          <w:szCs w:val="24"/>
          <w:lang w:val="en-US" w:eastAsia="zh-CN" w:bidi="ar-SA"/>
        </w:rPr>
        <w:t>-1本项目环保投资估算</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854"/>
        <w:gridCol w:w="3069"/>
        <w:gridCol w:w="1070"/>
        <w:gridCol w:w="2363"/>
      </w:tblGrid>
      <w:tr w14:paraId="232CE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002" w:type="dxa"/>
            <w:gridSpan w:val="2"/>
            <w:tcBorders>
              <w:tl2br w:val="nil"/>
              <w:tr2bl w:val="nil"/>
            </w:tcBorders>
            <w:noWrap w:val="0"/>
            <w:vAlign w:val="center"/>
          </w:tcPr>
          <w:p w14:paraId="1490F8D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环保工程</w:t>
            </w:r>
          </w:p>
        </w:tc>
        <w:tc>
          <w:tcPr>
            <w:tcW w:w="3069" w:type="dxa"/>
            <w:tcBorders>
              <w:tl2br w:val="nil"/>
              <w:tr2bl w:val="nil"/>
            </w:tcBorders>
            <w:noWrap w:val="0"/>
            <w:vAlign w:val="center"/>
          </w:tcPr>
          <w:p w14:paraId="7E91BEC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环保项目</w:t>
            </w:r>
          </w:p>
        </w:tc>
        <w:tc>
          <w:tcPr>
            <w:tcW w:w="1070" w:type="dxa"/>
            <w:tcBorders>
              <w:tl2br w:val="nil"/>
              <w:tr2bl w:val="nil"/>
            </w:tcBorders>
            <w:noWrap w:val="0"/>
            <w:vAlign w:val="center"/>
          </w:tcPr>
          <w:p w14:paraId="571304D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投资额</w:t>
            </w:r>
          </w:p>
          <w:p w14:paraId="30CC66A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（万元）</w:t>
            </w:r>
          </w:p>
        </w:tc>
        <w:tc>
          <w:tcPr>
            <w:tcW w:w="2363" w:type="dxa"/>
            <w:tcBorders>
              <w:tl2br w:val="nil"/>
              <w:tr2bl w:val="nil"/>
            </w:tcBorders>
            <w:noWrap w:val="0"/>
            <w:vAlign w:val="center"/>
          </w:tcPr>
          <w:p w14:paraId="37BFE18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备注</w:t>
            </w:r>
          </w:p>
        </w:tc>
      </w:tr>
      <w:tr w14:paraId="66B312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48" w:type="dxa"/>
            <w:vMerge w:val="restart"/>
            <w:tcBorders>
              <w:tl2br w:val="nil"/>
              <w:tr2bl w:val="nil"/>
            </w:tcBorders>
            <w:noWrap w:val="0"/>
            <w:vAlign w:val="center"/>
          </w:tcPr>
          <w:p w14:paraId="63955D2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污水治理</w:t>
            </w:r>
          </w:p>
        </w:tc>
        <w:tc>
          <w:tcPr>
            <w:tcW w:w="854" w:type="dxa"/>
            <w:tcBorders>
              <w:tl2br w:val="nil"/>
              <w:tr2bl w:val="nil"/>
            </w:tcBorders>
            <w:noWrap w:val="0"/>
            <w:vAlign w:val="center"/>
          </w:tcPr>
          <w:p w14:paraId="6CAA1873">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施工期</w:t>
            </w:r>
          </w:p>
        </w:tc>
        <w:tc>
          <w:tcPr>
            <w:tcW w:w="3069" w:type="dxa"/>
            <w:tcBorders>
              <w:tl2br w:val="nil"/>
              <w:tr2bl w:val="nil"/>
            </w:tcBorders>
            <w:noWrap w:val="0"/>
            <w:vAlign w:val="center"/>
          </w:tcPr>
          <w:p w14:paraId="4008238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防渗沉淀池</w:t>
            </w:r>
          </w:p>
        </w:tc>
        <w:tc>
          <w:tcPr>
            <w:tcW w:w="1070" w:type="dxa"/>
            <w:tcBorders>
              <w:tl2br w:val="nil"/>
              <w:tr2bl w:val="nil"/>
            </w:tcBorders>
            <w:noWrap w:val="0"/>
            <w:vAlign w:val="center"/>
          </w:tcPr>
          <w:p w14:paraId="6B954C3D">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2363" w:type="dxa"/>
            <w:tcBorders>
              <w:tl2br w:val="nil"/>
              <w:tr2bl w:val="nil"/>
            </w:tcBorders>
            <w:noWrap w:val="0"/>
            <w:vAlign w:val="center"/>
          </w:tcPr>
          <w:p w14:paraId="231D40C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用于施工生产废水处理</w:t>
            </w:r>
          </w:p>
        </w:tc>
      </w:tr>
      <w:tr w14:paraId="3BCCF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48" w:type="dxa"/>
            <w:vMerge w:val="continue"/>
            <w:tcBorders>
              <w:tl2br w:val="nil"/>
              <w:tr2bl w:val="nil"/>
            </w:tcBorders>
            <w:noWrap w:val="0"/>
            <w:vAlign w:val="center"/>
          </w:tcPr>
          <w:p w14:paraId="504243E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restart"/>
            <w:tcBorders>
              <w:tl2br w:val="nil"/>
              <w:tr2bl w:val="nil"/>
            </w:tcBorders>
            <w:noWrap w:val="0"/>
            <w:vAlign w:val="center"/>
          </w:tcPr>
          <w:p w14:paraId="0EA83E05">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运营期</w:t>
            </w:r>
          </w:p>
        </w:tc>
        <w:tc>
          <w:tcPr>
            <w:tcW w:w="3069" w:type="dxa"/>
            <w:tcBorders>
              <w:tl2br w:val="nil"/>
              <w:tr2bl w:val="nil"/>
            </w:tcBorders>
            <w:noWrap w:val="0"/>
            <w:vAlign w:val="center"/>
          </w:tcPr>
          <w:p w14:paraId="5B7ED7A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防渗化粪池</w:t>
            </w:r>
          </w:p>
        </w:tc>
        <w:tc>
          <w:tcPr>
            <w:tcW w:w="1070" w:type="dxa"/>
            <w:tcBorders>
              <w:tl2br w:val="nil"/>
              <w:tr2bl w:val="nil"/>
            </w:tcBorders>
            <w:noWrap w:val="0"/>
            <w:vAlign w:val="center"/>
          </w:tcPr>
          <w:p w14:paraId="4CDFFBD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2363" w:type="dxa"/>
            <w:tcBorders>
              <w:tl2br w:val="nil"/>
              <w:tr2bl w:val="nil"/>
            </w:tcBorders>
            <w:noWrap w:val="0"/>
            <w:vAlign w:val="center"/>
          </w:tcPr>
          <w:p w14:paraId="1606C6FF">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用于场区</w:t>
            </w:r>
            <w:r>
              <w:rPr>
                <w:rFonts w:hint="eastAsia" w:ascii="Times New Roman" w:hAnsi="Times New Roman" w:eastAsia="宋体" w:cs="Times New Roman"/>
                <w:sz w:val="21"/>
                <w:szCs w:val="21"/>
                <w:lang w:val="en-US" w:eastAsia="zh-CN"/>
              </w:rPr>
              <w:t>生活污水</w:t>
            </w:r>
            <w:r>
              <w:rPr>
                <w:rFonts w:hint="default" w:ascii="Times New Roman" w:hAnsi="Times New Roman" w:eastAsia="宋体" w:cs="Times New Roman"/>
                <w:sz w:val="21"/>
                <w:szCs w:val="21"/>
              </w:rPr>
              <w:t>的</w:t>
            </w:r>
            <w:r>
              <w:rPr>
                <w:rFonts w:hint="eastAsia" w:ascii="Times New Roman" w:hAnsi="Times New Roman" w:eastAsia="宋体" w:cs="Times New Roman"/>
                <w:sz w:val="21"/>
                <w:szCs w:val="21"/>
                <w:lang w:val="en-US" w:eastAsia="zh-CN"/>
              </w:rPr>
              <w:t>收集</w:t>
            </w:r>
          </w:p>
        </w:tc>
      </w:tr>
      <w:tr w14:paraId="4C6CE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continue"/>
            <w:tcBorders>
              <w:tl2br w:val="nil"/>
              <w:tr2bl w:val="nil"/>
            </w:tcBorders>
            <w:noWrap w:val="0"/>
            <w:vAlign w:val="center"/>
          </w:tcPr>
          <w:p w14:paraId="03441CF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5A7F3A9D">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6DBF2A5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污水收集管网</w:t>
            </w:r>
          </w:p>
        </w:tc>
        <w:tc>
          <w:tcPr>
            <w:tcW w:w="1070" w:type="dxa"/>
            <w:tcBorders>
              <w:tl2br w:val="nil"/>
              <w:tr2bl w:val="nil"/>
            </w:tcBorders>
            <w:noWrap w:val="0"/>
            <w:vAlign w:val="center"/>
          </w:tcPr>
          <w:p w14:paraId="234A15A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5</w:t>
            </w:r>
          </w:p>
        </w:tc>
        <w:tc>
          <w:tcPr>
            <w:tcW w:w="2363" w:type="dxa"/>
            <w:tcBorders>
              <w:tl2br w:val="nil"/>
              <w:tr2bl w:val="nil"/>
            </w:tcBorders>
            <w:noWrap w:val="0"/>
            <w:vAlign w:val="center"/>
          </w:tcPr>
          <w:p w14:paraId="4B1F36C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收集场区产生污水</w:t>
            </w:r>
          </w:p>
        </w:tc>
      </w:tr>
      <w:tr w14:paraId="2F1AD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continue"/>
            <w:tcBorders>
              <w:tl2br w:val="nil"/>
              <w:tr2bl w:val="nil"/>
            </w:tcBorders>
            <w:noWrap w:val="0"/>
            <w:vAlign w:val="center"/>
          </w:tcPr>
          <w:p w14:paraId="3BD9643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2390010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10DBB74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收集池</w:t>
            </w:r>
          </w:p>
        </w:tc>
        <w:tc>
          <w:tcPr>
            <w:tcW w:w="1070" w:type="dxa"/>
            <w:tcBorders>
              <w:tl2br w:val="nil"/>
              <w:tr2bl w:val="nil"/>
            </w:tcBorders>
            <w:noWrap w:val="0"/>
            <w:vAlign w:val="center"/>
          </w:tcPr>
          <w:p w14:paraId="34175E7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2363" w:type="dxa"/>
            <w:tcBorders>
              <w:tl2br w:val="nil"/>
              <w:tr2bl w:val="nil"/>
            </w:tcBorders>
            <w:noWrap w:val="0"/>
            <w:vAlign w:val="center"/>
          </w:tcPr>
          <w:p w14:paraId="436B3B1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收集少量牛圈渗滤牛尿</w:t>
            </w:r>
          </w:p>
        </w:tc>
      </w:tr>
      <w:tr w14:paraId="6C742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restart"/>
            <w:tcBorders>
              <w:tl2br w:val="nil"/>
              <w:tr2bl w:val="nil"/>
            </w:tcBorders>
            <w:noWrap w:val="0"/>
            <w:vAlign w:val="center"/>
          </w:tcPr>
          <w:p w14:paraId="72B1DDC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固废处理</w:t>
            </w:r>
          </w:p>
        </w:tc>
        <w:tc>
          <w:tcPr>
            <w:tcW w:w="854" w:type="dxa"/>
            <w:vMerge w:val="restart"/>
            <w:tcBorders>
              <w:tl2br w:val="nil"/>
              <w:tr2bl w:val="nil"/>
            </w:tcBorders>
            <w:noWrap w:val="0"/>
            <w:vAlign w:val="center"/>
          </w:tcPr>
          <w:p w14:paraId="522E750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施工期</w:t>
            </w:r>
          </w:p>
        </w:tc>
        <w:tc>
          <w:tcPr>
            <w:tcW w:w="3069" w:type="dxa"/>
            <w:tcBorders>
              <w:tl2br w:val="nil"/>
              <w:tr2bl w:val="nil"/>
            </w:tcBorders>
            <w:noWrap w:val="0"/>
            <w:vAlign w:val="center"/>
          </w:tcPr>
          <w:p w14:paraId="1384F01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建筑垃圾外运</w:t>
            </w:r>
          </w:p>
        </w:tc>
        <w:tc>
          <w:tcPr>
            <w:tcW w:w="1070" w:type="dxa"/>
            <w:tcBorders>
              <w:tl2br w:val="nil"/>
              <w:tr2bl w:val="nil"/>
            </w:tcBorders>
            <w:noWrap w:val="0"/>
            <w:vAlign w:val="center"/>
          </w:tcPr>
          <w:p w14:paraId="7D65ECC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2363" w:type="dxa"/>
            <w:tcBorders>
              <w:tl2br w:val="nil"/>
              <w:tr2bl w:val="nil"/>
            </w:tcBorders>
            <w:noWrap w:val="0"/>
            <w:vAlign w:val="center"/>
          </w:tcPr>
          <w:p w14:paraId="78F9FEBD">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处置建筑垃圾</w:t>
            </w:r>
          </w:p>
        </w:tc>
      </w:tr>
      <w:tr w14:paraId="46100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continue"/>
            <w:tcBorders>
              <w:tl2br w:val="nil"/>
              <w:tr2bl w:val="nil"/>
            </w:tcBorders>
            <w:noWrap w:val="0"/>
            <w:vAlign w:val="center"/>
          </w:tcPr>
          <w:p w14:paraId="7190FB3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50BFC34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4730F4D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vertAlign w:val="baseline"/>
                <w:lang w:val="en-US" w:eastAsia="zh-CN"/>
              </w:rPr>
              <w:t>生活垃圾收集箱</w:t>
            </w:r>
          </w:p>
        </w:tc>
        <w:tc>
          <w:tcPr>
            <w:tcW w:w="1070" w:type="dxa"/>
            <w:tcBorders>
              <w:tl2br w:val="nil"/>
              <w:tr2bl w:val="nil"/>
            </w:tcBorders>
            <w:noWrap w:val="0"/>
            <w:vAlign w:val="center"/>
          </w:tcPr>
          <w:p w14:paraId="741B5C6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2363" w:type="dxa"/>
            <w:tcBorders>
              <w:tl2br w:val="nil"/>
              <w:tr2bl w:val="nil"/>
            </w:tcBorders>
            <w:noWrap w:val="0"/>
            <w:vAlign w:val="center"/>
          </w:tcPr>
          <w:p w14:paraId="494F3015">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集中收集生活垃圾</w:t>
            </w:r>
          </w:p>
        </w:tc>
      </w:tr>
      <w:tr w14:paraId="6C6CE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48" w:type="dxa"/>
            <w:vMerge w:val="continue"/>
            <w:tcBorders>
              <w:tl2br w:val="nil"/>
              <w:tr2bl w:val="nil"/>
            </w:tcBorders>
            <w:noWrap w:val="0"/>
            <w:vAlign w:val="center"/>
          </w:tcPr>
          <w:p w14:paraId="77B93C8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restart"/>
            <w:tcBorders>
              <w:tl2br w:val="nil"/>
              <w:tr2bl w:val="nil"/>
            </w:tcBorders>
            <w:noWrap w:val="0"/>
            <w:vAlign w:val="center"/>
          </w:tcPr>
          <w:p w14:paraId="5B9DD9F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运营期</w:t>
            </w:r>
          </w:p>
        </w:tc>
        <w:tc>
          <w:tcPr>
            <w:tcW w:w="3069" w:type="dxa"/>
            <w:tcBorders>
              <w:tl2br w:val="nil"/>
              <w:tr2bl w:val="nil"/>
            </w:tcBorders>
            <w:noWrap w:val="0"/>
            <w:vAlign w:val="center"/>
          </w:tcPr>
          <w:p w14:paraId="643BB8F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医疗废物暂存间</w:t>
            </w:r>
          </w:p>
        </w:tc>
        <w:tc>
          <w:tcPr>
            <w:tcW w:w="1070" w:type="dxa"/>
            <w:tcBorders>
              <w:tl2br w:val="nil"/>
              <w:tr2bl w:val="nil"/>
            </w:tcBorders>
            <w:noWrap w:val="0"/>
            <w:vAlign w:val="center"/>
          </w:tcPr>
          <w:p w14:paraId="004D659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10</w:t>
            </w:r>
          </w:p>
        </w:tc>
        <w:tc>
          <w:tcPr>
            <w:tcW w:w="2363" w:type="dxa"/>
            <w:tcBorders>
              <w:tl2br w:val="nil"/>
              <w:tr2bl w:val="nil"/>
            </w:tcBorders>
            <w:noWrap w:val="0"/>
            <w:vAlign w:val="center"/>
          </w:tcPr>
          <w:p w14:paraId="6C8ACEC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收集医疗废物</w:t>
            </w:r>
          </w:p>
        </w:tc>
      </w:tr>
      <w:tr w14:paraId="23225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48" w:type="dxa"/>
            <w:vMerge w:val="continue"/>
            <w:tcBorders>
              <w:tl2br w:val="nil"/>
              <w:tr2bl w:val="nil"/>
            </w:tcBorders>
            <w:noWrap w:val="0"/>
            <w:vAlign w:val="center"/>
          </w:tcPr>
          <w:p w14:paraId="136B2A0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6A31097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73A4E97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病死牛暂存间、病死牛处置费</w:t>
            </w:r>
          </w:p>
        </w:tc>
        <w:tc>
          <w:tcPr>
            <w:tcW w:w="1070" w:type="dxa"/>
            <w:tcBorders>
              <w:tl2br w:val="nil"/>
              <w:tr2bl w:val="nil"/>
            </w:tcBorders>
            <w:noWrap w:val="0"/>
            <w:vAlign w:val="center"/>
          </w:tcPr>
          <w:p w14:paraId="45EB03B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c>
          <w:tcPr>
            <w:tcW w:w="2363" w:type="dxa"/>
            <w:tcBorders>
              <w:tl2br w:val="nil"/>
              <w:tr2bl w:val="nil"/>
            </w:tcBorders>
            <w:noWrap w:val="0"/>
            <w:vAlign w:val="center"/>
          </w:tcPr>
          <w:p w14:paraId="2B6F76E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委托处置病死牛</w:t>
            </w:r>
          </w:p>
        </w:tc>
      </w:tr>
      <w:tr w14:paraId="1537A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148" w:type="dxa"/>
            <w:vMerge w:val="continue"/>
            <w:tcBorders>
              <w:tl2br w:val="nil"/>
              <w:tr2bl w:val="nil"/>
            </w:tcBorders>
            <w:noWrap w:val="0"/>
            <w:vAlign w:val="center"/>
          </w:tcPr>
          <w:p w14:paraId="40857E6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66C3960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7CB3B35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生活垃圾收集箱</w:t>
            </w:r>
          </w:p>
        </w:tc>
        <w:tc>
          <w:tcPr>
            <w:tcW w:w="1070" w:type="dxa"/>
            <w:tcBorders>
              <w:tl2br w:val="nil"/>
              <w:tr2bl w:val="nil"/>
            </w:tcBorders>
            <w:noWrap w:val="0"/>
            <w:vAlign w:val="center"/>
          </w:tcPr>
          <w:p w14:paraId="5B26F42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2363" w:type="dxa"/>
            <w:tcBorders>
              <w:tl2br w:val="nil"/>
              <w:tr2bl w:val="nil"/>
            </w:tcBorders>
            <w:noWrap w:val="0"/>
            <w:vAlign w:val="center"/>
          </w:tcPr>
          <w:p w14:paraId="573D4A2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集中收集生活垃圾</w:t>
            </w:r>
          </w:p>
        </w:tc>
      </w:tr>
      <w:tr w14:paraId="54AB6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restart"/>
            <w:tcBorders>
              <w:tl2br w:val="nil"/>
              <w:tr2bl w:val="nil"/>
            </w:tcBorders>
            <w:noWrap w:val="0"/>
            <w:vAlign w:val="center"/>
          </w:tcPr>
          <w:p w14:paraId="0F25683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rPr>
            </w:pPr>
            <w:r>
              <w:rPr>
                <w:rFonts w:hint="default" w:ascii="Times New Roman" w:hAnsi="Times New Roman" w:eastAsia="宋体" w:cs="Times New Roman"/>
                <w:sz w:val="21"/>
                <w:szCs w:val="21"/>
              </w:rPr>
              <w:t>大气治理</w:t>
            </w:r>
          </w:p>
        </w:tc>
        <w:tc>
          <w:tcPr>
            <w:tcW w:w="854" w:type="dxa"/>
            <w:tcBorders>
              <w:tl2br w:val="nil"/>
              <w:tr2bl w:val="nil"/>
            </w:tcBorders>
            <w:noWrap w:val="0"/>
            <w:vAlign w:val="center"/>
          </w:tcPr>
          <w:p w14:paraId="085EB9F0">
            <w:p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施工期</w:t>
            </w:r>
          </w:p>
        </w:tc>
        <w:tc>
          <w:tcPr>
            <w:tcW w:w="3069" w:type="dxa"/>
            <w:tcBorders>
              <w:tl2br w:val="nil"/>
              <w:tr2bl w:val="nil"/>
            </w:tcBorders>
            <w:noWrap w:val="0"/>
            <w:vAlign w:val="center"/>
          </w:tcPr>
          <w:p w14:paraId="6247CFD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篷布遮盖、洒水抑尘、围挡</w:t>
            </w:r>
          </w:p>
        </w:tc>
        <w:tc>
          <w:tcPr>
            <w:tcW w:w="1070" w:type="dxa"/>
            <w:tcBorders>
              <w:tl2br w:val="nil"/>
              <w:tr2bl w:val="nil"/>
            </w:tcBorders>
            <w:noWrap w:val="0"/>
            <w:vAlign w:val="center"/>
          </w:tcPr>
          <w:p w14:paraId="28407C2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2363" w:type="dxa"/>
            <w:tcBorders>
              <w:tl2br w:val="nil"/>
              <w:tr2bl w:val="nil"/>
            </w:tcBorders>
            <w:noWrap w:val="0"/>
            <w:vAlign w:val="center"/>
          </w:tcPr>
          <w:p w14:paraId="05928C33">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用于扬尘治理</w:t>
            </w:r>
          </w:p>
        </w:tc>
      </w:tr>
      <w:tr w14:paraId="493656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continue"/>
            <w:tcBorders>
              <w:tl2br w:val="nil"/>
              <w:tr2bl w:val="nil"/>
            </w:tcBorders>
            <w:noWrap w:val="0"/>
            <w:vAlign w:val="center"/>
          </w:tcPr>
          <w:p w14:paraId="2FDCFFB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rPr>
            </w:pPr>
          </w:p>
        </w:tc>
        <w:tc>
          <w:tcPr>
            <w:tcW w:w="854" w:type="dxa"/>
            <w:vMerge w:val="restart"/>
            <w:tcBorders>
              <w:tl2br w:val="nil"/>
              <w:tr2bl w:val="nil"/>
            </w:tcBorders>
            <w:noWrap w:val="0"/>
            <w:vAlign w:val="center"/>
          </w:tcPr>
          <w:p w14:paraId="11357BB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运营期</w:t>
            </w:r>
          </w:p>
          <w:p w14:paraId="6A085BDD">
            <w:pPr>
              <w:rPr>
                <w:rFonts w:hint="default" w:ascii="Times New Roman" w:hAnsi="Times New Roman" w:eastAsia="宋体" w:cs="Times New Roman"/>
                <w:lang w:val="en-US" w:eastAsia="zh-CN"/>
              </w:rPr>
            </w:pPr>
          </w:p>
        </w:tc>
        <w:tc>
          <w:tcPr>
            <w:tcW w:w="3069" w:type="dxa"/>
            <w:tcBorders>
              <w:tl2br w:val="nil"/>
              <w:tr2bl w:val="nil"/>
            </w:tcBorders>
            <w:noWrap w:val="0"/>
            <w:vAlign w:val="center"/>
          </w:tcPr>
          <w:p w14:paraId="363FD693">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喷洒除臭剂、定期清理</w:t>
            </w:r>
          </w:p>
        </w:tc>
        <w:tc>
          <w:tcPr>
            <w:tcW w:w="1070" w:type="dxa"/>
            <w:tcBorders>
              <w:tl2br w:val="nil"/>
              <w:tr2bl w:val="nil"/>
            </w:tcBorders>
            <w:noWrap w:val="0"/>
            <w:vAlign w:val="center"/>
          </w:tcPr>
          <w:p w14:paraId="30F9384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363" w:type="dxa"/>
            <w:tcBorders>
              <w:tl2br w:val="nil"/>
              <w:tr2bl w:val="nil"/>
            </w:tcBorders>
            <w:noWrap w:val="0"/>
            <w:vAlign w:val="center"/>
          </w:tcPr>
          <w:p w14:paraId="1675BD9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养殖区</w:t>
            </w:r>
            <w:r>
              <w:rPr>
                <w:rFonts w:hint="default" w:ascii="Times New Roman" w:hAnsi="Times New Roman" w:eastAsia="宋体" w:cs="Times New Roman"/>
                <w:sz w:val="21"/>
                <w:szCs w:val="21"/>
              </w:rPr>
              <w:t>恶臭气体治理</w:t>
            </w:r>
          </w:p>
        </w:tc>
      </w:tr>
      <w:tr w14:paraId="6AE647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continue"/>
            <w:tcBorders>
              <w:tl2br w:val="nil"/>
              <w:tr2bl w:val="nil"/>
            </w:tcBorders>
            <w:noWrap w:val="0"/>
            <w:vAlign w:val="center"/>
          </w:tcPr>
          <w:p w14:paraId="124A7473">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13A703A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5C54E6B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袋式除尘+生物除臭（滴滤法）+15m排气筒</w:t>
            </w:r>
          </w:p>
        </w:tc>
        <w:tc>
          <w:tcPr>
            <w:tcW w:w="1070" w:type="dxa"/>
            <w:tcBorders>
              <w:tl2br w:val="nil"/>
              <w:tr2bl w:val="nil"/>
            </w:tcBorders>
            <w:noWrap w:val="0"/>
            <w:vAlign w:val="center"/>
          </w:tcPr>
          <w:p w14:paraId="52B7A49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w:t>
            </w:r>
          </w:p>
        </w:tc>
        <w:tc>
          <w:tcPr>
            <w:tcW w:w="2363" w:type="dxa"/>
            <w:tcBorders>
              <w:tl2br w:val="nil"/>
              <w:tr2bl w:val="nil"/>
            </w:tcBorders>
            <w:noWrap w:val="0"/>
            <w:vAlign w:val="center"/>
          </w:tcPr>
          <w:p w14:paraId="23BFE5B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有机肥生产粉尘治理</w:t>
            </w:r>
          </w:p>
        </w:tc>
      </w:tr>
      <w:tr w14:paraId="27077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continue"/>
            <w:tcBorders>
              <w:tl2br w:val="nil"/>
              <w:tr2bl w:val="nil"/>
            </w:tcBorders>
            <w:noWrap w:val="0"/>
            <w:vAlign w:val="center"/>
          </w:tcPr>
          <w:p w14:paraId="1695B6F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0826674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719D6EB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袋式除尘+15m排气筒</w:t>
            </w:r>
          </w:p>
        </w:tc>
        <w:tc>
          <w:tcPr>
            <w:tcW w:w="1070" w:type="dxa"/>
            <w:tcBorders>
              <w:tl2br w:val="nil"/>
              <w:tr2bl w:val="nil"/>
            </w:tcBorders>
            <w:noWrap w:val="0"/>
            <w:vAlign w:val="center"/>
          </w:tcPr>
          <w:p w14:paraId="479D5F1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c>
          <w:tcPr>
            <w:tcW w:w="2363" w:type="dxa"/>
            <w:tcBorders>
              <w:tl2br w:val="nil"/>
              <w:tr2bl w:val="nil"/>
            </w:tcBorders>
            <w:noWrap w:val="0"/>
            <w:vAlign w:val="center"/>
          </w:tcPr>
          <w:p w14:paraId="6E9DAFBD">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饲料加工粉尘治理</w:t>
            </w:r>
          </w:p>
        </w:tc>
      </w:tr>
      <w:tr w14:paraId="51E92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48" w:type="dxa"/>
            <w:vMerge w:val="continue"/>
            <w:tcBorders>
              <w:tl2br w:val="nil"/>
              <w:tr2bl w:val="nil"/>
            </w:tcBorders>
            <w:noWrap w:val="0"/>
            <w:vAlign w:val="center"/>
          </w:tcPr>
          <w:p w14:paraId="714A2BE3">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vMerge w:val="continue"/>
            <w:tcBorders>
              <w:tl2br w:val="nil"/>
              <w:tr2bl w:val="nil"/>
            </w:tcBorders>
            <w:noWrap w:val="0"/>
            <w:vAlign w:val="center"/>
          </w:tcPr>
          <w:p w14:paraId="2B54305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3069" w:type="dxa"/>
            <w:tcBorders>
              <w:tl2br w:val="nil"/>
              <w:tr2bl w:val="nil"/>
            </w:tcBorders>
            <w:noWrap w:val="0"/>
            <w:vAlign w:val="center"/>
          </w:tcPr>
          <w:p w14:paraId="4E27243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封闭式作业+润湿搅拌工艺</w:t>
            </w:r>
          </w:p>
        </w:tc>
        <w:tc>
          <w:tcPr>
            <w:tcW w:w="1070" w:type="dxa"/>
            <w:tcBorders>
              <w:tl2br w:val="nil"/>
              <w:tr2bl w:val="nil"/>
            </w:tcBorders>
            <w:noWrap w:val="0"/>
            <w:vAlign w:val="center"/>
          </w:tcPr>
          <w:p w14:paraId="2797B06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2363" w:type="dxa"/>
            <w:tcBorders>
              <w:tl2br w:val="nil"/>
              <w:tr2bl w:val="nil"/>
            </w:tcBorders>
            <w:noWrap w:val="0"/>
            <w:vAlign w:val="center"/>
          </w:tcPr>
          <w:p w14:paraId="34B23095">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养殖区饲料搅拌粉尘</w:t>
            </w:r>
          </w:p>
        </w:tc>
      </w:tr>
      <w:tr w14:paraId="298B7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48" w:type="dxa"/>
            <w:vMerge w:val="restart"/>
            <w:tcBorders>
              <w:tl2br w:val="nil"/>
              <w:tr2bl w:val="nil"/>
            </w:tcBorders>
            <w:noWrap w:val="0"/>
            <w:vAlign w:val="center"/>
          </w:tcPr>
          <w:p w14:paraId="53E0826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噪声治理</w:t>
            </w:r>
          </w:p>
        </w:tc>
        <w:tc>
          <w:tcPr>
            <w:tcW w:w="854" w:type="dxa"/>
            <w:tcBorders>
              <w:tl2br w:val="nil"/>
              <w:tr2bl w:val="nil"/>
            </w:tcBorders>
            <w:noWrap w:val="0"/>
            <w:vAlign w:val="center"/>
          </w:tcPr>
          <w:p w14:paraId="1EF5F55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施工期</w:t>
            </w:r>
          </w:p>
        </w:tc>
        <w:tc>
          <w:tcPr>
            <w:tcW w:w="3069" w:type="dxa"/>
            <w:tcBorders>
              <w:tl2br w:val="nil"/>
              <w:tr2bl w:val="nil"/>
            </w:tcBorders>
            <w:noWrap w:val="0"/>
            <w:vAlign w:val="center"/>
          </w:tcPr>
          <w:p w14:paraId="6F97990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选用低噪声设备，加强设备管理维护</w:t>
            </w:r>
          </w:p>
        </w:tc>
        <w:tc>
          <w:tcPr>
            <w:tcW w:w="1070" w:type="dxa"/>
            <w:tcBorders>
              <w:tl2br w:val="nil"/>
              <w:tr2bl w:val="nil"/>
            </w:tcBorders>
            <w:noWrap w:val="0"/>
            <w:vAlign w:val="center"/>
          </w:tcPr>
          <w:p w14:paraId="5015F85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2363" w:type="dxa"/>
            <w:tcBorders>
              <w:tl2br w:val="nil"/>
              <w:tr2bl w:val="nil"/>
            </w:tcBorders>
            <w:noWrap w:val="0"/>
            <w:vAlign w:val="center"/>
          </w:tcPr>
          <w:p w14:paraId="10784D9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设备隔声减噪</w:t>
            </w:r>
          </w:p>
        </w:tc>
      </w:tr>
      <w:tr w14:paraId="565B0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48" w:type="dxa"/>
            <w:vMerge w:val="continue"/>
            <w:tcBorders>
              <w:tl2br w:val="nil"/>
              <w:tr2bl w:val="nil"/>
            </w:tcBorders>
            <w:noWrap w:val="0"/>
            <w:vAlign w:val="center"/>
          </w:tcPr>
          <w:p w14:paraId="3D91CF1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tcBorders>
              <w:tl2br w:val="nil"/>
              <w:tr2bl w:val="nil"/>
            </w:tcBorders>
            <w:noWrap w:val="0"/>
            <w:vAlign w:val="center"/>
          </w:tcPr>
          <w:p w14:paraId="099C767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运营期</w:t>
            </w:r>
          </w:p>
        </w:tc>
        <w:tc>
          <w:tcPr>
            <w:tcW w:w="3069" w:type="dxa"/>
            <w:tcBorders>
              <w:tl2br w:val="nil"/>
              <w:tr2bl w:val="nil"/>
            </w:tcBorders>
            <w:noWrap w:val="0"/>
            <w:vAlign w:val="center"/>
          </w:tcPr>
          <w:p w14:paraId="030D34C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消声减震设备</w:t>
            </w:r>
          </w:p>
        </w:tc>
        <w:tc>
          <w:tcPr>
            <w:tcW w:w="1070" w:type="dxa"/>
            <w:tcBorders>
              <w:tl2br w:val="nil"/>
              <w:tr2bl w:val="nil"/>
            </w:tcBorders>
            <w:noWrap w:val="0"/>
            <w:vAlign w:val="center"/>
          </w:tcPr>
          <w:p w14:paraId="5875A77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2</w:t>
            </w:r>
          </w:p>
        </w:tc>
        <w:tc>
          <w:tcPr>
            <w:tcW w:w="2363" w:type="dxa"/>
            <w:tcBorders>
              <w:tl2br w:val="nil"/>
              <w:tr2bl w:val="nil"/>
            </w:tcBorders>
            <w:noWrap w:val="0"/>
            <w:vAlign w:val="center"/>
          </w:tcPr>
          <w:p w14:paraId="184CDB04">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设备隔声减噪</w:t>
            </w:r>
          </w:p>
        </w:tc>
      </w:tr>
      <w:tr w14:paraId="14D71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48" w:type="dxa"/>
            <w:vMerge w:val="restart"/>
            <w:tcBorders>
              <w:tl2br w:val="nil"/>
              <w:tr2bl w:val="nil"/>
            </w:tcBorders>
            <w:noWrap w:val="0"/>
            <w:vAlign w:val="center"/>
          </w:tcPr>
          <w:p w14:paraId="0EB4CCBD">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生态治理</w:t>
            </w:r>
          </w:p>
        </w:tc>
        <w:tc>
          <w:tcPr>
            <w:tcW w:w="854" w:type="dxa"/>
            <w:tcBorders>
              <w:tl2br w:val="nil"/>
              <w:tr2bl w:val="nil"/>
            </w:tcBorders>
            <w:noWrap w:val="0"/>
            <w:vAlign w:val="center"/>
          </w:tcPr>
          <w:p w14:paraId="00D8FEB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施工期</w:t>
            </w:r>
          </w:p>
        </w:tc>
        <w:tc>
          <w:tcPr>
            <w:tcW w:w="3069" w:type="dxa"/>
            <w:tcBorders>
              <w:tl2br w:val="nil"/>
              <w:tr2bl w:val="nil"/>
            </w:tcBorders>
            <w:noWrap w:val="0"/>
            <w:vAlign w:val="center"/>
          </w:tcPr>
          <w:p w14:paraId="4EA13CA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场地平整、自然恢复</w:t>
            </w:r>
          </w:p>
        </w:tc>
        <w:tc>
          <w:tcPr>
            <w:tcW w:w="1070" w:type="dxa"/>
            <w:tcBorders>
              <w:tl2br w:val="nil"/>
              <w:tr2bl w:val="nil"/>
            </w:tcBorders>
            <w:noWrap w:val="0"/>
            <w:vAlign w:val="center"/>
          </w:tcPr>
          <w:p w14:paraId="75B5883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2363" w:type="dxa"/>
            <w:tcBorders>
              <w:tl2br w:val="nil"/>
              <w:tr2bl w:val="nil"/>
            </w:tcBorders>
            <w:noWrap w:val="0"/>
            <w:vAlign w:val="center"/>
          </w:tcPr>
          <w:p w14:paraId="2EC1190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水土流失、防沙治沙措施</w:t>
            </w:r>
          </w:p>
        </w:tc>
      </w:tr>
      <w:tr w14:paraId="33AE8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37DB7A9F">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p>
        </w:tc>
        <w:tc>
          <w:tcPr>
            <w:tcW w:w="854" w:type="dxa"/>
            <w:tcBorders>
              <w:tl2br w:val="nil"/>
              <w:tr2bl w:val="nil"/>
            </w:tcBorders>
            <w:noWrap w:val="0"/>
            <w:vAlign w:val="center"/>
          </w:tcPr>
          <w:p w14:paraId="4417EAF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运营期</w:t>
            </w:r>
          </w:p>
        </w:tc>
        <w:tc>
          <w:tcPr>
            <w:tcW w:w="3069" w:type="dxa"/>
            <w:tcBorders>
              <w:tl2br w:val="nil"/>
              <w:tr2bl w:val="nil"/>
            </w:tcBorders>
            <w:noWrap w:val="0"/>
            <w:vAlign w:val="center"/>
          </w:tcPr>
          <w:p w14:paraId="41056C2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绿化</w:t>
            </w:r>
            <w:r>
              <w:rPr>
                <w:rFonts w:hint="eastAsia" w:ascii="Times New Roman" w:hAnsi="Times New Roman" w:eastAsia="宋体" w:cs="Times New Roman"/>
                <w:sz w:val="21"/>
                <w:szCs w:val="21"/>
                <w:lang w:val="en-US" w:eastAsia="zh-CN"/>
              </w:rPr>
              <w:t>24000</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rPr>
              <w:t>2</w:t>
            </w:r>
          </w:p>
        </w:tc>
        <w:tc>
          <w:tcPr>
            <w:tcW w:w="1070" w:type="dxa"/>
            <w:tcBorders>
              <w:tl2br w:val="nil"/>
              <w:tr2bl w:val="nil"/>
            </w:tcBorders>
            <w:noWrap w:val="0"/>
            <w:vAlign w:val="center"/>
          </w:tcPr>
          <w:p w14:paraId="1AA73C5F">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c>
          <w:tcPr>
            <w:tcW w:w="2363" w:type="dxa"/>
            <w:tcBorders>
              <w:tl2br w:val="nil"/>
              <w:tr2bl w:val="nil"/>
            </w:tcBorders>
            <w:noWrap w:val="0"/>
            <w:vAlign w:val="center"/>
          </w:tcPr>
          <w:p w14:paraId="73D5F22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净化空气，美化环境</w:t>
            </w:r>
          </w:p>
        </w:tc>
      </w:tr>
      <w:tr w14:paraId="0EAAF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tcBorders>
              <w:tl2br w:val="nil"/>
              <w:tr2bl w:val="nil"/>
            </w:tcBorders>
            <w:noWrap w:val="0"/>
            <w:vAlign w:val="center"/>
          </w:tcPr>
          <w:p w14:paraId="05D6E46A">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环境风险</w:t>
            </w:r>
          </w:p>
        </w:tc>
        <w:tc>
          <w:tcPr>
            <w:tcW w:w="854" w:type="dxa"/>
            <w:tcBorders>
              <w:tl2br w:val="nil"/>
              <w:tr2bl w:val="nil"/>
            </w:tcBorders>
            <w:noWrap w:val="0"/>
            <w:vAlign w:val="center"/>
          </w:tcPr>
          <w:p w14:paraId="70D91EE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运营期</w:t>
            </w:r>
          </w:p>
        </w:tc>
        <w:tc>
          <w:tcPr>
            <w:tcW w:w="3069" w:type="dxa"/>
            <w:tcBorders>
              <w:tl2br w:val="nil"/>
              <w:tr2bl w:val="nil"/>
            </w:tcBorders>
            <w:noWrap w:val="0"/>
            <w:vAlign w:val="center"/>
          </w:tcPr>
          <w:p w14:paraId="0FA1F1B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监测系统、气体报警装置</w:t>
            </w:r>
          </w:p>
        </w:tc>
        <w:tc>
          <w:tcPr>
            <w:tcW w:w="1070" w:type="dxa"/>
            <w:tcBorders>
              <w:tl2br w:val="nil"/>
              <w:tr2bl w:val="nil"/>
            </w:tcBorders>
            <w:noWrap w:val="0"/>
            <w:vAlign w:val="center"/>
          </w:tcPr>
          <w:p w14:paraId="00AEFA8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2363" w:type="dxa"/>
            <w:tcBorders>
              <w:tl2br w:val="nil"/>
              <w:tr2bl w:val="nil"/>
            </w:tcBorders>
            <w:noWrap w:val="0"/>
            <w:vAlign w:val="center"/>
          </w:tcPr>
          <w:p w14:paraId="1FC4FE3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环境风险</w:t>
            </w:r>
          </w:p>
        </w:tc>
      </w:tr>
      <w:tr w14:paraId="57DE79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restart"/>
            <w:tcBorders>
              <w:tl2br w:val="nil"/>
              <w:tr2bl w:val="nil"/>
            </w:tcBorders>
            <w:noWrap w:val="0"/>
            <w:vAlign w:val="center"/>
          </w:tcPr>
          <w:p w14:paraId="7467F0C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其他</w:t>
            </w:r>
          </w:p>
        </w:tc>
        <w:tc>
          <w:tcPr>
            <w:tcW w:w="854" w:type="dxa"/>
            <w:vMerge w:val="restart"/>
            <w:tcBorders>
              <w:tl2br w:val="nil"/>
              <w:tr2bl w:val="nil"/>
            </w:tcBorders>
            <w:noWrap w:val="0"/>
            <w:vAlign w:val="center"/>
          </w:tcPr>
          <w:p w14:paraId="4D1D8B1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运营期</w:t>
            </w:r>
          </w:p>
        </w:tc>
        <w:tc>
          <w:tcPr>
            <w:tcW w:w="3069" w:type="dxa"/>
            <w:tcBorders>
              <w:tl2br w:val="nil"/>
              <w:tr2bl w:val="nil"/>
            </w:tcBorders>
            <w:noWrap w:val="0"/>
            <w:vAlign w:val="center"/>
          </w:tcPr>
          <w:p w14:paraId="59895E0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环境管理与监控</w:t>
            </w:r>
          </w:p>
        </w:tc>
        <w:tc>
          <w:tcPr>
            <w:tcW w:w="1070" w:type="dxa"/>
            <w:tcBorders>
              <w:tl2br w:val="nil"/>
              <w:tr2bl w:val="nil"/>
            </w:tcBorders>
            <w:noWrap w:val="0"/>
            <w:vAlign w:val="center"/>
          </w:tcPr>
          <w:p w14:paraId="5D6E122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2363" w:type="dxa"/>
            <w:vMerge w:val="restart"/>
            <w:tcBorders>
              <w:tl2br w:val="nil"/>
              <w:tr2bl w:val="nil"/>
            </w:tcBorders>
            <w:noWrap w:val="0"/>
            <w:vAlign w:val="center"/>
          </w:tcPr>
          <w:p w14:paraId="7C041B2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426E8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79FF8EAF">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854" w:type="dxa"/>
            <w:vMerge w:val="continue"/>
            <w:tcBorders>
              <w:tl2br w:val="nil"/>
              <w:tr2bl w:val="nil"/>
            </w:tcBorders>
            <w:noWrap w:val="0"/>
            <w:vAlign w:val="center"/>
          </w:tcPr>
          <w:p w14:paraId="1B7DA1D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3069" w:type="dxa"/>
            <w:tcBorders>
              <w:tl2br w:val="nil"/>
              <w:tr2bl w:val="nil"/>
            </w:tcBorders>
            <w:noWrap w:val="0"/>
            <w:vAlign w:val="center"/>
          </w:tcPr>
          <w:p w14:paraId="5AB6B5B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环评报告编制</w:t>
            </w:r>
          </w:p>
        </w:tc>
        <w:tc>
          <w:tcPr>
            <w:tcW w:w="1070" w:type="dxa"/>
            <w:tcBorders>
              <w:tl2br w:val="nil"/>
              <w:tr2bl w:val="nil"/>
            </w:tcBorders>
            <w:noWrap w:val="0"/>
            <w:vAlign w:val="center"/>
          </w:tcPr>
          <w:p w14:paraId="312E786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7</w:t>
            </w:r>
          </w:p>
        </w:tc>
        <w:tc>
          <w:tcPr>
            <w:tcW w:w="2363" w:type="dxa"/>
            <w:vMerge w:val="continue"/>
            <w:tcBorders>
              <w:tl2br w:val="nil"/>
              <w:tr2bl w:val="nil"/>
            </w:tcBorders>
            <w:noWrap w:val="0"/>
            <w:vAlign w:val="center"/>
          </w:tcPr>
          <w:p w14:paraId="6D29163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r>
      <w:tr w14:paraId="19F51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17B8DF3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854" w:type="dxa"/>
            <w:vMerge w:val="continue"/>
            <w:tcBorders>
              <w:tl2br w:val="nil"/>
              <w:tr2bl w:val="nil"/>
            </w:tcBorders>
            <w:noWrap w:val="0"/>
            <w:vAlign w:val="center"/>
          </w:tcPr>
          <w:p w14:paraId="0D0893F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3069" w:type="dxa"/>
            <w:tcBorders>
              <w:tl2br w:val="nil"/>
              <w:tr2bl w:val="nil"/>
            </w:tcBorders>
            <w:noWrap w:val="0"/>
            <w:vAlign w:val="center"/>
          </w:tcPr>
          <w:p w14:paraId="14A764C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应急预案编制</w:t>
            </w:r>
          </w:p>
        </w:tc>
        <w:tc>
          <w:tcPr>
            <w:tcW w:w="1070" w:type="dxa"/>
            <w:tcBorders>
              <w:tl2br w:val="nil"/>
              <w:tr2bl w:val="nil"/>
            </w:tcBorders>
            <w:noWrap w:val="0"/>
            <w:vAlign w:val="center"/>
          </w:tcPr>
          <w:p w14:paraId="1CF3EFD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2</w:t>
            </w:r>
          </w:p>
        </w:tc>
        <w:tc>
          <w:tcPr>
            <w:tcW w:w="2363" w:type="dxa"/>
            <w:vMerge w:val="continue"/>
            <w:tcBorders>
              <w:tl2br w:val="nil"/>
              <w:tr2bl w:val="nil"/>
            </w:tcBorders>
            <w:noWrap w:val="0"/>
            <w:vAlign w:val="center"/>
          </w:tcPr>
          <w:p w14:paraId="43F55699">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r>
      <w:tr w14:paraId="34F699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0900CAB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854" w:type="dxa"/>
            <w:vMerge w:val="continue"/>
            <w:tcBorders>
              <w:tl2br w:val="nil"/>
              <w:tr2bl w:val="nil"/>
            </w:tcBorders>
            <w:noWrap w:val="0"/>
            <w:vAlign w:val="center"/>
          </w:tcPr>
          <w:p w14:paraId="498A0E0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3069" w:type="dxa"/>
            <w:tcBorders>
              <w:tl2br w:val="nil"/>
              <w:tr2bl w:val="nil"/>
            </w:tcBorders>
            <w:noWrap w:val="0"/>
            <w:vAlign w:val="center"/>
          </w:tcPr>
          <w:p w14:paraId="63C4076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竣工环境保护验收</w:t>
            </w:r>
          </w:p>
        </w:tc>
        <w:tc>
          <w:tcPr>
            <w:tcW w:w="1070" w:type="dxa"/>
            <w:tcBorders>
              <w:tl2br w:val="nil"/>
              <w:tr2bl w:val="nil"/>
            </w:tcBorders>
            <w:noWrap w:val="0"/>
            <w:vAlign w:val="center"/>
          </w:tcPr>
          <w:p w14:paraId="3C19D760">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4</w:t>
            </w:r>
          </w:p>
        </w:tc>
        <w:tc>
          <w:tcPr>
            <w:tcW w:w="2363" w:type="dxa"/>
            <w:vMerge w:val="continue"/>
            <w:tcBorders>
              <w:tl2br w:val="nil"/>
              <w:tr2bl w:val="nil"/>
            </w:tcBorders>
            <w:noWrap w:val="0"/>
            <w:vAlign w:val="center"/>
          </w:tcPr>
          <w:p w14:paraId="053FA1A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r>
      <w:tr w14:paraId="43430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2497EA9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854" w:type="dxa"/>
            <w:vMerge w:val="continue"/>
            <w:tcBorders>
              <w:tl2br w:val="nil"/>
              <w:tr2bl w:val="nil"/>
            </w:tcBorders>
            <w:noWrap w:val="0"/>
            <w:vAlign w:val="center"/>
          </w:tcPr>
          <w:p w14:paraId="6BDEE197">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3069" w:type="dxa"/>
            <w:tcBorders>
              <w:tl2br w:val="nil"/>
              <w:tr2bl w:val="nil"/>
            </w:tcBorders>
            <w:noWrap w:val="0"/>
            <w:vAlign w:val="center"/>
          </w:tcPr>
          <w:p w14:paraId="7AE6A60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环境监测</w:t>
            </w:r>
          </w:p>
        </w:tc>
        <w:tc>
          <w:tcPr>
            <w:tcW w:w="1070" w:type="dxa"/>
            <w:tcBorders>
              <w:tl2br w:val="nil"/>
              <w:tr2bl w:val="nil"/>
            </w:tcBorders>
            <w:noWrap w:val="0"/>
            <w:vAlign w:val="center"/>
          </w:tcPr>
          <w:p w14:paraId="05DAF5F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2</w:t>
            </w:r>
          </w:p>
        </w:tc>
        <w:tc>
          <w:tcPr>
            <w:tcW w:w="2363" w:type="dxa"/>
            <w:vMerge w:val="continue"/>
            <w:tcBorders>
              <w:tl2br w:val="nil"/>
              <w:tr2bl w:val="nil"/>
            </w:tcBorders>
            <w:noWrap w:val="0"/>
            <w:vAlign w:val="center"/>
          </w:tcPr>
          <w:p w14:paraId="1705E63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r>
      <w:tr w14:paraId="6F21C2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53D541FE">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854" w:type="dxa"/>
            <w:vMerge w:val="continue"/>
            <w:tcBorders>
              <w:tl2br w:val="nil"/>
              <w:tr2bl w:val="nil"/>
            </w:tcBorders>
            <w:noWrap w:val="0"/>
            <w:vAlign w:val="center"/>
          </w:tcPr>
          <w:p w14:paraId="1E1D9E5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3069" w:type="dxa"/>
            <w:tcBorders>
              <w:tl2br w:val="nil"/>
              <w:tr2bl w:val="nil"/>
            </w:tcBorders>
            <w:noWrap w:val="0"/>
            <w:vAlign w:val="center"/>
          </w:tcPr>
          <w:p w14:paraId="31DC13F2">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排污许可申报</w:t>
            </w:r>
          </w:p>
        </w:tc>
        <w:tc>
          <w:tcPr>
            <w:tcW w:w="1070" w:type="dxa"/>
            <w:tcBorders>
              <w:tl2br w:val="nil"/>
              <w:tr2bl w:val="nil"/>
            </w:tcBorders>
            <w:noWrap w:val="0"/>
            <w:vAlign w:val="center"/>
          </w:tcPr>
          <w:p w14:paraId="5F1982B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2</w:t>
            </w:r>
          </w:p>
        </w:tc>
        <w:tc>
          <w:tcPr>
            <w:tcW w:w="2363" w:type="dxa"/>
            <w:vMerge w:val="continue"/>
            <w:tcBorders>
              <w:tl2br w:val="nil"/>
              <w:tr2bl w:val="nil"/>
            </w:tcBorders>
            <w:noWrap w:val="0"/>
            <w:vAlign w:val="center"/>
          </w:tcPr>
          <w:p w14:paraId="393134F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r>
      <w:tr w14:paraId="75CC0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390A6F4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854" w:type="dxa"/>
            <w:vMerge w:val="continue"/>
            <w:tcBorders>
              <w:tl2br w:val="nil"/>
              <w:tr2bl w:val="nil"/>
            </w:tcBorders>
            <w:noWrap w:val="0"/>
            <w:vAlign w:val="center"/>
          </w:tcPr>
          <w:p w14:paraId="298AC4AB">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3069" w:type="dxa"/>
            <w:tcBorders>
              <w:tl2br w:val="nil"/>
              <w:tr2bl w:val="nil"/>
            </w:tcBorders>
            <w:noWrap w:val="0"/>
            <w:vAlign w:val="center"/>
          </w:tcPr>
          <w:p w14:paraId="5F45E54D">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宋体"/>
                <w:color w:val="000000"/>
                <w:sz w:val="21"/>
                <w:szCs w:val="21"/>
                <w:highlight w:val="none"/>
                <w:lang w:val="en-US" w:eastAsia="zh-CN"/>
              </w:rPr>
            </w:pPr>
            <w:r>
              <w:rPr>
                <w:rFonts w:hint="eastAsia" w:ascii="Times New Roman" w:hAnsi="Times New Roman" w:eastAsia="宋体" w:cs="Times New Roman"/>
                <w:sz w:val="21"/>
                <w:szCs w:val="21"/>
                <w:lang w:val="en-US" w:eastAsia="zh-CN"/>
              </w:rPr>
              <w:t>地下水监控井</w:t>
            </w:r>
            <w:r>
              <w:rPr>
                <w:rFonts w:hint="eastAsia" w:cs="Times New Roman"/>
                <w:sz w:val="21"/>
                <w:szCs w:val="21"/>
                <w:lang w:val="en-US" w:eastAsia="zh-CN"/>
              </w:rPr>
              <w:t>管理</w:t>
            </w:r>
          </w:p>
        </w:tc>
        <w:tc>
          <w:tcPr>
            <w:tcW w:w="1070" w:type="dxa"/>
            <w:tcBorders>
              <w:tl2br w:val="nil"/>
              <w:tr2bl w:val="nil"/>
            </w:tcBorders>
            <w:noWrap w:val="0"/>
            <w:vAlign w:val="center"/>
          </w:tcPr>
          <w:p w14:paraId="00B0DCB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宋体"/>
                <w:color w:val="000000"/>
                <w:sz w:val="21"/>
                <w:szCs w:val="21"/>
                <w:highlight w:val="none"/>
                <w:lang w:val="en-US" w:eastAsia="zh-CN"/>
              </w:rPr>
            </w:pPr>
            <w:r>
              <w:rPr>
                <w:rFonts w:hint="eastAsia" w:ascii="Times New Roman" w:hAnsi="Times New Roman" w:eastAsia="宋体" w:cs="宋体"/>
                <w:color w:val="000000"/>
                <w:sz w:val="21"/>
                <w:szCs w:val="21"/>
                <w:highlight w:val="none"/>
                <w:lang w:val="en-US" w:eastAsia="zh-CN"/>
              </w:rPr>
              <w:t>5</w:t>
            </w:r>
          </w:p>
        </w:tc>
        <w:tc>
          <w:tcPr>
            <w:tcW w:w="2363" w:type="dxa"/>
            <w:vMerge w:val="continue"/>
            <w:tcBorders>
              <w:tl2br w:val="nil"/>
              <w:tr2bl w:val="nil"/>
            </w:tcBorders>
            <w:noWrap w:val="0"/>
            <w:vAlign w:val="center"/>
          </w:tcPr>
          <w:p w14:paraId="449676E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r>
      <w:tr w14:paraId="3FFEB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48" w:type="dxa"/>
            <w:vMerge w:val="continue"/>
            <w:tcBorders>
              <w:tl2br w:val="nil"/>
              <w:tr2bl w:val="nil"/>
            </w:tcBorders>
            <w:noWrap w:val="0"/>
            <w:vAlign w:val="center"/>
          </w:tcPr>
          <w:p w14:paraId="7B15D71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854" w:type="dxa"/>
            <w:vMerge w:val="continue"/>
            <w:tcBorders>
              <w:tl2br w:val="nil"/>
              <w:tr2bl w:val="nil"/>
            </w:tcBorders>
            <w:noWrap w:val="0"/>
            <w:vAlign w:val="center"/>
          </w:tcPr>
          <w:p w14:paraId="684E1EB5">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c>
          <w:tcPr>
            <w:tcW w:w="3069" w:type="dxa"/>
            <w:tcBorders>
              <w:tl2br w:val="nil"/>
              <w:tr2bl w:val="nil"/>
            </w:tcBorders>
            <w:noWrap w:val="0"/>
            <w:vAlign w:val="center"/>
          </w:tcPr>
          <w:p w14:paraId="52620FB1">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宋体"/>
                <w:color w:val="000000"/>
                <w:sz w:val="21"/>
                <w:szCs w:val="21"/>
                <w:highlight w:val="none"/>
                <w:lang w:val="en-US" w:eastAsia="zh-CN"/>
              </w:rPr>
              <w:t>排污口规范化</w:t>
            </w:r>
          </w:p>
        </w:tc>
        <w:tc>
          <w:tcPr>
            <w:tcW w:w="1070" w:type="dxa"/>
            <w:tcBorders>
              <w:tl2br w:val="nil"/>
              <w:tr2bl w:val="nil"/>
            </w:tcBorders>
            <w:noWrap w:val="0"/>
            <w:vAlign w:val="center"/>
          </w:tcPr>
          <w:p w14:paraId="1C1D980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宋体"/>
                <w:color w:val="000000"/>
                <w:sz w:val="21"/>
                <w:szCs w:val="21"/>
                <w:highlight w:val="none"/>
                <w:lang w:val="en-US" w:eastAsia="zh-CN"/>
              </w:rPr>
            </w:pPr>
            <w:r>
              <w:rPr>
                <w:rFonts w:hint="eastAsia" w:ascii="Times New Roman" w:hAnsi="Times New Roman" w:eastAsia="宋体" w:cs="宋体"/>
                <w:color w:val="000000"/>
                <w:sz w:val="21"/>
                <w:szCs w:val="21"/>
                <w:highlight w:val="none"/>
                <w:lang w:val="en-US" w:eastAsia="zh-CN"/>
              </w:rPr>
              <w:t>1</w:t>
            </w:r>
          </w:p>
        </w:tc>
        <w:tc>
          <w:tcPr>
            <w:tcW w:w="2363" w:type="dxa"/>
            <w:vMerge w:val="continue"/>
            <w:tcBorders>
              <w:tl2br w:val="nil"/>
              <w:tr2bl w:val="nil"/>
            </w:tcBorders>
            <w:noWrap w:val="0"/>
            <w:vAlign w:val="center"/>
          </w:tcPr>
          <w:p w14:paraId="560E1E1D">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szCs w:val="21"/>
                <w:lang w:val="en-US" w:eastAsia="zh-CN"/>
              </w:rPr>
            </w:pPr>
          </w:p>
        </w:tc>
      </w:tr>
      <w:tr w14:paraId="44696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48" w:type="dxa"/>
            <w:tcBorders>
              <w:tl2br w:val="nil"/>
              <w:tr2bl w:val="nil"/>
            </w:tcBorders>
            <w:noWrap w:val="0"/>
            <w:vAlign w:val="center"/>
          </w:tcPr>
          <w:p w14:paraId="339F7E7C">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总计</w:t>
            </w:r>
          </w:p>
        </w:tc>
        <w:tc>
          <w:tcPr>
            <w:tcW w:w="3923" w:type="dxa"/>
            <w:gridSpan w:val="2"/>
            <w:tcBorders>
              <w:tl2br w:val="nil"/>
              <w:tr2bl w:val="nil"/>
            </w:tcBorders>
            <w:noWrap w:val="0"/>
            <w:vAlign w:val="center"/>
          </w:tcPr>
          <w:p w14:paraId="255D296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070" w:type="dxa"/>
            <w:tcBorders>
              <w:tl2br w:val="nil"/>
              <w:tr2bl w:val="nil"/>
            </w:tcBorders>
            <w:noWrap w:val="0"/>
            <w:vAlign w:val="center"/>
          </w:tcPr>
          <w:p w14:paraId="064596B6">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119</w:t>
            </w:r>
          </w:p>
        </w:tc>
        <w:tc>
          <w:tcPr>
            <w:tcW w:w="2363" w:type="dxa"/>
            <w:tcBorders>
              <w:tl2br w:val="nil"/>
              <w:tr2bl w:val="nil"/>
            </w:tcBorders>
            <w:noWrap w:val="0"/>
            <w:vAlign w:val="center"/>
          </w:tcPr>
          <w:p w14:paraId="471BC278">
            <w:pPr>
              <w:keepNext w:val="0"/>
              <w:keepLines w:val="0"/>
              <w:pageBreakBefore w:val="0"/>
              <w:widowControl w:val="0"/>
              <w:tabs>
                <w:tab w:val="left" w:pos="900"/>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p>
        </w:tc>
      </w:tr>
    </w:tbl>
    <w:p w14:paraId="7673C2F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napToGrid w:val="0"/>
          <w:color w:val="auto"/>
          <w:kern w:val="2"/>
          <w:sz w:val="24"/>
          <w:szCs w:val="24"/>
          <w:highlight w:val="none"/>
          <w:lang w:val="en-US" w:eastAsia="zh-CN" w:bidi="ar-SA"/>
        </w:rPr>
        <w:t>本项目投资655.8万元，</w:t>
      </w:r>
      <w:r>
        <w:rPr>
          <w:rFonts w:hint="default" w:ascii="Times New Roman" w:hAnsi="Times New Roman" w:eastAsia="宋体" w:cs="Times New Roman"/>
          <w:sz w:val="24"/>
        </w:rPr>
        <w:t>环境保护投资为</w:t>
      </w:r>
      <w:r>
        <w:rPr>
          <w:rFonts w:hint="eastAsia" w:ascii="Times New Roman" w:hAnsi="Times New Roman" w:eastAsia="宋体" w:cs="Times New Roman"/>
          <w:sz w:val="24"/>
          <w:lang w:val="en-US" w:eastAsia="zh-CN"/>
        </w:rPr>
        <w:t>119</w:t>
      </w:r>
      <w:r>
        <w:rPr>
          <w:rFonts w:hint="default" w:ascii="Times New Roman" w:hAnsi="Times New Roman" w:eastAsia="宋体" w:cs="Times New Roman"/>
          <w:sz w:val="24"/>
        </w:rPr>
        <w:t>万元，占</w:t>
      </w:r>
      <w:r>
        <w:rPr>
          <w:rFonts w:hint="eastAsia" w:ascii="Times New Roman" w:hAnsi="Times New Roman" w:eastAsia="宋体" w:cs="Times New Roman"/>
          <w:sz w:val="24"/>
          <w:lang w:val="en-US" w:eastAsia="zh-CN"/>
        </w:rPr>
        <w:t>本次项目</w:t>
      </w:r>
      <w:r>
        <w:rPr>
          <w:rFonts w:hint="default" w:ascii="Times New Roman" w:hAnsi="Times New Roman" w:eastAsia="宋体" w:cs="Times New Roman"/>
          <w:sz w:val="24"/>
        </w:rPr>
        <w:t>总投资的</w:t>
      </w:r>
      <w:r>
        <w:rPr>
          <w:rFonts w:hint="eastAsia" w:ascii="Times New Roman" w:hAnsi="Times New Roman" w:eastAsia="宋体" w:cs="Times New Roman"/>
          <w:sz w:val="24"/>
          <w:lang w:val="en-US" w:eastAsia="zh-CN"/>
        </w:rPr>
        <w:t>18.15</w:t>
      </w:r>
      <w:r>
        <w:rPr>
          <w:rFonts w:hint="default" w:ascii="Times New Roman" w:hAnsi="Times New Roman" w:eastAsia="宋体" w:cs="Times New Roman"/>
          <w:sz w:val="24"/>
        </w:rPr>
        <w:t>%。</w:t>
      </w:r>
    </w:p>
    <w:p w14:paraId="6D349BF9">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r>
        <w:rPr>
          <w:rFonts w:hint="eastAsia" w:ascii="Times New Roman" w:hAnsi="Times New Roman" w:eastAsia="宋体" w:cs="Times New Roman"/>
          <w:b/>
          <w:bCs/>
          <w:snapToGrid w:val="0"/>
          <w:kern w:val="2"/>
          <w:sz w:val="28"/>
          <w:szCs w:val="28"/>
          <w:lang w:val="en-US" w:eastAsia="zh-CN" w:bidi="ar-SA"/>
        </w:rPr>
        <w:t>8.4.3环保投资效益分析</w:t>
      </w:r>
    </w:p>
    <w:p w14:paraId="567CD06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本项目采取较完善可靠的废气、废水、噪声、固体废物治理以及绿化措施，可使排入环境的污染物最大程度</w:t>
      </w:r>
      <w:r>
        <w:rPr>
          <w:rFonts w:hint="eastAsia" w:ascii="Times New Roman" w:hAnsi="Times New Roman" w:eastAsia="宋体" w:cs="Times New Roman"/>
          <w:sz w:val="24"/>
          <w:lang w:eastAsia="zh-CN"/>
        </w:rPr>
        <w:t>地</w:t>
      </w:r>
      <w:r>
        <w:rPr>
          <w:rFonts w:hint="eastAsia" w:ascii="Times New Roman" w:hAnsi="Times New Roman" w:eastAsia="宋体" w:cs="Times New Roman"/>
          <w:sz w:val="24"/>
        </w:rPr>
        <w:t>降低，具有明显的环境效益，具体表现在：圈舍内除臭装置，以控制臭味的积聚；</w:t>
      </w:r>
      <w:r>
        <w:rPr>
          <w:rFonts w:hint="default" w:ascii="Times New Roman" w:hAnsi="Times New Roman" w:eastAsia="宋体" w:cs="Times New Roman"/>
          <w:sz w:val="24"/>
        </w:rPr>
        <w:t>污废水</w:t>
      </w:r>
      <w:r>
        <w:rPr>
          <w:rFonts w:hint="eastAsia" w:ascii="Times New Roman" w:hAnsi="Times New Roman" w:eastAsia="宋体" w:cs="Times New Roman"/>
          <w:sz w:val="24"/>
        </w:rPr>
        <w:t>综合利用</w:t>
      </w:r>
      <w:r>
        <w:rPr>
          <w:rFonts w:hint="default" w:ascii="Times New Roman" w:hAnsi="Times New Roman" w:eastAsia="宋体" w:cs="Times New Roman"/>
          <w:sz w:val="24"/>
        </w:rPr>
        <w:t>不外排；在采取了一系列的</w:t>
      </w:r>
      <w:r>
        <w:rPr>
          <w:rFonts w:hint="eastAsia" w:ascii="Times New Roman" w:hAnsi="Times New Roman" w:eastAsia="宋体" w:cs="Times New Roman"/>
          <w:sz w:val="24"/>
        </w:rPr>
        <w:t>降噪措施后可以使厂界噪声达标；本项目产生的固体废物均得到了妥善处置或综合利用；本项目产生的</w:t>
      </w:r>
      <w:r>
        <w:rPr>
          <w:rFonts w:hint="eastAsia" w:cs="Times New Roman"/>
          <w:sz w:val="24"/>
          <w:lang w:eastAsia="zh-CN"/>
        </w:rPr>
        <w:t>“</w:t>
      </w:r>
      <w:r>
        <w:rPr>
          <w:rFonts w:hint="eastAsia" w:ascii="Times New Roman" w:hAnsi="Times New Roman" w:eastAsia="宋体" w:cs="Times New Roman"/>
          <w:sz w:val="24"/>
        </w:rPr>
        <w:t>三废</w:t>
      </w:r>
      <w:r>
        <w:rPr>
          <w:rFonts w:hint="eastAsia" w:cs="Times New Roman"/>
          <w:sz w:val="24"/>
          <w:lang w:eastAsia="zh-CN"/>
        </w:rPr>
        <w:t>”</w:t>
      </w:r>
      <w:r>
        <w:rPr>
          <w:rFonts w:hint="eastAsia" w:ascii="Times New Roman" w:hAnsi="Times New Roman" w:eastAsia="宋体" w:cs="Times New Roman"/>
          <w:sz w:val="24"/>
        </w:rPr>
        <w:t>在采取合理的治理措施后，可明显降低其对环境的影响。</w:t>
      </w:r>
    </w:p>
    <w:p w14:paraId="36B1AE2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通过本项目示范推广，可有效促进</w:t>
      </w:r>
      <w:r>
        <w:rPr>
          <w:rFonts w:hint="eastAsia" w:ascii="Times New Roman" w:hAnsi="Times New Roman" w:eastAsia="宋体" w:cs="Times New Roman"/>
          <w:sz w:val="24"/>
          <w:lang w:val="en-US" w:eastAsia="zh-CN"/>
        </w:rPr>
        <w:t>第七师胡杨河市养殖</w:t>
      </w:r>
      <w:r>
        <w:rPr>
          <w:rFonts w:hint="eastAsia" w:ascii="Times New Roman" w:hAnsi="Times New Roman" w:eastAsia="宋体" w:cs="Times New Roman"/>
          <w:sz w:val="24"/>
        </w:rPr>
        <w:t>产业大发展，并推动区域经济和社会的快速发展。同时，通过</w:t>
      </w:r>
      <w:r>
        <w:rPr>
          <w:rFonts w:hint="default" w:ascii="Times New Roman" w:hAnsi="Times New Roman" w:eastAsia="宋体" w:cs="Times New Roman"/>
          <w:sz w:val="24"/>
        </w:rPr>
        <w:t>加强科学管理和经营意识，不断提高和扩大自身的规模和实力，形成带动地方经济发展的支柱产业。</w:t>
      </w:r>
      <w:r>
        <w:rPr>
          <w:rFonts w:hint="eastAsia" w:ascii="Times New Roman" w:hAnsi="Times New Roman" w:eastAsia="宋体" w:cs="Times New Roman"/>
          <w:sz w:val="24"/>
          <w:lang w:val="en-US" w:eastAsia="zh-CN"/>
        </w:rPr>
        <w:t>养殖业</w:t>
      </w:r>
      <w:r>
        <w:rPr>
          <w:rFonts w:hint="default" w:ascii="Times New Roman" w:hAnsi="Times New Roman" w:eastAsia="宋体" w:cs="Times New Roman"/>
          <w:sz w:val="24"/>
        </w:rPr>
        <w:t>的发展，将促进粮食及其副产品的转化，增加了它们的附加值</w:t>
      </w:r>
      <w:r>
        <w:rPr>
          <w:rFonts w:hint="eastAsia" w:ascii="Times New Roman" w:hAnsi="Times New Roman" w:eastAsia="宋体" w:cs="Times New Roman"/>
          <w:sz w:val="24"/>
        </w:rPr>
        <w:t>，实现环境效益、经济效益和社会效益统一，对于带动畜禽养殖行业绿色转型升级具有十分重要的意义。</w:t>
      </w:r>
    </w:p>
    <w:p w14:paraId="1F8C8F99">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rPr>
      </w:pPr>
      <w:r>
        <w:rPr>
          <w:rFonts w:hint="default" w:ascii="Times New Roman" w:hAnsi="Times New Roman" w:eastAsia="宋体" w:cs="Times New Roman"/>
          <w:sz w:val="24"/>
        </w:rPr>
        <w:t>综上所述，本项目的建</w:t>
      </w:r>
      <w:r>
        <w:rPr>
          <w:rFonts w:hint="eastAsia" w:ascii="Times New Roman" w:hAnsi="Times New Roman" w:eastAsia="宋体" w:cs="Times New Roman"/>
          <w:sz w:val="24"/>
        </w:rPr>
        <w:t>设</w:t>
      </w:r>
      <w:r>
        <w:rPr>
          <w:rFonts w:hint="default" w:ascii="Times New Roman" w:hAnsi="Times New Roman" w:eastAsia="宋体" w:cs="Times New Roman"/>
          <w:sz w:val="24"/>
        </w:rPr>
        <w:t>，将产生显著的环境效益、社会效益和经济效益。</w:t>
      </w:r>
    </w:p>
    <w:p w14:paraId="6922F5D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eastAsia="宋体"/>
          <w:sz w:val="24"/>
          <w:szCs w:val="22"/>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58283818">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outlineLvl w:val="0"/>
        <w:rPr>
          <w:rFonts w:hint="default" w:ascii="Times New Roman" w:hAnsi="Times New Roman" w:eastAsia="宋体" w:cs="Times New Roman"/>
          <w:b/>
          <w:kern w:val="44"/>
          <w:sz w:val="32"/>
          <w:szCs w:val="32"/>
          <w:lang w:val="en-US" w:eastAsia="zh-CN" w:bidi="ar-SA"/>
        </w:rPr>
      </w:pPr>
      <w:bookmarkStart w:id="761" w:name="_Toc22342"/>
      <w:r>
        <w:rPr>
          <w:rFonts w:hint="eastAsia" w:ascii="Times New Roman" w:hAnsi="Times New Roman" w:eastAsia="宋体" w:cs="Times New Roman"/>
          <w:b/>
          <w:kern w:val="44"/>
          <w:sz w:val="32"/>
          <w:szCs w:val="32"/>
          <w:lang w:val="en-US" w:eastAsia="zh-CN" w:bidi="ar-SA"/>
        </w:rPr>
        <w:t>9</w:t>
      </w:r>
      <w:r>
        <w:rPr>
          <w:rFonts w:hint="default" w:ascii="Times New Roman" w:hAnsi="Times New Roman" w:eastAsia="宋体" w:cs="Times New Roman"/>
          <w:b/>
          <w:kern w:val="44"/>
          <w:sz w:val="32"/>
          <w:szCs w:val="32"/>
          <w:lang w:val="en-US" w:eastAsia="zh-CN" w:bidi="ar-SA"/>
        </w:rPr>
        <w:t>、环境管理</w:t>
      </w:r>
      <w:bookmarkEnd w:id="749"/>
      <w:r>
        <w:rPr>
          <w:rFonts w:hint="eastAsia" w:ascii="Times New Roman" w:hAnsi="Times New Roman" w:eastAsia="宋体" w:cs="Times New Roman"/>
          <w:b/>
          <w:kern w:val="44"/>
          <w:sz w:val="32"/>
          <w:szCs w:val="32"/>
          <w:lang w:val="en-US" w:eastAsia="zh-CN" w:bidi="ar-SA"/>
        </w:rPr>
        <w:t>与</w:t>
      </w:r>
      <w:r>
        <w:rPr>
          <w:rFonts w:hint="default" w:ascii="Times New Roman" w:hAnsi="Times New Roman" w:eastAsia="宋体" w:cs="Times New Roman"/>
          <w:b/>
          <w:kern w:val="44"/>
          <w:sz w:val="32"/>
          <w:szCs w:val="32"/>
          <w:lang w:val="en-US" w:eastAsia="zh-CN" w:bidi="ar-SA"/>
        </w:rPr>
        <w:t>监测计划</w:t>
      </w:r>
      <w:bookmarkEnd w:id="750"/>
      <w:bookmarkEnd w:id="751"/>
      <w:bookmarkEnd w:id="752"/>
      <w:bookmarkEnd w:id="753"/>
      <w:bookmarkEnd w:id="754"/>
      <w:bookmarkEnd w:id="755"/>
      <w:bookmarkEnd w:id="761"/>
    </w:p>
    <w:p w14:paraId="22C75F58">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bookmarkStart w:id="762" w:name="_Toc229909613"/>
      <w:bookmarkStart w:id="763" w:name="_Toc113250689"/>
      <w:bookmarkStart w:id="764" w:name="_Toc72235881"/>
      <w:r>
        <w:rPr>
          <w:rFonts w:hint="default" w:ascii="Times New Roman" w:hAnsi="Times New Roman" w:eastAsia="宋体" w:cs="Times New Roman"/>
          <w:sz w:val="24"/>
        </w:rPr>
        <w:t>环境管理是环境保护工作的重要内容之一，也是企业管理的重要组成部分，它利用行政、经济、技术、法律、教育等手段，对企业生产、经营发展、环境保护的关系进行协调，将其列入企业的议事日程，对生产过程中产生的或可能发生的环境问题进行深入细致的研究，制定合理的污染治理方案，以达到既发展生产、增加经济效益，又保护环境的目的。</w:t>
      </w:r>
    </w:p>
    <w:p w14:paraId="6AC9660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环境管理的核心是把环境保护融于企业经营管理的过程之中，使环境保护成为工业企业的重要决策因素，重视研究本企业的环境对策。采用新技术、新工艺，减少有害废物的排放。对废旧资源进行回收处理及循环利用，变普通产品为</w:t>
      </w:r>
      <w:r>
        <w:rPr>
          <w:rFonts w:hint="eastAsia" w:cs="Times New Roman"/>
          <w:sz w:val="24"/>
          <w:lang w:eastAsia="zh-CN"/>
        </w:rPr>
        <w:t>“</w:t>
      </w:r>
      <w:r>
        <w:rPr>
          <w:rFonts w:hint="default" w:ascii="Times New Roman" w:hAnsi="Times New Roman" w:eastAsia="宋体" w:cs="Times New Roman"/>
          <w:sz w:val="24"/>
        </w:rPr>
        <w:t>绿色</w:t>
      </w:r>
      <w:r>
        <w:rPr>
          <w:rFonts w:hint="eastAsia" w:cs="Times New Roman"/>
          <w:sz w:val="24"/>
          <w:lang w:eastAsia="zh-CN"/>
        </w:rPr>
        <w:t>”</w:t>
      </w:r>
      <w:r>
        <w:rPr>
          <w:rFonts w:hint="default" w:ascii="Times New Roman" w:hAnsi="Times New Roman" w:eastAsia="宋体" w:cs="Times New Roman"/>
          <w:sz w:val="24"/>
        </w:rPr>
        <w:t>产品，努力通过环境认证，推动员工和公众的环保宣传和引导，树立</w:t>
      </w:r>
      <w:r>
        <w:rPr>
          <w:rFonts w:hint="eastAsia" w:cs="Times New Roman"/>
          <w:sz w:val="24"/>
          <w:lang w:eastAsia="zh-CN"/>
        </w:rPr>
        <w:t>“</w:t>
      </w:r>
      <w:r>
        <w:rPr>
          <w:rFonts w:hint="default" w:ascii="Times New Roman" w:hAnsi="Times New Roman" w:eastAsia="宋体" w:cs="Times New Roman"/>
          <w:sz w:val="24"/>
        </w:rPr>
        <w:t>绿色企业</w:t>
      </w:r>
      <w:r>
        <w:rPr>
          <w:rFonts w:hint="eastAsia" w:cs="Times New Roman"/>
          <w:sz w:val="24"/>
          <w:lang w:eastAsia="zh-CN"/>
        </w:rPr>
        <w:t>”</w:t>
      </w:r>
      <w:r>
        <w:rPr>
          <w:rFonts w:hint="default" w:ascii="Times New Roman" w:hAnsi="Times New Roman" w:eastAsia="宋体" w:cs="Times New Roman"/>
          <w:sz w:val="24"/>
        </w:rPr>
        <w:t>的良好形象。</w:t>
      </w:r>
    </w:p>
    <w:p w14:paraId="0CA1FDE9">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为了贯彻和执行国家和地方环境保护</w:t>
      </w:r>
      <w:r>
        <w:rPr>
          <w:rFonts w:hint="eastAsia" w:ascii="Times New Roman" w:hAnsi="Times New Roman" w:eastAsia="宋体" w:cs="Times New Roman"/>
          <w:sz w:val="24"/>
          <w:lang w:eastAsia="zh-CN"/>
        </w:rPr>
        <w:t>法律法规</w:t>
      </w:r>
      <w:r>
        <w:rPr>
          <w:rFonts w:hint="default" w:ascii="Times New Roman" w:hAnsi="Times New Roman" w:eastAsia="宋体" w:cs="Times New Roman"/>
          <w:sz w:val="24"/>
        </w:rPr>
        <w:t>、政策与标准，及时掌握和了解污染控制措施的效果，以及项目所在区域环境质量的变化情况，更好地监控环保设施的运行情况，</w:t>
      </w:r>
      <w:r>
        <w:rPr>
          <w:rFonts w:hint="eastAsia" w:ascii="Times New Roman" w:hAnsi="Times New Roman" w:eastAsia="宋体" w:cs="Times New Roman"/>
          <w:sz w:val="24"/>
          <w:lang w:eastAsia="zh-CN"/>
        </w:rPr>
        <w:t>协调</w:t>
      </w:r>
      <w:r>
        <w:rPr>
          <w:rFonts w:hint="default" w:ascii="Times New Roman" w:hAnsi="Times New Roman" w:eastAsia="宋体" w:cs="Times New Roman"/>
          <w:sz w:val="24"/>
        </w:rPr>
        <w:t>地方环保职能部门和</w:t>
      </w:r>
      <w:r>
        <w:rPr>
          <w:rFonts w:hint="eastAsia" w:ascii="Times New Roman" w:hAnsi="Times New Roman" w:eastAsia="宋体" w:cs="Times New Roman"/>
          <w:sz w:val="24"/>
          <w:lang w:eastAsia="zh-CN"/>
        </w:rPr>
        <w:t>其他</w:t>
      </w:r>
      <w:r>
        <w:rPr>
          <w:rFonts w:hint="default" w:ascii="Times New Roman" w:hAnsi="Times New Roman" w:eastAsia="宋体" w:cs="Times New Roman"/>
          <w:sz w:val="24"/>
        </w:rPr>
        <w:t>有关部门的工作，同时保证企业生产管理和环境管理的正常运作，建立环境管理体系与监测</w:t>
      </w:r>
      <w:r>
        <w:rPr>
          <w:rFonts w:hint="eastAsia" w:ascii="Times New Roman" w:hAnsi="Times New Roman" w:eastAsia="宋体" w:cs="Times New Roman"/>
          <w:sz w:val="24"/>
          <w:lang w:eastAsia="zh-CN"/>
        </w:rPr>
        <w:t>制度</w:t>
      </w:r>
      <w:r>
        <w:rPr>
          <w:rFonts w:hint="default" w:ascii="Times New Roman" w:hAnsi="Times New Roman" w:eastAsia="宋体" w:cs="Times New Roman"/>
          <w:sz w:val="24"/>
        </w:rPr>
        <w:t>非常必要。环境管理体系与监测机构的建立能够帮助企业及早发现问题，使企业在发展生产的同时节约能源、降低原材料的消耗，控制污染物排放量，减轻污染物排放对环境产生的影响，为企业创造更好的经济效益和环境效益，树立良好的社会形象。</w:t>
      </w:r>
    </w:p>
    <w:p w14:paraId="1EE7CCFF">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765" w:name="_Toc337673505"/>
      <w:bookmarkStart w:id="766" w:name="_Toc27418"/>
      <w:bookmarkStart w:id="767" w:name="_Toc472451942"/>
      <w:bookmarkStart w:id="768" w:name="_Toc15175"/>
      <w:bookmarkStart w:id="769" w:name="_Toc5193"/>
      <w:bookmarkStart w:id="770" w:name="_Toc32733"/>
      <w:bookmarkStart w:id="771" w:name="_Toc29833"/>
      <w:r>
        <w:rPr>
          <w:rFonts w:hint="eastAsia" w:ascii="Times New Roman" w:hAnsi="Times New Roman" w:eastAsia="宋体" w:cs="Times New Roman"/>
          <w:b/>
          <w:bCs/>
          <w:kern w:val="2"/>
          <w:sz w:val="30"/>
          <w:szCs w:val="30"/>
          <w:lang w:val="en-US" w:eastAsia="zh-CN" w:bidi="ar-SA"/>
        </w:rPr>
        <w:t>9</w:t>
      </w:r>
      <w:r>
        <w:rPr>
          <w:rFonts w:hint="default" w:ascii="Times New Roman" w:hAnsi="Times New Roman" w:eastAsia="宋体" w:cs="Times New Roman"/>
          <w:b/>
          <w:bCs/>
          <w:kern w:val="2"/>
          <w:sz w:val="30"/>
          <w:szCs w:val="30"/>
          <w:lang w:val="en-US" w:eastAsia="zh-CN" w:bidi="ar-SA"/>
        </w:rPr>
        <w:t>.1环境管理</w:t>
      </w:r>
      <w:bookmarkEnd w:id="762"/>
      <w:bookmarkEnd w:id="763"/>
      <w:bookmarkEnd w:id="764"/>
      <w:r>
        <w:rPr>
          <w:rFonts w:hint="default" w:ascii="Times New Roman" w:hAnsi="Times New Roman" w:eastAsia="宋体" w:cs="Times New Roman"/>
          <w:b/>
          <w:bCs/>
          <w:kern w:val="2"/>
          <w:sz w:val="30"/>
          <w:szCs w:val="30"/>
          <w:lang w:val="en-US" w:eastAsia="zh-CN" w:bidi="ar-SA"/>
        </w:rPr>
        <w:t>、机构设置</w:t>
      </w:r>
      <w:bookmarkEnd w:id="765"/>
      <w:bookmarkEnd w:id="766"/>
      <w:bookmarkEnd w:id="767"/>
      <w:bookmarkEnd w:id="768"/>
      <w:bookmarkEnd w:id="769"/>
      <w:bookmarkEnd w:id="770"/>
      <w:bookmarkEnd w:id="771"/>
    </w:p>
    <w:p w14:paraId="69D449DC">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772" w:name="_Toc186"/>
      <w:bookmarkStart w:id="773" w:name="_Toc16943"/>
      <w:r>
        <w:rPr>
          <w:rFonts w:hint="eastAsia" w:ascii="Times New Roman" w:hAnsi="Times New Roman" w:eastAsia="宋体" w:cs="Times New Roman"/>
          <w:b/>
          <w:bCs/>
          <w:snapToGrid w:val="0"/>
          <w:kern w:val="2"/>
          <w:sz w:val="28"/>
          <w:szCs w:val="28"/>
          <w:lang w:val="en-US" w:eastAsia="zh-CN" w:bidi="ar-SA"/>
        </w:rPr>
        <w:t>9.1.1</w:t>
      </w:r>
      <w:r>
        <w:rPr>
          <w:rFonts w:hint="default" w:ascii="Times New Roman" w:hAnsi="Times New Roman" w:eastAsia="宋体" w:cs="Times New Roman"/>
          <w:b/>
          <w:bCs/>
          <w:snapToGrid w:val="0"/>
          <w:kern w:val="2"/>
          <w:sz w:val="28"/>
          <w:szCs w:val="28"/>
          <w:lang w:val="en-US" w:eastAsia="zh-CN" w:bidi="ar-SA"/>
        </w:rPr>
        <w:t>环境管理体系</w:t>
      </w:r>
      <w:bookmarkEnd w:id="772"/>
      <w:bookmarkEnd w:id="773"/>
    </w:p>
    <w:p w14:paraId="43840B8D">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bookmarkStart w:id="774" w:name="_Toc113250690"/>
      <w:bookmarkStart w:id="775" w:name="_Toc72235882"/>
      <w:r>
        <w:rPr>
          <w:rFonts w:hint="default" w:ascii="Times New Roman" w:hAnsi="Times New Roman" w:eastAsia="宋体" w:cs="Times New Roman"/>
          <w:sz w:val="24"/>
        </w:rPr>
        <w:t>为了将拟建工程投产后</w:t>
      </w:r>
      <w:r>
        <w:rPr>
          <w:rFonts w:hint="eastAsia" w:ascii="Times New Roman" w:hAnsi="Times New Roman" w:eastAsia="宋体" w:cs="Times New Roman"/>
          <w:sz w:val="24"/>
          <w:lang w:val="en-US" w:eastAsia="zh-CN"/>
        </w:rPr>
        <w:t>肉牛</w:t>
      </w:r>
      <w:r>
        <w:rPr>
          <w:rFonts w:hint="default" w:ascii="Times New Roman" w:hAnsi="Times New Roman" w:eastAsia="宋体" w:cs="Times New Roman"/>
          <w:sz w:val="24"/>
        </w:rPr>
        <w:t>养殖过程中产生的不利环境影响减轻到最低程度，建设单位应针对本项目的特点，制定完善的环境管理体系。</w:t>
      </w:r>
    </w:p>
    <w:p w14:paraId="43673505">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（1）环境管理机构设置</w:t>
      </w:r>
    </w:p>
    <w:p w14:paraId="074A0BE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在总经理领导下实行分级管理制：一级为公司总经理或主管副总经理；二级为安全环保部；三级为各</w:t>
      </w:r>
      <w:r>
        <w:rPr>
          <w:rFonts w:hint="eastAsia" w:ascii="Times New Roman" w:hAnsi="Times New Roman" w:eastAsia="宋体" w:cs="Times New Roman"/>
          <w:sz w:val="24"/>
          <w:lang w:val="en-US" w:eastAsia="zh-CN"/>
        </w:rPr>
        <w:t>牛圈</w:t>
      </w:r>
      <w:r>
        <w:rPr>
          <w:rFonts w:hint="default" w:ascii="Times New Roman" w:hAnsi="Times New Roman" w:eastAsia="宋体" w:cs="Times New Roman"/>
          <w:sz w:val="24"/>
        </w:rPr>
        <w:t>负责人。</w:t>
      </w:r>
    </w:p>
    <w:p w14:paraId="2EA57B6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（2）各级管理机构职责</w:t>
      </w:r>
    </w:p>
    <w:p w14:paraId="53ABEDB5">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①总经理、主管副总经理职责</w:t>
      </w:r>
    </w:p>
    <w:p w14:paraId="77A5385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a.</w:t>
      </w:r>
      <w:r>
        <w:rPr>
          <w:rFonts w:hint="default" w:ascii="Times New Roman" w:hAnsi="Times New Roman" w:eastAsia="宋体" w:cs="Times New Roman"/>
          <w:sz w:val="24"/>
        </w:rPr>
        <w:t>负责贯彻执行国家环境保护法、环境保护方针和政策。</w:t>
      </w:r>
    </w:p>
    <w:p w14:paraId="4CFA7FE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b.</w:t>
      </w:r>
      <w:r>
        <w:rPr>
          <w:rFonts w:hint="default" w:ascii="Times New Roman" w:hAnsi="Times New Roman" w:eastAsia="宋体" w:cs="Times New Roman"/>
          <w:sz w:val="24"/>
        </w:rPr>
        <w:t>负责建立完整的环保机构，保证人员的落实。</w:t>
      </w:r>
    </w:p>
    <w:p w14:paraId="45E100B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②安全环保部职责</w:t>
      </w:r>
    </w:p>
    <w:p w14:paraId="349CEC54">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a.</w:t>
      </w:r>
      <w:r>
        <w:rPr>
          <w:rFonts w:hint="default" w:ascii="Times New Roman" w:hAnsi="Times New Roman" w:eastAsia="宋体" w:cs="Times New Roman"/>
          <w:sz w:val="24"/>
        </w:rPr>
        <w:t>贯彻上级领导或环保部门有关的环保制度和规定。</w:t>
      </w:r>
    </w:p>
    <w:p w14:paraId="46AEB2B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b.</w:t>
      </w:r>
      <w:r>
        <w:rPr>
          <w:rFonts w:hint="default" w:ascii="Times New Roman" w:hAnsi="Times New Roman" w:eastAsia="宋体" w:cs="Times New Roman"/>
          <w:sz w:val="24"/>
        </w:rPr>
        <w:t>建立环保档案，包括环评报告、环保工程验收报告、污染源监测报告、环</w:t>
      </w:r>
      <w:r>
        <w:rPr>
          <w:rFonts w:hint="default" w:ascii="Times New Roman" w:hAnsi="Times New Roman" w:eastAsia="宋体" w:cs="Times New Roman"/>
          <w:spacing w:val="-4"/>
          <w:sz w:val="24"/>
        </w:rPr>
        <w:t>保设备运行记录以及</w:t>
      </w:r>
      <w:r>
        <w:rPr>
          <w:rFonts w:hint="eastAsia" w:ascii="Times New Roman" w:hAnsi="Times New Roman" w:eastAsia="宋体" w:cs="Times New Roman"/>
          <w:spacing w:val="-4"/>
          <w:sz w:val="24"/>
          <w:lang w:eastAsia="zh-CN"/>
        </w:rPr>
        <w:t>其他环境</w:t>
      </w:r>
      <w:r>
        <w:rPr>
          <w:rFonts w:hint="default" w:ascii="Times New Roman" w:hAnsi="Times New Roman" w:eastAsia="宋体" w:cs="Times New Roman"/>
          <w:spacing w:val="-4"/>
          <w:sz w:val="24"/>
        </w:rPr>
        <w:t>统计资料，并定期向当地环境保护行政主管部门汇报</w:t>
      </w:r>
      <w:r>
        <w:rPr>
          <w:rFonts w:hint="default" w:ascii="Times New Roman" w:hAnsi="Times New Roman" w:eastAsia="宋体" w:cs="Times New Roman"/>
          <w:sz w:val="24"/>
        </w:rPr>
        <w:t>。</w:t>
      </w:r>
    </w:p>
    <w:p w14:paraId="560D05AC">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c.</w:t>
      </w:r>
      <w:r>
        <w:rPr>
          <w:rFonts w:hint="default" w:ascii="Times New Roman" w:hAnsi="Times New Roman" w:eastAsia="宋体" w:cs="Times New Roman"/>
          <w:sz w:val="24"/>
        </w:rPr>
        <w:t>汇总、编报环保年度计划及规划，并监督、检查执行情况。</w:t>
      </w:r>
    </w:p>
    <w:p w14:paraId="24990C97">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d.</w:t>
      </w:r>
      <w:r>
        <w:rPr>
          <w:rFonts w:hint="default" w:ascii="Times New Roman" w:hAnsi="Times New Roman" w:eastAsia="宋体" w:cs="Times New Roman"/>
          <w:sz w:val="24"/>
        </w:rPr>
        <w:t>制定环保考核制度和有关奖罚规定。</w:t>
      </w:r>
    </w:p>
    <w:p w14:paraId="0059587C">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e.</w:t>
      </w:r>
      <w:r>
        <w:rPr>
          <w:rFonts w:hint="default" w:ascii="Times New Roman" w:hAnsi="Times New Roman" w:eastAsia="宋体" w:cs="Times New Roman"/>
          <w:sz w:val="24"/>
        </w:rPr>
        <w:t>对污染源进行监督管理，贯彻预防为主的方针，发现问题，及时采取措施，并向上级主管部门汇报。</w:t>
      </w:r>
    </w:p>
    <w:p w14:paraId="126187A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f.</w:t>
      </w:r>
      <w:r>
        <w:rPr>
          <w:rFonts w:hint="default" w:ascii="Times New Roman" w:hAnsi="Times New Roman" w:eastAsia="宋体" w:cs="Times New Roman"/>
          <w:sz w:val="24"/>
        </w:rPr>
        <w:t>负责组织突发性污染事故的善后处理，追查事故原因，杜绝事故隐患，并参照企业管理规章，提出对事故责任人的处理意见，上报公司。</w:t>
      </w:r>
    </w:p>
    <w:p w14:paraId="51081FD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g.</w:t>
      </w:r>
      <w:r>
        <w:rPr>
          <w:rFonts w:hint="default" w:ascii="Times New Roman" w:hAnsi="Times New Roman" w:eastAsia="宋体" w:cs="Times New Roman"/>
          <w:sz w:val="24"/>
        </w:rPr>
        <w:t>对环境保护的先进经验、先进技术进行推广和应用。</w:t>
      </w:r>
    </w:p>
    <w:p w14:paraId="5DEFCB88">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h.</w:t>
      </w:r>
      <w:r>
        <w:rPr>
          <w:rFonts w:hint="default" w:ascii="Times New Roman" w:hAnsi="Times New Roman" w:eastAsia="宋体" w:cs="Times New Roman"/>
          <w:sz w:val="24"/>
        </w:rPr>
        <w:t>负责环保设备的统一管理，每月考核一次收尘设备的运行情况，并负责对收尘器的大、中修的质量验收。</w:t>
      </w:r>
    </w:p>
    <w:p w14:paraId="58A019F1">
      <w:pPr>
        <w:bidi w:val="0"/>
        <w:spacing w:line="360" w:lineRule="auto"/>
        <w:ind w:firstLine="480" w:firstLineChars="200"/>
        <w:rPr>
          <w:rFonts w:hint="default" w:ascii="Times New Roman" w:hAnsi="Times New Roman" w:eastAsia="宋体" w:cs="Times New Roman"/>
          <w:sz w:val="24"/>
          <w:szCs w:val="24"/>
        </w:rPr>
      </w:pPr>
      <w:bookmarkStart w:id="776" w:name="_Toc26466"/>
      <w:r>
        <w:rPr>
          <w:rFonts w:hint="eastAsia" w:ascii="Times New Roman" w:hAnsi="Times New Roman" w:eastAsia="宋体" w:cs="Times New Roman"/>
          <w:sz w:val="24"/>
          <w:szCs w:val="24"/>
          <w:lang w:eastAsia="zh-CN"/>
        </w:rPr>
        <w:t>i.</w:t>
      </w:r>
      <w:r>
        <w:rPr>
          <w:rFonts w:hint="default" w:ascii="Times New Roman" w:hAnsi="Times New Roman" w:eastAsia="宋体" w:cs="Times New Roman"/>
          <w:sz w:val="24"/>
          <w:szCs w:val="24"/>
        </w:rPr>
        <w:t>组织职工进行环保教育，搞好环境宣传及环保技术培训。</w:t>
      </w:r>
      <w:bookmarkEnd w:id="776"/>
    </w:p>
    <w:p w14:paraId="41DFC2AC">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③环卫部门职责</w:t>
      </w:r>
    </w:p>
    <w:p w14:paraId="0781E6C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a.</w:t>
      </w:r>
      <w:r>
        <w:rPr>
          <w:rFonts w:hint="default" w:ascii="Times New Roman" w:hAnsi="Times New Roman" w:eastAsia="宋体" w:cs="Times New Roman"/>
          <w:sz w:val="24"/>
        </w:rPr>
        <w:t>在公司领导下，做好生产区、办公区和生活区的绿化、美化工作。</w:t>
      </w:r>
    </w:p>
    <w:p w14:paraId="59D88B7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b.</w:t>
      </w:r>
      <w:r>
        <w:rPr>
          <w:rFonts w:hint="default" w:ascii="Times New Roman" w:hAnsi="Times New Roman" w:eastAsia="宋体" w:cs="Times New Roman"/>
          <w:sz w:val="24"/>
        </w:rPr>
        <w:t>按</w:t>
      </w:r>
      <w:r>
        <w:rPr>
          <w:rFonts w:hint="eastAsia" w:cs="Times New Roman"/>
          <w:sz w:val="24"/>
          <w:lang w:eastAsia="zh-CN"/>
        </w:rPr>
        <w:t>“</w:t>
      </w:r>
      <w:r>
        <w:rPr>
          <w:rFonts w:hint="default" w:ascii="Times New Roman" w:hAnsi="Times New Roman" w:eastAsia="宋体" w:cs="Times New Roman"/>
          <w:sz w:val="24"/>
        </w:rPr>
        <w:t>门前三包卫生责任制</w:t>
      </w:r>
      <w:r>
        <w:rPr>
          <w:rFonts w:hint="eastAsia" w:cs="Times New Roman"/>
          <w:sz w:val="24"/>
          <w:lang w:eastAsia="zh-CN"/>
        </w:rPr>
        <w:t>”</w:t>
      </w:r>
      <w:r>
        <w:rPr>
          <w:rFonts w:hint="default" w:ascii="Times New Roman" w:hAnsi="Times New Roman" w:eastAsia="宋体" w:cs="Times New Roman"/>
          <w:sz w:val="24"/>
        </w:rPr>
        <w:t>，检查、督促各部门做好卫生、绿化工作。</w:t>
      </w:r>
    </w:p>
    <w:p w14:paraId="0535100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c.</w:t>
      </w:r>
      <w:r>
        <w:rPr>
          <w:rFonts w:hint="default" w:ascii="Times New Roman" w:hAnsi="Times New Roman" w:eastAsia="宋体" w:cs="Times New Roman"/>
          <w:sz w:val="24"/>
        </w:rPr>
        <w:t>组织做好垃圾的定点堆放和清运工作，以及道路的清扫工作。</w:t>
      </w:r>
    </w:p>
    <w:p w14:paraId="066902A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④环保人员职责</w:t>
      </w:r>
    </w:p>
    <w:p w14:paraId="651B3FEC">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a.</w:t>
      </w:r>
      <w:r>
        <w:rPr>
          <w:rFonts w:hint="default" w:ascii="Times New Roman" w:hAnsi="Times New Roman" w:eastAsia="宋体" w:cs="Times New Roman"/>
          <w:sz w:val="24"/>
        </w:rPr>
        <w:t>负责本部门的具体环境保护工作。</w:t>
      </w:r>
    </w:p>
    <w:p w14:paraId="4EB4AE9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b.</w:t>
      </w:r>
      <w:r>
        <w:rPr>
          <w:rFonts w:hint="default" w:ascii="Times New Roman" w:hAnsi="Times New Roman" w:eastAsia="宋体" w:cs="Times New Roman"/>
          <w:sz w:val="24"/>
        </w:rPr>
        <w:t>按照安全环保部的统一部署，提出本部门</w:t>
      </w:r>
      <w:r>
        <w:rPr>
          <w:rFonts w:hint="eastAsia" w:ascii="Times New Roman" w:hAnsi="Times New Roman" w:eastAsia="宋体" w:cs="Times New Roman"/>
          <w:sz w:val="24"/>
          <w:lang w:val="en-US" w:eastAsia="zh-CN"/>
        </w:rPr>
        <w:t>环境</w:t>
      </w:r>
      <w:r>
        <w:rPr>
          <w:rFonts w:hint="default" w:ascii="Times New Roman" w:hAnsi="Times New Roman" w:eastAsia="宋体" w:cs="Times New Roman"/>
          <w:sz w:val="24"/>
        </w:rPr>
        <w:t>治理项目计划，报安全环保部及各职能部门。</w:t>
      </w:r>
    </w:p>
    <w:p w14:paraId="7E0BD30D">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c.</w:t>
      </w:r>
      <w:r>
        <w:rPr>
          <w:rFonts w:hint="default" w:ascii="Times New Roman" w:hAnsi="Times New Roman" w:eastAsia="宋体" w:cs="Times New Roman"/>
          <w:sz w:val="24"/>
        </w:rPr>
        <w:t>负责本部门环保设施的使用、管理和检查，保证环保设施处于最佳状态。车间主管环保的领导和环保员至少每半个月应对所辖范围内的环保设备工作情况进行一次巡回检查。</w:t>
      </w:r>
    </w:p>
    <w:p w14:paraId="68BB0A57">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lang w:eastAsia="zh-CN"/>
        </w:rPr>
        <w:t>d.</w:t>
      </w:r>
      <w:r>
        <w:rPr>
          <w:rFonts w:hint="default" w:ascii="Times New Roman" w:hAnsi="Times New Roman" w:eastAsia="宋体" w:cs="Times New Roman"/>
          <w:sz w:val="24"/>
        </w:rPr>
        <w:t>参加公司环保会议和污染事故调查，并上报本部门出现的污染事故报告。</w:t>
      </w:r>
    </w:p>
    <w:p w14:paraId="26466DAF">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777" w:name="_Toc18546"/>
      <w:bookmarkStart w:id="778" w:name="_Toc20104"/>
      <w:r>
        <w:rPr>
          <w:rFonts w:hint="eastAsia" w:ascii="Times New Roman" w:hAnsi="Times New Roman" w:eastAsia="宋体" w:cs="Times New Roman"/>
          <w:b/>
          <w:bCs/>
          <w:snapToGrid w:val="0"/>
          <w:kern w:val="2"/>
          <w:sz w:val="28"/>
          <w:szCs w:val="28"/>
          <w:lang w:val="en-US" w:eastAsia="zh-CN" w:bidi="ar-SA"/>
        </w:rPr>
        <w:t>9.1.2</w:t>
      </w:r>
      <w:r>
        <w:rPr>
          <w:rFonts w:hint="default" w:ascii="Times New Roman" w:hAnsi="Times New Roman" w:eastAsia="宋体" w:cs="Times New Roman"/>
          <w:b/>
          <w:bCs/>
          <w:snapToGrid w:val="0"/>
          <w:kern w:val="2"/>
          <w:sz w:val="28"/>
          <w:szCs w:val="28"/>
          <w:lang w:val="en-US" w:eastAsia="zh-CN" w:bidi="ar-SA"/>
        </w:rPr>
        <w:t>投产前的环境管理</w:t>
      </w:r>
      <w:bookmarkEnd w:id="777"/>
      <w:bookmarkEnd w:id="778"/>
    </w:p>
    <w:p w14:paraId="61591CD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（1）落实环保投资，确保污染治理措施执行</w:t>
      </w:r>
      <w:r>
        <w:rPr>
          <w:rFonts w:hint="eastAsia" w:cs="Times New Roman"/>
          <w:sz w:val="24"/>
          <w:lang w:eastAsia="zh-CN"/>
        </w:rPr>
        <w:t>“</w:t>
      </w:r>
      <w:r>
        <w:rPr>
          <w:rFonts w:hint="default" w:ascii="Times New Roman" w:hAnsi="Times New Roman" w:eastAsia="宋体" w:cs="Times New Roman"/>
          <w:sz w:val="24"/>
        </w:rPr>
        <w:t>三同时</w:t>
      </w:r>
      <w:r>
        <w:rPr>
          <w:rFonts w:hint="eastAsia" w:cs="Times New Roman"/>
          <w:sz w:val="24"/>
          <w:lang w:eastAsia="zh-CN"/>
        </w:rPr>
        <w:t>”</w:t>
      </w:r>
      <w:r>
        <w:rPr>
          <w:rFonts w:hint="default" w:ascii="Times New Roman" w:hAnsi="Times New Roman" w:eastAsia="宋体" w:cs="Times New Roman"/>
          <w:sz w:val="24"/>
        </w:rPr>
        <w:t>和各项治理与环保措施达到设计要求；</w:t>
      </w:r>
    </w:p>
    <w:p w14:paraId="3D21EB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（2）向环保部门上报工程竣工试运行报告，组织进行环保设施试运行；</w:t>
      </w:r>
    </w:p>
    <w:p w14:paraId="5B5EAF65">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（3）编制环保设施竣工验收方案报告，向环保部门申报，进行竣工验收监测，办理竣工验收手续；</w:t>
      </w:r>
    </w:p>
    <w:p w14:paraId="2B53624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（4）向当地环保部门进行排污申报登记，正式投产运行。</w:t>
      </w:r>
    </w:p>
    <w:p w14:paraId="0C6A34AE">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bookmarkStart w:id="779" w:name="_Toc30712"/>
      <w:bookmarkStart w:id="780" w:name="_Toc5024"/>
      <w:r>
        <w:rPr>
          <w:rFonts w:hint="eastAsia" w:ascii="Times New Roman" w:hAnsi="Times New Roman" w:eastAsia="宋体" w:cs="Times New Roman"/>
          <w:b/>
          <w:bCs/>
          <w:snapToGrid w:val="0"/>
          <w:kern w:val="2"/>
          <w:sz w:val="28"/>
          <w:szCs w:val="28"/>
          <w:lang w:val="en-US" w:eastAsia="zh-CN" w:bidi="ar-SA"/>
        </w:rPr>
        <w:t>9.1.3营运期环境管理</w:t>
      </w:r>
      <w:bookmarkEnd w:id="779"/>
      <w:bookmarkEnd w:id="780"/>
    </w:p>
    <w:p w14:paraId="3444A83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营运期环境管理的重点是各项环境保护措施的落实，环保设施运行的管理和维护，日常的监测及污染事故的防范和应急处理。</w:t>
      </w:r>
    </w:p>
    <w:p w14:paraId="627EA79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w:t>
      </w:r>
      <w:r>
        <w:rPr>
          <w:rFonts w:hint="default" w:ascii="Times New Roman" w:hAnsi="Times New Roman" w:eastAsia="宋体" w:cs="Times New Roman"/>
          <w:sz w:val="24"/>
        </w:rPr>
        <w:t>1）根据环保部门</w:t>
      </w:r>
      <w:r>
        <w:rPr>
          <w:rFonts w:hint="eastAsia" w:ascii="Times New Roman" w:hAnsi="Times New Roman" w:eastAsia="宋体" w:cs="Times New Roman"/>
          <w:sz w:val="24"/>
        </w:rPr>
        <w:t>等相关</w:t>
      </w:r>
      <w:r>
        <w:rPr>
          <w:rFonts w:hint="default" w:ascii="Times New Roman" w:hAnsi="Times New Roman" w:eastAsia="宋体" w:cs="Times New Roman"/>
          <w:sz w:val="24"/>
        </w:rPr>
        <w:t>部门对环保设施验收报告的批复意见进行补充完善。</w:t>
      </w:r>
    </w:p>
    <w:p w14:paraId="2D1EDC1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（2</w:t>
      </w:r>
      <w:r>
        <w:rPr>
          <w:rFonts w:hint="default" w:ascii="Times New Roman" w:hAnsi="Times New Roman" w:eastAsia="宋体" w:cs="Times New Roman"/>
          <w:sz w:val="24"/>
        </w:rPr>
        <w:t>）根据企业的环境保护目标考核计划，结合生产过程各环节的不同环境要求，把资源和能源消耗、资源回收利用、污染物排放量</w:t>
      </w:r>
      <w:r>
        <w:rPr>
          <w:rFonts w:hint="eastAsia" w:ascii="Times New Roman" w:hAnsi="Times New Roman" w:eastAsia="宋体" w:cs="Times New Roman"/>
          <w:sz w:val="24"/>
        </w:rPr>
        <w:t>作为</w:t>
      </w:r>
      <w:r>
        <w:rPr>
          <w:rFonts w:hint="default" w:ascii="Times New Roman" w:hAnsi="Times New Roman" w:eastAsia="宋体" w:cs="Times New Roman"/>
          <w:sz w:val="24"/>
        </w:rPr>
        <w:t>反映环保工作水平的</w:t>
      </w:r>
      <w:r>
        <w:rPr>
          <w:rFonts w:hint="eastAsia" w:ascii="Times New Roman" w:hAnsi="Times New Roman" w:eastAsia="宋体" w:cs="Times New Roman"/>
          <w:sz w:val="24"/>
          <w:lang w:eastAsia="zh-CN"/>
        </w:rPr>
        <w:t>生态环境质量</w:t>
      </w:r>
      <w:r>
        <w:rPr>
          <w:rFonts w:hint="default" w:ascii="Times New Roman" w:hAnsi="Times New Roman" w:eastAsia="宋体" w:cs="Times New Roman"/>
          <w:sz w:val="24"/>
        </w:rPr>
        <w:t>环保指标，纳入各级生产作业计划，</w:t>
      </w:r>
      <w:r>
        <w:rPr>
          <w:rFonts w:hint="eastAsia" w:ascii="Times New Roman" w:hAnsi="Times New Roman" w:eastAsia="宋体" w:cs="Times New Roman"/>
          <w:sz w:val="24"/>
          <w:lang w:eastAsia="zh-CN"/>
        </w:rPr>
        <w:t>同其他</w:t>
      </w:r>
      <w:r>
        <w:rPr>
          <w:rFonts w:hint="default" w:ascii="Times New Roman" w:hAnsi="Times New Roman" w:eastAsia="宋体" w:cs="Times New Roman"/>
          <w:sz w:val="24"/>
        </w:rPr>
        <w:t>生产指标一同组织实施和考核。</w:t>
      </w:r>
    </w:p>
    <w:p w14:paraId="1658EB62">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（3</w:t>
      </w:r>
      <w:r>
        <w:rPr>
          <w:rFonts w:hint="default" w:ascii="Times New Roman" w:hAnsi="Times New Roman" w:eastAsia="宋体" w:cs="Times New Roman"/>
          <w:sz w:val="24"/>
        </w:rPr>
        <w:t>）按环保设施的操作规程，定期对环保设施进行保养和检修，保证环保设施的正常运行和污染物的达标排放。一旦环保设施出现故障，应立即停产检修，并上报环保法定责任人，严禁环保设施带病运行和事故性排放。建立运行记录并制定考核指标。</w:t>
      </w:r>
    </w:p>
    <w:p w14:paraId="0420F412">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（4</w:t>
      </w:r>
      <w:r>
        <w:rPr>
          <w:rFonts w:hint="default" w:ascii="Times New Roman" w:hAnsi="Times New Roman" w:eastAsia="宋体" w:cs="Times New Roman"/>
          <w:sz w:val="24"/>
        </w:rPr>
        <w:t>）加强各生产车间、工段的环境卫生管理：</w:t>
      </w:r>
      <w:r>
        <w:rPr>
          <w:rFonts w:hint="eastAsia" w:ascii="Times New Roman" w:hAnsi="Times New Roman" w:eastAsia="宋体" w:cs="Times New Roman"/>
          <w:sz w:val="24"/>
        </w:rPr>
        <w:t>①</w:t>
      </w:r>
      <w:r>
        <w:rPr>
          <w:rFonts w:hint="default" w:ascii="Times New Roman" w:hAnsi="Times New Roman" w:eastAsia="宋体" w:cs="Times New Roman"/>
          <w:sz w:val="24"/>
        </w:rPr>
        <w:t>督促有关工段及时清理</w:t>
      </w:r>
      <w:r>
        <w:rPr>
          <w:rFonts w:hint="eastAsia" w:ascii="Times New Roman" w:hAnsi="Times New Roman" w:eastAsia="宋体" w:cs="Times New Roman"/>
          <w:sz w:val="24"/>
        </w:rPr>
        <w:t>粪便、垃圾</w:t>
      </w:r>
      <w:r>
        <w:rPr>
          <w:rFonts w:hint="default" w:ascii="Times New Roman" w:hAnsi="Times New Roman" w:eastAsia="宋体" w:cs="Times New Roman"/>
          <w:sz w:val="24"/>
        </w:rPr>
        <w:t>等</w:t>
      </w:r>
      <w:r>
        <w:rPr>
          <w:rFonts w:hint="eastAsia" w:ascii="Times New Roman" w:hAnsi="Times New Roman" w:eastAsia="宋体" w:cs="Times New Roman"/>
          <w:sz w:val="24"/>
        </w:rPr>
        <w:t>；②</w:t>
      </w:r>
      <w:r>
        <w:rPr>
          <w:rFonts w:hint="default" w:ascii="Times New Roman" w:hAnsi="Times New Roman" w:eastAsia="宋体" w:cs="Times New Roman"/>
          <w:sz w:val="24"/>
        </w:rPr>
        <w:t>保持</w:t>
      </w:r>
      <w:r>
        <w:rPr>
          <w:rFonts w:hint="eastAsia" w:ascii="Times New Roman" w:hAnsi="Times New Roman" w:eastAsia="宋体" w:cs="Times New Roman"/>
          <w:sz w:val="24"/>
        </w:rPr>
        <w:t>圈舍</w:t>
      </w:r>
      <w:r>
        <w:rPr>
          <w:rFonts w:hint="default" w:ascii="Times New Roman" w:hAnsi="Times New Roman" w:eastAsia="宋体" w:cs="Times New Roman"/>
          <w:sz w:val="24"/>
        </w:rPr>
        <w:t>的通风、整洁和</w:t>
      </w:r>
      <w:r>
        <w:rPr>
          <w:rFonts w:hint="eastAsia" w:ascii="Times New Roman" w:hAnsi="Times New Roman" w:eastAsia="宋体" w:cs="Times New Roman"/>
          <w:sz w:val="24"/>
          <w:lang w:eastAsia="zh-CN"/>
        </w:rPr>
        <w:t>宽敞</w:t>
      </w:r>
      <w:r>
        <w:rPr>
          <w:rFonts w:hint="default" w:ascii="Times New Roman" w:hAnsi="Times New Roman" w:eastAsia="宋体" w:cs="Times New Roman"/>
          <w:sz w:val="24"/>
        </w:rPr>
        <w:t>。废气净化、除臭装置必须正常运转</w:t>
      </w:r>
      <w:r>
        <w:rPr>
          <w:rFonts w:hint="eastAsia" w:ascii="Times New Roman" w:hAnsi="Times New Roman" w:eastAsia="宋体" w:cs="Times New Roman"/>
          <w:sz w:val="24"/>
        </w:rPr>
        <w:t>；③</w:t>
      </w:r>
      <w:r>
        <w:rPr>
          <w:rFonts w:hint="default" w:ascii="Times New Roman" w:hAnsi="Times New Roman" w:eastAsia="宋体" w:cs="Times New Roman"/>
          <w:sz w:val="24"/>
        </w:rPr>
        <w:t>工人还应做好个人防护工作，</w:t>
      </w:r>
      <w:r>
        <w:rPr>
          <w:rFonts w:hint="eastAsia" w:ascii="Times New Roman" w:hAnsi="Times New Roman" w:eastAsia="宋体" w:cs="Times New Roman"/>
          <w:sz w:val="24"/>
        </w:rPr>
        <w:t>对病死</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rPr>
        <w:t>及时处理、消毒，预防病菌的传播</w:t>
      </w:r>
      <w:r>
        <w:rPr>
          <w:rFonts w:hint="default" w:ascii="Times New Roman" w:hAnsi="Times New Roman" w:eastAsia="宋体" w:cs="Times New Roman"/>
          <w:sz w:val="24"/>
        </w:rPr>
        <w:t>。</w:t>
      </w:r>
    </w:p>
    <w:p w14:paraId="7201AD98">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w:t>
      </w:r>
      <w:r>
        <w:rPr>
          <w:rFonts w:hint="default" w:ascii="Times New Roman" w:hAnsi="Times New Roman" w:eastAsia="宋体" w:cs="Times New Roman"/>
          <w:sz w:val="24"/>
        </w:rPr>
        <w:t>7）做好</w:t>
      </w:r>
      <w:r>
        <w:rPr>
          <w:rFonts w:hint="eastAsia" w:ascii="Times New Roman" w:hAnsi="Times New Roman" w:eastAsia="宋体" w:cs="Times New Roman"/>
          <w:sz w:val="24"/>
          <w:lang w:eastAsia="zh-CN"/>
        </w:rPr>
        <w:t>绿化</w:t>
      </w:r>
      <w:r>
        <w:rPr>
          <w:rFonts w:hint="default" w:ascii="Times New Roman" w:hAnsi="Times New Roman" w:eastAsia="宋体" w:cs="Times New Roman"/>
          <w:sz w:val="24"/>
        </w:rPr>
        <w:t>建设和维护工作。绿色植物不仅能涵养</w:t>
      </w:r>
      <w:r>
        <w:rPr>
          <w:rFonts w:hint="eastAsia" w:ascii="Times New Roman" w:hAnsi="Times New Roman" w:eastAsia="宋体" w:cs="Times New Roman"/>
          <w:sz w:val="24"/>
          <w:lang w:val="en-US" w:eastAsia="zh-CN"/>
        </w:rPr>
        <w:t>水分</w:t>
      </w:r>
      <w:r>
        <w:rPr>
          <w:rFonts w:hint="default" w:ascii="Times New Roman" w:hAnsi="Times New Roman" w:eastAsia="宋体" w:cs="Times New Roman"/>
          <w:sz w:val="24"/>
        </w:rPr>
        <w:t>，保持水土，而且能挡尘降噪</w:t>
      </w:r>
      <w:r>
        <w:rPr>
          <w:rFonts w:hint="eastAsia" w:ascii="Times New Roman" w:hAnsi="Times New Roman" w:eastAsia="宋体" w:cs="Times New Roman"/>
          <w:sz w:val="24"/>
        </w:rPr>
        <w:t>净化空气</w:t>
      </w:r>
      <w:r>
        <w:rPr>
          <w:rFonts w:hint="default" w:ascii="Times New Roman" w:hAnsi="Times New Roman" w:eastAsia="宋体" w:cs="Times New Roman"/>
          <w:sz w:val="24"/>
        </w:rPr>
        <w:t>，调节小气候，有利于改善生态环境。</w:t>
      </w:r>
    </w:p>
    <w:p w14:paraId="48BEACB7">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w:t>
      </w:r>
      <w:r>
        <w:rPr>
          <w:rFonts w:hint="default" w:ascii="Times New Roman" w:hAnsi="Times New Roman" w:eastAsia="宋体" w:cs="Times New Roman"/>
          <w:sz w:val="24"/>
        </w:rPr>
        <w:t>8）接受环保主管部门的监督检查。主要内容有：污染物排放情况、环保设施运行管理情况、环境监测及污染物监测情况、环境事故的调查和有关记录、污染源建档记录等。</w:t>
      </w:r>
    </w:p>
    <w:p w14:paraId="289878EA">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bookmarkStart w:id="781" w:name="_Toc25403"/>
      <w:bookmarkStart w:id="782" w:name="_Toc6589"/>
      <w:r>
        <w:rPr>
          <w:rFonts w:hint="eastAsia" w:ascii="Times New Roman" w:hAnsi="Times New Roman" w:eastAsia="宋体" w:cs="Times New Roman"/>
          <w:b/>
          <w:bCs/>
          <w:snapToGrid w:val="0"/>
          <w:kern w:val="2"/>
          <w:sz w:val="28"/>
          <w:szCs w:val="28"/>
          <w:lang w:val="en-US" w:eastAsia="zh-CN" w:bidi="ar-SA"/>
        </w:rPr>
        <w:t>9.1.4职业卫生管理</w:t>
      </w:r>
      <w:bookmarkEnd w:id="781"/>
      <w:bookmarkEnd w:id="782"/>
    </w:p>
    <w:p w14:paraId="06271FE9">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督促有关工段及时清理废弃的渣料等，以免大风天气时形成扬尘，造成二次污染，影响周围环境。</w:t>
      </w:r>
    </w:p>
    <w:p w14:paraId="26CFB3E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保持工场的通风、整洁和宽</w:t>
      </w:r>
      <w:r>
        <w:rPr>
          <w:rFonts w:hint="eastAsia" w:ascii="Times New Roman" w:hAnsi="Times New Roman" w:eastAsia="宋体" w:cs="Times New Roman"/>
          <w:sz w:val="24"/>
          <w:lang w:eastAsia="zh-CN"/>
        </w:rPr>
        <w:t>敞</w:t>
      </w:r>
      <w:r>
        <w:rPr>
          <w:rFonts w:hint="eastAsia" w:ascii="Times New Roman" w:hAnsi="Times New Roman" w:eastAsia="宋体" w:cs="Times New Roman"/>
          <w:sz w:val="24"/>
        </w:rPr>
        <w:t>。圈舍内废气净化、除臭装置必须正常运转，工人还应做好个人防护工作，对病死</w:t>
      </w:r>
      <w:r>
        <w:rPr>
          <w:rFonts w:hint="eastAsia" w:ascii="Times New Roman" w:hAnsi="Times New Roman" w:eastAsia="宋体" w:cs="Times New Roman"/>
          <w:sz w:val="24"/>
          <w:lang w:val="en-US" w:eastAsia="zh-CN"/>
        </w:rPr>
        <w:t>牛</w:t>
      </w:r>
      <w:r>
        <w:rPr>
          <w:rFonts w:hint="eastAsia" w:ascii="Times New Roman" w:hAnsi="Times New Roman" w:eastAsia="宋体" w:cs="Times New Roman"/>
          <w:sz w:val="24"/>
        </w:rPr>
        <w:t>及时处理、消毒，预防病菌的传播。</w:t>
      </w:r>
    </w:p>
    <w:p w14:paraId="58556E8A">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bookmarkStart w:id="783" w:name="_Toc7715"/>
      <w:bookmarkStart w:id="784" w:name="_Toc5599"/>
      <w:r>
        <w:rPr>
          <w:rFonts w:hint="eastAsia" w:ascii="Times New Roman" w:hAnsi="Times New Roman" w:eastAsia="宋体" w:cs="Times New Roman"/>
          <w:b/>
          <w:bCs/>
          <w:snapToGrid w:val="0"/>
          <w:kern w:val="2"/>
          <w:sz w:val="28"/>
          <w:szCs w:val="28"/>
          <w:lang w:val="en-US" w:eastAsia="zh-CN" w:bidi="ar-SA"/>
        </w:rPr>
        <w:t>9.1.5排污口管理</w:t>
      </w:r>
      <w:bookmarkEnd w:id="783"/>
      <w:bookmarkEnd w:id="784"/>
    </w:p>
    <w:p w14:paraId="08802549">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排污口规范化管理体制是污染物排放</w:t>
      </w:r>
      <w:r>
        <w:rPr>
          <w:rFonts w:hint="eastAsia" w:ascii="Times New Roman" w:hAnsi="Times New Roman" w:eastAsia="宋体" w:cs="Times New Roman"/>
          <w:sz w:val="24"/>
          <w:lang w:eastAsia="zh-CN"/>
        </w:rPr>
        <w:t>中</w:t>
      </w:r>
      <w:r>
        <w:rPr>
          <w:rFonts w:hint="eastAsia" w:ascii="Times New Roman" w:hAnsi="Times New Roman" w:eastAsia="宋体" w:cs="Times New Roman"/>
          <w:sz w:val="24"/>
        </w:rPr>
        <w:t>的基础性工作之一，也是不可缺少的一部分内容。此项工作可强化污染源现场监督检查，促进排污单位加强管理和污染源治理，实现主要污染物排放的科学化、定量化管理。同时进行排污口规范化管理。</w:t>
      </w:r>
    </w:p>
    <w:p w14:paraId="4824EC7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rPr>
      </w:pPr>
      <w:r>
        <w:rPr>
          <w:rFonts w:hint="eastAsia" w:ascii="Times New Roman" w:hAnsi="Times New Roman" w:eastAsia="宋体" w:cs="Times New Roman"/>
          <w:sz w:val="24"/>
        </w:rPr>
        <w:t>根据原国家环境保护总局《关于开展排放口规范化整治工作的通知》（环发</w:t>
      </w:r>
      <w:r>
        <w:rPr>
          <w:rFonts w:hint="eastAsia" w:ascii="Times New Roman" w:hAnsi="Times New Roman" w:eastAsia="宋体" w:cs="Times New Roman"/>
          <w:sz w:val="24"/>
          <w:lang w:eastAsia="zh-CN"/>
        </w:rPr>
        <w:t>〔1999〕4号</w:t>
      </w:r>
      <w:r>
        <w:rPr>
          <w:rFonts w:hint="eastAsia" w:ascii="Times New Roman" w:hAnsi="Times New Roman" w:eastAsia="宋体" w:cs="Times New Roman"/>
          <w:sz w:val="24"/>
        </w:rPr>
        <w:t>）的要求，企业污染源排放口规范化建设应严格按照国家、</w:t>
      </w:r>
      <w:r>
        <w:rPr>
          <w:rFonts w:hint="eastAsia" w:ascii="Times New Roman" w:hAnsi="Times New Roman" w:eastAsia="宋体" w:cs="Times New Roman"/>
          <w:sz w:val="24"/>
          <w:lang w:val="en-US" w:eastAsia="zh-CN"/>
        </w:rPr>
        <w:t>自治区生态环境</w:t>
      </w:r>
      <w:r>
        <w:rPr>
          <w:rFonts w:hint="eastAsia" w:ascii="Times New Roman" w:hAnsi="Times New Roman" w:eastAsia="宋体" w:cs="Times New Roman"/>
          <w:sz w:val="24"/>
        </w:rPr>
        <w:t>部门的规定和要求，切实满足监测和监管的需要。</w:t>
      </w:r>
    </w:p>
    <w:p w14:paraId="6030018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因此，该项目的各类排污口必须规范化设置。规范化工作应该与污染治理同步实施，即污染治理设施完工时，规范化工作必须同时完成，并列入污染治理设施的竣工验收。</w:t>
      </w:r>
    </w:p>
    <w:p w14:paraId="404140B9">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rPr>
      </w:pPr>
      <w:r>
        <w:rPr>
          <w:rFonts w:hint="eastAsia" w:ascii="Times New Roman" w:hAnsi="Times New Roman" w:eastAsia="宋体" w:cs="Times New Roman"/>
          <w:sz w:val="24"/>
        </w:rPr>
        <w:t>本项目按《排污口规范化整治技术要求（试行）》（</w:t>
      </w:r>
      <w:r>
        <w:rPr>
          <w:rFonts w:hint="default" w:ascii="Times New Roman" w:hAnsi="Times New Roman" w:eastAsia="宋体" w:cs="Times New Roman"/>
          <w:sz w:val="24"/>
        </w:rPr>
        <w:t>环监</w:t>
      </w:r>
      <w:r>
        <w:rPr>
          <w:rFonts w:hint="eastAsia" w:ascii="Times New Roman" w:hAnsi="Times New Roman" w:eastAsia="宋体" w:cs="Times New Roman"/>
          <w:sz w:val="24"/>
          <w:lang w:eastAsia="zh-CN"/>
        </w:rPr>
        <w:t>〔1996〕470号</w:t>
      </w:r>
      <w:r>
        <w:rPr>
          <w:rFonts w:hint="eastAsia" w:ascii="Times New Roman" w:hAnsi="Times New Roman" w:eastAsia="宋体" w:cs="Times New Roman"/>
          <w:sz w:val="24"/>
        </w:rPr>
        <w:t>）、《环境保护图形标志—排放口（源）》（GB15562.1-1995）</w:t>
      </w:r>
      <w:r>
        <w:rPr>
          <w:rFonts w:hint="eastAsia" w:ascii="Times New Roman" w:hAnsi="Times New Roman" w:eastAsia="宋体" w:cs="Times New Roman"/>
          <w:sz w:val="24"/>
          <w:lang w:eastAsia="zh-CN"/>
        </w:rPr>
        <w:t>、《医疗废物集中处置技术规范（试行）》（环发〔2003〕206号）</w:t>
      </w:r>
      <w:r>
        <w:rPr>
          <w:rFonts w:hint="eastAsia" w:ascii="Times New Roman" w:hAnsi="Times New Roman" w:eastAsia="宋体" w:cs="Times New Roman"/>
          <w:sz w:val="24"/>
          <w:lang w:val="en-US" w:eastAsia="zh-CN"/>
        </w:rPr>
        <w:t>以及《地下水环境监测技术规范》（HJ 164-2020）</w:t>
      </w:r>
      <w:r>
        <w:rPr>
          <w:rFonts w:hint="eastAsia" w:ascii="Times New Roman" w:hAnsi="Times New Roman" w:eastAsia="宋体" w:cs="Times New Roman"/>
          <w:sz w:val="24"/>
        </w:rPr>
        <w:t>等规范文件要求的图形，在各气、水、固废排污口（源）挂牌标识，做到各排污口（源）的环保标志明显，便于企业管理和公众监督。环境保护图形标志具体设置图形见图</w:t>
      </w:r>
      <w:r>
        <w:rPr>
          <w:rFonts w:hint="eastAsia" w:ascii="Times New Roman" w:hAnsi="Times New Roman" w:eastAsia="宋体" w:cs="Times New Roman"/>
          <w:sz w:val="24"/>
          <w:lang w:val="en-US" w:eastAsia="zh-CN"/>
        </w:rPr>
        <w:t>9</w:t>
      </w:r>
      <w:r>
        <w:rPr>
          <w:rFonts w:hint="eastAsia" w:ascii="Times New Roman" w:hAnsi="Times New Roman" w:eastAsia="宋体" w:cs="Times New Roman"/>
          <w:sz w:val="24"/>
        </w:rPr>
        <w:t>.1-1。</w:t>
      </w:r>
    </w:p>
    <w:p w14:paraId="0612B303">
      <w:pPr>
        <w:spacing w:line="360" w:lineRule="auto"/>
        <w:ind w:firstLine="480"/>
        <w:jc w:val="center"/>
        <w:rPr>
          <w:rFonts w:hint="default" w:ascii="Times New Roman" w:hAnsi="Times New Roman" w:eastAsia="宋体" w:cs="Times New Roman"/>
          <w:b/>
          <w:kern w:val="2"/>
          <w:sz w:val="24"/>
          <w:szCs w:val="24"/>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66EEB98F">
      <w:pPr>
        <w:spacing w:line="360" w:lineRule="auto"/>
        <w:ind w:firstLine="480"/>
        <w:jc w:val="center"/>
        <w:rPr>
          <w:rFonts w:hint="default" w:ascii="Times New Roman" w:hAnsi="Times New Roman" w:eastAsia="宋体" w:cs="Times New Roman"/>
          <w:kern w:val="2"/>
          <w:sz w:val="21"/>
          <w:szCs w:val="24"/>
        </w:rPr>
      </w:pPr>
      <w:r>
        <w:rPr>
          <w:rFonts w:hint="default" w:ascii="Times New Roman" w:hAnsi="Times New Roman" w:eastAsia="宋体" w:cs="Times New Roman"/>
          <w:b/>
          <w:kern w:val="2"/>
          <w:sz w:val="24"/>
          <w:szCs w:val="24"/>
        </w:rPr>
        <w:t>图</w:t>
      </w:r>
      <w:r>
        <w:rPr>
          <w:rFonts w:hint="eastAsia" w:ascii="Times New Roman" w:hAnsi="Times New Roman" w:eastAsia="宋体" w:cs="Times New Roman"/>
          <w:b/>
          <w:kern w:val="2"/>
          <w:sz w:val="24"/>
          <w:szCs w:val="24"/>
          <w:lang w:val="en-US" w:eastAsia="zh-CN"/>
        </w:rPr>
        <w:t>9</w:t>
      </w:r>
      <w:r>
        <w:rPr>
          <w:rFonts w:hint="default" w:ascii="Times New Roman" w:hAnsi="Times New Roman" w:eastAsia="宋体" w:cs="Times New Roman"/>
          <w:b/>
          <w:kern w:val="2"/>
          <w:sz w:val="24"/>
          <w:szCs w:val="24"/>
          <w:lang w:val="en-US" w:eastAsia="zh-CN"/>
        </w:rPr>
        <w:t>.1-1</w:t>
      </w:r>
      <w:r>
        <w:rPr>
          <w:rFonts w:hint="default" w:ascii="Times New Roman" w:hAnsi="Times New Roman" w:eastAsia="宋体" w:cs="Times New Roman"/>
          <w:b/>
          <w:kern w:val="2"/>
          <w:sz w:val="24"/>
          <w:szCs w:val="24"/>
        </w:rPr>
        <w:t>环境保护图形标志设置图形表</w:t>
      </w:r>
    </w:p>
    <w:tbl>
      <w:tblPr>
        <w:tblStyle w:val="20"/>
        <w:tblW w:w="14173"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18"/>
        <w:gridCol w:w="1637"/>
        <w:gridCol w:w="1623"/>
        <w:gridCol w:w="1623"/>
        <w:gridCol w:w="1474"/>
        <w:gridCol w:w="1623"/>
        <w:gridCol w:w="1625"/>
        <w:gridCol w:w="1625"/>
        <w:gridCol w:w="1625"/>
      </w:tblGrid>
      <w:tr w14:paraId="56EC88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18" w:type="dxa"/>
            <w:tcBorders>
              <w:left w:val="single" w:color="auto" w:sz="12" w:space="0"/>
            </w:tcBorders>
            <w:noWrap w:val="0"/>
            <w:vAlign w:val="center"/>
          </w:tcPr>
          <w:p w14:paraId="7293C381">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default" w:ascii="Times New Roman" w:hAnsi="Times New Roman" w:eastAsia="宋体" w:cs="Times New Roman"/>
                <w:b/>
                <w:bCs w:val="0"/>
                <w:kern w:val="2"/>
                <w:sz w:val="21"/>
                <w:szCs w:val="21"/>
                <w:lang w:val="en-US" w:eastAsia="zh-CN" w:bidi="ar-SA"/>
              </w:rPr>
              <w:t>排放口</w:t>
            </w:r>
          </w:p>
        </w:tc>
        <w:tc>
          <w:tcPr>
            <w:tcW w:w="1637" w:type="dxa"/>
            <w:noWrap w:val="0"/>
            <w:vAlign w:val="center"/>
          </w:tcPr>
          <w:p w14:paraId="618739D1">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default" w:ascii="Times New Roman" w:hAnsi="Times New Roman" w:eastAsia="宋体" w:cs="Times New Roman"/>
                <w:b/>
                <w:bCs w:val="0"/>
                <w:kern w:val="2"/>
                <w:sz w:val="21"/>
                <w:szCs w:val="21"/>
                <w:lang w:val="en-US" w:eastAsia="zh-CN" w:bidi="ar-SA"/>
              </w:rPr>
              <w:t>废水排口</w:t>
            </w:r>
          </w:p>
        </w:tc>
        <w:tc>
          <w:tcPr>
            <w:tcW w:w="1623" w:type="dxa"/>
            <w:noWrap w:val="0"/>
            <w:vAlign w:val="center"/>
          </w:tcPr>
          <w:p w14:paraId="3B503BCF">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default" w:ascii="Times New Roman" w:hAnsi="Times New Roman" w:eastAsia="宋体" w:cs="Times New Roman"/>
                <w:b/>
                <w:bCs w:val="0"/>
                <w:kern w:val="2"/>
                <w:sz w:val="21"/>
                <w:szCs w:val="21"/>
                <w:lang w:val="en-US" w:eastAsia="zh-CN" w:bidi="ar-SA"/>
              </w:rPr>
              <w:t>废气排口</w:t>
            </w:r>
          </w:p>
        </w:tc>
        <w:tc>
          <w:tcPr>
            <w:tcW w:w="1623" w:type="dxa"/>
            <w:noWrap w:val="0"/>
            <w:vAlign w:val="center"/>
          </w:tcPr>
          <w:p w14:paraId="6E38DA04">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default" w:ascii="Times New Roman" w:hAnsi="Times New Roman" w:eastAsia="宋体" w:cs="Times New Roman"/>
                <w:b/>
                <w:bCs w:val="0"/>
                <w:kern w:val="2"/>
                <w:sz w:val="21"/>
                <w:szCs w:val="21"/>
                <w:lang w:val="en-US" w:eastAsia="zh-CN" w:bidi="ar-SA"/>
              </w:rPr>
              <w:t>固废堆场</w:t>
            </w:r>
          </w:p>
        </w:tc>
        <w:tc>
          <w:tcPr>
            <w:tcW w:w="1474" w:type="dxa"/>
            <w:tcBorders>
              <w:right w:val="single" w:color="auto" w:sz="4" w:space="0"/>
            </w:tcBorders>
            <w:noWrap w:val="0"/>
            <w:vAlign w:val="center"/>
          </w:tcPr>
          <w:p w14:paraId="3924D1E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default" w:ascii="Times New Roman" w:hAnsi="Times New Roman" w:eastAsia="宋体" w:cs="Times New Roman"/>
                <w:b/>
                <w:bCs w:val="0"/>
                <w:kern w:val="2"/>
                <w:sz w:val="21"/>
                <w:szCs w:val="21"/>
                <w:lang w:val="en-US" w:eastAsia="zh-CN" w:bidi="ar-SA"/>
              </w:rPr>
              <w:t>噪声源</w:t>
            </w:r>
          </w:p>
        </w:tc>
        <w:tc>
          <w:tcPr>
            <w:tcW w:w="1623" w:type="dxa"/>
            <w:tcBorders>
              <w:left w:val="single" w:color="auto" w:sz="4" w:space="0"/>
              <w:right w:val="single" w:color="auto" w:sz="12" w:space="0"/>
            </w:tcBorders>
            <w:noWrap w:val="0"/>
            <w:vAlign w:val="center"/>
          </w:tcPr>
          <w:p w14:paraId="023C1B1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危险废物</w:t>
            </w:r>
          </w:p>
        </w:tc>
        <w:tc>
          <w:tcPr>
            <w:tcW w:w="1625" w:type="dxa"/>
            <w:tcBorders>
              <w:left w:val="single" w:color="auto" w:sz="4" w:space="0"/>
              <w:right w:val="single" w:color="auto" w:sz="12" w:space="0"/>
            </w:tcBorders>
            <w:shd w:val="clear" w:color="auto" w:fill="auto"/>
            <w:noWrap w:val="0"/>
            <w:vAlign w:val="center"/>
          </w:tcPr>
          <w:p w14:paraId="39F1CE3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rightChars="0"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default" w:ascii="Times New Roman" w:hAnsi="Times New Roman" w:eastAsia="宋体" w:cs="Times New Roman"/>
                <w:b/>
                <w:bCs w:val="0"/>
                <w:kern w:val="2"/>
                <w:sz w:val="21"/>
                <w:szCs w:val="21"/>
                <w:lang w:val="en-US" w:eastAsia="zh-CN" w:bidi="ar-SA"/>
              </w:rPr>
              <w:t>医疗废物</w:t>
            </w:r>
          </w:p>
        </w:tc>
        <w:tc>
          <w:tcPr>
            <w:tcW w:w="1625" w:type="dxa"/>
            <w:tcBorders>
              <w:left w:val="single" w:color="auto" w:sz="4" w:space="0"/>
              <w:right w:val="single" w:color="auto" w:sz="12" w:space="0"/>
            </w:tcBorders>
            <w:shd w:val="clear" w:color="auto" w:fill="auto"/>
            <w:noWrap w:val="0"/>
            <w:vAlign w:val="center"/>
          </w:tcPr>
          <w:p w14:paraId="26CC2DF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rightChars="0" w:firstLine="0" w:firstLineChars="0"/>
              <w:jc w:val="center"/>
              <w:textAlignment w:val="auto"/>
              <w:rPr>
                <w:rFonts w:hint="default"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医疗废物</w:t>
            </w:r>
          </w:p>
        </w:tc>
        <w:tc>
          <w:tcPr>
            <w:tcW w:w="1625" w:type="dxa"/>
            <w:tcBorders>
              <w:left w:val="single" w:color="auto" w:sz="4" w:space="0"/>
              <w:right w:val="single" w:color="auto" w:sz="12" w:space="0"/>
            </w:tcBorders>
            <w:noWrap w:val="0"/>
            <w:vAlign w:val="center"/>
          </w:tcPr>
          <w:p w14:paraId="0A9777B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rightChars="0" w:firstLine="0" w:firstLineChars="0"/>
              <w:jc w:val="center"/>
              <w:textAlignment w:val="auto"/>
              <w:rPr>
                <w:rFonts w:hint="eastAsia" w:ascii="Times New Roman" w:hAnsi="Times New Roman" w:eastAsia="宋体" w:cs="Times New Roman"/>
                <w:b/>
                <w:bCs w:val="0"/>
                <w:kern w:val="2"/>
                <w:sz w:val="21"/>
                <w:szCs w:val="21"/>
                <w:lang w:val="en-US" w:eastAsia="zh-CN" w:bidi="ar-SA"/>
              </w:rPr>
            </w:pPr>
            <w:r>
              <w:rPr>
                <w:rFonts w:hint="eastAsia" w:ascii="Times New Roman" w:hAnsi="Times New Roman" w:eastAsia="宋体" w:cs="Times New Roman"/>
                <w:b/>
                <w:bCs w:val="0"/>
                <w:kern w:val="2"/>
                <w:sz w:val="21"/>
                <w:szCs w:val="21"/>
                <w:lang w:val="en-US" w:eastAsia="zh-CN" w:bidi="ar-SA"/>
              </w:rPr>
              <w:t>地下水监测井</w:t>
            </w:r>
          </w:p>
        </w:tc>
      </w:tr>
      <w:tr w14:paraId="2E712B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46" w:hRule="atLeast"/>
          <w:jc w:val="center"/>
        </w:trPr>
        <w:tc>
          <w:tcPr>
            <w:tcW w:w="1318" w:type="dxa"/>
            <w:tcBorders>
              <w:left w:val="single" w:color="auto" w:sz="12" w:space="0"/>
            </w:tcBorders>
            <w:noWrap w:val="0"/>
            <w:vAlign w:val="center"/>
          </w:tcPr>
          <w:p w14:paraId="0F172C58">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图形符号</w:t>
            </w:r>
          </w:p>
        </w:tc>
        <w:tc>
          <w:tcPr>
            <w:tcW w:w="1637" w:type="dxa"/>
            <w:noWrap w:val="0"/>
            <w:vAlign w:val="center"/>
          </w:tcPr>
          <w:p w14:paraId="44C268B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drawing>
                <wp:anchor distT="0" distB="0" distL="114300" distR="114300" simplePos="0" relativeHeight="251669504" behindDoc="0" locked="0" layoutInCell="1" allowOverlap="1">
                  <wp:simplePos x="0" y="0"/>
                  <wp:positionH relativeFrom="column">
                    <wp:posOffset>40640</wp:posOffset>
                  </wp:positionH>
                  <wp:positionV relativeFrom="paragraph">
                    <wp:posOffset>47625</wp:posOffset>
                  </wp:positionV>
                  <wp:extent cx="817245" cy="817245"/>
                  <wp:effectExtent l="0" t="0" r="1905" b="1905"/>
                  <wp:wrapNone/>
                  <wp:docPr id="427" name="图片 10"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10" descr="点击看大图及详细资料"/>
                          <pic:cNvPicPr>
                            <a:picLocks noChangeAspect="1"/>
                          </pic:cNvPicPr>
                        </pic:nvPicPr>
                        <pic:blipFill>
                          <a:blip r:embed="rId68"/>
                          <a:stretch>
                            <a:fillRect/>
                          </a:stretch>
                        </pic:blipFill>
                        <pic:spPr>
                          <a:xfrm>
                            <a:off x="0" y="0"/>
                            <a:ext cx="817245" cy="817245"/>
                          </a:xfrm>
                          <a:prstGeom prst="rect">
                            <a:avLst/>
                          </a:prstGeom>
                          <a:noFill/>
                          <a:ln>
                            <a:noFill/>
                          </a:ln>
                        </pic:spPr>
                      </pic:pic>
                    </a:graphicData>
                  </a:graphic>
                </wp:anchor>
              </w:drawing>
            </w:r>
          </w:p>
        </w:tc>
        <w:tc>
          <w:tcPr>
            <w:tcW w:w="1623" w:type="dxa"/>
            <w:noWrap w:val="0"/>
            <w:vAlign w:val="center"/>
          </w:tcPr>
          <w:p w14:paraId="4C424568">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drawing>
                <wp:anchor distT="0" distB="0" distL="114935" distR="114935" simplePos="0" relativeHeight="251670528" behindDoc="0" locked="0" layoutInCell="1" allowOverlap="1">
                  <wp:simplePos x="0" y="0"/>
                  <wp:positionH relativeFrom="column">
                    <wp:posOffset>60325</wp:posOffset>
                  </wp:positionH>
                  <wp:positionV relativeFrom="paragraph">
                    <wp:posOffset>57150</wp:posOffset>
                  </wp:positionV>
                  <wp:extent cx="817245" cy="817245"/>
                  <wp:effectExtent l="0" t="0" r="1905" b="1905"/>
                  <wp:wrapNone/>
                  <wp:docPr id="22" name="图片 11"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descr="点击看大图及详细资料"/>
                          <pic:cNvPicPr>
                            <a:picLocks noChangeAspect="1"/>
                          </pic:cNvPicPr>
                        </pic:nvPicPr>
                        <pic:blipFill>
                          <a:blip r:embed="rId69"/>
                          <a:stretch>
                            <a:fillRect/>
                          </a:stretch>
                        </pic:blipFill>
                        <pic:spPr>
                          <a:xfrm>
                            <a:off x="0" y="0"/>
                            <a:ext cx="817245" cy="817245"/>
                          </a:xfrm>
                          <a:prstGeom prst="rect">
                            <a:avLst/>
                          </a:prstGeom>
                          <a:noFill/>
                          <a:ln>
                            <a:noFill/>
                          </a:ln>
                        </pic:spPr>
                      </pic:pic>
                    </a:graphicData>
                  </a:graphic>
                </wp:anchor>
              </w:drawing>
            </w:r>
          </w:p>
        </w:tc>
        <w:tc>
          <w:tcPr>
            <w:tcW w:w="1623" w:type="dxa"/>
            <w:noWrap w:val="0"/>
            <w:vAlign w:val="center"/>
          </w:tcPr>
          <w:p w14:paraId="4D46705A">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drawing>
                <wp:anchor distT="0" distB="0" distL="114935" distR="114935" simplePos="0" relativeHeight="251671552" behindDoc="0" locked="0" layoutInCell="1" allowOverlap="1">
                  <wp:simplePos x="0" y="0"/>
                  <wp:positionH relativeFrom="column">
                    <wp:posOffset>57150</wp:posOffset>
                  </wp:positionH>
                  <wp:positionV relativeFrom="paragraph">
                    <wp:posOffset>47625</wp:posOffset>
                  </wp:positionV>
                  <wp:extent cx="824865" cy="817245"/>
                  <wp:effectExtent l="0" t="0" r="13335" b="1905"/>
                  <wp:wrapNone/>
                  <wp:docPr id="26" name="图片 12"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descr="点击看大图及详细资料"/>
                          <pic:cNvPicPr>
                            <a:picLocks noChangeAspect="1"/>
                          </pic:cNvPicPr>
                        </pic:nvPicPr>
                        <pic:blipFill>
                          <a:blip r:embed="rId70"/>
                          <a:stretch>
                            <a:fillRect/>
                          </a:stretch>
                        </pic:blipFill>
                        <pic:spPr>
                          <a:xfrm>
                            <a:off x="0" y="0"/>
                            <a:ext cx="824865" cy="817245"/>
                          </a:xfrm>
                          <a:prstGeom prst="rect">
                            <a:avLst/>
                          </a:prstGeom>
                          <a:noFill/>
                          <a:ln>
                            <a:noFill/>
                          </a:ln>
                        </pic:spPr>
                      </pic:pic>
                    </a:graphicData>
                  </a:graphic>
                </wp:anchor>
              </w:drawing>
            </w:r>
          </w:p>
        </w:tc>
        <w:tc>
          <w:tcPr>
            <w:tcW w:w="1474" w:type="dxa"/>
            <w:tcBorders>
              <w:right w:val="single" w:color="auto" w:sz="4" w:space="0"/>
            </w:tcBorders>
            <w:noWrap w:val="0"/>
            <w:vAlign w:val="center"/>
          </w:tcPr>
          <w:p w14:paraId="06CFDC7A">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drawing>
                <wp:anchor distT="0" distB="0" distL="114935" distR="114935" simplePos="0" relativeHeight="251672576" behindDoc="0" locked="0" layoutInCell="1" allowOverlap="1">
                  <wp:simplePos x="0" y="0"/>
                  <wp:positionH relativeFrom="column">
                    <wp:posOffset>10160</wp:posOffset>
                  </wp:positionH>
                  <wp:positionV relativeFrom="paragraph">
                    <wp:posOffset>57150</wp:posOffset>
                  </wp:positionV>
                  <wp:extent cx="817245" cy="817245"/>
                  <wp:effectExtent l="0" t="0" r="1905" b="1905"/>
                  <wp:wrapNone/>
                  <wp:docPr id="27" name="图片 13"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descr="点击看大图及详细资料"/>
                          <pic:cNvPicPr>
                            <a:picLocks noChangeAspect="1"/>
                          </pic:cNvPicPr>
                        </pic:nvPicPr>
                        <pic:blipFill>
                          <a:blip r:embed="rId71"/>
                          <a:stretch>
                            <a:fillRect/>
                          </a:stretch>
                        </pic:blipFill>
                        <pic:spPr>
                          <a:xfrm>
                            <a:off x="0" y="0"/>
                            <a:ext cx="817245" cy="817245"/>
                          </a:xfrm>
                          <a:prstGeom prst="rect">
                            <a:avLst/>
                          </a:prstGeom>
                          <a:noFill/>
                          <a:ln>
                            <a:noFill/>
                          </a:ln>
                        </pic:spPr>
                      </pic:pic>
                    </a:graphicData>
                  </a:graphic>
                </wp:anchor>
              </w:drawing>
            </w:r>
          </w:p>
        </w:tc>
        <w:tc>
          <w:tcPr>
            <w:tcW w:w="1623" w:type="dxa"/>
            <w:tcBorders>
              <w:left w:val="single" w:color="auto" w:sz="4" w:space="0"/>
              <w:right w:val="single" w:color="auto" w:sz="12" w:space="0"/>
            </w:tcBorders>
            <w:noWrap w:val="0"/>
            <w:vAlign w:val="center"/>
          </w:tcPr>
          <w:p w14:paraId="227C287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 w:val="0"/>
                <w:bCs w:val="0"/>
                <w:color w:val="000000"/>
                <w:kern w:val="2"/>
                <w:sz w:val="21"/>
                <w:szCs w:val="21"/>
                <w:highlight w:val="none"/>
                <w:lang w:eastAsia="zh-CN"/>
              </w:rPr>
              <w:drawing>
                <wp:anchor distT="0" distB="0" distL="114300" distR="114300" simplePos="0" relativeHeight="251674624" behindDoc="0" locked="0" layoutInCell="1" allowOverlap="1">
                  <wp:simplePos x="0" y="0"/>
                  <wp:positionH relativeFrom="column">
                    <wp:posOffset>139700</wp:posOffset>
                  </wp:positionH>
                  <wp:positionV relativeFrom="paragraph">
                    <wp:posOffset>115570</wp:posOffset>
                  </wp:positionV>
                  <wp:extent cx="657225" cy="1034415"/>
                  <wp:effectExtent l="0" t="0" r="9525" b="13335"/>
                  <wp:wrapNone/>
                  <wp:docPr id="428" name="图片 428" descr="ff77c9374d31cdd66bee2b267f285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428" descr="ff77c9374d31cdd66bee2b267f285b4"/>
                          <pic:cNvPicPr>
                            <a:picLocks noChangeAspect="1"/>
                          </pic:cNvPicPr>
                        </pic:nvPicPr>
                        <pic:blipFill>
                          <a:blip r:embed="rId72"/>
                          <a:stretch>
                            <a:fillRect/>
                          </a:stretch>
                        </pic:blipFill>
                        <pic:spPr>
                          <a:xfrm>
                            <a:off x="0" y="0"/>
                            <a:ext cx="657225" cy="1034415"/>
                          </a:xfrm>
                          <a:prstGeom prst="rect">
                            <a:avLst/>
                          </a:prstGeom>
                        </pic:spPr>
                      </pic:pic>
                    </a:graphicData>
                  </a:graphic>
                </wp:anchor>
              </w:drawing>
            </w:r>
          </w:p>
        </w:tc>
        <w:tc>
          <w:tcPr>
            <w:tcW w:w="1625" w:type="dxa"/>
            <w:tcBorders>
              <w:left w:val="single" w:color="auto" w:sz="4" w:space="0"/>
              <w:right w:val="single" w:color="auto" w:sz="12" w:space="0"/>
            </w:tcBorders>
            <w:shd w:val="clear" w:color="auto" w:fill="auto"/>
            <w:noWrap w:val="0"/>
            <w:vAlign w:val="center"/>
          </w:tcPr>
          <w:p w14:paraId="3F2943B7">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rightChars="0"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drawing>
                <wp:anchor distT="0" distB="0" distL="114935" distR="114935" simplePos="0" relativeHeight="251673600" behindDoc="0" locked="0" layoutInCell="1" allowOverlap="1">
                  <wp:simplePos x="0" y="0"/>
                  <wp:positionH relativeFrom="column">
                    <wp:posOffset>-2540</wp:posOffset>
                  </wp:positionH>
                  <wp:positionV relativeFrom="paragraph">
                    <wp:posOffset>86360</wp:posOffset>
                  </wp:positionV>
                  <wp:extent cx="909320" cy="815975"/>
                  <wp:effectExtent l="0" t="0" r="5080" b="3175"/>
                  <wp:wrapNone/>
                  <wp:docPr id="429" name="图片 14" descr="医疗废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14" descr="医疗废物"/>
                          <pic:cNvPicPr>
                            <a:picLocks noChangeAspect="1"/>
                          </pic:cNvPicPr>
                        </pic:nvPicPr>
                        <pic:blipFill>
                          <a:blip r:embed="rId73"/>
                          <a:stretch>
                            <a:fillRect/>
                          </a:stretch>
                        </pic:blipFill>
                        <pic:spPr>
                          <a:xfrm>
                            <a:off x="0" y="0"/>
                            <a:ext cx="909320" cy="815975"/>
                          </a:xfrm>
                          <a:prstGeom prst="rect">
                            <a:avLst/>
                          </a:prstGeom>
                          <a:noFill/>
                          <a:ln>
                            <a:noFill/>
                          </a:ln>
                        </pic:spPr>
                      </pic:pic>
                    </a:graphicData>
                  </a:graphic>
                </wp:anchor>
              </w:drawing>
            </w:r>
          </w:p>
        </w:tc>
        <w:tc>
          <w:tcPr>
            <w:tcW w:w="1625" w:type="dxa"/>
            <w:tcBorders>
              <w:left w:val="single" w:color="auto" w:sz="4" w:space="0"/>
              <w:right w:val="single" w:color="auto" w:sz="12" w:space="0"/>
            </w:tcBorders>
            <w:shd w:val="clear" w:color="auto" w:fill="auto"/>
            <w:noWrap w:val="0"/>
            <w:vAlign w:val="center"/>
          </w:tcPr>
          <w:p w14:paraId="3062301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rightChars="0"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drawing>
                <wp:anchor distT="0" distB="0" distL="114300" distR="114300" simplePos="0" relativeHeight="251675648" behindDoc="0" locked="0" layoutInCell="1" allowOverlap="1">
                  <wp:simplePos x="0" y="0"/>
                  <wp:positionH relativeFrom="column">
                    <wp:posOffset>-60960</wp:posOffset>
                  </wp:positionH>
                  <wp:positionV relativeFrom="paragraph">
                    <wp:posOffset>-151765</wp:posOffset>
                  </wp:positionV>
                  <wp:extent cx="1026795" cy="532765"/>
                  <wp:effectExtent l="0" t="0" r="1905" b="635"/>
                  <wp:wrapNone/>
                  <wp:docPr id="430" name="图片 430" descr="1719229698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430" descr="1719229698962(1)"/>
                          <pic:cNvPicPr>
                            <a:picLocks noChangeAspect="1"/>
                          </pic:cNvPicPr>
                        </pic:nvPicPr>
                        <pic:blipFill>
                          <a:blip r:embed="rId74"/>
                          <a:stretch>
                            <a:fillRect/>
                          </a:stretch>
                        </pic:blipFill>
                        <pic:spPr>
                          <a:xfrm>
                            <a:off x="0" y="0"/>
                            <a:ext cx="1026795" cy="532765"/>
                          </a:xfrm>
                          <a:prstGeom prst="rect">
                            <a:avLst/>
                          </a:prstGeom>
                        </pic:spPr>
                      </pic:pic>
                    </a:graphicData>
                  </a:graphic>
                </wp:anchor>
              </w:drawing>
            </w:r>
          </w:p>
        </w:tc>
        <w:tc>
          <w:tcPr>
            <w:tcW w:w="1625" w:type="dxa"/>
            <w:tcBorders>
              <w:left w:val="single" w:color="auto" w:sz="4" w:space="0"/>
              <w:right w:val="single" w:color="auto" w:sz="12" w:space="0"/>
            </w:tcBorders>
            <w:noWrap w:val="0"/>
            <w:vAlign w:val="center"/>
          </w:tcPr>
          <w:p w14:paraId="4409FFF6">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rightChars="0"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drawing>
                <wp:anchor distT="0" distB="0" distL="114300" distR="114300" simplePos="0" relativeHeight="251676672" behindDoc="0" locked="0" layoutInCell="1" allowOverlap="1">
                  <wp:simplePos x="0" y="0"/>
                  <wp:positionH relativeFrom="column">
                    <wp:posOffset>167005</wp:posOffset>
                  </wp:positionH>
                  <wp:positionV relativeFrom="paragraph">
                    <wp:posOffset>54610</wp:posOffset>
                  </wp:positionV>
                  <wp:extent cx="621030" cy="817245"/>
                  <wp:effectExtent l="0" t="0" r="7620" b="1905"/>
                  <wp:wrapNone/>
                  <wp:docPr id="431" name="图片 431" descr="171922906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431" descr="1719229066847"/>
                          <pic:cNvPicPr>
                            <a:picLocks noChangeAspect="1"/>
                          </pic:cNvPicPr>
                        </pic:nvPicPr>
                        <pic:blipFill>
                          <a:blip r:embed="rId75"/>
                          <a:stretch>
                            <a:fillRect/>
                          </a:stretch>
                        </pic:blipFill>
                        <pic:spPr>
                          <a:xfrm>
                            <a:off x="0" y="0"/>
                            <a:ext cx="621030" cy="817245"/>
                          </a:xfrm>
                          <a:prstGeom prst="rect">
                            <a:avLst/>
                          </a:prstGeom>
                        </pic:spPr>
                      </pic:pic>
                    </a:graphicData>
                  </a:graphic>
                </wp:anchor>
              </w:drawing>
            </w:r>
          </w:p>
        </w:tc>
      </w:tr>
      <w:tr w14:paraId="20E4AE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18" w:type="dxa"/>
            <w:tcBorders>
              <w:left w:val="single" w:color="auto" w:sz="12" w:space="0"/>
            </w:tcBorders>
            <w:noWrap w:val="0"/>
            <w:vAlign w:val="center"/>
          </w:tcPr>
          <w:p w14:paraId="7281D7E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背景颜色</w:t>
            </w:r>
          </w:p>
        </w:tc>
        <w:tc>
          <w:tcPr>
            <w:tcW w:w="12855" w:type="dxa"/>
            <w:gridSpan w:val="8"/>
            <w:tcBorders>
              <w:right w:val="single" w:color="auto" w:sz="12" w:space="0"/>
            </w:tcBorders>
            <w:noWrap w:val="0"/>
            <w:vAlign w:val="center"/>
          </w:tcPr>
          <w:p w14:paraId="01407F28">
            <w:pPr>
              <w:keepNext w:val="0"/>
              <w:keepLines w:val="0"/>
              <w:pageBreakBefore w:val="0"/>
              <w:widowControl w:val="0"/>
              <w:kinsoku/>
              <w:wordWrap/>
              <w:overflowPunct w:val="0"/>
              <w:topLinePunct w:val="0"/>
              <w:autoSpaceDE w:val="0"/>
              <w:autoSpaceDN w:val="0"/>
              <w:bidi w:val="0"/>
              <w:adjustRightInd w:val="0"/>
              <w:snapToGrid w:val="0"/>
              <w:spacing w:line="280" w:lineRule="exact"/>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绿色（</w:t>
            </w:r>
            <w:r>
              <w:rPr>
                <w:rFonts w:hint="eastAsia" w:ascii="Times New Roman" w:hAnsi="Times New Roman" w:eastAsia="宋体" w:cs="Times New Roman"/>
                <w:bCs/>
                <w:kern w:val="2"/>
                <w:sz w:val="21"/>
                <w:szCs w:val="21"/>
                <w:lang w:val="en-US" w:eastAsia="zh-CN" w:bidi="ar-SA"/>
              </w:rPr>
              <w:t>危险废物</w:t>
            </w:r>
            <w:r>
              <w:rPr>
                <w:rFonts w:hint="default" w:ascii="Times New Roman" w:hAnsi="Times New Roman" w:eastAsia="宋体" w:cs="Times New Roman"/>
                <w:bCs/>
                <w:kern w:val="2"/>
                <w:sz w:val="21"/>
                <w:szCs w:val="21"/>
                <w:lang w:val="en-US" w:eastAsia="zh-CN" w:bidi="ar-SA"/>
              </w:rPr>
              <w:t>背景为黄色）</w:t>
            </w:r>
          </w:p>
        </w:tc>
      </w:tr>
      <w:tr w14:paraId="479EBC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318" w:type="dxa"/>
            <w:tcBorders>
              <w:left w:val="single" w:color="auto" w:sz="12" w:space="0"/>
            </w:tcBorders>
            <w:noWrap w:val="0"/>
            <w:vAlign w:val="center"/>
          </w:tcPr>
          <w:p w14:paraId="3381F4B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108"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图形颜色</w:t>
            </w:r>
          </w:p>
        </w:tc>
        <w:tc>
          <w:tcPr>
            <w:tcW w:w="12855" w:type="dxa"/>
            <w:gridSpan w:val="8"/>
            <w:tcBorders>
              <w:right w:val="single" w:color="auto" w:sz="12" w:space="0"/>
            </w:tcBorders>
            <w:noWrap w:val="0"/>
            <w:vAlign w:val="center"/>
          </w:tcPr>
          <w:p w14:paraId="3EBEF1AC">
            <w:pPr>
              <w:keepNext w:val="0"/>
              <w:keepLines w:val="0"/>
              <w:pageBreakBefore w:val="0"/>
              <w:kinsoku/>
              <w:wordWrap/>
              <w:topLinePunct w:val="0"/>
              <w:bidi w:val="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白色（</w:t>
            </w:r>
            <w:r>
              <w:rPr>
                <w:rFonts w:hint="eastAsia" w:ascii="Times New Roman" w:hAnsi="Times New Roman" w:eastAsia="宋体" w:cs="Times New Roman"/>
                <w:bCs/>
                <w:kern w:val="2"/>
                <w:sz w:val="21"/>
                <w:szCs w:val="21"/>
                <w:lang w:val="en-US" w:eastAsia="zh-CN" w:bidi="ar-SA"/>
              </w:rPr>
              <w:t>危险废物</w:t>
            </w:r>
            <w:r>
              <w:rPr>
                <w:rFonts w:hint="default" w:ascii="Times New Roman" w:hAnsi="Times New Roman" w:eastAsia="宋体" w:cs="Times New Roman"/>
                <w:bCs/>
                <w:kern w:val="2"/>
                <w:sz w:val="21"/>
                <w:szCs w:val="21"/>
                <w:lang w:val="en-US" w:eastAsia="zh-CN" w:bidi="ar-SA"/>
              </w:rPr>
              <w:t>图形为黑色）</w:t>
            </w:r>
          </w:p>
        </w:tc>
      </w:tr>
    </w:tbl>
    <w:p w14:paraId="0A4334A4">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另外，本项目各排口上应注明主要排放污染物的名称，建设单位应在排气筒预留监测孔，以便于</w:t>
      </w:r>
      <w:r>
        <w:rPr>
          <w:rFonts w:hint="eastAsia" w:ascii="Times New Roman" w:hAnsi="Times New Roman" w:eastAsia="宋体" w:cs="Times New Roman"/>
          <w:sz w:val="24"/>
          <w:lang w:eastAsia="zh-CN"/>
        </w:rPr>
        <w:t>验收</w:t>
      </w:r>
      <w:r>
        <w:rPr>
          <w:rFonts w:hint="eastAsia" w:ascii="Times New Roman" w:hAnsi="Times New Roman" w:eastAsia="宋体" w:cs="Times New Roman"/>
          <w:sz w:val="24"/>
        </w:rPr>
        <w:t>监测及日常监督管理。</w:t>
      </w:r>
    </w:p>
    <w:p w14:paraId="35007A39">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b/>
          <w:bCs/>
          <w:kern w:val="2"/>
          <w:sz w:val="30"/>
          <w:szCs w:val="30"/>
          <w:lang w:val="en-US" w:eastAsia="zh-CN" w:bidi="ar-SA"/>
        </w:rPr>
      </w:pPr>
      <w:r>
        <w:rPr>
          <w:rFonts w:hint="eastAsia" w:ascii="Times New Roman" w:hAnsi="Times New Roman" w:eastAsia="宋体" w:cs="Times New Roman"/>
          <w:sz w:val="24"/>
        </w:rPr>
        <w:t>建设单位应将有关排污口的情况如：排污口的性质、编号、排污口的位置；主要排放的污染物种类、数量、浓度、排放规律、排放去向；污染治理设施的运行情况等进行建档管理，并报送环保主管部门备案。</w:t>
      </w:r>
      <w:bookmarkStart w:id="785" w:name="_Toc5915"/>
      <w:bookmarkStart w:id="786" w:name="_Toc25193"/>
      <w:bookmarkStart w:id="787" w:name="_Toc337673506"/>
      <w:bookmarkStart w:id="788" w:name="_Toc30916"/>
      <w:bookmarkStart w:id="789" w:name="_Toc472451943"/>
      <w:bookmarkStart w:id="790" w:name="_Toc5068"/>
    </w:p>
    <w:p w14:paraId="1DE16511">
      <w:pPr>
        <w:rPr>
          <w:rFonts w:hint="eastAsia" w:cs="Times New Roman"/>
          <w:b/>
          <w:bCs/>
          <w:kern w:val="2"/>
          <w:sz w:val="30"/>
          <w:szCs w:val="30"/>
          <w:lang w:val="en-US" w:eastAsia="zh-CN" w:bidi="ar-SA"/>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2864A563">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本项目应按《危险废物识别标志设置技术规范》（HJ 1276-2022）规定制作危险废物标签、危险废物贮存分区标志、贮存设施标志，其中危险废物标签设置在危险废物容器或包装物上，由文字、编码和图形符号等组合而成，用于向相关人群传递危险废物特定信息，以警示危险废物潜在环境危害的标志；危险废物贮存分区标志设置在危险废物贮存设施内部，用于显示危险废物贮存设施内贮存分区规划和危险废物贮存情况， 以避免潜在环境危害的警告性信息标志；贮存设施标志设置在贮存危险废物的设施、场所，用于引起人们对危险废物贮存活动的注意，以避免潜在环境危害的警告性区域信息标志。</w:t>
      </w:r>
    </w:p>
    <w:p w14:paraId="0A62B6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b/>
          <w:bCs/>
          <w:color w:val="000000"/>
          <w:kern w:val="2"/>
          <w:sz w:val="21"/>
          <w:szCs w:val="24"/>
          <w:highlight w:val="none"/>
          <w:lang w:val="en-US" w:eastAsia="zh-CN" w:bidi="ar-SA"/>
        </w:rPr>
      </w:pPr>
      <w:r>
        <w:rPr>
          <w:rFonts w:ascii="Times New Roman" w:hAnsi="Times New Roman" w:eastAsia="宋体" w:cs="Times New Roman"/>
          <w:b/>
          <w:bCs/>
          <w:color w:val="000000"/>
          <w:kern w:val="2"/>
          <w:sz w:val="24"/>
          <w:szCs w:val="24"/>
          <w:highlight w:val="none"/>
          <w:lang w:val="en-US" w:eastAsia="zh-CN" w:bidi="ar-SA"/>
        </w:rPr>
        <w:t>表</w:t>
      </w:r>
      <w:r>
        <w:rPr>
          <w:rFonts w:hint="eastAsia" w:ascii="Times New Roman" w:hAnsi="Times New Roman" w:eastAsia="宋体" w:cs="Times New Roman"/>
          <w:b/>
          <w:bCs/>
          <w:color w:val="000000"/>
          <w:kern w:val="2"/>
          <w:sz w:val="24"/>
          <w:szCs w:val="24"/>
          <w:highlight w:val="none"/>
          <w:lang w:val="en-US" w:eastAsia="zh-CN" w:bidi="ar-SA"/>
        </w:rPr>
        <w:t>9.1-2危险废物识别标志</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32"/>
        <w:gridCol w:w="2232"/>
        <w:gridCol w:w="2102"/>
      </w:tblGrid>
      <w:tr w14:paraId="17D5D4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39" w:type="pct"/>
            <w:tcBorders>
              <w:tl2br w:val="nil"/>
              <w:tr2bl w:val="nil"/>
            </w:tcBorders>
            <w:noWrap w:val="0"/>
            <w:vAlign w:val="center"/>
          </w:tcPr>
          <w:p w14:paraId="6502D82D">
            <w:pPr>
              <w:adjustRightInd w:val="0"/>
              <w:snapToGrid w:val="0"/>
              <w:spacing w:line="240" w:lineRule="auto"/>
              <w:ind w:firstLine="0" w:firstLineChars="0"/>
              <w:jc w:val="center"/>
              <w:rPr>
                <w:rFonts w:ascii="Times New Roman" w:hAnsi="Times New Roman" w:eastAsia="宋体" w:cs="Times New Roman"/>
                <w:b/>
                <w:bCs/>
                <w:color w:val="000000"/>
                <w:kern w:val="2"/>
                <w:sz w:val="21"/>
                <w:szCs w:val="21"/>
                <w:highlight w:val="none"/>
              </w:rPr>
            </w:pPr>
            <w:r>
              <w:rPr>
                <w:rFonts w:hint="eastAsia" w:ascii="Times New Roman" w:hAnsi="Times New Roman" w:eastAsia="宋体" w:cs="宋体"/>
                <w:b/>
                <w:bCs/>
                <w:color w:val="000000"/>
                <w:kern w:val="2"/>
                <w:sz w:val="21"/>
                <w:szCs w:val="21"/>
                <w:highlight w:val="none"/>
                <w:lang w:bidi="ar"/>
              </w:rPr>
              <w:t>排放口</w:t>
            </w:r>
          </w:p>
        </w:tc>
        <w:tc>
          <w:tcPr>
            <w:tcW w:w="1312" w:type="pct"/>
            <w:tcBorders>
              <w:tl2br w:val="nil"/>
              <w:tr2bl w:val="nil"/>
            </w:tcBorders>
            <w:noWrap w:val="0"/>
            <w:vAlign w:val="center"/>
          </w:tcPr>
          <w:p w14:paraId="67FF8A84">
            <w:pPr>
              <w:adjustRightInd w:val="0"/>
              <w:snapToGrid w:val="0"/>
              <w:spacing w:line="240" w:lineRule="auto"/>
              <w:ind w:firstLine="0" w:firstLineChars="0"/>
              <w:jc w:val="center"/>
              <w:rPr>
                <w:rFonts w:hint="default" w:ascii="Times New Roman" w:hAnsi="Times New Roman" w:eastAsia="宋体" w:cs="宋体"/>
                <w:b/>
                <w:bCs/>
                <w:color w:val="000000"/>
                <w:kern w:val="2"/>
                <w:sz w:val="21"/>
                <w:szCs w:val="21"/>
                <w:highlight w:val="none"/>
                <w:lang w:val="en-US" w:eastAsia="zh-CN" w:bidi="ar"/>
              </w:rPr>
            </w:pPr>
            <w:r>
              <w:rPr>
                <w:rFonts w:hint="default" w:ascii="Times New Roman" w:hAnsi="Times New Roman" w:eastAsia="宋体" w:cs="宋体"/>
                <w:b/>
                <w:bCs/>
                <w:color w:val="000000"/>
                <w:kern w:val="2"/>
                <w:sz w:val="21"/>
                <w:szCs w:val="21"/>
                <w:highlight w:val="none"/>
                <w:lang w:val="en-US" w:eastAsia="zh-CN" w:bidi="ar"/>
              </w:rPr>
              <w:t>危险废物标签</w:t>
            </w:r>
          </w:p>
        </w:tc>
        <w:tc>
          <w:tcPr>
            <w:tcW w:w="1312" w:type="pct"/>
            <w:tcBorders>
              <w:tl2br w:val="nil"/>
              <w:tr2bl w:val="nil"/>
            </w:tcBorders>
            <w:noWrap w:val="0"/>
            <w:vAlign w:val="center"/>
          </w:tcPr>
          <w:p w14:paraId="308CB258">
            <w:pPr>
              <w:adjustRightInd w:val="0"/>
              <w:snapToGrid w:val="0"/>
              <w:spacing w:line="240" w:lineRule="auto"/>
              <w:ind w:firstLine="0" w:firstLineChars="0"/>
              <w:jc w:val="center"/>
              <w:rPr>
                <w:rFonts w:ascii="Times New Roman" w:hAnsi="Times New Roman" w:eastAsia="宋体" w:cs="Times New Roman"/>
                <w:b/>
                <w:bCs/>
                <w:color w:val="000000"/>
                <w:kern w:val="2"/>
                <w:sz w:val="21"/>
                <w:szCs w:val="21"/>
                <w:highlight w:val="none"/>
              </w:rPr>
            </w:pPr>
            <w:r>
              <w:rPr>
                <w:rFonts w:hint="eastAsia" w:ascii="Times New Roman" w:hAnsi="Times New Roman" w:eastAsia="宋体" w:cs="Times New Roman"/>
                <w:b/>
                <w:bCs/>
                <w:color w:val="000000"/>
                <w:kern w:val="2"/>
                <w:sz w:val="21"/>
                <w:szCs w:val="21"/>
                <w:highlight w:val="none"/>
                <w:lang w:val="en-US" w:eastAsia="zh-CN"/>
              </w:rPr>
              <w:t>危险废物贮存分区标志</w:t>
            </w:r>
          </w:p>
        </w:tc>
        <w:tc>
          <w:tcPr>
            <w:tcW w:w="1235" w:type="pct"/>
            <w:tcBorders>
              <w:tl2br w:val="nil"/>
              <w:tr2bl w:val="nil"/>
            </w:tcBorders>
            <w:noWrap w:val="0"/>
            <w:vAlign w:val="center"/>
          </w:tcPr>
          <w:p w14:paraId="7D5549FA">
            <w:pPr>
              <w:adjustRightInd w:val="0"/>
              <w:snapToGrid w:val="0"/>
              <w:spacing w:line="240" w:lineRule="auto"/>
              <w:ind w:firstLine="0" w:firstLineChars="0"/>
              <w:jc w:val="center"/>
              <w:rPr>
                <w:rFonts w:hint="default" w:ascii="Times New Roman" w:hAnsi="Times New Roman" w:eastAsia="宋体" w:cs="Times New Roman"/>
                <w:b/>
                <w:bCs/>
                <w:color w:val="000000"/>
                <w:kern w:val="2"/>
                <w:sz w:val="21"/>
                <w:szCs w:val="21"/>
                <w:highlight w:val="none"/>
                <w:lang w:val="en-US" w:eastAsia="zh-CN"/>
              </w:rPr>
            </w:pPr>
            <w:r>
              <w:rPr>
                <w:rFonts w:hint="default" w:ascii="Times New Roman" w:hAnsi="Times New Roman" w:eastAsia="宋体" w:cs="Times New Roman"/>
                <w:b/>
                <w:bCs/>
                <w:color w:val="000000"/>
                <w:kern w:val="2"/>
                <w:sz w:val="21"/>
                <w:szCs w:val="21"/>
                <w:highlight w:val="none"/>
                <w:lang w:val="en-US" w:eastAsia="zh-CN"/>
              </w:rPr>
              <w:t>贮存设施标志</w:t>
            </w:r>
          </w:p>
        </w:tc>
      </w:tr>
      <w:tr w14:paraId="247C8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39" w:type="pct"/>
            <w:tcBorders>
              <w:tl2br w:val="nil"/>
              <w:tr2bl w:val="nil"/>
            </w:tcBorders>
            <w:noWrap w:val="0"/>
            <w:vAlign w:val="center"/>
          </w:tcPr>
          <w:p w14:paraId="730FE54A">
            <w:pPr>
              <w:adjustRightInd w:val="0"/>
              <w:snapToGrid w:val="0"/>
              <w:spacing w:line="240" w:lineRule="auto"/>
              <w:ind w:firstLine="0" w:firstLineChars="0"/>
              <w:jc w:val="center"/>
              <w:rPr>
                <w:rFonts w:ascii="Times New Roman" w:hAnsi="Times New Roman" w:eastAsia="宋体" w:cs="Times New Roman"/>
                <w:b w:val="0"/>
                <w:bCs w:val="0"/>
                <w:color w:val="000000"/>
                <w:kern w:val="2"/>
                <w:sz w:val="21"/>
                <w:szCs w:val="21"/>
                <w:highlight w:val="none"/>
              </w:rPr>
            </w:pPr>
            <w:r>
              <w:rPr>
                <w:rFonts w:hint="eastAsia" w:ascii="Times New Roman" w:hAnsi="Times New Roman" w:eastAsia="宋体" w:cs="宋体"/>
                <w:b w:val="0"/>
                <w:bCs w:val="0"/>
                <w:color w:val="000000"/>
                <w:kern w:val="2"/>
                <w:sz w:val="21"/>
                <w:szCs w:val="21"/>
                <w:highlight w:val="none"/>
                <w:lang w:bidi="ar"/>
              </w:rPr>
              <w:t>图形符号</w:t>
            </w:r>
          </w:p>
        </w:tc>
        <w:tc>
          <w:tcPr>
            <w:tcW w:w="1312" w:type="pct"/>
            <w:tcBorders>
              <w:tl2br w:val="nil"/>
              <w:tr2bl w:val="nil"/>
            </w:tcBorders>
            <w:noWrap w:val="0"/>
            <w:vAlign w:val="center"/>
          </w:tcPr>
          <w:p w14:paraId="5A5BDD1C">
            <w:pPr>
              <w:adjustRightInd w:val="0"/>
              <w:snapToGrid w:val="0"/>
              <w:spacing w:line="240" w:lineRule="auto"/>
              <w:ind w:firstLine="0" w:firstLineChars="0"/>
              <w:jc w:val="center"/>
              <w:rPr>
                <w:rFonts w:hint="eastAsia" w:ascii="Times New Roman" w:hAnsi="Times New Roman" w:eastAsia="宋体" w:cs="宋体"/>
                <w:b w:val="0"/>
                <w:bCs w:val="0"/>
                <w:color w:val="000000"/>
                <w:kern w:val="2"/>
                <w:sz w:val="21"/>
                <w:szCs w:val="21"/>
                <w:highlight w:val="none"/>
                <w:lang w:eastAsia="zh-CN" w:bidi="ar"/>
              </w:rPr>
            </w:pPr>
            <w:r>
              <w:rPr>
                <w:rFonts w:hint="eastAsia" w:ascii="Times New Roman" w:hAnsi="Times New Roman" w:eastAsia="宋体" w:cs="宋体"/>
                <w:b w:val="0"/>
                <w:bCs w:val="0"/>
                <w:color w:val="000000"/>
                <w:kern w:val="2"/>
                <w:sz w:val="21"/>
                <w:szCs w:val="21"/>
                <w:highlight w:val="none"/>
                <w:lang w:eastAsia="zh-CN" w:bidi="ar"/>
              </w:rPr>
              <w:drawing>
                <wp:inline distT="0" distB="0" distL="114300" distR="114300">
                  <wp:extent cx="1278890" cy="1295400"/>
                  <wp:effectExtent l="0" t="0" r="16510" b="0"/>
                  <wp:docPr id="88" name="图片 88" descr="174071622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1740716227430"/>
                          <pic:cNvPicPr>
                            <a:picLocks noChangeAspect="1"/>
                          </pic:cNvPicPr>
                        </pic:nvPicPr>
                        <pic:blipFill>
                          <a:blip r:embed="rId76"/>
                          <a:stretch>
                            <a:fillRect/>
                          </a:stretch>
                        </pic:blipFill>
                        <pic:spPr>
                          <a:xfrm>
                            <a:off x="0" y="0"/>
                            <a:ext cx="1278890" cy="1295400"/>
                          </a:xfrm>
                          <a:prstGeom prst="rect">
                            <a:avLst/>
                          </a:prstGeom>
                        </pic:spPr>
                      </pic:pic>
                    </a:graphicData>
                  </a:graphic>
                </wp:inline>
              </w:drawing>
            </w:r>
          </w:p>
        </w:tc>
        <w:tc>
          <w:tcPr>
            <w:tcW w:w="1312" w:type="pct"/>
            <w:tcBorders>
              <w:tl2br w:val="nil"/>
              <w:tr2bl w:val="nil"/>
            </w:tcBorders>
            <w:noWrap w:val="0"/>
            <w:vAlign w:val="center"/>
          </w:tcPr>
          <w:p w14:paraId="786D67C9">
            <w:pPr>
              <w:adjustRightInd w:val="0"/>
              <w:snapToGrid w:val="0"/>
              <w:spacing w:line="240" w:lineRule="auto"/>
              <w:ind w:firstLine="0" w:firstLineChars="0"/>
              <w:jc w:val="center"/>
              <w:rPr>
                <w:rFonts w:hint="eastAsia" w:ascii="Times New Roman" w:hAnsi="Times New Roman" w:eastAsia="宋体" w:cs="Times New Roman"/>
                <w:b w:val="0"/>
                <w:bCs w:val="0"/>
                <w:color w:val="000000"/>
                <w:kern w:val="2"/>
                <w:sz w:val="21"/>
                <w:szCs w:val="21"/>
                <w:highlight w:val="none"/>
                <w:lang w:eastAsia="zh-CN"/>
              </w:rPr>
            </w:pPr>
            <w:r>
              <w:rPr>
                <w:rFonts w:hint="eastAsia" w:ascii="Times New Roman" w:hAnsi="Times New Roman" w:eastAsia="宋体" w:cs="Times New Roman"/>
                <w:b w:val="0"/>
                <w:bCs w:val="0"/>
                <w:color w:val="000000"/>
                <w:kern w:val="2"/>
                <w:sz w:val="21"/>
                <w:szCs w:val="21"/>
                <w:highlight w:val="none"/>
                <w:lang w:eastAsia="zh-CN"/>
              </w:rPr>
              <w:drawing>
                <wp:inline distT="0" distB="0" distL="114300" distR="114300">
                  <wp:extent cx="1276985" cy="1278890"/>
                  <wp:effectExtent l="0" t="0" r="18415" b="16510"/>
                  <wp:docPr id="35" name="图片 35" descr="4cde5430-be25-4e04-8f28-eb99d38c4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cde5430-be25-4e04-8f28-eb99d38c4a11"/>
                          <pic:cNvPicPr>
                            <a:picLocks noChangeAspect="1"/>
                          </pic:cNvPicPr>
                        </pic:nvPicPr>
                        <pic:blipFill>
                          <a:blip r:embed="rId77"/>
                          <a:stretch>
                            <a:fillRect/>
                          </a:stretch>
                        </pic:blipFill>
                        <pic:spPr>
                          <a:xfrm>
                            <a:off x="0" y="0"/>
                            <a:ext cx="1276985" cy="1278890"/>
                          </a:xfrm>
                          <a:prstGeom prst="rect">
                            <a:avLst/>
                          </a:prstGeom>
                        </pic:spPr>
                      </pic:pic>
                    </a:graphicData>
                  </a:graphic>
                </wp:inline>
              </w:drawing>
            </w:r>
          </w:p>
        </w:tc>
        <w:tc>
          <w:tcPr>
            <w:tcW w:w="1235" w:type="pct"/>
            <w:tcBorders>
              <w:tl2br w:val="nil"/>
              <w:tr2bl w:val="nil"/>
            </w:tcBorders>
            <w:noWrap w:val="0"/>
            <w:vAlign w:val="center"/>
          </w:tcPr>
          <w:p w14:paraId="23A56533">
            <w:pPr>
              <w:adjustRightInd w:val="0"/>
              <w:snapToGrid w:val="0"/>
              <w:spacing w:line="240" w:lineRule="auto"/>
              <w:ind w:firstLine="0" w:firstLineChars="0"/>
              <w:jc w:val="center"/>
              <w:rPr>
                <w:rFonts w:hint="eastAsia" w:ascii="Times New Roman" w:hAnsi="Times New Roman" w:eastAsia="宋体" w:cs="Times New Roman"/>
                <w:b w:val="0"/>
                <w:bCs w:val="0"/>
                <w:color w:val="000000"/>
                <w:kern w:val="2"/>
                <w:sz w:val="21"/>
                <w:szCs w:val="21"/>
                <w:highlight w:val="none"/>
                <w:lang w:eastAsia="zh-CN"/>
              </w:rPr>
            </w:pPr>
            <w:r>
              <w:rPr>
                <w:rFonts w:hint="eastAsia" w:ascii="Times New Roman" w:hAnsi="Times New Roman" w:eastAsia="宋体" w:cs="Times New Roman"/>
                <w:b w:val="0"/>
                <w:bCs w:val="0"/>
                <w:color w:val="000000"/>
                <w:kern w:val="2"/>
                <w:sz w:val="21"/>
                <w:szCs w:val="21"/>
                <w:highlight w:val="none"/>
                <w:lang w:eastAsia="zh-CN"/>
              </w:rPr>
              <w:drawing>
                <wp:inline distT="0" distB="0" distL="114300" distR="114300">
                  <wp:extent cx="1063625" cy="1674495"/>
                  <wp:effectExtent l="0" t="0" r="3175" b="1905"/>
                  <wp:docPr id="127" name="图片 127" descr="ff77c9374d31cdd66bee2b267f285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ff77c9374d31cdd66bee2b267f285b4"/>
                          <pic:cNvPicPr>
                            <a:picLocks noChangeAspect="1"/>
                          </pic:cNvPicPr>
                        </pic:nvPicPr>
                        <pic:blipFill>
                          <a:blip r:embed="rId78"/>
                          <a:stretch>
                            <a:fillRect/>
                          </a:stretch>
                        </pic:blipFill>
                        <pic:spPr>
                          <a:xfrm>
                            <a:off x="0" y="0"/>
                            <a:ext cx="1063625" cy="1674495"/>
                          </a:xfrm>
                          <a:prstGeom prst="rect">
                            <a:avLst/>
                          </a:prstGeom>
                        </pic:spPr>
                      </pic:pic>
                    </a:graphicData>
                  </a:graphic>
                </wp:inline>
              </w:drawing>
            </w:r>
          </w:p>
        </w:tc>
      </w:tr>
      <w:tr w14:paraId="42CE5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39" w:type="pct"/>
            <w:tcBorders>
              <w:tl2br w:val="nil"/>
              <w:tr2bl w:val="nil"/>
            </w:tcBorders>
            <w:noWrap w:val="0"/>
            <w:vAlign w:val="center"/>
          </w:tcPr>
          <w:p w14:paraId="6153919E">
            <w:pPr>
              <w:adjustRightInd w:val="0"/>
              <w:snapToGrid w:val="0"/>
              <w:spacing w:line="240" w:lineRule="auto"/>
              <w:ind w:firstLine="0" w:firstLineChars="0"/>
              <w:jc w:val="center"/>
              <w:rPr>
                <w:rFonts w:hint="default" w:ascii="Times New Roman" w:hAnsi="Times New Roman" w:eastAsia="宋体" w:cs="宋体"/>
                <w:b w:val="0"/>
                <w:bCs w:val="0"/>
                <w:color w:val="000000"/>
                <w:kern w:val="2"/>
                <w:sz w:val="21"/>
                <w:szCs w:val="21"/>
                <w:highlight w:val="none"/>
                <w:lang w:val="en-US" w:eastAsia="zh-CN" w:bidi="ar"/>
              </w:rPr>
            </w:pPr>
            <w:r>
              <w:rPr>
                <w:rFonts w:hint="eastAsia" w:ascii="Times New Roman" w:hAnsi="Times New Roman" w:eastAsia="宋体" w:cs="宋体"/>
                <w:b w:val="0"/>
                <w:bCs w:val="0"/>
                <w:color w:val="000000"/>
                <w:kern w:val="2"/>
                <w:sz w:val="21"/>
                <w:szCs w:val="21"/>
                <w:highlight w:val="none"/>
                <w:lang w:val="en-US" w:eastAsia="zh-CN" w:bidi="ar"/>
              </w:rPr>
              <w:t>设置位置</w:t>
            </w:r>
          </w:p>
        </w:tc>
        <w:tc>
          <w:tcPr>
            <w:tcW w:w="1312" w:type="pct"/>
            <w:tcBorders>
              <w:tl2br w:val="nil"/>
              <w:tr2bl w:val="nil"/>
            </w:tcBorders>
            <w:noWrap w:val="0"/>
            <w:vAlign w:val="center"/>
          </w:tcPr>
          <w:p w14:paraId="30119F68">
            <w:pPr>
              <w:adjustRightInd w:val="0"/>
              <w:snapToGrid w:val="0"/>
              <w:spacing w:line="240" w:lineRule="auto"/>
              <w:ind w:firstLine="0" w:firstLineChars="0"/>
              <w:jc w:val="center"/>
              <w:rPr>
                <w:rFonts w:hint="eastAsia" w:ascii="Times New Roman" w:hAnsi="Times New Roman" w:eastAsia="宋体" w:cs="宋体"/>
                <w:b w:val="0"/>
                <w:bCs w:val="0"/>
                <w:color w:val="000000"/>
                <w:kern w:val="2"/>
                <w:sz w:val="21"/>
                <w:szCs w:val="21"/>
                <w:highlight w:val="none"/>
                <w:lang w:eastAsia="zh-CN" w:bidi="ar"/>
              </w:rPr>
            </w:pPr>
            <w:r>
              <w:rPr>
                <w:rFonts w:hint="eastAsia" w:ascii="Times New Roman" w:hAnsi="Times New Roman" w:eastAsia="宋体" w:cs="宋体"/>
                <w:b w:val="0"/>
                <w:bCs w:val="0"/>
                <w:color w:val="000000"/>
                <w:kern w:val="2"/>
                <w:sz w:val="21"/>
                <w:szCs w:val="21"/>
                <w:highlight w:val="none"/>
                <w:lang w:eastAsia="zh-CN" w:bidi="ar"/>
              </w:rPr>
              <w:t xml:space="preserve">危险废物标签的设置位置应明显可见且易读，不应被容器、包装物自身的任何部分或其他标签 遮挡。危险废物标签在各种包装上的粘贴位置分别为： a） 袋类包装：位于包装明显处； </w:t>
            </w:r>
            <w:r>
              <w:rPr>
                <w:rFonts w:hint="eastAsia" w:ascii="Times New Roman" w:hAnsi="Times New Roman" w:eastAsia="宋体" w:cs="宋体"/>
                <w:b w:val="0"/>
                <w:bCs w:val="0"/>
                <w:color w:val="000000"/>
                <w:kern w:val="2"/>
                <w:sz w:val="21"/>
                <w:szCs w:val="21"/>
                <w:highlight w:val="none"/>
                <w:lang w:val="en-US" w:eastAsia="zh-CN" w:bidi="ar"/>
              </w:rPr>
              <w:t>b</w:t>
            </w:r>
            <w:r>
              <w:rPr>
                <w:rFonts w:hint="eastAsia" w:ascii="Times New Roman" w:hAnsi="Times New Roman" w:eastAsia="宋体" w:cs="宋体"/>
                <w:b w:val="0"/>
                <w:bCs w:val="0"/>
                <w:color w:val="000000"/>
                <w:kern w:val="2"/>
                <w:sz w:val="21"/>
                <w:szCs w:val="21"/>
                <w:highlight w:val="none"/>
                <w:lang w:eastAsia="zh-CN" w:bidi="ar"/>
              </w:rPr>
              <w:t>）桶类包装：位于桶身或桶盖</w:t>
            </w:r>
          </w:p>
        </w:tc>
        <w:tc>
          <w:tcPr>
            <w:tcW w:w="1312" w:type="pct"/>
            <w:tcBorders>
              <w:tl2br w:val="nil"/>
              <w:tr2bl w:val="nil"/>
            </w:tcBorders>
            <w:noWrap w:val="0"/>
            <w:vAlign w:val="center"/>
          </w:tcPr>
          <w:p w14:paraId="6F9BA8DD">
            <w:pPr>
              <w:adjustRightInd w:val="0"/>
              <w:snapToGrid w:val="0"/>
              <w:spacing w:line="240" w:lineRule="auto"/>
              <w:ind w:firstLine="0" w:firstLineChars="0"/>
              <w:jc w:val="center"/>
              <w:rPr>
                <w:rFonts w:hint="eastAsia" w:ascii="Times New Roman" w:hAnsi="Times New Roman" w:eastAsia="宋体" w:cs="Times New Roman"/>
                <w:b w:val="0"/>
                <w:bCs w:val="0"/>
                <w:color w:val="000000"/>
                <w:kern w:val="2"/>
                <w:sz w:val="21"/>
                <w:szCs w:val="21"/>
                <w:highlight w:val="none"/>
                <w:lang w:eastAsia="zh-CN"/>
              </w:rPr>
            </w:pPr>
            <w:r>
              <w:rPr>
                <w:rFonts w:hint="eastAsia" w:ascii="Times New Roman" w:hAnsi="Times New Roman" w:eastAsia="宋体" w:cs="Times New Roman"/>
                <w:b w:val="0"/>
                <w:bCs w:val="0"/>
                <w:color w:val="000000"/>
                <w:kern w:val="2"/>
                <w:sz w:val="21"/>
                <w:szCs w:val="21"/>
                <w:highlight w:val="none"/>
                <w:lang w:eastAsia="zh-CN"/>
              </w:rPr>
              <w:t>宜在危险废物贮存设施内的每一个贮存分区处设置危险废物贮存分区标志。 危险废物贮存分区标志宜设置在该贮存分区前的通道位置或墙壁、栏杆等易于观察的位置</w:t>
            </w:r>
          </w:p>
        </w:tc>
        <w:tc>
          <w:tcPr>
            <w:tcW w:w="1235" w:type="pct"/>
            <w:tcBorders>
              <w:tl2br w:val="nil"/>
              <w:tr2bl w:val="nil"/>
            </w:tcBorders>
            <w:noWrap w:val="0"/>
            <w:vAlign w:val="center"/>
          </w:tcPr>
          <w:p w14:paraId="3877598A">
            <w:pPr>
              <w:adjustRightInd w:val="0"/>
              <w:snapToGrid w:val="0"/>
              <w:spacing w:line="240" w:lineRule="auto"/>
              <w:ind w:firstLine="0" w:firstLineChars="0"/>
              <w:jc w:val="center"/>
              <w:rPr>
                <w:rFonts w:hint="eastAsia" w:ascii="Times New Roman" w:hAnsi="Times New Roman" w:eastAsia="宋体" w:cs="Times New Roman"/>
                <w:b w:val="0"/>
                <w:bCs w:val="0"/>
                <w:color w:val="000000"/>
                <w:kern w:val="2"/>
                <w:sz w:val="21"/>
                <w:szCs w:val="21"/>
                <w:highlight w:val="none"/>
                <w:lang w:eastAsia="zh-CN"/>
              </w:rPr>
            </w:pPr>
            <w:r>
              <w:rPr>
                <w:rFonts w:hint="eastAsia" w:ascii="Times New Roman" w:hAnsi="Times New Roman" w:eastAsia="宋体" w:cs="Times New Roman"/>
                <w:b w:val="0"/>
                <w:bCs w:val="0"/>
                <w:color w:val="000000"/>
                <w:kern w:val="2"/>
                <w:sz w:val="21"/>
                <w:szCs w:val="21"/>
                <w:highlight w:val="none"/>
                <w:lang w:eastAsia="zh-CN"/>
              </w:rPr>
              <w:t>在场所外入口处的墙壁或栏杆显著位置；附着式标志的设置高度，应尽量与视线高度一致</w:t>
            </w:r>
          </w:p>
        </w:tc>
      </w:tr>
    </w:tbl>
    <w:p w14:paraId="7204CA35">
      <w:pPr>
        <w:widowControl w:val="0"/>
        <w:spacing w:after="0"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管理计划及管理台账</w:t>
      </w:r>
    </w:p>
    <w:p w14:paraId="3ADDD56B">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根据《危险废物管理计划和管理台账制定技术导则》（HJ 1259—2022），本项目属于同一生产经营场所危险废物年产生量10t以下且未纳入危险废物环境重点监管单位的单位，为危险废物登记管理单位。危险废物登记管理单位的管理计划制定内容应包括单位基本信息、危险废物产生情况信息、危险废物转移情况信息。</w:t>
      </w:r>
    </w:p>
    <w:p w14:paraId="77A687D0">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产生危险废物的单位应建立危险废物管理台账，落实危险废物管理台账记录的责任人，明确工作职责，并对危险废物管理台账的真实性、准确性和完整性负法律责任。产生危险废物的单位应根据危险废物产生、贮存、利用、处置等环节的动态流向，如实建立各环节的危险废物管理台账。危险废物管理台账分为电子管理台账和纸质管理台账两种形式。产生危险废物的单位可通过国家危险废物信息管理系统、企业自建信息管理系统或第三方平台等方式记录电子管理台账。  </w:t>
      </w:r>
    </w:p>
    <w:p w14:paraId="1CC88ADC">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①频次要求 </w:t>
      </w:r>
    </w:p>
    <w:p w14:paraId="6DB4B118">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产生后盛放至容器和包装物的，应按每个容器和包装物进行记录。 </w:t>
      </w:r>
    </w:p>
    <w:p w14:paraId="4AB4D463">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②记录内容 </w:t>
      </w:r>
    </w:p>
    <w:p w14:paraId="463A1427">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危险废物产生环节，应记录产生批次编码、产生时间、危险废物名称、危险废物类别、危险废物代码、产生量、计量单位、容器/包装编码、容器/包装类型、容器/包装数量、产生危险废物设施编码、产生部门经办人、去向等。 </w:t>
      </w:r>
    </w:p>
    <w:p w14:paraId="3EF4E57F">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危险废物入库环节，应记录入库批次编码、入库时间、容器/包装编码、容器/包装类型、容器/包装数量、危险废物名称、危险废物类别、危险废物代码、入库量、计量单位、贮存设施编码、贮存设施类型、运送部门经办人、贮存部门经办人、产生批次编码等。 </w:t>
      </w:r>
    </w:p>
    <w:p w14:paraId="53848CBA">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危险废物出库环节，应记录出库批次编码、出库时间、容器/包装编码、容器/包装类型、容器/包装数量、危险废物名称、危险废物类别、危险废物代码、出库量、计量单位、贮存设施编码、贮存设施类型、出库部门经办人、运送部门经办人、入库批次编码、去向等。 </w:t>
      </w:r>
    </w:p>
    <w:p w14:paraId="42C63A3A">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危险废物委外利用/处置环节，应记录委外利用/处置批次编码、出厂时间、容器/包装编码、容器/包装类型、容器/包装数量、危险废物名称、危险废物类别、危险废物代码、委外利用/处置量、计量单位、利用/处置方式、接收单位类型、利用/处置单位名称、许可证编码/出口核准通知单编号、生产批次编码/出库批次编码等。 </w:t>
      </w:r>
    </w:p>
    <w:p w14:paraId="5B967898">
      <w:pPr>
        <w:widowControl w:val="0"/>
        <w:spacing w:after="0"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 xml:space="preserve"> </w:t>
      </w:r>
      <w:r>
        <w:rPr>
          <w:rFonts w:hint="eastAsia" w:ascii="Times New Roman" w:hAnsi="Times New Roman" w:eastAsia="宋体" w:cs="Times New Roman"/>
          <w:color w:val="000000"/>
          <w:kern w:val="2"/>
          <w:sz w:val="24"/>
          <w:szCs w:val="24"/>
          <w:highlight w:val="none"/>
          <w:lang w:val="en-US" w:eastAsia="zh-CN" w:bidi="ar-SA"/>
        </w:rPr>
        <w:t>③</w:t>
      </w:r>
      <w:r>
        <w:rPr>
          <w:rFonts w:hint="default" w:ascii="Times New Roman" w:hAnsi="Times New Roman" w:eastAsia="宋体" w:cs="Times New Roman"/>
          <w:color w:val="000000"/>
          <w:kern w:val="2"/>
          <w:sz w:val="24"/>
          <w:szCs w:val="24"/>
          <w:highlight w:val="none"/>
          <w:lang w:val="en-US" w:eastAsia="zh-CN" w:bidi="ar-SA"/>
        </w:rPr>
        <w:t xml:space="preserve">记录保存 </w:t>
      </w:r>
    </w:p>
    <w:p w14:paraId="1CEA555A">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保存时间原则上应存档5年以上</w:t>
      </w:r>
      <w:r>
        <w:rPr>
          <w:rFonts w:hint="eastAsia" w:ascii="Times New Roman" w:hAnsi="Times New Roman" w:eastAsia="宋体" w:cs="Times New Roman"/>
          <w:color w:val="000000"/>
          <w:kern w:val="2"/>
          <w:sz w:val="24"/>
          <w:szCs w:val="24"/>
          <w:highlight w:val="none"/>
          <w:lang w:val="en-US" w:eastAsia="zh-CN" w:bidi="ar-SA"/>
        </w:rPr>
        <w:t>。</w:t>
      </w:r>
    </w:p>
    <w:p w14:paraId="5365B0FC">
      <w:pPr>
        <w:widowControl w:val="0"/>
        <w:spacing w:after="0"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（1）采样口规范化</w:t>
      </w:r>
    </w:p>
    <w:p w14:paraId="502E936F">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 xml:space="preserve">本项目向环境排放有毒有害气体的排气筒应设置永久性采样口，必要时应设 置采样平台。建设单位按照规定设置满足开展监测所需要的监测设施。废水排放 口，废气（采样）监测平台、监测断面和监测孔的设置应符合监测规范要求。监 测平台应便于开展监测活动，应能保证监测人员的安全。 </w:t>
      </w:r>
    </w:p>
    <w:p w14:paraId="5B915BF7">
      <w:pPr>
        <w:widowControl w:val="0"/>
        <w:spacing w:after="0" w:line="360" w:lineRule="auto"/>
        <w:ind w:firstLine="480" w:firstLineChars="200"/>
        <w:jc w:val="both"/>
        <w:rPr>
          <w:rFonts w:hint="eastAsia"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废气采样口设置应符合《固定源废气监测技术规范》（</w:t>
      </w:r>
      <w:r>
        <w:rPr>
          <w:rFonts w:hint="default" w:ascii="Times New Roman" w:hAnsi="Times New Roman" w:eastAsia="宋体" w:cs="Times New Roman"/>
          <w:color w:val="000000"/>
          <w:kern w:val="2"/>
          <w:sz w:val="24"/>
          <w:szCs w:val="24"/>
          <w:highlight w:val="none"/>
          <w:lang w:val="en-US" w:eastAsia="zh-CN" w:bidi="ar-SA"/>
        </w:rPr>
        <w:t>HJ/T397-2007</w:t>
      </w:r>
      <w:r>
        <w:rPr>
          <w:rFonts w:hint="eastAsia" w:ascii="Times New Roman" w:hAnsi="Times New Roman" w:eastAsia="宋体" w:cs="Times New Roman"/>
          <w:color w:val="000000"/>
          <w:kern w:val="2"/>
          <w:sz w:val="24"/>
          <w:szCs w:val="24"/>
          <w:highlight w:val="none"/>
          <w:lang w:val="en-US" w:eastAsia="zh-CN" w:bidi="ar-SA"/>
        </w:rPr>
        <w:t>）、《固定污染源监测质量保证与质量控制技术规范（试行）》（HJ/T 373-2007）、《固定污染源排气中颗粒物测定与气态污染物采样方法》（</w:t>
      </w:r>
      <w:r>
        <w:rPr>
          <w:rFonts w:hint="default" w:ascii="Times New Roman" w:hAnsi="Times New Roman" w:eastAsia="宋体" w:cs="Times New Roman"/>
          <w:color w:val="000000"/>
          <w:kern w:val="2"/>
          <w:sz w:val="24"/>
          <w:szCs w:val="24"/>
          <w:highlight w:val="none"/>
          <w:lang w:val="en-US" w:eastAsia="zh-CN" w:bidi="ar-SA"/>
        </w:rPr>
        <w:t>GB/T16157-1996</w:t>
      </w:r>
      <w:r>
        <w:rPr>
          <w:rFonts w:hint="eastAsia" w:ascii="Times New Roman" w:hAnsi="Times New Roman" w:eastAsia="宋体" w:cs="Times New Roman"/>
          <w:color w:val="000000"/>
          <w:kern w:val="2"/>
          <w:sz w:val="24"/>
          <w:szCs w:val="24"/>
          <w:highlight w:val="none"/>
          <w:lang w:val="en-US" w:eastAsia="zh-CN" w:bidi="ar-SA"/>
        </w:rPr>
        <w:t>）及修改单、《大气污染物无组织排放监测技术导则》（HJ/T55-2000）等标准要求。</w:t>
      </w:r>
    </w:p>
    <w:p w14:paraId="176728EA">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791" w:name="_Toc2978"/>
      <w:r>
        <w:rPr>
          <w:rFonts w:hint="eastAsia" w:ascii="Times New Roman" w:hAnsi="Times New Roman" w:eastAsia="宋体" w:cs="Times New Roman"/>
          <w:b/>
          <w:bCs/>
          <w:kern w:val="2"/>
          <w:sz w:val="30"/>
          <w:szCs w:val="30"/>
          <w:lang w:val="en-US" w:eastAsia="zh-CN" w:bidi="ar-SA"/>
        </w:rPr>
        <w:t>9</w:t>
      </w:r>
      <w:r>
        <w:rPr>
          <w:rFonts w:hint="default" w:ascii="Times New Roman" w:hAnsi="Times New Roman" w:eastAsia="宋体" w:cs="Times New Roman"/>
          <w:b/>
          <w:bCs/>
          <w:kern w:val="2"/>
          <w:sz w:val="30"/>
          <w:szCs w:val="30"/>
          <w:lang w:val="en-US" w:eastAsia="zh-CN" w:bidi="ar-SA"/>
        </w:rPr>
        <w:t>.2环境管理制度制定</w:t>
      </w:r>
      <w:bookmarkEnd w:id="785"/>
      <w:bookmarkEnd w:id="786"/>
      <w:bookmarkEnd w:id="787"/>
      <w:bookmarkEnd w:id="788"/>
      <w:bookmarkEnd w:id="789"/>
      <w:bookmarkEnd w:id="790"/>
      <w:bookmarkEnd w:id="791"/>
    </w:p>
    <w:p w14:paraId="3AA74615">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在公司统一组织下，制定相应的环境保护制度。如：</w:t>
      </w:r>
      <w:r>
        <w:rPr>
          <w:rFonts w:hint="eastAsia" w:cs="Times New Roman"/>
          <w:sz w:val="24"/>
          <w:lang w:eastAsia="zh-CN"/>
        </w:rPr>
        <w:t>“</w:t>
      </w:r>
      <w:r>
        <w:rPr>
          <w:rFonts w:hint="default" w:ascii="Times New Roman" w:hAnsi="Times New Roman" w:eastAsia="宋体" w:cs="Times New Roman"/>
          <w:sz w:val="24"/>
        </w:rPr>
        <w:t>三废综合利用方法</w:t>
      </w:r>
      <w:r>
        <w:rPr>
          <w:rFonts w:hint="eastAsia" w:cs="Times New Roman"/>
          <w:sz w:val="24"/>
          <w:lang w:eastAsia="zh-CN"/>
        </w:rPr>
        <w:t>”“</w:t>
      </w:r>
      <w:r>
        <w:rPr>
          <w:rFonts w:hint="default" w:ascii="Times New Roman" w:hAnsi="Times New Roman" w:eastAsia="宋体" w:cs="Times New Roman"/>
          <w:sz w:val="24"/>
        </w:rPr>
        <w:t>环保手册</w:t>
      </w:r>
      <w:r>
        <w:rPr>
          <w:rFonts w:hint="eastAsia" w:cs="Times New Roman"/>
          <w:sz w:val="24"/>
          <w:lang w:eastAsia="zh-CN"/>
        </w:rPr>
        <w:t>”“</w:t>
      </w:r>
      <w:r>
        <w:rPr>
          <w:rFonts w:hint="default" w:ascii="Times New Roman" w:hAnsi="Times New Roman" w:eastAsia="宋体" w:cs="Times New Roman"/>
          <w:sz w:val="24"/>
        </w:rPr>
        <w:t>清粪工艺、粪便及冲洗水无害处理</w:t>
      </w:r>
      <w:r>
        <w:rPr>
          <w:rFonts w:hint="eastAsia" w:cs="Times New Roman"/>
          <w:sz w:val="24"/>
          <w:lang w:eastAsia="zh-CN"/>
        </w:rPr>
        <w:t>”“</w:t>
      </w:r>
      <w:r>
        <w:rPr>
          <w:rFonts w:hint="default" w:ascii="Times New Roman" w:hAnsi="Times New Roman" w:eastAsia="宋体" w:cs="Times New Roman"/>
          <w:sz w:val="24"/>
        </w:rPr>
        <w:t>排污申报管理制度</w:t>
      </w:r>
      <w:r>
        <w:rPr>
          <w:rFonts w:hint="eastAsia" w:cs="Times New Roman"/>
          <w:sz w:val="24"/>
          <w:lang w:eastAsia="zh-CN"/>
        </w:rPr>
        <w:t>”“</w:t>
      </w:r>
      <w:r>
        <w:rPr>
          <w:rFonts w:hint="default" w:ascii="Times New Roman" w:hAnsi="Times New Roman" w:eastAsia="宋体" w:cs="Times New Roman"/>
          <w:sz w:val="24"/>
        </w:rPr>
        <w:t>环境保护奖惩条例</w:t>
      </w:r>
      <w:r>
        <w:rPr>
          <w:rFonts w:hint="eastAsia" w:cs="Times New Roman"/>
          <w:sz w:val="24"/>
          <w:lang w:eastAsia="zh-CN"/>
        </w:rPr>
        <w:t>”</w:t>
      </w:r>
      <w:r>
        <w:rPr>
          <w:rFonts w:hint="default" w:ascii="Times New Roman" w:hAnsi="Times New Roman" w:eastAsia="宋体" w:cs="Times New Roman"/>
          <w:sz w:val="24"/>
        </w:rPr>
        <w:t>等，并建立环保设施的技术档案，使环境管理工作有法可依，有章可循，并逐步纳入</w:t>
      </w:r>
      <w:r>
        <w:rPr>
          <w:rFonts w:hint="eastAsia" w:ascii="Times New Roman" w:hAnsi="Times New Roman" w:eastAsia="宋体" w:cs="Times New Roman"/>
          <w:sz w:val="24"/>
          <w:lang w:val="en-US" w:eastAsia="zh-CN"/>
        </w:rPr>
        <w:t>法治化</w:t>
      </w:r>
      <w:r>
        <w:rPr>
          <w:rFonts w:hint="default" w:ascii="Times New Roman" w:hAnsi="Times New Roman" w:eastAsia="宋体" w:cs="Times New Roman"/>
          <w:sz w:val="24"/>
        </w:rPr>
        <w:t>、标准化轨道。</w:t>
      </w:r>
    </w:p>
    <w:p w14:paraId="78F816EE">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随着经济体制的转变，动用经济杠杆原理进行管理，也日益成为环境管理的重要手段之一，可以制定一些具体的奖惩制度及环保达标条件的考核办法，使行政干预手段和经济奖惩有机地结合起来，激励生产车间、班组和工人认真操作，使生产设备和环保设备达到最佳工作状况，杜绝乱排、乱放等人为因素造成的污染，从而实现生产全过程污染控制，最终实现清洁生产和控制污染物总量的目的。</w:t>
      </w:r>
    </w:p>
    <w:p w14:paraId="461FE718">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bookmarkStart w:id="792" w:name="_Toc229909614"/>
      <w:bookmarkStart w:id="793" w:name="_Toc14599"/>
      <w:bookmarkStart w:id="794" w:name="_Toc20200"/>
      <w:bookmarkStart w:id="795" w:name="_Toc472451944"/>
      <w:bookmarkStart w:id="796" w:name="_Toc30707"/>
      <w:bookmarkStart w:id="797" w:name="_Toc337673507"/>
      <w:bookmarkStart w:id="798" w:name="_Toc641"/>
      <w:r>
        <w:rPr>
          <w:rFonts w:hint="eastAsia" w:ascii="Times New Roman" w:hAnsi="Times New Roman" w:eastAsia="宋体" w:cs="Times New Roman"/>
          <w:b/>
          <w:bCs/>
          <w:snapToGrid w:val="0"/>
          <w:kern w:val="2"/>
          <w:sz w:val="28"/>
          <w:szCs w:val="28"/>
          <w:lang w:val="en-US" w:eastAsia="zh-CN" w:bidi="ar-SA"/>
        </w:rPr>
        <w:t>9.2.1投产前的环境管理</w:t>
      </w:r>
    </w:p>
    <w:p w14:paraId="46E6FD60">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（1）落实环保投资，确保污染治理措施执行</w:t>
      </w:r>
      <w:r>
        <w:rPr>
          <w:rFonts w:hint="eastAsia" w:cs="Times New Roman"/>
          <w:color w:val="auto"/>
          <w:sz w:val="24"/>
          <w:szCs w:val="22"/>
          <w:lang w:eastAsia="zh-CN"/>
        </w:rPr>
        <w:t>“</w:t>
      </w:r>
      <w:r>
        <w:rPr>
          <w:rFonts w:hint="eastAsia" w:ascii="Times New Roman" w:hAnsi="Times New Roman" w:eastAsia="宋体" w:cs="Times New Roman"/>
          <w:color w:val="auto"/>
          <w:sz w:val="24"/>
          <w:szCs w:val="22"/>
        </w:rPr>
        <w:t>三同时</w:t>
      </w:r>
      <w:r>
        <w:rPr>
          <w:rFonts w:hint="eastAsia" w:cs="Times New Roman"/>
          <w:color w:val="auto"/>
          <w:sz w:val="24"/>
          <w:szCs w:val="22"/>
          <w:lang w:eastAsia="zh-CN"/>
        </w:rPr>
        <w:t>”</w:t>
      </w:r>
      <w:r>
        <w:rPr>
          <w:rFonts w:hint="eastAsia" w:ascii="Times New Roman" w:hAnsi="Times New Roman" w:eastAsia="宋体" w:cs="Times New Roman"/>
          <w:color w:val="auto"/>
          <w:sz w:val="24"/>
          <w:szCs w:val="22"/>
        </w:rPr>
        <w:t>和各项治理与环保措施达到设计要求；</w:t>
      </w:r>
    </w:p>
    <w:p w14:paraId="4B056CE0">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（2）向环保部门上报工程竣工试运行报告，组织进行环保设施试运行；</w:t>
      </w:r>
    </w:p>
    <w:p w14:paraId="34C2338A">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（3）编制环保设施竣工验收方案报告，向环保部门申报，进行竣工验收监测，办理竣工验收手续；</w:t>
      </w:r>
    </w:p>
    <w:p w14:paraId="5B16BCDA">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（4）向当地环保部门进行排污申报登记，正式投产运行。</w:t>
      </w:r>
    </w:p>
    <w:p w14:paraId="2641AD52">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eastAsia" w:ascii="Times New Roman" w:hAnsi="Times New Roman" w:eastAsia="宋体" w:cs="Times New Roman"/>
          <w:b/>
          <w:bCs/>
          <w:snapToGrid w:val="0"/>
          <w:kern w:val="2"/>
          <w:sz w:val="28"/>
          <w:szCs w:val="28"/>
          <w:lang w:val="en-US" w:eastAsia="zh-CN" w:bidi="ar-SA"/>
        </w:rPr>
      </w:pPr>
      <w:r>
        <w:rPr>
          <w:rFonts w:hint="eastAsia" w:ascii="Times New Roman" w:hAnsi="Times New Roman" w:eastAsia="宋体" w:cs="Times New Roman"/>
          <w:b/>
          <w:bCs/>
          <w:snapToGrid w:val="0"/>
          <w:kern w:val="2"/>
          <w:sz w:val="28"/>
          <w:szCs w:val="28"/>
          <w:lang w:val="en-US" w:eastAsia="zh-CN" w:bidi="ar-SA"/>
        </w:rPr>
        <w:t>9.2.2运行期的环境保护管理</w:t>
      </w:r>
    </w:p>
    <w:p w14:paraId="255CECB6">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1</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rPr>
        <w:t>根据国家环保政策、标准及环境监测要求，制定该项目运行期环保管理规章制度、各种污染物排放控制指标；</w:t>
      </w:r>
    </w:p>
    <w:p w14:paraId="0D6DD6DC">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2</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rPr>
        <w:t>负责该项目内所有环保设施的日常运行管理，保障各环保设施的正常运行，并对环保设施的改进提出积极的建议；</w:t>
      </w:r>
    </w:p>
    <w:p w14:paraId="44721943">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3</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rPr>
        <w:t>负责该项目运行期环境监测工作，及时掌握该项目污染状况，整理监测数据，建立污染源档案；</w:t>
      </w:r>
    </w:p>
    <w:p w14:paraId="691209C4">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4</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rPr>
        <w:t>项目运行</w:t>
      </w:r>
      <w:r>
        <w:rPr>
          <w:rFonts w:hint="eastAsia" w:ascii="Times New Roman" w:hAnsi="Times New Roman" w:eastAsia="宋体" w:cs="Times New Roman"/>
          <w:color w:val="auto"/>
          <w:sz w:val="24"/>
          <w:szCs w:val="22"/>
          <w:lang w:eastAsia="zh-CN"/>
        </w:rPr>
        <w:t>期间</w:t>
      </w:r>
      <w:r>
        <w:rPr>
          <w:rFonts w:hint="eastAsia" w:ascii="Times New Roman" w:hAnsi="Times New Roman" w:eastAsia="宋体" w:cs="Times New Roman"/>
          <w:color w:val="auto"/>
          <w:sz w:val="24"/>
          <w:szCs w:val="22"/>
        </w:rPr>
        <w:t>的环境管理由安全环保部承担；负责该项目内所有环保设施的日常运行管理，保障各环保设施的正常运行，并对环保设施的改进提出积极的建议；</w:t>
      </w:r>
    </w:p>
    <w:p w14:paraId="7386310D">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5</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rPr>
        <w:t>负责对职工进行环保宣传教育工作，以及检查、监督各单位环保制度的执行情况；</w:t>
      </w:r>
    </w:p>
    <w:p w14:paraId="66E3CE9B">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lang w:eastAsia="zh-CN"/>
        </w:rPr>
      </w:pP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6</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rPr>
        <w:t>建立健全环境档案管理与保密制度、污染防治设施设计技术改进及运行资料、污染源调查技术档案、环境监测及评价资料、项目平面图和给排水管网图等</w:t>
      </w:r>
      <w:r>
        <w:rPr>
          <w:rFonts w:hint="eastAsia" w:ascii="Times New Roman" w:hAnsi="Times New Roman" w:eastAsia="宋体" w:cs="Times New Roman"/>
          <w:color w:val="auto"/>
          <w:sz w:val="24"/>
          <w:szCs w:val="22"/>
          <w:lang w:eastAsia="zh-CN"/>
        </w:rPr>
        <w:t>；</w:t>
      </w:r>
    </w:p>
    <w:p w14:paraId="3957B22F">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lang w:val="en-US" w:eastAsia="zh-CN"/>
        </w:rPr>
      </w:pP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7</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根据</w:t>
      </w:r>
      <w:r>
        <w:rPr>
          <w:rFonts w:hint="default"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eastAsia="zh-CN"/>
        </w:rPr>
        <w:t>排污许可证申请与核发技术规范总则</w:t>
      </w:r>
      <w:r>
        <w:rPr>
          <w:rFonts w:hint="default" w:ascii="Times New Roman" w:hAnsi="Times New Roman" w:eastAsia="宋体" w:cs="Times New Roman"/>
          <w:color w:val="auto"/>
          <w:sz w:val="24"/>
          <w:szCs w:val="22"/>
          <w:lang w:eastAsia="zh-CN"/>
        </w:rPr>
        <w:t>》（HJ942-2018）</w:t>
      </w:r>
      <w:r>
        <w:rPr>
          <w:rFonts w:hint="eastAsia" w:ascii="Times New Roman" w:hAnsi="Times New Roman" w:eastAsia="宋体" w:cs="Times New Roman"/>
          <w:color w:val="auto"/>
          <w:sz w:val="24"/>
          <w:szCs w:val="22"/>
          <w:lang w:eastAsia="zh-CN"/>
        </w:rPr>
        <w:t>、</w:t>
      </w:r>
      <w:r>
        <w:rPr>
          <w:rFonts w:hint="default" w:ascii="Times New Roman" w:hAnsi="Times New Roman" w:eastAsia="宋体" w:cs="Times New Roman"/>
          <w:color w:val="auto"/>
          <w:sz w:val="24"/>
          <w:szCs w:val="22"/>
          <w:lang w:eastAsia="zh-CN"/>
        </w:rPr>
        <w:t>《排污许可证申请与核发技术规范</w:t>
      </w:r>
      <w:r>
        <w:rPr>
          <w:rFonts w:hint="default" w:ascii="Times New Roman" w:hAnsi="Times New Roman" w:eastAsia="宋体" w:cs="Times New Roman"/>
          <w:color w:val="auto"/>
          <w:sz w:val="24"/>
          <w:szCs w:val="22"/>
          <w:lang w:val="en-US" w:eastAsia="zh-CN"/>
        </w:rPr>
        <w:t xml:space="preserve"> </w:t>
      </w:r>
      <w:r>
        <w:rPr>
          <w:rFonts w:hint="default" w:ascii="Times New Roman" w:hAnsi="Times New Roman" w:eastAsia="宋体" w:cs="Times New Roman"/>
          <w:color w:val="auto"/>
          <w:sz w:val="24"/>
          <w:szCs w:val="22"/>
          <w:lang w:eastAsia="zh-CN"/>
        </w:rPr>
        <w:t>畜禽养殖行业》（HJ1029-2019）</w:t>
      </w:r>
      <w:r>
        <w:rPr>
          <w:rFonts w:hint="eastAsia" w:ascii="Times New Roman" w:hAnsi="Times New Roman" w:eastAsia="宋体" w:cs="Times New Roman"/>
          <w:color w:val="auto"/>
          <w:sz w:val="24"/>
          <w:szCs w:val="22"/>
          <w:lang w:eastAsia="zh-CN"/>
        </w:rPr>
        <w:t>、</w:t>
      </w:r>
      <w:r>
        <w:rPr>
          <w:rFonts w:hint="eastAsia" w:ascii="Times New Roman" w:hAnsi="Times New Roman" w:eastAsia="宋体" w:cs="Times New Roman"/>
          <w:color w:val="auto"/>
          <w:sz w:val="24"/>
          <w:szCs w:val="22"/>
          <w:lang w:val="en-US" w:eastAsia="zh-CN"/>
        </w:rPr>
        <w:t>《排污许可证申请与核发技术规范 工业固体废物（试行）》（HJ1200-2021）、《排污许可证申请与核发技术规范 工业噪声》（HJ 1301-2023）</w:t>
      </w:r>
      <w:r>
        <w:rPr>
          <w:rFonts w:hint="eastAsia" w:ascii="Times New Roman" w:hAnsi="Times New Roman" w:eastAsia="宋体" w:cs="Times New Roman"/>
          <w:color w:val="auto"/>
          <w:sz w:val="24"/>
          <w:szCs w:val="22"/>
          <w:lang w:eastAsia="zh-CN"/>
        </w:rPr>
        <w:t>、</w:t>
      </w:r>
      <w:r>
        <w:rPr>
          <w:rFonts w:hint="default" w:ascii="Times New Roman" w:hAnsi="Times New Roman" w:eastAsia="宋体" w:cs="Times New Roman"/>
          <w:color w:val="auto"/>
          <w:sz w:val="24"/>
          <w:szCs w:val="22"/>
          <w:lang w:eastAsia="zh-CN"/>
        </w:rPr>
        <w:t>《排污单位环境管理台账及</w:t>
      </w:r>
      <w:r>
        <w:rPr>
          <w:rFonts w:hint="eastAsia" w:ascii="Times New Roman" w:hAnsi="Times New Roman" w:eastAsia="宋体" w:cs="Times New Roman"/>
          <w:color w:val="auto"/>
          <w:sz w:val="24"/>
          <w:szCs w:val="22"/>
          <w:lang w:val="en-US" w:eastAsia="zh-CN"/>
        </w:rPr>
        <w:t>排污</w:t>
      </w:r>
      <w:r>
        <w:rPr>
          <w:rFonts w:hint="default" w:ascii="Times New Roman" w:hAnsi="Times New Roman" w:eastAsia="宋体" w:cs="Times New Roman"/>
          <w:color w:val="auto"/>
          <w:sz w:val="24"/>
          <w:szCs w:val="22"/>
          <w:lang w:eastAsia="zh-CN"/>
        </w:rPr>
        <w:t>许可证报告技术规范总则（试行）》</w:t>
      </w:r>
      <w:r>
        <w:rPr>
          <w:rFonts w:hint="eastAsia" w:ascii="Times New Roman" w:hAnsi="Times New Roman" w:eastAsia="宋体" w:cs="Times New Roman"/>
          <w:color w:val="auto"/>
          <w:sz w:val="24"/>
          <w:szCs w:val="22"/>
          <w:lang w:val="en-US" w:eastAsia="zh-CN"/>
        </w:rPr>
        <w:t>，按照</w:t>
      </w:r>
      <w:r>
        <w:rPr>
          <w:rFonts w:hint="eastAsia" w:cs="Times New Roman"/>
          <w:color w:val="auto"/>
          <w:sz w:val="24"/>
          <w:szCs w:val="22"/>
          <w:lang w:val="en-US" w:eastAsia="zh-CN"/>
        </w:rPr>
        <w:t>“</w:t>
      </w:r>
      <w:r>
        <w:rPr>
          <w:rFonts w:hint="eastAsia" w:ascii="Times New Roman" w:hAnsi="Times New Roman" w:eastAsia="宋体" w:cs="Times New Roman"/>
          <w:color w:val="auto"/>
          <w:sz w:val="24"/>
          <w:szCs w:val="22"/>
          <w:lang w:val="en-US" w:eastAsia="zh-CN"/>
        </w:rPr>
        <w:t>规范、真实、全面、细致</w:t>
      </w:r>
      <w:r>
        <w:rPr>
          <w:rFonts w:hint="eastAsia" w:cs="Times New Roman"/>
          <w:color w:val="auto"/>
          <w:sz w:val="24"/>
          <w:szCs w:val="22"/>
          <w:lang w:val="en-US" w:eastAsia="zh-CN"/>
        </w:rPr>
        <w:t>”</w:t>
      </w:r>
      <w:r>
        <w:rPr>
          <w:rFonts w:hint="eastAsia" w:ascii="Times New Roman" w:hAnsi="Times New Roman" w:eastAsia="宋体" w:cs="Times New Roman"/>
          <w:color w:val="auto"/>
          <w:sz w:val="24"/>
          <w:szCs w:val="22"/>
          <w:lang w:val="en-US" w:eastAsia="zh-CN"/>
        </w:rPr>
        <w:t>的原则，建立环境管理台账，按时、准确、完整填写，环境管理台账主要包括污染设施运行台账、环保三同时台账、污染物监测台账、废气污染源台账、废水污染源台账、公司固体污染源台账、公司噪声污染源台账以及危险废物管理台账等。其中危险废物环境管理台账记录应符合《危险废物产生单位管理计划制定指南》等标准及管理文件的相关要求。</w:t>
      </w:r>
    </w:p>
    <w:p w14:paraId="20B891E4">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auto"/>
          <w:sz w:val="24"/>
          <w:szCs w:val="22"/>
          <w:lang w:val="en-US" w:eastAsia="zh-CN"/>
        </w:rPr>
      </w:pPr>
      <w:r>
        <w:rPr>
          <w:rFonts w:hint="eastAsia" w:ascii="Times New Roman" w:hAnsi="Times New Roman" w:eastAsia="宋体" w:cs="Times New Roman"/>
          <w:color w:val="auto"/>
          <w:sz w:val="24"/>
          <w:szCs w:val="22"/>
          <w:lang w:val="en-US" w:eastAsia="zh-CN"/>
        </w:rPr>
        <w:t xml:space="preserve">企业环境管理档案分类分年度装订，资料和台账完善整齐，装订规范，排污 </w:t>
      </w:r>
    </w:p>
    <w:p w14:paraId="15991864">
      <w:pPr>
        <w:overflowPunct w:val="0"/>
        <w:autoSpaceDE w:val="0"/>
        <w:autoSpaceDN w:val="0"/>
        <w:bidi w:val="0"/>
        <w:adjustRightInd w:val="0"/>
        <w:snapToGrid w:val="0"/>
        <w:spacing w:line="500" w:lineRule="exact"/>
        <w:rPr>
          <w:rFonts w:hint="eastAsia" w:ascii="Times New Roman" w:hAnsi="Times New Roman" w:eastAsia="宋体" w:cs="Times New Roman"/>
          <w:color w:val="auto"/>
          <w:sz w:val="24"/>
          <w:szCs w:val="22"/>
          <w:lang w:val="en-US" w:eastAsia="zh-CN"/>
        </w:rPr>
      </w:pPr>
      <w:r>
        <w:rPr>
          <w:rFonts w:hint="eastAsia" w:ascii="Times New Roman" w:hAnsi="Times New Roman" w:eastAsia="宋体" w:cs="Times New Roman"/>
          <w:color w:val="auto"/>
          <w:sz w:val="24"/>
          <w:szCs w:val="22"/>
          <w:lang w:val="en-US" w:eastAsia="zh-CN"/>
        </w:rPr>
        <w:t xml:space="preserve">许可证齐全，污染物处理装置日常运行状况和监测记录连续、完整，指标符合环 </w:t>
      </w:r>
    </w:p>
    <w:p w14:paraId="09C5FF06">
      <w:pPr>
        <w:overflowPunct w:val="0"/>
        <w:autoSpaceDE w:val="0"/>
        <w:autoSpaceDN w:val="0"/>
        <w:bidi w:val="0"/>
        <w:adjustRightInd w:val="0"/>
        <w:snapToGrid w:val="0"/>
        <w:spacing w:line="500" w:lineRule="exact"/>
        <w:rPr>
          <w:rFonts w:hint="eastAsia" w:ascii="Times New Roman" w:hAnsi="Times New Roman" w:eastAsia="宋体" w:cs="Times New Roman"/>
          <w:color w:val="auto"/>
          <w:sz w:val="24"/>
          <w:szCs w:val="22"/>
          <w:lang w:val="en-US" w:eastAsia="zh-CN"/>
        </w:rPr>
      </w:pPr>
      <w:r>
        <w:rPr>
          <w:rFonts w:hint="eastAsia" w:ascii="Times New Roman" w:hAnsi="Times New Roman" w:eastAsia="宋体" w:cs="Times New Roman"/>
          <w:color w:val="auto"/>
          <w:sz w:val="24"/>
          <w:szCs w:val="22"/>
          <w:lang w:val="en-US" w:eastAsia="zh-CN"/>
        </w:rPr>
        <w:t>境管理要求。环境管理档案在固定场所存放，资料保存应在5年及以上，确保生 态环境主管部门执法人员随时调阅检查。</w:t>
      </w:r>
    </w:p>
    <w:p w14:paraId="59748497">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799" w:name="_Toc15728"/>
      <w:r>
        <w:rPr>
          <w:rFonts w:hint="eastAsia" w:ascii="Times New Roman" w:hAnsi="Times New Roman" w:eastAsia="宋体" w:cs="Times New Roman"/>
          <w:b/>
          <w:bCs/>
          <w:kern w:val="2"/>
          <w:sz w:val="30"/>
          <w:szCs w:val="30"/>
          <w:lang w:val="en-US" w:eastAsia="zh-CN" w:bidi="ar-SA"/>
        </w:rPr>
        <w:t>9</w:t>
      </w:r>
      <w:r>
        <w:rPr>
          <w:rFonts w:hint="default" w:ascii="Times New Roman" w:hAnsi="Times New Roman" w:eastAsia="宋体" w:cs="Times New Roman"/>
          <w:b/>
          <w:bCs/>
          <w:kern w:val="2"/>
          <w:sz w:val="30"/>
          <w:szCs w:val="30"/>
          <w:lang w:val="en-US" w:eastAsia="zh-CN" w:bidi="ar-SA"/>
        </w:rPr>
        <w:t>.3环境监测</w:t>
      </w:r>
      <w:bookmarkEnd w:id="774"/>
      <w:bookmarkEnd w:id="775"/>
      <w:bookmarkEnd w:id="792"/>
      <w:r>
        <w:rPr>
          <w:rFonts w:hint="default" w:ascii="Times New Roman" w:hAnsi="Times New Roman" w:eastAsia="宋体" w:cs="Times New Roman"/>
          <w:b/>
          <w:bCs/>
          <w:kern w:val="2"/>
          <w:sz w:val="30"/>
          <w:szCs w:val="30"/>
          <w:lang w:val="en-US" w:eastAsia="zh-CN" w:bidi="ar-SA"/>
        </w:rPr>
        <w:t>制度</w:t>
      </w:r>
      <w:bookmarkEnd w:id="793"/>
      <w:bookmarkEnd w:id="794"/>
      <w:bookmarkEnd w:id="795"/>
      <w:bookmarkEnd w:id="796"/>
      <w:bookmarkEnd w:id="797"/>
      <w:bookmarkEnd w:id="798"/>
      <w:bookmarkEnd w:id="799"/>
    </w:p>
    <w:p w14:paraId="23B115CC">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800" w:name="_Toc15135"/>
      <w:bookmarkStart w:id="801" w:name="_Toc229909615"/>
      <w:bookmarkStart w:id="802" w:name="_Toc9566"/>
      <w:r>
        <w:rPr>
          <w:rFonts w:hint="eastAsia" w:ascii="Times New Roman" w:hAnsi="Times New Roman" w:eastAsia="宋体" w:cs="Times New Roman"/>
          <w:b/>
          <w:bCs/>
          <w:snapToGrid w:val="0"/>
          <w:kern w:val="2"/>
          <w:sz w:val="28"/>
          <w:szCs w:val="28"/>
          <w:lang w:val="en-US" w:eastAsia="zh-CN" w:bidi="ar-SA"/>
        </w:rPr>
        <w:t>9.3.1</w:t>
      </w:r>
      <w:r>
        <w:rPr>
          <w:rFonts w:hint="default" w:ascii="Times New Roman" w:hAnsi="Times New Roman" w:eastAsia="宋体" w:cs="Times New Roman"/>
          <w:b/>
          <w:bCs/>
          <w:snapToGrid w:val="0"/>
          <w:kern w:val="2"/>
          <w:sz w:val="28"/>
          <w:szCs w:val="28"/>
          <w:lang w:val="en-US" w:eastAsia="zh-CN" w:bidi="ar-SA"/>
        </w:rPr>
        <w:t>监测目的</w:t>
      </w:r>
      <w:bookmarkEnd w:id="800"/>
      <w:bookmarkEnd w:id="801"/>
      <w:bookmarkEnd w:id="802"/>
    </w:p>
    <w:p w14:paraId="41A7C3C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环境监测是企业搞好环境管理，促进污染治理设施正常运行的主要保障。通过定期的环境监测，了解邻近地区的环境质量状况，可以及时发现问题、解决问题，从而有利于监督各项环保措施的落实，并根据监测结果适时调整环境保护计划。</w:t>
      </w:r>
    </w:p>
    <w:p w14:paraId="73650D64">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803" w:name="_Toc229909616"/>
      <w:bookmarkStart w:id="804" w:name="_Toc10566"/>
      <w:bookmarkStart w:id="805" w:name="_Toc5560"/>
      <w:r>
        <w:rPr>
          <w:rFonts w:hint="eastAsia" w:ascii="Times New Roman" w:hAnsi="Times New Roman" w:eastAsia="宋体" w:cs="Times New Roman"/>
          <w:b/>
          <w:bCs/>
          <w:snapToGrid w:val="0"/>
          <w:kern w:val="2"/>
          <w:sz w:val="28"/>
          <w:szCs w:val="28"/>
          <w:lang w:val="en-US" w:eastAsia="zh-CN" w:bidi="ar-SA"/>
        </w:rPr>
        <w:t>9.3.2</w:t>
      </w:r>
      <w:r>
        <w:rPr>
          <w:rFonts w:hint="default" w:ascii="Times New Roman" w:hAnsi="Times New Roman" w:eastAsia="宋体" w:cs="Times New Roman"/>
          <w:b/>
          <w:bCs/>
          <w:snapToGrid w:val="0"/>
          <w:kern w:val="2"/>
          <w:sz w:val="28"/>
          <w:szCs w:val="28"/>
          <w:lang w:val="en-US" w:eastAsia="zh-CN" w:bidi="ar-SA"/>
        </w:rPr>
        <w:t>监测机构</w:t>
      </w:r>
      <w:bookmarkEnd w:id="803"/>
      <w:bookmarkEnd w:id="804"/>
      <w:bookmarkEnd w:id="805"/>
    </w:p>
    <w:p w14:paraId="4AF772B2">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根据《畜禽养殖业污染防治技术规范》（HJ/</w:t>
      </w:r>
      <w:r>
        <w:rPr>
          <w:rFonts w:hint="eastAsia" w:ascii="Times New Roman" w:hAnsi="Times New Roman" w:eastAsia="宋体" w:cs="Times New Roman"/>
          <w:sz w:val="24"/>
          <w:lang w:val="en-US" w:eastAsia="zh-CN"/>
        </w:rPr>
        <w:t>T</w:t>
      </w:r>
      <w:r>
        <w:rPr>
          <w:rFonts w:hint="default" w:ascii="Times New Roman" w:hAnsi="Times New Roman" w:eastAsia="宋体" w:cs="Times New Roman"/>
          <w:sz w:val="24"/>
        </w:rPr>
        <w:t>81</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rPr>
        <w:t>2001）中的规定，应对养殖场排放废气和恶臭定期进行监测，确保达标排放。本项目建成后，定期的污染源监测和环境监测可</w:t>
      </w:r>
      <w:r>
        <w:rPr>
          <w:rFonts w:hint="eastAsia" w:ascii="Times New Roman" w:hAnsi="Times New Roman" w:eastAsia="宋体" w:cs="Times New Roman"/>
          <w:sz w:val="24"/>
          <w:lang w:val="en-US" w:eastAsia="zh-CN"/>
        </w:rPr>
        <w:t>委托第三方</w:t>
      </w:r>
      <w:r>
        <w:rPr>
          <w:rFonts w:hint="default" w:ascii="Times New Roman" w:hAnsi="Times New Roman" w:eastAsia="宋体" w:cs="Times New Roman"/>
          <w:sz w:val="24"/>
        </w:rPr>
        <w:t>进行监测。</w:t>
      </w:r>
    </w:p>
    <w:p w14:paraId="29E2452C">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bookmarkStart w:id="806" w:name="_Toc229909617"/>
      <w:bookmarkStart w:id="807" w:name="_Toc11844"/>
      <w:bookmarkStart w:id="808" w:name="_Toc25631"/>
      <w:r>
        <w:rPr>
          <w:rFonts w:hint="eastAsia" w:ascii="Times New Roman" w:hAnsi="Times New Roman" w:eastAsia="宋体" w:cs="Times New Roman"/>
          <w:b/>
          <w:bCs/>
          <w:snapToGrid w:val="0"/>
          <w:kern w:val="2"/>
          <w:sz w:val="28"/>
          <w:szCs w:val="28"/>
          <w:lang w:val="en-US" w:eastAsia="zh-CN" w:bidi="ar-SA"/>
        </w:rPr>
        <w:t>9.3.3</w:t>
      </w:r>
      <w:r>
        <w:rPr>
          <w:rFonts w:hint="default" w:ascii="Times New Roman" w:hAnsi="Times New Roman" w:eastAsia="宋体" w:cs="Times New Roman"/>
          <w:b/>
          <w:bCs/>
          <w:snapToGrid w:val="0"/>
          <w:kern w:val="2"/>
          <w:sz w:val="28"/>
          <w:szCs w:val="28"/>
          <w:lang w:val="en-US" w:eastAsia="zh-CN" w:bidi="ar-SA"/>
        </w:rPr>
        <w:t>环境监测计划</w:t>
      </w:r>
      <w:bookmarkEnd w:id="806"/>
      <w:bookmarkEnd w:id="807"/>
      <w:bookmarkEnd w:id="808"/>
    </w:p>
    <w:p w14:paraId="22A390AA">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b/>
          <w:bCs/>
          <w:sz w:val="24"/>
        </w:rPr>
      </w:pPr>
      <w:r>
        <w:rPr>
          <w:rFonts w:hint="eastAsia" w:ascii="Times New Roman" w:hAnsi="Times New Roman" w:eastAsia="宋体" w:cs="Times New Roman"/>
          <w:color w:val="000000"/>
          <w:kern w:val="2"/>
          <w:sz w:val="24"/>
          <w:szCs w:val="20"/>
          <w:highlight w:val="none"/>
          <w:lang w:val="en-US" w:eastAsia="zh-CN"/>
        </w:rPr>
        <w:t>根据项目生产特点和主要污染物的排放情况，按照《排污单位自行监测技术指南 总则》（HJ819-2017）、《排污单位自行监测技术指南 畜禽养殖行业》（HJ1252-2022）、</w:t>
      </w:r>
      <w:r>
        <w:rPr>
          <w:rFonts w:hint="eastAsia" w:ascii="Times New Roman" w:hAnsi="Times New Roman" w:eastAsia="宋体" w:cs="Times New Roman"/>
          <w:color w:val="000000"/>
          <w:kern w:val="0"/>
          <w:sz w:val="24"/>
          <w:szCs w:val="20"/>
          <w:highlight w:val="none"/>
          <w:lang w:val="en-US" w:eastAsia="zh-CN"/>
        </w:rPr>
        <w:t>《地下水环境监测技术规范》（HJ164-2020）</w:t>
      </w:r>
      <w:r>
        <w:rPr>
          <w:rFonts w:hint="eastAsia" w:cs="Times New Roman"/>
          <w:color w:val="000000"/>
          <w:kern w:val="0"/>
          <w:sz w:val="24"/>
          <w:szCs w:val="20"/>
          <w:highlight w:val="none"/>
          <w:lang w:val="en-US" w:eastAsia="zh-CN"/>
        </w:rPr>
        <w:t>以及</w:t>
      </w:r>
      <w:r>
        <w:rPr>
          <w:rFonts w:hint="eastAsia" w:ascii="Times New Roman" w:hAnsi="Times New Roman" w:eastAsia="宋体" w:cs="Times New Roman"/>
          <w:color w:val="000000"/>
          <w:kern w:val="0"/>
          <w:sz w:val="24"/>
          <w:szCs w:val="20"/>
          <w:highlight w:val="none"/>
          <w:lang w:eastAsia="zh-CN"/>
        </w:rPr>
        <w:t>《</w:t>
      </w:r>
      <w:r>
        <w:rPr>
          <w:rFonts w:hint="eastAsia" w:ascii="Times New Roman" w:hAnsi="Times New Roman" w:eastAsia="宋体" w:cs="Times New Roman"/>
          <w:color w:val="000000"/>
          <w:kern w:val="0"/>
          <w:sz w:val="24"/>
          <w:szCs w:val="20"/>
          <w:highlight w:val="none"/>
        </w:rPr>
        <w:t>工业企业土壤和地下水自行监测技术指南（试行）</w:t>
      </w:r>
      <w:r>
        <w:rPr>
          <w:rFonts w:hint="eastAsia" w:ascii="Times New Roman" w:hAnsi="Times New Roman" w:eastAsia="宋体" w:cs="Times New Roman"/>
          <w:color w:val="000000"/>
          <w:kern w:val="0"/>
          <w:sz w:val="24"/>
          <w:szCs w:val="20"/>
          <w:highlight w:val="none"/>
          <w:lang w:eastAsia="zh-CN"/>
        </w:rPr>
        <w:t>》（HJ 1209</w:t>
      </w:r>
      <w:r>
        <w:rPr>
          <w:rFonts w:hint="eastAsia" w:ascii="Times New Roman" w:hAnsi="Times New Roman" w:eastAsia="宋体"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eastAsia="zh-CN"/>
        </w:rPr>
        <w:t>2021）</w:t>
      </w:r>
      <w:r>
        <w:rPr>
          <w:rFonts w:hint="eastAsia" w:ascii="Times New Roman" w:hAnsi="Times New Roman" w:eastAsia="宋体" w:cs="Times New Roman"/>
          <w:color w:val="000000"/>
          <w:kern w:val="0"/>
          <w:sz w:val="24"/>
          <w:szCs w:val="20"/>
          <w:highlight w:val="none"/>
          <w:lang w:val="en-US" w:eastAsia="zh-CN"/>
        </w:rPr>
        <w:t>等规范、指南</w:t>
      </w:r>
      <w:r>
        <w:rPr>
          <w:rFonts w:hint="eastAsia" w:ascii="Times New Roman" w:hAnsi="Times New Roman" w:eastAsia="宋体" w:cs="Times New Roman"/>
          <w:color w:val="000000"/>
          <w:kern w:val="2"/>
          <w:sz w:val="24"/>
          <w:szCs w:val="20"/>
          <w:highlight w:val="none"/>
          <w:lang w:val="en-US" w:eastAsia="zh-CN"/>
        </w:rPr>
        <w:t>制定监测计划，</w:t>
      </w:r>
      <w:r>
        <w:rPr>
          <w:rFonts w:hint="default" w:ascii="Times New Roman" w:hAnsi="Times New Roman" w:eastAsia="宋体" w:cs="Times New Roman"/>
          <w:sz w:val="24"/>
        </w:rPr>
        <w:t>本项目监测计划见下表</w:t>
      </w:r>
      <w:r>
        <w:rPr>
          <w:rFonts w:hint="eastAsia" w:ascii="Times New Roman" w:hAnsi="Times New Roman" w:eastAsia="宋体" w:cs="Times New Roman"/>
          <w:sz w:val="24"/>
          <w:lang w:val="en-US" w:eastAsia="zh-CN"/>
        </w:rPr>
        <w:t>9</w:t>
      </w:r>
      <w:r>
        <w:rPr>
          <w:rFonts w:hint="default" w:ascii="Times New Roman" w:hAnsi="Times New Roman" w:eastAsia="宋体" w:cs="Times New Roman"/>
          <w:sz w:val="24"/>
        </w:rPr>
        <w:t>.3-1。</w:t>
      </w:r>
    </w:p>
    <w:p w14:paraId="2225075D">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表</w:t>
      </w:r>
      <w:r>
        <w:rPr>
          <w:rFonts w:hint="eastAsia" w:ascii="Times New Roman" w:hAnsi="Times New Roman" w:eastAsia="宋体" w:cs="Times New Roman"/>
          <w:b/>
          <w:bCs/>
          <w:kern w:val="2"/>
          <w:sz w:val="24"/>
          <w:szCs w:val="24"/>
          <w:lang w:val="en-US" w:eastAsia="zh-CN" w:bidi="ar-SA"/>
        </w:rPr>
        <w:t>9</w:t>
      </w:r>
      <w:r>
        <w:rPr>
          <w:rFonts w:hint="default" w:ascii="Times New Roman" w:hAnsi="Times New Roman" w:eastAsia="宋体" w:cs="Times New Roman"/>
          <w:b/>
          <w:bCs/>
          <w:kern w:val="2"/>
          <w:sz w:val="24"/>
          <w:szCs w:val="24"/>
          <w:lang w:val="en-US" w:eastAsia="zh-CN" w:bidi="ar-SA"/>
        </w:rPr>
        <w:t>.</w:t>
      </w:r>
      <w:r>
        <w:rPr>
          <w:rFonts w:hint="eastAsia" w:ascii="Times New Roman" w:hAnsi="Times New Roman" w:eastAsia="宋体" w:cs="Times New Roman"/>
          <w:b/>
          <w:bCs/>
          <w:kern w:val="2"/>
          <w:sz w:val="24"/>
          <w:szCs w:val="24"/>
          <w:lang w:val="en-US" w:eastAsia="zh-CN" w:bidi="ar-SA"/>
        </w:rPr>
        <w:t>3</w:t>
      </w:r>
      <w:r>
        <w:rPr>
          <w:rFonts w:hint="default" w:ascii="Times New Roman" w:hAnsi="Times New Roman" w:eastAsia="宋体" w:cs="Times New Roman"/>
          <w:b/>
          <w:bCs/>
          <w:kern w:val="2"/>
          <w:sz w:val="24"/>
          <w:szCs w:val="24"/>
          <w:lang w:val="en-US" w:eastAsia="zh-CN" w:bidi="ar-SA"/>
        </w:rPr>
        <w:t>-1本项目环境监测计划</w:t>
      </w:r>
    </w:p>
    <w:tbl>
      <w:tblPr>
        <w:tblStyle w:val="20"/>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069"/>
        <w:gridCol w:w="2073"/>
        <w:gridCol w:w="3954"/>
        <w:gridCol w:w="1408"/>
      </w:tblGrid>
      <w:tr w14:paraId="13729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9" w:type="dxa"/>
            <w:tcBorders>
              <w:tl2br w:val="nil"/>
              <w:tr2bl w:val="nil"/>
            </w:tcBorders>
            <w:noWrap w:val="0"/>
            <w:vAlign w:val="center"/>
          </w:tcPr>
          <w:p w14:paraId="29BD6AE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b/>
                <w:bCs/>
                <w:sz w:val="21"/>
                <w:szCs w:val="21"/>
                <w:lang w:eastAsia="zh-CN"/>
              </w:rPr>
            </w:pPr>
            <w:r>
              <w:rPr>
                <w:rFonts w:hint="eastAsia" w:ascii="Times New Roman" w:hAnsi="Times New Roman" w:eastAsia="宋体" w:cs="Times New Roman"/>
                <w:b/>
                <w:bCs/>
                <w:sz w:val="21"/>
                <w:szCs w:val="21"/>
                <w:lang w:eastAsia="zh-CN"/>
              </w:rPr>
              <w:t>类别</w:t>
            </w:r>
          </w:p>
        </w:tc>
        <w:tc>
          <w:tcPr>
            <w:tcW w:w="2073" w:type="dxa"/>
            <w:tcBorders>
              <w:tl2br w:val="nil"/>
              <w:tr2bl w:val="nil"/>
            </w:tcBorders>
            <w:noWrap w:val="0"/>
            <w:vAlign w:val="center"/>
          </w:tcPr>
          <w:p w14:paraId="475123C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监测地点</w:t>
            </w:r>
          </w:p>
        </w:tc>
        <w:tc>
          <w:tcPr>
            <w:tcW w:w="3954" w:type="dxa"/>
            <w:tcBorders>
              <w:tl2br w:val="nil"/>
              <w:tr2bl w:val="nil"/>
            </w:tcBorders>
            <w:noWrap w:val="0"/>
            <w:vAlign w:val="center"/>
          </w:tcPr>
          <w:p w14:paraId="11E4675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监测项目</w:t>
            </w:r>
          </w:p>
        </w:tc>
        <w:tc>
          <w:tcPr>
            <w:tcW w:w="1408" w:type="dxa"/>
            <w:tcBorders>
              <w:tl2br w:val="nil"/>
              <w:tr2bl w:val="nil"/>
            </w:tcBorders>
            <w:noWrap w:val="0"/>
            <w:vAlign w:val="center"/>
          </w:tcPr>
          <w:p w14:paraId="4BED19B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监测频率</w:t>
            </w:r>
          </w:p>
        </w:tc>
      </w:tr>
      <w:tr w14:paraId="7BC5B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1069" w:type="dxa"/>
            <w:vMerge w:val="restart"/>
            <w:tcBorders>
              <w:tl2br w:val="nil"/>
              <w:tr2bl w:val="nil"/>
            </w:tcBorders>
            <w:noWrap w:val="0"/>
            <w:vAlign w:val="center"/>
          </w:tcPr>
          <w:p w14:paraId="4B6C989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废气</w:t>
            </w:r>
          </w:p>
        </w:tc>
        <w:tc>
          <w:tcPr>
            <w:tcW w:w="2073" w:type="dxa"/>
            <w:tcBorders>
              <w:tl2br w:val="nil"/>
              <w:tr2bl w:val="nil"/>
            </w:tcBorders>
            <w:noWrap w:val="0"/>
            <w:vAlign w:val="center"/>
          </w:tcPr>
          <w:p w14:paraId="09CF732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color w:val="000000"/>
                <w:kern w:val="2"/>
                <w:sz w:val="21"/>
                <w:szCs w:val="21"/>
                <w:highlight w:val="none"/>
                <w:lang w:val="en-US" w:eastAsia="zh-CN" w:bidi="ar-SA"/>
              </w:rPr>
              <w:t>DA001</w:t>
            </w:r>
            <w:r>
              <w:rPr>
                <w:rFonts w:hint="default" w:ascii="Times New Roman" w:hAnsi="Times New Roman" w:eastAsia="宋体" w:cs="Times New Roman"/>
                <w:color w:val="000000"/>
                <w:kern w:val="2"/>
                <w:sz w:val="21"/>
                <w:szCs w:val="21"/>
                <w:highlight w:val="none"/>
                <w:lang w:val="en-US" w:eastAsia="zh-CN" w:bidi="ar-SA"/>
              </w:rPr>
              <w:t>（</w:t>
            </w:r>
            <w:r>
              <w:rPr>
                <w:rFonts w:hint="eastAsia" w:ascii="Times New Roman" w:hAnsi="Times New Roman" w:eastAsia="宋体" w:cs="Times New Roman"/>
                <w:color w:val="000000"/>
                <w:kern w:val="2"/>
                <w:sz w:val="21"/>
                <w:szCs w:val="21"/>
                <w:highlight w:val="none"/>
                <w:lang w:val="en-US" w:eastAsia="zh-CN" w:bidi="ar-SA"/>
              </w:rPr>
              <w:t>堆肥间</w:t>
            </w:r>
            <w:r>
              <w:rPr>
                <w:rFonts w:hint="default" w:ascii="Times New Roman" w:hAnsi="Times New Roman" w:eastAsia="宋体" w:cs="Times New Roman"/>
                <w:color w:val="000000"/>
                <w:kern w:val="2"/>
                <w:sz w:val="21"/>
                <w:szCs w:val="21"/>
                <w:highlight w:val="none"/>
                <w:lang w:val="en-US" w:eastAsia="zh-CN" w:bidi="ar-SA"/>
              </w:rPr>
              <w:t>排放口）</w:t>
            </w:r>
          </w:p>
        </w:tc>
        <w:tc>
          <w:tcPr>
            <w:tcW w:w="3954" w:type="dxa"/>
            <w:tcBorders>
              <w:tl2br w:val="nil"/>
              <w:tr2bl w:val="nil"/>
            </w:tcBorders>
            <w:noWrap w:val="0"/>
            <w:vAlign w:val="center"/>
          </w:tcPr>
          <w:p w14:paraId="59CEB29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val="en-US" w:eastAsia="zh-CN"/>
              </w:rPr>
              <w:t>颗粒物</w:t>
            </w:r>
            <w:r>
              <w:rPr>
                <w:rFonts w:hint="eastAsia" w:ascii="Times New Roman" w:hAnsi="Times New Roman" w:eastAsia="宋体" w:cs="Times New Roman"/>
                <w:sz w:val="21"/>
                <w:szCs w:val="21"/>
                <w:lang w:val="en-US" w:eastAsia="zh-CN"/>
              </w:rPr>
              <w:t>、氨、硫化氢、臭气浓度</w:t>
            </w:r>
          </w:p>
        </w:tc>
        <w:tc>
          <w:tcPr>
            <w:tcW w:w="1408" w:type="dxa"/>
            <w:tcBorders>
              <w:tl2br w:val="nil"/>
              <w:tr2bl w:val="nil"/>
            </w:tcBorders>
            <w:noWrap w:val="0"/>
            <w:vAlign w:val="center"/>
          </w:tcPr>
          <w:p w14:paraId="3D32F4C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半年/次</w:t>
            </w:r>
          </w:p>
        </w:tc>
      </w:tr>
      <w:tr w14:paraId="4F23D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1069" w:type="dxa"/>
            <w:vMerge w:val="continue"/>
            <w:tcBorders>
              <w:tl2br w:val="nil"/>
              <w:tr2bl w:val="nil"/>
            </w:tcBorders>
            <w:noWrap w:val="0"/>
            <w:vAlign w:val="center"/>
          </w:tcPr>
          <w:p w14:paraId="36017D3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p>
        </w:tc>
        <w:tc>
          <w:tcPr>
            <w:tcW w:w="2073" w:type="dxa"/>
            <w:tcBorders>
              <w:tl2br w:val="nil"/>
              <w:tr2bl w:val="nil"/>
            </w:tcBorders>
            <w:noWrap w:val="0"/>
            <w:vAlign w:val="center"/>
          </w:tcPr>
          <w:p w14:paraId="2B367B81">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DA002（饲料加工排放口）</w:t>
            </w:r>
          </w:p>
        </w:tc>
        <w:tc>
          <w:tcPr>
            <w:tcW w:w="3954" w:type="dxa"/>
            <w:tcBorders>
              <w:tl2br w:val="nil"/>
              <w:tr2bl w:val="nil"/>
            </w:tcBorders>
            <w:noWrap w:val="0"/>
            <w:vAlign w:val="center"/>
          </w:tcPr>
          <w:p w14:paraId="194241B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颗粒物</w:t>
            </w:r>
          </w:p>
        </w:tc>
        <w:tc>
          <w:tcPr>
            <w:tcW w:w="1408" w:type="dxa"/>
            <w:tcBorders>
              <w:tl2br w:val="nil"/>
              <w:tr2bl w:val="nil"/>
            </w:tcBorders>
            <w:noWrap w:val="0"/>
            <w:vAlign w:val="center"/>
          </w:tcPr>
          <w:p w14:paraId="396A769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半年/次</w:t>
            </w:r>
          </w:p>
        </w:tc>
      </w:tr>
      <w:tr w14:paraId="4D6F86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1069" w:type="dxa"/>
            <w:vMerge w:val="continue"/>
            <w:tcBorders>
              <w:tl2br w:val="nil"/>
              <w:tr2bl w:val="nil"/>
            </w:tcBorders>
            <w:noWrap w:val="0"/>
            <w:vAlign w:val="center"/>
          </w:tcPr>
          <w:p w14:paraId="5B7539F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p>
        </w:tc>
        <w:tc>
          <w:tcPr>
            <w:tcW w:w="2073" w:type="dxa"/>
            <w:tcBorders>
              <w:tl2br w:val="nil"/>
              <w:tr2bl w:val="nil"/>
            </w:tcBorders>
            <w:noWrap w:val="0"/>
            <w:vAlign w:val="center"/>
          </w:tcPr>
          <w:p w14:paraId="7B7131F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厂界</w:t>
            </w:r>
          </w:p>
        </w:tc>
        <w:tc>
          <w:tcPr>
            <w:tcW w:w="3954" w:type="dxa"/>
            <w:tcBorders>
              <w:tl2br w:val="nil"/>
              <w:tr2bl w:val="nil"/>
            </w:tcBorders>
            <w:noWrap w:val="0"/>
            <w:vAlign w:val="center"/>
          </w:tcPr>
          <w:p w14:paraId="07A4B02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臭气浓度</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氨、硫化氢、</w:t>
            </w:r>
            <w:r>
              <w:rPr>
                <w:rFonts w:hint="default" w:ascii="Times New Roman" w:hAnsi="Times New Roman" w:eastAsia="宋体" w:cs="Times New Roman"/>
                <w:sz w:val="21"/>
                <w:szCs w:val="21"/>
                <w:lang w:val="en-US" w:eastAsia="zh-CN"/>
              </w:rPr>
              <w:t>颗粒物</w:t>
            </w:r>
          </w:p>
        </w:tc>
        <w:tc>
          <w:tcPr>
            <w:tcW w:w="1408" w:type="dxa"/>
            <w:tcBorders>
              <w:tl2br w:val="nil"/>
              <w:tr2bl w:val="nil"/>
            </w:tcBorders>
            <w:noWrap w:val="0"/>
            <w:vAlign w:val="center"/>
          </w:tcPr>
          <w:p w14:paraId="3619852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半年/次</w:t>
            </w:r>
          </w:p>
        </w:tc>
      </w:tr>
      <w:tr w14:paraId="4111F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1069" w:type="dxa"/>
            <w:vMerge w:val="continue"/>
            <w:tcBorders>
              <w:tl2br w:val="nil"/>
              <w:tr2bl w:val="nil"/>
            </w:tcBorders>
            <w:noWrap w:val="0"/>
            <w:vAlign w:val="center"/>
          </w:tcPr>
          <w:p w14:paraId="3B08949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p>
        </w:tc>
        <w:tc>
          <w:tcPr>
            <w:tcW w:w="2073" w:type="dxa"/>
            <w:tcBorders>
              <w:tl2br w:val="nil"/>
              <w:tr2bl w:val="nil"/>
            </w:tcBorders>
            <w:noWrap w:val="0"/>
            <w:vAlign w:val="center"/>
          </w:tcPr>
          <w:p w14:paraId="39AC7D8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还田区</w:t>
            </w:r>
          </w:p>
        </w:tc>
        <w:tc>
          <w:tcPr>
            <w:tcW w:w="3954" w:type="dxa"/>
            <w:tcBorders>
              <w:tl2br w:val="nil"/>
              <w:tr2bl w:val="nil"/>
            </w:tcBorders>
            <w:noWrap w:val="0"/>
            <w:vAlign w:val="center"/>
          </w:tcPr>
          <w:p w14:paraId="76E4E87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臭气浓度</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氨、硫化氢</w:t>
            </w:r>
          </w:p>
        </w:tc>
        <w:tc>
          <w:tcPr>
            <w:tcW w:w="1408" w:type="dxa"/>
            <w:tcBorders>
              <w:tl2br w:val="nil"/>
              <w:tr2bl w:val="nil"/>
            </w:tcBorders>
            <w:noWrap w:val="0"/>
            <w:vAlign w:val="center"/>
          </w:tcPr>
          <w:p w14:paraId="672C4FA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每年轮作结束后监测</w:t>
            </w:r>
          </w:p>
        </w:tc>
      </w:tr>
      <w:tr w14:paraId="26A1C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9" w:type="dxa"/>
            <w:tcBorders>
              <w:tl2br w:val="nil"/>
              <w:tr2bl w:val="nil"/>
            </w:tcBorders>
            <w:noWrap w:val="0"/>
            <w:vAlign w:val="center"/>
          </w:tcPr>
          <w:p w14:paraId="2AA4CDF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噪声</w:t>
            </w:r>
          </w:p>
        </w:tc>
        <w:tc>
          <w:tcPr>
            <w:tcW w:w="2073" w:type="dxa"/>
            <w:tcBorders>
              <w:tl2br w:val="nil"/>
              <w:tr2bl w:val="nil"/>
            </w:tcBorders>
            <w:noWrap w:val="0"/>
            <w:vAlign w:val="center"/>
          </w:tcPr>
          <w:p w14:paraId="3BD5160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厂界外</w:t>
            </w:r>
            <w:r>
              <w:rPr>
                <w:rFonts w:hint="eastAsia" w:ascii="Times New Roman" w:hAnsi="Times New Roman" w:eastAsia="宋体" w:cs="Times New Roman"/>
                <w:sz w:val="21"/>
                <w:szCs w:val="21"/>
                <w:lang w:val="en-US" w:eastAsia="zh-CN"/>
              </w:rPr>
              <w:t>1m处</w:t>
            </w:r>
          </w:p>
        </w:tc>
        <w:tc>
          <w:tcPr>
            <w:tcW w:w="3954" w:type="dxa"/>
            <w:tcBorders>
              <w:tl2br w:val="nil"/>
              <w:tr2bl w:val="nil"/>
            </w:tcBorders>
            <w:noWrap w:val="0"/>
            <w:vAlign w:val="center"/>
          </w:tcPr>
          <w:p w14:paraId="0FEA4DFC">
            <w:pPr>
              <w:jc w:val="center"/>
              <w:rPr>
                <w:rFonts w:hint="default" w:ascii="Times New Roman" w:hAnsi="Times New Roman" w:eastAsia="宋体" w:cs="Times New Roman"/>
                <w:sz w:val="21"/>
                <w:szCs w:val="21"/>
              </w:rPr>
            </w:pPr>
            <w:r>
              <w:rPr>
                <w:rFonts w:ascii="Times New Roman" w:hAnsi="Times New Roman" w:eastAsia="宋体" w:cs="Times New Roman"/>
                <w:sz w:val="21"/>
                <w:szCs w:val="21"/>
              </w:rPr>
              <w:t>Leq（A）</w:t>
            </w:r>
          </w:p>
        </w:tc>
        <w:tc>
          <w:tcPr>
            <w:tcW w:w="1408" w:type="dxa"/>
            <w:tcBorders>
              <w:tl2br w:val="nil"/>
              <w:tr2bl w:val="nil"/>
            </w:tcBorders>
            <w:noWrap w:val="0"/>
            <w:vAlign w:val="center"/>
          </w:tcPr>
          <w:p w14:paraId="12B053D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季度/</w:t>
            </w:r>
            <w:r>
              <w:rPr>
                <w:rFonts w:hint="default" w:ascii="Times New Roman" w:hAnsi="Times New Roman" w:eastAsia="宋体" w:cs="Times New Roman"/>
                <w:sz w:val="21"/>
                <w:szCs w:val="21"/>
              </w:rPr>
              <w:t>次</w:t>
            </w:r>
          </w:p>
        </w:tc>
      </w:tr>
      <w:tr w14:paraId="35BCC0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9" w:type="dxa"/>
            <w:tcBorders>
              <w:tl2br w:val="nil"/>
              <w:tr2bl w:val="nil"/>
            </w:tcBorders>
            <w:noWrap w:val="0"/>
            <w:vAlign w:val="center"/>
          </w:tcPr>
          <w:p w14:paraId="17AAEDD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地下水</w:t>
            </w:r>
          </w:p>
        </w:tc>
        <w:tc>
          <w:tcPr>
            <w:tcW w:w="2073" w:type="dxa"/>
            <w:tcBorders>
              <w:tl2br w:val="nil"/>
              <w:tr2bl w:val="nil"/>
            </w:tcBorders>
            <w:noWrap w:val="0"/>
            <w:vAlign w:val="center"/>
          </w:tcPr>
          <w:p w14:paraId="1B2AB14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跟踪监测井</w:t>
            </w:r>
          </w:p>
        </w:tc>
        <w:tc>
          <w:tcPr>
            <w:tcW w:w="3954" w:type="dxa"/>
            <w:tcBorders>
              <w:tl2br w:val="nil"/>
              <w:tr2bl w:val="nil"/>
            </w:tcBorders>
            <w:noWrap w:val="0"/>
            <w:vAlign w:val="center"/>
          </w:tcPr>
          <w:p w14:paraId="0DC57D59">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气温、地下水水位、水温、pH、溶解氧、电导率、氧化还原电位、嗅和味、浑浊度、肉眼可见物</w:t>
            </w:r>
          </w:p>
          <w:p w14:paraId="247E4040">
            <w:pPr>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pH、耗氧量、溶解性总固体、挥发性酚类、阴离子表面活性剂、氯化物、硫化物、石油类、汞、镉、砷、六价铬、铅、总大肠菌群、菌落总数</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化学需氧量、氨氮、总磷、总氮</w:t>
            </w:r>
          </w:p>
        </w:tc>
        <w:tc>
          <w:tcPr>
            <w:tcW w:w="1408" w:type="dxa"/>
            <w:tcBorders>
              <w:tl2br w:val="nil"/>
              <w:tr2bl w:val="nil"/>
            </w:tcBorders>
            <w:noWrap w:val="0"/>
            <w:vAlign w:val="center"/>
          </w:tcPr>
          <w:p w14:paraId="56E6A19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半年/次，</w:t>
            </w:r>
            <w:r>
              <w:rPr>
                <w:rFonts w:hint="eastAsia" w:ascii="Times New Roman" w:hAnsi="Times New Roman" w:eastAsia="宋体" w:cs="Times New Roman"/>
                <w:b w:val="0"/>
                <w:bCs w:val="0"/>
                <w:color w:val="000000"/>
                <w:kern w:val="0"/>
                <w:sz w:val="21"/>
                <w:szCs w:val="21"/>
                <w:highlight w:val="none"/>
                <w:lang w:val="en-US" w:eastAsia="zh-CN"/>
              </w:rPr>
              <w:t>发现有地下水污染现象时需增加采样频次</w:t>
            </w:r>
          </w:p>
        </w:tc>
      </w:tr>
      <w:tr w14:paraId="29CE2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9" w:type="dxa"/>
            <w:vMerge w:val="restart"/>
            <w:tcBorders>
              <w:tl2br w:val="nil"/>
              <w:tr2bl w:val="nil"/>
            </w:tcBorders>
            <w:noWrap w:val="0"/>
            <w:vAlign w:val="center"/>
          </w:tcPr>
          <w:p w14:paraId="05A553B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土壤</w:t>
            </w:r>
          </w:p>
        </w:tc>
        <w:tc>
          <w:tcPr>
            <w:tcW w:w="2073" w:type="dxa"/>
            <w:tcBorders>
              <w:tl2br w:val="nil"/>
              <w:tr2bl w:val="nil"/>
            </w:tcBorders>
            <w:noWrap w:val="0"/>
            <w:vAlign w:val="center"/>
          </w:tcPr>
          <w:p w14:paraId="43359CF3">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尿液收集池、运动场周围</w:t>
            </w:r>
          </w:p>
        </w:tc>
        <w:tc>
          <w:tcPr>
            <w:tcW w:w="3954" w:type="dxa"/>
            <w:vMerge w:val="restart"/>
            <w:tcBorders>
              <w:tl2br w:val="nil"/>
              <w:tr2bl w:val="nil"/>
            </w:tcBorders>
            <w:noWrap w:val="0"/>
            <w:vAlign w:val="center"/>
          </w:tcPr>
          <w:p w14:paraId="5EFE71BD">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pH、镉、汞、砷、铜、铅、铬、锌、镍、六六六、滴滴涕</w:t>
            </w:r>
          </w:p>
        </w:tc>
        <w:tc>
          <w:tcPr>
            <w:tcW w:w="1408" w:type="dxa"/>
            <w:vMerge w:val="restart"/>
            <w:tcBorders>
              <w:tl2br w:val="nil"/>
              <w:tr2bl w:val="nil"/>
            </w:tcBorders>
            <w:noWrap w:val="0"/>
            <w:vAlign w:val="center"/>
          </w:tcPr>
          <w:p w14:paraId="617CC6E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r>
              <w:rPr>
                <w:rFonts w:hint="eastAsia" w:cs="Times New Roman"/>
                <w:color w:val="000000"/>
                <w:sz w:val="21"/>
                <w:highlight w:val="none"/>
                <w:lang w:val="en-US" w:eastAsia="zh-CN" w:bidi="ar-SA"/>
              </w:rPr>
              <w:t>必要时可开展跟踪监测：</w:t>
            </w:r>
            <w:r>
              <w:rPr>
                <w:rFonts w:hint="eastAsia" w:ascii="Times New Roman" w:hAnsi="Times New Roman" w:eastAsia="宋体" w:cs="Times New Roman"/>
                <w:sz w:val="21"/>
                <w:szCs w:val="21"/>
                <w:lang w:val="en-US" w:eastAsia="zh-CN"/>
              </w:rPr>
              <w:t>表层土壤1次/年，深层土壤1次/3年</w:t>
            </w:r>
          </w:p>
        </w:tc>
      </w:tr>
      <w:tr w14:paraId="1C2AAD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9" w:type="dxa"/>
            <w:vMerge w:val="continue"/>
            <w:tcBorders>
              <w:tl2br w:val="nil"/>
              <w:tr2bl w:val="nil"/>
            </w:tcBorders>
            <w:noWrap w:val="0"/>
            <w:vAlign w:val="center"/>
          </w:tcPr>
          <w:p w14:paraId="4BB2610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bookmarkStart w:id="809" w:name="_Toc2695"/>
            <w:bookmarkStart w:id="810" w:name="_Toc2716"/>
            <w:bookmarkStart w:id="811" w:name="_Toc298855667"/>
            <w:bookmarkStart w:id="812" w:name="_Toc337673508"/>
            <w:bookmarkStart w:id="813" w:name="_Toc472451945"/>
            <w:bookmarkStart w:id="814" w:name="_Toc292183633"/>
          </w:p>
        </w:tc>
        <w:tc>
          <w:tcPr>
            <w:tcW w:w="2073" w:type="dxa"/>
            <w:tcBorders>
              <w:tl2br w:val="nil"/>
              <w:tr2bl w:val="nil"/>
            </w:tcBorders>
            <w:noWrap w:val="0"/>
            <w:vAlign w:val="center"/>
          </w:tcPr>
          <w:p w14:paraId="4CB59AD2">
            <w:pPr>
              <w:jc w:val="center"/>
              <w:rPr>
                <w:rFonts w:hint="default" w:cs="Times New Roman"/>
                <w:sz w:val="21"/>
                <w:szCs w:val="21"/>
                <w:lang w:val="en-US" w:eastAsia="zh-CN"/>
              </w:rPr>
            </w:pPr>
            <w:r>
              <w:rPr>
                <w:rFonts w:hint="eastAsia" w:cs="Times New Roman"/>
                <w:sz w:val="21"/>
                <w:szCs w:val="21"/>
                <w:lang w:val="en-US" w:eastAsia="zh-CN"/>
              </w:rPr>
              <w:t>运动场</w:t>
            </w:r>
          </w:p>
        </w:tc>
        <w:tc>
          <w:tcPr>
            <w:tcW w:w="3954" w:type="dxa"/>
            <w:vMerge w:val="continue"/>
            <w:tcBorders>
              <w:tl2br w:val="nil"/>
              <w:tr2bl w:val="nil"/>
            </w:tcBorders>
            <w:noWrap w:val="0"/>
            <w:vAlign w:val="center"/>
          </w:tcPr>
          <w:p w14:paraId="12875D3F">
            <w:pPr>
              <w:jc w:val="center"/>
              <w:rPr>
                <w:rFonts w:hint="eastAsia" w:ascii="Times New Roman" w:hAnsi="Times New Roman" w:eastAsia="宋体" w:cs="Times New Roman"/>
                <w:sz w:val="21"/>
                <w:szCs w:val="21"/>
                <w:lang w:val="en-US" w:eastAsia="zh-CN"/>
              </w:rPr>
            </w:pPr>
          </w:p>
        </w:tc>
        <w:tc>
          <w:tcPr>
            <w:tcW w:w="1408" w:type="dxa"/>
            <w:vMerge w:val="continue"/>
            <w:tcBorders>
              <w:tl2br w:val="nil"/>
              <w:tr2bl w:val="nil"/>
            </w:tcBorders>
            <w:noWrap w:val="0"/>
            <w:vAlign w:val="center"/>
          </w:tcPr>
          <w:p w14:paraId="78CA446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p>
        </w:tc>
      </w:tr>
      <w:tr w14:paraId="7F64D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9" w:type="dxa"/>
            <w:vMerge w:val="continue"/>
            <w:tcBorders>
              <w:tl2br w:val="nil"/>
              <w:tr2bl w:val="nil"/>
            </w:tcBorders>
            <w:noWrap w:val="0"/>
            <w:vAlign w:val="center"/>
          </w:tcPr>
          <w:p w14:paraId="4853E68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宋体" w:cs="Times New Roman"/>
                <w:sz w:val="21"/>
                <w:szCs w:val="21"/>
                <w:lang w:eastAsia="zh-CN"/>
              </w:rPr>
            </w:pPr>
          </w:p>
        </w:tc>
        <w:tc>
          <w:tcPr>
            <w:tcW w:w="2073" w:type="dxa"/>
            <w:tcBorders>
              <w:tl2br w:val="nil"/>
              <w:tr2bl w:val="nil"/>
            </w:tcBorders>
            <w:noWrap w:val="0"/>
            <w:vAlign w:val="center"/>
          </w:tcPr>
          <w:p w14:paraId="164D7C11">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还田区</w:t>
            </w:r>
          </w:p>
        </w:tc>
        <w:tc>
          <w:tcPr>
            <w:tcW w:w="3954" w:type="dxa"/>
            <w:vMerge w:val="continue"/>
            <w:tcBorders>
              <w:tl2br w:val="nil"/>
              <w:tr2bl w:val="nil"/>
            </w:tcBorders>
            <w:noWrap w:val="0"/>
            <w:vAlign w:val="center"/>
          </w:tcPr>
          <w:p w14:paraId="3C480BB9">
            <w:pPr>
              <w:jc w:val="center"/>
              <w:rPr>
                <w:rFonts w:hint="eastAsia" w:ascii="Times New Roman" w:hAnsi="Times New Roman" w:eastAsia="宋体" w:cs="Times New Roman"/>
                <w:sz w:val="21"/>
                <w:szCs w:val="21"/>
                <w:lang w:val="en-US" w:eastAsia="zh-CN"/>
              </w:rPr>
            </w:pPr>
          </w:p>
        </w:tc>
        <w:tc>
          <w:tcPr>
            <w:tcW w:w="1408" w:type="dxa"/>
            <w:tcBorders>
              <w:tl2br w:val="nil"/>
              <w:tr2bl w:val="nil"/>
            </w:tcBorders>
            <w:noWrap w:val="0"/>
            <w:vAlign w:val="center"/>
          </w:tcPr>
          <w:p w14:paraId="503EA86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每年轮作结束后监测</w:t>
            </w:r>
          </w:p>
        </w:tc>
      </w:tr>
    </w:tbl>
    <w:p w14:paraId="1B8AF4AD">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2"/>
        <w:rPr>
          <w:rFonts w:hint="default" w:ascii="Times New Roman" w:hAnsi="Times New Roman" w:eastAsia="宋体" w:cs="Times New Roman"/>
          <w:b/>
          <w:bCs/>
          <w:snapToGrid w:val="0"/>
          <w:kern w:val="2"/>
          <w:sz w:val="28"/>
          <w:szCs w:val="28"/>
          <w:lang w:val="en-US" w:eastAsia="zh-CN" w:bidi="ar-SA"/>
        </w:rPr>
      </w:pPr>
      <w:r>
        <w:rPr>
          <w:rFonts w:hint="eastAsia" w:ascii="Times New Roman" w:hAnsi="Times New Roman" w:eastAsia="宋体" w:cs="Times New Roman"/>
          <w:b/>
          <w:bCs/>
          <w:snapToGrid w:val="0"/>
          <w:kern w:val="2"/>
          <w:sz w:val="28"/>
          <w:szCs w:val="28"/>
          <w:lang w:val="en-US" w:eastAsia="zh-CN" w:bidi="ar-SA"/>
        </w:rPr>
        <w:t>9.3.4自行监测信息公开</w:t>
      </w:r>
      <w:bookmarkEnd w:id="809"/>
      <w:bookmarkEnd w:id="810"/>
    </w:p>
    <w:p w14:paraId="0C2374CB">
      <w:pPr>
        <w:keepNext w:val="0"/>
        <w:keepLines w:val="0"/>
        <w:pageBreakBefore w:val="0"/>
        <w:widowControl w:val="0"/>
        <w:kinsoku/>
        <w:wordWrap/>
        <w:overflowPunct/>
        <w:topLinePunct w:val="0"/>
        <w:bidi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单位自行监测信息公开内容及方式按照《企业事业单位环境信息公开办法》（环境保护部令第31号）及《国家重点监控企业自行监测及信息公开办法（试行）》（环发</w:t>
      </w:r>
      <w:r>
        <w:rPr>
          <w:rFonts w:hint="eastAsia" w:ascii="Times New Roman" w:hAnsi="Times New Roman" w:eastAsia="宋体" w:cs="Times New Roman"/>
          <w:kern w:val="2"/>
          <w:sz w:val="24"/>
          <w:szCs w:val="24"/>
          <w:lang w:val="en-US" w:eastAsia="zh-CN" w:bidi="ar-SA"/>
        </w:rPr>
        <w:t>〔2013〕81号</w:t>
      </w:r>
      <w:r>
        <w:rPr>
          <w:rFonts w:hint="default" w:ascii="Times New Roman" w:hAnsi="Times New Roman" w:eastAsia="宋体" w:cs="Times New Roman"/>
          <w:kern w:val="2"/>
          <w:sz w:val="24"/>
          <w:szCs w:val="24"/>
          <w:lang w:val="en-US" w:eastAsia="zh-CN" w:bidi="ar-SA"/>
        </w:rPr>
        <w:t>）执行。非重点排污单位的信息公开要求由地方环境保护主管部门确定。</w:t>
      </w:r>
    </w:p>
    <w:p w14:paraId="2AF6FBB6">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outlineLvl w:val="1"/>
        <w:rPr>
          <w:rFonts w:hint="default" w:ascii="Times New Roman" w:hAnsi="Times New Roman" w:eastAsia="宋体" w:cs="Times New Roman"/>
          <w:b/>
          <w:bCs/>
          <w:kern w:val="2"/>
          <w:sz w:val="30"/>
          <w:szCs w:val="30"/>
          <w:lang w:val="en-US" w:eastAsia="zh-CN" w:bidi="ar-SA"/>
        </w:rPr>
      </w:pPr>
      <w:bookmarkStart w:id="815" w:name="_Toc27339"/>
      <w:bookmarkStart w:id="816" w:name="_Toc7481"/>
      <w:bookmarkStart w:id="817" w:name="_Toc27143"/>
      <w:bookmarkStart w:id="818" w:name="_Toc7166"/>
      <w:bookmarkStart w:id="819" w:name="_Toc14212"/>
      <w:r>
        <w:rPr>
          <w:rFonts w:hint="eastAsia" w:ascii="Times New Roman" w:hAnsi="Times New Roman" w:eastAsia="宋体" w:cs="Times New Roman"/>
          <w:b/>
          <w:bCs/>
          <w:kern w:val="2"/>
          <w:sz w:val="30"/>
          <w:szCs w:val="30"/>
          <w:lang w:val="en-US" w:eastAsia="zh-CN" w:bidi="ar-SA"/>
        </w:rPr>
        <w:t>9</w:t>
      </w:r>
      <w:r>
        <w:rPr>
          <w:rFonts w:hint="default" w:ascii="Times New Roman" w:hAnsi="Times New Roman" w:eastAsia="宋体" w:cs="Times New Roman"/>
          <w:b/>
          <w:bCs/>
          <w:kern w:val="2"/>
          <w:sz w:val="30"/>
          <w:szCs w:val="30"/>
          <w:lang w:val="en-US" w:eastAsia="zh-CN" w:bidi="ar-SA"/>
        </w:rPr>
        <w:t>.4竣工验收计划</w:t>
      </w:r>
      <w:bookmarkEnd w:id="811"/>
      <w:bookmarkEnd w:id="812"/>
      <w:bookmarkEnd w:id="813"/>
      <w:bookmarkEnd w:id="814"/>
      <w:bookmarkEnd w:id="815"/>
      <w:bookmarkEnd w:id="816"/>
      <w:bookmarkEnd w:id="817"/>
      <w:bookmarkEnd w:id="818"/>
      <w:bookmarkEnd w:id="819"/>
    </w:p>
    <w:p w14:paraId="2718B254">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宋体" w:cs="Times New Roman"/>
          <w:sz w:val="24"/>
        </w:rPr>
      </w:pPr>
      <w:r>
        <w:rPr>
          <w:rFonts w:hint="eastAsia" w:ascii="Times New Roman" w:hAnsi="Times New Roman" w:eastAsia="宋体" w:cs="Times New Roman"/>
          <w:sz w:val="24"/>
        </w:rPr>
        <w:t>为便于主管环保部门对本项目的环保设施进行竣工验收，现按照国家有关规定，根据本项目建设运营情况，针对本项目提出了环境保护设施</w:t>
      </w:r>
      <w:r>
        <w:rPr>
          <w:rFonts w:hint="eastAsia" w:cs="Times New Roman"/>
          <w:sz w:val="24"/>
          <w:lang w:eastAsia="zh-CN"/>
        </w:rPr>
        <w:t>“</w:t>
      </w:r>
      <w:r>
        <w:rPr>
          <w:rFonts w:hint="eastAsia" w:ascii="Times New Roman" w:hAnsi="Times New Roman" w:eastAsia="宋体" w:cs="Times New Roman"/>
          <w:sz w:val="24"/>
        </w:rPr>
        <w:t>三同时</w:t>
      </w:r>
      <w:r>
        <w:rPr>
          <w:rFonts w:hint="eastAsia" w:cs="Times New Roman"/>
          <w:sz w:val="24"/>
          <w:lang w:eastAsia="zh-CN"/>
        </w:rPr>
        <w:t>”</w:t>
      </w:r>
      <w:r>
        <w:rPr>
          <w:rFonts w:hint="eastAsia" w:ascii="Times New Roman" w:hAnsi="Times New Roman" w:eastAsia="宋体" w:cs="Times New Roman"/>
          <w:sz w:val="24"/>
        </w:rPr>
        <w:t>验收建议表。</w:t>
      </w:r>
      <w:r>
        <w:rPr>
          <w:rFonts w:hint="default" w:ascii="Times New Roman" w:hAnsi="Times New Roman" w:eastAsia="宋体" w:cs="Times New Roman"/>
          <w:sz w:val="24"/>
        </w:rPr>
        <w:t>本项目环保</w:t>
      </w:r>
      <w:r>
        <w:rPr>
          <w:rFonts w:hint="eastAsia" w:cs="Times New Roman"/>
          <w:sz w:val="24"/>
          <w:lang w:eastAsia="zh-CN"/>
        </w:rPr>
        <w:t>“</w:t>
      </w:r>
      <w:r>
        <w:rPr>
          <w:rFonts w:hint="default" w:ascii="Times New Roman" w:hAnsi="Times New Roman" w:eastAsia="宋体" w:cs="Times New Roman"/>
          <w:sz w:val="24"/>
        </w:rPr>
        <w:t>三同时</w:t>
      </w:r>
      <w:r>
        <w:rPr>
          <w:rFonts w:hint="eastAsia" w:cs="Times New Roman"/>
          <w:sz w:val="24"/>
          <w:lang w:eastAsia="zh-CN"/>
        </w:rPr>
        <w:t>”</w:t>
      </w:r>
      <w:r>
        <w:rPr>
          <w:rFonts w:hint="default" w:ascii="Times New Roman" w:hAnsi="Times New Roman" w:eastAsia="宋体" w:cs="Times New Roman"/>
          <w:sz w:val="24"/>
        </w:rPr>
        <w:t>竣工验收见表</w:t>
      </w:r>
      <w:r>
        <w:rPr>
          <w:rFonts w:hint="eastAsia" w:ascii="Times New Roman" w:hAnsi="Times New Roman" w:eastAsia="宋体" w:cs="Times New Roman"/>
          <w:sz w:val="24"/>
          <w:lang w:val="en-US" w:eastAsia="zh-CN"/>
        </w:rPr>
        <w:t>9</w:t>
      </w:r>
      <w:r>
        <w:rPr>
          <w:rFonts w:hint="default" w:ascii="Times New Roman" w:hAnsi="Times New Roman" w:eastAsia="宋体" w:cs="Times New Roman"/>
          <w:sz w:val="24"/>
        </w:rPr>
        <w:t>.4-1。</w:t>
      </w:r>
    </w:p>
    <w:p w14:paraId="4CC59A00">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b/>
          <w:bCs/>
          <w:kern w:val="2"/>
          <w:sz w:val="24"/>
          <w:szCs w:val="24"/>
          <w:highlight w:val="none"/>
          <w:lang w:val="en-US" w:eastAsia="zh-CN" w:bidi="ar-SA"/>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7027DE30">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表</w:t>
      </w:r>
      <w:r>
        <w:rPr>
          <w:rFonts w:hint="eastAsia" w:ascii="Times New Roman" w:hAnsi="Times New Roman" w:eastAsia="宋体" w:cs="Times New Roman"/>
          <w:b/>
          <w:bCs/>
          <w:kern w:val="2"/>
          <w:sz w:val="24"/>
          <w:szCs w:val="24"/>
          <w:highlight w:val="none"/>
          <w:lang w:val="en-US" w:eastAsia="zh-CN" w:bidi="ar-SA"/>
        </w:rPr>
        <w:t>9</w:t>
      </w:r>
      <w:r>
        <w:rPr>
          <w:rFonts w:hint="default" w:ascii="Times New Roman" w:hAnsi="Times New Roman" w:eastAsia="宋体" w:cs="Times New Roman"/>
          <w:b/>
          <w:bCs/>
          <w:kern w:val="2"/>
          <w:sz w:val="24"/>
          <w:szCs w:val="24"/>
          <w:highlight w:val="none"/>
          <w:lang w:val="en-US" w:eastAsia="zh-CN" w:bidi="ar-SA"/>
        </w:rPr>
        <w:t>.4-</w:t>
      </w:r>
      <w:r>
        <w:rPr>
          <w:rFonts w:hint="eastAsia" w:ascii="Times New Roman" w:hAnsi="Times New Roman" w:eastAsia="宋体" w:cs="Times New Roman"/>
          <w:b/>
          <w:bCs/>
          <w:kern w:val="2"/>
          <w:sz w:val="24"/>
          <w:szCs w:val="24"/>
          <w:highlight w:val="none"/>
          <w:lang w:val="en-US" w:eastAsia="zh-CN" w:bidi="ar-SA"/>
        </w:rPr>
        <w:t>1</w:t>
      </w:r>
      <w:r>
        <w:rPr>
          <w:rFonts w:hint="default" w:ascii="Times New Roman" w:hAnsi="Times New Roman" w:eastAsia="宋体" w:cs="Times New Roman"/>
          <w:b/>
          <w:bCs/>
          <w:kern w:val="2"/>
          <w:sz w:val="24"/>
          <w:szCs w:val="24"/>
          <w:highlight w:val="none"/>
          <w:lang w:val="en-US" w:eastAsia="zh-CN" w:bidi="ar-SA"/>
        </w:rPr>
        <w:t>环保</w:t>
      </w:r>
      <w:r>
        <w:rPr>
          <w:rFonts w:hint="eastAsia" w:cs="Times New Roman"/>
          <w:b/>
          <w:bCs/>
          <w:kern w:val="2"/>
          <w:sz w:val="24"/>
          <w:szCs w:val="24"/>
          <w:highlight w:val="none"/>
          <w:lang w:val="en-US" w:eastAsia="zh-CN" w:bidi="ar-SA"/>
        </w:rPr>
        <w:t>“</w:t>
      </w:r>
      <w:r>
        <w:rPr>
          <w:rFonts w:hint="default" w:ascii="Times New Roman" w:hAnsi="Times New Roman" w:eastAsia="宋体" w:cs="Times New Roman"/>
          <w:b/>
          <w:bCs/>
          <w:kern w:val="2"/>
          <w:sz w:val="24"/>
          <w:szCs w:val="24"/>
          <w:highlight w:val="none"/>
          <w:lang w:val="en-US" w:eastAsia="zh-CN" w:bidi="ar-SA"/>
        </w:rPr>
        <w:t>三同时</w:t>
      </w:r>
      <w:r>
        <w:rPr>
          <w:rFonts w:hint="eastAsia" w:cs="Times New Roman"/>
          <w:b/>
          <w:bCs/>
          <w:kern w:val="2"/>
          <w:sz w:val="24"/>
          <w:szCs w:val="24"/>
          <w:highlight w:val="none"/>
          <w:lang w:val="en-US" w:eastAsia="zh-CN" w:bidi="ar-SA"/>
        </w:rPr>
        <w:t>”</w:t>
      </w:r>
      <w:r>
        <w:rPr>
          <w:rFonts w:hint="default" w:ascii="Times New Roman" w:hAnsi="Times New Roman" w:eastAsia="宋体" w:cs="Times New Roman"/>
          <w:b/>
          <w:bCs/>
          <w:kern w:val="2"/>
          <w:sz w:val="24"/>
          <w:szCs w:val="24"/>
          <w:highlight w:val="none"/>
          <w:lang w:val="en-US" w:eastAsia="zh-CN" w:bidi="ar-SA"/>
        </w:rPr>
        <w:t>竣工验收一览表</w:t>
      </w:r>
    </w:p>
    <w:tbl>
      <w:tblPr>
        <w:tblStyle w:val="20"/>
        <w:tblW w:w="141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6"/>
        <w:gridCol w:w="1185"/>
        <w:gridCol w:w="875"/>
        <w:gridCol w:w="1473"/>
        <w:gridCol w:w="3112"/>
        <w:gridCol w:w="1803"/>
        <w:gridCol w:w="2767"/>
        <w:gridCol w:w="2142"/>
      </w:tblGrid>
      <w:tr w14:paraId="1E6C4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16" w:type="dxa"/>
            <w:tcBorders>
              <w:tl2br w:val="nil"/>
              <w:tr2bl w:val="nil"/>
            </w:tcBorders>
            <w:noWrap w:val="0"/>
            <w:vAlign w:val="center"/>
          </w:tcPr>
          <w:p w14:paraId="742047DD">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类别</w:t>
            </w:r>
          </w:p>
        </w:tc>
        <w:tc>
          <w:tcPr>
            <w:tcW w:w="1185" w:type="dxa"/>
            <w:tcBorders>
              <w:tl2br w:val="nil"/>
              <w:tr2bl w:val="nil"/>
            </w:tcBorders>
            <w:noWrap w:val="0"/>
            <w:vAlign w:val="center"/>
          </w:tcPr>
          <w:p w14:paraId="585C8FF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监测点位</w:t>
            </w:r>
          </w:p>
        </w:tc>
        <w:tc>
          <w:tcPr>
            <w:tcW w:w="875" w:type="dxa"/>
            <w:tcBorders>
              <w:tl2br w:val="nil"/>
              <w:tr2bl w:val="nil"/>
            </w:tcBorders>
            <w:noWrap w:val="0"/>
            <w:vAlign w:val="center"/>
          </w:tcPr>
          <w:p w14:paraId="0E2626B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治理项目</w:t>
            </w:r>
          </w:p>
        </w:tc>
        <w:tc>
          <w:tcPr>
            <w:tcW w:w="1473" w:type="dxa"/>
            <w:tcBorders>
              <w:tl2br w:val="nil"/>
              <w:tr2bl w:val="nil"/>
            </w:tcBorders>
            <w:noWrap w:val="0"/>
            <w:vAlign w:val="center"/>
          </w:tcPr>
          <w:p w14:paraId="0ED15C4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污染因子</w:t>
            </w:r>
          </w:p>
        </w:tc>
        <w:tc>
          <w:tcPr>
            <w:tcW w:w="3112" w:type="dxa"/>
            <w:tcBorders>
              <w:tl2br w:val="nil"/>
              <w:tr2bl w:val="nil"/>
            </w:tcBorders>
            <w:noWrap w:val="0"/>
            <w:vAlign w:val="center"/>
          </w:tcPr>
          <w:p w14:paraId="08337FD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主要环保措施</w:t>
            </w:r>
          </w:p>
        </w:tc>
        <w:tc>
          <w:tcPr>
            <w:tcW w:w="1803" w:type="dxa"/>
            <w:tcBorders>
              <w:tl2br w:val="nil"/>
              <w:tr2bl w:val="nil"/>
            </w:tcBorders>
            <w:noWrap w:val="0"/>
            <w:vAlign w:val="center"/>
          </w:tcPr>
          <w:p w14:paraId="046D37F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数量</w:t>
            </w:r>
          </w:p>
        </w:tc>
        <w:tc>
          <w:tcPr>
            <w:tcW w:w="2767" w:type="dxa"/>
            <w:tcBorders>
              <w:tl2br w:val="nil"/>
              <w:tr2bl w:val="nil"/>
            </w:tcBorders>
            <w:noWrap w:val="0"/>
            <w:vAlign w:val="center"/>
          </w:tcPr>
          <w:p w14:paraId="16C561C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验收标准</w:t>
            </w:r>
          </w:p>
        </w:tc>
        <w:tc>
          <w:tcPr>
            <w:tcW w:w="2142" w:type="dxa"/>
            <w:tcBorders>
              <w:tl2br w:val="nil"/>
              <w:tr2bl w:val="nil"/>
            </w:tcBorders>
            <w:noWrap w:val="0"/>
            <w:vAlign w:val="center"/>
          </w:tcPr>
          <w:p w14:paraId="45A6A91D">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标准限值</w:t>
            </w:r>
          </w:p>
        </w:tc>
      </w:tr>
      <w:tr w14:paraId="007F1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816" w:type="dxa"/>
            <w:vMerge w:val="restart"/>
            <w:tcBorders>
              <w:tl2br w:val="nil"/>
              <w:tr2bl w:val="nil"/>
            </w:tcBorders>
            <w:noWrap w:val="0"/>
            <w:vAlign w:val="center"/>
          </w:tcPr>
          <w:p w14:paraId="492EE354">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废气</w:t>
            </w:r>
          </w:p>
          <w:p w14:paraId="48D558FA">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处理</w:t>
            </w:r>
          </w:p>
        </w:tc>
        <w:tc>
          <w:tcPr>
            <w:tcW w:w="1185" w:type="dxa"/>
            <w:vMerge w:val="restart"/>
            <w:tcBorders>
              <w:tl2br w:val="nil"/>
              <w:tr2bl w:val="nil"/>
            </w:tcBorders>
            <w:noWrap w:val="0"/>
            <w:vAlign w:val="center"/>
          </w:tcPr>
          <w:p w14:paraId="13FAD765">
            <w:pPr>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2"/>
                <w:sz w:val="21"/>
                <w:szCs w:val="21"/>
                <w:lang w:val="en-US" w:eastAsia="zh-CN" w:bidi="ar-SA"/>
              </w:rPr>
              <w:t>DA001（堆肥间排放口）</w:t>
            </w:r>
          </w:p>
        </w:tc>
        <w:tc>
          <w:tcPr>
            <w:tcW w:w="875" w:type="dxa"/>
            <w:vMerge w:val="restart"/>
            <w:tcBorders>
              <w:tl2br w:val="nil"/>
              <w:tr2bl w:val="nil"/>
            </w:tcBorders>
            <w:noWrap w:val="0"/>
            <w:vAlign w:val="center"/>
          </w:tcPr>
          <w:p w14:paraId="24798DF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有组织</w:t>
            </w:r>
          </w:p>
        </w:tc>
        <w:tc>
          <w:tcPr>
            <w:tcW w:w="1473" w:type="dxa"/>
            <w:tcBorders>
              <w:tl2br w:val="nil"/>
              <w:tr2bl w:val="nil"/>
            </w:tcBorders>
            <w:noWrap w:val="0"/>
            <w:vAlign w:val="center"/>
          </w:tcPr>
          <w:p w14:paraId="2DDAF201">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颗粒物</w:t>
            </w:r>
          </w:p>
        </w:tc>
        <w:tc>
          <w:tcPr>
            <w:tcW w:w="3112" w:type="dxa"/>
            <w:vMerge w:val="restart"/>
            <w:tcBorders>
              <w:tl2br w:val="nil"/>
              <w:tr2bl w:val="nil"/>
            </w:tcBorders>
            <w:noWrap w:val="0"/>
            <w:vAlign w:val="center"/>
          </w:tcPr>
          <w:p w14:paraId="583E54DE">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袋式除尘+生物除臭（滴滤法）+15m排气筒</w:t>
            </w:r>
          </w:p>
        </w:tc>
        <w:tc>
          <w:tcPr>
            <w:tcW w:w="1803" w:type="dxa"/>
            <w:vMerge w:val="restart"/>
            <w:tcBorders>
              <w:tl2br w:val="nil"/>
              <w:tr2bl w:val="nil"/>
            </w:tcBorders>
            <w:noWrap w:val="0"/>
            <w:vAlign w:val="center"/>
          </w:tcPr>
          <w:p w14:paraId="6CAC3F6C">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1套</w:t>
            </w:r>
          </w:p>
        </w:tc>
        <w:tc>
          <w:tcPr>
            <w:tcW w:w="2767" w:type="dxa"/>
            <w:tcBorders>
              <w:tl2br w:val="nil"/>
              <w:tr2bl w:val="nil"/>
            </w:tcBorders>
            <w:noWrap w:val="0"/>
            <w:vAlign w:val="center"/>
          </w:tcPr>
          <w:p w14:paraId="3A8C23B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《大气污染物综合排放标准》（GB 16297-1996）表2 新污染源大气污染物排放限值</w:t>
            </w:r>
          </w:p>
        </w:tc>
        <w:tc>
          <w:tcPr>
            <w:tcW w:w="2142" w:type="dxa"/>
            <w:tcBorders>
              <w:tl2br w:val="nil"/>
              <w:tr2bl w:val="nil"/>
            </w:tcBorders>
            <w:noWrap w:val="0"/>
            <w:vAlign w:val="center"/>
          </w:tcPr>
          <w:p w14:paraId="56CDEF79">
            <w:pPr>
              <w:spacing w:line="240" w:lineRule="auto"/>
              <w:jc w:val="center"/>
              <w:rPr>
                <w:rFonts w:hint="default" w:ascii="Times New Roman" w:hAnsi="Times New Roman" w:eastAsia="宋体" w:cs="Times New Roman"/>
                <w:snapToGrid w:val="0"/>
                <w:color w:val="000000"/>
                <w:kern w:val="2"/>
                <w:sz w:val="21"/>
                <w:szCs w:val="21"/>
                <w:highlight w:val="none"/>
              </w:rPr>
            </w:pPr>
            <w:r>
              <w:rPr>
                <w:rFonts w:hint="eastAsia" w:ascii="Times New Roman" w:hAnsi="Times New Roman" w:eastAsia="宋体" w:cs="Times New Roman"/>
                <w:snapToGrid w:val="0"/>
                <w:color w:val="000000"/>
                <w:kern w:val="2"/>
                <w:sz w:val="21"/>
                <w:szCs w:val="21"/>
                <w:highlight w:val="none"/>
                <w:lang w:val="en-US" w:eastAsia="zh-CN"/>
              </w:rPr>
              <w:t>120</w:t>
            </w:r>
            <w:r>
              <w:rPr>
                <w:rFonts w:hint="default" w:ascii="Times New Roman" w:hAnsi="Times New Roman" w:eastAsia="宋体" w:cs="Times New Roman"/>
                <w:snapToGrid w:val="0"/>
                <w:color w:val="000000"/>
                <w:kern w:val="2"/>
                <w:sz w:val="21"/>
                <w:szCs w:val="21"/>
                <w:highlight w:val="none"/>
              </w:rPr>
              <w:t>mg/m</w:t>
            </w:r>
            <w:r>
              <w:rPr>
                <w:rFonts w:hint="default" w:ascii="Times New Roman" w:hAnsi="Times New Roman" w:eastAsia="宋体" w:cs="Times New Roman"/>
                <w:snapToGrid w:val="0"/>
                <w:color w:val="000000"/>
                <w:kern w:val="2"/>
                <w:sz w:val="21"/>
                <w:szCs w:val="21"/>
                <w:highlight w:val="none"/>
                <w:vertAlign w:val="superscript"/>
              </w:rPr>
              <w:t>3</w:t>
            </w:r>
            <w:r>
              <w:rPr>
                <w:rFonts w:hint="eastAsia" w:ascii="Times New Roman" w:hAnsi="Times New Roman" w:eastAsia="宋体" w:cs="Times New Roman"/>
                <w:snapToGrid w:val="0"/>
                <w:color w:val="000000"/>
                <w:kern w:val="2"/>
                <w:sz w:val="21"/>
                <w:szCs w:val="21"/>
                <w:highlight w:val="none"/>
                <w:vertAlign w:val="baseline"/>
                <w:lang w:eastAsia="zh-CN"/>
              </w:rPr>
              <w:t>；</w:t>
            </w:r>
            <w:r>
              <w:rPr>
                <w:rFonts w:hint="eastAsia" w:ascii="Times New Roman" w:hAnsi="Times New Roman" w:eastAsia="宋体" w:cs="Times New Roman"/>
                <w:snapToGrid w:val="0"/>
                <w:color w:val="000000"/>
                <w:kern w:val="2"/>
                <w:sz w:val="21"/>
                <w:szCs w:val="21"/>
                <w:highlight w:val="none"/>
                <w:vertAlign w:val="baseline"/>
                <w:lang w:val="en-US" w:eastAsia="zh-CN"/>
              </w:rPr>
              <w:t>3.5kg/h</w:t>
            </w:r>
          </w:p>
        </w:tc>
      </w:tr>
      <w:tr w14:paraId="1BDE43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816" w:type="dxa"/>
            <w:vMerge w:val="continue"/>
            <w:tcBorders>
              <w:tl2br w:val="nil"/>
              <w:tr2bl w:val="nil"/>
            </w:tcBorders>
            <w:noWrap w:val="0"/>
            <w:vAlign w:val="center"/>
          </w:tcPr>
          <w:p w14:paraId="53E87AC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69F555F7">
            <w:pPr>
              <w:jc w:val="center"/>
              <w:rPr>
                <w:rFonts w:hint="eastAsia" w:ascii="Times New Roman" w:hAnsi="Times New Roman" w:eastAsia="宋体" w:cs="Times New Roman"/>
                <w:color w:val="000000"/>
                <w:kern w:val="0"/>
                <w:sz w:val="21"/>
                <w:szCs w:val="21"/>
                <w:highlight w:val="none"/>
                <w:lang w:val="en-US" w:eastAsia="zh-CN" w:bidi="ar-SA"/>
              </w:rPr>
            </w:pPr>
          </w:p>
        </w:tc>
        <w:tc>
          <w:tcPr>
            <w:tcW w:w="875" w:type="dxa"/>
            <w:vMerge w:val="continue"/>
            <w:tcBorders>
              <w:tl2br w:val="nil"/>
              <w:tr2bl w:val="nil"/>
            </w:tcBorders>
            <w:noWrap w:val="0"/>
            <w:vAlign w:val="center"/>
          </w:tcPr>
          <w:p w14:paraId="5EFD3CAB">
            <w:pPr>
              <w:widowControl w:val="0"/>
              <w:spacing w:line="320" w:lineRule="exact"/>
              <w:jc w:val="center"/>
              <w:rPr>
                <w:rFonts w:hint="eastAsia" w:ascii="Times New Roman" w:hAnsi="Times New Roman" w:eastAsia="宋体" w:cs="Times New Roman"/>
                <w:color w:val="000000"/>
                <w:kern w:val="0"/>
                <w:sz w:val="21"/>
                <w:szCs w:val="21"/>
                <w:highlight w:val="none"/>
                <w:lang w:val="en-US" w:eastAsia="zh-CN" w:bidi="ar-SA"/>
              </w:rPr>
            </w:pPr>
          </w:p>
        </w:tc>
        <w:tc>
          <w:tcPr>
            <w:tcW w:w="1473" w:type="dxa"/>
            <w:tcBorders>
              <w:tl2br w:val="nil"/>
              <w:tr2bl w:val="nil"/>
            </w:tcBorders>
            <w:noWrap w:val="0"/>
            <w:vAlign w:val="center"/>
          </w:tcPr>
          <w:p w14:paraId="0F3BD1AA">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氨</w:t>
            </w:r>
          </w:p>
        </w:tc>
        <w:tc>
          <w:tcPr>
            <w:tcW w:w="3112" w:type="dxa"/>
            <w:vMerge w:val="continue"/>
            <w:tcBorders>
              <w:tl2br w:val="nil"/>
              <w:tr2bl w:val="nil"/>
            </w:tcBorders>
            <w:noWrap w:val="0"/>
            <w:vAlign w:val="center"/>
          </w:tcPr>
          <w:p w14:paraId="11292510">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kern w:val="0"/>
                <w:sz w:val="21"/>
                <w:szCs w:val="21"/>
                <w:highlight w:val="none"/>
                <w:lang w:val="en-US" w:eastAsia="zh-CN" w:bidi="ar-SA"/>
              </w:rPr>
            </w:pPr>
          </w:p>
        </w:tc>
        <w:tc>
          <w:tcPr>
            <w:tcW w:w="1803" w:type="dxa"/>
            <w:vMerge w:val="continue"/>
            <w:tcBorders>
              <w:tl2br w:val="nil"/>
              <w:tr2bl w:val="nil"/>
            </w:tcBorders>
            <w:noWrap w:val="0"/>
            <w:vAlign w:val="center"/>
          </w:tcPr>
          <w:p w14:paraId="54F164BB">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767" w:type="dxa"/>
            <w:vMerge w:val="restart"/>
            <w:tcBorders>
              <w:tl2br w:val="nil"/>
              <w:tr2bl w:val="nil"/>
            </w:tcBorders>
            <w:noWrap w:val="0"/>
            <w:vAlign w:val="center"/>
          </w:tcPr>
          <w:p w14:paraId="68ECBD8D">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 xml:space="preserve">《恶臭污染物排放标准》 </w:t>
            </w:r>
          </w:p>
          <w:p w14:paraId="5995B03C">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（GB14554-93）表2 恶臭污染物排放标准值</w:t>
            </w:r>
          </w:p>
        </w:tc>
        <w:tc>
          <w:tcPr>
            <w:tcW w:w="2142" w:type="dxa"/>
            <w:tcBorders>
              <w:tl2br w:val="nil"/>
              <w:tr2bl w:val="nil"/>
            </w:tcBorders>
            <w:noWrap w:val="0"/>
            <w:vAlign w:val="center"/>
          </w:tcPr>
          <w:p w14:paraId="2F2EDE73">
            <w:pPr>
              <w:spacing w:line="240" w:lineRule="auto"/>
              <w:jc w:val="center"/>
              <w:rPr>
                <w:rFonts w:hint="default" w:ascii="Times New Roman" w:hAnsi="Times New Roman" w:eastAsia="宋体" w:cs="Times New Roman"/>
                <w:snapToGrid w:val="0"/>
                <w:color w:val="000000"/>
                <w:kern w:val="2"/>
                <w:sz w:val="21"/>
                <w:szCs w:val="21"/>
                <w:highlight w:val="none"/>
                <w:lang w:val="en-US" w:eastAsia="zh-CN"/>
              </w:rPr>
            </w:pPr>
            <w:r>
              <w:rPr>
                <w:rFonts w:hint="eastAsia" w:ascii="Times New Roman" w:hAnsi="Times New Roman" w:eastAsia="宋体" w:cs="Times New Roman"/>
                <w:snapToGrid w:val="0"/>
                <w:color w:val="000000"/>
                <w:kern w:val="2"/>
                <w:sz w:val="21"/>
                <w:szCs w:val="21"/>
                <w:highlight w:val="none"/>
                <w:lang w:val="en-US" w:eastAsia="zh-CN"/>
              </w:rPr>
              <w:t>4.9</w:t>
            </w:r>
            <w:r>
              <w:rPr>
                <w:rFonts w:hint="eastAsia" w:ascii="Times New Roman" w:hAnsi="Times New Roman" w:eastAsia="宋体" w:cs="Times New Roman"/>
                <w:snapToGrid w:val="0"/>
                <w:color w:val="000000"/>
                <w:kern w:val="2"/>
                <w:sz w:val="21"/>
                <w:szCs w:val="21"/>
                <w:highlight w:val="none"/>
                <w:vertAlign w:val="baseline"/>
                <w:lang w:val="en-US" w:eastAsia="zh-CN"/>
              </w:rPr>
              <w:t>kg/h</w:t>
            </w:r>
          </w:p>
        </w:tc>
      </w:tr>
      <w:tr w14:paraId="10148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816" w:type="dxa"/>
            <w:vMerge w:val="continue"/>
            <w:tcBorders>
              <w:tl2br w:val="nil"/>
              <w:tr2bl w:val="nil"/>
            </w:tcBorders>
            <w:noWrap w:val="0"/>
            <w:vAlign w:val="center"/>
          </w:tcPr>
          <w:p w14:paraId="3D32C3EB">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44351783">
            <w:pPr>
              <w:jc w:val="center"/>
              <w:rPr>
                <w:rFonts w:hint="eastAsia" w:ascii="Times New Roman" w:hAnsi="Times New Roman" w:eastAsia="宋体" w:cs="Times New Roman"/>
                <w:color w:val="000000"/>
                <w:kern w:val="2"/>
                <w:sz w:val="21"/>
                <w:szCs w:val="21"/>
                <w:lang w:val="en-US" w:eastAsia="zh-CN" w:bidi="ar-SA"/>
              </w:rPr>
            </w:pPr>
          </w:p>
        </w:tc>
        <w:tc>
          <w:tcPr>
            <w:tcW w:w="875" w:type="dxa"/>
            <w:vMerge w:val="continue"/>
            <w:tcBorders>
              <w:tl2br w:val="nil"/>
              <w:tr2bl w:val="nil"/>
            </w:tcBorders>
            <w:noWrap w:val="0"/>
            <w:vAlign w:val="center"/>
          </w:tcPr>
          <w:p w14:paraId="3FB6D13C">
            <w:pPr>
              <w:widowControl w:val="0"/>
              <w:spacing w:line="320" w:lineRule="exact"/>
              <w:jc w:val="center"/>
              <w:rPr>
                <w:rFonts w:hint="eastAsia" w:ascii="Times New Roman" w:hAnsi="Times New Roman" w:eastAsia="宋体" w:cs="Times New Roman"/>
                <w:color w:val="000000"/>
                <w:kern w:val="0"/>
                <w:sz w:val="21"/>
                <w:szCs w:val="21"/>
                <w:highlight w:val="none"/>
                <w:lang w:val="en-US" w:eastAsia="zh-CN" w:bidi="ar-SA"/>
              </w:rPr>
            </w:pPr>
          </w:p>
        </w:tc>
        <w:tc>
          <w:tcPr>
            <w:tcW w:w="1473" w:type="dxa"/>
            <w:tcBorders>
              <w:tl2br w:val="nil"/>
              <w:tr2bl w:val="nil"/>
            </w:tcBorders>
            <w:noWrap w:val="0"/>
            <w:vAlign w:val="center"/>
          </w:tcPr>
          <w:p w14:paraId="5A857931">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硫化氢</w:t>
            </w:r>
          </w:p>
        </w:tc>
        <w:tc>
          <w:tcPr>
            <w:tcW w:w="3112" w:type="dxa"/>
            <w:vMerge w:val="continue"/>
            <w:tcBorders>
              <w:tl2br w:val="nil"/>
              <w:tr2bl w:val="nil"/>
            </w:tcBorders>
            <w:noWrap w:val="0"/>
            <w:vAlign w:val="center"/>
          </w:tcPr>
          <w:p w14:paraId="4DB4567C">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kern w:val="0"/>
                <w:sz w:val="21"/>
                <w:szCs w:val="21"/>
                <w:highlight w:val="none"/>
                <w:lang w:val="en-US" w:eastAsia="zh-CN" w:bidi="ar-SA"/>
              </w:rPr>
            </w:pPr>
          </w:p>
        </w:tc>
        <w:tc>
          <w:tcPr>
            <w:tcW w:w="1803" w:type="dxa"/>
            <w:vMerge w:val="continue"/>
            <w:tcBorders>
              <w:tl2br w:val="nil"/>
              <w:tr2bl w:val="nil"/>
            </w:tcBorders>
            <w:noWrap w:val="0"/>
            <w:vAlign w:val="center"/>
          </w:tcPr>
          <w:p w14:paraId="5CD77C30">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767" w:type="dxa"/>
            <w:vMerge w:val="continue"/>
            <w:tcBorders>
              <w:tl2br w:val="nil"/>
              <w:tr2bl w:val="nil"/>
            </w:tcBorders>
            <w:noWrap w:val="0"/>
            <w:vAlign w:val="center"/>
          </w:tcPr>
          <w:p w14:paraId="2D0FECB9">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kern w:val="2"/>
                <w:sz w:val="21"/>
                <w:szCs w:val="21"/>
                <w:lang w:val="en-US" w:eastAsia="zh-CN" w:bidi="ar-SA"/>
              </w:rPr>
            </w:pPr>
          </w:p>
        </w:tc>
        <w:tc>
          <w:tcPr>
            <w:tcW w:w="2142" w:type="dxa"/>
            <w:tcBorders>
              <w:tl2br w:val="nil"/>
              <w:tr2bl w:val="nil"/>
            </w:tcBorders>
            <w:noWrap w:val="0"/>
            <w:vAlign w:val="center"/>
          </w:tcPr>
          <w:p w14:paraId="72801582">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snapToGrid w:val="0"/>
                <w:color w:val="000000"/>
                <w:kern w:val="2"/>
                <w:sz w:val="21"/>
                <w:szCs w:val="21"/>
                <w:highlight w:val="none"/>
                <w:lang w:val="en-US" w:eastAsia="zh-CN"/>
              </w:rPr>
            </w:pPr>
            <w:r>
              <w:rPr>
                <w:rFonts w:hint="eastAsia" w:ascii="Times New Roman" w:hAnsi="Times New Roman" w:eastAsia="宋体" w:cs="Times New Roman"/>
                <w:snapToGrid w:val="0"/>
                <w:color w:val="000000"/>
                <w:kern w:val="2"/>
                <w:sz w:val="21"/>
                <w:szCs w:val="21"/>
                <w:highlight w:val="none"/>
                <w:lang w:val="en-US" w:eastAsia="zh-CN"/>
              </w:rPr>
              <w:t>0.33</w:t>
            </w:r>
            <w:r>
              <w:rPr>
                <w:rFonts w:hint="eastAsia" w:ascii="Times New Roman" w:hAnsi="Times New Roman" w:eastAsia="宋体" w:cs="Times New Roman"/>
                <w:snapToGrid w:val="0"/>
                <w:color w:val="000000"/>
                <w:kern w:val="2"/>
                <w:sz w:val="21"/>
                <w:szCs w:val="21"/>
                <w:highlight w:val="none"/>
                <w:vertAlign w:val="baseline"/>
                <w:lang w:val="en-US" w:eastAsia="zh-CN"/>
              </w:rPr>
              <w:t>kg/h</w:t>
            </w:r>
          </w:p>
        </w:tc>
      </w:tr>
      <w:tr w14:paraId="091947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816" w:type="dxa"/>
            <w:vMerge w:val="continue"/>
            <w:tcBorders>
              <w:tl2br w:val="nil"/>
              <w:tr2bl w:val="nil"/>
            </w:tcBorders>
            <w:noWrap w:val="0"/>
            <w:vAlign w:val="center"/>
          </w:tcPr>
          <w:p w14:paraId="37A9460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32152E05">
            <w:pPr>
              <w:jc w:val="center"/>
              <w:rPr>
                <w:rFonts w:hint="eastAsia" w:ascii="Times New Roman" w:hAnsi="Times New Roman" w:eastAsia="宋体" w:cs="Times New Roman"/>
                <w:color w:val="000000"/>
                <w:kern w:val="2"/>
                <w:sz w:val="21"/>
                <w:szCs w:val="21"/>
                <w:lang w:val="en-US" w:eastAsia="zh-CN" w:bidi="ar-SA"/>
              </w:rPr>
            </w:pPr>
          </w:p>
        </w:tc>
        <w:tc>
          <w:tcPr>
            <w:tcW w:w="875" w:type="dxa"/>
            <w:vMerge w:val="continue"/>
            <w:tcBorders>
              <w:tl2br w:val="nil"/>
              <w:tr2bl w:val="nil"/>
            </w:tcBorders>
            <w:noWrap w:val="0"/>
            <w:vAlign w:val="center"/>
          </w:tcPr>
          <w:p w14:paraId="2B7FCA92">
            <w:pPr>
              <w:widowControl w:val="0"/>
              <w:spacing w:line="320" w:lineRule="exact"/>
              <w:jc w:val="center"/>
              <w:rPr>
                <w:rFonts w:hint="eastAsia" w:ascii="Times New Roman" w:hAnsi="Times New Roman" w:eastAsia="宋体" w:cs="Times New Roman"/>
                <w:color w:val="000000"/>
                <w:kern w:val="0"/>
                <w:sz w:val="21"/>
                <w:szCs w:val="21"/>
                <w:highlight w:val="none"/>
                <w:lang w:val="en-US" w:eastAsia="zh-CN" w:bidi="ar-SA"/>
              </w:rPr>
            </w:pPr>
          </w:p>
        </w:tc>
        <w:tc>
          <w:tcPr>
            <w:tcW w:w="1473" w:type="dxa"/>
            <w:tcBorders>
              <w:tl2br w:val="nil"/>
              <w:tr2bl w:val="nil"/>
            </w:tcBorders>
            <w:noWrap w:val="0"/>
            <w:vAlign w:val="center"/>
          </w:tcPr>
          <w:p w14:paraId="7618702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臭气浓度</w:t>
            </w:r>
          </w:p>
        </w:tc>
        <w:tc>
          <w:tcPr>
            <w:tcW w:w="3112" w:type="dxa"/>
            <w:vMerge w:val="continue"/>
            <w:tcBorders>
              <w:tl2br w:val="nil"/>
              <w:tr2bl w:val="nil"/>
            </w:tcBorders>
            <w:noWrap w:val="0"/>
            <w:vAlign w:val="center"/>
          </w:tcPr>
          <w:p w14:paraId="6F4F124D">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kern w:val="0"/>
                <w:sz w:val="21"/>
                <w:szCs w:val="21"/>
                <w:highlight w:val="none"/>
                <w:lang w:val="en-US" w:eastAsia="zh-CN" w:bidi="ar-SA"/>
              </w:rPr>
            </w:pPr>
          </w:p>
        </w:tc>
        <w:tc>
          <w:tcPr>
            <w:tcW w:w="1803" w:type="dxa"/>
            <w:vMerge w:val="continue"/>
            <w:tcBorders>
              <w:tl2br w:val="nil"/>
              <w:tr2bl w:val="nil"/>
            </w:tcBorders>
            <w:noWrap w:val="0"/>
            <w:vAlign w:val="center"/>
          </w:tcPr>
          <w:p w14:paraId="14D1265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767" w:type="dxa"/>
            <w:vMerge w:val="continue"/>
            <w:tcBorders>
              <w:tl2br w:val="nil"/>
              <w:tr2bl w:val="nil"/>
            </w:tcBorders>
            <w:noWrap w:val="0"/>
            <w:vAlign w:val="center"/>
          </w:tcPr>
          <w:p w14:paraId="09D22A78">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kern w:val="2"/>
                <w:sz w:val="21"/>
                <w:szCs w:val="21"/>
                <w:lang w:val="en-US" w:eastAsia="zh-CN" w:bidi="ar-SA"/>
              </w:rPr>
            </w:pPr>
          </w:p>
        </w:tc>
        <w:tc>
          <w:tcPr>
            <w:tcW w:w="2142" w:type="dxa"/>
            <w:tcBorders>
              <w:tl2br w:val="nil"/>
              <w:tr2bl w:val="nil"/>
            </w:tcBorders>
            <w:noWrap w:val="0"/>
            <w:vAlign w:val="center"/>
          </w:tcPr>
          <w:p w14:paraId="1D195C0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snapToGrid w:val="0"/>
                <w:color w:val="000000"/>
                <w:kern w:val="2"/>
                <w:sz w:val="21"/>
                <w:szCs w:val="21"/>
                <w:highlight w:val="none"/>
                <w:lang w:val="en-US" w:eastAsia="zh-CN"/>
              </w:rPr>
            </w:pPr>
            <w:r>
              <w:rPr>
                <w:rFonts w:hint="eastAsia" w:ascii="Times New Roman" w:hAnsi="Times New Roman" w:eastAsia="宋体" w:cs="Times New Roman"/>
                <w:snapToGrid w:val="0"/>
                <w:color w:val="000000"/>
                <w:kern w:val="2"/>
                <w:sz w:val="21"/>
                <w:szCs w:val="21"/>
                <w:highlight w:val="none"/>
                <w:lang w:val="en-US" w:eastAsia="zh-CN"/>
              </w:rPr>
              <w:t>2000（无量纲）</w:t>
            </w:r>
          </w:p>
        </w:tc>
      </w:tr>
      <w:tr w14:paraId="28086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816" w:type="dxa"/>
            <w:vMerge w:val="continue"/>
            <w:tcBorders>
              <w:tl2br w:val="nil"/>
              <w:tr2bl w:val="nil"/>
            </w:tcBorders>
            <w:noWrap w:val="0"/>
            <w:vAlign w:val="center"/>
          </w:tcPr>
          <w:p w14:paraId="01A6A765">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tcBorders>
              <w:tl2br w:val="nil"/>
              <w:tr2bl w:val="nil"/>
            </w:tcBorders>
            <w:noWrap w:val="0"/>
            <w:vAlign w:val="center"/>
          </w:tcPr>
          <w:p w14:paraId="78EB3F75">
            <w:pPr>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DA002（饲料加工排放口）</w:t>
            </w:r>
          </w:p>
        </w:tc>
        <w:tc>
          <w:tcPr>
            <w:tcW w:w="875" w:type="dxa"/>
            <w:tcBorders>
              <w:tl2br w:val="nil"/>
              <w:tr2bl w:val="nil"/>
            </w:tcBorders>
            <w:noWrap w:val="0"/>
            <w:vAlign w:val="center"/>
          </w:tcPr>
          <w:p w14:paraId="7F3FE644">
            <w:pPr>
              <w:widowControl w:val="0"/>
              <w:spacing w:line="320" w:lineRule="exact"/>
              <w:jc w:val="center"/>
              <w:rPr>
                <w:rFonts w:hint="eastAsia"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有组织</w:t>
            </w:r>
          </w:p>
        </w:tc>
        <w:tc>
          <w:tcPr>
            <w:tcW w:w="1473" w:type="dxa"/>
            <w:tcBorders>
              <w:tl2br w:val="nil"/>
              <w:tr2bl w:val="nil"/>
            </w:tcBorders>
            <w:noWrap w:val="0"/>
            <w:vAlign w:val="center"/>
          </w:tcPr>
          <w:p w14:paraId="7B12F90C">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颗粒物</w:t>
            </w:r>
          </w:p>
        </w:tc>
        <w:tc>
          <w:tcPr>
            <w:tcW w:w="3112" w:type="dxa"/>
            <w:tcBorders>
              <w:tl2br w:val="nil"/>
              <w:tr2bl w:val="nil"/>
            </w:tcBorders>
            <w:noWrap w:val="0"/>
            <w:vAlign w:val="center"/>
          </w:tcPr>
          <w:p w14:paraId="5E78A351">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袋式除尘+15m排气筒</w:t>
            </w:r>
          </w:p>
        </w:tc>
        <w:tc>
          <w:tcPr>
            <w:tcW w:w="1803" w:type="dxa"/>
            <w:tcBorders>
              <w:tl2br w:val="nil"/>
              <w:tr2bl w:val="nil"/>
            </w:tcBorders>
            <w:noWrap w:val="0"/>
            <w:vAlign w:val="center"/>
          </w:tcPr>
          <w:p w14:paraId="46DD1898">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1套</w:t>
            </w:r>
          </w:p>
        </w:tc>
        <w:tc>
          <w:tcPr>
            <w:tcW w:w="2767" w:type="dxa"/>
            <w:tcBorders>
              <w:tl2br w:val="nil"/>
              <w:tr2bl w:val="nil"/>
            </w:tcBorders>
            <w:noWrap w:val="0"/>
            <w:vAlign w:val="center"/>
          </w:tcPr>
          <w:p w14:paraId="1AF28141">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《大气污染物综合排放标准》（GB 16297-1996）表2 新污染源大气污染物排放限值</w:t>
            </w:r>
          </w:p>
        </w:tc>
        <w:tc>
          <w:tcPr>
            <w:tcW w:w="2142" w:type="dxa"/>
            <w:tcBorders>
              <w:tl2br w:val="nil"/>
              <w:tr2bl w:val="nil"/>
            </w:tcBorders>
            <w:noWrap w:val="0"/>
            <w:vAlign w:val="center"/>
          </w:tcPr>
          <w:p w14:paraId="2B03F570">
            <w:pPr>
              <w:spacing w:line="240" w:lineRule="auto"/>
              <w:jc w:val="center"/>
              <w:rPr>
                <w:rFonts w:hint="eastAsia" w:ascii="Times New Roman" w:hAnsi="Times New Roman" w:eastAsia="宋体" w:cs="Times New Roman"/>
                <w:snapToGrid w:val="0"/>
                <w:color w:val="000000"/>
                <w:kern w:val="2"/>
                <w:sz w:val="21"/>
                <w:szCs w:val="21"/>
                <w:highlight w:val="none"/>
                <w:lang w:val="en-US" w:eastAsia="zh-CN"/>
              </w:rPr>
            </w:pPr>
            <w:r>
              <w:rPr>
                <w:rFonts w:hint="eastAsia" w:ascii="Times New Roman" w:hAnsi="Times New Roman" w:eastAsia="宋体" w:cs="Times New Roman"/>
                <w:snapToGrid w:val="0"/>
                <w:color w:val="000000"/>
                <w:kern w:val="2"/>
                <w:sz w:val="21"/>
                <w:szCs w:val="21"/>
                <w:highlight w:val="none"/>
                <w:lang w:val="en-US" w:eastAsia="zh-CN"/>
              </w:rPr>
              <w:t>120</w:t>
            </w:r>
            <w:r>
              <w:rPr>
                <w:rFonts w:hint="default" w:ascii="Times New Roman" w:hAnsi="Times New Roman" w:eastAsia="宋体" w:cs="Times New Roman"/>
                <w:snapToGrid w:val="0"/>
                <w:color w:val="000000"/>
                <w:kern w:val="2"/>
                <w:sz w:val="21"/>
                <w:szCs w:val="21"/>
                <w:highlight w:val="none"/>
              </w:rPr>
              <w:t>mg/m</w:t>
            </w:r>
            <w:r>
              <w:rPr>
                <w:rFonts w:hint="default" w:ascii="Times New Roman" w:hAnsi="Times New Roman" w:eastAsia="宋体" w:cs="Times New Roman"/>
                <w:snapToGrid w:val="0"/>
                <w:color w:val="000000"/>
                <w:kern w:val="2"/>
                <w:sz w:val="21"/>
                <w:szCs w:val="21"/>
                <w:highlight w:val="none"/>
                <w:vertAlign w:val="superscript"/>
              </w:rPr>
              <w:t>3</w:t>
            </w:r>
            <w:r>
              <w:rPr>
                <w:rFonts w:hint="eastAsia" w:ascii="Times New Roman" w:hAnsi="Times New Roman" w:eastAsia="宋体" w:cs="Times New Roman"/>
                <w:snapToGrid w:val="0"/>
                <w:color w:val="000000"/>
                <w:kern w:val="2"/>
                <w:sz w:val="21"/>
                <w:szCs w:val="21"/>
                <w:highlight w:val="none"/>
                <w:vertAlign w:val="baseline"/>
                <w:lang w:eastAsia="zh-CN"/>
              </w:rPr>
              <w:t>；</w:t>
            </w:r>
            <w:r>
              <w:rPr>
                <w:rFonts w:hint="eastAsia" w:ascii="Times New Roman" w:hAnsi="Times New Roman" w:eastAsia="宋体" w:cs="Times New Roman"/>
                <w:snapToGrid w:val="0"/>
                <w:color w:val="000000"/>
                <w:kern w:val="2"/>
                <w:sz w:val="21"/>
                <w:szCs w:val="21"/>
                <w:highlight w:val="none"/>
                <w:vertAlign w:val="baseline"/>
                <w:lang w:val="en-US" w:eastAsia="zh-CN"/>
              </w:rPr>
              <w:t>3.5kg/h</w:t>
            </w:r>
          </w:p>
        </w:tc>
      </w:tr>
      <w:tr w14:paraId="3CD51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816" w:type="dxa"/>
            <w:vMerge w:val="continue"/>
            <w:tcBorders>
              <w:tl2br w:val="nil"/>
              <w:tr2bl w:val="nil"/>
            </w:tcBorders>
            <w:noWrap w:val="0"/>
            <w:vAlign w:val="center"/>
          </w:tcPr>
          <w:p w14:paraId="07D756FA">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restart"/>
            <w:tcBorders>
              <w:tl2br w:val="nil"/>
              <w:tr2bl w:val="nil"/>
            </w:tcBorders>
            <w:noWrap w:val="0"/>
            <w:vAlign w:val="center"/>
          </w:tcPr>
          <w:p w14:paraId="4B8785AB">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厂界上风向1个监测点，下风向4个监测点（其中还田区设置1个监测点）</w:t>
            </w:r>
          </w:p>
        </w:tc>
        <w:tc>
          <w:tcPr>
            <w:tcW w:w="875" w:type="dxa"/>
            <w:vMerge w:val="restart"/>
            <w:tcBorders>
              <w:tl2br w:val="nil"/>
              <w:tr2bl w:val="nil"/>
            </w:tcBorders>
            <w:noWrap w:val="0"/>
            <w:vAlign w:val="center"/>
          </w:tcPr>
          <w:p w14:paraId="3400190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无组织</w:t>
            </w:r>
          </w:p>
        </w:tc>
        <w:tc>
          <w:tcPr>
            <w:tcW w:w="1473" w:type="dxa"/>
            <w:tcBorders>
              <w:tl2br w:val="nil"/>
              <w:tr2bl w:val="nil"/>
            </w:tcBorders>
            <w:noWrap w:val="0"/>
            <w:vAlign w:val="center"/>
          </w:tcPr>
          <w:p w14:paraId="3A526C6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颗粒物</w:t>
            </w:r>
          </w:p>
        </w:tc>
        <w:tc>
          <w:tcPr>
            <w:tcW w:w="3112" w:type="dxa"/>
            <w:tcBorders>
              <w:tl2br w:val="nil"/>
              <w:tr2bl w:val="nil"/>
            </w:tcBorders>
            <w:noWrap w:val="0"/>
            <w:vAlign w:val="center"/>
          </w:tcPr>
          <w:p w14:paraId="6E307C93">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封闭式作业+润湿搅拌工艺</w:t>
            </w:r>
            <w:r>
              <w:rPr>
                <w:rFonts w:hint="eastAsia" w:cs="Times New Roman"/>
                <w:color w:val="000000"/>
                <w:kern w:val="0"/>
                <w:sz w:val="21"/>
                <w:szCs w:val="21"/>
                <w:highlight w:val="none"/>
                <w:lang w:val="en-US" w:eastAsia="zh-CN" w:bidi="ar-SA"/>
              </w:rPr>
              <w:t>；编织覆盖+洒水降尘；封闭式作业+洒水降尘</w:t>
            </w:r>
          </w:p>
        </w:tc>
        <w:tc>
          <w:tcPr>
            <w:tcW w:w="1803" w:type="dxa"/>
            <w:tcBorders>
              <w:tl2br w:val="nil"/>
              <w:tr2bl w:val="nil"/>
            </w:tcBorders>
            <w:noWrap w:val="0"/>
            <w:vAlign w:val="center"/>
          </w:tcPr>
          <w:p w14:paraId="21018BA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w:t>
            </w:r>
          </w:p>
        </w:tc>
        <w:tc>
          <w:tcPr>
            <w:tcW w:w="2767" w:type="dxa"/>
            <w:tcBorders>
              <w:tl2br w:val="nil"/>
              <w:tr2bl w:val="nil"/>
            </w:tcBorders>
            <w:noWrap w:val="0"/>
            <w:vAlign w:val="center"/>
          </w:tcPr>
          <w:p w14:paraId="6BC460F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《大气污染物综合排放标准》（GB 16297-1996）表2 新污染源大气污染物排放限值</w:t>
            </w:r>
          </w:p>
        </w:tc>
        <w:tc>
          <w:tcPr>
            <w:tcW w:w="2142" w:type="dxa"/>
            <w:tcBorders>
              <w:tl2br w:val="nil"/>
              <w:tr2bl w:val="nil"/>
            </w:tcBorders>
            <w:noWrap w:val="0"/>
            <w:vAlign w:val="center"/>
          </w:tcPr>
          <w:p w14:paraId="5BCB57C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snapToGrid w:val="0"/>
                <w:color w:val="000000"/>
                <w:kern w:val="0"/>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1.0</w:t>
            </w:r>
            <w:r>
              <w:rPr>
                <w:rFonts w:hint="default" w:ascii="Times New Roman" w:hAnsi="Times New Roman" w:eastAsia="宋体" w:cs="Times New Roman"/>
                <w:snapToGrid w:val="0"/>
                <w:color w:val="000000"/>
                <w:kern w:val="2"/>
                <w:sz w:val="21"/>
                <w:szCs w:val="21"/>
                <w:highlight w:val="none"/>
              </w:rPr>
              <w:t>mg/m</w:t>
            </w:r>
            <w:r>
              <w:rPr>
                <w:rFonts w:hint="default" w:ascii="Times New Roman" w:hAnsi="Times New Roman" w:eastAsia="宋体" w:cs="Times New Roman"/>
                <w:snapToGrid w:val="0"/>
                <w:color w:val="000000"/>
                <w:kern w:val="2"/>
                <w:sz w:val="21"/>
                <w:szCs w:val="21"/>
                <w:highlight w:val="none"/>
                <w:vertAlign w:val="superscript"/>
              </w:rPr>
              <w:t>3</w:t>
            </w:r>
          </w:p>
        </w:tc>
      </w:tr>
      <w:tr w14:paraId="5C497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816" w:type="dxa"/>
            <w:vMerge w:val="continue"/>
            <w:tcBorders>
              <w:tl2br w:val="nil"/>
              <w:tr2bl w:val="nil"/>
            </w:tcBorders>
            <w:noWrap w:val="0"/>
            <w:vAlign w:val="center"/>
          </w:tcPr>
          <w:p w14:paraId="74CFEE99">
            <w:pPr>
              <w:widowControl w:val="0"/>
              <w:spacing w:line="320" w:lineRule="exact"/>
              <w:jc w:val="center"/>
              <w:rPr>
                <w:rFonts w:ascii="Times New Roman" w:hAnsi="Times New Roman" w:eastAsia="宋体" w:cs="Times New Roman"/>
              </w:rPr>
            </w:pPr>
          </w:p>
        </w:tc>
        <w:tc>
          <w:tcPr>
            <w:tcW w:w="1185" w:type="dxa"/>
            <w:vMerge w:val="continue"/>
            <w:tcBorders>
              <w:tl2br w:val="nil"/>
              <w:tr2bl w:val="nil"/>
            </w:tcBorders>
            <w:noWrap w:val="0"/>
            <w:vAlign w:val="center"/>
          </w:tcPr>
          <w:p w14:paraId="49C28FAF">
            <w:pPr>
              <w:widowControl w:val="0"/>
              <w:spacing w:line="320" w:lineRule="exact"/>
              <w:jc w:val="center"/>
              <w:rPr>
                <w:rFonts w:ascii="Times New Roman" w:hAnsi="Times New Roman" w:eastAsia="宋体" w:cs="Times New Roman"/>
              </w:rPr>
            </w:pPr>
          </w:p>
        </w:tc>
        <w:tc>
          <w:tcPr>
            <w:tcW w:w="875" w:type="dxa"/>
            <w:vMerge w:val="continue"/>
            <w:tcBorders>
              <w:tl2br w:val="nil"/>
              <w:tr2bl w:val="nil"/>
            </w:tcBorders>
            <w:noWrap w:val="0"/>
            <w:vAlign w:val="center"/>
          </w:tcPr>
          <w:p w14:paraId="627F0971">
            <w:pPr>
              <w:widowControl w:val="0"/>
              <w:spacing w:line="320" w:lineRule="exact"/>
              <w:jc w:val="center"/>
              <w:rPr>
                <w:rFonts w:ascii="Times New Roman" w:hAnsi="Times New Roman" w:eastAsia="宋体" w:cs="Times New Roman"/>
              </w:rPr>
            </w:pPr>
          </w:p>
        </w:tc>
        <w:tc>
          <w:tcPr>
            <w:tcW w:w="1473" w:type="dxa"/>
            <w:tcBorders>
              <w:tl2br w:val="nil"/>
              <w:tr2bl w:val="nil"/>
            </w:tcBorders>
            <w:noWrap w:val="0"/>
            <w:vAlign w:val="center"/>
          </w:tcPr>
          <w:p w14:paraId="19EBC706">
            <w:pPr>
              <w:widowControl w:val="0"/>
              <w:overflowPunct w:val="0"/>
              <w:autoSpaceDE w:val="0"/>
              <w:autoSpaceDN w:val="0"/>
              <w:bidi w:val="0"/>
              <w:adjustRightInd w:val="0"/>
              <w:snapToGrid w:val="0"/>
              <w:spacing w:line="320" w:lineRule="exact"/>
              <w:ind w:firstLine="0" w:firstLineChars="0"/>
              <w:jc w:val="center"/>
              <w:rPr>
                <w:rFonts w:ascii="Times New Roman" w:hAnsi="Times New Roman" w:eastAsia="宋体" w:cs="Times New Roman"/>
              </w:rPr>
            </w:pPr>
            <w:r>
              <w:rPr>
                <w:rFonts w:hint="eastAsia" w:ascii="Times New Roman" w:hAnsi="Times New Roman" w:eastAsia="宋体" w:cs="Times New Roman"/>
                <w:kern w:val="2"/>
                <w:sz w:val="21"/>
                <w:szCs w:val="21"/>
                <w:lang w:val="en-US" w:eastAsia="zh-CN" w:bidi="ar-SA"/>
              </w:rPr>
              <w:t>氨</w:t>
            </w:r>
          </w:p>
        </w:tc>
        <w:tc>
          <w:tcPr>
            <w:tcW w:w="3112" w:type="dxa"/>
            <w:vMerge w:val="restart"/>
            <w:tcBorders>
              <w:tl2br w:val="nil"/>
              <w:tr2bl w:val="nil"/>
            </w:tcBorders>
            <w:noWrap w:val="0"/>
            <w:vAlign w:val="center"/>
          </w:tcPr>
          <w:p w14:paraId="410998BB">
            <w:pPr>
              <w:widowControl w:val="0"/>
              <w:spacing w:line="360" w:lineRule="exact"/>
              <w:ind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sz w:val="21"/>
                <w:szCs w:val="21"/>
              </w:rPr>
              <w:t>控制</w:t>
            </w:r>
            <w:r>
              <w:rPr>
                <w:rFonts w:hint="eastAsia" w:ascii="Times New Roman" w:hAnsi="Times New Roman" w:eastAsia="宋体" w:cs="Times New Roman"/>
                <w:sz w:val="21"/>
                <w:szCs w:val="21"/>
                <w:lang w:val="en-US" w:eastAsia="zh-CN"/>
              </w:rPr>
              <w:t>饲养</w:t>
            </w:r>
            <w:r>
              <w:rPr>
                <w:rFonts w:hint="default" w:ascii="Times New Roman" w:hAnsi="Times New Roman" w:eastAsia="宋体" w:cs="Times New Roman"/>
                <w:sz w:val="21"/>
                <w:szCs w:val="21"/>
              </w:rPr>
              <w:t>密度</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及时清理粪污</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eastAsia="zh-CN"/>
              </w:rPr>
              <w:t>场区</w:t>
            </w:r>
            <w:r>
              <w:rPr>
                <w:rFonts w:hint="default" w:ascii="Times New Roman" w:hAnsi="Times New Roman" w:eastAsia="宋体" w:cs="Times New Roman"/>
                <w:sz w:val="21"/>
                <w:szCs w:val="21"/>
              </w:rPr>
              <w:t>绿化</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喷洒生物除臭剂</w:t>
            </w:r>
            <w:r>
              <w:rPr>
                <w:rFonts w:hint="eastAsia" w:ascii="Times New Roman" w:hAnsi="Times New Roman" w:eastAsia="宋体" w:cs="Times New Roman"/>
                <w:sz w:val="21"/>
                <w:szCs w:val="21"/>
                <w:lang w:eastAsia="zh-CN"/>
              </w:rPr>
              <w:t>、</w:t>
            </w:r>
            <w:r>
              <w:rPr>
                <w:rFonts w:hint="eastAsia" w:ascii="Times New Roman" w:hAnsi="Times New Roman" w:eastAsia="宋体" w:cs="宋体"/>
                <w:color w:val="auto"/>
                <w:sz w:val="21"/>
                <w:szCs w:val="22"/>
                <w:lang w:val="en-US" w:eastAsia="zh-CN" w:bidi="ar-SA"/>
              </w:rPr>
              <w:t>封闭式作业、</w:t>
            </w:r>
            <w:r>
              <w:rPr>
                <w:rFonts w:hint="eastAsia" w:ascii="Times New Roman" w:hAnsi="Times New Roman" w:eastAsia="宋体" w:cs="Times New Roman"/>
                <w:color w:val="auto"/>
                <w:kern w:val="0"/>
                <w:sz w:val="21"/>
                <w:szCs w:val="21"/>
                <w:highlight w:val="none"/>
                <w:lang w:val="en-US" w:eastAsia="zh-CN"/>
              </w:rPr>
              <w:t>适量轮作施肥</w:t>
            </w:r>
          </w:p>
        </w:tc>
        <w:tc>
          <w:tcPr>
            <w:tcW w:w="1803" w:type="dxa"/>
            <w:tcBorders>
              <w:tl2br w:val="nil"/>
              <w:tr2bl w:val="nil"/>
            </w:tcBorders>
            <w:noWrap w:val="0"/>
            <w:vAlign w:val="center"/>
          </w:tcPr>
          <w:p w14:paraId="618D3D77">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2767" w:type="dxa"/>
            <w:vMerge w:val="restart"/>
            <w:tcBorders>
              <w:tl2br w:val="nil"/>
              <w:tr2bl w:val="nil"/>
            </w:tcBorders>
            <w:noWrap w:val="0"/>
            <w:vAlign w:val="center"/>
          </w:tcPr>
          <w:p w14:paraId="492994F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《恶臭污染物排放标准》（GB14554-93）表1 恶臭污染物厂界标准值中二级标准限值</w:t>
            </w:r>
          </w:p>
        </w:tc>
        <w:tc>
          <w:tcPr>
            <w:tcW w:w="2142" w:type="dxa"/>
            <w:tcBorders>
              <w:tl2br w:val="nil"/>
              <w:tr2bl w:val="nil"/>
            </w:tcBorders>
            <w:noWrap w:val="0"/>
            <w:vAlign w:val="center"/>
          </w:tcPr>
          <w:p w14:paraId="4554796D">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1.5</w:t>
            </w:r>
            <w:r>
              <w:rPr>
                <w:rFonts w:hint="default" w:ascii="Times New Roman" w:hAnsi="Times New Roman" w:eastAsia="宋体" w:cs="Times New Roman"/>
                <w:snapToGrid w:val="0"/>
                <w:color w:val="000000"/>
                <w:kern w:val="2"/>
                <w:sz w:val="21"/>
                <w:szCs w:val="21"/>
                <w:highlight w:val="none"/>
              </w:rPr>
              <w:t>mg/m</w:t>
            </w:r>
            <w:r>
              <w:rPr>
                <w:rFonts w:hint="default" w:ascii="Times New Roman" w:hAnsi="Times New Roman" w:eastAsia="宋体" w:cs="Times New Roman"/>
                <w:snapToGrid w:val="0"/>
                <w:color w:val="000000"/>
                <w:kern w:val="2"/>
                <w:sz w:val="21"/>
                <w:szCs w:val="21"/>
                <w:highlight w:val="none"/>
                <w:vertAlign w:val="superscript"/>
              </w:rPr>
              <w:t>3</w:t>
            </w:r>
          </w:p>
        </w:tc>
      </w:tr>
      <w:tr w14:paraId="1C44C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816" w:type="dxa"/>
            <w:vMerge w:val="continue"/>
            <w:tcBorders>
              <w:tl2br w:val="nil"/>
              <w:tr2bl w:val="nil"/>
            </w:tcBorders>
            <w:noWrap w:val="0"/>
            <w:vAlign w:val="center"/>
          </w:tcPr>
          <w:p w14:paraId="0C0DB43C">
            <w:pPr>
              <w:widowControl w:val="0"/>
              <w:spacing w:line="320" w:lineRule="exact"/>
              <w:jc w:val="center"/>
              <w:rPr>
                <w:rFonts w:ascii="Times New Roman" w:hAnsi="Times New Roman" w:eastAsia="宋体" w:cs="Times New Roman"/>
              </w:rPr>
            </w:pPr>
          </w:p>
        </w:tc>
        <w:tc>
          <w:tcPr>
            <w:tcW w:w="1185" w:type="dxa"/>
            <w:vMerge w:val="continue"/>
            <w:tcBorders>
              <w:tl2br w:val="nil"/>
              <w:tr2bl w:val="nil"/>
            </w:tcBorders>
            <w:noWrap w:val="0"/>
            <w:vAlign w:val="center"/>
          </w:tcPr>
          <w:p w14:paraId="19AE33CA">
            <w:pPr>
              <w:widowControl w:val="0"/>
              <w:spacing w:line="320" w:lineRule="exact"/>
              <w:jc w:val="center"/>
              <w:rPr>
                <w:rFonts w:ascii="Times New Roman" w:hAnsi="Times New Roman" w:eastAsia="宋体" w:cs="Times New Roman"/>
              </w:rPr>
            </w:pPr>
          </w:p>
        </w:tc>
        <w:tc>
          <w:tcPr>
            <w:tcW w:w="875" w:type="dxa"/>
            <w:vMerge w:val="continue"/>
            <w:tcBorders>
              <w:tl2br w:val="nil"/>
              <w:tr2bl w:val="nil"/>
            </w:tcBorders>
            <w:noWrap w:val="0"/>
            <w:vAlign w:val="center"/>
          </w:tcPr>
          <w:p w14:paraId="1DB1FABD">
            <w:pPr>
              <w:widowControl w:val="0"/>
              <w:spacing w:line="320" w:lineRule="exact"/>
              <w:jc w:val="center"/>
              <w:rPr>
                <w:rFonts w:ascii="Times New Roman" w:hAnsi="Times New Roman" w:eastAsia="宋体" w:cs="Times New Roman"/>
              </w:rPr>
            </w:pPr>
          </w:p>
        </w:tc>
        <w:tc>
          <w:tcPr>
            <w:tcW w:w="1473" w:type="dxa"/>
            <w:tcBorders>
              <w:tl2br w:val="nil"/>
              <w:tr2bl w:val="nil"/>
            </w:tcBorders>
            <w:noWrap w:val="0"/>
            <w:vAlign w:val="center"/>
          </w:tcPr>
          <w:p w14:paraId="6FB00283">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硫化氢</w:t>
            </w:r>
          </w:p>
        </w:tc>
        <w:tc>
          <w:tcPr>
            <w:tcW w:w="3112" w:type="dxa"/>
            <w:vMerge w:val="continue"/>
            <w:tcBorders>
              <w:tl2br w:val="nil"/>
              <w:tr2bl w:val="nil"/>
            </w:tcBorders>
            <w:noWrap w:val="0"/>
            <w:vAlign w:val="center"/>
          </w:tcPr>
          <w:p w14:paraId="75D14BA8">
            <w:pPr>
              <w:widowControl w:val="0"/>
              <w:spacing w:line="320" w:lineRule="exact"/>
              <w:jc w:val="center"/>
              <w:rPr>
                <w:rFonts w:hint="eastAsia" w:ascii="Times New Roman" w:hAnsi="Times New Roman" w:eastAsia="宋体" w:cs="Times New Roman"/>
                <w:i w:val="0"/>
                <w:iCs w:val="0"/>
                <w:color w:val="000000"/>
                <w:kern w:val="0"/>
                <w:sz w:val="21"/>
                <w:szCs w:val="21"/>
                <w:u w:val="none"/>
                <w:lang w:val="en-US" w:eastAsia="zh-CN" w:bidi="ar"/>
              </w:rPr>
            </w:pPr>
          </w:p>
        </w:tc>
        <w:tc>
          <w:tcPr>
            <w:tcW w:w="1803" w:type="dxa"/>
            <w:tcBorders>
              <w:tl2br w:val="nil"/>
              <w:tr2bl w:val="nil"/>
            </w:tcBorders>
            <w:noWrap w:val="0"/>
            <w:vAlign w:val="center"/>
          </w:tcPr>
          <w:p w14:paraId="4377F98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cs="Times New Roman"/>
                <w:color w:val="000000"/>
                <w:kern w:val="0"/>
                <w:sz w:val="21"/>
                <w:szCs w:val="21"/>
                <w:highlight w:val="none"/>
                <w:lang w:val="en-US" w:eastAsia="zh-CN" w:bidi="ar-SA"/>
              </w:rPr>
              <w:t>/</w:t>
            </w:r>
          </w:p>
        </w:tc>
        <w:tc>
          <w:tcPr>
            <w:tcW w:w="2767" w:type="dxa"/>
            <w:vMerge w:val="continue"/>
            <w:tcBorders>
              <w:tl2br w:val="nil"/>
              <w:tr2bl w:val="nil"/>
            </w:tcBorders>
            <w:noWrap w:val="0"/>
            <w:vAlign w:val="center"/>
          </w:tcPr>
          <w:p w14:paraId="690EAC2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142" w:type="dxa"/>
            <w:tcBorders>
              <w:tl2br w:val="nil"/>
              <w:tr2bl w:val="nil"/>
            </w:tcBorders>
            <w:noWrap w:val="0"/>
            <w:vAlign w:val="center"/>
          </w:tcPr>
          <w:p w14:paraId="73AD75D7">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0.06</w:t>
            </w:r>
            <w:r>
              <w:rPr>
                <w:rFonts w:hint="default" w:ascii="Times New Roman" w:hAnsi="Times New Roman" w:eastAsia="宋体" w:cs="Times New Roman"/>
                <w:snapToGrid w:val="0"/>
                <w:color w:val="000000"/>
                <w:kern w:val="2"/>
                <w:sz w:val="21"/>
                <w:szCs w:val="21"/>
                <w:highlight w:val="none"/>
              </w:rPr>
              <w:t>mg/m</w:t>
            </w:r>
            <w:r>
              <w:rPr>
                <w:rFonts w:hint="default" w:ascii="Times New Roman" w:hAnsi="Times New Roman" w:eastAsia="宋体" w:cs="Times New Roman"/>
                <w:snapToGrid w:val="0"/>
                <w:color w:val="000000"/>
                <w:kern w:val="2"/>
                <w:sz w:val="21"/>
                <w:szCs w:val="21"/>
                <w:highlight w:val="none"/>
                <w:vertAlign w:val="superscript"/>
              </w:rPr>
              <w:t>3</w:t>
            </w:r>
          </w:p>
        </w:tc>
      </w:tr>
      <w:tr w14:paraId="0A4FB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816" w:type="dxa"/>
            <w:vMerge w:val="continue"/>
            <w:tcBorders>
              <w:tl2br w:val="nil"/>
              <w:tr2bl w:val="nil"/>
            </w:tcBorders>
            <w:noWrap w:val="0"/>
            <w:vAlign w:val="center"/>
          </w:tcPr>
          <w:p w14:paraId="7B79203F">
            <w:pPr>
              <w:widowControl w:val="0"/>
              <w:spacing w:line="320" w:lineRule="exact"/>
              <w:jc w:val="center"/>
              <w:rPr>
                <w:rFonts w:ascii="Times New Roman" w:hAnsi="Times New Roman" w:eastAsia="宋体" w:cs="Times New Roman"/>
              </w:rPr>
            </w:pPr>
          </w:p>
        </w:tc>
        <w:tc>
          <w:tcPr>
            <w:tcW w:w="1185" w:type="dxa"/>
            <w:vMerge w:val="continue"/>
            <w:tcBorders>
              <w:tl2br w:val="nil"/>
              <w:tr2bl w:val="nil"/>
            </w:tcBorders>
            <w:noWrap w:val="0"/>
            <w:vAlign w:val="center"/>
          </w:tcPr>
          <w:p w14:paraId="683F92A1">
            <w:pPr>
              <w:widowControl w:val="0"/>
              <w:spacing w:line="320" w:lineRule="exact"/>
              <w:jc w:val="center"/>
              <w:rPr>
                <w:rFonts w:ascii="Times New Roman" w:hAnsi="Times New Roman" w:eastAsia="宋体" w:cs="Times New Roman"/>
              </w:rPr>
            </w:pPr>
          </w:p>
        </w:tc>
        <w:tc>
          <w:tcPr>
            <w:tcW w:w="875" w:type="dxa"/>
            <w:vMerge w:val="continue"/>
            <w:tcBorders>
              <w:tl2br w:val="nil"/>
              <w:tr2bl w:val="nil"/>
            </w:tcBorders>
            <w:noWrap w:val="0"/>
            <w:vAlign w:val="center"/>
          </w:tcPr>
          <w:p w14:paraId="679FBBE4">
            <w:pPr>
              <w:widowControl w:val="0"/>
              <w:spacing w:line="320" w:lineRule="exact"/>
              <w:jc w:val="center"/>
              <w:rPr>
                <w:rFonts w:ascii="Times New Roman" w:hAnsi="Times New Roman" w:eastAsia="宋体" w:cs="Times New Roman"/>
              </w:rPr>
            </w:pPr>
          </w:p>
        </w:tc>
        <w:tc>
          <w:tcPr>
            <w:tcW w:w="1473" w:type="dxa"/>
            <w:tcBorders>
              <w:tl2br w:val="nil"/>
              <w:tr2bl w:val="nil"/>
            </w:tcBorders>
            <w:noWrap w:val="0"/>
            <w:vAlign w:val="center"/>
          </w:tcPr>
          <w:p w14:paraId="138EAF8F">
            <w:pPr>
              <w:widowControl w:val="0"/>
              <w:overflowPunct w:val="0"/>
              <w:autoSpaceDE w:val="0"/>
              <w:autoSpaceDN w:val="0"/>
              <w:bidi w:val="0"/>
              <w:adjustRightInd w:val="0"/>
              <w:snapToGrid w:val="0"/>
              <w:spacing w:line="320" w:lineRule="exact"/>
              <w:ind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臭气浓度</w:t>
            </w:r>
          </w:p>
        </w:tc>
        <w:tc>
          <w:tcPr>
            <w:tcW w:w="3112" w:type="dxa"/>
            <w:vMerge w:val="continue"/>
            <w:tcBorders>
              <w:tl2br w:val="nil"/>
              <w:tr2bl w:val="nil"/>
            </w:tcBorders>
            <w:noWrap w:val="0"/>
            <w:vAlign w:val="center"/>
          </w:tcPr>
          <w:p w14:paraId="6E53CF0C">
            <w:pPr>
              <w:widowControl w:val="0"/>
              <w:spacing w:line="320" w:lineRule="exact"/>
              <w:jc w:val="center"/>
              <w:rPr>
                <w:rFonts w:hint="eastAsia" w:ascii="Times New Roman" w:hAnsi="Times New Roman" w:eastAsia="宋体" w:cs="Times New Roman"/>
                <w:i w:val="0"/>
                <w:iCs w:val="0"/>
                <w:color w:val="000000"/>
                <w:kern w:val="0"/>
                <w:sz w:val="21"/>
                <w:szCs w:val="21"/>
                <w:u w:val="none"/>
                <w:lang w:val="en-US" w:eastAsia="zh-CN" w:bidi="ar"/>
              </w:rPr>
            </w:pPr>
          </w:p>
        </w:tc>
        <w:tc>
          <w:tcPr>
            <w:tcW w:w="1803" w:type="dxa"/>
            <w:tcBorders>
              <w:tl2br w:val="nil"/>
              <w:tr2bl w:val="nil"/>
            </w:tcBorders>
            <w:noWrap w:val="0"/>
            <w:vAlign w:val="center"/>
          </w:tcPr>
          <w:p w14:paraId="41FA88D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2767" w:type="dxa"/>
            <w:tcBorders>
              <w:tl2br w:val="nil"/>
              <w:tr2bl w:val="nil"/>
            </w:tcBorders>
            <w:noWrap w:val="0"/>
            <w:vAlign w:val="center"/>
          </w:tcPr>
          <w:p w14:paraId="2524284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sz w:val="21"/>
                <w:lang w:val="en-US" w:eastAsia="zh-CN" w:bidi="ar-SA"/>
              </w:rPr>
              <w:t>《畜禽养殖业污染物排放标准》（GB18596-2001）表 7 集约化畜禽养殖业恶臭污染物排放标准</w:t>
            </w:r>
          </w:p>
        </w:tc>
        <w:tc>
          <w:tcPr>
            <w:tcW w:w="2142" w:type="dxa"/>
            <w:tcBorders>
              <w:tl2br w:val="nil"/>
              <w:tr2bl w:val="nil"/>
            </w:tcBorders>
            <w:noWrap w:val="0"/>
            <w:vAlign w:val="center"/>
          </w:tcPr>
          <w:p w14:paraId="5F5D1B88">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kern w:val="2"/>
                <w:sz w:val="21"/>
                <w:szCs w:val="21"/>
                <w:lang w:val="en-US" w:eastAsia="zh-CN" w:bidi="ar-SA"/>
              </w:rPr>
              <w:t>70（无量纲）</w:t>
            </w:r>
          </w:p>
        </w:tc>
      </w:tr>
      <w:tr w14:paraId="2866B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816" w:type="dxa"/>
            <w:tcBorders>
              <w:tl2br w:val="nil"/>
              <w:tr2bl w:val="nil"/>
            </w:tcBorders>
            <w:noWrap w:val="0"/>
            <w:vAlign w:val="center"/>
          </w:tcPr>
          <w:p w14:paraId="302821C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水污染防治</w:t>
            </w:r>
          </w:p>
        </w:tc>
        <w:tc>
          <w:tcPr>
            <w:tcW w:w="1185" w:type="dxa"/>
            <w:tcBorders>
              <w:tl2br w:val="nil"/>
              <w:tr2bl w:val="nil"/>
            </w:tcBorders>
            <w:noWrap w:val="0"/>
            <w:vAlign w:val="center"/>
          </w:tcPr>
          <w:p w14:paraId="063A4E2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生活污水排放口</w:t>
            </w:r>
          </w:p>
        </w:tc>
        <w:tc>
          <w:tcPr>
            <w:tcW w:w="875" w:type="dxa"/>
            <w:tcBorders>
              <w:tl2br w:val="nil"/>
              <w:tr2bl w:val="nil"/>
            </w:tcBorders>
            <w:noWrap w:val="0"/>
            <w:vAlign w:val="center"/>
          </w:tcPr>
          <w:p w14:paraId="20D766DD">
            <w:pPr>
              <w:widowControl w:val="0"/>
              <w:spacing w:line="320" w:lineRule="exact"/>
              <w:jc w:val="center"/>
              <w:rPr>
                <w:rFonts w:hint="eastAsia"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生活污水</w:t>
            </w:r>
          </w:p>
        </w:tc>
        <w:tc>
          <w:tcPr>
            <w:tcW w:w="1473" w:type="dxa"/>
            <w:tcBorders>
              <w:tl2br w:val="nil"/>
              <w:tr2bl w:val="nil"/>
            </w:tcBorders>
            <w:noWrap w:val="0"/>
            <w:vAlign w:val="center"/>
          </w:tcPr>
          <w:p w14:paraId="2180F7CB">
            <w:pPr>
              <w:widowControl w:val="0"/>
              <w:spacing w:line="300" w:lineRule="exact"/>
              <w:ind w:firstLine="0" w:firstLineChars="0"/>
              <w:jc w:val="center"/>
              <w:rPr>
                <w:rFonts w:hint="eastAsia" w:ascii="Times New Roman" w:hAnsi="Times New Roman" w:eastAsia="宋体" w:cs="宋体"/>
                <w:color w:val="000000"/>
                <w:sz w:val="21"/>
                <w:szCs w:val="22"/>
                <w:lang w:val="en-US" w:eastAsia="zh-CN" w:bidi="ar-SA"/>
              </w:rPr>
            </w:pPr>
            <w:r>
              <w:rPr>
                <w:rFonts w:hint="eastAsia" w:ascii="Times New Roman" w:hAnsi="Times New Roman" w:eastAsia="宋体" w:cs="宋体"/>
                <w:color w:val="000000"/>
                <w:sz w:val="21"/>
                <w:szCs w:val="22"/>
                <w:lang w:val="en-US" w:eastAsia="zh-CN" w:bidi="ar-SA"/>
              </w:rPr>
              <w:t>pH、COD</w:t>
            </w:r>
          </w:p>
          <w:p w14:paraId="6596BEEF">
            <w:pPr>
              <w:widowControl w:val="0"/>
              <w:spacing w:line="300" w:lineRule="exact"/>
              <w:ind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宋体"/>
                <w:color w:val="000000"/>
                <w:sz w:val="21"/>
                <w:szCs w:val="22"/>
                <w:lang w:val="en-US" w:eastAsia="zh-CN" w:bidi="ar-SA"/>
              </w:rPr>
              <w:t>SS</w:t>
            </w:r>
          </w:p>
          <w:p w14:paraId="14B0DEAD">
            <w:pPr>
              <w:widowControl w:val="0"/>
              <w:spacing w:line="300" w:lineRule="exact"/>
              <w:ind w:firstLine="0" w:firstLineChars="0"/>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宋体"/>
                <w:color w:val="000000"/>
                <w:sz w:val="21"/>
                <w:szCs w:val="22"/>
                <w:lang w:val="en-US" w:eastAsia="zh-CN" w:bidi="ar-SA"/>
              </w:rPr>
              <w:t>BOD</w:t>
            </w:r>
            <w:r>
              <w:rPr>
                <w:rFonts w:hint="eastAsia" w:ascii="Times New Roman" w:hAnsi="Times New Roman" w:eastAsia="宋体" w:cs="宋体"/>
                <w:color w:val="000000"/>
                <w:sz w:val="21"/>
                <w:szCs w:val="22"/>
                <w:vertAlign w:val="subscript"/>
                <w:lang w:val="en-US" w:eastAsia="zh-CN" w:bidi="ar-SA"/>
              </w:rPr>
              <w:t>5</w:t>
            </w:r>
          </w:p>
          <w:p w14:paraId="11AEE098">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宋体"/>
                <w:color w:val="000000"/>
                <w:sz w:val="21"/>
                <w:szCs w:val="22"/>
                <w:lang w:val="en-US" w:eastAsia="zh-CN" w:bidi="ar-SA"/>
              </w:rPr>
              <w:t>NH</w:t>
            </w:r>
            <w:r>
              <w:rPr>
                <w:rFonts w:hint="eastAsia" w:ascii="Times New Roman" w:hAnsi="Times New Roman" w:eastAsia="宋体" w:cs="宋体"/>
                <w:color w:val="000000"/>
                <w:sz w:val="21"/>
                <w:szCs w:val="22"/>
                <w:vertAlign w:val="subscript"/>
                <w:lang w:val="en-US" w:eastAsia="zh-CN" w:bidi="ar-SA"/>
              </w:rPr>
              <w:t>3</w:t>
            </w:r>
            <w:r>
              <w:rPr>
                <w:rFonts w:hint="eastAsia" w:ascii="Times New Roman" w:hAnsi="Times New Roman" w:eastAsia="宋体" w:cs="宋体"/>
                <w:color w:val="000000"/>
                <w:sz w:val="21"/>
                <w:szCs w:val="22"/>
                <w:lang w:val="en-US" w:eastAsia="zh-CN" w:bidi="ar-SA"/>
              </w:rPr>
              <w:t>-N</w:t>
            </w:r>
          </w:p>
        </w:tc>
        <w:tc>
          <w:tcPr>
            <w:tcW w:w="3112" w:type="dxa"/>
            <w:tcBorders>
              <w:tl2br w:val="nil"/>
              <w:tr2bl w:val="nil"/>
            </w:tcBorders>
            <w:noWrap w:val="0"/>
            <w:vAlign w:val="center"/>
          </w:tcPr>
          <w:p w14:paraId="3E7C510A">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防渗化粪池</w:t>
            </w:r>
          </w:p>
        </w:tc>
        <w:tc>
          <w:tcPr>
            <w:tcW w:w="1803" w:type="dxa"/>
            <w:tcBorders>
              <w:tl2br w:val="nil"/>
              <w:tr2bl w:val="nil"/>
            </w:tcBorders>
            <w:noWrap w:val="0"/>
            <w:vAlign w:val="center"/>
          </w:tcPr>
          <w:p w14:paraId="39B7F4C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1座</w:t>
            </w:r>
          </w:p>
        </w:tc>
        <w:tc>
          <w:tcPr>
            <w:tcW w:w="2767" w:type="dxa"/>
            <w:tcBorders>
              <w:tl2br w:val="nil"/>
              <w:tr2bl w:val="nil"/>
            </w:tcBorders>
            <w:noWrap w:val="0"/>
            <w:vAlign w:val="center"/>
          </w:tcPr>
          <w:p w14:paraId="3B82DE0F">
            <w:pPr>
              <w:widowControl w:val="0"/>
              <w:spacing w:line="320" w:lineRule="exact"/>
              <w:jc w:val="center"/>
              <w:rPr>
                <w:rFonts w:hint="default" w:ascii="Times New Roman" w:hAnsi="Times New Roman" w:eastAsia="Calibri" w:cs="Times New Roman"/>
                <w:color w:val="000000"/>
                <w:kern w:val="0"/>
                <w:sz w:val="21"/>
                <w:szCs w:val="21"/>
                <w:highlight w:val="none"/>
                <w:lang w:val="en-US" w:eastAsia="zh-CN" w:bidi="ar-SA"/>
              </w:rPr>
            </w:pPr>
            <w:r>
              <w:rPr>
                <w:rFonts w:hint="eastAsia" w:ascii="Times New Roman" w:hAnsi="Times New Roman" w:eastAsia="宋体" w:cs="宋体"/>
                <w:color w:val="000000"/>
                <w:sz w:val="21"/>
                <w:szCs w:val="22"/>
                <w:lang w:val="en-US" w:eastAsia="zh-CN" w:bidi="ar-SA"/>
              </w:rPr>
              <w:t>《污水综合排放标准》（GB8978-1996）表4 第二类污染物最高允许排放浓度三级标准</w:t>
            </w:r>
          </w:p>
        </w:tc>
        <w:tc>
          <w:tcPr>
            <w:tcW w:w="2142" w:type="dxa"/>
            <w:tcBorders>
              <w:tl2br w:val="nil"/>
              <w:tr2bl w:val="nil"/>
            </w:tcBorders>
            <w:noWrap w:val="0"/>
            <w:vAlign w:val="center"/>
          </w:tcPr>
          <w:p w14:paraId="0F300510">
            <w:pPr>
              <w:widowControl w:val="0"/>
              <w:spacing w:line="320" w:lineRule="exact"/>
              <w:jc w:val="center"/>
              <w:rPr>
                <w:rFonts w:hint="default" w:ascii="Times New Roman" w:hAnsi="Times New Roman" w:eastAsia="宋体" w:cs="Times New Roman"/>
                <w:snapToGrid w:val="0"/>
                <w:color w:val="000000"/>
                <w:kern w:val="0"/>
                <w:sz w:val="21"/>
                <w:szCs w:val="21"/>
                <w:highlight w:val="none"/>
                <w:lang w:val="en-US" w:eastAsia="zh-CN" w:bidi="ar-SA"/>
              </w:rPr>
            </w:pPr>
            <w:r>
              <w:rPr>
                <w:rFonts w:hint="eastAsia" w:ascii="Times New Roman" w:hAnsi="Times New Roman" w:eastAsia="宋体" w:cs="Times New Roman"/>
                <w:snapToGrid w:val="0"/>
                <w:color w:val="000000"/>
                <w:kern w:val="0"/>
                <w:sz w:val="21"/>
                <w:szCs w:val="21"/>
                <w:highlight w:val="none"/>
                <w:lang w:val="en-US" w:eastAsia="zh-CN" w:bidi="ar-SA"/>
              </w:rPr>
              <w:t>pH6-9、COD500mg/L、SS400mg/L、BOD300mg/L、氨氮/mg/L</w:t>
            </w:r>
          </w:p>
        </w:tc>
      </w:tr>
      <w:tr w14:paraId="4F6E5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16" w:type="dxa"/>
            <w:tcBorders>
              <w:tl2br w:val="nil"/>
              <w:tr2bl w:val="nil"/>
            </w:tcBorders>
            <w:noWrap w:val="0"/>
            <w:vAlign w:val="center"/>
          </w:tcPr>
          <w:p w14:paraId="6C4C997C">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噪声</w:t>
            </w:r>
          </w:p>
          <w:p w14:paraId="1A313DA0">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控制</w:t>
            </w:r>
          </w:p>
        </w:tc>
        <w:tc>
          <w:tcPr>
            <w:tcW w:w="1185" w:type="dxa"/>
            <w:tcBorders>
              <w:tl2br w:val="nil"/>
              <w:tr2bl w:val="nil"/>
            </w:tcBorders>
            <w:noWrap w:val="0"/>
            <w:vAlign w:val="center"/>
          </w:tcPr>
          <w:p w14:paraId="52F12A98">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厂界4个监测点</w:t>
            </w:r>
          </w:p>
        </w:tc>
        <w:tc>
          <w:tcPr>
            <w:tcW w:w="875" w:type="dxa"/>
            <w:tcBorders>
              <w:tl2br w:val="nil"/>
              <w:tr2bl w:val="nil"/>
            </w:tcBorders>
            <w:noWrap w:val="0"/>
            <w:vAlign w:val="center"/>
          </w:tcPr>
          <w:p w14:paraId="2FFF2503">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生产设备</w:t>
            </w:r>
          </w:p>
        </w:tc>
        <w:tc>
          <w:tcPr>
            <w:tcW w:w="1473" w:type="dxa"/>
            <w:tcBorders>
              <w:tl2br w:val="nil"/>
              <w:tr2bl w:val="nil"/>
            </w:tcBorders>
            <w:noWrap w:val="0"/>
            <w:vAlign w:val="center"/>
          </w:tcPr>
          <w:p w14:paraId="387446FF">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机械噪声</w:t>
            </w:r>
          </w:p>
        </w:tc>
        <w:tc>
          <w:tcPr>
            <w:tcW w:w="3112" w:type="dxa"/>
            <w:tcBorders>
              <w:tl2br w:val="nil"/>
              <w:tr2bl w:val="nil"/>
            </w:tcBorders>
            <w:noWrap w:val="0"/>
            <w:vAlign w:val="center"/>
          </w:tcPr>
          <w:p w14:paraId="19884F7C">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选用具有减震、降噪、隔声、消声设计的设备</w:t>
            </w:r>
          </w:p>
        </w:tc>
        <w:tc>
          <w:tcPr>
            <w:tcW w:w="1803" w:type="dxa"/>
            <w:tcBorders>
              <w:tl2br w:val="nil"/>
              <w:tr2bl w:val="nil"/>
            </w:tcBorders>
            <w:noWrap w:val="0"/>
            <w:vAlign w:val="center"/>
          </w:tcPr>
          <w:p w14:paraId="18C59145">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若干</w:t>
            </w:r>
          </w:p>
        </w:tc>
        <w:tc>
          <w:tcPr>
            <w:tcW w:w="2767" w:type="dxa"/>
            <w:tcBorders>
              <w:tl2br w:val="nil"/>
              <w:tr2bl w:val="nil"/>
            </w:tcBorders>
            <w:noWrap w:val="0"/>
            <w:vAlign w:val="center"/>
          </w:tcPr>
          <w:p w14:paraId="73442FD8">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《工业企业厂界环境噪声排放标准》（GB12348-2008）中</w:t>
            </w:r>
            <w:r>
              <w:rPr>
                <w:rFonts w:hint="eastAsia" w:ascii="Times New Roman" w:hAnsi="Times New Roman" w:eastAsia="宋体" w:cs="Times New Roman"/>
                <w:color w:val="000000"/>
                <w:kern w:val="0"/>
                <w:sz w:val="21"/>
                <w:szCs w:val="21"/>
                <w:highlight w:val="none"/>
                <w:lang w:val="en-US" w:eastAsia="zh-CN" w:bidi="ar-SA"/>
              </w:rPr>
              <w:t>2</w:t>
            </w:r>
            <w:r>
              <w:rPr>
                <w:rFonts w:hint="default" w:ascii="Times New Roman" w:hAnsi="Times New Roman" w:eastAsia="宋体" w:cs="Times New Roman"/>
                <w:color w:val="000000"/>
                <w:kern w:val="0"/>
                <w:sz w:val="21"/>
                <w:szCs w:val="21"/>
                <w:highlight w:val="none"/>
                <w:lang w:val="en-US" w:eastAsia="zh-CN" w:bidi="ar-SA"/>
              </w:rPr>
              <w:t>类标准</w:t>
            </w:r>
          </w:p>
        </w:tc>
        <w:tc>
          <w:tcPr>
            <w:tcW w:w="2142" w:type="dxa"/>
            <w:tcBorders>
              <w:tl2br w:val="nil"/>
              <w:tr2bl w:val="nil"/>
            </w:tcBorders>
            <w:noWrap w:val="0"/>
            <w:vAlign w:val="center"/>
          </w:tcPr>
          <w:p w14:paraId="5B7BF31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昼间≤</w:t>
            </w:r>
            <w:r>
              <w:rPr>
                <w:rFonts w:hint="eastAsia" w:ascii="Times New Roman" w:hAnsi="Times New Roman" w:eastAsia="宋体" w:cs="Times New Roman"/>
                <w:color w:val="000000"/>
                <w:kern w:val="0"/>
                <w:sz w:val="21"/>
                <w:szCs w:val="21"/>
                <w:highlight w:val="none"/>
                <w:lang w:val="en-US" w:eastAsia="zh-CN" w:bidi="ar-SA"/>
              </w:rPr>
              <w:t>60</w:t>
            </w:r>
            <w:r>
              <w:rPr>
                <w:rFonts w:hint="default" w:ascii="Times New Roman" w:hAnsi="Times New Roman" w:eastAsia="宋体" w:cs="Times New Roman"/>
                <w:color w:val="000000"/>
                <w:kern w:val="2"/>
                <w:sz w:val="21"/>
                <w:szCs w:val="21"/>
                <w:highlight w:val="none"/>
                <w:lang w:val="en-US" w:eastAsia="zh-CN" w:bidi="ar-SA"/>
              </w:rPr>
              <w:t>dB</w:t>
            </w:r>
            <w:r>
              <w:rPr>
                <w:rFonts w:hint="eastAsia" w:ascii="Times New Roman" w:hAnsi="Times New Roman" w:eastAsia="宋体" w:cs="Times New Roman"/>
                <w:color w:val="000000"/>
                <w:kern w:val="2"/>
                <w:sz w:val="21"/>
                <w:szCs w:val="21"/>
                <w:highlight w:val="none"/>
                <w:lang w:val="en-US" w:eastAsia="zh-CN" w:bidi="ar-SA"/>
              </w:rPr>
              <w:t>（</w:t>
            </w:r>
            <w:r>
              <w:rPr>
                <w:rFonts w:hint="default" w:ascii="Times New Roman" w:hAnsi="Times New Roman" w:eastAsia="宋体" w:cs="Times New Roman"/>
                <w:color w:val="000000"/>
                <w:kern w:val="2"/>
                <w:sz w:val="21"/>
                <w:szCs w:val="21"/>
                <w:highlight w:val="none"/>
                <w:lang w:val="en-US" w:eastAsia="zh-CN" w:bidi="ar-SA"/>
              </w:rPr>
              <w:t>A</w:t>
            </w:r>
            <w:r>
              <w:rPr>
                <w:rFonts w:hint="eastAsia" w:ascii="Times New Roman" w:hAnsi="Times New Roman" w:eastAsia="宋体" w:cs="Times New Roman"/>
                <w:color w:val="000000"/>
                <w:kern w:val="2"/>
                <w:sz w:val="21"/>
                <w:szCs w:val="21"/>
                <w:highlight w:val="none"/>
                <w:lang w:val="en-US" w:eastAsia="zh-CN" w:bidi="ar-SA"/>
              </w:rPr>
              <w:t>）</w:t>
            </w:r>
            <w:r>
              <w:rPr>
                <w:rFonts w:hint="default" w:ascii="Times New Roman" w:hAnsi="Times New Roman" w:eastAsia="宋体" w:cs="Times New Roman"/>
                <w:color w:val="000000"/>
                <w:kern w:val="2"/>
                <w:sz w:val="21"/>
                <w:szCs w:val="21"/>
                <w:highlight w:val="none"/>
                <w:lang w:val="en-US" w:eastAsia="zh-CN" w:bidi="ar-SA"/>
              </w:rPr>
              <w:t>，夜间≤</w:t>
            </w:r>
            <w:r>
              <w:rPr>
                <w:rFonts w:hint="eastAsia" w:ascii="Times New Roman" w:hAnsi="Times New Roman" w:eastAsia="宋体" w:cs="Times New Roman"/>
                <w:color w:val="000000"/>
                <w:kern w:val="2"/>
                <w:sz w:val="21"/>
                <w:szCs w:val="21"/>
                <w:highlight w:val="none"/>
                <w:lang w:val="en-US" w:eastAsia="zh-CN" w:bidi="ar-SA"/>
              </w:rPr>
              <w:t>50</w:t>
            </w:r>
            <w:r>
              <w:rPr>
                <w:rFonts w:hint="default" w:ascii="Times New Roman" w:hAnsi="Times New Roman" w:eastAsia="宋体" w:cs="Times New Roman"/>
                <w:color w:val="000000"/>
                <w:kern w:val="2"/>
                <w:sz w:val="21"/>
                <w:szCs w:val="21"/>
                <w:highlight w:val="none"/>
                <w:lang w:val="en-US" w:eastAsia="zh-CN" w:bidi="ar-SA"/>
              </w:rPr>
              <w:t>dB</w:t>
            </w:r>
            <w:r>
              <w:rPr>
                <w:rFonts w:hint="eastAsia" w:ascii="Times New Roman" w:hAnsi="Times New Roman" w:eastAsia="宋体" w:cs="Times New Roman"/>
                <w:color w:val="000000"/>
                <w:kern w:val="2"/>
                <w:sz w:val="21"/>
                <w:szCs w:val="21"/>
                <w:highlight w:val="none"/>
                <w:lang w:val="en-US" w:eastAsia="zh-CN" w:bidi="ar-SA"/>
              </w:rPr>
              <w:t>（</w:t>
            </w:r>
            <w:r>
              <w:rPr>
                <w:rFonts w:hint="default" w:ascii="Times New Roman" w:hAnsi="Times New Roman" w:eastAsia="宋体" w:cs="Times New Roman"/>
                <w:color w:val="000000"/>
                <w:kern w:val="2"/>
                <w:sz w:val="21"/>
                <w:szCs w:val="21"/>
                <w:highlight w:val="none"/>
                <w:lang w:val="en-US" w:eastAsia="zh-CN" w:bidi="ar-SA"/>
              </w:rPr>
              <w:t>A</w:t>
            </w:r>
            <w:r>
              <w:rPr>
                <w:rFonts w:hint="eastAsia" w:ascii="Times New Roman" w:hAnsi="Times New Roman" w:eastAsia="宋体" w:cs="Times New Roman"/>
                <w:color w:val="000000"/>
                <w:kern w:val="2"/>
                <w:sz w:val="21"/>
                <w:szCs w:val="21"/>
                <w:highlight w:val="none"/>
                <w:lang w:val="en-US" w:eastAsia="zh-CN" w:bidi="ar-SA"/>
              </w:rPr>
              <w:t>）</w:t>
            </w:r>
          </w:p>
        </w:tc>
      </w:tr>
      <w:tr w14:paraId="093F82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816" w:type="dxa"/>
            <w:vMerge w:val="restart"/>
            <w:tcBorders>
              <w:tl2br w:val="nil"/>
              <w:tr2bl w:val="nil"/>
            </w:tcBorders>
            <w:noWrap w:val="0"/>
            <w:vAlign w:val="center"/>
          </w:tcPr>
          <w:p w14:paraId="1C29AAD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固体废物</w:t>
            </w:r>
          </w:p>
        </w:tc>
        <w:tc>
          <w:tcPr>
            <w:tcW w:w="1185" w:type="dxa"/>
            <w:vMerge w:val="restart"/>
            <w:tcBorders>
              <w:tl2br w:val="nil"/>
              <w:tr2bl w:val="nil"/>
            </w:tcBorders>
            <w:noWrap w:val="0"/>
            <w:vAlign w:val="center"/>
          </w:tcPr>
          <w:p w14:paraId="08D66FDD">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875" w:type="dxa"/>
            <w:tcBorders>
              <w:tl2br w:val="nil"/>
              <w:tr2bl w:val="nil"/>
            </w:tcBorders>
            <w:noWrap w:val="0"/>
            <w:vAlign w:val="center"/>
          </w:tcPr>
          <w:p w14:paraId="4757505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生活垃圾</w:t>
            </w:r>
          </w:p>
        </w:tc>
        <w:tc>
          <w:tcPr>
            <w:tcW w:w="1473" w:type="dxa"/>
            <w:tcBorders>
              <w:tl2br w:val="nil"/>
              <w:tr2bl w:val="nil"/>
            </w:tcBorders>
            <w:noWrap w:val="0"/>
            <w:vAlign w:val="center"/>
          </w:tcPr>
          <w:p w14:paraId="15778D3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生活垃圾</w:t>
            </w:r>
          </w:p>
        </w:tc>
        <w:tc>
          <w:tcPr>
            <w:tcW w:w="3112" w:type="dxa"/>
            <w:tcBorders>
              <w:tl2br w:val="nil"/>
              <w:tr2bl w:val="nil"/>
            </w:tcBorders>
            <w:noWrap w:val="0"/>
            <w:vAlign w:val="center"/>
          </w:tcPr>
          <w:p w14:paraId="166FC4CF">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可密封生活垃圾收集点</w:t>
            </w:r>
          </w:p>
        </w:tc>
        <w:tc>
          <w:tcPr>
            <w:tcW w:w="1803" w:type="dxa"/>
            <w:tcBorders>
              <w:tl2br w:val="nil"/>
              <w:tr2bl w:val="nil"/>
            </w:tcBorders>
            <w:noWrap w:val="0"/>
            <w:vAlign w:val="center"/>
          </w:tcPr>
          <w:p w14:paraId="01DD8CA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1个</w:t>
            </w:r>
          </w:p>
        </w:tc>
        <w:tc>
          <w:tcPr>
            <w:tcW w:w="2767" w:type="dxa"/>
            <w:vMerge w:val="restart"/>
            <w:tcBorders>
              <w:tl2br w:val="nil"/>
              <w:tr2bl w:val="nil"/>
            </w:tcBorders>
            <w:noWrap w:val="0"/>
            <w:vAlign w:val="center"/>
          </w:tcPr>
          <w:p w14:paraId="52F7AB68">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《一般工业固体废物贮存和填埋污染控制标准》（GB 18599-2020）</w:t>
            </w:r>
          </w:p>
        </w:tc>
        <w:tc>
          <w:tcPr>
            <w:tcW w:w="2142" w:type="dxa"/>
            <w:vMerge w:val="restart"/>
            <w:tcBorders>
              <w:tl2br w:val="nil"/>
              <w:tr2bl w:val="nil"/>
            </w:tcBorders>
            <w:noWrap w:val="0"/>
            <w:vAlign w:val="center"/>
          </w:tcPr>
          <w:p w14:paraId="473DEE4C">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w:t>
            </w:r>
          </w:p>
        </w:tc>
      </w:tr>
      <w:tr w14:paraId="69F21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6" w:type="dxa"/>
            <w:vMerge w:val="continue"/>
            <w:tcBorders>
              <w:tl2br w:val="nil"/>
              <w:tr2bl w:val="nil"/>
            </w:tcBorders>
            <w:noWrap w:val="0"/>
            <w:vAlign w:val="center"/>
          </w:tcPr>
          <w:p w14:paraId="2E5C2730">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75873CE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875" w:type="dxa"/>
            <w:vMerge w:val="restart"/>
            <w:tcBorders>
              <w:tl2br w:val="nil"/>
              <w:tr2bl w:val="nil"/>
            </w:tcBorders>
            <w:noWrap w:val="0"/>
            <w:vAlign w:val="center"/>
          </w:tcPr>
          <w:p w14:paraId="32A98FD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一般固废</w:t>
            </w:r>
          </w:p>
        </w:tc>
        <w:tc>
          <w:tcPr>
            <w:tcW w:w="1473" w:type="dxa"/>
            <w:tcBorders>
              <w:tl2br w:val="nil"/>
              <w:tr2bl w:val="nil"/>
            </w:tcBorders>
            <w:noWrap w:val="0"/>
            <w:vAlign w:val="center"/>
          </w:tcPr>
          <w:p w14:paraId="72D7CAC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lang w:val="en-US" w:eastAsia="zh-CN" w:bidi="ar-SA"/>
              </w:rPr>
              <w:t>粪便及废发酵垫</w:t>
            </w:r>
          </w:p>
        </w:tc>
        <w:tc>
          <w:tcPr>
            <w:tcW w:w="3112" w:type="dxa"/>
            <w:tcBorders>
              <w:tl2br w:val="nil"/>
              <w:tr2bl w:val="nil"/>
            </w:tcBorders>
            <w:noWrap w:val="0"/>
            <w:vAlign w:val="center"/>
          </w:tcPr>
          <w:p w14:paraId="139C550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还田</w:t>
            </w:r>
          </w:p>
        </w:tc>
        <w:tc>
          <w:tcPr>
            <w:tcW w:w="1803" w:type="dxa"/>
            <w:tcBorders>
              <w:tl2br w:val="nil"/>
              <w:tr2bl w:val="nil"/>
            </w:tcBorders>
            <w:noWrap w:val="0"/>
            <w:vAlign w:val="center"/>
          </w:tcPr>
          <w:p w14:paraId="23DB976A">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2767" w:type="dxa"/>
            <w:vMerge w:val="continue"/>
            <w:tcBorders>
              <w:tl2br w:val="nil"/>
              <w:tr2bl w:val="nil"/>
            </w:tcBorders>
            <w:noWrap w:val="0"/>
            <w:vAlign w:val="center"/>
          </w:tcPr>
          <w:p w14:paraId="11FEDC0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142" w:type="dxa"/>
            <w:vMerge w:val="continue"/>
            <w:tcBorders>
              <w:tl2br w:val="nil"/>
              <w:tr2bl w:val="nil"/>
            </w:tcBorders>
            <w:noWrap w:val="0"/>
            <w:vAlign w:val="center"/>
          </w:tcPr>
          <w:p w14:paraId="3965B4E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r>
      <w:tr w14:paraId="03760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6" w:type="dxa"/>
            <w:vMerge w:val="continue"/>
            <w:tcBorders>
              <w:tl2br w:val="nil"/>
              <w:tr2bl w:val="nil"/>
            </w:tcBorders>
            <w:noWrap w:val="0"/>
            <w:vAlign w:val="center"/>
          </w:tcPr>
          <w:p w14:paraId="3454184B">
            <w:pPr>
              <w:widowControl w:val="0"/>
              <w:spacing w:line="320" w:lineRule="exact"/>
              <w:jc w:val="center"/>
              <w:rPr>
                <w:rFonts w:ascii="Times New Roman" w:hAnsi="Times New Roman" w:eastAsia="宋体" w:cs="Times New Roman"/>
              </w:rPr>
            </w:pPr>
          </w:p>
        </w:tc>
        <w:tc>
          <w:tcPr>
            <w:tcW w:w="1185" w:type="dxa"/>
            <w:vMerge w:val="continue"/>
            <w:tcBorders>
              <w:tl2br w:val="nil"/>
              <w:tr2bl w:val="nil"/>
            </w:tcBorders>
            <w:noWrap w:val="0"/>
            <w:vAlign w:val="center"/>
          </w:tcPr>
          <w:p w14:paraId="42C2D7FA">
            <w:pPr>
              <w:widowControl w:val="0"/>
              <w:spacing w:line="320" w:lineRule="exact"/>
              <w:jc w:val="center"/>
              <w:rPr>
                <w:rFonts w:ascii="Times New Roman" w:hAnsi="Times New Roman" w:eastAsia="宋体" w:cs="Times New Roman"/>
              </w:rPr>
            </w:pPr>
          </w:p>
        </w:tc>
        <w:tc>
          <w:tcPr>
            <w:tcW w:w="875" w:type="dxa"/>
            <w:vMerge w:val="continue"/>
            <w:tcBorders>
              <w:tl2br w:val="nil"/>
              <w:tr2bl w:val="nil"/>
            </w:tcBorders>
            <w:noWrap w:val="0"/>
            <w:vAlign w:val="center"/>
          </w:tcPr>
          <w:p w14:paraId="040B54C9">
            <w:pPr>
              <w:widowControl w:val="0"/>
              <w:spacing w:line="320" w:lineRule="exact"/>
              <w:jc w:val="center"/>
              <w:rPr>
                <w:rFonts w:ascii="Times New Roman" w:hAnsi="Times New Roman" w:eastAsia="宋体" w:cs="Times New Roman"/>
              </w:rPr>
            </w:pPr>
          </w:p>
        </w:tc>
        <w:tc>
          <w:tcPr>
            <w:tcW w:w="1473" w:type="dxa"/>
            <w:tcBorders>
              <w:tl2br w:val="nil"/>
              <w:tr2bl w:val="nil"/>
            </w:tcBorders>
            <w:noWrap w:val="0"/>
            <w:vAlign w:val="center"/>
          </w:tcPr>
          <w:p w14:paraId="7B9EB7E3">
            <w:pPr>
              <w:widowControl w:val="0"/>
              <w:spacing w:line="320" w:lineRule="exact"/>
              <w:jc w:val="center"/>
              <w:rPr>
                <w:rFonts w:hint="eastAsia" w:ascii="Times New Roman" w:hAnsi="Times New Roman" w:eastAsia="宋体" w:cs="Times New Roman"/>
                <w:sz w:val="21"/>
                <w:lang w:val="en-US" w:eastAsia="zh-CN" w:bidi="ar-SA"/>
              </w:rPr>
            </w:pPr>
            <w:r>
              <w:rPr>
                <w:rFonts w:hint="eastAsia" w:ascii="Times New Roman" w:hAnsi="Times New Roman" w:eastAsia="宋体" w:cs="Times New Roman"/>
                <w:sz w:val="21"/>
                <w:lang w:val="en-US" w:eastAsia="zh-CN" w:bidi="ar-SA"/>
              </w:rPr>
              <w:t>病死牛尸体</w:t>
            </w:r>
          </w:p>
        </w:tc>
        <w:tc>
          <w:tcPr>
            <w:tcW w:w="3112" w:type="dxa"/>
            <w:tcBorders>
              <w:tl2br w:val="nil"/>
              <w:tr2bl w:val="nil"/>
            </w:tcBorders>
            <w:noWrap w:val="0"/>
            <w:vAlign w:val="center"/>
          </w:tcPr>
          <w:p w14:paraId="06050B26">
            <w:pPr>
              <w:widowControl w:val="0"/>
              <w:overflowPunct w:val="0"/>
              <w:autoSpaceDE w:val="0"/>
              <w:autoSpaceDN w:val="0"/>
              <w:bidi w:val="0"/>
              <w:adjustRightInd w:val="0"/>
              <w:snapToGrid w:val="0"/>
              <w:spacing w:line="300" w:lineRule="atLeast"/>
              <w:jc w:val="center"/>
              <w:textAlignment w:val="baseline"/>
              <w:rPr>
                <w:rFonts w:hint="eastAsia" w:ascii="Times New Roman" w:hAnsi="Times New Roman" w:eastAsia="宋体" w:cs="Times New Roman"/>
                <w:sz w:val="21"/>
                <w:lang w:val="en-US" w:eastAsia="zh-CN" w:bidi="ar-SA"/>
              </w:rPr>
            </w:pPr>
            <w:r>
              <w:rPr>
                <w:rFonts w:hint="eastAsia" w:ascii="Times New Roman" w:hAnsi="Times New Roman" w:eastAsia="宋体" w:cs="Times New Roman"/>
                <w:bCs/>
                <w:color w:val="auto"/>
                <w:sz w:val="21"/>
                <w:szCs w:val="21"/>
                <w:lang w:val="en-US" w:eastAsia="zh-CN"/>
              </w:rPr>
              <w:t>设置20m</w:t>
            </w:r>
            <w:r>
              <w:rPr>
                <w:rFonts w:hint="eastAsia" w:ascii="Times New Roman" w:hAnsi="Times New Roman" w:eastAsia="宋体" w:cs="Times New Roman"/>
                <w:bCs/>
                <w:color w:val="auto"/>
                <w:sz w:val="21"/>
                <w:szCs w:val="21"/>
                <w:vertAlign w:val="superscript"/>
                <w:lang w:val="en-US" w:eastAsia="zh-CN"/>
              </w:rPr>
              <w:t>2</w:t>
            </w:r>
            <w:r>
              <w:rPr>
                <w:rFonts w:hint="eastAsia" w:ascii="Times New Roman" w:hAnsi="Times New Roman" w:eastAsia="宋体" w:cs="Times New Roman"/>
                <w:bCs/>
                <w:color w:val="auto"/>
                <w:sz w:val="21"/>
                <w:szCs w:val="21"/>
                <w:lang w:val="en-US" w:eastAsia="zh-CN"/>
              </w:rPr>
              <w:t>病死牛暂存间，委托病死畜禽无害化处理单位进行无害化处置</w:t>
            </w:r>
          </w:p>
        </w:tc>
        <w:tc>
          <w:tcPr>
            <w:tcW w:w="1803" w:type="dxa"/>
            <w:tcBorders>
              <w:tl2br w:val="nil"/>
              <w:tr2bl w:val="nil"/>
            </w:tcBorders>
            <w:noWrap w:val="0"/>
            <w:vAlign w:val="center"/>
          </w:tcPr>
          <w:p w14:paraId="299D025A">
            <w:pPr>
              <w:widowControl w:val="0"/>
              <w:spacing w:line="320" w:lineRule="exact"/>
              <w:jc w:val="center"/>
              <w:rPr>
                <w:rFonts w:hint="eastAsia" w:ascii="Times New Roman" w:hAnsi="Times New Roman" w:eastAsia="宋体" w:cs="Times New Roman"/>
                <w:sz w:val="21"/>
                <w:lang w:val="en-US" w:eastAsia="zh-CN" w:bidi="ar-SA"/>
              </w:rPr>
            </w:pPr>
            <w:r>
              <w:rPr>
                <w:rFonts w:hint="eastAsia" w:ascii="Times New Roman" w:hAnsi="Times New Roman" w:eastAsia="宋体" w:cs="Times New Roman"/>
                <w:color w:val="000000"/>
                <w:kern w:val="0"/>
                <w:sz w:val="21"/>
                <w:szCs w:val="21"/>
                <w:highlight w:val="none"/>
                <w:lang w:val="en-US" w:eastAsia="zh-CN" w:bidi="ar-SA"/>
              </w:rPr>
              <w:t>1座</w:t>
            </w:r>
          </w:p>
        </w:tc>
        <w:tc>
          <w:tcPr>
            <w:tcW w:w="2767" w:type="dxa"/>
            <w:vMerge w:val="continue"/>
            <w:tcBorders>
              <w:tl2br w:val="nil"/>
              <w:tr2bl w:val="nil"/>
            </w:tcBorders>
            <w:noWrap w:val="0"/>
            <w:vAlign w:val="center"/>
          </w:tcPr>
          <w:p w14:paraId="51A2A64C">
            <w:pPr>
              <w:widowControl w:val="0"/>
              <w:spacing w:line="320" w:lineRule="exact"/>
              <w:jc w:val="center"/>
              <w:rPr>
                <w:rFonts w:hint="eastAsia" w:ascii="Times New Roman" w:hAnsi="Times New Roman" w:eastAsia="宋体" w:cs="Times New Roman"/>
                <w:sz w:val="21"/>
                <w:lang w:val="en-US" w:eastAsia="zh-CN" w:bidi="ar-SA"/>
              </w:rPr>
            </w:pPr>
          </w:p>
        </w:tc>
        <w:tc>
          <w:tcPr>
            <w:tcW w:w="2142" w:type="dxa"/>
            <w:vMerge w:val="continue"/>
            <w:tcBorders>
              <w:tl2br w:val="nil"/>
              <w:tr2bl w:val="nil"/>
            </w:tcBorders>
            <w:noWrap w:val="0"/>
            <w:vAlign w:val="center"/>
          </w:tcPr>
          <w:p w14:paraId="32C0A943">
            <w:pPr>
              <w:widowControl w:val="0"/>
              <w:spacing w:line="320" w:lineRule="exact"/>
              <w:jc w:val="center"/>
              <w:rPr>
                <w:rFonts w:hint="eastAsia" w:ascii="Times New Roman" w:hAnsi="Times New Roman" w:eastAsia="宋体" w:cs="Times New Roman"/>
                <w:sz w:val="21"/>
                <w:lang w:val="en-US" w:eastAsia="zh-CN" w:bidi="ar-SA"/>
              </w:rPr>
            </w:pPr>
          </w:p>
        </w:tc>
      </w:tr>
      <w:tr w14:paraId="3C748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6" w:type="dxa"/>
            <w:vMerge w:val="continue"/>
            <w:tcBorders>
              <w:tl2br w:val="nil"/>
              <w:tr2bl w:val="nil"/>
            </w:tcBorders>
            <w:noWrap w:val="0"/>
            <w:vAlign w:val="center"/>
          </w:tcPr>
          <w:p w14:paraId="2B0C6A1B">
            <w:pPr>
              <w:widowControl w:val="0"/>
              <w:spacing w:line="320" w:lineRule="exact"/>
              <w:jc w:val="center"/>
              <w:rPr>
                <w:rFonts w:hint="eastAsia" w:ascii="Times New Roman" w:hAnsi="Times New Roman" w:eastAsia="宋体" w:cs="Times New Roman"/>
                <w:sz w:val="21"/>
                <w:lang w:val="en-US" w:eastAsia="zh-CN" w:bidi="ar-SA"/>
              </w:rPr>
            </w:pPr>
          </w:p>
        </w:tc>
        <w:tc>
          <w:tcPr>
            <w:tcW w:w="1185" w:type="dxa"/>
            <w:vMerge w:val="continue"/>
            <w:tcBorders>
              <w:tl2br w:val="nil"/>
              <w:tr2bl w:val="nil"/>
            </w:tcBorders>
            <w:noWrap w:val="0"/>
            <w:vAlign w:val="center"/>
          </w:tcPr>
          <w:p w14:paraId="62657AB1">
            <w:pPr>
              <w:widowControl w:val="0"/>
              <w:spacing w:line="320" w:lineRule="exact"/>
              <w:jc w:val="center"/>
              <w:rPr>
                <w:rFonts w:hint="eastAsia" w:ascii="Times New Roman" w:hAnsi="Times New Roman" w:eastAsia="宋体" w:cs="Times New Roman"/>
                <w:sz w:val="21"/>
                <w:lang w:val="en-US" w:eastAsia="zh-CN" w:bidi="ar-SA"/>
              </w:rPr>
            </w:pPr>
          </w:p>
        </w:tc>
        <w:tc>
          <w:tcPr>
            <w:tcW w:w="875" w:type="dxa"/>
            <w:vMerge w:val="continue"/>
            <w:tcBorders>
              <w:tl2br w:val="nil"/>
              <w:tr2bl w:val="nil"/>
            </w:tcBorders>
            <w:noWrap w:val="0"/>
            <w:vAlign w:val="center"/>
          </w:tcPr>
          <w:p w14:paraId="2E29F9F8">
            <w:pPr>
              <w:widowControl w:val="0"/>
              <w:spacing w:line="320" w:lineRule="exact"/>
              <w:jc w:val="center"/>
              <w:rPr>
                <w:rFonts w:hint="eastAsia" w:ascii="Times New Roman" w:hAnsi="Times New Roman" w:eastAsia="宋体" w:cs="Times New Roman"/>
                <w:sz w:val="21"/>
                <w:lang w:val="en-US" w:eastAsia="zh-CN" w:bidi="ar-SA"/>
              </w:rPr>
            </w:pPr>
          </w:p>
        </w:tc>
        <w:tc>
          <w:tcPr>
            <w:tcW w:w="1473" w:type="dxa"/>
            <w:tcBorders>
              <w:tl2br w:val="nil"/>
              <w:tr2bl w:val="nil"/>
            </w:tcBorders>
            <w:noWrap w:val="0"/>
            <w:vAlign w:val="center"/>
          </w:tcPr>
          <w:p w14:paraId="48D61E3C">
            <w:pPr>
              <w:widowControl w:val="0"/>
              <w:spacing w:line="320" w:lineRule="exact"/>
              <w:jc w:val="center"/>
              <w:rPr>
                <w:rFonts w:hint="eastAsia" w:ascii="Times New Roman" w:hAnsi="Times New Roman" w:eastAsia="宋体" w:cs="Times New Roman"/>
                <w:sz w:val="21"/>
                <w:lang w:val="en-US" w:eastAsia="zh-CN" w:bidi="ar-SA"/>
              </w:rPr>
            </w:pPr>
            <w:r>
              <w:rPr>
                <w:rFonts w:hint="default" w:ascii="Times New Roman" w:hAnsi="Times New Roman" w:eastAsia="宋体" w:cs="Times New Roman"/>
                <w:color w:val="auto"/>
                <w:sz w:val="21"/>
                <w:szCs w:val="21"/>
                <w:lang w:val="en-US" w:eastAsia="zh-CN"/>
              </w:rPr>
              <w:t>除尘灰</w:t>
            </w:r>
          </w:p>
        </w:tc>
        <w:tc>
          <w:tcPr>
            <w:tcW w:w="3112" w:type="dxa"/>
            <w:tcBorders>
              <w:tl2br w:val="nil"/>
              <w:tr2bl w:val="nil"/>
            </w:tcBorders>
            <w:noWrap w:val="0"/>
            <w:vAlign w:val="center"/>
          </w:tcPr>
          <w:p w14:paraId="2B303E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lang w:val="en-US" w:eastAsia="zh-CN" w:bidi="ar-SA"/>
              </w:rPr>
            </w:pPr>
            <w:r>
              <w:rPr>
                <w:rFonts w:hint="eastAsia" w:ascii="Times New Roman" w:hAnsi="Times New Roman" w:eastAsia="宋体" w:cs="Times New Roman"/>
                <w:color w:val="000000"/>
                <w:kern w:val="0"/>
                <w:sz w:val="21"/>
                <w:szCs w:val="21"/>
                <w:highlight w:val="none"/>
                <w:lang w:val="en-US" w:eastAsia="zh-CN" w:bidi="ar"/>
              </w:rPr>
              <w:t>回用于堆肥工段</w:t>
            </w:r>
          </w:p>
        </w:tc>
        <w:tc>
          <w:tcPr>
            <w:tcW w:w="1803" w:type="dxa"/>
            <w:tcBorders>
              <w:tl2br w:val="nil"/>
              <w:tr2bl w:val="nil"/>
            </w:tcBorders>
            <w:noWrap w:val="0"/>
            <w:vAlign w:val="center"/>
          </w:tcPr>
          <w:p w14:paraId="1C847C70">
            <w:pPr>
              <w:widowControl w:val="0"/>
              <w:spacing w:line="320" w:lineRule="exact"/>
              <w:jc w:val="center"/>
              <w:rPr>
                <w:rFonts w:hint="eastAsia" w:ascii="Times New Roman" w:hAnsi="Times New Roman" w:eastAsia="宋体" w:cs="Times New Roman"/>
                <w:sz w:val="21"/>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2767" w:type="dxa"/>
            <w:vMerge w:val="continue"/>
            <w:tcBorders>
              <w:tl2br w:val="nil"/>
              <w:tr2bl w:val="nil"/>
            </w:tcBorders>
            <w:noWrap w:val="0"/>
            <w:vAlign w:val="center"/>
          </w:tcPr>
          <w:p w14:paraId="2F81EA8B">
            <w:pPr>
              <w:widowControl w:val="0"/>
              <w:spacing w:line="320" w:lineRule="exact"/>
              <w:jc w:val="center"/>
              <w:rPr>
                <w:rFonts w:hint="eastAsia" w:ascii="Times New Roman" w:hAnsi="Times New Roman" w:eastAsia="宋体" w:cs="Times New Roman"/>
                <w:sz w:val="21"/>
                <w:lang w:val="en-US" w:eastAsia="zh-CN" w:bidi="ar-SA"/>
              </w:rPr>
            </w:pPr>
          </w:p>
        </w:tc>
        <w:tc>
          <w:tcPr>
            <w:tcW w:w="2142" w:type="dxa"/>
            <w:vMerge w:val="continue"/>
            <w:tcBorders>
              <w:tl2br w:val="nil"/>
              <w:tr2bl w:val="nil"/>
            </w:tcBorders>
            <w:noWrap w:val="0"/>
            <w:vAlign w:val="center"/>
          </w:tcPr>
          <w:p w14:paraId="5B1107B5">
            <w:pPr>
              <w:widowControl w:val="0"/>
              <w:spacing w:line="320" w:lineRule="exact"/>
              <w:jc w:val="center"/>
              <w:rPr>
                <w:rFonts w:hint="eastAsia" w:ascii="Times New Roman" w:hAnsi="Times New Roman" w:eastAsia="宋体" w:cs="Times New Roman"/>
                <w:sz w:val="21"/>
                <w:lang w:val="en-US" w:eastAsia="zh-CN" w:bidi="ar-SA"/>
              </w:rPr>
            </w:pPr>
          </w:p>
        </w:tc>
      </w:tr>
      <w:tr w14:paraId="741C7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6" w:type="dxa"/>
            <w:vMerge w:val="continue"/>
            <w:tcBorders>
              <w:tl2br w:val="nil"/>
              <w:tr2bl w:val="nil"/>
            </w:tcBorders>
            <w:noWrap w:val="0"/>
            <w:vAlign w:val="center"/>
          </w:tcPr>
          <w:p w14:paraId="2C15246D">
            <w:pPr>
              <w:widowControl w:val="0"/>
              <w:spacing w:line="320" w:lineRule="exact"/>
              <w:jc w:val="center"/>
              <w:rPr>
                <w:rFonts w:hint="eastAsia" w:ascii="Times New Roman" w:hAnsi="Times New Roman" w:eastAsia="宋体" w:cs="Times New Roman"/>
                <w:sz w:val="21"/>
                <w:lang w:val="en-US" w:eastAsia="zh-CN" w:bidi="ar-SA"/>
              </w:rPr>
            </w:pPr>
          </w:p>
        </w:tc>
        <w:tc>
          <w:tcPr>
            <w:tcW w:w="1185" w:type="dxa"/>
            <w:vMerge w:val="continue"/>
            <w:tcBorders>
              <w:tl2br w:val="nil"/>
              <w:tr2bl w:val="nil"/>
            </w:tcBorders>
            <w:noWrap w:val="0"/>
            <w:vAlign w:val="center"/>
          </w:tcPr>
          <w:p w14:paraId="1A5D672D">
            <w:pPr>
              <w:widowControl w:val="0"/>
              <w:spacing w:line="320" w:lineRule="exact"/>
              <w:jc w:val="center"/>
              <w:rPr>
                <w:rFonts w:hint="eastAsia" w:ascii="Times New Roman" w:hAnsi="Times New Roman" w:eastAsia="宋体" w:cs="Times New Roman"/>
                <w:sz w:val="21"/>
                <w:lang w:val="en-US" w:eastAsia="zh-CN" w:bidi="ar-SA"/>
              </w:rPr>
            </w:pPr>
          </w:p>
        </w:tc>
        <w:tc>
          <w:tcPr>
            <w:tcW w:w="875" w:type="dxa"/>
            <w:vMerge w:val="continue"/>
            <w:tcBorders>
              <w:tl2br w:val="nil"/>
              <w:tr2bl w:val="nil"/>
            </w:tcBorders>
            <w:noWrap w:val="0"/>
            <w:vAlign w:val="center"/>
          </w:tcPr>
          <w:p w14:paraId="5B32317B">
            <w:pPr>
              <w:widowControl w:val="0"/>
              <w:spacing w:line="320" w:lineRule="exact"/>
              <w:jc w:val="center"/>
              <w:rPr>
                <w:rFonts w:hint="eastAsia" w:ascii="Times New Roman" w:hAnsi="Times New Roman" w:eastAsia="宋体" w:cs="Times New Roman"/>
                <w:sz w:val="21"/>
                <w:lang w:val="en-US" w:eastAsia="zh-CN" w:bidi="ar-SA"/>
              </w:rPr>
            </w:pPr>
          </w:p>
        </w:tc>
        <w:tc>
          <w:tcPr>
            <w:tcW w:w="1473" w:type="dxa"/>
            <w:tcBorders>
              <w:tl2br w:val="nil"/>
              <w:tr2bl w:val="nil"/>
            </w:tcBorders>
            <w:noWrap w:val="0"/>
            <w:vAlign w:val="center"/>
          </w:tcPr>
          <w:p w14:paraId="76C9A5FE">
            <w:pPr>
              <w:widowControl w:val="0"/>
              <w:spacing w:line="320" w:lineRule="exact"/>
              <w:jc w:val="center"/>
              <w:rPr>
                <w:rFonts w:hint="eastAsia" w:ascii="Times New Roman" w:hAnsi="Times New Roman" w:eastAsia="宋体" w:cs="Times New Roman"/>
                <w:sz w:val="21"/>
                <w:lang w:val="en-US" w:eastAsia="zh-CN" w:bidi="ar-SA"/>
              </w:rPr>
            </w:pPr>
            <w:r>
              <w:rPr>
                <w:rFonts w:hint="eastAsia" w:ascii="Times New Roman" w:hAnsi="Times New Roman" w:eastAsia="宋体" w:cs="Times New Roman"/>
                <w:color w:val="auto"/>
                <w:sz w:val="21"/>
                <w:szCs w:val="21"/>
                <w:lang w:val="en-US" w:eastAsia="zh-CN"/>
              </w:rPr>
              <w:t>废包装材料</w:t>
            </w:r>
          </w:p>
        </w:tc>
        <w:tc>
          <w:tcPr>
            <w:tcW w:w="3112" w:type="dxa"/>
            <w:tcBorders>
              <w:tl2br w:val="nil"/>
              <w:tr2bl w:val="nil"/>
            </w:tcBorders>
            <w:noWrap w:val="0"/>
            <w:vAlign w:val="center"/>
          </w:tcPr>
          <w:p w14:paraId="2BFB8F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lang w:val="en-US" w:eastAsia="zh-CN" w:bidi="ar-SA"/>
              </w:rPr>
            </w:pPr>
            <w:r>
              <w:rPr>
                <w:rFonts w:hint="eastAsia" w:ascii="Times New Roman" w:hAnsi="Times New Roman" w:eastAsia="宋体" w:cs="Times New Roman"/>
                <w:color w:val="auto"/>
                <w:sz w:val="21"/>
                <w:szCs w:val="21"/>
                <w:lang w:val="en-US" w:eastAsia="zh-CN"/>
              </w:rPr>
              <w:t>分类暂存，外售综合利用</w:t>
            </w:r>
          </w:p>
        </w:tc>
        <w:tc>
          <w:tcPr>
            <w:tcW w:w="1803" w:type="dxa"/>
            <w:tcBorders>
              <w:tl2br w:val="nil"/>
              <w:tr2bl w:val="nil"/>
            </w:tcBorders>
            <w:noWrap w:val="0"/>
            <w:vAlign w:val="center"/>
          </w:tcPr>
          <w:p w14:paraId="10048623">
            <w:pPr>
              <w:widowControl w:val="0"/>
              <w:spacing w:line="320" w:lineRule="exact"/>
              <w:jc w:val="center"/>
              <w:rPr>
                <w:rFonts w:hint="eastAsia" w:ascii="Times New Roman" w:hAnsi="Times New Roman" w:eastAsia="宋体" w:cs="Times New Roman"/>
                <w:sz w:val="21"/>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2767" w:type="dxa"/>
            <w:vMerge w:val="continue"/>
            <w:tcBorders>
              <w:tl2br w:val="nil"/>
              <w:tr2bl w:val="nil"/>
            </w:tcBorders>
            <w:noWrap w:val="0"/>
            <w:vAlign w:val="center"/>
          </w:tcPr>
          <w:p w14:paraId="6036D075">
            <w:pPr>
              <w:widowControl w:val="0"/>
              <w:spacing w:line="320" w:lineRule="exact"/>
              <w:jc w:val="center"/>
              <w:rPr>
                <w:rFonts w:hint="eastAsia" w:ascii="Times New Roman" w:hAnsi="Times New Roman" w:eastAsia="宋体" w:cs="Times New Roman"/>
                <w:sz w:val="21"/>
                <w:lang w:val="en-US" w:eastAsia="zh-CN" w:bidi="ar-SA"/>
              </w:rPr>
            </w:pPr>
          </w:p>
        </w:tc>
        <w:tc>
          <w:tcPr>
            <w:tcW w:w="2142" w:type="dxa"/>
            <w:vMerge w:val="continue"/>
            <w:tcBorders>
              <w:tl2br w:val="nil"/>
              <w:tr2bl w:val="nil"/>
            </w:tcBorders>
            <w:noWrap w:val="0"/>
            <w:vAlign w:val="center"/>
          </w:tcPr>
          <w:p w14:paraId="7C63232E">
            <w:pPr>
              <w:widowControl w:val="0"/>
              <w:spacing w:line="320" w:lineRule="exact"/>
              <w:jc w:val="center"/>
              <w:rPr>
                <w:rFonts w:hint="eastAsia" w:ascii="Times New Roman" w:hAnsi="Times New Roman" w:eastAsia="宋体" w:cs="Times New Roman"/>
                <w:sz w:val="21"/>
                <w:lang w:val="en-US" w:eastAsia="zh-CN" w:bidi="ar-SA"/>
              </w:rPr>
            </w:pPr>
          </w:p>
        </w:tc>
      </w:tr>
      <w:tr w14:paraId="18DFA4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16" w:type="dxa"/>
            <w:vMerge w:val="continue"/>
            <w:tcBorders>
              <w:tl2br w:val="nil"/>
              <w:tr2bl w:val="nil"/>
            </w:tcBorders>
            <w:noWrap w:val="0"/>
            <w:vAlign w:val="center"/>
          </w:tcPr>
          <w:p w14:paraId="299CE49B">
            <w:pPr>
              <w:widowControl w:val="0"/>
              <w:spacing w:line="320" w:lineRule="exact"/>
              <w:jc w:val="center"/>
              <w:rPr>
                <w:rFonts w:hint="eastAsia" w:ascii="Times New Roman" w:hAnsi="Times New Roman" w:eastAsia="宋体" w:cs="Times New Roman"/>
                <w:sz w:val="21"/>
                <w:lang w:val="en-US" w:eastAsia="zh-CN" w:bidi="ar-SA"/>
              </w:rPr>
            </w:pPr>
          </w:p>
        </w:tc>
        <w:tc>
          <w:tcPr>
            <w:tcW w:w="1185" w:type="dxa"/>
            <w:vMerge w:val="continue"/>
            <w:tcBorders>
              <w:tl2br w:val="nil"/>
              <w:tr2bl w:val="nil"/>
            </w:tcBorders>
            <w:noWrap w:val="0"/>
            <w:vAlign w:val="center"/>
          </w:tcPr>
          <w:p w14:paraId="24215025">
            <w:pPr>
              <w:widowControl w:val="0"/>
              <w:spacing w:line="320" w:lineRule="exact"/>
              <w:jc w:val="center"/>
              <w:rPr>
                <w:rFonts w:hint="eastAsia" w:ascii="Times New Roman" w:hAnsi="Times New Roman" w:eastAsia="宋体" w:cs="Times New Roman"/>
                <w:sz w:val="21"/>
                <w:lang w:val="en-US" w:eastAsia="zh-CN" w:bidi="ar-SA"/>
              </w:rPr>
            </w:pPr>
          </w:p>
        </w:tc>
        <w:tc>
          <w:tcPr>
            <w:tcW w:w="875" w:type="dxa"/>
            <w:vMerge w:val="continue"/>
            <w:tcBorders>
              <w:tl2br w:val="nil"/>
              <w:tr2bl w:val="nil"/>
            </w:tcBorders>
            <w:noWrap w:val="0"/>
            <w:vAlign w:val="center"/>
          </w:tcPr>
          <w:p w14:paraId="00F3576F">
            <w:pPr>
              <w:widowControl w:val="0"/>
              <w:spacing w:line="320" w:lineRule="exact"/>
              <w:jc w:val="center"/>
              <w:rPr>
                <w:rFonts w:hint="eastAsia" w:ascii="Times New Roman" w:hAnsi="Times New Roman" w:eastAsia="宋体" w:cs="Times New Roman"/>
                <w:sz w:val="21"/>
                <w:lang w:val="en-US" w:eastAsia="zh-CN" w:bidi="ar-SA"/>
              </w:rPr>
            </w:pPr>
          </w:p>
        </w:tc>
        <w:tc>
          <w:tcPr>
            <w:tcW w:w="1473" w:type="dxa"/>
            <w:tcBorders>
              <w:tl2br w:val="nil"/>
              <w:tr2bl w:val="nil"/>
            </w:tcBorders>
            <w:noWrap w:val="0"/>
            <w:vAlign w:val="center"/>
          </w:tcPr>
          <w:p w14:paraId="25DF0AD8">
            <w:pPr>
              <w:widowControl w:val="0"/>
              <w:spacing w:line="32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sz w:val="21"/>
                <w:lang w:val="en-US" w:eastAsia="zh-CN" w:bidi="ar-SA"/>
              </w:rPr>
              <w:t>废填料</w:t>
            </w:r>
          </w:p>
        </w:tc>
        <w:tc>
          <w:tcPr>
            <w:tcW w:w="3112" w:type="dxa"/>
            <w:tcBorders>
              <w:tl2br w:val="nil"/>
              <w:tr2bl w:val="nil"/>
            </w:tcBorders>
            <w:noWrap w:val="0"/>
            <w:vAlign w:val="center"/>
          </w:tcPr>
          <w:p w14:paraId="391FFA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1"/>
                <w:lang w:val="en-US" w:eastAsia="zh-CN" w:bidi="ar-SA"/>
              </w:rPr>
            </w:pPr>
            <w:r>
              <w:rPr>
                <w:rFonts w:hint="eastAsia" w:ascii="Times New Roman" w:hAnsi="Times New Roman" w:eastAsia="宋体" w:cs="Times New Roman"/>
                <w:bCs/>
                <w:color w:val="auto"/>
                <w:sz w:val="21"/>
                <w:szCs w:val="21"/>
                <w:lang w:val="en-US" w:eastAsia="zh-CN"/>
              </w:rPr>
              <w:t>暂存于堆肥间内，外售综合利用</w:t>
            </w:r>
          </w:p>
        </w:tc>
        <w:tc>
          <w:tcPr>
            <w:tcW w:w="1803" w:type="dxa"/>
            <w:tcBorders>
              <w:tl2br w:val="nil"/>
              <w:tr2bl w:val="nil"/>
            </w:tcBorders>
            <w:noWrap w:val="0"/>
            <w:vAlign w:val="center"/>
          </w:tcPr>
          <w:p w14:paraId="4484FC1F">
            <w:pPr>
              <w:widowControl w:val="0"/>
              <w:spacing w:line="320" w:lineRule="exact"/>
              <w:jc w:val="center"/>
              <w:rPr>
                <w:rFonts w:hint="eastAsia" w:ascii="Times New Roman" w:hAnsi="Times New Roman" w:eastAsia="宋体" w:cs="Times New Roman"/>
                <w:sz w:val="21"/>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2767" w:type="dxa"/>
            <w:vMerge w:val="continue"/>
            <w:tcBorders>
              <w:tl2br w:val="nil"/>
              <w:tr2bl w:val="nil"/>
            </w:tcBorders>
            <w:noWrap w:val="0"/>
            <w:vAlign w:val="center"/>
          </w:tcPr>
          <w:p w14:paraId="5D6E8DF6">
            <w:pPr>
              <w:widowControl w:val="0"/>
              <w:spacing w:line="320" w:lineRule="exact"/>
              <w:jc w:val="center"/>
              <w:rPr>
                <w:rFonts w:hint="eastAsia" w:ascii="Times New Roman" w:hAnsi="Times New Roman" w:eastAsia="宋体" w:cs="Times New Roman"/>
                <w:sz w:val="21"/>
                <w:lang w:val="en-US" w:eastAsia="zh-CN" w:bidi="ar-SA"/>
              </w:rPr>
            </w:pPr>
          </w:p>
        </w:tc>
        <w:tc>
          <w:tcPr>
            <w:tcW w:w="2142" w:type="dxa"/>
            <w:vMerge w:val="continue"/>
            <w:tcBorders>
              <w:tl2br w:val="nil"/>
              <w:tr2bl w:val="nil"/>
            </w:tcBorders>
            <w:noWrap w:val="0"/>
            <w:vAlign w:val="center"/>
          </w:tcPr>
          <w:p w14:paraId="6939098F">
            <w:pPr>
              <w:widowControl w:val="0"/>
              <w:spacing w:line="320" w:lineRule="exact"/>
              <w:jc w:val="center"/>
              <w:rPr>
                <w:rFonts w:hint="eastAsia" w:ascii="Times New Roman" w:hAnsi="Times New Roman" w:eastAsia="宋体" w:cs="Times New Roman"/>
                <w:sz w:val="21"/>
                <w:lang w:val="en-US" w:eastAsia="zh-CN" w:bidi="ar-SA"/>
              </w:rPr>
            </w:pPr>
          </w:p>
        </w:tc>
      </w:tr>
      <w:tr w14:paraId="27812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816" w:type="dxa"/>
            <w:vMerge w:val="continue"/>
            <w:tcBorders>
              <w:tl2br w:val="nil"/>
              <w:tr2bl w:val="nil"/>
            </w:tcBorders>
            <w:noWrap w:val="0"/>
            <w:vAlign w:val="center"/>
          </w:tcPr>
          <w:p w14:paraId="7A1F10CF">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402F136E">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875" w:type="dxa"/>
            <w:vMerge w:val="restart"/>
            <w:tcBorders>
              <w:tl2br w:val="nil"/>
              <w:tr2bl w:val="nil"/>
            </w:tcBorders>
            <w:noWrap w:val="0"/>
            <w:vAlign w:val="center"/>
          </w:tcPr>
          <w:p w14:paraId="46D172DC">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危险废物</w:t>
            </w:r>
          </w:p>
        </w:tc>
        <w:tc>
          <w:tcPr>
            <w:tcW w:w="1473" w:type="dxa"/>
            <w:tcBorders>
              <w:tl2br w:val="nil"/>
              <w:tr2bl w:val="nil"/>
            </w:tcBorders>
            <w:noWrap w:val="0"/>
            <w:vAlign w:val="center"/>
          </w:tcPr>
          <w:p w14:paraId="4F7CD66C">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sz w:val="21"/>
                <w:lang w:val="en-US" w:eastAsia="zh-CN" w:bidi="ar-SA"/>
              </w:rPr>
              <w:t>废消毒剂包装袋</w:t>
            </w:r>
          </w:p>
        </w:tc>
        <w:tc>
          <w:tcPr>
            <w:tcW w:w="3112" w:type="dxa"/>
            <w:tcBorders>
              <w:tl2br w:val="nil"/>
              <w:tr2bl w:val="nil"/>
            </w:tcBorders>
            <w:noWrap w:val="0"/>
            <w:vAlign w:val="center"/>
          </w:tcPr>
          <w:p w14:paraId="4CFC1BD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设置10m</w:t>
            </w:r>
            <w:r>
              <w:rPr>
                <w:rFonts w:hint="eastAsia" w:ascii="Times New Roman" w:hAnsi="Times New Roman" w:eastAsia="宋体" w:cs="Times New Roman"/>
                <w:color w:val="000000"/>
                <w:kern w:val="0"/>
                <w:sz w:val="21"/>
                <w:szCs w:val="21"/>
                <w:highlight w:val="none"/>
                <w:vertAlign w:val="superscript"/>
                <w:lang w:val="en-US" w:eastAsia="zh-CN" w:bidi="ar-SA"/>
              </w:rPr>
              <w:t>2</w:t>
            </w:r>
            <w:r>
              <w:rPr>
                <w:rFonts w:hint="eastAsia" w:ascii="Times New Roman" w:hAnsi="Times New Roman" w:eastAsia="宋体" w:cs="Times New Roman"/>
                <w:color w:val="000000"/>
                <w:kern w:val="0"/>
                <w:sz w:val="21"/>
                <w:szCs w:val="21"/>
                <w:highlight w:val="none"/>
                <w:lang w:val="en-US" w:eastAsia="zh-CN" w:bidi="ar-SA"/>
              </w:rPr>
              <w:t>危险废物贮存点，定期委托有资质的单位处置</w:t>
            </w:r>
          </w:p>
        </w:tc>
        <w:tc>
          <w:tcPr>
            <w:tcW w:w="1803" w:type="dxa"/>
            <w:tcBorders>
              <w:tl2br w:val="nil"/>
              <w:tr2bl w:val="nil"/>
            </w:tcBorders>
            <w:noWrap w:val="0"/>
            <w:vAlign w:val="center"/>
          </w:tcPr>
          <w:p w14:paraId="579791EF">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2767" w:type="dxa"/>
            <w:vMerge w:val="restart"/>
            <w:tcBorders>
              <w:tl2br w:val="nil"/>
              <w:tr2bl w:val="nil"/>
            </w:tcBorders>
            <w:noWrap w:val="0"/>
            <w:vAlign w:val="center"/>
          </w:tcPr>
          <w:p w14:paraId="3E2D73A4">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《危险废物贮存污染控制标准》（GB18597-2023）</w:t>
            </w:r>
          </w:p>
        </w:tc>
        <w:tc>
          <w:tcPr>
            <w:tcW w:w="2142" w:type="dxa"/>
            <w:vMerge w:val="continue"/>
            <w:tcBorders>
              <w:tl2br w:val="nil"/>
              <w:tr2bl w:val="nil"/>
            </w:tcBorders>
            <w:noWrap w:val="0"/>
            <w:vAlign w:val="center"/>
          </w:tcPr>
          <w:p w14:paraId="785A3B84">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r>
      <w:tr w14:paraId="751242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816" w:type="dxa"/>
            <w:vMerge w:val="continue"/>
            <w:tcBorders>
              <w:tl2br w:val="nil"/>
              <w:tr2bl w:val="nil"/>
            </w:tcBorders>
            <w:noWrap w:val="0"/>
            <w:vAlign w:val="center"/>
          </w:tcPr>
          <w:p w14:paraId="420DE9E0">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12AF80F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875" w:type="dxa"/>
            <w:vMerge w:val="continue"/>
            <w:tcBorders>
              <w:tl2br w:val="nil"/>
              <w:tr2bl w:val="nil"/>
            </w:tcBorders>
            <w:noWrap w:val="0"/>
            <w:vAlign w:val="center"/>
          </w:tcPr>
          <w:p w14:paraId="76A8EF44">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473" w:type="dxa"/>
            <w:tcBorders>
              <w:tl2br w:val="nil"/>
              <w:tr2bl w:val="nil"/>
            </w:tcBorders>
            <w:noWrap w:val="0"/>
            <w:vAlign w:val="center"/>
          </w:tcPr>
          <w:p w14:paraId="534D48D7">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医疗废物</w:t>
            </w:r>
          </w:p>
        </w:tc>
        <w:tc>
          <w:tcPr>
            <w:tcW w:w="3112" w:type="dxa"/>
            <w:tcBorders>
              <w:tl2br w:val="nil"/>
              <w:tr2bl w:val="nil"/>
            </w:tcBorders>
            <w:noWrap w:val="0"/>
            <w:vAlign w:val="center"/>
          </w:tcPr>
          <w:p w14:paraId="755E6BE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20m</w:t>
            </w:r>
            <w:r>
              <w:rPr>
                <w:rFonts w:hint="eastAsia" w:ascii="Times New Roman" w:hAnsi="Times New Roman" w:eastAsia="宋体" w:cs="Times New Roman"/>
                <w:color w:val="000000"/>
                <w:kern w:val="0"/>
                <w:sz w:val="21"/>
                <w:szCs w:val="21"/>
                <w:highlight w:val="none"/>
                <w:vertAlign w:val="superscript"/>
                <w:lang w:val="en-US" w:eastAsia="zh-CN" w:bidi="ar-SA"/>
              </w:rPr>
              <w:t>2</w:t>
            </w:r>
            <w:r>
              <w:rPr>
                <w:rFonts w:hint="eastAsia" w:ascii="Times New Roman" w:hAnsi="Times New Roman" w:eastAsia="宋体" w:cs="Times New Roman"/>
                <w:color w:val="000000"/>
                <w:kern w:val="0"/>
                <w:sz w:val="21"/>
                <w:szCs w:val="21"/>
                <w:highlight w:val="none"/>
                <w:lang w:val="en-US" w:eastAsia="zh-CN" w:bidi="ar-SA"/>
              </w:rPr>
              <w:t>医疗废物</w:t>
            </w:r>
            <w:r>
              <w:rPr>
                <w:rFonts w:hint="default" w:ascii="Times New Roman" w:hAnsi="Times New Roman" w:eastAsia="宋体" w:cs="Times New Roman"/>
                <w:color w:val="000000"/>
                <w:kern w:val="0"/>
                <w:sz w:val="21"/>
                <w:szCs w:val="21"/>
                <w:highlight w:val="none"/>
                <w:lang w:val="en-US" w:eastAsia="zh-CN" w:bidi="ar-SA"/>
              </w:rPr>
              <w:t>暂存间</w:t>
            </w:r>
            <w:r>
              <w:rPr>
                <w:rFonts w:hint="eastAsia" w:ascii="Times New Roman" w:hAnsi="Times New Roman" w:eastAsia="宋体" w:cs="Times New Roman"/>
                <w:color w:val="000000"/>
                <w:kern w:val="0"/>
                <w:sz w:val="21"/>
                <w:szCs w:val="21"/>
                <w:highlight w:val="none"/>
                <w:lang w:val="en-US" w:eastAsia="zh-CN" w:bidi="ar-SA"/>
              </w:rPr>
              <w:t>，定期委托有资质单位处置</w:t>
            </w:r>
          </w:p>
        </w:tc>
        <w:tc>
          <w:tcPr>
            <w:tcW w:w="1803" w:type="dxa"/>
            <w:tcBorders>
              <w:tl2br w:val="nil"/>
              <w:tr2bl w:val="nil"/>
            </w:tcBorders>
            <w:noWrap w:val="0"/>
            <w:vAlign w:val="center"/>
          </w:tcPr>
          <w:p w14:paraId="096D2C4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1</w:t>
            </w:r>
            <w:r>
              <w:rPr>
                <w:rFonts w:hint="eastAsia" w:ascii="Times New Roman" w:hAnsi="Times New Roman" w:eastAsia="宋体" w:cs="Times New Roman"/>
                <w:color w:val="000000"/>
                <w:kern w:val="0"/>
                <w:sz w:val="21"/>
                <w:szCs w:val="21"/>
                <w:highlight w:val="none"/>
                <w:lang w:val="en-US" w:eastAsia="zh-CN" w:bidi="ar-SA"/>
              </w:rPr>
              <w:t>座</w:t>
            </w:r>
          </w:p>
        </w:tc>
        <w:tc>
          <w:tcPr>
            <w:tcW w:w="2767" w:type="dxa"/>
            <w:vMerge w:val="continue"/>
            <w:tcBorders>
              <w:tl2br w:val="nil"/>
              <w:tr2bl w:val="nil"/>
            </w:tcBorders>
            <w:noWrap w:val="0"/>
            <w:vAlign w:val="center"/>
          </w:tcPr>
          <w:p w14:paraId="48E1AEA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142" w:type="dxa"/>
            <w:tcBorders>
              <w:tl2br w:val="nil"/>
              <w:tr2bl w:val="nil"/>
            </w:tcBorders>
            <w:noWrap w:val="0"/>
            <w:vAlign w:val="center"/>
          </w:tcPr>
          <w:p w14:paraId="35097455">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w:t>
            </w:r>
          </w:p>
        </w:tc>
      </w:tr>
      <w:tr w14:paraId="5D3E9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16" w:type="dxa"/>
            <w:vMerge w:val="restart"/>
            <w:tcBorders>
              <w:tl2br w:val="nil"/>
              <w:tr2bl w:val="nil"/>
            </w:tcBorders>
            <w:noWrap w:val="0"/>
            <w:vAlign w:val="center"/>
          </w:tcPr>
          <w:p w14:paraId="7C09E38A">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其他</w:t>
            </w:r>
          </w:p>
        </w:tc>
        <w:tc>
          <w:tcPr>
            <w:tcW w:w="1185" w:type="dxa"/>
            <w:vMerge w:val="restart"/>
            <w:tcBorders>
              <w:tl2br w:val="nil"/>
              <w:tr2bl w:val="nil"/>
            </w:tcBorders>
            <w:noWrap w:val="0"/>
            <w:vAlign w:val="center"/>
          </w:tcPr>
          <w:p w14:paraId="30664B14">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w:t>
            </w:r>
          </w:p>
        </w:tc>
        <w:tc>
          <w:tcPr>
            <w:tcW w:w="875" w:type="dxa"/>
            <w:tcBorders>
              <w:tl2br w:val="nil"/>
              <w:tr2bl w:val="nil"/>
            </w:tcBorders>
            <w:noWrap w:val="0"/>
            <w:vAlign w:val="center"/>
          </w:tcPr>
          <w:p w14:paraId="1CC54F1D">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消防</w:t>
            </w:r>
          </w:p>
        </w:tc>
        <w:tc>
          <w:tcPr>
            <w:tcW w:w="4585" w:type="dxa"/>
            <w:gridSpan w:val="2"/>
            <w:tcBorders>
              <w:tl2br w:val="nil"/>
              <w:tr2bl w:val="nil"/>
            </w:tcBorders>
            <w:noWrap w:val="0"/>
            <w:vAlign w:val="center"/>
          </w:tcPr>
          <w:p w14:paraId="1AE77453">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消防设施</w:t>
            </w:r>
          </w:p>
        </w:tc>
        <w:tc>
          <w:tcPr>
            <w:tcW w:w="1803" w:type="dxa"/>
            <w:tcBorders>
              <w:tl2br w:val="nil"/>
              <w:tr2bl w:val="nil"/>
            </w:tcBorders>
            <w:noWrap w:val="0"/>
            <w:vAlign w:val="center"/>
          </w:tcPr>
          <w:p w14:paraId="7C76F524">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若干</w:t>
            </w:r>
          </w:p>
        </w:tc>
        <w:tc>
          <w:tcPr>
            <w:tcW w:w="2767" w:type="dxa"/>
            <w:vMerge w:val="restart"/>
            <w:tcBorders>
              <w:tl2br w:val="nil"/>
              <w:tr2bl w:val="nil"/>
            </w:tcBorders>
            <w:noWrap w:val="0"/>
            <w:vAlign w:val="center"/>
          </w:tcPr>
          <w:p w14:paraId="63E0480A">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满足规范要求</w:t>
            </w:r>
          </w:p>
        </w:tc>
        <w:tc>
          <w:tcPr>
            <w:tcW w:w="2142" w:type="dxa"/>
            <w:vMerge w:val="restart"/>
            <w:tcBorders>
              <w:tl2br w:val="nil"/>
              <w:tr2bl w:val="nil"/>
            </w:tcBorders>
            <w:noWrap w:val="0"/>
            <w:vAlign w:val="center"/>
          </w:tcPr>
          <w:p w14:paraId="5033D744">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w:t>
            </w:r>
          </w:p>
        </w:tc>
      </w:tr>
      <w:tr w14:paraId="00876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16" w:type="dxa"/>
            <w:vMerge w:val="continue"/>
            <w:tcBorders>
              <w:tl2br w:val="nil"/>
              <w:tr2bl w:val="nil"/>
            </w:tcBorders>
            <w:noWrap w:val="0"/>
            <w:vAlign w:val="center"/>
          </w:tcPr>
          <w:p w14:paraId="6484964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5ADC3EE5">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875" w:type="dxa"/>
            <w:tcBorders>
              <w:tl2br w:val="nil"/>
              <w:tr2bl w:val="nil"/>
            </w:tcBorders>
            <w:noWrap w:val="0"/>
            <w:vAlign w:val="center"/>
          </w:tcPr>
          <w:p w14:paraId="18DC6AF3">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绿化</w:t>
            </w:r>
          </w:p>
        </w:tc>
        <w:tc>
          <w:tcPr>
            <w:tcW w:w="4585" w:type="dxa"/>
            <w:gridSpan w:val="2"/>
            <w:tcBorders>
              <w:tl2br w:val="nil"/>
              <w:tr2bl w:val="nil"/>
            </w:tcBorders>
            <w:noWrap w:val="0"/>
            <w:vAlign w:val="center"/>
          </w:tcPr>
          <w:p w14:paraId="055DEA56">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种植草坪等</w:t>
            </w:r>
            <w:r>
              <w:rPr>
                <w:rFonts w:hint="eastAsia" w:ascii="Times New Roman" w:hAnsi="Times New Roman" w:eastAsia="宋体" w:cs="Times New Roman"/>
                <w:color w:val="000000"/>
                <w:kern w:val="0"/>
                <w:sz w:val="21"/>
                <w:szCs w:val="21"/>
                <w:highlight w:val="none"/>
                <w:lang w:val="en-US" w:eastAsia="zh-CN" w:bidi="ar-SA"/>
              </w:rPr>
              <w:t>、土地复垦</w:t>
            </w:r>
          </w:p>
        </w:tc>
        <w:tc>
          <w:tcPr>
            <w:tcW w:w="1803" w:type="dxa"/>
            <w:tcBorders>
              <w:tl2br w:val="nil"/>
              <w:tr2bl w:val="nil"/>
            </w:tcBorders>
            <w:noWrap w:val="0"/>
            <w:vAlign w:val="center"/>
          </w:tcPr>
          <w:p w14:paraId="130A76A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w:t>
            </w:r>
          </w:p>
        </w:tc>
        <w:tc>
          <w:tcPr>
            <w:tcW w:w="2767" w:type="dxa"/>
            <w:vMerge w:val="continue"/>
            <w:tcBorders>
              <w:tl2br w:val="nil"/>
              <w:tr2bl w:val="nil"/>
            </w:tcBorders>
            <w:noWrap w:val="0"/>
            <w:vAlign w:val="center"/>
          </w:tcPr>
          <w:p w14:paraId="5868FCED">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142" w:type="dxa"/>
            <w:vMerge w:val="continue"/>
            <w:tcBorders>
              <w:tl2br w:val="nil"/>
              <w:tr2bl w:val="nil"/>
            </w:tcBorders>
            <w:noWrap w:val="0"/>
            <w:vAlign w:val="center"/>
          </w:tcPr>
          <w:p w14:paraId="63D65931">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r>
      <w:tr w14:paraId="559BA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16" w:type="dxa"/>
            <w:vMerge w:val="continue"/>
            <w:tcBorders>
              <w:tl2br w:val="nil"/>
              <w:tr2bl w:val="nil"/>
            </w:tcBorders>
            <w:noWrap w:val="0"/>
            <w:vAlign w:val="center"/>
          </w:tcPr>
          <w:p w14:paraId="3588F775">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1185" w:type="dxa"/>
            <w:vMerge w:val="continue"/>
            <w:tcBorders>
              <w:tl2br w:val="nil"/>
              <w:tr2bl w:val="nil"/>
            </w:tcBorders>
            <w:noWrap w:val="0"/>
            <w:vAlign w:val="center"/>
          </w:tcPr>
          <w:p w14:paraId="09B29AC2">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875" w:type="dxa"/>
            <w:tcBorders>
              <w:tl2br w:val="nil"/>
              <w:tr2bl w:val="nil"/>
            </w:tcBorders>
            <w:noWrap w:val="0"/>
            <w:vAlign w:val="center"/>
          </w:tcPr>
          <w:p w14:paraId="52466699">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职工防护</w:t>
            </w:r>
          </w:p>
        </w:tc>
        <w:tc>
          <w:tcPr>
            <w:tcW w:w="4585" w:type="dxa"/>
            <w:gridSpan w:val="2"/>
            <w:tcBorders>
              <w:tl2br w:val="nil"/>
              <w:tr2bl w:val="nil"/>
            </w:tcBorders>
            <w:noWrap w:val="0"/>
            <w:vAlign w:val="center"/>
          </w:tcPr>
          <w:p w14:paraId="4BA4FCA7">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职工防护用具</w:t>
            </w:r>
          </w:p>
        </w:tc>
        <w:tc>
          <w:tcPr>
            <w:tcW w:w="1803" w:type="dxa"/>
            <w:tcBorders>
              <w:tl2br w:val="nil"/>
              <w:tr2bl w:val="nil"/>
            </w:tcBorders>
            <w:noWrap w:val="0"/>
            <w:vAlign w:val="center"/>
          </w:tcPr>
          <w:p w14:paraId="1E472728">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若干</w:t>
            </w:r>
          </w:p>
        </w:tc>
        <w:tc>
          <w:tcPr>
            <w:tcW w:w="2767" w:type="dxa"/>
            <w:vMerge w:val="continue"/>
            <w:tcBorders>
              <w:tl2br w:val="nil"/>
              <w:tr2bl w:val="nil"/>
            </w:tcBorders>
            <w:noWrap w:val="0"/>
            <w:vAlign w:val="center"/>
          </w:tcPr>
          <w:p w14:paraId="2A0078FA">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c>
          <w:tcPr>
            <w:tcW w:w="2142" w:type="dxa"/>
            <w:vMerge w:val="continue"/>
            <w:tcBorders>
              <w:tl2br w:val="nil"/>
              <w:tr2bl w:val="nil"/>
            </w:tcBorders>
            <w:noWrap w:val="0"/>
            <w:vAlign w:val="center"/>
          </w:tcPr>
          <w:p w14:paraId="7F8C20EB">
            <w:pPr>
              <w:widowControl w:val="0"/>
              <w:spacing w:line="320" w:lineRule="exact"/>
              <w:jc w:val="center"/>
              <w:rPr>
                <w:rFonts w:hint="default" w:ascii="Times New Roman" w:hAnsi="Times New Roman" w:eastAsia="宋体" w:cs="Times New Roman"/>
                <w:color w:val="000000"/>
                <w:kern w:val="0"/>
                <w:sz w:val="21"/>
                <w:szCs w:val="21"/>
                <w:highlight w:val="none"/>
                <w:lang w:val="en-US" w:eastAsia="zh-CN" w:bidi="ar-SA"/>
              </w:rPr>
            </w:pPr>
          </w:p>
        </w:tc>
      </w:tr>
    </w:tbl>
    <w:p w14:paraId="6187B161">
      <w:pPr>
        <w:widowControl w:val="0"/>
        <w:spacing w:before="120" w:after="120" w:line="360" w:lineRule="auto"/>
        <w:jc w:val="both"/>
        <w:outlineLvl w:val="1"/>
        <w:rPr>
          <w:rFonts w:hint="eastAsia" w:cs="Times New Roman"/>
          <w:b/>
          <w:bCs/>
          <w:color w:val="auto"/>
          <w:sz w:val="30"/>
          <w:szCs w:val="30"/>
          <w:lang w:val="en-US" w:eastAsia="zh-CN" w:bidi="ar-SA"/>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bookmarkStart w:id="820" w:name="_Toc12694"/>
      <w:bookmarkStart w:id="821" w:name="_Toc7571"/>
      <w:bookmarkStart w:id="822" w:name="_Toc472451938"/>
      <w:bookmarkStart w:id="823" w:name="_Toc263850734"/>
      <w:bookmarkStart w:id="824" w:name="_Toc4800"/>
      <w:bookmarkStart w:id="825" w:name="_Toc337673501"/>
      <w:bookmarkStart w:id="826" w:name="_Toc29076"/>
      <w:bookmarkStart w:id="827" w:name="_Toc27912"/>
      <w:bookmarkStart w:id="828" w:name="_Toc472451946"/>
      <w:bookmarkStart w:id="829" w:name="_Toc337673509"/>
      <w:bookmarkStart w:id="830" w:name="_Toc263850736"/>
      <w:bookmarkStart w:id="831" w:name="_Toc9317"/>
    </w:p>
    <w:p w14:paraId="68887776">
      <w:pPr>
        <w:widowControl w:val="0"/>
        <w:spacing w:before="120" w:after="120" w:line="360" w:lineRule="auto"/>
        <w:jc w:val="both"/>
        <w:outlineLvl w:val="1"/>
        <w:rPr>
          <w:rFonts w:hint="default" w:ascii="Times New Roman" w:hAnsi="Times New Roman" w:eastAsia="宋体" w:cs="Times New Roman"/>
          <w:b/>
          <w:bCs/>
          <w:color w:val="auto"/>
          <w:sz w:val="30"/>
          <w:szCs w:val="30"/>
          <w:lang w:val="en-US" w:eastAsia="zh-CN" w:bidi="ar-SA"/>
        </w:rPr>
      </w:pPr>
      <w:bookmarkStart w:id="832" w:name="_Toc32196"/>
      <w:r>
        <w:rPr>
          <w:rFonts w:hint="eastAsia" w:ascii="Times New Roman" w:hAnsi="Times New Roman" w:eastAsia="宋体" w:cs="Times New Roman"/>
          <w:b/>
          <w:bCs/>
          <w:color w:val="auto"/>
          <w:sz w:val="30"/>
          <w:szCs w:val="30"/>
          <w:lang w:val="en-US" w:eastAsia="zh-CN" w:bidi="ar-SA"/>
        </w:rPr>
        <w:t>9.5</w:t>
      </w:r>
      <w:r>
        <w:rPr>
          <w:rFonts w:hint="default" w:ascii="Times New Roman" w:hAnsi="Times New Roman" w:eastAsia="宋体" w:cs="Times New Roman"/>
          <w:b/>
          <w:bCs/>
          <w:color w:val="auto"/>
          <w:sz w:val="30"/>
          <w:szCs w:val="30"/>
          <w:lang w:val="en-US" w:eastAsia="zh-CN" w:bidi="ar-SA"/>
        </w:rPr>
        <w:t>总量控制</w:t>
      </w:r>
      <w:bookmarkEnd w:id="820"/>
      <w:bookmarkEnd w:id="821"/>
      <w:bookmarkEnd w:id="832"/>
    </w:p>
    <w:p w14:paraId="66229A64">
      <w:pPr>
        <w:adjustRightInd w:val="0"/>
        <w:snapToGrid w:val="0"/>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污染物排放总量控制是针对工程分析、</w:t>
      </w:r>
      <w:r>
        <w:rPr>
          <w:rFonts w:hint="eastAsia" w:ascii="Times New Roman" w:hAnsi="Times New Roman" w:eastAsia="宋体" w:cs="Times New Roman"/>
          <w:color w:val="auto"/>
          <w:kern w:val="0"/>
          <w:sz w:val="24"/>
          <w:szCs w:val="20"/>
          <w:lang w:val="en-US" w:eastAsia="zh-CN"/>
        </w:rPr>
        <w:t>环境</w:t>
      </w:r>
      <w:r>
        <w:rPr>
          <w:rFonts w:hint="default" w:ascii="Times New Roman" w:hAnsi="Times New Roman" w:eastAsia="宋体" w:cs="Times New Roman"/>
          <w:color w:val="auto"/>
          <w:kern w:val="0"/>
          <w:sz w:val="24"/>
          <w:szCs w:val="20"/>
        </w:rPr>
        <w:t>治理措施及环境影响预测和分析的结果，贯彻</w:t>
      </w:r>
      <w:r>
        <w:rPr>
          <w:rFonts w:hint="eastAsia" w:cs="Times New Roman"/>
          <w:color w:val="auto"/>
          <w:kern w:val="0"/>
          <w:sz w:val="24"/>
          <w:szCs w:val="20"/>
          <w:lang w:eastAsia="zh-CN"/>
        </w:rPr>
        <w:t>“</w:t>
      </w:r>
      <w:r>
        <w:rPr>
          <w:rFonts w:hint="default" w:ascii="Times New Roman" w:hAnsi="Times New Roman" w:eastAsia="宋体" w:cs="Times New Roman"/>
          <w:color w:val="auto"/>
          <w:kern w:val="0"/>
          <w:sz w:val="24"/>
          <w:szCs w:val="20"/>
        </w:rPr>
        <w:t>总量控制</w:t>
      </w:r>
      <w:r>
        <w:rPr>
          <w:rFonts w:hint="eastAsia" w:cs="Times New Roman"/>
          <w:color w:val="auto"/>
          <w:kern w:val="0"/>
          <w:sz w:val="24"/>
          <w:szCs w:val="20"/>
          <w:lang w:eastAsia="zh-CN"/>
        </w:rPr>
        <w:t>”“</w:t>
      </w:r>
      <w:r>
        <w:rPr>
          <w:rFonts w:hint="default" w:ascii="Times New Roman" w:hAnsi="Times New Roman" w:eastAsia="宋体" w:cs="Times New Roman"/>
          <w:color w:val="auto"/>
          <w:kern w:val="0"/>
          <w:sz w:val="24"/>
          <w:szCs w:val="20"/>
        </w:rPr>
        <w:t>达标排放</w:t>
      </w:r>
      <w:r>
        <w:rPr>
          <w:rFonts w:hint="eastAsia" w:cs="Times New Roman"/>
          <w:color w:val="auto"/>
          <w:kern w:val="0"/>
          <w:sz w:val="24"/>
          <w:szCs w:val="20"/>
          <w:lang w:eastAsia="zh-CN"/>
        </w:rPr>
        <w:t>”</w:t>
      </w:r>
      <w:r>
        <w:rPr>
          <w:rFonts w:hint="default" w:ascii="Times New Roman" w:hAnsi="Times New Roman" w:eastAsia="宋体" w:cs="Times New Roman"/>
          <w:color w:val="auto"/>
          <w:kern w:val="0"/>
          <w:sz w:val="24"/>
          <w:szCs w:val="20"/>
        </w:rPr>
        <w:t>的原则，分析确定本工程废水、废气污染物排放总量控制指标，为环保部门监督管理提供依据。</w:t>
      </w:r>
    </w:p>
    <w:p w14:paraId="3C9C03A1">
      <w:pPr>
        <w:keepNext w:val="0"/>
        <w:keepLines w:val="0"/>
        <w:widowControl w:val="0"/>
        <w:spacing w:before="0" w:after="0" w:line="360" w:lineRule="auto"/>
        <w:jc w:val="both"/>
        <w:outlineLvl w:val="2"/>
        <w:rPr>
          <w:rFonts w:hint="default" w:ascii="Times New Roman" w:hAnsi="Times New Roman" w:eastAsia="宋体" w:cs="Times New Roman"/>
          <w:b/>
          <w:bCs/>
          <w:color w:val="auto"/>
          <w:sz w:val="28"/>
          <w:szCs w:val="28"/>
          <w:lang w:val="en-US" w:eastAsia="zh-CN" w:bidi="ar-SA"/>
        </w:rPr>
      </w:pPr>
      <w:r>
        <w:rPr>
          <w:rFonts w:hint="eastAsia" w:ascii="Times New Roman" w:hAnsi="Times New Roman" w:eastAsia="宋体" w:cs="Times New Roman"/>
          <w:b/>
          <w:bCs/>
          <w:color w:val="auto"/>
          <w:sz w:val="28"/>
          <w:szCs w:val="28"/>
          <w:lang w:val="en-US" w:eastAsia="zh-CN" w:bidi="ar-SA"/>
        </w:rPr>
        <w:t>9.5.1</w:t>
      </w:r>
      <w:r>
        <w:rPr>
          <w:rFonts w:hint="default" w:ascii="Times New Roman" w:hAnsi="Times New Roman" w:eastAsia="宋体" w:cs="Times New Roman"/>
          <w:b/>
          <w:bCs/>
          <w:color w:val="auto"/>
          <w:sz w:val="28"/>
          <w:szCs w:val="28"/>
          <w:lang w:val="en-US" w:eastAsia="zh-CN" w:bidi="ar-SA"/>
        </w:rPr>
        <w:t>总量控制因子</w:t>
      </w:r>
    </w:p>
    <w:p w14:paraId="3975ED1F">
      <w:pPr>
        <w:widowControl w:val="0"/>
        <w:spacing w:line="360" w:lineRule="auto"/>
        <w:ind w:firstLine="480" w:firstLineChars="200"/>
        <w:jc w:val="both"/>
        <w:rPr>
          <w:rFonts w:hint="default" w:ascii="Times New Roman" w:hAnsi="Times New Roman" w:eastAsia="宋体" w:cs="Times New Roman"/>
          <w:color w:val="auto"/>
          <w:sz w:val="24"/>
          <w:szCs w:val="22"/>
          <w:lang w:val="en-US" w:eastAsia="zh-CN" w:bidi="ar-SA"/>
        </w:rPr>
      </w:pPr>
      <w:r>
        <w:rPr>
          <w:rFonts w:hint="default" w:ascii="Times New Roman" w:hAnsi="Times New Roman" w:eastAsia="宋体" w:cs="Times New Roman"/>
          <w:color w:val="auto"/>
          <w:sz w:val="24"/>
          <w:szCs w:val="22"/>
          <w:lang w:val="en-US" w:eastAsia="zh-CN" w:bidi="ar-SA"/>
        </w:rPr>
        <w:t>根据自治区党委自治区人民政府印发的《新疆生态环境保护</w:t>
      </w:r>
      <w:r>
        <w:rPr>
          <w:rFonts w:hint="eastAsia" w:cs="Times New Roman"/>
          <w:color w:val="auto"/>
          <w:sz w:val="24"/>
          <w:szCs w:val="22"/>
          <w:lang w:val="en-US" w:eastAsia="zh-CN" w:bidi="ar-SA"/>
        </w:rPr>
        <w:t>“</w:t>
      </w:r>
      <w:r>
        <w:rPr>
          <w:rFonts w:hint="default" w:ascii="Times New Roman" w:hAnsi="Times New Roman" w:eastAsia="宋体" w:cs="Times New Roman"/>
          <w:color w:val="auto"/>
          <w:sz w:val="24"/>
          <w:szCs w:val="22"/>
          <w:lang w:val="en-US" w:eastAsia="zh-CN" w:bidi="ar-SA"/>
        </w:rPr>
        <w:t>十四五</w:t>
      </w:r>
      <w:r>
        <w:rPr>
          <w:rFonts w:hint="eastAsia" w:cs="Times New Roman"/>
          <w:color w:val="auto"/>
          <w:sz w:val="24"/>
          <w:szCs w:val="22"/>
          <w:lang w:val="en-US" w:eastAsia="zh-CN" w:bidi="ar-SA"/>
        </w:rPr>
        <w:t>”</w:t>
      </w:r>
      <w:r>
        <w:rPr>
          <w:rFonts w:hint="default" w:ascii="Times New Roman" w:hAnsi="Times New Roman" w:eastAsia="宋体" w:cs="Times New Roman"/>
          <w:color w:val="auto"/>
          <w:sz w:val="24"/>
          <w:szCs w:val="22"/>
          <w:lang w:val="en-US" w:eastAsia="zh-CN" w:bidi="ar-SA"/>
        </w:rPr>
        <w:t>规划》，新疆</w:t>
      </w:r>
      <w:r>
        <w:rPr>
          <w:rFonts w:hint="eastAsia" w:cs="Times New Roman"/>
          <w:color w:val="auto"/>
          <w:sz w:val="24"/>
          <w:szCs w:val="22"/>
          <w:lang w:val="en-US" w:eastAsia="zh-CN" w:bidi="ar-SA"/>
        </w:rPr>
        <w:t>“</w:t>
      </w:r>
      <w:r>
        <w:rPr>
          <w:rFonts w:hint="default" w:ascii="Times New Roman" w:hAnsi="Times New Roman" w:eastAsia="宋体" w:cs="Times New Roman"/>
          <w:color w:val="auto"/>
          <w:sz w:val="24"/>
          <w:szCs w:val="22"/>
          <w:lang w:val="en-US" w:eastAsia="zh-CN" w:bidi="ar-SA"/>
        </w:rPr>
        <w:t>十四五</w:t>
      </w:r>
      <w:r>
        <w:rPr>
          <w:rFonts w:hint="eastAsia" w:cs="Times New Roman"/>
          <w:color w:val="auto"/>
          <w:sz w:val="24"/>
          <w:szCs w:val="22"/>
          <w:lang w:val="en-US" w:eastAsia="zh-CN" w:bidi="ar-SA"/>
        </w:rPr>
        <w:t>”</w:t>
      </w:r>
      <w:r>
        <w:rPr>
          <w:rFonts w:hint="default" w:ascii="Times New Roman" w:hAnsi="Times New Roman" w:eastAsia="宋体" w:cs="Times New Roman"/>
          <w:color w:val="auto"/>
          <w:sz w:val="24"/>
          <w:szCs w:val="22"/>
          <w:lang w:val="en-US" w:eastAsia="zh-CN" w:bidi="ar-SA"/>
        </w:rPr>
        <w:t>生态环境保护规划总量控制指标为COD、氨氮、氮氧化物和VOCs。</w:t>
      </w:r>
    </w:p>
    <w:p w14:paraId="132DD7D4">
      <w:pPr>
        <w:widowControl w:val="0"/>
        <w:spacing w:line="360" w:lineRule="auto"/>
        <w:ind w:firstLine="480" w:firstLineChars="200"/>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auto"/>
          <w:sz w:val="24"/>
          <w:szCs w:val="22"/>
          <w:lang w:val="en-US" w:eastAsia="zh-CN" w:bidi="ar-SA"/>
        </w:rPr>
        <w:t>根据国家对污染物总量控制的要求和建设项目的特点，项目</w:t>
      </w:r>
      <w:r>
        <w:rPr>
          <w:rFonts w:hint="eastAsia" w:ascii="Times New Roman" w:hAnsi="Times New Roman" w:eastAsia="宋体" w:cs="Times New Roman"/>
          <w:color w:val="auto"/>
          <w:sz w:val="24"/>
          <w:szCs w:val="22"/>
          <w:lang w:val="en-US" w:eastAsia="zh-CN" w:bidi="ar-SA"/>
        </w:rPr>
        <w:t>生活污水排入污水处理厂处置，因此由污水处理厂调控</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sz w:val="24"/>
          <w:szCs w:val="22"/>
          <w:lang w:val="en-US" w:eastAsia="zh-CN" w:bidi="ar-SA"/>
        </w:rPr>
        <w:t>不再单独申请总量指标</w:t>
      </w:r>
      <w:r>
        <w:rPr>
          <w:rFonts w:hint="default" w:ascii="Times New Roman" w:hAnsi="Times New Roman" w:eastAsia="宋体" w:cs="Times New Roman"/>
          <w:color w:val="auto"/>
          <w:sz w:val="24"/>
          <w:szCs w:val="22"/>
          <w:lang w:val="en-US" w:eastAsia="zh-CN" w:bidi="ar-SA"/>
        </w:rPr>
        <w:t>；</w:t>
      </w:r>
      <w:r>
        <w:rPr>
          <w:rFonts w:hint="default" w:ascii="Times New Roman" w:hAnsi="Times New Roman" w:eastAsia="宋体" w:cs="Times New Roman"/>
          <w:color w:val="000000"/>
          <w:sz w:val="24"/>
          <w:szCs w:val="24"/>
          <w:lang w:val="en-US" w:eastAsia="zh-CN" w:bidi="ar-SA"/>
        </w:rPr>
        <w:t>根据本项目总量因子排放特点，</w:t>
      </w:r>
      <w:r>
        <w:rPr>
          <w:rFonts w:hint="default" w:ascii="Times New Roman" w:hAnsi="Times New Roman" w:eastAsia="宋体" w:cs="Times New Roman"/>
          <w:color w:val="auto"/>
          <w:sz w:val="24"/>
          <w:szCs w:val="22"/>
          <w:lang w:val="en-US" w:eastAsia="zh-CN" w:bidi="ar-SA"/>
        </w:rPr>
        <w:t>废气中的污染因子</w:t>
      </w:r>
      <w:r>
        <w:rPr>
          <w:rFonts w:hint="default" w:ascii="Times New Roman" w:hAnsi="Times New Roman" w:eastAsia="宋体" w:cs="Times New Roman"/>
          <w:color w:val="000000"/>
          <w:sz w:val="24"/>
          <w:szCs w:val="24"/>
          <w:lang w:val="en-US" w:eastAsia="zh-CN" w:bidi="ar-SA"/>
        </w:rPr>
        <w:t>，</w:t>
      </w:r>
      <w:r>
        <w:rPr>
          <w:rFonts w:hint="eastAsia" w:ascii="Times New Roman" w:hAnsi="Times New Roman" w:eastAsia="宋体" w:cs="Times New Roman"/>
          <w:color w:val="000000"/>
          <w:sz w:val="24"/>
          <w:szCs w:val="24"/>
          <w:lang w:val="en-US" w:eastAsia="zh-CN" w:bidi="ar-SA"/>
        </w:rPr>
        <w:t>本项目不设置总量指标</w:t>
      </w:r>
      <w:r>
        <w:rPr>
          <w:rFonts w:hint="default" w:ascii="Times New Roman" w:hAnsi="Times New Roman" w:eastAsia="宋体" w:cs="Times New Roman"/>
          <w:color w:val="000000"/>
          <w:sz w:val="24"/>
          <w:szCs w:val="24"/>
          <w:lang w:val="en-US" w:eastAsia="zh-CN" w:bidi="ar-SA"/>
        </w:rPr>
        <w:t>。</w:t>
      </w:r>
    </w:p>
    <w:p w14:paraId="6F4A5E22">
      <w:pPr>
        <w:keepNext w:val="0"/>
        <w:keepLines w:val="0"/>
        <w:widowControl w:val="0"/>
        <w:spacing w:before="0" w:after="0" w:line="360" w:lineRule="auto"/>
        <w:jc w:val="both"/>
        <w:outlineLvl w:val="2"/>
        <w:rPr>
          <w:rFonts w:hint="default" w:ascii="Times New Roman" w:hAnsi="Times New Roman" w:eastAsia="宋体" w:cs="Times New Roman"/>
          <w:b/>
          <w:bCs/>
          <w:color w:val="auto"/>
          <w:sz w:val="28"/>
          <w:szCs w:val="28"/>
          <w:lang w:val="en-US" w:eastAsia="zh-CN" w:bidi="ar-SA"/>
        </w:rPr>
      </w:pPr>
      <w:bookmarkStart w:id="833" w:name="_Toc107575311"/>
      <w:bookmarkStart w:id="834" w:name="_Toc196218622"/>
      <w:bookmarkStart w:id="835" w:name="_Toc183085464"/>
      <w:bookmarkStart w:id="836" w:name="_Toc183085738"/>
      <w:r>
        <w:rPr>
          <w:rFonts w:hint="eastAsia" w:ascii="Times New Roman" w:hAnsi="Times New Roman" w:eastAsia="宋体" w:cs="Times New Roman"/>
          <w:b/>
          <w:bCs/>
          <w:color w:val="auto"/>
          <w:sz w:val="28"/>
          <w:szCs w:val="28"/>
          <w:lang w:val="en-US" w:eastAsia="zh-CN" w:bidi="ar-SA"/>
        </w:rPr>
        <w:t>9.5.2</w:t>
      </w:r>
      <w:r>
        <w:rPr>
          <w:rFonts w:hint="default" w:ascii="Times New Roman" w:hAnsi="Times New Roman" w:eastAsia="宋体" w:cs="Times New Roman"/>
          <w:b/>
          <w:bCs/>
          <w:color w:val="auto"/>
          <w:sz w:val="28"/>
          <w:szCs w:val="28"/>
          <w:lang w:val="en-US" w:eastAsia="zh-CN" w:bidi="ar-SA"/>
        </w:rPr>
        <w:t>污染物排放总量控制计算</w:t>
      </w:r>
      <w:bookmarkEnd w:id="833"/>
      <w:bookmarkEnd w:id="834"/>
      <w:bookmarkEnd w:id="835"/>
      <w:bookmarkEnd w:id="836"/>
    </w:p>
    <w:p w14:paraId="336331CC">
      <w:pPr>
        <w:adjustRightInd w:val="0"/>
        <w:snapToGrid w:val="0"/>
        <w:spacing w:line="360" w:lineRule="auto"/>
        <w:ind w:firstLine="480" w:firstLineChars="200"/>
        <w:rPr>
          <w:rFonts w:hint="default" w:ascii="Times New Roman" w:hAnsi="Times New Roman" w:eastAsia="宋体" w:cs="Times New Roman"/>
          <w:color w:val="auto"/>
          <w:kern w:val="0"/>
          <w:sz w:val="24"/>
          <w:szCs w:val="22"/>
        </w:rPr>
      </w:pPr>
      <w:r>
        <w:rPr>
          <w:rFonts w:hint="default" w:ascii="Times New Roman" w:hAnsi="Times New Roman" w:eastAsia="宋体" w:cs="Times New Roman"/>
          <w:color w:val="auto"/>
          <w:kern w:val="0"/>
          <w:sz w:val="24"/>
          <w:szCs w:val="22"/>
        </w:rPr>
        <w:t>本工程污染物排放总量控制指标的确定要首先考虑满足几个基本条件：</w:t>
      </w:r>
    </w:p>
    <w:p w14:paraId="4BD37A8E">
      <w:pPr>
        <w:numPr>
          <w:ilvl w:val="0"/>
          <w:numId w:val="25"/>
        </w:numPr>
        <w:adjustRightInd w:val="0"/>
        <w:snapToGrid w:val="0"/>
        <w:spacing w:line="360" w:lineRule="auto"/>
        <w:ind w:firstLine="480" w:firstLineChars="200"/>
        <w:rPr>
          <w:rFonts w:hint="default" w:ascii="Times New Roman" w:hAnsi="Times New Roman" w:eastAsia="宋体" w:cs="Times New Roman"/>
          <w:color w:val="auto"/>
          <w:kern w:val="0"/>
          <w:sz w:val="24"/>
          <w:szCs w:val="22"/>
        </w:rPr>
      </w:pPr>
      <w:r>
        <w:rPr>
          <w:rFonts w:hint="default" w:ascii="Times New Roman" w:hAnsi="Times New Roman" w:eastAsia="宋体" w:cs="Times New Roman"/>
          <w:color w:val="auto"/>
          <w:kern w:val="0"/>
          <w:sz w:val="24"/>
          <w:szCs w:val="22"/>
        </w:rPr>
        <w:t>确保污染物达标排放；</w:t>
      </w:r>
    </w:p>
    <w:p w14:paraId="37179CD7">
      <w:pPr>
        <w:numPr>
          <w:ilvl w:val="0"/>
          <w:numId w:val="25"/>
        </w:numPr>
        <w:adjustRightInd w:val="0"/>
        <w:snapToGrid w:val="0"/>
        <w:spacing w:line="360" w:lineRule="auto"/>
        <w:ind w:firstLine="480" w:firstLineChars="200"/>
        <w:rPr>
          <w:rFonts w:hint="default" w:ascii="Times New Roman" w:hAnsi="Times New Roman" w:eastAsia="宋体" w:cs="Times New Roman"/>
          <w:color w:val="auto"/>
          <w:kern w:val="0"/>
          <w:sz w:val="24"/>
          <w:szCs w:val="22"/>
        </w:rPr>
      </w:pPr>
      <w:r>
        <w:rPr>
          <w:rFonts w:hint="default" w:ascii="Times New Roman" w:hAnsi="Times New Roman" w:eastAsia="宋体" w:cs="Times New Roman"/>
          <w:color w:val="auto"/>
          <w:kern w:val="0"/>
          <w:sz w:val="24"/>
          <w:szCs w:val="22"/>
        </w:rPr>
        <w:t>符合允许排放量限值；</w:t>
      </w:r>
    </w:p>
    <w:p w14:paraId="478CD807">
      <w:pPr>
        <w:numPr>
          <w:ilvl w:val="0"/>
          <w:numId w:val="25"/>
        </w:numPr>
        <w:adjustRightInd w:val="0"/>
        <w:snapToGrid w:val="0"/>
        <w:spacing w:line="360" w:lineRule="auto"/>
        <w:ind w:firstLine="480" w:firstLineChars="200"/>
        <w:rPr>
          <w:rFonts w:hint="default" w:ascii="Times New Roman" w:hAnsi="Times New Roman" w:eastAsia="宋体" w:cs="Times New Roman"/>
          <w:color w:val="auto"/>
          <w:kern w:val="0"/>
          <w:sz w:val="24"/>
          <w:szCs w:val="22"/>
        </w:rPr>
      </w:pPr>
      <w:r>
        <w:rPr>
          <w:rFonts w:hint="default" w:ascii="Times New Roman" w:hAnsi="Times New Roman" w:eastAsia="宋体" w:cs="Times New Roman"/>
          <w:color w:val="auto"/>
          <w:kern w:val="0"/>
          <w:sz w:val="24"/>
          <w:szCs w:val="22"/>
        </w:rPr>
        <w:t>满足当地环保管理部门下达的目标总量。</w:t>
      </w:r>
    </w:p>
    <w:p w14:paraId="2D30CD79">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2"/>
        </w:rPr>
        <w:t>鉴于当地环境管理部门还没有向该公司分配具体的污染物排放总量控制指标，该企业应向当地有关环保部门申请污染物排放总量指标，以指导今后的生产。</w:t>
      </w:r>
      <w:bookmarkStart w:id="837" w:name="_Toc8419"/>
    </w:p>
    <w:p w14:paraId="60AFDA4F">
      <w:pPr>
        <w:widowControl w:val="0"/>
        <w:bidi w:val="0"/>
        <w:spacing w:before="120" w:after="120" w:line="360" w:lineRule="auto"/>
        <w:jc w:val="both"/>
        <w:outlineLvl w:val="1"/>
        <w:rPr>
          <w:rFonts w:hint="default" w:ascii="Times New Roman" w:hAnsi="Times New Roman" w:eastAsia="宋体" w:cs="楷体_GB2312"/>
          <w:b/>
          <w:bCs/>
          <w:kern w:val="2"/>
          <w:sz w:val="30"/>
          <w:szCs w:val="30"/>
          <w:lang w:val="en-US" w:eastAsia="zh-CN" w:bidi="ar-SA"/>
        </w:rPr>
      </w:pPr>
      <w:bookmarkStart w:id="838" w:name="_Toc9407"/>
      <w:r>
        <w:rPr>
          <w:rFonts w:hint="eastAsia" w:ascii="Times New Roman" w:hAnsi="Times New Roman" w:eastAsia="宋体" w:cs="楷体_GB2312"/>
          <w:b/>
          <w:bCs/>
          <w:kern w:val="2"/>
          <w:sz w:val="30"/>
          <w:szCs w:val="30"/>
          <w:lang w:val="en-US" w:eastAsia="zh-CN" w:bidi="ar-SA"/>
        </w:rPr>
        <w:t>9.6</w:t>
      </w:r>
      <w:r>
        <w:rPr>
          <w:rFonts w:hint="default" w:ascii="Times New Roman" w:hAnsi="Times New Roman" w:eastAsia="宋体" w:cs="楷体_GB2312"/>
          <w:b/>
          <w:bCs/>
          <w:kern w:val="2"/>
          <w:sz w:val="30"/>
          <w:szCs w:val="30"/>
          <w:lang w:val="en-US" w:eastAsia="zh-CN" w:bidi="ar-SA"/>
        </w:rPr>
        <w:t>排污许可证</w:t>
      </w:r>
      <w:bookmarkEnd w:id="837"/>
      <w:bookmarkEnd w:id="838"/>
    </w:p>
    <w:p w14:paraId="063C7EDE">
      <w:pPr>
        <w:spacing w:line="360" w:lineRule="auto"/>
        <w:ind w:firstLine="360" w:firstLineChars="15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务院办公厅关于印发控制污染物排放许可制实施方案的通知》中提出：分步实现排污许可全覆盖。排污许可证管理内容主要包括大气污染物、水污染物，并依法逐步纳入其他污染物。按行业分步实现对固定污染源的全覆盖，率先对火电、造纸行业企业核发排污许可证，2020年全国基本完成排污许可证核发。</w:t>
      </w:r>
    </w:p>
    <w:p w14:paraId="115114C8">
      <w:pPr>
        <w:spacing w:line="360" w:lineRule="auto"/>
        <w:ind w:firstLine="360" w:firstLineChars="15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w:t>
      </w:r>
      <w:r>
        <w:rPr>
          <w:rFonts w:hint="eastAsia"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w:t>
      </w:r>
      <w:r>
        <w:rPr>
          <w:rFonts w:hint="eastAsia" w:ascii="Times New Roman" w:hAnsi="Times New Roman" w:eastAsia="宋体" w:cs="Times New Roman"/>
          <w:color w:val="auto"/>
          <w:sz w:val="24"/>
          <w:szCs w:val="24"/>
          <w:lang w:val="en-US" w:eastAsia="zh-CN"/>
        </w:rPr>
        <w:t>生态环境部</w:t>
      </w:r>
      <w:r>
        <w:rPr>
          <w:rFonts w:hint="default" w:ascii="Times New Roman" w:hAnsi="Times New Roman" w:eastAsia="宋体" w:cs="Times New Roman"/>
          <w:color w:val="auto"/>
          <w:sz w:val="24"/>
          <w:szCs w:val="24"/>
        </w:rPr>
        <w:t>颁发了《排污许可管理办法》</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明确纳入排污许可管理的范围和申领时限。纳入固定污染源排污许可分类管理名录的企业事业单位和其他生产经营者（以下简称排污单位）应当按照规定的时限申请并取得排污许可证。排污单位应当依法持有排污许可证，并按照排污许可证的规定排放污染物。应当取得排污许可证而未取得的，不得排放污染物。对污染物产生量大、排放量大或者环境危害程度高的排污单位实行排污许可重点管理，对其他排污单位实行排污许可简化管理。</w:t>
      </w:r>
    </w:p>
    <w:p w14:paraId="592156FE">
      <w:pPr>
        <w:spacing w:line="360" w:lineRule="auto"/>
        <w:ind w:firstLine="360" w:firstLineChars="15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对照《固定污染源排污许可分类管理名录（201</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年版）》，本项目为</w:t>
      </w: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val="en-US" w:eastAsia="zh-CN"/>
        </w:rPr>
        <w:t>一、畜牧业03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1.牲畜饲养031</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无污水排放口的规模化畜禽养殖场、养殖小区，设有污水排放口的规模以下畜禽养殖场、养殖小区</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rPr>
        <w:t>，属于</w:t>
      </w:r>
      <w:r>
        <w:rPr>
          <w:rFonts w:hint="default" w:ascii="Times New Roman" w:hAnsi="Times New Roman" w:eastAsia="宋体" w:cs="Times New Roman"/>
          <w:color w:val="auto"/>
          <w:sz w:val="24"/>
          <w:szCs w:val="24"/>
          <w:lang w:val="en-US" w:eastAsia="zh-CN"/>
        </w:rPr>
        <w:t>登记</w:t>
      </w:r>
      <w:r>
        <w:rPr>
          <w:rFonts w:hint="default" w:ascii="Times New Roman" w:hAnsi="Times New Roman" w:eastAsia="宋体" w:cs="Times New Roman"/>
          <w:color w:val="auto"/>
          <w:sz w:val="24"/>
          <w:szCs w:val="24"/>
        </w:rPr>
        <w:t>管理</w:t>
      </w:r>
      <w:r>
        <w:rPr>
          <w:rFonts w:hint="eastAsia" w:ascii="Times New Roman" w:hAnsi="Times New Roman" w:eastAsia="宋体" w:cs="Times New Roman"/>
          <w:color w:val="auto"/>
          <w:sz w:val="24"/>
          <w:szCs w:val="24"/>
          <w:lang w:val="en-US" w:eastAsia="zh-CN"/>
        </w:rPr>
        <w:t>。</w:t>
      </w:r>
    </w:p>
    <w:p w14:paraId="2DD34974">
      <w:pPr>
        <w:spacing w:line="360" w:lineRule="auto"/>
        <w:ind w:firstLine="360" w:firstLineChars="15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因此，建设单位应按照《排污许可管理办法》和《新疆维吾尔自治区排污许可证管理暂行办法》的要求，按照国家排污许可有关管理规定要求，在执行时限期间申请排污许可证</w:t>
      </w:r>
      <w:r>
        <w:rPr>
          <w:rFonts w:hint="eastAsia" w:ascii="Times New Roman" w:hAnsi="Times New Roman" w:eastAsia="宋体" w:cs="Times New Roman"/>
          <w:color w:val="auto"/>
          <w:sz w:val="24"/>
          <w:szCs w:val="24"/>
          <w:lang w:val="en-US" w:eastAsia="zh-CN"/>
        </w:rPr>
        <w:t>登记回执</w:t>
      </w:r>
      <w:r>
        <w:rPr>
          <w:rFonts w:hint="default" w:ascii="Times New Roman" w:hAnsi="Times New Roman" w:eastAsia="宋体" w:cs="Times New Roman"/>
          <w:color w:val="auto"/>
          <w:sz w:val="24"/>
          <w:szCs w:val="24"/>
        </w:rPr>
        <w:t>。</w:t>
      </w:r>
    </w:p>
    <w:p w14:paraId="6117246F">
      <w:pPr>
        <w:rPr>
          <w:rFonts w:hint="default"/>
          <w:sz w:val="24"/>
          <w:szCs w:val="24"/>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bookmarkEnd w:id="822"/>
    <w:bookmarkEnd w:id="823"/>
    <w:bookmarkEnd w:id="824"/>
    <w:bookmarkEnd w:id="825"/>
    <w:p w14:paraId="62818C52">
      <w:pPr>
        <w:keepNext w:val="0"/>
        <w:keepLines w:val="0"/>
        <w:pageBreakBefore w:val="0"/>
        <w:widowControl/>
        <w:kinsoku/>
        <w:wordWrap/>
        <w:autoSpaceDE/>
        <w:autoSpaceDN/>
        <w:bidi w:val="0"/>
        <w:adjustRightInd/>
        <w:snapToGrid/>
        <w:spacing w:line="360" w:lineRule="auto"/>
        <w:jc w:val="both"/>
        <w:textAlignment w:val="auto"/>
        <w:outlineLvl w:val="0"/>
        <w:rPr>
          <w:rFonts w:hint="eastAsia" w:ascii="Times New Roman" w:hAnsi="Times New Roman" w:eastAsia="宋体" w:cs="Times New Roman"/>
          <w:b/>
          <w:color w:val="auto"/>
          <w:kern w:val="44"/>
          <w:sz w:val="32"/>
          <w:szCs w:val="32"/>
          <w:lang w:val="en-US" w:eastAsia="zh-CN" w:bidi="ar-SA"/>
        </w:rPr>
      </w:pPr>
      <w:bookmarkStart w:id="839" w:name="_Toc25110"/>
      <w:bookmarkStart w:id="840" w:name="_Toc15625"/>
      <w:r>
        <w:rPr>
          <w:rFonts w:hint="eastAsia" w:ascii="Times New Roman" w:hAnsi="Times New Roman" w:eastAsia="宋体" w:cs="Times New Roman"/>
          <w:b/>
          <w:color w:val="auto"/>
          <w:kern w:val="44"/>
          <w:sz w:val="32"/>
          <w:szCs w:val="32"/>
          <w:lang w:val="en-US" w:eastAsia="zh-CN" w:bidi="ar-SA"/>
        </w:rPr>
        <w:t>10</w:t>
      </w:r>
      <w:r>
        <w:rPr>
          <w:rFonts w:hint="default" w:ascii="Times New Roman" w:hAnsi="Times New Roman" w:eastAsia="宋体" w:cs="Times New Roman"/>
          <w:b/>
          <w:color w:val="auto"/>
          <w:kern w:val="44"/>
          <w:sz w:val="32"/>
          <w:szCs w:val="32"/>
          <w:lang w:val="en-US" w:eastAsia="zh-CN" w:bidi="ar-SA"/>
        </w:rPr>
        <w:t>、</w:t>
      </w:r>
      <w:r>
        <w:rPr>
          <w:rFonts w:hint="eastAsia" w:ascii="Times New Roman" w:hAnsi="Times New Roman" w:eastAsia="宋体" w:cs="Times New Roman"/>
          <w:b/>
          <w:color w:val="auto"/>
          <w:kern w:val="44"/>
          <w:sz w:val="32"/>
          <w:szCs w:val="32"/>
          <w:lang w:val="en-US" w:eastAsia="zh-CN" w:bidi="ar-SA"/>
        </w:rPr>
        <w:t>环境影响评价结论</w:t>
      </w:r>
      <w:bookmarkEnd w:id="826"/>
      <w:bookmarkEnd w:id="827"/>
      <w:bookmarkEnd w:id="839"/>
      <w:bookmarkEnd w:id="840"/>
    </w:p>
    <w:bookmarkEnd w:id="828"/>
    <w:bookmarkEnd w:id="829"/>
    <w:bookmarkEnd w:id="830"/>
    <w:bookmarkEnd w:id="831"/>
    <w:p w14:paraId="48A504EA">
      <w:pPr>
        <w:keepNext w:val="0"/>
        <w:keepLines w:val="0"/>
        <w:pageBreakBefore w:val="0"/>
        <w:widowControl w:val="0"/>
        <w:kinsoku/>
        <w:wordWrap/>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color w:val="auto"/>
          <w:kern w:val="2"/>
          <w:sz w:val="30"/>
          <w:szCs w:val="30"/>
          <w:lang w:val="en-US" w:eastAsia="zh-CN" w:bidi="ar-SA"/>
        </w:rPr>
      </w:pPr>
      <w:bookmarkStart w:id="841" w:name="_Toc16652"/>
      <w:bookmarkStart w:id="842" w:name="_Toc27224"/>
      <w:bookmarkStart w:id="843" w:name="_Toc2416"/>
      <w:bookmarkStart w:id="844" w:name="_Toc7462"/>
      <w:bookmarkStart w:id="845" w:name="_Toc472451947"/>
      <w:bookmarkStart w:id="846" w:name="_Toc337673510"/>
      <w:bookmarkStart w:id="847" w:name="_Toc13470"/>
      <w:bookmarkStart w:id="848" w:name="_Toc229909620"/>
      <w:r>
        <w:rPr>
          <w:rFonts w:hint="eastAsia" w:ascii="Times New Roman" w:hAnsi="Times New Roman" w:eastAsia="宋体" w:cs="Times New Roman"/>
          <w:b/>
          <w:bCs/>
          <w:color w:val="auto"/>
          <w:kern w:val="2"/>
          <w:sz w:val="30"/>
          <w:szCs w:val="30"/>
          <w:lang w:val="en-US" w:eastAsia="zh-CN" w:bidi="ar-SA"/>
        </w:rPr>
        <w:t>10</w:t>
      </w:r>
      <w:r>
        <w:rPr>
          <w:rFonts w:hint="default" w:ascii="Times New Roman" w:hAnsi="Times New Roman" w:eastAsia="宋体" w:cs="Times New Roman"/>
          <w:b/>
          <w:bCs/>
          <w:color w:val="auto"/>
          <w:kern w:val="2"/>
          <w:sz w:val="30"/>
          <w:szCs w:val="30"/>
          <w:lang w:val="en-US" w:eastAsia="zh-CN" w:bidi="ar-SA"/>
        </w:rPr>
        <w:t>.1评价结论</w:t>
      </w:r>
      <w:bookmarkEnd w:id="841"/>
      <w:bookmarkEnd w:id="842"/>
      <w:bookmarkEnd w:id="843"/>
      <w:bookmarkEnd w:id="844"/>
      <w:bookmarkEnd w:id="845"/>
      <w:bookmarkEnd w:id="846"/>
      <w:bookmarkEnd w:id="847"/>
    </w:p>
    <w:bookmarkEnd w:id="848"/>
    <w:p w14:paraId="5AC11373">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bookmarkStart w:id="849" w:name="_Toc15647"/>
      <w:bookmarkStart w:id="850" w:name="_Toc10568"/>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.1.1项目概况</w:t>
      </w:r>
      <w:bookmarkEnd w:id="849"/>
      <w:bookmarkEnd w:id="850"/>
    </w:p>
    <w:p w14:paraId="62217F3B">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胡杨河市鑫驰农牧有限责任公司育肥牛养殖改扩建建设项目</w:t>
      </w:r>
      <w:r>
        <w:rPr>
          <w:rFonts w:hint="eastAsia" w:ascii="Times New Roman" w:hAnsi="Times New Roman" w:eastAsia="宋体" w:cs="Times New Roman"/>
          <w:color w:val="000000"/>
          <w:kern w:val="2"/>
          <w:sz w:val="24"/>
          <w:szCs w:val="24"/>
          <w:lang w:val="en-US" w:eastAsia="zh-CN" w:bidi="ar-SA"/>
        </w:rPr>
        <w:t>位于</w:t>
      </w:r>
      <w:r>
        <w:rPr>
          <w:rFonts w:hint="eastAsia" w:cs="Times New Roman"/>
          <w:color w:val="000000"/>
          <w:kern w:val="2"/>
          <w:sz w:val="24"/>
          <w:szCs w:val="24"/>
          <w:lang w:val="en-US" w:eastAsia="zh-CN" w:bidi="ar-SA"/>
        </w:rPr>
        <w:t>第七师胡杨河市125团（柳沟镇）14连瓜村西区323号</w:t>
      </w:r>
      <w:r>
        <w:rPr>
          <w:rFonts w:hint="default" w:ascii="Times New Roman" w:hAnsi="Times New Roman" w:eastAsia="宋体" w:cs="Times New Roman"/>
          <w:color w:val="000000"/>
          <w:kern w:val="2"/>
          <w:sz w:val="24"/>
          <w:szCs w:val="24"/>
          <w:lang w:val="en-US" w:eastAsia="zh-CN" w:bidi="ar-SA"/>
        </w:rPr>
        <w:t>。场界中心地理坐标为：E84°29′41.203″，</w:t>
      </w:r>
      <w:r>
        <w:rPr>
          <w:rFonts w:hint="eastAsia" w:cs="Times New Roman"/>
          <w:color w:val="000000"/>
          <w:kern w:val="2"/>
          <w:sz w:val="24"/>
          <w:szCs w:val="24"/>
          <w:lang w:val="en-US" w:eastAsia="zh-CN" w:bidi="ar-SA"/>
        </w:rPr>
        <w:t>N</w:t>
      </w:r>
      <w:r>
        <w:rPr>
          <w:rFonts w:hint="default" w:ascii="Times New Roman" w:hAnsi="Times New Roman" w:eastAsia="宋体" w:cs="Times New Roman"/>
          <w:color w:val="000000"/>
          <w:kern w:val="2"/>
          <w:sz w:val="24"/>
          <w:szCs w:val="24"/>
          <w:lang w:val="en-US" w:eastAsia="zh-CN" w:bidi="ar-SA"/>
        </w:rPr>
        <w:t>44°44′38.982″。</w:t>
      </w:r>
      <w:r>
        <w:rPr>
          <w:rFonts w:hint="default" w:ascii="Times New Roman" w:hAnsi="Times New Roman" w:eastAsia="宋体" w:cs="Times New Roman"/>
          <w:color w:val="auto"/>
          <w:kern w:val="2"/>
          <w:sz w:val="24"/>
          <w:szCs w:val="24"/>
          <w:highlight w:val="none"/>
          <w:lang w:val="en-US" w:eastAsia="zh-CN" w:bidi="ar-SA"/>
        </w:rPr>
        <w:t>项目</w:t>
      </w:r>
      <w:r>
        <w:rPr>
          <w:rFonts w:hint="eastAsia" w:cs="Times New Roman"/>
          <w:color w:val="auto"/>
          <w:kern w:val="2"/>
          <w:sz w:val="24"/>
          <w:szCs w:val="24"/>
          <w:highlight w:val="none"/>
          <w:lang w:val="en-US" w:eastAsia="zh-CN" w:bidi="ar-SA"/>
        </w:rPr>
        <w:t>总</w:t>
      </w:r>
      <w:r>
        <w:rPr>
          <w:rFonts w:hint="eastAsia" w:ascii="Times New Roman" w:hAnsi="Times New Roman" w:eastAsia="宋体" w:cs="Times New Roman"/>
          <w:color w:val="auto"/>
          <w:kern w:val="2"/>
          <w:sz w:val="24"/>
          <w:szCs w:val="24"/>
          <w:highlight w:val="none"/>
          <w:lang w:val="en-US" w:eastAsia="zh-CN" w:bidi="ar-SA"/>
        </w:rPr>
        <w:t>占地面积</w:t>
      </w:r>
      <w:r>
        <w:rPr>
          <w:rFonts w:hint="eastAsia" w:cs="Times New Roman"/>
          <w:color w:val="auto"/>
          <w:kern w:val="2"/>
          <w:sz w:val="24"/>
          <w:szCs w:val="24"/>
          <w:highlight w:val="none"/>
          <w:lang w:val="en-US" w:eastAsia="zh-CN" w:bidi="ar-SA"/>
        </w:rPr>
        <w:t>12公顷，约180亩</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snapToGrid w:val="0"/>
          <w:color w:val="auto"/>
          <w:kern w:val="2"/>
          <w:sz w:val="24"/>
          <w:szCs w:val="24"/>
          <w:lang w:val="en-US" w:eastAsia="zh-CN" w:bidi="ar-SA"/>
        </w:rPr>
        <w:t>项目总投资</w:t>
      </w:r>
      <w:r>
        <w:rPr>
          <w:rFonts w:hint="eastAsia" w:cs="Times New Roman"/>
          <w:snapToGrid w:val="0"/>
          <w:color w:val="auto"/>
          <w:kern w:val="2"/>
          <w:sz w:val="24"/>
          <w:szCs w:val="24"/>
          <w:lang w:val="en-US" w:eastAsia="zh-CN" w:bidi="ar-SA"/>
        </w:rPr>
        <w:t>655.8</w:t>
      </w:r>
      <w:r>
        <w:rPr>
          <w:rFonts w:hint="eastAsia" w:ascii="Times New Roman" w:hAnsi="Times New Roman" w:eastAsia="宋体" w:cs="Times New Roman"/>
          <w:snapToGrid w:val="0"/>
          <w:color w:val="auto"/>
          <w:kern w:val="2"/>
          <w:sz w:val="24"/>
          <w:szCs w:val="24"/>
          <w:lang w:val="en-US" w:eastAsia="zh-CN" w:bidi="ar-SA"/>
        </w:rPr>
        <w:t>万元</w:t>
      </w:r>
      <w:r>
        <w:rPr>
          <w:rFonts w:hint="default" w:ascii="Times New Roman" w:hAnsi="Times New Roman" w:eastAsia="宋体" w:cs="Times New Roman"/>
          <w:snapToGrid w:val="0"/>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存栏</w:t>
      </w:r>
      <w:r>
        <w:rPr>
          <w:rFonts w:hint="eastAsia" w:ascii="Times New Roman" w:hAnsi="Times New Roman" w:eastAsia="宋体" w:cs="Times New Roman"/>
          <w:color w:val="auto"/>
          <w:kern w:val="2"/>
          <w:sz w:val="24"/>
          <w:szCs w:val="24"/>
          <w:lang w:val="en-US" w:eastAsia="zh-CN" w:bidi="ar-SA"/>
        </w:rPr>
        <w:t>育肥</w:t>
      </w:r>
      <w:r>
        <w:rPr>
          <w:rFonts w:hint="eastAsia" w:cs="Times New Roman"/>
          <w:color w:val="auto"/>
          <w:kern w:val="2"/>
          <w:sz w:val="24"/>
          <w:szCs w:val="24"/>
          <w:lang w:val="en-US" w:eastAsia="zh-CN" w:bidi="ar-SA"/>
        </w:rPr>
        <w:t>牛3000</w:t>
      </w:r>
      <w:r>
        <w:rPr>
          <w:rFonts w:hint="default" w:ascii="Times New Roman" w:hAnsi="Times New Roman" w:eastAsia="宋体" w:cs="Times New Roman"/>
          <w:color w:val="auto"/>
          <w:kern w:val="2"/>
          <w:sz w:val="24"/>
          <w:szCs w:val="24"/>
          <w:lang w:val="en-US" w:eastAsia="zh-CN" w:bidi="ar-SA"/>
        </w:rPr>
        <w:t>头。</w:t>
      </w:r>
    </w:p>
    <w:p w14:paraId="5A98BE0C">
      <w:pPr>
        <w:spacing w:line="360" w:lineRule="auto"/>
        <w:ind w:firstLine="480" w:firstLineChars="200"/>
        <w:rPr>
          <w:rFonts w:hint="default" w:ascii="Times New Roman" w:hAnsi="Times New Roman" w:eastAsia="宋体" w:cs="Times New Roman"/>
          <w:color w:val="auto"/>
          <w:sz w:val="24"/>
          <w:highlight w:val="yellow"/>
          <w:lang w:val="en-US" w:eastAsia="zh-CN"/>
        </w:rPr>
      </w:pPr>
      <w:r>
        <w:rPr>
          <w:rFonts w:hint="eastAsia" w:ascii="Times New Roman" w:hAnsi="Times New Roman" w:eastAsia="宋体" w:cs="Times New Roman"/>
          <w:color w:val="auto"/>
          <w:sz w:val="24"/>
          <w:highlight w:val="none"/>
          <w:lang w:val="en-US" w:eastAsia="zh-CN"/>
        </w:rPr>
        <w:t>占地面积12公顷，养殖区依托现有工程占地面积共5600m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牛舍4座、占地面积共5600m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运动场16座、占地面积共980m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饲喂凉棚2座，改建现有工程4座700m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饲喂凉棚为牛舍，新建占地面积共4500m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运动场4座、</w:t>
      </w:r>
      <w:r>
        <w:rPr>
          <w:rFonts w:hint="eastAsia" w:ascii="Times New Roman" w:hAnsi="Times New Roman" w:eastAsia="宋体" w:cs="Times New Roman"/>
          <w:color w:val="auto"/>
          <w:kern w:val="44"/>
          <w:sz w:val="24"/>
          <w:szCs w:val="24"/>
          <w:highlight w:val="none"/>
          <w:lang w:val="en-US" w:eastAsia="zh-CN"/>
        </w:rPr>
        <w:t>占地面积分别600m</w:t>
      </w:r>
      <w:r>
        <w:rPr>
          <w:rFonts w:hint="eastAsia" w:ascii="Times New Roman" w:hAnsi="Times New Roman" w:eastAsia="宋体" w:cs="Times New Roman"/>
          <w:color w:val="auto"/>
          <w:kern w:val="44"/>
          <w:sz w:val="24"/>
          <w:szCs w:val="24"/>
          <w:highlight w:val="none"/>
          <w:vertAlign w:val="superscript"/>
          <w:lang w:val="en-US" w:eastAsia="zh-CN"/>
        </w:rPr>
        <w:t>2</w:t>
      </w:r>
      <w:r>
        <w:rPr>
          <w:rFonts w:hint="eastAsia" w:ascii="Times New Roman" w:hAnsi="Times New Roman" w:eastAsia="宋体" w:cs="Times New Roman"/>
          <w:color w:val="auto"/>
          <w:kern w:val="44"/>
          <w:sz w:val="24"/>
          <w:szCs w:val="24"/>
          <w:highlight w:val="none"/>
          <w:lang w:val="en-US" w:eastAsia="zh-CN"/>
        </w:rPr>
        <w:t>牛圈4座等主体工程</w:t>
      </w:r>
      <w:r>
        <w:rPr>
          <w:rFonts w:hint="eastAsia" w:ascii="Times New Roman" w:hAnsi="Times New Roman" w:eastAsia="宋体" w:cs="Times New Roman"/>
          <w:color w:val="auto"/>
          <w:sz w:val="24"/>
          <w:highlight w:val="none"/>
          <w:lang w:val="en-US" w:eastAsia="zh-CN"/>
        </w:rPr>
        <w:t>；饲料加工区依托现有工程占地面积350m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TMR搅拌站1座，新增TMR、撒料车等设备，依托现有工程占地面积280m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办公室1座以及占地面积18m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消毒室一座，新建占地面积共120m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员工宿舍6座，占地面积100m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隔离圈1座等辅助工程。依托现有工程</w:t>
      </w:r>
      <w:r>
        <w:rPr>
          <w:rFonts w:hint="eastAsia" w:ascii="Times New Roman" w:hAnsi="Times New Roman" w:eastAsia="宋体" w:cs="Times New Roman"/>
          <w:color w:val="auto"/>
          <w:sz w:val="24"/>
          <w:highlight w:val="none"/>
          <w:lang w:val="en-US" w:eastAsia="zh-CN"/>
        </w:rPr>
        <w:t>占地面积分别为280m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饲喂通道4座、</w:t>
      </w:r>
      <w:r>
        <w:rPr>
          <w:rFonts w:hint="eastAsia" w:ascii="Times New Roman" w:hAnsi="Times New Roman" w:eastAsia="宋体" w:cs="Times New Roman"/>
          <w:color w:val="auto"/>
          <w:sz w:val="24"/>
          <w:highlight w:val="none"/>
          <w:vertAlign w:val="baseline"/>
          <w:lang w:val="en-US" w:eastAsia="zh-CN"/>
        </w:rPr>
        <w:t>占地4500m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饲草料堆放场地1座、占地面积350m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饲料库房1座、占地面积280m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精饲料库房1座，新建</w:t>
      </w:r>
      <w:r>
        <w:rPr>
          <w:rFonts w:hint="eastAsia" w:ascii="Times New Roman" w:hAnsi="Times New Roman" w:eastAsia="宋体" w:cs="Times New Roman"/>
          <w:color w:val="auto"/>
          <w:sz w:val="24"/>
          <w:highlight w:val="none"/>
          <w:lang w:val="en-US" w:eastAsia="zh-CN"/>
        </w:rPr>
        <w:t>占地面积分别为280m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饲喂通道7座、</w:t>
      </w:r>
      <w:r>
        <w:rPr>
          <w:rFonts w:hint="eastAsia" w:ascii="Times New Roman" w:hAnsi="Times New Roman" w:eastAsia="宋体" w:cs="Times New Roman"/>
          <w:color w:val="auto"/>
          <w:sz w:val="24"/>
          <w:highlight w:val="none"/>
          <w:vertAlign w:val="baseline"/>
          <w:lang w:val="en-US" w:eastAsia="zh-CN"/>
        </w:rPr>
        <w:t>占地面积350m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库房1座以及占地面积18m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vertAlign w:val="baseline"/>
          <w:lang w:val="en-US" w:eastAsia="zh-CN"/>
        </w:rPr>
        <w:t>防疫药品库房1座等储运工程。依托现有工程</w:t>
      </w:r>
      <w:r>
        <w:rPr>
          <w:rFonts w:hint="eastAsia" w:ascii="Times New Roman" w:hAnsi="Times New Roman" w:eastAsia="宋体" w:cs="Times New Roman"/>
          <w:color w:val="auto"/>
          <w:sz w:val="24"/>
          <w:highlight w:val="none"/>
          <w:lang w:val="en-US" w:eastAsia="zh-CN"/>
        </w:rPr>
        <w:t>供水、供电、供热系统等公用工程，本项目建成后存栏育肥牛3000头，全厂存栏共计3419头育肥牛。</w:t>
      </w:r>
    </w:p>
    <w:p w14:paraId="41ED583E">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2</w:t>
      </w:r>
      <w:r>
        <w:rPr>
          <w:rFonts w:hint="default" w:ascii="Times New Roman" w:hAnsi="Times New Roman" w:eastAsia="宋体" w:cs="Times New Roman"/>
          <w:b/>
          <w:bCs/>
          <w:snapToGrid w:val="0"/>
          <w:color w:val="auto"/>
          <w:kern w:val="2"/>
          <w:sz w:val="28"/>
          <w:szCs w:val="28"/>
          <w:lang w:val="en-US" w:eastAsia="zh-CN" w:bidi="ar-SA"/>
        </w:rPr>
        <w:t>产业政策符合性结论</w:t>
      </w:r>
    </w:p>
    <w:p w14:paraId="33F54CD0">
      <w:pPr>
        <w:widowControl w:val="0"/>
        <w:spacing w:line="500" w:lineRule="exact"/>
        <w:ind w:firstLine="480" w:firstLineChars="200"/>
        <w:jc w:val="both"/>
        <w:rPr>
          <w:rFonts w:hint="default" w:ascii="Times New Roman" w:hAnsi="Times New Roman" w:eastAsia="宋体" w:cs="Times New Roman"/>
          <w:bCs/>
          <w:color w:val="000000"/>
          <w:kern w:val="2"/>
          <w:sz w:val="24"/>
          <w:szCs w:val="24"/>
          <w:lang w:val="en-US" w:eastAsia="zh-CN" w:bidi="ar-SA"/>
        </w:rPr>
      </w:pPr>
      <w:r>
        <w:rPr>
          <w:rFonts w:hint="default" w:ascii="Times New Roman" w:hAnsi="Times New Roman" w:eastAsia="宋体" w:cs="Times New Roman"/>
          <w:bCs/>
          <w:color w:val="000000"/>
          <w:kern w:val="2"/>
          <w:sz w:val="24"/>
          <w:szCs w:val="24"/>
          <w:lang w:val="en-US" w:eastAsia="zh-CN" w:bidi="ar-SA"/>
        </w:rPr>
        <w:t>本项目为规模化</w:t>
      </w:r>
      <w:r>
        <w:rPr>
          <w:rFonts w:hint="eastAsia" w:ascii="Times New Roman" w:hAnsi="Times New Roman" w:eastAsia="宋体" w:cs="Times New Roman"/>
          <w:bCs/>
          <w:color w:val="000000"/>
          <w:kern w:val="2"/>
          <w:sz w:val="24"/>
          <w:szCs w:val="24"/>
          <w:lang w:val="en-US" w:eastAsia="zh-CN" w:bidi="ar-SA"/>
        </w:rPr>
        <w:t>肉牛</w:t>
      </w:r>
      <w:r>
        <w:rPr>
          <w:rFonts w:hint="default" w:ascii="Times New Roman" w:hAnsi="Times New Roman" w:eastAsia="宋体" w:cs="Times New Roman"/>
          <w:bCs/>
          <w:color w:val="000000"/>
          <w:kern w:val="2"/>
          <w:sz w:val="24"/>
          <w:szCs w:val="24"/>
          <w:lang w:val="en-US" w:eastAsia="zh-CN" w:bidi="ar-SA"/>
        </w:rPr>
        <w:t>养殖</w:t>
      </w:r>
      <w:r>
        <w:rPr>
          <w:rFonts w:hint="eastAsia" w:ascii="Times New Roman" w:hAnsi="Times New Roman" w:eastAsia="宋体" w:cs="Times New Roman"/>
          <w:bCs/>
          <w:color w:val="000000"/>
          <w:kern w:val="2"/>
          <w:sz w:val="24"/>
          <w:szCs w:val="24"/>
          <w:lang w:val="en-US" w:eastAsia="zh-CN" w:bidi="ar-SA"/>
        </w:rPr>
        <w:t>、有机肥生产项目</w:t>
      </w:r>
      <w:r>
        <w:rPr>
          <w:rFonts w:hint="default" w:ascii="Times New Roman" w:hAnsi="Times New Roman" w:eastAsia="宋体" w:cs="Times New Roman"/>
          <w:bCs/>
          <w:color w:val="000000"/>
          <w:kern w:val="2"/>
          <w:sz w:val="24"/>
          <w:szCs w:val="24"/>
          <w:lang w:val="en-US" w:eastAsia="zh-CN" w:bidi="ar-SA"/>
        </w:rPr>
        <w:t>，对照《产业结构调整指导目录（2024年版）》，属于</w:t>
      </w:r>
      <w:r>
        <w:rPr>
          <w:rFonts w:hint="eastAsia" w:cs="Times New Roman"/>
          <w:bCs/>
          <w:color w:val="000000"/>
          <w:kern w:val="2"/>
          <w:sz w:val="24"/>
          <w:szCs w:val="24"/>
          <w:lang w:val="en-US" w:eastAsia="zh-CN" w:bidi="ar-SA"/>
        </w:rPr>
        <w:t>“</w:t>
      </w:r>
      <w:r>
        <w:rPr>
          <w:rFonts w:hint="default" w:ascii="Times New Roman" w:hAnsi="Times New Roman" w:eastAsia="宋体" w:cs="Times New Roman"/>
          <w:bCs/>
          <w:color w:val="000000"/>
          <w:kern w:val="2"/>
          <w:sz w:val="24"/>
          <w:szCs w:val="24"/>
          <w:lang w:val="en-US" w:eastAsia="zh-CN" w:bidi="ar-SA"/>
        </w:rPr>
        <w:t>第一类鼓励类；一、农林牧渔业；14、现代畜牧业及水产生态健康养殖：畜禽标准化规模养殖技术开发与应用</w:t>
      </w:r>
      <w:r>
        <w:rPr>
          <w:rFonts w:hint="eastAsia" w:cs="Times New Roman"/>
          <w:bCs/>
          <w:color w:val="000000"/>
          <w:kern w:val="2"/>
          <w:sz w:val="24"/>
          <w:szCs w:val="24"/>
          <w:lang w:val="en-US" w:eastAsia="zh-CN" w:bidi="ar-SA"/>
        </w:rPr>
        <w:t>”</w:t>
      </w:r>
      <w:r>
        <w:rPr>
          <w:rFonts w:hint="default" w:ascii="Times New Roman" w:hAnsi="Times New Roman" w:eastAsia="宋体" w:cs="Times New Roman"/>
          <w:bCs/>
          <w:color w:val="000000"/>
          <w:kern w:val="2"/>
          <w:sz w:val="24"/>
          <w:szCs w:val="24"/>
          <w:lang w:val="en-US" w:eastAsia="zh-CN" w:bidi="ar-SA"/>
        </w:rPr>
        <w:t>，属于鼓励类。</w:t>
      </w:r>
    </w:p>
    <w:p w14:paraId="49638C92">
      <w:pPr>
        <w:widowControl w:val="0"/>
        <w:spacing w:line="500" w:lineRule="exact"/>
        <w:ind w:firstLine="480" w:firstLineChars="200"/>
        <w:jc w:val="both"/>
        <w:rPr>
          <w:rFonts w:hint="default" w:ascii="Times New Roman" w:hAnsi="Times New Roman" w:eastAsia="宋体" w:cs="Times New Roman"/>
          <w:bCs/>
          <w:color w:val="000000"/>
          <w:kern w:val="2"/>
          <w:sz w:val="24"/>
          <w:szCs w:val="24"/>
          <w:lang w:val="en-US" w:eastAsia="zh-CN" w:bidi="ar-SA"/>
        </w:rPr>
      </w:pPr>
      <w:r>
        <w:rPr>
          <w:rFonts w:hint="default" w:ascii="Times New Roman" w:hAnsi="Times New Roman" w:eastAsia="宋体" w:cs="Times New Roman"/>
          <w:bCs/>
          <w:color w:val="000000"/>
          <w:kern w:val="2"/>
          <w:sz w:val="24"/>
          <w:szCs w:val="24"/>
          <w:lang w:val="en-US" w:eastAsia="zh-CN" w:bidi="ar-SA"/>
        </w:rPr>
        <w:t>因此，项目建设符合国家产业政策。</w:t>
      </w:r>
    </w:p>
    <w:p w14:paraId="43DC37B4">
      <w:pPr>
        <w:keepNext w:val="0"/>
        <w:keepLines w:val="0"/>
        <w:widowControl w:val="0"/>
        <w:spacing w:before="0" w:after="0" w:line="500" w:lineRule="exact"/>
        <w:jc w:val="both"/>
        <w:outlineLvl w:val="2"/>
        <w:rPr>
          <w:rFonts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2"/>
          <w:sz w:val="28"/>
          <w:szCs w:val="28"/>
          <w:lang w:val="en-US" w:eastAsia="zh-CN" w:bidi="ar-SA"/>
        </w:rPr>
        <w:t>10</w:t>
      </w:r>
      <w:r>
        <w:rPr>
          <w:rFonts w:ascii="Times New Roman" w:hAnsi="Times New Roman" w:eastAsia="宋体" w:cs="Times New Roman"/>
          <w:b/>
          <w:bCs/>
          <w:color w:val="000000"/>
          <w:kern w:val="2"/>
          <w:sz w:val="28"/>
          <w:szCs w:val="28"/>
          <w:lang w:val="en-US" w:eastAsia="zh-CN" w:bidi="ar-SA"/>
        </w:rPr>
        <w:t>.1.</w:t>
      </w:r>
      <w:r>
        <w:rPr>
          <w:rFonts w:hint="eastAsia" w:ascii="Times New Roman" w:hAnsi="Times New Roman" w:eastAsia="宋体" w:cs="Times New Roman"/>
          <w:b/>
          <w:bCs/>
          <w:color w:val="000000"/>
          <w:kern w:val="2"/>
          <w:sz w:val="28"/>
          <w:szCs w:val="28"/>
          <w:lang w:val="en-US" w:eastAsia="zh-CN" w:bidi="ar-SA"/>
        </w:rPr>
        <w:t>3</w:t>
      </w:r>
      <w:r>
        <w:rPr>
          <w:rFonts w:ascii="Times New Roman" w:hAnsi="Times New Roman" w:eastAsia="宋体" w:cs="Times New Roman"/>
          <w:b/>
          <w:bCs/>
          <w:color w:val="000000"/>
          <w:kern w:val="2"/>
          <w:sz w:val="28"/>
          <w:szCs w:val="28"/>
          <w:lang w:val="en-US" w:eastAsia="zh-CN" w:bidi="ar-SA"/>
        </w:rPr>
        <w:t xml:space="preserve"> 厂址合理性分析结论</w:t>
      </w:r>
    </w:p>
    <w:p w14:paraId="380A4FA3">
      <w:pPr>
        <w:widowControl w:val="0"/>
        <w:spacing w:line="500" w:lineRule="exact"/>
        <w:ind w:firstLine="480" w:firstLineChars="200"/>
        <w:jc w:val="both"/>
        <w:rPr>
          <w:rFonts w:ascii="Times New Roman" w:hAnsi="Times New Roman" w:eastAsia="宋体" w:cs="Times New Roman"/>
          <w:color w:val="000000"/>
          <w:kern w:val="2"/>
          <w:sz w:val="24"/>
          <w:szCs w:val="24"/>
          <w:lang w:val="en-US" w:eastAsia="zh-CN" w:bidi="ar-SA"/>
        </w:rPr>
      </w:pPr>
      <w:r>
        <w:rPr>
          <w:rFonts w:ascii="Times New Roman" w:hAnsi="Times New Roman" w:eastAsia="宋体" w:cs="Times New Roman"/>
          <w:color w:val="000000"/>
          <w:kern w:val="2"/>
          <w:sz w:val="24"/>
          <w:szCs w:val="24"/>
          <w:lang w:val="en-US" w:eastAsia="zh-CN" w:bidi="ar-SA"/>
        </w:rPr>
        <w:t>本项目为</w:t>
      </w:r>
      <w:r>
        <w:rPr>
          <w:rFonts w:hint="eastAsia" w:ascii="Times New Roman" w:hAnsi="Times New Roman" w:eastAsia="宋体" w:cs="Times New Roman"/>
          <w:color w:val="000000"/>
          <w:kern w:val="2"/>
          <w:sz w:val="24"/>
          <w:szCs w:val="24"/>
          <w:lang w:val="en-US" w:eastAsia="zh-CN" w:bidi="ar-SA"/>
        </w:rPr>
        <w:t>规模化养殖</w:t>
      </w:r>
      <w:r>
        <w:rPr>
          <w:rFonts w:ascii="Times New Roman" w:hAnsi="Times New Roman" w:eastAsia="宋体" w:cs="Times New Roman"/>
          <w:color w:val="000000"/>
          <w:kern w:val="2"/>
          <w:sz w:val="24"/>
          <w:szCs w:val="24"/>
          <w:lang w:val="en-US" w:eastAsia="zh-CN" w:bidi="ar-SA"/>
        </w:rPr>
        <w:t>项目，</w:t>
      </w:r>
      <w:r>
        <w:rPr>
          <w:rFonts w:hint="eastAsia" w:ascii="Times New Roman" w:hAnsi="Times New Roman" w:eastAsia="宋体" w:cs="Times New Roman"/>
          <w:color w:val="000000"/>
          <w:kern w:val="2"/>
          <w:sz w:val="24"/>
          <w:szCs w:val="24"/>
          <w:lang w:val="en-US" w:eastAsia="zh-CN" w:bidi="ar-SA"/>
        </w:rPr>
        <w:t>选址</w:t>
      </w:r>
      <w:r>
        <w:rPr>
          <w:rFonts w:hint="eastAsia" w:ascii="Times New Roman" w:hAnsi="Times New Roman" w:eastAsia="宋体" w:cs="Times New Roman"/>
          <w:kern w:val="2"/>
          <w:sz w:val="24"/>
          <w:szCs w:val="24"/>
          <w:lang w:val="en-US" w:eastAsia="zh-CN" w:bidi="ar-SA"/>
        </w:rPr>
        <w:t>符合125团用地规划，</w:t>
      </w:r>
      <w:r>
        <w:rPr>
          <w:rFonts w:hint="eastAsia" w:ascii="Times New Roman" w:hAnsi="Times New Roman" w:eastAsia="宋体" w:cs="Times New Roman"/>
          <w:color w:val="000000"/>
          <w:sz w:val="24"/>
          <w:szCs w:val="22"/>
          <w:highlight w:val="none"/>
          <w:lang w:val="en-US" w:eastAsia="zh-CN"/>
        </w:rPr>
        <w:t>不属于禁养区、限养区范围内</w:t>
      </w:r>
      <w:r>
        <w:rPr>
          <w:rFonts w:hint="eastAsia" w:ascii="Times New Roman" w:hAnsi="Times New Roman" w:eastAsia="宋体" w:cs="Times New Roman"/>
          <w:color w:val="000000"/>
          <w:sz w:val="24"/>
          <w:szCs w:val="22"/>
          <w:highlight w:val="none"/>
        </w:rPr>
        <w:t>，与当地功能区划相符</w:t>
      </w:r>
      <w:r>
        <w:rPr>
          <w:rFonts w:hint="eastAsia" w:ascii="Times New Roman" w:hAnsi="Times New Roman" w:eastAsia="宋体" w:cs="Times New Roman"/>
          <w:kern w:val="2"/>
          <w:sz w:val="24"/>
          <w:szCs w:val="24"/>
          <w:lang w:val="en-US" w:eastAsia="zh-CN" w:bidi="ar-SA"/>
        </w:rPr>
        <w:t>。项目用地不属于自然保护区、风景名胜区、饮用水水源保护区、基本农田保护区和其他特别保护的区域，符合选址要求。</w:t>
      </w:r>
      <w:r>
        <w:rPr>
          <w:rFonts w:hint="eastAsia" w:ascii="Times New Roman" w:hAnsi="Times New Roman" w:eastAsia="宋体" w:cs="Times New Roman"/>
          <w:color w:val="000000"/>
          <w:kern w:val="2"/>
          <w:sz w:val="24"/>
          <w:szCs w:val="24"/>
          <w:lang w:val="en-US" w:eastAsia="zh-CN" w:bidi="ar-SA"/>
        </w:rPr>
        <w:t>本项目</w:t>
      </w:r>
      <w:r>
        <w:rPr>
          <w:rFonts w:ascii="Times New Roman" w:hAnsi="Times New Roman" w:eastAsia="宋体" w:cs="Times New Roman"/>
          <w:color w:val="000000"/>
          <w:kern w:val="2"/>
          <w:sz w:val="24"/>
          <w:szCs w:val="24"/>
          <w:lang w:val="en-US" w:eastAsia="zh-CN" w:bidi="ar-SA"/>
        </w:rPr>
        <w:t>选址</w:t>
      </w:r>
      <w:r>
        <w:rPr>
          <w:rFonts w:hint="eastAsia" w:ascii="Times New Roman" w:hAnsi="Times New Roman" w:eastAsia="宋体" w:cs="Times New Roman"/>
          <w:color w:val="000000"/>
          <w:kern w:val="2"/>
          <w:sz w:val="24"/>
          <w:szCs w:val="24"/>
          <w:lang w:val="en-US" w:eastAsia="zh-CN" w:bidi="ar-SA"/>
        </w:rPr>
        <w:t>可行</w:t>
      </w:r>
      <w:r>
        <w:rPr>
          <w:rFonts w:ascii="Times New Roman" w:hAnsi="Times New Roman" w:eastAsia="宋体" w:cs="Times New Roman"/>
          <w:color w:val="000000"/>
          <w:kern w:val="2"/>
          <w:sz w:val="24"/>
          <w:szCs w:val="24"/>
          <w:lang w:val="en-US" w:eastAsia="zh-CN" w:bidi="ar-SA"/>
        </w:rPr>
        <w:t>。</w:t>
      </w:r>
    </w:p>
    <w:p w14:paraId="39F73E8F">
      <w:pPr>
        <w:keepNext w:val="0"/>
        <w:keepLines w:val="0"/>
        <w:widowControl w:val="0"/>
        <w:overflowPunct w:val="0"/>
        <w:autoSpaceDE w:val="0"/>
        <w:autoSpaceDN w:val="0"/>
        <w:bidi w:val="0"/>
        <w:adjustRightInd w:val="0"/>
        <w:snapToGrid w:val="0"/>
        <w:spacing w:line="500" w:lineRule="exact"/>
        <w:jc w:val="both"/>
        <w:outlineLvl w:val="2"/>
        <w:rPr>
          <w:rFonts w:hint="eastAsia" w:ascii="Times New Roman" w:hAnsi="Times New Roman" w:eastAsia="宋体" w:cs="Times New Roman"/>
          <w:b/>
          <w:bCs/>
          <w:kern w:val="2"/>
          <w:sz w:val="28"/>
          <w:szCs w:val="32"/>
          <w:lang w:val="en-US" w:eastAsia="zh-CN" w:bidi="ar-SA"/>
        </w:rPr>
      </w:pPr>
      <w:bookmarkStart w:id="851" w:name="_Toc287433193"/>
      <w:bookmarkStart w:id="852" w:name="_Toc287434063"/>
      <w:bookmarkStart w:id="853" w:name="_Toc287434265"/>
      <w:bookmarkStart w:id="854" w:name="_Toc229909621"/>
      <w:bookmarkStart w:id="855" w:name="_Toc22189"/>
      <w:bookmarkStart w:id="856" w:name="_Toc14581"/>
      <w:r>
        <w:rPr>
          <w:rFonts w:hint="eastAsia" w:ascii="Times New Roman" w:hAnsi="Times New Roman" w:eastAsia="宋体" w:cs="Times New Roman"/>
          <w:b/>
          <w:bCs/>
          <w:kern w:val="2"/>
          <w:sz w:val="28"/>
          <w:szCs w:val="32"/>
          <w:lang w:val="en-US" w:eastAsia="zh-CN" w:bidi="ar-SA"/>
        </w:rPr>
        <w:t>10.1.4工程分析结论</w:t>
      </w:r>
      <w:bookmarkEnd w:id="851"/>
      <w:bookmarkEnd w:id="852"/>
      <w:bookmarkEnd w:id="853"/>
    </w:p>
    <w:p w14:paraId="26066FD3">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（1）有组织废气</w:t>
      </w:r>
    </w:p>
    <w:p w14:paraId="55F12E91">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000000"/>
          <w:sz w:val="24"/>
          <w:szCs w:val="22"/>
          <w:lang w:val="en-US" w:eastAsia="zh-CN"/>
        </w:rPr>
      </w:pPr>
      <w:r>
        <w:rPr>
          <w:rFonts w:hint="eastAsia" w:ascii="Times New Roman" w:hAnsi="Times New Roman" w:eastAsia="宋体" w:cs="Times New Roman"/>
          <w:sz w:val="24"/>
          <w:szCs w:val="22"/>
        </w:rPr>
        <w:t>本项目</w:t>
      </w:r>
      <w:r>
        <w:rPr>
          <w:rFonts w:hint="eastAsia" w:ascii="Times New Roman" w:hAnsi="Times New Roman" w:eastAsia="宋体" w:cs="Times New Roman"/>
          <w:sz w:val="24"/>
          <w:szCs w:val="22"/>
          <w:lang w:val="en-US" w:eastAsia="zh-CN"/>
        </w:rPr>
        <w:t>堆肥间颗粒物、氨、硫化氢、臭气浓度经袋式除尘+生物除臭（滴滤法）处理后</w:t>
      </w:r>
      <w:r>
        <w:rPr>
          <w:rFonts w:hint="eastAsia" w:ascii="Times New Roman" w:hAnsi="Times New Roman" w:eastAsia="宋体" w:cs="Times New Roman"/>
          <w:color w:val="000000"/>
          <w:sz w:val="24"/>
          <w:szCs w:val="22"/>
        </w:rPr>
        <w:t>，由15m高排气筒排放，</w:t>
      </w:r>
      <w:r>
        <w:rPr>
          <w:rFonts w:hint="eastAsia" w:ascii="Times New Roman" w:hAnsi="Times New Roman" w:eastAsia="宋体" w:cs="Times New Roman"/>
          <w:color w:val="000000"/>
          <w:sz w:val="24"/>
          <w:szCs w:val="22"/>
          <w:lang w:val="en-US" w:eastAsia="zh-CN"/>
        </w:rPr>
        <w:t>颗粒物</w:t>
      </w:r>
      <w:r>
        <w:rPr>
          <w:rFonts w:hint="eastAsia" w:ascii="Times New Roman" w:hAnsi="Times New Roman" w:eastAsia="宋体" w:cs="Times New Roman"/>
          <w:color w:val="000000"/>
          <w:sz w:val="24"/>
          <w:szCs w:val="22"/>
        </w:rPr>
        <w:t>满足</w:t>
      </w:r>
      <w:r>
        <w:rPr>
          <w:rFonts w:hint="default" w:ascii="Times New Roman" w:hAnsi="Times New Roman" w:eastAsia="宋体" w:cs="Times New Roman"/>
          <w:sz w:val="24"/>
          <w:szCs w:val="24"/>
        </w:rPr>
        <w:t>《大气污染物综合排放标准》（GB16297</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1996）表2 新污染源大气污染物排放限值</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恶臭污染物氨、硫化氢、臭气浓度执行《恶臭污染物排放标准》（GB14554-93）表2 恶臭污染物排放标准值</w:t>
      </w:r>
      <w:r>
        <w:rPr>
          <w:rFonts w:hint="eastAsia" w:ascii="Times New Roman" w:hAnsi="Times New Roman" w:eastAsia="宋体" w:cs="Times New Roman"/>
          <w:color w:val="000000"/>
          <w:sz w:val="24"/>
          <w:szCs w:val="22"/>
        </w:rPr>
        <w:t>。</w:t>
      </w:r>
      <w:r>
        <w:rPr>
          <w:rFonts w:hint="eastAsia" w:ascii="Times New Roman" w:hAnsi="Times New Roman" w:eastAsia="宋体" w:cs="Times New Roman"/>
          <w:color w:val="000000"/>
          <w:sz w:val="24"/>
          <w:szCs w:val="22"/>
          <w:lang w:val="en-US" w:eastAsia="zh-CN"/>
        </w:rPr>
        <w:t>饲料加工区颗粒物经袋式除尘处理后，</w:t>
      </w:r>
      <w:r>
        <w:rPr>
          <w:rFonts w:hint="eastAsia" w:ascii="Times New Roman" w:hAnsi="Times New Roman" w:eastAsia="宋体" w:cs="Times New Roman"/>
          <w:color w:val="000000"/>
          <w:sz w:val="24"/>
          <w:szCs w:val="22"/>
        </w:rPr>
        <w:t>由15m高排气筒排放，</w:t>
      </w:r>
      <w:r>
        <w:rPr>
          <w:rFonts w:hint="eastAsia" w:ascii="Times New Roman" w:hAnsi="Times New Roman" w:eastAsia="宋体" w:cs="Times New Roman"/>
          <w:color w:val="000000"/>
          <w:sz w:val="24"/>
          <w:szCs w:val="22"/>
          <w:lang w:val="en-US" w:eastAsia="zh-CN"/>
        </w:rPr>
        <w:t>颗粒物</w:t>
      </w:r>
      <w:r>
        <w:rPr>
          <w:rFonts w:hint="eastAsia" w:ascii="Times New Roman" w:hAnsi="Times New Roman" w:eastAsia="宋体" w:cs="Times New Roman"/>
          <w:color w:val="000000"/>
          <w:sz w:val="24"/>
          <w:szCs w:val="22"/>
        </w:rPr>
        <w:t>满足</w:t>
      </w:r>
      <w:r>
        <w:rPr>
          <w:rFonts w:hint="default" w:ascii="Times New Roman" w:hAnsi="Times New Roman" w:eastAsia="宋体" w:cs="Times New Roman"/>
          <w:sz w:val="24"/>
          <w:szCs w:val="24"/>
        </w:rPr>
        <w:t>《大气污染物综合排放标准》（GB16297</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1996）表2 新污染源大气污染物排放限值</w:t>
      </w:r>
      <w:r>
        <w:rPr>
          <w:rFonts w:hint="eastAsia" w:ascii="Times New Roman" w:hAnsi="Times New Roman" w:eastAsia="宋体" w:cs="Times New Roman"/>
          <w:sz w:val="24"/>
          <w:szCs w:val="24"/>
          <w:lang w:eastAsia="zh-CN"/>
        </w:rPr>
        <w:t>。</w:t>
      </w:r>
    </w:p>
    <w:p w14:paraId="7ACBDF8E">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rPr>
        <w:t>（2）无组织废气</w:t>
      </w:r>
    </w:p>
    <w:p w14:paraId="6754305A">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color w:val="000000"/>
          <w:sz w:val="24"/>
          <w:szCs w:val="22"/>
        </w:rPr>
        <w:t>本项目运营过程中</w:t>
      </w:r>
      <w:r>
        <w:rPr>
          <w:rFonts w:hint="eastAsia" w:ascii="Times New Roman" w:hAnsi="Times New Roman" w:eastAsia="宋体" w:cs="Times New Roman"/>
          <w:color w:val="000000"/>
          <w:sz w:val="24"/>
          <w:szCs w:val="22"/>
          <w:highlight w:val="none"/>
        </w:rPr>
        <w:t>无组织排放废气主要来源于</w:t>
      </w:r>
      <w:r>
        <w:rPr>
          <w:rFonts w:hint="eastAsia" w:ascii="Times New Roman" w:hAnsi="Times New Roman" w:eastAsia="宋体" w:cs="Times New Roman"/>
          <w:color w:val="000000"/>
          <w:sz w:val="24"/>
          <w:szCs w:val="22"/>
          <w:highlight w:val="none"/>
          <w:lang w:val="en-US" w:eastAsia="zh-CN"/>
        </w:rPr>
        <w:t>养殖区恶臭、饲料搅拌，饲料粉碎，堆肥间恶臭以及有机肥生产粉尘</w:t>
      </w:r>
      <w:r>
        <w:rPr>
          <w:rFonts w:hint="eastAsia" w:ascii="Times New Roman" w:hAnsi="Times New Roman" w:eastAsia="宋体" w:cs="Times New Roman"/>
          <w:sz w:val="24"/>
          <w:szCs w:val="22"/>
          <w:highlight w:val="none"/>
        </w:rPr>
        <w:t>，</w:t>
      </w:r>
      <w:r>
        <w:rPr>
          <w:rFonts w:hint="eastAsia" w:ascii="Times New Roman" w:hAnsi="Times New Roman" w:eastAsia="宋体" w:cs="Times New Roman"/>
          <w:sz w:val="24"/>
          <w:szCs w:val="22"/>
          <w:highlight w:val="none"/>
          <w:lang w:val="en-US" w:eastAsia="zh-CN"/>
        </w:rPr>
        <w:t>均</w:t>
      </w:r>
      <w:r>
        <w:rPr>
          <w:rFonts w:hint="eastAsia" w:ascii="Times New Roman" w:hAnsi="Times New Roman" w:eastAsia="宋体" w:cs="Times New Roman"/>
          <w:sz w:val="24"/>
          <w:szCs w:val="22"/>
          <w:highlight w:val="none"/>
        </w:rPr>
        <w:t>以无组织的形式外排</w:t>
      </w:r>
      <w:r>
        <w:rPr>
          <w:rFonts w:hint="eastAsia" w:ascii="Times New Roman" w:hAnsi="Times New Roman" w:eastAsia="宋体" w:cs="Times New Roman"/>
          <w:sz w:val="24"/>
          <w:szCs w:val="22"/>
        </w:rPr>
        <w:t>。</w:t>
      </w:r>
    </w:p>
    <w:p w14:paraId="611A8A46">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sz w:val="24"/>
          <w:szCs w:val="22"/>
          <w:lang w:val="en-US" w:eastAsia="zh-CN"/>
        </w:rPr>
        <w:t>养殖区恶臭污染物氨、硫化氢、臭气浓度设置控制饲养密度+及时清理粪污+场区绿化+喷洒生物除臭剂进行控制；堆肥间恶臭污染物氨、硫化氢、臭气浓度设置封闭式作业，厂界</w:t>
      </w:r>
      <w:r>
        <w:rPr>
          <w:rFonts w:hint="eastAsia" w:ascii="Times New Roman" w:hAnsi="Times New Roman" w:eastAsia="宋体" w:cs="Times New Roman"/>
          <w:sz w:val="24"/>
          <w:szCs w:val="24"/>
          <w:lang w:val="en-US" w:eastAsia="zh-CN"/>
        </w:rPr>
        <w:t>臭气浓度满足</w:t>
      </w:r>
      <w:r>
        <w:rPr>
          <w:rFonts w:hint="default" w:ascii="Times New Roman" w:hAnsi="Times New Roman" w:eastAsia="宋体" w:cs="Times New Roman"/>
          <w:sz w:val="24"/>
          <w:szCs w:val="24"/>
          <w:lang w:eastAsia="zh-CN"/>
        </w:rPr>
        <w:t>《畜禽养殖业污染物排放标准》（GB18596-2001）表7 集约化畜禽养殖业恶臭污染物排</w:t>
      </w:r>
      <w:r>
        <w:rPr>
          <w:rFonts w:hint="eastAsia" w:ascii="Times New Roman" w:hAnsi="Times New Roman" w:eastAsia="宋体" w:cs="Times New Roman"/>
          <w:sz w:val="24"/>
          <w:szCs w:val="24"/>
          <w:lang w:eastAsia="zh-CN"/>
        </w:rPr>
        <w:t>放</w:t>
      </w:r>
      <w:r>
        <w:rPr>
          <w:rFonts w:hint="default" w:ascii="Times New Roman" w:hAnsi="Times New Roman" w:eastAsia="宋体" w:cs="Times New Roman"/>
          <w:sz w:val="24"/>
          <w:szCs w:val="24"/>
          <w:lang w:eastAsia="zh-CN"/>
        </w:rPr>
        <w:t>标准</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2"/>
          <w:lang w:val="en-US" w:eastAsia="zh-CN"/>
        </w:rPr>
        <w:t>氨、硫化氢</w:t>
      </w:r>
      <w:r>
        <w:rPr>
          <w:rFonts w:hint="eastAsia" w:ascii="Times New Roman" w:hAnsi="Times New Roman" w:eastAsia="宋体" w:cs="Times New Roman"/>
          <w:sz w:val="24"/>
          <w:szCs w:val="24"/>
          <w:lang w:val="en-US" w:eastAsia="zh-CN"/>
        </w:rPr>
        <w:t>满足</w:t>
      </w:r>
      <w:r>
        <w:rPr>
          <w:rFonts w:hint="default" w:ascii="Times New Roman" w:hAnsi="Times New Roman" w:eastAsia="宋体" w:cs="Times New Roman"/>
          <w:sz w:val="24"/>
          <w:szCs w:val="24"/>
          <w:lang w:eastAsia="zh-CN"/>
        </w:rPr>
        <w:t>《恶臭污染物排放标准》（GB14554-93）表1 恶臭污染物厂界标准值</w:t>
      </w:r>
      <w:r>
        <w:rPr>
          <w:rFonts w:hint="eastAsia" w:ascii="Times New Roman" w:hAnsi="Times New Roman" w:eastAsia="宋体" w:cs="Times New Roman"/>
          <w:sz w:val="24"/>
          <w:szCs w:val="24"/>
          <w:lang w:val="en-US" w:eastAsia="zh-CN"/>
        </w:rPr>
        <w:t>二级新扩改建标准限值。养殖区饲料搅拌颗粒物设置封闭式作业+润湿搅拌工艺进行控制，饲料加工车间粉碎粉尘设置</w:t>
      </w:r>
      <w:r>
        <w:rPr>
          <w:rFonts w:hint="eastAsia" w:cs="Times New Roman"/>
          <w:sz w:val="24"/>
          <w:szCs w:val="24"/>
          <w:lang w:val="en-US" w:eastAsia="zh-CN"/>
        </w:rPr>
        <w:t>洒水降尘控制</w:t>
      </w:r>
      <w:r>
        <w:rPr>
          <w:rFonts w:hint="eastAsia" w:ascii="Times New Roman" w:hAnsi="Times New Roman" w:eastAsia="宋体" w:cs="Times New Roman"/>
          <w:sz w:val="24"/>
          <w:szCs w:val="24"/>
          <w:lang w:val="en-US" w:eastAsia="zh-CN"/>
        </w:rPr>
        <w:t>，堆肥间颗粒物设置封闭式作业</w:t>
      </w:r>
      <w:r>
        <w:rPr>
          <w:rFonts w:hint="eastAsia" w:cs="Times New Roman"/>
          <w:sz w:val="24"/>
          <w:szCs w:val="24"/>
          <w:lang w:val="en-US" w:eastAsia="zh-CN"/>
        </w:rPr>
        <w:t>+洒水降尘</w:t>
      </w:r>
      <w:r>
        <w:rPr>
          <w:rFonts w:hint="eastAsia" w:ascii="Times New Roman" w:hAnsi="Times New Roman" w:eastAsia="宋体" w:cs="Times New Roman"/>
          <w:sz w:val="24"/>
          <w:szCs w:val="24"/>
          <w:lang w:val="en-US" w:eastAsia="zh-CN"/>
        </w:rPr>
        <w:t>进行控制</w:t>
      </w:r>
      <w:r>
        <w:rPr>
          <w:rFonts w:hint="eastAsia" w:cs="Times New Roman"/>
          <w:sz w:val="24"/>
          <w:szCs w:val="24"/>
          <w:lang w:val="en-US" w:eastAsia="zh-CN"/>
        </w:rPr>
        <w:t>，堆肥区设置编织覆盖+洒水降尘进行控制</w:t>
      </w:r>
      <w:r>
        <w:rPr>
          <w:rFonts w:hint="eastAsia" w:ascii="Times New Roman" w:hAnsi="Times New Roman" w:eastAsia="宋体" w:cs="Times New Roman"/>
          <w:sz w:val="24"/>
          <w:szCs w:val="24"/>
          <w:lang w:val="en-US" w:eastAsia="zh-CN"/>
        </w:rPr>
        <w:t>，厂界无组织颗粒物满足</w:t>
      </w:r>
      <w:r>
        <w:rPr>
          <w:rFonts w:hint="default" w:ascii="Times New Roman" w:hAnsi="Times New Roman" w:eastAsia="宋体" w:cs="Times New Roman"/>
          <w:sz w:val="24"/>
          <w:szCs w:val="24"/>
        </w:rPr>
        <w:t>《大气污染物综合排放标准》（GB16297</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1996）表2 新污染源大气污染物排放限值</w:t>
      </w:r>
      <w:r>
        <w:rPr>
          <w:rFonts w:hint="eastAsia" w:ascii="Times New Roman" w:hAnsi="Times New Roman" w:eastAsia="宋体" w:cs="Times New Roman"/>
          <w:sz w:val="24"/>
          <w:szCs w:val="22"/>
        </w:rPr>
        <w:t>。</w:t>
      </w:r>
    </w:p>
    <w:p w14:paraId="75CA81CF">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（3）废水</w:t>
      </w:r>
    </w:p>
    <w:p w14:paraId="42F6208F">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color w:val="000000"/>
          <w:sz w:val="24"/>
          <w:szCs w:val="22"/>
          <w:lang w:eastAsia="zh-CN"/>
        </w:rPr>
        <w:t>生活污水</w:t>
      </w:r>
      <w:r>
        <w:rPr>
          <w:rFonts w:hint="eastAsia" w:ascii="Times New Roman" w:hAnsi="Times New Roman" w:eastAsia="宋体" w:cs="Times New Roman"/>
          <w:color w:val="000000"/>
          <w:sz w:val="24"/>
          <w:szCs w:val="22"/>
          <w:lang w:val="en-US" w:eastAsia="zh-CN"/>
        </w:rPr>
        <w:t>设置20m</w:t>
      </w:r>
      <w:r>
        <w:rPr>
          <w:rFonts w:hint="eastAsia" w:ascii="Times New Roman" w:hAnsi="Times New Roman" w:eastAsia="宋体" w:cs="Times New Roman"/>
          <w:color w:val="000000"/>
          <w:sz w:val="24"/>
          <w:szCs w:val="22"/>
          <w:vertAlign w:val="superscript"/>
          <w:lang w:val="en-US" w:eastAsia="zh-CN"/>
        </w:rPr>
        <w:t>3</w:t>
      </w:r>
      <w:r>
        <w:rPr>
          <w:rFonts w:hint="eastAsia" w:ascii="Times New Roman" w:hAnsi="Times New Roman" w:eastAsia="宋体" w:cs="Times New Roman"/>
          <w:color w:val="000000"/>
          <w:sz w:val="24"/>
          <w:szCs w:val="22"/>
          <w:vertAlign w:val="baseline"/>
          <w:lang w:val="en-US" w:eastAsia="zh-CN"/>
        </w:rPr>
        <w:t>防渗</w:t>
      </w:r>
      <w:r>
        <w:rPr>
          <w:rFonts w:hint="eastAsia" w:ascii="Times New Roman" w:hAnsi="Times New Roman" w:eastAsia="宋体" w:cs="Times New Roman"/>
          <w:color w:val="000000"/>
          <w:sz w:val="24"/>
          <w:szCs w:val="22"/>
          <w:lang w:eastAsia="zh-CN"/>
        </w:rPr>
        <w:t>化粪池收集后</w:t>
      </w:r>
      <w:r>
        <w:rPr>
          <w:rFonts w:hint="eastAsia" w:ascii="Times New Roman" w:hAnsi="Times New Roman" w:eastAsia="宋体" w:cs="Times New Roman"/>
          <w:color w:val="000000"/>
          <w:sz w:val="24"/>
          <w:szCs w:val="22"/>
          <w:lang w:val="en-US" w:eastAsia="zh-CN"/>
        </w:rPr>
        <w:t>定期拉运至污水处理厂处置</w:t>
      </w:r>
      <w:r>
        <w:rPr>
          <w:rFonts w:hint="eastAsia" w:ascii="Times New Roman" w:hAnsi="Times New Roman" w:eastAsia="宋体" w:cs="Times New Roman"/>
          <w:color w:val="000000"/>
          <w:sz w:val="24"/>
          <w:szCs w:val="22"/>
          <w:lang w:eastAsia="zh-CN"/>
        </w:rPr>
        <w:t>。</w:t>
      </w:r>
    </w:p>
    <w:p w14:paraId="11080401">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（4）固废</w:t>
      </w:r>
    </w:p>
    <w:p w14:paraId="5C56CE75">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auto"/>
          <w:sz w:val="24"/>
        </w:rPr>
        <w:t>本项目</w:t>
      </w:r>
      <w:r>
        <w:rPr>
          <w:rFonts w:hint="eastAsia" w:ascii="Times New Roman" w:hAnsi="Times New Roman" w:eastAsia="宋体" w:cs="Times New Roman"/>
          <w:color w:val="auto"/>
          <w:sz w:val="24"/>
          <w:lang w:val="en-US" w:eastAsia="zh-CN"/>
        </w:rPr>
        <w:t>牛粪与发酵垫料</w:t>
      </w:r>
      <w:r>
        <w:rPr>
          <w:rFonts w:hint="eastAsia" w:ascii="Times New Roman" w:hAnsi="Times New Roman" w:eastAsia="宋体" w:cs="Times New Roman"/>
          <w:color w:val="auto"/>
          <w:sz w:val="24"/>
          <w:lang w:eastAsia="zh-CN"/>
        </w:rPr>
        <w:t>集中收集于</w:t>
      </w:r>
      <w:r>
        <w:rPr>
          <w:rFonts w:hint="eastAsia" w:ascii="Times New Roman" w:hAnsi="Times New Roman" w:eastAsia="宋体" w:cs="Times New Roman"/>
          <w:color w:val="auto"/>
          <w:sz w:val="24"/>
          <w:lang w:val="en-US" w:eastAsia="zh-CN"/>
        </w:rPr>
        <w:t>堆肥间堆肥后还田</w:t>
      </w:r>
      <w:r>
        <w:rPr>
          <w:rFonts w:hint="default" w:ascii="Times New Roman" w:hAnsi="Times New Roman" w:eastAsia="宋体" w:cs="Times New Roman"/>
          <w:color w:val="auto"/>
          <w:sz w:val="24"/>
        </w:rPr>
        <w:t>；病死</w:t>
      </w:r>
      <w:r>
        <w:rPr>
          <w:rFonts w:hint="eastAsia" w:ascii="Times New Roman" w:hAnsi="Times New Roman" w:eastAsia="宋体" w:cs="Times New Roman"/>
          <w:color w:val="auto"/>
          <w:sz w:val="24"/>
          <w:lang w:val="en-US" w:eastAsia="zh-CN"/>
        </w:rPr>
        <w:t>牛委托</w:t>
      </w:r>
      <w:r>
        <w:rPr>
          <w:rFonts w:hint="eastAsia" w:ascii="Times New Roman" w:hAnsi="Times New Roman" w:eastAsia="宋体" w:cs="Times New Roman"/>
          <w:color w:val="auto"/>
          <w:sz w:val="24"/>
          <w:szCs w:val="24"/>
          <w:lang w:val="en-US" w:eastAsia="zh-CN"/>
        </w:rPr>
        <w:t>病死畜禽无害化处置单位</w:t>
      </w:r>
      <w:r>
        <w:rPr>
          <w:rFonts w:hint="eastAsia" w:ascii="Times New Roman" w:hAnsi="Times New Roman" w:eastAsia="宋体" w:cs="Times New Roman"/>
          <w:color w:val="auto"/>
          <w:sz w:val="24"/>
          <w:lang w:val="en-US" w:eastAsia="zh-CN"/>
        </w:rPr>
        <w:t>进行无害化处置</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zh-CN"/>
        </w:rPr>
        <w:t>兽用医疗固废</w:t>
      </w:r>
      <w:r>
        <w:rPr>
          <w:rFonts w:hint="default" w:ascii="Times New Roman" w:hAnsi="Times New Roman" w:eastAsia="宋体" w:cs="Times New Roman"/>
          <w:color w:val="auto"/>
          <w:sz w:val="24"/>
        </w:rPr>
        <w:t>全部收集暂存后交由医疗废物集中处置单位监督统一处理</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废包装材料</w:t>
      </w:r>
      <w:r>
        <w:rPr>
          <w:rFonts w:hint="eastAsia" w:ascii="Times New Roman" w:hAnsi="Times New Roman" w:eastAsia="宋体" w:cs="Times New Roman"/>
          <w:color w:val="000000"/>
          <w:kern w:val="2"/>
          <w:sz w:val="24"/>
          <w:szCs w:val="24"/>
          <w:highlight w:val="none"/>
          <w:lang w:val="en-US" w:eastAsia="zh-CN" w:bidi="ar-SA"/>
        </w:rPr>
        <w:t>定期外售回收单位综合利用；危险废物废消毒剂包装材料暂存于危险废物贮存</w:t>
      </w:r>
      <w:r>
        <w:rPr>
          <w:rFonts w:hint="eastAsia" w:cs="Times New Roman"/>
          <w:color w:val="000000"/>
          <w:kern w:val="2"/>
          <w:sz w:val="24"/>
          <w:szCs w:val="24"/>
          <w:highlight w:val="none"/>
          <w:lang w:val="en-US" w:eastAsia="zh-CN" w:bidi="ar-SA"/>
        </w:rPr>
        <w:t>点</w:t>
      </w:r>
      <w:r>
        <w:rPr>
          <w:rFonts w:hint="eastAsia" w:ascii="Times New Roman" w:hAnsi="Times New Roman" w:eastAsia="宋体" w:cs="Times New Roman"/>
          <w:color w:val="000000"/>
          <w:kern w:val="2"/>
          <w:sz w:val="24"/>
          <w:szCs w:val="24"/>
          <w:highlight w:val="none"/>
          <w:lang w:val="en-US" w:eastAsia="zh-CN" w:bidi="ar-SA"/>
        </w:rPr>
        <w:t>，委托有资质单位运输处置；</w:t>
      </w:r>
      <w:r>
        <w:rPr>
          <w:rFonts w:hint="eastAsia" w:ascii="Times New Roman" w:hAnsi="Times New Roman" w:eastAsia="宋体" w:cs="Times New Roman"/>
          <w:snapToGrid w:val="0"/>
          <w:color w:val="000000"/>
          <w:sz w:val="24"/>
          <w:szCs w:val="24"/>
          <w:highlight w:val="none"/>
          <w:lang w:val="en-US" w:eastAsia="zh-CN" w:bidi="ar-SA"/>
        </w:rPr>
        <w:t>堆肥间</w:t>
      </w:r>
      <w:r>
        <w:rPr>
          <w:rFonts w:hint="eastAsia" w:ascii="Times New Roman" w:hAnsi="Times New Roman" w:eastAsia="宋体" w:cs="Times New Roman"/>
          <w:color w:val="000000"/>
          <w:kern w:val="2"/>
          <w:sz w:val="24"/>
          <w:szCs w:val="24"/>
          <w:highlight w:val="none"/>
          <w:lang w:val="en-US" w:eastAsia="zh-CN" w:bidi="ar-SA"/>
        </w:rPr>
        <w:t>除尘灰经收集后回用于</w:t>
      </w:r>
      <w:r>
        <w:rPr>
          <w:rFonts w:hint="eastAsia" w:ascii="Times New Roman" w:hAnsi="Times New Roman" w:eastAsia="宋体" w:cs="Times New Roman"/>
          <w:color w:val="000000"/>
          <w:sz w:val="24"/>
          <w:lang w:val="en-US" w:eastAsia="zh-CN"/>
        </w:rPr>
        <w:t>堆肥工段</w:t>
      </w:r>
      <w:r>
        <w:rPr>
          <w:rFonts w:hint="eastAsia"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auto"/>
          <w:sz w:val="24"/>
          <w:lang w:val="en-US" w:eastAsia="zh-CN"/>
        </w:rPr>
        <w:t>生活垃圾委托环卫部门统一清运</w:t>
      </w:r>
      <w:r>
        <w:rPr>
          <w:rFonts w:hint="default" w:ascii="Times New Roman" w:hAnsi="Times New Roman" w:eastAsia="宋体" w:cs="Times New Roman"/>
          <w:color w:val="000000"/>
          <w:sz w:val="24"/>
        </w:rPr>
        <w:t>。</w:t>
      </w:r>
    </w:p>
    <w:p w14:paraId="7D8AA075">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（5）噪声</w:t>
      </w:r>
    </w:p>
    <w:p w14:paraId="362D2E09">
      <w:pPr>
        <w:overflowPunct w:val="0"/>
        <w:autoSpaceDE w:val="0"/>
        <w:autoSpaceDN w:val="0"/>
        <w:bidi w:val="0"/>
        <w:adjustRightInd w:val="0"/>
        <w:snapToGrid w:val="0"/>
        <w:spacing w:line="500" w:lineRule="exact"/>
        <w:ind w:firstLine="480" w:firstLineChars="200"/>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噪声主要来自风机和泵等设备，</w:t>
      </w:r>
      <w:r>
        <w:rPr>
          <w:rFonts w:hint="eastAsia" w:ascii="Times New Roman" w:hAnsi="Times New Roman" w:eastAsia="宋体" w:cs="Times New Roman"/>
          <w:sz w:val="24"/>
          <w:szCs w:val="22"/>
          <w:lang w:val="en-US" w:eastAsia="zh-CN"/>
        </w:rPr>
        <w:t>设置减振</w:t>
      </w:r>
      <w:r>
        <w:rPr>
          <w:rFonts w:hint="eastAsia" w:ascii="Times New Roman" w:hAnsi="Times New Roman" w:eastAsia="宋体" w:cs="Times New Roman"/>
          <w:sz w:val="24"/>
          <w:szCs w:val="22"/>
        </w:rPr>
        <w:t>、隔声及距离衰减后，项目</w:t>
      </w:r>
      <w:r>
        <w:rPr>
          <w:rFonts w:hint="eastAsia" w:ascii="Times New Roman" w:hAnsi="Times New Roman" w:eastAsia="宋体" w:cs="Times New Roman"/>
          <w:sz w:val="24"/>
          <w:szCs w:val="22"/>
          <w:lang w:eastAsia="zh-CN"/>
        </w:rPr>
        <w:t>厂</w:t>
      </w:r>
      <w:r>
        <w:rPr>
          <w:rFonts w:hint="eastAsia" w:ascii="Times New Roman" w:hAnsi="Times New Roman" w:eastAsia="宋体" w:cs="Times New Roman"/>
          <w:sz w:val="24"/>
          <w:szCs w:val="22"/>
        </w:rPr>
        <w:t>界昼间、夜间厂界噪声</w:t>
      </w:r>
      <w:r>
        <w:rPr>
          <w:rFonts w:hint="eastAsia" w:ascii="Times New Roman" w:hAnsi="Times New Roman" w:eastAsia="宋体" w:cs="Times New Roman"/>
          <w:sz w:val="24"/>
          <w:szCs w:val="22"/>
          <w:lang w:val="en-US" w:eastAsia="zh-CN"/>
        </w:rPr>
        <w:t>满足</w:t>
      </w:r>
      <w:r>
        <w:rPr>
          <w:rFonts w:hint="eastAsia" w:ascii="Times New Roman" w:hAnsi="Times New Roman" w:eastAsia="宋体" w:cs="Times New Roman"/>
          <w:sz w:val="24"/>
          <w:szCs w:val="22"/>
        </w:rPr>
        <w:t>《工业企业厂界环境噪声排放标准》（GB12348-2008）</w:t>
      </w:r>
      <w:r>
        <w:rPr>
          <w:rFonts w:hint="eastAsia" w:ascii="Times New Roman" w:hAnsi="Times New Roman" w:eastAsia="宋体" w:cs="Times New Roman"/>
          <w:sz w:val="24"/>
          <w:szCs w:val="22"/>
          <w:lang w:val="en-US" w:eastAsia="zh-CN"/>
        </w:rPr>
        <w:t>2</w:t>
      </w:r>
      <w:r>
        <w:rPr>
          <w:rFonts w:hint="eastAsia" w:ascii="Times New Roman" w:hAnsi="Times New Roman" w:eastAsia="宋体" w:cs="Times New Roman"/>
          <w:sz w:val="24"/>
          <w:szCs w:val="22"/>
          <w:lang w:eastAsia="zh-CN"/>
        </w:rPr>
        <w:t>类</w:t>
      </w:r>
      <w:r>
        <w:rPr>
          <w:rFonts w:hint="eastAsia" w:ascii="Times New Roman" w:hAnsi="Times New Roman" w:eastAsia="宋体" w:cs="Times New Roman"/>
          <w:sz w:val="24"/>
          <w:szCs w:val="22"/>
        </w:rPr>
        <w:t>排放标准。</w:t>
      </w:r>
    </w:p>
    <w:p w14:paraId="01C2579A">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5</w:t>
      </w:r>
      <w:r>
        <w:rPr>
          <w:rFonts w:hint="default" w:ascii="Times New Roman" w:hAnsi="Times New Roman" w:eastAsia="宋体" w:cs="Times New Roman"/>
          <w:b/>
          <w:bCs/>
          <w:snapToGrid w:val="0"/>
          <w:color w:val="auto"/>
          <w:kern w:val="2"/>
          <w:sz w:val="28"/>
          <w:szCs w:val="28"/>
          <w:lang w:val="en-US" w:eastAsia="zh-CN" w:bidi="ar-SA"/>
        </w:rPr>
        <w:t>环境质量现状评价</w:t>
      </w:r>
      <w:bookmarkEnd w:id="854"/>
      <w:bookmarkEnd w:id="855"/>
      <w:bookmarkEnd w:id="856"/>
    </w:p>
    <w:p w14:paraId="686C21A0">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（1）空气环境质量现状</w:t>
      </w:r>
    </w:p>
    <w:p w14:paraId="71E264E7">
      <w:pPr>
        <w:bidi w:val="0"/>
        <w:spacing w:line="360" w:lineRule="auto"/>
        <w:ind w:firstLine="480" w:firstLineChars="200"/>
        <w:jc w:val="both"/>
        <w:rPr>
          <w:rFonts w:hint="default" w:ascii="Times New Roman" w:hAnsi="Times New Roman" w:eastAsia="宋体" w:cs="Times New Roman"/>
          <w:kern w:val="2"/>
          <w:sz w:val="24"/>
          <w:szCs w:val="24"/>
        </w:rPr>
      </w:pPr>
      <w:r>
        <w:rPr>
          <w:rFonts w:hint="default" w:ascii="Times New Roman" w:hAnsi="Times New Roman" w:eastAsia="宋体" w:cs="Times New Roman"/>
          <w:sz w:val="24"/>
          <w:szCs w:val="24"/>
          <w:lang w:val="en-US" w:eastAsia="zh-CN"/>
        </w:rPr>
        <w:t>项目所在区域20</w:t>
      </w:r>
      <w:r>
        <w:rPr>
          <w:rFonts w:hint="eastAsia" w:ascii="Times New Roman" w:hAnsi="Times New Roman" w:eastAsia="宋体" w:cs="Times New Roman"/>
          <w:sz w:val="24"/>
          <w:szCs w:val="24"/>
          <w:lang w:val="en-US" w:eastAsia="zh-CN"/>
        </w:rPr>
        <w:t>24</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kern w:val="2"/>
          <w:sz w:val="24"/>
          <w:szCs w:val="24"/>
        </w:rPr>
        <w:t>各污染物</w:t>
      </w:r>
      <w:r>
        <w:rPr>
          <w:rFonts w:hint="eastAsia" w:ascii="Times New Roman" w:hAnsi="Times New Roman" w:eastAsia="宋体" w:cs="Times New Roman"/>
          <w:kern w:val="2"/>
          <w:sz w:val="24"/>
          <w:szCs w:val="24"/>
          <w:lang w:val="en-US" w:eastAsia="zh-CN"/>
        </w:rPr>
        <w:t>均未</w:t>
      </w:r>
      <w:r>
        <w:rPr>
          <w:rFonts w:hint="eastAsia" w:ascii="Times New Roman" w:hAnsi="Times New Roman" w:eastAsia="宋体" w:cs="Times New Roman"/>
          <w:kern w:val="2"/>
          <w:sz w:val="24"/>
          <w:szCs w:val="24"/>
          <w:vertAlign w:val="baseline"/>
          <w:lang w:val="en-US" w:eastAsia="zh-CN" w:bidi="ar-SA"/>
        </w:rPr>
        <w:t>超出</w:t>
      </w:r>
      <w:r>
        <w:rPr>
          <w:rFonts w:hint="default" w:ascii="Times New Roman" w:hAnsi="Times New Roman" w:eastAsia="宋体" w:cs="Times New Roman"/>
          <w:kern w:val="2"/>
          <w:sz w:val="24"/>
          <w:szCs w:val="24"/>
        </w:rPr>
        <w:t>《环境空气质量标准》（GB3095-20</w:t>
      </w:r>
      <w:r>
        <w:rPr>
          <w:rFonts w:hint="eastAsia" w:ascii="Times New Roman" w:hAnsi="Times New Roman" w:eastAsia="宋体" w:cs="Times New Roman"/>
          <w:kern w:val="2"/>
          <w:sz w:val="24"/>
          <w:szCs w:val="24"/>
          <w:lang w:val="en-US" w:eastAsia="zh-CN"/>
        </w:rPr>
        <w:t>26</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过渡时期</w:t>
      </w:r>
      <w:r>
        <w:rPr>
          <w:rFonts w:hint="default" w:ascii="Times New Roman" w:hAnsi="Times New Roman" w:eastAsia="宋体" w:cs="Times New Roman"/>
          <w:kern w:val="2"/>
          <w:sz w:val="24"/>
          <w:szCs w:val="24"/>
        </w:rPr>
        <w:t>二级标准限值，项目区为</w:t>
      </w:r>
      <w:r>
        <w:rPr>
          <w:rFonts w:hint="eastAsia" w:ascii="Times New Roman" w:hAnsi="Times New Roman" w:eastAsia="宋体" w:cs="Times New Roman"/>
          <w:kern w:val="2"/>
          <w:sz w:val="24"/>
          <w:szCs w:val="24"/>
          <w:lang w:val="en-US" w:eastAsia="zh-CN"/>
        </w:rPr>
        <w:t>空气质量</w:t>
      </w:r>
      <w:r>
        <w:rPr>
          <w:rFonts w:hint="default" w:ascii="Times New Roman" w:hAnsi="Times New Roman" w:eastAsia="宋体" w:cs="Times New Roman"/>
          <w:kern w:val="2"/>
          <w:sz w:val="24"/>
          <w:szCs w:val="24"/>
        </w:rPr>
        <w:t>达标区。</w:t>
      </w:r>
    </w:p>
    <w:p w14:paraId="77CCF27B">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（2）水环境质量现状</w:t>
      </w:r>
    </w:p>
    <w:p w14:paraId="2734A4E0">
      <w:pPr>
        <w:keepNext w:val="0"/>
        <w:keepLines w:val="0"/>
        <w:pageBreakBefore w:val="0"/>
        <w:kinsoku/>
        <w:wordWrap/>
        <w:overflowPunct w:val="0"/>
        <w:topLinePunct/>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1"/>
        </w:rPr>
      </w:pPr>
      <w:r>
        <w:rPr>
          <w:rFonts w:hint="default" w:ascii="Times New Roman" w:hAnsi="Times New Roman" w:eastAsia="宋体" w:cs="Times New Roman"/>
          <w:caps w:val="0"/>
          <w:color w:val="000000"/>
          <w:spacing w:val="0"/>
          <w:w w:val="100"/>
          <w:kern w:val="0"/>
          <w:position w:val="0"/>
          <w:sz w:val="24"/>
          <w:highlight w:val="none"/>
        </w:rPr>
        <w:t>监测井现状监测结果中各项监测指标均满足《地下水质量标准》（</w:t>
      </w:r>
      <w:r>
        <w:rPr>
          <w:rFonts w:hint="default" w:ascii="Times New Roman" w:hAnsi="Times New Roman" w:eastAsia="Times New Roman" w:cs="Times New Roman"/>
          <w:caps w:val="0"/>
          <w:color w:val="000000"/>
          <w:spacing w:val="0"/>
          <w:w w:val="100"/>
          <w:kern w:val="0"/>
          <w:position w:val="0"/>
          <w:sz w:val="24"/>
          <w:highlight w:val="none"/>
        </w:rPr>
        <w:t>GB/T14848-2017</w:t>
      </w:r>
      <w:r>
        <w:rPr>
          <w:rFonts w:hint="default" w:ascii="Times New Roman" w:hAnsi="Times New Roman" w:eastAsia="宋体" w:cs="Times New Roman"/>
          <w:caps w:val="0"/>
          <w:color w:val="000000"/>
          <w:spacing w:val="0"/>
          <w:w w:val="100"/>
          <w:kern w:val="0"/>
          <w:position w:val="0"/>
          <w:sz w:val="24"/>
          <w:highlight w:val="none"/>
        </w:rPr>
        <w:t>）中</w:t>
      </w:r>
      <w:r>
        <w:rPr>
          <w:rFonts w:hint="default" w:ascii="Times New Roman" w:hAnsi="Times New Roman" w:eastAsia="Times New Roman" w:cs="Times New Roman"/>
          <w:caps w:val="0"/>
          <w:color w:val="000000"/>
          <w:spacing w:val="0"/>
          <w:w w:val="100"/>
          <w:kern w:val="0"/>
          <w:position w:val="0"/>
          <w:sz w:val="24"/>
          <w:highlight w:val="none"/>
        </w:rPr>
        <w:t>Ⅲ</w:t>
      </w:r>
      <w:r>
        <w:rPr>
          <w:rFonts w:hint="default" w:ascii="Times New Roman" w:hAnsi="Times New Roman" w:eastAsia="宋体" w:cs="Times New Roman"/>
          <w:caps w:val="0"/>
          <w:color w:val="000000"/>
          <w:spacing w:val="0"/>
          <w:w w:val="100"/>
          <w:kern w:val="0"/>
          <w:position w:val="0"/>
          <w:sz w:val="24"/>
          <w:highlight w:val="none"/>
        </w:rPr>
        <w:t>类水标准的要求</w:t>
      </w:r>
      <w:r>
        <w:rPr>
          <w:rFonts w:hint="default" w:ascii="Times New Roman" w:hAnsi="Times New Roman" w:eastAsia="宋体" w:cs="Times New Roman"/>
          <w:color w:val="auto"/>
          <w:sz w:val="24"/>
          <w:szCs w:val="21"/>
        </w:rPr>
        <w:t>。</w:t>
      </w:r>
    </w:p>
    <w:p w14:paraId="4E78D197">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（3）声环境质量现状</w:t>
      </w:r>
    </w:p>
    <w:p w14:paraId="4988A5F3">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项目区昼、夜间噪声值均满足《声环境质量标准》（GB3096-2008）中</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类标准，说明，项目区声环境现状质量良好。</w:t>
      </w:r>
    </w:p>
    <w:p w14:paraId="62FEDA85">
      <w:pPr>
        <w:widowControl w:val="0"/>
        <w:numPr>
          <w:ilvl w:val="0"/>
          <w:numId w:val="0"/>
        </w:numPr>
        <w:spacing w:after="120" w:line="360" w:lineRule="auto"/>
        <w:ind w:left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（4）土壤环境质量现状</w:t>
      </w:r>
    </w:p>
    <w:p w14:paraId="051C8C54">
      <w:pPr>
        <w:widowControl w:val="0"/>
        <w:adjustRightInd w:val="0"/>
        <w:spacing w:line="360" w:lineRule="auto"/>
        <w:ind w:firstLine="480" w:firstLineChars="200"/>
        <w:jc w:val="both"/>
        <w:textAlignment w:val="baseline"/>
        <w:rPr>
          <w:rFonts w:hint="eastAsia" w:ascii="宋体" w:hAnsi="Times New Roman" w:eastAsia="宋体" w:cs="Times New Roman"/>
          <w:color w:val="auto"/>
          <w:kern w:val="0"/>
          <w:sz w:val="24"/>
          <w:szCs w:val="20"/>
          <w:lang w:val="en-US" w:eastAsia="zh-CN" w:bidi="ar-SA"/>
        </w:rPr>
      </w:pPr>
      <w:r>
        <w:rPr>
          <w:rFonts w:hint="eastAsia" w:ascii="宋体" w:hAnsi="Times New Roman" w:eastAsia="宋体" w:cs="Times New Roman"/>
          <w:kern w:val="0"/>
          <w:sz w:val="24"/>
          <w:szCs w:val="20"/>
          <w:lang w:val="en-US" w:eastAsia="zh-CN" w:bidi="ar-SA"/>
        </w:rPr>
        <w:t>土壤各项污染物</w:t>
      </w:r>
      <w:r>
        <w:rPr>
          <w:rFonts w:hint="eastAsia" w:ascii="Times New Roman" w:hAnsi="Times New Roman" w:eastAsia="宋体" w:cs="Times New Roman"/>
          <w:kern w:val="0"/>
          <w:sz w:val="24"/>
          <w:szCs w:val="20"/>
          <w:lang w:val="en-US" w:eastAsia="zh-CN" w:bidi="ar-SA"/>
        </w:rPr>
        <w:t>均满足</w:t>
      </w:r>
      <w:r>
        <w:rPr>
          <w:rFonts w:hint="default" w:ascii="Times New Roman" w:hAnsi="Times New Roman" w:eastAsia="宋体" w:cs="Times New Roman"/>
          <w:kern w:val="0"/>
          <w:sz w:val="24"/>
          <w:szCs w:val="20"/>
          <w:lang w:val="en-US" w:eastAsia="zh-CN" w:bidi="ar-SA"/>
        </w:rPr>
        <w:t>《</w:t>
      </w:r>
      <w:r>
        <w:rPr>
          <w:rFonts w:hint="eastAsia" w:ascii="Times New Roman" w:hAnsi="Times New Roman" w:eastAsia="宋体" w:cs="Times New Roman"/>
          <w:kern w:val="0"/>
          <w:sz w:val="24"/>
          <w:szCs w:val="20"/>
          <w:lang w:val="en-US" w:eastAsia="zh-CN" w:bidi="ar-SA"/>
        </w:rPr>
        <w:t>畜禽养殖产地环境评价规范</w:t>
      </w:r>
      <w:r>
        <w:rPr>
          <w:rFonts w:hint="default" w:ascii="Times New Roman" w:hAnsi="Times New Roman" w:eastAsia="宋体" w:cs="Times New Roman"/>
          <w:kern w:val="0"/>
          <w:sz w:val="24"/>
          <w:szCs w:val="20"/>
          <w:lang w:val="en-US" w:eastAsia="zh-CN" w:bidi="ar-SA"/>
        </w:rPr>
        <w:t>》</w:t>
      </w:r>
      <w:r>
        <w:rPr>
          <w:rFonts w:hint="eastAsia" w:ascii="Times New Roman" w:hAnsi="Times New Roman" w:eastAsia="宋体" w:cs="Times New Roman"/>
          <w:kern w:val="0"/>
          <w:sz w:val="24"/>
          <w:szCs w:val="20"/>
          <w:lang w:val="en-US" w:eastAsia="zh-CN" w:bidi="ar-SA"/>
        </w:rPr>
        <w:t>（HJ568-20</w:t>
      </w:r>
      <w:r>
        <w:rPr>
          <w:rFonts w:hint="default" w:ascii="Times New Roman" w:hAnsi="Times New Roman" w:eastAsia="宋体" w:cs="Times New Roman"/>
          <w:kern w:val="0"/>
          <w:sz w:val="24"/>
          <w:szCs w:val="20"/>
          <w:lang w:val="en-US" w:eastAsia="zh-CN" w:bidi="ar-SA"/>
        </w:rPr>
        <w:t>10）中</w:t>
      </w:r>
      <w:r>
        <w:rPr>
          <w:rFonts w:hint="eastAsia" w:ascii="Times New Roman" w:hAnsi="Times New Roman" w:eastAsia="宋体" w:cs="Times New Roman"/>
          <w:kern w:val="0"/>
          <w:sz w:val="24"/>
          <w:szCs w:val="20"/>
          <w:lang w:val="en-US" w:eastAsia="zh-CN" w:bidi="ar-SA"/>
        </w:rPr>
        <w:t>的表4养殖场土壤</w:t>
      </w:r>
      <w:r>
        <w:rPr>
          <w:rFonts w:hint="default" w:ascii="Times New Roman" w:hAnsi="Times New Roman" w:eastAsia="宋体" w:cs="Times New Roman"/>
          <w:kern w:val="0"/>
          <w:sz w:val="24"/>
          <w:szCs w:val="20"/>
          <w:lang w:val="en-US" w:eastAsia="zh-CN" w:bidi="ar-SA"/>
        </w:rPr>
        <w:t>环境质量</w:t>
      </w:r>
      <w:r>
        <w:rPr>
          <w:rFonts w:hint="eastAsia" w:ascii="Times New Roman" w:hAnsi="Times New Roman" w:eastAsia="宋体" w:cs="Times New Roman"/>
          <w:kern w:val="0"/>
          <w:sz w:val="24"/>
          <w:szCs w:val="20"/>
          <w:lang w:val="en-US" w:eastAsia="zh-CN" w:bidi="ar-SA"/>
        </w:rPr>
        <w:t>评价指标</w:t>
      </w:r>
      <w:r>
        <w:rPr>
          <w:rFonts w:hint="default" w:ascii="Times New Roman" w:hAnsi="Times New Roman" w:eastAsia="宋体" w:cs="Times New Roman"/>
          <w:kern w:val="0"/>
          <w:sz w:val="24"/>
          <w:szCs w:val="20"/>
          <w:lang w:val="en-US" w:eastAsia="zh-CN" w:bidi="ar-SA"/>
        </w:rPr>
        <w:t>限值</w:t>
      </w:r>
      <w:r>
        <w:rPr>
          <w:rFonts w:hint="eastAsia" w:ascii="Times New Roman" w:hAnsi="Times New Roman" w:eastAsia="宋体" w:cs="Times New Roman"/>
          <w:kern w:val="0"/>
          <w:sz w:val="24"/>
          <w:szCs w:val="20"/>
          <w:lang w:val="en-US" w:eastAsia="zh-CN" w:bidi="ar-SA"/>
        </w:rPr>
        <w:t>，说明本项目设施</w:t>
      </w:r>
      <w:r>
        <w:rPr>
          <w:rFonts w:hint="default" w:ascii="Times New Roman" w:hAnsi="Times New Roman" w:eastAsia="宋体" w:cs="Times New Roman"/>
          <w:kern w:val="0"/>
          <w:sz w:val="24"/>
          <w:szCs w:val="20"/>
          <w:lang w:val="en-US" w:eastAsia="zh-CN" w:bidi="ar-SA"/>
        </w:rPr>
        <w:t>农</w:t>
      </w:r>
      <w:r>
        <w:rPr>
          <w:rFonts w:hint="eastAsia" w:ascii="Times New Roman" w:hAnsi="Times New Roman" w:eastAsia="宋体" w:cs="Times New Roman"/>
          <w:kern w:val="0"/>
          <w:sz w:val="24"/>
          <w:szCs w:val="20"/>
          <w:lang w:val="en-US" w:eastAsia="zh-CN" w:bidi="ar-SA"/>
        </w:rPr>
        <w:t>用地土壤污染风险一般情况下可以忽略，项目区土壤环境质量良好。</w:t>
      </w:r>
    </w:p>
    <w:p w14:paraId="48D353CE">
      <w:pPr>
        <w:bidi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评价范围内环境的功能具有一定的稳定性及可持续发展性，具有一定的承受干扰的能力及生态完整性。</w:t>
      </w:r>
    </w:p>
    <w:p w14:paraId="01F262B5">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bookmarkStart w:id="857" w:name="_Toc229909622"/>
      <w:bookmarkStart w:id="858" w:name="_Toc9940"/>
      <w:bookmarkStart w:id="859" w:name="_Toc9062"/>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6</w:t>
      </w:r>
      <w:r>
        <w:rPr>
          <w:rFonts w:hint="default" w:ascii="Times New Roman" w:hAnsi="Times New Roman" w:eastAsia="宋体" w:cs="Times New Roman"/>
          <w:b/>
          <w:bCs/>
          <w:snapToGrid w:val="0"/>
          <w:color w:val="auto"/>
          <w:kern w:val="2"/>
          <w:sz w:val="28"/>
          <w:szCs w:val="28"/>
          <w:lang w:val="en-US" w:eastAsia="zh-CN" w:bidi="ar-SA"/>
        </w:rPr>
        <w:t>环境影响</w:t>
      </w:r>
      <w:bookmarkEnd w:id="857"/>
      <w:r>
        <w:rPr>
          <w:rFonts w:hint="eastAsia" w:ascii="Times New Roman" w:hAnsi="Times New Roman" w:eastAsia="宋体" w:cs="Times New Roman"/>
          <w:b/>
          <w:bCs/>
          <w:snapToGrid w:val="0"/>
          <w:color w:val="auto"/>
          <w:kern w:val="2"/>
          <w:sz w:val="28"/>
          <w:szCs w:val="28"/>
          <w:lang w:val="en-US" w:eastAsia="zh-CN" w:bidi="ar-SA"/>
        </w:rPr>
        <w:t>评价</w:t>
      </w:r>
      <w:r>
        <w:rPr>
          <w:rFonts w:hint="default" w:ascii="Times New Roman" w:hAnsi="Times New Roman" w:eastAsia="宋体" w:cs="Times New Roman"/>
          <w:b/>
          <w:bCs/>
          <w:snapToGrid w:val="0"/>
          <w:color w:val="auto"/>
          <w:kern w:val="2"/>
          <w:sz w:val="28"/>
          <w:szCs w:val="28"/>
          <w:lang w:val="en-US" w:eastAsia="zh-CN" w:bidi="ar-SA"/>
        </w:rPr>
        <w:t>结论</w:t>
      </w:r>
      <w:bookmarkEnd w:id="858"/>
      <w:bookmarkEnd w:id="859"/>
    </w:p>
    <w:p w14:paraId="35CC0D99">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（1）施工期环境影响评价</w:t>
      </w:r>
    </w:p>
    <w:p w14:paraId="5754229F">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本项目施工内容主要为构筑物建设、配套工程及设备安装等，施工期间主要是噪声和扬尘对环境的影响，而这样的影响是短暂和间歇的，且周围环境简单，在采取一定的措施后，其对环境的影响会降至</w:t>
      </w:r>
      <w:r>
        <w:rPr>
          <w:rFonts w:hint="eastAsia" w:ascii="Times New Roman" w:hAnsi="Times New Roman" w:eastAsia="宋体" w:cs="Times New Roman"/>
          <w:color w:val="auto"/>
          <w:sz w:val="24"/>
          <w:lang w:eastAsia="zh-CN"/>
        </w:rPr>
        <w:t>最低</w:t>
      </w:r>
      <w:r>
        <w:rPr>
          <w:rFonts w:hint="default" w:ascii="Times New Roman" w:hAnsi="Times New Roman" w:eastAsia="宋体" w:cs="Times New Roman"/>
          <w:color w:val="auto"/>
          <w:sz w:val="24"/>
        </w:rPr>
        <w:t>程度。</w:t>
      </w:r>
    </w:p>
    <w:p w14:paraId="5CF6E5F6">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ascii="Times New Roman" w:hAnsi="Times New Roman" w:eastAsia="宋体" w:cs="Times New Roman"/>
          <w:color w:val="auto"/>
          <w:sz w:val="24"/>
          <w:lang w:val="en-US" w:eastAsia="zh-CN"/>
        </w:rPr>
        <w:t>运营</w:t>
      </w:r>
      <w:r>
        <w:rPr>
          <w:rFonts w:hint="default" w:ascii="Times New Roman" w:hAnsi="Times New Roman" w:eastAsia="宋体" w:cs="Times New Roman"/>
          <w:color w:val="auto"/>
          <w:sz w:val="24"/>
        </w:rPr>
        <w:t>期环境影响评价</w:t>
      </w:r>
    </w:p>
    <w:p w14:paraId="1D89C39B">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①大气环境影响评价</w:t>
      </w:r>
    </w:p>
    <w:p w14:paraId="5B9D3BB7">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从估算结果可以看出，项目正常工况下排放的废气对区域大气环境贡献值很小，对厂址附近大气环境空气敏感点影响较小。非正常工况下排放的废气对区域大气环境贡献值明显增加，因此要加强管理和设备，</w:t>
      </w:r>
      <w:r>
        <w:rPr>
          <w:rFonts w:hint="eastAsia" w:ascii="Times New Roman" w:hAnsi="Times New Roman" w:eastAsia="宋体" w:cs="Times New Roman"/>
          <w:color w:val="000000"/>
          <w:sz w:val="24"/>
          <w:lang w:val="en-US" w:eastAsia="zh-CN"/>
        </w:rPr>
        <w:t>减少</w:t>
      </w:r>
      <w:r>
        <w:rPr>
          <w:rFonts w:hint="default" w:ascii="Times New Roman" w:hAnsi="Times New Roman" w:eastAsia="宋体" w:cs="Times New Roman"/>
          <w:color w:val="000000"/>
          <w:sz w:val="24"/>
        </w:rPr>
        <w:t>非正常工况的产生。</w:t>
      </w:r>
    </w:p>
    <w:p w14:paraId="14A156DD">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②水环境影响评价</w:t>
      </w:r>
    </w:p>
    <w:p w14:paraId="683EBDA1">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本工程</w:t>
      </w:r>
      <w:r>
        <w:rPr>
          <w:rFonts w:hint="eastAsia" w:ascii="Times New Roman" w:hAnsi="Times New Roman" w:eastAsia="宋体" w:cs="Times New Roman"/>
          <w:color w:val="auto"/>
          <w:sz w:val="24"/>
          <w:lang w:val="en-US" w:eastAsia="zh-CN"/>
        </w:rPr>
        <w:t>废水</w:t>
      </w:r>
      <w:r>
        <w:rPr>
          <w:rFonts w:hint="default" w:ascii="Times New Roman" w:hAnsi="Times New Roman" w:eastAsia="宋体" w:cs="Times New Roman"/>
          <w:color w:val="auto"/>
          <w:sz w:val="24"/>
        </w:rPr>
        <w:t>主要为员工生活污水。</w:t>
      </w:r>
      <w:r>
        <w:rPr>
          <w:rFonts w:hint="eastAsia" w:ascii="Times New Roman" w:hAnsi="Times New Roman" w:eastAsia="宋体" w:cs="Times New Roman"/>
          <w:color w:val="auto"/>
          <w:sz w:val="24"/>
          <w:lang w:val="en-US" w:eastAsia="zh-CN"/>
        </w:rPr>
        <w:t>生活污水经20</w:t>
      </w:r>
      <w:r>
        <w:rPr>
          <w:rFonts w:hint="eastAsia" w:ascii="Times New Roman" w:hAnsi="Times New Roman" w:eastAsia="宋体" w:cs="Times New Roman"/>
          <w:color w:val="000000"/>
          <w:sz w:val="24"/>
          <w:szCs w:val="22"/>
          <w:lang w:val="en-US" w:eastAsia="zh-CN"/>
        </w:rPr>
        <w:t>m</w:t>
      </w:r>
      <w:r>
        <w:rPr>
          <w:rFonts w:hint="eastAsia" w:ascii="Times New Roman" w:hAnsi="Times New Roman" w:eastAsia="宋体" w:cs="Times New Roman"/>
          <w:color w:val="000000"/>
          <w:sz w:val="24"/>
          <w:szCs w:val="22"/>
          <w:vertAlign w:val="superscript"/>
          <w:lang w:val="en-US" w:eastAsia="zh-CN"/>
        </w:rPr>
        <w:t>3</w:t>
      </w:r>
      <w:r>
        <w:rPr>
          <w:rFonts w:hint="eastAsia" w:ascii="Times New Roman" w:hAnsi="Times New Roman" w:eastAsia="宋体" w:cs="Times New Roman"/>
          <w:color w:val="000000"/>
          <w:sz w:val="24"/>
          <w:szCs w:val="22"/>
          <w:lang w:eastAsia="zh-CN"/>
        </w:rPr>
        <w:t>化粪池收集后，</w:t>
      </w:r>
      <w:r>
        <w:rPr>
          <w:rFonts w:hint="eastAsia" w:ascii="Times New Roman" w:hAnsi="Times New Roman" w:eastAsia="宋体" w:cs="Times New Roman"/>
          <w:color w:val="000000"/>
          <w:sz w:val="24"/>
          <w:szCs w:val="22"/>
          <w:lang w:val="en-US" w:eastAsia="zh-CN"/>
        </w:rPr>
        <w:t>定期拉运至污水处理厂处置</w:t>
      </w:r>
      <w:r>
        <w:rPr>
          <w:rFonts w:hint="eastAsia" w:ascii="Times New Roman" w:hAnsi="Times New Roman" w:eastAsia="宋体" w:cs="Times New Roman"/>
          <w:color w:val="auto"/>
          <w:sz w:val="24"/>
        </w:rPr>
        <w:t>。</w:t>
      </w:r>
    </w:p>
    <w:p w14:paraId="18844151">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③噪声影响分析</w:t>
      </w:r>
    </w:p>
    <w:p w14:paraId="067D6A7E">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经预测厂界噪声可以满足《工业企业厂界环境噪声排放标准》（GB12348-2008）中2类标准的要求。因此，本项目噪声对周围环境几乎不会产生影响。</w:t>
      </w:r>
    </w:p>
    <w:p w14:paraId="3253F36B">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④固体废物</w:t>
      </w:r>
    </w:p>
    <w:p w14:paraId="2234EB81">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全厂固体废物处置措施可行，处置方向明确，固体废物不会对外环境造成影响。</w:t>
      </w:r>
    </w:p>
    <w:p w14:paraId="49B2B587">
      <w:pPr>
        <w:keepNext w:val="0"/>
        <w:keepLines w:val="0"/>
        <w:widowControl w:val="0"/>
        <w:spacing w:before="0" w:after="0" w:line="500" w:lineRule="exact"/>
        <w:jc w:val="both"/>
        <w:outlineLvl w:val="2"/>
        <w:rPr>
          <w:rFonts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2"/>
          <w:sz w:val="28"/>
          <w:szCs w:val="28"/>
          <w:lang w:val="en-US" w:eastAsia="zh-CN" w:bidi="ar-SA"/>
        </w:rPr>
        <w:t>10</w:t>
      </w:r>
      <w:r>
        <w:rPr>
          <w:rFonts w:ascii="Times New Roman" w:hAnsi="Times New Roman" w:eastAsia="宋体" w:cs="Times New Roman"/>
          <w:b/>
          <w:bCs/>
          <w:color w:val="000000"/>
          <w:kern w:val="2"/>
          <w:sz w:val="28"/>
          <w:szCs w:val="28"/>
          <w:lang w:val="en-US" w:eastAsia="zh-CN" w:bidi="ar-SA"/>
        </w:rPr>
        <w:t>.1.</w:t>
      </w:r>
      <w:r>
        <w:rPr>
          <w:rFonts w:hint="eastAsia" w:ascii="Times New Roman" w:hAnsi="Times New Roman" w:eastAsia="宋体" w:cs="Times New Roman"/>
          <w:b/>
          <w:bCs/>
          <w:color w:val="000000"/>
          <w:kern w:val="2"/>
          <w:sz w:val="28"/>
          <w:szCs w:val="28"/>
          <w:lang w:val="en-US" w:eastAsia="zh-CN" w:bidi="ar-SA"/>
        </w:rPr>
        <w:t>7</w:t>
      </w:r>
      <w:r>
        <w:rPr>
          <w:rFonts w:ascii="Times New Roman" w:hAnsi="Times New Roman" w:eastAsia="宋体" w:cs="Times New Roman"/>
          <w:b/>
          <w:bCs/>
          <w:color w:val="000000"/>
          <w:kern w:val="2"/>
          <w:sz w:val="28"/>
          <w:szCs w:val="28"/>
          <w:lang w:val="en-US" w:eastAsia="zh-CN" w:bidi="ar-SA"/>
        </w:rPr>
        <w:t>环保措施结论</w:t>
      </w:r>
    </w:p>
    <w:p w14:paraId="0D57DA2B">
      <w:pPr>
        <w:widowControl w:val="0"/>
        <w:spacing w:line="500" w:lineRule="exact"/>
        <w:ind w:firstLine="480" w:firstLineChars="200"/>
        <w:jc w:val="both"/>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本项目</w:t>
      </w:r>
      <w:r>
        <w:rPr>
          <w:rFonts w:ascii="Times New Roman" w:hAnsi="Times New Roman" w:eastAsia="宋体" w:cs="Times New Roman"/>
          <w:color w:val="000000"/>
          <w:kern w:val="2"/>
          <w:sz w:val="24"/>
          <w:szCs w:val="24"/>
          <w:lang w:val="en-US" w:eastAsia="zh-CN" w:bidi="ar-SA"/>
        </w:rPr>
        <w:t>在污染防治措施上加强了污染物全过程控制。为了进一步减少污染，使经济发展与环境保护协调发展，本环评借鉴国内外生产加工行业的先进技术，提出了污染物防治措施，使工程的建设</w:t>
      </w:r>
      <w:r>
        <w:rPr>
          <w:rFonts w:hint="eastAsia" w:ascii="宋体" w:hAnsi="宋体" w:eastAsia="宋体" w:cs="宋体"/>
          <w:color w:val="000000"/>
          <w:kern w:val="2"/>
          <w:sz w:val="24"/>
          <w:szCs w:val="24"/>
          <w:lang w:val="en-US" w:eastAsia="zh-CN" w:bidi="ar-SA"/>
        </w:rPr>
        <w:t>充分体现了</w:t>
      </w:r>
      <w:r>
        <w:rPr>
          <w:rFonts w:hint="eastAsia" w:ascii="宋体"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达标排放</w:t>
      </w:r>
      <w:r>
        <w:rPr>
          <w:rFonts w:hint="eastAsia" w:ascii="宋体"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总量控制</w:t>
      </w:r>
      <w:r>
        <w:rPr>
          <w:rFonts w:hint="eastAsia" w:ascii="宋体" w:hAnsi="宋体" w:cs="宋体"/>
          <w:color w:val="000000"/>
          <w:kern w:val="2"/>
          <w:sz w:val="24"/>
          <w:szCs w:val="24"/>
          <w:lang w:val="en-US" w:eastAsia="zh-CN" w:bidi="ar-SA"/>
        </w:rPr>
        <w:t>”</w:t>
      </w:r>
      <w:r>
        <w:rPr>
          <w:rFonts w:ascii="Times New Roman" w:hAnsi="Times New Roman" w:eastAsia="宋体" w:cs="Times New Roman"/>
          <w:color w:val="000000"/>
          <w:kern w:val="2"/>
          <w:sz w:val="24"/>
          <w:szCs w:val="24"/>
          <w:lang w:val="en-US" w:eastAsia="zh-CN" w:bidi="ar-SA"/>
        </w:rPr>
        <w:t>的原则。同时要求建设方必须与生产装置同时设计、同时施工建设、同时投产使用。</w:t>
      </w:r>
    </w:p>
    <w:p w14:paraId="5AEBC249">
      <w:pPr>
        <w:keepNext w:val="0"/>
        <w:keepLines w:val="0"/>
        <w:pageBreakBefore w:val="0"/>
        <w:kinsoku/>
        <w:wordWrap/>
        <w:autoSpaceDE/>
        <w:autoSpaceDN/>
        <w:bidi w:val="0"/>
        <w:adjustRightInd/>
        <w:snapToGrid/>
        <w:spacing w:line="360" w:lineRule="auto"/>
        <w:ind w:firstLine="480" w:firstLineChars="200"/>
        <w:textAlignment w:val="auto"/>
        <w:rPr>
          <w:rFonts w:ascii="Times New Roman" w:hAnsi="Times New Roman" w:eastAsia="楷体" w:cs="Times New Roman"/>
          <w:color w:val="000000"/>
          <w:sz w:val="24"/>
          <w:szCs w:val="24"/>
          <w:highlight w:val="none"/>
        </w:rPr>
      </w:pPr>
      <w:r>
        <w:rPr>
          <w:rFonts w:ascii="Times New Roman" w:hAnsi="Times New Roman" w:eastAsia="宋体" w:cs="Times New Roman"/>
          <w:color w:val="000000"/>
          <w:sz w:val="24"/>
          <w:szCs w:val="24"/>
          <w:highlight w:val="none"/>
          <w:lang w:bidi="en-US"/>
        </w:rPr>
        <w:t>本项</w:t>
      </w:r>
      <w:r>
        <w:rPr>
          <w:rFonts w:hint="default" w:ascii="Times New Roman" w:hAnsi="Times New Roman" w:eastAsia="宋体" w:cs="Times New Roman"/>
          <w:color w:val="000000"/>
          <w:sz w:val="24"/>
          <w:szCs w:val="24"/>
          <w:highlight w:val="none"/>
          <w:lang w:bidi="en-US"/>
        </w:rPr>
        <w:t>目</w:t>
      </w:r>
      <w:r>
        <w:rPr>
          <w:rFonts w:hint="eastAsia" w:ascii="Times New Roman" w:hAnsi="Times New Roman" w:eastAsia="宋体" w:cs="Times New Roman"/>
          <w:color w:val="000000"/>
          <w:sz w:val="24"/>
          <w:szCs w:val="24"/>
          <w:highlight w:val="none"/>
          <w:lang w:val="en-US" w:eastAsia="zh-CN" w:bidi="en-US"/>
        </w:rPr>
        <w:t>无组织</w:t>
      </w:r>
      <w:r>
        <w:rPr>
          <w:rFonts w:hint="eastAsia" w:ascii="Times New Roman" w:hAnsi="Times New Roman" w:eastAsia="宋体" w:cs="Times New Roman"/>
          <w:color w:val="000000"/>
          <w:sz w:val="24"/>
          <w:szCs w:val="24"/>
          <w:highlight w:val="none"/>
          <w:lang w:eastAsia="zh-CN" w:bidi="en-US"/>
        </w:rPr>
        <w:t>恶臭气体满足</w:t>
      </w:r>
      <w:r>
        <w:rPr>
          <w:rFonts w:hint="default" w:ascii="Times New Roman" w:hAnsi="Times New Roman" w:eastAsia="宋体" w:cs="Times New Roman"/>
          <w:color w:val="000000"/>
          <w:sz w:val="24"/>
          <w:szCs w:val="24"/>
          <w:highlight w:val="none"/>
          <w:lang w:bidi="en-US"/>
        </w:rPr>
        <w:t>《恶臭污染物排放标准》（GB14554-93）二级新扩改建项目浓度限值</w:t>
      </w:r>
      <w:r>
        <w:rPr>
          <w:rFonts w:hint="eastAsia" w:ascii="Times New Roman" w:hAnsi="Times New Roman" w:eastAsia="宋体" w:cs="Times New Roman"/>
          <w:color w:val="000000"/>
          <w:sz w:val="24"/>
          <w:szCs w:val="24"/>
          <w:highlight w:val="none"/>
          <w:lang w:eastAsia="zh-CN" w:bidi="en-US"/>
        </w:rPr>
        <w:t>，</w:t>
      </w:r>
      <w:r>
        <w:rPr>
          <w:rFonts w:hint="eastAsia" w:ascii="Times New Roman" w:hAnsi="Times New Roman" w:eastAsia="宋体" w:cs="Times New Roman"/>
          <w:color w:val="000000"/>
          <w:sz w:val="24"/>
          <w:szCs w:val="24"/>
          <w:highlight w:val="none"/>
          <w:lang w:val="en-US" w:eastAsia="zh-CN" w:bidi="en-US"/>
        </w:rPr>
        <w:t>臭气浓度满足</w:t>
      </w:r>
      <w:r>
        <w:rPr>
          <w:rFonts w:hint="default" w:ascii="Times New Roman" w:hAnsi="Times New Roman" w:eastAsia="宋体" w:cs="Times New Roman"/>
          <w:sz w:val="24"/>
          <w:szCs w:val="24"/>
          <w:lang w:eastAsia="zh-CN"/>
        </w:rPr>
        <w:t>《畜禽养殖业污染物排放标准》（GB18596-2001）</w:t>
      </w:r>
      <w:r>
        <w:rPr>
          <w:rFonts w:hint="eastAsia" w:ascii="Times New Roman" w:hAnsi="Times New Roman" w:eastAsia="宋体" w:cs="Times New Roman"/>
          <w:sz w:val="24"/>
          <w:szCs w:val="24"/>
          <w:lang w:val="en-US" w:eastAsia="zh-CN"/>
        </w:rPr>
        <w:t>限值。有组织、无组织颗粒物均满足《大气污染物综合排放标准》（GB16297-1996）表2 新污染源大气污染物排放限值</w:t>
      </w:r>
      <w:r>
        <w:rPr>
          <w:rFonts w:ascii="Times New Roman" w:hAnsi="Times New Roman" w:eastAsia="宋体" w:cs="Times New Roman"/>
          <w:color w:val="000000"/>
          <w:sz w:val="24"/>
          <w:szCs w:val="24"/>
          <w:highlight w:val="none"/>
        </w:rPr>
        <w:t>。本项目</w:t>
      </w:r>
      <w:r>
        <w:rPr>
          <w:rFonts w:hint="eastAsia" w:ascii="Times New Roman" w:hAnsi="Times New Roman" w:eastAsia="宋体" w:cs="Times New Roman"/>
          <w:color w:val="000000"/>
          <w:sz w:val="24"/>
          <w:szCs w:val="24"/>
          <w:highlight w:val="none"/>
          <w:lang w:val="en-US" w:eastAsia="zh-CN"/>
        </w:rPr>
        <w:t>生活污水定期拉运至污水处理厂处置</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牛粪及发酵垫料</w:t>
      </w:r>
      <w:r>
        <w:rPr>
          <w:rFonts w:hint="eastAsia" w:ascii="Times New Roman" w:hAnsi="Times New Roman" w:eastAsia="宋体" w:cs="Times New Roman"/>
          <w:color w:val="auto"/>
          <w:sz w:val="24"/>
        </w:rPr>
        <w:t>用于</w:t>
      </w:r>
      <w:r>
        <w:rPr>
          <w:rFonts w:hint="eastAsia" w:ascii="Times New Roman" w:hAnsi="Times New Roman" w:eastAsia="宋体" w:cs="Times New Roman"/>
          <w:color w:val="auto"/>
          <w:sz w:val="24"/>
          <w:lang w:eastAsia="zh-CN"/>
        </w:rPr>
        <w:t>本项目</w:t>
      </w:r>
      <w:r>
        <w:rPr>
          <w:rFonts w:hint="eastAsia" w:ascii="Times New Roman" w:hAnsi="Times New Roman" w:eastAsia="宋体" w:cs="Times New Roman"/>
          <w:color w:val="auto"/>
          <w:sz w:val="24"/>
          <w:lang w:val="en-US" w:eastAsia="zh-CN"/>
        </w:rPr>
        <w:t>周边农田</w:t>
      </w:r>
      <w:r>
        <w:rPr>
          <w:rFonts w:hint="eastAsia" w:ascii="Times New Roman" w:hAnsi="Times New Roman" w:eastAsia="宋体" w:cs="Times New Roman"/>
          <w:color w:val="auto"/>
          <w:sz w:val="24"/>
        </w:rPr>
        <w:t>，可以实现废物综合利用</w:t>
      </w:r>
      <w:r>
        <w:rPr>
          <w:rFonts w:hint="eastAsia" w:ascii="Times New Roman" w:hAnsi="Times New Roman" w:eastAsia="宋体" w:cs="Times New Roman"/>
          <w:color w:val="000000"/>
          <w:sz w:val="24"/>
          <w:szCs w:val="24"/>
          <w:highlight w:val="none"/>
          <w:lang w:eastAsia="zh-CN"/>
        </w:rPr>
        <w:t>，不外排</w:t>
      </w:r>
      <w:r>
        <w:rPr>
          <w:rFonts w:ascii="Times New Roman" w:hAnsi="Times New Roman" w:eastAsia="宋体" w:cs="Times New Roman"/>
          <w:color w:val="000000"/>
          <w:sz w:val="24"/>
          <w:szCs w:val="24"/>
          <w:highlight w:val="none"/>
        </w:rPr>
        <w:t>。固废得到合理处置。</w:t>
      </w:r>
    </w:p>
    <w:p w14:paraId="74848990">
      <w:pPr>
        <w:widowControl w:val="0"/>
        <w:spacing w:line="500" w:lineRule="exact"/>
        <w:ind w:firstLine="480" w:firstLineChars="200"/>
        <w:jc w:val="both"/>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本项目</w:t>
      </w:r>
      <w:r>
        <w:rPr>
          <w:rFonts w:ascii="Times New Roman" w:hAnsi="Times New Roman" w:eastAsia="宋体" w:cs="Times New Roman"/>
          <w:color w:val="000000"/>
          <w:kern w:val="2"/>
          <w:sz w:val="24"/>
          <w:szCs w:val="24"/>
          <w:lang w:val="en-US" w:eastAsia="zh-CN" w:bidi="ar-SA"/>
        </w:rPr>
        <w:t>所产生的</w:t>
      </w:r>
      <w:r>
        <w:rPr>
          <w:rFonts w:hint="eastAsia" w:cs="Times New Roman"/>
          <w:color w:val="000000"/>
          <w:kern w:val="2"/>
          <w:sz w:val="24"/>
          <w:szCs w:val="24"/>
          <w:lang w:val="en-US" w:eastAsia="zh-CN" w:bidi="ar-SA"/>
        </w:rPr>
        <w:t>“</w:t>
      </w:r>
      <w:r>
        <w:rPr>
          <w:rFonts w:ascii="Times New Roman" w:hAnsi="Times New Roman" w:eastAsia="宋体" w:cs="Times New Roman"/>
          <w:color w:val="000000"/>
          <w:kern w:val="2"/>
          <w:sz w:val="24"/>
          <w:szCs w:val="24"/>
          <w:lang w:val="en-US" w:eastAsia="zh-CN" w:bidi="ar-SA"/>
        </w:rPr>
        <w:t>三废</w:t>
      </w:r>
      <w:r>
        <w:rPr>
          <w:rFonts w:hint="eastAsia" w:cs="Times New Roman"/>
          <w:color w:val="000000"/>
          <w:kern w:val="2"/>
          <w:sz w:val="24"/>
          <w:szCs w:val="24"/>
          <w:lang w:val="en-US" w:eastAsia="zh-CN" w:bidi="ar-SA"/>
        </w:rPr>
        <w:t>”</w:t>
      </w:r>
      <w:r>
        <w:rPr>
          <w:rFonts w:ascii="Times New Roman" w:hAnsi="Times New Roman" w:eastAsia="宋体" w:cs="Times New Roman"/>
          <w:color w:val="000000"/>
          <w:kern w:val="2"/>
          <w:sz w:val="24"/>
          <w:szCs w:val="24"/>
          <w:lang w:val="en-US" w:eastAsia="zh-CN" w:bidi="ar-SA"/>
        </w:rPr>
        <w:t>，在落实本报告中提出的各项防治措施的情况下，不会对周围环境产生明显影响。</w:t>
      </w:r>
    </w:p>
    <w:p w14:paraId="7881DCF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rPr>
      </w:pPr>
      <w:r>
        <w:rPr>
          <w:rFonts w:hint="eastAsia" w:ascii="Times New Roman" w:hAnsi="Times New Roman" w:eastAsia="宋体" w:cs="Times New Roman"/>
          <w:snapToGrid w:val="0"/>
          <w:color w:val="auto"/>
          <w:kern w:val="2"/>
          <w:sz w:val="24"/>
          <w:szCs w:val="24"/>
          <w:highlight w:val="none"/>
          <w:lang w:val="en-US" w:eastAsia="zh-CN" w:bidi="ar-SA"/>
        </w:rPr>
        <w:t>本项目投资655.8万元，</w:t>
      </w:r>
      <w:r>
        <w:rPr>
          <w:rFonts w:hint="default" w:ascii="Times New Roman" w:hAnsi="Times New Roman" w:eastAsia="宋体" w:cs="Times New Roman"/>
          <w:sz w:val="24"/>
        </w:rPr>
        <w:t>环境保护投资为</w:t>
      </w:r>
      <w:r>
        <w:rPr>
          <w:rFonts w:hint="eastAsia" w:ascii="Times New Roman" w:hAnsi="Times New Roman" w:eastAsia="宋体" w:cs="Times New Roman"/>
          <w:sz w:val="24"/>
          <w:lang w:val="en-US" w:eastAsia="zh-CN"/>
        </w:rPr>
        <w:t>119</w:t>
      </w:r>
      <w:r>
        <w:rPr>
          <w:rFonts w:hint="default" w:ascii="Times New Roman" w:hAnsi="Times New Roman" w:eastAsia="宋体" w:cs="Times New Roman"/>
          <w:sz w:val="24"/>
        </w:rPr>
        <w:t>万元，占</w:t>
      </w:r>
      <w:r>
        <w:rPr>
          <w:rFonts w:hint="eastAsia" w:ascii="Times New Roman" w:hAnsi="Times New Roman" w:eastAsia="宋体" w:cs="Times New Roman"/>
          <w:sz w:val="24"/>
          <w:lang w:val="en-US" w:eastAsia="zh-CN"/>
        </w:rPr>
        <w:t>本次项目</w:t>
      </w:r>
      <w:r>
        <w:rPr>
          <w:rFonts w:hint="default" w:ascii="Times New Roman" w:hAnsi="Times New Roman" w:eastAsia="宋体" w:cs="Times New Roman"/>
          <w:sz w:val="24"/>
        </w:rPr>
        <w:t>总投资的</w:t>
      </w:r>
      <w:r>
        <w:rPr>
          <w:rFonts w:hint="eastAsia" w:ascii="Times New Roman" w:hAnsi="Times New Roman" w:eastAsia="宋体" w:cs="Times New Roman"/>
          <w:sz w:val="24"/>
          <w:lang w:val="en-US" w:eastAsia="zh-CN"/>
        </w:rPr>
        <w:t>18.15</w:t>
      </w:r>
      <w:r>
        <w:rPr>
          <w:rFonts w:hint="default" w:ascii="Times New Roman" w:hAnsi="Times New Roman" w:eastAsia="宋体" w:cs="Times New Roman"/>
          <w:sz w:val="24"/>
        </w:rPr>
        <w:t>%。</w:t>
      </w:r>
    </w:p>
    <w:p w14:paraId="5943B242">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bookmarkStart w:id="860" w:name="_Toc26867"/>
      <w:bookmarkStart w:id="861" w:name="_Toc5310"/>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7</w:t>
      </w:r>
      <w:r>
        <w:rPr>
          <w:rFonts w:hint="default" w:ascii="Times New Roman" w:hAnsi="Times New Roman" w:eastAsia="宋体" w:cs="Times New Roman"/>
          <w:b/>
          <w:bCs/>
          <w:snapToGrid w:val="0"/>
          <w:color w:val="auto"/>
          <w:kern w:val="2"/>
          <w:sz w:val="28"/>
          <w:szCs w:val="28"/>
          <w:lang w:val="en-US" w:eastAsia="zh-CN" w:bidi="ar-SA"/>
        </w:rPr>
        <w:t>环境风险评价</w:t>
      </w:r>
      <w:bookmarkEnd w:id="860"/>
      <w:bookmarkEnd w:id="861"/>
    </w:p>
    <w:p w14:paraId="22BDFC1E">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在工程设计上对场区的风险防范考虑较周全，具有较好的针对性和可操作性，只要在建设施工和运营过程中切实落实和严格执行各项风险防范措施，加强工作人员培训提高操作人员的素质，增加风险应急处理能力，能够将工程的环境风险</w:t>
      </w:r>
      <w:r>
        <w:rPr>
          <w:rFonts w:hint="eastAsia" w:ascii="Times New Roman" w:hAnsi="Times New Roman" w:eastAsia="宋体" w:cs="Times New Roman"/>
          <w:color w:val="auto"/>
          <w:sz w:val="24"/>
          <w:lang w:eastAsia="zh-CN"/>
        </w:rPr>
        <w:t>降低</w:t>
      </w:r>
      <w:r>
        <w:rPr>
          <w:rFonts w:hint="default" w:ascii="Times New Roman" w:hAnsi="Times New Roman" w:eastAsia="宋体" w:cs="Times New Roman"/>
          <w:color w:val="auto"/>
          <w:sz w:val="24"/>
        </w:rPr>
        <w:t>到最低程度。</w:t>
      </w:r>
    </w:p>
    <w:p w14:paraId="2A9AC168">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bookmarkStart w:id="862" w:name="_Toc20829"/>
      <w:bookmarkStart w:id="863" w:name="_Toc21969"/>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8</w:t>
      </w:r>
      <w:r>
        <w:rPr>
          <w:rFonts w:hint="default" w:ascii="Times New Roman" w:hAnsi="Times New Roman" w:eastAsia="宋体" w:cs="Times New Roman"/>
          <w:b/>
          <w:bCs/>
          <w:snapToGrid w:val="0"/>
          <w:color w:val="auto"/>
          <w:kern w:val="2"/>
          <w:sz w:val="28"/>
          <w:szCs w:val="28"/>
          <w:lang w:val="en-US" w:eastAsia="zh-CN" w:bidi="ar-SA"/>
        </w:rPr>
        <w:t>清洁生产与循环经济</w:t>
      </w:r>
      <w:bookmarkEnd w:id="862"/>
      <w:bookmarkEnd w:id="863"/>
    </w:p>
    <w:p w14:paraId="4FCB0642">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本工程采用选用先进的生产设备，有效地整合既有资源，注重实效，建设高标准、</w:t>
      </w:r>
      <w:r>
        <w:rPr>
          <w:rFonts w:hint="eastAsia" w:ascii="Times New Roman" w:hAnsi="Times New Roman" w:eastAsia="宋体" w:cs="Times New Roman"/>
          <w:color w:val="auto"/>
          <w:sz w:val="24"/>
          <w:lang w:val="en-US" w:eastAsia="zh-CN"/>
        </w:rPr>
        <w:t>规模化肉牛养殖基地</w:t>
      </w:r>
      <w:r>
        <w:rPr>
          <w:rFonts w:hint="default" w:ascii="Times New Roman" w:hAnsi="Times New Roman" w:eastAsia="宋体" w:cs="Times New Roman"/>
          <w:color w:val="auto"/>
          <w:sz w:val="24"/>
        </w:rPr>
        <w:t>。在满足生产工艺流程及卫生防疫要求的同时，做到了合理用地，保护环境，安全生产，粪污综合利用。</w:t>
      </w:r>
    </w:p>
    <w:p w14:paraId="1DF80E3B">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本项目为</w:t>
      </w:r>
      <w:r>
        <w:rPr>
          <w:rFonts w:hint="eastAsia" w:ascii="Times New Roman" w:hAnsi="Times New Roman" w:eastAsia="宋体" w:cs="Times New Roman"/>
          <w:color w:val="auto"/>
          <w:sz w:val="24"/>
          <w:lang w:val="en-US" w:eastAsia="zh-CN"/>
        </w:rPr>
        <w:t>规模化肉牛养殖</w:t>
      </w:r>
      <w:r>
        <w:rPr>
          <w:rFonts w:hint="default" w:ascii="Times New Roman" w:hAnsi="Times New Roman" w:eastAsia="宋体" w:cs="Times New Roman"/>
          <w:color w:val="auto"/>
          <w:sz w:val="24"/>
        </w:rPr>
        <w:t>，养殖场产生的</w:t>
      </w:r>
      <w:r>
        <w:rPr>
          <w:rFonts w:hint="eastAsia" w:ascii="Times New Roman" w:hAnsi="Times New Roman" w:eastAsia="宋体" w:cs="Times New Roman"/>
          <w:color w:val="auto"/>
          <w:sz w:val="24"/>
          <w:lang w:val="en-US" w:eastAsia="zh-CN"/>
        </w:rPr>
        <w:t>牛粪</w:t>
      </w:r>
      <w:r>
        <w:rPr>
          <w:rFonts w:hint="default" w:ascii="Times New Roman" w:hAnsi="Times New Roman" w:eastAsia="宋体" w:cs="Times New Roman"/>
          <w:color w:val="auto"/>
          <w:sz w:val="24"/>
        </w:rPr>
        <w:t>及废水经无害化处理后，均用于当地农田施肥还田，使得</w:t>
      </w:r>
      <w:r>
        <w:rPr>
          <w:rFonts w:hint="eastAsia" w:ascii="Times New Roman" w:hAnsi="Times New Roman" w:eastAsia="宋体" w:cs="Times New Roman"/>
          <w:color w:val="auto"/>
          <w:sz w:val="24"/>
          <w:lang w:val="en-US" w:eastAsia="zh-CN"/>
        </w:rPr>
        <w:t>养牛</w:t>
      </w:r>
      <w:r>
        <w:rPr>
          <w:rFonts w:hint="default" w:ascii="Times New Roman" w:hAnsi="Times New Roman" w:eastAsia="宋体" w:cs="Times New Roman"/>
          <w:color w:val="auto"/>
          <w:sz w:val="24"/>
        </w:rPr>
        <w:t>--肥料--</w:t>
      </w:r>
      <w:r>
        <w:rPr>
          <w:rFonts w:hint="eastAsia" w:ascii="Times New Roman" w:hAnsi="Times New Roman" w:eastAsia="宋体" w:cs="Times New Roman"/>
          <w:color w:val="auto"/>
          <w:sz w:val="24"/>
          <w:lang w:val="en-US" w:eastAsia="zh-CN"/>
        </w:rPr>
        <w:t>还田</w:t>
      </w:r>
      <w:r>
        <w:rPr>
          <w:rFonts w:hint="default" w:ascii="Times New Roman" w:hAnsi="Times New Roman" w:eastAsia="宋体" w:cs="Times New Roman"/>
          <w:color w:val="auto"/>
          <w:sz w:val="24"/>
        </w:rPr>
        <w:t>形成了一个完整的生态链，既能使资源得到合理利用又可解决环境污染问题。</w:t>
      </w:r>
    </w:p>
    <w:p w14:paraId="5BB0BC8C">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本项目的建设符合国家清洁生产与循环经济的相关规定要求。</w:t>
      </w:r>
    </w:p>
    <w:p w14:paraId="1EDA11CE">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bookmarkStart w:id="864" w:name="_Toc16795"/>
      <w:bookmarkStart w:id="865" w:name="_Toc21653"/>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9</w:t>
      </w:r>
      <w:r>
        <w:rPr>
          <w:rFonts w:hint="default" w:ascii="Times New Roman" w:hAnsi="Times New Roman" w:eastAsia="宋体" w:cs="Times New Roman"/>
          <w:b/>
          <w:bCs/>
          <w:snapToGrid w:val="0"/>
          <w:color w:val="auto"/>
          <w:kern w:val="2"/>
          <w:sz w:val="28"/>
          <w:szCs w:val="28"/>
          <w:lang w:val="en-US" w:eastAsia="zh-CN" w:bidi="ar-SA"/>
        </w:rPr>
        <w:t>总量控制</w:t>
      </w:r>
      <w:bookmarkEnd w:id="864"/>
      <w:bookmarkEnd w:id="865"/>
    </w:p>
    <w:p w14:paraId="5633E479">
      <w:pPr>
        <w:widowControl w:val="0"/>
        <w:spacing w:line="500" w:lineRule="exact"/>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本项目污染物排放总量控制因子为废水中COD和氨氮，根据养殖场的污染源及污染物排放预测分析，由于生活污水排放至污水处理厂。因此建议本项目不申请总量控制指标。</w:t>
      </w:r>
    </w:p>
    <w:p w14:paraId="543A1BFC">
      <w:pPr>
        <w:keepNext w:val="0"/>
        <w:keepLines w:val="0"/>
        <w:widowControl w:val="0"/>
        <w:spacing w:before="0" w:after="0" w:line="500" w:lineRule="exact"/>
        <w:jc w:val="both"/>
        <w:outlineLvl w:val="2"/>
        <w:rPr>
          <w:rFonts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2"/>
          <w:sz w:val="28"/>
          <w:szCs w:val="28"/>
          <w:lang w:val="en-US" w:eastAsia="zh-CN" w:bidi="ar-SA"/>
        </w:rPr>
        <w:t>10</w:t>
      </w:r>
      <w:r>
        <w:rPr>
          <w:rFonts w:ascii="Times New Roman" w:hAnsi="Times New Roman" w:eastAsia="宋体" w:cs="Times New Roman"/>
          <w:b/>
          <w:bCs/>
          <w:color w:val="000000"/>
          <w:kern w:val="2"/>
          <w:sz w:val="28"/>
          <w:szCs w:val="28"/>
          <w:lang w:val="en-US" w:eastAsia="zh-CN" w:bidi="ar-SA"/>
        </w:rPr>
        <w:t>.1.</w:t>
      </w:r>
      <w:r>
        <w:rPr>
          <w:rFonts w:hint="eastAsia" w:ascii="Times New Roman" w:hAnsi="Times New Roman" w:eastAsia="宋体" w:cs="Times New Roman"/>
          <w:b/>
          <w:bCs/>
          <w:color w:val="000000"/>
          <w:kern w:val="2"/>
          <w:sz w:val="28"/>
          <w:szCs w:val="28"/>
          <w:lang w:val="en-US" w:eastAsia="zh-CN" w:bidi="ar-SA"/>
        </w:rPr>
        <w:t>10</w:t>
      </w:r>
      <w:r>
        <w:rPr>
          <w:rFonts w:ascii="Times New Roman" w:hAnsi="Times New Roman" w:eastAsia="宋体" w:cs="Times New Roman"/>
          <w:b/>
          <w:bCs/>
          <w:color w:val="000000"/>
          <w:kern w:val="2"/>
          <w:sz w:val="28"/>
          <w:szCs w:val="28"/>
          <w:lang w:val="en-US" w:eastAsia="zh-CN" w:bidi="ar-SA"/>
        </w:rPr>
        <w:t>防护距离</w:t>
      </w:r>
    </w:p>
    <w:p w14:paraId="16B2238D">
      <w:pPr>
        <w:widowControl w:val="0"/>
        <w:spacing w:line="500" w:lineRule="exact"/>
        <w:ind w:firstLine="480" w:firstLineChars="200"/>
        <w:jc w:val="both"/>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kern w:val="2"/>
          <w:sz w:val="24"/>
          <w:szCs w:val="24"/>
          <w:lang w:val="en-US" w:eastAsia="zh-CN" w:bidi="ar-SA"/>
        </w:rPr>
        <w:t>根据《环境影响评价技术导则大气环境》（HJ2.2-2018）中的大气环境防护距离的要求，本项目厂界浓度满足大气污染物厂界浓度限值，因此本项目不设置大气环境防护距离</w:t>
      </w:r>
      <w:r>
        <w:rPr>
          <w:rFonts w:ascii="Times New Roman" w:hAnsi="Times New Roman" w:eastAsia="宋体" w:cs="Times New Roman"/>
          <w:color w:val="000000"/>
          <w:kern w:val="2"/>
          <w:sz w:val="24"/>
          <w:szCs w:val="24"/>
          <w:lang w:val="en-US" w:eastAsia="zh-CN" w:bidi="ar-SA"/>
        </w:rPr>
        <w:t>。</w:t>
      </w:r>
    </w:p>
    <w:p w14:paraId="027B8391">
      <w:pPr>
        <w:widowControl w:val="0"/>
        <w:spacing w:line="500" w:lineRule="exact"/>
        <w:ind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highlight w:val="none"/>
          <w:lang w:val="en-US" w:eastAsia="zh-CN" w:bidi="ar-SA"/>
        </w:rPr>
        <w:t>依照</w:t>
      </w:r>
      <w:r>
        <w:rPr>
          <w:rFonts w:hint="default" w:ascii="Times New Roman" w:hAnsi="Times New Roman" w:eastAsia="宋体" w:cs="Times New Roman"/>
          <w:kern w:val="2"/>
          <w:sz w:val="24"/>
          <w:szCs w:val="24"/>
          <w:highlight w:val="none"/>
          <w:lang w:val="en-US" w:eastAsia="zh-CN" w:bidi="ar-SA"/>
        </w:rPr>
        <w:t>《大气有害物质无组织排放卫生防护距离推导技术导则》</w:t>
      </w:r>
      <w:r>
        <w:rPr>
          <w:rFonts w:hint="eastAsia" w:ascii="Times New Roman" w:hAnsi="Times New Roman" w:eastAsia="宋体" w:cs="Times New Roman"/>
          <w:kern w:val="2"/>
          <w:sz w:val="24"/>
          <w:szCs w:val="24"/>
          <w:highlight w:val="none"/>
          <w:lang w:val="en-US" w:eastAsia="zh-CN" w:bidi="ar-SA"/>
        </w:rPr>
        <w:t>（GB/T39499-2020）以及</w:t>
      </w:r>
      <w:r>
        <w:rPr>
          <w:rFonts w:hint="default" w:ascii="Times New Roman" w:hAnsi="Times New Roman" w:eastAsia="宋体" w:cs="Times New Roman"/>
          <w:snapToGrid w:val="0"/>
          <w:sz w:val="24"/>
          <w:szCs w:val="24"/>
        </w:rPr>
        <w:t>《畜禽养殖业污染防治技术规范》</w:t>
      </w:r>
      <w:r>
        <w:rPr>
          <w:rFonts w:ascii="Times New Roman" w:hAnsi="Times New Roman" w:eastAsia="宋体" w:cs="Times New Roman"/>
          <w:kern w:val="2"/>
          <w:sz w:val="24"/>
          <w:szCs w:val="24"/>
          <w:lang w:val="en-US" w:eastAsia="zh-CN" w:bidi="ar-SA"/>
        </w:rPr>
        <w:t>该项目卫生防护距离</w:t>
      </w:r>
      <w:r>
        <w:rPr>
          <w:rFonts w:hint="eastAsia" w:ascii="Times New Roman" w:hAnsi="Times New Roman" w:eastAsia="宋体" w:cs="Times New Roman"/>
          <w:kern w:val="2"/>
          <w:sz w:val="24"/>
          <w:szCs w:val="24"/>
          <w:lang w:val="en-US" w:eastAsia="zh-CN" w:bidi="ar-SA"/>
        </w:rPr>
        <w:t>设置</w:t>
      </w:r>
      <w:r>
        <w:rPr>
          <w:rFonts w:ascii="Times New Roman" w:hAnsi="Times New Roman" w:eastAsia="宋体" w:cs="Times New Roman"/>
          <w:kern w:val="2"/>
          <w:sz w:val="24"/>
          <w:szCs w:val="24"/>
          <w:lang w:val="en-US" w:eastAsia="zh-CN" w:bidi="ar-SA"/>
        </w:rPr>
        <w:t>为</w:t>
      </w:r>
      <w:r>
        <w:rPr>
          <w:rFonts w:hint="eastAsia" w:ascii="Times New Roman" w:hAnsi="Times New Roman" w:eastAsia="宋体" w:cs="Times New Roman"/>
          <w:kern w:val="2"/>
          <w:sz w:val="24"/>
          <w:szCs w:val="24"/>
          <w:lang w:val="en-US" w:eastAsia="zh-CN" w:bidi="ar-SA"/>
        </w:rPr>
        <w:t>5</w:t>
      </w:r>
      <w:r>
        <w:rPr>
          <w:rFonts w:ascii="Times New Roman" w:hAnsi="Times New Roman" w:eastAsia="宋体" w:cs="Times New Roman"/>
          <w:kern w:val="2"/>
          <w:sz w:val="24"/>
          <w:szCs w:val="24"/>
          <w:lang w:val="en-US" w:eastAsia="zh-CN" w:bidi="ar-SA"/>
        </w:rPr>
        <w:t>00m。</w:t>
      </w:r>
    </w:p>
    <w:p w14:paraId="183AE641">
      <w:pPr>
        <w:widowControl w:val="0"/>
        <w:spacing w:line="500" w:lineRule="exact"/>
        <w:ind w:firstLine="480" w:firstLineChars="200"/>
        <w:jc w:val="both"/>
        <w:rPr>
          <w:rFonts w:hint="default"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4"/>
          <w:szCs w:val="24"/>
          <w:lang w:val="en-US" w:eastAsia="zh-CN" w:bidi="ar-SA"/>
        </w:rPr>
        <w:t>根据现场调查，项目区养殖场边界周围</w:t>
      </w:r>
      <w:r>
        <w:rPr>
          <w:rFonts w:hint="eastAsia" w:ascii="Times New Roman" w:hAnsi="Times New Roman" w:eastAsia="宋体" w:cs="Times New Roman"/>
          <w:kern w:val="2"/>
          <w:sz w:val="24"/>
          <w:szCs w:val="24"/>
          <w:lang w:val="en-US" w:eastAsia="zh-CN" w:bidi="ar-SA"/>
        </w:rPr>
        <w:t>5</w:t>
      </w:r>
      <w:r>
        <w:rPr>
          <w:rFonts w:ascii="Times New Roman" w:hAnsi="Times New Roman" w:eastAsia="宋体" w:cs="Times New Roman"/>
          <w:kern w:val="2"/>
          <w:sz w:val="24"/>
          <w:szCs w:val="24"/>
          <w:lang w:val="en-US" w:eastAsia="zh-CN" w:bidi="ar-SA"/>
        </w:rPr>
        <w:t>00m范围内无《畜禽养殖业污染防治技术规范》中的禁止区域，项目场址可以满足卫生防护距离的要求</w:t>
      </w:r>
      <w:r>
        <w:rPr>
          <w:rFonts w:ascii="Times New Roman" w:hAnsi="Times New Roman" w:eastAsia="宋体" w:cs="Times New Roman"/>
          <w:color w:val="000000"/>
          <w:kern w:val="2"/>
          <w:sz w:val="24"/>
          <w:szCs w:val="24"/>
          <w:lang w:val="en-US" w:eastAsia="zh-CN" w:bidi="ar-SA"/>
        </w:rPr>
        <w:t>。</w:t>
      </w:r>
    </w:p>
    <w:p w14:paraId="30441C4B">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bookmarkStart w:id="866" w:name="_Toc20069"/>
      <w:bookmarkStart w:id="867" w:name="_Toc4865"/>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11</w:t>
      </w:r>
      <w:r>
        <w:rPr>
          <w:rFonts w:hint="default" w:ascii="Times New Roman" w:hAnsi="Times New Roman" w:eastAsia="宋体" w:cs="Times New Roman"/>
          <w:b/>
          <w:bCs/>
          <w:snapToGrid w:val="0"/>
          <w:color w:val="auto"/>
          <w:kern w:val="2"/>
          <w:sz w:val="28"/>
          <w:szCs w:val="28"/>
          <w:lang w:val="en-US" w:eastAsia="zh-CN" w:bidi="ar-SA"/>
        </w:rPr>
        <w:t>公众参与结论</w:t>
      </w:r>
      <w:bookmarkEnd w:id="866"/>
      <w:bookmarkEnd w:id="867"/>
    </w:p>
    <w:p w14:paraId="1A79FD9B">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本项目的建设和发展得到了社会公众的普遍理解与支持。同时，公众要求项目建设实施要严格按照本环评提出的环境保护和减缓措施执行。</w:t>
      </w:r>
    </w:p>
    <w:p w14:paraId="6D389ECD">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bookmarkStart w:id="868" w:name="_Toc15133"/>
      <w:bookmarkStart w:id="869" w:name="_Toc229909623"/>
      <w:bookmarkStart w:id="870" w:name="_Toc27663"/>
      <w:r>
        <w:rPr>
          <w:rFonts w:hint="eastAsia" w:ascii="Times New Roman" w:hAnsi="Times New Roman" w:eastAsia="宋体" w:cs="Times New Roman"/>
          <w:b/>
          <w:bCs/>
          <w:snapToGrid w:val="0"/>
          <w:color w:val="auto"/>
          <w:kern w:val="2"/>
          <w:sz w:val="28"/>
          <w:szCs w:val="28"/>
          <w:lang w:val="en-US" w:eastAsia="zh-CN" w:bidi="ar-SA"/>
        </w:rPr>
        <w:t>10</w:t>
      </w:r>
      <w:r>
        <w:rPr>
          <w:rFonts w:hint="default" w:ascii="Times New Roman" w:hAnsi="Times New Roman" w:eastAsia="宋体" w:cs="Times New Roman"/>
          <w:b/>
          <w:bCs/>
          <w:snapToGrid w:val="0"/>
          <w:color w:val="auto"/>
          <w:kern w:val="2"/>
          <w:sz w:val="28"/>
          <w:szCs w:val="28"/>
          <w:lang w:val="en-US" w:eastAsia="zh-CN" w:bidi="ar-SA"/>
        </w:rPr>
        <w:t>.1.</w:t>
      </w:r>
      <w:r>
        <w:rPr>
          <w:rFonts w:hint="eastAsia" w:ascii="Times New Roman" w:hAnsi="Times New Roman" w:eastAsia="宋体" w:cs="Times New Roman"/>
          <w:b/>
          <w:bCs/>
          <w:snapToGrid w:val="0"/>
          <w:color w:val="auto"/>
          <w:kern w:val="2"/>
          <w:sz w:val="28"/>
          <w:szCs w:val="28"/>
          <w:lang w:val="en-US" w:eastAsia="zh-CN" w:bidi="ar-SA"/>
        </w:rPr>
        <w:t>12</w:t>
      </w:r>
      <w:r>
        <w:rPr>
          <w:rFonts w:hint="default" w:ascii="Times New Roman" w:hAnsi="Times New Roman" w:eastAsia="宋体" w:cs="Times New Roman"/>
          <w:b/>
          <w:bCs/>
          <w:snapToGrid w:val="0"/>
          <w:color w:val="auto"/>
          <w:kern w:val="2"/>
          <w:sz w:val="28"/>
          <w:szCs w:val="28"/>
          <w:lang w:val="en-US" w:eastAsia="zh-CN" w:bidi="ar-SA"/>
        </w:rPr>
        <w:t>评价结论</w:t>
      </w:r>
      <w:bookmarkEnd w:id="868"/>
      <w:bookmarkEnd w:id="869"/>
      <w:bookmarkEnd w:id="870"/>
    </w:p>
    <w:p w14:paraId="3DF6DED6">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本项目建成投产后，采取各种适当的环保措施，把污染物转变为经济优势和产品优势，有利于</w:t>
      </w:r>
      <w:r>
        <w:rPr>
          <w:rFonts w:hint="eastAsia" w:ascii="Times New Roman" w:hAnsi="Times New Roman" w:eastAsia="宋体" w:cs="Times New Roman"/>
          <w:color w:val="auto"/>
          <w:sz w:val="24"/>
          <w:lang w:val="en-US" w:eastAsia="zh-CN"/>
        </w:rPr>
        <w:t>第七师</w:t>
      </w:r>
      <w:r>
        <w:rPr>
          <w:rFonts w:hint="default" w:ascii="Times New Roman" w:hAnsi="Times New Roman" w:eastAsia="宋体" w:cs="Times New Roman"/>
          <w:color w:val="auto"/>
          <w:sz w:val="24"/>
        </w:rPr>
        <w:t>发展畜牧经济的同时，</w:t>
      </w:r>
      <w:r>
        <w:rPr>
          <w:rFonts w:hint="eastAsia" w:ascii="Times New Roman" w:hAnsi="Times New Roman" w:eastAsia="宋体" w:cs="Times New Roman"/>
          <w:color w:val="auto"/>
          <w:sz w:val="24"/>
          <w:lang w:eastAsia="zh-CN"/>
        </w:rPr>
        <w:t>可以最大限度地</w:t>
      </w:r>
      <w:r>
        <w:rPr>
          <w:rFonts w:hint="default" w:ascii="Times New Roman" w:hAnsi="Times New Roman" w:eastAsia="宋体" w:cs="Times New Roman"/>
          <w:color w:val="auto"/>
          <w:sz w:val="24"/>
        </w:rPr>
        <w:t>减少</w:t>
      </w:r>
      <w:r>
        <w:rPr>
          <w:rFonts w:hint="eastAsia" w:ascii="Times New Roman" w:hAnsi="Times New Roman" w:eastAsia="宋体" w:cs="Times New Roman"/>
          <w:color w:val="auto"/>
          <w:sz w:val="24"/>
          <w:lang w:eastAsia="zh-CN"/>
        </w:rPr>
        <w:t>各类污</w:t>
      </w:r>
      <w:r>
        <w:rPr>
          <w:rFonts w:hint="default" w:ascii="Times New Roman" w:hAnsi="Times New Roman" w:eastAsia="宋体" w:cs="Times New Roman"/>
          <w:color w:val="auto"/>
          <w:sz w:val="24"/>
        </w:rPr>
        <w:t>染物排放量，同时，本项目还在促进社会稳定和解决</w:t>
      </w:r>
      <w:r>
        <w:rPr>
          <w:rFonts w:hint="eastAsia" w:cs="Times New Roman"/>
          <w:color w:val="auto"/>
          <w:sz w:val="24"/>
          <w:lang w:eastAsia="zh-CN"/>
        </w:rPr>
        <w:t>“</w:t>
      </w:r>
      <w:r>
        <w:rPr>
          <w:rFonts w:hint="default" w:ascii="Times New Roman" w:hAnsi="Times New Roman" w:eastAsia="宋体" w:cs="Times New Roman"/>
          <w:color w:val="auto"/>
          <w:sz w:val="24"/>
        </w:rPr>
        <w:t>三农</w:t>
      </w:r>
      <w:r>
        <w:rPr>
          <w:rFonts w:hint="eastAsia" w:cs="Times New Roman"/>
          <w:color w:val="auto"/>
          <w:sz w:val="24"/>
          <w:lang w:eastAsia="zh-CN"/>
        </w:rPr>
        <w:t>”</w:t>
      </w:r>
      <w:r>
        <w:rPr>
          <w:rFonts w:hint="default" w:ascii="Times New Roman" w:hAnsi="Times New Roman" w:eastAsia="宋体" w:cs="Times New Roman"/>
          <w:color w:val="auto"/>
          <w:sz w:val="24"/>
        </w:rPr>
        <w:t>问题做出突出贡献，具有很好的环境效益和社会效益。项目主要采取的环境保护措施先进，污染物能够实现达标排放，生产工艺较为先进，总体清洁水平较高，通过采取报告书中提出的各项环境保护措施，项目对环境的影响可降低到当地环境能够容许的程度，不会对周围环境产生明显影响和环境质量功能的改变。</w:t>
      </w:r>
    </w:p>
    <w:p w14:paraId="67DBA69C">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综上所述，本项目符合国家的产业政策导向，选址基本合理。只要有效实施本环评报告所提出的有关防治措施</w:t>
      </w:r>
      <w:r>
        <w:rPr>
          <w:rFonts w:hint="eastAsia" w:ascii="Times New Roman" w:hAnsi="Times New Roman" w:eastAsia="宋体" w:cs="Times New Roman"/>
          <w:color w:val="auto"/>
          <w:sz w:val="24"/>
          <w:lang w:eastAsia="zh-CN"/>
        </w:rPr>
        <w:t>，在</w:t>
      </w:r>
      <w:r>
        <w:rPr>
          <w:rFonts w:hint="default" w:ascii="Times New Roman" w:hAnsi="Times New Roman" w:eastAsia="宋体" w:cs="Times New Roman"/>
          <w:color w:val="auto"/>
          <w:sz w:val="24"/>
        </w:rPr>
        <w:t>保证废水及废弃物资源化利用和最大限度削减臭气产生量的前提下，对周围环境影响不大。因此，从环保角度来讲，本建设项目实施是可行的。</w:t>
      </w:r>
    </w:p>
    <w:p w14:paraId="4208E0B1">
      <w:pPr>
        <w:keepNext w:val="0"/>
        <w:keepLines w:val="0"/>
        <w:pageBreakBefore w:val="0"/>
        <w:widowControl w:val="0"/>
        <w:kinsoku/>
        <w:wordWrap/>
        <w:autoSpaceDE/>
        <w:autoSpaceDN/>
        <w:bidi w:val="0"/>
        <w:adjustRightInd/>
        <w:snapToGrid/>
        <w:spacing w:before="0" w:after="0" w:line="360" w:lineRule="auto"/>
        <w:jc w:val="both"/>
        <w:textAlignment w:val="auto"/>
        <w:outlineLvl w:val="1"/>
        <w:rPr>
          <w:rFonts w:hint="default" w:ascii="Times New Roman" w:hAnsi="Times New Roman" w:eastAsia="宋体" w:cs="Times New Roman"/>
          <w:b/>
          <w:bCs/>
          <w:color w:val="auto"/>
          <w:kern w:val="2"/>
          <w:sz w:val="30"/>
          <w:szCs w:val="30"/>
          <w:lang w:val="en-US" w:eastAsia="zh-CN" w:bidi="ar-SA"/>
        </w:rPr>
      </w:pPr>
      <w:bookmarkStart w:id="871" w:name="_Toc3086"/>
      <w:bookmarkStart w:id="872" w:name="_Toc472451948"/>
      <w:bookmarkStart w:id="873" w:name="_Toc20433"/>
      <w:bookmarkStart w:id="874" w:name="_Toc9682"/>
      <w:bookmarkStart w:id="875" w:name="_Toc113250693"/>
      <w:bookmarkStart w:id="876" w:name="_Toc72235885"/>
      <w:bookmarkStart w:id="877" w:name="_Toc229909624"/>
      <w:bookmarkStart w:id="878" w:name="_Toc11615"/>
      <w:bookmarkStart w:id="879" w:name="_Toc26992"/>
      <w:bookmarkStart w:id="880" w:name="_Toc337673511"/>
      <w:r>
        <w:rPr>
          <w:rFonts w:hint="eastAsia" w:ascii="Times New Roman" w:hAnsi="Times New Roman" w:eastAsia="宋体" w:cs="Times New Roman"/>
          <w:b/>
          <w:bCs/>
          <w:color w:val="auto"/>
          <w:kern w:val="2"/>
          <w:sz w:val="30"/>
          <w:szCs w:val="30"/>
          <w:lang w:val="en-US" w:eastAsia="zh-CN" w:bidi="ar-SA"/>
        </w:rPr>
        <w:t>10</w:t>
      </w:r>
      <w:r>
        <w:rPr>
          <w:rFonts w:hint="default" w:ascii="Times New Roman" w:hAnsi="Times New Roman" w:eastAsia="宋体" w:cs="Times New Roman"/>
          <w:b/>
          <w:bCs/>
          <w:color w:val="auto"/>
          <w:kern w:val="2"/>
          <w:sz w:val="30"/>
          <w:szCs w:val="30"/>
          <w:lang w:val="en-US" w:eastAsia="zh-CN" w:bidi="ar-SA"/>
        </w:rPr>
        <w:t>.2建议</w:t>
      </w:r>
      <w:bookmarkEnd w:id="871"/>
      <w:bookmarkEnd w:id="872"/>
      <w:bookmarkEnd w:id="873"/>
      <w:bookmarkEnd w:id="874"/>
      <w:bookmarkEnd w:id="875"/>
      <w:bookmarkEnd w:id="876"/>
      <w:bookmarkEnd w:id="877"/>
      <w:bookmarkEnd w:id="878"/>
      <w:bookmarkEnd w:id="879"/>
      <w:bookmarkEnd w:id="880"/>
    </w:p>
    <w:p w14:paraId="375E230F">
      <w:pPr>
        <w:keepNext w:val="0"/>
        <w:keepLines w:val="0"/>
        <w:pageBreakBefore w:val="0"/>
        <w:kinsoku/>
        <w:wordWrap/>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（1）加强环保设施的管理</w:t>
      </w:r>
      <w:r>
        <w:rPr>
          <w:rFonts w:hint="eastAsia" w:ascii="Times New Roman" w:hAnsi="Times New Roman" w:eastAsia="宋体" w:cs="Times New Roman"/>
          <w:color w:val="auto"/>
          <w:sz w:val="24"/>
          <w:lang w:eastAsia="zh-CN"/>
        </w:rPr>
        <w:t>，在</w:t>
      </w:r>
      <w:r>
        <w:rPr>
          <w:rFonts w:hint="default" w:ascii="Times New Roman" w:hAnsi="Times New Roman" w:eastAsia="宋体" w:cs="Times New Roman"/>
          <w:color w:val="auto"/>
          <w:sz w:val="24"/>
        </w:rPr>
        <w:t>施工过程中加强环保措施落实，减少污染。劳动营运过程中落实环保措施正常运行，建立环保设施的技术档案或数据库，不断总结经验，逐步提高管理水平，真正做到社会、环境、经济三效益的统一。</w:t>
      </w:r>
    </w:p>
    <w:p w14:paraId="1DAF0940">
      <w:pPr>
        <w:keepNext w:val="0"/>
        <w:keepLines w:val="0"/>
        <w:pageBreakBefore w:val="0"/>
        <w:kinsoku/>
        <w:wordWrap/>
        <w:autoSpaceDE/>
        <w:autoSpaceDN/>
        <w:bidi w:val="0"/>
        <w:adjustRightInd/>
        <w:snapToGrid/>
        <w:spacing w:line="360" w:lineRule="auto"/>
        <w:ind w:firstLine="480" w:firstLineChars="200"/>
        <w:textAlignment w:val="auto"/>
        <w:rPr>
          <w:rFonts w:hint="eastAsia" w:ascii="Times New Roman" w:hAnsi="Times New Roman" w:eastAsia="宋体" w:cs="Times New Roman"/>
          <w:lang w:val="en-US" w:eastAsia="zh-CN"/>
        </w:rPr>
      </w:pPr>
      <w:r>
        <w:rPr>
          <w:rFonts w:hint="default" w:ascii="Times New Roman" w:hAnsi="Times New Roman" w:eastAsia="宋体" w:cs="Times New Roman"/>
          <w:color w:val="auto"/>
          <w:sz w:val="24"/>
        </w:rPr>
        <w:t>（2）加强厂区绿化，</w:t>
      </w:r>
      <w:r>
        <w:rPr>
          <w:rFonts w:hint="eastAsia" w:ascii="Times New Roman" w:hAnsi="Times New Roman" w:eastAsia="宋体" w:cs="Times New Roman"/>
          <w:color w:val="auto"/>
          <w:sz w:val="24"/>
          <w:lang w:eastAsia="zh-CN"/>
        </w:rPr>
        <w:t>既</w:t>
      </w:r>
      <w:r>
        <w:rPr>
          <w:rFonts w:hint="default" w:ascii="Times New Roman" w:hAnsi="Times New Roman" w:eastAsia="宋体" w:cs="Times New Roman"/>
          <w:color w:val="auto"/>
          <w:sz w:val="24"/>
        </w:rPr>
        <w:t>可以美化环境，又可以降噪</w:t>
      </w:r>
      <w:r>
        <w:rPr>
          <w:rFonts w:hint="eastAsia" w:ascii="Times New Roman" w:hAnsi="Times New Roman" w:eastAsia="宋体" w:cs="Times New Roman"/>
          <w:color w:val="auto"/>
          <w:sz w:val="24"/>
          <w:lang w:eastAsia="zh-CN"/>
        </w:rPr>
        <w:t>。</w:t>
      </w:r>
    </w:p>
    <w:p w14:paraId="612C5DD7">
      <w:pPr>
        <w:keepNext w:val="0"/>
        <w:keepLines w:val="0"/>
        <w:pageBreakBefore w:val="0"/>
        <w:widowControl w:val="0"/>
        <w:numPr>
          <w:ilvl w:val="2"/>
          <w:numId w:val="0"/>
        </w:numPr>
        <w:kinsoku/>
        <w:wordWrap/>
        <w:autoSpaceDE/>
        <w:autoSpaceDN/>
        <w:bidi w:val="0"/>
        <w:adjustRightInd/>
        <w:snapToGrid/>
        <w:spacing w:before="0" w:after="0" w:line="360" w:lineRule="auto"/>
        <w:ind w:leftChars="0"/>
        <w:jc w:val="both"/>
        <w:textAlignment w:val="auto"/>
        <w:outlineLvl w:val="2"/>
        <w:rPr>
          <w:rFonts w:hint="default" w:ascii="Times New Roman" w:hAnsi="Times New Roman" w:eastAsia="宋体" w:cs="Times New Roman"/>
          <w:b/>
          <w:bCs/>
          <w:snapToGrid w:val="0"/>
          <w:color w:val="auto"/>
          <w:kern w:val="2"/>
          <w:sz w:val="28"/>
          <w:szCs w:val="28"/>
          <w:lang w:val="en-US" w:eastAsia="zh-CN" w:bidi="ar-SA"/>
        </w:rPr>
      </w:pPr>
    </w:p>
    <w:p w14:paraId="2F4B0C42"/>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imes New Roman PS 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8046F">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6FCC5">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616A6">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hint="eastAsia" w:ascii="Times New Roman" w:hAnsi="Times New Roman" w:eastAsia="宋体" w:cs="Times New Roman"/>
        <w:kern w:val="2"/>
        <w:sz w:val="21"/>
        <w:szCs w:val="21"/>
        <w:lang w:val="en-US" w:eastAsia="zh-CN" w:bidi="ar-SA"/>
      </w:rPr>
      <w:t>胡杨河市鑫驰农牧有限责任公司</w: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F48C6">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7E6F48C6">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E2C51">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hint="eastAsia" w:ascii="Times New Roman" w:hAnsi="Times New Roman" w:eastAsia="宋体" w:cs="Times New Roman"/>
        <w:kern w:val="2"/>
        <w:sz w:val="21"/>
        <w:szCs w:val="21"/>
        <w:lang w:val="en-US" w:eastAsia="zh-CN" w:bidi="ar-SA"/>
      </w:rPr>
      <w:t>胡杨河市鑫驰农牧有限责任公司</w: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A6F0F">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1D3A6F0F">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74636">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hint="eastAsia" w:ascii="Times New Roman" w:hAnsi="Times New Roman" w:eastAsia="宋体" w:cs="Times New Roman"/>
        <w:kern w:val="2"/>
        <w:sz w:val="21"/>
        <w:szCs w:val="21"/>
        <w:lang w:val="en-US" w:eastAsia="zh-CN" w:bidi="ar-SA"/>
      </w:rPr>
      <w:t>胡杨河市鑫驰农牧有限责任公司</w: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4E23F8">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64E23F8">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15717">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hint="eastAsia" w:ascii="Times New Roman" w:hAnsi="Times New Roman" w:eastAsia="宋体" w:cs="Times New Roman"/>
        <w:kern w:val="2"/>
        <w:sz w:val="21"/>
        <w:szCs w:val="21"/>
        <w:lang w:val="en-US" w:eastAsia="zh-CN" w:bidi="ar-SA"/>
      </w:rPr>
      <w:t>胡杨河市鑫驰农牧有限责任公司</w: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AF5C0">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7FAAF5C0">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7A255">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hint="eastAsia" w:ascii="Times New Roman" w:hAnsi="Times New Roman" w:eastAsia="宋体" w:cs="Times New Roman"/>
        <w:kern w:val="2"/>
        <w:sz w:val="21"/>
        <w:szCs w:val="21"/>
        <w:lang w:val="en-US" w:eastAsia="zh-CN" w:bidi="ar-SA"/>
      </w:rPr>
      <w:t>胡杨河市鑫驰农牧有限责任公司</w: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2BAC9">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vl6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Envl685AgAAcQQAAA4AAAAAAAAAAQAgAAAAHwEAAGRycy9lMm9Eb2Mu&#10;eG1sUEsFBgAAAAAGAAYAWQEAAMoFAAAAAA==&#10;">
              <v:fill on="f" focussize="0,0"/>
              <v:stroke on="f" weight="0.5pt"/>
              <v:imagedata o:title=""/>
              <o:lock v:ext="edit" aspectratio="f"/>
              <v:textbox inset="0mm,0mm,0mm,0mm" style="mso-fit-shape-to-text:t;">
                <w:txbxContent>
                  <w:p w14:paraId="1A12BAC9">
                    <w:pPr>
                      <w:widowControl w:val="0"/>
                      <w:tabs>
                        <w:tab w:val="center" w:pos="4153"/>
                        <w:tab w:val="right" w:pos="8306"/>
                      </w:tabs>
                      <w:snapToGrid w:val="0"/>
                      <w:jc w:val="left"/>
                      <w:rPr>
                        <w:rFonts w:hint="eastAsia" w:ascii="Times New Roman" w:hAnsi="Times New Roman" w:eastAsia="宋体" w:cs="Times New Roman"/>
                        <w:b/>
                        <w:bCs/>
                        <w:kern w:val="2"/>
                        <w:sz w:val="18"/>
                        <w:szCs w:val="24"/>
                        <w:lang w:val="en-US" w:eastAsia="zh-CN" w:bidi="ar-SA"/>
                      </w:rPr>
                    </w:pPr>
                    <w:r>
                      <w:rPr>
                        <w:rFonts w:hint="eastAsia" w:ascii="Times New Roman" w:hAnsi="Times New Roman" w:eastAsia="宋体" w:cs="Times New Roman"/>
                        <w:b/>
                        <w:bCs/>
                        <w:kern w:val="2"/>
                        <w:sz w:val="24"/>
                        <w:szCs w:val="24"/>
                        <w:lang w:val="en-US" w:eastAsia="zh-CN" w:bidi="ar-SA"/>
                      </w:rPr>
                      <w:fldChar w:fldCharType="begin"/>
                    </w:r>
                    <w:r>
                      <w:rPr>
                        <w:rFonts w:hint="eastAsia" w:ascii="Times New Roman" w:hAnsi="Times New Roman" w:eastAsia="宋体" w:cs="Times New Roman"/>
                        <w:b/>
                        <w:bCs/>
                        <w:kern w:val="2"/>
                        <w:sz w:val="24"/>
                        <w:szCs w:val="24"/>
                        <w:lang w:val="en-US" w:eastAsia="zh-CN" w:bidi="ar-SA"/>
                      </w:rPr>
                      <w:instrText xml:space="preserve"> PAGE  \* MERGEFORMAT </w:instrText>
                    </w:r>
                    <w:r>
                      <w:rPr>
                        <w:rFonts w:hint="eastAsia" w:ascii="Times New Roman" w:hAnsi="Times New Roman" w:eastAsia="宋体" w:cs="Times New Roman"/>
                        <w:b/>
                        <w:bCs/>
                        <w:kern w:val="2"/>
                        <w:sz w:val="24"/>
                        <w:szCs w:val="24"/>
                        <w:lang w:val="en-US" w:eastAsia="zh-CN" w:bidi="ar-SA"/>
                      </w:rPr>
                      <w:fldChar w:fldCharType="separate"/>
                    </w:r>
                    <w:r>
                      <w:rPr>
                        <w:rFonts w:hint="eastAsia" w:ascii="Times New Roman" w:hAnsi="Times New Roman" w:eastAsia="宋体" w:cs="Times New Roman"/>
                        <w:b/>
                        <w:bCs/>
                        <w:kern w:val="2"/>
                        <w:sz w:val="24"/>
                        <w:szCs w:val="24"/>
                        <w:lang w:val="en-US" w:eastAsia="zh-CN" w:bidi="ar-SA"/>
                      </w:rPr>
                      <w:t>- 1 -</w:t>
                    </w:r>
                    <w:r>
                      <w:rPr>
                        <w:rFonts w:hint="eastAsia" w:ascii="Times New Roman" w:hAnsi="Times New Roman" w:eastAsia="宋体" w:cs="Times New Roman"/>
                        <w:b/>
                        <w:bCs/>
                        <w:kern w:val="2"/>
                        <w:sz w:val="24"/>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6CD2B">
    <w:pPr>
      <w:widowControl w:val="0"/>
      <w:pBdr>
        <w:bottom w:val="none" w:color="auto" w:sz="0" w:space="0"/>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AB4DE">
    <w:pPr>
      <w:widowControl w:val="0"/>
      <w:pBdr>
        <w:bottom w:val="thinThickSmallGap" w:color="auto" w:sz="12" w:space="0"/>
      </w:pBdr>
      <w:tabs>
        <w:tab w:val="center" w:pos="4153"/>
        <w:tab w:val="right" w:pos="8306"/>
      </w:tabs>
      <w:snapToGrid w:val="0"/>
      <w:jc w:val="center"/>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胡杨河市鑫驰农牧有限责任公司育肥牛养殖改扩建建设项目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D74B6">
    <w:pPr>
      <w:widowControl w:val="0"/>
      <w:pBdr>
        <w:bottom w:val="thinThickSmallGap" w:color="auto" w:sz="12" w:space="0"/>
      </w:pBdr>
      <w:tabs>
        <w:tab w:val="center" w:pos="4153"/>
        <w:tab w:val="right" w:pos="8306"/>
      </w:tabs>
      <w:snapToGrid w:val="0"/>
      <w:jc w:val="center"/>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胡杨河市鑫驰农牧有限责任公司育肥牛养殖改扩建建设项目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B8104"/>
    <w:multiLevelType w:val="singleLevel"/>
    <w:tmpl w:val="864B8104"/>
    <w:lvl w:ilvl="0" w:tentative="0">
      <w:start w:val="1"/>
      <w:numFmt w:val="bullet"/>
      <w:pStyle w:val="12"/>
      <w:lvlText w:val=""/>
      <w:lvlJc w:val="left"/>
      <w:pPr>
        <w:tabs>
          <w:tab w:val="left" w:pos="2040"/>
        </w:tabs>
        <w:ind w:left="2040" w:hanging="360"/>
      </w:pPr>
      <w:rPr>
        <w:rFonts w:hint="default" w:ascii="Wingdings" w:hAnsi="Wingdings"/>
      </w:rPr>
    </w:lvl>
  </w:abstractNum>
  <w:abstractNum w:abstractNumId="1">
    <w:nsid w:val="8AA16122"/>
    <w:multiLevelType w:val="singleLevel"/>
    <w:tmpl w:val="8AA16122"/>
    <w:lvl w:ilvl="0" w:tentative="0">
      <w:start w:val="1"/>
      <w:numFmt w:val="decimal"/>
      <w:suff w:val="nothing"/>
      <w:lvlText w:val="（%1）"/>
      <w:lvlJc w:val="left"/>
    </w:lvl>
  </w:abstractNum>
  <w:abstractNum w:abstractNumId="2">
    <w:nsid w:val="9AAEFAC2"/>
    <w:multiLevelType w:val="singleLevel"/>
    <w:tmpl w:val="9AAEFAC2"/>
    <w:lvl w:ilvl="0" w:tentative="0">
      <w:start w:val="1"/>
      <w:numFmt w:val="decimal"/>
      <w:suff w:val="nothing"/>
      <w:lvlText w:val="（%1）"/>
      <w:lvlJc w:val="left"/>
    </w:lvl>
  </w:abstractNum>
  <w:abstractNum w:abstractNumId="3">
    <w:nsid w:val="9CDD4255"/>
    <w:multiLevelType w:val="singleLevel"/>
    <w:tmpl w:val="9CDD4255"/>
    <w:lvl w:ilvl="0" w:tentative="0">
      <w:start w:val="1"/>
      <w:numFmt w:val="lowerLetter"/>
      <w:lvlText w:val="%1."/>
      <w:lvlJc w:val="left"/>
      <w:pPr>
        <w:tabs>
          <w:tab w:val="left" w:pos="312"/>
        </w:tabs>
      </w:pPr>
    </w:lvl>
  </w:abstractNum>
  <w:abstractNum w:abstractNumId="4">
    <w:nsid w:val="A3607F27"/>
    <w:multiLevelType w:val="singleLevel"/>
    <w:tmpl w:val="A3607F27"/>
    <w:lvl w:ilvl="0" w:tentative="0">
      <w:start w:val="1"/>
      <w:numFmt w:val="decimal"/>
      <w:suff w:val="nothing"/>
      <w:lvlText w:val="（%1）"/>
      <w:lvlJc w:val="left"/>
    </w:lvl>
  </w:abstractNum>
  <w:abstractNum w:abstractNumId="5">
    <w:nsid w:val="A6246C8A"/>
    <w:multiLevelType w:val="multilevel"/>
    <w:tmpl w:val="A6246C8A"/>
    <w:lvl w:ilvl="0" w:tentative="0">
      <w:start w:val="1"/>
      <w:numFmt w:val="decimal"/>
      <w:suff w:val="space"/>
      <w:lvlText w:val="%1"/>
      <w:lvlJc w:val="left"/>
      <w:pPr>
        <w:tabs>
          <w:tab w:val="left" w:pos="0"/>
        </w:tabs>
        <w:ind w:left="425" w:hanging="425"/>
      </w:pPr>
      <w:rPr>
        <w:rFonts w:hint="default"/>
      </w:rPr>
    </w:lvl>
    <w:lvl w:ilvl="1" w:tentative="0">
      <w:start w:val="1"/>
      <w:numFmt w:val="decimal"/>
      <w:lvlText w:val="%1.%2"/>
      <w:lvlJc w:val="left"/>
      <w:pPr>
        <w:tabs>
          <w:tab w:val="left" w:pos="420"/>
        </w:tabs>
        <w:ind w:left="567" w:hanging="567"/>
      </w:pPr>
      <w:rPr>
        <w:rFonts w:hint="default"/>
      </w:rPr>
    </w:lvl>
    <w:lvl w:ilvl="2" w:tentative="0">
      <w:start w:val="1"/>
      <w:numFmt w:val="decimal"/>
      <w:pStyle w:val="5"/>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tabs>
          <w:tab w:val="left" w:pos="420"/>
        </w:tabs>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A968B826"/>
    <w:multiLevelType w:val="singleLevel"/>
    <w:tmpl w:val="A968B826"/>
    <w:lvl w:ilvl="0" w:tentative="0">
      <w:start w:val="1"/>
      <w:numFmt w:val="decimal"/>
      <w:suff w:val="nothing"/>
      <w:lvlText w:val="（%1）"/>
      <w:lvlJc w:val="left"/>
    </w:lvl>
  </w:abstractNum>
  <w:abstractNum w:abstractNumId="7">
    <w:nsid w:val="B0B36E83"/>
    <w:multiLevelType w:val="singleLevel"/>
    <w:tmpl w:val="B0B36E83"/>
    <w:lvl w:ilvl="0" w:tentative="0">
      <w:start w:val="1"/>
      <w:numFmt w:val="decimal"/>
      <w:suff w:val="nothing"/>
      <w:lvlText w:val="%1）"/>
      <w:lvlJc w:val="left"/>
    </w:lvl>
  </w:abstractNum>
  <w:abstractNum w:abstractNumId="8">
    <w:nsid w:val="B0CEE203"/>
    <w:multiLevelType w:val="singleLevel"/>
    <w:tmpl w:val="B0CEE203"/>
    <w:lvl w:ilvl="0" w:tentative="0">
      <w:start w:val="1"/>
      <w:numFmt w:val="decimal"/>
      <w:suff w:val="nothing"/>
      <w:lvlText w:val="（%1）"/>
      <w:lvlJc w:val="left"/>
    </w:lvl>
  </w:abstractNum>
  <w:abstractNum w:abstractNumId="9">
    <w:nsid w:val="BACD904C"/>
    <w:multiLevelType w:val="singleLevel"/>
    <w:tmpl w:val="BACD904C"/>
    <w:lvl w:ilvl="0" w:tentative="0">
      <w:start w:val="1"/>
      <w:numFmt w:val="decimal"/>
      <w:suff w:val="nothing"/>
      <w:lvlText w:val="（%1）"/>
      <w:lvlJc w:val="left"/>
    </w:lvl>
  </w:abstractNum>
  <w:abstractNum w:abstractNumId="10">
    <w:nsid w:val="C5FA7D81"/>
    <w:multiLevelType w:val="singleLevel"/>
    <w:tmpl w:val="C5FA7D81"/>
    <w:lvl w:ilvl="0" w:tentative="0">
      <w:start w:val="5"/>
      <w:numFmt w:val="decimal"/>
      <w:suff w:val="nothing"/>
      <w:lvlText w:val="（%1）"/>
      <w:lvlJc w:val="left"/>
    </w:lvl>
  </w:abstractNum>
  <w:abstractNum w:abstractNumId="11">
    <w:nsid w:val="D0B11EDD"/>
    <w:multiLevelType w:val="singleLevel"/>
    <w:tmpl w:val="D0B11EDD"/>
    <w:lvl w:ilvl="0" w:tentative="0">
      <w:start w:val="2"/>
      <w:numFmt w:val="decimal"/>
      <w:suff w:val="nothing"/>
      <w:lvlText w:val="（%1）"/>
      <w:lvlJc w:val="left"/>
    </w:lvl>
  </w:abstractNum>
  <w:abstractNum w:abstractNumId="12">
    <w:nsid w:val="E01440FF"/>
    <w:multiLevelType w:val="singleLevel"/>
    <w:tmpl w:val="E01440FF"/>
    <w:lvl w:ilvl="0" w:tentative="0">
      <w:start w:val="1"/>
      <w:numFmt w:val="decimal"/>
      <w:suff w:val="nothing"/>
      <w:lvlText w:val="（%1）"/>
      <w:lvlJc w:val="left"/>
    </w:lvl>
  </w:abstractNum>
  <w:abstractNum w:abstractNumId="13">
    <w:nsid w:val="E085981A"/>
    <w:multiLevelType w:val="singleLevel"/>
    <w:tmpl w:val="E085981A"/>
    <w:lvl w:ilvl="0" w:tentative="0">
      <w:start w:val="1"/>
      <w:numFmt w:val="decimal"/>
      <w:suff w:val="nothing"/>
      <w:lvlText w:val="（%1）"/>
      <w:lvlJc w:val="left"/>
    </w:lvl>
  </w:abstractNum>
  <w:abstractNum w:abstractNumId="14">
    <w:nsid w:val="EB17D021"/>
    <w:multiLevelType w:val="singleLevel"/>
    <w:tmpl w:val="EB17D021"/>
    <w:lvl w:ilvl="0" w:tentative="0">
      <w:start w:val="1"/>
      <w:numFmt w:val="decimal"/>
      <w:suff w:val="nothing"/>
      <w:lvlText w:val="（%1）"/>
      <w:lvlJc w:val="left"/>
    </w:lvl>
  </w:abstractNum>
  <w:abstractNum w:abstractNumId="15">
    <w:nsid w:val="F0DAFAC0"/>
    <w:multiLevelType w:val="singleLevel"/>
    <w:tmpl w:val="F0DAFAC0"/>
    <w:lvl w:ilvl="0" w:tentative="0">
      <w:start w:val="1"/>
      <w:numFmt w:val="decimal"/>
      <w:suff w:val="nothing"/>
      <w:lvlText w:val="%1、"/>
      <w:lvlJc w:val="left"/>
    </w:lvl>
  </w:abstractNum>
  <w:abstractNum w:abstractNumId="16">
    <w:nsid w:val="00A335E4"/>
    <w:multiLevelType w:val="singleLevel"/>
    <w:tmpl w:val="00A335E4"/>
    <w:lvl w:ilvl="0" w:tentative="0">
      <w:start w:val="1"/>
      <w:numFmt w:val="decimal"/>
      <w:suff w:val="nothing"/>
      <w:lvlText w:val="%1）"/>
      <w:lvlJc w:val="left"/>
    </w:lvl>
  </w:abstractNum>
  <w:abstractNum w:abstractNumId="17">
    <w:nsid w:val="2004725E"/>
    <w:multiLevelType w:val="singleLevel"/>
    <w:tmpl w:val="2004725E"/>
    <w:lvl w:ilvl="0" w:tentative="0">
      <w:start w:val="2"/>
      <w:numFmt w:val="decimal"/>
      <w:suff w:val="nothing"/>
      <w:lvlText w:val="%1）"/>
      <w:lvlJc w:val="left"/>
    </w:lvl>
  </w:abstractNum>
  <w:abstractNum w:abstractNumId="18">
    <w:nsid w:val="285549A6"/>
    <w:multiLevelType w:val="singleLevel"/>
    <w:tmpl w:val="285549A6"/>
    <w:lvl w:ilvl="0" w:tentative="0">
      <w:start w:val="1"/>
      <w:numFmt w:val="decimal"/>
      <w:suff w:val="nothing"/>
      <w:lvlText w:val="（%1）"/>
      <w:lvlJc w:val="left"/>
    </w:lvl>
  </w:abstractNum>
  <w:abstractNum w:abstractNumId="19">
    <w:nsid w:val="3A5662F0"/>
    <w:multiLevelType w:val="singleLevel"/>
    <w:tmpl w:val="3A5662F0"/>
    <w:lvl w:ilvl="0" w:tentative="0">
      <w:start w:val="2"/>
      <w:numFmt w:val="decimal"/>
      <w:suff w:val="nothing"/>
      <w:lvlText w:val="%1）"/>
      <w:lvlJc w:val="left"/>
    </w:lvl>
  </w:abstractNum>
  <w:abstractNum w:abstractNumId="20">
    <w:nsid w:val="4737747B"/>
    <w:multiLevelType w:val="singleLevel"/>
    <w:tmpl w:val="4737747B"/>
    <w:lvl w:ilvl="0" w:tentative="0">
      <w:start w:val="1"/>
      <w:numFmt w:val="decimal"/>
      <w:suff w:val="nothing"/>
      <w:lvlText w:val="（%1）"/>
      <w:lvlJc w:val="left"/>
    </w:lvl>
  </w:abstractNum>
  <w:abstractNum w:abstractNumId="21">
    <w:nsid w:val="55A683B2"/>
    <w:multiLevelType w:val="singleLevel"/>
    <w:tmpl w:val="55A683B2"/>
    <w:lvl w:ilvl="0" w:tentative="0">
      <w:start w:val="3"/>
      <w:numFmt w:val="upperLetter"/>
      <w:suff w:val="nothing"/>
      <w:lvlText w:val="%1）"/>
      <w:lvlJc w:val="left"/>
    </w:lvl>
  </w:abstractNum>
  <w:abstractNum w:abstractNumId="22">
    <w:nsid w:val="56F8842A"/>
    <w:multiLevelType w:val="singleLevel"/>
    <w:tmpl w:val="56F8842A"/>
    <w:lvl w:ilvl="0" w:tentative="0">
      <w:start w:val="4"/>
      <w:numFmt w:val="decimal"/>
      <w:suff w:val="nothing"/>
      <w:lvlText w:val="（%1）"/>
      <w:lvlJc w:val="left"/>
    </w:lvl>
  </w:abstractNum>
  <w:abstractNum w:abstractNumId="23">
    <w:nsid w:val="5784F3F2"/>
    <w:multiLevelType w:val="singleLevel"/>
    <w:tmpl w:val="5784F3F2"/>
    <w:lvl w:ilvl="0" w:tentative="0">
      <w:start w:val="1"/>
      <w:numFmt w:val="decimal"/>
      <w:suff w:val="nothing"/>
      <w:lvlText w:val="（%1）"/>
      <w:lvlJc w:val="left"/>
    </w:lvl>
  </w:abstractNum>
  <w:abstractNum w:abstractNumId="24">
    <w:nsid w:val="7E7C4AF6"/>
    <w:multiLevelType w:val="singleLevel"/>
    <w:tmpl w:val="7E7C4AF6"/>
    <w:lvl w:ilvl="0" w:tentative="0">
      <w:start w:val="9"/>
      <w:numFmt w:val="decimal"/>
      <w:suff w:val="nothing"/>
      <w:lvlText w:val="（%1）"/>
      <w:lvlJc w:val="left"/>
    </w:lvl>
  </w:abstractNum>
  <w:num w:numId="1">
    <w:abstractNumId w:val="5"/>
  </w:num>
  <w:num w:numId="2">
    <w:abstractNumId w:val="0"/>
  </w:num>
  <w:num w:numId="3">
    <w:abstractNumId w:val="18"/>
  </w:num>
  <w:num w:numId="4">
    <w:abstractNumId w:val="24"/>
  </w:num>
  <w:num w:numId="5">
    <w:abstractNumId w:val="23"/>
  </w:num>
  <w:num w:numId="6">
    <w:abstractNumId w:val="11"/>
  </w:num>
  <w:num w:numId="7">
    <w:abstractNumId w:val="10"/>
  </w:num>
  <w:num w:numId="8">
    <w:abstractNumId w:val="22"/>
  </w:num>
  <w:num w:numId="9">
    <w:abstractNumId w:val="2"/>
  </w:num>
  <w:num w:numId="10">
    <w:abstractNumId w:val="6"/>
  </w:num>
  <w:num w:numId="11">
    <w:abstractNumId w:val="8"/>
  </w:num>
  <w:num w:numId="12">
    <w:abstractNumId w:val="9"/>
  </w:num>
  <w:num w:numId="13">
    <w:abstractNumId w:val="4"/>
  </w:num>
  <w:num w:numId="14">
    <w:abstractNumId w:val="13"/>
  </w:num>
  <w:num w:numId="15">
    <w:abstractNumId w:val="14"/>
  </w:num>
  <w:num w:numId="16">
    <w:abstractNumId w:val="19"/>
  </w:num>
  <w:num w:numId="17">
    <w:abstractNumId w:val="21"/>
  </w:num>
  <w:num w:numId="18">
    <w:abstractNumId w:val="16"/>
  </w:num>
  <w:num w:numId="19">
    <w:abstractNumId w:val="1"/>
  </w:num>
  <w:num w:numId="20">
    <w:abstractNumId w:val="17"/>
  </w:num>
  <w:num w:numId="21">
    <w:abstractNumId w:val="12"/>
  </w:num>
  <w:num w:numId="22">
    <w:abstractNumId w:val="3"/>
  </w:num>
  <w:num w:numId="23">
    <w:abstractNumId w:val="7"/>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752A4"/>
    <w:rsid w:val="01DB6C80"/>
    <w:rsid w:val="05594B45"/>
    <w:rsid w:val="08123F24"/>
    <w:rsid w:val="086426F0"/>
    <w:rsid w:val="0AB1211B"/>
    <w:rsid w:val="0B9C35DD"/>
    <w:rsid w:val="0CD47298"/>
    <w:rsid w:val="11F81922"/>
    <w:rsid w:val="2178301F"/>
    <w:rsid w:val="25576629"/>
    <w:rsid w:val="281C56E2"/>
    <w:rsid w:val="285878DA"/>
    <w:rsid w:val="28875189"/>
    <w:rsid w:val="2B4C1A56"/>
    <w:rsid w:val="3158707C"/>
    <w:rsid w:val="32BE25EB"/>
    <w:rsid w:val="35195E99"/>
    <w:rsid w:val="3F7E59E5"/>
    <w:rsid w:val="40B0098B"/>
    <w:rsid w:val="40B271E1"/>
    <w:rsid w:val="419D52A7"/>
    <w:rsid w:val="48C616E8"/>
    <w:rsid w:val="4B7B66F1"/>
    <w:rsid w:val="4F483303"/>
    <w:rsid w:val="52EE3F4D"/>
    <w:rsid w:val="549A540A"/>
    <w:rsid w:val="55517044"/>
    <w:rsid w:val="562752A4"/>
    <w:rsid w:val="5AF56A87"/>
    <w:rsid w:val="5BFC06C5"/>
    <w:rsid w:val="65D030C2"/>
    <w:rsid w:val="661A0DD7"/>
    <w:rsid w:val="687E6144"/>
    <w:rsid w:val="695B6781"/>
    <w:rsid w:val="6C6069FD"/>
    <w:rsid w:val="70D54D8B"/>
    <w:rsid w:val="79140D47"/>
    <w:rsid w:val="7DE63304"/>
    <w:rsid w:val="7F1D7FF3"/>
    <w:rsid w:val="7F805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0"/>
    <w:pPr>
      <w:keepNext/>
      <w:keepLines/>
      <w:spacing w:before="240" w:after="240" w:line="360" w:lineRule="auto"/>
      <w:outlineLvl w:val="1"/>
    </w:pPr>
    <w:rPr>
      <w:rFonts w:ascii="Arial" w:hAnsi="宋体" w:eastAsia="宋体" w:cs="Arial"/>
      <w:b/>
      <w:bCs/>
      <w:sz w:val="30"/>
      <w:szCs w:val="30"/>
    </w:rPr>
  </w:style>
  <w:style w:type="paragraph" w:styleId="5">
    <w:name w:val="heading 3"/>
    <w:basedOn w:val="1"/>
    <w:next w:val="1"/>
    <w:unhideWhenUsed/>
    <w:qFormat/>
    <w:uiPriority w:val="0"/>
    <w:pPr>
      <w:keepNext/>
      <w:keepLines/>
      <w:numPr>
        <w:ilvl w:val="2"/>
        <w:numId w:val="1"/>
      </w:numPr>
      <w:spacing w:line="360" w:lineRule="auto"/>
      <w:ind w:left="709" w:hanging="709"/>
      <w:jc w:val="both"/>
      <w:outlineLvl w:val="2"/>
    </w:pPr>
    <w:rPr>
      <w:rFonts w:cs="Times New Roman"/>
      <w:b/>
      <w:bCs/>
      <w:sz w:val="28"/>
      <w:szCs w:val="28"/>
    </w:rPr>
  </w:style>
  <w:style w:type="paragraph" w:styleId="6">
    <w:name w:val="heading 4"/>
    <w:basedOn w:val="1"/>
    <w:next w:val="1"/>
    <w:qFormat/>
    <w:uiPriority w:val="0"/>
    <w:pPr>
      <w:keepNext/>
      <w:keepLines/>
      <w:widowControl/>
      <w:spacing w:before="280" w:after="290" w:line="376" w:lineRule="atLeast"/>
      <w:outlineLvl w:val="3"/>
    </w:pPr>
    <w:rPr>
      <w:rFonts w:ascii="Arial" w:hAnsi="Arial"/>
      <w:b/>
      <w:bCs/>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Indent"/>
    <w:basedOn w:val="1"/>
    <w:next w:val="1"/>
    <w:qFormat/>
    <w:uiPriority w:val="0"/>
    <w:pPr>
      <w:widowControl w:val="0"/>
      <w:ind w:firstLine="420" w:firstLineChars="200"/>
      <w:jc w:val="both"/>
    </w:pPr>
    <w:rPr>
      <w:rFonts w:ascii="Calibri" w:hAnsi="Calibri"/>
      <w:kern w:val="2"/>
      <w:sz w:val="21"/>
      <w:lang w:val="en-US" w:eastAsia="zh-CN" w:bidi="ar-SA"/>
    </w:rPr>
  </w:style>
  <w:style w:type="paragraph" w:styleId="8">
    <w:name w:val="caption"/>
    <w:basedOn w:val="1"/>
    <w:next w:val="1"/>
    <w:qFormat/>
    <w:uiPriority w:val="0"/>
    <w:rPr>
      <w:b/>
    </w:rPr>
  </w:style>
  <w:style w:type="paragraph" w:styleId="9">
    <w:name w:val="Body Text"/>
    <w:basedOn w:val="1"/>
    <w:next w:val="10"/>
    <w:qFormat/>
    <w:uiPriority w:val="0"/>
    <w:pPr>
      <w:autoSpaceDE w:val="0"/>
      <w:autoSpaceDN w:val="0"/>
      <w:adjustRightInd w:val="0"/>
      <w:spacing w:line="590" w:lineRule="exact"/>
      <w:ind w:firstLine="640" w:firstLineChars="200"/>
      <w:jc w:val="center"/>
    </w:pPr>
    <w:rPr>
      <w:rFonts w:ascii="方正小标宋简体" w:hAnsi="Times New Roman" w:eastAsia="方正小标宋简体"/>
      <w:kern w:val="0"/>
      <w:sz w:val="44"/>
      <w:szCs w:val="20"/>
    </w:rPr>
  </w:style>
  <w:style w:type="paragraph" w:styleId="10">
    <w:name w:val="Body Text 2"/>
    <w:basedOn w:val="1"/>
    <w:qFormat/>
    <w:uiPriority w:val="0"/>
    <w:pPr>
      <w:spacing w:after="120" w:afterLines="0" w:line="480" w:lineRule="auto"/>
    </w:pPr>
    <w:rPr>
      <w:rFonts w:eastAsia="仿宋_GB2312"/>
    </w:rPr>
  </w:style>
  <w:style w:type="paragraph" w:styleId="11">
    <w:name w:val="Body Text Indent"/>
    <w:basedOn w:val="1"/>
    <w:next w:val="6"/>
    <w:qFormat/>
    <w:uiPriority w:val="0"/>
    <w:pPr>
      <w:spacing w:after="120"/>
      <w:ind w:left="420" w:leftChars="200"/>
    </w:pPr>
  </w:style>
  <w:style w:type="paragraph" w:styleId="12">
    <w:name w:val="List Bullet 5"/>
    <w:basedOn w:val="1"/>
    <w:qFormat/>
    <w:uiPriority w:val="0"/>
    <w:pPr>
      <w:numPr>
        <w:ilvl w:val="0"/>
        <w:numId w:val="2"/>
      </w:numPr>
    </w:pPr>
  </w:style>
  <w:style w:type="paragraph" w:styleId="13">
    <w:name w:val="Body Text Indent 2"/>
    <w:basedOn w:val="1"/>
    <w:qFormat/>
    <w:uiPriority w:val="0"/>
    <w:pPr>
      <w:widowControl/>
      <w:spacing w:after="120" w:line="480" w:lineRule="auto"/>
      <w:ind w:left="420" w:leftChars="200"/>
      <w:jc w:val="left"/>
    </w:pPr>
    <w:rPr>
      <w:rFonts w:ascii="Times New Roman" w:hAnsi="Times New Roman" w:eastAsia="宋体" w:cs="Times New Roman"/>
      <w:kern w:val="0"/>
      <w:lang w:eastAsia="en-US" w:bidi="en-US"/>
    </w:rPr>
  </w:style>
  <w:style w:type="paragraph" w:styleId="14">
    <w:name w:val="footer"/>
    <w:basedOn w:val="1"/>
    <w:qFormat/>
    <w:uiPriority w:val="0"/>
    <w:pPr>
      <w:tabs>
        <w:tab w:val="center" w:pos="4153"/>
        <w:tab w:val="right" w:pos="8306"/>
      </w:tabs>
      <w:snapToGrid w:val="0"/>
      <w:jc w:val="left"/>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9"/>
    <w:next w:val="11"/>
    <w:qFormat/>
    <w:uiPriority w:val="0"/>
    <w:pPr>
      <w:ind w:firstLine="420" w:firstLineChars="100"/>
    </w:pPr>
  </w:style>
  <w:style w:type="paragraph" w:styleId="19">
    <w:name w:val="Body Text First Indent 2"/>
    <w:basedOn w:val="11"/>
    <w:next w:val="18"/>
    <w:qFormat/>
    <w:uiPriority w:val="0"/>
    <w:pPr>
      <w:widowControl w:val="0"/>
      <w:autoSpaceDE/>
      <w:autoSpaceDN/>
      <w:adjustRightInd/>
      <w:spacing w:after="120" w:line="240" w:lineRule="auto"/>
      <w:ind w:left="420" w:leftChars="200" w:firstLine="420" w:firstLineChars="200"/>
      <w:jc w:val="both"/>
      <w:textAlignment w:val="auto"/>
    </w:pPr>
    <w:rPr>
      <w:kern w:val="2"/>
      <w:sz w:val="21"/>
      <w:szCs w:val="24"/>
      <w:lang w:eastAsia="zh-CN" w:bidi="ar-SA"/>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basedOn w:val="22"/>
    <w:qFormat/>
    <w:uiPriority w:val="0"/>
    <w:rPr>
      <w:i/>
    </w:rPr>
  </w:style>
  <w:style w:type="paragraph" w:customStyle="1" w:styleId="25">
    <w:name w:val="表格内"/>
    <w:basedOn w:val="1"/>
    <w:autoRedefine/>
    <w:qFormat/>
    <w:uiPriority w:val="0"/>
    <w:pPr>
      <w:adjustRightInd w:val="0"/>
      <w:spacing w:line="240" w:lineRule="atLeast"/>
      <w:jc w:val="center"/>
      <w:textAlignment w:val="baseline"/>
    </w:pPr>
    <w:rPr>
      <w:rFonts w:ascii="宋体"/>
      <w:kern w:val="0"/>
      <w:sz w:val="28"/>
      <w:szCs w:val="20"/>
    </w:rPr>
  </w:style>
  <w:style w:type="paragraph" w:customStyle="1" w:styleId="26">
    <w:name w:val="标题二A"/>
    <w:basedOn w:val="27"/>
    <w:qFormat/>
    <w:uiPriority w:val="0"/>
    <w:pPr>
      <w:spacing w:before="120" w:after="120" w:line="500" w:lineRule="exact"/>
      <w:outlineLvl w:val="1"/>
    </w:pPr>
    <w:rPr>
      <w:rFonts w:cs="楷体_GB2312"/>
      <w:sz w:val="30"/>
      <w:szCs w:val="30"/>
    </w:rPr>
  </w:style>
  <w:style w:type="paragraph" w:customStyle="1" w:styleId="27">
    <w:name w:val="标题二!!!!!!!!!!!!!!!!"/>
    <w:basedOn w:val="28"/>
    <w:qFormat/>
    <w:uiPriority w:val="0"/>
    <w:pPr>
      <w:keepNext w:val="0"/>
      <w:keepLines w:val="0"/>
      <w:widowControl w:val="0"/>
      <w:jc w:val="both"/>
    </w:pPr>
  </w:style>
  <w:style w:type="paragraph" w:customStyle="1" w:styleId="28">
    <w:name w:val="标题二！！！！！"/>
    <w:basedOn w:val="4"/>
    <w:qFormat/>
    <w:uiPriority w:val="0"/>
    <w:pPr>
      <w:keepNext w:val="0"/>
      <w:keepLines w:val="0"/>
      <w:spacing w:before="120" w:after="120" w:line="500" w:lineRule="exact"/>
    </w:pPr>
    <w:rPr>
      <w:rFonts w:ascii="楷体_GB2312" w:hAnsi="楷体_GB2312" w:eastAsia="楷体_GB2312" w:cs="Times New Roman"/>
    </w:rPr>
  </w:style>
  <w:style w:type="paragraph" w:customStyle="1" w:styleId="29">
    <w:name w:val="正文格式"/>
    <w:basedOn w:val="18"/>
    <w:next w:val="30"/>
    <w:autoRedefine/>
    <w:qFormat/>
    <w:uiPriority w:val="0"/>
    <w:pPr>
      <w:widowControl/>
      <w:spacing w:after="0" w:line="360" w:lineRule="auto"/>
      <w:ind w:firstLine="200" w:firstLineChars="200"/>
      <w:jc w:val="left"/>
    </w:pPr>
    <w:rPr>
      <w:rFonts w:ascii="宋体" w:hAnsi="Times New Roman"/>
      <w:sz w:val="24"/>
      <w:szCs w:val="24"/>
    </w:rPr>
  </w:style>
  <w:style w:type="paragraph" w:customStyle="1" w:styleId="30">
    <w:name w:val="表、图名宋旭峰"/>
    <w:basedOn w:val="31"/>
    <w:autoRedefine/>
    <w:qFormat/>
    <w:uiPriority w:val="0"/>
    <w:pPr>
      <w:spacing w:before="120" w:beforeLines="50" w:line="360" w:lineRule="auto"/>
    </w:pPr>
    <w:rPr>
      <w:rFonts w:ascii="Times New Roman" w:hAnsi="宋体" w:eastAsia="宋体" w:cs="Times New Roman"/>
      <w:snapToGrid w:val="0"/>
      <w:kern w:val="0"/>
      <w:sz w:val="28"/>
      <w:szCs w:val="28"/>
    </w:rPr>
  </w:style>
  <w:style w:type="paragraph" w:customStyle="1" w:styleId="31">
    <w:name w:val="表头"/>
    <w:basedOn w:val="7"/>
    <w:next w:val="1"/>
    <w:autoRedefine/>
    <w:qFormat/>
    <w:uiPriority w:val="0"/>
    <w:pPr>
      <w:widowControl w:val="0"/>
      <w:spacing w:line="500" w:lineRule="exact"/>
      <w:jc w:val="center"/>
    </w:pPr>
    <w:rPr>
      <w:rFonts w:ascii="楷体_GB2312" w:hAnsi="楷体_GB2312" w:eastAsia="楷体_GB2312" w:cs="楷体_GB2312"/>
      <w:b/>
      <w:kern w:val="2"/>
      <w:sz w:val="24"/>
      <w:szCs w:val="24"/>
      <w:lang w:val="en-US" w:eastAsia="zh-CN" w:bidi="ar-SA"/>
    </w:rPr>
  </w:style>
  <w:style w:type="table" w:customStyle="1" w:styleId="32">
    <w:name w:val="Table Normal"/>
    <w:autoRedefine/>
    <w:unhideWhenUsed/>
    <w:qFormat/>
    <w:uiPriority w:val="0"/>
    <w:tblPr>
      <w:tblCellMar>
        <w:top w:w="0" w:type="dxa"/>
        <w:left w:w="0" w:type="dxa"/>
        <w:bottom w:w="0" w:type="dxa"/>
        <w:right w:w="0" w:type="dxa"/>
      </w:tblCellMar>
    </w:tblPr>
  </w:style>
  <w:style w:type="paragraph" w:customStyle="1" w:styleId="33">
    <w:name w:val="Default"/>
    <w:basedOn w:val="34"/>
    <w:next w:val="1"/>
    <w:autoRedefine/>
    <w:qFormat/>
    <w:uiPriority w:val="0"/>
    <w:pPr>
      <w:widowControl w:val="0"/>
      <w:tabs>
        <w:tab w:val="left" w:pos="1845"/>
      </w:tabs>
      <w:autoSpaceDE w:val="0"/>
      <w:autoSpaceDN w:val="0"/>
      <w:adjustRightInd w:val="0"/>
    </w:pPr>
    <w:rPr>
      <w:rFonts w:ascii="宋体" w:eastAsia="宋体" w:cs="宋体" w:hAnsiTheme="minorHAnsi"/>
      <w:color w:val="000000"/>
      <w:sz w:val="24"/>
      <w:szCs w:val="24"/>
      <w:lang w:val="en-US" w:eastAsia="zh-CN" w:bidi="ar-SA"/>
    </w:rPr>
  </w:style>
  <w:style w:type="paragraph" w:customStyle="1" w:styleId="34">
    <w:name w:val="1 表头"/>
    <w:basedOn w:val="1"/>
    <w:autoRedefine/>
    <w:qFormat/>
    <w:uiPriority w:val="0"/>
    <w:pPr>
      <w:adjustRightInd w:val="0"/>
      <w:snapToGrid w:val="0"/>
      <w:spacing w:line="240" w:lineRule="auto"/>
      <w:ind w:firstLine="0" w:firstLineChars="0"/>
      <w:jc w:val="center"/>
    </w:pPr>
    <w:rPr>
      <w:b/>
      <w:color w:val="000000"/>
      <w:sz w:val="21"/>
      <w:szCs w:val="21"/>
    </w:rPr>
  </w:style>
  <w:style w:type="paragraph" w:customStyle="1" w:styleId="35">
    <w:name w:val="Table Text"/>
    <w:basedOn w:val="1"/>
    <w:autoRedefine/>
    <w:semiHidden/>
    <w:qFormat/>
    <w:uiPriority w:val="0"/>
    <w:rPr>
      <w:rFonts w:ascii="微软雅黑" w:hAnsi="微软雅黑" w:eastAsia="微软雅黑" w:cs="微软雅黑"/>
      <w:sz w:val="22"/>
      <w:szCs w:val="22"/>
      <w:lang w:val="en-US" w:eastAsia="en-US" w:bidi="ar-SA"/>
    </w:rPr>
  </w:style>
  <w:style w:type="paragraph" w:customStyle="1" w:styleId="36">
    <w:name w:val="正文A"/>
    <w:basedOn w:val="37"/>
    <w:qFormat/>
    <w:uiPriority w:val="0"/>
    <w:pPr>
      <w:spacing w:line="500" w:lineRule="exact"/>
      <w:ind w:firstLine="480" w:firstLineChars="200"/>
    </w:pPr>
    <w:rPr>
      <w:rFonts w:ascii="Times New Roman" w:hAnsi="Times New Roman" w:cs="华文仿宋"/>
      <w:sz w:val="24"/>
      <w:szCs w:val="24"/>
    </w:rPr>
  </w:style>
  <w:style w:type="paragraph" w:customStyle="1" w:styleId="37">
    <w:name w:val="正文!!!!!!!!!!!"/>
    <w:basedOn w:val="38"/>
    <w:qFormat/>
    <w:uiPriority w:val="0"/>
    <w:pPr>
      <w:ind w:firstLine="480"/>
    </w:pPr>
    <w:rPr>
      <w:rFonts w:ascii="Times New Roman" w:hAnsi="Times New Roman" w:eastAsia="宋体"/>
    </w:rPr>
  </w:style>
  <w:style w:type="paragraph" w:customStyle="1" w:styleId="38">
    <w:name w:val="正文 楷体"/>
    <w:basedOn w:val="1"/>
    <w:qFormat/>
    <w:uiPriority w:val="0"/>
    <w:pPr>
      <w:spacing w:line="500" w:lineRule="exact"/>
      <w:ind w:firstLine="200" w:firstLineChars="200"/>
    </w:pPr>
    <w:rPr>
      <w:rFonts w:ascii="楷体_GB2312" w:hAnsi="楷体_GB2312" w:eastAsia="楷体_GB2312"/>
      <w:kern w:val="2"/>
      <w:szCs w:val="24"/>
    </w:rPr>
  </w:style>
  <w:style w:type="paragraph" w:customStyle="1" w:styleId="39">
    <w:name w:val="B图表标题"/>
    <w:basedOn w:val="40"/>
    <w:next w:val="13"/>
    <w:autoRedefine/>
    <w:qFormat/>
    <w:uiPriority w:val="0"/>
    <w:pPr>
      <w:spacing w:before="120" w:line="240" w:lineRule="auto"/>
    </w:pPr>
    <w:rPr>
      <w:rFonts w:eastAsia="宋体"/>
      <w:b/>
      <w:sz w:val="24"/>
    </w:rPr>
  </w:style>
  <w:style w:type="paragraph" w:customStyle="1" w:styleId="40">
    <w:name w:val="图表名"/>
    <w:basedOn w:val="1"/>
    <w:autoRedefine/>
    <w:qFormat/>
    <w:uiPriority w:val="0"/>
    <w:pPr>
      <w:adjustRightInd w:val="0"/>
      <w:snapToGrid w:val="0"/>
      <w:spacing w:line="360" w:lineRule="auto"/>
      <w:jc w:val="center"/>
    </w:pPr>
    <w:rPr>
      <w:rFonts w:ascii="Times New Roman" w:hAnsi="Times New Roman" w:eastAsia="黑体"/>
      <w:snapToGrid w:val="0"/>
      <w:color w:val="000000"/>
      <w:kern w:val="0"/>
      <w:sz w:val="28"/>
      <w:szCs w:val="28"/>
    </w:rPr>
  </w:style>
  <w:style w:type="character" w:customStyle="1" w:styleId="41">
    <w:name w:val="font21"/>
    <w:basedOn w:val="22"/>
    <w:qFormat/>
    <w:uiPriority w:val="0"/>
    <w:rPr>
      <w:rFonts w:hint="default" w:ascii="Times New Roman" w:hAnsi="Times New Roman" w:cs="Times New Roman"/>
      <w:b/>
      <w:bCs/>
      <w:color w:val="000000"/>
      <w:sz w:val="21"/>
      <w:szCs w:val="21"/>
      <w:u w:val="none"/>
    </w:rPr>
  </w:style>
  <w:style w:type="paragraph" w:customStyle="1" w:styleId="42">
    <w:name w:val="表格中字"/>
    <w:qFormat/>
    <w:uiPriority w:val="0"/>
    <w:pPr>
      <w:widowControl w:val="0"/>
      <w:overflowPunct w:val="0"/>
      <w:autoSpaceDE w:val="0"/>
      <w:autoSpaceDN w:val="0"/>
      <w:adjustRightInd w:val="0"/>
      <w:snapToGrid w:val="0"/>
      <w:spacing w:line="300" w:lineRule="atLeast"/>
      <w:jc w:val="center"/>
      <w:textAlignment w:val="baseline"/>
    </w:pPr>
    <w:rPr>
      <w:rFonts w:ascii="Times New Roman" w:hAnsi="Times New Roman" w:eastAsia="宋体" w:cs="Times New Roman"/>
      <w:sz w:val="21"/>
      <w:lang w:val="en-US" w:eastAsia="zh-CN" w:bidi="ar-SA"/>
    </w:rPr>
  </w:style>
  <w:style w:type="character" w:customStyle="1" w:styleId="43">
    <w:name w:val="font51"/>
    <w:basedOn w:val="22"/>
    <w:autoRedefine/>
    <w:qFormat/>
    <w:uiPriority w:val="0"/>
    <w:rPr>
      <w:rFonts w:hint="eastAsia" w:ascii="宋体" w:hAnsi="宋体" w:eastAsia="宋体" w:cs="宋体"/>
      <w:color w:val="000000"/>
      <w:sz w:val="21"/>
      <w:szCs w:val="21"/>
      <w:u w:val="none"/>
    </w:rPr>
  </w:style>
  <w:style w:type="character" w:customStyle="1" w:styleId="44">
    <w:name w:val="font11"/>
    <w:basedOn w:val="22"/>
    <w:qFormat/>
    <w:uiPriority w:val="0"/>
    <w:rPr>
      <w:rFonts w:hint="eastAsia" w:ascii="宋体" w:hAnsi="宋体" w:eastAsia="宋体" w:cs="宋体"/>
      <w:color w:val="000000"/>
      <w:sz w:val="21"/>
      <w:szCs w:val="21"/>
      <w:u w:val="none"/>
    </w:rPr>
  </w:style>
  <w:style w:type="character" w:customStyle="1" w:styleId="45">
    <w:name w:val="font31"/>
    <w:basedOn w:val="22"/>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2" Type="http://schemas.openxmlformats.org/officeDocument/2006/relationships/fontTable" Target="fontTable.xml"/><Relationship Id="rId81" Type="http://schemas.openxmlformats.org/officeDocument/2006/relationships/customXml" Target="../customXml/item2.xml"/><Relationship Id="rId80" Type="http://schemas.openxmlformats.org/officeDocument/2006/relationships/numbering" Target="numbering.xml"/><Relationship Id="rId8" Type="http://schemas.openxmlformats.org/officeDocument/2006/relationships/footer" Target="footer4.xml"/><Relationship Id="rId79" Type="http://schemas.openxmlformats.org/officeDocument/2006/relationships/customXml" Target="../customXml/item1.xml"/><Relationship Id="rId78" Type="http://schemas.openxmlformats.org/officeDocument/2006/relationships/image" Target="media/image54.jpeg"/><Relationship Id="rId77" Type="http://schemas.openxmlformats.org/officeDocument/2006/relationships/image" Target="media/image53.png"/><Relationship Id="rId76" Type="http://schemas.openxmlformats.org/officeDocument/2006/relationships/image" Target="media/image52.png"/><Relationship Id="rId75" Type="http://schemas.openxmlformats.org/officeDocument/2006/relationships/image" Target="media/image51.png"/><Relationship Id="rId74" Type="http://schemas.openxmlformats.org/officeDocument/2006/relationships/image" Target="media/image50.png"/><Relationship Id="rId73" Type="http://schemas.openxmlformats.org/officeDocument/2006/relationships/image" Target="media/image49.png"/><Relationship Id="rId72" Type="http://schemas.openxmlformats.org/officeDocument/2006/relationships/image" Target="media/image48.jpeg"/><Relationship Id="rId71" Type="http://schemas.openxmlformats.org/officeDocument/2006/relationships/image" Target="media/image47.png"/><Relationship Id="rId70" Type="http://schemas.openxmlformats.org/officeDocument/2006/relationships/image" Target="media/image46.jpeg"/><Relationship Id="rId7" Type="http://schemas.openxmlformats.org/officeDocument/2006/relationships/footer" Target="footer3.xml"/><Relationship Id="rId69" Type="http://schemas.openxmlformats.org/officeDocument/2006/relationships/image" Target="media/image45.png"/><Relationship Id="rId68" Type="http://schemas.openxmlformats.org/officeDocument/2006/relationships/image" Target="media/image44.png"/><Relationship Id="rId67" Type="http://schemas.openxmlformats.org/officeDocument/2006/relationships/image" Target="media/image43.png"/><Relationship Id="rId66" Type="http://schemas.openxmlformats.org/officeDocument/2006/relationships/image" Target="media/image42.png"/><Relationship Id="rId65" Type="http://schemas.openxmlformats.org/officeDocument/2006/relationships/image" Target="media/image41.png"/><Relationship Id="rId64" Type="http://schemas.openxmlformats.org/officeDocument/2006/relationships/image" Target="media/image40.png"/><Relationship Id="rId63" Type="http://schemas.openxmlformats.org/officeDocument/2006/relationships/image" Target="media/image39.jpeg"/><Relationship Id="rId62" Type="http://schemas.openxmlformats.org/officeDocument/2006/relationships/image" Target="media/image38.png"/><Relationship Id="rId61" Type="http://schemas.openxmlformats.org/officeDocument/2006/relationships/image" Target="media/image37.png"/><Relationship Id="rId60" Type="http://schemas.openxmlformats.org/officeDocument/2006/relationships/image" Target="media/image36.png"/><Relationship Id="rId6" Type="http://schemas.openxmlformats.org/officeDocument/2006/relationships/header" Target="header2.xml"/><Relationship Id="rId59" Type="http://schemas.openxmlformats.org/officeDocument/2006/relationships/image" Target="media/image35.png"/><Relationship Id="rId58" Type="http://schemas.openxmlformats.org/officeDocument/2006/relationships/chart" Target="charts/chart3.xml"/><Relationship Id="rId57" Type="http://schemas.openxmlformats.org/officeDocument/2006/relationships/chart" Target="charts/chart2.xml"/><Relationship Id="rId56" Type="http://schemas.openxmlformats.org/officeDocument/2006/relationships/chart" Target="charts/chart1.xml"/><Relationship Id="rId55" Type="http://schemas.openxmlformats.org/officeDocument/2006/relationships/image" Target="media/image34.png"/><Relationship Id="rId54" Type="http://schemas.openxmlformats.org/officeDocument/2006/relationships/image" Target="media/image33.wmf"/><Relationship Id="rId53" Type="http://schemas.openxmlformats.org/officeDocument/2006/relationships/oleObject" Target="embeddings/oleObject8.bin"/><Relationship Id="rId52" Type="http://schemas.openxmlformats.org/officeDocument/2006/relationships/image" Target="media/image32.wmf"/><Relationship Id="rId51" Type="http://schemas.openxmlformats.org/officeDocument/2006/relationships/oleObject" Target="embeddings/oleObject7.bin"/><Relationship Id="rId50" Type="http://schemas.openxmlformats.org/officeDocument/2006/relationships/image" Target="media/image31.wmf"/><Relationship Id="rId5" Type="http://schemas.openxmlformats.org/officeDocument/2006/relationships/footer" Target="footer2.xml"/><Relationship Id="rId49" Type="http://schemas.openxmlformats.org/officeDocument/2006/relationships/oleObject" Target="embeddings/oleObject6.bin"/><Relationship Id="rId48" Type="http://schemas.openxmlformats.org/officeDocument/2006/relationships/image" Target="media/image30.wmf"/><Relationship Id="rId47" Type="http://schemas.openxmlformats.org/officeDocument/2006/relationships/oleObject" Target="embeddings/oleObject5.bin"/><Relationship Id="rId46" Type="http://schemas.openxmlformats.org/officeDocument/2006/relationships/image" Target="media/image29.wmf"/><Relationship Id="rId45" Type="http://schemas.openxmlformats.org/officeDocument/2006/relationships/oleObject" Target="embeddings/oleObject4.bin"/><Relationship Id="rId44" Type="http://schemas.openxmlformats.org/officeDocument/2006/relationships/image" Target="media/image28.jpeg"/><Relationship Id="rId43" Type="http://schemas.openxmlformats.org/officeDocument/2006/relationships/image" Target="media/image27.wmf"/><Relationship Id="rId42" Type="http://schemas.openxmlformats.org/officeDocument/2006/relationships/oleObject" Target="embeddings/oleObject3.bin"/><Relationship Id="rId41" Type="http://schemas.openxmlformats.org/officeDocument/2006/relationships/image" Target="media/image26.wmf"/><Relationship Id="rId40" Type="http://schemas.openxmlformats.org/officeDocument/2006/relationships/oleObject" Target="embeddings/oleObject2.bin"/><Relationship Id="rId4" Type="http://schemas.openxmlformats.org/officeDocument/2006/relationships/header" Target="header1.xml"/><Relationship Id="rId39" Type="http://schemas.openxmlformats.org/officeDocument/2006/relationships/image" Target="media/image25.wmf"/><Relationship Id="rId38" Type="http://schemas.openxmlformats.org/officeDocument/2006/relationships/oleObject" Target="embeddings/oleObject1.bin"/><Relationship Id="rId37" Type="http://schemas.openxmlformats.org/officeDocument/2006/relationships/image" Target="media/image24.wmf"/><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er" Target="foot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氨氮</a:t>
            </a:r>
            <a:r>
              <a:rPr lang="en-US" altLang="zh-CN"/>
              <a:t>100</a:t>
            </a:r>
            <a:r>
              <a:t>天浓度变化         </a:t>
            </a:r>
          </a:p>
        </c:rich>
      </c:tx>
      <c:layout/>
      <c:overlay val="0"/>
      <c:spPr>
        <a:noFill/>
        <a:ln>
          <a:noFill/>
        </a:ln>
        <a:effectLst/>
      </c:spPr>
    </c:title>
    <c:autoTitleDeleted val="0"/>
    <c:plotArea>
      <c:layout/>
      <c:lineChart>
        <c:grouping val="standard"/>
        <c:varyColors val="0"/>
        <c:ser>
          <c:idx val="1"/>
          <c:order val="0"/>
          <c:tx>
            <c:strRef>
              <c:f>[工作簿1]Sheet1!$J$10</c:f>
              <c:strCache>
                <c:ptCount val="1"/>
                <c:pt idx="0">
                  <c:v>100天         </c:v>
                </c:pt>
              </c:strCache>
            </c:strRef>
          </c:tx>
          <c:spPr>
            <a:ln w="28575" cap="rnd">
              <a:solidFill>
                <a:schemeClr val="accent2"/>
              </a:solidFill>
              <a:round/>
            </a:ln>
            <a:effectLst/>
          </c:spPr>
          <c:marker>
            <c:symbol val="none"/>
          </c:marker>
          <c:dLbls>
            <c:delete val="1"/>
          </c:dLbls>
          <c:cat>
            <c:numRef>
              <c:f>[工作簿1]Sheet1!$I$11:$I$21</c:f>
              <c:numCache>
                <c:formatCode>General</c:formatCode>
                <c:ptCount val="11"/>
                <c:pt idx="0">
                  <c:v>0</c:v>
                </c:pt>
                <c:pt idx="1">
                  <c:v>5</c:v>
                </c:pt>
                <c:pt idx="2">
                  <c:v>10</c:v>
                </c:pt>
                <c:pt idx="3">
                  <c:v>15</c:v>
                </c:pt>
                <c:pt idx="4">
                  <c:v>20</c:v>
                </c:pt>
                <c:pt idx="5">
                  <c:v>25</c:v>
                </c:pt>
                <c:pt idx="6">
                  <c:v>30</c:v>
                </c:pt>
                <c:pt idx="7">
                  <c:v>35</c:v>
                </c:pt>
                <c:pt idx="8">
                  <c:v>40</c:v>
                </c:pt>
                <c:pt idx="9">
                  <c:v>45</c:v>
                </c:pt>
                <c:pt idx="10">
                  <c:v>50</c:v>
                </c:pt>
              </c:numCache>
            </c:numRef>
          </c:cat>
          <c:val>
            <c:numRef>
              <c:f>[工作簿1]Sheet1!$J$11:$J$21</c:f>
              <c:numCache>
                <c:formatCode>0.00E+00</c:formatCode>
                <c:ptCount val="11"/>
                <c:pt idx="0">
                  <c:v>136</c:v>
                </c:pt>
                <c:pt idx="1">
                  <c:v>174</c:v>
                </c:pt>
                <c:pt idx="2">
                  <c:v>136</c:v>
                </c:pt>
                <c:pt idx="3">
                  <c:v>64.2</c:v>
                </c:pt>
                <c:pt idx="4">
                  <c:v>18.4</c:v>
                </c:pt>
                <c:pt idx="5">
                  <c:v>3.2</c:v>
                </c:pt>
                <c:pt idx="6">
                  <c:v>0.337</c:v>
                </c:pt>
                <c:pt idx="7">
                  <c:v>0.0215</c:v>
                </c:pt>
                <c:pt idx="8">
                  <c:v>0.000835</c:v>
                </c:pt>
                <c:pt idx="9">
                  <c:v>1.96e-5</c:v>
                </c:pt>
                <c:pt idx="10">
                  <c:v>2.8e-7</c:v>
                </c:pt>
              </c:numCache>
            </c:numRef>
          </c:val>
          <c:smooth val="0"/>
        </c:ser>
        <c:dLbls>
          <c:showLegendKey val="0"/>
          <c:showVal val="0"/>
          <c:showCatName val="0"/>
          <c:showSerName val="0"/>
          <c:showPercent val="0"/>
          <c:showBubbleSize val="0"/>
        </c:dLbls>
        <c:marker val="0"/>
        <c:smooth val="0"/>
        <c:axId val="523455935"/>
        <c:axId val="327679157"/>
      </c:lineChart>
      <c:catAx>
        <c:axId val="523455935"/>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距离（</a:t>
                </a:r>
                <a:r>
                  <a:rPr lang="en-US" altLang="zh-CN"/>
                  <a:t>m</a:t>
                </a:r>
                <a:r>
                  <a:rPr altLang="en-US"/>
                  <a:t>）</a:t>
                </a:r>
                <a:endParaRPr lang="en-US" altLang="zh-CN"/>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679157"/>
        <c:crosses val="autoZero"/>
        <c:auto val="1"/>
        <c:lblAlgn val="ctr"/>
        <c:lblOffset val="100"/>
        <c:noMultiLvlLbl val="0"/>
      </c:catAx>
      <c:valAx>
        <c:axId val="327679157"/>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浓度</a:t>
                </a:r>
                <a:r>
                  <a:rPr lang="en-US" altLang="zh-CN"/>
                  <a:t>mg/L</a:t>
                </a:r>
                <a:endParaRPr lang="en-US" altLang="zh-CN"/>
              </a:p>
            </c:rich>
          </c:tx>
          <c:layout/>
          <c:overlay val="0"/>
          <c:spPr>
            <a:noFill/>
            <a:ln>
              <a:noFill/>
            </a:ln>
            <a:effectLst/>
          </c:spPr>
        </c:title>
        <c:numFmt formatCode="0.00E+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3455935"/>
        <c:crosses val="autoZero"/>
        <c:crossBetween val="between"/>
      </c:valAx>
      <c:spPr>
        <a:noFill/>
        <a:ln>
          <a:noFill/>
        </a:ln>
        <a:effectLst/>
      </c:spPr>
    </c:plotArea>
    <c:plotVisOnly val="1"/>
    <c:dispBlanksAs val="gap"/>
    <c:showDLblsOverMax val="0"/>
    <c:extLst>
      <c:ext uri="{0b15fc19-7d7d-44ad-8c2d-2c3a37ce22c3}">
        <chartProps xmlns="https://web.wps.cn/et/2018/main" chartId="{b4832f87-9c5a-42c4-9787-acbc66800df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氨氮100</a:t>
            </a:r>
            <a:r>
              <a:rPr lang="en-US" altLang="zh-CN"/>
              <a:t>0</a:t>
            </a:r>
            <a:r>
              <a:t>天浓度变化         </a:t>
            </a:r>
          </a:p>
        </c:rich>
      </c:tx>
      <c:layout/>
      <c:overlay val="0"/>
      <c:spPr>
        <a:noFill/>
        <a:ln>
          <a:noFill/>
        </a:ln>
        <a:effectLst/>
      </c:spPr>
    </c:title>
    <c:autoTitleDeleted val="0"/>
    <c:plotArea>
      <c:layout/>
      <c:lineChart>
        <c:grouping val="standard"/>
        <c:varyColors val="0"/>
        <c:ser>
          <c:idx val="1"/>
          <c:order val="0"/>
          <c:tx>
            <c:strRef>
              <c:f>[工作簿1]Sheet1!$J$10</c:f>
              <c:strCache>
                <c:ptCount val="1"/>
                <c:pt idx="0">
                  <c:v>1000天         </c:v>
                </c:pt>
              </c:strCache>
            </c:strRef>
          </c:tx>
          <c:spPr>
            <a:ln w="28575" cap="rnd">
              <a:solidFill>
                <a:schemeClr val="accent2"/>
              </a:solidFill>
              <a:round/>
            </a:ln>
            <a:effectLst/>
          </c:spPr>
          <c:marker>
            <c:symbol val="none"/>
          </c:marker>
          <c:dLbls>
            <c:delete val="1"/>
          </c:dLbls>
          <c:cat>
            <c:numRef>
              <c:f>[工作簿1]Sheet1!$I$11:$I$21</c:f>
              <c:numCache>
                <c:formatCode>General</c:formatCode>
                <c:ptCount val="11"/>
                <c:pt idx="0">
                  <c:v>0</c:v>
                </c:pt>
                <c:pt idx="1">
                  <c:v>50</c:v>
                </c:pt>
                <c:pt idx="2">
                  <c:v>100</c:v>
                </c:pt>
                <c:pt idx="3">
                  <c:v>150</c:v>
                </c:pt>
                <c:pt idx="4">
                  <c:v>200</c:v>
                </c:pt>
                <c:pt idx="5">
                  <c:v>250</c:v>
                </c:pt>
                <c:pt idx="6">
                  <c:v>300</c:v>
                </c:pt>
                <c:pt idx="7">
                  <c:v>350</c:v>
                </c:pt>
                <c:pt idx="8">
                  <c:v>400</c:v>
                </c:pt>
                <c:pt idx="9">
                  <c:v>450</c:v>
                </c:pt>
                <c:pt idx="10">
                  <c:v>500</c:v>
                </c:pt>
              </c:numCache>
            </c:numRef>
          </c:cat>
          <c:val>
            <c:numRef>
              <c:f>[工作簿1]Sheet1!$J$11:$J$21</c:f>
              <c:numCache>
                <c:formatCode>0.00E+00</c:formatCode>
                <c:ptCount val="11"/>
                <c:pt idx="0">
                  <c:v>4.53</c:v>
                </c:pt>
                <c:pt idx="1">
                  <c:v>55.2</c:v>
                </c:pt>
                <c:pt idx="2">
                  <c:v>4.53</c:v>
                </c:pt>
                <c:pt idx="3">
                  <c:v>0.00251</c:v>
                </c:pt>
                <c:pt idx="4">
                  <c:v>9.34e-9</c:v>
                </c:pt>
                <c:pt idx="5">
                  <c:v>2.34e-16</c:v>
                </c:pt>
                <c:pt idx="6">
                  <c:v>3.97e-26</c:v>
                </c:pt>
                <c:pt idx="7">
                  <c:v>4.52e-38</c:v>
                </c:pt>
                <c:pt idx="8">
                  <c:v>0</c:v>
                </c:pt>
                <c:pt idx="9">
                  <c:v>0</c:v>
                </c:pt>
                <c:pt idx="10">
                  <c:v>0</c:v>
                </c:pt>
              </c:numCache>
            </c:numRef>
          </c:val>
          <c:smooth val="0"/>
        </c:ser>
        <c:dLbls>
          <c:showLegendKey val="0"/>
          <c:showVal val="0"/>
          <c:showCatName val="0"/>
          <c:showSerName val="0"/>
          <c:showPercent val="0"/>
          <c:showBubbleSize val="0"/>
        </c:dLbls>
        <c:marker val="0"/>
        <c:smooth val="0"/>
        <c:axId val="523455935"/>
        <c:axId val="327679157"/>
      </c:lineChart>
      <c:catAx>
        <c:axId val="523455935"/>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距离（</a:t>
                </a:r>
                <a:r>
                  <a:rPr lang="en-US" altLang="zh-CN"/>
                  <a:t>m</a:t>
                </a:r>
                <a:r>
                  <a:rPr altLang="en-US"/>
                  <a:t>）</a:t>
                </a:r>
                <a:endParaRPr lang="en-US" altLang="zh-CN"/>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679157"/>
        <c:crosses val="autoZero"/>
        <c:auto val="1"/>
        <c:lblAlgn val="ctr"/>
        <c:lblOffset val="100"/>
        <c:noMultiLvlLbl val="0"/>
      </c:catAx>
      <c:valAx>
        <c:axId val="327679157"/>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浓度</a:t>
                </a:r>
                <a:r>
                  <a:rPr lang="en-US" altLang="zh-CN"/>
                  <a:t>mg/L</a:t>
                </a:r>
                <a:endParaRPr lang="en-US" altLang="zh-CN"/>
              </a:p>
            </c:rich>
          </c:tx>
          <c:layout/>
          <c:overlay val="0"/>
          <c:spPr>
            <a:noFill/>
            <a:ln>
              <a:noFill/>
            </a:ln>
            <a:effectLst/>
          </c:spPr>
        </c:title>
        <c:numFmt formatCode="0.00E+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3455935"/>
        <c:crosses val="autoZero"/>
        <c:crossBetween val="between"/>
      </c:valAx>
      <c:spPr>
        <a:noFill/>
        <a:ln>
          <a:noFill/>
        </a:ln>
        <a:effectLst/>
      </c:spPr>
    </c:plotArea>
    <c:plotVisOnly val="1"/>
    <c:dispBlanksAs val="gap"/>
    <c:showDLblsOverMax val="0"/>
    <c:extLst>
      <c:ext uri="{0b15fc19-7d7d-44ad-8c2d-2c3a37ce22c3}">
        <chartProps xmlns="https://web.wps.cn/et/2018/main" chartId="{f6789f5b-c4d3-408a-98cc-097437e2c2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氨氮</a:t>
            </a:r>
            <a:r>
              <a:rPr lang="en-US" altLang="zh-CN"/>
              <a:t>3650</a:t>
            </a:r>
            <a:r>
              <a:t>天浓度变化         </a:t>
            </a:r>
          </a:p>
        </c:rich>
      </c:tx>
      <c:layout/>
      <c:overlay val="0"/>
      <c:spPr>
        <a:noFill/>
        <a:ln>
          <a:noFill/>
        </a:ln>
        <a:effectLst/>
      </c:spPr>
    </c:title>
    <c:autoTitleDeleted val="0"/>
    <c:plotArea>
      <c:layout/>
      <c:lineChart>
        <c:grouping val="standard"/>
        <c:varyColors val="0"/>
        <c:ser>
          <c:idx val="1"/>
          <c:order val="0"/>
          <c:tx>
            <c:strRef>
              <c:f>[工作簿1]Sheet1!$J$10</c:f>
              <c:strCache>
                <c:ptCount val="1"/>
                <c:pt idx="0">
                  <c:v>3650天         </c:v>
                </c:pt>
              </c:strCache>
            </c:strRef>
          </c:tx>
          <c:spPr>
            <a:ln w="28575" cap="rnd">
              <a:solidFill>
                <a:schemeClr val="accent2"/>
              </a:solidFill>
              <a:round/>
            </a:ln>
            <a:effectLst/>
          </c:spPr>
          <c:marker>
            <c:symbol val="none"/>
          </c:marker>
          <c:dLbls>
            <c:delete val="1"/>
          </c:dLbls>
          <c:cat>
            <c:numRef>
              <c:f>[工作簿1]Sheet1!$I$11:$I$21</c:f>
              <c:numCache>
                <c:formatCode>General</c:formatCode>
                <c:ptCount val="11"/>
                <c:pt idx="0">
                  <c:v>0</c:v>
                </c:pt>
                <c:pt idx="1">
                  <c:v>100</c:v>
                </c:pt>
                <c:pt idx="2">
                  <c:v>200</c:v>
                </c:pt>
                <c:pt idx="3">
                  <c:v>300</c:v>
                </c:pt>
                <c:pt idx="4">
                  <c:v>400</c:v>
                </c:pt>
                <c:pt idx="5">
                  <c:v>500</c:v>
                </c:pt>
                <c:pt idx="6">
                  <c:v>600</c:v>
                </c:pt>
                <c:pt idx="7">
                  <c:v>700</c:v>
                </c:pt>
                <c:pt idx="8">
                  <c:v>800</c:v>
                </c:pt>
                <c:pt idx="9">
                  <c:v>900</c:v>
                </c:pt>
                <c:pt idx="10">
                  <c:v>1000</c:v>
                </c:pt>
              </c:numCache>
            </c:numRef>
          </c:cat>
          <c:val>
            <c:numRef>
              <c:f>[工作簿1]Sheet1!$J$11:$J$21</c:f>
              <c:numCache>
                <c:formatCode>0.00E+00</c:formatCode>
                <c:ptCount val="11"/>
                <c:pt idx="0">
                  <c:v>0.00315</c:v>
                </c:pt>
                <c:pt idx="1">
                  <c:v>4.47</c:v>
                </c:pt>
                <c:pt idx="2">
                  <c:v>26.6</c:v>
                </c:pt>
                <c:pt idx="3">
                  <c:v>0.657</c:v>
                </c:pt>
                <c:pt idx="4">
                  <c:v>6.79e-5</c:v>
                </c:pt>
                <c:pt idx="5">
                  <c:v>2.93e-11</c:v>
                </c:pt>
                <c:pt idx="6">
                  <c:v>5.26e-20</c:v>
                </c:pt>
                <c:pt idx="7">
                  <c:v>3.94e-31</c:v>
                </c:pt>
                <c:pt idx="8">
                  <c:v>1.26e-44</c:v>
                </c:pt>
                <c:pt idx="9">
                  <c:v>0</c:v>
                </c:pt>
                <c:pt idx="10">
                  <c:v>0</c:v>
                </c:pt>
              </c:numCache>
            </c:numRef>
          </c:val>
          <c:smooth val="0"/>
        </c:ser>
        <c:dLbls>
          <c:showLegendKey val="0"/>
          <c:showVal val="0"/>
          <c:showCatName val="0"/>
          <c:showSerName val="0"/>
          <c:showPercent val="0"/>
          <c:showBubbleSize val="0"/>
        </c:dLbls>
        <c:marker val="0"/>
        <c:smooth val="0"/>
        <c:axId val="523455935"/>
        <c:axId val="327679157"/>
      </c:lineChart>
      <c:catAx>
        <c:axId val="523455935"/>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距离（</a:t>
                </a:r>
                <a:r>
                  <a:rPr lang="en-US" altLang="zh-CN"/>
                  <a:t>m</a:t>
                </a:r>
                <a:r>
                  <a:rPr altLang="en-US"/>
                  <a:t>）</a:t>
                </a:r>
                <a:endParaRPr lang="en-US" altLang="zh-CN"/>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679157"/>
        <c:crosses val="autoZero"/>
        <c:auto val="1"/>
        <c:lblAlgn val="ctr"/>
        <c:lblOffset val="100"/>
        <c:noMultiLvlLbl val="0"/>
      </c:catAx>
      <c:valAx>
        <c:axId val="327679157"/>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浓度</a:t>
                </a:r>
                <a:r>
                  <a:rPr lang="en-US" altLang="zh-CN"/>
                  <a:t>mg/L</a:t>
                </a:r>
                <a:endParaRPr lang="en-US" altLang="zh-CN"/>
              </a:p>
            </c:rich>
          </c:tx>
          <c:layout/>
          <c:overlay val="0"/>
          <c:spPr>
            <a:noFill/>
            <a:ln>
              <a:noFill/>
            </a:ln>
            <a:effectLst/>
          </c:spPr>
        </c:title>
        <c:numFmt formatCode="0.00E+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3455935"/>
        <c:crosses val="autoZero"/>
        <c:crossBetween val="between"/>
      </c:valAx>
      <c:spPr>
        <a:noFill/>
        <a:ln>
          <a:noFill/>
        </a:ln>
        <a:effectLst/>
      </c:spPr>
    </c:plotArea>
    <c:plotVisOnly val="1"/>
    <c:dispBlanksAs val="gap"/>
    <c:showDLblsOverMax val="0"/>
    <c:extLst>
      <c:ext uri="{0b15fc19-7d7d-44ad-8c2d-2c3a37ce22c3}">
        <chartProps xmlns="https://web.wps.cn/et/2018/main" chartId="{7e7405af-a0d7-4fff-9e24-e1def55d9e8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textRotate="1"/>
  </customShpExts>
</s:customData>
</file>

<file path=customXml/item2.xml><?xml version="1.0" encoding="utf-8"?>
<contractReview xmlns="http://schemas.wps.cn/vas-ai-hub/contract-review">
  <reviewItems>
    <reviewItem>
      <errorID>9ca9e8bb-99e0-42e5-a9d0-24bc593ab034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4B36531C</paraID>
      <start>0</start>
      <end>2</end>
      <status>ignored</status>
      <modifiedWord/>
      <trackRevisions>false</trackRevisions>
    </reviewItem>
    <reviewItem>
      <errorID>6f01ea58-4695-4c87-a6b5-ea77c54deaef</errorID>
      <errorWord>〔2026〕010号</errorWord>
      <group>L1_Knowledge</group>
      <groupName>知识性问题</groupName>
      <ability>L2_Knowledge</ability>
      <abilityName>其他知识</abilityName>
      <candidateList>
        <item>〔2026〕10号</item>
      </candidateList>
      <explain>发文字号格式错误。</explain>
      <paraID>60757319</paraID>
      <start>60</start>
      <end>70</end>
      <status>ignored</status>
      <modifiedWord/>
      <trackRevisions>false</trackRevisions>
    </reviewItem>
    <reviewItem>
      <errorID>e29c6fe9-85a8-4cf6-9e2e-2ed321fbe98b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62F95B75</paraID>
      <start>65</start>
      <end>66</end>
      <status>ignored</status>
      <modifiedWord/>
      <trackRevisions>false</trackRevisions>
    </reviewItem>
    <reviewItem>
      <errorID>add435b8-c307-4bd8-b73b-2b2b477d0b80</errorID>
      <errorWord>法律、法规</errorWord>
      <group>L1_Word</group>
      <groupName>字词问题</groupName>
      <ability>L2_Typo</ability>
      <abilityName>字词错误</abilityName>
      <candidateList>
        <item>法律法规</item>
      </candidateList>
      <explain/>
      <paraID>464EF693</paraID>
      <start>64</start>
      <end>69</end>
      <status>ignored</status>
      <modifiedWord/>
      <trackRevisions>false</trackRevisions>
    </reviewItem>
    <reviewItem>
      <errorID>02b89b82-1607-406e-af17-084b5ec2b2bc</errorID>
      <errorWord>法律、法规</errorWord>
      <group>L1_Word</group>
      <groupName>字词问题</groupName>
      <ability>L2_Typo</ability>
      <abilityName>字词错误</abilityName>
      <candidateList>
        <item>法律法规</item>
      </candidateList>
      <explain/>
      <paraID>17C1E087</paraID>
      <start>51</start>
      <end>56</end>
      <status>ignored</status>
      <modifiedWord/>
      <trackRevisions>false</trackRevisions>
    </reviewItem>
    <reviewItem>
      <errorID>1eb1856e-b69c-4dc5-a0a3-da65193bf05d</errorID>
      <errorWord>法律、法规</errorWord>
      <group>L1_Word</group>
      <groupName>字词问题</groupName>
      <ability>L2_Typo</ability>
      <abilityName>字词错误</abilityName>
      <candidateList>
        <item>法律法规</item>
      </candidateList>
      <explain/>
      <paraID>5984B5C0</paraID>
      <start>91</start>
      <end>96</end>
      <status>ignored</status>
      <modifiedWord/>
      <trackRevisions>false</trackRevisions>
    </reviewItem>
    <reviewItem>
      <errorID>abf78385-a442-45fb-911d-cbd4af7725f5</errorID>
      <errorWord>淋失</errorWord>
      <group>L1_Word</group>
      <groupName>字词问题</groupName>
      <ability>L2_Typo</ability>
      <abilityName>字词错误</abilityName>
      <candidateList>
        <item>淋湿</item>
      </candidateList>
      <explain/>
      <paraID>17256676</paraID>
      <start>58</start>
      <end>60</end>
      <status>ignored</status>
      <modifiedWord/>
      <trackRevisions>false</trackRevisions>
    </reviewItem>
    <reviewItem>
      <errorID>eb4f63f1-7a92-411d-be61-f640dbcd7a04</errorID>
      <errorWord>&lt;</errorWord>
      <group>L1_Format</group>
      <groupName>格式问题</groupName>
      <ability>L2_HalfPunc_CN</ability>
      <abilityName/>
      <candidateList>
        <item>〈</item>
      </candidateList>
      <explain>文本全半角错误。</explain>
      <paraID>144F7FD8</paraID>
      <start>12</start>
      <end>13</end>
      <status>modified</status>
      <modifiedWord>〈</modifiedWord>
      <trackRevisions>false</trackRevisions>
    </reviewItem>
    <reviewItem>
      <errorID>7651658a-3a20-432a-9cad-8bb0672cc1a6</errorID>
      <errorWord>&gt;的通知》</errorWord>
      <group>L1_Punc</group>
      <groupName>标点问题</groupName>
      <ability>L2_Punc_CN</ability>
      <abilityName/>
      <candidateList>
        <item>〉的通知》</item>
      </candidateList>
      <explain/>
      <paraID>144F7FD8</paraID>
      <start>30</start>
      <end>35</end>
      <status>modified</status>
      <modifiedWord>〉的通知》</modifiedWord>
      <trackRevisions>false</trackRevisions>
    </reviewItem>
    <reviewItem>
      <errorID>362a2c47-0bf7-4df4-8a79-25d0ab1039c5</errorID>
      <errorWord>&lt;</errorWord>
      <group>L1_Format</group>
      <groupName>格式问题</groupName>
      <ability>L2_HalfPunc_CN</ability>
      <abilityName/>
      <candidateList>
        <item>〈</item>
      </candidateList>
      <explain>文本全半角错误。</explain>
      <paraID>7CC04AB5</paraID>
      <start>162</start>
      <end>163</end>
      <status>modified</status>
      <modifiedWord>〈</modifiedWord>
      <trackRevisions>false</trackRevisions>
    </reviewItem>
    <reviewItem>
      <errorID>53ef43d8-d034-430a-bf9a-5abbba011913</errorID>
      <errorWord>&gt;的通知》</errorWord>
      <group>L1_Punc</group>
      <groupName>标点问题</groupName>
      <ability>L2_Punc_CN</ability>
      <abilityName/>
      <candidateList>
        <item>〉的通知》</item>
      </candidateList>
      <explain/>
      <paraID>7CC04AB5</paraID>
      <start>180</start>
      <end>185</end>
      <status>modified</status>
      <modifiedWord>〉的通知》</modifiedWord>
      <trackRevisions>false</trackRevisions>
    </reviewItem>
    <reviewItem>
      <errorID>8a9b5bac-3d9a-4ba8-9f92-d6ad98397248</errorID>
      <errorWord>法律、法规</errorWord>
      <group>L1_Word</group>
      <groupName>字词问题</groupName>
      <ability>L2_Typo</ability>
      <abilityName>字词错误</abilityName>
      <candidateList>
        <item>法律法规</item>
      </candidateList>
      <explain/>
      <paraID>5462A9C4</paraID>
      <start>56</start>
      <end>61</end>
      <status>ignored</status>
      <modifiedWord/>
      <trackRevisions>false</trackRevisions>
    </reviewItem>
    <reviewItem>
      <errorID>fc3a2d42-3ade-44c2-8f13-46b4e33fc35f</errorID>
      <errorWord>&lt;</errorWord>
      <group>L1_Format</group>
      <groupName>格式问题</groupName>
      <ability>L2_HalfPunc_CN</ability>
      <abilityName/>
      <candidateList>
        <item>〈</item>
      </candidateList>
      <explain>文本全半角错误。</explain>
      <paraID>12FBD92A</paraID>
      <start>6</start>
      <end>7</end>
      <status>modified</status>
      <modifiedWord>〈</modifiedWord>
      <trackRevisions>false</trackRevisions>
    </reviewItem>
    <reviewItem>
      <errorID>873163f0-358f-475f-97ba-96b9a58a3b85</errorID>
      <errorWord>法律、法规</errorWord>
      <group>L1_Word</group>
      <groupName>字词问题</groupName>
      <ability>L2_Typo</ability>
      <abilityName>字词错误</abilityName>
      <candidateList>
        <item>法律法规</item>
      </candidateList>
      <explain/>
      <paraID>3C36C5B7</paraID>
      <start>3</start>
      <end>8</end>
      <status>ignored</status>
      <modifiedWord/>
      <trackRevisions>false</trackRevisions>
    </reviewItem>
    <reviewItem>
      <errorID>89372e03-9843-47d4-b906-ccd8f453f553</errorID>
      <errorWord>&lt;</errorWord>
      <group>L1_Format</group>
      <groupName>格式问题</groupName>
      <ability>L2_HalfPunc_CN</ability>
      <abilityName/>
      <candidateList>
        <item>〈</item>
      </candidateList>
      <explain>文本全半角错误。</explain>
      <paraID> FB90554</paraID>
      <start>98</start>
      <end>99</end>
      <status>modified</status>
      <modifiedWord>〈</modifiedWord>
      <trackRevisions>false</trackRevisions>
    </reviewItem>
    <reviewItem>
      <errorID>9c2e5e6d-b332-453d-87a4-25e531bf7352</errorID>
      <errorWord>&gt;的通知》</errorWord>
      <group>L1_Punc</group>
      <groupName>标点问题</groupName>
      <ability>L2_Punc_CN</ability>
      <abilityName/>
      <candidateList>
        <item>〉的通知》</item>
      </candidateList>
      <explain/>
      <paraID> FB90554</paraID>
      <start>117</start>
      <end>122</end>
      <status>modified</status>
      <modifiedWord>〉的通知》</modifiedWord>
      <trackRevisions>false</trackRevisions>
    </reviewItem>
    <reviewItem>
      <errorID>60d38d91-eca5-44f8-b70f-f640d173a552</errorID>
      <errorWord>，</errorWord>
      <group>L1_Word</group>
      <groupName>字词问题</groupName>
      <ability>L2_Typo</ability>
      <abilityName>字词错误</abilityName>
      <candidateList>
        <item>，对</item>
      </candidateList>
      <explain/>
      <paraID> 5CB13DD</paraID>
      <start>214</start>
      <end>215</end>
      <status>ignored</status>
      <modifiedWord/>
      <trackRevisions>false</trackRevisions>
    </reviewItem>
    <reviewItem>
      <errorID>8d0d9c96-18c4-4fba-9dc6-885764dcf41b</errorID>
      <errorWord>[2016]39号</errorWord>
      <group>L1_Knowledge</group>
      <groupName>知识性问题</groupName>
      <ability>L2_Knowledge</ability>
      <abilityName>其他知识</abilityName>
      <candidateList>
        <item>〔2016〕39号</item>
      </candidateList>
      <explain>发文字号格式错误。</explain>
      <paraID>2021A753</paraID>
      <start>101</start>
      <end>110</end>
      <status>modified</status>
      <modifiedWord>〔2016〕39号</modifiedWord>
      <trackRevisions>false</trackRevisions>
    </reviewItem>
    <reviewItem>
      <errorID>b9b37186-1461-4e9b-ba4a-27c7f6a34ad2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A903AAC</paraID>
      <start>19</start>
      <end>20</end>
      <status>modified</status>
      <modifiedWord>—</modifiedWord>
      <trackRevisions>false</trackRevisions>
    </reviewItem>
    <reviewItem>
      <errorID>9ebf7736-2d9b-49a2-8662-316fe1d46da9</errorID>
      <errorWord>途径</errorWord>
      <group>L1_Word</group>
      <groupName>字词问题</groupName>
      <ability>L2_Typo</ability>
      <abilityName>字词错误</abilityName>
      <candidateList>
        <item>途经</item>
      </candidateList>
      <explain>存在发音相同字词的误用。</explain>
      <paraID>6264D516</paraID>
      <start>0</start>
      <end>2</end>
      <status>modified</status>
      <modifiedWord>途经</modifiedWord>
      <trackRevisions>false</trackRevisions>
    </reviewItem>
    <reviewItem>
      <errorID>69cd24af-3fc9-4ac2-bea8-303eacd4836a</errorID>
      <errorWord>护</errorWord>
      <group>L1_Word</group>
      <groupName>字词问题</groupName>
      <ability>L2_Typo</ability>
      <abilityName>字词错误</abilityName>
      <candidateList>
        <item>护和</item>
      </candidateList>
      <explain/>
      <paraID>71DB7E40</paraID>
      <start>85</start>
      <end>87</end>
      <status>modified</status>
      <modifiedWord>护和</modifiedWord>
      <trackRevisions>false</trackRevisions>
    </reviewItem>
    <reviewItem>
      <errorID>b90f10b0-3d11-40db-8daa-7b50700ee5a4</errorID>
      <errorWord>-</errorWord>
      <group>L1_Format</group>
      <groupName>格式问题</groupName>
      <ability>L2_HalfPunc_CN</ability>
      <abilityName/>
      <candidateList>
        <item>－</item>
      </candidateList>
      <explain>文本全半角错误。</explain>
      <paraID>546A8423</paraID>
      <start>238</start>
      <end>239</end>
      <status>modified</status>
      <modifiedWord>－</modifiedWord>
      <trackRevisions>false</trackRevisions>
    </reviewItem>
    <reviewItem>
      <errorID>4f275bf8-be5e-4772-87d0-99f4eb158122</errorID>
      <errorWord>-</errorWord>
      <group>L1_Format</group>
      <groupName>格式问题</groupName>
      <ability>L2_HalfPunc_CN</ability>
      <abilityName/>
      <candidateList>
        <item>－</item>
      </candidateList>
      <explain>文本全半角错误。</explain>
      <paraID>546A8423</paraID>
      <start>241</start>
      <end>242</end>
      <status>modified</status>
      <modifiedWord>－</modifiedWord>
      <trackRevisions>false</trackRevisions>
    </reviewItem>
    <reviewItem>
      <errorID>185a5bc2-0b83-4683-9cc5-c5456589cbc0</errorID>
      <errorWord>-</errorWord>
      <group>L1_Format</group>
      <groupName>格式问题</groupName>
      <ability>L2_HalfPunc_CN</ability>
      <abilityName/>
      <candidateList>
        <item>－</item>
      </candidateList>
      <explain>文本全半角错误。</explain>
      <paraID>546A8423</paraID>
      <start>244</start>
      <end>245</end>
      <status>modified</status>
      <modifiedWord>－</modifiedWord>
      <trackRevisions>false</trackRevisions>
    </reviewItem>
    <reviewItem>
      <errorID>d1918e3e-af5f-4231-a608-ded1051bfa07</errorID>
      <errorWord>&lt;</errorWord>
      <group>L1_Format</group>
      <groupName>格式问题</groupName>
      <ability>L2_HalfPunc_CN</ability>
      <abilityName/>
      <candidateList>
        <item>〈</item>
      </candidateList>
      <explain>文本全半角错误。</explain>
      <paraID>7F92F84F</paraID>
      <start>7</start>
      <end>8</end>
      <status>modified</status>
      <modifiedWord>〈</modifiedWord>
      <trackRevisions>false</trackRevisions>
    </reviewItem>
    <reviewItem>
      <errorID>75c552b2-cd97-4a6d-abba-e051b5528c34</errorID>
      <errorWord>&gt;的通知》</errorWord>
      <group>L1_Punc</group>
      <groupName>标点问题</groupName>
      <ability>L2_Punc_CN</ability>
      <abilityName/>
      <candidateList>
        <item>〉的通知》</item>
      </candidateList>
      <explain/>
      <paraID>7F92F84F</paraID>
      <start>29</start>
      <end>34</end>
      <status>modified</status>
      <modifiedWord>〉的通知》</modifiedWord>
      <trackRevisions>false</trackRevisions>
    </reviewItem>
    <reviewItem>
      <errorID>2fb10edd-3e86-461b-969f-0ef1d685435d</errorID>
      <errorWord>&lt;</errorWord>
      <group>L1_Format</group>
      <groupName>格式问题</groupName>
      <ability>L2_HalfPunc_CN</ability>
      <abilityName/>
      <candidateList>
        <item>〈</item>
      </candidateList>
      <explain>文本全半角错误。</explain>
      <paraID>6845013D</paraID>
      <start>176</start>
      <end>177</end>
      <status>modified</status>
      <modifiedWord>〈</modifiedWord>
      <trackRevisions>false</trackRevisions>
    </reviewItem>
    <reviewItem>
      <errorID>dafdb234-8cd4-44f2-8b4a-595df8f1e109</errorID>
      <errorWord>&gt;的通知》</errorWord>
      <group>L1_Punc</group>
      <groupName>标点问题</groupName>
      <ability>L2_Punc_CN</ability>
      <abilityName/>
      <candidateList>
        <item>〉的通知》</item>
      </candidateList>
      <explain/>
      <paraID>6845013D</paraID>
      <start>198</start>
      <end>203</end>
      <status>modified</status>
      <modifiedWord>〉的通知》</modifiedWord>
      <trackRevisions>false</trackRevisions>
    </reviewItem>
    <reviewItem>
      <errorID>0f4e12bf-7104-496d-8c0c-bcd70db3b3b4</errorID>
      <errorWord>种草</errorWord>
      <group>L1_Official</group>
      <groupName>公文问题</groupName>
      <ability>L2_Official</ability>
      <abilityName>公文问题</abilityName>
      <candidateList/>
      <explain>公文中禁止出现该词语</explain>
      <paraID>1E9971B5</paraID>
      <start>143</start>
      <end>145</end>
      <status>ignored</status>
      <modifiedWord/>
      <trackRevisions>false</trackRevisions>
    </reviewItem>
    <reviewItem>
      <errorID>bbb0ab8b-e330-4a7d-9bbf-e00246c88725</errorID>
      <errorWord>种草</errorWord>
      <group>L1_Official</group>
      <groupName>公文问题</groupName>
      <ability>L2_Official</ability>
      <abilityName>公文问题</abilityName>
      <candidateList/>
      <explain>公文中禁止出现该词语</explain>
      <paraID>1E9971B5</paraID>
      <start>152</start>
      <end>154</end>
      <status>ignored</status>
      <modifiedWord/>
      <trackRevisions>false</trackRevisions>
    </reviewItem>
    <reviewItem>
      <errorID>10aeff49-a376-4ec2-9b1c-3fa139f91775</errorID>
      <errorWord>-</errorWord>
      <group>L1_Format</group>
      <groupName>格式问题</groupName>
      <ability>L2_HalfPunc_CN</ability>
      <abilityName/>
      <candidateList>
        <item>－</item>
      </candidateList>
      <explain>文本全半角错误。</explain>
      <paraID>333033B2</paraID>
      <start>263</start>
      <end>264</end>
      <status>modified</status>
      <modifiedWord>－</modifiedWord>
      <trackRevisions>false</trackRevisions>
    </reviewItem>
    <reviewItem>
      <errorID>a143eaf8-f118-463c-95fb-d55eb57a037b</errorID>
      <errorWord>-</errorWord>
      <group>L1_Format</group>
      <groupName>格式问题</groupName>
      <ability>L2_HalfPunc_CN</ability>
      <abilityName/>
      <candidateList>
        <item>－</item>
      </candidateList>
      <explain>文本全半角错误。</explain>
      <paraID>333033B2</paraID>
      <start>266</start>
      <end>267</end>
      <status>modified</status>
      <modifiedWord>－</modifiedWord>
      <trackRevisions>false</trackRevisions>
    </reviewItem>
    <reviewItem>
      <errorID>90ede02b-8ab7-442d-adf1-403a762d7ae8</errorID>
      <errorWord>-</errorWord>
      <group>L1_Format</group>
      <groupName>格式问题</groupName>
      <ability>L2_HalfPunc_CN</ability>
      <abilityName/>
      <candidateList>
        <item>－</item>
      </candidateList>
      <explain>文本全半角错误。</explain>
      <paraID>333033B2</paraID>
      <start>269</start>
      <end>270</end>
      <status>modified</status>
      <modifiedWord>－</modifiedWord>
      <trackRevisions>false</trackRevisions>
    </reviewItem>
    <reviewItem>
      <errorID>c8409381-c662-4e96-b6fd-bea9987ae021</errorID>
      <errorWord>法律、法规</errorWord>
      <group>L1_Word</group>
      <groupName>字词问题</groupName>
      <ability>L2_Typo</ability>
      <abilityName>字词错误</abilityName>
      <candidateList>
        <item>法律法规</item>
      </candidateList>
      <explain/>
      <paraID>5D66B385</paraID>
      <start>147</start>
      <end>152</end>
      <status>ignored</status>
      <modifiedWord/>
      <trackRevisions>false</trackRevisions>
    </reviewItem>
    <reviewItem>
      <errorID>cd59ce67-9b93-43d1-bc9d-dd6adb9c6bbb</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639D240B</paraID>
      <start>50</start>
      <end>51</end>
      <status>modified</status>
      <modifiedWord>对</modifiedWord>
      <trackRevisions>false</trackRevisions>
    </reviewItem>
    <reviewItem>
      <errorID>df289f88-1d57-4ee0-8c12-63f2b92d9d0f</errorID>
      <errorWord>法律、法规</errorWord>
      <group>L1_Word</group>
      <groupName>字词问题</groupName>
      <ability>L2_Typo</ability>
      <abilityName>字词错误</abilityName>
      <candidateList>
        <item>法律法规</item>
      </candidateList>
      <explain/>
      <paraID>2B382B73</paraID>
      <start>5</start>
      <end>10</end>
      <status>ignored</status>
      <modifiedWord/>
      <trackRevisions>false</trackRevisions>
    </reviewItem>
    <reviewItem>
      <errorID>d92edf7d-1f75-4e6f-9ca0-4dc8b7a22cb7</errorID>
      <errorWord>青储</errorWord>
      <group>L1_Word</group>
      <groupName>字词问题</groupName>
      <ability>L2_Typo</ability>
      <abilityName>字词错误</abilityName>
      <candidateList>
        <item>青饲</item>
      </candidateList>
      <explain/>
      <paraID>7066C175</paraID>
      <start>23</start>
      <end>25</end>
      <status>ignored</status>
      <modifiedWord/>
      <trackRevisions>false</trackRevisions>
    </reviewItem>
    <reviewItem>
      <errorID>bb0a533d-d1bb-4693-9727-8ee3035e5336</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69121555</paraID>
      <start>27</start>
      <end>28</end>
      <status>modified</status>
      <modifiedWord>对</modifiedWord>
      <trackRevisions>false</trackRevisions>
    </reviewItem>
    <reviewItem>
      <errorID>8c972157-5ed4-4c68-9f66-b6cbe42db8c2</errorID>
      <errorWord>生态红线保护</errorWord>
      <group>L1_Word</group>
      <groupName>字词问题</groupName>
      <ability>L2_Typo</ability>
      <abilityName>字词错误</abilityName>
      <candidateList>
        <item>生态保护红线</item>
      </candidateList>
      <explain/>
      <paraID> E4A97B6</paraID>
      <start>49</start>
      <end>55</end>
      <status>modified</status>
      <modifiedWord>生态保护红线</modifiedWord>
      <trackRevisions>false</trackRevisions>
    </reviewItem>
    <reviewItem>
      <errorID>b475629b-d950-46a7-b25a-f99c81673bc2</errorID>
      <errorWord>，</errorWord>
      <group>L1_Word</group>
      <groupName>字词问题</groupName>
      <ability>L2_Typo</ability>
      <abilityName>字词错误</abilityName>
      <candidateList>
        <item>，在</item>
      </candidateList>
      <explain/>
      <paraID> E4A97B6</paraID>
      <start>73</start>
      <end>75</end>
      <status>modified</status>
      <modifiedWord>，在</modifiedWord>
      <trackRevisions>false</trackRevisions>
    </reviewItem>
    <reviewItem>
      <errorID>eb6f5747-0f36-427f-9578-da7fdf569504</errorID>
      <errorWord>建</errorWord>
      <group>L1_Word</group>
      <groupName>字词问题</groupName>
      <ability>L2_Typo</ability>
      <abilityName>字词错误</abilityName>
      <candidateList>
        <item>建设</item>
      </candidateList>
      <explain>〈动〉创立新事业；增加新设施：经济～｜～家园｜～现代化强国◇组织～｜思想～。</explain>
      <paraID> 195A38F</paraID>
      <start>59</start>
      <end>61</end>
      <status>modified</status>
      <modifiedWord>建设</modifiedWord>
      <trackRevisions>false</trackRevisions>
    </reviewItem>
    <reviewItem>
      <errorID>bf32683f-8edf-460b-ac7a-70f63eca073e</errorID>
      <errorWord>异氰酸醋</errorWord>
      <group>L1_Word</group>
      <groupName>字词问题</groupName>
      <ability>L2_Typo</ability>
      <abilityName>字词错误</abilityName>
      <candidateList>
        <item>异氰酸酯</item>
      </candidateList>
      <explain/>
      <paraID>622B730D</paraID>
      <start>185</start>
      <end>189</end>
      <status>modified</status>
      <modifiedWord>异氰酸酯</modifiedWord>
      <trackRevisions>false</trackRevisions>
    </reviewItem>
    <reviewItem>
      <errorID>3cf4aa7e-3407-4350-b06c-5ca79fd2d2e4</errorID>
      <errorWord>、</errorWord>
      <group>L1_Word</group>
      <groupName>字词问题</groupName>
      <ability>L2_Typo</ability>
      <abilityName>字词错误</abilityName>
      <candidateList>
        <item>、各</item>
      </candidateList>
      <explain/>
      <paraID>2F9D9328</paraID>
      <start>46</start>
      <end>48</end>
      <status>modified</status>
      <modifiedWord>、各</modifiedWord>
      <trackRevisions>false</trackRevisions>
    </reviewItem>
    <reviewItem>
      <errorID>fca76a99-a699-4ccf-b749-c536d3399697</errorID>
      <errorWord>&lt;</errorWord>
      <group>L1_Format</group>
      <groupName>格式问题</groupName>
      <ability>L2_HalfPunc_CN</ability>
      <abilityName/>
      <candidateList>
        <item>〈</item>
      </candidateList>
      <explain>文本全半角错误。</explain>
      <paraID>7FD56E76</paraID>
      <start>8</start>
      <end>9</end>
      <status>modified</status>
      <modifiedWord>〈</modifiedWord>
      <trackRevisions>false</trackRevisions>
    </reviewItem>
    <reviewItem>
      <errorID>cde784a0-6e50-4794-9b93-6d2a5b806ecb</errorID>
      <errorWord>&gt;的通知》</errorWord>
      <group>L1_Punc</group>
      <groupName>标点问题</groupName>
      <ability>L2_Punc_CN</ability>
      <abilityName/>
      <candidateList>
        <item>〉的通知》</item>
      </candidateList>
      <explain/>
      <paraID>7FD56E76</paraID>
      <start>43</start>
      <end>48</end>
      <status>modified</status>
      <modifiedWord>〉的通知》</modifiedWord>
      <trackRevisions>false</trackRevisions>
    </reviewItem>
    <reviewItem>
      <errorID>c8d1353f-3a69-4b40-b369-5da3ee7efda6</errorID>
      <errorWord>&lt;</errorWord>
      <group>L1_Format</group>
      <groupName>格式问题</groupName>
      <ability>L2_HalfPunc_CN</ability>
      <abilityName/>
      <candidateList>
        <item>〈</item>
      </candidateList>
      <explain>文本全半角错误。</explain>
      <paraID> 3FC8C5A</paraID>
      <start>20</start>
      <end>21</end>
      <status>modified</status>
      <modifiedWord>〈</modifiedWord>
      <trackRevisions>false</trackRevisions>
    </reviewItem>
    <reviewItem>
      <errorID>518f6b7e-db90-48b5-b2df-64e7f2398184</errorID>
      <errorWord>&gt;的通知》</errorWord>
      <group>L1_Punc</group>
      <groupName>标点问题</groupName>
      <ability>L2_Punc_CN</ability>
      <abilityName/>
      <candidateList>
        <item>〉的通知》</item>
      </candidateList>
      <explain/>
      <paraID> 3FC8C5A</paraID>
      <start>55</start>
      <end>60</end>
      <status>modified</status>
      <modifiedWord>〉的通知》</modifiedWord>
      <trackRevisions>false</trackRevisions>
    </reviewItem>
    <reviewItem>
      <errorID>f94cfae7-b14b-4c4c-8c84-dcdaec8b7f8c</errorID>
      <errorWord>-</errorWord>
      <group>L1_Format</group>
      <groupName>格式问题</groupName>
      <ability>L2_HalfPunc_CN</ability>
      <abilityName/>
      <candidateList>
        <item>－</item>
      </candidateList>
      <explain>文本全半角错误。</explain>
      <paraID>4C3041AD</paraID>
      <start>48</start>
      <end>49</end>
      <status>modified</status>
      <modifiedWord>－</modifiedWord>
      <trackRevisions>false</trackRevisions>
    </reviewItem>
    <reviewItem>
      <errorID>4ed625e6-4a16-4dff-8b89-fc57fbde879d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2101E479</paraID>
      <start>0</start>
      <end>2</end>
      <status>ignored</status>
      <modifiedWord/>
      <trackRevisions>false</trackRevisions>
    </reviewItem>
    <reviewItem>
      <errorID>b1558d77-b4ac-4a18-a245-2627bf9dcf5b</errorID>
      <errorWord>农业部</errorWord>
      <group>L1_Knowledge</group>
      <groupName>知识性问题</groupName>
      <ability>L2_Knowledge</ability>
      <abilityName>其他知识</abilityName>
      <candidateList>
        <item>农业农村部</item>
      </candidateList>
      <explain/>
      <paraID>65EE745B</paraID>
      <start>11</start>
      <end>14</end>
      <status>ignored</status>
      <modifiedWord/>
      <trackRevisions>false</trackRevisions>
    </reviewItem>
    <reviewItem>
      <errorID>7f481bbc-7b9e-496f-b45f-6236e4f4bc60</errorID>
      <errorWord>农业部</errorWord>
      <group>L1_Knowledge</group>
      <groupName>知识性问题</groupName>
      <ability>L2_Knowledge</ability>
      <abilityName>其他知识</abilityName>
      <candidateList>
        <item>农业农村部</item>
      </candidateList>
      <explain/>
      <paraID>7B7C19ED</paraID>
      <start>11</start>
      <end>14</end>
      <status>ignored</status>
      <modifiedWord/>
      <trackRevisions>false</trackRevisions>
    </reviewItem>
    <reviewItem>
      <errorID>fbe4e1c7-0fbc-48d3-98a3-c32ce0db0286</errorID>
      <errorWord>&lt;</errorWord>
      <group>L1_Format</group>
      <groupName>格式问题</groupName>
      <ability>L2_HalfPunc_CN</ability>
      <abilityName/>
      <candidateList>
        <item>〈</item>
      </candidateList>
      <explain>文本全半角错误。</explain>
      <paraID>4EE6178A</paraID>
      <start>11</start>
      <end>12</end>
      <status>modified</status>
      <modifiedWord>〈</modifiedWord>
      <trackRevisions>false</trackRevisions>
    </reviewItem>
    <reviewItem>
      <errorID>33e1f83e-98c6-42af-9d76-6c8c01746502</errorID>
      <errorWord>&gt;的通知》</errorWord>
      <group>L1_Punc</group>
      <groupName>标点问题</groupName>
      <ability>L2_Punc_CN</ability>
      <abilityName/>
      <candidateList>
        <item>〉的通知》</item>
      </candidateList>
      <explain/>
      <paraID>4EE6178A</paraID>
      <start>29</start>
      <end>34</end>
      <status>modified</status>
      <modifiedWord>〉的通知》</modifiedWord>
      <trackRevisions>false</trackRevisions>
    </reviewItem>
    <reviewItem>
      <errorID>44b1319c-b21c-4a56-8d3a-88f5d5aff980</errorID>
      <errorWord>&lt;</errorWord>
      <group>L1_Format</group>
      <groupName>格式问题</groupName>
      <ability>L2_HalfPunc_CN</ability>
      <abilityName/>
      <candidateList>
        <item>〈</item>
      </candidateList>
      <explain>文本全半角错误。</explain>
      <paraID>270F8965</paraID>
      <start>8</start>
      <end>9</end>
      <status>modified</status>
      <modifiedWord>〈</modifiedWord>
      <trackRevisions>false</trackRevisions>
    </reviewItem>
    <reviewItem>
      <errorID>27313f34-79b9-41bd-bada-247cae97e0bd</errorID>
      <errorWord>&gt;的通知》</errorWord>
      <group>L1_Punc</group>
      <groupName>标点问题</groupName>
      <ability>L2_Punc_CN</ability>
      <abilityName/>
      <candidateList>
        <item>〉的通知》</item>
      </candidateList>
      <explain/>
      <paraID>270F8965</paraID>
      <start>27</start>
      <end>32</end>
      <status>modified</status>
      <modifiedWord>〉的通知》</modifiedWord>
      <trackRevisions>false</trackRevisions>
    </reviewItem>
    <reviewItem>
      <errorID>cea583df-9460-4667-a287-9831eb56237d</errorID>
      <errorWord>&lt;</errorWord>
      <group>L1_Format</group>
      <groupName>格式问题</groupName>
      <ability>L2_HalfPunc_CN</ability>
      <abilityName/>
      <candidateList>
        <item>〈</item>
      </candidateList>
      <explain>文本全半角错误。</explain>
      <paraID>769D7468</paraID>
      <start>9</start>
      <end>10</end>
      <status>modified</status>
      <modifiedWord>〈</modifiedWord>
      <trackRevisions>false</trackRevisions>
    </reviewItem>
    <reviewItem>
      <errorID>1d0e0bbf-75ab-4a04-ab78-dd51b63daa76</errorID>
      <errorWord>&gt;的通知》</errorWord>
      <group>L1_Punc</group>
      <groupName>标点问题</groupName>
      <ability>L2_Punc_CN</ability>
      <abilityName/>
      <candidateList>
        <item>〉的通知》</item>
      </candidateList>
      <explain/>
      <paraID>769D7468</paraID>
      <start>44</start>
      <end>49</end>
      <status>modified</status>
      <modifiedWord>〉的通知》</modifiedWord>
      <trackRevisions>false</trackRevisions>
    </reviewItem>
    <reviewItem>
      <errorID>3ed5857f-d998-48f9-b514-7f77ad95f2a8</errorID>
      <errorWord>农业部</errorWord>
      <group>L1_Knowledge</group>
      <groupName>知识性问题</groupName>
      <ability>L2_Knowledge</ability>
      <abilityName>其他知识</abilityName>
      <candidateList>
        <item>农业农村部</item>
      </candidateList>
      <explain/>
      <paraID>480C2196</paraID>
      <start>5</start>
      <end>8</end>
      <status>ignored</status>
      <modifiedWord/>
      <trackRevisions>false</trackRevisions>
    </reviewItem>
    <reviewItem>
      <errorID>8dda2e06-e5c3-4d53-9cbb-afcd572acc52</errorID>
      <errorWord>&lt;</errorWord>
      <group>L1_Format</group>
      <groupName>格式问题</groupName>
      <ability>L2_HalfPunc_CN</ability>
      <abilityName/>
      <candidateList>
        <item>〈</item>
      </candidateList>
      <explain>文本全半角错误。</explain>
      <paraID>54AE7CBF</paraID>
      <start>9</start>
      <end>10</end>
      <status>modified</status>
      <modifiedWord>〈</modifiedWord>
      <trackRevisions>false</trackRevisions>
    </reviewItem>
    <reviewItem>
      <errorID>1f6564ca-5645-4af0-8431-c8bb82c17635</errorID>
      <errorWord>&gt;的通知》</errorWord>
      <group>L1_Punc</group>
      <groupName>标点问题</groupName>
      <ability>L2_Punc_CN</ability>
      <abilityName/>
      <candidateList>
        <item>〉的通知》</item>
      </candidateList>
      <explain/>
      <paraID>54AE7CBF</paraID>
      <start>31</start>
      <end>36</end>
      <status>modified</status>
      <modifiedWord>〉的通知》</modifiedWord>
      <trackRevisions>false</trackRevisions>
    </reviewItem>
    <reviewItem>
      <errorID>28d55bac-f60b-40e3-ba18-31e8d238387b</errorID>
      <errorWord>〔2026〕010号</errorWord>
      <group>L1_Knowledge</group>
      <groupName>知识性问题</groupName>
      <ability>L2_Knowledge</ability>
      <abilityName>其他知识</abilityName>
      <candidateList>
        <item>〔2026〕10号</item>
      </candidateList>
      <explain>发文字号格式错误。</explain>
      <paraID>3E8C0D7C</paraID>
      <start>23</start>
      <end>33</end>
      <status>ignored</status>
      <modifiedWord/>
      <trackRevisions>false</trackRevisions>
    </reviewItem>
    <reviewItem>
      <errorID>59291a69-497e-4c04-82cb-3b9afc3511a1</errorID>
      <errorWord>-</errorWord>
      <group>L1_Format</group>
      <groupName>格式问题</groupName>
      <ability>L2_HalfPunc_CN</ability>
      <abilityName/>
      <candidateList>
        <item>－</item>
      </candidateList>
      <explain>文本全半角错误。</explain>
      <paraID>18340372</paraID>
      <start>5</start>
      <end>6</end>
      <status>ignored</status>
      <modifiedWord/>
      <trackRevisions>false</trackRevisions>
    </reviewItem>
    <reviewItem>
      <errorID>809829e5-0664-48f9-acad-0464e769d32b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388E2E77</paraID>
      <start>7</start>
      <end>8</end>
      <status>ignored</status>
      <modifiedWord/>
      <trackRevisions>false</trackRevisions>
    </reviewItem>
    <reviewItem>
      <errorID>9bae44d9-64e5-4204-b184-1890c60b4340</errorID>
      <errorWord>（</errorWord>
      <group>L1_Format</group>
      <groupName>格式问题</groupName>
      <ability>L2_HalfPunc_CN</ability>
      <abilityName/>
      <candidateList>
        <item>(</item>
      </candidateList>
      <explain>文本全半角错误。</explain>
      <paraID>76CA3D10</paraID>
      <start>7</start>
      <end>8</end>
      <status>ignored</status>
      <modifiedWord/>
      <trackRevisions>false</trackRevisions>
    </reviewItem>
    <reviewItem>
      <errorID>2783708b-de8d-4d4f-8471-0448374224cd</errorID>
      <errorWord>）</errorWord>
      <group>L1_Format</group>
      <groupName>格式问题</groupName>
      <ability>L2_HalfPunc_CN</ability>
      <abilityName/>
      <candidateList>
        <item>)</item>
      </candidateList>
      <explain>文本全半角错误。</explain>
      <paraID>76CA3D10</paraID>
      <start>9</start>
      <end>10</end>
      <status>ignored</status>
      <modifiedWord/>
      <trackRevisions>false</trackRevisions>
    </reviewItem>
    <reviewItem>
      <errorID>01151b87-d672-4ca8-b419-ffecdf06e9f4</errorID>
      <errorWord>（</errorWord>
      <group>L1_Format</group>
      <groupName>格式问题</groupName>
      <ability>L2_HalfPunc_CN</ability>
      <abilityName/>
      <candidateList>
        <item>(</item>
      </candidateList>
      <explain>文本全半角错误。</explain>
      <paraID>1B30AFB6</paraID>
      <start>8</start>
      <end>9</end>
      <status>ignored</status>
      <modifiedWord/>
      <trackRevisions>false</trackRevisions>
    </reviewItem>
    <reviewItem>
      <errorID>2bf12c2c-c6da-44c3-95d6-6cc0d8066388</errorID>
      <errorWord>）</errorWord>
      <group>L1_Format</group>
      <groupName>格式问题</groupName>
      <ability>L2_HalfPunc_CN</ability>
      <abilityName/>
      <candidateList>
        <item>)</item>
      </candidateList>
      <explain>文本全半角错误。</explain>
      <paraID>1B30AFB6</paraID>
      <start>10</start>
      <end>11</end>
      <status>ignored</status>
      <modifiedWord/>
      <trackRevisions>false</trackRevisions>
    </reviewItem>
    <reviewItem>
      <errorID>6f4c461a-0dac-4879-a13f-39976d591e92</errorID>
      <errorWord>（</errorWord>
      <group>L1_Format</group>
      <groupName>格式问题</groupName>
      <ability>L2_HalfPunc_CN</ability>
      <abilityName/>
      <candidateList>
        <item>(</item>
      </candidateList>
      <explain>文本全半角错误。</explain>
      <paraID> 7FDCA2C</paraID>
      <start>9</start>
      <end>10</end>
      <status>ignored</status>
      <modifiedWord/>
      <trackRevisions>false</trackRevisions>
    </reviewItem>
    <reviewItem>
      <errorID>9e8b6d95-22a7-43b8-a173-5b02c0cfccd6</errorID>
      <errorWord>）</errorWord>
      <group>L1_Format</group>
      <groupName>格式问题</groupName>
      <ability>L2_HalfPunc_CN</ability>
      <abilityName/>
      <candidateList>
        <item>)</item>
      </candidateList>
      <explain>文本全半角错误。</explain>
      <paraID> 7FDCA2C</paraID>
      <start>11</start>
      <end>12</end>
      <status>ignored</status>
      <modifiedWord/>
      <trackRevisions>false</trackRevisions>
    </reviewItem>
    <reviewItem>
      <errorID>50244088-4518-4034-8111-2c4f0f4e548c</errorID>
      <errorWord>（</errorWord>
      <group>L1_Punc</group>
      <groupName>标点问题</groupName>
      <ability>L2_Punc_CN</ability>
      <abilityName/>
      <candidateList/>
      <explain>同一形式括号套用。</explain>
      <paraID>7539AB9A</paraID>
      <start>85</start>
      <end>86</end>
      <status>ignored</status>
      <modifiedWord/>
      <trackRevisions>false</trackRevisions>
    </reviewItem>
    <reviewItem>
      <errorID>821fdfac-b711-44f3-ac7a-43d7b1456cc5</errorID>
      <errorWord>）</errorWord>
      <group>L1_Punc</group>
      <groupName>标点问题</groupName>
      <ability>L2_Punc_CN</ability>
      <abilityName/>
      <candidateList/>
      <explain>同一形式括号套用。</explain>
      <paraID>7539AB9A</paraID>
      <start>87</start>
      <end>88</end>
      <status>ignored</status>
      <modifiedWord/>
      <trackRevisions>false</trackRevisions>
    </reviewItem>
    <reviewItem>
      <errorID>7bc56cff-1310-4632-bc34-d23d3a74c1b6</errorID>
      <errorWord>（</errorWord>
      <group>L1_Punc</group>
      <groupName>标点问题</groupName>
      <ability>L2_Punc_CN</ability>
      <abilityName/>
      <candidateList/>
      <explain>同一形式括号套用。</explain>
      <paraID>43318E78</paraID>
      <start>88</start>
      <end>89</end>
      <status>ignored</status>
      <modifiedWord/>
      <trackRevisions>false</trackRevisions>
    </reviewItem>
    <reviewItem>
      <errorID>fdf700c1-ef94-4f88-b91e-be0569f3f077</errorID>
      <errorWord>）</errorWord>
      <group>L1_Punc</group>
      <groupName>标点问题</groupName>
      <ability>L2_Punc_CN</ability>
      <abilityName/>
      <candidateList/>
      <explain>同一形式括号套用。</explain>
      <paraID>43318E78</paraID>
      <start>90</start>
      <end>91</end>
      <status>ignored</status>
      <modifiedWord/>
      <trackRevisions>false</trackRevisions>
    </reviewItem>
    <reviewItem>
      <errorID>a2518e7f-8a2d-4d10-9ae0-1273be19a4d9</errorID>
      <errorWord>III类</errorWord>
      <group>L1_Knowledge</group>
      <groupName>知识性问题</groupName>
      <ability>L2_Knowledge</ability>
      <abilityName>其他知识</abilityName>
      <candidateList>
        <item>Ⅲ类</item>
      </candidateList>
      <explain>中文环境下罗马数字格式错误。</explain>
      <paraID>2E2AC521</paraID>
      <start>163</start>
      <end>167</end>
      <status>ignored</status>
      <modifiedWord/>
      <trackRevisions>false</trackRevisions>
    </reviewItem>
    <reviewItem>
      <errorID>62f1ffad-5476-4241-9a95-96da68fe5d0b</errorID>
      <errorWord>II</errorWord>
      <group>L1_Knowledge</group>
      <groupName>知识性问题</groupName>
      <ability>L2_Knowledge</ability>
      <abilityName>其他知识</abilityName>
      <candidateList>
        <item>Ⅱ</item>
      </candidateList>
      <explain>中文环境下罗马数字格式错误。</explain>
      <paraID>6172867B</paraID>
      <start>31</start>
      <end>33</end>
      <status>ignored</status>
      <modifiedWord/>
      <trackRevisions>false</trackRevisions>
    </reviewItem>
    <reviewItem>
      <errorID>5925f8a4-13d1-4875-9aaf-3c114cf1c3ee</errorID>
      <errorWord>III</errorWord>
      <group>L1_Knowledge</group>
      <groupName>知识性问题</groupName>
      <ability>L2_Knowledge</ability>
      <abilityName>其他知识</abilityName>
      <candidateList>
        <item>Ⅲ</item>
      </candidateList>
      <explain>中文环境下罗马数字格式错误。</explain>
      <paraID>6AA424AD</paraID>
      <start>31</start>
      <end>34</end>
      <status>ignored</status>
      <modifiedWord/>
      <trackRevisions>false</trackRevisions>
    </reviewItem>
    <reviewItem>
      <errorID>3647e44b-ebce-40a9-8d4e-b028278cec20</errorID>
      <errorWord>大</errorWord>
      <group>L1_Word</group>
      <groupName>字词问题</groupName>
      <ability>L2_Typo</ability>
      <abilityName>字词错误</abilityName>
      <candidateList>
        <item>的</item>
      </candidateList>
      <explain>“的”常用于连接修饰语与名词性中心语，表示属性、所属或描述。</explain>
      <paraID>59C816A5</paraID>
      <start>0</start>
      <end>1</end>
      <status>ignored</status>
      <modifiedWord/>
      <trackRevisions>false</trackRevisions>
    </reviewItem>
    <reviewItem>
      <errorID>83085bdd-59a5-4ba8-a6b1-ade7fda5398f</errorID>
      <errorWord>大</errorWord>
      <group>L1_Word</group>
      <groupName>字词问题</groupName>
      <ability>L2_Typo</ability>
      <abilityName>字词错误</abilityName>
      <candidateList>
        <item>的</item>
      </candidateList>
      <explain>“的”常用于连接修饰语与名词性中心语，表示属性、所属或描述。</explain>
      <paraID>2F418926</paraID>
      <start>0</start>
      <end>1</end>
      <status>ignored</status>
      <modifiedWord/>
      <trackRevisions>false</trackRevisions>
    </reviewItem>
    <reviewItem>
      <errorID>df168635-d2fc-4bbe-a1a3-15b31f16fca4</errorID>
      <errorWord>大</errorWord>
      <group>L1_Word</group>
      <groupName>字词问题</groupName>
      <ability>L2_Typo</ability>
      <abilityName>字词错误</abilityName>
      <candidateList>
        <item>的</item>
      </candidateList>
      <explain>“的”常用于连接修饰语与名词性中心语，表示属性、所属或描述。</explain>
      <paraID>517DD3AC</paraID>
      <start>0</start>
      <end>1</end>
      <status>ignored</status>
      <modifiedWord/>
      <trackRevisions>false</trackRevisions>
    </reviewItem>
    <reviewItem>
      <errorID>14576c8e-67db-439f-a928-524c6b674bf6</errorID>
      <errorWord>-</errorWord>
      <group>L1_Format</group>
      <groupName>格式问题</groupName>
      <ability>L2_HalfPunc_CN</ability>
      <abilityName/>
      <candidateList>
        <item>－</item>
      </candidateList>
      <explain>文本全半角错误。</explain>
      <paraID>6D567E69</paraID>
      <start>3</start>
      <end>4</end>
      <status>ignored</status>
      <modifiedWord/>
      <trackRevisions>false</trackRevisions>
    </reviewItem>
    <reviewItem>
      <errorID>c9054270-d509-436a-8032-01f36b37ee8a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7F89C219</paraID>
      <start>32</start>
      <end>33</end>
      <status>modified</status>
      <modifiedWord>—</modifiedWord>
      <trackRevisions>false</trackRevisions>
    </reviewItem>
    <reviewItem>
      <errorID>21150c08-9d84-40de-9a3b-3111a8c30c66</errorID>
      <errorWord>法律、法规</errorWord>
      <group>L1_Word</group>
      <groupName>字词问题</groupName>
      <ability>L2_Typo</ability>
      <abilityName>字词错误</abilityName>
      <candidateList>
        <item>法律法规</item>
      </candidateList>
      <explain/>
      <paraID> D949B47</paraID>
      <start>7</start>
      <end>12</end>
      <status>ignored</status>
      <modifiedWord/>
      <trackRevisions>false</trackRevisions>
    </reviewItem>
    <reviewItem>
      <errorID>c5f1f82d-7d4d-4587-a1c2-5ce0a6afacce</errorID>
      <errorWord>法律、法规</errorWord>
      <group>L1_Word</group>
      <groupName>字词问题</groupName>
      <ability>L2_Typo</ability>
      <abilityName>字词错误</abilityName>
      <candidateList>
        <item>法律法规</item>
      </candidateList>
      <explain/>
      <paraID>73F0621D</paraID>
      <start>110</start>
      <end>114</end>
      <status>modified</status>
      <modifiedWord>法律法规</modifiedWord>
      <trackRevisions>false</trackRevisions>
    </reviewItem>
    <reviewItem>
      <errorID>1dcc8b34-8658-429c-8868-dad52e1ab7e7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35BDFE47</paraID>
      <start>0</start>
      <end>2</end>
      <status>ignored</status>
      <modifiedWord/>
      <trackRevisions>false</trackRevisions>
    </reviewItem>
    <reviewItem>
      <errorID>1acdc132-d318-4ac7-9124-689244af9c4e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324D11FE</paraID>
      <start>4</start>
      <end>5</end>
      <status>ignored</status>
      <modifiedWord/>
      <trackRevisions>false</trackRevisions>
    </reviewItem>
    <reviewItem>
      <errorID>64906de9-4a33-4a60-b74b-a023808a30e4</errorID>
      <errorWord>，</errorWord>
      <group>L1_Word</group>
      <groupName>字词问题</groupName>
      <ability>L2_Typo</ability>
      <abilityName>字词错误</abilityName>
      <candidateList>
        <item>，有</item>
      </candidateList>
      <explain/>
      <paraID> 5769CD6</paraID>
      <start>36</start>
      <end>38</end>
      <status>modified</status>
      <modifiedWord>，有</modifiedWord>
      <trackRevisions>false</trackRevisions>
    </reviewItem>
    <reviewItem>
      <errorID>1924ad8d-7a16-438a-83e1-a58a2df7d327</errorID>
      <errorWord>~</errorWord>
      <group>L1_Format</group>
      <groupName>格式问题</groupName>
      <ability>L2_HalfPunc_CN</ability>
      <abilityName/>
      <candidateList>
        <item>～</item>
      </candidateList>
      <explain>文本全半角错误。</explain>
      <paraID> 5769CD6</paraID>
      <start>75</start>
      <end>76</end>
      <status>modified</status>
      <modifiedWord>～</modifiedWord>
      <trackRevisions>false</trackRevisions>
    </reviewItem>
    <reviewItem>
      <errorID>ae887579-923a-48c3-ae28-c9b9188ce271</errorID>
      <errorWord>~</errorWord>
      <group>L1_Format</group>
      <groupName>格式问题</groupName>
      <ability>L2_HalfPunc_CN</ability>
      <abilityName/>
      <candidateList>
        <item>～</item>
      </candidateList>
      <explain>文本全半角错误。</explain>
      <paraID> 5769CD6</paraID>
      <start>89</start>
      <end>90</end>
      <status>modified</status>
      <modifiedWord>～</modifiedWord>
      <trackRevisions>false</trackRevisions>
    </reviewItem>
    <reviewItem>
      <errorID>8701681f-8d74-429e-a0a3-5ffaf35ae169</errorID>
      <errorWord>~</errorWord>
      <group>L1_Format</group>
      <groupName>格式问题</groupName>
      <ability>L2_HalfPunc_CN</ability>
      <abilityName/>
      <candidateList>
        <item>～</item>
      </candidateList>
      <explain>文本全半角错误。</explain>
      <paraID>780ADA48</paraID>
      <start>221</start>
      <end>222</end>
      <status>modified</status>
      <modifiedWord>～</modifiedWord>
      <trackRevisions>false</trackRevisions>
    </reviewItem>
    <reviewItem>
      <errorID>69daa5b0-e808-44ba-8be4-6a4ed2b2c24a</errorID>
      <errorWord>送料</errorWord>
      <group>L1_Word</group>
      <groupName>字词问题</groupName>
      <ability>L2_Typo</ability>
      <abilityName>字词错误</abilityName>
      <candidateList>
        <item>送</item>
      </candidateList>
      <explain/>
      <paraID>27583A62</paraID>
      <start>93</start>
      <end>94</end>
      <status>modified</status>
      <modifiedWord>送</modifiedWord>
      <trackRevisions>false</trackRevisions>
    </reviewItem>
    <reviewItem>
      <errorID>1e7d0d7f-3710-48fd-b7a9-fec120f3b04d</errorID>
      <errorWord>投入至</errorWord>
      <group>L1_Word</group>
      <groupName>字词问题</groupName>
      <ability>L2_Typo</ability>
      <abilityName>字词错误</abilityName>
      <candidateList>
        <item>投入</item>
      </candidateList>
      <explain>❶〈动〉投到某种环境里去：～生产｜～新生活｜新机场已经正式～使用。❷〈形〉形容做事情聚精会神，全力以赴：她演戏很～。❸〈动〉指投放资金：少～，多产出。❹〈名〉投放的资金：教育～逐年增加｜这是一笔不小的～。</explain>
      <paraID>176673F0</paraID>
      <start>57</start>
      <end>59</end>
      <status>modified</status>
      <modifiedWord>投入</modifiedWord>
      <trackRevisions>false</trackRevisions>
    </reviewItem>
    <reviewItem>
      <errorID>9d84f11d-5bde-4286-b7f3-e6c5df813762</errorID>
      <errorWord>进</errorWord>
      <group>L1_Word</group>
      <groupName>字词问题</groupName>
      <ability>L2_Typo</ability>
      <abilityName>字词错误</abilityName>
      <candidateList>
        <item>仅</item>
      </candidateList>
      <explain>存在发音相同字词的误用。</explain>
      <paraID>49555FA6</paraID>
      <start>19</start>
      <end>20</end>
      <status>modified</status>
      <modifiedWord>仅</modifiedWord>
      <trackRevisions>false</trackRevisions>
    </reviewItem>
    <reviewItem>
      <errorID>73a1507c-78cb-493b-b371-1d8bcb51b124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46AFD0C9</paraID>
      <start>120</start>
      <end>121</end>
      <status>ignored</status>
      <modifiedWord/>
      <trackRevisions>false</trackRevisions>
    </reviewItem>
    <reviewItem>
      <errorID>983c6979-f632-49a4-bb5d-4d06ea899f75</errorID>
      <errorWord>（</errorWord>
      <group>L1_Punc</group>
      <groupName>标点问题</groupName>
      <ability>L2_Punc_CN</ability>
      <abilityName/>
      <candidateList/>
      <explain>同一形式括号套用。</explain>
      <paraID>17F8E2BC</paraID>
      <start>255</start>
      <end>256</end>
      <status>ignored</status>
      <modifiedWord/>
      <trackRevisions>false</trackRevisions>
    </reviewItem>
    <reviewItem>
      <errorID>d5f40fca-b7e9-4061-89c3-011d2bf0cadf</errorID>
      <errorWord>）</errorWord>
      <group>L1_Punc</group>
      <groupName>标点问题</groupName>
      <ability>L2_Punc_CN</ability>
      <abilityName/>
      <candidateList/>
      <explain>同一形式括号套用。</explain>
      <paraID>17F8E2BC</paraID>
      <start>259</start>
      <end>260</end>
      <status>ignored</status>
      <modifiedWord/>
      <trackRevisions>false</trackRevisions>
    </reviewItem>
    <reviewItem>
      <errorID>942a2faf-fbb3-4cac-891c-1b42b5709f42</errorID>
      <errorWord>（</errorWord>
      <group>L1_Format</group>
      <groupName>格式问题</groupName>
      <ability>L2_HalfPunc_CN</ability>
      <abilityName/>
      <candidateList>
        <item>(</item>
      </candidateList>
      <explain>文本全半角错误。</explain>
      <paraID>71A9BD72</paraID>
      <start>0</start>
      <end>1</end>
      <status>ignored</status>
      <modifiedWord/>
      <trackRevisions>false</trackRevisions>
    </reviewItem>
    <reviewItem>
      <errorID>cc33622b-7180-46bc-b8cf-aadc41cd69d4</errorID>
      <errorWord>）</errorWord>
      <group>L1_Format</group>
      <groupName>格式问题</groupName>
      <ability>L2_HalfPunc_CN</ability>
      <abilityName/>
      <candidateList>
        <item>)</item>
      </candidateList>
      <explain>文本全半角错误。</explain>
      <paraID>71A9BD72</paraID>
      <start>6</start>
      <end>7</end>
      <status>ignored</status>
      <modifiedWord/>
      <trackRevisions>false</trackRevisions>
    </reviewItem>
    <reviewItem>
      <errorID>8272a5e9-b2b8-4fa5-b7de-2c9d2e686f7a</errorID>
      <errorWord>（</errorWord>
      <group>L1_Format</group>
      <groupName>格式问题</groupName>
      <ability>L2_HalfPunc_CN</ability>
      <abilityName/>
      <candidateList>
        <item>(</item>
      </candidateList>
      <explain>文本全半角错误。</explain>
      <paraID>552EAD47</paraID>
      <start>0</start>
      <end>1</end>
      <status>ignored</status>
      <modifiedWord/>
      <trackRevisions>false</trackRevisions>
    </reviewItem>
    <reviewItem>
      <errorID>864d2340-1ed3-4dbc-808b-a6e3ae5059f1</errorID>
      <errorWord>）</errorWord>
      <group>L1_Format</group>
      <groupName>格式问题</groupName>
      <ability>L2_HalfPunc_CN</ability>
      <abilityName/>
      <candidateList>
        <item>)</item>
      </candidateList>
      <explain>文本全半角错误。</explain>
      <paraID>552EAD47</paraID>
      <start>5</start>
      <end>6</end>
      <status>ignored</status>
      <modifiedWord/>
      <trackRevisions>false</trackRevisions>
    </reviewItem>
    <reviewItem>
      <errorID>cc704998-f4ae-49fa-bb17-ac6acea13f8d</errorID>
      <errorWord>（</errorWord>
      <group>L1_Format</group>
      <groupName>格式问题</groupName>
      <ability>L2_HalfPunc_CN</ability>
      <abilityName/>
      <candidateList>
        <item>(</item>
      </candidateList>
      <explain>文本全半角错误。</explain>
      <paraID> EDC6CB7</paraID>
      <start>0</start>
      <end>1</end>
      <status>ignored</status>
      <modifiedWord/>
      <trackRevisions>false</trackRevisions>
    </reviewItem>
    <reviewItem>
      <errorID>f17ea737-ee1e-42df-812f-a0bd397cfd22</errorID>
      <errorWord>）</errorWord>
      <group>L1_Format</group>
      <groupName>格式问题</groupName>
      <ability>L2_HalfPunc_CN</ability>
      <abilityName/>
      <candidateList>
        <item>)</item>
      </candidateList>
      <explain>文本全半角错误。</explain>
      <paraID> EDC6CB7</paraID>
      <start>6</start>
      <end>7</end>
      <status>ignored</status>
      <modifiedWord/>
      <trackRevisions>false</trackRevisions>
    </reviewItem>
    <reviewItem>
      <errorID>6ea31a37-7520-490d-9870-8fa8f946d551</errorID>
      <errorWord>（</errorWord>
      <group>L1_Format</group>
      <groupName>格式问题</groupName>
      <ability>L2_HalfPunc_CN</ability>
      <abilityName/>
      <candidateList>
        <item>(</item>
      </candidateList>
      <explain>文本全半角错误。</explain>
      <paraID> C259EA8</paraID>
      <start>0</start>
      <end>1</end>
      <status>ignored</status>
      <modifiedWord/>
      <trackRevisions>false</trackRevisions>
    </reviewItem>
    <reviewItem>
      <errorID>6c055e10-bfe6-45f6-b161-743c8e1455ad</errorID>
      <errorWord>）</errorWord>
      <group>L1_Format</group>
      <groupName>格式问题</groupName>
      <ability>L2_HalfPunc_CN</ability>
      <abilityName/>
      <candidateList>
        <item>)</item>
      </candidateList>
      <explain>文本全半角错误。</explain>
      <paraID> C259EA8</paraID>
      <start>5</start>
      <end>6</end>
      <status>ignored</status>
      <modifiedWord/>
      <trackRevisions>false</trackRevisions>
    </reviewItem>
    <reviewItem>
      <errorID>7f080eb0-adf0-426c-8ccd-565aebdf3318</errorID>
      <errorWord>农业部</errorWord>
      <group>L1_Knowledge</group>
      <groupName>知识性问题</groupName>
      <ability>L2_Organization</ability>
      <abilityName>机构检查</abilityName>
      <candidateList>
        <item>农业农村部</item>
      </candidateList>
      <explain>机关单位全简称表述错误</explain>
      <paraID> E675AC3</paraID>
      <start>29</start>
      <end>32</end>
      <status>ignored</status>
      <modifiedWord/>
      <trackRevisions>false</trackRevisions>
    </reviewItem>
    <reviewItem>
      <errorID>4c6eeec6-30b7-4ed6-af7b-5f2c66f129b7</errorID>
      <errorWord>（</errorWord>
      <group>L1_Format</group>
      <groupName>格式问题</groupName>
      <ability>L2_HalfPunc_CN</ability>
      <abilityName/>
      <candidateList>
        <item>(</item>
      </candidateList>
      <explain>文本全半角错误。</explain>
      <paraID> 9179C3B</paraID>
      <start>7</start>
      <end>8</end>
      <status>ignored</status>
      <modifiedWord/>
      <trackRevisions>false</trackRevisions>
    </reviewItem>
    <reviewItem>
      <errorID>2c9b330b-95d9-4d4b-944f-e14c32179fa6</errorID>
      <errorWord>）</errorWord>
      <group>L1_Format</group>
      <groupName>格式问题</groupName>
      <ability>L2_HalfPunc_CN</ability>
      <abilityName/>
      <candidateList>
        <item>)</item>
      </candidateList>
      <explain>文本全半角错误。</explain>
      <paraID> 9179C3B</paraID>
      <start>9</start>
      <end>10</end>
      <status>ignored</status>
      <modifiedWord/>
      <trackRevisions>false</trackRevisions>
    </reviewItem>
    <reviewItem>
      <errorID>e16f4d64-61f2-4440-9267-d54dc79df3c7</errorID>
      <errorWord>（</errorWord>
      <group>L1_Format</group>
      <groupName>格式问题</groupName>
      <ability>L2_HalfPunc_CN</ability>
      <abilityName/>
      <candidateList>
        <item>(</item>
      </candidateList>
      <explain>文本全半角错误。</explain>
      <paraID>6B321DEF</paraID>
      <start>7</start>
      <end>8</end>
      <status>ignored</status>
      <modifiedWord/>
      <trackRevisions>false</trackRevisions>
    </reviewItem>
    <reviewItem>
      <errorID>6f165991-7be6-433b-8de7-6bce5f75418f</errorID>
      <errorWord>）</errorWord>
      <group>L1_Format</group>
      <groupName>格式问题</groupName>
      <ability>L2_HalfPunc_CN</ability>
      <abilityName/>
      <candidateList>
        <item>)</item>
      </candidateList>
      <explain>文本全半角错误。</explain>
      <paraID>6B321DEF</paraID>
      <start>9</start>
      <end>10</end>
      <status>ignored</status>
      <modifiedWord/>
      <trackRevisions>false</trackRevisions>
    </reviewItem>
    <reviewItem>
      <errorID>b03e562c-2231-4ffd-946f-d9a64a2e514f</errorID>
      <errorWord>（</errorWord>
      <group>L1_Format</group>
      <groupName>格式问题</groupName>
      <ability>L2_HalfPunc_CN</ability>
      <abilityName/>
      <candidateList>
        <item>(</item>
      </candidateList>
      <explain>文本全半角错误。</explain>
      <paraID>12741F93</paraID>
      <start>7</start>
      <end>8</end>
      <status>ignored</status>
      <modifiedWord/>
      <trackRevisions>false</trackRevisions>
    </reviewItem>
    <reviewItem>
      <errorID>e7e2d129-d85b-410d-8b2e-955406272aec</errorID>
      <errorWord>）</errorWord>
      <group>L1_Format</group>
      <groupName>格式问题</groupName>
      <ability>L2_HalfPunc_CN</ability>
      <abilityName/>
      <candidateList>
        <item>)</item>
      </candidateList>
      <explain>文本全半角错误。</explain>
      <paraID>12741F93</paraID>
      <start>9</start>
      <end>10</end>
      <status>ignored</status>
      <modifiedWord/>
      <trackRevisions>false</trackRevisions>
    </reviewItem>
    <reviewItem>
      <errorID>d08c170f-2d5d-43a5-9843-ca87d56b7e89</errorID>
      <errorWord>（</errorWord>
      <group>L1_Format</group>
      <groupName>格式问题</groupName>
      <ability>L2_HalfPunc_CN</ability>
      <abilityName/>
      <candidateList>
        <item>(</item>
      </candidateList>
      <explain>文本全半角错误。</explain>
      <paraID> 4BF7DAB</paraID>
      <start>7</start>
      <end>8</end>
      <status>ignored</status>
      <modifiedWord/>
      <trackRevisions>false</trackRevisions>
    </reviewItem>
    <reviewItem>
      <errorID>aa93a93f-5644-4db1-865d-64b18ac3cf70</errorID>
      <errorWord>）</errorWord>
      <group>L1_Format</group>
      <groupName>格式问题</groupName>
      <ability>L2_HalfPunc_CN</ability>
      <abilityName/>
      <candidateList>
        <item>)</item>
      </candidateList>
      <explain>文本全半角错误。</explain>
      <paraID> 4BF7DAB</paraID>
      <start>9</start>
      <end>10</end>
      <status>ignored</status>
      <modifiedWord/>
      <trackRevisions>false</trackRevisions>
    </reviewItem>
    <reviewItem>
      <errorID>a92c077d-7bef-4f6c-a0e3-ec75cd7e4792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463DA652</paraID>
      <start>0</start>
      <end>2</end>
      <status>ignored</status>
      <modifiedWord/>
      <trackRevisions>false</trackRevisions>
    </reviewItem>
    <reviewItem>
      <errorID>bebb3460-5fc2-4dc1-b947-086f2e18afd9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C8008A4</paraID>
      <start>0</start>
      <end>2</end>
      <status>ignored</status>
      <modifiedWord/>
      <trackRevisions>false</trackRevisions>
    </reviewItem>
    <reviewItem>
      <errorID>fd046126-d192-4f4d-b6fa-b36af37b7e86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43DFD5ED</paraID>
      <start>0</start>
      <end>2</end>
      <status>ignored</status>
      <modifiedWord/>
      <trackRevisions>false</trackRevisions>
    </reviewItem>
    <reviewItem>
      <errorID>ddf10c3f-0df1-484e-a94d-68513e69048e</errorID>
      <errorWord>项</errorWord>
      <group>L1_Knowledge</group>
      <groupName>知识性问题</groupName>
      <ability>L2_Knowledge</ability>
      <abilityName>其他知识</abilityName>
      <candidateList>
        <item>个</item>
      </candidateList>
      <explain>请检查“项”是否为量词使用错误，建议修改为“个”。</explain>
      <paraID>790DC05A</paraID>
      <start>51</start>
      <end>52</end>
      <status>modified</status>
      <modifiedWord>个</modifiedWord>
      <trackRevisions>false</trackRevisions>
    </reviewItem>
    <reviewItem>
      <errorID>1c98e1ba-5ebf-466f-9363-876912d1c70b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5A3EAF65</paraID>
      <start>0</start>
      <end>2</end>
      <status>ignored</status>
      <modifiedWord/>
      <trackRevisions>false</trackRevisions>
    </reviewItem>
    <reviewItem>
      <errorID>d5bd432a-6373-4dc5-bc14-f636871d0ed6</errorID>
      <errorWord>~</errorWord>
      <group>L1_Format</group>
      <groupName>格式问题</groupName>
      <ability>L2_HalfPunc_CN</ability>
      <abilityName/>
      <candidateList>
        <item>～</item>
      </candidateList>
      <explain>文本全半角错误。</explain>
      <paraID>1F2D7BFC</paraID>
      <start>174</start>
      <end>175</end>
      <status>modified</status>
      <modifiedWord>～</modifiedWord>
      <trackRevisions>false</trackRevisions>
    </reviewItem>
    <reviewItem>
      <errorID>b2687e49-54ac-477b-9c69-da316f289017</errorID>
      <errorWord>~</errorWord>
      <group>L1_Format</group>
      <groupName>格式问题</groupName>
      <ability>L2_HalfPunc_CN</ability>
      <abilityName/>
      <candidateList>
        <item>～</item>
      </candidateList>
      <explain>文本全半角错误。</explain>
      <paraID>1F2D7BFC</paraID>
      <start>223</start>
      <end>224</end>
      <status>modified</status>
      <modifiedWord>～</modifiedWord>
      <trackRevisions>false</trackRevisions>
    </reviewItem>
    <reviewItem>
      <errorID>20d0ba02-df7a-4044-9ee6-3fda11f61305</errorID>
      <errorWord>~</errorWord>
      <group>L1_Format</group>
      <groupName>格式问题</groupName>
      <ability>L2_HalfPunc_CN</ability>
      <abilityName/>
      <candidateList>
        <item>～</item>
      </candidateList>
      <explain>文本全半角错误。</explain>
      <paraID>1F2D7BFC</paraID>
      <start>229</start>
      <end>230</end>
      <status>modified</status>
      <modifiedWord>～</modifiedWord>
      <trackRevisions>false</trackRevisions>
    </reviewItem>
    <reviewItem>
      <errorID>7720e217-0350-4bdb-bd86-532bd5ed720c</errorID>
      <errorWord>~</errorWord>
      <group>L1_Format</group>
      <groupName>格式问题</groupName>
      <ability>L2_HalfPunc_CN</ability>
      <abilityName/>
      <candidateList>
        <item>～</item>
      </candidateList>
      <explain>文本全半角错误。</explain>
      <paraID>7655FB59</paraID>
      <start>13</start>
      <end>14</end>
      <status>modified</status>
      <modifiedWord>～</modifiedWord>
      <trackRevisions>false</trackRevisions>
    </reviewItem>
    <reviewItem>
      <errorID>a428b424-2fbb-4c07-9c1d-3c0f8596052b</errorID>
      <errorWord>~</errorWord>
      <group>L1_Format</group>
      <groupName>格式问题</groupName>
      <ability>L2_HalfPunc_CN</ability>
      <abilityName/>
      <candidateList>
        <item>～</item>
      </candidateList>
      <explain>文本全半角错误。</explain>
      <paraID>709F3925</paraID>
      <start>108</start>
      <end>109</end>
      <status>modified</status>
      <modifiedWord>～</modifiedWord>
      <trackRevisions>false</trackRevisions>
    </reviewItem>
    <reviewItem>
      <errorID>12ec8cd5-11ef-4207-a729-9d8d2d18fc10</errorID>
      <errorWord>~</errorWord>
      <group>L1_Format</group>
      <groupName>格式问题</groupName>
      <ability>L2_HalfPunc_CN</ability>
      <abilityName/>
      <candidateList>
        <item>～</item>
      </candidateList>
      <explain>文本全半角错误。</explain>
      <paraID>196A002C</paraID>
      <start>12</start>
      <end>13</end>
      <status>modified</status>
      <modifiedWord>～</modifiedWord>
      <trackRevisions>false</trackRevisions>
    </reviewItem>
    <reviewItem>
      <errorID>6077fd40-32ad-4aed-8b00-0b8c56238363</errorID>
      <errorWord>修</errorWord>
      <group>L1_Word</group>
      <groupName>字词问题</groupName>
      <ability>L2_Typo</ability>
      <abilityName>字词错误</abilityName>
      <candidateList>
        <item>修建</item>
      </candidateList>
      <explain/>
      <paraID>46F9BA5C</paraID>
      <start>162</start>
      <end>164</end>
      <status>modified</status>
      <modifiedWord>修建</modifiedWord>
      <trackRevisions>false</trackRevisions>
    </reviewItem>
    <reviewItem>
      <errorID>7b2037ae-8787-46af-b729-107bb6ac944c</errorID>
      <errorWord>占了</errorWord>
      <group>L1_Word</group>
      <groupName>字词问题</groupName>
      <ability>L2_Typo</ability>
      <abilityName>字词错误</abilityName>
      <candidateList>
        <item>占</item>
      </candidateList>
      <explain/>
      <paraID>5C2FB01E</paraID>
      <start>86</start>
      <end>87</end>
      <status>modified</status>
      <modifiedWord>占</modifiedWord>
      <trackRevisions>false</trackRevisions>
    </reviewItem>
    <reviewItem>
      <errorID>16489fdf-e56a-48a5-a6c0-c1c1458bae4b</errorID>
      <errorWord>白杨河的</errorWord>
      <group>L1_Word</group>
      <groupName>字词问题</groupName>
      <ability>L2_Typo</ability>
      <abilityName>字词错误</abilityName>
      <candidateList>
        <item>白杨河</item>
      </candidateList>
      <explain/>
      <paraID>5C2FB01E</paraID>
      <start>99</start>
      <end>102</end>
      <status>modified</status>
      <modifiedWord>白杨河</modifiedWord>
      <trackRevisions>false</trackRevisions>
    </reviewItem>
    <reviewItem>
      <errorID>6247839a-da8d-40cc-8ebd-953763f693f9</errorID>
      <errorWord>水的</errorWord>
      <group>L1_Word</group>
      <groupName>字词问题</groupName>
      <ability>L2_Typo</ability>
      <abilityName>字词错误</abilityName>
      <candidateList>
        <item>水</item>
      </candidateList>
      <explain/>
      <paraID>5C2FB01E</paraID>
      <start>144</start>
      <end>145</end>
      <status>modified</status>
      <modifiedWord>水</modifiedWord>
      <trackRevisions>false</trackRevisions>
    </reviewItem>
    <reviewItem>
      <errorID>8b7fb6bf-c986-409f-a081-0fd181a6daaf</errorID>
      <errorWord>流人</errorWord>
      <group>L1_Word</group>
      <groupName>字词问题</groupName>
      <ability>L2_Typo</ability>
      <abilityName>字词错误</abilityName>
      <candidateList>
        <item>流入</item>
      </candidateList>
      <explain/>
      <paraID> 2345197</paraID>
      <start>218</start>
      <end>220</end>
      <status>modified</status>
      <modifiedWord>流入</modifiedWord>
      <trackRevisions>false</trackRevisions>
    </reviewItem>
    <reviewItem>
      <errorID>6f11fc3b-1e07-4959-95cb-ae27f88cd491</errorID>
      <errorWord>适合于</errorWord>
      <group>L1_Word</group>
      <groupName>字词问题</groupName>
      <ability>L2_Typo</ability>
      <abilityName>字词错误</abilityName>
      <candidateList>
        <item>适合</item>
      </candidateList>
      <explain/>
      <paraID>50DDFAE7</paraID>
      <start>86</start>
      <end>88</end>
      <status>modified</status>
      <modifiedWord>适合</modifiedWord>
      <trackRevisions>false</trackRevisions>
    </reviewItem>
    <reviewItem>
      <errorID>88299d58-37c3-4511-a97d-ca0b7dead89a</errorID>
      <errorWord>潮温</errorWord>
      <group>L1_Word</group>
      <groupName>字词问题</groupName>
      <ability>L2_Typo</ability>
      <abilityName>字词错误</abilityName>
      <candidateList>
        <item>潮湿</item>
      </candidateList>
      <explain/>
      <paraID>6657F244</paraID>
      <start>28</start>
      <end>30</end>
      <status>modified</status>
      <modifiedWord>潮湿</modifiedWord>
      <trackRevisions>false</trackRevisions>
    </reviewItem>
    <reviewItem>
      <errorID>9f3a0d2c-6d09-43ca-8d65-1e25a77e2491</errorID>
      <errorWord>降水带</errorWord>
      <group>L1_Word</group>
      <groupName>字词问题</groupName>
      <ability>L2_Typo</ability>
      <abilityName>字词错误</abilityName>
      <candidateList>
        <item>降水量</item>
      </candidateList>
      <explain/>
      <paraID>6657F244</paraID>
      <start>52</start>
      <end>55</end>
      <status>modified</status>
      <modifiedWord>降水量</modifiedWord>
      <trackRevisions>false</trackRevisions>
    </reviewItem>
    <reviewItem>
      <errorID>8e38c262-6790-4881-9109-6810ddf2b5a3</errorID>
      <errorWord>成</errorWord>
      <group>L1_Word</group>
      <groupName>字词问题</groupName>
      <ability>L2_Typo</ability>
      <abilityName>字词错误</abilityName>
      <candidateList>
        <item>呈</item>
      </candidateList>
      <explain>❶〈动〉具有（某种形式）；呈现（某种颜色、状态）：果实～长圆形｜毛皮～暗褐色。❷〈动〉恭敬地送上去：谨～｜～上名片。❸呈文：签～。❹（Chénɡ）〈名〉姓。</explain>
      <paraID>6657F244</paraID>
      <start>88</start>
      <end>89</end>
      <status>modified</status>
      <modifiedWord>呈</modifiedWord>
      <trackRevisions>false</trackRevisions>
    </reviewItem>
    <reviewItem>
      <errorID>ad68cab4-034f-4fb6-838b-575e374324dd</errorID>
      <errorWord>海拔高度</errorWord>
      <group>L1_Word</group>
      <groupName>字词问题</groupName>
      <ability>L2_Typo</ability>
      <abilityName>字词错误</abilityName>
      <candidateList>
        <item>海拔</item>
      </candidateList>
      <explain>〈名〉从平均海平面起算的高度。</explain>
      <paraID>6657F244</paraID>
      <start>314</start>
      <end>316</end>
      <status>modified</status>
      <modifiedWord>海拔</modifiedWord>
      <trackRevisions>false</trackRevisions>
    </reviewItem>
    <reviewItem>
      <errorID>9c0421b2-43dd-4379-ad6a-5e89e49b907f</errorID>
      <errorWord>年平</errorWord>
      <group>L1_Word</group>
      <groupName>字词问题</groupName>
      <ability>L2_Typo</ability>
      <abilityName>字词错误</abilityName>
      <candidateList>
        <item>平均</item>
      </candidateList>
      <explain/>
      <paraID>70FFB4D2</paraID>
      <start>55</start>
      <end>57</end>
      <status>ignored</status>
      <modifiedWord/>
      <trackRevisions>false</trackRevisions>
    </reviewItem>
    <reviewItem>
      <errorID>ea740190-2ccb-452d-bd91-8c76825695b1</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70FFB4D2</paraID>
      <start>129</start>
      <end>135</end>
      <status>modified</status>
      <modifiedWord>平均年降水量</modifiedWord>
      <trackRevisions>false</trackRevisions>
    </reviewItem>
    <reviewItem>
      <errorID>4731c1c9-ff6c-49d1-98a9-5f1297468e3a</errorID>
      <errorWord>年平</errorWord>
      <group>L1_Word</group>
      <groupName>字词问题</groupName>
      <ability>L2_Typo</ability>
      <abilityName>字词错误</abilityName>
      <candidateList>
        <item>平均</item>
      </candidateList>
      <explain/>
      <paraID>70FFB4D2</paraID>
      <start>185</start>
      <end>187</end>
      <status>ignored</status>
      <modifiedWord/>
      <trackRevisions>false</trackRevisions>
    </reviewItem>
    <reviewItem>
      <errorID>2a09d8c4-540a-40e9-98f4-db09126361e9</errorID>
      <errorWord>年平</errorWord>
      <group>L1_Word</group>
      <groupName>字词问题</groupName>
      <ability>L2_Typo</ability>
      <abilityName>字词错误</abilityName>
      <candidateList>
        <item>平均</item>
      </candidateList>
      <explain/>
      <paraID>70FFB4D2</paraID>
      <start>197</start>
      <end>199</end>
      <status>ignored</status>
      <modifiedWord/>
      <trackRevisions>false</trackRevisions>
    </reviewItem>
    <reviewItem>
      <errorID>ae747e8b-1f13-477a-88d5-8a3ae1485c5f</errorID>
      <errorWord>年平</errorWord>
      <group>L1_Word</group>
      <groupName>字词问题</groupName>
      <ability>L2_Typo</ability>
      <abilityName>字词错误</abilityName>
      <candidateList>
        <item>平均</item>
      </candidateList>
      <explain/>
      <paraID>70FFB4D2</paraID>
      <start>210</start>
      <end>212</end>
      <status>ignored</status>
      <modifiedWord/>
      <trackRevisions>false</trackRevisions>
    </reviewItem>
    <reviewItem>
      <errorID>3ffe2bdf-bbf2-4bc5-a98a-dbdb9c8281e0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FD54ED0</paraID>
      <start>60</start>
      <end>61</end>
      <status>modified</status>
      <modifiedWord>—</modifiedWord>
      <trackRevisions>false</trackRevisions>
    </reviewItem>
    <reviewItem>
      <errorID>fb0ca262-5ef9-48c0-82c9-f33f4e78bfd2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FD54ED0</paraID>
      <start>74</start>
      <end>75</end>
      <status>modified</status>
      <modifiedWord>—</modifiedWord>
      <trackRevisions>false</trackRevisions>
    </reviewItem>
    <reviewItem>
      <errorID>bb7568e3-4124-4184-98ad-7ea4db0fb2a9</errorID>
      <errorWord>＜</errorWord>
      <group>L1_Format</group>
      <groupName>格式问题</groupName>
      <ability>L2_HalfPunc_CN</ability>
      <abilityName/>
      <candidateList>
        <item>&lt;</item>
      </candidateList>
      <explain>文本全半角错误。</explain>
      <paraID>2FE4BD71</paraID>
      <start>0</start>
      <end>1</end>
      <status>modified</status>
      <modifiedWord>&lt;</modifiedWord>
      <trackRevisions>false</trackRevisions>
    </reviewItem>
    <reviewItem>
      <errorID>0b7db767-528c-42cc-9c0e-2ae23e633579</errorID>
      <errorWord>＜</errorWord>
      <group>L1_Format</group>
      <groupName>格式问题</groupName>
      <ability>L2_HalfPunc_CN</ability>
      <abilityName/>
      <candidateList>
        <item>&lt;</item>
      </candidateList>
      <explain>文本全半角错误。</explain>
      <paraID>229C43C1</paraID>
      <start>0</start>
      <end>1</end>
      <status>modified</status>
      <modifiedWord>&lt;</modifiedWord>
      <trackRevisions>false</trackRevisions>
    </reviewItem>
    <reviewItem>
      <errorID>4c0273d2-4a46-42bf-9327-62f93bc74de5</errorID>
      <errorWord>，</errorWord>
      <group>L1_Format</group>
      <groupName>格式问题</groupName>
      <ability>L2_HalfPunc_CN</ability>
      <abilityName/>
      <candidateList>
        <item>, </item>
      </candidateList>
      <explain>文本全半角错误。</explain>
      <paraID>6B0F5947</paraID>
      <start>10</start>
      <end>11</end>
      <status>ignored</status>
      <modifiedWord/>
      <trackRevisions>false</trackRevisions>
    </reviewItem>
    <reviewItem>
      <errorID>198a19b5-055a-43b8-9a74-ea90e654c0be</errorID>
      <errorWord>，</errorWord>
      <group>L1_Format</group>
      <groupName>格式问题</groupName>
      <ability>L2_HalfPunc_CN</ability>
      <abilityName/>
      <candidateList>
        <item>, </item>
      </candidateList>
      <explain>文本全半角错误。</explain>
      <paraID>7C3DBFF8</paraID>
      <start>10</start>
      <end>11</end>
      <status>ignored</status>
      <modifiedWord/>
      <trackRevisions>false</trackRevisions>
    </reviewItem>
    <reviewItem>
      <errorID>b143574c-7450-4e53-a02d-548f1c7ce436</errorID>
      <errorWord>，</errorWord>
      <group>L1_Format</group>
      <groupName>格式问题</groupName>
      <ability>L2_HalfPunc_CN</ability>
      <abilityName/>
      <candidateList>
        <item>, </item>
      </candidateList>
      <explain>文本全半角错误。</explain>
      <paraID>7F677756</paraID>
      <start>10</start>
      <end>11</end>
      <status>ignored</status>
      <modifiedWord/>
      <trackRevisions>false</trackRevisions>
    </reviewItem>
    <reviewItem>
      <errorID>f1e0f123-e857-49b8-9975-d172384d123c</errorID>
      <errorWord>（</errorWord>
      <group>L1_Format</group>
      <groupName>格式问题</groupName>
      <ability>L2_HalfPunc_CN</ability>
      <abilityName/>
      <candidateList>
        <item>(</item>
      </candidateList>
      <explain>文本全半角错误。</explain>
      <paraID>46521B64</paraID>
      <start>25</start>
      <end>26</end>
      <status>ignored</status>
      <modifiedWord/>
      <trackRevisions>false</trackRevisions>
    </reviewItem>
    <reviewItem>
      <errorID>772d159d-3cb3-448e-9d96-77f21d946ba8</errorID>
      <errorWord>）；</errorWord>
      <group>L1_Format</group>
      <groupName>格式问题</groupName>
      <ability>L2_HalfPunc_CN</ability>
      <abilityName/>
      <candidateList>
        <item>);</item>
      </candidateList>
      <explain>文本全半角错误。</explain>
      <paraID>46521B64</paraID>
      <start>33</start>
      <end>35</end>
      <status>ignored</status>
      <modifiedWord/>
      <trackRevisions>false</trackRevisions>
    </reviewItem>
    <reviewItem>
      <errorID>f912a15c-9e99-49a3-9024-051d69484026</errorID>
      <errorWord>（</errorWord>
      <group>L1_Format</group>
      <groupName>格式问题</groupName>
      <ability>L2_HalfPunc_CN</ability>
      <abilityName/>
      <candidateList>
        <item>(</item>
      </candidateList>
      <explain>文本全半角错误。</explain>
      <paraID>5066EAA6</paraID>
      <start>25</start>
      <end>26</end>
      <status>ignored</status>
      <modifiedWord/>
      <trackRevisions>false</trackRevisions>
    </reviewItem>
    <reviewItem>
      <errorID>f4764247-5fe2-4648-85e4-ac0dc235cb8f</errorID>
      <errorWord>＞</errorWord>
      <group>L1_Format</group>
      <groupName>格式问题</groupName>
      <ability>L2_HalfPunc_CN</ability>
      <abilityName/>
      <candidateList>
        <item>&gt;</item>
      </candidateList>
      <explain>文本全半角错误。</explain>
      <paraID>5066EAA6</paraID>
      <start>29</start>
      <end>30</end>
      <status>ignored</status>
      <modifiedWord/>
      <trackRevisions>false</trackRevisions>
    </reviewItem>
    <reviewItem>
      <errorID>dd2afa78-0b54-4e63-8563-0568d457e632</errorID>
      <errorWord>）。</errorWord>
      <group>L1_Format</group>
      <groupName>格式问题</groupName>
      <ability>L2_HalfPunc_CN</ability>
      <abilityName/>
      <candidateList>
        <item>).</item>
      </candidateList>
      <explain>文本全半角错误。</explain>
      <paraID>5066EAA6</paraID>
      <start>33</start>
      <end>35</end>
      <status>ignored</status>
      <modifiedWord/>
      <trackRevisions>false</trackRevisions>
    </reviewItem>
    <reviewItem>
      <errorID>a718a1b0-48bc-4543-ae26-abe019c270c3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113EDD1F</paraID>
      <start>41</start>
      <end>42</end>
      <status>modified</status>
      <modifiedWord>—</modifiedWord>
      <trackRevisions>false</trackRevisions>
    </reviewItem>
    <reviewItem>
      <errorID>3aea9d68-75b6-4758-a4e4-95a1966de5ba</errorID>
      <errorWord>（</errorWord>
      <group>L1_Format</group>
      <groupName>格式问题</groupName>
      <ability>L2_HalfPunc_CN</ability>
      <abilityName/>
      <candidateList>
        <item>(</item>
      </candidateList>
      <explain>文本全半角错误。</explain>
      <paraID>2CA3F993</paraID>
      <start>0</start>
      <end>1</end>
      <status>ignored</status>
      <modifiedWord/>
      <trackRevisions>false</trackRevisions>
    </reviewItem>
    <reviewItem>
      <errorID>94a67874-de5c-43c9-806b-e4afa53c3b8a</errorID>
      <errorWord>）</errorWord>
      <group>L1_Format</group>
      <groupName>格式问题</groupName>
      <ability>L2_HalfPunc_CN</ability>
      <abilityName/>
      <candidateList>
        <item>)</item>
      </candidateList>
      <explain>文本全半角错误。</explain>
      <paraID>2CA3F993</paraID>
      <start>9</start>
      <end>10</end>
      <status>ignored</status>
      <modifiedWord/>
      <trackRevisions>false</trackRevisions>
    </reviewItem>
    <reviewItem>
      <errorID>a6c42671-eca1-473d-932d-abd599eae0bf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3D25B478</paraID>
      <start>0</start>
      <end>2</end>
      <status>ignored</status>
      <modifiedWord/>
      <trackRevisions>false</trackRevisions>
    </reviewItem>
    <reviewItem>
      <errorID>2c510863-e1c6-4bc9-9efd-1e833c982357</errorID>
      <errorWord>（</errorWord>
      <group>L1_Format</group>
      <groupName>格式问题</groupName>
      <ability>L2_HalfPunc_CN</ability>
      <abilityName/>
      <candidateList>
        <item>(</item>
      </candidateList>
      <explain>文本全半角错误。</explain>
      <paraID>65C58B2E</paraID>
      <start>7</start>
      <end>8</end>
      <status>ignored</status>
      <modifiedWord/>
      <trackRevisions>false</trackRevisions>
    </reviewItem>
    <reviewItem>
      <errorID>12621033-4fb5-4d28-a70b-dddc6cec8091</errorID>
      <errorWord>）（</errorWord>
      <group>L1_Format</group>
      <groupName>格式问题</groupName>
      <ability>L2_HalfPunc_CN</ability>
      <abilityName/>
      <candidateList>
        <item>)(</item>
      </candidateList>
      <explain>文本全半角错误。</explain>
      <paraID>65C58B2E</paraID>
      <start>11</start>
      <end>13</end>
      <status>ignored</status>
      <modifiedWord/>
      <trackRevisions>false</trackRevisions>
    </reviewItem>
    <reviewItem>
      <errorID>ebce7dbb-0ac8-4653-b0ad-b3ed90381696</errorID>
      <errorWord>）</errorWord>
      <group>L1_Format</group>
      <groupName>格式问题</groupName>
      <ability>L2_HalfPunc_CN</ability>
      <abilityName/>
      <candidateList>
        <item>)</item>
      </candidateList>
      <explain>文本全半角错误。</explain>
      <paraID>65C58B2E</paraID>
      <start>18</start>
      <end>19</end>
      <status>ignored</status>
      <modifiedWord/>
      <trackRevisions>false</trackRevisions>
    </reviewItem>
    <reviewItem>
      <errorID>10050b9d-406a-4748-891a-c3ddd54a0efb</errorID>
      <errorWord>（</errorWord>
      <group>L1_Format</group>
      <groupName>格式问题</groupName>
      <ability>L2_HalfPunc_CN</ability>
      <abilityName/>
      <candidateList>
        <item>(</item>
      </candidateList>
      <explain>文本全半角错误。</explain>
      <paraID>65C58B2E</paraID>
      <start>23</start>
      <end>24</end>
      <status>ignored</status>
      <modifiedWord/>
      <trackRevisions>false</trackRevisions>
    </reviewItem>
    <reviewItem>
      <errorID>ccf287fd-a902-4c50-a02f-c648bf78a63f</errorID>
      <errorWord>）</errorWord>
      <group>L1_Format</group>
      <groupName>格式问题</groupName>
      <ability>L2_HalfPunc_CN</ability>
      <abilityName/>
      <candidateList>
        <item>)</item>
      </candidateList>
      <explain>文本全半角错误。</explain>
      <paraID>65C58B2E</paraID>
      <start>29</start>
      <end>30</end>
      <status>ignored</status>
      <modifiedWord/>
      <trackRevisions>false</trackRevisions>
    </reviewItem>
    <reviewItem>
      <errorID>f68d042c-1422-4beb-b6e2-4ac2aa6cc261</errorID>
      <errorWord>（</errorWord>
      <group>L1_Format</group>
      <groupName>格式问题</groupName>
      <ability>L2_HalfPunc_CN</ability>
      <abilityName/>
      <candidateList>
        <item>(</item>
      </candidateList>
      <explain>文本全半角错误。</explain>
      <paraID> AB78D60</paraID>
      <start>0</start>
      <end>1</end>
      <status>ignored</status>
      <modifiedWord/>
      <trackRevisions>false</trackRevisions>
    </reviewItem>
    <reviewItem>
      <errorID>eea9bb8f-7867-4a8c-9e5d-bf744521bf6e</errorID>
      <errorWord>）</errorWord>
      <group>L1_Format</group>
      <groupName>格式问题</groupName>
      <ability>L2_HalfPunc_CN</ability>
      <abilityName/>
      <candidateList>
        <item>)</item>
      </candidateList>
      <explain>文本全半角错误。</explain>
      <paraID> AB78D60</paraID>
      <start>6</start>
      <end>7</end>
      <status>ignored</status>
      <modifiedWord/>
      <trackRevisions>false</trackRevisions>
    </reviewItem>
    <reviewItem>
      <errorID>b2cca16b-711b-4be1-830b-ed8af70383d1</errorID>
      <errorWord>（</errorWord>
      <group>L1_Format</group>
      <groupName>格式问题</groupName>
      <ability>L2_HalfPunc_CN</ability>
      <abilityName/>
      <candidateList>
        <item>(</item>
      </candidateList>
      <explain>文本全半角错误。</explain>
      <paraID>75C8CFCA</paraID>
      <start>0</start>
      <end>1</end>
      <status>ignored</status>
      <modifiedWord/>
      <trackRevisions>false</trackRevisions>
    </reviewItem>
    <reviewItem>
      <errorID>efd93498-9c2b-4f87-a1cf-bc8c4d62f5fa</errorID>
      <errorWord>）</errorWord>
      <group>L1_Format</group>
      <groupName>格式问题</groupName>
      <ability>L2_HalfPunc_CN</ability>
      <abilityName/>
      <candidateList>
        <item>)</item>
      </candidateList>
      <explain>文本全半角错误。</explain>
      <paraID>75C8CFCA</paraID>
      <start>6</start>
      <end>7</end>
      <status>ignored</status>
      <modifiedWord/>
      <trackRevisions>false</trackRevisions>
    </reviewItem>
    <reviewItem>
      <errorID>fbe98210-77ad-4e42-bc4d-0d19d4f41434</errorID>
      <errorWord>（</errorWord>
      <group>L1_Format</group>
      <groupName>格式问题</groupName>
      <ability>L2_HalfPunc_CN</ability>
      <abilityName/>
      <candidateList>
        <item>(</item>
      </candidateList>
      <explain>文本全半角错误。</explain>
      <paraID>51058C4D</paraID>
      <start>0</start>
      <end>1</end>
      <status>ignored</status>
      <modifiedWord/>
      <trackRevisions>false</trackRevisions>
    </reviewItem>
    <reviewItem>
      <errorID>4c6af740-47c8-4f84-ae46-c3e0f524a4dc</errorID>
      <errorWord>）</errorWord>
      <group>L1_Format</group>
      <groupName>格式问题</groupName>
      <ability>L2_HalfPunc_CN</ability>
      <abilityName/>
      <candidateList>
        <item>)</item>
      </candidateList>
      <explain>文本全半角错误。</explain>
      <paraID>51058C4D</paraID>
      <start>6</start>
      <end>7</end>
      <status>ignored</status>
      <modifiedWord/>
      <trackRevisions>false</trackRevisions>
    </reviewItem>
    <reviewItem>
      <errorID>b596e0ec-6e16-4ef6-8ed7-f52e552bf3b7</errorID>
      <errorWord>（</errorWord>
      <group>L1_Format</group>
      <groupName>格式问题</groupName>
      <ability>L2_HalfPunc_CN</ability>
      <abilityName/>
      <candidateList>
        <item>(</item>
      </candidateList>
      <explain>文本全半角错误。</explain>
      <paraID>568BCECC</paraID>
      <start>0</start>
      <end>1</end>
      <status>ignored</status>
      <modifiedWord/>
      <trackRevisions>false</trackRevisions>
    </reviewItem>
    <reviewItem>
      <errorID>98dcf318-9286-48fd-abef-1c2b15b2edb0</errorID>
      <errorWord>）</errorWord>
      <group>L1_Format</group>
      <groupName>格式问题</groupName>
      <ability>L2_HalfPunc_CN</ability>
      <abilityName/>
      <candidateList>
        <item>)</item>
      </candidateList>
      <explain>文本全半角错误。</explain>
      <paraID>568BCECC</paraID>
      <start>6</start>
      <end>7</end>
      <status>ignored</status>
      <modifiedWord/>
      <trackRevisions>false</trackRevisions>
    </reviewItem>
    <reviewItem>
      <errorID>ed5bb8f5-12a6-4fb6-b357-d079deccb0e7</errorID>
      <errorWord>（</errorWord>
      <group>L1_Format</group>
      <groupName>格式问题</groupName>
      <ability>L2_HalfPunc_CN</ability>
      <abilityName/>
      <candidateList>
        <item>(</item>
      </candidateList>
      <explain>文本全半角错误。</explain>
      <paraID>5B888D74</paraID>
      <start>0</start>
      <end>1</end>
      <status>ignored</status>
      <modifiedWord/>
      <trackRevisions>false</trackRevisions>
    </reviewItem>
    <reviewItem>
      <errorID>71256a24-5b53-4c27-89ce-0999a61faa91</errorID>
      <errorWord>）</errorWord>
      <group>L1_Format</group>
      <groupName>格式问题</groupName>
      <ability>L2_HalfPunc_CN</ability>
      <abilityName/>
      <candidateList>
        <item>)</item>
      </candidateList>
      <explain>文本全半角错误。</explain>
      <paraID>5B888D74</paraID>
      <start>6</start>
      <end>7</end>
      <status>ignored</status>
      <modifiedWord/>
      <trackRevisions>false</trackRevisions>
    </reviewItem>
    <reviewItem>
      <errorID>b83db609-549f-47ef-b3cb-1c8eaa55822b</errorID>
      <errorWord>（</errorWord>
      <group>L1_Format</group>
      <groupName>格式问题</groupName>
      <ability>L2_HalfPunc_CN</ability>
      <abilityName/>
      <candidateList>
        <item>(</item>
      </candidateList>
      <explain>文本全半角错误。</explain>
      <paraID>4826697F</paraID>
      <start>0</start>
      <end>1</end>
      <status>ignored</status>
      <modifiedWord/>
      <trackRevisions>false</trackRevisions>
    </reviewItem>
    <reviewItem>
      <errorID>94f46827-31ab-4d4b-8dec-c1b2e120ff9a</errorID>
      <errorWord>）</errorWord>
      <group>L1_Format</group>
      <groupName>格式问题</groupName>
      <ability>L2_HalfPunc_CN</ability>
      <abilityName/>
      <candidateList>
        <item>)</item>
      </candidateList>
      <explain>文本全半角错误。</explain>
      <paraID>4826697F</paraID>
      <start>6</start>
      <end>7</end>
      <status>ignored</status>
      <modifiedWord/>
      <trackRevisions>false</trackRevisions>
    </reviewItem>
    <reviewItem>
      <errorID>33783b6b-c15a-4d75-955f-764e53681f77</errorID>
      <errorWord>（</errorWord>
      <group>L1_Format</group>
      <groupName>格式问题</groupName>
      <ability>L2_HalfPunc_CN</ability>
      <abilityName/>
      <candidateList>
        <item>(</item>
      </candidateList>
      <explain>文本全半角错误。</explain>
      <paraID>27D4B6CA</paraID>
      <start>1</start>
      <end>2</end>
      <status>ignored</status>
      <modifiedWord/>
      <trackRevisions>false</trackRevisions>
    </reviewItem>
    <reviewItem>
      <errorID>706c21af-329d-44da-8815-db474dacb882</errorID>
      <errorWord>）</errorWord>
      <group>L1_Format</group>
      <groupName>格式问题</groupName>
      <ability>L2_HalfPunc_CN</ability>
      <abilityName/>
      <candidateList>
        <item>)</item>
      </candidateList>
      <explain>文本全半角错误。</explain>
      <paraID>27D4B6CA</paraID>
      <start>6</start>
      <end>7</end>
      <status>ignored</status>
      <modifiedWord/>
      <trackRevisions>false</trackRevisions>
    </reviewItem>
    <reviewItem>
      <errorID>06028ef9-ef38-48f3-8552-d04792951711</errorID>
      <errorWord>（</errorWord>
      <group>L1_Format</group>
      <groupName>格式问题</groupName>
      <ability>L2_HalfPunc_CN</ability>
      <abilityName/>
      <candidateList>
        <item>(</item>
      </candidateList>
      <explain>文本全半角错误。</explain>
      <paraID>5FDDC89D</paraID>
      <start>2</start>
      <end>3</end>
      <status>ignored</status>
      <modifiedWord/>
      <trackRevisions>false</trackRevisions>
    </reviewItem>
    <reviewItem>
      <errorID>3eaa253e-0c9a-4fc5-8286-002cf2e66dec</errorID>
      <errorWord>）</errorWord>
      <group>L1_Format</group>
      <groupName>格式问题</groupName>
      <ability>L2_HalfPunc_CN</ability>
      <abilityName/>
      <candidateList>
        <item>)</item>
      </candidateList>
      <explain>文本全半角错误。</explain>
      <paraID>5FDDC89D</paraID>
      <start>7</start>
      <end>8</end>
      <status>ignored</status>
      <modifiedWord/>
      <trackRevisions>false</trackRevisions>
    </reviewItem>
    <reviewItem>
      <errorID>427430f8-9c19-4efc-9857-dce523084d98</errorID>
      <errorWord>（</errorWord>
      <group>L1_Format</group>
      <groupName>格式问题</groupName>
      <ability>L2_HalfPunc_CN</ability>
      <abilityName/>
      <candidateList>
        <item>(</item>
      </candidateList>
      <explain>文本全半角错误。</explain>
      <paraID>22798AA2</paraID>
      <start>2</start>
      <end>3</end>
      <status>ignored</status>
      <modifiedWord/>
      <trackRevisions>false</trackRevisions>
    </reviewItem>
    <reviewItem>
      <errorID>79f2f35c-aaf2-4422-9fa0-791cf29f0784</errorID>
      <errorWord>）</errorWord>
      <group>L1_Format</group>
      <groupName>格式问题</groupName>
      <ability>L2_HalfPunc_CN</ability>
      <abilityName/>
      <candidateList>
        <item>)</item>
      </candidateList>
      <explain>文本全半角错误。</explain>
      <paraID>22798AA2</paraID>
      <start>7</start>
      <end>8</end>
      <status>ignored</status>
      <modifiedWord/>
      <trackRevisions>false</trackRevisions>
    </reviewItem>
    <reviewItem>
      <errorID>11aacb60-7981-4cb7-8c66-5ff035f07200</errorID>
      <errorWord>（</errorWord>
      <group>L1_Format</group>
      <groupName>格式问题</groupName>
      <ability>L2_HalfPunc_CN</ability>
      <abilityName/>
      <candidateList>
        <item>(</item>
      </candidateList>
      <explain>文本全半角错误。</explain>
      <paraID>77D10891</paraID>
      <start>2</start>
      <end>3</end>
      <status>ignored</status>
      <modifiedWord/>
      <trackRevisions>false</trackRevisions>
    </reviewItem>
    <reviewItem>
      <errorID>46ba3425-5c00-4e99-a2e0-5b7a5ee03faa</errorID>
      <errorWord>）</errorWord>
      <group>L1_Format</group>
      <groupName>格式问题</groupName>
      <ability>L2_HalfPunc_CN</ability>
      <abilityName/>
      <candidateList>
        <item>)</item>
      </candidateList>
      <explain>文本全半角错误。</explain>
      <paraID>77D10891</paraID>
      <start>7</start>
      <end>8</end>
      <status>ignored</status>
      <modifiedWord/>
      <trackRevisions>false</trackRevisions>
    </reviewItem>
    <reviewItem>
      <errorID>81dc0ec0-cde8-4391-affc-14ee0e4f63db</errorID>
      <errorWord>（</errorWord>
      <group>L1_Format</group>
      <groupName>格式问题</groupName>
      <ability>L2_HalfPunc_CN</ability>
      <abilityName/>
      <candidateList>
        <item>(</item>
      </candidateList>
      <explain>文本全半角错误。</explain>
      <paraID>58FB5CFA</paraID>
      <start>5</start>
      <end>6</end>
      <status>ignored</status>
      <modifiedWord/>
      <trackRevisions>false</trackRevisions>
    </reviewItem>
    <reviewItem>
      <errorID>29ff334c-2756-44ec-9d9c-616ee39963de</errorID>
      <errorWord>）</errorWord>
      <group>L1_Format</group>
      <groupName>格式问题</groupName>
      <ability>L2_HalfPunc_CN</ability>
      <abilityName/>
      <candidateList>
        <item>)</item>
      </candidateList>
      <explain>文本全半角错误。</explain>
      <paraID>58FB5CFA</paraID>
      <start>12</start>
      <end>13</end>
      <status>ignored</status>
      <modifiedWord/>
      <trackRevisions>false</trackRevisions>
    </reviewItem>
    <reviewItem>
      <errorID>feebf81d-621b-4884-8976-3d371d1e570b</errorID>
      <errorWord>（</errorWord>
      <group>L1_Format</group>
      <groupName>格式问题</groupName>
      <ability>L2_HalfPunc_CN</ability>
      <abilityName/>
      <candidateList>
        <item>(</item>
      </candidateList>
      <explain>文本全半角错误。</explain>
      <paraID>786ADC0F</paraID>
      <start>2</start>
      <end>3</end>
      <status>ignored</status>
      <modifiedWord/>
      <trackRevisions>false</trackRevisions>
    </reviewItem>
    <reviewItem>
      <errorID>536b645d-cd3c-4e0b-9412-0030a32a4e75</errorID>
      <errorWord>）</errorWord>
      <group>L1_Format</group>
      <groupName>格式问题</groupName>
      <ability>L2_HalfPunc_CN</ability>
      <abilityName/>
      <candidateList>
        <item>)</item>
      </candidateList>
      <explain>文本全半角错误。</explain>
      <paraID>786ADC0F</paraID>
      <start>4</start>
      <end>5</end>
      <status>ignored</status>
      <modifiedWord/>
      <trackRevisions>false</trackRevisions>
    </reviewItem>
    <reviewItem>
      <errorID>c74a6f78-d823-4520-8b88-78cdeab963d9</errorID>
      <errorWord>践踏</errorWord>
      <group>L1_Word</group>
      <groupName>字词问题</groupName>
      <ability>L2_Typo</ability>
      <abilityName>字词错误</abilityName>
      <candidateList>
        <item>踩踏</item>
      </candidateList>
      <explain/>
      <paraID>5F001346</paraID>
      <start>75</start>
      <end>77</end>
      <status>modified</status>
      <modifiedWord>踩踏</modifiedWord>
      <trackRevisions>false</trackRevisions>
    </reviewItem>
    <reviewItem>
      <errorID>19e8a04e-22e9-4ece-906e-29220124faba</errorID>
      <errorWord>接受</errorWord>
      <group>L1_Word</group>
      <groupName>字词问题</groupName>
      <ability>L2_Typo</ability>
      <abilityName>字词错误</abilityName>
      <candidateList>
        <item>介绍</item>
      </candidateList>
      <explain/>
      <paraID>3D33D540</paraID>
      <start>17</start>
      <end>19</end>
      <status>ignored</status>
      <modifiedWord/>
      <trackRevisions>false</trackRevisions>
    </reviewItem>
    <reviewItem>
      <errorID>a2b64fcb-5f96-4c4f-baba-b00190d0b184</errorID>
      <errorWord>极强</errorWord>
      <group>L1_Word</group>
      <groupName>字词问题</groupName>
      <ability>L2_Typo</ability>
      <abilityName>字词错误</abilityName>
      <candidateList>
        <item>极其</item>
      </candidateList>
      <explain>〈副〉非常；极端：～重视｜～光荣｜受到了～深刻的教育。</explain>
      <paraID>50B2532C</paraID>
      <start>0</start>
      <end>2</end>
      <status>ignored</status>
      <modifiedWord/>
      <trackRevisions>false</trackRevisions>
    </reviewItem>
    <reviewItem>
      <errorID>1ce5eca8-17a3-49dd-83e6-4d15c6a23ddd</errorID>
      <errorWord>计</errorWord>
      <group>L1_Word</group>
      <groupName>字词问题</groupName>
      <ability>L2_Typo</ability>
      <abilityName>字词错误</abilityName>
      <candidateList>
        <item>计算</item>
      </candidateList>
      <explain/>
      <paraID>6B27D172</paraID>
      <start>134</start>
      <end>136</end>
      <status>modified</status>
      <modifiedWord>计算</modifiedWord>
      <trackRevisions>false</trackRevisions>
    </reviewItem>
    <reviewItem>
      <errorID>5f30c559-8cd1-48a2-9771-64438f341e00</errorID>
      <errorWord>下和</errorWord>
      <group>L1_Word</group>
      <groupName>字词问题</groupName>
      <ability>L2_Typo</ability>
      <abilityName>字词错误</abilityName>
      <candidateList>
        <item>下</item>
      </candidateList>
      <explain>〈动〉趋向动词。用在动词后。❶表示由高处到低处：坐～｜躺～｜传～一道命令。❷表示有空间，能容纳：坐得～｜这个剧场能容～上千人｜这间屋子太小，睡不～六个人。❸表示动作的完成或结果：打～基础｜定～计策｜准备～材料。</explain>
      <paraID>71BFD30E</paraID>
      <start>10</start>
      <end>11</end>
      <status>modified</status>
      <modifiedWord>下</modifiedWord>
      <trackRevisions>false</trackRevisions>
    </reviewItem>
    <reviewItem>
      <errorID>d16b40f2-a5db-4345-ae73-9b768a132a66</errorID>
      <errorWord>-</errorWord>
      <group>L1_Format</group>
      <groupName>格式问题</groupName>
      <ability>L2_HalfPunc_CN</ability>
      <abilityName/>
      <candidateList>
        <item>－</item>
      </candidateList>
      <explain>文本全半角错误。</explain>
      <paraID>21C0B478</paraID>
      <start>210</start>
      <end>211</end>
      <status>modified</status>
      <modifiedWord>－</modifiedWord>
      <trackRevisions>false</trackRevisions>
    </reviewItem>
    <reviewItem>
      <errorID>fae9cca8-8f86-4d43-85cb-c64d835927a1</errorID>
      <errorWord>-</errorWord>
      <group>L1_Format</group>
      <groupName>格式问题</groupName>
      <ability>L2_HalfPunc_CN</ability>
      <abilityName/>
      <candidateList>
        <item>－</item>
      </candidateList>
      <explain>文本全半角错误。</explain>
      <paraID>21C0B478</paraID>
      <start>224</start>
      <end>225</end>
      <status>modified</status>
      <modifiedWord>－</modifiedWord>
      <trackRevisions>false</trackRevisions>
    </reviewItem>
    <reviewItem>
      <errorID>b955dd28-d996-4814-97d1-53d1869dfa81</errorID>
      <errorWord>-</errorWord>
      <group>L1_Format</group>
      <groupName>格式问题</groupName>
      <ability>L2_HalfPunc_CN</ability>
      <abilityName/>
      <candidateList>
        <item>－</item>
      </candidateList>
      <explain>文本全半角错误。</explain>
      <paraID>21C0B478</paraID>
      <start>229</start>
      <end>230</end>
      <status>modified</status>
      <modifiedWord>－</modifiedWord>
      <trackRevisions>false</trackRevisions>
    </reviewItem>
    <reviewItem>
      <errorID>d90a1e00-3718-4dd0-8232-14ea46e4f2f3</errorID>
      <errorWord>喜玛拉雅</errorWord>
      <group>L1_Word</group>
      <groupName>字词问题</groupName>
      <ability>L2_Typo</ability>
      <abilityName>字词错误</abilityName>
      <candidateList>
        <item>喜马拉雅</item>
      </candidateList>
      <explain/>
      <paraID>5C498417</paraID>
      <start>163</start>
      <end>167</end>
      <status>modified</status>
      <modifiedWord>喜马拉雅</modifiedWord>
      <trackRevisions>false</trackRevisions>
    </reviewItem>
    <reviewItem>
      <errorID>4d72b702-074d-4723-b781-7ac56163d089</errorID>
      <errorWord>-</errorWord>
      <group>L1_Format</group>
      <groupName>格式问题</groupName>
      <ability>L2_HalfPunc_CN</ability>
      <abilityName/>
      <candidateList>
        <item>－</item>
      </candidateList>
      <explain>文本全半角错误。</explain>
      <paraID>5C498417</paraID>
      <start>230</start>
      <end>231</end>
      <status>modified</status>
      <modifiedWord>－</modifiedWord>
      <trackRevisions>false</trackRevisions>
    </reviewItem>
    <reviewItem>
      <errorID>fe12938e-54e6-413c-94c7-d2215c4baa19</errorID>
      <errorWord>~</errorWord>
      <group>L1_Format</group>
      <groupName>格式问题</groupName>
      <ability>L2_HalfPunc_CN</ability>
      <abilityName/>
      <candidateList>
        <item>～</item>
      </candidateList>
      <explain>文本全半角错误。</explain>
      <paraID> 8B34AC7</paraID>
      <start>81</start>
      <end>82</end>
      <status>modified</status>
      <modifiedWord>～</modifiedWord>
      <trackRevisions>false</trackRevisions>
    </reviewItem>
    <reviewItem>
      <errorID>7d8d84aa-5e8b-4f0d-a83e-98885ab057ce</errorID>
      <errorWord>~</errorWord>
      <group>L1_Format</group>
      <groupName>格式问题</groupName>
      <ability>L2_HalfPunc_CN</ability>
      <abilityName/>
      <candidateList>
        <item>～</item>
      </candidateList>
      <explain>文本全半角错误。</explain>
      <paraID>59E506B9</paraID>
      <start>115</start>
      <end>116</end>
      <status>modified</status>
      <modifiedWord>～</modifiedWord>
      <trackRevisions>false</trackRevisions>
    </reviewItem>
    <reviewItem>
      <errorID>417be030-46fa-41e1-91f2-36835ea38a06</errorID>
      <errorWord>四颗</errorWord>
      <group>L1_Word</group>
      <groupName>字词问题</groupName>
      <ability>L2_Typo</ability>
      <abilityName>字词错误</abilityName>
      <candidateList>
        <item>四棵</item>
      </candidateList>
      <explain/>
      <paraID> 4723E6F</paraID>
      <start>6</start>
      <end>8</end>
      <status>modified</status>
      <modifiedWord>四棵</modifiedWord>
      <trackRevisions>false</trackRevisions>
    </reviewItem>
    <reviewItem>
      <errorID>d0ee5f26-25e0-462f-bcf7-f46328902c2d</errorID>
      <errorWord>四颗</errorWord>
      <group>L1_Word</group>
      <groupName>字词问题</groupName>
      <ability>L2_Typo</ability>
      <abilityName>字词错误</abilityName>
      <candidateList>
        <item>四棵</item>
      </candidateList>
      <explain/>
      <paraID>16187E21</paraID>
      <start>21</start>
      <end>23</end>
      <status>modified</status>
      <modifiedWord>四棵</modifiedWord>
      <trackRevisions>false</trackRevisions>
    </reviewItem>
    <reviewItem>
      <errorID>f7048839-622f-4efa-b077-d926c0e4e52a</errorID>
      <errorWord>~</errorWord>
      <group>L1_Format</group>
      <groupName>格式问题</groupName>
      <ability>L2_HalfPunc_CN</ability>
      <abilityName/>
      <candidateList>
        <item>～</item>
      </candidateList>
      <explain>文本全半角错误。</explain>
      <paraID>16187E21</paraID>
      <start>92</start>
      <end>93</end>
      <status>modified</status>
      <modifiedWord>～</modifiedWord>
      <trackRevisions>false</trackRevisions>
    </reviewItem>
    <reviewItem>
      <errorID>cdd35d94-76ab-49a3-b6bf-0f5c9b0e88a0</errorID>
      <errorWord>~</errorWord>
      <group>L1_Format</group>
      <groupName>格式问题</groupName>
      <ability>L2_HalfPunc_CN</ability>
      <abilityName/>
      <candidateList>
        <item>～</item>
      </candidateList>
      <explain>文本全半角错误。</explain>
      <paraID>2DC44E82</paraID>
      <start>1</start>
      <end>2</end>
      <status>modified</status>
      <modifiedWord>～</modifiedWord>
      <trackRevisions>false</trackRevisions>
    </reviewItem>
    <reviewItem>
      <errorID>6491d78e-7bc3-4b92-8f9a-75b827ff664a</errorID>
      <errorWord>四颗</errorWord>
      <group>L1_Word</group>
      <groupName>字词问题</groupName>
      <ability>L2_Typo</ability>
      <abilityName>字词错误</abilityName>
      <candidateList>
        <item>四棵</item>
      </candidateList>
      <explain/>
      <paraID>2DC44E82</paraID>
      <start>24</start>
      <end>26</end>
      <status>modified</status>
      <modifiedWord>四棵</modifiedWord>
      <trackRevisions>false</trackRevisions>
    </reviewItem>
    <reviewItem>
      <errorID>2d1b1a71-3fee-49d6-9443-42a2c1b3aef0</errorID>
      <errorWord>~</errorWord>
      <group>L1_Format</group>
      <groupName>格式问题</groupName>
      <ability>L2_HalfPunc_CN</ability>
      <abilityName/>
      <candidateList>
        <item>～</item>
      </candidateList>
      <explain>文本全半角错误。</explain>
      <paraID>2DC44E82</paraID>
      <start>66</start>
      <end>67</end>
      <status>modified</status>
      <modifiedWord>～</modifiedWord>
      <trackRevisions>false</trackRevisions>
    </reviewItem>
    <reviewItem>
      <errorID>61cb6a3e-7ecc-425d-b80b-862388a47f94</errorID>
      <errorWord>四颗</errorWord>
      <group>L1_Word</group>
      <groupName>字词问题</groupName>
      <ability>L2_Typo</ability>
      <abilityName>字词错误</abilityName>
      <candidateList>
        <item>四棵</item>
      </candidateList>
      <explain/>
      <paraID>5D9020D1</paraID>
      <start>17</start>
      <end>19</end>
      <status>modified</status>
      <modifiedWord>四棵</modifiedWord>
      <trackRevisions>false</trackRevisions>
    </reviewItem>
    <reviewItem>
      <errorID>8993c66c-8cfd-4585-8566-0394b55bbc3e</errorID>
      <errorWord>~</errorWord>
      <group>L1_Format</group>
      <groupName>格式问题</groupName>
      <ability>L2_HalfPunc_CN</ability>
      <abilityName/>
      <candidateList>
        <item>～</item>
      </candidateList>
      <explain>文本全半角错误。</explain>
      <paraID>5D9020D1</paraID>
      <start>75</start>
      <end>76</end>
      <status>modified</status>
      <modifiedWord>～</modifiedWord>
      <trackRevisions>false</trackRevisions>
    </reviewItem>
    <reviewItem>
      <errorID>bb5baa6a-ce93-4e29-a283-94864e29edc6</errorID>
      <errorWord>~</errorWord>
      <group>L1_Format</group>
      <groupName>格式问题</groupName>
      <ability>L2_HalfPunc_CN</ability>
      <abilityName/>
      <candidateList>
        <item>～</item>
      </candidateList>
      <explain>文本全半角错误。</explain>
      <paraID> 4A3C0ED</paraID>
      <start>71</start>
      <end>72</end>
      <status>modified</status>
      <modifiedWord>～</modifiedWord>
      <trackRevisions>false</trackRevisions>
    </reviewItem>
    <reviewItem>
      <errorID>9086527e-c5b8-47c6-a0f3-a3ba78be1a11</errorID>
      <errorWord>~</errorWord>
      <group>L1_Format</group>
      <groupName>格式问题</groupName>
      <ability>L2_HalfPunc_CN</ability>
      <abilityName/>
      <candidateList>
        <item>～</item>
      </candidateList>
      <explain>文本全半角错误。</explain>
      <paraID>7E66687C</paraID>
      <start>74</start>
      <end>75</end>
      <status>modified</status>
      <modifiedWord>～</modifiedWord>
      <trackRevisions>false</trackRevisions>
    </reviewItem>
    <reviewItem>
      <errorID>771b91d5-2b3f-4290-9a2e-b1e1c85ff3b2</errorID>
      <errorWord>-</errorWord>
      <group>L1_Format</group>
      <groupName>格式问题</groupName>
      <ability>L2_HalfPunc_CN</ability>
      <abilityName/>
      <candidateList>
        <item>－</item>
      </candidateList>
      <explain>文本全半角错误。</explain>
      <paraID>50E59094</paraID>
      <start>26</start>
      <end>27</end>
      <status>modified</status>
      <modifiedWord>－</modifiedWord>
      <trackRevisions>false</trackRevisions>
    </reviewItem>
    <reviewItem>
      <errorID>d49c1aab-04b2-4580-bef5-146971111202</errorID>
      <errorWord>~</errorWord>
      <group>L1_Format</group>
      <groupName>格式问题</groupName>
      <ability>L2_HalfPunc_CN</ability>
      <abilityName/>
      <candidateList>
        <item>～</item>
      </candidateList>
      <explain>文本全半角错误。</explain>
      <paraID>50E59094</paraID>
      <start>134</start>
      <end>135</end>
      <status>modified</status>
      <modifiedWord>～</modifiedWord>
      <trackRevisions>false</trackRevisions>
    </reviewItem>
    <reviewItem>
      <errorID>c9d55d7d-f7cd-4d52-9896-b0017c6d0def</errorID>
      <errorWord>-</errorWord>
      <group>L1_Format</group>
      <groupName>格式问题</groupName>
      <ability>L2_HalfPunc_CN</ability>
      <abilityName/>
      <candidateList>
        <item>－</item>
      </candidateList>
      <explain>文本全半角错误。</explain>
      <paraID>712C1DE7</paraID>
      <start>26</start>
      <end>27</end>
      <status>modified</status>
      <modifiedWord>－</modifiedWord>
      <trackRevisions>false</trackRevisions>
    </reviewItem>
    <reviewItem>
      <errorID>84975237-4c35-49fe-98cd-bc048d9e5e6c</errorID>
      <errorWord>~</errorWord>
      <group>L1_Format</group>
      <groupName>格式问题</groupName>
      <ability>L2_HalfPunc_CN</ability>
      <abilityName/>
      <candidateList>
        <item>～</item>
      </candidateList>
      <explain>文本全半角错误。</explain>
      <paraID>712C1DE7</paraID>
      <start>71</start>
      <end>72</end>
      <status>modified</status>
      <modifiedWord>～</modifiedWord>
      <trackRevisions>false</trackRevisions>
    </reviewItem>
    <reviewItem>
      <errorID>fb243498-3bcb-458b-863a-e71cc75f5cf7</errorID>
      <errorWord>~</errorWord>
      <group>L1_Format</group>
      <groupName>格式问题</groupName>
      <ability>L2_HalfPunc_CN</ability>
      <abilityName/>
      <candidateList>
        <item>～</item>
      </candidateList>
      <explain>文本全半角错误。</explain>
      <paraID>712C1DE7</paraID>
      <start>79</start>
      <end>80</end>
      <status>modified</status>
      <modifiedWord>～</modifiedWord>
      <trackRevisions>false</trackRevisions>
    </reviewItem>
    <reviewItem>
      <errorID>b8955e5a-a610-4a37-b2e4-5b7e0b03bbee</errorID>
      <errorWord>~</errorWord>
      <group>L1_Format</group>
      <groupName>格式问题</groupName>
      <ability>L2_HalfPunc_CN</ability>
      <abilityName/>
      <candidateList>
        <item>～</item>
      </candidateList>
      <explain>文本全半角错误。</explain>
      <paraID>712C1DE7</paraID>
      <start>150</start>
      <end>151</end>
      <status>modified</status>
      <modifiedWord>～</modifiedWord>
      <trackRevisions>false</trackRevisions>
    </reviewItem>
    <reviewItem>
      <errorID>84f7435d-e491-4361-9b53-b25f8e985b3c</errorID>
      <errorWord>~</errorWord>
      <group>L1_Format</group>
      <groupName>格式问题</groupName>
      <ability>L2_HalfPunc_CN</ability>
      <abilityName/>
      <candidateList>
        <item>～</item>
      </candidateList>
      <explain>文本全半角错误。</explain>
      <paraID>712C1DE7</paraID>
      <start>177</start>
      <end>178</end>
      <status>modified</status>
      <modifiedWord>～</modifiedWord>
      <trackRevisions>false</trackRevisions>
    </reviewItem>
    <reviewItem>
      <errorID>fe616d0a-00e2-4106-8825-62a1af279880</errorID>
      <errorWord>~</errorWord>
      <group>L1_Format</group>
      <groupName>格式问题</groupName>
      <ability>L2_HalfPunc_CN</ability>
      <abilityName/>
      <candidateList>
        <item>～</item>
      </candidateList>
      <explain>文本全半角错误。</explain>
      <paraID>712C1DE7</paraID>
      <start>205</start>
      <end>206</end>
      <status>modified</status>
      <modifiedWord>～</modifiedWord>
      <trackRevisions>false</trackRevisions>
    </reviewItem>
    <reviewItem>
      <errorID>d5deaca2-6d01-4d97-8fda-db64bc5b45c8</errorID>
      <errorWord>~</errorWord>
      <group>L1_Format</group>
      <groupName>格式问题</groupName>
      <ability>L2_HalfPunc_CN</ability>
      <abilityName/>
      <candidateList>
        <item>～</item>
      </candidateList>
      <explain>文本全半角错误。</explain>
      <paraID>3EB865C2</paraID>
      <start>112</start>
      <end>113</end>
      <status>modified</status>
      <modifiedWord>～</modifiedWord>
      <trackRevisions>false</trackRevisions>
    </reviewItem>
    <reviewItem>
      <errorID>9f7e399f-fbba-46ef-8359-3570210656db</errorID>
      <errorWord>~</errorWord>
      <group>L1_Format</group>
      <groupName>格式问题</groupName>
      <ability>L2_HalfPunc_CN</ability>
      <abilityName/>
      <candidateList>
        <item>～</item>
      </candidateList>
      <explain>文本全半角错误。</explain>
      <paraID>3EB865C2</paraID>
      <start>124</start>
      <end>125</end>
      <status>modified</status>
      <modifiedWord>～</modifiedWord>
      <trackRevisions>false</trackRevisions>
    </reviewItem>
    <reviewItem>
      <errorID>1a5e2476-be5e-40ab-8c1d-fea1881ba094</errorID>
      <errorWord>~</errorWord>
      <group>L1_Format</group>
      <groupName>格式问题</groupName>
      <ability>L2_HalfPunc_CN</ability>
      <abilityName/>
      <candidateList>
        <item>～</item>
      </candidateList>
      <explain>文本全半角错误。</explain>
      <paraID>3EB865C2</paraID>
      <start>147</start>
      <end>148</end>
      <status>modified</status>
      <modifiedWord>～</modifiedWord>
      <trackRevisions>false</trackRevisions>
    </reviewItem>
    <reviewItem>
      <errorID>6fe8bd53-3e3e-456f-a2fa-b65c140ea410</errorID>
      <errorWord>~</errorWord>
      <group>L1_Format</group>
      <groupName>格式问题</groupName>
      <ability>L2_HalfPunc_CN</ability>
      <abilityName/>
      <candidateList>
        <item>～</item>
      </candidateList>
      <explain>文本全半角错误。</explain>
      <paraID>1A88752A</paraID>
      <start>152</start>
      <end>153</end>
      <status>modified</status>
      <modifiedWord>～</modifiedWord>
      <trackRevisions>false</trackRevisions>
    </reviewItem>
    <reviewItem>
      <errorID>fb338fc0-8995-4dcf-a84a-6259aa2ba9c2</errorID>
      <errorWord>~</errorWord>
      <group>L1_Format</group>
      <groupName>格式问题</groupName>
      <ability>L2_HalfPunc_CN</ability>
      <abilityName/>
      <candidateList>
        <item>～</item>
      </candidateList>
      <explain>文本全半角错误。</explain>
      <paraID>1A88752A</paraID>
      <start>164</start>
      <end>165</end>
      <status>modified</status>
      <modifiedWord>～</modifiedWord>
      <trackRevisions>false</trackRevisions>
    </reviewItem>
    <reviewItem>
      <errorID>e0e63fbb-96f2-4ef3-baa8-14674be7dd32</errorID>
      <errorWord>~</errorWord>
      <group>L1_Format</group>
      <groupName>格式问题</groupName>
      <ability>L2_HalfPunc_CN</ability>
      <abilityName/>
      <candidateList>
        <item>～</item>
      </candidateList>
      <explain>文本全半角错误。</explain>
      <paraID>1A88752A</paraID>
      <start>181</start>
      <end>182</end>
      <status>modified</status>
      <modifiedWord>～</modifiedWord>
      <trackRevisions>false</trackRevisions>
    </reviewItem>
    <reviewItem>
      <errorID>ffb4e5bf-24d9-445a-9ff4-096c950291c7</errorID>
      <errorWord>~</errorWord>
      <group>L1_Format</group>
      <groupName>格式问题</groupName>
      <ability>L2_HalfPunc_CN</ability>
      <abilityName/>
      <candidateList>
        <item>～</item>
      </candidateList>
      <explain>文本全半角错误。</explain>
      <paraID>1A88752A</paraID>
      <start>315</start>
      <end>316</end>
      <status>modified</status>
      <modifiedWord>～</modifiedWord>
      <trackRevisions>false</trackRevisions>
    </reviewItem>
    <reviewItem>
      <errorID>773391dd-1bdc-41f4-9251-83ba8f4f50f4</errorID>
      <errorWord>~</errorWord>
      <group>L1_Format</group>
      <groupName>格式问题</groupName>
      <ability>L2_HalfPunc_CN</ability>
      <abilityName/>
      <candidateList>
        <item>～</item>
      </candidateList>
      <explain>文本全半角错误。</explain>
      <paraID>1A88752A</paraID>
      <start>341</start>
      <end>342</end>
      <status>modified</status>
      <modifiedWord>～</modifiedWord>
      <trackRevisions>false</trackRevisions>
    </reviewItem>
    <reviewItem>
      <errorID>ff122313-d322-410d-81f6-3dce3f71e52d</errorID>
      <errorWord>~</errorWord>
      <group>L1_Format</group>
      <groupName>格式问题</groupName>
      <ability>L2_HalfPunc_CN</ability>
      <abilityName/>
      <candidateList>
        <item>～</item>
      </candidateList>
      <explain>文本全半角错误。</explain>
      <paraID>1A88752A</paraID>
      <start>378</start>
      <end>379</end>
      <status>modified</status>
      <modifiedWord>～</modifiedWord>
      <trackRevisions>false</trackRevisions>
    </reviewItem>
    <reviewItem>
      <errorID>f253be7a-6721-4cbb-950b-c7f6ec4ccc35</errorID>
      <errorWord>~</errorWord>
      <group>L1_Format</group>
      <groupName>格式问题</groupName>
      <ability>L2_HalfPunc_CN</ability>
      <abilityName/>
      <candidateList>
        <item>～</item>
      </candidateList>
      <explain>文本全半角错误。</explain>
      <paraID>1A88752A</paraID>
      <start>394</start>
      <end>395</end>
      <status>modified</status>
      <modifiedWord>～</modifiedWord>
      <trackRevisions>false</trackRevisions>
    </reviewItem>
    <reviewItem>
      <errorID>ef25c165-66f6-4a93-b61c-b704f8f9e6fc</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1A88752A</paraID>
      <start>400</start>
      <end>407</end>
      <status>modified</status>
      <modifiedWord>30%～40%</modifiedWord>
      <trackRevisions>false</trackRevisions>
    </reviewItem>
    <reviewItem>
      <errorID>090398c9-6965-48f5-be27-62ceec392ac3</errorID>
      <errorWord>的粘性</errorWord>
      <group>L1_Word</group>
      <groupName>字词问题</groupName>
      <ability>L2_Typo</ability>
      <abilityName>字词错误</abilityName>
      <candidateList>
        <item>的黏性</item>
      </candidateList>
      <explain/>
      <paraID>77E7CE74</paraID>
      <start>45</start>
      <end>48</end>
      <status>modified</status>
      <modifiedWord>的黏性</modifiedWord>
      <trackRevisions>false</trackRevisions>
    </reviewItem>
    <reviewItem>
      <errorID>9ed1805c-1b60-41a6-9d2e-f81d288cb8b5</errorID>
      <errorWord>班点</errorWord>
      <group>L1_Word</group>
      <groupName>字词问题</groupName>
      <ability>L2_Typo</ability>
      <abilityName>字词错误</abilityName>
      <candidateList>
        <item>斑点</item>
      </candidateList>
      <explain/>
      <paraID>77E7CE74</paraID>
      <start>167</start>
      <end>169</end>
      <status>modified</status>
      <modifiedWord>斑点</modifiedWord>
      <trackRevisions>false</trackRevisions>
    </reviewItem>
    <reviewItem>
      <errorID>8343d6c5-f462-49ef-b0a8-23082204db43</errorID>
      <errorWord>~</errorWord>
      <group>L1_Format</group>
      <groupName>格式问题</groupName>
      <ability>L2_HalfPunc_CN</ability>
      <abilityName/>
      <candidateList>
        <item>～</item>
      </candidateList>
      <explain>文本全半角错误。</explain>
      <paraID>77E7CE74</paraID>
      <start>189</start>
      <end>190</end>
      <status>modified</status>
      <modifiedWord>～</modifiedWord>
      <trackRevisions>false</trackRevisions>
    </reviewItem>
    <reviewItem>
      <errorID>2f105dd8-8ff8-429f-8f17-1f0d426d2453</errorID>
      <errorWord>直经</errorWord>
      <group>L1_Word</group>
      <groupName>字词问题</groupName>
      <ability>L2_Typo</ability>
      <abilityName>字词错误</abilityName>
      <candidateList>
        <item>直径</item>
      </candidateList>
      <explain/>
      <paraID>77E7CE74</paraID>
      <start>211</start>
      <end>213</end>
      <status>modified</status>
      <modifiedWord>直径</modifiedWord>
      <trackRevisions>false</trackRevisions>
    </reviewItem>
    <reviewItem>
      <errorID>f111d32b-9c57-4aed-86b7-54e56816bcce</errorID>
      <errorWord>~</errorWord>
      <group>L1_Format</group>
      <groupName>格式问题</groupName>
      <ability>L2_HalfPunc_CN</ability>
      <abilityName/>
      <candidateList>
        <item>～</item>
      </candidateList>
      <explain>文本全半角错误。</explain>
      <paraID>77E7CE74</paraID>
      <start>216</start>
      <end>217</end>
      <status>modified</status>
      <modifiedWord>～</modifiedWord>
      <trackRevisions>false</trackRevisions>
    </reviewItem>
    <reviewItem>
      <errorID>446cfcdc-16cd-44aa-8242-fba50368bde0</errorID>
      <errorWord>~</errorWord>
      <group>L1_Format</group>
      <groupName>格式问题</groupName>
      <ability>L2_HalfPunc_CN</ability>
      <abilityName/>
      <candidateList>
        <item>～</item>
      </candidateList>
      <explain>文本全半角错误。</explain>
      <paraID>77E7CE74</paraID>
      <start>232</start>
      <end>233</end>
      <status>modified</status>
      <modifiedWord>～</modifiedWord>
      <trackRevisions>false</trackRevisions>
    </reviewItem>
    <reviewItem>
      <errorID>90ff8281-3859-4fde-ba6c-8e3d0fed24d8</errorID>
      <errorWord>30~35%</errorWord>
      <group>L1_Knowledge</group>
      <groupName>知识性问题</groupName>
      <ability>L2_Knowledge</ability>
      <abilityName>其他知识</abilityName>
      <candidateList>
        <item>30%～35%</item>
      </candidateList>
      <explain>1. “30~35%”中的单位“%”仅出现在后一个数字上，容易引起歧义；根据《现代汉语标点符号数字用法规范手册》，数字表示范围两边需要使用统一的格式。2. 根据标点国标 4.13 中的规则，数字、时间或地域连接符应使用（视觉上更长的）“—”或“～”。</explain>
      <paraID>77E7CE74</paraID>
      <start>239</start>
      <end>246</end>
      <status>modified</status>
      <modifiedWord>30%～35%</modifiedWord>
      <trackRevisions>false</trackRevisions>
    </reviewItem>
    <reviewItem>
      <errorID>908f0fc9-2172-43eb-a031-65ed0bacdb37</errorID>
      <errorWord>粒经</errorWord>
      <group>L1_Word</group>
      <groupName>字词问题</groupName>
      <ability>L2_Typo</ability>
      <abilityName>字词错误</abilityName>
      <candidateList>
        <item>粒径</item>
      </candidateList>
      <explain/>
      <paraID>77E7CE74</paraID>
      <start>267</start>
      <end>269</end>
      <status>modified</status>
      <modifiedWord>粒径</modifiedWord>
      <trackRevisions>false</trackRevisions>
    </reviewItem>
    <reviewItem>
      <errorID>f5b8ac75-0b54-46cb-b347-e6906542cd0a</errorID>
      <errorWord>~</errorWord>
      <group>L1_Format</group>
      <groupName>格式问题</groupName>
      <ability>L2_HalfPunc_CN</ability>
      <abilityName/>
      <candidateList>
        <item>～</item>
      </candidateList>
      <explain>文本全半角错误。</explain>
      <paraID>207B695F</paraID>
      <start>55</start>
      <end>56</end>
      <status>modified</status>
      <modifiedWord>～</modifiedWord>
      <trackRevisions>false</trackRevisions>
    </reviewItem>
    <reviewItem>
      <errorID>d9704144-5434-42d9-85c2-44096dc9488a</errorID>
      <errorWord>腐植质</errorWord>
      <group>L1_Word</group>
      <groupName>字词问题</groupName>
      <ability>L2_Typo</ability>
      <abilityName>字词错误</abilityName>
      <candidateList>
        <item>腐殖质</item>
      </candidateList>
      <explain/>
      <paraID>207B695F</paraID>
      <start>124</start>
      <end>127</end>
      <status>modified</status>
      <modifiedWord>腐殖质</modifiedWord>
      <trackRevisions>false</trackRevisions>
    </reviewItem>
    <reviewItem>
      <errorID>f3f5144b-edbe-4724-8547-edf71696edda</errorID>
      <errorWord>腐植质层</errorWord>
      <group>L1_Knowledge</group>
      <groupName>知识性问题</groupName>
      <ability>L2_Term</ability>
      <abilityName>专业术语</abilityName>
      <candidateList>
        <item>腐殖质层</item>
      </candidateList>
      <explain/>
      <paraID>207B695F</paraID>
      <start>228</start>
      <end>232</end>
      <status>modified</status>
      <modifiedWord>腐殖质层</modifiedWord>
      <trackRevisions>false</trackRevisions>
    </reviewItem>
    <reviewItem>
      <errorID>6949a559-49dc-4631-a58e-3c6ab576b918</errorID>
      <errorWord>~</errorWord>
      <group>L1_Format</group>
      <groupName>格式问题</groupName>
      <ability>L2_HalfPunc_CN</ability>
      <abilityName/>
      <candidateList>
        <item>～</item>
      </candidateList>
      <explain>文本全半角错误。</explain>
      <paraID>207B695F</paraID>
      <start>235</start>
      <end>236</end>
      <status>modified</status>
      <modifiedWord>～</modifiedWord>
      <trackRevisions>false</trackRevisions>
    </reviewItem>
    <reviewItem>
      <errorID>2ed6301c-e486-4227-adad-3f97d142dcfe</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207B695F</paraID>
      <start>374</start>
      <end>379</end>
      <status>modified</status>
      <modifiedWord>1%～2%</modifiedWord>
      <trackRevisions>false</trackRevisions>
    </reviewItem>
    <reviewItem>
      <errorID>607048f4-35d1-4b26-b7ae-66e5e762e784</errorID>
      <errorWord>主要以此地层为主</errorWord>
      <group>L1_Grammar</group>
      <groupName>语法问题</groupName>
      <ability>L2_Grammar</ability>
      <abilityName>语法错误</abilityName>
      <candidateList>
        <item>以此地层为主</item>
      </candidateList>
      <explain>该表达中的“主要以此地层为主”存在语义重复。</explain>
      <paraID>70A387A5</paraID>
      <start>23</start>
      <end>29</end>
      <status>modified</status>
      <modifiedWord>以此地层为主</modifiedWord>
      <trackRevisions>false</trackRevisions>
    </reviewItem>
    <reviewItem>
      <errorID>ec42b652-3dd6-4571-a90a-f2ffe078be52</errorID>
      <errorWord>~</errorWord>
      <group>L1_Format</group>
      <groupName>格式问题</groupName>
      <ability>L2_HalfPunc_CN</ability>
      <abilityName/>
      <candidateList>
        <item>～</item>
      </candidateList>
      <explain>文本全半角错误。</explain>
      <paraID> 645702F</paraID>
      <start>15</start>
      <end>16</end>
      <status>modified</status>
      <modifiedWord>～</modifiedWord>
      <trackRevisions>false</trackRevisions>
    </reviewItem>
    <reviewItem>
      <errorID>6a805713-44ed-401a-95d8-c1d1dd8f20a9</errorID>
      <errorWord>~</errorWord>
      <group>L1_Format</group>
      <groupName>格式问题</groupName>
      <ability>L2_HalfPunc_CN</ability>
      <abilityName/>
      <candidateList>
        <item>～</item>
      </candidateList>
      <explain>文本全半角错误。</explain>
      <paraID> 645702F</paraID>
      <start>60</start>
      <end>61</end>
      <status>modified</status>
      <modifiedWord>～</modifiedWord>
      <trackRevisions>false</trackRevisions>
    </reviewItem>
    <reviewItem>
      <errorID>0f842ba0-3165-4e32-abf8-c1b98a8cffc5</errorID>
      <errorWord>-</errorWord>
      <group>L1_Format</group>
      <groupName>格式问题</groupName>
      <ability>L2_HalfPunc_CN</ability>
      <abilityName/>
      <candidateList>
        <item>－</item>
      </candidateList>
      <explain>文本全半角错误。</explain>
      <paraID> 645702F</paraID>
      <start>120</start>
      <end>121</end>
      <status>modified</status>
      <modifiedWord>－</modifiedWord>
      <trackRevisions>false</trackRevisions>
    </reviewItem>
    <reviewItem>
      <errorID>8e582882-50cc-4ee4-9863-3426773d8c1c</errorID>
      <errorWord>~</errorWord>
      <group>L1_Format</group>
      <groupName>格式问题</groupName>
      <ability>L2_HalfPunc_CN</ability>
      <abilityName/>
      <candidateList>
        <item>～</item>
      </candidateList>
      <explain>文本全半角错误。</explain>
      <paraID>25432987</paraID>
      <start>3</start>
      <end>4</end>
      <status>modified</status>
      <modifiedWord>～</modifiedWord>
      <trackRevisions>false</trackRevisions>
    </reviewItem>
    <reviewItem>
      <errorID>8fc8bbdf-72b3-44c7-b44b-4ec9fcddb968</errorID>
      <errorWord>~</errorWord>
      <group>L1_Format</group>
      <groupName>格式问题</groupName>
      <ability>L2_HalfPunc_CN</ability>
      <abilityName/>
      <candidateList>
        <item>～</item>
      </candidateList>
      <explain>文本全半角错误。</explain>
      <paraID>25432987</paraID>
      <start>22</start>
      <end>23</end>
      <status>modified</status>
      <modifiedWord>～</modifiedWord>
      <trackRevisions>false</trackRevisions>
    </reviewItem>
    <reviewItem>
      <errorID>e4164d2c-d8b5-47a9-afa7-6e659fc0f52a</errorID>
      <errorWord>~</errorWord>
      <group>L1_Format</group>
      <groupName>格式问题</groupName>
      <ability>L2_HalfPunc_CN</ability>
      <abilityName/>
      <candidateList>
        <item>～</item>
      </candidateList>
      <explain>文本全半角错误。</explain>
      <paraID>2AC0AD97</paraID>
      <start>175</start>
      <end>176</end>
      <status>modified</status>
      <modifiedWord>～</modifiedWord>
      <trackRevisions>false</trackRevisions>
    </reviewItem>
    <reviewItem>
      <errorID>ab2c7600-9ff1-4040-9535-9104e6abc7e5</errorID>
      <errorWord>~</errorWord>
      <group>L1_Format</group>
      <groupName>格式问题</groupName>
      <ability>L2_HalfPunc_CN</ability>
      <abilityName/>
      <candidateList>
        <item>～</item>
      </candidateList>
      <explain>文本全半角错误。</explain>
      <paraID>7FC33470</paraID>
      <start>124</start>
      <end>125</end>
      <status>modified</status>
      <modifiedWord>～</modifiedWord>
      <trackRevisions>false</trackRevisions>
    </reviewItem>
    <reviewItem>
      <errorID>80715768-3359-4cf5-b5a6-fb61c615db68</errorID>
      <errorWord>具</errorWord>
      <group>L1_Word</group>
      <groupName>字词问题</groupName>
      <ability>L2_Typo</ability>
      <abilityName>字词错误</abilityName>
      <candidateList>
        <item>具有</item>
      </candidateList>
      <explain>〈动〉有（多用于抽象事物）：～信心｜～伟大的意义。</explain>
      <paraID>7CCD8AD9</paraID>
      <start>127</start>
      <end>129</end>
      <status>modified</status>
      <modifiedWord>具有</modifiedWord>
      <trackRevisions>false</trackRevisions>
    </reviewItem>
    <reviewItem>
      <errorID>8fc81da2-89d7-45df-b630-411e12f3d40b</errorID>
      <errorWord>城弱</errorWord>
      <group>L1_Word</group>
      <groupName>字词问题</groupName>
      <ability>L2_Typo</ability>
      <abilityName>字词错误</abilityName>
      <candidateList>
        <item>减弱</item>
      </candidateList>
      <explain/>
      <paraID>59983A27</paraID>
      <start>335</start>
      <end>337</end>
      <status>modified</status>
      <modifiedWord>减弱</modifiedWord>
      <trackRevisions>false</trackRevisions>
    </reviewItem>
    <reviewItem>
      <errorID>3335035a-20fd-475c-952f-e36a94785282</errorID>
      <errorWord>~</errorWord>
      <group>L1_Format</group>
      <groupName>格式问题</groupName>
      <ability>L2_HalfPunc_CN</ability>
      <abilityName/>
      <candidateList>
        <item>～</item>
      </candidateList>
      <explain>文本全半角错误。</explain>
      <paraID>59983A27</paraID>
      <start>347</start>
      <end>348</end>
      <status>modified</status>
      <modifiedWord>～</modifiedWord>
      <trackRevisions>false</trackRevisions>
    </reviewItem>
    <reviewItem>
      <errorID>2ca48411-f629-42cf-b92b-63ea12657beb</errorID>
      <errorWord>~</errorWord>
      <group>L1_Format</group>
      <groupName>格式问题</groupName>
      <ability>L2_HalfPunc_CN</ability>
      <abilityName/>
      <candidateList>
        <item>～</item>
      </candidateList>
      <explain>文本全半角错误。</explain>
      <paraID>3B1C1DF3</paraID>
      <start>45</start>
      <end>46</end>
      <status>modified</status>
      <modifiedWord>～</modifiedWord>
      <trackRevisions>false</trackRevisions>
    </reviewItem>
    <reviewItem>
      <errorID>01a5cc7d-18ee-4a09-b5e0-0353fa7c58e9</errorID>
      <errorWord>~</errorWord>
      <group>L1_Format</group>
      <groupName>格式问题</groupName>
      <ability>L2_HalfPunc_CN</ability>
      <abilityName/>
      <candidateList>
        <item>～</item>
      </candidateList>
      <explain>文本全半角错误。</explain>
      <paraID>4C8F0A2A</paraID>
      <start>16</start>
      <end>17</end>
      <status>modified</status>
      <modifiedWord>～</modifiedWord>
      <trackRevisions>false</trackRevisions>
    </reviewItem>
    <reviewItem>
      <errorID>843a4526-b8e9-485f-a756-fbed1878032b</errorID>
      <errorWord>~</errorWord>
      <group>L1_Format</group>
      <groupName>格式问题</groupName>
      <ability>L2_HalfPunc_CN</ability>
      <abilityName/>
      <candidateList>
        <item>～</item>
      </candidateList>
      <explain>文本全半角错误。</explain>
      <paraID>4C8F0A2A</paraID>
      <start>39</start>
      <end>40</end>
      <status>modified</status>
      <modifiedWord>～</modifiedWord>
      <trackRevisions>false</trackRevisions>
    </reviewItem>
    <reviewItem>
      <errorID>9a3960f7-ecf7-4caa-a677-cb77ea54c6c4</errorID>
      <errorWord>主要以粉细砂为主</errorWord>
      <group>L1_Grammar</group>
      <groupName>语法问题</groupName>
      <ability>L2_Grammar</ability>
      <abilityName>语法错误</abilityName>
      <candidateList>
        <item>以粉细砂为主</item>
      </candidateList>
      <explain>该表达中的“主要以粉细砂为主”存在语义重复。</explain>
      <paraID>4C8F0A2A</paraID>
      <start>57</start>
      <end>63</end>
      <status>modified</status>
      <modifiedWord>以粉细砂为主</modifiedWord>
      <trackRevisions>false</trackRevisions>
    </reviewItem>
    <reviewItem>
      <errorID>4b1564f7-9d20-4b3e-a8c4-79b6d2665881</errorID>
      <errorWord>~</errorWord>
      <group>L1_Format</group>
      <groupName>格式问题</groupName>
      <ability>L2_HalfPunc_CN</ability>
      <abilityName/>
      <candidateList>
        <item>～</item>
      </candidateList>
      <explain>文本全半角错误。</explain>
      <paraID>4C8F0A2A</paraID>
      <start>70</start>
      <end>71</end>
      <status>modified</status>
      <modifiedWord>～</modifiedWord>
      <trackRevisions>false</trackRevisions>
    </reviewItem>
    <reviewItem>
      <errorID>9cca66dd-7613-405b-9580-de901b9eb6c8</errorID>
      <errorWord>~</errorWord>
      <group>L1_Format</group>
      <groupName>格式问题</groupName>
      <ability>L2_HalfPunc_CN</ability>
      <abilityName/>
      <candidateList>
        <item>～</item>
      </candidateList>
      <explain>文本全半角错误。</explain>
      <paraID>4C8F0A2A</paraID>
      <start>106</start>
      <end>107</end>
      <status>modified</status>
      <modifiedWord>～</modifiedWord>
      <trackRevisions>false</trackRevisions>
    </reviewItem>
    <reviewItem>
      <errorID>b49ce95d-a1c1-4c85-b2c2-20173d166c8a</errorID>
      <errorWord>~</errorWord>
      <group>L1_Format</group>
      <groupName>格式问题</groupName>
      <ability>L2_HalfPunc_CN</ability>
      <abilityName/>
      <candidateList>
        <item>～</item>
      </candidateList>
      <explain>文本全半角错误。</explain>
      <paraID>4C8F0A2A</paraID>
      <start>211</start>
      <end>212</end>
      <status>modified</status>
      <modifiedWord>～</modifiedWord>
      <trackRevisions>false</trackRevisions>
    </reviewItem>
    <reviewItem>
      <errorID>d342dfea-b71e-4bce-b545-ccf5638cbd39</errorID>
      <errorWord>~</errorWord>
      <group>L1_Format</group>
      <groupName>格式问题</groupName>
      <ability>L2_HalfPunc_CN</ability>
      <abilityName/>
      <candidateList>
        <item>～</item>
      </candidateList>
      <explain>文本全半角错误。</explain>
      <paraID>1F95ABE8</paraID>
      <start>36</start>
      <end>37</end>
      <status>modified</status>
      <modifiedWord>～</modifiedWord>
      <trackRevisions>false</trackRevisions>
    </reviewItem>
    <reviewItem>
      <errorID>ef806cc8-22cf-494e-bc6c-a0f7131cf130</errorID>
      <errorWord>~</errorWord>
      <group>L1_Format</group>
      <groupName>格式问题</groupName>
      <ability>L2_HalfPunc_CN</ability>
      <abilityName/>
      <candidateList>
        <item>～</item>
      </candidateList>
      <explain>文本全半角错误。</explain>
      <paraID>1F95ABE8</paraID>
      <start>49</start>
      <end>50</end>
      <status>modified</status>
      <modifiedWord>～</modifiedWord>
      <trackRevisions>false</trackRevisions>
    </reviewItem>
    <reviewItem>
      <errorID>9310b6c1-c935-42c8-9cf4-bd36f00dbec8</errorID>
      <errorWord>~</errorWord>
      <group>L1_Format</group>
      <groupName>格式问题</groupName>
      <ability>L2_HalfPunc_CN</ability>
      <abilityName/>
      <candidateList>
        <item>～</item>
      </candidateList>
      <explain>文本全半角错误。</explain>
      <paraID>1F95ABE8</paraID>
      <start>71</start>
      <end>72</end>
      <status>modified</status>
      <modifiedWord>～</modifiedWord>
      <trackRevisions>false</trackRevisions>
    </reviewItem>
    <reviewItem>
      <errorID>804284d4-8ae9-423e-92ca-6af9475ae7ed</errorID>
      <errorWord>~</errorWord>
      <group>L1_Format</group>
      <groupName>格式问题</groupName>
      <ability>L2_HalfPunc_CN</ability>
      <abilityName/>
      <candidateList>
        <item>～</item>
      </candidateList>
      <explain>文本全半角错误。</explain>
      <paraID>1F95ABE8</paraID>
      <start>113</start>
      <end>114</end>
      <status>modified</status>
      <modifiedWord>～</modifiedWord>
      <trackRevisions>false</trackRevisions>
    </reviewItem>
    <reviewItem>
      <errorID>af4eafa1-2894-47aa-8394-6d677701f0e1</errorID>
      <errorWord>~</errorWord>
      <group>L1_Format</group>
      <groupName>格式问题</groupName>
      <ability>L2_HalfPunc_CN</ability>
      <abilityName/>
      <candidateList>
        <item>～</item>
      </candidateList>
      <explain>文本全半角错误。</explain>
      <paraID>1F95ABE8</paraID>
      <start>138</start>
      <end>139</end>
      <status>modified</status>
      <modifiedWord>～</modifiedWord>
      <trackRevisions>false</trackRevisions>
    </reviewItem>
    <reviewItem>
      <errorID>c36c1bd1-0a22-4190-8c2d-61e83d4cdf91</errorID>
      <errorWord>~</errorWord>
      <group>L1_Format</group>
      <groupName>格式问题</groupName>
      <ability>L2_HalfPunc_CN</ability>
      <abilityName/>
      <candidateList>
        <item>～</item>
      </candidateList>
      <explain>文本全半角错误。</explain>
      <paraID>1F95ABE8</paraID>
      <start>149</start>
      <end>150</end>
      <status>modified</status>
      <modifiedWord>～</modifiedWord>
      <trackRevisions>false</trackRevisions>
    </reviewItem>
    <reviewItem>
      <errorID>b81bb58a-81b7-4dbe-84ef-b5128a705cff</errorID>
      <errorWord>~</errorWord>
      <group>L1_Format</group>
      <groupName>格式问题</groupName>
      <ability>L2_HalfPunc_CN</ability>
      <abilityName/>
      <candidateList>
        <item>～</item>
      </candidateList>
      <explain>文本全半角错误。</explain>
      <paraID>1F95ABE8</paraID>
      <start>267</start>
      <end>268</end>
      <status>modified</status>
      <modifiedWord>～</modifiedWord>
      <trackRevisions>false</trackRevisions>
    </reviewItem>
    <reviewItem>
      <errorID>c12e0ee2-f8aa-445a-8f76-953b608c29e2</errorID>
      <errorWord>~</errorWord>
      <group>L1_Format</group>
      <groupName>格式问题</groupName>
      <ability>L2_HalfPunc_CN</ability>
      <abilityName/>
      <candidateList>
        <item>～</item>
      </candidateList>
      <explain>文本全半角错误。</explain>
      <paraID>1F95ABE8</paraID>
      <start>290</start>
      <end>291</end>
      <status>modified</status>
      <modifiedWord>～</modifiedWord>
      <trackRevisions>false</trackRevisions>
    </reviewItem>
    <reviewItem>
      <errorID>b9b3ad46-5f82-42a0-97d1-929f42c32dab</errorID>
      <errorWord>~</errorWord>
      <group>L1_Format</group>
      <groupName>格式问题</groupName>
      <ability>L2_HalfPunc_CN</ability>
      <abilityName/>
      <candidateList>
        <item>～</item>
      </candidateList>
      <explain>文本全半角错误。</explain>
      <paraID>1F95ABE8</paraID>
      <start>376</start>
      <end>377</end>
      <status>modified</status>
      <modifiedWord>～</modifiedWord>
      <trackRevisions>false</trackRevisions>
    </reviewItem>
    <reviewItem>
      <errorID>311a12a8-b1c5-4c14-9cd4-9f8633bfe141</errorID>
      <errorWord>~</errorWord>
      <group>L1_Format</group>
      <groupName>格式问题</groupName>
      <ability>L2_HalfPunc_CN</ability>
      <abilityName/>
      <candidateList>
        <item>～</item>
      </candidateList>
      <explain>文本全半角错误。</explain>
      <paraID>351E40AB</paraID>
      <start>46</start>
      <end>47</end>
      <status>modified</status>
      <modifiedWord>～</modifiedWord>
      <trackRevisions>false</trackRevisions>
    </reviewItem>
    <reviewItem>
      <errorID>dfa3e126-6f29-4ebe-8d4b-af48c7cf41a4</errorID>
      <errorWord>年</errorWord>
      <group>L1_Word</group>
      <groupName>字词问题</groupName>
      <ability>L2_Typo</ability>
      <abilityName>字词错误</abilityName>
      <candidateList>
        <item>年来</item>
      </candidateList>
      <explain/>
      <paraID>424DCB92</paraID>
      <start>79</start>
      <end>81</end>
      <status>modified</status>
      <modifiedWord>年来</modifiedWord>
      <trackRevisions>false</trackRevisions>
    </reviewItem>
    <reviewItem>
      <errorID>16f9039a-7144-497e-a51e-7eca016f2208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3B584595</paraID>
      <start>150</start>
      <end>151</end>
      <status>modified</status>
      <modifiedWord>—</modifiedWord>
      <trackRevisions>false</trackRevisions>
    </reviewItem>
    <reviewItem>
      <errorID>fe45ca08-f4cc-4284-8c7a-a30c1545e50f</errorID>
      <errorWord>-</errorWord>
      <group>L1_Format</group>
      <groupName>格式问题</groupName>
      <ability>L2_HalfPunc_CN</ability>
      <abilityName/>
      <candidateList>
        <item>－</item>
      </candidateList>
      <explain>文本全半角错误。</explain>
      <paraID>5CC5DE26</paraID>
      <start>55</start>
      <end>56</end>
      <status>modified</status>
      <modifiedWord>－</modifiedWord>
      <trackRevisions>false</trackRevisions>
    </reviewItem>
    <reviewItem>
      <errorID>d7086424-491e-4ff3-91bf-112211b52180</errorID>
      <errorWord>~</errorWord>
      <group>L1_Format</group>
      <groupName>格式问题</groupName>
      <ability>L2_HalfPunc_CN</ability>
      <abilityName/>
      <candidateList>
        <item>～</item>
      </candidateList>
      <explain>文本全半角错误。</explain>
      <paraID>5CC5DE26</paraID>
      <start>83</start>
      <end>84</end>
      <status>modified</status>
      <modifiedWord>～</modifiedWord>
      <trackRevisions>false</trackRevisions>
    </reviewItem>
    <reviewItem>
      <errorID>21d95a7a-6406-4e82-a868-a2a21badef8f</errorID>
      <errorWord>分</errorWord>
      <group>L1_Word</group>
      <groupName>字词问题</groupName>
      <ability>L2_Typo</ability>
      <abilityName>字词错误</abilityName>
      <candidateList>
        <item>分为</item>
      </candidateList>
      <explain/>
      <paraID>4CC18BCA</paraID>
      <start>11</start>
      <end>13</end>
      <status>modified</status>
      <modifiedWord>分为</modifiedWord>
      <trackRevisions>false</trackRevisions>
    </reviewItem>
    <reviewItem>
      <errorID>f6e74a32-c410-4651-9438-3eaa34fb70aa</errorID>
      <errorWord>上世纪</errorWord>
      <group>L1_Word</group>
      <groupName>字词问题</groupName>
      <ability>L2_Typo</ability>
      <abilityName>字词错误</abilityName>
      <candidateList>
        <item>20世纪</item>
      </candidateList>
      <explain/>
      <paraID>4CC18BCA</paraID>
      <start>23</start>
      <end>27</end>
      <status>modified</status>
      <modifiedWord>20世纪</modifiedWord>
      <trackRevisions>false</trackRevisions>
    </reviewItem>
    <reviewItem>
      <errorID>cd3b67b1-6645-4f3d-a0b4-dbcf57bb0766</errorID>
      <errorWord>~</errorWord>
      <group>L1_Format</group>
      <groupName>格式问题</groupName>
      <ability>L2_HalfPunc_CN</ability>
      <abilityName/>
      <candidateList>
        <item>～</item>
      </candidateList>
      <explain>文本全半角错误。</explain>
      <paraID>4CC18BCA</paraID>
      <start>102</start>
      <end>103</end>
      <status>modified</status>
      <modifiedWord>～</modifiedWord>
      <trackRevisions>false</trackRevisions>
    </reviewItem>
    <reviewItem>
      <errorID>7f9c6bf9-3b53-47cc-91d6-229ae02f4cf6</errorID>
      <errorWord>~</errorWord>
      <group>L1_Format</group>
      <groupName>格式问题</groupName>
      <ability>L2_HalfPunc_CN</ability>
      <abilityName/>
      <candidateList>
        <item>～</item>
      </candidateList>
      <explain>文本全半角错误。</explain>
      <paraID>4CC18BCA</paraID>
      <start>110</start>
      <end>111</end>
      <status>modified</status>
      <modifiedWord>～</modifiedWord>
      <trackRevisions>false</trackRevisions>
    </reviewItem>
    <reviewItem>
      <errorID>9909426b-b6ab-47d9-b276-2e05fffe0056</errorID>
      <errorWord>~</errorWord>
      <group>L1_Format</group>
      <groupName>格式问题</groupName>
      <ability>L2_HalfPunc_CN</ability>
      <abilityName/>
      <candidateList>
        <item>～</item>
      </candidateList>
      <explain>文本全半角错误。</explain>
      <paraID>4CC18BCA</paraID>
      <start>184</start>
      <end>185</end>
      <status>modified</status>
      <modifiedWord>～</modifiedWord>
      <trackRevisions>false</trackRevisions>
    </reviewItem>
    <reviewItem>
      <errorID>ea5021cf-c0b8-41ab-8811-6170f5514eb7</errorID>
      <errorWord>六十年代</errorWord>
      <group>L1_Word</group>
      <groupName>字词问题</groupName>
      <ability>L2_Typo</ability>
      <abilityName>字词错误</abilityName>
      <candidateList>
        <item>60年代</item>
      </candidateList>
      <explain/>
      <paraID>4CC18BCA</paraID>
      <start>206</start>
      <end>210</end>
      <status>modified</status>
      <modifiedWord>60年代</modifiedWord>
      <trackRevisions>false</trackRevisions>
    </reviewItem>
    <reviewItem>
      <errorID>d7f29f6f-a028-40e0-855a-b44ef5ef54e3</errorID>
      <errorWord>目的</errorWord>
      <group>L1_Word</group>
      <groupName>字词问题</groupName>
      <ability>L2_Typo</ability>
      <abilityName>字词错误</abilityName>
      <candidateList>
        <item>的</item>
      </candidateList>
      <explain>“的”常用于连接修饰语与名词性中心语，表示属性、所属或描述。</explain>
      <paraID>4CC18BCA</paraID>
      <start>274</start>
      <end>275</end>
      <status>modified</status>
      <modifiedWord>的</modifiedWord>
      <trackRevisions>false</trackRevisions>
    </reviewItem>
    <reviewItem>
      <errorID>857ab20f-d80b-45d4-944a-457398937b4d</errorID>
      <errorWord>~</errorWord>
      <group>L1_Format</group>
      <groupName>格式问题</groupName>
      <ability>L2_HalfPunc_CN</ability>
      <abilityName/>
      <candidateList>
        <item>～</item>
      </candidateList>
      <explain>文本全半角错误。</explain>
      <paraID>4CC18BCA</paraID>
      <start>322</start>
      <end>323</end>
      <status>modified</status>
      <modifiedWord>～</modifiedWord>
      <trackRevisions>false</trackRevisions>
    </reviewItem>
    <reviewItem>
      <errorID>4b102393-32d0-455c-bd44-9696a7df8091</errorID>
      <errorWord>~</errorWord>
      <group>L1_Format</group>
      <groupName>格式问题</groupName>
      <ability>L2_HalfPunc_CN</ability>
      <abilityName/>
      <candidateList>
        <item>～</item>
      </candidateList>
      <explain>文本全半角错误。</explain>
      <paraID>4CC18BCA</paraID>
      <start>337</start>
      <end>338</end>
      <status>modified</status>
      <modifiedWord>～</modifiedWord>
      <trackRevisions>false</trackRevisions>
    </reviewItem>
    <reviewItem>
      <errorID>a0156565-3cdb-40d0-9f9a-8d4f52086792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225934E8</paraID>
      <start>28</start>
      <end>29</end>
      <status>ignored</status>
      <modifiedWord/>
      <trackRevisions>false</trackRevisions>
    </reviewItem>
    <reviewItem>
      <errorID>037c2544-e01c-494e-ab5a-856e474c4c0e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63ECBEFD</paraID>
      <start>93</start>
      <end>94</end>
      <status>ignored</status>
      <modifiedWord/>
      <trackRevisions>false</trackRevisions>
    </reviewItem>
    <reviewItem>
      <errorID>7f67b450-be23-4bb0-b758-286d1234df87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DFAB15F</paraID>
      <start>85</start>
      <end>86</end>
      <status>ignored</status>
      <modifiedWord/>
      <trackRevisions>false</trackRevisions>
    </reviewItem>
    <reviewItem>
      <errorID>95a6bf88-bcfd-4e4e-88ce-3ed8a8f2a4fe</errorID>
      <errorWord>北</errorWord>
      <group>L1_Word</group>
      <groupName>字词问题</groupName>
      <ability>L2_Typo</ability>
      <abilityName>字词错误</abilityName>
      <candidateList>
        <item>被</item>
      </candidateList>
      <explain>❶〈介〉用于被动句，引进动作的施事，前面的主语是动作的受事（施动者放在被字后，但有时省略）：解放军到处～（人）尊敬｜那棵树～（大风）刮倒了｜这套书～人借走了一本｜他～选为代表。❷〈助〉用在动词前表示被动的动作：～压迫民族｜～剥削阶级。</explain>
      <paraID>1D84DE18</paraID>
      <start>0</start>
      <end>1</end>
      <status>ignored</status>
      <modifiedWord/>
      <trackRevisions>false</trackRevisions>
    </reviewItem>
    <reviewItem>
      <errorID>9531fb9b-7857-43f8-884f-8da55759797a</errorID>
      <errorWord>北</errorWord>
      <group>L1_Word</group>
      <groupName>字词问题</groupName>
      <ability>L2_Typo</ability>
      <abilityName>字词错误</abilityName>
      <candidateList>
        <item>被</item>
      </candidateList>
      <explain>❶〈介〉用于被动句，引进动作的施事，前面的主语是动作的受事（施动者放在被字后，但有时省略）：解放军到处～（人）尊敬｜那棵树～（大风）刮倒了｜这套书～人借走了一本｜他～选为代表。❷〈助〉用在动词前表示被动的动作：～压迫民族｜～剥削阶级。</explain>
      <paraID>5AB6E95F</paraID>
      <start>0</start>
      <end>1</end>
      <status>ignored</status>
      <modifiedWord/>
      <trackRevisions>false</trackRevisions>
    </reviewItem>
    <reviewItem>
      <errorID>ecf694ca-97e3-427c-8a53-247c9100f6f7</errorID>
      <errorWord>北</errorWord>
      <group>L1_Word</group>
      <groupName>字词问题</groupName>
      <ability>L2_Typo</ability>
      <abilityName>字词错误</abilityName>
      <candidateList>
        <item>被</item>
      </candidateList>
      <explain>❶〈介〉用于被动句，引进动作的施事，前面的主语是动作的受事（施动者放在被字后，但有时省略）：解放军到处～（人）尊敬｜那棵树～（大风）刮倒了｜这套书～人借走了一本｜他～选为代表。❷〈助〉用在动词前表示被动的动作：～压迫民族｜～剥削阶级。</explain>
      <paraID>4402A862</paraID>
      <start>0</start>
      <end>1</end>
      <status>ignored</status>
      <modifiedWord/>
      <trackRevisions>false</trackRevisions>
    </reviewItem>
    <reviewItem>
      <errorID>4d83f968-8fce-4299-aef5-9271d5ce83b9</errorID>
      <errorWord>北</errorWord>
      <group>L1_Word</group>
      <groupName>字词问题</groupName>
      <ability>L2_Typo</ability>
      <abilityName>字词错误</abilityName>
      <candidateList>
        <item>被</item>
      </candidateList>
      <explain>❶〈介〉用于被动句，引进动作的施事，前面的主语是动作的受事（施动者放在被字后，但有时省略）：解放军到处～（人）尊敬｜那棵树～（大风）刮倒了｜这套书～人借走了一本｜他～选为代表。❷〈助〉用在动词前表示被动的动作：～压迫民族｜～剥削阶级。</explain>
      <paraID>354D16B1</paraID>
      <start>0</start>
      <end>1</end>
      <status>ignored</status>
      <modifiedWord/>
      <trackRevisions>false</trackRevisions>
    </reviewItem>
    <reviewItem>
      <errorID>752f7955-e184-4304-a88d-6acfc7b774a1</errorID>
      <errorWord>（</errorWord>
      <group>L1_Format</group>
      <groupName>格式问题</groupName>
      <ability>L2_HalfPunc_CN</ability>
      <abilityName/>
      <candidateList>
        <item>(</item>
      </candidateList>
      <explain>文本全半角错误。</explain>
      <paraID>3A6E891E</paraID>
      <start>13</start>
      <end>14</end>
      <status>ignored</status>
      <modifiedWord/>
      <trackRevisions>false</trackRevisions>
    </reviewItem>
    <reviewItem>
      <errorID>32927342-b2bd-46ab-92e6-3a789070501a</errorID>
      <errorWord>）</errorWord>
      <group>L1_Format</group>
      <groupName>格式问题</groupName>
      <ability>L2_HalfPunc_CN</ability>
      <abilityName/>
      <candidateList>
        <item>)</item>
      </candidateList>
      <explain>文本全半角错误。</explain>
      <paraID>3A6E891E</paraID>
      <start>24</start>
      <end>25</end>
      <status>ignored</status>
      <modifiedWord/>
      <trackRevisions>false</trackRevisions>
    </reviewItem>
    <reviewItem>
      <errorID>75b29084-9c27-4511-a909-440c23928785</errorID>
      <errorWord>（</errorWord>
      <group>L1_Format</group>
      <groupName>格式问题</groupName>
      <ability>L2_HalfPunc_CN</ability>
      <abilityName/>
      <candidateList>
        <item>(</item>
      </candidateList>
      <explain>文本全半角错误。</explain>
      <paraID>691818F3</paraID>
      <start>2</start>
      <end>3</end>
      <status>ignored</status>
      <modifiedWord/>
      <trackRevisions>false</trackRevisions>
    </reviewItem>
    <reviewItem>
      <errorID>bde2ae56-6d01-4054-9128-c33ce43a5057</errorID>
      <errorWord>）</errorWord>
      <group>L1_Format</group>
      <groupName>格式问题</groupName>
      <ability>L2_HalfPunc_CN</ability>
      <abilityName/>
      <candidateList>
        <item>)</item>
      </candidateList>
      <explain>文本全半角错误。</explain>
      <paraID>691818F3</paraID>
      <start>4</start>
      <end>5</end>
      <status>ignored</status>
      <modifiedWord/>
      <trackRevisions>false</trackRevisions>
    </reviewItem>
    <reviewItem>
      <errorID>6d3d32dd-3769-4051-ace8-d77fe621e41f</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2CD39904</paraID>
      <start>7</start>
      <end>8</end>
      <status>ignored</status>
      <modifiedWord/>
      <trackRevisions>false</trackRevisions>
    </reviewItem>
    <reviewItem>
      <errorID>5c6a334b-52c7-412d-a143-f9e67fe197ee</errorID>
      <errorWord>农业部</errorWord>
      <group>L1_Knowledge</group>
      <groupName>知识性问题</groupName>
      <ability>L2_Organization</ability>
      <abilityName>机构检查</abilityName>
      <candidateList>
        <item>农业农村部</item>
      </candidateList>
      <explain>机关单位全简称表述错误</explain>
      <paraID>38C98CCD</paraID>
      <start>29</start>
      <end>32</end>
      <status>ignored</status>
      <modifiedWord/>
      <trackRevisions>false</trackRevisions>
    </reviewItem>
    <reviewItem>
      <errorID>201ae12b-b66a-4a4b-a771-7c5852c6e6c0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5C84DFDF</paraID>
      <start>183</start>
      <end>184</end>
      <status>ignored</status>
      <modifiedWord/>
      <trackRevisions>false</trackRevisions>
    </reviewItem>
    <reviewItem>
      <errorID>7646484a-bbe2-4ed4-979b-16a8e78047f2</errorID>
      <errorWord>要求</errorWord>
      <group>L1_Word</group>
      <groupName>字词问题</groupName>
      <ability>L2_Typo</ability>
      <abilityName>字词错误</abilityName>
      <candidateList>
        <item>要</item>
      </candidateList>
      <explain>〈连〉❶如果：明天～下雨，我就不去了。❷要么：～就去打球，～就去溜冰，别再犹豫了。</explain>
      <paraID>78E7ADE7</paraID>
      <start>198</start>
      <end>199</end>
      <status>modified</status>
      <modifiedWord>要</modifiedWord>
      <trackRevisions>false</trackRevisions>
    </reviewItem>
    <reviewItem>
      <errorID>1bcb11e9-5d20-491d-b478-323caba271e7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28A10F</paraID>
      <start>0</start>
      <end>2</end>
      <status>ignored</status>
      <modifiedWord/>
      <trackRevisions>false</trackRevisions>
    </reviewItem>
    <reviewItem>
      <errorID>9da10f24-e8af-4343-8863-d298345d9487</errorID>
      <errorWord>（</errorWord>
      <group>L1_Format</group>
      <groupName>格式问题</groupName>
      <ability>L2_HalfPunc_CN</ability>
      <abilityName/>
      <candidateList>
        <item>(</item>
      </candidateList>
      <explain>文本全半角错误。</explain>
      <paraID>7C4C8DBF</paraID>
      <start>1</start>
      <end>2</end>
      <status>ignored</status>
      <modifiedWord/>
      <trackRevisions>false</trackRevisions>
    </reviewItem>
    <reviewItem>
      <errorID>90ddbc85-92fa-450f-9cac-a0d3e80ed171</errorID>
      <errorWord>）</errorWord>
      <group>L1_Format</group>
      <groupName>格式问题</groupName>
      <ability>L2_HalfPunc_CN</ability>
      <abilityName/>
      <candidateList>
        <item>)</item>
      </candidateList>
      <explain>文本全半角错误。</explain>
      <paraID>7C4C8DBF</paraID>
      <start>7</start>
      <end>8</end>
      <status>ignored</status>
      <modifiedWord/>
      <trackRevisions>false</trackRevisions>
    </reviewItem>
    <reviewItem>
      <errorID>d415d669-cc36-41e3-9822-19c19faf4fa1</errorID>
      <errorWord>存在</errorWord>
      <group>L1_Word</group>
      <groupName>字词问题</groupName>
      <ability>L2_Typo</ability>
      <abilityName>字词错误</abilityName>
      <candidateList>
        <item>存放</item>
      </candidateList>
      <explain/>
      <paraID>78BDA9F0</paraID>
      <start>58</start>
      <end>60</end>
      <status>ignored</status>
      <modifiedWord/>
      <trackRevisions>false</trackRevisions>
    </reviewItem>
    <reviewItem>
      <errorID>4941da47-4f51-478e-894c-c7788b72151b</errorID>
      <errorWord>仓间</errorWord>
      <group>L1_Word</group>
      <groupName>字词问题</groupName>
      <ability>L2_Typo</ability>
      <abilityName>字词错误</abilityName>
      <candidateList>
        <item>房间</item>
      </candidateList>
      <explain/>
      <paraID>52D88881</paraID>
      <start>16</start>
      <end>18</end>
      <status>modified</status>
      <modifiedWord>房间</modifiedWord>
      <trackRevisions>false</trackRevisions>
    </reviewItem>
    <reviewItem>
      <errorID>f7798a92-3754-45ba-b633-84b33a08a2a4</errorID>
      <errorWord>接产</errorWord>
      <group>L1_Word</group>
      <groupName>字词问题</groupName>
      <ability>L2_Typo</ability>
      <abilityName>字词错误</abilityName>
      <candidateList>
        <item>接触</item>
      </candidateList>
      <explain/>
      <paraID> B73F6D9</paraID>
      <start>410</start>
      <end>412</end>
      <status>ignored</status>
      <modifiedWord/>
      <trackRevisions>false</trackRevisions>
    </reviewItem>
    <reviewItem>
      <errorID>b1f2229e-4922-4096-9882-f10ec64b1d5b</errorID>
      <errorWord>程</errorWord>
      <group>L1_Word</group>
      <groupName>字词问题</groupName>
      <ability>L2_Typo</ability>
      <abilityName>字词错误</abilityName>
      <candidateList>
        <item>程中</item>
      </candidateList>
      <explain/>
      <paraID>3009E2D9</paraID>
      <start>17</start>
      <end>19</end>
      <status>modified</status>
      <modifiedWord>程中</modifiedWord>
      <trackRevisions>false</trackRevisions>
    </reviewItem>
    <reviewItem>
      <errorID>7e402e7a-7844-4ce1-a376-b968435e12aa</errorID>
      <errorWord>附红细胞</errorWord>
      <group>L1_Knowledge</group>
      <groupName>知识性问题</groupName>
      <ability>L2_Term</ability>
      <abilityName>专业术语</abilityName>
      <candidateList>
        <item>幼红细胞</item>
      </candidateList>
      <explain/>
      <paraID>7328E5D5</paraID>
      <start>104</start>
      <end>108</end>
      <status>modified</status>
      <modifiedWord>幼红细胞</modifiedWord>
      <trackRevisions>false</trackRevisions>
    </reviewItem>
    <reviewItem>
      <errorID>33dd7f20-8721-49f9-ae1c-bebc7c44de89</errorID>
      <errorWord>人间</errorWord>
      <group>L1_Word</group>
      <groupName>字词问题</groupName>
      <ability>L2_Typo</ability>
      <abilityName>字词错误</abilityName>
      <candidateList>
        <item>人畜</item>
      </candidateList>
      <explain/>
      <paraID>123CD413</paraID>
      <start>267</start>
      <end>269</end>
      <status>modified</status>
      <modifiedWord>人畜</modifiedWord>
      <trackRevisions>false</trackRevisions>
    </reviewItem>
    <reviewItem>
      <errorID>cf16f619-ff1c-435c-b1a9-d2e204d4691b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1658DDEA</paraID>
      <start>0</start>
      <end>2</end>
      <status>ignored</status>
      <modifiedWord/>
      <trackRevisions>false</trackRevisions>
    </reviewItem>
    <reviewItem>
      <errorID>1dde0d45-26b5-44f9-9598-5b237738b86b</errorID>
      <errorWord>出</errorWord>
      <group>L1_Word</group>
      <groupName>字词问题</groupName>
      <ability>L2_Typo</ability>
      <abilityName>字词错误</abilityName>
      <candidateList>
        <item>出的</item>
      </candidateList>
      <explain/>
      <paraID>6BFF5924</paraID>
      <start>27</start>
      <end>29</end>
      <status>modified</status>
      <modifiedWord>出的</modifiedWord>
      <trackRevisions>false</trackRevisions>
    </reviewItem>
    <reviewItem>
      <errorID>b71a0697-cd77-4059-9071-ecc3820a3a10</errorID>
      <errorWord>，</errorWord>
      <group>L1_Word</group>
      <groupName>字词问题</groupName>
      <ability>L2_Typo</ability>
      <abilityName>字词错误</abilityName>
      <candidateList>
        <item>，在</item>
      </candidateList>
      <explain/>
      <paraID>70E68828</paraID>
      <start>28</start>
      <end>30</end>
      <status>modified</status>
      <modifiedWord>，在</modifiedWord>
      <trackRevisions>false</trackRevisions>
    </reviewItem>
    <reviewItem>
      <errorID>ce6c3789-4096-45c5-92a1-15e094790704</errorID>
      <errorWord>内的</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77FCC2E1</paraID>
      <start>33</start>
      <end>34</end>
      <status>modified</status>
      <modifiedWord>内</modifiedWord>
      <trackRevisions>false</trackRevisions>
    </reviewItem>
    <reviewItem>
      <errorID>2b8fe3af-107f-4895-bbad-b02bd93e4e73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B9657AA</paraID>
      <start>174</start>
      <end>175</end>
      <status>ignored</status>
      <modifiedWord/>
      <trackRevisions>false</trackRevisions>
    </reviewItem>
    <reviewItem>
      <errorID>a08965d1-b52d-4dd2-8eec-b9e9d9b17f5f</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7697CC60</paraID>
      <start>104</start>
      <end>105</end>
      <status>ignored</status>
      <modifiedWord/>
      <trackRevisions>false</trackRevisions>
    </reviewItem>
    <reviewItem>
      <errorID>076d7e32-774a-4335-9d03-014efa8ff7ad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779EA412</paraID>
      <start>211</start>
      <end>212</end>
      <status>ignored</status>
      <modifiedWord/>
      <trackRevisions>false</trackRevisions>
    </reviewItem>
    <reviewItem>
      <errorID>19fb3ed8-83c7-46d9-a950-c0c2a5ae012b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779EA412</paraID>
      <start>250</start>
      <end>251</end>
      <status>ignored</status>
      <modifiedWord/>
      <trackRevisions>false</trackRevisions>
    </reviewItem>
    <reviewItem>
      <errorID>ae2b671a-932c-4851-ab6a-cabec1ba2cdc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6B3A449A</paraID>
      <start>83</start>
      <end>84</end>
      <status>ignored</status>
      <modifiedWord/>
      <trackRevisions>false</trackRevisions>
    </reviewItem>
    <reviewItem>
      <errorID>93f88ab3-8001-4a31-b634-ea811a3e56f5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2FD5C3E2</paraID>
      <start>23</start>
      <end>24</end>
      <status>ignored</status>
      <modifiedWord/>
      <trackRevisions>false</trackRevisions>
    </reviewItem>
    <reviewItem>
      <errorID>e2d8cced-c17b-436c-8484-1b37e35b55de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71D90119</paraID>
      <start>23</start>
      <end>24</end>
      <status>ignored</status>
      <modifiedWord/>
      <trackRevisions>false</trackRevisions>
    </reviewItem>
    <reviewItem>
      <errorID>9be777c2-43ad-4d59-9b54-5afcff453f59</errorID>
      <errorWord>制订</errorWord>
      <group>L1_Word</group>
      <groupName>字词问题</groupName>
      <ability>L2_Typo</ability>
      <abilityName>字词错误</abilityName>
      <candidateList>
        <item>制定</item>
      </candidateList>
      <explain>存在发音相同字词的误用。</explain>
      <paraID>31377532</paraID>
      <start>16</start>
      <end>18</end>
      <status>modified</status>
      <modifiedWord>制定</modifiedWord>
      <trackRevisions>false</trackRevisions>
    </reviewItem>
    <reviewItem>
      <errorID>b860a895-b692-4288-8130-d5dc05c559f7</errorID>
      <errorWord>，</errorWord>
      <group>L1_Format</group>
      <groupName>格式问题</groupName>
      <ability>L2_HalfPunc_CN</ability>
      <abilityName/>
      <candidateList>
        <item>,</item>
      </candidateList>
      <explain>文本全半角错误。</explain>
      <paraID> 78EC321</paraID>
      <start>13</start>
      <end>14</end>
      <status>ignored</status>
      <modifiedWord/>
      <trackRevisions>false</trackRevisions>
    </reviewItem>
    <reviewItem>
      <errorID>f4254fd7-8674-42de-b192-9d2b9f22b060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1FD0267</paraID>
      <start>127</start>
      <end>128</end>
      <status>ignored</status>
      <modifiedWord/>
      <trackRevisions>false</trackRevisions>
    </reviewItem>
    <reviewItem>
      <errorID>d52d6fdf-7625-4fda-91f8-6082616c0c23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1FD0267</paraID>
      <start>167</start>
      <end>168</end>
      <status>ignored</status>
      <modifiedWord/>
      <trackRevisions>false</trackRevisions>
    </reviewItem>
    <reviewItem>
      <errorID>5cc30549-6715-4a4a-87bc-7b1adc97e898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5BBB08ED</paraID>
      <start>91</start>
      <end>92</end>
      <status>ignored</status>
      <modifiedWord/>
      <trackRevisions>false</trackRevisions>
    </reviewItem>
    <reviewItem>
      <errorID>87c63899-4033-452c-bad9-48ce5970ffaf</errorID>
      <errorWord>遮阴</errorWord>
      <group>L1_Word</group>
      <groupName>字词问题</groupName>
      <ability>L2_Typo</ability>
      <abilityName>字词错误</abilityName>
      <candidateList>
        <item>遮荫</item>
      </candidateList>
      <explain>存在发音相同字词的误用。</explain>
      <paraID>46E27E3F</paraID>
      <start>182</start>
      <end>184</end>
      <status>modified</status>
      <modifiedWord>遮荫</modifiedWord>
      <trackRevisions>false</trackRevisions>
    </reviewItem>
    <reviewItem>
      <errorID>48558977-f46e-456c-b2eb-d0610691d5a1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451564FF</paraID>
      <start>199</start>
      <end>200</end>
      <status>ignored</status>
      <modifiedWord/>
      <trackRevisions>false</trackRevisions>
    </reviewItem>
    <reviewItem>
      <errorID>4c2be70c-cf15-48fd-a657-cce60539af61</errorID>
      <errorWord>负责对</errorWord>
      <group>L1_Word</group>
      <groupName>字词问题</groupName>
      <ability>L2_Typo</ability>
      <abilityName>字词错误</abilityName>
      <candidateList>
        <item>负责</item>
      </candidateList>
      <explain>❶〈动〉担负责任：～后勤工作｜这里的事由你～。❷〈形〉（工作）尽到应尽的责任；认真踏实：他对工作很～。</explain>
      <paraID> 8079B25</paraID>
      <start>46</start>
      <end>48</end>
      <status>modified</status>
      <modifiedWord>负责</modifiedWord>
      <trackRevisions>false</trackRevisions>
    </reviewItem>
    <reviewItem>
      <errorID>e5f23522-fe8e-4878-a51f-6526841639b5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2070FB19</paraID>
      <start>0</start>
      <end>2</end>
      <status>ignored</status>
      <modifiedWord/>
      <trackRevisions>false</trackRevisions>
    </reviewItem>
    <reviewItem>
      <errorID>d28ba96f-5a68-402b-976a-ce7a12ad2d7b</errorID>
      <errorWord>，将</errorWord>
      <group>L1_Word</group>
      <groupName>字词问题</groupName>
      <ability>L2_Typo</ability>
      <abilityName>字词错误</abilityName>
      <candidateList>
        <item>，</item>
      </candidateList>
      <explain/>
      <paraID>4D293B26</paraID>
      <start>102</start>
      <end>103</end>
      <status>modified</status>
      <modifiedWord>，</modifiedWord>
      <trackRevisions>false</trackRevisions>
    </reviewItem>
    <reviewItem>
      <errorID>ea3696fe-a3a1-4416-82d5-7b0623853b64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58283818</paraID>
      <start>0</start>
      <end>2</end>
      <status>ignored</status>
      <modifiedWord/>
      <trackRevisions>false</trackRevisions>
    </reviewItem>
    <reviewItem>
      <errorID>e705e499-15ae-43f9-86cc-9cf819764620</errorID>
      <errorWord>法律、法规</errorWord>
      <group>L1_Word</group>
      <groupName>字词问题</groupName>
      <ability>L2_Typo</ability>
      <abilityName>字词错误</abilityName>
      <candidateList>
        <item>法律法规</item>
      </candidateList>
      <explain/>
      <paraID> CA1FDE9</paraID>
      <start>16</start>
      <end>20</end>
      <status>modified</status>
      <modifiedWord>法律法规</modifiedWord>
      <trackRevisions>false</trackRevisions>
    </reviewItem>
    <reviewItem>
      <errorID>d7a93b1e-f651-4fc9-974e-fcc0bc6e6c54</errorID>
      <errorWord>（</errorWord>
      <group>L1_Format</group>
      <groupName>格式问题</groupName>
      <ability>L2_HalfPunc_CN</ability>
      <abilityName/>
      <candidateList>
        <item>(</item>
      </candidateList>
      <explain>文本全半角错误。</explain>
      <paraID> FEA4DFC</paraID>
      <start>3</start>
      <end>4</end>
      <status>ignored</status>
      <modifiedWord/>
      <trackRevisions>false</trackRevisions>
    </reviewItem>
    <reviewItem>
      <errorID>42338187-4274-462b-a293-6a93153a49ee</errorID>
      <errorWord>）</errorWord>
      <group>L1_Format</group>
      <groupName>格式问题</groupName>
      <ability>L2_HalfPunc_CN</ability>
      <abilityName/>
      <candidateList>
        <item>)</item>
      </candidateList>
      <explain>文本全半角错误。</explain>
      <paraID> FEA4DFC</paraID>
      <start>5</start>
      <end>6</end>
      <status>ignored</status>
      <modifiedWord/>
      <trackRevisions>false</trackRevisions>
    </reviewItem>
    <reviewItem>
      <errorID>40b18a84-0cbb-479f-95df-4ab6c3ca0e43</errorID>
      <errorWord>；</errorWord>
      <group>L1_Format</group>
      <groupName>格式问题</groupName>
      <ability>L2_HalfPunc_CN</ability>
      <abilityName/>
      <candidateList>
        <item>;</item>
      </candidateList>
      <explain>文本全半角错误。</explain>
      <paraID>56CDEF79</paraID>
      <start>8</start>
      <end>9</end>
      <status>ignored</status>
      <modifiedWord/>
      <trackRevisions>false</trackRevisions>
    </reviewItem>
    <reviewItem>
      <errorID>6c14444f-9ced-4542-9f26-52b278298b99</errorID>
      <errorWord>；</errorWord>
      <group>L1_Format</group>
      <groupName>格式问题</groupName>
      <ability>L2_HalfPunc_CN</ability>
      <abilityName/>
      <candidateList>
        <item>;</item>
      </candidateList>
      <explain>文本全半角错误。</explain>
      <paraID>2B03F570</paraID>
      <start>8</start>
      <end>9</end>
      <status>ignored</status>
      <modifiedWord/>
      <trackRevisions>false</trackRevisions>
    </reviewItem>
    <reviewItem>
      <errorID>a9c8a319-30c7-4559-8f48-f067b52f34e2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62818C52</paraID>
      <start>0</start>
      <end>3</end>
      <status>ignored</status>
      <modifiedWord/>
      <trackRevisions>false</trackRevisions>
    </reviewItem>
    <reviewItem>
      <errorID>9c504500-9a52-404a-8710-aa8bd226b22c</errorID>
      <errorWord>最小</errorWord>
      <group>L1_Word</group>
      <groupName>字词问题</groupName>
      <ability>L2_Typo</ability>
      <abilityName>字词错误</abilityName>
      <candidateList>
        <item>最低</item>
      </candidateList>
      <explain/>
      <paraID>5754229F</paraID>
      <start>88</start>
      <end>90</end>
      <status>modified</status>
      <modifiedWord>最低</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1a25f2-738e-4bec-bdcd-a025c1b7b38d}">
  <ds:schemaRefs/>
</ds:datastoreItem>
</file>

<file path=docProps/app.xml><?xml version="1.0" encoding="utf-8"?>
<Properties xmlns="http://schemas.openxmlformats.org/officeDocument/2006/extended-properties" xmlns:vt="http://schemas.openxmlformats.org/officeDocument/2006/docPropsVTypes">
  <Template>Normal.dotm</Template>
  <Pages>354</Pages>
  <Words>36922</Words>
  <Characters>40429</Characters>
  <Lines>0</Lines>
  <Paragraphs>0</Paragraphs>
  <TotalTime>16</TotalTime>
  <ScaleCrop>false</ScaleCrop>
  <LinksUpToDate>false</LinksUpToDate>
  <CharactersWithSpaces>40753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2026-06-18T07:54:00Z</dcterms:created>
  <dc:creator>Alessandra＊</dc:creator>
  <cp:lastModifiedBy>Floating dream </cp:lastModifiedBy>
  <dcterms:modified xsi:type="dcterms:W3CDTF">2026-08-20T04:48:08Z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E3D4F52509F34A7CBD244D11DD188040_13</vt:lpwstr>
  </property>
  <property fmtid="{D5CDD505-2E9C-101B-9397-08002B2CF9AE}" pid="4" name="KSOTemplateDocerSaveRecord">
    <vt:lpwstr>eyJoZGlkIjoiODBjNzYxYmIzOWJkMDlmNzJmZjdjMmNkNDkzMGYxZDkiLCJ1c2VySWQiOiIzNjMzMTU4MzUifQ==</vt:lpwstr>
  </property>
</Properties>
</file>